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041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213A6">
        <w:rPr>
          <w:rFonts w:ascii="Times New Roman" w:hAnsi="Times New Roman" w:cs="Times New Roman"/>
          <w:b/>
          <w:sz w:val="28"/>
          <w:szCs w:val="24"/>
        </w:rPr>
        <w:t xml:space="preserve">The development and validation of a novel LC-MS/MS method for the </w:t>
      </w:r>
      <w:r>
        <w:rPr>
          <w:rFonts w:ascii="Times New Roman" w:hAnsi="Times New Roman" w:cs="Times New Roman"/>
          <w:b/>
          <w:sz w:val="28"/>
          <w:szCs w:val="24"/>
        </w:rPr>
        <w:t xml:space="preserve">simultaneous </w:t>
      </w:r>
      <w:r w:rsidRPr="006213A6">
        <w:rPr>
          <w:rFonts w:ascii="Times New Roman" w:hAnsi="Times New Roman" w:cs="Times New Roman"/>
          <w:b/>
          <w:sz w:val="28"/>
          <w:szCs w:val="24"/>
        </w:rPr>
        <w:t xml:space="preserve">quantification of </w:t>
      </w:r>
      <w:bookmarkStart w:id="0" w:name="_Hlk60650580"/>
      <w:r w:rsidRPr="00070CCE">
        <w:rPr>
          <w:rFonts w:ascii="Times New Roman" w:hAnsi="Times New Roman" w:cs="Times New Roman"/>
          <w:b/>
          <w:sz w:val="28"/>
          <w:szCs w:val="24"/>
        </w:rPr>
        <w:t>Molnupiravir</w:t>
      </w:r>
      <w:r>
        <w:rPr>
          <w:rFonts w:ascii="Times New Roman" w:hAnsi="Times New Roman" w:cs="Times New Roman"/>
          <w:b/>
          <w:sz w:val="28"/>
          <w:szCs w:val="24"/>
        </w:rPr>
        <w:t xml:space="preserve"> and its metabolite </w:t>
      </w:r>
      <w:r w:rsidRPr="00070CCE">
        <w:rPr>
          <w:rFonts w:ascii="Times New Roman" w:hAnsi="Times New Roman" w:cs="Times New Roman"/>
          <w:b/>
          <w:sz w:val="28"/>
          <w:szCs w:val="24"/>
        </w:rPr>
        <w:t>ß-d-N4-hydroxycytidine</w:t>
      </w:r>
      <w:bookmarkEnd w:id="0"/>
      <w:r w:rsidRPr="00070CC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213A6">
        <w:rPr>
          <w:rFonts w:ascii="Times New Roman" w:hAnsi="Times New Roman" w:cs="Times New Roman"/>
          <w:b/>
          <w:sz w:val="28"/>
          <w:szCs w:val="24"/>
        </w:rPr>
        <w:t>in human plasma</w:t>
      </w:r>
      <w:r>
        <w:rPr>
          <w:rFonts w:ascii="Times New Roman" w:hAnsi="Times New Roman" w:cs="Times New Roman"/>
          <w:b/>
          <w:sz w:val="28"/>
          <w:szCs w:val="24"/>
        </w:rPr>
        <w:t xml:space="preserve"> and saliva</w:t>
      </w:r>
      <w:r w:rsidRPr="006213A6">
        <w:rPr>
          <w:rFonts w:ascii="Times New Roman" w:hAnsi="Times New Roman" w:cs="Times New Roman"/>
          <w:b/>
          <w:sz w:val="28"/>
          <w:szCs w:val="24"/>
        </w:rPr>
        <w:t xml:space="preserve">. </w:t>
      </w:r>
    </w:p>
    <w:p w:rsidR="00DE6041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E6041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E6041" w:rsidRPr="00BD7815" w:rsidRDefault="00DE6041" w:rsidP="00DE6041">
      <w:pPr>
        <w:rPr>
          <w:rFonts w:ascii="Times New Roman" w:hAnsi="Times New Roman" w:cs="Times New Roman"/>
          <w:b/>
        </w:rPr>
      </w:pPr>
      <w:r w:rsidRPr="00BD7815">
        <w:rPr>
          <w:rFonts w:ascii="Times New Roman" w:hAnsi="Times New Roman" w:cs="Times New Roman"/>
          <w:b/>
        </w:rPr>
        <w:t>Authors:</w:t>
      </w:r>
    </w:p>
    <w:p w:rsidR="00DE6041" w:rsidRPr="00BD7815" w:rsidRDefault="00DE6041" w:rsidP="00DE6041">
      <w:pPr>
        <w:spacing w:after="0" w:line="360" w:lineRule="auto"/>
        <w:rPr>
          <w:rFonts w:ascii="Times New Roman" w:hAnsi="Times New Roman" w:cs="Times New Roman"/>
        </w:rPr>
      </w:pPr>
      <w:r w:rsidRPr="006C3909">
        <w:rPr>
          <w:rFonts w:ascii="Times New Roman" w:hAnsi="Times New Roman" w:cs="Times New Roman"/>
        </w:rPr>
        <w:t>Alieu</w:t>
      </w:r>
      <w:r w:rsidRPr="00BD7815">
        <w:rPr>
          <w:rFonts w:ascii="Times New Roman" w:hAnsi="Times New Roman" w:cs="Times New Roman"/>
        </w:rPr>
        <w:t xml:space="preserve"> </w:t>
      </w:r>
      <w:proofErr w:type="spellStart"/>
      <w:r w:rsidRPr="00BD7815">
        <w:rPr>
          <w:rFonts w:ascii="Times New Roman" w:hAnsi="Times New Roman" w:cs="Times New Roman"/>
        </w:rPr>
        <w:t>Amara</w:t>
      </w:r>
      <w:r w:rsidR="007E763E">
        <w:rPr>
          <w:rFonts w:ascii="Times New Roman" w:hAnsi="Times New Roman" w:cs="Times New Roman"/>
          <w:vertAlign w:val="superscript"/>
        </w:rPr>
        <w:t>a</w:t>
      </w:r>
      <w:proofErr w:type="spellEnd"/>
      <w:r w:rsidRPr="0013433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BD7815">
        <w:rPr>
          <w:rFonts w:ascii="Times New Roman" w:hAnsi="Times New Roman" w:cs="Times New Roman"/>
        </w:rPr>
        <w:t xml:space="preserve">Sujan Dilly </w:t>
      </w:r>
      <w:proofErr w:type="spellStart"/>
      <w:r w:rsidRPr="00BD7815">
        <w:rPr>
          <w:rFonts w:ascii="Times New Roman" w:hAnsi="Times New Roman" w:cs="Times New Roman"/>
        </w:rPr>
        <w:t>Penchala</w:t>
      </w:r>
      <w:r w:rsidR="007E763E">
        <w:rPr>
          <w:rFonts w:ascii="Times New Roman" w:hAnsi="Times New Roman" w:cs="Times New Roman"/>
          <w:vertAlign w:val="superscript"/>
        </w:rPr>
        <w:t>a</w:t>
      </w:r>
      <w:proofErr w:type="spellEnd"/>
      <w:r w:rsidRPr="00BD7815">
        <w:rPr>
          <w:rFonts w:ascii="Times New Roman" w:hAnsi="Times New Roman" w:cs="Times New Roman"/>
        </w:rPr>
        <w:t>,</w:t>
      </w:r>
      <w:r w:rsidR="006C368B">
        <w:rPr>
          <w:rFonts w:ascii="Times New Roman" w:hAnsi="Times New Roman" w:cs="Times New Roman"/>
        </w:rPr>
        <w:t xml:space="preserve"> </w:t>
      </w:r>
      <w:r w:rsidRPr="00BD7815">
        <w:rPr>
          <w:rFonts w:ascii="Times New Roman" w:hAnsi="Times New Roman" w:cs="Times New Roman"/>
        </w:rPr>
        <w:t xml:space="preserve">Laura </w:t>
      </w:r>
      <w:proofErr w:type="spellStart"/>
      <w:r w:rsidRPr="00BD7815">
        <w:rPr>
          <w:rFonts w:ascii="Times New Roman" w:hAnsi="Times New Roman" w:cs="Times New Roman"/>
        </w:rPr>
        <w:t>Else</w:t>
      </w:r>
      <w:r w:rsidR="00310937">
        <w:rPr>
          <w:rFonts w:ascii="Times New Roman" w:hAnsi="Times New Roman" w:cs="Times New Roman"/>
          <w:vertAlign w:val="superscript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r w:rsidR="00310937">
        <w:rPr>
          <w:rFonts w:ascii="Times New Roman" w:hAnsi="Times New Roman" w:cs="Times New Roman"/>
        </w:rPr>
        <w:t xml:space="preserve">, </w:t>
      </w:r>
      <w:r w:rsidR="00310937" w:rsidRPr="006C368B">
        <w:rPr>
          <w:rFonts w:ascii="Times New Roman" w:hAnsi="Times New Roman" w:cs="Times New Roman"/>
        </w:rPr>
        <w:t xml:space="preserve">Colin </w:t>
      </w:r>
      <w:proofErr w:type="spellStart"/>
      <w:r w:rsidR="00310937" w:rsidRPr="006C368B">
        <w:rPr>
          <w:rFonts w:ascii="Times New Roman" w:hAnsi="Times New Roman" w:cs="Times New Roman"/>
        </w:rPr>
        <w:t>Hale</w:t>
      </w:r>
      <w:r w:rsidR="00310937">
        <w:rPr>
          <w:rFonts w:ascii="Times New Roman" w:hAnsi="Times New Roman" w:cs="Times New Roman"/>
          <w:vertAlign w:val="superscript"/>
        </w:rPr>
        <w:t>b</w:t>
      </w:r>
      <w:proofErr w:type="spellEnd"/>
      <w:r w:rsidR="00310937">
        <w:rPr>
          <w:rFonts w:ascii="Times New Roman" w:hAnsi="Times New Roman" w:cs="Times New Roman"/>
        </w:rPr>
        <w:t>,</w:t>
      </w:r>
      <w:r w:rsidR="00310937" w:rsidRPr="00BD7815">
        <w:rPr>
          <w:rFonts w:ascii="Times New Roman" w:hAnsi="Times New Roman" w:cs="Times New Roman"/>
        </w:rPr>
        <w:t xml:space="preserve"> </w:t>
      </w:r>
      <w:r w:rsidR="00310937" w:rsidRPr="006C368B">
        <w:rPr>
          <w:rFonts w:ascii="Times New Roman" w:hAnsi="Times New Roman" w:cs="Times New Roman"/>
        </w:rPr>
        <w:t xml:space="preserve">Richard </w:t>
      </w:r>
      <w:proofErr w:type="spellStart"/>
      <w:r w:rsidR="00310937" w:rsidRPr="006C368B">
        <w:rPr>
          <w:rFonts w:ascii="Times New Roman" w:hAnsi="Times New Roman" w:cs="Times New Roman"/>
        </w:rPr>
        <w:t>FitzGerald</w:t>
      </w:r>
      <w:r w:rsidR="00310937">
        <w:rPr>
          <w:rFonts w:ascii="Times New Roman" w:hAnsi="Times New Roman" w:cs="Times New Roman"/>
          <w:vertAlign w:val="superscript"/>
        </w:rPr>
        <w:t>b</w:t>
      </w:r>
      <w:proofErr w:type="spellEnd"/>
      <w:r w:rsidR="00310937" w:rsidRPr="006C368B">
        <w:rPr>
          <w:rFonts w:ascii="Times New Roman" w:hAnsi="Times New Roman" w:cs="Times New Roman"/>
        </w:rPr>
        <w:t xml:space="preserve">, </w:t>
      </w:r>
      <w:r w:rsidR="007724F6" w:rsidRPr="007724F6">
        <w:rPr>
          <w:rFonts w:ascii="Times New Roman" w:hAnsi="Times New Roman" w:cs="Times New Roman"/>
        </w:rPr>
        <w:t xml:space="preserve">Lauren </w:t>
      </w:r>
      <w:proofErr w:type="spellStart"/>
      <w:r w:rsidR="007724F6" w:rsidRPr="007724F6">
        <w:rPr>
          <w:rFonts w:ascii="Times New Roman" w:hAnsi="Times New Roman" w:cs="Times New Roman"/>
        </w:rPr>
        <w:t>Walker</w:t>
      </w:r>
      <w:r w:rsidR="007724F6" w:rsidRPr="007724F6">
        <w:rPr>
          <w:rFonts w:ascii="Times New Roman" w:hAnsi="Times New Roman" w:cs="Times New Roman"/>
          <w:vertAlign w:val="superscript"/>
        </w:rPr>
        <w:t>b</w:t>
      </w:r>
      <w:proofErr w:type="spellEnd"/>
      <w:r w:rsidR="007724F6">
        <w:rPr>
          <w:rFonts w:ascii="Times New Roman" w:hAnsi="Times New Roman" w:cs="Times New Roman"/>
        </w:rPr>
        <w:t>,</w:t>
      </w:r>
      <w:r w:rsidR="007724F6" w:rsidRPr="007724F6">
        <w:rPr>
          <w:rFonts w:ascii="Times New Roman" w:hAnsi="Times New Roman" w:cs="Times New Roman"/>
        </w:rPr>
        <w:t xml:space="preserve"> </w:t>
      </w:r>
      <w:r w:rsidR="00310937" w:rsidRPr="006C368B">
        <w:rPr>
          <w:rFonts w:ascii="Times New Roman" w:hAnsi="Times New Roman" w:cs="Times New Roman"/>
        </w:rPr>
        <w:t xml:space="preserve">Rebecca </w:t>
      </w:r>
      <w:proofErr w:type="spellStart"/>
      <w:r w:rsidR="00310937" w:rsidRPr="006C368B">
        <w:rPr>
          <w:rFonts w:ascii="Times New Roman" w:hAnsi="Times New Roman" w:cs="Times New Roman"/>
        </w:rPr>
        <w:t>Lyon</w:t>
      </w:r>
      <w:r w:rsidR="007724F6">
        <w:rPr>
          <w:rFonts w:ascii="Times New Roman" w:hAnsi="Times New Roman" w:cs="Times New Roman"/>
        </w:rPr>
        <w:t>s</w:t>
      </w:r>
      <w:r w:rsidR="00310937">
        <w:rPr>
          <w:rFonts w:ascii="Times New Roman" w:hAnsi="Times New Roman" w:cs="Times New Roman"/>
          <w:vertAlign w:val="superscript"/>
        </w:rPr>
        <w:t>b</w:t>
      </w:r>
      <w:proofErr w:type="spellEnd"/>
      <w:r w:rsidR="00310937">
        <w:rPr>
          <w:rFonts w:ascii="Times New Roman" w:hAnsi="Times New Roman" w:cs="Times New Roman"/>
        </w:rPr>
        <w:t>,</w:t>
      </w:r>
      <w:r w:rsidR="00310937" w:rsidRPr="00BD7815">
        <w:rPr>
          <w:rFonts w:ascii="Times New Roman" w:hAnsi="Times New Roman" w:cs="Times New Roman"/>
        </w:rPr>
        <w:t xml:space="preserve"> </w:t>
      </w:r>
      <w:r w:rsidR="00310937">
        <w:rPr>
          <w:rFonts w:ascii="Times New Roman" w:hAnsi="Times New Roman" w:cs="Times New Roman"/>
        </w:rPr>
        <w:t xml:space="preserve">Tom </w:t>
      </w:r>
      <w:proofErr w:type="spellStart"/>
      <w:r w:rsidR="00310937">
        <w:rPr>
          <w:rFonts w:ascii="Times New Roman" w:hAnsi="Times New Roman" w:cs="Times New Roman"/>
        </w:rPr>
        <w:t>Fletcher</w:t>
      </w:r>
      <w:r w:rsidR="00127CBD">
        <w:rPr>
          <w:rFonts w:ascii="Times New Roman" w:hAnsi="Times New Roman" w:cs="Times New Roman"/>
          <w:vertAlign w:val="superscript"/>
        </w:rPr>
        <w:t>c</w:t>
      </w:r>
      <w:proofErr w:type="spellEnd"/>
      <w:r w:rsidR="00310937">
        <w:rPr>
          <w:rFonts w:ascii="Times New Roman" w:hAnsi="Times New Roman" w:cs="Times New Roman"/>
        </w:rPr>
        <w:t xml:space="preserve">, </w:t>
      </w:r>
      <w:r w:rsidRPr="00BD7815">
        <w:rPr>
          <w:rFonts w:ascii="Times New Roman" w:hAnsi="Times New Roman" w:cs="Times New Roman"/>
        </w:rPr>
        <w:t xml:space="preserve">Saye </w:t>
      </w:r>
      <w:proofErr w:type="spellStart"/>
      <w:r w:rsidRPr="00BD7815">
        <w:rPr>
          <w:rFonts w:ascii="Times New Roman" w:hAnsi="Times New Roman" w:cs="Times New Roman"/>
        </w:rPr>
        <w:t>Khoo</w:t>
      </w:r>
      <w:r w:rsidR="00F277AE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  <w:vertAlign w:val="superscript"/>
        </w:rPr>
        <w:t>,</w:t>
      </w:r>
      <w:r w:rsidR="00F277AE">
        <w:rPr>
          <w:rFonts w:ascii="Times New Roman" w:hAnsi="Times New Roman" w:cs="Times New Roman"/>
          <w:vertAlign w:val="superscript"/>
        </w:rPr>
        <w:t>b</w:t>
      </w:r>
      <w:proofErr w:type="spellEnd"/>
    </w:p>
    <w:p w:rsidR="00DE6041" w:rsidRPr="00BD7815" w:rsidRDefault="00DE6041" w:rsidP="00DE6041">
      <w:pPr>
        <w:spacing w:after="0" w:line="360" w:lineRule="auto"/>
        <w:rPr>
          <w:rFonts w:ascii="Times New Roman" w:hAnsi="Times New Roman" w:cs="Times New Roman"/>
        </w:rPr>
      </w:pPr>
    </w:p>
    <w:p w:rsidR="00DE6041" w:rsidRPr="00BD7815" w:rsidRDefault="00CC5C7E" w:rsidP="00DE6041">
      <w:pPr>
        <w:pStyle w:val="ListParagraph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color w:val="000000" w:themeColor="text1"/>
        </w:rPr>
      </w:pPr>
      <w:r w:rsidRPr="00CC5C7E">
        <w:rPr>
          <w:rFonts w:ascii="Times New Roman" w:hAnsi="Times New Roman" w:cs="Times New Roman"/>
        </w:rPr>
        <w:t>Department of Molecular and Clinical Pharmacology</w:t>
      </w:r>
      <w:r w:rsidR="00DE6041" w:rsidRPr="00BD7815">
        <w:rPr>
          <w:rFonts w:ascii="Times New Roman" w:hAnsi="Times New Roman" w:cs="Times New Roman"/>
        </w:rPr>
        <w:t>, University of Liverpool, Liverpool</w:t>
      </w:r>
      <w:r w:rsidR="006C368B">
        <w:rPr>
          <w:rFonts w:ascii="Times New Roman" w:hAnsi="Times New Roman" w:cs="Times New Roman"/>
        </w:rPr>
        <w:t>,</w:t>
      </w:r>
      <w:r w:rsidR="00DE6041" w:rsidRPr="00BD7815">
        <w:rPr>
          <w:rFonts w:ascii="Times New Roman" w:hAnsi="Times New Roman" w:cs="Times New Roman"/>
        </w:rPr>
        <w:t xml:space="preserve"> </w:t>
      </w:r>
      <w:proofErr w:type="spellStart"/>
      <w:r w:rsidR="00DE6041" w:rsidRPr="00BD7815">
        <w:rPr>
          <w:rFonts w:ascii="Times New Roman" w:hAnsi="Times New Roman" w:cs="Times New Roman"/>
        </w:rPr>
        <w:t>L69</w:t>
      </w:r>
      <w:proofErr w:type="spellEnd"/>
      <w:r w:rsidR="00DE6041" w:rsidRPr="00BD7815">
        <w:rPr>
          <w:rFonts w:ascii="Times New Roman" w:hAnsi="Times New Roman" w:cs="Times New Roman"/>
        </w:rPr>
        <w:t xml:space="preserve"> </w:t>
      </w:r>
      <w:proofErr w:type="spellStart"/>
      <w:r w:rsidR="00DE6041" w:rsidRPr="00BD7815">
        <w:rPr>
          <w:rFonts w:ascii="Times New Roman" w:hAnsi="Times New Roman" w:cs="Times New Roman"/>
        </w:rPr>
        <w:t>7SX</w:t>
      </w:r>
      <w:proofErr w:type="spellEnd"/>
      <w:r w:rsidR="00DE6041" w:rsidRPr="00BD7815">
        <w:rPr>
          <w:rFonts w:ascii="Times New Roman" w:hAnsi="Times New Roman" w:cs="Times New Roman"/>
        </w:rPr>
        <w:t>, UK</w:t>
      </w:r>
    </w:p>
    <w:p w:rsidR="00DE6041" w:rsidRDefault="00EC6618" w:rsidP="00DE604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Royal </w:t>
      </w:r>
      <w:r w:rsidR="006C368B" w:rsidRPr="006C368B">
        <w:rPr>
          <w:rFonts w:ascii="Times New Roman" w:hAnsi="Times New Roman" w:cs="Times New Roman"/>
        </w:rPr>
        <w:t>Liverpool</w:t>
      </w:r>
      <w:r>
        <w:rPr>
          <w:rFonts w:ascii="Times New Roman" w:hAnsi="Times New Roman" w:cs="Times New Roman"/>
        </w:rPr>
        <w:t xml:space="preserve"> &amp; Broadgreen</w:t>
      </w:r>
      <w:r w:rsidR="006C368B" w:rsidRPr="006C368B">
        <w:rPr>
          <w:rFonts w:ascii="Times New Roman" w:hAnsi="Times New Roman" w:cs="Times New Roman"/>
        </w:rPr>
        <w:t xml:space="preserve"> University Hospital</w:t>
      </w:r>
      <w:r>
        <w:rPr>
          <w:rFonts w:ascii="Times New Roman" w:hAnsi="Times New Roman" w:cs="Times New Roman"/>
        </w:rPr>
        <w:t>s</w:t>
      </w:r>
      <w:r w:rsidR="006C368B" w:rsidRPr="006C368B">
        <w:rPr>
          <w:rFonts w:ascii="Times New Roman" w:hAnsi="Times New Roman" w:cs="Times New Roman"/>
        </w:rPr>
        <w:t xml:space="preserve"> NHS Trust,</w:t>
      </w:r>
      <w:r w:rsidR="00DE6041">
        <w:rPr>
          <w:rFonts w:ascii="Times New Roman" w:hAnsi="Times New Roman" w:cs="Times New Roman"/>
        </w:rPr>
        <w:t xml:space="preserve"> Prescot Road, Liverpool</w:t>
      </w:r>
      <w:r w:rsidR="006C368B">
        <w:rPr>
          <w:rFonts w:ascii="Times New Roman" w:hAnsi="Times New Roman" w:cs="Times New Roman"/>
        </w:rPr>
        <w:t>,</w:t>
      </w:r>
      <w:r w:rsidR="00DE6041">
        <w:rPr>
          <w:rFonts w:ascii="Times New Roman" w:hAnsi="Times New Roman" w:cs="Times New Roman"/>
        </w:rPr>
        <w:t xml:space="preserve"> L7 </w:t>
      </w:r>
      <w:proofErr w:type="spellStart"/>
      <w:r w:rsidR="00DE6041">
        <w:rPr>
          <w:rFonts w:ascii="Times New Roman" w:hAnsi="Times New Roman" w:cs="Times New Roman"/>
        </w:rPr>
        <w:t>8XP</w:t>
      </w:r>
      <w:proofErr w:type="spellEnd"/>
      <w:r w:rsidR="006C368B">
        <w:rPr>
          <w:rFonts w:ascii="Times New Roman" w:hAnsi="Times New Roman" w:cs="Times New Roman"/>
        </w:rPr>
        <w:t>, UK</w:t>
      </w:r>
    </w:p>
    <w:p w:rsidR="00310937" w:rsidRPr="00BD7815" w:rsidRDefault="00310937" w:rsidP="00DE6041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FD4276">
        <w:rPr>
          <w:rFonts w:ascii="Times New Roman" w:hAnsi="Times New Roman" w:cs="Times New Roman"/>
        </w:rPr>
        <w:t>Liverpool School of Tropical Medicine, Pembroke Place, Liverpool, L3 5QA, UK</w:t>
      </w:r>
    </w:p>
    <w:p w:rsidR="00DE6041" w:rsidRPr="00E669EC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E6041" w:rsidRPr="00E669EC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E6041" w:rsidRPr="00BD7815" w:rsidRDefault="00DE6041" w:rsidP="00DE6041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BD7815">
        <w:rPr>
          <w:rFonts w:ascii="Times New Roman" w:hAnsi="Times New Roman" w:cs="Times New Roman"/>
          <w:b/>
          <w:bCs/>
          <w:color w:val="000000" w:themeColor="text1"/>
        </w:rPr>
        <w:t>Corresponding Author:</w:t>
      </w:r>
    </w:p>
    <w:p w:rsidR="00DE6041" w:rsidRPr="00BD7815" w:rsidRDefault="00DE6041" w:rsidP="00DE604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Alieu B. Amara</w:t>
      </w:r>
    </w:p>
    <w:p w:rsidR="00DE6041" w:rsidRPr="00BD7815" w:rsidRDefault="00DE6041" w:rsidP="00DE604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D7815">
        <w:rPr>
          <w:rFonts w:ascii="Times New Roman" w:hAnsi="Times New Roman" w:cs="Times New Roman"/>
        </w:rPr>
        <w:t xml:space="preserve">Department of Pharmacology, University of Liverpool, Liverpool </w:t>
      </w:r>
      <w:proofErr w:type="spellStart"/>
      <w:r w:rsidRPr="00BD7815">
        <w:rPr>
          <w:rFonts w:ascii="Times New Roman" w:hAnsi="Times New Roman" w:cs="Times New Roman"/>
        </w:rPr>
        <w:t>L69</w:t>
      </w:r>
      <w:proofErr w:type="spellEnd"/>
      <w:r w:rsidRPr="00BD7815">
        <w:rPr>
          <w:rFonts w:ascii="Times New Roman" w:hAnsi="Times New Roman" w:cs="Times New Roman"/>
        </w:rPr>
        <w:t xml:space="preserve"> </w:t>
      </w:r>
      <w:proofErr w:type="spellStart"/>
      <w:r w:rsidRPr="00BD7815">
        <w:rPr>
          <w:rFonts w:ascii="Times New Roman" w:hAnsi="Times New Roman" w:cs="Times New Roman"/>
        </w:rPr>
        <w:t>7SX</w:t>
      </w:r>
      <w:proofErr w:type="spellEnd"/>
      <w:r w:rsidRPr="00BD7815">
        <w:rPr>
          <w:rFonts w:ascii="Times New Roman" w:hAnsi="Times New Roman" w:cs="Times New Roman"/>
        </w:rPr>
        <w:t>, UK</w:t>
      </w:r>
      <w:r w:rsidRPr="00BD7815">
        <w:rPr>
          <w:rFonts w:ascii="Times New Roman" w:hAnsi="Times New Roman" w:cs="Times New Roman"/>
          <w:color w:val="000000" w:themeColor="text1"/>
        </w:rPr>
        <w:t xml:space="preserve"> </w:t>
      </w:r>
    </w:p>
    <w:p w:rsidR="00DE6041" w:rsidRPr="00BD7815" w:rsidRDefault="004141F3" w:rsidP="00DE604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Tel</w:t>
      </w:r>
      <w:r w:rsidR="00DE6041" w:rsidRPr="00BD7815">
        <w:rPr>
          <w:rFonts w:ascii="Times New Roman" w:hAnsi="Times New Roman" w:cs="Times New Roman"/>
          <w:color w:val="000000" w:themeColor="text1"/>
        </w:rPr>
        <w:t>: +44 151 7</w:t>
      </w:r>
      <w:r w:rsidR="00DE6041">
        <w:rPr>
          <w:rFonts w:ascii="Times New Roman" w:hAnsi="Times New Roman" w:cs="Times New Roman"/>
          <w:color w:val="000000" w:themeColor="text1"/>
        </w:rPr>
        <w:t>94</w:t>
      </w:r>
      <w:r w:rsidR="00DE6041" w:rsidRPr="00BD7815">
        <w:rPr>
          <w:rFonts w:ascii="Times New Roman" w:hAnsi="Times New Roman" w:cs="Times New Roman"/>
          <w:color w:val="000000" w:themeColor="text1"/>
        </w:rPr>
        <w:t xml:space="preserve"> </w:t>
      </w:r>
      <w:r w:rsidR="00DE6041">
        <w:rPr>
          <w:rFonts w:ascii="Times New Roman" w:hAnsi="Times New Roman" w:cs="Times New Roman"/>
          <w:color w:val="000000" w:themeColor="text1"/>
        </w:rPr>
        <w:t>1181</w:t>
      </w:r>
    </w:p>
    <w:p w:rsidR="00DE6041" w:rsidRPr="00BD7815" w:rsidRDefault="00DE6041" w:rsidP="00DE604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BD7815">
        <w:rPr>
          <w:rFonts w:ascii="Times New Roman" w:hAnsi="Times New Roman" w:cs="Times New Roman"/>
          <w:color w:val="000000" w:themeColor="text1"/>
        </w:rPr>
        <w:t>E</w:t>
      </w:r>
      <w:r w:rsidR="004141F3">
        <w:rPr>
          <w:rFonts w:ascii="Times New Roman" w:hAnsi="Times New Roman" w:cs="Times New Roman"/>
          <w:color w:val="000000" w:themeColor="text1"/>
        </w:rPr>
        <w:t>mail</w:t>
      </w:r>
      <w:r w:rsidRPr="00BD7815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>
        <w:rPr>
          <w:rStyle w:val="Hyperlink"/>
          <w:rFonts w:ascii="Times New Roman" w:hAnsi="Times New Roman" w:cs="Times New Roman"/>
        </w:rPr>
        <w:t>A.Amara</w:t>
      </w:r>
      <w:r w:rsidRPr="00BD7815">
        <w:rPr>
          <w:rStyle w:val="Hyperlink"/>
          <w:rFonts w:ascii="Times New Roman" w:hAnsi="Times New Roman" w:cs="Times New Roman"/>
        </w:rPr>
        <w:t>@liverpool.ac.uk</w:t>
      </w:r>
      <w:proofErr w:type="spellEnd"/>
    </w:p>
    <w:p w:rsidR="00DE6041" w:rsidRPr="00BD7815" w:rsidRDefault="00DE6041" w:rsidP="00DE6041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DE6041" w:rsidRPr="00BD7815" w:rsidRDefault="00DE6041" w:rsidP="00DE6041">
      <w:pPr>
        <w:spacing w:after="0" w:line="360" w:lineRule="auto"/>
        <w:rPr>
          <w:rFonts w:ascii="Times New Roman" w:hAnsi="Times New Roman" w:cs="Times New Roman"/>
          <w:b/>
        </w:rPr>
      </w:pPr>
      <w:r w:rsidRPr="00BD7815">
        <w:rPr>
          <w:rFonts w:ascii="Times New Roman" w:hAnsi="Times New Roman" w:cs="Times New Roman"/>
          <w:b/>
        </w:rPr>
        <w:t>Word count:</w:t>
      </w:r>
    </w:p>
    <w:p w:rsidR="00DE6041" w:rsidRPr="00AC20CB" w:rsidRDefault="00DE6041" w:rsidP="00DE6041">
      <w:pPr>
        <w:spacing w:after="0" w:line="360" w:lineRule="auto"/>
        <w:rPr>
          <w:rFonts w:ascii="Times New Roman" w:hAnsi="Times New Roman" w:cs="Times New Roman"/>
        </w:rPr>
      </w:pPr>
      <w:r w:rsidRPr="00BD7815">
        <w:rPr>
          <w:rFonts w:ascii="Times New Roman" w:hAnsi="Times New Roman" w:cs="Times New Roman"/>
        </w:rPr>
        <w:tab/>
        <w:t>Abstract</w:t>
      </w:r>
      <w:r w:rsidRPr="00BD7815">
        <w:rPr>
          <w:rFonts w:ascii="Times New Roman" w:hAnsi="Times New Roman" w:cs="Times New Roman"/>
        </w:rPr>
        <w:tab/>
      </w:r>
      <w:r w:rsidR="00A23E2E">
        <w:rPr>
          <w:rFonts w:ascii="Times New Roman" w:hAnsi="Times New Roman" w:cs="Times New Roman"/>
        </w:rPr>
        <w:t>198</w:t>
      </w:r>
    </w:p>
    <w:p w:rsidR="00DE6041" w:rsidRPr="00AC20CB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C20CB">
        <w:rPr>
          <w:rFonts w:ascii="Times New Roman" w:hAnsi="Times New Roman" w:cs="Times New Roman"/>
        </w:rPr>
        <w:tab/>
        <w:t>Manuscript</w:t>
      </w:r>
      <w:r w:rsidRPr="00AC20CB">
        <w:rPr>
          <w:rFonts w:ascii="Times New Roman" w:hAnsi="Times New Roman" w:cs="Times New Roman"/>
        </w:rPr>
        <w:tab/>
      </w:r>
      <w:r w:rsidR="00CE7E5C">
        <w:rPr>
          <w:rFonts w:ascii="Times New Roman" w:hAnsi="Times New Roman" w:cs="Times New Roman"/>
        </w:rPr>
        <w:t>26</w:t>
      </w:r>
      <w:r w:rsidR="00CC22CA">
        <w:rPr>
          <w:rFonts w:ascii="Times New Roman" w:hAnsi="Times New Roman" w:cs="Times New Roman"/>
        </w:rPr>
        <w:t>85</w:t>
      </w:r>
    </w:p>
    <w:p w:rsidR="00DE6041" w:rsidRPr="00AC20CB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E6041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E6041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E6041" w:rsidRDefault="00DE6041" w:rsidP="00DE604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DE6041" w:rsidRPr="00E669EC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669EC">
        <w:rPr>
          <w:rFonts w:ascii="Times New Roman" w:hAnsi="Times New Roman" w:cs="Times New Roman"/>
          <w:b/>
          <w:sz w:val="28"/>
          <w:szCs w:val="24"/>
        </w:rPr>
        <w:t>Abstract</w:t>
      </w:r>
    </w:p>
    <w:p w:rsidR="00DE6041" w:rsidRDefault="00DE6041" w:rsidP="00DE60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1024D">
        <w:rPr>
          <w:rFonts w:ascii="Times New Roman" w:hAnsi="Times New Roman" w:cs="Times New Roman"/>
          <w:sz w:val="24"/>
          <w:szCs w:val="24"/>
        </w:rPr>
        <w:t xml:space="preserve">In light of the recent global pandemic, </w:t>
      </w:r>
      <w:r w:rsidRPr="00EC36AA">
        <w:rPr>
          <w:rFonts w:ascii="Times New Roman" w:hAnsi="Times New Roman" w:cs="Times New Roman"/>
          <w:sz w:val="24"/>
          <w:szCs w:val="24"/>
        </w:rPr>
        <w:t xml:space="preserve">Molnupiravir </w:t>
      </w:r>
      <w:r>
        <w:rPr>
          <w:rFonts w:ascii="Times New Roman" w:hAnsi="Times New Roman" w:cs="Times New Roman"/>
          <w:sz w:val="24"/>
          <w:szCs w:val="24"/>
        </w:rPr>
        <w:t xml:space="preserve">(MPV) or </w:t>
      </w:r>
      <w:r w:rsidRPr="0081024D">
        <w:rPr>
          <w:rFonts w:ascii="Times New Roman" w:hAnsi="Times New Roman" w:cs="Times New Roman"/>
          <w:sz w:val="24"/>
          <w:szCs w:val="24"/>
        </w:rPr>
        <w:t>EIDD-2801</w:t>
      </w:r>
      <w:r w:rsidR="009C293C">
        <w:rPr>
          <w:rFonts w:ascii="Times New Roman" w:hAnsi="Times New Roman" w:cs="Times New Roman"/>
          <w:sz w:val="24"/>
          <w:szCs w:val="24"/>
        </w:rPr>
        <w:t>,</w:t>
      </w:r>
      <w:r w:rsidRPr="0081024D">
        <w:rPr>
          <w:rFonts w:ascii="Times New Roman" w:hAnsi="Times New Roman" w:cs="Times New Roman"/>
          <w:sz w:val="24"/>
          <w:szCs w:val="24"/>
        </w:rPr>
        <w:t xml:space="preserve"> developed for the treatment of patients with uncomplicated influenza, is now being trialled for the treatment of infections caused by highly pathogenic coronaviruses, including COVID-19. </w:t>
      </w:r>
    </w:p>
    <w:p w:rsidR="00DE6041" w:rsidRDefault="00DE6041" w:rsidP="00DE60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69E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sensitive LC-MS/MS</w:t>
      </w:r>
      <w:r w:rsidRPr="00E669EC">
        <w:rPr>
          <w:rFonts w:ascii="Times New Roman" w:hAnsi="Times New Roman" w:cs="Times New Roman"/>
          <w:sz w:val="24"/>
          <w:szCs w:val="24"/>
        </w:rPr>
        <w:t xml:space="preserve"> method was developed and validated </w:t>
      </w:r>
      <w:r>
        <w:rPr>
          <w:rFonts w:ascii="Times New Roman" w:hAnsi="Times New Roman" w:cs="Times New Roman"/>
          <w:sz w:val="24"/>
          <w:szCs w:val="24"/>
        </w:rPr>
        <w:t>for the simultaneous quantification of MPV</w:t>
      </w:r>
      <w:r w:rsidRPr="00070CCE">
        <w:rPr>
          <w:rFonts w:ascii="Times New Roman" w:hAnsi="Times New Roman" w:cs="Times New Roman"/>
          <w:sz w:val="24"/>
          <w:szCs w:val="24"/>
        </w:rPr>
        <w:t xml:space="preserve"> and its metabolite ß-d-</w:t>
      </w:r>
      <w:bookmarkStart w:id="1" w:name="_Hlk72230122"/>
      <w:r w:rsidRPr="00070CCE">
        <w:rPr>
          <w:rFonts w:ascii="Times New Roman" w:hAnsi="Times New Roman" w:cs="Times New Roman"/>
          <w:sz w:val="24"/>
          <w:szCs w:val="24"/>
        </w:rPr>
        <w:t xml:space="preserve">N4-hydroxycytidine 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(NHC) </w:t>
      </w:r>
      <w:r w:rsidRPr="00E669EC">
        <w:rPr>
          <w:rFonts w:ascii="Times New Roman" w:hAnsi="Times New Roman" w:cs="Times New Roman"/>
          <w:sz w:val="24"/>
          <w:szCs w:val="24"/>
        </w:rPr>
        <w:t>in human plasma</w:t>
      </w:r>
      <w:r>
        <w:rPr>
          <w:rFonts w:ascii="Times New Roman" w:hAnsi="Times New Roman" w:cs="Times New Roman"/>
          <w:sz w:val="24"/>
          <w:szCs w:val="24"/>
        </w:rPr>
        <w:t xml:space="preserve"> and saliva</w:t>
      </w:r>
      <w:r w:rsidRPr="00E669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Extraction was by protein</w:t>
      </w:r>
      <w:r w:rsidRPr="00E669EC">
        <w:rPr>
          <w:rFonts w:ascii="Times New Roman" w:hAnsi="Times New Roman" w:cs="Times New Roman"/>
          <w:sz w:val="24"/>
          <w:szCs w:val="24"/>
        </w:rPr>
        <w:t xml:space="preserve"> precipitat</w:t>
      </w:r>
      <w:r>
        <w:rPr>
          <w:rFonts w:ascii="Times New Roman" w:hAnsi="Times New Roman" w:cs="Times New Roman"/>
          <w:sz w:val="24"/>
          <w:szCs w:val="24"/>
        </w:rPr>
        <w:t xml:space="preserve">ion </w:t>
      </w:r>
      <w:r w:rsidRPr="00E669EC">
        <w:rPr>
          <w:rFonts w:ascii="Times New Roman" w:hAnsi="Times New Roman" w:cs="Times New Roman"/>
          <w:sz w:val="24"/>
          <w:szCs w:val="24"/>
        </w:rPr>
        <w:t>with acetonitrile</w:t>
      </w:r>
      <w:r>
        <w:rPr>
          <w:rFonts w:ascii="Times New Roman" w:hAnsi="Times New Roman" w:cs="Times New Roman"/>
          <w:sz w:val="24"/>
          <w:szCs w:val="24"/>
        </w:rPr>
        <w:t xml:space="preserve">, followed by drying </w:t>
      </w:r>
      <w:r w:rsidRPr="00E669EC">
        <w:rPr>
          <w:rFonts w:ascii="Times New Roman" w:hAnsi="Times New Roman" w:cs="Times New Roman"/>
          <w:sz w:val="24"/>
          <w:szCs w:val="24"/>
        </w:rPr>
        <w:t>and inject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reconstituted solutions</w:t>
      </w:r>
      <w:r w:rsidRPr="00E669EC">
        <w:rPr>
          <w:rFonts w:ascii="Times New Roman" w:hAnsi="Times New Roman" w:cs="Times New Roman"/>
          <w:sz w:val="24"/>
          <w:szCs w:val="24"/>
        </w:rPr>
        <w:t xml:space="preserve"> onto the column.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A631E">
        <w:rPr>
          <w:rFonts w:ascii="Times New Roman" w:hAnsi="Times New Roman" w:cs="Times New Roman"/>
          <w:sz w:val="24"/>
          <w:szCs w:val="24"/>
        </w:rPr>
        <w:t>hromatograph</w:t>
      </w:r>
      <w:r>
        <w:rPr>
          <w:rFonts w:ascii="Times New Roman" w:hAnsi="Times New Roman" w:cs="Times New Roman"/>
          <w:sz w:val="24"/>
          <w:szCs w:val="24"/>
        </w:rPr>
        <w:t>ic</w:t>
      </w:r>
      <w:r w:rsidRPr="001A6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669EC">
        <w:rPr>
          <w:rFonts w:ascii="Times New Roman" w:hAnsi="Times New Roman" w:cs="Times New Roman"/>
          <w:sz w:val="24"/>
          <w:szCs w:val="24"/>
        </w:rPr>
        <w:t xml:space="preserve">eparation </w:t>
      </w:r>
      <w:r>
        <w:rPr>
          <w:rFonts w:ascii="Times New Roman" w:hAnsi="Times New Roman" w:cs="Times New Roman"/>
          <w:sz w:val="24"/>
          <w:szCs w:val="24"/>
        </w:rPr>
        <w:t>using</w:t>
      </w:r>
      <w:r w:rsidRPr="00E669EC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polar Atlantis</w:t>
      </w:r>
      <w:r w:rsidRPr="00E669EC">
        <w:rPr>
          <w:rFonts w:ascii="Times New Roman" w:hAnsi="Times New Roman" w:cs="Times New Roman"/>
          <w:sz w:val="24"/>
          <w:szCs w:val="24"/>
        </w:rPr>
        <w:t xml:space="preserve"> C</w:t>
      </w:r>
      <w:r w:rsidRPr="00570095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E669EC">
        <w:rPr>
          <w:rFonts w:ascii="Times New Roman" w:hAnsi="Times New Roman" w:cs="Times New Roman"/>
          <w:sz w:val="24"/>
          <w:szCs w:val="24"/>
        </w:rPr>
        <w:t xml:space="preserve"> column </w:t>
      </w:r>
      <w:r>
        <w:rPr>
          <w:rFonts w:ascii="Times New Roman" w:hAnsi="Times New Roman" w:cs="Times New Roman"/>
          <w:sz w:val="24"/>
          <w:szCs w:val="24"/>
        </w:rPr>
        <w:t>was via</w:t>
      </w:r>
      <w:r w:rsidRPr="00E669EC">
        <w:rPr>
          <w:rFonts w:ascii="Times New Roman" w:hAnsi="Times New Roman" w:cs="Times New Roman"/>
          <w:sz w:val="24"/>
          <w:szCs w:val="24"/>
        </w:rPr>
        <w:t xml:space="preserve"> gradient elution of </w:t>
      </w:r>
      <w:r>
        <w:rPr>
          <w:rFonts w:ascii="Times New Roman" w:hAnsi="Times New Roman" w:cs="Times New Roman"/>
          <w:sz w:val="24"/>
          <w:szCs w:val="24"/>
        </w:rPr>
        <w:t>1mM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Ammonium acetate</w:t>
      </w:r>
      <w:r w:rsidRPr="00E669EC">
        <w:rPr>
          <w:rFonts w:ascii="Times New Roman" w:hAnsi="Times New Roman" w:cs="Times New Roman"/>
          <w:sz w:val="24"/>
          <w:szCs w:val="24"/>
        </w:rPr>
        <w:t xml:space="preserve"> in water </w:t>
      </w:r>
      <w:r>
        <w:rPr>
          <w:rFonts w:ascii="Times New Roman" w:hAnsi="Times New Roman" w:cs="Times New Roman"/>
          <w:sz w:val="24"/>
          <w:szCs w:val="24"/>
        </w:rPr>
        <w:t xml:space="preserve">pH4.3 </w:t>
      </w:r>
      <w:r w:rsidRPr="00E669EC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1mM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Ammonium acetate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E669EC">
        <w:rPr>
          <w:rFonts w:ascii="Times New Roman" w:hAnsi="Times New Roman" w:cs="Times New Roman"/>
          <w:sz w:val="24"/>
          <w:szCs w:val="24"/>
        </w:rPr>
        <w:t xml:space="preserve">acetonitrile. </w:t>
      </w:r>
    </w:p>
    <w:p w:rsidR="00DE6041" w:rsidRPr="00E669EC" w:rsidRDefault="00DE6041" w:rsidP="00DE60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Analyte</w:t>
      </w:r>
      <w:r w:rsidRPr="00E669EC">
        <w:rPr>
          <w:rFonts w:ascii="Times New Roman" w:hAnsi="Times New Roman" w:cs="Times New Roman"/>
          <w:sz w:val="24"/>
          <w:szCs w:val="24"/>
        </w:rPr>
        <w:t xml:space="preserve"> detection was </w:t>
      </w:r>
      <w:r>
        <w:rPr>
          <w:rFonts w:ascii="Times New Roman" w:hAnsi="Times New Roman" w:cs="Times New Roman"/>
          <w:sz w:val="24"/>
          <w:szCs w:val="24"/>
        </w:rPr>
        <w:t>conducted</w:t>
      </w:r>
      <w:r w:rsidRPr="00E669EC"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sz w:val="24"/>
          <w:szCs w:val="24"/>
        </w:rPr>
        <w:t>nega</w:t>
      </w:r>
      <w:r w:rsidRPr="00E669EC">
        <w:rPr>
          <w:rFonts w:ascii="Times New Roman" w:hAnsi="Times New Roman" w:cs="Times New Roman"/>
          <w:sz w:val="24"/>
          <w:szCs w:val="24"/>
        </w:rPr>
        <w:t xml:space="preserve">tive ion mode </w:t>
      </w:r>
      <w:r>
        <w:rPr>
          <w:rFonts w:ascii="Times New Roman" w:hAnsi="Times New Roman" w:cs="Times New Roman"/>
          <w:sz w:val="24"/>
          <w:szCs w:val="24"/>
        </w:rPr>
        <w:t>us</w:t>
      </w:r>
      <w:r w:rsidRPr="00E669E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669EC">
        <w:rPr>
          <w:rFonts w:ascii="Times New Roman" w:hAnsi="Times New Roman" w:cs="Times New Roman"/>
          <w:sz w:val="24"/>
          <w:szCs w:val="24"/>
        </w:rPr>
        <w:t xml:space="preserve"> SRM.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Analysis was conducted using stable isotopically labelled (SIL) internal standards (IS). </w:t>
      </w:r>
      <w:r w:rsidRPr="00E669EC">
        <w:rPr>
          <w:rFonts w:ascii="Times New Roman" w:hAnsi="Times New Roman" w:cs="Times New Roman"/>
          <w:bCs/>
          <w:sz w:val="24"/>
          <w:szCs w:val="24"/>
        </w:rPr>
        <w:t>The m/z transitions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 were: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MPV</w:t>
      </w:r>
      <w:r w:rsidRPr="001A631E">
        <w:rPr>
          <w:rFonts w:ascii="Times New Roman" w:hAnsi="Times New Roman" w:cs="Times New Roman"/>
          <w:bCs/>
          <w:sz w:val="24"/>
          <w:szCs w:val="24"/>
        </w:rPr>
        <w:t xml:space="preserve"> (328.1→126.0)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A63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NHC </w:t>
      </w:r>
      <w:r w:rsidRPr="001A631E">
        <w:rPr>
          <w:rFonts w:ascii="Times New Roman" w:hAnsi="Times New Roman" w:cs="Times New Roman"/>
          <w:bCs/>
          <w:sz w:val="24"/>
          <w:szCs w:val="24"/>
        </w:rPr>
        <w:t xml:space="preserve">(258.0→125.9) and </w:t>
      </w:r>
      <w:r>
        <w:rPr>
          <w:rFonts w:ascii="Times New Roman" w:hAnsi="Times New Roman" w:cs="Times New Roman"/>
          <w:bCs/>
          <w:sz w:val="24"/>
          <w:szCs w:val="24"/>
        </w:rPr>
        <w:t>MPV-</w:t>
      </w:r>
      <w:r w:rsidRPr="001A631E">
        <w:rPr>
          <w:rFonts w:ascii="Times New Roman" w:hAnsi="Times New Roman" w:cs="Times New Roman"/>
          <w:bCs/>
          <w:sz w:val="24"/>
          <w:szCs w:val="24"/>
        </w:rPr>
        <w:t>SIL (331.0→129.0)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1A631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NHC-</w:t>
      </w:r>
      <w:r w:rsidRPr="001A631E">
        <w:rPr>
          <w:rFonts w:ascii="Times New Roman" w:hAnsi="Times New Roman" w:cs="Times New Roman"/>
          <w:bCs/>
          <w:sz w:val="24"/>
          <w:szCs w:val="24"/>
        </w:rPr>
        <w:t xml:space="preserve">SIL (260.9→128.9).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Pr="00E30C52">
        <w:rPr>
          <w:rFonts w:ascii="Times New Roman" w:hAnsi="Times New Roman" w:cs="Times New Roman"/>
          <w:bCs/>
          <w:sz w:val="24"/>
          <w:szCs w:val="24"/>
        </w:rPr>
        <w:t>alidat</w:t>
      </w:r>
      <w:r>
        <w:rPr>
          <w:rFonts w:ascii="Times New Roman" w:hAnsi="Times New Roman" w:cs="Times New Roman"/>
          <w:bCs/>
          <w:sz w:val="24"/>
          <w:szCs w:val="24"/>
        </w:rPr>
        <w:t xml:space="preserve">ion was </w:t>
      </w:r>
      <w:r w:rsidRPr="00E30C52">
        <w:rPr>
          <w:rFonts w:ascii="Times New Roman" w:hAnsi="Times New Roman" w:cs="Times New Roman"/>
          <w:bCs/>
          <w:sz w:val="24"/>
          <w:szCs w:val="24"/>
        </w:rPr>
        <w:t>over a linear range</w:t>
      </w:r>
      <w:r w:rsidR="00E406B2">
        <w:rPr>
          <w:rFonts w:ascii="Times New Roman" w:hAnsi="Times New Roman" w:cs="Times New Roman"/>
          <w:bCs/>
          <w:sz w:val="24"/>
          <w:szCs w:val="24"/>
        </w:rPr>
        <w:t xml:space="preserve"> of</w:t>
      </w:r>
      <w:r>
        <w:rPr>
          <w:rFonts w:ascii="Times New Roman" w:hAnsi="Times New Roman" w:cs="Times New Roman"/>
          <w:bCs/>
          <w:sz w:val="24"/>
          <w:szCs w:val="24"/>
        </w:rPr>
        <w:t xml:space="preserve"> 2.5</w:t>
      </w:r>
      <w:r w:rsidRPr="00E669EC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E669EC">
        <w:rPr>
          <w:rFonts w:ascii="Times New Roman" w:hAnsi="Times New Roman" w:cs="Times New Roman"/>
          <w:bCs/>
          <w:sz w:val="24"/>
          <w:szCs w:val="24"/>
        </w:rPr>
        <w:t>000 ng/m</w:t>
      </w:r>
      <w:r>
        <w:rPr>
          <w:rFonts w:ascii="Times New Roman" w:hAnsi="Times New Roman" w:cs="Times New Roman"/>
          <w:bCs/>
          <w:sz w:val="24"/>
          <w:szCs w:val="24"/>
        </w:rPr>
        <w:t>l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>
        <w:rPr>
          <w:rFonts w:ascii="Times New Roman" w:hAnsi="Times New Roman" w:cs="Times New Roman"/>
          <w:bCs/>
          <w:sz w:val="24"/>
          <w:szCs w:val="24"/>
        </w:rPr>
        <w:t xml:space="preserve">both </w:t>
      </w:r>
      <w:r w:rsidRPr="00E669EC">
        <w:rPr>
          <w:rFonts w:ascii="Times New Roman" w:hAnsi="Times New Roman" w:cs="Times New Roman"/>
          <w:bCs/>
          <w:sz w:val="24"/>
          <w:szCs w:val="24"/>
        </w:rPr>
        <w:t>plasma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saliva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Across </w:t>
      </w:r>
      <w:r w:rsidRPr="00E669EC">
        <w:rPr>
          <w:rFonts w:ascii="Times New Roman" w:hAnsi="Times New Roman" w:cs="Times New Roman"/>
          <w:bCs/>
          <w:sz w:val="24"/>
          <w:szCs w:val="24"/>
        </w:rPr>
        <w:t>four different concentrations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precision and accuracy </w:t>
      </w:r>
      <w:r>
        <w:rPr>
          <w:rFonts w:ascii="Times New Roman" w:hAnsi="Times New Roman" w:cs="Times New Roman"/>
          <w:bCs/>
          <w:sz w:val="24"/>
          <w:szCs w:val="24"/>
        </w:rPr>
        <w:t>(</w:t>
      </w:r>
      <w:r w:rsidRPr="00E669EC">
        <w:rPr>
          <w:rFonts w:ascii="Times New Roman" w:hAnsi="Times New Roman" w:cs="Times New Roman"/>
          <w:bCs/>
          <w:sz w:val="24"/>
          <w:szCs w:val="24"/>
        </w:rPr>
        <w:t>intra</w:t>
      </w:r>
      <w:r w:rsidR="00E406B2">
        <w:rPr>
          <w:rFonts w:ascii="Times New Roman" w:hAnsi="Times New Roman" w:cs="Times New Roman"/>
          <w:bCs/>
          <w:sz w:val="24"/>
          <w:szCs w:val="24"/>
        </w:rPr>
        <w:t>-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 and inter</w:t>
      </w:r>
      <w:r w:rsidR="00E406B2">
        <w:rPr>
          <w:rFonts w:ascii="Times New Roman" w:hAnsi="Times New Roman" w:cs="Times New Roman"/>
          <w:bCs/>
          <w:sz w:val="24"/>
          <w:szCs w:val="24"/>
        </w:rPr>
        <w:t>-</w:t>
      </w:r>
      <w:r w:rsidRPr="00E669EC">
        <w:rPr>
          <w:rFonts w:ascii="Times New Roman" w:hAnsi="Times New Roman" w:cs="Times New Roman"/>
          <w:bCs/>
          <w:sz w:val="24"/>
          <w:szCs w:val="24"/>
        </w:rPr>
        <w:t>day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were </w:t>
      </w:r>
      <w:r>
        <w:rPr>
          <w:rFonts w:ascii="Times New Roman" w:hAnsi="Times New Roman" w:cs="Times New Roman"/>
          <w:bCs/>
          <w:sz w:val="24"/>
          <w:szCs w:val="24"/>
        </w:rPr>
        <w:t>&lt;</w:t>
      </w:r>
      <w:r w:rsidRPr="00E669EC">
        <w:rPr>
          <w:rFonts w:ascii="Times New Roman" w:hAnsi="Times New Roman" w:cs="Times New Roman"/>
          <w:bCs/>
          <w:sz w:val="24"/>
          <w:szCs w:val="24"/>
        </w:rPr>
        <w:t>15%</w:t>
      </w:r>
      <w:r>
        <w:rPr>
          <w:rFonts w:ascii="Times New Roman" w:hAnsi="Times New Roman" w:cs="Times New Roman"/>
          <w:bCs/>
          <w:sz w:val="24"/>
          <w:szCs w:val="24"/>
        </w:rPr>
        <w:t>; and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 recovery </w:t>
      </w:r>
      <w:r>
        <w:rPr>
          <w:rFonts w:ascii="Times New Roman" w:hAnsi="Times New Roman" w:cs="Times New Roman"/>
          <w:bCs/>
          <w:sz w:val="24"/>
          <w:szCs w:val="24"/>
        </w:rPr>
        <w:t xml:space="preserve">of both analytes 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from plasma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saliva </w:t>
      </w:r>
      <w:r w:rsidRPr="00E669EC">
        <w:rPr>
          <w:rFonts w:ascii="Times New Roman" w:hAnsi="Times New Roman" w:cs="Times New Roman"/>
          <w:bCs/>
          <w:sz w:val="24"/>
          <w:szCs w:val="24"/>
        </w:rPr>
        <w:t>was</w:t>
      </w:r>
      <w:r>
        <w:rPr>
          <w:rFonts w:ascii="Times New Roman" w:hAnsi="Times New Roman" w:cs="Times New Roman"/>
          <w:bCs/>
          <w:sz w:val="24"/>
          <w:szCs w:val="24"/>
        </w:rPr>
        <w:t xml:space="preserve"> between 95-10</w:t>
      </w:r>
      <w:r w:rsidRPr="00E669EC">
        <w:rPr>
          <w:rFonts w:ascii="Times New Roman" w:hAnsi="Times New Roman" w:cs="Times New Roman"/>
          <w:bCs/>
          <w:sz w:val="24"/>
          <w:szCs w:val="24"/>
        </w:rPr>
        <w:t>0%</w:t>
      </w:r>
      <w:r>
        <w:rPr>
          <w:rFonts w:ascii="Times New Roman" w:hAnsi="Times New Roman" w:cs="Times New Roman"/>
          <w:bCs/>
          <w:sz w:val="24"/>
          <w:szCs w:val="24"/>
        </w:rPr>
        <w:t xml:space="preserve"> and 65-86</w:t>
      </w:r>
      <w:r w:rsidRPr="00E669EC">
        <w:rPr>
          <w:rFonts w:ascii="Times New Roman" w:hAnsi="Times New Roman" w:cs="Times New Roman"/>
          <w:bCs/>
          <w:sz w:val="24"/>
          <w:szCs w:val="24"/>
        </w:rPr>
        <w:t>%</w:t>
      </w:r>
      <w:r>
        <w:rPr>
          <w:rFonts w:ascii="Times New Roman" w:hAnsi="Times New Roman" w:cs="Times New Roman"/>
          <w:bCs/>
          <w:sz w:val="24"/>
          <w:szCs w:val="24"/>
        </w:rPr>
        <w:t xml:space="preserve"> respectively</w:t>
      </w:r>
      <w:r w:rsidRPr="00E669E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75FC">
        <w:rPr>
          <w:rFonts w:ascii="Times New Roman" w:hAnsi="Times New Roman" w:cs="Times New Roman"/>
          <w:bCs/>
          <w:sz w:val="24"/>
          <w:szCs w:val="24"/>
        </w:rPr>
        <w:t>Clinical pharmacokinetic s</w:t>
      </w:r>
      <w:r>
        <w:rPr>
          <w:rFonts w:ascii="Times New Roman" w:hAnsi="Times New Roman" w:cs="Times New Roman"/>
          <w:bCs/>
          <w:sz w:val="24"/>
          <w:szCs w:val="24"/>
        </w:rPr>
        <w:t>tudies are underway utilising this method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C575FC">
        <w:rPr>
          <w:rFonts w:ascii="Times New Roman" w:hAnsi="Times New Roman" w:cs="Times New Roman"/>
          <w:bCs/>
          <w:sz w:val="24"/>
          <w:szCs w:val="24"/>
        </w:rPr>
        <w:t xml:space="preserve">determination of MPV and its metabolite in patients with COVID-19 </w:t>
      </w:r>
      <w:r w:rsidR="004A0627">
        <w:rPr>
          <w:rFonts w:ascii="Times New Roman" w:hAnsi="Times New Roman" w:cs="Times New Roman"/>
          <w:bCs/>
          <w:sz w:val="24"/>
          <w:szCs w:val="24"/>
        </w:rPr>
        <w:t>infection</w:t>
      </w:r>
      <w:r w:rsidR="00C575FC">
        <w:rPr>
          <w:rFonts w:ascii="Times New Roman" w:hAnsi="Times New Roman" w:cs="Times New Roman"/>
          <w:bCs/>
          <w:sz w:val="24"/>
          <w:szCs w:val="24"/>
        </w:rPr>
        <w:t>.</w:t>
      </w:r>
    </w:p>
    <w:p w:rsidR="00DE6041" w:rsidRPr="00E669EC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E6041" w:rsidRPr="00E669EC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E6041" w:rsidRPr="00E669EC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E6041" w:rsidRPr="00E669EC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E6041" w:rsidRPr="00E669EC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E6041" w:rsidRPr="00E669EC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E6041" w:rsidRPr="00E669EC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E6041" w:rsidRPr="00E669EC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9EC">
        <w:rPr>
          <w:rFonts w:ascii="Times New Roman" w:hAnsi="Times New Roman" w:cs="Times New Roman"/>
          <w:b/>
          <w:sz w:val="24"/>
          <w:szCs w:val="24"/>
        </w:rPr>
        <w:t xml:space="preserve">Keywords: </w:t>
      </w:r>
      <w:r w:rsidRPr="00337113">
        <w:rPr>
          <w:rFonts w:ascii="Times New Roman" w:hAnsi="Times New Roman" w:cs="Times New Roman"/>
          <w:b/>
          <w:sz w:val="24"/>
          <w:szCs w:val="24"/>
        </w:rPr>
        <w:t>Antiviral therapy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337113">
        <w:rPr>
          <w:rFonts w:ascii="Times New Roman" w:hAnsi="Times New Roman" w:cs="Times New Roman"/>
          <w:b/>
          <w:sz w:val="24"/>
          <w:szCs w:val="24"/>
        </w:rPr>
        <w:t xml:space="preserve"> Coronavirus</w:t>
      </w:r>
      <w:r w:rsidRPr="00E669EC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Molnupiravir, </w:t>
      </w:r>
      <w:r w:rsidR="004A0627" w:rsidRPr="004A0627">
        <w:rPr>
          <w:rFonts w:ascii="Times New Roman" w:hAnsi="Times New Roman" w:cs="Times New Roman"/>
          <w:b/>
          <w:sz w:val="24"/>
          <w:szCs w:val="24"/>
        </w:rPr>
        <w:t>N4-hydroxycytidine</w:t>
      </w:r>
      <w:r w:rsidR="004A0627">
        <w:rPr>
          <w:rFonts w:ascii="Times New Roman" w:hAnsi="Times New Roman" w:cs="Times New Roman"/>
          <w:b/>
          <w:sz w:val="24"/>
          <w:szCs w:val="24"/>
        </w:rPr>
        <w:t>,</w:t>
      </w:r>
      <w:r w:rsidR="004A0627" w:rsidRPr="004A06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b/>
          <w:sz w:val="24"/>
          <w:szCs w:val="24"/>
        </w:rPr>
        <w:t>LC-MS/MS, Plasma</w:t>
      </w:r>
      <w:r>
        <w:rPr>
          <w:rFonts w:ascii="Times New Roman" w:hAnsi="Times New Roman" w:cs="Times New Roman"/>
          <w:b/>
          <w:sz w:val="24"/>
          <w:szCs w:val="24"/>
        </w:rPr>
        <w:t>, Saliva</w:t>
      </w:r>
    </w:p>
    <w:p w:rsidR="00DE6041" w:rsidRPr="00E669EC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E6041" w:rsidRPr="00E669EC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E6041" w:rsidRDefault="00DE6041" w:rsidP="00DE6041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DE6041" w:rsidRPr="00000DA0" w:rsidRDefault="00DE6041" w:rsidP="00000DA0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00DA0">
        <w:rPr>
          <w:rFonts w:ascii="Times New Roman" w:hAnsi="Times New Roman" w:cs="Times New Roman"/>
          <w:b/>
          <w:sz w:val="28"/>
          <w:szCs w:val="24"/>
        </w:rPr>
        <w:t>Introduction</w:t>
      </w:r>
    </w:p>
    <w:p w:rsidR="00DE6041" w:rsidRDefault="00DE6041" w:rsidP="00DE604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156">
        <w:rPr>
          <w:rFonts w:ascii="Times New Roman" w:hAnsi="Times New Roman" w:cs="Times New Roman"/>
          <w:bCs/>
          <w:sz w:val="24"/>
          <w:szCs w:val="24"/>
        </w:rPr>
        <w:t xml:space="preserve">Emerging coronaviruses (CoVs) from animal reservoirs are causing severe and lethal disease in humans, currently with limited antivirals to treat these infections. </w:t>
      </w:r>
      <w:r>
        <w:rPr>
          <w:rFonts w:ascii="Times New Roman" w:hAnsi="Times New Roman" w:cs="Times New Roman"/>
          <w:bCs/>
          <w:sz w:val="24"/>
          <w:szCs w:val="24"/>
        </w:rPr>
        <w:t xml:space="preserve">This results </w:t>
      </w:r>
      <w:r w:rsidRPr="00CF1837">
        <w:rPr>
          <w:rFonts w:ascii="Times New Roman" w:hAnsi="Times New Roman" w:cs="Times New Roman"/>
          <w:bCs/>
          <w:sz w:val="24"/>
          <w:szCs w:val="24"/>
        </w:rPr>
        <w:t xml:space="preserve">in novel disease outbreaks, exemplified </w:t>
      </w:r>
      <w:r>
        <w:rPr>
          <w:rFonts w:ascii="Times New Roman" w:hAnsi="Times New Roman" w:cs="Times New Roman"/>
          <w:bCs/>
          <w:sz w:val="24"/>
          <w:szCs w:val="24"/>
        </w:rPr>
        <w:t xml:space="preserve">recently </w:t>
      </w:r>
      <w:r w:rsidRPr="00CF1837">
        <w:rPr>
          <w:rFonts w:ascii="Times New Roman" w:hAnsi="Times New Roman" w:cs="Times New Roman"/>
          <w:bCs/>
          <w:sz w:val="24"/>
          <w:szCs w:val="24"/>
        </w:rPr>
        <w:t xml:space="preserve">by the newly emerged SARS-CoV-2, the causative agent of COVID-19. </w:t>
      </w:r>
    </w:p>
    <w:p w:rsidR="00DE6041" w:rsidRPr="00BD4156" w:rsidRDefault="00DE6041" w:rsidP="00DE604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156">
        <w:rPr>
          <w:rFonts w:ascii="Times New Roman" w:hAnsi="Times New Roman" w:cs="Times New Roman"/>
          <w:bCs/>
          <w:sz w:val="24"/>
          <w:szCs w:val="24"/>
        </w:rPr>
        <w:t xml:space="preserve">Nucleoside analogues which mimic naturally occurring nucleosides have been used to inhibit viral replication. Some of these compounds have been quite successful </w:t>
      </w:r>
      <w:r w:rsidR="00E406B2">
        <w:rPr>
          <w:rFonts w:ascii="Times New Roman" w:hAnsi="Times New Roman" w:cs="Times New Roman"/>
          <w:bCs/>
          <w:sz w:val="24"/>
          <w:szCs w:val="24"/>
        </w:rPr>
        <w:t>in</w:t>
      </w:r>
      <w:r w:rsidRPr="00BD4156">
        <w:rPr>
          <w:rFonts w:ascii="Times New Roman" w:hAnsi="Times New Roman" w:cs="Times New Roman"/>
          <w:bCs/>
          <w:sz w:val="24"/>
          <w:szCs w:val="24"/>
        </w:rPr>
        <w:t xml:space="preserve"> the treatment of several viral infections. Yet others, including mutagenic nucleoside analogues, such as 5-fluorouracil and ribavirin, have failed to inhibit CoVs, possibly due to the proofreading activity of the viral 3'-5' exoribonuclease (ExoN)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noProof/>
          <w:sz w:val="24"/>
          <w:szCs w:val="24"/>
        </w:rPr>
        <w:t>[1]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DE6041" w:rsidRDefault="004E05FC" w:rsidP="00DE604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5FC">
        <w:rPr>
          <w:rFonts w:ascii="Times New Roman" w:hAnsi="Times New Roman" w:cs="Times New Roman"/>
          <w:bCs/>
          <w:sz w:val="24"/>
          <w:szCs w:val="24"/>
        </w:rPr>
        <w:t>Molnupiravir (MPV), also known</w:t>
      </w:r>
      <w:r>
        <w:rPr>
          <w:rFonts w:ascii="Times New Roman" w:hAnsi="Times New Roman" w:cs="Times New Roman"/>
          <w:bCs/>
          <w:sz w:val="24"/>
          <w:szCs w:val="24"/>
        </w:rPr>
        <w:t xml:space="preserve"> as</w:t>
      </w:r>
      <w:r w:rsidRPr="004E05FC">
        <w:rPr>
          <w:rFonts w:ascii="Times New Roman" w:hAnsi="Times New Roman" w:cs="Times New Roman"/>
          <w:bCs/>
          <w:sz w:val="24"/>
          <w:szCs w:val="24"/>
        </w:rPr>
        <w:t xml:space="preserve"> EIDD-2801/ MK-4482, is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041" w:rsidRPr="00BD4156"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="00DE6041" w:rsidRPr="00047315">
        <w:rPr>
          <w:rFonts w:ascii="Times New Roman" w:hAnsi="Times New Roman" w:cs="Times New Roman"/>
          <w:bCs/>
          <w:sz w:val="24"/>
          <w:szCs w:val="24"/>
        </w:rPr>
        <w:t xml:space="preserve">orally bioavailable </w:t>
      </w:r>
      <w:r w:rsidR="00DE6041" w:rsidRPr="00BD4156">
        <w:rPr>
          <w:rFonts w:ascii="Times New Roman" w:hAnsi="Times New Roman" w:cs="Times New Roman"/>
          <w:bCs/>
          <w:sz w:val="24"/>
          <w:szCs w:val="24"/>
        </w:rPr>
        <w:t>isopropylester prodrug of the ribonucleoside analog</w:t>
      </w:r>
      <w:r w:rsidR="00A62217">
        <w:rPr>
          <w:rFonts w:ascii="Times New Roman" w:hAnsi="Times New Roman" w:cs="Times New Roman"/>
          <w:bCs/>
          <w:sz w:val="24"/>
          <w:szCs w:val="24"/>
        </w:rPr>
        <w:t>ue</w:t>
      </w:r>
      <w:r w:rsidR="00DE6041" w:rsidRPr="00BD4156">
        <w:rPr>
          <w:rFonts w:ascii="Times New Roman" w:hAnsi="Times New Roman" w:cs="Times New Roman"/>
          <w:bCs/>
          <w:sz w:val="24"/>
          <w:szCs w:val="24"/>
        </w:rPr>
        <w:t xml:space="preserve"> β-d-N 4-Hydroxycytidine (NHC</w:t>
      </w:r>
      <w:r>
        <w:rPr>
          <w:rFonts w:ascii="Times New Roman" w:hAnsi="Times New Roman" w:cs="Times New Roman"/>
          <w:bCs/>
          <w:sz w:val="24"/>
          <w:szCs w:val="24"/>
        </w:rPr>
        <w:t xml:space="preserve"> also known as </w:t>
      </w:r>
      <w:r w:rsidR="00DE6041">
        <w:rPr>
          <w:rFonts w:ascii="Times New Roman" w:hAnsi="Times New Roman" w:cs="Times New Roman"/>
          <w:bCs/>
          <w:sz w:val="24"/>
          <w:szCs w:val="24"/>
        </w:rPr>
        <w:t>EI</w:t>
      </w:r>
      <w:r w:rsidR="00DE6041" w:rsidRPr="00BD4156">
        <w:rPr>
          <w:rFonts w:ascii="Times New Roman" w:hAnsi="Times New Roman" w:cs="Times New Roman"/>
          <w:bCs/>
          <w:sz w:val="24"/>
          <w:szCs w:val="24"/>
        </w:rPr>
        <w:t xml:space="preserve">DD-1931) </w:t>
      </w:r>
      <w:r>
        <w:rPr>
          <w:rFonts w:ascii="Times New Roman" w:hAnsi="Times New Roman" w:cs="Times New Roman"/>
          <w:bCs/>
          <w:sz w:val="24"/>
          <w:szCs w:val="24"/>
        </w:rPr>
        <w:t>which exhibits</w:t>
      </w:r>
      <w:r w:rsidR="00DE6041" w:rsidRPr="00BD415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antiviral</w:t>
      </w:r>
      <w:r w:rsidR="00DE6041" w:rsidRPr="00BD4156">
        <w:rPr>
          <w:rFonts w:ascii="Times New Roman" w:hAnsi="Times New Roman" w:cs="Times New Roman"/>
          <w:bCs/>
          <w:sz w:val="24"/>
          <w:szCs w:val="24"/>
        </w:rPr>
        <w:t xml:space="preserve"> activity </w:t>
      </w:r>
      <w:r w:rsidR="00A4444B">
        <w:rPr>
          <w:rFonts w:ascii="Times New Roman" w:hAnsi="Times New Roman" w:cs="Times New Roman"/>
          <w:bCs/>
          <w:sz w:val="24"/>
          <w:szCs w:val="24"/>
        </w:rPr>
        <w:t xml:space="preserve">against several RNA </w:t>
      </w:r>
      <w:r w:rsidR="00DE6041" w:rsidRPr="00BD4156">
        <w:rPr>
          <w:rFonts w:ascii="Times New Roman" w:hAnsi="Times New Roman" w:cs="Times New Roman"/>
          <w:bCs/>
          <w:sz w:val="24"/>
          <w:szCs w:val="24"/>
        </w:rPr>
        <w:t xml:space="preserve">viruses. Pharmacokinetic (PK) profiling indicated that </w:t>
      </w:r>
      <w:r w:rsidR="00DE6041">
        <w:rPr>
          <w:rFonts w:ascii="Times New Roman" w:hAnsi="Times New Roman" w:cs="Times New Roman"/>
          <w:bCs/>
          <w:sz w:val="24"/>
          <w:szCs w:val="24"/>
        </w:rPr>
        <w:t>MPV</w:t>
      </w:r>
      <w:r w:rsidR="00DE6041" w:rsidRPr="00BD41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444B">
        <w:rPr>
          <w:rFonts w:ascii="Times New Roman" w:hAnsi="Times New Roman" w:cs="Times New Roman"/>
          <w:bCs/>
          <w:sz w:val="24"/>
          <w:szCs w:val="24"/>
        </w:rPr>
        <w:t>i</w:t>
      </w:r>
      <w:r w:rsidR="00DE6041" w:rsidRPr="00BD4156">
        <w:rPr>
          <w:rFonts w:ascii="Times New Roman" w:hAnsi="Times New Roman" w:cs="Times New Roman"/>
          <w:bCs/>
          <w:sz w:val="24"/>
          <w:szCs w:val="24"/>
        </w:rPr>
        <w:t>s orally bioavailable in ferrets and nonhuman primates</w:t>
      </w:r>
      <w:r w:rsidR="00DE6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041">
        <w:rPr>
          <w:rFonts w:ascii="Times New Roman" w:hAnsi="Times New Roman" w:cs="Times New Roman"/>
          <w:bCs/>
          <w:noProof/>
          <w:sz w:val="24"/>
          <w:szCs w:val="24"/>
        </w:rPr>
        <w:t>[2]</w:t>
      </w:r>
      <w:r w:rsidR="00A4444B">
        <w:rPr>
          <w:rFonts w:ascii="Times New Roman" w:hAnsi="Times New Roman" w:cs="Times New Roman"/>
          <w:bCs/>
          <w:noProof/>
          <w:sz w:val="24"/>
          <w:szCs w:val="24"/>
        </w:rPr>
        <w:t xml:space="preserve">, with its active metabolite </w:t>
      </w:r>
      <w:r w:rsidR="00DE6041">
        <w:rPr>
          <w:rFonts w:ascii="Times New Roman" w:hAnsi="Times New Roman" w:cs="Times New Roman"/>
          <w:bCs/>
          <w:sz w:val="24"/>
          <w:szCs w:val="24"/>
        </w:rPr>
        <w:t>NHC</w:t>
      </w:r>
      <w:r w:rsidR="00A4444B">
        <w:rPr>
          <w:rFonts w:ascii="Times New Roman" w:hAnsi="Times New Roman" w:cs="Times New Roman"/>
          <w:bCs/>
          <w:sz w:val="24"/>
          <w:szCs w:val="24"/>
        </w:rPr>
        <w:t>,</w:t>
      </w:r>
      <w:r w:rsidR="00DE6041" w:rsidRPr="000473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041">
        <w:rPr>
          <w:rFonts w:ascii="Times New Roman" w:hAnsi="Times New Roman" w:cs="Times New Roman"/>
          <w:bCs/>
          <w:sz w:val="24"/>
          <w:szCs w:val="24"/>
        </w:rPr>
        <w:t>demonstrat</w:t>
      </w:r>
      <w:r w:rsidR="00A4444B">
        <w:rPr>
          <w:rFonts w:ascii="Times New Roman" w:hAnsi="Times New Roman" w:cs="Times New Roman"/>
          <w:bCs/>
          <w:sz w:val="24"/>
          <w:szCs w:val="24"/>
        </w:rPr>
        <w:t xml:space="preserve">ing </w:t>
      </w:r>
      <w:r w:rsidR="00DE6041" w:rsidRPr="00047315">
        <w:rPr>
          <w:rFonts w:ascii="Times New Roman" w:hAnsi="Times New Roman" w:cs="Times New Roman"/>
          <w:bCs/>
          <w:sz w:val="24"/>
          <w:szCs w:val="24"/>
        </w:rPr>
        <w:t>broad-spectrum antiviral activity against SARS-CoV-2, MERS-CoV, SARS-CoV, and related zoonotic group 2b or 2c bat-CoVs</w:t>
      </w:r>
      <w:r w:rsidR="00DE6041">
        <w:rPr>
          <w:rFonts w:ascii="Times New Roman" w:hAnsi="Times New Roman" w:cs="Times New Roman"/>
          <w:bCs/>
          <w:sz w:val="24"/>
          <w:szCs w:val="24"/>
        </w:rPr>
        <w:t>. It also showed</w:t>
      </w:r>
      <w:r w:rsidR="00DE6041" w:rsidRPr="00047315">
        <w:rPr>
          <w:rFonts w:ascii="Times New Roman" w:hAnsi="Times New Roman" w:cs="Times New Roman"/>
          <w:bCs/>
          <w:sz w:val="24"/>
          <w:szCs w:val="24"/>
        </w:rPr>
        <w:t xml:space="preserve"> increased potency against a CoV bearing resistance mutations to the nucleoside analog</w:t>
      </w:r>
      <w:r w:rsidR="005D0864">
        <w:rPr>
          <w:rFonts w:ascii="Times New Roman" w:hAnsi="Times New Roman" w:cs="Times New Roman"/>
          <w:bCs/>
          <w:sz w:val="24"/>
          <w:szCs w:val="24"/>
        </w:rPr>
        <w:t>ue</w:t>
      </w:r>
      <w:r w:rsidR="00DE6041" w:rsidRPr="00047315">
        <w:rPr>
          <w:rFonts w:ascii="Times New Roman" w:hAnsi="Times New Roman" w:cs="Times New Roman"/>
          <w:bCs/>
          <w:sz w:val="24"/>
          <w:szCs w:val="24"/>
        </w:rPr>
        <w:t xml:space="preserve"> inhibitor </w:t>
      </w:r>
      <w:r w:rsidR="00DE6041">
        <w:rPr>
          <w:rFonts w:ascii="Times New Roman" w:hAnsi="Times New Roman" w:cs="Times New Roman"/>
          <w:bCs/>
          <w:sz w:val="24"/>
          <w:szCs w:val="24"/>
        </w:rPr>
        <w:t>R</w:t>
      </w:r>
      <w:r w:rsidR="00DE6041" w:rsidRPr="00047315">
        <w:rPr>
          <w:rFonts w:ascii="Times New Roman" w:hAnsi="Times New Roman" w:cs="Times New Roman"/>
          <w:bCs/>
          <w:sz w:val="24"/>
          <w:szCs w:val="24"/>
        </w:rPr>
        <w:t>emdesivir</w:t>
      </w:r>
      <w:r w:rsidR="00DE6041">
        <w:rPr>
          <w:rFonts w:ascii="Times New Roman" w:hAnsi="Times New Roman" w:cs="Times New Roman"/>
          <w:bCs/>
          <w:sz w:val="24"/>
          <w:szCs w:val="24"/>
        </w:rPr>
        <w:t>. P</w:t>
      </w:r>
      <w:r w:rsidR="00DE6041" w:rsidRPr="00047315">
        <w:rPr>
          <w:rFonts w:ascii="Times New Roman" w:hAnsi="Times New Roman" w:cs="Times New Roman"/>
          <w:bCs/>
          <w:sz w:val="24"/>
          <w:szCs w:val="24"/>
        </w:rPr>
        <w:t xml:space="preserve">rophylactic and therapeutic administration of </w:t>
      </w:r>
      <w:r w:rsidR="00DE6041">
        <w:rPr>
          <w:rFonts w:ascii="Times New Roman" w:hAnsi="Times New Roman" w:cs="Times New Roman"/>
          <w:bCs/>
          <w:sz w:val="24"/>
          <w:szCs w:val="24"/>
        </w:rPr>
        <w:t>MPV</w:t>
      </w:r>
      <w:r w:rsidR="00DE6041" w:rsidRPr="0004731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E6041">
        <w:rPr>
          <w:rFonts w:ascii="Times New Roman" w:hAnsi="Times New Roman" w:cs="Times New Roman"/>
          <w:bCs/>
          <w:sz w:val="24"/>
          <w:szCs w:val="24"/>
        </w:rPr>
        <w:t>in m</w:t>
      </w:r>
      <w:r w:rsidR="00DE6041" w:rsidRPr="00047315">
        <w:rPr>
          <w:rFonts w:ascii="Times New Roman" w:hAnsi="Times New Roman" w:cs="Times New Roman"/>
          <w:bCs/>
          <w:sz w:val="24"/>
          <w:szCs w:val="24"/>
        </w:rPr>
        <w:t>ice</w:t>
      </w:r>
      <w:r w:rsidR="00DE6041">
        <w:rPr>
          <w:rFonts w:ascii="Times New Roman" w:hAnsi="Times New Roman" w:cs="Times New Roman"/>
          <w:bCs/>
          <w:sz w:val="24"/>
          <w:szCs w:val="24"/>
        </w:rPr>
        <w:t xml:space="preserve"> models of</w:t>
      </w:r>
      <w:r w:rsidR="00DE6041" w:rsidRPr="00047315">
        <w:rPr>
          <w:rFonts w:ascii="Times New Roman" w:hAnsi="Times New Roman" w:cs="Times New Roman"/>
          <w:bCs/>
          <w:sz w:val="24"/>
          <w:szCs w:val="24"/>
        </w:rPr>
        <w:t xml:space="preserve"> infect</w:t>
      </w:r>
      <w:r w:rsidR="00DE6041">
        <w:rPr>
          <w:rFonts w:ascii="Times New Roman" w:hAnsi="Times New Roman" w:cs="Times New Roman"/>
          <w:bCs/>
          <w:sz w:val="24"/>
          <w:szCs w:val="24"/>
        </w:rPr>
        <w:t>ion</w:t>
      </w:r>
      <w:r w:rsidR="00DE6041" w:rsidRPr="00047315">
        <w:rPr>
          <w:rFonts w:ascii="Times New Roman" w:hAnsi="Times New Roman" w:cs="Times New Roman"/>
          <w:bCs/>
          <w:sz w:val="24"/>
          <w:szCs w:val="24"/>
        </w:rPr>
        <w:t xml:space="preserve"> with SARS-CoV or MERS-CoV,</w:t>
      </w:r>
      <w:r w:rsidR="00DE6041">
        <w:rPr>
          <w:rFonts w:ascii="Times New Roman" w:hAnsi="Times New Roman" w:cs="Times New Roman"/>
          <w:bCs/>
          <w:sz w:val="24"/>
          <w:szCs w:val="24"/>
        </w:rPr>
        <w:t xml:space="preserve"> showed significantly</w:t>
      </w:r>
      <w:r w:rsidR="00DE6041" w:rsidRPr="00047315">
        <w:rPr>
          <w:rFonts w:ascii="Times New Roman" w:hAnsi="Times New Roman" w:cs="Times New Roman"/>
          <w:bCs/>
          <w:sz w:val="24"/>
          <w:szCs w:val="24"/>
        </w:rPr>
        <w:t xml:space="preserve"> improved pulmonary function and reduced virus titr</w:t>
      </w:r>
      <w:r w:rsidR="00DE6041">
        <w:rPr>
          <w:rFonts w:ascii="Times New Roman" w:hAnsi="Times New Roman" w:cs="Times New Roman"/>
          <w:bCs/>
          <w:sz w:val="24"/>
          <w:szCs w:val="24"/>
        </w:rPr>
        <w:t>e</w:t>
      </w:r>
      <w:r w:rsidR="00DE6041" w:rsidRPr="00047315">
        <w:rPr>
          <w:rFonts w:ascii="Times New Roman" w:hAnsi="Times New Roman" w:cs="Times New Roman"/>
          <w:bCs/>
          <w:sz w:val="24"/>
          <w:szCs w:val="24"/>
        </w:rPr>
        <w:t xml:space="preserve"> and body weight loss</w:t>
      </w:r>
      <w:r w:rsidR="00DE6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6041">
        <w:rPr>
          <w:rFonts w:ascii="Times New Roman" w:hAnsi="Times New Roman" w:cs="Times New Roman"/>
          <w:bCs/>
          <w:noProof/>
          <w:sz w:val="24"/>
          <w:szCs w:val="24"/>
        </w:rPr>
        <w:t>[3]</w:t>
      </w:r>
      <w:r w:rsidR="00DE6041" w:rsidRPr="00047315">
        <w:rPr>
          <w:rFonts w:ascii="Times New Roman" w:hAnsi="Times New Roman" w:cs="Times New Roman"/>
          <w:bCs/>
          <w:sz w:val="24"/>
          <w:szCs w:val="24"/>
        </w:rPr>
        <w:t>.</w:t>
      </w:r>
    </w:p>
    <w:p w:rsidR="00DE6041" w:rsidRPr="00BD4156" w:rsidRDefault="00DE6041" w:rsidP="00DE6041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3BD9">
        <w:rPr>
          <w:rFonts w:ascii="Times New Roman" w:hAnsi="Times New Roman" w:cs="Times New Roman"/>
          <w:bCs/>
          <w:sz w:val="24"/>
          <w:szCs w:val="24"/>
        </w:rPr>
        <w:t xml:space="preserve">Following oral administration of </w:t>
      </w:r>
      <w:r>
        <w:rPr>
          <w:rFonts w:ascii="Times New Roman" w:hAnsi="Times New Roman" w:cs="Times New Roman"/>
          <w:bCs/>
          <w:sz w:val="24"/>
          <w:szCs w:val="24"/>
        </w:rPr>
        <w:t>MPV</w:t>
      </w:r>
      <w:r w:rsidRPr="007F3BD9">
        <w:rPr>
          <w:rFonts w:ascii="Times New Roman" w:hAnsi="Times New Roman" w:cs="Times New Roman"/>
          <w:bCs/>
          <w:sz w:val="24"/>
          <w:szCs w:val="24"/>
        </w:rPr>
        <w:t xml:space="preserve">, exposure to </w:t>
      </w:r>
      <w:r>
        <w:rPr>
          <w:rFonts w:ascii="Times New Roman" w:hAnsi="Times New Roman" w:cs="Times New Roman"/>
          <w:bCs/>
          <w:sz w:val="24"/>
          <w:szCs w:val="24"/>
        </w:rPr>
        <w:t>NHC</w:t>
      </w:r>
      <w:r w:rsidRPr="007F3BD9">
        <w:rPr>
          <w:rFonts w:ascii="Times New Roman" w:hAnsi="Times New Roman" w:cs="Times New Roman"/>
          <w:bCs/>
          <w:sz w:val="24"/>
          <w:szCs w:val="24"/>
        </w:rPr>
        <w:t xml:space="preserve"> was generally dose</w:t>
      </w:r>
      <w:r w:rsidR="00E406B2">
        <w:rPr>
          <w:rFonts w:ascii="Times New Roman" w:hAnsi="Times New Roman" w:cs="Times New Roman"/>
          <w:bCs/>
          <w:sz w:val="24"/>
          <w:szCs w:val="24"/>
        </w:rPr>
        <w:t>-</w:t>
      </w:r>
      <w:r w:rsidRPr="007F3BD9">
        <w:rPr>
          <w:rFonts w:ascii="Times New Roman" w:hAnsi="Times New Roman" w:cs="Times New Roman"/>
          <w:bCs/>
          <w:sz w:val="24"/>
          <w:szCs w:val="24"/>
        </w:rPr>
        <w:t>proportional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3BD9">
        <w:rPr>
          <w:rFonts w:ascii="Times New Roman" w:hAnsi="Times New Roman" w:cs="Times New Roman"/>
          <w:bCs/>
          <w:sz w:val="24"/>
          <w:szCs w:val="24"/>
        </w:rPr>
        <w:t xml:space="preserve">in all species. </w:t>
      </w:r>
      <w:r>
        <w:rPr>
          <w:rFonts w:ascii="Times New Roman" w:hAnsi="Times New Roman" w:cs="Times New Roman"/>
          <w:bCs/>
          <w:sz w:val="24"/>
          <w:szCs w:val="24"/>
        </w:rPr>
        <w:t>MPV</w:t>
      </w:r>
      <w:r w:rsidRPr="007F3BD9">
        <w:rPr>
          <w:rFonts w:ascii="Times New Roman" w:hAnsi="Times New Roman" w:cs="Times New Roman"/>
          <w:bCs/>
          <w:sz w:val="24"/>
          <w:szCs w:val="24"/>
        </w:rPr>
        <w:t xml:space="preserve"> is </w:t>
      </w:r>
      <w:r>
        <w:rPr>
          <w:rFonts w:ascii="Times New Roman" w:hAnsi="Times New Roman" w:cs="Times New Roman"/>
          <w:bCs/>
          <w:sz w:val="24"/>
          <w:szCs w:val="24"/>
        </w:rPr>
        <w:t>un</w:t>
      </w:r>
      <w:r w:rsidRPr="007F3BD9">
        <w:rPr>
          <w:rFonts w:ascii="Times New Roman" w:hAnsi="Times New Roman" w:cs="Times New Roman"/>
          <w:bCs/>
          <w:sz w:val="24"/>
          <w:szCs w:val="24"/>
        </w:rPr>
        <w:t xml:space="preserve">stable in plasma </w:t>
      </w:r>
      <w:r w:rsidR="00C575FC">
        <w:rPr>
          <w:rFonts w:ascii="Times New Roman" w:hAnsi="Times New Roman" w:cs="Times New Roman"/>
          <w:bCs/>
          <w:sz w:val="24"/>
          <w:szCs w:val="24"/>
        </w:rPr>
        <w:t>and</w:t>
      </w:r>
      <w:r w:rsidRPr="007F3BD9">
        <w:rPr>
          <w:rFonts w:ascii="Times New Roman" w:hAnsi="Times New Roman" w:cs="Times New Roman"/>
          <w:bCs/>
          <w:sz w:val="24"/>
          <w:szCs w:val="24"/>
        </w:rPr>
        <w:t xml:space="preserve"> is </w:t>
      </w:r>
      <w:r w:rsidR="00C575FC">
        <w:rPr>
          <w:rFonts w:ascii="Times New Roman" w:hAnsi="Times New Roman" w:cs="Times New Roman"/>
          <w:bCs/>
          <w:sz w:val="24"/>
          <w:szCs w:val="24"/>
        </w:rPr>
        <w:t xml:space="preserve">rapidly </w:t>
      </w:r>
      <w:r w:rsidRPr="007F3BD9">
        <w:rPr>
          <w:rFonts w:ascii="Times New Roman" w:hAnsi="Times New Roman" w:cs="Times New Roman"/>
          <w:bCs/>
          <w:sz w:val="24"/>
          <w:szCs w:val="24"/>
        </w:rPr>
        <w:t xml:space="preserve">converted to </w:t>
      </w:r>
      <w:r>
        <w:rPr>
          <w:rFonts w:ascii="Times New Roman" w:hAnsi="Times New Roman" w:cs="Times New Roman"/>
          <w:bCs/>
          <w:sz w:val="24"/>
          <w:szCs w:val="24"/>
        </w:rPr>
        <w:t>NHC</w:t>
      </w:r>
      <w:r w:rsidRPr="007F3B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which </w:t>
      </w:r>
      <w:r w:rsidRPr="007F3BD9">
        <w:rPr>
          <w:rFonts w:ascii="Times New Roman" w:hAnsi="Times New Roman" w:cs="Times New Roman"/>
          <w:bCs/>
          <w:sz w:val="24"/>
          <w:szCs w:val="24"/>
        </w:rPr>
        <w:t>in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3BD9">
        <w:rPr>
          <w:rFonts w:ascii="Times New Roman" w:hAnsi="Times New Roman" w:cs="Times New Roman"/>
          <w:bCs/>
          <w:sz w:val="24"/>
          <w:szCs w:val="24"/>
        </w:rPr>
        <w:t xml:space="preserve">contrast, is </w:t>
      </w:r>
      <w:r>
        <w:rPr>
          <w:rFonts w:ascii="Times New Roman" w:hAnsi="Times New Roman" w:cs="Times New Roman"/>
          <w:bCs/>
          <w:sz w:val="24"/>
          <w:szCs w:val="24"/>
        </w:rPr>
        <w:t xml:space="preserve">much </w:t>
      </w:r>
      <w:r w:rsidRPr="007F3BD9">
        <w:rPr>
          <w:rFonts w:ascii="Times New Roman" w:hAnsi="Times New Roman" w:cs="Times New Roman"/>
          <w:bCs/>
          <w:sz w:val="24"/>
          <w:szCs w:val="24"/>
        </w:rPr>
        <w:t>more stable in plasma (t</w:t>
      </w:r>
      <w:r w:rsidRPr="007A4892">
        <w:rPr>
          <w:rFonts w:ascii="Times New Roman" w:hAnsi="Times New Roman" w:cs="Times New Roman"/>
          <w:bCs/>
          <w:sz w:val="24"/>
          <w:szCs w:val="24"/>
          <w:vertAlign w:val="subscript"/>
        </w:rPr>
        <w:t>½</w:t>
      </w:r>
      <w:r w:rsidRPr="007F3BD9">
        <w:rPr>
          <w:rFonts w:ascii="Times New Roman" w:hAnsi="Times New Roman" w:cs="Times New Roman"/>
          <w:bCs/>
          <w:sz w:val="24"/>
          <w:szCs w:val="24"/>
        </w:rPr>
        <w:t xml:space="preserve">&gt;6.5h). Once </w:t>
      </w:r>
      <w:r>
        <w:rPr>
          <w:rFonts w:ascii="Times New Roman" w:hAnsi="Times New Roman" w:cs="Times New Roman"/>
          <w:bCs/>
          <w:sz w:val="24"/>
          <w:szCs w:val="24"/>
        </w:rPr>
        <w:t>NHC</w:t>
      </w:r>
      <w:r w:rsidRPr="007F3BD9">
        <w:rPr>
          <w:rFonts w:ascii="Times New Roman" w:hAnsi="Times New Roman" w:cs="Times New Roman"/>
          <w:bCs/>
          <w:sz w:val="24"/>
          <w:szCs w:val="24"/>
        </w:rPr>
        <w:t xml:space="preserve"> is absorbed into animal plasma it is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F3BD9">
        <w:rPr>
          <w:rFonts w:ascii="Times New Roman" w:hAnsi="Times New Roman" w:cs="Times New Roman"/>
          <w:bCs/>
          <w:sz w:val="24"/>
          <w:szCs w:val="24"/>
        </w:rPr>
        <w:t>widely distributed in tissues where rapid</w:t>
      </w:r>
      <w:r>
        <w:rPr>
          <w:rFonts w:ascii="Times New Roman" w:hAnsi="Times New Roman" w:cs="Times New Roman"/>
          <w:bCs/>
          <w:sz w:val="24"/>
          <w:szCs w:val="24"/>
        </w:rPr>
        <w:t xml:space="preserve"> conversion</w:t>
      </w:r>
      <w:r w:rsidRPr="007F3BD9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>
        <w:rPr>
          <w:rFonts w:ascii="Times New Roman" w:hAnsi="Times New Roman" w:cs="Times New Roman"/>
          <w:bCs/>
          <w:sz w:val="24"/>
          <w:szCs w:val="24"/>
        </w:rPr>
        <w:t>the active NHC</w:t>
      </w:r>
      <w:r w:rsidRPr="007F3BD9">
        <w:rPr>
          <w:rFonts w:ascii="Times New Roman" w:hAnsi="Times New Roman" w:cs="Times New Roman"/>
          <w:bCs/>
          <w:sz w:val="24"/>
          <w:szCs w:val="24"/>
        </w:rPr>
        <w:t>-5’-triphosphate (EIDD-2061)</w:t>
      </w:r>
      <w:r>
        <w:rPr>
          <w:rFonts w:ascii="Times New Roman" w:hAnsi="Times New Roman" w:cs="Times New Roman"/>
          <w:bCs/>
          <w:sz w:val="24"/>
          <w:szCs w:val="24"/>
        </w:rPr>
        <w:t xml:space="preserve"> occurs</w:t>
      </w:r>
      <w:r w:rsidRPr="007F3BD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0C43">
        <w:rPr>
          <w:rFonts w:ascii="Times New Roman" w:hAnsi="Times New Roman" w:cs="Times New Roman"/>
          <w:bCs/>
          <w:sz w:val="24"/>
          <w:szCs w:val="24"/>
        </w:rPr>
        <w:t xml:space="preserve">The primary mechanism of action of </w:t>
      </w:r>
      <w:r>
        <w:rPr>
          <w:rFonts w:ascii="Times New Roman" w:hAnsi="Times New Roman" w:cs="Times New Roman"/>
          <w:bCs/>
          <w:sz w:val="24"/>
          <w:szCs w:val="24"/>
        </w:rPr>
        <w:t>MPV</w:t>
      </w:r>
      <w:r w:rsidRPr="00C40C43">
        <w:rPr>
          <w:rFonts w:ascii="Times New Roman" w:hAnsi="Times New Roman" w:cs="Times New Roman"/>
          <w:bCs/>
          <w:sz w:val="24"/>
          <w:szCs w:val="24"/>
        </w:rPr>
        <w:t xml:space="preserve"> is inhibition of viral RNA replication by incorporation of the </w:t>
      </w:r>
      <w:r>
        <w:rPr>
          <w:rFonts w:ascii="Times New Roman" w:hAnsi="Times New Roman" w:cs="Times New Roman"/>
          <w:bCs/>
          <w:sz w:val="24"/>
          <w:szCs w:val="24"/>
        </w:rPr>
        <w:t>NHC</w:t>
      </w:r>
      <w:r w:rsidRPr="00C40C43">
        <w:rPr>
          <w:rFonts w:ascii="Times New Roman" w:hAnsi="Times New Roman" w:cs="Times New Roman"/>
          <w:bCs/>
          <w:sz w:val="24"/>
          <w:szCs w:val="24"/>
        </w:rPr>
        <w:t xml:space="preserve"> monophosphate metabolite into the viral RNA genome resulting in induction of viral error catastrophe</w:t>
      </w:r>
      <w:r w:rsidRPr="00DE60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6041">
        <w:rPr>
          <w:rFonts w:ascii="Times New Roman" w:hAnsi="Times New Roman" w:cs="Times New Roman"/>
          <w:bCs/>
          <w:noProof/>
          <w:sz w:val="24"/>
          <w:szCs w:val="24"/>
        </w:rPr>
        <w:t>[1, 4]</w:t>
      </w:r>
      <w:r w:rsidRPr="00C40C43">
        <w:rPr>
          <w:rFonts w:ascii="Times New Roman" w:hAnsi="Times New Roman" w:cs="Times New Roman"/>
          <w:bCs/>
          <w:sz w:val="24"/>
          <w:szCs w:val="24"/>
        </w:rPr>
        <w:t>.</w:t>
      </w:r>
      <w:r w:rsidRPr="00C40C43">
        <w:t xml:space="preserve"> </w:t>
      </w:r>
      <w:r w:rsidRPr="00C40C43">
        <w:rPr>
          <w:rFonts w:ascii="Times New Roman" w:hAnsi="Times New Roman" w:cs="Times New Roman"/>
        </w:rPr>
        <w:t>In a</w:t>
      </w:r>
      <w:r w:rsidRPr="00C40C43">
        <w:rPr>
          <w:rFonts w:ascii="Times New Roman" w:hAnsi="Times New Roman" w:cs="Times New Roman"/>
          <w:bCs/>
          <w:sz w:val="24"/>
          <w:szCs w:val="24"/>
        </w:rPr>
        <w:t xml:space="preserve">ddition, the active metabolite, </w:t>
      </w:r>
      <w:r>
        <w:rPr>
          <w:rFonts w:ascii="Times New Roman" w:hAnsi="Times New Roman" w:cs="Times New Roman"/>
          <w:bCs/>
          <w:sz w:val="24"/>
          <w:szCs w:val="24"/>
        </w:rPr>
        <w:t>NHC</w:t>
      </w:r>
      <w:r w:rsidRPr="00C40C43">
        <w:rPr>
          <w:rFonts w:ascii="Times New Roman" w:hAnsi="Times New Roman" w:cs="Times New Roman"/>
          <w:bCs/>
          <w:sz w:val="24"/>
          <w:szCs w:val="24"/>
        </w:rPr>
        <w:t>-5’-triphosphate, may act directly as a chain terminator to arrest replication.</w:t>
      </w:r>
    </w:p>
    <w:p w:rsidR="00DE6041" w:rsidRDefault="00DE6041" w:rsidP="00DE60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A literature search for the analytical method</w:t>
      </w:r>
      <w:r w:rsidR="009C2B83">
        <w:rPr>
          <w:rFonts w:ascii="Times New Roman" w:hAnsi="Times New Roman" w:cs="Times New Roman"/>
          <w:bCs/>
          <w:sz w:val="24"/>
        </w:rPr>
        <w:t>s</w:t>
      </w:r>
      <w:r>
        <w:rPr>
          <w:rFonts w:ascii="Times New Roman" w:hAnsi="Times New Roman" w:cs="Times New Roman"/>
          <w:bCs/>
          <w:sz w:val="24"/>
        </w:rPr>
        <w:t xml:space="preserve"> for these compounds show</w:t>
      </w:r>
      <w:r w:rsidR="00E406B2">
        <w:rPr>
          <w:rFonts w:ascii="Times New Roman" w:hAnsi="Times New Roman" w:cs="Times New Roman"/>
          <w:bCs/>
          <w:sz w:val="24"/>
        </w:rPr>
        <w:t>s</w:t>
      </w:r>
      <w:r>
        <w:rPr>
          <w:rFonts w:ascii="Times New Roman" w:hAnsi="Times New Roman" w:cs="Times New Roman"/>
          <w:bCs/>
          <w:sz w:val="24"/>
        </w:rPr>
        <w:t xml:space="preserve"> limited </w:t>
      </w:r>
      <w:r w:rsidR="009C2B83">
        <w:rPr>
          <w:rFonts w:ascii="Times New Roman" w:hAnsi="Times New Roman" w:cs="Times New Roman"/>
          <w:bCs/>
          <w:sz w:val="24"/>
        </w:rPr>
        <w:t>result</w:t>
      </w:r>
      <w:r>
        <w:rPr>
          <w:rFonts w:ascii="Times New Roman" w:hAnsi="Times New Roman" w:cs="Times New Roman"/>
          <w:bCs/>
          <w:sz w:val="24"/>
        </w:rPr>
        <w:t xml:space="preserve">s, with none clearly validated. </w:t>
      </w:r>
      <w:r w:rsidRPr="00E669EC">
        <w:rPr>
          <w:rFonts w:ascii="Times New Roman" w:hAnsi="Times New Roman" w:cs="Times New Roman"/>
          <w:sz w:val="24"/>
          <w:szCs w:val="24"/>
        </w:rPr>
        <w:t xml:space="preserve">Plasma levels </w:t>
      </w:r>
      <w:r>
        <w:rPr>
          <w:rFonts w:ascii="Times New Roman" w:hAnsi="Times New Roman" w:cs="Times New Roman"/>
          <w:sz w:val="24"/>
          <w:szCs w:val="24"/>
        </w:rPr>
        <w:t xml:space="preserve">of individual drugs </w:t>
      </w:r>
      <w:r w:rsidRPr="00E669EC">
        <w:rPr>
          <w:rFonts w:ascii="Times New Roman" w:hAnsi="Times New Roman" w:cs="Times New Roman"/>
          <w:sz w:val="24"/>
          <w:szCs w:val="24"/>
        </w:rPr>
        <w:t>have previously been quantified using liquid chromatography/ tandem mass spectrometry (LC-MS/MS)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[5]</w:t>
      </w:r>
      <w:r w:rsidR="00304E09">
        <w:rPr>
          <w:rFonts w:ascii="Times New Roman" w:hAnsi="Times New Roman" w:cs="Times New Roman"/>
          <w:sz w:val="24"/>
          <w:szCs w:val="24"/>
        </w:rPr>
        <w:t xml:space="preserve">, in animal models </w:t>
      </w:r>
      <w:r w:rsidR="00304E09">
        <w:rPr>
          <w:rFonts w:ascii="Times New Roman" w:hAnsi="Times New Roman" w:cs="Times New Roman"/>
          <w:noProof/>
          <w:sz w:val="24"/>
          <w:szCs w:val="24"/>
        </w:rPr>
        <w:t>[6]</w:t>
      </w:r>
      <w:r w:rsidRPr="00E669EC">
        <w:rPr>
          <w:rFonts w:ascii="Times New Roman" w:hAnsi="Times New Roman" w:cs="Times New Roman"/>
          <w:sz w:val="24"/>
          <w:szCs w:val="24"/>
        </w:rPr>
        <w:t xml:space="preserve">, but the </w:t>
      </w:r>
      <w:r w:rsidR="00304E09">
        <w:rPr>
          <w:rFonts w:ascii="Times New Roman" w:hAnsi="Times New Roman" w:cs="Times New Roman"/>
          <w:sz w:val="24"/>
          <w:szCs w:val="24"/>
        </w:rPr>
        <w:t>validation details</w:t>
      </w:r>
      <w:r w:rsidRPr="00E669EC">
        <w:rPr>
          <w:rFonts w:ascii="Times New Roman" w:hAnsi="Times New Roman" w:cs="Times New Roman"/>
          <w:sz w:val="24"/>
          <w:szCs w:val="24"/>
        </w:rPr>
        <w:t xml:space="preserve"> have not been </w:t>
      </w:r>
      <w:r w:rsidR="00304E09">
        <w:rPr>
          <w:rFonts w:ascii="Times New Roman" w:hAnsi="Times New Roman" w:cs="Times New Roman"/>
          <w:sz w:val="24"/>
          <w:szCs w:val="24"/>
        </w:rPr>
        <w:t xml:space="preserve">fully </w:t>
      </w:r>
      <w:r w:rsidRPr="00E669EC">
        <w:rPr>
          <w:rFonts w:ascii="Times New Roman" w:hAnsi="Times New Roman" w:cs="Times New Roman"/>
          <w:sz w:val="24"/>
          <w:szCs w:val="24"/>
        </w:rPr>
        <w:t xml:space="preserve">published. </w:t>
      </w:r>
      <w:r>
        <w:rPr>
          <w:rFonts w:ascii="Times New Roman" w:hAnsi="Times New Roman" w:cs="Times New Roman"/>
          <w:sz w:val="24"/>
          <w:szCs w:val="24"/>
        </w:rPr>
        <w:t xml:space="preserve">Also, to our knowledge, there are no methods for quantifying saliva by LC-MS and furthermore, no simultaneous method for both analytes exists. </w:t>
      </w:r>
    </w:p>
    <w:p w:rsidR="00DE6041" w:rsidRDefault="00DE6041" w:rsidP="009C2B8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669E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present here </w:t>
      </w:r>
      <w:r w:rsidRPr="00E669EC">
        <w:rPr>
          <w:rFonts w:ascii="Times New Roman" w:hAnsi="Times New Roman" w:cs="Times New Roman"/>
          <w:sz w:val="24"/>
          <w:szCs w:val="24"/>
        </w:rPr>
        <w:t xml:space="preserve">a simple tandem mass spectrometric method for </w:t>
      </w:r>
      <w:r>
        <w:rPr>
          <w:rFonts w:ascii="Times New Roman" w:hAnsi="Times New Roman" w:cs="Times New Roman"/>
          <w:sz w:val="24"/>
          <w:szCs w:val="24"/>
        </w:rPr>
        <w:t xml:space="preserve">simultaneous </w:t>
      </w:r>
      <w:r w:rsidRPr="00E669EC">
        <w:rPr>
          <w:rFonts w:ascii="Times New Roman" w:hAnsi="Times New Roman" w:cs="Times New Roman"/>
          <w:sz w:val="24"/>
          <w:szCs w:val="24"/>
        </w:rPr>
        <w:t xml:space="preserve">quantification of </w:t>
      </w:r>
      <w:r>
        <w:rPr>
          <w:rFonts w:ascii="Times New Roman" w:hAnsi="Times New Roman" w:cs="Times New Roman"/>
          <w:sz w:val="24"/>
          <w:szCs w:val="24"/>
        </w:rPr>
        <w:t>MPV (EIDD-2801) and NHC (EIDD-1931)</w:t>
      </w:r>
      <w:r w:rsidRPr="00E669EC">
        <w:rPr>
          <w:rFonts w:ascii="Times New Roman" w:hAnsi="Times New Roman" w:cs="Times New Roman"/>
          <w:sz w:val="24"/>
          <w:szCs w:val="24"/>
        </w:rPr>
        <w:t xml:space="preserve"> in plasma </w:t>
      </w:r>
      <w:r>
        <w:rPr>
          <w:rFonts w:ascii="Times New Roman" w:hAnsi="Times New Roman" w:cs="Times New Roman"/>
          <w:sz w:val="24"/>
          <w:szCs w:val="24"/>
        </w:rPr>
        <w:t xml:space="preserve">and saliva, using </w:t>
      </w:r>
      <w:r w:rsidRPr="00E669EC">
        <w:rPr>
          <w:rFonts w:ascii="Times New Roman" w:hAnsi="Times New Roman" w:cs="Times New Roman"/>
          <w:sz w:val="24"/>
          <w:szCs w:val="24"/>
        </w:rPr>
        <w:t>protein precipitation extraction</w:t>
      </w:r>
      <w:r w:rsidR="00252A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>validated in accordance with EMA and FDA guidelines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E09">
        <w:rPr>
          <w:rFonts w:ascii="Times New Roman" w:hAnsi="Times New Roman" w:cs="Times New Roman"/>
          <w:noProof/>
          <w:sz w:val="24"/>
          <w:szCs w:val="24"/>
        </w:rPr>
        <w:t>[7]</w:t>
      </w:r>
      <w:r>
        <w:rPr>
          <w:rFonts w:ascii="Times New Roman" w:hAnsi="Times New Roman" w:cs="Times New Roman"/>
          <w:sz w:val="24"/>
          <w:szCs w:val="24"/>
        </w:rPr>
        <w:t>.</w:t>
      </w:r>
      <w:r w:rsidR="009C2B83">
        <w:rPr>
          <w:rFonts w:ascii="Times New Roman" w:hAnsi="Times New Roman" w:cs="Times New Roman"/>
          <w:sz w:val="24"/>
          <w:szCs w:val="24"/>
        </w:rPr>
        <w:t xml:space="preserve"> </w:t>
      </w:r>
      <w:r w:rsidR="009C2B83" w:rsidRPr="00A72EEB">
        <w:rPr>
          <w:rFonts w:ascii="Times New Roman" w:hAnsi="Times New Roman" w:cs="Times New Roman"/>
          <w:sz w:val="24"/>
          <w:szCs w:val="24"/>
        </w:rPr>
        <w:t>This method has been developed specifically for use in the Accelerating COVID-19 Drug Development – Phase I/II trial platform (AGILE) CST-2 trial, invest</w:t>
      </w:r>
      <w:r w:rsidR="009C2B83" w:rsidRPr="00B63AA4">
        <w:rPr>
          <w:rFonts w:ascii="Times New Roman" w:hAnsi="Times New Roman" w:cs="Times New Roman"/>
          <w:sz w:val="24"/>
          <w:szCs w:val="24"/>
        </w:rPr>
        <w:t>igating EIDD-2801 and EIDD-1931 concentrations in subjects treated for COVID-19</w:t>
      </w:r>
      <w:r w:rsidR="00A72EEB">
        <w:rPr>
          <w:rFonts w:ascii="Times New Roman" w:hAnsi="Times New Roman" w:cs="Times New Roman"/>
          <w:sz w:val="24"/>
          <w:szCs w:val="24"/>
        </w:rPr>
        <w:t xml:space="preserve"> [</w:t>
      </w:r>
      <w:r w:rsidR="00A72EEB" w:rsidRPr="00A72EEB">
        <w:rPr>
          <w:rFonts w:ascii="Times New Roman" w:hAnsi="Times New Roman" w:cs="Times New Roman"/>
          <w:sz w:val="24"/>
          <w:szCs w:val="24"/>
        </w:rPr>
        <w:t>EudraCT 2020-001860-27</w:t>
      </w:r>
      <w:r w:rsidR="00A72EEB">
        <w:rPr>
          <w:rFonts w:ascii="Times New Roman" w:hAnsi="Times New Roman" w:cs="Times New Roman"/>
          <w:sz w:val="24"/>
          <w:szCs w:val="24"/>
        </w:rPr>
        <w:t>]</w:t>
      </w:r>
      <w:r w:rsidR="009C2B83" w:rsidRPr="00A72EEB">
        <w:rPr>
          <w:rFonts w:ascii="Times New Roman" w:hAnsi="Times New Roman" w:cs="Times New Roman"/>
          <w:sz w:val="24"/>
          <w:szCs w:val="24"/>
        </w:rPr>
        <w:t>.</w:t>
      </w:r>
    </w:p>
    <w:p w:rsidR="00DE6041" w:rsidRDefault="00DE6041" w:rsidP="00DE60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6041" w:rsidRDefault="00DE6041" w:rsidP="00DE604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6041" w:rsidRDefault="00DE6041" w:rsidP="00000D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4"/>
        </w:rPr>
      </w:pPr>
      <w:r w:rsidRPr="00000DA0">
        <w:rPr>
          <w:rFonts w:ascii="Times New Roman" w:hAnsi="Times New Roman" w:cs="Times New Roman"/>
          <w:b/>
          <w:sz w:val="28"/>
          <w:szCs w:val="24"/>
        </w:rPr>
        <w:t>Materials and Methods</w:t>
      </w:r>
    </w:p>
    <w:p w:rsidR="00A57E4A" w:rsidRPr="00000DA0" w:rsidRDefault="00A57E4A" w:rsidP="00A57E4A">
      <w:pPr>
        <w:pStyle w:val="ListParagraph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DE6041" w:rsidRPr="00000DA0" w:rsidRDefault="00DE6041" w:rsidP="00966D26">
      <w:pPr>
        <w:pStyle w:val="ListParagraph"/>
        <w:numPr>
          <w:ilvl w:val="1"/>
          <w:numId w:val="3"/>
        </w:numPr>
        <w:spacing w:before="240" w:line="360" w:lineRule="auto"/>
        <w:ind w:left="426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0DA0">
        <w:rPr>
          <w:rFonts w:ascii="Times New Roman" w:hAnsi="Times New Roman" w:cs="Times New Roman"/>
          <w:b/>
          <w:sz w:val="24"/>
          <w:szCs w:val="24"/>
        </w:rPr>
        <w:t>Chemicals</w:t>
      </w:r>
    </w:p>
    <w:p w:rsidR="00DE6041" w:rsidRPr="00E669EC" w:rsidRDefault="00DE6041" w:rsidP="00966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MPV, NHC 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their stable isotopically labelled (SIL) internal standards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6F3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CC6F3A" w:rsidRPr="00885EB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13</w:t>
      </w:r>
      <w:r w:rsidR="00CC6F3A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CC6F3A" w:rsidRPr="00885EB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15</w:t>
      </w:r>
      <w:r w:rsidR="00CC6F3A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CC6F3A" w:rsidRPr="00885EB1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CC6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-EIDD-2801 and </w:t>
      </w:r>
      <w:r w:rsidR="00CC6F3A" w:rsidRPr="00F772D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13</w:t>
      </w:r>
      <w:r w:rsidR="00CC6F3A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CC6F3A" w:rsidRPr="00F772D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15</w:t>
      </w:r>
      <w:r w:rsidR="00CC6F3A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CC6F3A" w:rsidRPr="00F772D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CC6F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-N4-Hydroxycytidine respectively) 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were obtained from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Alsachim SAS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A14C8E">
        <w:rPr>
          <w:rFonts w:ascii="Times New Roman" w:hAnsi="Times New Roman" w:cs="Times New Roman"/>
          <w:sz w:val="24"/>
          <w:szCs w:val="24"/>
          <w:shd w:val="clear" w:color="auto" w:fill="FFFFFF"/>
        </w:rPr>
        <w:t>Illkirch, France</w:t>
      </w:r>
      <w:r w:rsidR="00180761">
        <w:rPr>
          <w:rFonts w:ascii="Times New Roman" w:hAnsi="Times New Roman" w:cs="Times New Roman"/>
          <w:sz w:val="24"/>
          <w:szCs w:val="24"/>
          <w:shd w:val="clear" w:color="auto" w:fill="FFFFFF"/>
        </w:rPr>
        <w:t>; m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ethanol and acetonitrile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LC-MS grade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were obtained from Sigma–Aldrich.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eionized water was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obtained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C8E">
        <w:rPr>
          <w:rFonts w:ascii="Times New Roman" w:hAnsi="Times New Roman" w:cs="Times New Roman"/>
          <w:sz w:val="24"/>
          <w:szCs w:val="24"/>
          <w:shd w:val="clear" w:color="auto" w:fill="FFFFFF"/>
        </w:rPr>
        <w:t>from Duo Avidity Science water purification unit and further purified to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C8E">
        <w:rPr>
          <w:rFonts w:ascii="Times New Roman" w:hAnsi="Times New Roman" w:cs="Times New Roman"/>
          <w:sz w:val="24"/>
          <w:szCs w:val="24"/>
          <w:shd w:val="clear" w:color="auto" w:fill="FFFFFF"/>
        </w:rPr>
        <w:t>18.2 MΩ with the Purelab Ultra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A14C8E">
        <w:rPr>
          <w:rFonts w:ascii="Times New Roman" w:hAnsi="Times New Roman" w:cs="Times New Roman"/>
          <w:sz w:val="24"/>
          <w:szCs w:val="24"/>
          <w:shd w:val="clear" w:color="auto" w:fill="FFFFFF"/>
        </w:rPr>
        <w:t>Avidity Science Ltd., Long Crendon, Bucks.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UK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Blank plasma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was obtained from healthy drug-free volunteers with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Ethics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approval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from the NHS Health Research Authority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Phosphate buffered saline (PBS 1x), used as a surrogate matrix for saliva, 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obtained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from Sigma–Aldrich, UK.</w:t>
      </w:r>
    </w:p>
    <w:p w:rsidR="00DE6041" w:rsidRPr="00E669EC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041" w:rsidRPr="00A57E4A" w:rsidRDefault="00DE6041" w:rsidP="00F62A79">
      <w:pPr>
        <w:pStyle w:val="ListParagraph"/>
        <w:numPr>
          <w:ilvl w:val="1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4A">
        <w:rPr>
          <w:rFonts w:ascii="Times New Roman" w:hAnsi="Times New Roman" w:cs="Times New Roman"/>
          <w:b/>
          <w:sz w:val="24"/>
          <w:szCs w:val="24"/>
        </w:rPr>
        <w:t>Equipment</w:t>
      </w:r>
    </w:p>
    <w:p w:rsidR="00DE6041" w:rsidRPr="00E669EC" w:rsidRDefault="00DE6041" w:rsidP="00966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chromatographic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system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was made up of an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1A0E">
        <w:rPr>
          <w:rFonts w:ascii="Times New Roman" w:hAnsi="Times New Roman" w:cs="Times New Roman"/>
          <w:sz w:val="24"/>
          <w:szCs w:val="24"/>
          <w:shd w:val="clear" w:color="auto" w:fill="FFFFFF"/>
        </w:rPr>
        <w:t>ExionLC AD Multiplate Sampler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(temperature, 6°C) and an </w:t>
      </w:r>
      <w:r w:rsidRPr="00051A0E">
        <w:rPr>
          <w:rFonts w:ascii="Times New Roman" w:hAnsi="Times New Roman" w:cs="Times New Roman"/>
          <w:sz w:val="24"/>
          <w:szCs w:val="24"/>
          <w:shd w:val="clear" w:color="auto" w:fill="FFFFFF"/>
        </w:rPr>
        <w:t>ExionLC AD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pump (</w:t>
      </w:r>
      <w:r w:rsidRPr="00051A0E">
        <w:rPr>
          <w:rFonts w:ascii="Times New Roman" w:hAnsi="Times New Roman" w:cs="Times New Roman"/>
          <w:sz w:val="24"/>
          <w:szCs w:val="24"/>
          <w:shd w:val="clear" w:color="auto" w:fill="FFFFFF"/>
        </w:rPr>
        <w:t>ABSciex Limited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51A0E">
        <w:rPr>
          <w:rFonts w:ascii="Times New Roman" w:hAnsi="Times New Roman" w:cs="Times New Roman"/>
          <w:sz w:val="24"/>
          <w:szCs w:val="24"/>
          <w:shd w:val="clear" w:color="auto" w:fill="FFFFFF"/>
        </w:rPr>
        <w:t>Cheshire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United Kingdom).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nalyte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SIL 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internal standard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(IS) were eluted using a reverse-phase </w:t>
      </w:r>
      <w:r w:rsidRPr="00051A0E">
        <w:rPr>
          <w:rFonts w:ascii="Times New Roman" w:hAnsi="Times New Roman" w:cs="Times New Roman"/>
          <w:bCs/>
          <w:sz w:val="24"/>
          <w:szCs w:val="24"/>
        </w:rPr>
        <w:t>Atlantis dC</w:t>
      </w:r>
      <w:r w:rsidRPr="00DB58D3">
        <w:rPr>
          <w:rFonts w:ascii="Times New Roman" w:hAnsi="Times New Roman" w:cs="Times New Roman"/>
          <w:bCs/>
          <w:sz w:val="24"/>
          <w:szCs w:val="24"/>
          <w:vertAlign w:val="subscript"/>
        </w:rPr>
        <w:t>18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bCs/>
          <w:sz w:val="24"/>
          <w:szCs w:val="24"/>
        </w:rPr>
        <w:t>column (3 μm: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E669EC">
        <w:rPr>
          <w:rFonts w:ascii="Times New Roman" w:hAnsi="Times New Roman" w:cs="Times New Roman"/>
          <w:bCs/>
          <w:sz w:val="24"/>
          <w:szCs w:val="24"/>
        </w:rPr>
        <w:t>0 mm × 2.1 mm</w:t>
      </w:r>
      <w:r>
        <w:rPr>
          <w:rFonts w:ascii="Times New Roman" w:hAnsi="Times New Roman" w:cs="Times New Roman"/>
          <w:bCs/>
          <w:sz w:val="24"/>
          <w:szCs w:val="24"/>
        </w:rPr>
        <w:t>; Waters UK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housed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51A0E">
        <w:rPr>
          <w:rFonts w:ascii="Times New Roman" w:hAnsi="Times New Roman" w:cs="Times New Roman"/>
          <w:sz w:val="24"/>
          <w:szCs w:val="24"/>
          <w:shd w:val="clear" w:color="auto" w:fill="FFFFFF"/>
        </w:rPr>
        <w:t>ExionLC AD Column Oven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 a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temperature of 40°C.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Detection and quantification using an </w:t>
      </w:r>
      <w:r w:rsidRPr="00051A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ABSciex 4500 Triple Quadrupole 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051A0E">
        <w:rPr>
          <w:rFonts w:ascii="Times New Roman" w:hAnsi="Times New Roman" w:cs="Times New Roman"/>
          <w:sz w:val="24"/>
          <w:szCs w:val="24"/>
          <w:shd w:val="clear" w:color="auto" w:fill="FFFFFF"/>
        </w:rPr>
        <w:t>ABSciex Limited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051A0E">
        <w:rPr>
          <w:rFonts w:ascii="Times New Roman" w:hAnsi="Times New Roman" w:cs="Times New Roman"/>
          <w:sz w:val="24"/>
          <w:szCs w:val="24"/>
          <w:shd w:val="clear" w:color="auto" w:fill="FFFFFF"/>
        </w:rPr>
        <w:t>Cheshire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UK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with a heated-electrospray ionization source.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uning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data acquisition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were carried out using </w:t>
      </w:r>
      <w:r w:rsidRPr="006C3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Analyst 1.7 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and processing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/quantification using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C3A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MultiQuant 3.0.3 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051A0E">
        <w:rPr>
          <w:rFonts w:ascii="Times New Roman" w:hAnsi="Times New Roman" w:cs="Times New Roman"/>
          <w:sz w:val="24"/>
          <w:szCs w:val="24"/>
          <w:shd w:val="clear" w:color="auto" w:fill="FFFFFF"/>
        </w:rPr>
        <w:t>AB Sciex Limited</w:t>
      </w:r>
      <w:r w:rsidRPr="00E669EC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DE6041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A82" w:rsidRPr="00E669EC" w:rsidRDefault="00252A82" w:rsidP="00DE6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761" w:rsidRPr="00A57E4A" w:rsidRDefault="007F549C" w:rsidP="00F62A79">
      <w:pPr>
        <w:pStyle w:val="ListParagraph"/>
        <w:numPr>
          <w:ilvl w:val="1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7E4A">
        <w:rPr>
          <w:rFonts w:ascii="Times New Roman" w:hAnsi="Times New Roman" w:cs="Times New Roman"/>
          <w:b/>
          <w:sz w:val="24"/>
          <w:szCs w:val="24"/>
        </w:rPr>
        <w:t>Preparation of stock</w:t>
      </w:r>
      <w:r w:rsidR="004D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E4A">
        <w:rPr>
          <w:rFonts w:ascii="Times New Roman" w:hAnsi="Times New Roman" w:cs="Times New Roman"/>
          <w:b/>
          <w:sz w:val="24"/>
          <w:szCs w:val="24"/>
        </w:rPr>
        <w:t>s</w:t>
      </w:r>
      <w:r w:rsidR="004D1E5D">
        <w:rPr>
          <w:rFonts w:ascii="Times New Roman" w:hAnsi="Times New Roman" w:cs="Times New Roman"/>
          <w:b/>
          <w:sz w:val="24"/>
          <w:szCs w:val="24"/>
        </w:rPr>
        <w:t>olutions</w:t>
      </w:r>
      <w:r w:rsidRPr="00A57E4A">
        <w:rPr>
          <w:rFonts w:ascii="Times New Roman" w:hAnsi="Times New Roman" w:cs="Times New Roman"/>
          <w:b/>
          <w:sz w:val="24"/>
          <w:szCs w:val="24"/>
        </w:rPr>
        <w:t xml:space="preserve">, calibrators, </w:t>
      </w:r>
      <w:r w:rsidR="004D1E5D">
        <w:rPr>
          <w:rFonts w:ascii="Times New Roman" w:hAnsi="Times New Roman" w:cs="Times New Roman"/>
          <w:b/>
          <w:sz w:val="24"/>
          <w:szCs w:val="24"/>
        </w:rPr>
        <w:t>QC samples</w:t>
      </w:r>
      <w:r w:rsidRPr="00A57E4A">
        <w:rPr>
          <w:rFonts w:ascii="Times New Roman" w:hAnsi="Times New Roman" w:cs="Times New Roman"/>
          <w:b/>
          <w:sz w:val="24"/>
          <w:szCs w:val="24"/>
        </w:rPr>
        <w:t xml:space="preserve"> and internal standard</w:t>
      </w:r>
      <w:r w:rsidR="00E406B2">
        <w:rPr>
          <w:rFonts w:ascii="Times New Roman" w:hAnsi="Times New Roman" w:cs="Times New Roman"/>
          <w:b/>
          <w:sz w:val="24"/>
          <w:szCs w:val="24"/>
        </w:rPr>
        <w:t>s</w:t>
      </w:r>
      <w:r w:rsidR="00DE6041" w:rsidRPr="00A57E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041" w:rsidRPr="00E669EC" w:rsidRDefault="00DE6041" w:rsidP="00966D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669EC">
        <w:rPr>
          <w:rFonts w:ascii="Times New Roman" w:hAnsi="Times New Roman" w:cs="Times New Roman"/>
          <w:sz w:val="24"/>
          <w:szCs w:val="24"/>
        </w:rPr>
        <w:t xml:space="preserve">tock solutions </w:t>
      </w:r>
      <w:r w:rsidRPr="00F02173">
        <w:rPr>
          <w:rFonts w:ascii="Times New Roman" w:hAnsi="Times New Roman" w:cs="Times New Roman"/>
          <w:sz w:val="24"/>
          <w:szCs w:val="24"/>
        </w:rPr>
        <w:t>were prepared from their respective reference standards in 100% methanol to obtain a final concentration of 1 mg/</w:t>
      </w:r>
      <w:r w:rsidR="00AD3EA3">
        <w:rPr>
          <w:rFonts w:ascii="Times New Roman" w:hAnsi="Times New Roman" w:cs="Times New Roman"/>
          <w:sz w:val="24"/>
          <w:szCs w:val="24"/>
        </w:rPr>
        <w:t>ml</w:t>
      </w:r>
      <w:r w:rsidRPr="00F02173">
        <w:rPr>
          <w:rFonts w:ascii="Times New Roman" w:hAnsi="Times New Roman" w:cs="Times New Roman"/>
          <w:sz w:val="24"/>
          <w:szCs w:val="24"/>
        </w:rPr>
        <w:t xml:space="preserve"> and stored at -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F02173">
        <w:rPr>
          <w:rFonts w:ascii="Times New Roman" w:hAnsi="Times New Roman" w:cs="Times New Roman"/>
          <w:sz w:val="24"/>
          <w:szCs w:val="24"/>
        </w:rPr>
        <w:t>0</w:t>
      </w:r>
      <w:r w:rsidRPr="00D40DFC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F02173">
        <w:rPr>
          <w:rFonts w:ascii="Times New Roman" w:hAnsi="Times New Roman" w:cs="Times New Roman"/>
          <w:sz w:val="24"/>
          <w:szCs w:val="24"/>
        </w:rPr>
        <w:t>C until use.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E669EC">
        <w:rPr>
          <w:rFonts w:ascii="Times New Roman" w:hAnsi="Times New Roman" w:cs="Times New Roman"/>
          <w:sz w:val="24"/>
          <w:szCs w:val="24"/>
        </w:rPr>
        <w:t>orking solutions</w:t>
      </w:r>
      <w:r w:rsidR="004D1E5D">
        <w:rPr>
          <w:rFonts w:ascii="Times New Roman" w:hAnsi="Times New Roman" w:cs="Times New Roman"/>
          <w:sz w:val="24"/>
          <w:szCs w:val="24"/>
        </w:rPr>
        <w:t>,</w:t>
      </w:r>
      <w:r w:rsidRPr="00E669EC">
        <w:rPr>
          <w:rFonts w:ascii="Times New Roman" w:hAnsi="Times New Roman" w:cs="Times New Roman"/>
          <w:sz w:val="24"/>
          <w:szCs w:val="24"/>
        </w:rPr>
        <w:t xml:space="preserve"> containing </w:t>
      </w:r>
      <w:r>
        <w:rPr>
          <w:rFonts w:ascii="Times New Roman" w:hAnsi="Times New Roman" w:cs="Times New Roman"/>
          <w:sz w:val="24"/>
          <w:szCs w:val="24"/>
        </w:rPr>
        <w:t xml:space="preserve">varying concentrations of </w:t>
      </w:r>
      <w:r w:rsidR="00180761">
        <w:rPr>
          <w:rFonts w:ascii="Times New Roman" w:hAnsi="Times New Roman" w:cs="Times New Roman"/>
          <w:sz w:val="24"/>
          <w:szCs w:val="24"/>
          <w:shd w:val="clear" w:color="auto" w:fill="FFFFFF"/>
        </w:rPr>
        <w:t>MPV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180761">
        <w:rPr>
          <w:rFonts w:ascii="Times New Roman" w:hAnsi="Times New Roman" w:cs="Times New Roman"/>
          <w:sz w:val="24"/>
          <w:szCs w:val="24"/>
          <w:shd w:val="clear" w:color="auto" w:fill="FFFFFF"/>
        </w:rPr>
        <w:t>NHC</w:t>
      </w:r>
      <w:r w:rsidR="004D1E5D">
        <w:rPr>
          <w:rFonts w:ascii="Times New Roman" w:hAnsi="Times New Roman" w:cs="Times New Roman"/>
          <w:sz w:val="24"/>
          <w:szCs w:val="24"/>
          <w:shd w:val="clear" w:color="auto" w:fill="FFFFFF"/>
        </w:rPr>
        <w:t>, were</w:t>
      </w:r>
      <w:r w:rsidRPr="00E669EC">
        <w:rPr>
          <w:rFonts w:ascii="Times New Roman" w:hAnsi="Times New Roman" w:cs="Times New Roman"/>
          <w:sz w:val="24"/>
          <w:szCs w:val="24"/>
        </w:rPr>
        <w:t xml:space="preserve"> prepared by diluting th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E669EC">
        <w:rPr>
          <w:rFonts w:ascii="Times New Roman" w:hAnsi="Times New Roman" w:cs="Times New Roman"/>
          <w:sz w:val="24"/>
          <w:szCs w:val="24"/>
        </w:rPr>
        <w:t xml:space="preserve"> stock solution </w:t>
      </w:r>
      <w:r w:rsidR="004838A3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>methanol</w:t>
      </w:r>
      <w:r>
        <w:rPr>
          <w:rFonts w:ascii="Times New Roman" w:hAnsi="Times New Roman" w:cs="Times New Roman"/>
          <w:sz w:val="24"/>
          <w:szCs w:val="24"/>
        </w:rPr>
        <w:t xml:space="preserve"> to produce three concentrations (250, 6.25 and 0.25 μg/</w:t>
      </w:r>
      <w:r w:rsidR="00AD3EA3">
        <w:rPr>
          <w:rFonts w:ascii="Times New Roman" w:hAnsi="Times New Roman" w:cs="Times New Roman"/>
          <w:sz w:val="24"/>
          <w:szCs w:val="24"/>
        </w:rPr>
        <w:t>ml</w:t>
      </w:r>
      <w:r>
        <w:rPr>
          <w:rFonts w:ascii="Times New Roman" w:hAnsi="Times New Roman" w:cs="Times New Roman"/>
          <w:sz w:val="24"/>
          <w:szCs w:val="24"/>
        </w:rPr>
        <w:t xml:space="preserve">) which were then spiked into </w:t>
      </w:r>
      <w:r w:rsidR="004D1E5D">
        <w:rPr>
          <w:rFonts w:ascii="Times New Roman" w:hAnsi="Times New Roman" w:cs="Times New Roman"/>
          <w:sz w:val="24"/>
          <w:szCs w:val="24"/>
        </w:rPr>
        <w:t xml:space="preserve">drug-free </w:t>
      </w:r>
      <w:r>
        <w:rPr>
          <w:rFonts w:ascii="Times New Roman" w:hAnsi="Times New Roman" w:cs="Times New Roman"/>
          <w:sz w:val="24"/>
          <w:szCs w:val="24"/>
        </w:rPr>
        <w:t xml:space="preserve">plasma or </w:t>
      </w:r>
      <w:r w:rsidRPr="002E73E1">
        <w:rPr>
          <w:rFonts w:ascii="Times New Roman" w:hAnsi="Times New Roman" w:cs="Times New Roman"/>
          <w:sz w:val="24"/>
          <w:szCs w:val="24"/>
        </w:rPr>
        <w:t>PBS</w:t>
      </w:r>
      <w:r w:rsidRPr="00E669EC">
        <w:rPr>
          <w:rFonts w:ascii="Times New Roman" w:hAnsi="Times New Roman" w:cs="Times New Roman"/>
          <w:sz w:val="24"/>
          <w:szCs w:val="24"/>
        </w:rPr>
        <w:t xml:space="preserve">. </w:t>
      </w:r>
      <w:r w:rsidRPr="00541009">
        <w:rPr>
          <w:rFonts w:ascii="Times New Roman" w:hAnsi="Times New Roman" w:cs="Times New Roman"/>
          <w:sz w:val="24"/>
          <w:szCs w:val="24"/>
        </w:rPr>
        <w:t>The internal standard</w:t>
      </w:r>
      <w:r w:rsidR="004D1E5D">
        <w:rPr>
          <w:rFonts w:ascii="Times New Roman" w:hAnsi="Times New Roman" w:cs="Times New Roman"/>
          <w:sz w:val="24"/>
          <w:szCs w:val="24"/>
        </w:rPr>
        <w:t xml:space="preserve"> (IS)</w:t>
      </w:r>
      <w:r w:rsidRPr="00541009">
        <w:rPr>
          <w:rFonts w:ascii="Times New Roman" w:hAnsi="Times New Roman" w:cs="Times New Roman"/>
          <w:sz w:val="24"/>
          <w:szCs w:val="24"/>
        </w:rPr>
        <w:t xml:space="preserve"> working solutions for plasma (5 </w:t>
      </w:r>
      <w:r>
        <w:rPr>
          <w:rFonts w:ascii="Times New Roman" w:hAnsi="Times New Roman" w:cs="Times New Roman"/>
          <w:sz w:val="24"/>
          <w:szCs w:val="24"/>
        </w:rPr>
        <w:t>μ</w:t>
      </w:r>
      <w:r w:rsidRPr="00541009">
        <w:rPr>
          <w:rFonts w:ascii="Times New Roman" w:hAnsi="Times New Roman" w:cs="Times New Roman"/>
          <w:sz w:val="24"/>
          <w:szCs w:val="24"/>
        </w:rPr>
        <w:t>g/</w:t>
      </w:r>
      <w:r w:rsidR="00AD3EA3">
        <w:rPr>
          <w:rFonts w:ascii="Times New Roman" w:hAnsi="Times New Roman" w:cs="Times New Roman"/>
          <w:sz w:val="24"/>
          <w:szCs w:val="24"/>
        </w:rPr>
        <w:t>ml</w:t>
      </w:r>
      <w:r w:rsidRPr="00541009">
        <w:rPr>
          <w:rFonts w:ascii="Times New Roman" w:hAnsi="Times New Roman" w:cs="Times New Roman"/>
          <w:sz w:val="24"/>
          <w:szCs w:val="24"/>
        </w:rPr>
        <w:t xml:space="preserve"> of </w:t>
      </w:r>
      <w:r w:rsidR="004D1E5D" w:rsidRPr="00885EB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13</w:t>
      </w:r>
      <w:r w:rsidR="004D1E5D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4D1E5D" w:rsidRPr="00885EB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15</w:t>
      </w:r>
      <w:r w:rsidR="004D1E5D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4D1E5D" w:rsidRPr="00885EB1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4D1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-EIDD-2801 and </w:t>
      </w:r>
      <w:r w:rsidR="004D1E5D" w:rsidRPr="00F772D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13</w:t>
      </w:r>
      <w:r w:rsidR="004D1E5D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4D1E5D" w:rsidRPr="00F772D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15</w:t>
      </w:r>
      <w:r w:rsidR="004D1E5D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4D1E5D" w:rsidRPr="00F772D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4D1E5D">
        <w:rPr>
          <w:rFonts w:ascii="Times New Roman" w:hAnsi="Times New Roman" w:cs="Times New Roman"/>
          <w:sz w:val="24"/>
          <w:szCs w:val="24"/>
          <w:shd w:val="clear" w:color="auto" w:fill="FFFFFF"/>
        </w:rPr>
        <w:t>-N4-Hydroxycytidine</w:t>
      </w:r>
      <w:r w:rsidRPr="00541009">
        <w:rPr>
          <w:rFonts w:ascii="Times New Roman" w:hAnsi="Times New Roman" w:cs="Times New Roman"/>
          <w:sz w:val="24"/>
          <w:szCs w:val="24"/>
        </w:rPr>
        <w:t>) and saliva (2.5 ng/</w:t>
      </w:r>
      <w:r w:rsidR="00AD3EA3">
        <w:rPr>
          <w:rFonts w:ascii="Times New Roman" w:hAnsi="Times New Roman" w:cs="Times New Roman"/>
          <w:sz w:val="24"/>
          <w:szCs w:val="24"/>
        </w:rPr>
        <w:t>ml</w:t>
      </w:r>
      <w:r w:rsidRPr="00541009">
        <w:rPr>
          <w:rFonts w:ascii="Times New Roman" w:hAnsi="Times New Roman" w:cs="Times New Roman"/>
          <w:sz w:val="24"/>
          <w:szCs w:val="24"/>
        </w:rPr>
        <w:t xml:space="preserve"> of </w:t>
      </w:r>
      <w:r w:rsidR="004D1E5D" w:rsidRPr="00885EB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13</w:t>
      </w:r>
      <w:r w:rsidR="004D1E5D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4D1E5D" w:rsidRPr="00885EB1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15</w:t>
      </w:r>
      <w:r w:rsidR="004D1E5D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4D1E5D" w:rsidRPr="00885EB1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4D1E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-EIDD-2801 and </w:t>
      </w:r>
      <w:r w:rsidR="004D1E5D" w:rsidRPr="00F772D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13</w:t>
      </w:r>
      <w:r w:rsidR="004D1E5D"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4D1E5D" w:rsidRPr="00F772D4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15</w:t>
      </w:r>
      <w:r w:rsidR="004D1E5D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4D1E5D" w:rsidRPr="00F772D4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="004D1E5D">
        <w:rPr>
          <w:rFonts w:ascii="Times New Roman" w:hAnsi="Times New Roman" w:cs="Times New Roman"/>
          <w:sz w:val="24"/>
          <w:szCs w:val="24"/>
          <w:shd w:val="clear" w:color="auto" w:fill="FFFFFF"/>
        </w:rPr>
        <w:t>-N4-Hydroxycytidine</w:t>
      </w:r>
      <w:r w:rsidRPr="00541009">
        <w:rPr>
          <w:rFonts w:ascii="Times New Roman" w:hAnsi="Times New Roman" w:cs="Times New Roman"/>
          <w:sz w:val="24"/>
          <w:szCs w:val="24"/>
        </w:rPr>
        <w:t>) were prepared in methanol.</w:t>
      </w:r>
    </w:p>
    <w:p w:rsidR="00DE6041" w:rsidRPr="00E669EC" w:rsidRDefault="00DE6041" w:rsidP="00966D2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E669EC">
        <w:rPr>
          <w:rFonts w:ascii="Times New Roman" w:hAnsi="Times New Roman" w:cs="Times New Roman"/>
          <w:sz w:val="24"/>
          <w:szCs w:val="24"/>
        </w:rPr>
        <w:t>lasma</w:t>
      </w:r>
      <w:r>
        <w:rPr>
          <w:rFonts w:ascii="Times New Roman" w:hAnsi="Times New Roman" w:cs="Times New Roman"/>
          <w:sz w:val="24"/>
          <w:szCs w:val="24"/>
        </w:rPr>
        <w:t xml:space="preserve"> and saliva </w:t>
      </w:r>
      <w:r w:rsidRPr="00E669EC">
        <w:rPr>
          <w:rFonts w:ascii="Times New Roman" w:hAnsi="Times New Roman" w:cs="Times New Roman"/>
          <w:sz w:val="24"/>
          <w:szCs w:val="24"/>
        </w:rPr>
        <w:t xml:space="preserve">working calibration </w:t>
      </w:r>
      <w:r>
        <w:rPr>
          <w:rFonts w:ascii="Times New Roman" w:hAnsi="Times New Roman" w:cs="Times New Roman"/>
          <w:sz w:val="24"/>
          <w:szCs w:val="24"/>
        </w:rPr>
        <w:t>standards</w:t>
      </w:r>
      <w:r w:rsidRPr="00E669EC">
        <w:rPr>
          <w:rFonts w:ascii="Times New Roman" w:hAnsi="Times New Roman" w:cs="Times New Roman"/>
          <w:sz w:val="24"/>
          <w:szCs w:val="24"/>
        </w:rPr>
        <w:t xml:space="preserve"> were prepared from </w:t>
      </w:r>
      <w:r>
        <w:rPr>
          <w:rFonts w:ascii="Times New Roman" w:hAnsi="Times New Roman" w:cs="Times New Roman"/>
          <w:sz w:val="24"/>
          <w:szCs w:val="24"/>
        </w:rPr>
        <w:t>the three concentrations above</w:t>
      </w:r>
      <w:r w:rsidRPr="00E669EC">
        <w:rPr>
          <w:rFonts w:ascii="Times New Roman" w:hAnsi="Times New Roman" w:cs="Times New Roman"/>
          <w:sz w:val="24"/>
          <w:szCs w:val="24"/>
        </w:rPr>
        <w:t xml:space="preserve"> by diluting in the appropriate volume </w:t>
      </w:r>
      <w:r>
        <w:rPr>
          <w:rFonts w:ascii="Times New Roman" w:hAnsi="Times New Roman" w:cs="Times New Roman"/>
          <w:sz w:val="24"/>
          <w:szCs w:val="24"/>
        </w:rPr>
        <w:t>of blank</w:t>
      </w:r>
      <w:r w:rsidR="00E406B2">
        <w:rPr>
          <w:rFonts w:ascii="Times New Roman" w:hAnsi="Times New Roman" w:cs="Times New Roman"/>
          <w:sz w:val="24"/>
          <w:szCs w:val="24"/>
        </w:rPr>
        <w:t>,</w:t>
      </w:r>
      <w:r w:rsidR="004D1E5D">
        <w:rPr>
          <w:rFonts w:ascii="Times New Roman" w:hAnsi="Times New Roman" w:cs="Times New Roman"/>
          <w:sz w:val="24"/>
          <w:szCs w:val="24"/>
        </w:rPr>
        <w:t xml:space="preserve"> drug-free</w:t>
      </w:r>
      <w:r>
        <w:rPr>
          <w:rFonts w:ascii="Times New Roman" w:hAnsi="Times New Roman" w:cs="Times New Roman"/>
          <w:sz w:val="24"/>
          <w:szCs w:val="24"/>
        </w:rPr>
        <w:t xml:space="preserve"> matrix </w:t>
      </w:r>
      <w:r w:rsidRPr="00E669EC">
        <w:rPr>
          <w:rFonts w:ascii="Times New Roman" w:hAnsi="Times New Roman" w:cs="Times New Roman"/>
          <w:sz w:val="24"/>
          <w:szCs w:val="24"/>
        </w:rPr>
        <w:t xml:space="preserve">to </w:t>
      </w:r>
      <w:r w:rsidR="004838A3">
        <w:rPr>
          <w:rFonts w:ascii="Times New Roman" w:hAnsi="Times New Roman" w:cs="Times New Roman"/>
          <w:sz w:val="24"/>
          <w:szCs w:val="24"/>
        </w:rPr>
        <w:t xml:space="preserve">produce </w:t>
      </w:r>
      <w:r w:rsidRPr="00E669EC">
        <w:rPr>
          <w:rFonts w:ascii="Times New Roman" w:hAnsi="Times New Roman" w:cs="Times New Roman"/>
          <w:sz w:val="24"/>
          <w:szCs w:val="24"/>
        </w:rPr>
        <w:t>a final concentration of</w:t>
      </w:r>
      <w:r>
        <w:rPr>
          <w:rFonts w:ascii="Times New Roman" w:hAnsi="Times New Roman" w:cs="Times New Roman"/>
          <w:sz w:val="24"/>
          <w:szCs w:val="24"/>
        </w:rPr>
        <w:t xml:space="preserve"> 2.5</w:t>
      </w:r>
      <w:r w:rsidRPr="00E669E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6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0, 25, 62.5, 125, 750, 2500, 4000 </w:t>
      </w:r>
      <w:r w:rsidRPr="00E669EC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5000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669EC">
        <w:rPr>
          <w:rFonts w:ascii="Times New Roman" w:hAnsi="Times New Roman" w:cs="Times New Roman"/>
          <w:sz w:val="24"/>
          <w:szCs w:val="24"/>
        </w:rPr>
        <w:t>g/</w:t>
      </w:r>
      <w:r w:rsidR="00AD3EA3">
        <w:rPr>
          <w:rFonts w:ascii="Times New Roman" w:hAnsi="Times New Roman" w:cs="Times New Roman"/>
          <w:sz w:val="24"/>
          <w:szCs w:val="24"/>
        </w:rPr>
        <w:t>ml</w:t>
      </w:r>
      <w:r w:rsidRPr="00E66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73E1" w:rsidRDefault="00DE6041" w:rsidP="00966D2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EC">
        <w:rPr>
          <w:rFonts w:ascii="Times New Roman" w:hAnsi="Times New Roman" w:cs="Times New Roman"/>
          <w:sz w:val="24"/>
          <w:szCs w:val="24"/>
        </w:rPr>
        <w:t xml:space="preserve">Quality Control (QC) samples were prepared from the </w:t>
      </w:r>
      <w:r w:rsidR="00180761">
        <w:rPr>
          <w:rFonts w:ascii="Times New Roman" w:hAnsi="Times New Roman" w:cs="Times New Roman"/>
          <w:sz w:val="24"/>
          <w:szCs w:val="24"/>
        </w:rPr>
        <w:t>MPV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180761">
        <w:rPr>
          <w:rFonts w:ascii="Times New Roman" w:hAnsi="Times New Roman" w:cs="Times New Roman"/>
          <w:sz w:val="24"/>
          <w:szCs w:val="24"/>
        </w:rPr>
        <w:t>NHC</w:t>
      </w:r>
      <w:r w:rsidRPr="00E669EC">
        <w:rPr>
          <w:rFonts w:ascii="Times New Roman" w:hAnsi="Times New Roman" w:cs="Times New Roman"/>
          <w:sz w:val="24"/>
          <w:szCs w:val="24"/>
        </w:rPr>
        <w:t xml:space="preserve"> primary stock. These consisted of High QC (</w:t>
      </w:r>
      <w:r>
        <w:rPr>
          <w:rFonts w:ascii="Times New Roman" w:hAnsi="Times New Roman" w:cs="Times New Roman"/>
          <w:sz w:val="24"/>
          <w:szCs w:val="24"/>
        </w:rPr>
        <w:t>4200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669EC">
        <w:rPr>
          <w:rFonts w:ascii="Times New Roman" w:hAnsi="Times New Roman" w:cs="Times New Roman"/>
          <w:sz w:val="24"/>
          <w:szCs w:val="24"/>
        </w:rPr>
        <w:t>g/</w:t>
      </w:r>
      <w:r w:rsidR="00AD3EA3">
        <w:rPr>
          <w:rFonts w:ascii="Times New Roman" w:hAnsi="Times New Roman" w:cs="Times New Roman"/>
          <w:sz w:val="24"/>
          <w:szCs w:val="24"/>
        </w:rPr>
        <w:t>ml</w:t>
      </w:r>
      <w:r w:rsidRPr="00E669EC">
        <w:rPr>
          <w:rFonts w:ascii="Times New Roman" w:hAnsi="Times New Roman" w:cs="Times New Roman"/>
          <w:sz w:val="24"/>
          <w:szCs w:val="24"/>
        </w:rPr>
        <w:t>), Medium QC (</w:t>
      </w:r>
      <w:r>
        <w:rPr>
          <w:rFonts w:ascii="Times New Roman" w:hAnsi="Times New Roman" w:cs="Times New Roman"/>
          <w:sz w:val="24"/>
          <w:szCs w:val="24"/>
        </w:rPr>
        <w:t>42</w:t>
      </w:r>
      <w:r w:rsidRPr="00E669EC">
        <w:rPr>
          <w:rFonts w:ascii="Times New Roman" w:hAnsi="Times New Roman" w:cs="Times New Roman"/>
          <w:sz w:val="24"/>
          <w:szCs w:val="24"/>
        </w:rPr>
        <w:t>0 ng/</w:t>
      </w:r>
      <w:r w:rsidR="00AD3EA3">
        <w:rPr>
          <w:rFonts w:ascii="Times New Roman" w:hAnsi="Times New Roman" w:cs="Times New Roman"/>
          <w:sz w:val="24"/>
          <w:szCs w:val="24"/>
        </w:rPr>
        <w:t>ml</w:t>
      </w:r>
      <w:r w:rsidRPr="00E669EC">
        <w:rPr>
          <w:rFonts w:ascii="Times New Roman" w:hAnsi="Times New Roman" w:cs="Times New Roman"/>
          <w:sz w:val="24"/>
          <w:szCs w:val="24"/>
        </w:rPr>
        <w:t>), Low QC (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669EC">
        <w:rPr>
          <w:rFonts w:ascii="Times New Roman" w:hAnsi="Times New Roman" w:cs="Times New Roman"/>
          <w:sz w:val="24"/>
          <w:szCs w:val="24"/>
        </w:rPr>
        <w:t>.3 ng/</w:t>
      </w:r>
      <w:r w:rsidR="00AD3EA3">
        <w:rPr>
          <w:rFonts w:ascii="Times New Roman" w:hAnsi="Times New Roman" w:cs="Times New Roman"/>
          <w:sz w:val="24"/>
          <w:szCs w:val="24"/>
        </w:rPr>
        <w:t>ml</w:t>
      </w:r>
      <w:r w:rsidRPr="00E669EC">
        <w:rPr>
          <w:rFonts w:ascii="Times New Roman" w:hAnsi="Times New Roman" w:cs="Times New Roman"/>
          <w:sz w:val="24"/>
          <w:szCs w:val="24"/>
        </w:rPr>
        <w:t xml:space="preserve">) and </w:t>
      </w:r>
      <w:r>
        <w:rPr>
          <w:rFonts w:ascii="Times New Roman" w:hAnsi="Times New Roman" w:cs="Times New Roman"/>
          <w:sz w:val="24"/>
          <w:szCs w:val="24"/>
        </w:rPr>
        <w:t>the lower limit of quantification (</w:t>
      </w:r>
      <w:r w:rsidR="00AD3EA3">
        <w:rPr>
          <w:rFonts w:ascii="Times New Roman" w:hAnsi="Times New Roman" w:cs="Times New Roman"/>
          <w:sz w:val="24"/>
          <w:szCs w:val="24"/>
        </w:rPr>
        <w:t>LLOQ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6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669EC">
        <w:rPr>
          <w:rFonts w:ascii="Times New Roman" w:hAnsi="Times New Roman" w:cs="Times New Roman"/>
          <w:sz w:val="24"/>
          <w:szCs w:val="24"/>
        </w:rPr>
        <w:t xml:space="preserve"> ng/</w:t>
      </w:r>
      <w:r w:rsidR="00AD3EA3">
        <w:rPr>
          <w:rFonts w:ascii="Times New Roman" w:hAnsi="Times New Roman" w:cs="Times New Roman"/>
          <w:sz w:val="24"/>
          <w:szCs w:val="24"/>
        </w:rPr>
        <w:t>ml</w:t>
      </w:r>
      <w:r w:rsidRPr="00E669EC">
        <w:rPr>
          <w:rFonts w:ascii="Times New Roman" w:hAnsi="Times New Roman" w:cs="Times New Roman"/>
          <w:sz w:val="24"/>
          <w:szCs w:val="24"/>
        </w:rPr>
        <w:t xml:space="preserve">) for plasma and </w:t>
      </w:r>
      <w:r>
        <w:rPr>
          <w:rFonts w:ascii="Times New Roman" w:hAnsi="Times New Roman" w:cs="Times New Roman"/>
          <w:sz w:val="24"/>
          <w:szCs w:val="24"/>
        </w:rPr>
        <w:t>saliva</w:t>
      </w:r>
      <w:r w:rsidRPr="00E669EC">
        <w:rPr>
          <w:rFonts w:ascii="Times New Roman" w:hAnsi="Times New Roman" w:cs="Times New Roman"/>
          <w:sz w:val="24"/>
          <w:szCs w:val="24"/>
        </w:rPr>
        <w:t>.</w:t>
      </w:r>
      <w:r w:rsidRPr="00537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041" w:rsidRPr="00E669EC" w:rsidRDefault="00DE6041" w:rsidP="00966D2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E669EC">
        <w:rPr>
          <w:rFonts w:ascii="Times New Roman" w:hAnsi="Times New Roman" w:cs="Times New Roman"/>
          <w:sz w:val="24"/>
          <w:szCs w:val="24"/>
        </w:rPr>
        <w:t xml:space="preserve">tandards </w:t>
      </w:r>
      <w:r>
        <w:rPr>
          <w:rFonts w:ascii="Times New Roman" w:hAnsi="Times New Roman" w:cs="Times New Roman"/>
          <w:sz w:val="24"/>
          <w:szCs w:val="24"/>
        </w:rPr>
        <w:t xml:space="preserve">and quality control samples </w:t>
      </w:r>
      <w:r w:rsidRPr="00E669EC">
        <w:rPr>
          <w:rFonts w:ascii="Times New Roman" w:hAnsi="Times New Roman" w:cs="Times New Roman"/>
          <w:sz w:val="24"/>
          <w:szCs w:val="24"/>
        </w:rPr>
        <w:t xml:space="preserve">were prepared </w:t>
      </w:r>
      <w:r w:rsidR="002E73E1">
        <w:rPr>
          <w:rFonts w:ascii="Times New Roman" w:hAnsi="Times New Roman" w:cs="Times New Roman"/>
          <w:sz w:val="24"/>
          <w:szCs w:val="24"/>
        </w:rPr>
        <w:t>fresh on the day of analysis</w:t>
      </w:r>
      <w:r w:rsidR="0067166C">
        <w:rPr>
          <w:rFonts w:ascii="Times New Roman" w:hAnsi="Times New Roman" w:cs="Times New Roman"/>
          <w:sz w:val="24"/>
          <w:szCs w:val="24"/>
        </w:rPr>
        <w:t xml:space="preserve">, </w:t>
      </w:r>
      <w:r w:rsidR="0067166C" w:rsidRPr="0067166C">
        <w:rPr>
          <w:rFonts w:ascii="Times New Roman" w:hAnsi="Times New Roman" w:cs="Times New Roman"/>
          <w:sz w:val="24"/>
          <w:szCs w:val="24"/>
        </w:rPr>
        <w:t xml:space="preserve">to prevent </w:t>
      </w:r>
      <w:r w:rsidR="0067166C">
        <w:rPr>
          <w:rFonts w:ascii="Times New Roman" w:hAnsi="Times New Roman" w:cs="Times New Roman"/>
          <w:sz w:val="24"/>
          <w:szCs w:val="24"/>
        </w:rPr>
        <w:t>analyte inter</w:t>
      </w:r>
      <w:r w:rsidR="0067166C" w:rsidRPr="0067166C">
        <w:rPr>
          <w:rFonts w:ascii="Times New Roman" w:hAnsi="Times New Roman" w:cs="Times New Roman"/>
          <w:sz w:val="24"/>
          <w:szCs w:val="24"/>
        </w:rPr>
        <w:t>conversion</w:t>
      </w:r>
      <w:r w:rsidR="0067166C">
        <w:rPr>
          <w:rFonts w:ascii="Times New Roman" w:hAnsi="Times New Roman" w:cs="Times New Roman"/>
          <w:sz w:val="24"/>
          <w:szCs w:val="24"/>
        </w:rPr>
        <w:t>,</w:t>
      </w:r>
      <w:r w:rsidR="002E73E1"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>using calibrated air-displacement pipettes.</w:t>
      </w:r>
    </w:p>
    <w:p w:rsidR="00DE6041" w:rsidRPr="00E669EC" w:rsidRDefault="00DE6041" w:rsidP="00DE60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D3A57" w:rsidRDefault="00A57E4A" w:rsidP="00F62A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2.4. </w:t>
      </w:r>
      <w:bookmarkStart w:id="2" w:name="_Hlk72913581"/>
      <w:r w:rsidR="00FD3A57" w:rsidRPr="00A57E4A">
        <w:rPr>
          <w:rFonts w:ascii="Times New Roman" w:hAnsi="Times New Roman" w:cs="Times New Roman"/>
          <w:b/>
          <w:sz w:val="24"/>
          <w:szCs w:val="24"/>
        </w:rPr>
        <w:t xml:space="preserve">Clinical Study </w:t>
      </w:r>
      <w:r w:rsidR="004D1E5D">
        <w:rPr>
          <w:rFonts w:ascii="Times New Roman" w:hAnsi="Times New Roman" w:cs="Times New Roman"/>
          <w:b/>
          <w:sz w:val="24"/>
          <w:szCs w:val="24"/>
        </w:rPr>
        <w:t>set-up and s</w:t>
      </w:r>
      <w:r w:rsidR="00FD3A57" w:rsidRPr="00A57E4A">
        <w:rPr>
          <w:rFonts w:ascii="Times New Roman" w:hAnsi="Times New Roman" w:cs="Times New Roman"/>
          <w:b/>
          <w:sz w:val="24"/>
          <w:szCs w:val="24"/>
        </w:rPr>
        <w:t>ample</w:t>
      </w:r>
      <w:r w:rsidR="004D1E5D">
        <w:rPr>
          <w:rFonts w:ascii="Times New Roman" w:hAnsi="Times New Roman" w:cs="Times New Roman"/>
          <w:b/>
          <w:sz w:val="24"/>
          <w:szCs w:val="24"/>
        </w:rPr>
        <w:t xml:space="preserve"> collection</w:t>
      </w:r>
      <w:r w:rsidR="00FD3A57" w:rsidRPr="00A57E4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"/>
    </w:p>
    <w:p w:rsidR="00A4444B" w:rsidRDefault="00A4444B" w:rsidP="00A4444B">
      <w:pPr>
        <w:spacing w:after="240" w:line="36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Following development and validation of our plasma and saliva assays, we analysed clinical samples from XX subjects enrolled into a phase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1b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clinical trial of molnupiravir.  </w:t>
      </w:r>
      <w:r w:rsidRPr="006C262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AGILE</w:t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94242">
        <w:rPr>
          <w:rFonts w:ascii="Times New Roman" w:eastAsia="Times New Roman" w:hAnsi="Times New Roman" w:cs="Times New Roman"/>
          <w:bCs/>
          <w:sz w:val="24"/>
          <w:szCs w:val="24"/>
        </w:rPr>
        <w:t>CST-2 trial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A4444B">
        <w:rPr>
          <w:rFonts w:ascii="Times New Roman" w:hAnsi="Times New Roman" w:cs="Times New Roman"/>
          <w:sz w:val="24"/>
          <w:szCs w:val="24"/>
        </w:rPr>
        <w:t>linicaltrials.gov</w:t>
      </w:r>
      <w:proofErr w:type="spellEnd"/>
      <w:r w:rsidRPr="00A4444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4444B">
        <w:rPr>
          <w:rFonts w:ascii="Times New Roman" w:hAnsi="Times New Roman" w:cs="Times New Roman"/>
          <w:sz w:val="24"/>
          <w:szCs w:val="24"/>
        </w:rPr>
        <w:t>NCT04746183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6C262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is a</w:t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n open-label, Bayesian</w:t>
      </w:r>
      <w:r w:rsidRPr="006C262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adaptive, seamless phase </w:t>
      </w:r>
      <w:proofErr w:type="spellStart"/>
      <w:r w:rsidRPr="006C262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I</w:t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b</w:t>
      </w:r>
      <w:proofErr w:type="spellEnd"/>
      <w:r w:rsidRPr="006C262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/</w:t>
      </w:r>
      <w:proofErr w:type="spellStart"/>
      <w:r w:rsidRPr="006C262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II</w:t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a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C262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trial to determining the optimal dose, activity and safety of </w:t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molnupiravir</w:t>
      </w:r>
      <w:r w:rsidRPr="006C262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for the treatment of COVID-19</w:t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.  </w:t>
      </w:r>
    </w:p>
    <w:p w:rsidR="00A4444B" w:rsidRPr="006C262A" w:rsidRDefault="00A4444B" w:rsidP="00A4444B">
      <w:pPr>
        <w:spacing w:after="240" w:line="36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Subjects with PCR-confirmed SARS-CoV-2 infection who had mild-to-moderate disease and who were not hospitalised were enrolled within 5 days of developing symptoms and randomly allocated with a 2:1 ratio to either molnupiravir (administered twice daily (bd)) or standard of care. Molnupiravir dosing was increased in cycles (each with six subjects: four treated and two standard of care) at pre-specified dosing tiers of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300mg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bd,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400mg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bd,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600mg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bd and </w:t>
      </w:r>
      <w:proofErr w:type="spellStart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800mg</w:t>
      </w:r>
      <w:proofErr w:type="spellEnd"/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bd orally; a dosing tier could be skipped if the Bayesian dose-toxicity model suggested this was safe. Details of the trial design are available in pre-print [</w:t>
      </w:r>
      <w:r w:rsidR="005F01AF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8</w:t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].</w:t>
      </w:r>
    </w:p>
    <w:p w:rsidR="00FD3A57" w:rsidRDefault="004D1E5D" w:rsidP="004D1E5D">
      <w:pPr>
        <w:spacing w:after="24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262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Blood was drawn at different time points after drug administration. </w:t>
      </w:r>
      <w:r w:rsidR="00694242">
        <w:rPr>
          <w:rFonts w:ascii="Times New Roman" w:eastAsia="Times New Roman" w:hAnsi="Times New Roman" w:cs="Times New Roman"/>
          <w:bCs/>
          <w:sz w:val="24"/>
          <w:szCs w:val="24"/>
        </w:rPr>
        <w:t xml:space="preserve">Saliva and </w:t>
      </w:r>
      <w:r w:rsidR="00FD3A57">
        <w:rPr>
          <w:rFonts w:ascii="Times New Roman" w:eastAsia="Times New Roman" w:hAnsi="Times New Roman" w:cs="Times New Roman"/>
          <w:bCs/>
          <w:sz w:val="24"/>
          <w:szCs w:val="24"/>
        </w:rPr>
        <w:t>EDTA w</w:t>
      </w:r>
      <w:r w:rsidR="00FD3A57" w:rsidRPr="00694242">
        <w:rPr>
          <w:rFonts w:ascii="Times New Roman" w:eastAsia="Times New Roman" w:hAnsi="Times New Roman" w:cs="Times New Roman"/>
          <w:bCs/>
          <w:sz w:val="24"/>
          <w:szCs w:val="24"/>
        </w:rPr>
        <w:t>hole blood (</w:t>
      </w:r>
      <w:r w:rsidR="00FD3A57">
        <w:rPr>
          <w:rFonts w:ascii="Times New Roman" w:eastAsia="Times New Roman" w:hAnsi="Times New Roman" w:cs="Times New Roman"/>
          <w:bCs/>
          <w:sz w:val="24"/>
          <w:szCs w:val="24"/>
        </w:rPr>
        <w:t xml:space="preserve">2 </w:t>
      </w:r>
      <w:r w:rsidR="00AD3EA3">
        <w:rPr>
          <w:rFonts w:ascii="Times New Roman" w:eastAsia="Times New Roman" w:hAnsi="Times New Roman" w:cs="Times New Roman"/>
          <w:bCs/>
          <w:sz w:val="24"/>
          <w:szCs w:val="24"/>
        </w:rPr>
        <w:t>ml</w:t>
      </w:r>
      <w:r w:rsidR="00FD3A57" w:rsidRPr="00694242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FD3A5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94242">
        <w:rPr>
          <w:rFonts w:ascii="Times New Roman" w:eastAsia="Times New Roman" w:hAnsi="Times New Roman" w:cs="Times New Roman"/>
          <w:bCs/>
          <w:sz w:val="24"/>
          <w:szCs w:val="24"/>
        </w:rPr>
        <w:t xml:space="preserve">samples </w:t>
      </w:r>
      <w:r w:rsidR="00FD3A57" w:rsidRPr="00FD3A57">
        <w:rPr>
          <w:rFonts w:ascii="Times New Roman" w:eastAsia="Times New Roman" w:hAnsi="Times New Roman" w:cs="Times New Roman"/>
          <w:bCs/>
          <w:sz w:val="24"/>
          <w:szCs w:val="24"/>
        </w:rPr>
        <w:t>were collected from consented study subjects</w:t>
      </w:r>
      <w:r w:rsidR="0069424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94242" w:rsidRPr="00694242">
        <w:rPr>
          <w:rFonts w:ascii="Times New Roman" w:eastAsia="Times New Roman" w:hAnsi="Times New Roman" w:cs="Times New Roman"/>
          <w:bCs/>
          <w:sz w:val="24"/>
          <w:szCs w:val="24"/>
        </w:rPr>
        <w:t>Saliva</w:t>
      </w:r>
      <w:r w:rsidR="00694242">
        <w:rPr>
          <w:rFonts w:ascii="Times New Roman" w:eastAsia="Times New Roman" w:hAnsi="Times New Roman" w:cs="Times New Roman"/>
          <w:bCs/>
          <w:sz w:val="24"/>
          <w:szCs w:val="24"/>
        </w:rPr>
        <w:t xml:space="preserve"> was </w:t>
      </w:r>
      <w:r w:rsidR="00694242" w:rsidRPr="00694242">
        <w:rPr>
          <w:rFonts w:ascii="Times New Roman" w:eastAsia="Times New Roman" w:hAnsi="Times New Roman" w:cs="Times New Roman"/>
          <w:bCs/>
          <w:sz w:val="24"/>
          <w:szCs w:val="24"/>
        </w:rPr>
        <w:t>collected using Salivette</w:t>
      </w:r>
      <w:r w:rsidR="00694242" w:rsidRPr="00694242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TM</w:t>
      </w:r>
      <w:r w:rsidR="00694242" w:rsidRPr="00694242">
        <w:rPr>
          <w:rFonts w:ascii="Times New Roman" w:eastAsia="Times New Roman" w:hAnsi="Times New Roman" w:cs="Times New Roman"/>
          <w:bCs/>
          <w:sz w:val="24"/>
          <w:szCs w:val="24"/>
        </w:rPr>
        <w:t xml:space="preserve"> tubes</w:t>
      </w:r>
      <w:r w:rsidR="00F62A79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="00563BF8" w:rsidRPr="00563BF8">
        <w:rPr>
          <w:rFonts w:ascii="Times New Roman" w:eastAsia="Times New Roman" w:hAnsi="Times New Roman" w:cs="Times New Roman"/>
          <w:bCs/>
          <w:sz w:val="24"/>
          <w:szCs w:val="24"/>
        </w:rPr>
        <w:t>Sarstedt Ltd</w:t>
      </w:r>
      <w:r w:rsidR="00563BF8">
        <w:rPr>
          <w:rFonts w:ascii="Times New Roman" w:eastAsia="Times New Roman" w:hAnsi="Times New Roman" w:cs="Times New Roman"/>
          <w:bCs/>
          <w:sz w:val="24"/>
          <w:szCs w:val="24"/>
        </w:rPr>
        <w:t>, UK)</w:t>
      </w:r>
      <w:r w:rsidR="001D6DA1">
        <w:rPr>
          <w:rFonts w:ascii="Times New Roman" w:eastAsia="Times New Roman" w:hAnsi="Times New Roman" w:cs="Times New Roman"/>
          <w:bCs/>
          <w:sz w:val="24"/>
          <w:szCs w:val="24"/>
        </w:rPr>
        <w:t>. In brief, t</w:t>
      </w:r>
      <w:r w:rsidR="00694242" w:rsidRPr="00694242">
        <w:rPr>
          <w:rFonts w:ascii="Times New Roman" w:eastAsia="Times New Roman" w:hAnsi="Times New Roman" w:cs="Times New Roman"/>
          <w:bCs/>
          <w:sz w:val="24"/>
          <w:szCs w:val="24"/>
        </w:rPr>
        <w:t>he patient chews on the salivette swab for approximately 60 seconds after which the swab is returned to the Salivette</w:t>
      </w:r>
      <w:r w:rsidR="00222A05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centrifuged to yield liquid saliva</w:t>
      </w:r>
      <w:r w:rsidR="00694242" w:rsidRPr="00694242">
        <w:rPr>
          <w:rFonts w:ascii="Times New Roman" w:eastAsia="Times New Roman" w:hAnsi="Times New Roman" w:cs="Times New Roman"/>
          <w:bCs/>
          <w:sz w:val="24"/>
          <w:szCs w:val="24"/>
        </w:rPr>
        <w:t xml:space="preserve">. Whole blood and saliva were collected on </w:t>
      </w:r>
      <w:r w:rsidR="00AF1D47">
        <w:rPr>
          <w:rFonts w:ascii="Times New Roman" w:eastAsia="Times New Roman" w:hAnsi="Times New Roman" w:cs="Times New Roman"/>
          <w:bCs/>
          <w:sz w:val="24"/>
          <w:szCs w:val="24"/>
        </w:rPr>
        <w:t>wet-</w:t>
      </w:r>
      <w:r w:rsidR="00694242" w:rsidRPr="00694242">
        <w:rPr>
          <w:rFonts w:ascii="Times New Roman" w:eastAsia="Times New Roman" w:hAnsi="Times New Roman" w:cs="Times New Roman"/>
          <w:bCs/>
          <w:sz w:val="24"/>
          <w:szCs w:val="24"/>
        </w:rPr>
        <w:t>ice until centrifugation (within 30 minutes</w:t>
      </w:r>
      <w:r w:rsidR="00694242">
        <w:rPr>
          <w:rFonts w:ascii="Times New Roman" w:eastAsia="Times New Roman" w:hAnsi="Times New Roman" w:cs="Times New Roman"/>
          <w:bCs/>
          <w:sz w:val="24"/>
          <w:szCs w:val="24"/>
        </w:rPr>
        <w:t xml:space="preserve"> of sample collection</w:t>
      </w:r>
      <w:r w:rsidR="00694242" w:rsidRPr="00694242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r w:rsidR="00A85FE8">
        <w:rPr>
          <w:rFonts w:ascii="Times New Roman" w:eastAsia="Times New Roman" w:hAnsi="Times New Roman" w:cs="Times New Roman"/>
          <w:bCs/>
          <w:sz w:val="24"/>
          <w:szCs w:val="24"/>
        </w:rPr>
        <w:t xml:space="preserve">In order to prevent </w:t>
      </w:r>
      <w:r w:rsidR="00E406B2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="00A85FE8" w:rsidRPr="00A85FE8">
        <w:rPr>
          <w:rFonts w:ascii="Times New Roman" w:eastAsia="Times New Roman" w:hAnsi="Times New Roman" w:cs="Times New Roman"/>
          <w:bCs/>
          <w:sz w:val="24"/>
          <w:szCs w:val="24"/>
        </w:rPr>
        <w:t xml:space="preserve">conversion of </w:t>
      </w:r>
      <w:r w:rsidR="00966D26">
        <w:rPr>
          <w:rFonts w:ascii="Times New Roman" w:eastAsia="Times New Roman" w:hAnsi="Times New Roman" w:cs="Times New Roman"/>
          <w:bCs/>
          <w:sz w:val="24"/>
          <w:szCs w:val="24"/>
        </w:rPr>
        <w:t>MPV</w:t>
      </w:r>
      <w:r w:rsidR="00A85FE8" w:rsidRPr="00A85FE8">
        <w:rPr>
          <w:rFonts w:ascii="Times New Roman" w:eastAsia="Times New Roman" w:hAnsi="Times New Roman" w:cs="Times New Roman"/>
          <w:bCs/>
          <w:sz w:val="24"/>
          <w:szCs w:val="24"/>
        </w:rPr>
        <w:t xml:space="preserve"> to </w:t>
      </w:r>
      <w:r w:rsidR="00966D26">
        <w:rPr>
          <w:rFonts w:ascii="Times New Roman" w:eastAsia="Times New Roman" w:hAnsi="Times New Roman" w:cs="Times New Roman"/>
          <w:bCs/>
          <w:sz w:val="24"/>
          <w:szCs w:val="24"/>
        </w:rPr>
        <w:t>NHC</w:t>
      </w:r>
      <w:r w:rsidR="00A85FE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AF1D47">
        <w:rPr>
          <w:rFonts w:ascii="Times New Roman" w:eastAsia="Times New Roman" w:hAnsi="Times New Roman" w:cs="Times New Roman"/>
          <w:bCs/>
          <w:sz w:val="24"/>
          <w:szCs w:val="24"/>
        </w:rPr>
        <w:t>plasma and saliva supernatants</w:t>
      </w:r>
      <w:r w:rsidR="00A85FE8" w:rsidRPr="00A85F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1D47">
        <w:rPr>
          <w:rFonts w:ascii="Times New Roman" w:eastAsia="Times New Roman" w:hAnsi="Times New Roman" w:cs="Times New Roman"/>
          <w:bCs/>
          <w:sz w:val="24"/>
          <w:szCs w:val="24"/>
        </w:rPr>
        <w:t>were</w:t>
      </w:r>
      <w:r w:rsidR="00A85FE8" w:rsidRPr="00A85FE8">
        <w:rPr>
          <w:rFonts w:ascii="Times New Roman" w:eastAsia="Times New Roman" w:hAnsi="Times New Roman" w:cs="Times New Roman"/>
          <w:bCs/>
          <w:sz w:val="24"/>
          <w:szCs w:val="24"/>
        </w:rPr>
        <w:t xml:space="preserve"> immediately</w:t>
      </w:r>
      <w:r w:rsidR="00AF1D47">
        <w:rPr>
          <w:rFonts w:ascii="Times New Roman" w:eastAsia="Times New Roman" w:hAnsi="Times New Roman" w:cs="Times New Roman"/>
          <w:bCs/>
          <w:sz w:val="24"/>
          <w:szCs w:val="24"/>
        </w:rPr>
        <w:t xml:space="preserve"> (within 10 minutes of centrifugation)</w:t>
      </w:r>
      <w:r w:rsidR="00A85FE8" w:rsidRPr="00A85FE8">
        <w:rPr>
          <w:rFonts w:ascii="Times New Roman" w:eastAsia="Times New Roman" w:hAnsi="Times New Roman" w:cs="Times New Roman"/>
          <w:bCs/>
          <w:sz w:val="24"/>
          <w:szCs w:val="24"/>
        </w:rPr>
        <w:t xml:space="preserve"> precipitated with acetonitrile </w:t>
      </w:r>
      <w:r w:rsidR="00AF1D47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AF1D47" w:rsidRPr="00C41A55">
        <w:rPr>
          <w:rFonts w:ascii="Times New Roman" w:eastAsia="Times New Roman" w:hAnsi="Times New Roman" w:cs="Times New Roman"/>
          <w:bCs/>
          <w:sz w:val="24"/>
          <w:szCs w:val="24"/>
        </w:rPr>
        <w:t>ratio</w:t>
      </w:r>
      <w:r w:rsidR="00AF1D47">
        <w:rPr>
          <w:rFonts w:ascii="Times New Roman" w:eastAsia="Times New Roman" w:hAnsi="Times New Roman" w:cs="Times New Roman"/>
          <w:bCs/>
          <w:sz w:val="24"/>
          <w:szCs w:val="24"/>
        </w:rPr>
        <w:t xml:space="preserve"> =</w:t>
      </w:r>
      <w:r w:rsidR="00AF1D47" w:rsidRPr="00C41A55">
        <w:rPr>
          <w:rFonts w:ascii="Times New Roman" w:eastAsia="Times New Roman" w:hAnsi="Times New Roman" w:cs="Times New Roman"/>
          <w:bCs/>
          <w:sz w:val="24"/>
          <w:szCs w:val="24"/>
        </w:rPr>
        <w:t xml:space="preserve"> 3:1</w:t>
      </w:r>
      <w:r w:rsidR="00966D2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F1D47" w:rsidRPr="00C41A5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F1D47">
        <w:rPr>
          <w:rFonts w:ascii="Times New Roman" w:eastAsia="Times New Roman" w:hAnsi="Times New Roman" w:cs="Times New Roman"/>
          <w:bCs/>
          <w:sz w:val="24"/>
          <w:szCs w:val="24"/>
        </w:rPr>
        <w:t>acetonitrile</w:t>
      </w:r>
      <w:r w:rsidR="00AF1D47" w:rsidRPr="00C41A55">
        <w:rPr>
          <w:rFonts w:ascii="Times New Roman" w:eastAsia="Times New Roman" w:hAnsi="Times New Roman" w:cs="Times New Roman"/>
          <w:bCs/>
          <w:sz w:val="24"/>
          <w:szCs w:val="24"/>
        </w:rPr>
        <w:t>:plasma v/v)</w:t>
      </w:r>
      <w:r w:rsidR="005B760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506065">
        <w:rPr>
          <w:rFonts w:ascii="Times New Roman" w:hAnsi="Times New Roman" w:cs="Times New Roman"/>
          <w:sz w:val="24"/>
          <w:szCs w:val="24"/>
        </w:rPr>
        <w:t>Exactly 150</w:t>
      </w:r>
      <w:r w:rsidR="00470D20">
        <w:rPr>
          <w:rFonts w:ascii="Times New Roman" w:hAnsi="Times New Roman" w:cs="Times New Roman"/>
          <w:sz w:val="24"/>
          <w:szCs w:val="24"/>
        </w:rPr>
        <w:t xml:space="preserve"> </w:t>
      </w:r>
      <w:r w:rsidR="00506065">
        <w:rPr>
          <w:rFonts w:ascii="Times New Roman" w:hAnsi="Times New Roman" w:cs="Times New Roman"/>
          <w:sz w:val="24"/>
          <w:szCs w:val="24"/>
        </w:rPr>
        <w:t>µL | 50</w:t>
      </w:r>
      <w:r w:rsidR="00506065" w:rsidRPr="00506065">
        <w:rPr>
          <w:rFonts w:ascii="Times New Roman" w:hAnsi="Times New Roman" w:cs="Times New Roman"/>
          <w:sz w:val="24"/>
          <w:szCs w:val="24"/>
        </w:rPr>
        <w:t xml:space="preserve"> </w:t>
      </w:r>
      <w:r w:rsidR="00506065">
        <w:rPr>
          <w:rFonts w:ascii="Times New Roman" w:hAnsi="Times New Roman" w:cs="Times New Roman"/>
          <w:sz w:val="24"/>
          <w:szCs w:val="24"/>
        </w:rPr>
        <w:t>µL of plasma | saliva was added to pre-labelled 2</w:t>
      </w:r>
      <w:r w:rsidR="005F01AF">
        <w:rPr>
          <w:rFonts w:ascii="Times New Roman" w:hAnsi="Times New Roman" w:cs="Times New Roman"/>
          <w:sz w:val="24"/>
          <w:szCs w:val="24"/>
        </w:rPr>
        <w:t xml:space="preserve"> </w:t>
      </w:r>
      <w:r w:rsidR="00AD3EA3">
        <w:rPr>
          <w:rFonts w:ascii="Times New Roman" w:hAnsi="Times New Roman" w:cs="Times New Roman"/>
          <w:sz w:val="24"/>
          <w:szCs w:val="24"/>
        </w:rPr>
        <w:t>ml</w:t>
      </w:r>
      <w:r w:rsidR="00506065">
        <w:rPr>
          <w:rFonts w:ascii="Times New Roman" w:hAnsi="Times New Roman" w:cs="Times New Roman"/>
          <w:sz w:val="24"/>
          <w:szCs w:val="24"/>
        </w:rPr>
        <w:t xml:space="preserve"> plastic cryovial tubes</w:t>
      </w:r>
      <w:r w:rsidR="00506065" w:rsidRPr="0067166C">
        <w:rPr>
          <w:rFonts w:ascii="Times New Roman" w:hAnsi="Times New Roman" w:cs="Times New Roman"/>
          <w:sz w:val="24"/>
          <w:szCs w:val="24"/>
        </w:rPr>
        <w:t>,</w:t>
      </w:r>
      <w:r w:rsidR="00506065" w:rsidRPr="008975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06065">
        <w:rPr>
          <w:rFonts w:ascii="Times New Roman" w:hAnsi="Times New Roman" w:cs="Times New Roman"/>
          <w:sz w:val="24"/>
          <w:szCs w:val="24"/>
        </w:rPr>
        <w:t>containing 450</w:t>
      </w:r>
      <w:r w:rsidR="00470D20">
        <w:rPr>
          <w:rFonts w:ascii="Times New Roman" w:hAnsi="Times New Roman" w:cs="Times New Roman"/>
          <w:sz w:val="24"/>
          <w:szCs w:val="24"/>
        </w:rPr>
        <w:t xml:space="preserve"> </w:t>
      </w:r>
      <w:r w:rsidR="00506065">
        <w:rPr>
          <w:rFonts w:ascii="Times New Roman" w:hAnsi="Times New Roman" w:cs="Times New Roman"/>
          <w:sz w:val="24"/>
          <w:szCs w:val="24"/>
        </w:rPr>
        <w:t>μL | 150</w:t>
      </w:r>
      <w:r w:rsidR="00470D20">
        <w:rPr>
          <w:rFonts w:ascii="Times New Roman" w:hAnsi="Times New Roman" w:cs="Times New Roman"/>
          <w:sz w:val="24"/>
          <w:szCs w:val="24"/>
        </w:rPr>
        <w:t xml:space="preserve"> </w:t>
      </w:r>
      <w:r w:rsidR="00506065">
        <w:rPr>
          <w:rFonts w:ascii="Times New Roman" w:hAnsi="Times New Roman" w:cs="Times New Roman"/>
          <w:sz w:val="24"/>
          <w:szCs w:val="24"/>
        </w:rPr>
        <w:t>μL of acetonitrile</w:t>
      </w:r>
      <w:r w:rsidR="00DB58D3">
        <w:rPr>
          <w:rFonts w:ascii="Times New Roman" w:hAnsi="Times New Roman" w:cs="Times New Roman"/>
          <w:sz w:val="24"/>
          <w:szCs w:val="24"/>
        </w:rPr>
        <w:t xml:space="preserve"> and vortexed at </w:t>
      </w:r>
      <w:r w:rsidR="00DB58D3" w:rsidRPr="00DB58D3">
        <w:rPr>
          <w:rFonts w:ascii="Times New Roman" w:hAnsi="Times New Roman" w:cs="Times New Roman"/>
          <w:sz w:val="24"/>
          <w:szCs w:val="24"/>
        </w:rPr>
        <w:t>≥1500 rpm for 15 seconds</w:t>
      </w:r>
      <w:r w:rsidR="00506065">
        <w:rPr>
          <w:rFonts w:ascii="Times New Roman" w:hAnsi="Times New Roman" w:cs="Times New Roman"/>
          <w:sz w:val="24"/>
          <w:szCs w:val="24"/>
        </w:rPr>
        <w:t xml:space="preserve">. </w:t>
      </w:r>
      <w:r w:rsidR="005B760F">
        <w:rPr>
          <w:rFonts w:ascii="Times New Roman" w:eastAsia="Times New Roman" w:hAnsi="Times New Roman" w:cs="Times New Roman"/>
          <w:bCs/>
          <w:sz w:val="24"/>
          <w:szCs w:val="24"/>
        </w:rPr>
        <w:t>Sample extracts were</w:t>
      </w:r>
      <w:r w:rsidR="00694242" w:rsidRPr="0069424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6065">
        <w:rPr>
          <w:rFonts w:ascii="Times New Roman" w:eastAsia="Times New Roman" w:hAnsi="Times New Roman" w:cs="Times New Roman"/>
          <w:bCs/>
          <w:sz w:val="24"/>
          <w:szCs w:val="24"/>
        </w:rPr>
        <w:t>immediately frozen</w:t>
      </w:r>
      <w:r w:rsidR="00694242" w:rsidRPr="00694242">
        <w:rPr>
          <w:rFonts w:ascii="Times New Roman" w:eastAsia="Times New Roman" w:hAnsi="Times New Roman" w:cs="Times New Roman"/>
          <w:bCs/>
          <w:sz w:val="24"/>
          <w:szCs w:val="24"/>
        </w:rPr>
        <w:t xml:space="preserve"> at −80 °C until </w:t>
      </w:r>
      <w:r w:rsidR="005B760F">
        <w:rPr>
          <w:rFonts w:ascii="Times New Roman" w:eastAsia="Times New Roman" w:hAnsi="Times New Roman" w:cs="Times New Roman"/>
          <w:bCs/>
          <w:sz w:val="24"/>
          <w:szCs w:val="24"/>
        </w:rPr>
        <w:t xml:space="preserve">LC-MS </w:t>
      </w:r>
      <w:r w:rsidR="00694242" w:rsidRPr="00694242">
        <w:rPr>
          <w:rFonts w:ascii="Times New Roman" w:eastAsia="Times New Roman" w:hAnsi="Times New Roman" w:cs="Times New Roman"/>
          <w:bCs/>
          <w:sz w:val="24"/>
          <w:szCs w:val="24"/>
        </w:rPr>
        <w:t>analysis.</w:t>
      </w:r>
    </w:p>
    <w:p w:rsidR="00FD3A57" w:rsidRDefault="00FD3A57" w:rsidP="00DE604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6041" w:rsidRPr="00F62A79" w:rsidRDefault="00A57E4A" w:rsidP="00F62A7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A79">
        <w:rPr>
          <w:rFonts w:ascii="Times New Roman" w:hAnsi="Times New Roman" w:cs="Times New Roman"/>
          <w:b/>
          <w:sz w:val="24"/>
          <w:szCs w:val="24"/>
        </w:rPr>
        <w:t xml:space="preserve">2.5. </w:t>
      </w:r>
      <w:r w:rsidR="00DE6041" w:rsidRPr="00F62A79">
        <w:rPr>
          <w:rFonts w:ascii="Times New Roman" w:hAnsi="Times New Roman" w:cs="Times New Roman"/>
          <w:b/>
          <w:sz w:val="24"/>
          <w:szCs w:val="24"/>
        </w:rPr>
        <w:t xml:space="preserve">Sample </w:t>
      </w:r>
      <w:r w:rsidR="00563BF8">
        <w:rPr>
          <w:rFonts w:ascii="Times New Roman" w:hAnsi="Times New Roman" w:cs="Times New Roman"/>
          <w:b/>
          <w:sz w:val="24"/>
          <w:szCs w:val="24"/>
        </w:rPr>
        <w:t>p</w:t>
      </w:r>
      <w:r w:rsidR="00DE6041" w:rsidRPr="00F62A79">
        <w:rPr>
          <w:rFonts w:ascii="Times New Roman" w:hAnsi="Times New Roman" w:cs="Times New Roman"/>
          <w:b/>
          <w:sz w:val="24"/>
          <w:szCs w:val="24"/>
        </w:rPr>
        <w:t>reparation</w:t>
      </w:r>
      <w:r w:rsidR="00966D26" w:rsidRPr="00F62A79">
        <w:rPr>
          <w:rFonts w:ascii="Times New Roman" w:hAnsi="Times New Roman" w:cs="Times New Roman"/>
          <w:b/>
          <w:sz w:val="24"/>
          <w:szCs w:val="24"/>
        </w:rPr>
        <w:t xml:space="preserve"> and extraction</w:t>
      </w:r>
    </w:p>
    <w:p w:rsidR="007F549C" w:rsidRDefault="00C06A15" w:rsidP="00DE6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7287000"/>
      <w:r>
        <w:rPr>
          <w:rFonts w:ascii="Times New Roman" w:eastAsia="Times New Roman" w:hAnsi="Times New Roman" w:cs="Times New Roman"/>
          <w:bCs/>
          <w:sz w:val="24"/>
          <w:szCs w:val="24"/>
        </w:rPr>
        <w:t>Plasma and saliva w</w:t>
      </w:r>
      <w:r w:rsidR="00A72EEB" w:rsidRPr="00A72EEB">
        <w:rPr>
          <w:rFonts w:ascii="Times New Roman" w:eastAsia="Times New Roman" w:hAnsi="Times New Roman" w:cs="Times New Roman"/>
          <w:bCs/>
          <w:sz w:val="24"/>
          <w:szCs w:val="24"/>
        </w:rPr>
        <w:t xml:space="preserve">orking calibration standards </w:t>
      </w:r>
      <w:r w:rsidR="00A72EEB">
        <w:rPr>
          <w:rFonts w:ascii="Times New Roman" w:eastAsia="Times New Roman" w:hAnsi="Times New Roman" w:cs="Times New Roman"/>
          <w:bCs/>
          <w:sz w:val="24"/>
          <w:szCs w:val="24"/>
        </w:rPr>
        <w:t xml:space="preserve">and QC </w:t>
      </w:r>
      <w:r w:rsidR="00A72EEB" w:rsidRPr="00A72EEB">
        <w:rPr>
          <w:rFonts w:ascii="Times New Roman" w:eastAsia="Times New Roman" w:hAnsi="Times New Roman" w:cs="Times New Roman"/>
          <w:bCs/>
          <w:sz w:val="24"/>
          <w:szCs w:val="24"/>
        </w:rPr>
        <w:t>were prepared</w:t>
      </w:r>
      <w:r w:rsidR="00A72EEB">
        <w:rPr>
          <w:rFonts w:ascii="Times New Roman" w:eastAsia="Times New Roman" w:hAnsi="Times New Roman" w:cs="Times New Roman"/>
          <w:bCs/>
          <w:sz w:val="24"/>
          <w:szCs w:val="24"/>
        </w:rPr>
        <w:t xml:space="preserve"> fresh on the day of analysis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and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were immediately precipitated </w:t>
      </w:r>
      <w:r w:rsidR="00DE6041">
        <w:rPr>
          <w:rFonts w:ascii="Times New Roman" w:eastAsia="Times New Roman" w:hAnsi="Times New Roman" w:cs="Times New Roman"/>
          <w:bCs/>
          <w:sz w:val="24"/>
          <w:szCs w:val="24"/>
        </w:rPr>
        <w:t>with acetonitrile</w:t>
      </w:r>
      <w:r w:rsidR="00DE60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(at an equivalent 3:1 ratio as used to extract/stabilise the clinical samples)</w:t>
      </w:r>
      <w:r w:rsidR="007F549C">
        <w:rPr>
          <w:rFonts w:ascii="Times New Roman" w:hAnsi="Times New Roman" w:cs="Times New Roman"/>
          <w:sz w:val="24"/>
          <w:szCs w:val="24"/>
        </w:rPr>
        <w:t xml:space="preserve">. </w:t>
      </w:r>
      <w:bookmarkEnd w:id="3"/>
      <w:r w:rsidR="007F549C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E6041" w:rsidRPr="00E669EC">
        <w:rPr>
          <w:rFonts w:ascii="Times New Roman" w:hAnsi="Times New Roman" w:cs="Times New Roman"/>
          <w:sz w:val="24"/>
          <w:szCs w:val="24"/>
        </w:rPr>
        <w:t>tandards, QCs</w:t>
      </w:r>
      <w:r w:rsidR="0067166C">
        <w:rPr>
          <w:rFonts w:ascii="Times New Roman" w:hAnsi="Times New Roman" w:cs="Times New Roman"/>
          <w:sz w:val="24"/>
          <w:szCs w:val="24"/>
        </w:rPr>
        <w:t xml:space="preserve"> </w:t>
      </w:r>
      <w:r w:rsidR="00337450">
        <w:rPr>
          <w:rFonts w:ascii="Times New Roman" w:hAnsi="Times New Roman" w:cs="Times New Roman"/>
          <w:sz w:val="24"/>
          <w:szCs w:val="24"/>
        </w:rPr>
        <w:t>and</w:t>
      </w:r>
      <w:r w:rsidR="00DE6041" w:rsidRPr="00E669EC">
        <w:rPr>
          <w:rFonts w:ascii="Times New Roman" w:hAnsi="Times New Roman" w:cs="Times New Roman"/>
          <w:sz w:val="24"/>
          <w:szCs w:val="24"/>
        </w:rPr>
        <w:t xml:space="preserve"> blank</w:t>
      </w:r>
      <w:r w:rsidR="0067166C">
        <w:rPr>
          <w:rFonts w:ascii="Times New Roman" w:hAnsi="Times New Roman" w:cs="Times New Roman"/>
          <w:sz w:val="24"/>
          <w:szCs w:val="24"/>
        </w:rPr>
        <w:t xml:space="preserve"> </w:t>
      </w:r>
      <w:r w:rsidR="00DE6041" w:rsidRPr="00E669EC">
        <w:rPr>
          <w:rFonts w:ascii="Times New Roman" w:hAnsi="Times New Roman" w:cs="Times New Roman"/>
          <w:sz w:val="24"/>
          <w:szCs w:val="24"/>
        </w:rPr>
        <w:t>samples</w:t>
      </w:r>
      <w:r w:rsidR="0067166C">
        <w:rPr>
          <w:rFonts w:ascii="Times New Roman" w:hAnsi="Times New Roman" w:cs="Times New Roman"/>
          <w:sz w:val="24"/>
          <w:szCs w:val="24"/>
        </w:rPr>
        <w:t xml:space="preserve"> </w:t>
      </w:r>
      <w:r w:rsidR="00DE6041" w:rsidRPr="00E669EC">
        <w:rPr>
          <w:rFonts w:ascii="Times New Roman" w:hAnsi="Times New Roman" w:cs="Times New Roman"/>
          <w:sz w:val="24"/>
          <w:szCs w:val="24"/>
        </w:rPr>
        <w:t>(1</w:t>
      </w:r>
      <w:r w:rsidR="00DE6041">
        <w:rPr>
          <w:rFonts w:ascii="Times New Roman" w:hAnsi="Times New Roman" w:cs="Times New Roman"/>
          <w:sz w:val="24"/>
          <w:szCs w:val="24"/>
        </w:rPr>
        <w:t>5</w:t>
      </w:r>
      <w:r w:rsidR="00DE6041" w:rsidRPr="00E669EC">
        <w:rPr>
          <w:rFonts w:ascii="Times New Roman" w:hAnsi="Times New Roman" w:cs="Times New Roman"/>
          <w:sz w:val="24"/>
          <w:szCs w:val="24"/>
        </w:rPr>
        <w:t>0</w:t>
      </w:r>
      <w:r w:rsidR="00DE6041">
        <w:rPr>
          <w:rFonts w:ascii="Times New Roman" w:hAnsi="Times New Roman" w:cs="Times New Roman"/>
          <w:sz w:val="24"/>
          <w:szCs w:val="24"/>
        </w:rPr>
        <w:t>μL</w:t>
      </w:r>
      <w:r w:rsidR="00337450">
        <w:rPr>
          <w:rFonts w:ascii="Times New Roman" w:hAnsi="Times New Roman" w:cs="Times New Roman"/>
          <w:sz w:val="24"/>
          <w:szCs w:val="24"/>
        </w:rPr>
        <w:t xml:space="preserve"> plasma; 50µL saliva</w:t>
      </w:r>
      <w:r w:rsidR="00DE6041" w:rsidRPr="00E669EC">
        <w:rPr>
          <w:rFonts w:ascii="Times New Roman" w:hAnsi="Times New Roman" w:cs="Times New Roman"/>
          <w:sz w:val="24"/>
          <w:szCs w:val="24"/>
        </w:rPr>
        <w:t xml:space="preserve">) were aliquoted </w:t>
      </w:r>
      <w:r w:rsidR="00337450">
        <w:rPr>
          <w:rFonts w:ascii="Times New Roman" w:hAnsi="Times New Roman" w:cs="Times New Roman"/>
          <w:sz w:val="24"/>
          <w:szCs w:val="24"/>
        </w:rPr>
        <w:t xml:space="preserve">in duplicate </w:t>
      </w:r>
      <w:r w:rsidR="00DE6041" w:rsidRPr="00E669EC">
        <w:rPr>
          <w:rFonts w:ascii="Times New Roman" w:hAnsi="Times New Roman" w:cs="Times New Roman"/>
          <w:sz w:val="24"/>
          <w:szCs w:val="24"/>
        </w:rPr>
        <w:t xml:space="preserve">into </w:t>
      </w:r>
      <w:proofErr w:type="spellStart"/>
      <w:r w:rsidR="00DE6041" w:rsidRPr="00E669EC">
        <w:rPr>
          <w:rFonts w:ascii="Times New Roman" w:hAnsi="Times New Roman" w:cs="Times New Roman"/>
          <w:sz w:val="24"/>
          <w:szCs w:val="24"/>
        </w:rPr>
        <w:t>5</w:t>
      </w:r>
      <w:r w:rsidR="00AD3EA3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DE6041" w:rsidRPr="00E669EC">
        <w:rPr>
          <w:rFonts w:ascii="Times New Roman" w:hAnsi="Times New Roman" w:cs="Times New Roman"/>
          <w:sz w:val="24"/>
          <w:szCs w:val="24"/>
        </w:rPr>
        <w:t xml:space="preserve"> glass test tubes</w:t>
      </w:r>
      <w:r w:rsidR="00DE6041">
        <w:rPr>
          <w:rFonts w:ascii="Times New Roman" w:hAnsi="Times New Roman" w:cs="Times New Roman"/>
          <w:sz w:val="24"/>
          <w:szCs w:val="24"/>
        </w:rPr>
        <w:t>, t</w:t>
      </w:r>
      <w:r w:rsidR="00DE6041" w:rsidRPr="00E669EC">
        <w:rPr>
          <w:rFonts w:ascii="Times New Roman" w:hAnsi="Times New Roman" w:cs="Times New Roman"/>
          <w:sz w:val="24"/>
          <w:szCs w:val="24"/>
        </w:rPr>
        <w:t xml:space="preserve">o each </w:t>
      </w:r>
      <w:r w:rsidR="00DE6041">
        <w:rPr>
          <w:rFonts w:ascii="Times New Roman" w:hAnsi="Times New Roman" w:cs="Times New Roman"/>
          <w:sz w:val="24"/>
          <w:szCs w:val="24"/>
        </w:rPr>
        <w:t>of which</w:t>
      </w:r>
      <w:r w:rsidR="00DE6041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DE6041">
        <w:rPr>
          <w:rFonts w:ascii="Times New Roman" w:hAnsi="Times New Roman" w:cs="Times New Roman"/>
          <w:sz w:val="24"/>
          <w:szCs w:val="24"/>
        </w:rPr>
        <w:t>acetonitrile (450μL</w:t>
      </w:r>
      <w:r w:rsidR="00337450">
        <w:rPr>
          <w:rFonts w:ascii="Times New Roman" w:hAnsi="Times New Roman" w:cs="Times New Roman"/>
          <w:sz w:val="24"/>
          <w:szCs w:val="24"/>
        </w:rPr>
        <w:t xml:space="preserve"> plasma; 150µL saliva</w:t>
      </w:r>
      <w:r w:rsidR="00DE6041" w:rsidRPr="00E669EC">
        <w:rPr>
          <w:rFonts w:ascii="Times New Roman" w:hAnsi="Times New Roman" w:cs="Times New Roman"/>
          <w:sz w:val="24"/>
          <w:szCs w:val="24"/>
        </w:rPr>
        <w:t>) was</w:t>
      </w:r>
      <w:r w:rsidR="00B63AA4">
        <w:rPr>
          <w:rFonts w:ascii="Times New Roman" w:hAnsi="Times New Roman" w:cs="Times New Roman"/>
          <w:sz w:val="24"/>
          <w:szCs w:val="24"/>
        </w:rPr>
        <w:t xml:space="preserve"> </w:t>
      </w:r>
      <w:r w:rsidR="00DE6041" w:rsidRPr="00E669EC">
        <w:rPr>
          <w:rFonts w:ascii="Times New Roman" w:hAnsi="Times New Roman" w:cs="Times New Roman"/>
          <w:sz w:val="24"/>
          <w:szCs w:val="24"/>
        </w:rPr>
        <w:t>added.</w:t>
      </w:r>
    </w:p>
    <w:p w:rsidR="00DE6041" w:rsidRPr="00E669EC" w:rsidRDefault="002E73E1" w:rsidP="00DE6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extracted s</w:t>
      </w:r>
      <w:r w:rsidR="00DE6041" w:rsidRPr="00E669EC">
        <w:rPr>
          <w:rFonts w:ascii="Times New Roman" w:hAnsi="Times New Roman" w:cs="Times New Roman"/>
          <w:sz w:val="24"/>
          <w:szCs w:val="24"/>
        </w:rPr>
        <w:t>ample</w:t>
      </w:r>
      <w:r>
        <w:rPr>
          <w:rFonts w:ascii="Times New Roman" w:hAnsi="Times New Roman" w:cs="Times New Roman"/>
          <w:sz w:val="24"/>
          <w:szCs w:val="24"/>
        </w:rPr>
        <w:t xml:space="preserve">s (blanks, standards, QCs and clinical samples) </w:t>
      </w:r>
      <w:r w:rsidR="00DE6041" w:rsidRPr="00E669EC">
        <w:rPr>
          <w:rFonts w:ascii="Times New Roman" w:hAnsi="Times New Roman" w:cs="Times New Roman"/>
          <w:sz w:val="24"/>
          <w:szCs w:val="24"/>
        </w:rPr>
        <w:t xml:space="preserve">were </w:t>
      </w:r>
      <w:r w:rsidR="00DE6041">
        <w:rPr>
          <w:rFonts w:ascii="Times New Roman" w:hAnsi="Times New Roman" w:cs="Times New Roman"/>
          <w:sz w:val="24"/>
          <w:szCs w:val="24"/>
        </w:rPr>
        <w:t>mixed by vortexing</w:t>
      </w:r>
      <w:r w:rsidR="00DE6041" w:rsidRPr="00E669EC">
        <w:rPr>
          <w:rFonts w:ascii="Times New Roman" w:hAnsi="Times New Roman" w:cs="Times New Roman"/>
          <w:sz w:val="24"/>
          <w:szCs w:val="24"/>
        </w:rPr>
        <w:t xml:space="preserve"> and centrifuged (4000 rpm, 4°C, 5 minutes)</w:t>
      </w:r>
      <w:r w:rsidR="00DE6041">
        <w:rPr>
          <w:rFonts w:ascii="Times New Roman" w:hAnsi="Times New Roman" w:cs="Times New Roman"/>
          <w:sz w:val="24"/>
          <w:szCs w:val="24"/>
        </w:rPr>
        <w:t xml:space="preserve">. </w:t>
      </w:r>
      <w:r w:rsidR="00DE6041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DE6041">
        <w:rPr>
          <w:rFonts w:ascii="Times New Roman" w:hAnsi="Times New Roman" w:cs="Times New Roman"/>
          <w:sz w:val="24"/>
          <w:szCs w:val="24"/>
        </w:rPr>
        <w:t>Exactly 300</w:t>
      </w:r>
      <w:r w:rsidR="00DE6041" w:rsidRPr="00E669EC">
        <w:rPr>
          <w:rFonts w:ascii="Times New Roman" w:hAnsi="Times New Roman" w:cs="Times New Roman"/>
          <w:sz w:val="24"/>
          <w:szCs w:val="24"/>
        </w:rPr>
        <w:t>µ</w:t>
      </w:r>
      <w:r w:rsidR="00DE6041">
        <w:rPr>
          <w:rFonts w:ascii="Times New Roman" w:hAnsi="Times New Roman" w:cs="Times New Roman"/>
          <w:sz w:val="24"/>
          <w:szCs w:val="24"/>
        </w:rPr>
        <w:t>L of the</w:t>
      </w:r>
      <w:r w:rsidR="00DE6041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DE6041">
        <w:rPr>
          <w:rFonts w:ascii="Times New Roman" w:hAnsi="Times New Roman" w:cs="Times New Roman"/>
          <w:sz w:val="24"/>
          <w:szCs w:val="24"/>
        </w:rPr>
        <w:t xml:space="preserve">plasma </w:t>
      </w:r>
      <w:r w:rsidR="00DE6041" w:rsidRPr="00E669EC">
        <w:rPr>
          <w:rFonts w:ascii="Times New Roman" w:hAnsi="Times New Roman" w:cs="Times New Roman"/>
          <w:sz w:val="24"/>
          <w:szCs w:val="24"/>
        </w:rPr>
        <w:t>supernatant</w:t>
      </w:r>
      <w:r w:rsidR="00DE6041">
        <w:rPr>
          <w:rFonts w:ascii="Times New Roman" w:hAnsi="Times New Roman" w:cs="Times New Roman"/>
          <w:sz w:val="24"/>
          <w:szCs w:val="24"/>
        </w:rPr>
        <w:t>s (100μL of saliva supernatants) were</w:t>
      </w:r>
      <w:r w:rsidR="00DE6041" w:rsidRPr="00E669EC">
        <w:rPr>
          <w:rFonts w:ascii="Times New Roman" w:hAnsi="Times New Roman" w:cs="Times New Roman"/>
          <w:sz w:val="24"/>
          <w:szCs w:val="24"/>
        </w:rPr>
        <w:t xml:space="preserve"> transferred to</w:t>
      </w:r>
      <w:r w:rsidR="00DE6041">
        <w:rPr>
          <w:rFonts w:ascii="Times New Roman" w:hAnsi="Times New Roman" w:cs="Times New Roman"/>
          <w:sz w:val="24"/>
          <w:szCs w:val="24"/>
        </w:rPr>
        <w:t xml:space="preserve"> clean labelled </w:t>
      </w:r>
      <w:proofErr w:type="spellStart"/>
      <w:r w:rsidR="00DE6041">
        <w:rPr>
          <w:rFonts w:ascii="Times New Roman" w:hAnsi="Times New Roman" w:cs="Times New Roman"/>
          <w:sz w:val="24"/>
          <w:szCs w:val="24"/>
        </w:rPr>
        <w:t>5</w:t>
      </w:r>
      <w:r w:rsidR="00AD3EA3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="00DE6041">
        <w:rPr>
          <w:rFonts w:ascii="Times New Roman" w:hAnsi="Times New Roman" w:cs="Times New Roman"/>
          <w:sz w:val="24"/>
          <w:szCs w:val="24"/>
        </w:rPr>
        <w:t xml:space="preserve"> </w:t>
      </w:r>
      <w:r w:rsidR="0067166C">
        <w:rPr>
          <w:rFonts w:ascii="Times New Roman" w:hAnsi="Times New Roman" w:cs="Times New Roman"/>
          <w:sz w:val="24"/>
          <w:szCs w:val="24"/>
        </w:rPr>
        <w:t xml:space="preserve">glass </w:t>
      </w:r>
      <w:r w:rsidR="00DE6041">
        <w:rPr>
          <w:rFonts w:ascii="Times New Roman" w:hAnsi="Times New Roman" w:cs="Times New Roman"/>
          <w:sz w:val="24"/>
          <w:szCs w:val="24"/>
        </w:rPr>
        <w:t>tubes</w:t>
      </w:r>
      <w:r w:rsidR="00DE6041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DE6041">
        <w:rPr>
          <w:rFonts w:ascii="Times New Roman" w:hAnsi="Times New Roman" w:cs="Times New Roman"/>
          <w:sz w:val="24"/>
          <w:szCs w:val="24"/>
        </w:rPr>
        <w:t>followed by 20</w:t>
      </w:r>
      <w:r w:rsidR="00DE6041" w:rsidRPr="00E669EC">
        <w:rPr>
          <w:rFonts w:ascii="Times New Roman" w:hAnsi="Times New Roman" w:cs="Times New Roman"/>
          <w:sz w:val="24"/>
          <w:szCs w:val="24"/>
        </w:rPr>
        <w:t>µ</w:t>
      </w:r>
      <w:r w:rsidR="00DE6041">
        <w:rPr>
          <w:rFonts w:ascii="Times New Roman" w:hAnsi="Times New Roman" w:cs="Times New Roman"/>
          <w:sz w:val="24"/>
          <w:szCs w:val="24"/>
        </w:rPr>
        <w:t>L of SIL-IS and</w:t>
      </w:r>
      <w:r w:rsidR="00DE6041"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DE6041">
        <w:rPr>
          <w:rFonts w:ascii="Times New Roman" w:hAnsi="Times New Roman" w:cs="Times New Roman"/>
          <w:sz w:val="24"/>
          <w:szCs w:val="24"/>
        </w:rPr>
        <w:t xml:space="preserve">these were dried under a nitrogen stream. They were subsequently reconstituted </w:t>
      </w:r>
      <w:r w:rsidR="00DE6041" w:rsidRPr="000B224B">
        <w:rPr>
          <w:rFonts w:ascii="Times New Roman" w:hAnsi="Times New Roman" w:cs="Times New Roman"/>
          <w:sz w:val="24"/>
          <w:szCs w:val="24"/>
        </w:rPr>
        <w:t xml:space="preserve">to a final volume of </w:t>
      </w:r>
      <w:r w:rsidR="00DE6041">
        <w:rPr>
          <w:rFonts w:ascii="Times New Roman" w:hAnsi="Times New Roman" w:cs="Times New Roman"/>
          <w:sz w:val="24"/>
          <w:szCs w:val="24"/>
        </w:rPr>
        <w:t>1</w:t>
      </w:r>
      <w:r w:rsidR="00DE6041" w:rsidRPr="000B224B">
        <w:rPr>
          <w:rFonts w:ascii="Times New Roman" w:hAnsi="Times New Roman" w:cs="Times New Roman"/>
          <w:sz w:val="24"/>
          <w:szCs w:val="24"/>
        </w:rPr>
        <w:t>00μL</w:t>
      </w:r>
      <w:r w:rsidR="00DE6041">
        <w:rPr>
          <w:rFonts w:ascii="Times New Roman" w:hAnsi="Times New Roman" w:cs="Times New Roman"/>
          <w:sz w:val="24"/>
          <w:szCs w:val="24"/>
        </w:rPr>
        <w:t xml:space="preserve"> in mobile phase and transferred to labelled </w:t>
      </w:r>
      <w:r w:rsidR="007F70CC">
        <w:rPr>
          <w:rFonts w:ascii="Times New Roman" w:hAnsi="Times New Roman" w:cs="Times New Roman"/>
          <w:sz w:val="24"/>
          <w:szCs w:val="24"/>
        </w:rPr>
        <w:t>autosampler</w:t>
      </w:r>
      <w:r w:rsidR="00DE6041" w:rsidRPr="00AD1680">
        <w:rPr>
          <w:rFonts w:ascii="Times New Roman" w:hAnsi="Times New Roman" w:cs="Times New Roman"/>
          <w:sz w:val="24"/>
          <w:szCs w:val="24"/>
        </w:rPr>
        <w:t xml:space="preserve"> vials that were tightly closed with crimp seals</w:t>
      </w:r>
      <w:r w:rsidR="00DE6041">
        <w:rPr>
          <w:rFonts w:ascii="Times New Roman" w:hAnsi="Times New Roman" w:cs="Times New Roman"/>
          <w:sz w:val="24"/>
          <w:szCs w:val="24"/>
        </w:rPr>
        <w:t xml:space="preserve">. </w:t>
      </w:r>
      <w:r w:rsidR="00DE6041" w:rsidRPr="00E669EC">
        <w:rPr>
          <w:rFonts w:ascii="Times New Roman" w:hAnsi="Times New Roman" w:cs="Times New Roman"/>
          <w:sz w:val="24"/>
          <w:szCs w:val="24"/>
        </w:rPr>
        <w:t xml:space="preserve">The vials were loaded onto autosampler trays and </w:t>
      </w:r>
      <w:r w:rsidR="00DE6041">
        <w:rPr>
          <w:rFonts w:ascii="Times New Roman" w:hAnsi="Times New Roman" w:cs="Times New Roman"/>
          <w:sz w:val="24"/>
          <w:szCs w:val="24"/>
        </w:rPr>
        <w:t>10</w:t>
      </w:r>
      <w:r w:rsidR="00DE6041" w:rsidRPr="00E669EC">
        <w:rPr>
          <w:rFonts w:ascii="Times New Roman" w:hAnsi="Times New Roman" w:cs="Times New Roman"/>
          <w:sz w:val="24"/>
          <w:szCs w:val="24"/>
        </w:rPr>
        <w:t>μL injected into the LC-MS system for analysis.</w:t>
      </w:r>
    </w:p>
    <w:p w:rsidR="00DE6041" w:rsidRPr="00E669EC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6041" w:rsidRPr="00E669EC" w:rsidRDefault="00A57E4A" w:rsidP="00325A9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2.6. </w:t>
      </w:r>
      <w:r w:rsidR="00DE6041" w:rsidRPr="00E669EC">
        <w:rPr>
          <w:rFonts w:ascii="Times New Roman" w:hAnsi="Times New Roman" w:cs="Times New Roman"/>
          <w:b/>
          <w:bCs/>
          <w:sz w:val="24"/>
          <w:szCs w:val="24"/>
        </w:rPr>
        <w:t>LC-MS</w:t>
      </w:r>
      <w:r w:rsidR="00CD6DCE">
        <w:rPr>
          <w:rFonts w:ascii="Times New Roman" w:hAnsi="Times New Roman" w:cs="Times New Roman"/>
          <w:b/>
          <w:bCs/>
          <w:sz w:val="24"/>
          <w:szCs w:val="24"/>
        </w:rPr>
        <w:t xml:space="preserve"> Conditions</w:t>
      </w:r>
    </w:p>
    <w:p w:rsidR="00DE6041" w:rsidRDefault="00DE6041" w:rsidP="00CD6D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2140402"/>
      <w:r w:rsidRPr="00E669EC">
        <w:rPr>
          <w:rFonts w:ascii="Times New Roman" w:hAnsi="Times New Roman" w:cs="Times New Roman"/>
          <w:bCs/>
          <w:sz w:val="24"/>
          <w:szCs w:val="24"/>
        </w:rPr>
        <w:t xml:space="preserve">Chromatographic separation was </w:t>
      </w:r>
      <w:r>
        <w:rPr>
          <w:rFonts w:ascii="Times New Roman" w:hAnsi="Times New Roman" w:cs="Times New Roman"/>
          <w:bCs/>
          <w:sz w:val="24"/>
          <w:szCs w:val="24"/>
        </w:rPr>
        <w:t>achieved using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 a Waters C</w:t>
      </w:r>
      <w:r w:rsidRPr="00E669EC">
        <w:rPr>
          <w:rFonts w:ascii="Times New Roman" w:hAnsi="Times New Roman" w:cs="Times New Roman"/>
          <w:bCs/>
          <w:sz w:val="24"/>
          <w:szCs w:val="24"/>
          <w:vertAlign w:val="subscript"/>
        </w:rPr>
        <w:t>18</w:t>
      </w:r>
      <w:r w:rsidRPr="00E669EC">
        <w:rPr>
          <w:rFonts w:ascii="Times New Roman" w:hAnsi="Times New Roman" w:cs="Times New Roman"/>
          <w:bCs/>
          <w:sz w:val="24"/>
          <w:szCs w:val="24"/>
        </w:rPr>
        <w:t> XBridge column (3.5</w:t>
      </w:r>
      <w:r w:rsidR="00470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μm: 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0 mm × 2.1 mm) </w:t>
      </w:r>
      <w:r>
        <w:rPr>
          <w:rFonts w:ascii="Times New Roman" w:hAnsi="Times New Roman" w:cs="Times New Roman"/>
          <w:bCs/>
          <w:sz w:val="24"/>
          <w:szCs w:val="24"/>
        </w:rPr>
        <w:t>and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mM ammonium acetate solution </w:t>
      </w:r>
      <w:r>
        <w:rPr>
          <w:rFonts w:ascii="Times New Roman" w:hAnsi="Times New Roman" w:cs="Times New Roman"/>
          <w:bCs/>
          <w:sz w:val="24"/>
          <w:szCs w:val="24"/>
        </w:rPr>
        <w:t>adjusted to pH4.3 with acetic acid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 (mobile phase A) and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mM ammonium acetate </w:t>
      </w: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acetonitrile (mobile phase B). </w:t>
      </w:r>
      <w:bookmarkEnd w:id="4"/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 gradient </w:t>
      </w:r>
      <w:r>
        <w:rPr>
          <w:rFonts w:ascii="Times New Roman" w:hAnsi="Times New Roman" w:cs="Times New Roman"/>
          <w:bCs/>
          <w:sz w:val="24"/>
          <w:szCs w:val="24"/>
        </w:rPr>
        <w:t xml:space="preserve">elution </w:t>
      </w:r>
      <w:r w:rsidRPr="00E669EC">
        <w:rPr>
          <w:rFonts w:ascii="Times New Roman" w:hAnsi="Times New Roman" w:cs="Times New Roman"/>
          <w:bCs/>
          <w:sz w:val="24"/>
          <w:szCs w:val="24"/>
        </w:rPr>
        <w:t xml:space="preserve">method at a flow rate of </w:t>
      </w:r>
      <w:r>
        <w:rPr>
          <w:rFonts w:ascii="Times New Roman" w:hAnsi="Times New Roman" w:cs="Times New Roman"/>
          <w:bCs/>
          <w:sz w:val="24"/>
          <w:szCs w:val="24"/>
        </w:rPr>
        <w:t>35</w:t>
      </w:r>
      <w:r w:rsidRPr="00E669EC">
        <w:rPr>
          <w:rFonts w:ascii="Times New Roman" w:hAnsi="Times New Roman" w:cs="Times New Roman"/>
          <w:bCs/>
          <w:sz w:val="24"/>
          <w:szCs w:val="24"/>
        </w:rPr>
        <w:t>0</w:t>
      </w:r>
      <w:r w:rsidR="00470D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μL</w:t>
      </w:r>
      <w:r w:rsidRPr="00E669EC">
        <w:rPr>
          <w:rFonts w:ascii="Times New Roman" w:hAnsi="Times New Roman" w:cs="Times New Roman"/>
          <w:bCs/>
          <w:sz w:val="24"/>
          <w:szCs w:val="24"/>
        </w:rPr>
        <w:t>/min</w:t>
      </w:r>
      <w:r>
        <w:rPr>
          <w:rFonts w:ascii="Times New Roman" w:hAnsi="Times New Roman" w:cs="Times New Roman"/>
          <w:bCs/>
          <w:sz w:val="24"/>
          <w:szCs w:val="24"/>
        </w:rPr>
        <w:t xml:space="preserve"> was used</w:t>
      </w:r>
      <w:r w:rsidR="00F262CB">
        <w:rPr>
          <w:rFonts w:ascii="Times New Roman" w:hAnsi="Times New Roman" w:cs="Times New Roman"/>
          <w:bCs/>
          <w:sz w:val="24"/>
          <w:szCs w:val="24"/>
        </w:rPr>
        <w:t>, with t</w:t>
      </w:r>
      <w:r w:rsidR="00F262CB" w:rsidRPr="00F262CB">
        <w:rPr>
          <w:rFonts w:ascii="Times New Roman" w:hAnsi="Times New Roman" w:cs="Times New Roman"/>
          <w:bCs/>
          <w:sz w:val="24"/>
          <w:szCs w:val="24"/>
        </w:rPr>
        <w:t>he temperature of the column set at T = 40 °C</w:t>
      </w:r>
      <w:r w:rsidRPr="00E669EC">
        <w:rPr>
          <w:rFonts w:ascii="Times New Roman" w:hAnsi="Times New Roman" w:cs="Times New Roman"/>
          <w:bCs/>
          <w:sz w:val="24"/>
          <w:szCs w:val="24"/>
        </w:rPr>
        <w:t>.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Pr="00392B86">
        <w:rPr>
          <w:rFonts w:ascii="Times New Roman" w:hAnsi="Times New Roman" w:cs="Times New Roman"/>
          <w:sz w:val="24"/>
          <w:szCs w:val="24"/>
        </w:rPr>
        <w:t>Mobile phase gradient started with</w:t>
      </w:r>
      <w:r>
        <w:rPr>
          <w:rFonts w:ascii="Times New Roman" w:hAnsi="Times New Roman" w:cs="Times New Roman"/>
          <w:sz w:val="24"/>
          <w:szCs w:val="24"/>
        </w:rPr>
        <w:t xml:space="preserve"> 98</w:t>
      </w:r>
      <w:r w:rsidRPr="00E669EC">
        <w:rPr>
          <w:rFonts w:ascii="Times New Roman" w:hAnsi="Times New Roman" w:cs="Times New Roman"/>
          <w:sz w:val="24"/>
          <w:szCs w:val="24"/>
        </w:rPr>
        <w:t xml:space="preserve">% mobile phase A, which was held for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69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669EC">
        <w:rPr>
          <w:rFonts w:ascii="Times New Roman" w:hAnsi="Times New Roman" w:cs="Times New Roman"/>
          <w:sz w:val="24"/>
          <w:szCs w:val="24"/>
        </w:rPr>
        <w:t xml:space="preserve"> minutes then increasing in organic content to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E669EC">
        <w:rPr>
          <w:rFonts w:ascii="Times New Roman" w:hAnsi="Times New Roman" w:cs="Times New Roman"/>
          <w:sz w:val="24"/>
          <w:szCs w:val="24"/>
        </w:rPr>
        <w:t xml:space="preserve">% mobile phase B in </w:t>
      </w:r>
      <w:r>
        <w:rPr>
          <w:rFonts w:ascii="Times New Roman" w:hAnsi="Times New Roman" w:cs="Times New Roman"/>
          <w:sz w:val="24"/>
          <w:szCs w:val="24"/>
        </w:rPr>
        <w:t>2.5</w:t>
      </w:r>
      <w:r w:rsidRPr="00E669EC">
        <w:rPr>
          <w:rFonts w:ascii="Times New Roman" w:hAnsi="Times New Roman" w:cs="Times New Roman"/>
          <w:sz w:val="24"/>
          <w:szCs w:val="24"/>
        </w:rPr>
        <w:t xml:space="preserve"> minutes. This was maintained </w:t>
      </w:r>
      <w:r>
        <w:rPr>
          <w:rFonts w:ascii="Times New Roman" w:hAnsi="Times New Roman" w:cs="Times New Roman"/>
          <w:sz w:val="24"/>
          <w:szCs w:val="24"/>
        </w:rPr>
        <w:t>up to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3.5</w:t>
      </w:r>
      <w:r w:rsidRPr="00E669EC">
        <w:rPr>
          <w:rFonts w:ascii="Times New Roman" w:hAnsi="Times New Roman" w:cs="Times New Roman"/>
          <w:sz w:val="24"/>
          <w:szCs w:val="24"/>
        </w:rPr>
        <w:t xml:space="preserve"> minutes followed by increasing the </w:t>
      </w:r>
      <w:r>
        <w:rPr>
          <w:rFonts w:ascii="Times New Roman" w:hAnsi="Times New Roman" w:cs="Times New Roman"/>
          <w:sz w:val="24"/>
          <w:szCs w:val="24"/>
        </w:rPr>
        <w:t>aqueous</w:t>
      </w:r>
      <w:r w:rsidRPr="00E669EC">
        <w:rPr>
          <w:rFonts w:ascii="Times New Roman" w:hAnsi="Times New Roman" w:cs="Times New Roman"/>
          <w:sz w:val="24"/>
          <w:szCs w:val="24"/>
        </w:rPr>
        <w:t xml:space="preserve"> content </w:t>
      </w:r>
      <w:r>
        <w:rPr>
          <w:rFonts w:ascii="Times New Roman" w:hAnsi="Times New Roman" w:cs="Times New Roman"/>
          <w:sz w:val="24"/>
          <w:szCs w:val="24"/>
        </w:rPr>
        <w:t xml:space="preserve">back </w:t>
      </w:r>
      <w:r w:rsidRPr="00E669E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E669EC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at 3.8</w:t>
      </w:r>
      <w:r w:rsidRPr="00E669EC">
        <w:rPr>
          <w:rFonts w:ascii="Times New Roman" w:hAnsi="Times New Roman" w:cs="Times New Roman"/>
          <w:sz w:val="24"/>
          <w:szCs w:val="24"/>
        </w:rPr>
        <w:t xml:space="preserve"> minute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669EC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held at </w:t>
      </w:r>
      <w:r w:rsidRPr="00E669EC">
        <w:rPr>
          <w:rFonts w:ascii="Times New Roman" w:hAnsi="Times New Roman" w:cs="Times New Roman"/>
          <w:sz w:val="24"/>
          <w:szCs w:val="24"/>
        </w:rPr>
        <w:t xml:space="preserve">the initial conditions </w:t>
      </w:r>
      <w:r>
        <w:rPr>
          <w:rFonts w:ascii="Times New Roman" w:hAnsi="Times New Roman" w:cs="Times New Roman"/>
          <w:sz w:val="24"/>
          <w:szCs w:val="24"/>
        </w:rPr>
        <w:t>for reconditioning with</w:t>
      </w:r>
      <w:r w:rsidRPr="00E669EC">
        <w:rPr>
          <w:rFonts w:ascii="Times New Roman" w:hAnsi="Times New Roman" w:cs="Times New Roman"/>
          <w:sz w:val="24"/>
          <w:szCs w:val="24"/>
        </w:rPr>
        <w:t xml:space="preserve"> a total run time of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669EC">
        <w:rPr>
          <w:rFonts w:ascii="Times New Roman" w:hAnsi="Times New Roman" w:cs="Times New Roman"/>
          <w:sz w:val="24"/>
          <w:szCs w:val="24"/>
        </w:rPr>
        <w:t xml:space="preserve"> minutes.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6DCE" w:rsidRPr="006A6EF8">
        <w:rPr>
          <w:rFonts w:ascii="Times New Roman" w:hAnsi="Times New Roman" w:cs="Times New Roman"/>
          <w:sz w:val="24"/>
          <w:szCs w:val="24"/>
        </w:rPr>
        <w:t xml:space="preserve">The needle was washed with </w:t>
      </w:r>
      <w:r w:rsidR="006A6EF8">
        <w:rPr>
          <w:rFonts w:ascii="Times New Roman" w:hAnsi="Times New Roman" w:cs="Times New Roman"/>
          <w:sz w:val="24"/>
          <w:szCs w:val="24"/>
        </w:rPr>
        <w:t>a</w:t>
      </w:r>
      <w:r w:rsidR="00CD6DCE" w:rsidRPr="00CD6DCE">
        <w:rPr>
          <w:rFonts w:ascii="Times New Roman" w:hAnsi="Times New Roman" w:cs="Times New Roman"/>
          <w:sz w:val="24"/>
          <w:szCs w:val="24"/>
        </w:rPr>
        <w:t xml:space="preserve"> </w:t>
      </w:r>
      <w:r w:rsidR="006A6EF8">
        <w:rPr>
          <w:rFonts w:ascii="Times New Roman" w:hAnsi="Times New Roman" w:cs="Times New Roman"/>
          <w:sz w:val="24"/>
          <w:szCs w:val="24"/>
        </w:rPr>
        <w:t xml:space="preserve">mixture of </w:t>
      </w:r>
      <w:r w:rsidR="006A6EF8" w:rsidRPr="006A6EF8">
        <w:rPr>
          <w:rFonts w:ascii="Times New Roman" w:hAnsi="Times New Roman" w:cs="Times New Roman"/>
          <w:sz w:val="24"/>
          <w:szCs w:val="24"/>
        </w:rPr>
        <w:t xml:space="preserve">methanol </w:t>
      </w:r>
      <w:r w:rsidR="006A6EF8">
        <w:rPr>
          <w:rFonts w:ascii="Times New Roman" w:hAnsi="Times New Roman" w:cs="Times New Roman"/>
          <w:sz w:val="24"/>
          <w:szCs w:val="24"/>
        </w:rPr>
        <w:t>and d</w:t>
      </w:r>
      <w:r w:rsidR="006A6EF8" w:rsidRPr="006A6EF8">
        <w:rPr>
          <w:rFonts w:ascii="Times New Roman" w:hAnsi="Times New Roman" w:cs="Times New Roman"/>
          <w:sz w:val="24"/>
          <w:szCs w:val="24"/>
        </w:rPr>
        <w:t>eionised water</w:t>
      </w:r>
      <w:r w:rsidR="006A6EF8">
        <w:rPr>
          <w:rFonts w:ascii="Times New Roman" w:hAnsi="Times New Roman" w:cs="Times New Roman"/>
          <w:sz w:val="24"/>
          <w:szCs w:val="24"/>
        </w:rPr>
        <w:t xml:space="preserve"> (50:50; v/v)</w:t>
      </w:r>
      <w:r w:rsidR="006A6EF8" w:rsidRPr="006A6EF8">
        <w:rPr>
          <w:rFonts w:ascii="Times New Roman" w:hAnsi="Times New Roman" w:cs="Times New Roman"/>
          <w:sz w:val="24"/>
          <w:szCs w:val="24"/>
        </w:rPr>
        <w:t xml:space="preserve"> </w:t>
      </w:r>
      <w:r w:rsidR="00CD6DCE" w:rsidRPr="00CD6DCE">
        <w:rPr>
          <w:rFonts w:ascii="Times New Roman" w:hAnsi="Times New Roman" w:cs="Times New Roman"/>
          <w:sz w:val="24"/>
          <w:szCs w:val="24"/>
        </w:rPr>
        <w:t>between injections</w:t>
      </w:r>
      <w:r w:rsidR="006A6EF8">
        <w:rPr>
          <w:rFonts w:ascii="Times New Roman" w:hAnsi="Times New Roman" w:cs="Times New Roman"/>
          <w:sz w:val="24"/>
          <w:szCs w:val="24"/>
        </w:rPr>
        <w:t>.</w:t>
      </w:r>
    </w:p>
    <w:p w:rsidR="00DE6041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041" w:rsidRDefault="00DE6041" w:rsidP="00DE6041">
      <w:pPr>
        <w:pStyle w:val="Default"/>
        <w:spacing w:line="360" w:lineRule="auto"/>
        <w:jc w:val="both"/>
        <w:rPr>
          <w:bCs/>
          <w:color w:val="auto"/>
        </w:rPr>
      </w:pPr>
      <w:r w:rsidRPr="00E669EC">
        <w:rPr>
          <w:bCs/>
          <w:color w:val="auto"/>
        </w:rPr>
        <w:t xml:space="preserve">The </w:t>
      </w:r>
      <w:bookmarkStart w:id="5" w:name="_Hlk60756905"/>
      <w:r w:rsidRPr="00E669EC">
        <w:rPr>
          <w:bCs/>
          <w:color w:val="auto"/>
        </w:rPr>
        <w:t>electrospray ionisation (ESI) mass spectrometer</w:t>
      </w:r>
      <w:r>
        <w:rPr>
          <w:bCs/>
          <w:color w:val="auto"/>
        </w:rPr>
        <w:t xml:space="preserve"> (MS</w:t>
      </w:r>
      <w:bookmarkEnd w:id="5"/>
      <w:r>
        <w:rPr>
          <w:bCs/>
          <w:color w:val="auto"/>
        </w:rPr>
        <w:t>)</w:t>
      </w:r>
      <w:r w:rsidRPr="00E669EC">
        <w:rPr>
          <w:bCs/>
          <w:color w:val="auto"/>
        </w:rPr>
        <w:t xml:space="preserve"> was operated in </w:t>
      </w:r>
      <w:r>
        <w:rPr>
          <w:bCs/>
          <w:color w:val="auto"/>
        </w:rPr>
        <w:t>nega</w:t>
      </w:r>
      <w:r w:rsidRPr="00E669EC">
        <w:rPr>
          <w:bCs/>
          <w:color w:val="auto"/>
        </w:rPr>
        <w:t xml:space="preserve">tive </w:t>
      </w:r>
      <w:r>
        <w:rPr>
          <w:bCs/>
          <w:color w:val="auto"/>
        </w:rPr>
        <w:t xml:space="preserve">ion </w:t>
      </w:r>
      <w:r w:rsidRPr="00E669EC">
        <w:rPr>
          <w:bCs/>
          <w:color w:val="auto"/>
        </w:rPr>
        <w:t>mode using selective reaction monitoring (SRM). The</w:t>
      </w:r>
      <w:r>
        <w:rPr>
          <w:bCs/>
          <w:color w:val="auto"/>
        </w:rPr>
        <w:t xml:space="preserve"> parameters for MS settings can be seen in </w:t>
      </w:r>
      <w:r w:rsidRPr="0036118A">
        <w:rPr>
          <w:b/>
          <w:bCs/>
          <w:color w:val="auto"/>
        </w:rPr>
        <w:t xml:space="preserve">Table </w:t>
      </w:r>
      <w:r w:rsidR="006A6EF8">
        <w:rPr>
          <w:b/>
          <w:bCs/>
          <w:color w:val="auto"/>
        </w:rPr>
        <w:t>1</w:t>
      </w:r>
      <w:r>
        <w:rPr>
          <w:bCs/>
          <w:color w:val="auto"/>
        </w:rPr>
        <w:t xml:space="preserve">. </w:t>
      </w:r>
      <w:r w:rsidRPr="00E669EC">
        <w:rPr>
          <w:bCs/>
          <w:color w:val="auto"/>
        </w:rPr>
        <w:t xml:space="preserve"> The m/z transitions for </w:t>
      </w:r>
      <w:r w:rsidR="006A6EF8">
        <w:rPr>
          <w:bCs/>
          <w:color w:val="auto"/>
        </w:rPr>
        <w:t xml:space="preserve">MPV </w:t>
      </w:r>
      <w:r w:rsidRPr="0036118A">
        <w:rPr>
          <w:bCs/>
          <w:color w:val="auto"/>
        </w:rPr>
        <w:t xml:space="preserve">(328.1→126.0) </w:t>
      </w:r>
      <w:r w:rsidR="006A6EF8">
        <w:rPr>
          <w:bCs/>
          <w:color w:val="auto"/>
        </w:rPr>
        <w:t>NHC</w:t>
      </w:r>
      <w:r w:rsidRPr="0036118A">
        <w:rPr>
          <w:bCs/>
          <w:color w:val="auto"/>
        </w:rPr>
        <w:t xml:space="preserve"> (258.0→125.9) and labelled SILs </w:t>
      </w:r>
      <w:r w:rsidR="006A6EF8">
        <w:rPr>
          <w:bCs/>
          <w:color w:val="auto"/>
        </w:rPr>
        <w:t>MPV-</w:t>
      </w:r>
      <w:r w:rsidRPr="0036118A">
        <w:rPr>
          <w:bCs/>
          <w:color w:val="auto"/>
        </w:rPr>
        <w:t xml:space="preserve">SIL (331.0→129.0) </w:t>
      </w:r>
      <w:r w:rsidR="006A6EF8">
        <w:rPr>
          <w:bCs/>
          <w:color w:val="auto"/>
        </w:rPr>
        <w:t>NHC-</w:t>
      </w:r>
      <w:r w:rsidRPr="0036118A">
        <w:rPr>
          <w:bCs/>
          <w:color w:val="auto"/>
        </w:rPr>
        <w:t xml:space="preserve">SIL (260.9→128.9). </w:t>
      </w:r>
    </w:p>
    <w:p w:rsidR="00A70771" w:rsidRDefault="00A70771" w:rsidP="00DE6041">
      <w:pPr>
        <w:pStyle w:val="Default"/>
        <w:spacing w:line="360" w:lineRule="auto"/>
        <w:jc w:val="both"/>
        <w:rPr>
          <w:bCs/>
          <w:color w:val="auto"/>
        </w:rPr>
      </w:pPr>
    </w:p>
    <w:p w:rsidR="00A70771" w:rsidRDefault="00A70771" w:rsidP="00DE6041">
      <w:pPr>
        <w:pStyle w:val="Default"/>
        <w:spacing w:line="360" w:lineRule="auto"/>
        <w:jc w:val="both"/>
        <w:rPr>
          <w:bCs/>
          <w:color w:val="auto"/>
        </w:rPr>
      </w:pPr>
      <w:r w:rsidRPr="00A70771">
        <w:rPr>
          <w:bCs/>
          <w:color w:val="auto"/>
        </w:rPr>
        <w:t>A weighted (1/x</w:t>
      </w:r>
      <w:r w:rsidRPr="00A70771">
        <w:rPr>
          <w:bCs/>
          <w:color w:val="auto"/>
          <w:vertAlign w:val="superscript"/>
        </w:rPr>
        <w:t>2</w:t>
      </w:r>
      <w:r w:rsidRPr="00A70771">
        <w:rPr>
          <w:bCs/>
          <w:color w:val="auto"/>
        </w:rPr>
        <w:t>) least square</w:t>
      </w:r>
      <w:r w:rsidR="00470D20">
        <w:rPr>
          <w:bCs/>
          <w:color w:val="auto"/>
        </w:rPr>
        <w:t xml:space="preserve"> linear</w:t>
      </w:r>
      <w:r w:rsidRPr="00A70771">
        <w:rPr>
          <w:bCs/>
          <w:color w:val="auto"/>
        </w:rPr>
        <w:t xml:space="preserve"> regression mode</w:t>
      </w:r>
      <w:r w:rsidR="00E406B2">
        <w:rPr>
          <w:bCs/>
          <w:color w:val="auto"/>
        </w:rPr>
        <w:t>l</w:t>
      </w:r>
      <w:r w:rsidRPr="00A70771">
        <w:rPr>
          <w:bCs/>
          <w:color w:val="auto"/>
        </w:rPr>
        <w:t xml:space="preserve"> was used to plot</w:t>
      </w:r>
      <w:r w:rsidR="00F262CB">
        <w:rPr>
          <w:bCs/>
          <w:color w:val="auto"/>
        </w:rPr>
        <w:t xml:space="preserve"> </w:t>
      </w:r>
      <w:r w:rsidRPr="00A70771">
        <w:rPr>
          <w:bCs/>
          <w:color w:val="auto"/>
        </w:rPr>
        <w:t>the ratio of peak area of analyte to peak area of IS against the nominal concentrations of the analyte</w:t>
      </w:r>
      <w:r>
        <w:rPr>
          <w:bCs/>
          <w:color w:val="auto"/>
        </w:rPr>
        <w:t>s</w:t>
      </w:r>
      <w:r w:rsidRPr="00A70771">
        <w:rPr>
          <w:bCs/>
          <w:color w:val="auto"/>
        </w:rPr>
        <w:t xml:space="preserve"> in order to evaluate the calibration curves.</w:t>
      </w:r>
    </w:p>
    <w:p w:rsidR="00A57E4A" w:rsidRPr="00AA7E8B" w:rsidRDefault="00DE6041" w:rsidP="00AA7E8B">
      <w:pPr>
        <w:pStyle w:val="Default"/>
        <w:spacing w:line="360" w:lineRule="auto"/>
        <w:ind w:left="2880" w:firstLine="720"/>
        <w:jc w:val="both"/>
        <w:rPr>
          <w:b/>
          <w:bCs/>
          <w:color w:val="auto"/>
        </w:rPr>
      </w:pPr>
      <w:r w:rsidRPr="00914A4C">
        <w:rPr>
          <w:b/>
          <w:bCs/>
          <w:color w:val="auto"/>
        </w:rPr>
        <w:t xml:space="preserve">Table </w:t>
      </w:r>
      <w:r w:rsidR="00914A4C" w:rsidRPr="00914A4C">
        <w:rPr>
          <w:b/>
          <w:bCs/>
          <w:color w:val="auto"/>
        </w:rPr>
        <w:t>1</w:t>
      </w:r>
    </w:p>
    <w:p w:rsidR="00AA7E8B" w:rsidRPr="00E669EC" w:rsidRDefault="00AA7E8B" w:rsidP="00DE6041">
      <w:pPr>
        <w:pStyle w:val="Default"/>
        <w:spacing w:line="360" w:lineRule="auto"/>
        <w:ind w:left="2880" w:firstLine="720"/>
        <w:jc w:val="both"/>
        <w:rPr>
          <w:bCs/>
          <w:color w:val="auto"/>
        </w:rPr>
      </w:pPr>
    </w:p>
    <w:p w:rsidR="00DE6041" w:rsidRPr="00A57E4A" w:rsidRDefault="00DE6041" w:rsidP="00EB287F">
      <w:pPr>
        <w:pStyle w:val="ListParagraph"/>
        <w:numPr>
          <w:ilvl w:val="0"/>
          <w:numId w:val="12"/>
        </w:numPr>
        <w:spacing w:after="240"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A57E4A">
        <w:rPr>
          <w:rFonts w:ascii="Times New Roman" w:hAnsi="Times New Roman" w:cs="Times New Roman"/>
          <w:b/>
          <w:sz w:val="28"/>
          <w:szCs w:val="24"/>
        </w:rPr>
        <w:t>Validation methodology</w:t>
      </w:r>
    </w:p>
    <w:p w:rsidR="00A57E4A" w:rsidRPr="00A57E4A" w:rsidRDefault="00A57E4A" w:rsidP="00A57E4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:rsidR="00A57E4A" w:rsidRPr="00A57E4A" w:rsidRDefault="00A57E4A" w:rsidP="00A57E4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:rsidR="00A57E4A" w:rsidRPr="00A57E4A" w:rsidRDefault="00A57E4A" w:rsidP="00A57E4A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:rsidR="00DE6041" w:rsidRPr="00A57E4A" w:rsidRDefault="00DE6041" w:rsidP="000B2741">
      <w:pPr>
        <w:pStyle w:val="ListParagraph"/>
        <w:numPr>
          <w:ilvl w:val="1"/>
          <w:numId w:val="6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57E4A">
        <w:rPr>
          <w:rFonts w:ascii="Times New Roman" w:hAnsi="Times New Roman" w:cs="Times New Roman"/>
          <w:b/>
          <w:sz w:val="24"/>
          <w:szCs w:val="24"/>
        </w:rPr>
        <w:t>Selectivity</w:t>
      </w:r>
    </w:p>
    <w:p w:rsidR="00DE6041" w:rsidRDefault="00DE6041" w:rsidP="004B72E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C4F">
        <w:rPr>
          <w:rFonts w:ascii="Times New Roman" w:hAnsi="Times New Roman" w:cs="Times New Roman"/>
          <w:sz w:val="24"/>
          <w:szCs w:val="24"/>
        </w:rPr>
        <w:t xml:space="preserve">Selectivity </w:t>
      </w:r>
      <w:r>
        <w:rPr>
          <w:rFonts w:ascii="Times New Roman" w:hAnsi="Times New Roman" w:cs="Times New Roman"/>
          <w:sz w:val="24"/>
          <w:szCs w:val="24"/>
        </w:rPr>
        <w:t>(using s</w:t>
      </w:r>
      <w:r w:rsidRPr="00E669EC">
        <w:rPr>
          <w:rFonts w:ascii="Times New Roman" w:hAnsi="Times New Roman" w:cs="Times New Roman"/>
          <w:sz w:val="24"/>
          <w:szCs w:val="24"/>
        </w:rPr>
        <w:t>ix different lots of blank human plasma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311A2">
        <w:rPr>
          <w:rFonts w:ascii="Times New Roman" w:hAnsi="Times New Roman" w:cs="Times New Roman"/>
          <w:sz w:val="24"/>
          <w:szCs w:val="24"/>
        </w:rPr>
        <w:t xml:space="preserve"> </w:t>
      </w:r>
      <w:r w:rsidRPr="00C75C4F">
        <w:rPr>
          <w:rFonts w:ascii="Times New Roman" w:hAnsi="Times New Roman" w:cs="Times New Roman"/>
          <w:sz w:val="24"/>
          <w:szCs w:val="24"/>
        </w:rPr>
        <w:t xml:space="preserve">was determined </w:t>
      </w:r>
      <w:r w:rsidR="004B72E5">
        <w:rPr>
          <w:rFonts w:ascii="Times New Roman" w:hAnsi="Times New Roman" w:cs="Times New Roman"/>
          <w:sz w:val="24"/>
          <w:szCs w:val="24"/>
        </w:rPr>
        <w:t xml:space="preserve">by comparing the amount of background interference in relation to </w:t>
      </w:r>
      <w:r w:rsidRPr="00C75C4F">
        <w:rPr>
          <w:rFonts w:ascii="Times New Roman" w:hAnsi="Times New Roman" w:cs="Times New Roman"/>
          <w:sz w:val="24"/>
          <w:szCs w:val="24"/>
        </w:rPr>
        <w:t xml:space="preserve">the </w:t>
      </w:r>
      <w:r w:rsidR="004B72E5">
        <w:rPr>
          <w:rFonts w:ascii="Times New Roman" w:hAnsi="Times New Roman" w:cs="Times New Roman"/>
          <w:sz w:val="24"/>
          <w:szCs w:val="24"/>
        </w:rPr>
        <w:t>assay</w:t>
      </w:r>
      <w:r w:rsidR="00914A4C">
        <w:rPr>
          <w:rFonts w:ascii="Times New Roman" w:hAnsi="Times New Roman" w:cs="Times New Roman"/>
          <w:sz w:val="24"/>
          <w:szCs w:val="24"/>
        </w:rPr>
        <w:t xml:space="preserve"> lower limit of quantification (</w:t>
      </w:r>
      <w:r w:rsidR="00AD3EA3">
        <w:rPr>
          <w:rFonts w:ascii="Times New Roman" w:hAnsi="Times New Roman" w:cs="Times New Roman"/>
          <w:sz w:val="24"/>
          <w:szCs w:val="24"/>
        </w:rPr>
        <w:t>LLOQ</w:t>
      </w:r>
      <w:r w:rsidR="00914A4C">
        <w:rPr>
          <w:rFonts w:ascii="Times New Roman" w:hAnsi="Times New Roman" w:cs="Times New Roman"/>
          <w:sz w:val="24"/>
          <w:szCs w:val="24"/>
        </w:rPr>
        <w:t>)</w:t>
      </w:r>
      <w:r w:rsidR="004B72E5">
        <w:rPr>
          <w:rFonts w:ascii="Times New Roman" w:hAnsi="Times New Roman" w:cs="Times New Roman"/>
          <w:sz w:val="24"/>
          <w:szCs w:val="24"/>
        </w:rPr>
        <w:t>.</w:t>
      </w:r>
      <w:r w:rsidRPr="00C75C4F">
        <w:rPr>
          <w:rFonts w:ascii="Times New Roman" w:hAnsi="Times New Roman" w:cs="Times New Roman"/>
          <w:sz w:val="24"/>
          <w:szCs w:val="24"/>
        </w:rPr>
        <w:t xml:space="preserve"> </w:t>
      </w:r>
      <w:r w:rsidR="004B72E5" w:rsidRPr="004B72E5">
        <w:rPr>
          <w:rFonts w:ascii="Times New Roman" w:hAnsi="Times New Roman" w:cs="Times New Roman"/>
          <w:sz w:val="24"/>
          <w:szCs w:val="24"/>
        </w:rPr>
        <w:t xml:space="preserve">Area responses of interfering noise at the retention time of </w:t>
      </w:r>
      <w:r w:rsidR="004B72E5">
        <w:rPr>
          <w:rFonts w:ascii="Times New Roman" w:hAnsi="Times New Roman" w:cs="Times New Roman"/>
          <w:sz w:val="24"/>
          <w:szCs w:val="24"/>
        </w:rPr>
        <w:t xml:space="preserve">each analyte </w:t>
      </w:r>
      <w:r w:rsidR="004B72E5" w:rsidRPr="004B72E5">
        <w:rPr>
          <w:rFonts w:ascii="Times New Roman" w:hAnsi="Times New Roman" w:cs="Times New Roman"/>
          <w:sz w:val="24"/>
          <w:szCs w:val="24"/>
        </w:rPr>
        <w:t xml:space="preserve">were accepted if the interference was less than 20% of the response of the </w:t>
      </w:r>
      <w:r w:rsidR="00AD3EA3">
        <w:rPr>
          <w:rFonts w:ascii="Times New Roman" w:hAnsi="Times New Roman" w:cs="Times New Roman"/>
          <w:sz w:val="24"/>
          <w:szCs w:val="24"/>
        </w:rPr>
        <w:t>LLOQ</w:t>
      </w:r>
      <w:r w:rsidR="004B72E5">
        <w:rPr>
          <w:rFonts w:ascii="Times New Roman" w:hAnsi="Times New Roman" w:cs="Times New Roman"/>
          <w:sz w:val="24"/>
          <w:szCs w:val="24"/>
        </w:rPr>
        <w:t>.</w:t>
      </w:r>
      <w:r w:rsidR="004B72E5" w:rsidRPr="004B7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669EC">
        <w:rPr>
          <w:rFonts w:ascii="Times New Roman" w:hAnsi="Times New Roman" w:cs="Times New Roman"/>
          <w:sz w:val="24"/>
          <w:szCs w:val="24"/>
        </w:rPr>
        <w:t>nterfer</w:t>
      </w:r>
      <w:r>
        <w:rPr>
          <w:rFonts w:ascii="Times New Roman" w:hAnsi="Times New Roman" w:cs="Times New Roman"/>
          <w:sz w:val="24"/>
          <w:szCs w:val="24"/>
        </w:rPr>
        <w:t>ence</w:t>
      </w:r>
      <w:r w:rsidR="00E406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E669EC">
        <w:rPr>
          <w:rFonts w:ascii="Times New Roman" w:hAnsi="Times New Roman" w:cs="Times New Roman"/>
          <w:sz w:val="24"/>
          <w:szCs w:val="24"/>
        </w:rPr>
        <w:t xml:space="preserve">noise </w:t>
      </w:r>
      <w:r>
        <w:rPr>
          <w:rFonts w:ascii="Times New Roman" w:hAnsi="Times New Roman" w:cs="Times New Roman"/>
          <w:sz w:val="24"/>
          <w:szCs w:val="24"/>
        </w:rPr>
        <w:t>response</w:t>
      </w:r>
      <w:r w:rsidR="00E406B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hAnsi="Times New Roman" w:cs="Times New Roman"/>
          <w:sz w:val="24"/>
          <w:szCs w:val="24"/>
        </w:rPr>
        <w:t xml:space="preserve">same </w:t>
      </w:r>
      <w:r w:rsidRPr="00E669EC">
        <w:rPr>
          <w:rFonts w:ascii="Times New Roman" w:hAnsi="Times New Roman" w:cs="Times New Roman"/>
          <w:sz w:val="24"/>
          <w:szCs w:val="24"/>
        </w:rPr>
        <w:t xml:space="preserve">retention time of internal standard were </w:t>
      </w:r>
      <w:r>
        <w:rPr>
          <w:rFonts w:ascii="Times New Roman" w:hAnsi="Times New Roman" w:cs="Times New Roman"/>
          <w:sz w:val="24"/>
          <w:szCs w:val="24"/>
        </w:rPr>
        <w:t xml:space="preserve">deemed </w:t>
      </w:r>
      <w:r w:rsidRPr="00E669EC">
        <w:rPr>
          <w:rFonts w:ascii="Times New Roman" w:hAnsi="Times New Roman" w:cs="Times New Roman"/>
          <w:sz w:val="24"/>
          <w:szCs w:val="24"/>
        </w:rPr>
        <w:t xml:space="preserve">acceptable if the % interference was less than 5% of the mean response of the internal standard areas in 6 </w:t>
      </w:r>
      <w:r w:rsidR="00AD3EA3">
        <w:rPr>
          <w:rFonts w:ascii="Times New Roman" w:hAnsi="Times New Roman" w:cs="Times New Roman"/>
          <w:sz w:val="24"/>
          <w:szCs w:val="24"/>
        </w:rPr>
        <w:t>LLOQ</w:t>
      </w:r>
      <w:r w:rsidRPr="00E669EC">
        <w:rPr>
          <w:rFonts w:ascii="Times New Roman" w:hAnsi="Times New Roman" w:cs="Times New Roman"/>
          <w:sz w:val="24"/>
          <w:szCs w:val="24"/>
        </w:rPr>
        <w:t xml:space="preserve"> samples.</w:t>
      </w:r>
    </w:p>
    <w:p w:rsidR="00DE6041" w:rsidRPr="00A57E4A" w:rsidRDefault="00DE6041" w:rsidP="000B274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57E4A">
        <w:rPr>
          <w:rFonts w:ascii="Times New Roman" w:hAnsi="Times New Roman" w:cs="Times New Roman"/>
          <w:b/>
          <w:sz w:val="24"/>
          <w:szCs w:val="24"/>
        </w:rPr>
        <w:t>Accuracy and Precision</w:t>
      </w:r>
    </w:p>
    <w:p w:rsidR="00DE6041" w:rsidRPr="00E669EC" w:rsidRDefault="00DE6041" w:rsidP="00DE6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Three</w:t>
      </w:r>
      <w:r w:rsidRPr="00E669EC">
        <w:rPr>
          <w:rFonts w:ascii="Times New Roman" w:hAnsi="Times New Roman" w:cs="Times New Roman"/>
          <w:sz w:val="24"/>
          <w:szCs w:val="24"/>
        </w:rPr>
        <w:t xml:space="preserve"> separate </w:t>
      </w:r>
      <w:r>
        <w:rPr>
          <w:rFonts w:ascii="Times New Roman" w:hAnsi="Times New Roman" w:cs="Times New Roman"/>
          <w:sz w:val="24"/>
          <w:szCs w:val="24"/>
        </w:rPr>
        <w:t>sets of a</w:t>
      </w:r>
      <w:r w:rsidRPr="00E669EC">
        <w:rPr>
          <w:rFonts w:ascii="Times New Roman" w:hAnsi="Times New Roman" w:cs="Times New Roman"/>
          <w:sz w:val="24"/>
          <w:szCs w:val="24"/>
        </w:rPr>
        <w:t>ccuracy and precision batches</w:t>
      </w:r>
      <w:r w:rsidRPr="00D2355A"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 xml:space="preserve">consisting of a calibration curve and </w:t>
      </w:r>
      <w:r w:rsidR="00AD3EA3">
        <w:rPr>
          <w:rFonts w:ascii="Times New Roman" w:hAnsi="Times New Roman" w:cs="Times New Roman"/>
          <w:sz w:val="24"/>
          <w:szCs w:val="24"/>
        </w:rPr>
        <w:t>LLOQ</w:t>
      </w:r>
      <w:r w:rsidRPr="00E669EC">
        <w:rPr>
          <w:rFonts w:ascii="Times New Roman" w:hAnsi="Times New Roman" w:cs="Times New Roman"/>
          <w:sz w:val="24"/>
          <w:szCs w:val="24"/>
        </w:rPr>
        <w:t>, LQC, MQC and HQC samples</w:t>
      </w:r>
      <w:r>
        <w:rPr>
          <w:rFonts w:ascii="Times New Roman" w:hAnsi="Times New Roman" w:cs="Times New Roman"/>
          <w:sz w:val="24"/>
          <w:szCs w:val="24"/>
        </w:rPr>
        <w:t xml:space="preserve"> in replicates of six, </w:t>
      </w:r>
      <w:r w:rsidRPr="00E669EC">
        <w:rPr>
          <w:rFonts w:ascii="Times New Roman" w:hAnsi="Times New Roman" w:cs="Times New Roman"/>
          <w:sz w:val="24"/>
          <w:szCs w:val="24"/>
        </w:rPr>
        <w:t xml:space="preserve">were run. </w:t>
      </w:r>
      <w:r w:rsidR="00AA7E8B">
        <w:rPr>
          <w:rFonts w:ascii="Times New Roman" w:hAnsi="Times New Roman" w:cs="Times New Roman"/>
          <w:sz w:val="24"/>
          <w:szCs w:val="24"/>
        </w:rPr>
        <w:t>Inter-</w:t>
      </w:r>
      <w:r w:rsidR="00173FB1">
        <w:rPr>
          <w:rFonts w:ascii="Times New Roman" w:hAnsi="Times New Roman" w:cs="Times New Roman"/>
          <w:sz w:val="24"/>
          <w:szCs w:val="24"/>
        </w:rPr>
        <w:t>day</w:t>
      </w:r>
      <w:r w:rsidR="00AA7E8B">
        <w:rPr>
          <w:rFonts w:ascii="Times New Roman" w:hAnsi="Times New Roman" w:cs="Times New Roman"/>
          <w:sz w:val="24"/>
          <w:szCs w:val="24"/>
        </w:rPr>
        <w:t xml:space="preserve"> (betwee</w:t>
      </w:r>
      <w:r w:rsidR="00AA7E8B" w:rsidRPr="00AA7E8B">
        <w:rPr>
          <w:rFonts w:ascii="Times New Roman" w:hAnsi="Times New Roman" w:cs="Times New Roman"/>
          <w:sz w:val="24"/>
          <w:szCs w:val="24"/>
        </w:rPr>
        <w:t>n-run</w:t>
      </w:r>
      <w:r w:rsidR="00AA7E8B">
        <w:rPr>
          <w:rFonts w:ascii="Times New Roman" w:hAnsi="Times New Roman" w:cs="Times New Roman"/>
          <w:sz w:val="24"/>
          <w:szCs w:val="24"/>
        </w:rPr>
        <w:t>)</w:t>
      </w:r>
      <w:r w:rsidR="00AA7E8B" w:rsidRPr="00AA7E8B">
        <w:rPr>
          <w:rFonts w:ascii="Times New Roman" w:hAnsi="Times New Roman" w:cs="Times New Roman"/>
          <w:sz w:val="24"/>
          <w:szCs w:val="24"/>
        </w:rPr>
        <w:t xml:space="preserve"> </w:t>
      </w:r>
      <w:r w:rsidR="00AA7E8B">
        <w:rPr>
          <w:rFonts w:ascii="Times New Roman" w:hAnsi="Times New Roman" w:cs="Times New Roman"/>
          <w:sz w:val="24"/>
          <w:szCs w:val="24"/>
        </w:rPr>
        <w:t>and intra-</w:t>
      </w:r>
      <w:r w:rsidR="00173FB1">
        <w:rPr>
          <w:rFonts w:ascii="Times New Roman" w:hAnsi="Times New Roman" w:cs="Times New Roman"/>
          <w:sz w:val="24"/>
          <w:szCs w:val="24"/>
        </w:rPr>
        <w:t>day</w:t>
      </w:r>
      <w:r w:rsidR="00AA7E8B">
        <w:rPr>
          <w:rFonts w:ascii="Times New Roman" w:hAnsi="Times New Roman" w:cs="Times New Roman"/>
          <w:sz w:val="24"/>
          <w:szCs w:val="24"/>
        </w:rPr>
        <w:t xml:space="preserve"> (</w:t>
      </w:r>
      <w:r w:rsidR="00AA7E8B" w:rsidRPr="00AA7E8B">
        <w:rPr>
          <w:rFonts w:ascii="Times New Roman" w:hAnsi="Times New Roman" w:cs="Times New Roman"/>
          <w:sz w:val="24"/>
          <w:szCs w:val="24"/>
        </w:rPr>
        <w:t>within-run</w:t>
      </w:r>
      <w:r w:rsidR="00AA7E8B">
        <w:rPr>
          <w:rFonts w:ascii="Times New Roman" w:hAnsi="Times New Roman" w:cs="Times New Roman"/>
          <w:sz w:val="24"/>
          <w:szCs w:val="24"/>
        </w:rPr>
        <w:t>)</w:t>
      </w:r>
      <w:r w:rsidR="00AA7E8B" w:rsidRPr="00AA7E8B">
        <w:rPr>
          <w:rFonts w:ascii="Times New Roman" w:hAnsi="Times New Roman" w:cs="Times New Roman"/>
          <w:sz w:val="24"/>
          <w:szCs w:val="24"/>
        </w:rPr>
        <w:t xml:space="preserve"> </w:t>
      </w:r>
      <w:r w:rsidR="00AA7E8B">
        <w:rPr>
          <w:rFonts w:ascii="Times New Roman" w:hAnsi="Times New Roman" w:cs="Times New Roman"/>
          <w:sz w:val="24"/>
          <w:szCs w:val="24"/>
        </w:rPr>
        <w:t xml:space="preserve">assessments were carried out. </w:t>
      </w:r>
      <w:r w:rsidR="00914A4C">
        <w:rPr>
          <w:rFonts w:ascii="Times New Roman" w:hAnsi="Times New Roman" w:cs="Times New Roman"/>
          <w:sz w:val="24"/>
          <w:szCs w:val="24"/>
        </w:rPr>
        <w:t xml:space="preserve">Assays were deemed acceptable if all the calibrants and QC samples were within </w:t>
      </w:r>
      <w:r w:rsidR="005E67E5">
        <w:rPr>
          <w:rFonts w:ascii="Times New Roman" w:hAnsi="Times New Roman" w:cs="Times New Roman"/>
          <w:sz w:val="24"/>
          <w:szCs w:val="24"/>
        </w:rPr>
        <w:t>±</w:t>
      </w:r>
      <w:r w:rsidR="00914A4C">
        <w:rPr>
          <w:rFonts w:ascii="Times New Roman" w:hAnsi="Times New Roman" w:cs="Times New Roman"/>
          <w:sz w:val="24"/>
          <w:szCs w:val="24"/>
        </w:rPr>
        <w:t xml:space="preserve">15% of their nominal values (with the exception of the </w:t>
      </w:r>
      <w:r w:rsidR="00AD3EA3">
        <w:rPr>
          <w:rFonts w:ascii="Times New Roman" w:hAnsi="Times New Roman" w:cs="Times New Roman"/>
          <w:sz w:val="24"/>
          <w:szCs w:val="24"/>
        </w:rPr>
        <w:t>LLOQ</w:t>
      </w:r>
      <w:r w:rsidR="00914A4C">
        <w:rPr>
          <w:rFonts w:ascii="Times New Roman" w:hAnsi="Times New Roman" w:cs="Times New Roman"/>
          <w:sz w:val="24"/>
          <w:szCs w:val="24"/>
        </w:rPr>
        <w:t xml:space="preserve"> for which </w:t>
      </w:r>
      <w:r w:rsidR="005E67E5">
        <w:rPr>
          <w:rFonts w:ascii="Times New Roman" w:hAnsi="Times New Roman" w:cs="Times New Roman"/>
          <w:sz w:val="24"/>
          <w:szCs w:val="24"/>
        </w:rPr>
        <w:t>±</w:t>
      </w:r>
      <w:r w:rsidR="00914A4C">
        <w:rPr>
          <w:rFonts w:ascii="Times New Roman" w:hAnsi="Times New Roman" w:cs="Times New Roman"/>
          <w:sz w:val="24"/>
          <w:szCs w:val="24"/>
        </w:rPr>
        <w:t>20% was allowed).</w:t>
      </w:r>
    </w:p>
    <w:p w:rsidR="00DE6041" w:rsidRPr="00A57E4A" w:rsidRDefault="00DE6041" w:rsidP="000B274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E4A">
        <w:rPr>
          <w:rFonts w:ascii="Times New Roman" w:hAnsi="Times New Roman" w:cs="Times New Roman"/>
          <w:b/>
          <w:sz w:val="24"/>
          <w:szCs w:val="24"/>
        </w:rPr>
        <w:t xml:space="preserve">Carryover </w:t>
      </w:r>
    </w:p>
    <w:p w:rsidR="00DE6041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7E5">
        <w:rPr>
          <w:rFonts w:ascii="Times New Roman" w:hAnsi="Times New Roman" w:cs="Times New Roman"/>
          <w:sz w:val="24"/>
          <w:szCs w:val="24"/>
        </w:rPr>
        <w:t>Duplicate injections</w:t>
      </w:r>
      <w:r w:rsidR="005E67E5">
        <w:rPr>
          <w:rFonts w:ascii="Times New Roman" w:hAnsi="Times New Roman" w:cs="Times New Roman"/>
          <w:sz w:val="24"/>
          <w:szCs w:val="24"/>
        </w:rPr>
        <w:t xml:space="preserve"> of</w:t>
      </w:r>
      <w:r w:rsidRPr="005E67E5">
        <w:rPr>
          <w:rFonts w:ascii="Times New Roman" w:hAnsi="Times New Roman" w:cs="Times New Roman"/>
          <w:sz w:val="24"/>
          <w:szCs w:val="24"/>
        </w:rPr>
        <w:t xml:space="preserve"> </w:t>
      </w:r>
      <w:r w:rsidR="00AD3EA3">
        <w:rPr>
          <w:rFonts w:ascii="Times New Roman" w:hAnsi="Times New Roman" w:cs="Times New Roman"/>
          <w:sz w:val="24"/>
          <w:szCs w:val="24"/>
        </w:rPr>
        <w:t>LLOQ</w:t>
      </w:r>
      <w:r w:rsidRPr="005E67E5">
        <w:rPr>
          <w:rFonts w:ascii="Times New Roman" w:hAnsi="Times New Roman" w:cs="Times New Roman"/>
          <w:sz w:val="24"/>
          <w:szCs w:val="24"/>
        </w:rPr>
        <w:t xml:space="preserve"> (</w:t>
      </w:r>
      <w:r w:rsidR="00173FB1">
        <w:rPr>
          <w:rFonts w:ascii="Times New Roman" w:hAnsi="Times New Roman" w:cs="Times New Roman"/>
          <w:sz w:val="24"/>
          <w:szCs w:val="24"/>
        </w:rPr>
        <w:t>2.</w:t>
      </w:r>
      <w:r w:rsidRPr="005E67E5">
        <w:rPr>
          <w:rFonts w:ascii="Times New Roman" w:hAnsi="Times New Roman" w:cs="Times New Roman"/>
          <w:sz w:val="24"/>
          <w:szCs w:val="24"/>
        </w:rPr>
        <w:t>5 ng/</w:t>
      </w:r>
      <w:r w:rsidR="00AD3EA3">
        <w:rPr>
          <w:rFonts w:ascii="Times New Roman" w:hAnsi="Times New Roman" w:cs="Times New Roman"/>
          <w:sz w:val="24"/>
          <w:szCs w:val="24"/>
        </w:rPr>
        <w:t>ml</w:t>
      </w:r>
      <w:r w:rsidRPr="005E67E5">
        <w:rPr>
          <w:rFonts w:ascii="Times New Roman" w:hAnsi="Times New Roman" w:cs="Times New Roman"/>
          <w:sz w:val="24"/>
          <w:szCs w:val="24"/>
        </w:rPr>
        <w:t xml:space="preserve">) </w:t>
      </w:r>
      <w:r w:rsidR="005E67E5" w:rsidRPr="005E67E5">
        <w:rPr>
          <w:rFonts w:ascii="Times New Roman" w:hAnsi="Times New Roman" w:cs="Times New Roman"/>
          <w:sz w:val="24"/>
          <w:szCs w:val="24"/>
        </w:rPr>
        <w:t xml:space="preserve">followed by blank samples </w:t>
      </w:r>
      <w:r w:rsidRPr="005E67E5">
        <w:rPr>
          <w:rFonts w:ascii="Times New Roman" w:hAnsi="Times New Roman" w:cs="Times New Roman"/>
          <w:sz w:val="24"/>
          <w:szCs w:val="24"/>
        </w:rPr>
        <w:t>and upper limit of quantification (ULQ; 5000 ng/</w:t>
      </w:r>
      <w:r w:rsidR="00AD3EA3">
        <w:rPr>
          <w:rFonts w:ascii="Times New Roman" w:hAnsi="Times New Roman" w:cs="Times New Roman"/>
          <w:sz w:val="24"/>
          <w:szCs w:val="24"/>
        </w:rPr>
        <w:t>ml</w:t>
      </w:r>
      <w:r w:rsidRPr="005E67E5">
        <w:rPr>
          <w:rFonts w:ascii="Times New Roman" w:hAnsi="Times New Roman" w:cs="Times New Roman"/>
          <w:sz w:val="24"/>
          <w:szCs w:val="24"/>
        </w:rPr>
        <w:t>) standards were used.</w:t>
      </w:r>
      <w:r>
        <w:rPr>
          <w:rFonts w:ascii="Times New Roman" w:hAnsi="Times New Roman" w:cs="Times New Roman"/>
          <w:sz w:val="24"/>
          <w:szCs w:val="24"/>
        </w:rPr>
        <w:t xml:space="preserve"> Injections of ULQ were</w:t>
      </w:r>
      <w:r w:rsidRPr="00E669EC">
        <w:rPr>
          <w:rFonts w:ascii="Times New Roman" w:hAnsi="Times New Roman" w:cs="Times New Roman"/>
          <w:sz w:val="24"/>
          <w:szCs w:val="24"/>
        </w:rPr>
        <w:t xml:space="preserve"> followed by </w:t>
      </w:r>
      <w:r>
        <w:rPr>
          <w:rFonts w:ascii="Times New Roman" w:hAnsi="Times New Roman" w:cs="Times New Roman"/>
          <w:sz w:val="24"/>
          <w:szCs w:val="24"/>
        </w:rPr>
        <w:t>3</w:t>
      </w:r>
      <w:r w:rsidR="005E67E5">
        <w:rPr>
          <w:rFonts w:ascii="Times New Roman" w:hAnsi="Times New Roman" w:cs="Times New Roman"/>
          <w:sz w:val="24"/>
          <w:szCs w:val="24"/>
        </w:rPr>
        <w:t xml:space="preserve"> extracted</w:t>
      </w:r>
      <w:r w:rsidRPr="00E669EC">
        <w:rPr>
          <w:rFonts w:ascii="Times New Roman" w:hAnsi="Times New Roman" w:cs="Times New Roman"/>
          <w:sz w:val="24"/>
          <w:szCs w:val="24"/>
        </w:rPr>
        <w:t xml:space="preserve"> blank plasma samples.  The % carryover </w:t>
      </w:r>
      <w:r>
        <w:rPr>
          <w:rFonts w:ascii="Times New Roman" w:hAnsi="Times New Roman" w:cs="Times New Roman"/>
          <w:sz w:val="24"/>
          <w:szCs w:val="24"/>
        </w:rPr>
        <w:t xml:space="preserve">(in the </w:t>
      </w:r>
      <w:r w:rsidR="005E67E5">
        <w:rPr>
          <w:rFonts w:ascii="Times New Roman" w:hAnsi="Times New Roman" w:cs="Times New Roman"/>
          <w:sz w:val="24"/>
          <w:szCs w:val="24"/>
        </w:rPr>
        <w:t xml:space="preserve">extracted </w:t>
      </w:r>
      <w:r>
        <w:rPr>
          <w:rFonts w:ascii="Times New Roman" w:hAnsi="Times New Roman" w:cs="Times New Roman"/>
          <w:sz w:val="24"/>
          <w:szCs w:val="24"/>
        </w:rPr>
        <w:t xml:space="preserve">blank samples after ULQ) </w:t>
      </w:r>
      <w:r w:rsidRPr="00E669EC">
        <w:rPr>
          <w:rFonts w:ascii="Times New Roman" w:hAnsi="Times New Roman" w:cs="Times New Roman"/>
          <w:sz w:val="24"/>
          <w:szCs w:val="24"/>
        </w:rPr>
        <w:t xml:space="preserve">was calculated and expressed in relation to the assay </w:t>
      </w:r>
      <w:r w:rsidR="00AD3EA3">
        <w:rPr>
          <w:rFonts w:ascii="Times New Roman" w:hAnsi="Times New Roman" w:cs="Times New Roman"/>
          <w:sz w:val="24"/>
          <w:szCs w:val="24"/>
        </w:rPr>
        <w:t>LLOQ</w:t>
      </w:r>
      <w:r>
        <w:rPr>
          <w:rFonts w:ascii="Times New Roman" w:hAnsi="Times New Roman" w:cs="Times New Roman"/>
          <w:sz w:val="24"/>
          <w:szCs w:val="24"/>
        </w:rPr>
        <w:t>; t</w:t>
      </w:r>
      <w:r w:rsidRPr="00E669EC">
        <w:rPr>
          <w:rFonts w:ascii="Times New Roman" w:hAnsi="Times New Roman" w:cs="Times New Roman"/>
          <w:sz w:val="24"/>
          <w:szCs w:val="24"/>
        </w:rPr>
        <w:t xml:space="preserve">he % carryover should not exceed 20% of the </w:t>
      </w:r>
      <w:r w:rsidR="00AD3EA3">
        <w:rPr>
          <w:rFonts w:ascii="Times New Roman" w:hAnsi="Times New Roman" w:cs="Times New Roman"/>
          <w:sz w:val="24"/>
          <w:szCs w:val="24"/>
        </w:rPr>
        <w:t>LLOQ</w:t>
      </w:r>
      <w:r w:rsidRPr="00E669EC">
        <w:rPr>
          <w:rFonts w:ascii="Times New Roman" w:hAnsi="Times New Roman" w:cs="Times New Roman"/>
          <w:sz w:val="24"/>
          <w:szCs w:val="24"/>
        </w:rPr>
        <w:t xml:space="preserve"> concentration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D63">
        <w:rPr>
          <w:rFonts w:ascii="Times New Roman" w:hAnsi="Times New Roman" w:cs="Times New Roman"/>
          <w:sz w:val="24"/>
          <w:szCs w:val="24"/>
        </w:rPr>
        <w:t>(EMA Bioanalytical method validation)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6041" w:rsidRPr="00A57E4A" w:rsidRDefault="00DE6041" w:rsidP="00AA7E8B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before="240"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57E4A">
        <w:rPr>
          <w:rFonts w:ascii="Times New Roman" w:hAnsi="Times New Roman" w:cs="Times New Roman"/>
          <w:b/>
          <w:sz w:val="24"/>
          <w:szCs w:val="24"/>
        </w:rPr>
        <w:t>Dilution integrity</w:t>
      </w:r>
    </w:p>
    <w:p w:rsidR="00DE6041" w:rsidRPr="00E669EC" w:rsidRDefault="00DE6041" w:rsidP="00DE6041">
      <w:pPr>
        <w:autoSpaceDE w:val="0"/>
        <w:autoSpaceDN w:val="0"/>
        <w:adjustRightInd w:val="0"/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  <w:r w:rsidRPr="00A70771">
        <w:rPr>
          <w:rFonts w:ascii="Times New Roman" w:hAnsi="Times New Roman" w:cs="Times New Roman"/>
          <w:sz w:val="24"/>
          <w:szCs w:val="24"/>
        </w:rPr>
        <w:t>Analyte concentrations between 160-180% of the upper limit of quantification were spiked into various matrices and subsequently diluted 1:2 and 1:4 with blank matrices.  The samples were then analysed, with concentrations from the standard curve (including the appropriate dilution factor) and compared against the expected nominal concentration.</w:t>
      </w:r>
    </w:p>
    <w:p w:rsidR="00DE6041" w:rsidRPr="00A57E4A" w:rsidRDefault="00DE6041" w:rsidP="00AA7E8B">
      <w:pPr>
        <w:pStyle w:val="ListParagraph"/>
        <w:numPr>
          <w:ilvl w:val="1"/>
          <w:numId w:val="6"/>
        </w:numPr>
        <w:spacing w:before="240"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57E4A">
        <w:rPr>
          <w:rFonts w:ascii="Times New Roman" w:hAnsi="Times New Roman" w:cs="Times New Roman"/>
          <w:b/>
          <w:sz w:val="24"/>
          <w:szCs w:val="24"/>
        </w:rPr>
        <w:t>Recovery and Matrix effects</w:t>
      </w:r>
    </w:p>
    <w:p w:rsidR="00DE6041" w:rsidRPr="00E669EC" w:rsidRDefault="00DE6041" w:rsidP="00DE6041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Percentage</w:t>
      </w:r>
      <w:r w:rsidRPr="00E669EC">
        <w:rPr>
          <w:rFonts w:ascii="Times New Roman" w:hAnsi="Times New Roman" w:cs="Times New Roman"/>
          <w:sz w:val="24"/>
          <w:szCs w:val="24"/>
        </w:rPr>
        <w:t xml:space="preserve"> recovery and matrix effects were determined quantitatively </w:t>
      </w:r>
      <w:r>
        <w:rPr>
          <w:rFonts w:ascii="Times New Roman" w:hAnsi="Times New Roman" w:cs="Times New Roman"/>
          <w:sz w:val="24"/>
          <w:szCs w:val="24"/>
        </w:rPr>
        <w:t>using the methods</w:t>
      </w:r>
      <w:r w:rsidRPr="00E669EC">
        <w:rPr>
          <w:rFonts w:ascii="Times New Roman" w:hAnsi="Times New Roman" w:cs="Times New Roman"/>
          <w:sz w:val="24"/>
          <w:szCs w:val="24"/>
        </w:rPr>
        <w:t xml:space="preserve"> of Matuszewski </w:t>
      </w:r>
      <w:r w:rsidRPr="00E669EC">
        <w:rPr>
          <w:rFonts w:ascii="Times New Roman" w:hAnsi="Times New Roman" w:cs="Times New Roman"/>
          <w:i/>
          <w:sz w:val="24"/>
          <w:szCs w:val="24"/>
        </w:rPr>
        <w:t>et al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304E09">
        <w:rPr>
          <w:rFonts w:ascii="Times New Roman" w:hAnsi="Times New Roman" w:cs="Times New Roman"/>
          <w:noProof/>
          <w:sz w:val="24"/>
          <w:szCs w:val="24"/>
        </w:rPr>
        <w:t>[</w:t>
      </w:r>
      <w:r w:rsidR="005F01AF">
        <w:rPr>
          <w:rFonts w:ascii="Times New Roman" w:hAnsi="Times New Roman" w:cs="Times New Roman"/>
          <w:noProof/>
          <w:sz w:val="24"/>
          <w:szCs w:val="24"/>
        </w:rPr>
        <w:t>9</w:t>
      </w:r>
      <w:r w:rsidR="00304E09">
        <w:rPr>
          <w:rFonts w:ascii="Times New Roman" w:hAnsi="Times New Roman" w:cs="Times New Roman"/>
          <w:noProof/>
          <w:sz w:val="24"/>
          <w:szCs w:val="24"/>
        </w:rPr>
        <w:t>]</w:t>
      </w:r>
      <w:r w:rsidRPr="00E669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E669EC">
        <w:rPr>
          <w:rFonts w:ascii="Times New Roman" w:hAnsi="Times New Roman" w:cs="Times New Roman"/>
          <w:sz w:val="24"/>
          <w:szCs w:val="24"/>
        </w:rPr>
        <w:t>eak-area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669EC">
        <w:rPr>
          <w:rFonts w:ascii="Times New Roman" w:hAnsi="Times New Roman" w:cs="Times New Roman"/>
          <w:sz w:val="24"/>
          <w:szCs w:val="24"/>
        </w:rPr>
        <w:t xml:space="preserve"> of analyte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E669EC">
        <w:rPr>
          <w:rFonts w:ascii="Times New Roman" w:hAnsi="Times New Roman" w:cs="Times New Roman"/>
          <w:sz w:val="24"/>
          <w:szCs w:val="24"/>
        </w:rPr>
        <w:t>LQC/MQC/HQC concentrations from extracted plasma samples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were compared with</w:t>
      </w:r>
      <w:r w:rsidRPr="00E669EC">
        <w:rPr>
          <w:rFonts w:ascii="Times New Roman" w:hAnsi="Times New Roman" w:cs="Times New Roman"/>
          <w:sz w:val="24"/>
          <w:szCs w:val="24"/>
        </w:rPr>
        <w:t xml:space="preserve"> the peak area of analyte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669EC">
        <w:rPr>
          <w:rFonts w:ascii="Times New Roman" w:hAnsi="Times New Roman" w:cs="Times New Roman"/>
          <w:sz w:val="24"/>
          <w:szCs w:val="24"/>
        </w:rPr>
        <w:t xml:space="preserve"> spiked at an equivalent concentration in mobile phase</w:t>
      </w:r>
      <w:r>
        <w:rPr>
          <w:rFonts w:ascii="Times New Roman" w:hAnsi="Times New Roman" w:cs="Times New Roman"/>
          <w:sz w:val="24"/>
          <w:szCs w:val="24"/>
        </w:rPr>
        <w:t xml:space="preserve"> to obtain %</w:t>
      </w:r>
      <w:r w:rsidRPr="00E669EC">
        <w:rPr>
          <w:rFonts w:ascii="Times New Roman" w:hAnsi="Times New Roman" w:cs="Times New Roman"/>
          <w:sz w:val="24"/>
          <w:szCs w:val="24"/>
        </w:rPr>
        <w:t xml:space="preserve"> recovery (process efficiency)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669EC">
        <w:rPr>
          <w:rFonts w:ascii="Times New Roman" w:hAnsi="Times New Roman" w:cs="Times New Roman"/>
          <w:sz w:val="24"/>
          <w:szCs w:val="24"/>
        </w:rPr>
        <w:t>compar</w:t>
      </w:r>
      <w:r>
        <w:rPr>
          <w:rFonts w:ascii="Times New Roman" w:hAnsi="Times New Roman" w:cs="Times New Roman"/>
          <w:sz w:val="24"/>
          <w:szCs w:val="24"/>
        </w:rPr>
        <w:t>ison of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Pr="004A2058">
        <w:rPr>
          <w:rFonts w:ascii="Times New Roman" w:hAnsi="Times New Roman" w:cs="Times New Roman"/>
          <w:sz w:val="24"/>
          <w:szCs w:val="24"/>
        </w:rPr>
        <w:t xml:space="preserve">the peak areas of </w:t>
      </w:r>
      <w:r>
        <w:rPr>
          <w:rFonts w:ascii="Times New Roman" w:hAnsi="Times New Roman" w:cs="Times New Roman"/>
          <w:sz w:val="24"/>
          <w:szCs w:val="24"/>
        </w:rPr>
        <w:t>the analytes</w:t>
      </w:r>
      <w:r w:rsidRPr="00E669EC">
        <w:rPr>
          <w:rFonts w:ascii="Times New Roman" w:hAnsi="Times New Roman" w:cs="Times New Roman"/>
          <w:sz w:val="24"/>
          <w:szCs w:val="24"/>
        </w:rPr>
        <w:t xml:space="preserve"> spiked into blank plasma extracts with the peak areas of </w:t>
      </w:r>
      <w:r>
        <w:rPr>
          <w:rFonts w:ascii="Times New Roman" w:hAnsi="Times New Roman" w:cs="Times New Roman"/>
          <w:sz w:val="24"/>
          <w:szCs w:val="24"/>
        </w:rPr>
        <w:t>analytes</w:t>
      </w:r>
      <w:r w:rsidRPr="00E669EC">
        <w:rPr>
          <w:rFonts w:ascii="Times New Roman" w:hAnsi="Times New Roman" w:cs="Times New Roman"/>
          <w:sz w:val="24"/>
          <w:szCs w:val="24"/>
        </w:rPr>
        <w:t xml:space="preserve"> in mobile phase at an equivalent concentration</w:t>
      </w:r>
      <w:r>
        <w:rPr>
          <w:rFonts w:ascii="Times New Roman" w:hAnsi="Times New Roman" w:cs="Times New Roman"/>
          <w:sz w:val="24"/>
          <w:szCs w:val="24"/>
        </w:rPr>
        <w:t xml:space="preserve"> gave the </w:t>
      </w:r>
      <w:r w:rsidRPr="00E669EC">
        <w:rPr>
          <w:rFonts w:ascii="Times New Roman" w:hAnsi="Times New Roman" w:cs="Times New Roman"/>
          <w:sz w:val="24"/>
          <w:szCs w:val="24"/>
        </w:rPr>
        <w:t xml:space="preserve">% matrix effect. </w:t>
      </w:r>
      <w:r w:rsidR="0031703C">
        <w:rPr>
          <w:rFonts w:ascii="Times New Roman" w:hAnsi="Times New Roman" w:cs="Times New Roman"/>
          <w:sz w:val="24"/>
          <w:szCs w:val="24"/>
        </w:rPr>
        <w:t>The IS normalised  (analysis recovery) recovery was also calculated.</w:t>
      </w:r>
    </w:p>
    <w:p w:rsidR="00DE6041" w:rsidRPr="00A57E4A" w:rsidRDefault="00DE6041" w:rsidP="0031703C">
      <w:pPr>
        <w:pStyle w:val="ListParagraph"/>
        <w:numPr>
          <w:ilvl w:val="1"/>
          <w:numId w:val="6"/>
        </w:numPr>
        <w:spacing w:before="24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57E4A">
        <w:rPr>
          <w:rFonts w:ascii="Times New Roman" w:hAnsi="Times New Roman" w:cs="Times New Roman"/>
          <w:b/>
          <w:sz w:val="24"/>
          <w:szCs w:val="24"/>
        </w:rPr>
        <w:t xml:space="preserve">Stability </w:t>
      </w:r>
    </w:p>
    <w:p w:rsidR="00DE6041" w:rsidRPr="00EE3D7C" w:rsidRDefault="00DE6041" w:rsidP="00EE3D7C">
      <w:p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E669EC">
        <w:rPr>
          <w:rFonts w:ascii="Times New Roman" w:hAnsi="Times New Roman" w:cs="Times New Roman"/>
          <w:sz w:val="24"/>
          <w:szCs w:val="24"/>
        </w:rPr>
        <w:t>stability</w:t>
      </w:r>
      <w:r>
        <w:rPr>
          <w:rFonts w:ascii="Times New Roman" w:hAnsi="Times New Roman" w:cs="Times New Roman"/>
          <w:sz w:val="24"/>
          <w:szCs w:val="24"/>
        </w:rPr>
        <w:t xml:space="preserve"> of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5E67E5">
        <w:rPr>
          <w:rFonts w:ascii="Times New Roman" w:hAnsi="Times New Roman" w:cs="Times New Roman"/>
          <w:sz w:val="24"/>
          <w:szCs w:val="24"/>
        </w:rPr>
        <w:t>MPV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5E67E5">
        <w:rPr>
          <w:rFonts w:ascii="Times New Roman" w:hAnsi="Times New Roman" w:cs="Times New Roman"/>
          <w:sz w:val="24"/>
          <w:szCs w:val="24"/>
        </w:rPr>
        <w:t>NHC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>in plasma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 xml:space="preserve">(QC samples; </w:t>
      </w:r>
      <w:r w:rsidR="00132ACC">
        <w:rPr>
          <w:rFonts w:ascii="Times New Roman" w:hAnsi="Times New Roman" w:cs="Times New Roman"/>
          <w:sz w:val="24"/>
          <w:szCs w:val="24"/>
        </w:rPr>
        <w:t>4</w:t>
      </w:r>
      <w:r w:rsidRPr="00E669EC">
        <w:rPr>
          <w:rFonts w:ascii="Times New Roman" w:hAnsi="Times New Roman" w:cs="Times New Roman"/>
          <w:sz w:val="24"/>
          <w:szCs w:val="24"/>
        </w:rPr>
        <w:t xml:space="preserve"> per level) was assessed </w:t>
      </w:r>
      <w:r w:rsidR="00132ACC">
        <w:rPr>
          <w:rFonts w:ascii="Times New Roman" w:hAnsi="Times New Roman" w:cs="Times New Roman"/>
          <w:sz w:val="24"/>
          <w:szCs w:val="24"/>
        </w:rPr>
        <w:t>at room temperature and on wet ice over 3 hours</w:t>
      </w:r>
      <w:r w:rsidRPr="00397581">
        <w:rPr>
          <w:rFonts w:ascii="Times New Roman" w:hAnsi="Times New Roman" w:cs="Times New Roman"/>
          <w:sz w:val="24"/>
          <w:szCs w:val="24"/>
        </w:rPr>
        <w:t xml:space="preserve"> </w:t>
      </w:r>
      <w:r w:rsidR="00132ACC">
        <w:rPr>
          <w:rFonts w:ascii="Times New Roman" w:hAnsi="Times New Roman" w:cs="Times New Roman"/>
          <w:sz w:val="24"/>
          <w:szCs w:val="24"/>
        </w:rPr>
        <w:t xml:space="preserve">and </w:t>
      </w:r>
      <w:r w:rsidR="007D6985">
        <w:rPr>
          <w:rFonts w:ascii="Times New Roman" w:hAnsi="Times New Roman" w:cs="Times New Roman"/>
          <w:sz w:val="24"/>
          <w:szCs w:val="24"/>
        </w:rPr>
        <w:t>following</w:t>
      </w:r>
      <w:r w:rsidRPr="00397581">
        <w:rPr>
          <w:rFonts w:ascii="Times New Roman" w:hAnsi="Times New Roman" w:cs="Times New Roman"/>
          <w:sz w:val="24"/>
          <w:szCs w:val="24"/>
        </w:rPr>
        <w:t xml:space="preserve"> 1 freeze-thaw cycle spanning a period of 24 hours.  </w:t>
      </w:r>
      <w:r w:rsidR="00132ACC">
        <w:rPr>
          <w:rFonts w:ascii="Times New Roman" w:hAnsi="Times New Roman" w:cs="Times New Roman"/>
          <w:sz w:val="24"/>
          <w:szCs w:val="24"/>
        </w:rPr>
        <w:t>F</w:t>
      </w:r>
      <w:r w:rsidRPr="00397581">
        <w:rPr>
          <w:rFonts w:ascii="Times New Roman" w:hAnsi="Times New Roman" w:cs="Times New Roman"/>
          <w:sz w:val="24"/>
          <w:szCs w:val="24"/>
        </w:rPr>
        <w:t xml:space="preserve">urthermore, </w:t>
      </w:r>
      <w:r w:rsidR="00132ACC">
        <w:rPr>
          <w:rFonts w:ascii="Times New Roman" w:hAnsi="Times New Roman" w:cs="Times New Roman"/>
          <w:sz w:val="24"/>
          <w:szCs w:val="24"/>
        </w:rPr>
        <w:t xml:space="preserve">assay </w:t>
      </w:r>
      <w:r w:rsidR="001D1503">
        <w:rPr>
          <w:rFonts w:ascii="Times New Roman" w:hAnsi="Times New Roman" w:cs="Times New Roman"/>
          <w:sz w:val="24"/>
          <w:szCs w:val="24"/>
        </w:rPr>
        <w:t>a</w:t>
      </w:r>
      <w:r w:rsidR="001D1503" w:rsidRPr="001D1503">
        <w:rPr>
          <w:rFonts w:ascii="Times New Roman" w:hAnsi="Times New Roman" w:cs="Times New Roman"/>
          <w:sz w:val="24"/>
          <w:szCs w:val="24"/>
        </w:rPr>
        <w:t xml:space="preserve">utosampler stability </w:t>
      </w:r>
      <w:r w:rsidR="00132ACC">
        <w:rPr>
          <w:rFonts w:ascii="Times New Roman" w:hAnsi="Times New Roman" w:cs="Times New Roman"/>
          <w:sz w:val="24"/>
          <w:szCs w:val="24"/>
        </w:rPr>
        <w:t xml:space="preserve">was assessed </w:t>
      </w:r>
      <w:r w:rsidRPr="00397581">
        <w:rPr>
          <w:rFonts w:ascii="Times New Roman" w:hAnsi="Times New Roman" w:cs="Times New Roman"/>
          <w:sz w:val="24"/>
          <w:szCs w:val="24"/>
        </w:rPr>
        <w:t>by re-injecting an accepted precision and accuracy batch (6 QC per level) which had been left in the autosampler at 4</w:t>
      </w:r>
      <w:r w:rsidRPr="00397581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397581">
        <w:rPr>
          <w:rFonts w:ascii="Times New Roman" w:hAnsi="Times New Roman" w:cs="Times New Roman"/>
          <w:sz w:val="24"/>
          <w:szCs w:val="24"/>
        </w:rPr>
        <w:t>C for 48 hours</w:t>
      </w:r>
      <w:r w:rsidR="00132ACC">
        <w:rPr>
          <w:rFonts w:ascii="Times New Roman" w:hAnsi="Times New Roman" w:cs="Times New Roman"/>
          <w:sz w:val="24"/>
          <w:szCs w:val="24"/>
        </w:rPr>
        <w:t>.</w:t>
      </w:r>
      <w:r w:rsidRPr="00397581">
        <w:rPr>
          <w:rFonts w:ascii="Times New Roman" w:hAnsi="Times New Roman" w:cs="Times New Roman"/>
          <w:sz w:val="24"/>
          <w:szCs w:val="24"/>
        </w:rPr>
        <w:t xml:space="preserve"> </w:t>
      </w:r>
      <w:r w:rsidR="00D71962">
        <w:rPr>
          <w:rFonts w:ascii="Times New Roman" w:hAnsi="Times New Roman" w:cs="Times New Roman"/>
          <w:sz w:val="24"/>
          <w:szCs w:val="24"/>
        </w:rPr>
        <w:t xml:space="preserve">Reinjection reproducibility </w:t>
      </w:r>
      <w:r w:rsidR="00C17699">
        <w:rPr>
          <w:rFonts w:ascii="Times New Roman" w:hAnsi="Times New Roman" w:cs="Times New Roman"/>
          <w:sz w:val="24"/>
          <w:szCs w:val="24"/>
        </w:rPr>
        <w:t xml:space="preserve">over 24 hours </w:t>
      </w:r>
      <w:r w:rsidR="00D71962">
        <w:rPr>
          <w:rFonts w:ascii="Times New Roman" w:hAnsi="Times New Roman" w:cs="Times New Roman"/>
          <w:sz w:val="24"/>
          <w:szCs w:val="24"/>
        </w:rPr>
        <w:t>was also assessed.</w:t>
      </w:r>
    </w:p>
    <w:p w:rsidR="00DE6041" w:rsidRPr="00A57E4A" w:rsidRDefault="00DE6041" w:rsidP="00C17699">
      <w:pPr>
        <w:pStyle w:val="ListParagraph"/>
        <w:numPr>
          <w:ilvl w:val="1"/>
          <w:numId w:val="6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A57E4A">
        <w:rPr>
          <w:rFonts w:ascii="Times New Roman" w:hAnsi="Times New Roman" w:cs="Times New Roman"/>
          <w:b/>
          <w:sz w:val="24"/>
          <w:szCs w:val="24"/>
        </w:rPr>
        <w:t xml:space="preserve">Measurement of </w:t>
      </w:r>
      <w:r w:rsidR="00D71962" w:rsidRPr="00A57E4A">
        <w:rPr>
          <w:rFonts w:ascii="Times New Roman" w:hAnsi="Times New Roman" w:cs="Times New Roman"/>
          <w:b/>
          <w:sz w:val="24"/>
          <w:szCs w:val="24"/>
        </w:rPr>
        <w:t>MPV</w:t>
      </w:r>
      <w:r w:rsidRPr="00A57E4A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D71962" w:rsidRPr="00A57E4A">
        <w:rPr>
          <w:rFonts w:ascii="Times New Roman" w:hAnsi="Times New Roman" w:cs="Times New Roman"/>
          <w:b/>
          <w:sz w:val="24"/>
          <w:szCs w:val="24"/>
        </w:rPr>
        <w:t>NHC</w:t>
      </w:r>
      <w:r w:rsidRPr="00A57E4A">
        <w:rPr>
          <w:rFonts w:ascii="Times New Roman" w:hAnsi="Times New Roman" w:cs="Times New Roman"/>
          <w:b/>
          <w:sz w:val="24"/>
          <w:szCs w:val="24"/>
        </w:rPr>
        <w:t xml:space="preserve"> in human plasma and saliva</w:t>
      </w:r>
    </w:p>
    <w:p w:rsidR="00DE6041" w:rsidRPr="006C262A" w:rsidRDefault="00DE6041" w:rsidP="00DE6041">
      <w:pPr>
        <w:spacing w:after="240" w:line="36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 w:rsidRPr="006C262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Blood samples, for the pharmacokinetic analysis of </w:t>
      </w:r>
      <w:r w:rsidR="001D1503">
        <w:rPr>
          <w:rFonts w:ascii="Times New Roman" w:hAnsi="Times New Roman" w:cs="Times New Roman"/>
          <w:sz w:val="24"/>
          <w:szCs w:val="24"/>
        </w:rPr>
        <w:t>MPV</w:t>
      </w:r>
      <w:r w:rsidRPr="006C262A">
        <w:rPr>
          <w:rFonts w:ascii="Times New Roman" w:hAnsi="Times New Roman" w:cs="Times New Roman"/>
          <w:sz w:val="24"/>
          <w:szCs w:val="24"/>
        </w:rPr>
        <w:t xml:space="preserve"> and </w:t>
      </w:r>
      <w:r w:rsidR="001D1503">
        <w:rPr>
          <w:rFonts w:ascii="Times New Roman" w:hAnsi="Times New Roman" w:cs="Times New Roman"/>
          <w:sz w:val="24"/>
          <w:szCs w:val="24"/>
        </w:rPr>
        <w:t>NHC</w:t>
      </w:r>
      <w:r w:rsidRPr="006C262A">
        <w:rPr>
          <w:rFonts w:ascii="Times New Roman" w:hAnsi="Times New Roman" w:cs="Times New Roman"/>
          <w:sz w:val="24"/>
          <w:szCs w:val="24"/>
        </w:rPr>
        <w:t xml:space="preserve"> in the AGILE trial </w:t>
      </w:r>
      <w:r w:rsidRPr="006C262A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(EudraCT 2020-001860-27), were analysed using this method. </w:t>
      </w:r>
    </w:p>
    <w:p w:rsidR="001D1503" w:rsidRPr="006C262A" w:rsidRDefault="001D1503" w:rsidP="00DE6041">
      <w:pPr>
        <w:spacing w:after="240" w:line="360" w:lineRule="auto"/>
        <w:jc w:val="both"/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The data </w:t>
      </w:r>
      <w:r w:rsidR="003D43A5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are</w:t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being presented in a separate </w:t>
      </w:r>
      <w:r w:rsidRPr="001D1503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clinical manuscript</w:t>
      </w:r>
      <w:r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D2CAD" w:rsidRPr="00EE3D7C" w:rsidRDefault="00CD2CAD" w:rsidP="00EB287F">
      <w:pPr>
        <w:pStyle w:val="ListParagraph"/>
        <w:numPr>
          <w:ilvl w:val="0"/>
          <w:numId w:val="12"/>
        </w:numPr>
        <w:spacing w:after="24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EE3D7C">
        <w:rPr>
          <w:rFonts w:ascii="Times New Roman" w:hAnsi="Times New Roman" w:cs="Times New Roman"/>
          <w:b/>
          <w:sz w:val="28"/>
        </w:rPr>
        <w:t xml:space="preserve">Results </w:t>
      </w:r>
      <w:r w:rsidR="002D798B" w:rsidRPr="00EE3D7C">
        <w:rPr>
          <w:rFonts w:ascii="Times New Roman" w:hAnsi="Times New Roman" w:cs="Times New Roman"/>
          <w:b/>
          <w:sz w:val="28"/>
        </w:rPr>
        <w:t xml:space="preserve">and Discussion </w:t>
      </w:r>
    </w:p>
    <w:p w:rsidR="00BC520A" w:rsidRPr="00BC520A" w:rsidRDefault="003D43A5" w:rsidP="00DE6041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MPV, NHC</w:t>
      </w:r>
      <w:r w:rsidR="00BC520A" w:rsidRPr="00BC520A">
        <w:rPr>
          <w:rFonts w:ascii="Times New Roman" w:hAnsi="Times New Roman" w:cs="Times New Roman"/>
          <w:sz w:val="24"/>
        </w:rPr>
        <w:t xml:space="preserve"> and </w:t>
      </w:r>
      <w:r w:rsidR="00BC520A">
        <w:rPr>
          <w:rFonts w:ascii="Times New Roman" w:hAnsi="Times New Roman" w:cs="Times New Roman"/>
          <w:sz w:val="24"/>
        </w:rPr>
        <w:t>their</w:t>
      </w:r>
      <w:r w:rsidR="00BC520A" w:rsidRPr="00BC520A">
        <w:rPr>
          <w:rFonts w:ascii="Times New Roman" w:hAnsi="Times New Roman" w:cs="Times New Roman"/>
          <w:sz w:val="24"/>
        </w:rPr>
        <w:t xml:space="preserve"> stable isotope labelled internal standard</w:t>
      </w:r>
      <w:r w:rsidR="00BC520A">
        <w:rPr>
          <w:rFonts w:ascii="Times New Roman" w:hAnsi="Times New Roman" w:cs="Times New Roman"/>
          <w:sz w:val="24"/>
        </w:rPr>
        <w:t>s</w:t>
      </w:r>
      <w:r w:rsidR="00BC520A" w:rsidRPr="00BC520A">
        <w:rPr>
          <w:rFonts w:ascii="Times New Roman" w:hAnsi="Times New Roman" w:cs="Times New Roman"/>
          <w:sz w:val="24"/>
        </w:rPr>
        <w:t xml:space="preserve"> eluted from the HPLC column </w:t>
      </w:r>
      <w:r w:rsidR="00BC520A" w:rsidRPr="003D43A5">
        <w:rPr>
          <w:rFonts w:ascii="Times New Roman" w:hAnsi="Times New Roman" w:cs="Times New Roman"/>
          <w:sz w:val="24"/>
        </w:rPr>
        <w:t xml:space="preserve">at </w:t>
      </w:r>
      <w:r w:rsidRPr="003D43A5">
        <w:rPr>
          <w:rFonts w:ascii="Times New Roman" w:hAnsi="Times New Roman" w:cs="Times New Roman"/>
          <w:sz w:val="24"/>
        </w:rPr>
        <w:t>3.02</w:t>
      </w:r>
      <w:r w:rsidR="00BC520A" w:rsidRPr="003D43A5">
        <w:rPr>
          <w:rFonts w:ascii="Times New Roman" w:hAnsi="Times New Roman" w:cs="Times New Roman"/>
          <w:sz w:val="24"/>
        </w:rPr>
        <w:t xml:space="preserve"> minutes and </w:t>
      </w:r>
      <w:r w:rsidRPr="003D43A5">
        <w:rPr>
          <w:rFonts w:ascii="Times New Roman" w:hAnsi="Times New Roman" w:cs="Times New Roman"/>
          <w:sz w:val="24"/>
        </w:rPr>
        <w:t>1.62</w:t>
      </w:r>
      <w:r w:rsidR="00BC520A" w:rsidRPr="003D43A5">
        <w:rPr>
          <w:rFonts w:ascii="Times New Roman" w:hAnsi="Times New Roman" w:cs="Times New Roman"/>
          <w:sz w:val="24"/>
        </w:rPr>
        <w:t xml:space="preserve"> minutes, respectively. Representative chromatograms of extracted plasma and saliva samples (</w:t>
      </w:r>
      <w:r w:rsidRPr="003D43A5">
        <w:rPr>
          <w:rFonts w:ascii="Times New Roman" w:hAnsi="Times New Roman" w:cs="Times New Roman"/>
          <w:sz w:val="24"/>
        </w:rPr>
        <w:t>a zero sample</w:t>
      </w:r>
      <w:r>
        <w:rPr>
          <w:rFonts w:ascii="Times New Roman" w:hAnsi="Times New Roman" w:cs="Times New Roman"/>
          <w:sz w:val="24"/>
        </w:rPr>
        <w:t xml:space="preserve"> with IS</w:t>
      </w:r>
      <w:r w:rsidR="00BC520A" w:rsidRPr="003D43A5">
        <w:rPr>
          <w:rFonts w:ascii="Times New Roman" w:hAnsi="Times New Roman" w:cs="Times New Roman"/>
          <w:sz w:val="24"/>
        </w:rPr>
        <w:t xml:space="preserve">, </w:t>
      </w:r>
      <w:r w:rsidR="00AD3EA3">
        <w:rPr>
          <w:rFonts w:ascii="Times New Roman" w:hAnsi="Times New Roman" w:cs="Times New Roman"/>
          <w:sz w:val="24"/>
        </w:rPr>
        <w:t>LLOQ</w:t>
      </w:r>
      <w:r w:rsidR="00BC520A" w:rsidRPr="003D43A5">
        <w:rPr>
          <w:rFonts w:ascii="Times New Roman" w:hAnsi="Times New Roman" w:cs="Times New Roman"/>
          <w:sz w:val="24"/>
        </w:rPr>
        <w:t xml:space="preserve"> and</w:t>
      </w:r>
      <w:r w:rsidR="000B23FC" w:rsidRPr="003D43A5">
        <w:rPr>
          <w:rFonts w:ascii="Times New Roman" w:hAnsi="Times New Roman" w:cs="Times New Roman"/>
          <w:sz w:val="24"/>
        </w:rPr>
        <w:t xml:space="preserve"> clinical sample</w:t>
      </w:r>
      <w:r w:rsidR="00BC520A" w:rsidRPr="003D43A5">
        <w:rPr>
          <w:rFonts w:ascii="Times New Roman" w:hAnsi="Times New Roman" w:cs="Times New Roman"/>
          <w:sz w:val="24"/>
        </w:rPr>
        <w:t xml:space="preserve">) are shown in </w:t>
      </w:r>
      <w:r w:rsidR="00BC520A" w:rsidRPr="00D71962">
        <w:rPr>
          <w:rFonts w:ascii="Times New Roman" w:hAnsi="Times New Roman" w:cs="Times New Roman"/>
          <w:b/>
          <w:sz w:val="24"/>
        </w:rPr>
        <w:t>Figure</w:t>
      </w:r>
      <w:r w:rsidR="00E406B2">
        <w:rPr>
          <w:rFonts w:ascii="Times New Roman" w:hAnsi="Times New Roman" w:cs="Times New Roman"/>
          <w:b/>
          <w:sz w:val="24"/>
        </w:rPr>
        <w:t>s</w:t>
      </w:r>
      <w:r w:rsidR="00BC520A" w:rsidRPr="00D71962">
        <w:rPr>
          <w:rFonts w:ascii="Times New Roman" w:hAnsi="Times New Roman" w:cs="Times New Roman"/>
          <w:b/>
          <w:sz w:val="24"/>
        </w:rPr>
        <w:t xml:space="preserve"> </w:t>
      </w:r>
      <w:r w:rsidR="000B23FC" w:rsidRPr="00D71962">
        <w:rPr>
          <w:rFonts w:ascii="Times New Roman" w:hAnsi="Times New Roman" w:cs="Times New Roman"/>
          <w:b/>
          <w:sz w:val="24"/>
        </w:rPr>
        <w:t>1</w:t>
      </w:r>
      <w:r w:rsidR="00E406B2">
        <w:rPr>
          <w:rFonts w:ascii="Times New Roman" w:hAnsi="Times New Roman" w:cs="Times New Roman"/>
          <w:b/>
          <w:sz w:val="24"/>
        </w:rPr>
        <w:t xml:space="preserve"> &amp; 2</w:t>
      </w:r>
      <w:r w:rsidRPr="003D43A5">
        <w:rPr>
          <w:rFonts w:ascii="Times New Roman" w:hAnsi="Times New Roman" w:cs="Times New Roman"/>
          <w:sz w:val="24"/>
        </w:rPr>
        <w:t xml:space="preserve"> </w:t>
      </w:r>
      <w:r w:rsidRPr="00D71962">
        <w:rPr>
          <w:rFonts w:ascii="Times New Roman" w:hAnsi="Times New Roman" w:cs="Times New Roman"/>
          <w:b/>
          <w:sz w:val="24"/>
        </w:rPr>
        <w:t>(a</w:t>
      </w:r>
      <w:r w:rsidR="00D71962" w:rsidRPr="00D71962">
        <w:rPr>
          <w:rFonts w:ascii="Times New Roman" w:hAnsi="Times New Roman" w:cs="Times New Roman"/>
          <w:b/>
          <w:sz w:val="24"/>
        </w:rPr>
        <w:t xml:space="preserve"> to </w:t>
      </w:r>
      <w:r w:rsidR="00E406B2">
        <w:rPr>
          <w:rFonts w:ascii="Times New Roman" w:hAnsi="Times New Roman" w:cs="Times New Roman"/>
          <w:b/>
          <w:sz w:val="24"/>
        </w:rPr>
        <w:t>c</w:t>
      </w:r>
      <w:r w:rsidRPr="00D71962">
        <w:rPr>
          <w:rFonts w:ascii="Times New Roman" w:hAnsi="Times New Roman" w:cs="Times New Roman"/>
          <w:b/>
          <w:sz w:val="24"/>
        </w:rPr>
        <w:t>)</w:t>
      </w:r>
      <w:r w:rsidR="00BC520A" w:rsidRPr="00D71962">
        <w:rPr>
          <w:rFonts w:ascii="Times New Roman" w:hAnsi="Times New Roman" w:cs="Times New Roman"/>
          <w:b/>
          <w:sz w:val="24"/>
        </w:rPr>
        <w:t>.</w:t>
      </w:r>
    </w:p>
    <w:p w:rsidR="00DE6041" w:rsidRPr="00EE3D7C" w:rsidRDefault="00DE6041" w:rsidP="00EB287F">
      <w:pPr>
        <w:pStyle w:val="ListParagraph"/>
        <w:numPr>
          <w:ilvl w:val="1"/>
          <w:numId w:val="12"/>
        </w:numPr>
        <w:spacing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EE3D7C">
        <w:rPr>
          <w:rFonts w:ascii="Times New Roman" w:hAnsi="Times New Roman" w:cs="Times New Roman"/>
          <w:b/>
          <w:sz w:val="24"/>
          <w:szCs w:val="24"/>
        </w:rPr>
        <w:t>Method Validation</w:t>
      </w:r>
    </w:p>
    <w:p w:rsidR="00DE6041" w:rsidRPr="00E669EC" w:rsidRDefault="00DE6041" w:rsidP="00EB287F">
      <w:pPr>
        <w:pStyle w:val="Default"/>
        <w:numPr>
          <w:ilvl w:val="2"/>
          <w:numId w:val="12"/>
        </w:numPr>
        <w:spacing w:line="360" w:lineRule="auto"/>
        <w:ind w:left="567"/>
        <w:rPr>
          <w:b/>
          <w:color w:val="auto"/>
        </w:rPr>
      </w:pPr>
      <w:r w:rsidRPr="00E669EC">
        <w:rPr>
          <w:b/>
          <w:color w:val="auto"/>
        </w:rPr>
        <w:t>Selectivity</w:t>
      </w:r>
    </w:p>
    <w:p w:rsidR="00DE6041" w:rsidRPr="00E669EC" w:rsidRDefault="00DE6041" w:rsidP="00DE6041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method was selective, revealing </w:t>
      </w:r>
      <w:r w:rsidRPr="00E669EC">
        <w:rPr>
          <w:rFonts w:ascii="Times New Roman" w:hAnsi="Times New Roman" w:cs="Times New Roman"/>
          <w:sz w:val="24"/>
          <w:szCs w:val="24"/>
        </w:rPr>
        <w:t>minimal background interference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E669EC">
        <w:rPr>
          <w:rFonts w:ascii="Times New Roman" w:hAnsi="Times New Roman" w:cs="Times New Roman"/>
          <w:sz w:val="24"/>
          <w:szCs w:val="24"/>
        </w:rPr>
        <w:t xml:space="preserve">&lt;10% of the signal response at the </w:t>
      </w:r>
      <w:r w:rsidR="00AD3EA3">
        <w:rPr>
          <w:rFonts w:ascii="Times New Roman" w:hAnsi="Times New Roman" w:cs="Times New Roman"/>
          <w:sz w:val="24"/>
          <w:szCs w:val="24"/>
        </w:rPr>
        <w:t>LLOQ</w:t>
      </w:r>
      <w:r w:rsidRPr="00E669EC">
        <w:rPr>
          <w:rFonts w:ascii="Times New Roman" w:hAnsi="Times New Roman" w:cs="Times New Roman"/>
          <w:sz w:val="24"/>
          <w:szCs w:val="24"/>
        </w:rPr>
        <w:t xml:space="preserve"> for </w:t>
      </w:r>
      <w:r w:rsidR="003D43A5">
        <w:rPr>
          <w:rFonts w:ascii="Times New Roman" w:hAnsi="Times New Roman" w:cs="Times New Roman"/>
          <w:sz w:val="24"/>
          <w:szCs w:val="24"/>
        </w:rPr>
        <w:t>MPV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3D43A5">
        <w:rPr>
          <w:rFonts w:ascii="Times New Roman" w:hAnsi="Times New Roman" w:cs="Times New Roman"/>
          <w:sz w:val="24"/>
          <w:szCs w:val="24"/>
        </w:rPr>
        <w:t>NHC</w:t>
      </w:r>
      <w:r>
        <w:rPr>
          <w:rFonts w:ascii="Times New Roman" w:hAnsi="Times New Roman" w:cs="Times New Roman"/>
          <w:sz w:val="24"/>
          <w:szCs w:val="24"/>
        </w:rPr>
        <w:t>) in a</w:t>
      </w:r>
      <w:r w:rsidRPr="00E669EC">
        <w:rPr>
          <w:rFonts w:ascii="Times New Roman" w:hAnsi="Times New Roman" w:cs="Times New Roman"/>
          <w:sz w:val="24"/>
          <w:szCs w:val="24"/>
        </w:rPr>
        <w:t xml:space="preserve">ll </w:t>
      </w:r>
      <w:r>
        <w:rPr>
          <w:rFonts w:ascii="Times New Roman" w:hAnsi="Times New Roman" w:cs="Times New Roman"/>
          <w:sz w:val="24"/>
          <w:szCs w:val="24"/>
        </w:rPr>
        <w:t>six</w:t>
      </w:r>
      <w:r w:rsidRPr="00E669EC">
        <w:rPr>
          <w:rFonts w:ascii="Times New Roman" w:hAnsi="Times New Roman" w:cs="Times New Roman"/>
          <w:sz w:val="24"/>
          <w:szCs w:val="24"/>
        </w:rPr>
        <w:t xml:space="preserve"> plasma batches </w:t>
      </w:r>
      <w:r w:rsidR="00132ACC">
        <w:rPr>
          <w:rFonts w:ascii="Times New Roman" w:hAnsi="Times New Roman" w:cs="Times New Roman"/>
          <w:sz w:val="24"/>
          <w:szCs w:val="24"/>
        </w:rPr>
        <w:t>tested</w:t>
      </w:r>
      <w:r w:rsidRPr="00E669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6041" w:rsidRPr="00EF294A" w:rsidRDefault="00DE6041" w:rsidP="00EB287F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before="240"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F294A">
        <w:rPr>
          <w:rFonts w:ascii="Times New Roman" w:hAnsi="Times New Roman" w:cs="Times New Roman"/>
          <w:b/>
          <w:sz w:val="24"/>
          <w:szCs w:val="24"/>
        </w:rPr>
        <w:t>Accuracy and Precision</w:t>
      </w:r>
    </w:p>
    <w:p w:rsidR="00DE6041" w:rsidRPr="00E669EC" w:rsidRDefault="00DE6041" w:rsidP="00DE6041">
      <w:pPr>
        <w:pStyle w:val="Default"/>
        <w:spacing w:before="240" w:line="360" w:lineRule="auto"/>
        <w:jc w:val="both"/>
        <w:rPr>
          <w:color w:val="auto"/>
          <w:sz w:val="22"/>
        </w:rPr>
      </w:pPr>
      <w:r w:rsidRPr="00E669EC">
        <w:rPr>
          <w:color w:val="auto"/>
        </w:rPr>
        <w:t xml:space="preserve">The accuracy and precision </w:t>
      </w:r>
      <w:r>
        <w:rPr>
          <w:color w:val="auto"/>
        </w:rPr>
        <w:t xml:space="preserve">(both </w:t>
      </w:r>
      <w:r w:rsidRPr="00E669EC">
        <w:rPr>
          <w:color w:val="auto"/>
        </w:rPr>
        <w:t>inter</w:t>
      </w:r>
      <w:r>
        <w:rPr>
          <w:color w:val="auto"/>
        </w:rPr>
        <w:t>-</w:t>
      </w:r>
      <w:r w:rsidR="00C17699">
        <w:rPr>
          <w:color w:val="auto"/>
        </w:rPr>
        <w:t>day</w:t>
      </w:r>
      <w:r w:rsidRPr="00E669EC">
        <w:rPr>
          <w:color w:val="auto"/>
        </w:rPr>
        <w:t xml:space="preserve"> and intra-</w:t>
      </w:r>
      <w:r w:rsidR="00C17699">
        <w:rPr>
          <w:color w:val="auto"/>
        </w:rPr>
        <w:t>day</w:t>
      </w:r>
      <w:r>
        <w:rPr>
          <w:color w:val="auto"/>
        </w:rPr>
        <w:t xml:space="preserve">) values </w:t>
      </w:r>
      <w:r w:rsidRPr="00E669EC">
        <w:rPr>
          <w:color w:val="auto"/>
        </w:rPr>
        <w:t xml:space="preserve">at the assay </w:t>
      </w:r>
      <w:r w:rsidR="00AD3EA3">
        <w:rPr>
          <w:color w:val="auto"/>
        </w:rPr>
        <w:t>LLOQ</w:t>
      </w:r>
      <w:r w:rsidRPr="00E669EC">
        <w:rPr>
          <w:color w:val="auto"/>
        </w:rPr>
        <w:t xml:space="preserve"> </w:t>
      </w:r>
      <w:r>
        <w:rPr>
          <w:color w:val="auto"/>
        </w:rPr>
        <w:t>were</w:t>
      </w:r>
      <w:r w:rsidRPr="00E669EC">
        <w:rPr>
          <w:color w:val="auto"/>
        </w:rPr>
        <w:t xml:space="preserve"> within the designated ±20% and for all QC levels were within ±15% of the nominal value</w:t>
      </w:r>
      <w:r>
        <w:rPr>
          <w:color w:val="auto"/>
        </w:rPr>
        <w:t>s</w:t>
      </w:r>
      <w:r w:rsidR="007D069A">
        <w:rPr>
          <w:color w:val="auto"/>
        </w:rPr>
        <w:t xml:space="preserve"> </w:t>
      </w:r>
      <w:r>
        <w:rPr>
          <w:color w:val="auto"/>
        </w:rPr>
        <w:t>(</w:t>
      </w:r>
      <w:r w:rsidRPr="00280407">
        <w:rPr>
          <w:b/>
          <w:color w:val="auto"/>
        </w:rPr>
        <w:t xml:space="preserve">Table </w:t>
      </w:r>
      <w:r w:rsidR="003D43A5">
        <w:rPr>
          <w:b/>
          <w:color w:val="auto"/>
        </w:rPr>
        <w:t>2</w:t>
      </w:r>
      <w:r>
        <w:rPr>
          <w:b/>
          <w:color w:val="auto"/>
        </w:rPr>
        <w:t>)</w:t>
      </w:r>
      <w:r w:rsidR="00C17699">
        <w:rPr>
          <w:b/>
          <w:color w:val="auto"/>
        </w:rPr>
        <w:t xml:space="preserve"> </w:t>
      </w:r>
      <w:r w:rsidR="00C17699" w:rsidRPr="00C17699">
        <w:rPr>
          <w:color w:val="auto"/>
        </w:rPr>
        <w:t>for both plasma and saliva extracts</w:t>
      </w:r>
      <w:r w:rsidRPr="00E669EC">
        <w:rPr>
          <w:color w:val="auto"/>
        </w:rPr>
        <w:t xml:space="preserve">. </w:t>
      </w:r>
    </w:p>
    <w:p w:rsidR="00DE6041" w:rsidRPr="000A4565" w:rsidRDefault="00DE6041" w:rsidP="00DE6041">
      <w:pPr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  <w:r w:rsidRPr="000A4565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3D43A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DE6041" w:rsidRPr="00EF294A" w:rsidRDefault="00DE6041" w:rsidP="00EB287F">
      <w:pPr>
        <w:pStyle w:val="ListParagraph"/>
        <w:numPr>
          <w:ilvl w:val="2"/>
          <w:numId w:val="12"/>
        </w:numPr>
        <w:autoSpaceDE w:val="0"/>
        <w:autoSpaceDN w:val="0"/>
        <w:adjustRightInd w:val="0"/>
        <w:spacing w:before="240"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F294A">
        <w:rPr>
          <w:rFonts w:ascii="Times New Roman" w:hAnsi="Times New Roman" w:cs="Times New Roman"/>
          <w:b/>
          <w:sz w:val="24"/>
          <w:szCs w:val="24"/>
        </w:rPr>
        <w:t xml:space="preserve">Carryover </w:t>
      </w:r>
    </w:p>
    <w:p w:rsidR="00DE6041" w:rsidRPr="00E669EC" w:rsidRDefault="00DE6041" w:rsidP="00DE6041">
      <w:pPr>
        <w:pStyle w:val="Default"/>
        <w:spacing w:before="240" w:line="360" w:lineRule="auto"/>
        <w:jc w:val="both"/>
        <w:rPr>
          <w:color w:val="auto"/>
        </w:rPr>
      </w:pPr>
      <w:r w:rsidRPr="00E669EC">
        <w:rPr>
          <w:color w:val="auto"/>
        </w:rPr>
        <w:t xml:space="preserve">The </w:t>
      </w:r>
      <w:r>
        <w:rPr>
          <w:color w:val="auto"/>
        </w:rPr>
        <w:t>mean</w:t>
      </w:r>
      <w:r w:rsidRPr="00E669EC">
        <w:rPr>
          <w:color w:val="auto"/>
        </w:rPr>
        <w:t xml:space="preserve"> % carryover (n=3) </w:t>
      </w:r>
      <w:r>
        <w:rPr>
          <w:color w:val="auto"/>
        </w:rPr>
        <w:t>observed</w:t>
      </w:r>
      <w:r w:rsidRPr="00E669EC">
        <w:rPr>
          <w:color w:val="auto"/>
        </w:rPr>
        <w:t xml:space="preserve"> in the first extracted blank sample following injection of a ULQ sample (</w:t>
      </w:r>
      <w:r>
        <w:rPr>
          <w:color w:val="auto"/>
        </w:rPr>
        <w:t>5</w:t>
      </w:r>
      <w:r w:rsidRPr="00E669EC">
        <w:rPr>
          <w:color w:val="auto"/>
        </w:rPr>
        <w:t>000 ng/</w:t>
      </w:r>
      <w:r w:rsidR="00AD3EA3">
        <w:rPr>
          <w:color w:val="auto"/>
        </w:rPr>
        <w:t>ml</w:t>
      </w:r>
      <w:r w:rsidRPr="00E669EC">
        <w:rPr>
          <w:color w:val="auto"/>
        </w:rPr>
        <w:t xml:space="preserve">) </w:t>
      </w:r>
      <w:r w:rsidRPr="004E33F7">
        <w:rPr>
          <w:color w:val="auto"/>
        </w:rPr>
        <w:t xml:space="preserve">was 54.8% of the assay </w:t>
      </w:r>
      <w:r w:rsidR="00AD3EA3">
        <w:rPr>
          <w:color w:val="auto"/>
        </w:rPr>
        <w:t>LLOQ</w:t>
      </w:r>
      <w:r w:rsidRPr="004E33F7">
        <w:rPr>
          <w:color w:val="auto"/>
        </w:rPr>
        <w:t xml:space="preserve"> that, upon injection of the third blank plasma sample, reduced to 12.5% for </w:t>
      </w:r>
      <w:r w:rsidR="00360D9E">
        <w:rPr>
          <w:color w:val="auto"/>
        </w:rPr>
        <w:t>MPV</w:t>
      </w:r>
      <w:r w:rsidRPr="004E33F7">
        <w:rPr>
          <w:color w:val="auto"/>
        </w:rPr>
        <w:t xml:space="preserve">. Hence 2 blanks were incorporated into the assay sequence (between individual clinical samples, after the ULQ and each QC batch) in order to mitigate this. </w:t>
      </w:r>
      <w:r w:rsidR="00360D9E">
        <w:rPr>
          <w:color w:val="auto"/>
        </w:rPr>
        <w:t>NHC</w:t>
      </w:r>
      <w:r w:rsidRPr="004E33F7">
        <w:rPr>
          <w:color w:val="auto"/>
        </w:rPr>
        <w:t xml:space="preserve"> had no carryover (equivalent to 5.9% of the assay </w:t>
      </w:r>
      <w:r w:rsidR="00AD3EA3">
        <w:rPr>
          <w:color w:val="auto"/>
        </w:rPr>
        <w:t>LLOQ</w:t>
      </w:r>
      <w:r w:rsidRPr="004E33F7">
        <w:rPr>
          <w:color w:val="auto"/>
        </w:rPr>
        <w:t xml:space="preserve">). </w:t>
      </w:r>
    </w:p>
    <w:p w:rsidR="00DE6041" w:rsidRPr="00E669EC" w:rsidRDefault="00DE6041" w:rsidP="00EB287F">
      <w:pPr>
        <w:pStyle w:val="Default"/>
        <w:numPr>
          <w:ilvl w:val="2"/>
          <w:numId w:val="12"/>
        </w:numPr>
        <w:spacing w:before="240" w:line="360" w:lineRule="auto"/>
        <w:ind w:left="567"/>
        <w:jc w:val="both"/>
        <w:rPr>
          <w:color w:val="auto"/>
        </w:rPr>
      </w:pPr>
      <w:r w:rsidRPr="00E669EC">
        <w:rPr>
          <w:b/>
          <w:color w:val="auto"/>
        </w:rPr>
        <w:t>Dilution integrity</w:t>
      </w:r>
    </w:p>
    <w:p w:rsidR="00DE6041" w:rsidRDefault="00DE6041" w:rsidP="00DE6041">
      <w:pPr>
        <w:pStyle w:val="Default"/>
        <w:spacing w:before="240" w:line="360" w:lineRule="auto"/>
        <w:jc w:val="both"/>
        <w:rPr>
          <w:color w:val="auto"/>
        </w:rPr>
      </w:pPr>
      <w:r>
        <w:rPr>
          <w:color w:val="auto"/>
        </w:rPr>
        <w:t>S</w:t>
      </w:r>
      <w:r w:rsidRPr="00E669EC">
        <w:rPr>
          <w:color w:val="auto"/>
        </w:rPr>
        <w:t xml:space="preserve">amples diluted by a factor of 2 and 4 times </w:t>
      </w:r>
      <w:r>
        <w:rPr>
          <w:color w:val="auto"/>
        </w:rPr>
        <w:t>showed calcul</w:t>
      </w:r>
      <w:r w:rsidRPr="003D43A5">
        <w:rPr>
          <w:color w:val="auto"/>
        </w:rPr>
        <w:t xml:space="preserve">ated concentrations </w:t>
      </w:r>
      <w:r w:rsidR="003D43A5" w:rsidRPr="003D43A5">
        <w:rPr>
          <w:color w:val="auto"/>
        </w:rPr>
        <w:t>within</w:t>
      </w:r>
      <w:r w:rsidRPr="003D43A5">
        <w:rPr>
          <w:color w:val="auto"/>
        </w:rPr>
        <w:t xml:space="preserve"> ± 15% of the nominal values for </w:t>
      </w:r>
      <w:r w:rsidR="00D71962">
        <w:rPr>
          <w:color w:val="auto"/>
        </w:rPr>
        <w:t xml:space="preserve">MPV </w:t>
      </w:r>
      <w:r w:rsidRPr="003D43A5">
        <w:rPr>
          <w:color w:val="auto"/>
        </w:rPr>
        <w:t xml:space="preserve">and </w:t>
      </w:r>
      <w:r w:rsidR="00D71962">
        <w:rPr>
          <w:color w:val="auto"/>
        </w:rPr>
        <w:t>NHC</w:t>
      </w:r>
      <w:r w:rsidRPr="003D43A5">
        <w:rPr>
          <w:color w:val="auto"/>
        </w:rPr>
        <w:t>.</w:t>
      </w:r>
    </w:p>
    <w:p w:rsidR="00B174BC" w:rsidRDefault="00B174BC" w:rsidP="00DE6041">
      <w:pPr>
        <w:pStyle w:val="Default"/>
        <w:spacing w:before="240" w:line="360" w:lineRule="auto"/>
        <w:jc w:val="both"/>
        <w:rPr>
          <w:b/>
          <w:i/>
          <w:color w:val="auto"/>
        </w:rPr>
      </w:pPr>
    </w:p>
    <w:p w:rsidR="00B174BC" w:rsidRPr="00E669EC" w:rsidRDefault="00B174BC" w:rsidP="00DE6041">
      <w:pPr>
        <w:pStyle w:val="Default"/>
        <w:spacing w:before="240" w:line="360" w:lineRule="auto"/>
        <w:jc w:val="both"/>
        <w:rPr>
          <w:b/>
          <w:i/>
          <w:color w:val="auto"/>
        </w:rPr>
      </w:pPr>
    </w:p>
    <w:p w:rsidR="00DE6041" w:rsidRPr="00EF294A" w:rsidRDefault="00DE6041" w:rsidP="00EB287F">
      <w:pPr>
        <w:pStyle w:val="ListParagraph"/>
        <w:numPr>
          <w:ilvl w:val="2"/>
          <w:numId w:val="12"/>
        </w:numPr>
        <w:spacing w:before="24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EF294A">
        <w:rPr>
          <w:rFonts w:ascii="Times New Roman" w:hAnsi="Times New Roman" w:cs="Times New Roman"/>
          <w:b/>
          <w:sz w:val="24"/>
          <w:szCs w:val="24"/>
        </w:rPr>
        <w:t xml:space="preserve">Recovery and Matrix effects  </w:t>
      </w:r>
    </w:p>
    <w:p w:rsidR="00D71962" w:rsidRPr="00C73E08" w:rsidRDefault="00DE6041" w:rsidP="001147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F77DFB">
        <w:rPr>
          <w:rFonts w:ascii="Times New Roman" w:hAnsi="Times New Roman" w:cs="Times New Roman"/>
          <w:sz w:val="24"/>
          <w:szCs w:val="24"/>
          <w:lang w:val="en"/>
        </w:rPr>
        <w:t xml:space="preserve">Process </w:t>
      </w:r>
      <w:r>
        <w:rPr>
          <w:rFonts w:ascii="Times New Roman" w:hAnsi="Times New Roman" w:cs="Times New Roman"/>
          <w:sz w:val="24"/>
          <w:szCs w:val="24"/>
          <w:lang w:val="en"/>
        </w:rPr>
        <w:t>E</w:t>
      </w:r>
      <w:r w:rsidRPr="00F77DFB">
        <w:rPr>
          <w:rFonts w:ascii="Times New Roman" w:hAnsi="Times New Roman" w:cs="Times New Roman"/>
          <w:sz w:val="24"/>
          <w:szCs w:val="24"/>
          <w:lang w:val="en"/>
        </w:rPr>
        <w:t xml:space="preserve">fficiency (PE), Recovery Efficiency (RE), Matrix effects (ME) </w:t>
      </w:r>
      <w:r w:rsidR="005666E0" w:rsidRPr="00F77DFB">
        <w:rPr>
          <w:rFonts w:ascii="Times New Roman" w:hAnsi="Times New Roman" w:cs="Times New Roman"/>
          <w:sz w:val="24"/>
          <w:szCs w:val="24"/>
          <w:lang w:val="en"/>
        </w:rPr>
        <w:t>and</w:t>
      </w:r>
      <w:r w:rsidR="005666E0" w:rsidRPr="002124DE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666E0" w:rsidRPr="005666E0">
        <w:rPr>
          <w:rFonts w:ascii="Times New Roman" w:hAnsi="Times New Roman" w:cs="Times New Roman"/>
          <w:sz w:val="24"/>
          <w:szCs w:val="24"/>
          <w:lang w:val="en"/>
        </w:rPr>
        <w:t xml:space="preserve">Analysis </w:t>
      </w:r>
      <w:r w:rsidR="005666E0">
        <w:rPr>
          <w:rFonts w:ascii="Times New Roman" w:hAnsi="Times New Roman" w:cs="Times New Roman"/>
          <w:sz w:val="24"/>
          <w:szCs w:val="24"/>
          <w:lang w:val="en"/>
        </w:rPr>
        <w:t>R</w:t>
      </w:r>
      <w:r w:rsidR="005666E0" w:rsidRPr="005666E0">
        <w:rPr>
          <w:rFonts w:ascii="Times New Roman" w:hAnsi="Times New Roman" w:cs="Times New Roman"/>
          <w:sz w:val="24"/>
          <w:szCs w:val="24"/>
          <w:lang w:val="en"/>
        </w:rPr>
        <w:t xml:space="preserve">ecovery </w:t>
      </w:r>
      <w:r w:rsidRPr="00F77DFB">
        <w:rPr>
          <w:rFonts w:ascii="Times New Roman" w:hAnsi="Times New Roman" w:cs="Times New Roman"/>
          <w:sz w:val="24"/>
          <w:szCs w:val="24"/>
          <w:lang w:val="en"/>
        </w:rPr>
        <w:t xml:space="preserve">were studied for both plasma and </w:t>
      </w:r>
      <w:r>
        <w:rPr>
          <w:rFonts w:ascii="Times New Roman" w:hAnsi="Times New Roman" w:cs="Times New Roman"/>
          <w:sz w:val="24"/>
          <w:szCs w:val="24"/>
          <w:lang w:val="en"/>
        </w:rPr>
        <w:t>saliva</w:t>
      </w:r>
      <w:r w:rsidRPr="00F77DFB">
        <w:rPr>
          <w:rFonts w:ascii="Times New Roman" w:hAnsi="Times New Roman" w:cs="Times New Roman"/>
          <w:sz w:val="24"/>
          <w:szCs w:val="24"/>
          <w:lang w:val="en"/>
        </w:rPr>
        <w:t xml:space="preserve"> matrices each at three different concentrations. Overall </w:t>
      </w:r>
      <w:r w:rsidR="00B174BC">
        <w:rPr>
          <w:rFonts w:ascii="Times New Roman" w:hAnsi="Times New Roman" w:cs="Times New Roman"/>
          <w:sz w:val="24"/>
          <w:szCs w:val="24"/>
          <w:lang w:val="en"/>
        </w:rPr>
        <w:t xml:space="preserve">mean </w:t>
      </w:r>
      <w:r w:rsidRPr="00F77DFB">
        <w:rPr>
          <w:rFonts w:ascii="Times New Roman" w:hAnsi="Times New Roman" w:cs="Times New Roman"/>
          <w:sz w:val="24"/>
          <w:szCs w:val="24"/>
          <w:lang w:val="en"/>
        </w:rPr>
        <w:t xml:space="preserve">recovery is &gt;90% in plasma </w:t>
      </w:r>
      <w:r w:rsidR="00B174BC">
        <w:rPr>
          <w:rFonts w:ascii="Times New Roman" w:hAnsi="Times New Roman" w:cs="Times New Roman"/>
          <w:sz w:val="24"/>
          <w:szCs w:val="24"/>
          <w:lang w:val="en"/>
        </w:rPr>
        <w:t xml:space="preserve">with negligible matrix effects </w:t>
      </w:r>
      <w:r w:rsidRPr="00F77DFB">
        <w:rPr>
          <w:rFonts w:ascii="Times New Roman" w:hAnsi="Times New Roman" w:cs="Times New Roman"/>
          <w:sz w:val="24"/>
          <w:szCs w:val="24"/>
          <w:lang w:val="en"/>
        </w:rPr>
        <w:t xml:space="preserve">and </w:t>
      </w:r>
      <w:r w:rsidR="00B174BC">
        <w:rPr>
          <w:rFonts w:ascii="Times New Roman" w:hAnsi="Times New Roman" w:cs="Times New Roman"/>
          <w:sz w:val="24"/>
          <w:szCs w:val="24"/>
          <w:lang w:val="en"/>
        </w:rPr>
        <w:t xml:space="preserve">&gt;75% in </w:t>
      </w:r>
      <w:r>
        <w:rPr>
          <w:rFonts w:ascii="Times New Roman" w:hAnsi="Times New Roman" w:cs="Times New Roman"/>
          <w:sz w:val="24"/>
          <w:szCs w:val="24"/>
          <w:lang w:val="en"/>
        </w:rPr>
        <w:t>saliva;</w:t>
      </w:r>
      <w:r w:rsidRPr="00F77DFB">
        <w:rPr>
          <w:rFonts w:ascii="Times New Roman" w:hAnsi="Times New Roman" w:cs="Times New Roman"/>
          <w:sz w:val="24"/>
          <w:szCs w:val="24"/>
          <w:lang w:val="en"/>
        </w:rPr>
        <w:t xml:space="preserve"> the data can be seen in </w:t>
      </w:r>
      <w:r w:rsidRPr="00F77DFB">
        <w:rPr>
          <w:rFonts w:ascii="Times New Roman" w:hAnsi="Times New Roman" w:cs="Times New Roman"/>
          <w:b/>
          <w:sz w:val="24"/>
          <w:szCs w:val="24"/>
          <w:lang w:val="en"/>
        </w:rPr>
        <w:t xml:space="preserve">Table </w:t>
      </w:r>
      <w:r w:rsidR="003D43A5">
        <w:rPr>
          <w:rFonts w:ascii="Times New Roman" w:hAnsi="Times New Roman" w:cs="Times New Roman"/>
          <w:b/>
          <w:sz w:val="24"/>
          <w:szCs w:val="24"/>
          <w:lang w:val="en"/>
        </w:rPr>
        <w:t>3</w:t>
      </w:r>
      <w:r w:rsidRPr="00F77DFB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DE6041" w:rsidRDefault="00DE6041" w:rsidP="00DE6041">
      <w:pPr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F77DFB">
        <w:rPr>
          <w:rFonts w:ascii="Times New Roman" w:hAnsi="Times New Roman" w:cs="Times New Roman"/>
          <w:b/>
          <w:sz w:val="24"/>
          <w:szCs w:val="24"/>
          <w:lang w:val="en"/>
        </w:rPr>
        <w:t xml:space="preserve">TABLE </w:t>
      </w:r>
      <w:r w:rsidR="003D43A5">
        <w:rPr>
          <w:rFonts w:ascii="Times New Roman" w:hAnsi="Times New Roman" w:cs="Times New Roman"/>
          <w:b/>
          <w:sz w:val="24"/>
          <w:szCs w:val="24"/>
          <w:lang w:val="en"/>
        </w:rPr>
        <w:t>3</w:t>
      </w:r>
    </w:p>
    <w:p w:rsidR="00A07C71" w:rsidRPr="00A07C71" w:rsidRDefault="00A07C71" w:rsidP="00A07C7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:rsidR="00A07C71" w:rsidRPr="00A07C71" w:rsidRDefault="00A07C71" w:rsidP="00A07C71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:rsidR="00A07C71" w:rsidRPr="00A07C71" w:rsidRDefault="00A07C71" w:rsidP="00A07C71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:rsidR="00A07C71" w:rsidRPr="00A07C71" w:rsidRDefault="00A07C71" w:rsidP="00A07C71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:rsidR="00A07C71" w:rsidRPr="00A07C71" w:rsidRDefault="00A07C71" w:rsidP="00A07C71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:rsidR="00A07C71" w:rsidRPr="00A07C71" w:rsidRDefault="00A07C71" w:rsidP="00A07C71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:rsidR="00A07C71" w:rsidRPr="00A07C71" w:rsidRDefault="00A07C71" w:rsidP="00A07C71">
      <w:pPr>
        <w:pStyle w:val="ListParagraph"/>
        <w:numPr>
          <w:ilvl w:val="2"/>
          <w:numId w:val="6"/>
        </w:numPr>
        <w:spacing w:line="360" w:lineRule="auto"/>
        <w:rPr>
          <w:rFonts w:ascii="Times New Roman" w:hAnsi="Times New Roman" w:cs="Times New Roman"/>
          <w:b/>
          <w:vanish/>
          <w:sz w:val="24"/>
          <w:szCs w:val="24"/>
        </w:rPr>
      </w:pPr>
    </w:p>
    <w:p w:rsidR="00DE6041" w:rsidRPr="00A07C71" w:rsidRDefault="00DE6041" w:rsidP="00B174BC">
      <w:pPr>
        <w:pStyle w:val="ListParagraph"/>
        <w:numPr>
          <w:ilvl w:val="2"/>
          <w:numId w:val="6"/>
        </w:num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07C71">
        <w:rPr>
          <w:rFonts w:ascii="Times New Roman" w:hAnsi="Times New Roman" w:cs="Times New Roman"/>
          <w:b/>
          <w:sz w:val="24"/>
          <w:szCs w:val="24"/>
        </w:rPr>
        <w:t>Stability</w:t>
      </w:r>
    </w:p>
    <w:p w:rsidR="00EA003D" w:rsidRPr="00EA003D" w:rsidRDefault="00FA6C65" w:rsidP="00EA00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A6C65">
        <w:rPr>
          <w:rFonts w:ascii="Times New Roman" w:hAnsi="Times New Roman" w:cs="Times New Roman"/>
          <w:sz w:val="24"/>
          <w:szCs w:val="24"/>
        </w:rPr>
        <w:t xml:space="preserve">he stability of </w:t>
      </w:r>
      <w:r w:rsidR="007D2569">
        <w:rPr>
          <w:rFonts w:ascii="Times New Roman" w:hAnsi="Times New Roman" w:cs="Times New Roman"/>
          <w:sz w:val="24"/>
          <w:szCs w:val="24"/>
        </w:rPr>
        <w:t xml:space="preserve">MPV </w:t>
      </w:r>
      <w:r w:rsidRPr="00FA6C65">
        <w:rPr>
          <w:rFonts w:ascii="Times New Roman" w:hAnsi="Times New Roman" w:cs="Times New Roman"/>
          <w:sz w:val="24"/>
          <w:szCs w:val="24"/>
        </w:rPr>
        <w:t xml:space="preserve">and </w:t>
      </w:r>
      <w:r w:rsidR="007D2569">
        <w:rPr>
          <w:rFonts w:ascii="Times New Roman" w:hAnsi="Times New Roman" w:cs="Times New Roman"/>
          <w:sz w:val="24"/>
          <w:szCs w:val="24"/>
        </w:rPr>
        <w:t>NHC</w:t>
      </w:r>
      <w:r w:rsidR="00D71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assessed under a </w:t>
      </w:r>
      <w:r w:rsidRPr="00FA6C65">
        <w:rPr>
          <w:rFonts w:ascii="Times New Roman" w:hAnsi="Times New Roman" w:cs="Times New Roman"/>
          <w:sz w:val="24"/>
          <w:szCs w:val="24"/>
        </w:rPr>
        <w:t xml:space="preserve">variety of </w:t>
      </w:r>
      <w:r>
        <w:rPr>
          <w:rFonts w:ascii="Times New Roman" w:hAnsi="Times New Roman" w:cs="Times New Roman"/>
          <w:sz w:val="24"/>
          <w:szCs w:val="24"/>
        </w:rPr>
        <w:t xml:space="preserve">conditions to </w:t>
      </w:r>
      <w:r w:rsidR="00EA003D">
        <w:rPr>
          <w:rFonts w:ascii="Times New Roman" w:hAnsi="Times New Roman" w:cs="Times New Roman"/>
          <w:sz w:val="24"/>
          <w:szCs w:val="24"/>
        </w:rPr>
        <w:t>facilitate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FA6C65">
        <w:rPr>
          <w:rFonts w:ascii="Times New Roman" w:hAnsi="Times New Roman" w:cs="Times New Roman"/>
          <w:sz w:val="24"/>
          <w:szCs w:val="24"/>
        </w:rPr>
        <w:t>analys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FA6C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clinical</w:t>
      </w:r>
      <w:r w:rsidRPr="00FA6C65">
        <w:rPr>
          <w:rFonts w:ascii="Times New Roman" w:hAnsi="Times New Roman" w:cs="Times New Roman"/>
          <w:sz w:val="24"/>
          <w:szCs w:val="24"/>
        </w:rPr>
        <w:t xml:space="preserve"> samples.  </w:t>
      </w:r>
      <w:r>
        <w:rPr>
          <w:rFonts w:ascii="Times New Roman" w:hAnsi="Times New Roman" w:cs="Times New Roman"/>
          <w:sz w:val="24"/>
          <w:szCs w:val="24"/>
        </w:rPr>
        <w:t>All stability experiments were conducted using plasma</w:t>
      </w:r>
      <w:r w:rsidR="00180169">
        <w:rPr>
          <w:rFonts w:ascii="Times New Roman" w:hAnsi="Times New Roman" w:cs="Times New Roman"/>
          <w:sz w:val="24"/>
          <w:szCs w:val="24"/>
        </w:rPr>
        <w:t xml:space="preserve"> (for plasma samples).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002">
        <w:rPr>
          <w:rFonts w:ascii="Times New Roman" w:hAnsi="Times New Roman" w:cs="Times New Roman"/>
          <w:sz w:val="24"/>
          <w:szCs w:val="24"/>
        </w:rPr>
        <w:t xml:space="preserve">Stability data are presented in </w:t>
      </w:r>
      <w:r w:rsidRPr="00177002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5666E0">
        <w:rPr>
          <w:rFonts w:ascii="Times New Roman" w:hAnsi="Times New Roman" w:cs="Times New Roman"/>
          <w:b/>
          <w:sz w:val="24"/>
          <w:szCs w:val="24"/>
        </w:rPr>
        <w:t>4</w:t>
      </w:r>
      <w:r w:rsidRPr="00177002">
        <w:rPr>
          <w:rFonts w:ascii="Times New Roman" w:hAnsi="Times New Roman" w:cs="Times New Roman"/>
          <w:sz w:val="24"/>
          <w:szCs w:val="24"/>
        </w:rPr>
        <w:t xml:space="preserve">. </w:t>
      </w:r>
      <w:r w:rsidR="005666E0">
        <w:rPr>
          <w:rFonts w:ascii="Times New Roman" w:hAnsi="Times New Roman" w:cs="Times New Roman"/>
          <w:sz w:val="24"/>
          <w:szCs w:val="24"/>
        </w:rPr>
        <w:t>MPV</w:t>
      </w:r>
      <w:r w:rsidR="00EA003D">
        <w:rPr>
          <w:rFonts w:ascii="Times New Roman" w:hAnsi="Times New Roman" w:cs="Times New Roman"/>
          <w:sz w:val="24"/>
          <w:szCs w:val="24"/>
        </w:rPr>
        <w:t xml:space="preserve">, an ester pro-drug, is </w:t>
      </w:r>
      <w:r w:rsidRPr="00FA6C65">
        <w:rPr>
          <w:rFonts w:ascii="Times New Roman" w:hAnsi="Times New Roman" w:cs="Times New Roman"/>
          <w:sz w:val="24"/>
          <w:szCs w:val="24"/>
        </w:rPr>
        <w:t xml:space="preserve">unstable in </w:t>
      </w:r>
      <w:r w:rsidR="00EA003D">
        <w:rPr>
          <w:rFonts w:ascii="Times New Roman" w:hAnsi="Times New Roman" w:cs="Times New Roman"/>
          <w:sz w:val="24"/>
          <w:szCs w:val="24"/>
        </w:rPr>
        <w:t xml:space="preserve">biological </w:t>
      </w:r>
      <w:r w:rsidRPr="00FA6C65">
        <w:rPr>
          <w:rFonts w:ascii="Times New Roman" w:hAnsi="Times New Roman" w:cs="Times New Roman"/>
          <w:sz w:val="24"/>
          <w:szCs w:val="24"/>
        </w:rPr>
        <w:t>matri</w:t>
      </w:r>
      <w:r w:rsidR="00EA003D">
        <w:rPr>
          <w:rFonts w:ascii="Times New Roman" w:hAnsi="Times New Roman" w:cs="Times New Roman"/>
          <w:sz w:val="24"/>
          <w:szCs w:val="24"/>
        </w:rPr>
        <w:t xml:space="preserve">ces </w:t>
      </w:r>
      <w:r w:rsidRPr="00FA6C65">
        <w:rPr>
          <w:rFonts w:ascii="Times New Roman" w:hAnsi="Times New Roman" w:cs="Times New Roman"/>
          <w:sz w:val="24"/>
          <w:szCs w:val="24"/>
        </w:rPr>
        <w:t>where esterase enzymes are present, or where the pH exceeds 7.5 (at high pH, ester prodrugs hydrolyse)</w:t>
      </w:r>
      <w:r w:rsidR="00EA003D">
        <w:rPr>
          <w:rFonts w:ascii="Times New Roman" w:hAnsi="Times New Roman" w:cs="Times New Roman"/>
          <w:sz w:val="24"/>
          <w:szCs w:val="24"/>
        </w:rPr>
        <w:t xml:space="preserve">. As a result, plasma/saliva samples require immediate stabilisation with acetonitrile in order to </w:t>
      </w:r>
      <w:r w:rsidR="00EA003D" w:rsidRPr="00EA003D">
        <w:rPr>
          <w:rFonts w:ascii="Times New Roman" w:hAnsi="Times New Roman" w:cs="Times New Roman"/>
          <w:sz w:val="24"/>
          <w:szCs w:val="24"/>
        </w:rPr>
        <w:t xml:space="preserve">prevent conversion of </w:t>
      </w:r>
      <w:r w:rsidR="005666E0">
        <w:rPr>
          <w:rFonts w:ascii="Times New Roman" w:hAnsi="Times New Roman" w:cs="Times New Roman"/>
          <w:sz w:val="24"/>
          <w:szCs w:val="24"/>
        </w:rPr>
        <w:t>MPV</w:t>
      </w:r>
      <w:r w:rsidR="00EA003D" w:rsidRPr="00EA003D">
        <w:rPr>
          <w:rFonts w:ascii="Times New Roman" w:hAnsi="Times New Roman" w:cs="Times New Roman"/>
          <w:sz w:val="24"/>
          <w:szCs w:val="24"/>
        </w:rPr>
        <w:t xml:space="preserve"> to </w:t>
      </w:r>
      <w:r w:rsidR="00EA003D">
        <w:rPr>
          <w:rFonts w:ascii="Times New Roman" w:hAnsi="Times New Roman" w:cs="Times New Roman"/>
          <w:sz w:val="24"/>
          <w:szCs w:val="24"/>
        </w:rPr>
        <w:t xml:space="preserve">its metabolite </w:t>
      </w:r>
      <w:r w:rsidR="005666E0">
        <w:rPr>
          <w:rFonts w:ascii="Times New Roman" w:hAnsi="Times New Roman" w:cs="Times New Roman"/>
          <w:sz w:val="24"/>
          <w:szCs w:val="24"/>
        </w:rPr>
        <w:t>NHC</w:t>
      </w:r>
      <w:r w:rsidR="00EA003D">
        <w:rPr>
          <w:rFonts w:ascii="Times New Roman" w:hAnsi="Times New Roman" w:cs="Times New Roman"/>
          <w:sz w:val="24"/>
          <w:szCs w:val="24"/>
        </w:rPr>
        <w:t xml:space="preserve"> (as described</w:t>
      </w:r>
      <w:r w:rsidR="00E406B2">
        <w:rPr>
          <w:rFonts w:ascii="Times New Roman" w:hAnsi="Times New Roman" w:cs="Times New Roman"/>
          <w:sz w:val="24"/>
          <w:szCs w:val="24"/>
        </w:rPr>
        <w:t xml:space="preserve"> in</w:t>
      </w:r>
      <w:r w:rsidR="00EA003D">
        <w:rPr>
          <w:rFonts w:ascii="Times New Roman" w:hAnsi="Times New Roman" w:cs="Times New Roman"/>
          <w:sz w:val="24"/>
          <w:szCs w:val="24"/>
        </w:rPr>
        <w:t xml:space="preserve"> </w:t>
      </w:r>
      <w:r w:rsidR="00242CBE">
        <w:rPr>
          <w:rFonts w:ascii="Times New Roman" w:hAnsi="Times New Roman" w:cs="Times New Roman"/>
          <w:sz w:val="24"/>
          <w:szCs w:val="24"/>
        </w:rPr>
        <w:t>section 2.4 (</w:t>
      </w:r>
      <w:r w:rsidR="00242CBE" w:rsidRPr="00242CBE">
        <w:rPr>
          <w:rFonts w:ascii="Times New Roman" w:hAnsi="Times New Roman" w:cs="Times New Roman"/>
          <w:i/>
          <w:sz w:val="24"/>
          <w:szCs w:val="24"/>
        </w:rPr>
        <w:t>Clinical Study set-up and sample collection</w:t>
      </w:r>
      <w:r w:rsidR="00EA003D">
        <w:rPr>
          <w:rFonts w:ascii="Times New Roman" w:hAnsi="Times New Roman" w:cs="Times New Roman"/>
          <w:sz w:val="24"/>
          <w:szCs w:val="24"/>
        </w:rPr>
        <w:t xml:space="preserve">). </w:t>
      </w:r>
      <w:r w:rsidR="00BA35A3">
        <w:rPr>
          <w:rFonts w:ascii="Times New Roman" w:hAnsi="Times New Roman" w:cs="Times New Roman"/>
          <w:sz w:val="24"/>
          <w:szCs w:val="24"/>
        </w:rPr>
        <w:t>Preliminary s</w:t>
      </w:r>
      <w:r w:rsidR="006D6BFB" w:rsidRPr="00EA003D">
        <w:rPr>
          <w:rFonts w:ascii="Times New Roman" w:hAnsi="Times New Roman" w:cs="Times New Roman"/>
          <w:sz w:val="24"/>
          <w:szCs w:val="24"/>
        </w:rPr>
        <w:t xml:space="preserve">tability </w:t>
      </w:r>
      <w:r w:rsidR="00BA35A3">
        <w:rPr>
          <w:rFonts w:ascii="Times New Roman" w:hAnsi="Times New Roman" w:cs="Times New Roman"/>
          <w:sz w:val="24"/>
          <w:szCs w:val="24"/>
        </w:rPr>
        <w:t>experiments</w:t>
      </w:r>
      <w:r w:rsidR="00872F6A">
        <w:rPr>
          <w:rFonts w:ascii="Times New Roman" w:hAnsi="Times New Roman" w:cs="Times New Roman"/>
          <w:sz w:val="24"/>
          <w:szCs w:val="24"/>
        </w:rPr>
        <w:t>,</w:t>
      </w:r>
      <w:r w:rsidR="00BA35A3">
        <w:rPr>
          <w:rFonts w:ascii="Times New Roman" w:hAnsi="Times New Roman" w:cs="Times New Roman"/>
          <w:sz w:val="24"/>
          <w:szCs w:val="24"/>
        </w:rPr>
        <w:t xml:space="preserve"> using </w:t>
      </w:r>
      <w:r w:rsidR="006D6BFB">
        <w:rPr>
          <w:rFonts w:ascii="Times New Roman" w:hAnsi="Times New Roman" w:cs="Times New Roman"/>
          <w:sz w:val="24"/>
          <w:szCs w:val="24"/>
        </w:rPr>
        <w:t>plasma</w:t>
      </w:r>
      <w:r w:rsidR="00872F6A">
        <w:rPr>
          <w:rFonts w:ascii="Times New Roman" w:hAnsi="Times New Roman" w:cs="Times New Roman"/>
          <w:sz w:val="24"/>
          <w:szCs w:val="24"/>
        </w:rPr>
        <w:t xml:space="preserve"> spiked with </w:t>
      </w:r>
      <w:r w:rsidR="005666E0">
        <w:rPr>
          <w:rFonts w:ascii="Times New Roman" w:hAnsi="Times New Roman" w:cs="Times New Roman"/>
          <w:sz w:val="24"/>
          <w:szCs w:val="24"/>
        </w:rPr>
        <w:t>MPV</w:t>
      </w:r>
      <w:r w:rsidR="00872F6A">
        <w:rPr>
          <w:rFonts w:ascii="Times New Roman" w:hAnsi="Times New Roman" w:cs="Times New Roman"/>
          <w:sz w:val="24"/>
          <w:szCs w:val="24"/>
        </w:rPr>
        <w:t xml:space="preserve"> and </w:t>
      </w:r>
      <w:r w:rsidR="005666E0">
        <w:rPr>
          <w:rFonts w:ascii="Times New Roman" w:hAnsi="Times New Roman" w:cs="Times New Roman"/>
          <w:sz w:val="24"/>
          <w:szCs w:val="24"/>
        </w:rPr>
        <w:t>NHC</w:t>
      </w:r>
      <w:r w:rsidR="00872F6A">
        <w:rPr>
          <w:rFonts w:ascii="Times New Roman" w:hAnsi="Times New Roman" w:cs="Times New Roman"/>
          <w:sz w:val="24"/>
          <w:szCs w:val="24"/>
        </w:rPr>
        <w:t xml:space="preserve"> in combination,</w:t>
      </w:r>
      <w:r w:rsidR="006D6BFB">
        <w:rPr>
          <w:rFonts w:ascii="Times New Roman" w:hAnsi="Times New Roman" w:cs="Times New Roman"/>
          <w:sz w:val="24"/>
          <w:szCs w:val="24"/>
        </w:rPr>
        <w:t xml:space="preserve"> </w:t>
      </w:r>
      <w:r w:rsidR="006D6BFB" w:rsidRPr="00EA003D">
        <w:rPr>
          <w:rFonts w:ascii="Times New Roman" w:hAnsi="Times New Roman" w:cs="Times New Roman"/>
          <w:sz w:val="24"/>
          <w:szCs w:val="24"/>
        </w:rPr>
        <w:t>confirmed</w:t>
      </w:r>
      <w:r w:rsidR="00BA35A3">
        <w:rPr>
          <w:rFonts w:ascii="Times New Roman" w:hAnsi="Times New Roman" w:cs="Times New Roman"/>
          <w:sz w:val="24"/>
          <w:szCs w:val="24"/>
        </w:rPr>
        <w:t xml:space="preserve"> this phenomenon</w:t>
      </w:r>
      <w:r w:rsidR="005666E0">
        <w:rPr>
          <w:rFonts w:ascii="Times New Roman" w:hAnsi="Times New Roman" w:cs="Times New Roman"/>
          <w:sz w:val="24"/>
          <w:szCs w:val="24"/>
        </w:rPr>
        <w:t>.</w:t>
      </w:r>
      <w:r w:rsidR="00BA35A3">
        <w:rPr>
          <w:rFonts w:ascii="Times New Roman" w:hAnsi="Times New Roman" w:cs="Times New Roman"/>
          <w:sz w:val="24"/>
          <w:szCs w:val="24"/>
        </w:rPr>
        <w:t xml:space="preserve"> </w:t>
      </w:r>
      <w:r w:rsidR="005666E0">
        <w:rPr>
          <w:rFonts w:ascii="Times New Roman" w:hAnsi="Times New Roman" w:cs="Times New Roman"/>
          <w:sz w:val="24"/>
          <w:szCs w:val="24"/>
        </w:rPr>
        <w:t>MPV</w:t>
      </w:r>
      <w:r w:rsidR="00BA35A3" w:rsidRPr="00BA35A3">
        <w:rPr>
          <w:rFonts w:ascii="Times New Roman" w:hAnsi="Times New Roman" w:cs="Times New Roman"/>
          <w:sz w:val="24"/>
          <w:szCs w:val="24"/>
        </w:rPr>
        <w:t xml:space="preserve"> </w:t>
      </w:r>
      <w:r w:rsidR="00BA35A3">
        <w:rPr>
          <w:rFonts w:ascii="Times New Roman" w:hAnsi="Times New Roman" w:cs="Times New Roman"/>
          <w:sz w:val="24"/>
          <w:szCs w:val="24"/>
        </w:rPr>
        <w:t xml:space="preserve">was </w:t>
      </w:r>
      <w:r w:rsidR="00BA35A3" w:rsidRPr="00BA35A3">
        <w:rPr>
          <w:rFonts w:ascii="Times New Roman" w:hAnsi="Times New Roman" w:cs="Times New Roman"/>
          <w:sz w:val="24"/>
          <w:szCs w:val="24"/>
        </w:rPr>
        <w:t>unstable at room temperature (&gt;75% degradation)</w:t>
      </w:r>
      <w:r w:rsidR="00E14827">
        <w:rPr>
          <w:rFonts w:ascii="Times New Roman" w:hAnsi="Times New Roman" w:cs="Times New Roman"/>
          <w:sz w:val="24"/>
          <w:szCs w:val="24"/>
        </w:rPr>
        <w:t xml:space="preserve"> and </w:t>
      </w:r>
      <w:r w:rsidR="00BA35A3">
        <w:rPr>
          <w:rFonts w:ascii="Times New Roman" w:hAnsi="Times New Roman" w:cs="Times New Roman"/>
          <w:sz w:val="24"/>
          <w:szCs w:val="24"/>
        </w:rPr>
        <w:t>when kept on wet</w:t>
      </w:r>
      <w:r w:rsidR="00E406B2">
        <w:rPr>
          <w:rFonts w:ascii="Times New Roman" w:hAnsi="Times New Roman" w:cs="Times New Roman"/>
          <w:sz w:val="24"/>
          <w:szCs w:val="24"/>
        </w:rPr>
        <w:t>-</w:t>
      </w:r>
      <w:r w:rsidR="00BA35A3">
        <w:rPr>
          <w:rFonts w:ascii="Times New Roman" w:hAnsi="Times New Roman" w:cs="Times New Roman"/>
          <w:sz w:val="24"/>
          <w:szCs w:val="24"/>
        </w:rPr>
        <w:t>ice</w:t>
      </w:r>
      <w:r w:rsidR="00BA35A3" w:rsidRPr="00BA35A3">
        <w:rPr>
          <w:rFonts w:ascii="Times New Roman" w:hAnsi="Times New Roman" w:cs="Times New Roman"/>
          <w:sz w:val="24"/>
          <w:szCs w:val="24"/>
        </w:rPr>
        <w:t xml:space="preserve"> (~20% degradation)</w:t>
      </w:r>
      <w:r w:rsidR="00C3060D">
        <w:rPr>
          <w:rFonts w:ascii="Times New Roman" w:hAnsi="Times New Roman" w:cs="Times New Roman"/>
          <w:sz w:val="24"/>
          <w:szCs w:val="24"/>
        </w:rPr>
        <w:t xml:space="preserve"> for 3 hours</w:t>
      </w:r>
      <w:r w:rsidR="00BA35A3">
        <w:rPr>
          <w:rFonts w:ascii="Times New Roman" w:hAnsi="Times New Roman" w:cs="Times New Roman"/>
          <w:sz w:val="24"/>
          <w:szCs w:val="24"/>
        </w:rPr>
        <w:t xml:space="preserve">. </w:t>
      </w:r>
      <w:r w:rsidR="00DC5B70">
        <w:rPr>
          <w:rFonts w:ascii="Times New Roman" w:hAnsi="Times New Roman" w:cs="Times New Roman"/>
          <w:sz w:val="24"/>
          <w:szCs w:val="24"/>
        </w:rPr>
        <w:t>However, o</w:t>
      </w:r>
      <w:r w:rsidR="00872F6A" w:rsidRPr="00DC5B70">
        <w:rPr>
          <w:rFonts w:ascii="Times New Roman" w:hAnsi="Times New Roman" w:cs="Times New Roman"/>
          <w:sz w:val="24"/>
          <w:szCs w:val="24"/>
        </w:rPr>
        <w:t xml:space="preserve">nce acetonitrile was added </w:t>
      </w:r>
      <w:r w:rsidR="00DC5B70" w:rsidRPr="001107A2">
        <w:rPr>
          <w:rFonts w:ascii="Times New Roman" w:hAnsi="Times New Roman" w:cs="Times New Roman"/>
          <w:sz w:val="24"/>
          <w:szCs w:val="24"/>
        </w:rPr>
        <w:t xml:space="preserve">the analytes were </w:t>
      </w:r>
      <w:r w:rsidR="001107A2">
        <w:rPr>
          <w:rFonts w:ascii="Times New Roman" w:hAnsi="Times New Roman" w:cs="Times New Roman"/>
          <w:sz w:val="24"/>
          <w:szCs w:val="24"/>
        </w:rPr>
        <w:t xml:space="preserve">rendered </w:t>
      </w:r>
      <w:r w:rsidR="00872F6A" w:rsidRPr="00DC5B70">
        <w:rPr>
          <w:rFonts w:ascii="Times New Roman" w:hAnsi="Times New Roman" w:cs="Times New Roman"/>
          <w:sz w:val="24"/>
          <w:szCs w:val="24"/>
        </w:rPr>
        <w:t>stab</w:t>
      </w:r>
      <w:r w:rsidR="001107A2">
        <w:rPr>
          <w:rFonts w:ascii="Times New Roman" w:hAnsi="Times New Roman" w:cs="Times New Roman"/>
          <w:sz w:val="24"/>
          <w:szCs w:val="24"/>
        </w:rPr>
        <w:t>le</w:t>
      </w:r>
      <w:r w:rsidR="00E14827">
        <w:rPr>
          <w:rFonts w:ascii="Times New Roman" w:hAnsi="Times New Roman" w:cs="Times New Roman"/>
          <w:sz w:val="24"/>
          <w:szCs w:val="24"/>
        </w:rPr>
        <w:t>.</w:t>
      </w:r>
      <w:r w:rsidR="00DC5B70">
        <w:rPr>
          <w:rFonts w:ascii="Times New Roman" w:hAnsi="Times New Roman" w:cs="Times New Roman"/>
          <w:sz w:val="24"/>
          <w:szCs w:val="24"/>
        </w:rPr>
        <w:t xml:space="preserve"> </w:t>
      </w:r>
      <w:r w:rsidR="00DE6041" w:rsidRPr="00177002">
        <w:rPr>
          <w:rFonts w:ascii="Times New Roman" w:hAnsi="Times New Roman" w:cs="Times New Roman"/>
          <w:sz w:val="24"/>
          <w:szCs w:val="24"/>
        </w:rPr>
        <w:t xml:space="preserve">Extracted samples were stable </w:t>
      </w:r>
      <w:r w:rsidR="00E14827">
        <w:rPr>
          <w:rFonts w:ascii="Times New Roman" w:hAnsi="Times New Roman" w:cs="Times New Roman"/>
          <w:sz w:val="24"/>
          <w:szCs w:val="24"/>
        </w:rPr>
        <w:t xml:space="preserve">at room temperature and </w:t>
      </w:r>
      <w:r w:rsidR="00DE6041" w:rsidRPr="00177002">
        <w:rPr>
          <w:rFonts w:ascii="Times New Roman" w:hAnsi="Times New Roman" w:cs="Times New Roman"/>
          <w:sz w:val="24"/>
          <w:szCs w:val="24"/>
        </w:rPr>
        <w:t>for up to 48 hours following injection within the LC-MS autosampler (4</w:t>
      </w:r>
      <w:r w:rsidR="00DE6041" w:rsidRPr="00177002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E6041" w:rsidRPr="00177002">
        <w:rPr>
          <w:rFonts w:ascii="Times New Roman" w:hAnsi="Times New Roman" w:cs="Times New Roman"/>
          <w:sz w:val="24"/>
          <w:szCs w:val="24"/>
        </w:rPr>
        <w:t xml:space="preserve">C) with concentrations within ±15% of the respective nominal values. </w:t>
      </w:r>
    </w:p>
    <w:p w:rsidR="00DE6041" w:rsidRPr="00F77DFB" w:rsidRDefault="00DE6041" w:rsidP="00DE6041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F77DFB">
        <w:rPr>
          <w:rFonts w:ascii="Times New Roman" w:hAnsi="Times New Roman" w:cs="Times New Roman"/>
          <w:b/>
          <w:sz w:val="24"/>
          <w:szCs w:val="24"/>
          <w:lang w:val="en"/>
        </w:rPr>
        <w:t xml:space="preserve">TABLE </w:t>
      </w:r>
      <w:r w:rsidR="005666E0">
        <w:rPr>
          <w:rFonts w:ascii="Times New Roman" w:hAnsi="Times New Roman" w:cs="Times New Roman"/>
          <w:b/>
          <w:sz w:val="24"/>
          <w:szCs w:val="24"/>
          <w:lang w:val="en"/>
        </w:rPr>
        <w:t>4</w:t>
      </w:r>
    </w:p>
    <w:p w:rsidR="00DE6041" w:rsidRPr="00F77DFB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DE6041" w:rsidRPr="00A07C71" w:rsidRDefault="007D069A" w:rsidP="00B931DE">
      <w:pPr>
        <w:pStyle w:val="ListParagraph"/>
        <w:numPr>
          <w:ilvl w:val="2"/>
          <w:numId w:val="6"/>
        </w:numPr>
        <w:spacing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A07C71">
        <w:rPr>
          <w:rFonts w:ascii="Times New Roman" w:hAnsi="Times New Roman" w:cs="Times New Roman"/>
          <w:b/>
          <w:sz w:val="24"/>
          <w:szCs w:val="24"/>
        </w:rPr>
        <w:t xml:space="preserve">Clinical </w:t>
      </w:r>
      <w:r w:rsidR="00DE6041" w:rsidRPr="00A07C71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DE6041" w:rsidRPr="009B4B96" w:rsidRDefault="00E406B2" w:rsidP="00556D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70A">
        <w:rPr>
          <w:rFonts w:ascii="Times New Roman" w:hAnsi="Times New Roman" w:cs="Times New Roman"/>
          <w:sz w:val="24"/>
          <w:szCs w:val="24"/>
        </w:rPr>
        <w:t>Data and c</w:t>
      </w:r>
      <w:r w:rsidR="00556DF7" w:rsidRPr="0042070A">
        <w:rPr>
          <w:rFonts w:ascii="Times New Roman" w:hAnsi="Times New Roman" w:cs="Times New Roman"/>
          <w:sz w:val="24"/>
          <w:szCs w:val="24"/>
        </w:rPr>
        <w:t xml:space="preserve">hromatograms from extracted plasma </w:t>
      </w:r>
      <w:r w:rsidR="009245C9" w:rsidRPr="0042070A">
        <w:rPr>
          <w:rFonts w:ascii="Times New Roman" w:hAnsi="Times New Roman" w:cs="Times New Roman"/>
          <w:sz w:val="24"/>
          <w:szCs w:val="24"/>
        </w:rPr>
        <w:t xml:space="preserve">and saliva samples </w:t>
      </w:r>
      <w:r w:rsidR="00556DF7" w:rsidRPr="0042070A">
        <w:rPr>
          <w:rFonts w:ascii="Times New Roman" w:hAnsi="Times New Roman" w:cs="Times New Roman"/>
          <w:sz w:val="24"/>
          <w:szCs w:val="24"/>
        </w:rPr>
        <w:t>from patient</w:t>
      </w:r>
      <w:r w:rsidR="009245C9" w:rsidRPr="0042070A">
        <w:rPr>
          <w:rFonts w:ascii="Times New Roman" w:hAnsi="Times New Roman" w:cs="Times New Roman"/>
          <w:sz w:val="24"/>
          <w:szCs w:val="24"/>
        </w:rPr>
        <w:t>s</w:t>
      </w:r>
      <w:r w:rsidR="00556DF7" w:rsidRPr="0042070A">
        <w:rPr>
          <w:rFonts w:ascii="Times New Roman" w:hAnsi="Times New Roman" w:cs="Times New Roman"/>
          <w:sz w:val="24"/>
          <w:szCs w:val="24"/>
        </w:rPr>
        <w:t xml:space="preserve"> receiving </w:t>
      </w:r>
      <w:r w:rsidR="00BA78FD" w:rsidRPr="0042070A">
        <w:rPr>
          <w:rFonts w:ascii="Times New Roman" w:hAnsi="Times New Roman" w:cs="Times New Roman"/>
          <w:sz w:val="24"/>
          <w:szCs w:val="24"/>
        </w:rPr>
        <w:t>MPV</w:t>
      </w:r>
      <w:r w:rsidR="00556DF7" w:rsidRPr="0042070A">
        <w:rPr>
          <w:rFonts w:ascii="Times New Roman" w:hAnsi="Times New Roman" w:cs="Times New Roman"/>
          <w:sz w:val="24"/>
          <w:szCs w:val="24"/>
        </w:rPr>
        <w:t xml:space="preserve"> are presented in </w:t>
      </w:r>
      <w:r w:rsidRPr="0042070A">
        <w:rPr>
          <w:rFonts w:ascii="Times New Roman" w:hAnsi="Times New Roman" w:cs="Times New Roman"/>
          <w:b/>
          <w:bCs/>
          <w:sz w:val="24"/>
          <w:szCs w:val="24"/>
        </w:rPr>
        <w:t xml:space="preserve">Table 5 and </w:t>
      </w:r>
      <w:r w:rsidR="00DE6041" w:rsidRPr="0042070A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="00BA78FD" w:rsidRPr="0042070A">
        <w:rPr>
          <w:rFonts w:ascii="Times New Roman" w:hAnsi="Times New Roman" w:cs="Times New Roman"/>
          <w:b/>
          <w:bCs/>
          <w:sz w:val="24"/>
          <w:szCs w:val="24"/>
        </w:rPr>
        <w:t>s 1</w:t>
      </w:r>
      <w:r w:rsidR="007D2569" w:rsidRPr="0042070A"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 w:rsidRPr="0042070A">
        <w:rPr>
          <w:rFonts w:ascii="Times New Roman" w:hAnsi="Times New Roman" w:cs="Times New Roman"/>
          <w:b/>
          <w:bCs/>
          <w:sz w:val="24"/>
          <w:szCs w:val="24"/>
        </w:rPr>
        <w:t>&amp;</w:t>
      </w:r>
      <w:r w:rsidR="007D2569" w:rsidRPr="00420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070A">
        <w:rPr>
          <w:rFonts w:ascii="Times New Roman" w:hAnsi="Times New Roman" w:cs="Times New Roman"/>
          <w:b/>
          <w:bCs/>
          <w:sz w:val="24"/>
          <w:szCs w:val="24"/>
        </w:rPr>
        <w:t>2c</w:t>
      </w:r>
      <w:r w:rsidR="00C87EBA" w:rsidRPr="0042070A">
        <w:rPr>
          <w:rFonts w:ascii="Times New Roman" w:hAnsi="Times New Roman" w:cs="Times New Roman"/>
          <w:bCs/>
          <w:sz w:val="24"/>
          <w:szCs w:val="24"/>
        </w:rPr>
        <w:t>.</w:t>
      </w:r>
      <w:r w:rsidR="00C87EBA" w:rsidRPr="004207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31DE" w:rsidRPr="0042070A">
        <w:rPr>
          <w:rFonts w:ascii="Times New Roman" w:hAnsi="Times New Roman" w:cs="Times New Roman"/>
          <w:bCs/>
          <w:sz w:val="24"/>
          <w:szCs w:val="24"/>
        </w:rPr>
        <w:t xml:space="preserve">In the majority of the </w:t>
      </w:r>
      <w:r w:rsidR="00CE0C6D" w:rsidRPr="0042070A">
        <w:rPr>
          <w:rFonts w:ascii="Times New Roman" w:hAnsi="Times New Roman" w:cs="Times New Roman"/>
          <w:bCs/>
          <w:sz w:val="24"/>
          <w:szCs w:val="24"/>
        </w:rPr>
        <w:t>samples analysed</w:t>
      </w:r>
      <w:r w:rsidR="00805E22" w:rsidRPr="0042070A">
        <w:rPr>
          <w:rFonts w:ascii="Times New Roman" w:hAnsi="Times New Roman" w:cs="Times New Roman"/>
          <w:bCs/>
          <w:sz w:val="24"/>
          <w:szCs w:val="24"/>
        </w:rPr>
        <w:t xml:space="preserve"> (using our </w:t>
      </w:r>
      <w:r w:rsidR="00AD3EA3">
        <w:rPr>
          <w:rFonts w:ascii="Times New Roman" w:hAnsi="Times New Roman" w:cs="Times New Roman"/>
          <w:bCs/>
          <w:sz w:val="24"/>
          <w:szCs w:val="24"/>
        </w:rPr>
        <w:t>LLOQ</w:t>
      </w:r>
      <w:r w:rsidR="00805E22" w:rsidRPr="0042070A">
        <w:rPr>
          <w:rFonts w:ascii="Times New Roman" w:hAnsi="Times New Roman" w:cs="Times New Roman"/>
          <w:bCs/>
          <w:sz w:val="24"/>
          <w:szCs w:val="24"/>
        </w:rPr>
        <w:t xml:space="preserve"> of 2.5 ng/</w:t>
      </w:r>
      <w:r w:rsidR="00AD3EA3">
        <w:rPr>
          <w:rFonts w:ascii="Times New Roman" w:hAnsi="Times New Roman" w:cs="Times New Roman"/>
          <w:bCs/>
          <w:sz w:val="24"/>
          <w:szCs w:val="24"/>
        </w:rPr>
        <w:t>ml</w:t>
      </w:r>
      <w:r w:rsidR="00805E22" w:rsidRPr="0042070A">
        <w:rPr>
          <w:rFonts w:ascii="Times New Roman" w:hAnsi="Times New Roman" w:cs="Times New Roman"/>
          <w:bCs/>
          <w:sz w:val="24"/>
          <w:szCs w:val="24"/>
        </w:rPr>
        <w:t>),</w:t>
      </w:r>
      <w:r w:rsidR="00CE0C6D" w:rsidRPr="0042070A">
        <w:rPr>
          <w:rFonts w:ascii="Times New Roman" w:hAnsi="Times New Roman" w:cs="Times New Roman"/>
          <w:bCs/>
          <w:sz w:val="24"/>
          <w:szCs w:val="24"/>
        </w:rPr>
        <w:t xml:space="preserve"> the pro-drug </w:t>
      </w:r>
      <w:r w:rsidR="00B931DE" w:rsidRPr="0042070A">
        <w:rPr>
          <w:rFonts w:ascii="Times New Roman" w:hAnsi="Times New Roman" w:cs="Times New Roman"/>
          <w:bCs/>
          <w:sz w:val="24"/>
          <w:szCs w:val="24"/>
        </w:rPr>
        <w:t xml:space="preserve">MPV was unquantifiable in plasma </w:t>
      </w:r>
      <w:r w:rsidR="00CE0C6D" w:rsidRPr="0042070A">
        <w:rPr>
          <w:rFonts w:ascii="Times New Roman" w:hAnsi="Times New Roman" w:cs="Times New Roman"/>
          <w:bCs/>
          <w:sz w:val="24"/>
          <w:szCs w:val="24"/>
        </w:rPr>
        <w:t>and saliva</w:t>
      </w:r>
      <w:r w:rsidR="00805E22" w:rsidRPr="0042070A">
        <w:rPr>
          <w:rFonts w:ascii="Times New Roman" w:hAnsi="Times New Roman" w:cs="Times New Roman"/>
          <w:bCs/>
          <w:sz w:val="24"/>
          <w:szCs w:val="24"/>
        </w:rPr>
        <w:t xml:space="preserve"> or detected at low concentrations only at early timepoints (0·5 and </w:t>
      </w:r>
      <w:r w:rsidR="00F83720" w:rsidRPr="0042070A">
        <w:rPr>
          <w:rFonts w:ascii="Times New Roman" w:hAnsi="Times New Roman" w:cs="Times New Roman"/>
          <w:bCs/>
          <w:sz w:val="24"/>
          <w:szCs w:val="24"/>
        </w:rPr>
        <w:t>1-hour</w:t>
      </w:r>
      <w:r w:rsidR="00805E22" w:rsidRPr="0042070A">
        <w:rPr>
          <w:rFonts w:ascii="Times New Roman" w:hAnsi="Times New Roman" w:cs="Times New Roman"/>
          <w:bCs/>
          <w:sz w:val="24"/>
          <w:szCs w:val="24"/>
        </w:rPr>
        <w:t xml:space="preserve"> post-dose) in few samples. T</w:t>
      </w:r>
      <w:r w:rsidR="00CE0C6D" w:rsidRPr="0042070A">
        <w:rPr>
          <w:rFonts w:ascii="Times New Roman" w:hAnsi="Times New Roman" w:cs="Times New Roman"/>
          <w:bCs/>
          <w:sz w:val="24"/>
          <w:szCs w:val="24"/>
        </w:rPr>
        <w:t xml:space="preserve">he metabolite NHC </w:t>
      </w:r>
      <w:r w:rsidR="00805E22" w:rsidRPr="0042070A">
        <w:rPr>
          <w:rFonts w:ascii="Times New Roman" w:hAnsi="Times New Roman" w:cs="Times New Roman"/>
          <w:bCs/>
          <w:sz w:val="24"/>
          <w:szCs w:val="24"/>
        </w:rPr>
        <w:t xml:space="preserve">however </w:t>
      </w:r>
      <w:r w:rsidR="00CE0C6D" w:rsidRPr="0042070A">
        <w:rPr>
          <w:rFonts w:ascii="Times New Roman" w:hAnsi="Times New Roman" w:cs="Times New Roman"/>
          <w:bCs/>
          <w:sz w:val="24"/>
          <w:szCs w:val="24"/>
        </w:rPr>
        <w:t>was</w:t>
      </w:r>
      <w:r w:rsidR="00805E22" w:rsidRPr="00420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2CBE">
        <w:rPr>
          <w:rFonts w:ascii="Times New Roman" w:hAnsi="Times New Roman" w:cs="Times New Roman"/>
          <w:bCs/>
          <w:sz w:val="24"/>
          <w:szCs w:val="24"/>
        </w:rPr>
        <w:t xml:space="preserve">consistently </w:t>
      </w:r>
      <w:r w:rsidR="00805E22" w:rsidRPr="0042070A">
        <w:rPr>
          <w:rFonts w:ascii="Times New Roman" w:hAnsi="Times New Roman" w:cs="Times New Roman"/>
          <w:bCs/>
          <w:sz w:val="24"/>
          <w:szCs w:val="24"/>
        </w:rPr>
        <w:t>quantifiable.</w:t>
      </w:r>
      <w:r w:rsidR="00CE0C6D" w:rsidRPr="004207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7EBA" w:rsidRPr="009245C9">
        <w:rPr>
          <w:rFonts w:ascii="Times New Roman" w:hAnsi="Times New Roman" w:cs="Times New Roman"/>
          <w:sz w:val="24"/>
          <w:szCs w:val="24"/>
        </w:rPr>
        <w:t>The</w:t>
      </w:r>
      <w:r w:rsidR="009245C9">
        <w:rPr>
          <w:rFonts w:ascii="Times New Roman" w:hAnsi="Times New Roman" w:cs="Times New Roman"/>
          <w:sz w:val="24"/>
          <w:szCs w:val="24"/>
        </w:rPr>
        <w:t>se</w:t>
      </w:r>
      <w:r w:rsidR="00C87EBA" w:rsidRPr="009245C9">
        <w:rPr>
          <w:rFonts w:ascii="Times New Roman" w:hAnsi="Times New Roman" w:cs="Times New Roman"/>
          <w:sz w:val="24"/>
          <w:szCs w:val="24"/>
        </w:rPr>
        <w:t xml:space="preserve"> data </w:t>
      </w:r>
      <w:r w:rsidR="009245C9" w:rsidRPr="009245C9">
        <w:rPr>
          <w:rFonts w:ascii="Times New Roman" w:hAnsi="Times New Roman" w:cs="Times New Roman"/>
          <w:sz w:val="24"/>
          <w:szCs w:val="24"/>
        </w:rPr>
        <w:t>are</w:t>
      </w:r>
      <w:r w:rsidR="009B4B96" w:rsidRPr="009245C9">
        <w:rPr>
          <w:rFonts w:ascii="Times New Roman" w:hAnsi="Times New Roman" w:cs="Times New Roman"/>
          <w:sz w:val="24"/>
          <w:szCs w:val="24"/>
        </w:rPr>
        <w:t xml:space="preserve"> </w:t>
      </w:r>
      <w:r w:rsidR="009245C9">
        <w:rPr>
          <w:rFonts w:ascii="Times New Roman" w:hAnsi="Times New Roman" w:cs="Times New Roman"/>
          <w:sz w:val="24"/>
          <w:szCs w:val="24"/>
        </w:rPr>
        <w:t xml:space="preserve">purely descriptive; </w:t>
      </w:r>
      <w:r w:rsidR="00A448AC" w:rsidRPr="009245C9">
        <w:rPr>
          <w:rFonts w:ascii="Times New Roman" w:hAnsi="Times New Roman" w:cs="Times New Roman"/>
          <w:sz w:val="24"/>
          <w:szCs w:val="24"/>
        </w:rPr>
        <w:t xml:space="preserve">the complete </w:t>
      </w:r>
      <w:r w:rsidR="009245C9">
        <w:rPr>
          <w:rFonts w:ascii="Times New Roman" w:hAnsi="Times New Roman" w:cs="Times New Roman"/>
          <w:sz w:val="24"/>
          <w:szCs w:val="24"/>
        </w:rPr>
        <w:t xml:space="preserve">pharmacokinetic </w:t>
      </w:r>
      <w:r w:rsidR="00A448AC" w:rsidRPr="009245C9">
        <w:rPr>
          <w:rFonts w:ascii="Times New Roman" w:hAnsi="Times New Roman" w:cs="Times New Roman"/>
          <w:sz w:val="24"/>
          <w:szCs w:val="24"/>
        </w:rPr>
        <w:t xml:space="preserve">data set </w:t>
      </w:r>
      <w:r w:rsidR="009245C9">
        <w:rPr>
          <w:rFonts w:ascii="Times New Roman" w:hAnsi="Times New Roman" w:cs="Times New Roman"/>
          <w:sz w:val="24"/>
          <w:szCs w:val="24"/>
        </w:rPr>
        <w:t>is to</w:t>
      </w:r>
      <w:r w:rsidR="009B4B96" w:rsidRPr="009245C9">
        <w:rPr>
          <w:rFonts w:ascii="Times New Roman" w:hAnsi="Times New Roman" w:cs="Times New Roman"/>
          <w:sz w:val="24"/>
          <w:szCs w:val="24"/>
        </w:rPr>
        <w:t xml:space="preserve"> be published in a separate </w:t>
      </w:r>
      <w:r w:rsidR="009245C9" w:rsidRPr="009245C9">
        <w:rPr>
          <w:rFonts w:ascii="Times New Roman" w:hAnsi="Times New Roman" w:cs="Times New Roman"/>
          <w:sz w:val="24"/>
          <w:szCs w:val="24"/>
        </w:rPr>
        <w:t xml:space="preserve">clinical publication for the CST-2 </w:t>
      </w:r>
      <w:r w:rsidR="009B4B96" w:rsidRPr="009245C9">
        <w:rPr>
          <w:rFonts w:ascii="Times New Roman" w:hAnsi="Times New Roman" w:cs="Times New Roman"/>
          <w:sz w:val="24"/>
          <w:szCs w:val="24"/>
        </w:rPr>
        <w:t xml:space="preserve">AGILE </w:t>
      </w:r>
      <w:r w:rsidR="009245C9">
        <w:rPr>
          <w:rFonts w:ascii="Times New Roman" w:hAnsi="Times New Roman" w:cs="Times New Roman"/>
          <w:sz w:val="24"/>
          <w:szCs w:val="24"/>
        </w:rPr>
        <w:t>trial.</w:t>
      </w:r>
    </w:p>
    <w:p w:rsidR="00A448AC" w:rsidRDefault="00D15E24" w:rsidP="00DE60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sz w:val="24"/>
          <w:szCs w:val="24"/>
          <w:lang w:val="en"/>
        </w:rPr>
        <w:t>TABLE 5 AND</w:t>
      </w:r>
      <w:r w:rsidRPr="00E406B2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>FIGURES 1 &amp; 2</w:t>
      </w:r>
    </w:p>
    <w:p w:rsidR="00DE6041" w:rsidRPr="00A07C71" w:rsidRDefault="00DE6041" w:rsidP="00A07C7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07C71">
        <w:rPr>
          <w:rFonts w:ascii="Times New Roman" w:hAnsi="Times New Roman" w:cs="Times New Roman"/>
          <w:b/>
          <w:sz w:val="28"/>
          <w:szCs w:val="24"/>
        </w:rPr>
        <w:t>Conclusion</w:t>
      </w:r>
    </w:p>
    <w:p w:rsidR="00DE6041" w:rsidRPr="00E669EC" w:rsidRDefault="00DE6041" w:rsidP="00DE604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present here a</w:t>
      </w:r>
      <w:r w:rsidRPr="00E669EC">
        <w:rPr>
          <w:rFonts w:ascii="Times New Roman" w:hAnsi="Times New Roman" w:cs="Times New Roman"/>
          <w:sz w:val="24"/>
          <w:szCs w:val="24"/>
        </w:rPr>
        <w:t xml:space="preserve"> sensitive</w:t>
      </w:r>
      <w:r>
        <w:rPr>
          <w:rFonts w:ascii="Times New Roman" w:hAnsi="Times New Roman" w:cs="Times New Roman"/>
          <w:sz w:val="24"/>
          <w:szCs w:val="24"/>
        </w:rPr>
        <w:t xml:space="preserve">, selective, accurate </w:t>
      </w:r>
      <w:r w:rsidRPr="00E669EC">
        <w:rPr>
          <w:rFonts w:ascii="Times New Roman" w:hAnsi="Times New Roman" w:cs="Times New Roman"/>
          <w:sz w:val="24"/>
          <w:szCs w:val="24"/>
        </w:rPr>
        <w:t>and robust LC–MS/MS method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669EC">
        <w:rPr>
          <w:rFonts w:ascii="Times New Roman" w:hAnsi="Times New Roman" w:cs="Times New Roman"/>
          <w:sz w:val="24"/>
          <w:szCs w:val="24"/>
        </w:rPr>
        <w:t xml:space="preserve">developed and validated </w:t>
      </w:r>
      <w:r>
        <w:rPr>
          <w:rFonts w:ascii="Times New Roman" w:hAnsi="Times New Roman" w:cs="Times New Roman"/>
          <w:sz w:val="24"/>
          <w:szCs w:val="24"/>
        </w:rPr>
        <w:t>to quantify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476B50">
        <w:rPr>
          <w:rFonts w:ascii="Times New Roman" w:hAnsi="Times New Roman" w:cs="Times New Roman"/>
          <w:sz w:val="24"/>
          <w:szCs w:val="24"/>
        </w:rPr>
        <w:t>MPV</w:t>
      </w:r>
      <w:r w:rsidR="00CB099F">
        <w:rPr>
          <w:rFonts w:ascii="Times New Roman" w:hAnsi="Times New Roman" w:cs="Times New Roman"/>
          <w:sz w:val="24"/>
          <w:szCs w:val="24"/>
        </w:rPr>
        <w:t xml:space="preserve"> </w:t>
      </w:r>
      <w:r w:rsidRPr="00C62876">
        <w:rPr>
          <w:rFonts w:ascii="Times New Roman" w:hAnsi="Times New Roman" w:cs="Times New Roman"/>
          <w:sz w:val="24"/>
          <w:szCs w:val="24"/>
        </w:rPr>
        <w:t xml:space="preserve">and </w:t>
      </w:r>
      <w:r w:rsidR="00CB099F">
        <w:rPr>
          <w:rFonts w:ascii="Times New Roman" w:hAnsi="Times New Roman" w:cs="Times New Roman"/>
          <w:sz w:val="24"/>
          <w:szCs w:val="24"/>
        </w:rPr>
        <w:t>NHC</w:t>
      </w:r>
      <w:r w:rsidRPr="00C62876"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 xml:space="preserve">in human plasma and </w:t>
      </w:r>
      <w:r>
        <w:rPr>
          <w:rFonts w:ascii="Times New Roman" w:hAnsi="Times New Roman" w:cs="Times New Roman"/>
          <w:sz w:val="24"/>
          <w:szCs w:val="24"/>
        </w:rPr>
        <w:t>saliva</w:t>
      </w:r>
      <w:r w:rsidRPr="00E669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This, to </w:t>
      </w:r>
      <w:r w:rsidRPr="00E669EC">
        <w:rPr>
          <w:rFonts w:ascii="Times New Roman" w:hAnsi="Times New Roman" w:cs="Times New Roman"/>
          <w:sz w:val="24"/>
          <w:szCs w:val="24"/>
        </w:rPr>
        <w:t xml:space="preserve">the best of our knowledge, is the first method </w:t>
      </w:r>
      <w:r>
        <w:rPr>
          <w:rFonts w:ascii="Times New Roman" w:hAnsi="Times New Roman" w:cs="Times New Roman"/>
          <w:sz w:val="24"/>
          <w:szCs w:val="24"/>
        </w:rPr>
        <w:t>quantifying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CB099F">
        <w:rPr>
          <w:rFonts w:ascii="Times New Roman" w:hAnsi="Times New Roman" w:cs="Times New Roman"/>
          <w:sz w:val="24"/>
          <w:szCs w:val="24"/>
        </w:rPr>
        <w:t>MPV</w:t>
      </w:r>
      <w:r w:rsidRPr="00C62876">
        <w:rPr>
          <w:rFonts w:ascii="Times New Roman" w:hAnsi="Times New Roman" w:cs="Times New Roman"/>
          <w:sz w:val="24"/>
          <w:szCs w:val="24"/>
        </w:rPr>
        <w:t xml:space="preserve"> and </w:t>
      </w:r>
      <w:r w:rsidR="00CB099F">
        <w:rPr>
          <w:rFonts w:ascii="Times New Roman" w:hAnsi="Times New Roman" w:cs="Times New Roman"/>
          <w:sz w:val="24"/>
          <w:szCs w:val="24"/>
        </w:rPr>
        <w:t>NHC</w:t>
      </w:r>
      <w:r w:rsidRPr="00C62876"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 xml:space="preserve">concentrations in </w:t>
      </w:r>
      <w:r>
        <w:rPr>
          <w:rFonts w:ascii="Times New Roman" w:hAnsi="Times New Roman" w:cs="Times New Roman"/>
          <w:sz w:val="24"/>
          <w:szCs w:val="24"/>
        </w:rPr>
        <w:t>saliva</w:t>
      </w:r>
      <w:r w:rsidRPr="00E669E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This bespoke method, devised for the AGILE trial, can serve as the foundation method for other trials involving the same analytes.</w:t>
      </w:r>
    </w:p>
    <w:p w:rsidR="00DE6041" w:rsidRDefault="00DE6041" w:rsidP="00DE6041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Additionally</w:t>
      </w:r>
      <w:r w:rsidRPr="00E669EC">
        <w:rPr>
          <w:rFonts w:ascii="Times New Roman" w:hAnsi="Times New Roman" w:cs="Times New Roman"/>
          <w:sz w:val="24"/>
          <w:szCs w:val="24"/>
        </w:rPr>
        <w:t xml:space="preserve">, this assay will </w:t>
      </w:r>
      <w:r>
        <w:rPr>
          <w:rFonts w:ascii="Times New Roman" w:hAnsi="Times New Roman" w:cs="Times New Roman"/>
          <w:sz w:val="24"/>
          <w:szCs w:val="24"/>
        </w:rPr>
        <w:t>help provide greater clarity about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 w:rsidR="00CB099F">
        <w:rPr>
          <w:rFonts w:ascii="Times New Roman" w:hAnsi="Times New Roman" w:cs="Times New Roman"/>
          <w:sz w:val="24"/>
          <w:szCs w:val="24"/>
        </w:rPr>
        <w:t>MPV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CB099F">
        <w:rPr>
          <w:rFonts w:ascii="Times New Roman" w:hAnsi="Times New Roman" w:cs="Times New Roman"/>
          <w:sz w:val="24"/>
          <w:szCs w:val="24"/>
        </w:rPr>
        <w:t>NHC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 xml:space="preserve">pharmacokinetics across different </w:t>
      </w:r>
      <w:r>
        <w:rPr>
          <w:rFonts w:ascii="Times New Roman" w:hAnsi="Times New Roman" w:cs="Times New Roman"/>
          <w:sz w:val="24"/>
          <w:szCs w:val="24"/>
        </w:rPr>
        <w:t>matrices</w:t>
      </w:r>
      <w:r w:rsidRPr="00E669EC">
        <w:rPr>
          <w:rFonts w:ascii="Times New Roman" w:hAnsi="Times New Roman" w:cs="Times New Roman"/>
          <w:sz w:val="24"/>
          <w:szCs w:val="24"/>
        </w:rPr>
        <w:t xml:space="preserve"> under different treatment scenarios. The method </w:t>
      </w:r>
      <w:r>
        <w:rPr>
          <w:rFonts w:ascii="Times New Roman" w:hAnsi="Times New Roman" w:cs="Times New Roman"/>
          <w:sz w:val="24"/>
          <w:szCs w:val="24"/>
        </w:rPr>
        <w:t>is</w:t>
      </w:r>
      <w:r w:rsidRPr="00E669EC">
        <w:rPr>
          <w:rFonts w:ascii="Times New Roman" w:hAnsi="Times New Roman" w:cs="Times New Roman"/>
          <w:sz w:val="24"/>
          <w:szCs w:val="24"/>
        </w:rPr>
        <w:t xml:space="preserve"> be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E669EC">
        <w:rPr>
          <w:rFonts w:ascii="Times New Roman" w:hAnsi="Times New Roman" w:cs="Times New Roman"/>
          <w:sz w:val="24"/>
          <w:szCs w:val="24"/>
        </w:rPr>
        <w:t xml:space="preserve"> used </w:t>
      </w:r>
      <w:r>
        <w:rPr>
          <w:rFonts w:ascii="Times New Roman" w:hAnsi="Times New Roman" w:cs="Times New Roman"/>
          <w:sz w:val="24"/>
          <w:szCs w:val="24"/>
        </w:rPr>
        <w:t>to</w:t>
      </w:r>
      <w:r w:rsidRPr="00E66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study the </w:t>
      </w:r>
      <w:r w:rsidRPr="00E669EC">
        <w:rPr>
          <w:rFonts w:ascii="Times New Roman" w:hAnsi="Times New Roman" w:cs="Times New Roman"/>
          <w:sz w:val="24"/>
          <w:szCs w:val="24"/>
        </w:rPr>
        <w:t xml:space="preserve">pharmacokinetics of </w:t>
      </w:r>
      <w:r w:rsidR="00CB099F">
        <w:rPr>
          <w:rFonts w:ascii="Times New Roman" w:hAnsi="Times New Roman" w:cs="Times New Roman"/>
          <w:sz w:val="24"/>
          <w:szCs w:val="24"/>
        </w:rPr>
        <w:t>MPV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CB099F">
        <w:rPr>
          <w:rFonts w:ascii="Times New Roman" w:hAnsi="Times New Roman" w:cs="Times New Roman"/>
          <w:sz w:val="24"/>
          <w:szCs w:val="24"/>
        </w:rPr>
        <w:t>NHC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9EC">
        <w:rPr>
          <w:rFonts w:ascii="Times New Roman" w:hAnsi="Times New Roman" w:cs="Times New Roman"/>
          <w:sz w:val="24"/>
          <w:szCs w:val="24"/>
        </w:rPr>
        <w:t xml:space="preserve">in plasma and </w:t>
      </w:r>
      <w:r>
        <w:rPr>
          <w:rFonts w:ascii="Times New Roman" w:hAnsi="Times New Roman" w:cs="Times New Roman"/>
          <w:sz w:val="24"/>
          <w:szCs w:val="24"/>
        </w:rPr>
        <w:t>saliva</w:t>
      </w:r>
      <w:r w:rsidRPr="00E669EC">
        <w:rPr>
          <w:rFonts w:ascii="Times New Roman" w:hAnsi="Times New Roman" w:cs="Times New Roman"/>
          <w:sz w:val="24"/>
          <w:szCs w:val="24"/>
        </w:rPr>
        <w:t xml:space="preserve"> as part of </w:t>
      </w:r>
      <w:r>
        <w:rPr>
          <w:rFonts w:ascii="Times New Roman" w:hAnsi="Times New Roman" w:cs="Times New Roman"/>
          <w:sz w:val="24"/>
          <w:szCs w:val="24"/>
        </w:rPr>
        <w:t>the AGILE</w:t>
      </w:r>
      <w:r w:rsidRPr="00E669EC">
        <w:rPr>
          <w:rFonts w:ascii="Times New Roman" w:hAnsi="Times New Roman" w:cs="Times New Roman"/>
          <w:sz w:val="24"/>
          <w:szCs w:val="24"/>
        </w:rPr>
        <w:t xml:space="preserve"> clinical trial.</w:t>
      </w:r>
    </w:p>
    <w:p w:rsidR="00DE6041" w:rsidRDefault="00DE6041" w:rsidP="00DE6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041" w:rsidRPr="007E17FD" w:rsidRDefault="00DE6041" w:rsidP="0056068E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68E">
        <w:rPr>
          <w:rFonts w:ascii="Times New Roman" w:hAnsi="Times New Roman" w:cs="Times New Roman"/>
          <w:b/>
          <w:sz w:val="28"/>
          <w:szCs w:val="24"/>
        </w:rPr>
        <w:t>Acknowledgments</w:t>
      </w:r>
    </w:p>
    <w:p w:rsidR="00134345" w:rsidRPr="002D1268" w:rsidRDefault="00134345" w:rsidP="00DE6041">
      <w:p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D1268">
        <w:rPr>
          <w:rFonts w:ascii="Times New Roman" w:hAnsi="Times New Roman" w:cs="Times New Roman"/>
          <w:szCs w:val="24"/>
        </w:rPr>
        <w:t xml:space="preserve">The authors wish to </w:t>
      </w:r>
      <w:r w:rsidR="00FC29E4" w:rsidRPr="002D1268">
        <w:rPr>
          <w:rFonts w:ascii="Times New Roman" w:hAnsi="Times New Roman" w:cs="Times New Roman"/>
          <w:szCs w:val="24"/>
        </w:rPr>
        <w:t xml:space="preserve">acknowledge </w:t>
      </w:r>
      <w:r w:rsidRPr="002D1268">
        <w:rPr>
          <w:rFonts w:ascii="Times New Roman" w:hAnsi="Times New Roman" w:cs="Times New Roman"/>
          <w:szCs w:val="24"/>
        </w:rPr>
        <w:t>the following:-</w:t>
      </w:r>
    </w:p>
    <w:p w:rsidR="00134345" w:rsidRPr="002D1268" w:rsidRDefault="00134345" w:rsidP="0013434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D1268">
        <w:rPr>
          <w:rFonts w:ascii="Times New Roman" w:hAnsi="Times New Roman" w:cs="Times New Roman"/>
          <w:szCs w:val="24"/>
        </w:rPr>
        <w:t>The AGILE University of Liverpool team - Victoria Shaw, William Greenhalf, Lisa Flaherty, Laura Dickinson, Helen Reynolds and Justin Chiong</w:t>
      </w:r>
    </w:p>
    <w:p w:rsidR="00134345" w:rsidRPr="002D1268" w:rsidRDefault="00B3122C" w:rsidP="0013434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D1268">
        <w:rPr>
          <w:rFonts w:ascii="Times New Roman" w:hAnsi="Times New Roman" w:cs="Times New Roman"/>
          <w:szCs w:val="24"/>
        </w:rPr>
        <w:t xml:space="preserve">Jim Bush (Medical Director) </w:t>
      </w:r>
      <w:r w:rsidR="00134345" w:rsidRPr="002D1268">
        <w:rPr>
          <w:rFonts w:ascii="Times New Roman" w:hAnsi="Times New Roman" w:cs="Times New Roman"/>
          <w:szCs w:val="24"/>
        </w:rPr>
        <w:t xml:space="preserve">at COVANCE </w:t>
      </w:r>
      <w:r w:rsidRPr="002D1268">
        <w:rPr>
          <w:rFonts w:ascii="Times New Roman" w:hAnsi="Times New Roman" w:cs="Times New Roman"/>
          <w:szCs w:val="24"/>
        </w:rPr>
        <w:t>and his Bioanalytical team</w:t>
      </w:r>
    </w:p>
    <w:p w:rsidR="000B4D5E" w:rsidRPr="002D1268" w:rsidRDefault="000B4D5E" w:rsidP="0013434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D1268">
        <w:rPr>
          <w:rFonts w:ascii="Times New Roman" w:hAnsi="Times New Roman" w:cs="Times New Roman"/>
          <w:szCs w:val="24"/>
        </w:rPr>
        <w:t>The UoL Bioanalytical Facility staff – Deirdre Egan</w:t>
      </w:r>
      <w:r w:rsidR="009314C0">
        <w:rPr>
          <w:rFonts w:ascii="Times New Roman" w:hAnsi="Times New Roman" w:cs="Times New Roman"/>
          <w:szCs w:val="24"/>
        </w:rPr>
        <w:t>,</w:t>
      </w:r>
      <w:r w:rsidRPr="002D1268">
        <w:rPr>
          <w:rFonts w:ascii="Times New Roman" w:hAnsi="Times New Roman" w:cs="Times New Roman"/>
          <w:szCs w:val="24"/>
        </w:rPr>
        <w:t xml:space="preserve"> Elizabeth Challenger</w:t>
      </w:r>
      <w:r w:rsidR="009314C0" w:rsidRPr="009314C0">
        <w:rPr>
          <w:rFonts w:ascii="Times New Roman" w:hAnsi="Times New Roman" w:cs="Times New Roman"/>
          <w:szCs w:val="24"/>
        </w:rPr>
        <w:t xml:space="preserve"> </w:t>
      </w:r>
      <w:r w:rsidR="009314C0" w:rsidRPr="002D1268">
        <w:rPr>
          <w:rFonts w:ascii="Times New Roman" w:hAnsi="Times New Roman" w:cs="Times New Roman"/>
          <w:szCs w:val="24"/>
        </w:rPr>
        <w:t>and</w:t>
      </w:r>
      <w:r w:rsidR="009314C0">
        <w:rPr>
          <w:rFonts w:ascii="Times New Roman" w:hAnsi="Times New Roman" w:cs="Times New Roman"/>
          <w:szCs w:val="24"/>
        </w:rPr>
        <w:t xml:space="preserve"> Beth Thompson</w:t>
      </w:r>
    </w:p>
    <w:p w:rsidR="00134345" w:rsidRDefault="00DE6041" w:rsidP="0013434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D1268">
        <w:rPr>
          <w:rFonts w:ascii="Times New Roman" w:hAnsi="Times New Roman" w:cs="Times New Roman"/>
          <w:szCs w:val="24"/>
        </w:rPr>
        <w:t xml:space="preserve">The authors </w:t>
      </w:r>
      <w:r w:rsidR="00FC29E4" w:rsidRPr="002D1268">
        <w:rPr>
          <w:rFonts w:ascii="Times New Roman" w:hAnsi="Times New Roman" w:cs="Times New Roman"/>
          <w:szCs w:val="24"/>
        </w:rPr>
        <w:t xml:space="preserve">also </w:t>
      </w:r>
      <w:r w:rsidRPr="002D1268">
        <w:rPr>
          <w:rFonts w:ascii="Times New Roman" w:hAnsi="Times New Roman" w:cs="Times New Roman"/>
          <w:szCs w:val="24"/>
        </w:rPr>
        <w:t xml:space="preserve">express their thanks to </w:t>
      </w:r>
      <w:r w:rsidR="00B3122C" w:rsidRPr="002D1268">
        <w:rPr>
          <w:rFonts w:ascii="Times New Roman" w:hAnsi="Times New Roman" w:cs="Times New Roman"/>
          <w:szCs w:val="24"/>
        </w:rPr>
        <w:t xml:space="preserve">the </w:t>
      </w:r>
      <w:r w:rsidRPr="002D1268">
        <w:rPr>
          <w:rFonts w:ascii="Times New Roman" w:hAnsi="Times New Roman" w:cs="Times New Roman"/>
          <w:szCs w:val="24"/>
        </w:rPr>
        <w:t xml:space="preserve">EMORY Institute for providing </w:t>
      </w:r>
      <w:r w:rsidR="00813B8F" w:rsidRPr="002D1268">
        <w:rPr>
          <w:rFonts w:ascii="Times New Roman" w:hAnsi="Times New Roman" w:cs="Times New Roman"/>
          <w:szCs w:val="24"/>
        </w:rPr>
        <w:t xml:space="preserve">some of </w:t>
      </w:r>
      <w:r w:rsidRPr="002D1268">
        <w:rPr>
          <w:rFonts w:ascii="Times New Roman" w:hAnsi="Times New Roman" w:cs="Times New Roman"/>
          <w:szCs w:val="24"/>
        </w:rPr>
        <w:t>the compounds.</w:t>
      </w:r>
      <w:r w:rsidR="00134345" w:rsidRPr="002D1268">
        <w:rPr>
          <w:rFonts w:ascii="Times New Roman" w:hAnsi="Times New Roman" w:cs="Times New Roman"/>
          <w:szCs w:val="24"/>
        </w:rPr>
        <w:t xml:space="preserve"> </w:t>
      </w:r>
    </w:p>
    <w:p w:rsidR="002D1268" w:rsidRPr="002D1268" w:rsidRDefault="002D1268" w:rsidP="00134345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Cs w:val="24"/>
        </w:rPr>
      </w:pPr>
      <w:r w:rsidRPr="002D1268">
        <w:rPr>
          <w:rFonts w:ascii="Times New Roman" w:hAnsi="Times New Roman" w:cs="Times New Roman"/>
          <w:szCs w:val="24"/>
        </w:rPr>
        <w:t>The infrastructural support from the Liverpool Biomedical Research Centre funded by Liverpool Health Partners and the support of the staff</w:t>
      </w:r>
    </w:p>
    <w:p w:rsidR="00DE6041" w:rsidRDefault="00DE6041" w:rsidP="00134345">
      <w:pPr>
        <w:pStyle w:val="ListParagraph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2D1268" w:rsidRPr="00134345" w:rsidRDefault="002D1268" w:rsidP="00134345">
      <w:pPr>
        <w:pStyle w:val="ListParagraph"/>
        <w:spacing w:line="360" w:lineRule="auto"/>
        <w:jc w:val="both"/>
        <w:rPr>
          <w:rFonts w:ascii="Times New Roman" w:hAnsi="Times New Roman" w:cs="Times New Roman"/>
          <w:szCs w:val="24"/>
        </w:rPr>
      </w:pPr>
    </w:p>
    <w:p w:rsidR="004257DE" w:rsidRDefault="001C061A" w:rsidP="00F1677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F5">
        <w:rPr>
          <w:rFonts w:ascii="Times New Roman" w:hAnsi="Times New Roman" w:cs="Times New Roman"/>
          <w:b/>
          <w:sz w:val="24"/>
          <w:szCs w:val="24"/>
        </w:rPr>
        <w:t>Funding</w:t>
      </w:r>
      <w:r w:rsidRPr="005C64F5">
        <w:rPr>
          <w:rFonts w:ascii="Times New Roman" w:hAnsi="Times New Roman" w:cs="Times New Roman"/>
          <w:b/>
          <w:sz w:val="28"/>
          <w:szCs w:val="24"/>
        </w:rPr>
        <w:t>:</w:t>
      </w:r>
      <w:r w:rsidR="006C368B" w:rsidRPr="005C64F5">
        <w:rPr>
          <w:rFonts w:ascii="Times New Roman" w:hAnsi="Times New Roman" w:cs="Times New Roman"/>
          <w:sz w:val="24"/>
          <w:szCs w:val="24"/>
        </w:rPr>
        <w:t xml:space="preserve"> </w:t>
      </w:r>
      <w:r w:rsidR="004257DE" w:rsidRPr="005C64F5">
        <w:rPr>
          <w:rFonts w:ascii="Times New Roman" w:hAnsi="Times New Roman" w:cs="Times New Roman"/>
          <w:sz w:val="24"/>
          <w:szCs w:val="24"/>
        </w:rPr>
        <w:t xml:space="preserve">This work did not receive specific funding. AGILE CST-2 received funding support from Ridgeback Biotherapeutics. The AGILE Platform is </w:t>
      </w:r>
      <w:r w:rsidR="00AF3B47" w:rsidRPr="005C64F5">
        <w:rPr>
          <w:rFonts w:ascii="Times New Roman" w:hAnsi="Times New Roman" w:cs="Times New Roman"/>
          <w:sz w:val="24"/>
          <w:szCs w:val="24"/>
        </w:rPr>
        <w:t xml:space="preserve">funded in part </w:t>
      </w:r>
      <w:r w:rsidR="004257DE" w:rsidRPr="005C64F5">
        <w:rPr>
          <w:rFonts w:ascii="Times New Roman" w:hAnsi="Times New Roman" w:cs="Times New Roman"/>
          <w:sz w:val="24"/>
          <w:szCs w:val="24"/>
        </w:rPr>
        <w:t>by the Wellcome Trust (Grant reference: 221590/Z/20/Z) and the UK Medical Research Council (Grant reference MR/</w:t>
      </w:r>
      <w:proofErr w:type="spellStart"/>
      <w:r w:rsidR="004257DE" w:rsidRPr="005C64F5">
        <w:rPr>
          <w:rFonts w:ascii="Times New Roman" w:hAnsi="Times New Roman" w:cs="Times New Roman"/>
          <w:sz w:val="24"/>
          <w:szCs w:val="24"/>
        </w:rPr>
        <w:t>V028391</w:t>
      </w:r>
      <w:proofErr w:type="spellEnd"/>
      <w:r w:rsidR="004257DE" w:rsidRPr="005C64F5">
        <w:rPr>
          <w:rFonts w:ascii="Times New Roman" w:hAnsi="Times New Roman" w:cs="Times New Roman"/>
          <w:sz w:val="24"/>
          <w:szCs w:val="24"/>
        </w:rPr>
        <w:t>/1).</w:t>
      </w:r>
      <w:r w:rsidR="00AF3B47" w:rsidRPr="005C64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4F5" w:rsidRDefault="005C64F5" w:rsidP="005C64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4F5" w:rsidRPr="005C64F5" w:rsidRDefault="005C64F5" w:rsidP="005C64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69A" w:rsidRDefault="007D069A" w:rsidP="00FC29E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9E4">
        <w:rPr>
          <w:rFonts w:ascii="Times New Roman" w:hAnsi="Times New Roman" w:cs="Times New Roman"/>
          <w:b/>
          <w:sz w:val="24"/>
          <w:szCs w:val="24"/>
        </w:rPr>
        <w:t>Declaration of Competing Interest</w:t>
      </w:r>
    </w:p>
    <w:p w:rsidR="0015068A" w:rsidRPr="004257DE" w:rsidRDefault="0015068A" w:rsidP="001506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7DE">
        <w:rPr>
          <w:rFonts w:ascii="Times New Roman" w:hAnsi="Times New Roman" w:cs="Times New Roman"/>
          <w:sz w:val="24"/>
          <w:szCs w:val="24"/>
        </w:rPr>
        <w:t xml:space="preserve">Potential conflicts of interest SK has received research funding from </w:t>
      </w:r>
      <w:proofErr w:type="spellStart"/>
      <w:r w:rsidRPr="004257DE">
        <w:rPr>
          <w:rFonts w:ascii="Times New Roman" w:hAnsi="Times New Roman" w:cs="Times New Roman"/>
          <w:sz w:val="24"/>
          <w:szCs w:val="24"/>
        </w:rPr>
        <w:t>ViiV</w:t>
      </w:r>
      <w:proofErr w:type="spellEnd"/>
      <w:r w:rsidRPr="004257DE">
        <w:rPr>
          <w:rFonts w:ascii="Times New Roman" w:hAnsi="Times New Roman" w:cs="Times New Roman"/>
          <w:sz w:val="24"/>
          <w:szCs w:val="24"/>
        </w:rPr>
        <w:t xml:space="preserve"> Healthcare, Gilead Sciences, and Merck for the Liverpool HIV Drug Interactions programme and for unrelated clinical studies.</w:t>
      </w:r>
    </w:p>
    <w:p w:rsidR="007D069A" w:rsidRDefault="007D069A" w:rsidP="007D0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7DE">
        <w:rPr>
          <w:rFonts w:ascii="Times New Roman" w:hAnsi="Times New Roman" w:cs="Times New Roman"/>
          <w:sz w:val="24"/>
          <w:szCs w:val="24"/>
        </w:rPr>
        <w:t xml:space="preserve">The </w:t>
      </w:r>
      <w:r w:rsidR="0015068A" w:rsidRPr="004257DE">
        <w:rPr>
          <w:rFonts w:ascii="Times New Roman" w:hAnsi="Times New Roman" w:cs="Times New Roman"/>
          <w:sz w:val="24"/>
          <w:szCs w:val="24"/>
        </w:rPr>
        <w:t xml:space="preserve">other </w:t>
      </w:r>
      <w:r w:rsidRPr="004257DE">
        <w:rPr>
          <w:rFonts w:ascii="Times New Roman" w:hAnsi="Times New Roman" w:cs="Times New Roman"/>
          <w:sz w:val="24"/>
          <w:szCs w:val="24"/>
        </w:rPr>
        <w:t>authors declare that they have no known competing financial interests or personal relationships that could have appeared to influence the work reported in this paper.</w:t>
      </w:r>
    </w:p>
    <w:p w:rsidR="00A62DE5" w:rsidRDefault="00A62DE5" w:rsidP="007D0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EDA" w:rsidRPr="00FC29E4" w:rsidRDefault="00130EDA" w:rsidP="00FC29E4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9E4">
        <w:rPr>
          <w:rFonts w:ascii="Times New Roman" w:hAnsi="Times New Roman" w:cs="Times New Roman"/>
          <w:b/>
          <w:sz w:val="24"/>
          <w:szCs w:val="24"/>
        </w:rPr>
        <w:t>Ethical approval</w:t>
      </w:r>
    </w:p>
    <w:p w:rsidR="004257DE" w:rsidRDefault="00130EDA" w:rsidP="007D0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EDA">
        <w:rPr>
          <w:rFonts w:ascii="Times New Roman" w:hAnsi="Times New Roman" w:cs="Times New Roman"/>
          <w:sz w:val="24"/>
          <w:szCs w:val="24"/>
        </w:rPr>
        <w:t xml:space="preserve">The study was approved by </w:t>
      </w:r>
      <w:r w:rsidR="007E17FD" w:rsidRPr="007E17FD">
        <w:rPr>
          <w:rFonts w:ascii="Times New Roman" w:hAnsi="Times New Roman" w:cs="Times New Roman"/>
          <w:sz w:val="24"/>
          <w:szCs w:val="24"/>
        </w:rPr>
        <w:t xml:space="preserve">West Midlands - Edgbaston Research Ethics Committee </w:t>
      </w:r>
      <w:r w:rsidRPr="00130EDA">
        <w:rPr>
          <w:rFonts w:ascii="Times New Roman" w:hAnsi="Times New Roman" w:cs="Times New Roman"/>
          <w:sz w:val="24"/>
          <w:szCs w:val="24"/>
        </w:rPr>
        <w:t xml:space="preserve">and registered in the </w:t>
      </w:r>
      <w:r w:rsidR="004257DE">
        <w:rPr>
          <w:rFonts w:ascii="Times New Roman" w:hAnsi="Times New Roman" w:cs="Times New Roman"/>
          <w:sz w:val="24"/>
          <w:szCs w:val="24"/>
        </w:rPr>
        <w:t>UK (</w:t>
      </w:r>
      <w:proofErr w:type="spellStart"/>
      <w:r w:rsidR="004257DE" w:rsidRPr="004257DE">
        <w:rPr>
          <w:rFonts w:ascii="Times New Roman" w:hAnsi="Times New Roman" w:cs="Times New Roman"/>
          <w:sz w:val="24"/>
          <w:szCs w:val="24"/>
        </w:rPr>
        <w:t>Clinicaltrials.gov</w:t>
      </w:r>
      <w:proofErr w:type="spellEnd"/>
      <w:r w:rsidR="004257DE" w:rsidRPr="004257D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4257DE" w:rsidRPr="004257DE">
        <w:rPr>
          <w:rFonts w:ascii="Times New Roman" w:hAnsi="Times New Roman" w:cs="Times New Roman"/>
          <w:sz w:val="24"/>
          <w:szCs w:val="24"/>
        </w:rPr>
        <w:t>NCT04746183</w:t>
      </w:r>
      <w:proofErr w:type="spellEnd"/>
      <w:r w:rsidR="004257DE">
        <w:rPr>
          <w:rFonts w:ascii="Times New Roman" w:hAnsi="Times New Roman" w:cs="Times New Roman"/>
          <w:sz w:val="24"/>
          <w:szCs w:val="24"/>
        </w:rPr>
        <w:t>)</w:t>
      </w:r>
    </w:p>
    <w:p w:rsidR="00A62DE5" w:rsidRDefault="00A62DE5" w:rsidP="007D0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DE5" w:rsidRPr="007D069A" w:rsidRDefault="00A62DE5" w:rsidP="007D0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61A" w:rsidRDefault="001C061A" w:rsidP="00FC29E4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9E4">
        <w:rPr>
          <w:rFonts w:ascii="Times New Roman" w:hAnsi="Times New Roman" w:cs="Times New Roman"/>
          <w:b/>
          <w:sz w:val="24"/>
          <w:szCs w:val="24"/>
        </w:rPr>
        <w:t>Author Statement</w:t>
      </w:r>
    </w:p>
    <w:p w:rsidR="002D1268" w:rsidRPr="002D1268" w:rsidRDefault="002D1268" w:rsidP="002D1268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68">
        <w:rPr>
          <w:rFonts w:ascii="Times New Roman" w:hAnsi="Times New Roman" w:cs="Times New Roman"/>
          <w:b/>
          <w:sz w:val="24"/>
          <w:szCs w:val="24"/>
        </w:rPr>
        <w:t xml:space="preserve">Study concept and design: </w:t>
      </w:r>
      <w:r w:rsidRPr="002D1268">
        <w:rPr>
          <w:rFonts w:ascii="Times New Roman" w:hAnsi="Times New Roman" w:cs="Times New Roman"/>
          <w:sz w:val="24"/>
          <w:szCs w:val="24"/>
        </w:rPr>
        <w:t>S Khoo, L Else</w:t>
      </w:r>
    </w:p>
    <w:p w:rsidR="002D1268" w:rsidRPr="002D1268" w:rsidRDefault="002D1268" w:rsidP="002D126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68">
        <w:rPr>
          <w:rFonts w:ascii="Times New Roman" w:hAnsi="Times New Roman" w:cs="Times New Roman"/>
          <w:b/>
          <w:sz w:val="24"/>
          <w:szCs w:val="24"/>
        </w:rPr>
        <w:t xml:space="preserve">Assay development and validation: </w:t>
      </w:r>
      <w:r w:rsidRPr="002D1268">
        <w:rPr>
          <w:rFonts w:ascii="Times New Roman" w:hAnsi="Times New Roman" w:cs="Times New Roman"/>
          <w:sz w:val="24"/>
          <w:szCs w:val="24"/>
        </w:rPr>
        <w:t>A Amara, S D Penchala</w:t>
      </w:r>
    </w:p>
    <w:p w:rsidR="002D1268" w:rsidRPr="002D1268" w:rsidRDefault="002D1268" w:rsidP="002D1268">
      <w:p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1268">
        <w:rPr>
          <w:rFonts w:ascii="Times New Roman" w:hAnsi="Times New Roman" w:cs="Times New Roman"/>
          <w:b/>
          <w:sz w:val="24"/>
          <w:szCs w:val="24"/>
        </w:rPr>
        <w:t xml:space="preserve">Clinical trial: </w:t>
      </w:r>
      <w:r w:rsidRPr="002D1268">
        <w:rPr>
          <w:rFonts w:ascii="Times New Roman" w:hAnsi="Times New Roman" w:cs="Times New Roman"/>
          <w:sz w:val="24"/>
          <w:szCs w:val="24"/>
        </w:rPr>
        <w:t>R Fitzgerald, T Fletcher, L Walker, R Lyons, C Hale</w:t>
      </w:r>
    </w:p>
    <w:p w:rsidR="00B320EA" w:rsidRDefault="002D1268" w:rsidP="002D1268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1268">
        <w:rPr>
          <w:rFonts w:ascii="Times New Roman" w:hAnsi="Times New Roman" w:cs="Times New Roman"/>
          <w:b/>
          <w:sz w:val="24"/>
          <w:szCs w:val="24"/>
        </w:rPr>
        <w:t xml:space="preserve">Manuscript writing and review: </w:t>
      </w:r>
      <w:r w:rsidRPr="002D1268">
        <w:rPr>
          <w:rFonts w:ascii="Times New Roman" w:hAnsi="Times New Roman" w:cs="Times New Roman"/>
          <w:sz w:val="24"/>
          <w:szCs w:val="24"/>
        </w:rPr>
        <w:t>A Amara, L Else, S Khoo</w:t>
      </w:r>
    </w:p>
    <w:p w:rsidR="003805E5" w:rsidRDefault="003805E5" w:rsidP="00DE6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4169" w:rsidRDefault="00744169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4169" w:rsidRPr="00FC29E4" w:rsidRDefault="00744169" w:rsidP="00744169">
      <w:pPr>
        <w:pStyle w:val="ListParagraph"/>
        <w:numPr>
          <w:ilvl w:val="0"/>
          <w:numId w:val="6"/>
        </w:numPr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Tables</w:t>
      </w:r>
    </w:p>
    <w:p w:rsidR="003805E5" w:rsidRDefault="003805E5" w:rsidP="00DE6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419" w:rsidRDefault="00684419" w:rsidP="00684419"/>
    <w:p w:rsidR="00684419" w:rsidRDefault="00684419" w:rsidP="00684419">
      <w:pPr>
        <w:spacing w:after="0" w:line="36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C639E">
        <w:rPr>
          <w:rFonts w:ascii="Times New Roman" w:hAnsi="Times New Roman" w:cs="Times New Roman"/>
          <w:b/>
          <w:sz w:val="23"/>
          <w:szCs w:val="23"/>
        </w:rPr>
        <w:t xml:space="preserve">Table </w:t>
      </w:r>
      <w:r>
        <w:rPr>
          <w:rFonts w:ascii="Times New Roman" w:hAnsi="Times New Roman" w:cs="Times New Roman"/>
          <w:b/>
          <w:sz w:val="23"/>
          <w:szCs w:val="23"/>
        </w:rPr>
        <w:t>1</w:t>
      </w:r>
      <w:r w:rsidRPr="004C639E">
        <w:rPr>
          <w:rFonts w:ascii="Times New Roman" w:hAnsi="Times New Roman" w:cs="Times New Roman"/>
          <w:b/>
          <w:sz w:val="23"/>
          <w:szCs w:val="23"/>
        </w:rPr>
        <w:t xml:space="preserve">. </w:t>
      </w:r>
      <w:r>
        <w:rPr>
          <w:rFonts w:ascii="Times New Roman" w:hAnsi="Times New Roman" w:cs="Times New Roman"/>
          <w:bCs/>
          <w:sz w:val="23"/>
          <w:szCs w:val="23"/>
        </w:rPr>
        <w:t xml:space="preserve">Source </w:t>
      </w:r>
      <w:r w:rsidRPr="004C639E">
        <w:rPr>
          <w:rFonts w:ascii="Times New Roman" w:hAnsi="Times New Roman" w:cs="Times New Roman"/>
          <w:bCs/>
          <w:sz w:val="23"/>
          <w:szCs w:val="23"/>
        </w:rPr>
        <w:t xml:space="preserve">parameters for </w:t>
      </w:r>
      <w:r>
        <w:rPr>
          <w:rFonts w:ascii="Times New Roman" w:hAnsi="Times New Roman" w:cs="Times New Roman"/>
          <w:bCs/>
          <w:sz w:val="23"/>
          <w:szCs w:val="23"/>
        </w:rPr>
        <w:t>NHC</w:t>
      </w:r>
      <w:r w:rsidRPr="004C639E">
        <w:rPr>
          <w:rFonts w:ascii="Times New Roman" w:hAnsi="Times New Roman" w:cs="Times New Roman"/>
          <w:bCs/>
          <w:sz w:val="23"/>
          <w:szCs w:val="23"/>
        </w:rPr>
        <w:t xml:space="preserve"> and </w:t>
      </w:r>
      <w:r>
        <w:rPr>
          <w:rFonts w:ascii="Times New Roman" w:hAnsi="Times New Roman" w:cs="Times New Roman"/>
          <w:bCs/>
          <w:sz w:val="23"/>
          <w:szCs w:val="23"/>
        </w:rPr>
        <w:t>MPV</w:t>
      </w:r>
    </w:p>
    <w:p w:rsidR="00684419" w:rsidRPr="004C639E" w:rsidRDefault="00684419" w:rsidP="00684419">
      <w:pPr>
        <w:spacing w:after="0" w:line="36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tbl>
      <w:tblPr>
        <w:tblpPr w:leftFromText="180" w:rightFromText="180" w:vertAnchor="text" w:horzAnchor="margin" w:tblpY="-24"/>
        <w:tblOverlap w:val="never"/>
        <w:tblW w:w="57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5"/>
        <w:gridCol w:w="1708"/>
        <w:gridCol w:w="1669"/>
        <w:gridCol w:w="1669"/>
        <w:gridCol w:w="1654"/>
      </w:tblGrid>
      <w:tr w:rsidR="00684419" w:rsidTr="00684419">
        <w:trPr>
          <w:trHeight w:val="329"/>
        </w:trPr>
        <w:tc>
          <w:tcPr>
            <w:tcW w:w="174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419" w:rsidRPr="002E04A2" w:rsidRDefault="00684419" w:rsidP="00161D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2E04A2">
              <w:rPr>
                <w:rFonts w:ascii="Times New Roman" w:eastAsia="Arial Unicode MS" w:hAnsi="Times New Roman" w:cs="Times New Roman"/>
                <w:b/>
                <w:bCs/>
              </w:rPr>
              <w:t>Parameter</w:t>
            </w:r>
          </w:p>
        </w:tc>
        <w:tc>
          <w:tcPr>
            <w:tcW w:w="83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419" w:rsidRPr="002E04A2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MPV</w:t>
            </w:r>
          </w:p>
        </w:tc>
        <w:tc>
          <w:tcPr>
            <w:tcW w:w="8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419" w:rsidRPr="002E04A2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MPV-</w:t>
            </w:r>
            <w:r w:rsidRPr="002E04A2">
              <w:rPr>
                <w:rFonts w:ascii="Times New Roman" w:eastAsia="Arial Unicode MS" w:hAnsi="Times New Roman" w:cs="Times New Roman"/>
                <w:b/>
                <w:bCs/>
              </w:rPr>
              <w:t>SIL</w:t>
            </w:r>
          </w:p>
        </w:tc>
        <w:tc>
          <w:tcPr>
            <w:tcW w:w="81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419" w:rsidRPr="002E04A2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NHC</w:t>
            </w:r>
          </w:p>
        </w:tc>
        <w:tc>
          <w:tcPr>
            <w:tcW w:w="8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</w:rPr>
              <w:t>NHC-</w:t>
            </w:r>
            <w:r w:rsidRPr="002E04A2">
              <w:rPr>
                <w:rFonts w:ascii="Times New Roman" w:eastAsia="Arial Unicode MS" w:hAnsi="Times New Roman" w:cs="Times New Roman"/>
                <w:b/>
                <w:bCs/>
              </w:rPr>
              <w:t>SIL</w:t>
            </w:r>
          </w:p>
        </w:tc>
      </w:tr>
      <w:tr w:rsidR="00684419" w:rsidTr="00684419">
        <w:trPr>
          <w:trHeight w:val="329"/>
        </w:trPr>
        <w:tc>
          <w:tcPr>
            <w:tcW w:w="1740" w:type="pct"/>
            <w:tcBorders>
              <w:top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419" w:rsidRPr="001D4D01" w:rsidRDefault="00FE636F" w:rsidP="00161D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Mass Transitions (Da)</w:t>
            </w:r>
          </w:p>
        </w:tc>
        <w:tc>
          <w:tcPr>
            <w:tcW w:w="831" w:type="pct"/>
            <w:tcBorders>
              <w:top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D4D01">
              <w:rPr>
                <w:rFonts w:ascii="Times New Roman" w:eastAsia="Arial Unicode MS" w:hAnsi="Times New Roman" w:cs="Times New Roman"/>
              </w:rPr>
              <w:t>328</w:t>
            </w:r>
            <w:r>
              <w:rPr>
                <w:rFonts w:ascii="Times New Roman" w:eastAsia="Arial Unicode MS" w:hAnsi="Times New Roman" w:cs="Times New Roman"/>
              </w:rPr>
              <w:t>.0</w:t>
            </w:r>
            <w:r w:rsidRPr="001D4D01">
              <w:rPr>
                <w:rFonts w:ascii="Times New Roman" w:eastAsia="Arial Unicode MS" w:hAnsi="Times New Roman" w:cs="Times New Roman"/>
              </w:rPr>
              <w:t>→ 126</w:t>
            </w:r>
            <w:r>
              <w:rPr>
                <w:rFonts w:ascii="Times New Roman" w:eastAsia="Arial Unicode MS" w:hAnsi="Times New Roman" w:cs="Times New Roman"/>
              </w:rPr>
              <w:t>.0</w:t>
            </w:r>
          </w:p>
        </w:tc>
        <w:tc>
          <w:tcPr>
            <w:tcW w:w="812" w:type="pct"/>
            <w:tcBorders>
              <w:top w:val="single" w:sz="12" w:space="0" w:color="auto"/>
            </w:tcBorders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D4D01">
              <w:rPr>
                <w:rFonts w:ascii="Times New Roman" w:eastAsia="Times New Roman" w:hAnsi="Times New Roman" w:cs="Times New Roman"/>
                <w:bCs/>
              </w:rPr>
              <w:t>331</w:t>
            </w:r>
            <w:r>
              <w:rPr>
                <w:rFonts w:ascii="Times New Roman" w:eastAsia="Times New Roman" w:hAnsi="Times New Roman" w:cs="Times New Roman"/>
                <w:bCs/>
              </w:rPr>
              <w:t>.0</w:t>
            </w:r>
            <w:r w:rsidRPr="001D4D01">
              <w:rPr>
                <w:rFonts w:ascii="Times New Roman" w:eastAsia="Arial Unicode MS" w:hAnsi="Times New Roman" w:cs="Times New Roman"/>
              </w:rPr>
              <w:t>→</w:t>
            </w:r>
            <w:r w:rsidRPr="001D4D01">
              <w:rPr>
                <w:rFonts w:ascii="Times New Roman" w:eastAsia="Times New Roman" w:hAnsi="Times New Roman" w:cs="Times New Roman"/>
                <w:bCs/>
              </w:rPr>
              <w:t xml:space="preserve"> 129</w:t>
            </w:r>
            <w:r>
              <w:rPr>
                <w:rFonts w:ascii="Times New Roman" w:eastAsia="Times New Roman" w:hAnsi="Times New Roman" w:cs="Times New Roman"/>
                <w:bCs/>
              </w:rPr>
              <w:t>.0</w:t>
            </w:r>
          </w:p>
        </w:tc>
        <w:tc>
          <w:tcPr>
            <w:tcW w:w="812" w:type="pct"/>
            <w:tcBorders>
              <w:top w:val="single" w:sz="12" w:space="0" w:color="auto"/>
            </w:tcBorders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D4D01">
              <w:rPr>
                <w:rFonts w:ascii="Times New Roman" w:eastAsia="Arial Unicode MS" w:hAnsi="Times New Roman" w:cs="Times New Roman"/>
              </w:rPr>
              <w:t>258</w:t>
            </w:r>
            <w:r>
              <w:rPr>
                <w:rFonts w:ascii="Times New Roman" w:eastAsia="Arial Unicode MS" w:hAnsi="Times New Roman" w:cs="Times New Roman"/>
              </w:rPr>
              <w:t>.0</w:t>
            </w:r>
            <w:r w:rsidRPr="001D4D01">
              <w:rPr>
                <w:rFonts w:ascii="Times New Roman" w:eastAsia="Arial Unicode MS" w:hAnsi="Times New Roman" w:cs="Times New Roman"/>
              </w:rPr>
              <w:t>→ 125.9</w:t>
            </w:r>
          </w:p>
        </w:tc>
        <w:tc>
          <w:tcPr>
            <w:tcW w:w="805" w:type="pct"/>
            <w:tcBorders>
              <w:top w:val="single" w:sz="12" w:space="0" w:color="auto"/>
            </w:tcBorders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D4D01">
              <w:rPr>
                <w:rFonts w:ascii="Times New Roman" w:eastAsia="Arial Unicode MS" w:hAnsi="Times New Roman" w:cs="Times New Roman"/>
              </w:rPr>
              <w:t>260.9→ 128.9</w:t>
            </w:r>
          </w:p>
        </w:tc>
      </w:tr>
      <w:tr w:rsidR="00684419" w:rsidTr="00684419">
        <w:trPr>
          <w:trHeight w:val="329"/>
        </w:trPr>
        <w:tc>
          <w:tcPr>
            <w:tcW w:w="17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419" w:rsidRPr="001D4D01" w:rsidRDefault="00684419" w:rsidP="00161D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1D4D01">
              <w:rPr>
                <w:rFonts w:ascii="Times New Roman" w:eastAsia="Arial Unicode MS" w:hAnsi="Times New Roman" w:cs="Times New Roman"/>
                <w:b/>
              </w:rPr>
              <w:t>Collision Energy</w:t>
            </w:r>
            <w:r w:rsidR="0090767D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  <w:r w:rsidR="00FE636F">
              <w:rPr>
                <w:rFonts w:ascii="Times New Roman" w:eastAsia="Arial Unicode MS" w:hAnsi="Times New Roman" w:cs="Times New Roman"/>
                <w:b/>
              </w:rPr>
              <w:t>(</w:t>
            </w:r>
            <w:r w:rsidR="0090767D">
              <w:rPr>
                <w:rFonts w:ascii="Times New Roman" w:eastAsia="Arial Unicode MS" w:hAnsi="Times New Roman" w:cs="Times New Roman"/>
                <w:b/>
              </w:rPr>
              <w:t>V)</w:t>
            </w:r>
          </w:p>
        </w:tc>
        <w:tc>
          <w:tcPr>
            <w:tcW w:w="8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D4D01">
              <w:rPr>
                <w:rFonts w:ascii="Times New Roman" w:eastAsia="Arial Unicode MS" w:hAnsi="Times New Roman" w:cs="Times New Roman"/>
              </w:rPr>
              <w:t>-24</w:t>
            </w:r>
          </w:p>
        </w:tc>
        <w:tc>
          <w:tcPr>
            <w:tcW w:w="812" w:type="pct"/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D4D01">
              <w:rPr>
                <w:rFonts w:ascii="Times New Roman" w:eastAsia="Arial Unicode MS" w:hAnsi="Times New Roman" w:cs="Times New Roman"/>
              </w:rPr>
              <w:t>-24</w:t>
            </w:r>
          </w:p>
        </w:tc>
        <w:tc>
          <w:tcPr>
            <w:tcW w:w="812" w:type="pct"/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D4D01">
              <w:rPr>
                <w:rFonts w:ascii="Times New Roman" w:eastAsia="Arial Unicode MS" w:hAnsi="Times New Roman" w:cs="Times New Roman"/>
              </w:rPr>
              <w:t>-20</w:t>
            </w:r>
          </w:p>
        </w:tc>
        <w:tc>
          <w:tcPr>
            <w:tcW w:w="805" w:type="pct"/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D4D01">
              <w:rPr>
                <w:rFonts w:ascii="Times New Roman" w:eastAsia="Arial Unicode MS" w:hAnsi="Times New Roman" w:cs="Times New Roman"/>
              </w:rPr>
              <w:t>-20</w:t>
            </w:r>
          </w:p>
        </w:tc>
      </w:tr>
      <w:tr w:rsidR="00684419" w:rsidTr="00684419">
        <w:trPr>
          <w:trHeight w:val="329"/>
        </w:trPr>
        <w:tc>
          <w:tcPr>
            <w:tcW w:w="17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419" w:rsidRPr="001D4D01" w:rsidRDefault="00684419" w:rsidP="00161D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1D4D01">
              <w:rPr>
                <w:rFonts w:ascii="Times New Roman" w:eastAsia="Times New Roman" w:hAnsi="Times New Roman" w:cs="Times New Roman"/>
                <w:b/>
              </w:rPr>
              <w:t>Spray Voltage (ISV)</w:t>
            </w:r>
          </w:p>
        </w:tc>
        <w:tc>
          <w:tcPr>
            <w:tcW w:w="8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D4D01">
              <w:rPr>
                <w:rFonts w:ascii="Times New Roman" w:eastAsia="Arial Unicode MS" w:hAnsi="Times New Roman" w:cs="Times New Roman"/>
              </w:rPr>
              <w:t>-4500</w:t>
            </w:r>
          </w:p>
        </w:tc>
        <w:tc>
          <w:tcPr>
            <w:tcW w:w="812" w:type="pct"/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D4D01">
              <w:rPr>
                <w:rFonts w:ascii="Times New Roman" w:eastAsia="Arial Unicode MS" w:hAnsi="Times New Roman" w:cs="Times New Roman"/>
              </w:rPr>
              <w:t>-4500</w:t>
            </w:r>
          </w:p>
        </w:tc>
        <w:tc>
          <w:tcPr>
            <w:tcW w:w="812" w:type="pct"/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D4D01">
              <w:rPr>
                <w:rFonts w:ascii="Times New Roman" w:eastAsia="Arial Unicode MS" w:hAnsi="Times New Roman" w:cs="Times New Roman"/>
              </w:rPr>
              <w:t>-4500</w:t>
            </w:r>
          </w:p>
        </w:tc>
        <w:tc>
          <w:tcPr>
            <w:tcW w:w="805" w:type="pct"/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D4D01">
              <w:rPr>
                <w:rFonts w:ascii="Times New Roman" w:eastAsia="Arial Unicode MS" w:hAnsi="Times New Roman" w:cs="Times New Roman"/>
              </w:rPr>
              <w:t>-4500</w:t>
            </w:r>
          </w:p>
        </w:tc>
      </w:tr>
      <w:tr w:rsidR="00684419" w:rsidTr="00684419">
        <w:trPr>
          <w:trHeight w:val="329"/>
        </w:trPr>
        <w:tc>
          <w:tcPr>
            <w:tcW w:w="17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419" w:rsidRPr="001D4D01" w:rsidRDefault="00684419" w:rsidP="00161D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1D4D01">
              <w:rPr>
                <w:rFonts w:ascii="Times New Roman" w:eastAsia="Times New Roman" w:hAnsi="Times New Roman" w:cs="Times New Roman"/>
                <w:b/>
              </w:rPr>
              <w:t>Vaporizer Temperature (TEM</w:t>
            </w:r>
            <w:r w:rsidR="0015068A">
              <w:rPr>
                <w:rFonts w:ascii="Times New Roman" w:eastAsia="Times New Roman" w:hAnsi="Times New Roman" w:cs="Times New Roman"/>
                <w:b/>
                <w:vertAlign w:val="superscript"/>
              </w:rPr>
              <w:t>O</w:t>
            </w:r>
            <w:r w:rsidRPr="001D4D01">
              <w:rPr>
                <w:rFonts w:ascii="Times New Roman" w:eastAsia="Times New Roman" w:hAnsi="Times New Roman" w:cs="Times New Roman"/>
                <w:b/>
              </w:rPr>
              <w:t>C)</w:t>
            </w:r>
          </w:p>
        </w:tc>
        <w:tc>
          <w:tcPr>
            <w:tcW w:w="8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D4D01">
              <w:rPr>
                <w:rFonts w:ascii="Times New Roman" w:eastAsia="Arial Unicode MS" w:hAnsi="Times New Roman" w:cs="Times New Roman"/>
              </w:rPr>
              <w:t>500</w:t>
            </w:r>
          </w:p>
        </w:tc>
        <w:tc>
          <w:tcPr>
            <w:tcW w:w="812" w:type="pct"/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D4D01">
              <w:rPr>
                <w:rFonts w:ascii="Times New Roman" w:eastAsia="Arial Unicode MS" w:hAnsi="Times New Roman" w:cs="Times New Roman"/>
              </w:rPr>
              <w:t>500</w:t>
            </w:r>
          </w:p>
        </w:tc>
        <w:tc>
          <w:tcPr>
            <w:tcW w:w="812" w:type="pct"/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D4D01">
              <w:rPr>
                <w:rFonts w:ascii="Times New Roman" w:eastAsia="Arial Unicode MS" w:hAnsi="Times New Roman" w:cs="Times New Roman"/>
              </w:rPr>
              <w:t>500</w:t>
            </w:r>
          </w:p>
        </w:tc>
        <w:tc>
          <w:tcPr>
            <w:tcW w:w="805" w:type="pct"/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D4D01">
              <w:rPr>
                <w:rFonts w:ascii="Times New Roman" w:eastAsia="Arial Unicode MS" w:hAnsi="Times New Roman" w:cs="Times New Roman"/>
              </w:rPr>
              <w:t>500</w:t>
            </w:r>
          </w:p>
        </w:tc>
      </w:tr>
      <w:tr w:rsidR="00684419" w:rsidTr="00684419">
        <w:trPr>
          <w:trHeight w:val="329"/>
        </w:trPr>
        <w:tc>
          <w:tcPr>
            <w:tcW w:w="17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419" w:rsidRPr="001D4D01" w:rsidRDefault="00684419" w:rsidP="00161D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1D4D01">
              <w:rPr>
                <w:rFonts w:ascii="Times New Roman" w:eastAsia="Times New Roman" w:hAnsi="Times New Roman" w:cs="Times New Roman"/>
                <w:b/>
              </w:rPr>
              <w:t>Ion Source Gas 1 (GS1)</w:t>
            </w:r>
          </w:p>
        </w:tc>
        <w:tc>
          <w:tcPr>
            <w:tcW w:w="8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D4D01">
              <w:rPr>
                <w:rFonts w:ascii="Times New Roman" w:eastAsia="Arial Unicode MS" w:hAnsi="Times New Roman" w:cs="Times New Roman"/>
              </w:rPr>
              <w:t>50</w:t>
            </w:r>
          </w:p>
        </w:tc>
        <w:tc>
          <w:tcPr>
            <w:tcW w:w="812" w:type="pct"/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D4D01">
              <w:rPr>
                <w:rFonts w:ascii="Times New Roman" w:eastAsia="Arial Unicode MS" w:hAnsi="Times New Roman" w:cs="Times New Roman"/>
              </w:rPr>
              <w:t>50</w:t>
            </w:r>
          </w:p>
        </w:tc>
        <w:tc>
          <w:tcPr>
            <w:tcW w:w="812" w:type="pct"/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D4D01">
              <w:rPr>
                <w:rFonts w:ascii="Times New Roman" w:eastAsia="Arial Unicode MS" w:hAnsi="Times New Roman" w:cs="Times New Roman"/>
              </w:rPr>
              <w:t>50</w:t>
            </w:r>
          </w:p>
        </w:tc>
        <w:tc>
          <w:tcPr>
            <w:tcW w:w="805" w:type="pct"/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D4D01">
              <w:rPr>
                <w:rFonts w:ascii="Times New Roman" w:eastAsia="Arial Unicode MS" w:hAnsi="Times New Roman" w:cs="Times New Roman"/>
              </w:rPr>
              <w:t>50</w:t>
            </w:r>
          </w:p>
        </w:tc>
      </w:tr>
      <w:tr w:rsidR="00684419" w:rsidTr="00684419">
        <w:trPr>
          <w:trHeight w:val="329"/>
        </w:trPr>
        <w:tc>
          <w:tcPr>
            <w:tcW w:w="174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419" w:rsidRPr="001D4D01" w:rsidRDefault="00684419" w:rsidP="00161D98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</w:rPr>
            </w:pPr>
            <w:r w:rsidRPr="001D4D01">
              <w:rPr>
                <w:rFonts w:ascii="Times New Roman" w:eastAsia="Times New Roman" w:hAnsi="Times New Roman" w:cs="Times New Roman"/>
                <w:b/>
              </w:rPr>
              <w:t>Ion Source Gas 2 (GS2)</w:t>
            </w:r>
          </w:p>
        </w:tc>
        <w:tc>
          <w:tcPr>
            <w:tcW w:w="83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D4D01">
              <w:rPr>
                <w:rFonts w:ascii="Times New Roman" w:eastAsia="Arial Unicode MS" w:hAnsi="Times New Roman" w:cs="Times New Roman"/>
              </w:rPr>
              <w:t>40</w:t>
            </w:r>
          </w:p>
        </w:tc>
        <w:tc>
          <w:tcPr>
            <w:tcW w:w="812" w:type="pct"/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D4D01">
              <w:rPr>
                <w:rFonts w:ascii="Times New Roman" w:eastAsia="Arial Unicode MS" w:hAnsi="Times New Roman" w:cs="Times New Roman"/>
              </w:rPr>
              <w:t>40</w:t>
            </w:r>
          </w:p>
        </w:tc>
        <w:tc>
          <w:tcPr>
            <w:tcW w:w="812" w:type="pct"/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D4D01">
              <w:rPr>
                <w:rFonts w:ascii="Times New Roman" w:eastAsia="Arial Unicode MS" w:hAnsi="Times New Roman" w:cs="Times New Roman"/>
              </w:rPr>
              <w:t>40</w:t>
            </w:r>
          </w:p>
        </w:tc>
        <w:tc>
          <w:tcPr>
            <w:tcW w:w="805" w:type="pct"/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1D4D01">
              <w:rPr>
                <w:rFonts w:ascii="Times New Roman" w:eastAsia="Arial Unicode MS" w:hAnsi="Times New Roman" w:cs="Times New Roman"/>
              </w:rPr>
              <w:t>40</w:t>
            </w:r>
          </w:p>
        </w:tc>
      </w:tr>
      <w:tr w:rsidR="00684419" w:rsidTr="0050766D">
        <w:trPr>
          <w:trHeight w:val="329"/>
        </w:trPr>
        <w:tc>
          <w:tcPr>
            <w:tcW w:w="1740" w:type="pct"/>
            <w:tcBorders>
              <w:bottom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419" w:rsidRPr="001D4D01" w:rsidRDefault="00684419" w:rsidP="001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4D01">
              <w:rPr>
                <w:rFonts w:ascii="Times New Roman" w:eastAsia="Times New Roman" w:hAnsi="Times New Roman" w:cs="Times New Roman"/>
                <w:b/>
              </w:rPr>
              <w:t>Collision Gas (CAD)</w:t>
            </w:r>
          </w:p>
        </w:tc>
        <w:tc>
          <w:tcPr>
            <w:tcW w:w="831" w:type="pct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D0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12" w:type="pct"/>
            <w:tcBorders>
              <w:bottom w:val="single" w:sz="8" w:space="0" w:color="auto"/>
            </w:tcBorders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D0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12" w:type="pct"/>
            <w:tcBorders>
              <w:bottom w:val="single" w:sz="8" w:space="0" w:color="auto"/>
            </w:tcBorders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D0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05" w:type="pct"/>
            <w:tcBorders>
              <w:bottom w:val="single" w:sz="8" w:space="0" w:color="auto"/>
            </w:tcBorders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D0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684419" w:rsidTr="0050766D">
        <w:trPr>
          <w:trHeight w:val="329"/>
        </w:trPr>
        <w:tc>
          <w:tcPr>
            <w:tcW w:w="1740" w:type="pct"/>
            <w:tcBorders>
              <w:top w:val="single" w:sz="8" w:space="0" w:color="auto"/>
              <w:bottom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419" w:rsidRPr="001D4D01" w:rsidRDefault="00684419" w:rsidP="001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D4D01">
              <w:rPr>
                <w:rFonts w:ascii="Times New Roman" w:eastAsia="Times New Roman" w:hAnsi="Times New Roman" w:cs="Times New Roman"/>
                <w:b/>
              </w:rPr>
              <w:t>Curtain Gas (CUR)</w:t>
            </w:r>
          </w:p>
        </w:tc>
        <w:tc>
          <w:tcPr>
            <w:tcW w:w="831" w:type="pct"/>
            <w:tcBorders>
              <w:top w:val="single" w:sz="8" w:space="0" w:color="auto"/>
              <w:bottom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D0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1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D0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12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D0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05" w:type="pct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D4D01">
              <w:rPr>
                <w:rFonts w:ascii="Times New Roman" w:eastAsia="Times New Roman" w:hAnsi="Times New Roman" w:cs="Times New Roman"/>
              </w:rPr>
              <w:t>30</w:t>
            </w:r>
          </w:p>
        </w:tc>
      </w:tr>
    </w:tbl>
    <w:p w:rsidR="00684419" w:rsidRDefault="00684419" w:rsidP="00DE6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419" w:rsidRDefault="00684419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4419" w:rsidRDefault="00684419" w:rsidP="00DE6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684419" w:rsidSect="00337450">
          <w:pgSz w:w="11906" w:h="16838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:rsidR="00684419" w:rsidRDefault="00684419" w:rsidP="00684419">
      <w:pPr>
        <w:spacing w:before="57" w:after="170" w:line="280" w:lineRule="atLeast"/>
        <w:rPr>
          <w:rFonts w:eastAsia="Times New Roman"/>
          <w:b/>
          <w:color w:val="0070C0"/>
          <w:lang w:val="en-US"/>
        </w:rPr>
      </w:pPr>
      <w:r w:rsidRPr="00C37888">
        <w:rPr>
          <w:rFonts w:ascii="Times New Roman" w:eastAsia="Times New Roman" w:hAnsi="Times New Roman" w:cs="Times New Roman"/>
          <w:b/>
          <w:lang w:val="en-US"/>
        </w:rPr>
        <w:t xml:space="preserve">Table </w:t>
      </w:r>
      <w:r>
        <w:rPr>
          <w:rFonts w:ascii="Times New Roman" w:eastAsia="Times New Roman" w:hAnsi="Times New Roman" w:cs="Times New Roman"/>
          <w:b/>
          <w:lang w:val="en-US"/>
        </w:rPr>
        <w:t>2</w:t>
      </w:r>
      <w:r w:rsidRPr="00C37888">
        <w:rPr>
          <w:rFonts w:ascii="Times New Roman" w:eastAsia="Times New Roman" w:hAnsi="Times New Roman" w:cs="Times New Roman"/>
          <w:b/>
          <w:lang w:val="en-US"/>
        </w:rPr>
        <w:t xml:space="preserve">. </w:t>
      </w:r>
      <w:r w:rsidRPr="000C5593">
        <w:rPr>
          <w:rFonts w:ascii="Times New Roman" w:eastAsia="Times New Roman" w:hAnsi="Times New Roman" w:cs="Times New Roman"/>
          <w:lang w:val="en-US"/>
        </w:rPr>
        <w:t>Precision and Accuracy for NHC and MPV in plasma and saliva</w:t>
      </w:r>
      <w:r w:rsidRPr="000C5593">
        <w:rPr>
          <w:rFonts w:ascii="Times New Roman" w:hAnsi="Times New Roman" w:cs="Times New Roman"/>
        </w:rPr>
        <w:t xml:space="preserve"> in </w:t>
      </w:r>
      <w:r w:rsidRPr="000C5593">
        <w:rPr>
          <w:rFonts w:ascii="Times New Roman" w:eastAsia="Times New Roman" w:hAnsi="Times New Roman" w:cs="Times New Roman"/>
          <w:lang w:val="en-US"/>
        </w:rPr>
        <w:t>QC samples</w:t>
      </w:r>
      <w:r w:rsidRPr="00C37888">
        <w:rPr>
          <w:rFonts w:eastAsia="Times New Roman"/>
          <w:b/>
          <w:lang w:val="en-US"/>
        </w:rPr>
        <w:t xml:space="preserve"> </w:t>
      </w:r>
    </w:p>
    <w:p w:rsidR="003805E5" w:rsidRDefault="003805E5" w:rsidP="00684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499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830"/>
        <w:gridCol w:w="1556"/>
        <w:gridCol w:w="1084"/>
        <w:gridCol w:w="1600"/>
        <w:gridCol w:w="1363"/>
        <w:gridCol w:w="265"/>
        <w:gridCol w:w="1190"/>
        <w:gridCol w:w="1346"/>
        <w:gridCol w:w="1346"/>
        <w:gridCol w:w="1346"/>
        <w:gridCol w:w="11"/>
      </w:tblGrid>
      <w:tr w:rsidR="00684419" w:rsidRPr="00986875" w:rsidTr="00161D98">
        <w:trPr>
          <w:trHeight w:hRule="exact" w:val="440"/>
        </w:trPr>
        <w:tc>
          <w:tcPr>
            <w:tcW w:w="302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41">
              <w:rPr>
                <w:rFonts w:ascii="Times New Roman" w:hAnsi="Times New Roman" w:cs="Times New Roman"/>
                <w:b/>
                <w:sz w:val="32"/>
              </w:rPr>
              <w:t>PLASMA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0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6441">
              <w:rPr>
                <w:rFonts w:ascii="Times New Roman" w:hAnsi="Times New Roman" w:cs="Times New Roman"/>
                <w:b/>
                <w:sz w:val="32"/>
              </w:rPr>
              <w:t>SALIVA</w:t>
            </w:r>
          </w:p>
        </w:tc>
      </w:tr>
      <w:tr w:rsidR="00684419" w:rsidRPr="00986875" w:rsidTr="00161D98">
        <w:trPr>
          <w:gridAfter w:val="1"/>
          <w:wAfter w:w="4" w:type="pct"/>
          <w:trHeight w:hRule="exact" w:val="440"/>
        </w:trPr>
        <w:tc>
          <w:tcPr>
            <w:tcW w:w="101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FD6441">
              <w:rPr>
                <w:rFonts w:ascii="Times New Roman" w:hAnsi="Times New Roman" w:cs="Times New Roman"/>
                <w:b/>
                <w:sz w:val="28"/>
              </w:rPr>
              <w:t>NHC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84419" w:rsidRPr="00986875" w:rsidRDefault="00AD3EA3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LLOQ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>LQC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>MQC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>HQC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84419" w:rsidRPr="00986875" w:rsidRDefault="00AD3EA3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LLOQ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>LQC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>MQC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>HQC</w:t>
            </w:r>
          </w:p>
        </w:tc>
      </w:tr>
      <w:tr w:rsidR="00684419" w:rsidRPr="00986875" w:rsidTr="00161D98">
        <w:trPr>
          <w:gridAfter w:val="1"/>
          <w:wAfter w:w="4" w:type="pct"/>
          <w:trHeight w:hRule="exact" w:val="440"/>
        </w:trPr>
        <w:tc>
          <w:tcPr>
            <w:tcW w:w="101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>[Nominal QC] (ng/</w:t>
            </w:r>
            <w:r w:rsidR="00AD3EA3">
              <w:rPr>
                <w:rFonts w:ascii="Times New Roman" w:hAnsi="Times New Roman" w:cs="Times New Roman"/>
                <w:b/>
              </w:rPr>
              <w:t>ml</w:t>
            </w:r>
            <w:r w:rsidRPr="0098687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BC0">
              <w:rPr>
                <w:rFonts w:ascii="Times New Roman" w:hAnsi="Times New Roman" w:cs="Times New Roman"/>
                <w:b/>
              </w:rPr>
              <w:t>2.50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BC0">
              <w:rPr>
                <w:rFonts w:ascii="Times New Roman" w:hAnsi="Times New Roman" w:cs="Times New Roman"/>
                <w:b/>
              </w:rPr>
              <w:t>6.30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BC0">
              <w:rPr>
                <w:rFonts w:ascii="Times New Roman" w:hAnsi="Times New Roman" w:cs="Times New Roman"/>
                <w:b/>
              </w:rPr>
              <w:t>420.00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BC0">
              <w:rPr>
                <w:rFonts w:ascii="Times New Roman" w:hAnsi="Times New Roman" w:cs="Times New Roman"/>
                <w:b/>
              </w:rPr>
              <w:t>4200.00</w:t>
            </w:r>
          </w:p>
        </w:tc>
        <w:tc>
          <w:tcPr>
            <w:tcW w:w="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BC0">
              <w:rPr>
                <w:rFonts w:ascii="Times New Roman" w:hAnsi="Times New Roman" w:cs="Times New Roman"/>
                <w:b/>
              </w:rPr>
              <w:t xml:space="preserve">2.50 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BC0">
              <w:rPr>
                <w:rFonts w:ascii="Times New Roman" w:hAnsi="Times New Roman" w:cs="Times New Roman"/>
                <w:b/>
              </w:rPr>
              <w:t xml:space="preserve">6.30 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BC0">
              <w:rPr>
                <w:rFonts w:ascii="Times New Roman" w:hAnsi="Times New Roman" w:cs="Times New Roman"/>
                <w:b/>
              </w:rPr>
              <w:t xml:space="preserve">420.00 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5BC0">
              <w:rPr>
                <w:rFonts w:ascii="Times New Roman" w:hAnsi="Times New Roman" w:cs="Times New Roman"/>
                <w:b/>
              </w:rPr>
              <w:t xml:space="preserve">4200.00 </w:t>
            </w:r>
          </w:p>
        </w:tc>
      </w:tr>
      <w:tr w:rsidR="00684419" w:rsidRPr="00986875" w:rsidTr="00161D98">
        <w:trPr>
          <w:gridAfter w:val="1"/>
          <w:wAfter w:w="4" w:type="pct"/>
          <w:trHeight w:hRule="exact" w:val="440"/>
        </w:trPr>
        <w:tc>
          <w:tcPr>
            <w:tcW w:w="101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>Mean value (ng/</w:t>
            </w:r>
            <w:r w:rsidR="00AD3EA3">
              <w:rPr>
                <w:rFonts w:ascii="Times New Roman" w:hAnsi="Times New Roman" w:cs="Times New Roman"/>
                <w:b/>
              </w:rPr>
              <w:t>ml</w:t>
            </w:r>
            <w:r w:rsidRPr="0098687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986875">
              <w:rPr>
                <w:rFonts w:ascii="Times New Roman" w:hAnsi="Times New Roman" w:cs="Times New Roman"/>
              </w:rPr>
              <w:t>2.3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986875">
              <w:rPr>
                <w:rFonts w:ascii="Times New Roman" w:hAnsi="Times New Roman" w:cs="Times New Roman"/>
              </w:rPr>
              <w:t>5.80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986875">
              <w:rPr>
                <w:rFonts w:ascii="Times New Roman" w:hAnsi="Times New Roman" w:cs="Times New Roman"/>
              </w:rPr>
              <w:t>444.75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986875">
              <w:rPr>
                <w:rFonts w:ascii="Times New Roman" w:hAnsi="Times New Roman" w:cs="Times New Roman"/>
              </w:rPr>
              <w:t>4205.58</w:t>
            </w:r>
          </w:p>
        </w:tc>
        <w:tc>
          <w:tcPr>
            <w:tcW w:w="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895BC0">
              <w:rPr>
                <w:rFonts w:ascii="Times New Roman" w:hAnsi="Times New Roman" w:cs="Times New Roman"/>
              </w:rPr>
              <w:t xml:space="preserve">2.47 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895BC0">
              <w:rPr>
                <w:rFonts w:ascii="Times New Roman" w:hAnsi="Times New Roman" w:cs="Times New Roman"/>
              </w:rPr>
              <w:t>5.8</w:t>
            </w:r>
            <w:r>
              <w:rPr>
                <w:rFonts w:ascii="Times New Roman" w:hAnsi="Times New Roman" w:cs="Times New Roman"/>
              </w:rPr>
              <w:t>9</w:t>
            </w:r>
            <w:r w:rsidRPr="00895B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895BC0">
              <w:rPr>
                <w:rFonts w:ascii="Times New Roman" w:hAnsi="Times New Roman" w:cs="Times New Roman"/>
              </w:rPr>
              <w:t xml:space="preserve">433.99 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895BC0">
              <w:rPr>
                <w:rFonts w:ascii="Times New Roman" w:hAnsi="Times New Roman" w:cs="Times New Roman"/>
              </w:rPr>
              <w:t>4499.</w:t>
            </w:r>
            <w:r>
              <w:rPr>
                <w:rFonts w:ascii="Times New Roman" w:hAnsi="Times New Roman" w:cs="Times New Roman"/>
              </w:rPr>
              <w:t>80</w:t>
            </w:r>
            <w:r w:rsidRPr="00895BC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4419" w:rsidRPr="00986875" w:rsidTr="00161D98">
        <w:trPr>
          <w:gridAfter w:val="1"/>
          <w:wAfter w:w="4" w:type="pct"/>
          <w:trHeight w:hRule="exact" w:val="440"/>
        </w:trPr>
        <w:tc>
          <w:tcPr>
            <w:tcW w:w="101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 xml:space="preserve">%CV: </w:t>
            </w:r>
            <w:r w:rsidRPr="00986875">
              <w:rPr>
                <w:rFonts w:ascii="Times New Roman" w:hAnsi="Times New Roman" w:cs="Times New Roman"/>
                <w:b/>
                <w:i/>
              </w:rPr>
              <w:t>inter-day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15.890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10.74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4.37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4.65</w:t>
            </w:r>
          </w:p>
        </w:tc>
        <w:tc>
          <w:tcPr>
            <w:tcW w:w="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>10.0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895BC0">
              <w:rPr>
                <w:rFonts w:ascii="Times New Roman" w:hAnsi="Times New Roman" w:cs="Times New Roman"/>
                <w:i/>
              </w:rPr>
              <w:t xml:space="preserve">6 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>13.5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895BC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 xml:space="preserve">6.07 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>10.5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895BC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684419" w:rsidRPr="00986875" w:rsidTr="00161D98">
        <w:trPr>
          <w:gridAfter w:val="1"/>
          <w:wAfter w:w="4" w:type="pct"/>
          <w:trHeight w:hRule="exact" w:val="440"/>
        </w:trPr>
        <w:tc>
          <w:tcPr>
            <w:tcW w:w="101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 xml:space="preserve">%Accuracy: </w:t>
            </w:r>
            <w:r w:rsidRPr="00986875">
              <w:rPr>
                <w:rFonts w:ascii="Times New Roman" w:hAnsi="Times New Roman" w:cs="Times New Roman"/>
                <w:b/>
                <w:i/>
              </w:rPr>
              <w:t>inter-day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-6.49</w:t>
            </w: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-7.89</w:t>
            </w: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5.89</w:t>
            </w: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0.13</w:t>
            </w: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 xml:space="preserve">-1.04 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>-6.57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>3.332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 xml:space="preserve">7.138 </w:t>
            </w:r>
          </w:p>
        </w:tc>
      </w:tr>
      <w:tr w:rsidR="00684419" w:rsidRPr="00986875" w:rsidTr="00161D98">
        <w:trPr>
          <w:gridAfter w:val="1"/>
          <w:wAfter w:w="4" w:type="pct"/>
          <w:trHeight w:hRule="exact" w:val="440"/>
        </w:trPr>
        <w:tc>
          <w:tcPr>
            <w:tcW w:w="101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 xml:space="preserve">%CV: </w:t>
            </w:r>
            <w:r w:rsidRPr="00986875">
              <w:rPr>
                <w:rFonts w:ascii="Times New Roman" w:hAnsi="Times New Roman" w:cs="Times New Roman"/>
                <w:b/>
                <w:i/>
              </w:rPr>
              <w:t>intra-day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6.88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9.8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3.20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3.05</w:t>
            </w:r>
          </w:p>
        </w:tc>
        <w:tc>
          <w:tcPr>
            <w:tcW w:w="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>7.9</w:t>
            </w: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 w:rsidRPr="00895BC0">
              <w:rPr>
                <w:i/>
                <w:color w:val="auto"/>
                <w:sz w:val="22"/>
                <w:szCs w:val="22"/>
              </w:rPr>
              <w:t>7.9</w:t>
            </w:r>
            <w:r>
              <w:rPr>
                <w:i/>
                <w:color w:val="auto"/>
                <w:sz w:val="22"/>
                <w:szCs w:val="22"/>
              </w:rPr>
              <w:t>2</w:t>
            </w:r>
            <w:r w:rsidRPr="00895BC0">
              <w:rPr>
                <w:i/>
                <w:color w:val="auto"/>
                <w:sz w:val="22"/>
                <w:szCs w:val="22"/>
              </w:rPr>
              <w:t xml:space="preserve"> </w:t>
            </w: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 w:rsidRPr="00895BC0">
              <w:rPr>
                <w:i/>
                <w:color w:val="auto"/>
                <w:sz w:val="22"/>
                <w:szCs w:val="22"/>
              </w:rPr>
              <w:t xml:space="preserve">2.96 </w:t>
            </w: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4419" w:rsidRPr="00895BC0" w:rsidRDefault="00684419" w:rsidP="00161D98">
            <w:pPr>
              <w:pStyle w:val="Default"/>
              <w:jc w:val="center"/>
              <w:rPr>
                <w:i/>
                <w:color w:val="auto"/>
                <w:sz w:val="22"/>
                <w:szCs w:val="22"/>
              </w:rPr>
            </w:pPr>
            <w:r w:rsidRPr="00895BC0">
              <w:rPr>
                <w:i/>
                <w:color w:val="auto"/>
                <w:sz w:val="22"/>
                <w:szCs w:val="22"/>
              </w:rPr>
              <w:t xml:space="preserve">0.99 </w:t>
            </w: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84419" w:rsidRPr="00986875" w:rsidTr="00161D98">
        <w:trPr>
          <w:gridAfter w:val="1"/>
          <w:wAfter w:w="4" w:type="pct"/>
          <w:trHeight w:hRule="exact" w:val="440"/>
        </w:trPr>
        <w:tc>
          <w:tcPr>
            <w:tcW w:w="101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 xml:space="preserve">%Accuracy: </w:t>
            </w:r>
            <w:r w:rsidRPr="00986875">
              <w:rPr>
                <w:rFonts w:ascii="Times New Roman" w:hAnsi="Times New Roman" w:cs="Times New Roman"/>
                <w:b/>
                <w:i/>
              </w:rPr>
              <w:t>intra-day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-4.53</w:t>
            </w: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-3.49</w:t>
            </w: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7.3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4.08</w:t>
            </w: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 xml:space="preserve">3.93 </w:t>
            </w: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>-14.</w:t>
            </w:r>
            <w:r>
              <w:rPr>
                <w:rFonts w:ascii="Times New Roman" w:hAnsi="Times New Roman" w:cs="Times New Roman"/>
                <w:i/>
              </w:rPr>
              <w:t>10</w:t>
            </w:r>
            <w:r w:rsidRPr="00895BC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 xml:space="preserve">4.97 </w:t>
            </w: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>7.2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895BC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84419" w:rsidRPr="00986875" w:rsidTr="00161D98">
        <w:trPr>
          <w:gridAfter w:val="1"/>
          <w:wAfter w:w="4" w:type="pct"/>
          <w:trHeight w:hRule="exact" w:val="440"/>
        </w:trPr>
        <w:tc>
          <w:tcPr>
            <w:tcW w:w="10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FD6441">
              <w:rPr>
                <w:rFonts w:ascii="Times New Roman" w:hAnsi="Times New Roman" w:cs="Times New Roman"/>
                <w:b/>
                <w:sz w:val="28"/>
              </w:rPr>
              <w:t>MPV</w:t>
            </w:r>
          </w:p>
        </w:tc>
        <w:tc>
          <w:tcPr>
            <w:tcW w:w="55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419" w:rsidRPr="00986875" w:rsidRDefault="00AD3EA3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LLOQ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>LQC</w:t>
            </w:r>
          </w:p>
        </w:tc>
        <w:tc>
          <w:tcPr>
            <w:tcW w:w="57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>MQC</w:t>
            </w:r>
          </w:p>
        </w:tc>
        <w:tc>
          <w:tcPr>
            <w:tcW w:w="48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>HQC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419" w:rsidRPr="00986875" w:rsidRDefault="00AD3EA3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LLOQ</w:t>
            </w:r>
          </w:p>
        </w:tc>
        <w:tc>
          <w:tcPr>
            <w:tcW w:w="48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>LQC</w:t>
            </w:r>
          </w:p>
        </w:tc>
        <w:tc>
          <w:tcPr>
            <w:tcW w:w="483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>MQC</w:t>
            </w:r>
          </w:p>
        </w:tc>
        <w:tc>
          <w:tcPr>
            <w:tcW w:w="48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>HQC</w:t>
            </w:r>
          </w:p>
        </w:tc>
      </w:tr>
      <w:tr w:rsidR="00684419" w:rsidRPr="00986875" w:rsidTr="00161D98">
        <w:trPr>
          <w:gridAfter w:val="1"/>
          <w:wAfter w:w="4" w:type="pct"/>
          <w:trHeight w:hRule="exact" w:val="440"/>
        </w:trPr>
        <w:tc>
          <w:tcPr>
            <w:tcW w:w="101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>[Nominal QC] (ng/</w:t>
            </w:r>
            <w:r w:rsidR="00AD3EA3">
              <w:rPr>
                <w:rFonts w:ascii="Times New Roman" w:hAnsi="Times New Roman" w:cs="Times New Roman"/>
                <w:b/>
              </w:rPr>
              <w:t>ml</w:t>
            </w:r>
            <w:r w:rsidRPr="0098687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>2.50</w:t>
            </w:r>
          </w:p>
        </w:tc>
        <w:tc>
          <w:tcPr>
            <w:tcW w:w="38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>6.30</w:t>
            </w:r>
          </w:p>
        </w:tc>
        <w:tc>
          <w:tcPr>
            <w:tcW w:w="57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>420.00</w:t>
            </w:r>
          </w:p>
        </w:tc>
        <w:tc>
          <w:tcPr>
            <w:tcW w:w="489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>4200.00</w:t>
            </w:r>
          </w:p>
        </w:tc>
        <w:tc>
          <w:tcPr>
            <w:tcW w:w="9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B28">
              <w:rPr>
                <w:rFonts w:ascii="Times New Roman" w:hAnsi="Times New Roman" w:cs="Times New Roman"/>
                <w:b/>
              </w:rPr>
              <w:t xml:space="preserve">2.50 </w:t>
            </w:r>
          </w:p>
        </w:tc>
        <w:tc>
          <w:tcPr>
            <w:tcW w:w="48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B28">
              <w:rPr>
                <w:rFonts w:ascii="Times New Roman" w:hAnsi="Times New Roman" w:cs="Times New Roman"/>
                <w:b/>
              </w:rPr>
              <w:t xml:space="preserve">6.30 </w:t>
            </w:r>
          </w:p>
        </w:tc>
        <w:tc>
          <w:tcPr>
            <w:tcW w:w="48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B28">
              <w:rPr>
                <w:rFonts w:ascii="Times New Roman" w:hAnsi="Times New Roman" w:cs="Times New Roman"/>
                <w:b/>
              </w:rPr>
              <w:t xml:space="preserve">420.00 </w:t>
            </w:r>
          </w:p>
        </w:tc>
        <w:tc>
          <w:tcPr>
            <w:tcW w:w="483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7B28">
              <w:rPr>
                <w:rFonts w:ascii="Times New Roman" w:hAnsi="Times New Roman" w:cs="Times New Roman"/>
                <w:b/>
              </w:rPr>
              <w:t xml:space="preserve">4200.00 </w:t>
            </w:r>
          </w:p>
        </w:tc>
      </w:tr>
      <w:tr w:rsidR="00684419" w:rsidRPr="00986875" w:rsidTr="00161D98">
        <w:trPr>
          <w:gridAfter w:val="1"/>
          <w:wAfter w:w="4" w:type="pct"/>
          <w:trHeight w:hRule="exact" w:val="440"/>
        </w:trPr>
        <w:tc>
          <w:tcPr>
            <w:tcW w:w="101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>Mean value (ng/</w:t>
            </w:r>
            <w:r w:rsidR="00AD3EA3">
              <w:rPr>
                <w:rFonts w:ascii="Times New Roman" w:hAnsi="Times New Roman" w:cs="Times New Roman"/>
                <w:b/>
              </w:rPr>
              <w:t>ml</w:t>
            </w:r>
            <w:r w:rsidRPr="0098687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986875">
              <w:rPr>
                <w:rFonts w:ascii="Times New Roman" w:hAnsi="Times New Roman" w:cs="Times New Roman"/>
              </w:rPr>
              <w:t>2.6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986875">
              <w:rPr>
                <w:rFonts w:ascii="Times New Roman" w:hAnsi="Times New Roman" w:cs="Times New Roman"/>
              </w:rPr>
              <w:t>6.22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986875">
              <w:rPr>
                <w:rFonts w:ascii="Times New Roman" w:hAnsi="Times New Roman" w:cs="Times New Roman"/>
              </w:rPr>
              <w:t>467.8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986875">
              <w:rPr>
                <w:rFonts w:ascii="Times New Roman" w:hAnsi="Times New Roman" w:cs="Times New Roman"/>
              </w:rPr>
              <w:t>4081.22</w:t>
            </w:r>
          </w:p>
        </w:tc>
        <w:tc>
          <w:tcPr>
            <w:tcW w:w="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895BC0">
              <w:rPr>
                <w:rFonts w:ascii="Times New Roman" w:hAnsi="Times New Roman" w:cs="Times New Roman"/>
              </w:rPr>
              <w:t>2.51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895BC0">
              <w:rPr>
                <w:rFonts w:ascii="Times New Roman" w:hAnsi="Times New Roman" w:cs="Times New Roman"/>
              </w:rPr>
              <w:t>5.5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895BC0">
              <w:rPr>
                <w:rFonts w:ascii="Times New Roman" w:hAnsi="Times New Roman" w:cs="Times New Roman"/>
              </w:rPr>
              <w:t>444.14</w:t>
            </w: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895BC0">
              <w:rPr>
                <w:rFonts w:ascii="Times New Roman" w:hAnsi="Times New Roman" w:cs="Times New Roman"/>
              </w:rPr>
              <w:t>4321.2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84419" w:rsidRPr="00986875" w:rsidTr="00161D98">
        <w:trPr>
          <w:gridAfter w:val="1"/>
          <w:wAfter w:w="4" w:type="pct"/>
          <w:trHeight w:hRule="exact" w:val="440"/>
        </w:trPr>
        <w:tc>
          <w:tcPr>
            <w:tcW w:w="101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 xml:space="preserve">%CV: </w:t>
            </w:r>
            <w:r w:rsidRPr="00986875">
              <w:rPr>
                <w:rFonts w:ascii="Times New Roman" w:hAnsi="Times New Roman" w:cs="Times New Roman"/>
                <w:b/>
                <w:i/>
              </w:rPr>
              <w:t>inter-day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7.8</w:t>
            </w: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9.05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3.18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6.0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>7.</w:t>
            </w:r>
            <w:r>
              <w:rPr>
                <w:rFonts w:ascii="Times New Roman" w:hAnsi="Times New Roman" w:cs="Times New Roman"/>
                <w:i/>
              </w:rPr>
              <w:t>30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>6.31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>6.2</w:t>
            </w: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>8.2</w:t>
            </w:r>
            <w:r>
              <w:rPr>
                <w:rFonts w:ascii="Times New Roman" w:hAnsi="Times New Roman" w:cs="Times New Roman"/>
                <w:i/>
              </w:rPr>
              <w:t>1</w:t>
            </w:r>
          </w:p>
        </w:tc>
      </w:tr>
      <w:tr w:rsidR="00684419" w:rsidRPr="00986875" w:rsidTr="00161D98">
        <w:trPr>
          <w:gridAfter w:val="1"/>
          <w:wAfter w:w="4" w:type="pct"/>
          <w:trHeight w:hRule="exact" w:val="440"/>
        </w:trPr>
        <w:tc>
          <w:tcPr>
            <w:tcW w:w="101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 xml:space="preserve">%Accuracy: </w:t>
            </w:r>
            <w:r w:rsidRPr="00986875">
              <w:rPr>
                <w:rFonts w:ascii="Times New Roman" w:hAnsi="Times New Roman" w:cs="Times New Roman"/>
                <w:b/>
                <w:i/>
              </w:rPr>
              <w:t>inter-day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4.31</w:t>
            </w: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-1.2</w:t>
            </w:r>
            <w:r>
              <w:rPr>
                <w:rFonts w:ascii="Times New Roman" w:hAnsi="Times New Roman" w:cs="Times New Roman"/>
                <w:i/>
              </w:rPr>
              <w:t>2</w:t>
            </w: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11.40</w:t>
            </w: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-2.8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 xml:space="preserve">0.56 </w:t>
            </w: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 xml:space="preserve">-11.80 </w:t>
            </w: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 xml:space="preserve">5.75 </w:t>
            </w: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 xml:space="preserve">3.36 </w:t>
            </w: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684419" w:rsidRPr="00986875" w:rsidTr="00161D98">
        <w:trPr>
          <w:gridAfter w:val="1"/>
          <w:wAfter w:w="4" w:type="pct"/>
          <w:trHeight w:hRule="exact" w:val="440"/>
        </w:trPr>
        <w:tc>
          <w:tcPr>
            <w:tcW w:w="101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 xml:space="preserve">%CV: </w:t>
            </w:r>
            <w:r w:rsidRPr="00986875">
              <w:rPr>
                <w:rFonts w:ascii="Times New Roman" w:hAnsi="Times New Roman" w:cs="Times New Roman"/>
                <w:b/>
                <w:i/>
              </w:rPr>
              <w:t>intra-day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5.89</w:t>
            </w: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8.30</w:t>
            </w: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2.77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2.59</w:t>
            </w:r>
          </w:p>
        </w:tc>
        <w:tc>
          <w:tcPr>
            <w:tcW w:w="9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>6.5</w:t>
            </w:r>
            <w:r>
              <w:rPr>
                <w:rFonts w:ascii="Times New Roman" w:hAnsi="Times New Roman" w:cs="Times New Roman"/>
                <w:i/>
              </w:rPr>
              <w:t>9</w:t>
            </w:r>
            <w:r w:rsidRPr="00895BC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>2.6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895BC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 xml:space="preserve">2.81 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>1.2</w:t>
            </w:r>
            <w:r>
              <w:rPr>
                <w:rFonts w:ascii="Times New Roman" w:hAnsi="Times New Roman" w:cs="Times New Roman"/>
                <w:i/>
              </w:rPr>
              <w:t>5</w:t>
            </w:r>
            <w:r w:rsidRPr="00895BC0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684419" w:rsidRPr="00986875" w:rsidTr="00161D98">
        <w:trPr>
          <w:gridAfter w:val="1"/>
          <w:wAfter w:w="4" w:type="pct"/>
          <w:trHeight w:hRule="exact" w:val="440"/>
        </w:trPr>
        <w:tc>
          <w:tcPr>
            <w:tcW w:w="101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986875">
              <w:rPr>
                <w:rFonts w:ascii="Times New Roman" w:hAnsi="Times New Roman" w:cs="Times New Roman"/>
                <w:b/>
              </w:rPr>
              <w:t xml:space="preserve">%Accuracy: </w:t>
            </w:r>
            <w:r w:rsidRPr="00986875">
              <w:rPr>
                <w:rFonts w:ascii="Times New Roman" w:hAnsi="Times New Roman" w:cs="Times New Roman"/>
                <w:b/>
                <w:i/>
              </w:rPr>
              <w:t>intra-day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-3.27</w:t>
            </w: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89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1.24</w:t>
            </w: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74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14.0</w:t>
            </w:r>
            <w:r>
              <w:rPr>
                <w:rFonts w:ascii="Times New Roman" w:hAnsi="Times New Roman" w:cs="Times New Roman"/>
                <w:i/>
              </w:rPr>
              <w:t>1</w:t>
            </w: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86875">
              <w:rPr>
                <w:rFonts w:ascii="Times New Roman" w:hAnsi="Times New Roman" w:cs="Times New Roman"/>
                <w:i/>
              </w:rPr>
              <w:t>2.38</w:t>
            </w: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419" w:rsidRPr="00986875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2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 xml:space="preserve">-4.87 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>-13.41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 xml:space="preserve">5.60 </w:t>
            </w:r>
          </w:p>
        </w:tc>
        <w:tc>
          <w:tcPr>
            <w:tcW w:w="483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95BC0">
              <w:rPr>
                <w:rFonts w:ascii="Times New Roman" w:hAnsi="Times New Roman" w:cs="Times New Roman"/>
                <w:i/>
              </w:rPr>
              <w:t xml:space="preserve">6.293 </w:t>
            </w:r>
          </w:p>
        </w:tc>
      </w:tr>
    </w:tbl>
    <w:p w:rsidR="00684419" w:rsidRDefault="00684419" w:rsidP="00684419">
      <w:pPr>
        <w:spacing w:before="57" w:after="0" w:line="280" w:lineRule="atLeast"/>
        <w:rPr>
          <w:rFonts w:ascii="Times New Roman" w:eastAsia="Times New Roman" w:hAnsi="Times New Roman" w:cs="Times New Roman"/>
          <w:sz w:val="20"/>
        </w:rPr>
      </w:pPr>
    </w:p>
    <w:p w:rsidR="00684419" w:rsidRPr="00416C7A" w:rsidRDefault="00684419" w:rsidP="00684419">
      <w:pPr>
        <w:spacing w:before="57" w:after="170" w:line="280" w:lineRule="atLeast"/>
        <w:rPr>
          <w:rFonts w:ascii="Times New Roman" w:eastAsia="Times New Roman" w:hAnsi="Times New Roman" w:cs="Times New Roman"/>
          <w:sz w:val="20"/>
          <w:lang w:val="en-US"/>
        </w:rPr>
      </w:pPr>
      <w:r w:rsidRPr="00416C7A">
        <w:rPr>
          <w:rFonts w:ascii="Times New Roman" w:eastAsia="Times New Roman" w:hAnsi="Times New Roman" w:cs="Times New Roman"/>
          <w:sz w:val="20"/>
        </w:rPr>
        <w:t xml:space="preserve">Abbreviations: </w:t>
      </w:r>
      <w:r w:rsidR="00AD3EA3">
        <w:rPr>
          <w:rFonts w:ascii="Times New Roman" w:eastAsia="Times New Roman" w:hAnsi="Times New Roman" w:cs="Times New Roman"/>
          <w:sz w:val="20"/>
        </w:rPr>
        <w:t>LLOQ</w:t>
      </w:r>
      <w:r w:rsidRPr="00416C7A">
        <w:rPr>
          <w:rFonts w:ascii="Times New Roman" w:eastAsia="Times New Roman" w:hAnsi="Times New Roman" w:cs="Times New Roman"/>
          <w:sz w:val="20"/>
        </w:rPr>
        <w:t xml:space="preserve"> lower limit of quantification; LQC, low quality control sample; MQC, medium quality control sample; HQC, high quality control sample; n=6 in 3 separate runs</w:t>
      </w:r>
      <w:r>
        <w:rPr>
          <w:rFonts w:ascii="Times New Roman" w:eastAsia="Times New Roman" w:hAnsi="Times New Roman" w:cs="Times New Roman"/>
          <w:sz w:val="20"/>
        </w:rPr>
        <w:t xml:space="preserve"> (inter); n=6 in 1 run (intra)</w:t>
      </w:r>
      <w:r w:rsidRPr="00416C7A">
        <w:rPr>
          <w:rFonts w:ascii="Times New Roman" w:eastAsia="Times New Roman" w:hAnsi="Times New Roman" w:cs="Times New Roman"/>
          <w:sz w:val="20"/>
        </w:rPr>
        <w:t>. Criteria for acceptable range of accuracy is ±15 % (±20 % at LLOQ).</w:t>
      </w:r>
    </w:p>
    <w:p w:rsidR="003805E5" w:rsidRDefault="003805E5" w:rsidP="00DE60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419" w:rsidRPr="00C37888" w:rsidRDefault="00684419" w:rsidP="00684419">
      <w:pPr>
        <w:spacing w:before="57" w:after="170" w:line="280" w:lineRule="atLeast"/>
        <w:rPr>
          <w:rFonts w:ascii="Times New Roman" w:eastAsia="Times New Roman" w:hAnsi="Times New Roman" w:cs="Times New Roman"/>
          <w:b/>
          <w:color w:val="0070C0"/>
          <w:lang w:val="en-US"/>
        </w:rPr>
      </w:pPr>
      <w:bookmarkStart w:id="6" w:name="_Toc473053172"/>
      <w:r w:rsidRPr="00C37888">
        <w:rPr>
          <w:rFonts w:ascii="Times New Roman" w:eastAsia="Times New Roman" w:hAnsi="Times New Roman" w:cs="Times New Roman"/>
          <w:b/>
          <w:lang w:val="en-US"/>
        </w:rPr>
        <w:t xml:space="preserve">Table </w:t>
      </w:r>
      <w:r>
        <w:rPr>
          <w:rFonts w:ascii="Times New Roman" w:eastAsia="Times New Roman" w:hAnsi="Times New Roman" w:cs="Times New Roman"/>
          <w:b/>
          <w:lang w:val="en-US"/>
        </w:rPr>
        <w:t>3</w:t>
      </w:r>
      <w:r w:rsidRPr="00C37888">
        <w:rPr>
          <w:rFonts w:ascii="Times New Roman" w:eastAsia="Times New Roman" w:hAnsi="Times New Roman" w:cs="Times New Roman"/>
          <w:b/>
          <w:lang w:val="en-US"/>
        </w:rPr>
        <w:t xml:space="preserve">. </w:t>
      </w:r>
      <w:r w:rsidRPr="00C37888">
        <w:rPr>
          <w:rFonts w:ascii="Times New Roman" w:eastAsia="Times New Roman" w:hAnsi="Times New Roman" w:cs="Times New Roman"/>
          <w:lang w:val="en-US"/>
        </w:rPr>
        <w:t xml:space="preserve">Recovery &amp; Matrix of </w:t>
      </w:r>
      <w:r>
        <w:rPr>
          <w:rFonts w:ascii="Times New Roman" w:eastAsia="Times New Roman" w:hAnsi="Times New Roman" w:cs="Times New Roman"/>
          <w:lang w:val="en-US"/>
        </w:rPr>
        <w:t>NHC</w:t>
      </w:r>
      <w:r w:rsidRPr="00C37888">
        <w:rPr>
          <w:rFonts w:ascii="Times New Roman" w:eastAsia="Times New Roman" w:hAnsi="Times New Roman" w:cs="Times New Roman"/>
          <w:lang w:val="en-US"/>
        </w:rPr>
        <w:t xml:space="preserve"> and </w:t>
      </w:r>
      <w:r>
        <w:rPr>
          <w:rFonts w:ascii="Times New Roman" w:eastAsia="Times New Roman" w:hAnsi="Times New Roman" w:cs="Times New Roman"/>
          <w:lang w:val="en-US"/>
        </w:rPr>
        <w:t>MPV</w:t>
      </w:r>
      <w:r w:rsidRPr="00C37888">
        <w:rPr>
          <w:rFonts w:ascii="Times New Roman" w:eastAsia="Times New Roman" w:hAnsi="Times New Roman" w:cs="Times New Roman"/>
          <w:lang w:val="en-US"/>
        </w:rPr>
        <w:t xml:space="preserve"> in plasma</w:t>
      </w:r>
      <w:bookmarkEnd w:id="6"/>
      <w:r>
        <w:rPr>
          <w:rFonts w:ascii="Times New Roman" w:eastAsia="Times New Roman" w:hAnsi="Times New Roman" w:cs="Times New Roman"/>
          <w:lang w:val="en-US"/>
        </w:rPr>
        <w:t xml:space="preserve"> and saliva</w:t>
      </w:r>
    </w:p>
    <w:p w:rsidR="003805E5" w:rsidRDefault="003805E5" w:rsidP="00684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26"/>
        <w:gridCol w:w="1759"/>
        <w:gridCol w:w="1388"/>
        <w:gridCol w:w="1388"/>
        <w:gridCol w:w="1096"/>
        <w:gridCol w:w="237"/>
        <w:gridCol w:w="1542"/>
        <w:gridCol w:w="1497"/>
        <w:gridCol w:w="1107"/>
        <w:gridCol w:w="1098"/>
      </w:tblGrid>
      <w:tr w:rsidR="00684419" w:rsidRPr="00A419D7" w:rsidTr="00161D98">
        <w:trPr>
          <w:trHeight w:hRule="exact" w:val="591"/>
        </w:trPr>
        <w:tc>
          <w:tcPr>
            <w:tcW w:w="3034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419" w:rsidRPr="00FD6441" w:rsidRDefault="00684419" w:rsidP="00161D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D6441">
              <w:rPr>
                <w:rFonts w:ascii="Times New Roman" w:hAnsi="Times New Roman" w:cs="Times New Roman"/>
                <w:b/>
                <w:sz w:val="32"/>
              </w:rPr>
              <w:t>PLASMA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419" w:rsidRPr="00FD6441" w:rsidRDefault="00684419" w:rsidP="00161D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81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419" w:rsidRPr="00FD6441" w:rsidRDefault="00684419" w:rsidP="00161D98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D6441">
              <w:rPr>
                <w:rFonts w:ascii="Times New Roman" w:hAnsi="Times New Roman" w:cs="Times New Roman"/>
                <w:b/>
                <w:sz w:val="32"/>
              </w:rPr>
              <w:t>SALIVA</w:t>
            </w:r>
          </w:p>
        </w:tc>
      </w:tr>
      <w:tr w:rsidR="00684419" w:rsidRPr="00A419D7" w:rsidTr="00161D98">
        <w:trPr>
          <w:trHeight w:hRule="exact" w:val="591"/>
        </w:trPr>
        <w:tc>
          <w:tcPr>
            <w:tcW w:w="101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419" w:rsidRPr="00FD0F0A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FD6441">
              <w:rPr>
                <w:rFonts w:ascii="Times New Roman" w:hAnsi="Times New Roman" w:cs="Times New Roman"/>
                <w:b/>
                <w:sz w:val="28"/>
              </w:rPr>
              <w:t>NHC</w:t>
            </w:r>
          </w:p>
        </w:tc>
        <w:tc>
          <w:tcPr>
            <w:tcW w:w="63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419" w:rsidRPr="00FD0F0A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F0A">
              <w:rPr>
                <w:rFonts w:ascii="Times New Roman" w:hAnsi="Times New Roman" w:cs="Times New Roman"/>
                <w:b/>
              </w:rPr>
              <w:t>LQC</w:t>
            </w:r>
          </w:p>
        </w:tc>
        <w:tc>
          <w:tcPr>
            <w:tcW w:w="4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419" w:rsidRPr="00FD0F0A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F0A">
              <w:rPr>
                <w:rFonts w:ascii="Times New Roman" w:hAnsi="Times New Roman" w:cs="Times New Roman"/>
                <w:b/>
              </w:rPr>
              <w:t>MQC</w:t>
            </w:r>
          </w:p>
        </w:tc>
        <w:tc>
          <w:tcPr>
            <w:tcW w:w="4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419" w:rsidRPr="00FD0F0A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F0A">
              <w:rPr>
                <w:rFonts w:ascii="Times New Roman" w:hAnsi="Times New Roman" w:cs="Times New Roman"/>
                <w:b/>
              </w:rPr>
              <w:t>HQC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419" w:rsidRPr="00FD0F0A" w:rsidRDefault="00684419" w:rsidP="00161D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0F0A">
              <w:rPr>
                <w:rFonts w:ascii="Times New Roman" w:hAnsi="Times New Roman" w:cs="Times New Roman"/>
                <w:b/>
                <w:i/>
              </w:rPr>
              <w:t>%CV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419" w:rsidRPr="00FD0F0A" w:rsidRDefault="00684419" w:rsidP="00161D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419" w:rsidRPr="00FD0F0A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F0A">
              <w:rPr>
                <w:rFonts w:ascii="Times New Roman" w:hAnsi="Times New Roman" w:cs="Times New Roman"/>
                <w:b/>
              </w:rPr>
              <w:t>LQC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419" w:rsidRPr="00FD0F0A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F0A">
              <w:rPr>
                <w:rFonts w:ascii="Times New Roman" w:hAnsi="Times New Roman" w:cs="Times New Roman"/>
                <w:b/>
              </w:rPr>
              <w:t>MQC</w:t>
            </w:r>
          </w:p>
        </w:tc>
        <w:tc>
          <w:tcPr>
            <w:tcW w:w="3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419" w:rsidRPr="00FD0F0A" w:rsidRDefault="00684419" w:rsidP="00161D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D0F0A">
              <w:rPr>
                <w:rFonts w:ascii="Times New Roman" w:hAnsi="Times New Roman" w:cs="Times New Roman"/>
                <w:b/>
              </w:rPr>
              <w:t>HQC</w:t>
            </w: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419" w:rsidRPr="00FD0F0A" w:rsidRDefault="00684419" w:rsidP="00161D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0F0A">
              <w:rPr>
                <w:rFonts w:ascii="Times New Roman" w:hAnsi="Times New Roman" w:cs="Times New Roman"/>
                <w:b/>
                <w:i/>
              </w:rPr>
              <w:t>%CV</w:t>
            </w:r>
          </w:p>
        </w:tc>
      </w:tr>
      <w:tr w:rsidR="00684419" w:rsidRPr="00A419D7" w:rsidTr="00161D98">
        <w:trPr>
          <w:trHeight w:hRule="exact" w:val="552"/>
        </w:trPr>
        <w:tc>
          <w:tcPr>
            <w:tcW w:w="1014" w:type="pct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84419" w:rsidRPr="00FD0F0A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FD0F0A">
              <w:rPr>
                <w:rFonts w:ascii="Times New Roman" w:hAnsi="Times New Roman" w:cs="Times New Roman"/>
                <w:b/>
              </w:rPr>
              <w:t xml:space="preserve">%Process Efficiency </w:t>
            </w:r>
          </w:p>
        </w:tc>
        <w:tc>
          <w:tcPr>
            <w:tcW w:w="63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90.151</w:t>
            </w:r>
          </w:p>
        </w:tc>
        <w:tc>
          <w:tcPr>
            <w:tcW w:w="49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100.888</w:t>
            </w:r>
          </w:p>
        </w:tc>
        <w:tc>
          <w:tcPr>
            <w:tcW w:w="49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98.605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5.858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46.360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62.020</w:t>
            </w:r>
          </w:p>
        </w:tc>
        <w:tc>
          <w:tcPr>
            <w:tcW w:w="39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53.227</w:t>
            </w: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14.57</w:t>
            </w:r>
          </w:p>
        </w:tc>
      </w:tr>
      <w:tr w:rsidR="00684419" w:rsidRPr="00A419D7" w:rsidTr="00161D98">
        <w:trPr>
          <w:trHeight w:hRule="exact" w:val="591"/>
        </w:trPr>
        <w:tc>
          <w:tcPr>
            <w:tcW w:w="1014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84419" w:rsidRPr="00FD0F0A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FD0F0A">
              <w:rPr>
                <w:rFonts w:ascii="Times New Roman" w:hAnsi="Times New Roman" w:cs="Times New Roman"/>
                <w:b/>
              </w:rPr>
              <w:t xml:space="preserve">%Recovery 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103.820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100.232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103.448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1.925</w:t>
            </w:r>
          </w:p>
        </w:tc>
        <w:tc>
          <w:tcPr>
            <w:tcW w:w="8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66.221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86.362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73.045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13.62</w:t>
            </w:r>
          </w:p>
        </w:tc>
      </w:tr>
      <w:tr w:rsidR="00684419" w:rsidRPr="00A419D7" w:rsidTr="00161D98">
        <w:trPr>
          <w:trHeight w:hRule="exact" w:val="591"/>
        </w:trPr>
        <w:tc>
          <w:tcPr>
            <w:tcW w:w="1014" w:type="pct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84419" w:rsidRPr="00FD0F0A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FD0F0A">
              <w:rPr>
                <w:rFonts w:ascii="Times New Roman" w:hAnsi="Times New Roman" w:cs="Times New Roman"/>
                <w:b/>
              </w:rPr>
              <w:t xml:space="preserve">%Matrix Effect 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86.834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100.654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95.319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7.393</w:t>
            </w:r>
          </w:p>
        </w:tc>
        <w:tc>
          <w:tcPr>
            <w:tcW w:w="85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70.007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71.814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72.869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2.022</w:t>
            </w:r>
          </w:p>
        </w:tc>
      </w:tr>
      <w:tr w:rsidR="00684419" w:rsidRPr="00A419D7" w:rsidTr="00161D98">
        <w:trPr>
          <w:trHeight w:hRule="exact" w:val="591"/>
        </w:trPr>
        <w:tc>
          <w:tcPr>
            <w:tcW w:w="1014" w:type="pct"/>
            <w:tcBorders>
              <w:top w:val="single" w:sz="8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84419" w:rsidRPr="00FD0F0A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FD0F0A">
              <w:rPr>
                <w:rFonts w:ascii="Times New Roman" w:hAnsi="Times New Roman" w:cs="Times New Roman"/>
                <w:b/>
              </w:rPr>
              <w:t>%Analysis Recovery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98.394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90.917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104.542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6.966</w:t>
            </w:r>
          </w:p>
        </w:tc>
        <w:tc>
          <w:tcPr>
            <w:tcW w:w="85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72.446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109.383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84.809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21.155</w:t>
            </w:r>
          </w:p>
        </w:tc>
      </w:tr>
      <w:tr w:rsidR="00684419" w:rsidRPr="00A419D7" w:rsidTr="00161D98">
        <w:trPr>
          <w:trHeight w:hRule="exact" w:val="591"/>
        </w:trPr>
        <w:tc>
          <w:tcPr>
            <w:tcW w:w="101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419" w:rsidRPr="00FD0F0A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FD6441">
              <w:rPr>
                <w:rFonts w:ascii="Times New Roman" w:hAnsi="Times New Roman" w:cs="Times New Roman"/>
                <w:b/>
                <w:sz w:val="28"/>
              </w:rPr>
              <w:t>MPV</w:t>
            </w:r>
          </w:p>
        </w:tc>
        <w:tc>
          <w:tcPr>
            <w:tcW w:w="63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419" w:rsidRPr="00FD0F0A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FD0F0A">
              <w:rPr>
                <w:rFonts w:ascii="Times New Roman" w:hAnsi="Times New Roman" w:cs="Times New Roman"/>
                <w:b/>
              </w:rPr>
              <w:t>LQC</w:t>
            </w:r>
          </w:p>
        </w:tc>
        <w:tc>
          <w:tcPr>
            <w:tcW w:w="4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419" w:rsidRPr="00FD0F0A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FD0F0A">
              <w:rPr>
                <w:rFonts w:ascii="Times New Roman" w:hAnsi="Times New Roman" w:cs="Times New Roman"/>
                <w:b/>
              </w:rPr>
              <w:t>MQC</w:t>
            </w:r>
          </w:p>
        </w:tc>
        <w:tc>
          <w:tcPr>
            <w:tcW w:w="4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419" w:rsidRPr="00FD0F0A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FD0F0A">
              <w:rPr>
                <w:rFonts w:ascii="Times New Roman" w:hAnsi="Times New Roman" w:cs="Times New Roman"/>
                <w:b/>
              </w:rPr>
              <w:t>HQC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419" w:rsidRPr="00FD0F0A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D0F0A">
              <w:rPr>
                <w:rFonts w:ascii="Times New Roman" w:hAnsi="Times New Roman" w:cs="Times New Roman"/>
                <w:b/>
                <w:i/>
              </w:rPr>
              <w:t>%CV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4419" w:rsidRPr="00E86FB3" w:rsidRDefault="00684419" w:rsidP="00161D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419" w:rsidRPr="00FD0F0A" w:rsidRDefault="00684419" w:rsidP="00161D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0F0A">
              <w:rPr>
                <w:rFonts w:ascii="Times New Roman" w:hAnsi="Times New Roman" w:cs="Times New Roman"/>
                <w:b/>
              </w:rPr>
              <w:t>LQC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419" w:rsidRPr="00FD0F0A" w:rsidRDefault="00684419" w:rsidP="00161D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0F0A">
              <w:rPr>
                <w:rFonts w:ascii="Times New Roman" w:hAnsi="Times New Roman" w:cs="Times New Roman"/>
                <w:b/>
              </w:rPr>
              <w:t>MQC</w:t>
            </w:r>
          </w:p>
        </w:tc>
        <w:tc>
          <w:tcPr>
            <w:tcW w:w="39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84419" w:rsidRPr="00FD0F0A" w:rsidRDefault="00684419" w:rsidP="00161D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0F0A">
              <w:rPr>
                <w:rFonts w:ascii="Times New Roman" w:hAnsi="Times New Roman" w:cs="Times New Roman"/>
                <w:b/>
              </w:rPr>
              <w:t>HQC</w:t>
            </w: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4419" w:rsidRPr="00FD0F0A" w:rsidRDefault="00684419" w:rsidP="00161D9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D0F0A">
              <w:rPr>
                <w:rFonts w:ascii="Times New Roman" w:hAnsi="Times New Roman" w:cs="Times New Roman"/>
                <w:b/>
                <w:i/>
              </w:rPr>
              <w:t>%CV</w:t>
            </w:r>
          </w:p>
        </w:tc>
      </w:tr>
      <w:tr w:rsidR="00684419" w:rsidRPr="00A419D7" w:rsidTr="00161D98">
        <w:trPr>
          <w:trHeight w:hRule="exact" w:val="591"/>
        </w:trPr>
        <w:tc>
          <w:tcPr>
            <w:tcW w:w="1014" w:type="pct"/>
            <w:tcBorders>
              <w:top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84419" w:rsidRPr="00FD0F0A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FD0F0A">
              <w:rPr>
                <w:rFonts w:ascii="Times New Roman" w:hAnsi="Times New Roman" w:cs="Times New Roman"/>
                <w:b/>
              </w:rPr>
              <w:t xml:space="preserve">%Process Efficiency </w:t>
            </w:r>
          </w:p>
        </w:tc>
        <w:tc>
          <w:tcPr>
            <w:tcW w:w="63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97.433</w:t>
            </w:r>
          </w:p>
        </w:tc>
        <w:tc>
          <w:tcPr>
            <w:tcW w:w="49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100.229</w:t>
            </w:r>
          </w:p>
        </w:tc>
        <w:tc>
          <w:tcPr>
            <w:tcW w:w="49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100.450</w:t>
            </w:r>
          </w:p>
        </w:tc>
        <w:tc>
          <w:tcPr>
            <w:tcW w:w="393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1.69</w:t>
            </w:r>
          </w:p>
        </w:tc>
        <w:tc>
          <w:tcPr>
            <w:tcW w:w="85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56.718</w:t>
            </w:r>
          </w:p>
        </w:tc>
        <w:tc>
          <w:tcPr>
            <w:tcW w:w="53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74.477</w:t>
            </w:r>
          </w:p>
        </w:tc>
        <w:tc>
          <w:tcPr>
            <w:tcW w:w="39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71.486</w:t>
            </w:r>
          </w:p>
        </w:tc>
        <w:tc>
          <w:tcPr>
            <w:tcW w:w="394" w:type="pct"/>
            <w:tcBorders>
              <w:top w:val="single" w:sz="12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14.07</w:t>
            </w:r>
          </w:p>
        </w:tc>
      </w:tr>
      <w:tr w:rsidR="00684419" w:rsidRPr="00A419D7" w:rsidTr="00161D98">
        <w:trPr>
          <w:trHeight w:hRule="exact" w:val="591"/>
        </w:trPr>
        <w:tc>
          <w:tcPr>
            <w:tcW w:w="1014" w:type="pct"/>
            <w:tcBorders>
              <w:top w:val="single" w:sz="8" w:space="0" w:color="auto"/>
              <w:right w:val="nil"/>
            </w:tcBorders>
            <w:shd w:val="clear" w:color="auto" w:fill="auto"/>
          </w:tcPr>
          <w:p w:rsidR="00684419" w:rsidRPr="00FD0F0A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FD0F0A">
              <w:rPr>
                <w:rFonts w:ascii="Times New Roman" w:hAnsi="Times New Roman" w:cs="Times New Roman"/>
                <w:b/>
              </w:rPr>
              <w:t xml:space="preserve">%Recovery 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95.649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98.386</w:t>
            </w:r>
          </w:p>
        </w:tc>
        <w:tc>
          <w:tcPr>
            <w:tcW w:w="498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104.470</w:t>
            </w:r>
          </w:p>
        </w:tc>
        <w:tc>
          <w:tcPr>
            <w:tcW w:w="393" w:type="pct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4.54</w:t>
            </w:r>
          </w:p>
        </w:tc>
        <w:tc>
          <w:tcPr>
            <w:tcW w:w="85" w:type="pct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3" w:type="pct"/>
            <w:tcBorders>
              <w:top w:val="single" w:sz="8" w:space="0" w:color="auto"/>
              <w:left w:val="single" w:sz="12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65.42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83.448</w:t>
            </w:r>
          </w:p>
        </w:tc>
        <w:tc>
          <w:tcPr>
            <w:tcW w:w="397" w:type="pct"/>
            <w:tcBorders>
              <w:top w:val="single" w:sz="8" w:space="0" w:color="auto"/>
              <w:left w:val="nil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77.519</w:t>
            </w:r>
          </w:p>
        </w:tc>
        <w:tc>
          <w:tcPr>
            <w:tcW w:w="394" w:type="pct"/>
            <w:tcBorders>
              <w:top w:val="single" w:sz="8" w:space="0" w:color="auto"/>
              <w:lef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12.17</w:t>
            </w:r>
          </w:p>
        </w:tc>
      </w:tr>
      <w:tr w:rsidR="00684419" w:rsidRPr="00A419D7" w:rsidTr="00161D98">
        <w:trPr>
          <w:trHeight w:hRule="exact" w:val="591"/>
        </w:trPr>
        <w:tc>
          <w:tcPr>
            <w:tcW w:w="1014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84419" w:rsidRPr="00FD0F0A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FD0F0A">
              <w:rPr>
                <w:rFonts w:ascii="Times New Roman" w:hAnsi="Times New Roman" w:cs="Times New Roman"/>
                <w:b/>
              </w:rPr>
              <w:t xml:space="preserve">%Matrix Effect </w:t>
            </w:r>
          </w:p>
        </w:tc>
        <w:tc>
          <w:tcPr>
            <w:tcW w:w="63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101.865</w:t>
            </w:r>
          </w:p>
        </w:tc>
        <w:tc>
          <w:tcPr>
            <w:tcW w:w="4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101.874</w:t>
            </w:r>
          </w:p>
        </w:tc>
        <w:tc>
          <w:tcPr>
            <w:tcW w:w="498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96.152</w:t>
            </w:r>
          </w:p>
        </w:tc>
        <w:tc>
          <w:tcPr>
            <w:tcW w:w="393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3.302</w:t>
            </w:r>
          </w:p>
        </w:tc>
        <w:tc>
          <w:tcPr>
            <w:tcW w:w="8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86.691</w:t>
            </w:r>
          </w:p>
        </w:tc>
        <w:tc>
          <w:tcPr>
            <w:tcW w:w="5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89.250</w:t>
            </w:r>
          </w:p>
        </w:tc>
        <w:tc>
          <w:tcPr>
            <w:tcW w:w="39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92.217</w:t>
            </w:r>
          </w:p>
        </w:tc>
        <w:tc>
          <w:tcPr>
            <w:tcW w:w="394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3.094</w:t>
            </w:r>
          </w:p>
        </w:tc>
      </w:tr>
      <w:tr w:rsidR="00684419" w:rsidRPr="00A419D7" w:rsidTr="00161D98">
        <w:trPr>
          <w:trHeight w:hRule="exact" w:val="591"/>
        </w:trPr>
        <w:tc>
          <w:tcPr>
            <w:tcW w:w="1014" w:type="pct"/>
            <w:tcBorders>
              <w:bottom w:val="single" w:sz="12" w:space="0" w:color="auto"/>
              <w:right w:val="nil"/>
            </w:tcBorders>
            <w:shd w:val="clear" w:color="auto" w:fill="auto"/>
          </w:tcPr>
          <w:p w:rsidR="00684419" w:rsidRPr="00FD0F0A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FD0F0A">
              <w:rPr>
                <w:rFonts w:ascii="Times New Roman" w:hAnsi="Times New Roman" w:cs="Times New Roman"/>
                <w:b/>
              </w:rPr>
              <w:t>%Analysis Recovery</w:t>
            </w:r>
          </w:p>
        </w:tc>
        <w:tc>
          <w:tcPr>
            <w:tcW w:w="631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79.216</w:t>
            </w:r>
          </w:p>
        </w:tc>
        <w:tc>
          <w:tcPr>
            <w:tcW w:w="498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81.612</w:t>
            </w:r>
          </w:p>
        </w:tc>
        <w:tc>
          <w:tcPr>
            <w:tcW w:w="498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94.339</w:t>
            </w:r>
          </w:p>
        </w:tc>
        <w:tc>
          <w:tcPr>
            <w:tcW w:w="393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9.557</w:t>
            </w:r>
          </w:p>
        </w:tc>
        <w:tc>
          <w:tcPr>
            <w:tcW w:w="8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53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65.330</w:t>
            </w:r>
          </w:p>
        </w:tc>
        <w:tc>
          <w:tcPr>
            <w:tcW w:w="537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94.104</w:t>
            </w:r>
          </w:p>
        </w:tc>
        <w:tc>
          <w:tcPr>
            <w:tcW w:w="397" w:type="pct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82.326</w:t>
            </w:r>
          </w:p>
        </w:tc>
        <w:tc>
          <w:tcPr>
            <w:tcW w:w="39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  <w:i/>
                <w:iCs/>
                <w:szCs w:val="23"/>
              </w:rPr>
            </w:pPr>
            <w:r w:rsidRPr="00895BC0">
              <w:rPr>
                <w:rFonts w:ascii="Times New Roman" w:hAnsi="Times New Roman" w:cs="Times New Roman"/>
                <w:i/>
                <w:iCs/>
                <w:szCs w:val="23"/>
              </w:rPr>
              <w:t>17.951</w:t>
            </w:r>
          </w:p>
        </w:tc>
      </w:tr>
    </w:tbl>
    <w:p w:rsidR="00684419" w:rsidRDefault="00684419" w:rsidP="00684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419" w:rsidRDefault="00684419" w:rsidP="00684419">
      <w:pPr>
        <w:spacing w:before="57" w:after="170" w:line="280" w:lineRule="atLeast"/>
        <w:rPr>
          <w:rFonts w:eastAsia="Times New Roman"/>
          <w:b/>
          <w:color w:val="0070C0"/>
          <w:lang w:val="en-US"/>
        </w:rPr>
      </w:pPr>
      <w:r w:rsidRPr="00416C7A">
        <w:rPr>
          <w:rFonts w:ascii="Times New Roman" w:eastAsia="Times New Roman" w:hAnsi="Times New Roman" w:cs="Times New Roman"/>
          <w:sz w:val="20"/>
        </w:rPr>
        <w:t xml:space="preserve">Abbreviations: </w:t>
      </w:r>
      <w:r w:rsidR="00AD3EA3">
        <w:rPr>
          <w:rFonts w:ascii="Times New Roman" w:eastAsia="Times New Roman" w:hAnsi="Times New Roman" w:cs="Times New Roman"/>
          <w:sz w:val="20"/>
        </w:rPr>
        <w:t>LLOQ</w:t>
      </w:r>
      <w:r w:rsidRPr="00416C7A">
        <w:rPr>
          <w:rFonts w:ascii="Times New Roman" w:eastAsia="Times New Roman" w:hAnsi="Times New Roman" w:cs="Times New Roman"/>
          <w:sz w:val="20"/>
        </w:rPr>
        <w:t xml:space="preserve"> lower limit of quantification; LQC, low quality control sample; MQC, medium quality control sample; HQC, high quality control sample; n=6 in </w:t>
      </w:r>
      <w:r>
        <w:rPr>
          <w:rFonts w:ascii="Times New Roman" w:eastAsia="Times New Roman" w:hAnsi="Times New Roman" w:cs="Times New Roman"/>
          <w:sz w:val="20"/>
        </w:rPr>
        <w:t>this experiment.</w:t>
      </w:r>
      <w:r w:rsidR="0050766D">
        <w:rPr>
          <w:rFonts w:ascii="Times New Roman" w:eastAsia="Times New Roman" w:hAnsi="Times New Roman" w:cs="Times New Roman"/>
          <w:sz w:val="20"/>
        </w:rPr>
        <w:t xml:space="preserve"> %CV is the coefficient of variation. </w:t>
      </w:r>
    </w:p>
    <w:p w:rsidR="00FC29E4" w:rsidRPr="00FC29E4" w:rsidRDefault="00FC29E4" w:rsidP="00FC29E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8"/>
          <w:szCs w:val="24"/>
        </w:rPr>
      </w:pPr>
    </w:p>
    <w:p w:rsidR="00FC29E4" w:rsidRPr="00FC29E4" w:rsidRDefault="00FC29E4" w:rsidP="00FC29E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8"/>
          <w:szCs w:val="24"/>
        </w:rPr>
      </w:pPr>
    </w:p>
    <w:p w:rsidR="00FC29E4" w:rsidRPr="00FC29E4" w:rsidRDefault="00FC29E4" w:rsidP="00FC29E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8"/>
          <w:szCs w:val="24"/>
        </w:rPr>
      </w:pPr>
    </w:p>
    <w:p w:rsidR="00FC29E4" w:rsidRPr="00FC29E4" w:rsidRDefault="00FC29E4" w:rsidP="00FC29E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8"/>
          <w:szCs w:val="24"/>
        </w:rPr>
      </w:pPr>
    </w:p>
    <w:p w:rsidR="00FC29E4" w:rsidRPr="00FC29E4" w:rsidRDefault="00FC29E4" w:rsidP="00FC29E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8"/>
          <w:szCs w:val="24"/>
        </w:rPr>
      </w:pPr>
    </w:p>
    <w:p w:rsidR="00FC29E4" w:rsidRPr="00FC29E4" w:rsidRDefault="00FC29E4" w:rsidP="00FC29E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8"/>
          <w:szCs w:val="24"/>
        </w:rPr>
      </w:pPr>
    </w:p>
    <w:p w:rsidR="00FC29E4" w:rsidRPr="00FC29E4" w:rsidRDefault="00FC29E4" w:rsidP="00FC29E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8"/>
          <w:szCs w:val="24"/>
        </w:rPr>
      </w:pPr>
    </w:p>
    <w:p w:rsidR="00FC29E4" w:rsidRPr="00FC29E4" w:rsidRDefault="00FC29E4" w:rsidP="00FC29E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8"/>
          <w:szCs w:val="24"/>
        </w:rPr>
      </w:pPr>
    </w:p>
    <w:p w:rsidR="00FC29E4" w:rsidRPr="00FC29E4" w:rsidRDefault="00FC29E4" w:rsidP="00FC29E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8"/>
          <w:szCs w:val="24"/>
        </w:rPr>
      </w:pPr>
    </w:p>
    <w:p w:rsidR="00FC29E4" w:rsidRPr="00FC29E4" w:rsidRDefault="00FC29E4" w:rsidP="00FC29E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8"/>
          <w:szCs w:val="24"/>
        </w:rPr>
      </w:pPr>
    </w:p>
    <w:p w:rsidR="00FC29E4" w:rsidRPr="00FC29E4" w:rsidRDefault="00FC29E4" w:rsidP="00FC29E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vanish/>
          <w:sz w:val="28"/>
          <w:szCs w:val="24"/>
        </w:rPr>
      </w:pPr>
    </w:p>
    <w:p w:rsidR="00684419" w:rsidRDefault="00684419">
      <w:pPr>
        <w:spacing w:after="160" w:line="259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684419" w:rsidRDefault="00684419" w:rsidP="00FC29E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  <w:sectPr w:rsidR="00684419" w:rsidSect="00684419">
          <w:pgSz w:w="16838" w:h="11906" w:orient="landscape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p w:rsidR="00684419" w:rsidRPr="00161D98" w:rsidRDefault="00684419" w:rsidP="00161D98">
      <w:pPr>
        <w:spacing w:before="57" w:after="170" w:line="280" w:lineRule="atLeast"/>
        <w:rPr>
          <w:rFonts w:ascii="Times New Roman" w:eastAsia="Times New Roman" w:hAnsi="Times New Roman" w:cs="Times New Roman"/>
          <w:lang w:val="en-US"/>
        </w:rPr>
      </w:pPr>
      <w:r w:rsidRPr="00161D98">
        <w:rPr>
          <w:rFonts w:ascii="Times New Roman" w:eastAsia="Times New Roman" w:hAnsi="Times New Roman" w:cs="Times New Roman"/>
          <w:b/>
          <w:bCs/>
          <w:lang w:val="en-US"/>
        </w:rPr>
        <w:t xml:space="preserve">Table 4. </w:t>
      </w:r>
      <w:r w:rsidRPr="00161D98">
        <w:rPr>
          <w:rFonts w:ascii="Times New Roman" w:eastAsia="Times New Roman" w:hAnsi="Times New Roman" w:cs="Times New Roman"/>
          <w:lang w:val="en-US"/>
        </w:rPr>
        <w:t xml:space="preserve">Stability of NHC and MPV (plasma only) </w:t>
      </w:r>
    </w:p>
    <w:p w:rsidR="00684419" w:rsidRDefault="00684419">
      <w:pPr>
        <w:spacing w:after="160" w:line="259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5"/>
        <w:gridCol w:w="852"/>
        <w:gridCol w:w="1421"/>
        <w:gridCol w:w="1561"/>
        <w:gridCol w:w="1507"/>
      </w:tblGrid>
      <w:tr w:rsidR="00684419" w:rsidRPr="004A5923" w:rsidTr="00161D98">
        <w:trPr>
          <w:trHeight w:hRule="exact" w:val="612"/>
        </w:trPr>
        <w:tc>
          <w:tcPr>
            <w:tcW w:w="251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84419" w:rsidRPr="004A5923" w:rsidRDefault="00684419" w:rsidP="00161D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Stability</w:t>
            </w:r>
          </w:p>
        </w:tc>
        <w:tc>
          <w:tcPr>
            <w:tcW w:w="78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84419" w:rsidRPr="004A5923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FD0F0A">
              <w:rPr>
                <w:rFonts w:ascii="Times New Roman" w:hAnsi="Times New Roman" w:cs="Times New Roman"/>
                <w:b/>
              </w:rPr>
              <w:t>LQC</w:t>
            </w:r>
          </w:p>
        </w:tc>
        <w:tc>
          <w:tcPr>
            <w:tcW w:w="86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84419" w:rsidRPr="004A5923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FD0F0A">
              <w:rPr>
                <w:rFonts w:ascii="Times New Roman" w:hAnsi="Times New Roman" w:cs="Times New Roman"/>
                <w:b/>
              </w:rPr>
              <w:t>MQC</w:t>
            </w:r>
          </w:p>
        </w:tc>
        <w:tc>
          <w:tcPr>
            <w:tcW w:w="83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684419" w:rsidRPr="004A5923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FD0F0A">
              <w:rPr>
                <w:rFonts w:ascii="Times New Roman" w:hAnsi="Times New Roman" w:cs="Times New Roman"/>
                <w:b/>
              </w:rPr>
              <w:t>HQC</w:t>
            </w:r>
          </w:p>
        </w:tc>
      </w:tr>
      <w:tr w:rsidR="00684419" w:rsidRPr="004A5923" w:rsidTr="00161D98">
        <w:trPr>
          <w:trHeight w:hRule="exact" w:val="508"/>
        </w:trPr>
        <w:tc>
          <w:tcPr>
            <w:tcW w:w="2041" w:type="pct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4419" w:rsidRPr="004A5923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4A5923">
              <w:rPr>
                <w:rFonts w:ascii="Times New Roman" w:hAnsi="Times New Roman" w:cs="Times New Roman"/>
                <w:b/>
              </w:rPr>
              <w:t>Freeze thaw (1 cycle)</w:t>
            </w:r>
            <w:r w:rsidRPr="004A5923">
              <w:rPr>
                <w:rFonts w:ascii="Times New Roman" w:hAnsi="Times New Roman" w:cs="Times New Roman"/>
                <w:b/>
              </w:rPr>
              <w:br/>
            </w:r>
            <w:r w:rsidRPr="004A5923">
              <w:rPr>
                <w:rFonts w:ascii="Times New Roman" w:hAnsi="Times New Roman" w:cs="Times New Roman"/>
              </w:rPr>
              <w:t>Plasma (-80°C)</w:t>
            </w:r>
          </w:p>
        </w:tc>
        <w:tc>
          <w:tcPr>
            <w:tcW w:w="472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4419" w:rsidRPr="004A5923" w:rsidRDefault="00684419" w:rsidP="00161D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NHC</w:t>
            </w:r>
          </w:p>
        </w:tc>
        <w:tc>
          <w:tcPr>
            <w:tcW w:w="787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895BC0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65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895BC0">
              <w:rPr>
                <w:rFonts w:ascii="Times New Roman" w:hAnsi="Times New Roman" w:cs="Times New Roman"/>
              </w:rPr>
              <w:t>8.35</w:t>
            </w:r>
          </w:p>
        </w:tc>
        <w:tc>
          <w:tcPr>
            <w:tcW w:w="835" w:type="pc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895BC0">
              <w:rPr>
                <w:rFonts w:ascii="Times New Roman" w:hAnsi="Times New Roman" w:cs="Times New Roman"/>
              </w:rPr>
              <w:t>3.55</w:t>
            </w:r>
          </w:p>
        </w:tc>
      </w:tr>
      <w:tr w:rsidR="00684419" w:rsidRPr="004A5923" w:rsidTr="00161D98">
        <w:trPr>
          <w:trHeight w:hRule="exact" w:val="454"/>
        </w:trPr>
        <w:tc>
          <w:tcPr>
            <w:tcW w:w="2041" w:type="pct"/>
            <w:vMerge/>
            <w:tcBorders>
              <w:left w:val="nil"/>
              <w:right w:val="nil"/>
            </w:tcBorders>
            <w:vAlign w:val="center"/>
          </w:tcPr>
          <w:p w:rsidR="00684419" w:rsidRPr="004A5923" w:rsidRDefault="00684419" w:rsidP="00161D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pct"/>
            <w:tcBorders>
              <w:left w:val="nil"/>
              <w:right w:val="nil"/>
            </w:tcBorders>
            <w:vAlign w:val="center"/>
          </w:tcPr>
          <w:p w:rsidR="00684419" w:rsidRPr="004A5923" w:rsidRDefault="00684419" w:rsidP="00161D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MPV</w:t>
            </w:r>
          </w:p>
        </w:tc>
        <w:tc>
          <w:tcPr>
            <w:tcW w:w="787" w:type="pct"/>
            <w:tcBorders>
              <w:left w:val="nil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895BC0">
              <w:rPr>
                <w:rFonts w:ascii="Times New Roman" w:hAnsi="Times New Roman" w:cs="Times New Roman"/>
              </w:rPr>
              <w:t>-8.91</w:t>
            </w:r>
          </w:p>
        </w:tc>
        <w:tc>
          <w:tcPr>
            <w:tcW w:w="865" w:type="pct"/>
            <w:tcBorders>
              <w:left w:val="nil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895BC0">
              <w:rPr>
                <w:rFonts w:ascii="Times New Roman" w:hAnsi="Times New Roman" w:cs="Times New Roman"/>
              </w:rPr>
              <w:t>-7. 9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35" w:type="pct"/>
            <w:tcBorders>
              <w:left w:val="nil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895BC0">
              <w:rPr>
                <w:rFonts w:ascii="Times New Roman" w:hAnsi="Times New Roman" w:cs="Times New Roman"/>
              </w:rPr>
              <w:t>-3.37</w:t>
            </w:r>
          </w:p>
        </w:tc>
      </w:tr>
      <w:tr w:rsidR="00684419" w:rsidRPr="004A5923" w:rsidTr="00161D98">
        <w:trPr>
          <w:trHeight w:hRule="exact" w:val="437"/>
        </w:trPr>
        <w:tc>
          <w:tcPr>
            <w:tcW w:w="2041" w:type="pct"/>
            <w:vMerge w:val="restart"/>
            <w:tcBorders>
              <w:left w:val="nil"/>
              <w:right w:val="nil"/>
            </w:tcBorders>
            <w:vAlign w:val="center"/>
          </w:tcPr>
          <w:p w:rsidR="00684419" w:rsidRPr="004A5923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4A5923">
              <w:rPr>
                <w:rFonts w:ascii="Times New Roman" w:hAnsi="Times New Roman" w:cs="Times New Roman"/>
                <w:b/>
              </w:rPr>
              <w:t>Autosampler</w:t>
            </w:r>
            <w:r>
              <w:rPr>
                <w:rFonts w:ascii="Times New Roman" w:hAnsi="Times New Roman" w:cs="Times New Roman"/>
                <w:b/>
              </w:rPr>
              <w:t xml:space="preserve"> Stability </w:t>
            </w:r>
            <w:r w:rsidRPr="004A5923"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A5923">
              <w:rPr>
                <w:rFonts w:ascii="Times New Roman" w:hAnsi="Times New Roman" w:cs="Times New Roman"/>
                <w:b/>
              </w:rPr>
              <w:t xml:space="preserve"> °C) </w:t>
            </w:r>
            <w:r w:rsidRPr="004A5923">
              <w:rPr>
                <w:rFonts w:ascii="Times New Roman" w:hAnsi="Times New Roman" w:cs="Times New Roman"/>
                <w:b/>
              </w:rPr>
              <w:br/>
            </w:r>
            <w:r w:rsidRPr="001D4D01">
              <w:rPr>
                <w:rFonts w:ascii="Times New Roman" w:hAnsi="Times New Roman" w:cs="Times New Roman"/>
              </w:rPr>
              <w:t>Processed (over 48 hours)</w:t>
            </w:r>
            <w:r w:rsidRPr="004A59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72" w:type="pct"/>
            <w:tcBorders>
              <w:left w:val="nil"/>
              <w:right w:val="nil"/>
            </w:tcBorders>
            <w:vAlign w:val="center"/>
          </w:tcPr>
          <w:p w:rsidR="00684419" w:rsidRPr="004A5923" w:rsidRDefault="00684419" w:rsidP="00161D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NHC</w:t>
            </w:r>
          </w:p>
        </w:tc>
        <w:tc>
          <w:tcPr>
            <w:tcW w:w="787" w:type="pct"/>
            <w:tcBorders>
              <w:left w:val="nil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895BC0">
              <w:rPr>
                <w:rFonts w:ascii="Times New Roman" w:hAnsi="Times New Roman" w:cs="Times New Roman"/>
              </w:rPr>
              <w:t>1.5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tcBorders>
              <w:left w:val="nil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895BC0">
              <w:rPr>
                <w:rFonts w:ascii="Times New Roman" w:hAnsi="Times New Roman" w:cs="Times New Roman"/>
              </w:rPr>
              <w:t>4.3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left w:val="nil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895BC0">
              <w:rPr>
                <w:rFonts w:ascii="Times New Roman" w:hAnsi="Times New Roman" w:cs="Times New Roman"/>
              </w:rPr>
              <w:t>7.8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419" w:rsidRPr="004A5923" w:rsidTr="00161D98">
        <w:trPr>
          <w:trHeight w:hRule="exact" w:val="428"/>
        </w:trPr>
        <w:tc>
          <w:tcPr>
            <w:tcW w:w="2041" w:type="pct"/>
            <w:vMerge/>
            <w:tcBorders>
              <w:left w:val="nil"/>
              <w:right w:val="nil"/>
            </w:tcBorders>
            <w:vAlign w:val="center"/>
          </w:tcPr>
          <w:p w:rsidR="00684419" w:rsidRPr="003137AB" w:rsidRDefault="00684419" w:rsidP="00161D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pct"/>
            <w:tcBorders>
              <w:left w:val="nil"/>
              <w:right w:val="nil"/>
            </w:tcBorders>
            <w:vAlign w:val="center"/>
          </w:tcPr>
          <w:p w:rsidR="00684419" w:rsidRPr="003137AB" w:rsidRDefault="00684419" w:rsidP="00161D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MPV</w:t>
            </w:r>
          </w:p>
        </w:tc>
        <w:tc>
          <w:tcPr>
            <w:tcW w:w="787" w:type="pct"/>
            <w:tcBorders>
              <w:left w:val="nil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895BC0">
              <w:rPr>
                <w:rFonts w:ascii="Times New Roman" w:hAnsi="Times New Roman" w:cs="Times New Roman"/>
              </w:rPr>
              <w:t>7.14</w:t>
            </w: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tcBorders>
              <w:left w:val="nil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895BC0">
              <w:rPr>
                <w:rFonts w:ascii="Times New Roman" w:hAnsi="Times New Roman" w:cs="Times New Roman"/>
              </w:rPr>
              <w:t>0.04</w:t>
            </w: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left w:val="nil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895BC0">
              <w:rPr>
                <w:rFonts w:ascii="Times New Roman" w:hAnsi="Times New Roman" w:cs="Times New Roman"/>
              </w:rPr>
              <w:t>1.69</w:t>
            </w: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419" w:rsidRPr="004A5923" w:rsidTr="00161D98">
        <w:trPr>
          <w:trHeight w:hRule="exact" w:val="420"/>
        </w:trPr>
        <w:tc>
          <w:tcPr>
            <w:tcW w:w="2041" w:type="pct"/>
            <w:vMerge w:val="restart"/>
            <w:tcBorders>
              <w:left w:val="nil"/>
              <w:right w:val="nil"/>
            </w:tcBorders>
            <w:vAlign w:val="center"/>
          </w:tcPr>
          <w:p w:rsidR="00684419" w:rsidRPr="003137AB" w:rsidRDefault="00684419" w:rsidP="00161D98">
            <w:pPr>
              <w:rPr>
                <w:rFonts w:ascii="Times New Roman" w:hAnsi="Times New Roman" w:cs="Times New Roman"/>
                <w:b/>
              </w:rPr>
            </w:pPr>
            <w:r w:rsidRPr="003137AB">
              <w:rPr>
                <w:rFonts w:ascii="Times New Roman" w:hAnsi="Times New Roman" w:cs="Times New Roman"/>
                <w:b/>
              </w:rPr>
              <w:t xml:space="preserve">Reinjection Reproducibility (24 hrs) </w:t>
            </w:r>
            <w:r w:rsidRPr="003137AB">
              <w:rPr>
                <w:rFonts w:ascii="Times New Roman" w:hAnsi="Times New Roman" w:cs="Times New Roman"/>
                <w:b/>
              </w:rPr>
              <w:br/>
            </w:r>
          </w:p>
        </w:tc>
        <w:tc>
          <w:tcPr>
            <w:tcW w:w="472" w:type="pct"/>
            <w:tcBorders>
              <w:left w:val="nil"/>
              <w:right w:val="nil"/>
            </w:tcBorders>
            <w:vAlign w:val="center"/>
          </w:tcPr>
          <w:p w:rsidR="00684419" w:rsidRPr="003137AB" w:rsidRDefault="00684419" w:rsidP="00161D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NHC</w:t>
            </w:r>
          </w:p>
        </w:tc>
        <w:tc>
          <w:tcPr>
            <w:tcW w:w="787" w:type="pct"/>
            <w:tcBorders>
              <w:left w:val="nil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895BC0">
              <w:rPr>
                <w:rFonts w:ascii="Times New Roman" w:hAnsi="Times New Roman" w:cs="Times New Roman"/>
              </w:rPr>
              <w:t>5.66</w:t>
            </w: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tcBorders>
              <w:left w:val="nil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895BC0">
              <w:rPr>
                <w:rFonts w:ascii="Times New Roman" w:hAnsi="Times New Roman" w:cs="Times New Roman"/>
              </w:rPr>
              <w:t>8.9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left w:val="nil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895BC0">
              <w:rPr>
                <w:rFonts w:ascii="Times New Roman" w:hAnsi="Times New Roman" w:cs="Times New Roman"/>
              </w:rPr>
              <w:t>3.7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4419" w:rsidRPr="004A5923" w:rsidTr="00161D98">
        <w:trPr>
          <w:trHeight w:hRule="exact" w:val="427"/>
        </w:trPr>
        <w:tc>
          <w:tcPr>
            <w:tcW w:w="2041" w:type="pct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84419" w:rsidRPr="003137AB" w:rsidRDefault="00684419" w:rsidP="00161D9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2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84419" w:rsidRPr="003137AB" w:rsidRDefault="00684419" w:rsidP="00161D9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MPV</w:t>
            </w:r>
          </w:p>
        </w:tc>
        <w:tc>
          <w:tcPr>
            <w:tcW w:w="787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895BC0">
              <w:rPr>
                <w:rFonts w:ascii="Times New Roman" w:hAnsi="Times New Roman" w:cs="Times New Roman"/>
              </w:rPr>
              <w:t>-2.8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5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895BC0">
              <w:rPr>
                <w:rFonts w:ascii="Times New Roman" w:hAnsi="Times New Roman" w:cs="Times New Roman"/>
              </w:rPr>
              <w:t>10.1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" w:type="pct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  <w:r w:rsidRPr="00895BC0">
              <w:rPr>
                <w:rFonts w:ascii="Times New Roman" w:hAnsi="Times New Roman" w:cs="Times New Roman"/>
              </w:rPr>
              <w:t>3.27</w:t>
            </w: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</w:p>
          <w:p w:rsidR="00684419" w:rsidRPr="00895BC0" w:rsidRDefault="00684419" w:rsidP="00161D9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84419" w:rsidRDefault="00684419" w:rsidP="00161D98">
      <w:pPr>
        <w:spacing w:after="0" w:line="259" w:lineRule="auto"/>
        <w:rPr>
          <w:rFonts w:ascii="Times New Roman" w:hAnsi="Times New Roman" w:cs="Times New Roman"/>
          <w:b/>
          <w:sz w:val="28"/>
          <w:szCs w:val="24"/>
        </w:rPr>
      </w:pPr>
    </w:p>
    <w:p w:rsidR="00684419" w:rsidRPr="001D4D01" w:rsidRDefault="00684419" w:rsidP="00684419">
      <w:pPr>
        <w:spacing w:before="57" w:after="170" w:line="280" w:lineRule="atLeast"/>
        <w:jc w:val="both"/>
        <w:rPr>
          <w:rFonts w:ascii="Times New Roman" w:eastAsia="Times New Roman" w:hAnsi="Times New Roman" w:cs="Times New Roman"/>
          <w:bCs/>
          <w:lang w:val="en-US"/>
        </w:rPr>
      </w:pPr>
      <w:r w:rsidRPr="00416C7A">
        <w:rPr>
          <w:rFonts w:ascii="Times New Roman" w:eastAsia="Times New Roman" w:hAnsi="Times New Roman" w:cs="Times New Roman"/>
          <w:sz w:val="20"/>
        </w:rPr>
        <w:t xml:space="preserve">Abbreviations: </w:t>
      </w:r>
      <w:r w:rsidR="00AD3EA3">
        <w:rPr>
          <w:rFonts w:ascii="Times New Roman" w:eastAsia="Times New Roman" w:hAnsi="Times New Roman" w:cs="Times New Roman"/>
          <w:sz w:val="20"/>
        </w:rPr>
        <w:t>LLOQ</w:t>
      </w:r>
      <w:r w:rsidRPr="00416C7A">
        <w:rPr>
          <w:rFonts w:ascii="Times New Roman" w:eastAsia="Times New Roman" w:hAnsi="Times New Roman" w:cs="Times New Roman"/>
          <w:sz w:val="20"/>
        </w:rPr>
        <w:t xml:space="preserve"> lower limit of quantification; LQC, low quality control sample; MQC, medium quality control sample; HQC, high quality control sample; n=6 in 3 separate runs. </w:t>
      </w:r>
      <w:r w:rsidRPr="001D4D01">
        <w:rPr>
          <w:rFonts w:ascii="Times New Roman" w:eastAsia="Times New Roman" w:hAnsi="Times New Roman" w:cs="Times New Roman"/>
          <w:bCs/>
          <w:lang w:val="en-US"/>
        </w:rPr>
        <w:t>Values are expressed as % stability, compared against freshly prepared samples</w:t>
      </w:r>
      <w:r>
        <w:rPr>
          <w:rFonts w:ascii="Times New Roman" w:eastAsia="Times New Roman" w:hAnsi="Times New Roman" w:cs="Times New Roman"/>
          <w:bCs/>
          <w:lang w:val="en-US"/>
        </w:rPr>
        <w:t>, with the exception of autosampler stability.</w:t>
      </w:r>
      <w:r w:rsidRPr="00416C7A">
        <w:rPr>
          <w:rFonts w:ascii="Times New Roman" w:eastAsia="Times New Roman" w:hAnsi="Times New Roman" w:cs="Times New Roman"/>
          <w:sz w:val="20"/>
        </w:rPr>
        <w:t xml:space="preserve"> Criteria for acceptable range of </w:t>
      </w:r>
      <w:r>
        <w:rPr>
          <w:rFonts w:ascii="Times New Roman" w:eastAsia="Times New Roman" w:hAnsi="Times New Roman" w:cs="Times New Roman"/>
          <w:sz w:val="20"/>
        </w:rPr>
        <w:t>stability</w:t>
      </w:r>
      <w:r w:rsidRPr="00416C7A">
        <w:rPr>
          <w:rFonts w:ascii="Times New Roman" w:eastAsia="Times New Roman" w:hAnsi="Times New Roman" w:cs="Times New Roman"/>
          <w:sz w:val="20"/>
        </w:rPr>
        <w:t xml:space="preserve"> is ±15 %.</w:t>
      </w:r>
    </w:p>
    <w:p w:rsidR="00684419" w:rsidRDefault="00684419">
      <w:pPr>
        <w:spacing w:after="160" w:line="259" w:lineRule="auto"/>
        <w:rPr>
          <w:rFonts w:ascii="Times New Roman" w:hAnsi="Times New Roman" w:cs="Times New Roman"/>
          <w:b/>
          <w:sz w:val="28"/>
          <w:szCs w:val="24"/>
        </w:rPr>
      </w:pPr>
    </w:p>
    <w:p w:rsidR="00684419" w:rsidRDefault="00684419">
      <w:pPr>
        <w:spacing w:after="160" w:line="259" w:lineRule="auto"/>
        <w:rPr>
          <w:rFonts w:ascii="Times New Roman" w:hAnsi="Times New Roman" w:cs="Times New Roman"/>
          <w:b/>
          <w:sz w:val="28"/>
          <w:szCs w:val="24"/>
        </w:rPr>
      </w:pPr>
    </w:p>
    <w:p w:rsidR="00684419" w:rsidRDefault="00684419">
      <w:pPr>
        <w:spacing w:after="160" w:line="259" w:lineRule="auto"/>
        <w:rPr>
          <w:rFonts w:ascii="Times New Roman" w:hAnsi="Times New Roman" w:cs="Times New Roman"/>
          <w:b/>
          <w:sz w:val="28"/>
          <w:szCs w:val="24"/>
        </w:rPr>
      </w:pPr>
    </w:p>
    <w:p w:rsidR="00684419" w:rsidRDefault="00684419" w:rsidP="00684419">
      <w:pPr>
        <w:spacing w:before="57" w:after="170" w:line="280" w:lineRule="atLeast"/>
        <w:rPr>
          <w:rFonts w:ascii="Times New Roman" w:hAnsi="Times New Roman" w:cs="Times New Roman"/>
          <w:b/>
          <w:sz w:val="24"/>
          <w:szCs w:val="24"/>
        </w:rPr>
      </w:pPr>
      <w:r w:rsidRPr="00FC4DCC">
        <w:rPr>
          <w:rFonts w:ascii="Times New Roman" w:eastAsia="Times New Roman" w:hAnsi="Times New Roman" w:cs="Times New Roman"/>
          <w:b/>
          <w:bCs/>
          <w:lang w:val="en-US"/>
        </w:rPr>
        <w:t xml:space="preserve">Table </w:t>
      </w:r>
      <w:r>
        <w:rPr>
          <w:rFonts w:ascii="Times New Roman" w:eastAsia="Times New Roman" w:hAnsi="Times New Roman" w:cs="Times New Roman"/>
          <w:b/>
          <w:bCs/>
          <w:lang w:val="en-US"/>
        </w:rPr>
        <w:t>5</w:t>
      </w:r>
      <w:r w:rsidRPr="00FC4DCC">
        <w:rPr>
          <w:rFonts w:ascii="Times New Roman" w:eastAsia="Times New Roman" w:hAnsi="Times New Roman" w:cs="Times New Roman"/>
          <w:b/>
          <w:bCs/>
          <w:lang w:val="en-US"/>
        </w:rPr>
        <w:t xml:space="preserve">. </w:t>
      </w:r>
      <w:r w:rsidRPr="00C37888">
        <w:rPr>
          <w:rFonts w:ascii="Times New Roman" w:eastAsia="Times New Roman" w:hAnsi="Times New Roman" w:cs="Times New Roman"/>
          <w:bCs/>
          <w:lang w:val="en-US"/>
        </w:rPr>
        <w:t>Summary</w:t>
      </w:r>
      <w:r w:rsidR="00F202C4">
        <w:rPr>
          <w:rFonts w:ascii="Times New Roman" w:eastAsia="Times New Roman" w:hAnsi="Times New Roman" w:cs="Times New Roman"/>
          <w:bCs/>
          <w:lang w:val="en-US"/>
        </w:rPr>
        <w:t xml:space="preserve"> of</w:t>
      </w:r>
      <w:r w:rsidRPr="00C37888">
        <w:rPr>
          <w:rFonts w:ascii="Times New Roman" w:eastAsia="Times New Roman" w:hAnsi="Times New Roman" w:cs="Times New Roman"/>
          <w:bCs/>
          <w:lang w:val="en-US"/>
        </w:rPr>
        <w:t xml:space="preserve"> plasma and saliva concentrations in</w:t>
      </w:r>
      <w:r w:rsidRPr="00C37888">
        <w:rPr>
          <w:rFonts w:ascii="Times New Roman" w:hAnsi="Times New Roman" w:cs="Times New Roman"/>
          <w:sz w:val="24"/>
          <w:szCs w:val="24"/>
        </w:rPr>
        <w:t xml:space="preserve"> </w:t>
      </w:r>
      <w:r w:rsidRPr="00C37888">
        <w:rPr>
          <w:rFonts w:ascii="Times New Roman" w:eastAsia="Times New Roman" w:hAnsi="Times New Roman" w:cs="Times New Roman"/>
          <w:bCs/>
          <w:lang w:val="en-US"/>
        </w:rPr>
        <w:t>patients</w:t>
      </w:r>
    </w:p>
    <w:p w:rsidR="00684419" w:rsidRDefault="00684419" w:rsidP="00161D98">
      <w:pPr>
        <w:spacing w:after="0" w:line="259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8855" w:type="dxa"/>
        <w:tblLook w:val="04A0" w:firstRow="1" w:lastRow="0" w:firstColumn="1" w:lastColumn="0" w:noHBand="0" w:noVBand="1"/>
      </w:tblPr>
      <w:tblGrid>
        <w:gridCol w:w="2619"/>
        <w:gridCol w:w="1536"/>
        <w:gridCol w:w="2347"/>
        <w:gridCol w:w="2353"/>
      </w:tblGrid>
      <w:tr w:rsidR="00684419" w:rsidRPr="002A497D" w:rsidTr="00161D98">
        <w:trPr>
          <w:trHeight w:val="460"/>
        </w:trPr>
        <w:tc>
          <w:tcPr>
            <w:tcW w:w="2619" w:type="dxa"/>
            <w:vMerge w:val="restart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684419" w:rsidRPr="00FD6441" w:rsidRDefault="00684419" w:rsidP="001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D6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Summary</w:t>
            </w:r>
          </w:p>
          <w:p w:rsidR="00684419" w:rsidRPr="00FD6441" w:rsidRDefault="00684419" w:rsidP="001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FD6441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Statistics</w:t>
            </w:r>
          </w:p>
        </w:tc>
        <w:tc>
          <w:tcPr>
            <w:tcW w:w="3883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84419" w:rsidRPr="00FD6441" w:rsidRDefault="00684419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6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NHC Concentration (ng/</w:t>
            </w:r>
            <w:r w:rsidR="00AD3E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ml</w:t>
            </w:r>
            <w:r w:rsidRPr="00FD6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)</w:t>
            </w:r>
          </w:p>
        </w:tc>
        <w:tc>
          <w:tcPr>
            <w:tcW w:w="235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84419" w:rsidRPr="00FD6441" w:rsidRDefault="003F2622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FD6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Saliva </w:t>
            </w:r>
            <w:r w:rsidR="00684419" w:rsidRPr="00FD6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/</w:t>
            </w:r>
            <w:r w:rsidRPr="00FD6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Plasma</w:t>
            </w:r>
          </w:p>
          <w:p w:rsidR="00684419" w:rsidRPr="00FD6441" w:rsidRDefault="00684419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FD64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Ratio</w:t>
            </w:r>
          </w:p>
        </w:tc>
      </w:tr>
      <w:tr w:rsidR="00684419" w:rsidRPr="002A497D" w:rsidTr="00F202C4">
        <w:trPr>
          <w:trHeight w:val="460"/>
        </w:trPr>
        <w:tc>
          <w:tcPr>
            <w:tcW w:w="2619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84419" w:rsidRPr="001D4D01" w:rsidRDefault="00684419" w:rsidP="001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84419" w:rsidRPr="001D4D01" w:rsidRDefault="003F2622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D4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Saliva</w:t>
            </w:r>
          </w:p>
        </w:tc>
        <w:tc>
          <w:tcPr>
            <w:tcW w:w="23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84419" w:rsidRPr="001D4D01" w:rsidRDefault="003F2622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1D4D0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Plasma </w:t>
            </w:r>
          </w:p>
        </w:tc>
        <w:tc>
          <w:tcPr>
            <w:tcW w:w="2353" w:type="dxa"/>
            <w:vMerge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84419" w:rsidRPr="001D4D01" w:rsidRDefault="00684419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</w:p>
        </w:tc>
      </w:tr>
      <w:tr w:rsidR="00684419" w:rsidRPr="002A497D" w:rsidTr="00F202C4">
        <w:trPr>
          <w:trHeight w:val="460"/>
        </w:trPr>
        <w:tc>
          <w:tcPr>
            <w:tcW w:w="2619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84419" w:rsidRPr="00925F77" w:rsidRDefault="00684419" w:rsidP="001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25F7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Mean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84419" w:rsidRPr="001D4D01" w:rsidRDefault="00437DD5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42</w:t>
            </w:r>
            <w:r w:rsidR="00F202C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E33A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51</w:t>
            </w:r>
          </w:p>
        </w:tc>
        <w:tc>
          <w:tcPr>
            <w:tcW w:w="2347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84419" w:rsidRPr="001D4D01" w:rsidRDefault="00F202C4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  <w:r w:rsidR="00E33A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040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.3</w:t>
            </w:r>
            <w:r w:rsidR="00E33A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84419" w:rsidRPr="001D4D01" w:rsidRDefault="00F202C4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</w:t>
            </w:r>
            <w:r w:rsidR="00E33A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</w:tr>
      <w:tr w:rsidR="00684419" w:rsidRPr="002A497D" w:rsidTr="00F202C4">
        <w:trPr>
          <w:trHeight w:val="460"/>
        </w:trPr>
        <w:tc>
          <w:tcPr>
            <w:tcW w:w="261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84419" w:rsidRPr="00925F77" w:rsidRDefault="00684419" w:rsidP="001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25F7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Geometric Mean</w:t>
            </w:r>
          </w:p>
        </w:tc>
        <w:tc>
          <w:tcPr>
            <w:tcW w:w="153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84419" w:rsidRPr="001D4D01" w:rsidRDefault="00E33A16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21.95</w:t>
            </w:r>
          </w:p>
        </w:tc>
        <w:tc>
          <w:tcPr>
            <w:tcW w:w="2347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84419" w:rsidRPr="001D4D01" w:rsidRDefault="00F202C4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  <w:r w:rsidR="00E33A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37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E33A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52</w:t>
            </w:r>
          </w:p>
        </w:tc>
        <w:tc>
          <w:tcPr>
            <w:tcW w:w="2353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84419" w:rsidRPr="001D4D01" w:rsidRDefault="00F202C4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0.0</w:t>
            </w:r>
            <w:r w:rsidR="00E33A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</w:tr>
      <w:tr w:rsidR="00684419" w:rsidRPr="002A497D" w:rsidTr="00F202C4">
        <w:trPr>
          <w:trHeight w:val="460"/>
        </w:trPr>
        <w:tc>
          <w:tcPr>
            <w:tcW w:w="261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84419" w:rsidRPr="00925F77" w:rsidRDefault="00684419" w:rsidP="001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25F7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SD</w:t>
            </w:r>
          </w:p>
        </w:tc>
        <w:tc>
          <w:tcPr>
            <w:tcW w:w="153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84419" w:rsidRPr="001D4D01" w:rsidRDefault="00E33A16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47.11</w:t>
            </w:r>
          </w:p>
        </w:tc>
        <w:tc>
          <w:tcPr>
            <w:tcW w:w="2347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84419" w:rsidRPr="001D4D01" w:rsidRDefault="00E33A16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734</w:t>
            </w:r>
            <w:r w:rsidR="00F202C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2353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684419" w:rsidRPr="001D4D01" w:rsidRDefault="00F202C4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</w:t>
            </w:r>
            <w:r w:rsidR="00E33A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</w:t>
            </w:r>
          </w:p>
        </w:tc>
      </w:tr>
      <w:tr w:rsidR="00234451" w:rsidRPr="002A497D" w:rsidTr="00F202C4">
        <w:trPr>
          <w:trHeight w:val="460"/>
        </w:trPr>
        <w:tc>
          <w:tcPr>
            <w:tcW w:w="2619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34451" w:rsidRPr="00925F77" w:rsidRDefault="000E1EEC" w:rsidP="001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0E1EEC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>%CV</w:t>
            </w:r>
          </w:p>
        </w:tc>
        <w:tc>
          <w:tcPr>
            <w:tcW w:w="1536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34451" w:rsidRDefault="00E33A16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110</w:t>
            </w:r>
            <w:r w:rsidR="000E1EEC" w:rsidRPr="000E1EE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83</w:t>
            </w:r>
          </w:p>
        </w:tc>
        <w:tc>
          <w:tcPr>
            <w:tcW w:w="2347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34451" w:rsidRDefault="00E33A16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</w:t>
            </w:r>
            <w:r w:rsidR="000E1EEC" w:rsidRPr="000E1EE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2353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234451" w:rsidRDefault="000E1EEC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0E1EE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  <w:r w:rsidR="00E33A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26</w:t>
            </w:r>
            <w:r w:rsidRPr="000E1EEC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.</w:t>
            </w:r>
            <w:r w:rsidR="00E33A1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75</w:t>
            </w:r>
          </w:p>
        </w:tc>
      </w:tr>
      <w:tr w:rsidR="00684419" w:rsidRPr="002A497D" w:rsidTr="00F202C4">
        <w:trPr>
          <w:trHeight w:val="460"/>
        </w:trPr>
        <w:tc>
          <w:tcPr>
            <w:tcW w:w="2619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84419" w:rsidRPr="00925F77" w:rsidRDefault="00684419" w:rsidP="001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</w:pPr>
            <w:r w:rsidRPr="00925F77">
              <w:rPr>
                <w:rFonts w:ascii="Times New Roman" w:eastAsia="Times New Roman" w:hAnsi="Times New Roman" w:cs="Times New Roman"/>
                <w:b/>
                <w:color w:val="000000"/>
                <w:lang w:eastAsia="en-GB"/>
              </w:rPr>
              <w:t xml:space="preserve">N = </w:t>
            </w:r>
          </w:p>
        </w:tc>
        <w:tc>
          <w:tcPr>
            <w:tcW w:w="1536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84419" w:rsidRPr="001D4D01" w:rsidRDefault="00E33A16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234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84419" w:rsidRPr="001D4D01" w:rsidRDefault="00E33A16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235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684419" w:rsidRPr="001D4D01" w:rsidRDefault="00E33A16" w:rsidP="001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20</w:t>
            </w:r>
          </w:p>
        </w:tc>
      </w:tr>
    </w:tbl>
    <w:p w:rsidR="00684419" w:rsidRDefault="00684419">
      <w:pPr>
        <w:spacing w:after="160" w:line="259" w:lineRule="auto"/>
        <w:rPr>
          <w:rFonts w:ascii="Times New Roman" w:hAnsi="Times New Roman" w:cs="Times New Roman"/>
          <w:b/>
          <w:sz w:val="28"/>
          <w:szCs w:val="24"/>
        </w:rPr>
      </w:pPr>
    </w:p>
    <w:p w:rsidR="00684419" w:rsidRDefault="00684419">
      <w:pPr>
        <w:spacing w:after="160" w:line="259" w:lineRule="auto"/>
        <w:rPr>
          <w:rFonts w:ascii="Times New Roman" w:hAnsi="Times New Roman" w:cs="Times New Roman"/>
          <w:b/>
          <w:sz w:val="28"/>
          <w:szCs w:val="24"/>
        </w:rPr>
      </w:pPr>
    </w:p>
    <w:p w:rsidR="00684419" w:rsidRDefault="00684419">
      <w:pPr>
        <w:spacing w:after="160" w:line="259" w:lineRule="auto"/>
        <w:rPr>
          <w:rFonts w:ascii="Times New Roman" w:hAnsi="Times New Roman" w:cs="Times New Roman"/>
          <w:b/>
          <w:sz w:val="28"/>
          <w:szCs w:val="24"/>
        </w:rPr>
      </w:pPr>
    </w:p>
    <w:p w:rsidR="00F202C4" w:rsidRDefault="00F202C4">
      <w:pPr>
        <w:spacing w:after="160" w:line="259" w:lineRule="auto"/>
        <w:rPr>
          <w:rFonts w:ascii="Times New Roman" w:hAnsi="Times New Roman" w:cs="Times New Roman"/>
          <w:b/>
          <w:sz w:val="28"/>
          <w:szCs w:val="24"/>
        </w:rPr>
      </w:pPr>
    </w:p>
    <w:p w:rsidR="00684419" w:rsidRDefault="00684419">
      <w:pPr>
        <w:spacing w:after="160" w:line="259" w:lineRule="auto"/>
        <w:rPr>
          <w:rFonts w:ascii="Times New Roman" w:hAnsi="Times New Roman" w:cs="Times New Roman"/>
          <w:b/>
          <w:sz w:val="28"/>
          <w:szCs w:val="24"/>
        </w:rPr>
      </w:pPr>
    </w:p>
    <w:p w:rsidR="00DE6041" w:rsidRPr="00FC29E4" w:rsidRDefault="00FC29E4" w:rsidP="00FC29E4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E6041" w:rsidRPr="00FC29E4">
        <w:rPr>
          <w:rFonts w:ascii="Times New Roman" w:hAnsi="Times New Roman" w:cs="Times New Roman"/>
          <w:b/>
          <w:sz w:val="28"/>
          <w:szCs w:val="24"/>
        </w:rPr>
        <w:t>Legends</w:t>
      </w:r>
      <w:r w:rsidR="00161D98">
        <w:rPr>
          <w:rFonts w:ascii="Times New Roman" w:hAnsi="Times New Roman" w:cs="Times New Roman"/>
          <w:b/>
          <w:sz w:val="28"/>
          <w:szCs w:val="24"/>
        </w:rPr>
        <w:t xml:space="preserve"> of figures</w:t>
      </w:r>
    </w:p>
    <w:p w:rsidR="00DE6041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637906">
        <w:rPr>
          <w:rFonts w:ascii="Times New Roman" w:hAnsi="Times New Roman" w:cs="Times New Roman"/>
          <w:b/>
          <w:szCs w:val="24"/>
        </w:rPr>
        <w:t>Fig</w:t>
      </w:r>
      <w:r>
        <w:rPr>
          <w:rFonts w:ascii="Times New Roman" w:hAnsi="Times New Roman" w:cs="Times New Roman"/>
          <w:b/>
          <w:szCs w:val="24"/>
        </w:rPr>
        <w:t>ure</w:t>
      </w:r>
      <w:r w:rsidRPr="00637906">
        <w:rPr>
          <w:rFonts w:ascii="Times New Roman" w:hAnsi="Times New Roman" w:cs="Times New Roman"/>
          <w:b/>
          <w:szCs w:val="24"/>
        </w:rPr>
        <w:t xml:space="preserve"> 1</w:t>
      </w:r>
      <w:r>
        <w:rPr>
          <w:rFonts w:ascii="Times New Roman" w:hAnsi="Times New Roman" w:cs="Times New Roman"/>
          <w:b/>
          <w:szCs w:val="24"/>
        </w:rPr>
        <w:t>.</w:t>
      </w:r>
      <w:r w:rsidRPr="00637906">
        <w:rPr>
          <w:rFonts w:ascii="Times New Roman" w:hAnsi="Times New Roman" w:cs="Times New Roman"/>
          <w:b/>
          <w:szCs w:val="24"/>
        </w:rPr>
        <w:t xml:space="preserve"> </w:t>
      </w:r>
      <w:r w:rsidRPr="00637906">
        <w:rPr>
          <w:rFonts w:ascii="Times New Roman" w:hAnsi="Times New Roman" w:cs="Times New Roman"/>
          <w:szCs w:val="24"/>
        </w:rPr>
        <w:t xml:space="preserve">Chromatograms of </w:t>
      </w:r>
      <w:r w:rsidR="009F6F97">
        <w:rPr>
          <w:rFonts w:ascii="Times New Roman" w:hAnsi="Times New Roman" w:cs="Times New Roman"/>
          <w:szCs w:val="24"/>
        </w:rPr>
        <w:t>NHC</w:t>
      </w:r>
      <w:r w:rsidRPr="004E3B06">
        <w:rPr>
          <w:rFonts w:ascii="Times New Roman" w:hAnsi="Times New Roman" w:cs="Times New Roman"/>
          <w:szCs w:val="24"/>
        </w:rPr>
        <w:t xml:space="preserve"> and </w:t>
      </w:r>
      <w:r w:rsidR="009F6F97">
        <w:rPr>
          <w:rFonts w:ascii="Times New Roman" w:hAnsi="Times New Roman" w:cs="Times New Roman"/>
          <w:szCs w:val="24"/>
        </w:rPr>
        <w:t>MPV</w:t>
      </w:r>
      <w:r w:rsidRPr="004E3B0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in </w:t>
      </w:r>
      <w:r w:rsidRPr="00637906">
        <w:rPr>
          <w:rFonts w:ascii="Times New Roman" w:hAnsi="Times New Roman" w:cs="Times New Roman"/>
          <w:b/>
          <w:szCs w:val="24"/>
        </w:rPr>
        <w:t>Plasma</w:t>
      </w:r>
      <w:r>
        <w:rPr>
          <w:rFonts w:ascii="Times New Roman" w:hAnsi="Times New Roman" w:cs="Times New Roman"/>
          <w:szCs w:val="24"/>
        </w:rPr>
        <w:t xml:space="preserve"> in </w:t>
      </w:r>
      <w:r w:rsidRPr="00280407">
        <w:rPr>
          <w:rFonts w:ascii="Times New Roman" w:hAnsi="Times New Roman" w:cs="Times New Roman"/>
          <w:szCs w:val="24"/>
        </w:rPr>
        <w:t>a) Blank</w:t>
      </w:r>
      <w:r w:rsidR="009F6F97">
        <w:rPr>
          <w:rFonts w:ascii="Times New Roman" w:hAnsi="Times New Roman" w:cs="Times New Roman"/>
          <w:szCs w:val="24"/>
        </w:rPr>
        <w:t xml:space="preserve"> extracted</w:t>
      </w:r>
      <w:r w:rsidRPr="00280407">
        <w:rPr>
          <w:rFonts w:ascii="Times New Roman" w:hAnsi="Times New Roman" w:cs="Times New Roman"/>
          <w:szCs w:val="24"/>
        </w:rPr>
        <w:t xml:space="preserve"> plasma sample</w:t>
      </w:r>
      <w:r>
        <w:rPr>
          <w:rFonts w:ascii="Times New Roman" w:hAnsi="Times New Roman" w:cs="Times New Roman"/>
          <w:szCs w:val="24"/>
        </w:rPr>
        <w:t>;</w:t>
      </w:r>
      <w:r w:rsidRPr="00280407">
        <w:rPr>
          <w:rFonts w:ascii="Times New Roman" w:hAnsi="Times New Roman" w:cs="Times New Roman"/>
          <w:szCs w:val="24"/>
        </w:rPr>
        <w:t xml:space="preserve"> b) Spiked with </w:t>
      </w:r>
      <w:r w:rsidR="00E406B2" w:rsidRPr="00744169">
        <w:rPr>
          <w:rFonts w:ascii="Times New Roman" w:hAnsi="Times New Roman" w:cs="Times New Roman"/>
          <w:i/>
          <w:szCs w:val="24"/>
        </w:rPr>
        <w:t>2</w:t>
      </w:r>
      <w:r w:rsidRPr="00744169">
        <w:rPr>
          <w:rFonts w:ascii="Times New Roman" w:hAnsi="Times New Roman" w:cs="Times New Roman"/>
          <w:i/>
          <w:szCs w:val="24"/>
        </w:rPr>
        <w:t>.</w:t>
      </w:r>
      <w:r w:rsidR="00E406B2" w:rsidRPr="00744169">
        <w:rPr>
          <w:rFonts w:ascii="Times New Roman" w:hAnsi="Times New Roman" w:cs="Times New Roman"/>
          <w:i/>
          <w:szCs w:val="24"/>
        </w:rPr>
        <w:t xml:space="preserve">5 </w:t>
      </w:r>
      <w:r w:rsidRPr="00744169">
        <w:rPr>
          <w:rFonts w:ascii="Times New Roman" w:hAnsi="Times New Roman" w:cs="Times New Roman"/>
          <w:i/>
          <w:szCs w:val="24"/>
        </w:rPr>
        <w:t>ng/</w:t>
      </w:r>
      <w:r w:rsidR="00AD3EA3">
        <w:rPr>
          <w:rFonts w:ascii="Times New Roman" w:hAnsi="Times New Roman" w:cs="Times New Roman"/>
          <w:i/>
          <w:szCs w:val="24"/>
        </w:rPr>
        <w:t>ml</w:t>
      </w:r>
      <w:r w:rsidR="00E406B2">
        <w:rPr>
          <w:rFonts w:ascii="Times New Roman" w:hAnsi="Times New Roman" w:cs="Times New Roman"/>
          <w:szCs w:val="24"/>
        </w:rPr>
        <w:t xml:space="preserve"> </w:t>
      </w:r>
      <w:r w:rsidRPr="00280407">
        <w:rPr>
          <w:rFonts w:ascii="Times New Roman" w:hAnsi="Times New Roman" w:cs="Times New Roman"/>
          <w:szCs w:val="24"/>
        </w:rPr>
        <w:t>(</w:t>
      </w:r>
      <w:r w:rsidR="00AD3EA3">
        <w:rPr>
          <w:rFonts w:ascii="Times New Roman" w:hAnsi="Times New Roman" w:cs="Times New Roman"/>
          <w:szCs w:val="24"/>
        </w:rPr>
        <w:t>LLOQ</w:t>
      </w:r>
      <w:r w:rsidRPr="00280407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>;</w:t>
      </w:r>
      <w:r w:rsidRPr="00280407">
        <w:rPr>
          <w:rFonts w:ascii="Times New Roman" w:hAnsi="Times New Roman" w:cs="Times New Roman"/>
          <w:szCs w:val="24"/>
        </w:rPr>
        <w:t xml:space="preserve"> c) Patient sample</w:t>
      </w:r>
      <w:r w:rsidR="00684419">
        <w:rPr>
          <w:rFonts w:ascii="Times New Roman" w:hAnsi="Times New Roman" w:cs="Times New Roman"/>
          <w:szCs w:val="24"/>
        </w:rPr>
        <w:t>,</w:t>
      </w:r>
      <w:r w:rsidR="00744169">
        <w:rPr>
          <w:rFonts w:ascii="Times New Roman" w:hAnsi="Times New Roman" w:cs="Times New Roman"/>
          <w:sz w:val="20"/>
          <w:szCs w:val="24"/>
        </w:rPr>
        <w:t xml:space="preserve"> </w:t>
      </w:r>
      <w:r w:rsidR="00744169" w:rsidRPr="00744169">
        <w:rPr>
          <w:rFonts w:ascii="Times New Roman" w:hAnsi="Times New Roman" w:cs="Times New Roman"/>
          <w:i/>
          <w:sz w:val="20"/>
          <w:szCs w:val="24"/>
        </w:rPr>
        <w:t>4245.7</w:t>
      </w:r>
      <w:r w:rsidR="0074416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744169" w:rsidRPr="00744169">
        <w:rPr>
          <w:rFonts w:ascii="Times New Roman" w:hAnsi="Times New Roman" w:cs="Times New Roman"/>
          <w:i/>
          <w:sz w:val="20"/>
          <w:szCs w:val="24"/>
        </w:rPr>
        <w:t>ng/</w:t>
      </w:r>
      <w:r w:rsidR="00AD3EA3">
        <w:rPr>
          <w:rFonts w:ascii="Times New Roman" w:hAnsi="Times New Roman" w:cs="Times New Roman"/>
          <w:i/>
          <w:sz w:val="20"/>
          <w:szCs w:val="24"/>
        </w:rPr>
        <w:t>ml</w:t>
      </w:r>
      <w:r w:rsidR="00744169" w:rsidRPr="00744169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="00744169" w:rsidRPr="00744169">
        <w:rPr>
          <w:rFonts w:ascii="Times New Roman" w:hAnsi="Times New Roman" w:cs="Times New Roman"/>
          <w:b/>
          <w:sz w:val="20"/>
          <w:szCs w:val="24"/>
        </w:rPr>
        <w:t>NHC</w:t>
      </w:r>
      <w:r w:rsidR="00744169">
        <w:rPr>
          <w:rFonts w:ascii="Times New Roman" w:hAnsi="Times New Roman" w:cs="Times New Roman"/>
          <w:sz w:val="20"/>
          <w:szCs w:val="24"/>
        </w:rPr>
        <w:t xml:space="preserve">; </w:t>
      </w:r>
      <w:r w:rsidR="00744169" w:rsidRPr="00744169">
        <w:rPr>
          <w:rFonts w:ascii="Times New Roman" w:hAnsi="Times New Roman" w:cs="Times New Roman"/>
          <w:b/>
          <w:sz w:val="20"/>
          <w:szCs w:val="24"/>
        </w:rPr>
        <w:t>MPV</w:t>
      </w:r>
      <w:r w:rsidR="00744169">
        <w:rPr>
          <w:rFonts w:ascii="Times New Roman" w:hAnsi="Times New Roman" w:cs="Times New Roman"/>
          <w:sz w:val="20"/>
          <w:szCs w:val="24"/>
        </w:rPr>
        <w:t xml:space="preserve"> </w:t>
      </w:r>
      <w:r w:rsidR="00744169" w:rsidRPr="00744169">
        <w:rPr>
          <w:rFonts w:ascii="Times New Roman" w:hAnsi="Times New Roman" w:cs="Times New Roman"/>
          <w:i/>
          <w:sz w:val="20"/>
          <w:szCs w:val="24"/>
        </w:rPr>
        <w:t>&lt;</w:t>
      </w:r>
      <w:r w:rsidR="00AD3EA3">
        <w:rPr>
          <w:rFonts w:ascii="Times New Roman" w:hAnsi="Times New Roman" w:cs="Times New Roman"/>
          <w:i/>
          <w:sz w:val="20"/>
          <w:szCs w:val="24"/>
        </w:rPr>
        <w:t>LLOQ</w:t>
      </w:r>
      <w:r>
        <w:rPr>
          <w:rFonts w:ascii="Times New Roman" w:hAnsi="Times New Roman" w:cs="Times New Roman"/>
          <w:szCs w:val="24"/>
        </w:rPr>
        <w:t>;</w:t>
      </w:r>
      <w:r w:rsidRPr="00280407">
        <w:rPr>
          <w:rFonts w:ascii="Times New Roman" w:hAnsi="Times New Roman" w:cs="Times New Roman"/>
          <w:szCs w:val="24"/>
        </w:rPr>
        <w:t xml:space="preserve"> </w:t>
      </w:r>
      <w:r w:rsidR="00E406B2">
        <w:rPr>
          <w:rFonts w:ascii="Times New Roman" w:hAnsi="Times New Roman" w:cs="Times New Roman"/>
          <w:szCs w:val="24"/>
        </w:rPr>
        <w:t>all with</w:t>
      </w:r>
      <w:r w:rsidRPr="00280407">
        <w:rPr>
          <w:rFonts w:ascii="Times New Roman" w:hAnsi="Times New Roman" w:cs="Times New Roman"/>
          <w:szCs w:val="24"/>
        </w:rPr>
        <w:t xml:space="preserve"> </w:t>
      </w:r>
      <w:r w:rsidR="00684419">
        <w:rPr>
          <w:rFonts w:ascii="Times New Roman" w:hAnsi="Times New Roman" w:cs="Times New Roman"/>
          <w:szCs w:val="24"/>
        </w:rPr>
        <w:t>i</w:t>
      </w:r>
      <w:r w:rsidRPr="00280407">
        <w:rPr>
          <w:rFonts w:ascii="Times New Roman" w:hAnsi="Times New Roman" w:cs="Times New Roman"/>
          <w:szCs w:val="24"/>
        </w:rPr>
        <w:t>nternal standard</w:t>
      </w:r>
      <w:r>
        <w:rPr>
          <w:rFonts w:ascii="Times New Roman" w:hAnsi="Times New Roman" w:cs="Times New Roman"/>
          <w:szCs w:val="24"/>
        </w:rPr>
        <w:t>s</w:t>
      </w:r>
    </w:p>
    <w:p w:rsidR="00DE6041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DE6041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87B68">
        <w:rPr>
          <w:rFonts w:ascii="Times New Roman" w:hAnsi="Times New Roman" w:cs="Times New Roman"/>
          <w:b/>
          <w:szCs w:val="24"/>
        </w:rPr>
        <w:t>Fig</w:t>
      </w:r>
      <w:r>
        <w:rPr>
          <w:rFonts w:ascii="Times New Roman" w:hAnsi="Times New Roman" w:cs="Times New Roman"/>
          <w:b/>
          <w:szCs w:val="24"/>
        </w:rPr>
        <w:t>ure</w:t>
      </w:r>
      <w:r w:rsidRPr="00487B68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2.</w:t>
      </w:r>
      <w:r w:rsidRPr="00487B68">
        <w:rPr>
          <w:rFonts w:ascii="Times New Roman" w:hAnsi="Times New Roman" w:cs="Times New Roman"/>
          <w:b/>
          <w:szCs w:val="24"/>
        </w:rPr>
        <w:t xml:space="preserve"> </w:t>
      </w:r>
      <w:r w:rsidRPr="00487B68">
        <w:rPr>
          <w:rFonts w:ascii="Times New Roman" w:hAnsi="Times New Roman" w:cs="Times New Roman"/>
          <w:szCs w:val="24"/>
        </w:rPr>
        <w:t xml:space="preserve">Chromatograms of </w:t>
      </w:r>
      <w:r w:rsidR="009F6F97">
        <w:rPr>
          <w:rFonts w:ascii="Times New Roman" w:hAnsi="Times New Roman" w:cs="Times New Roman"/>
          <w:szCs w:val="24"/>
        </w:rPr>
        <w:t xml:space="preserve">NHC </w:t>
      </w:r>
      <w:r w:rsidRPr="006301EC">
        <w:rPr>
          <w:rFonts w:ascii="Times New Roman" w:hAnsi="Times New Roman" w:cs="Times New Roman"/>
          <w:szCs w:val="24"/>
        </w:rPr>
        <w:t xml:space="preserve">and </w:t>
      </w:r>
      <w:r w:rsidR="009F6F97">
        <w:rPr>
          <w:rFonts w:ascii="Times New Roman" w:hAnsi="Times New Roman" w:cs="Times New Roman"/>
          <w:szCs w:val="24"/>
        </w:rPr>
        <w:t>MPV</w:t>
      </w:r>
      <w:r w:rsidRPr="006301E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in </w:t>
      </w:r>
      <w:r>
        <w:rPr>
          <w:rFonts w:ascii="Times New Roman" w:hAnsi="Times New Roman" w:cs="Times New Roman"/>
          <w:b/>
          <w:szCs w:val="24"/>
        </w:rPr>
        <w:t>Saliva</w:t>
      </w:r>
      <w:r>
        <w:rPr>
          <w:rFonts w:ascii="Times New Roman" w:hAnsi="Times New Roman" w:cs="Times New Roman"/>
          <w:szCs w:val="24"/>
        </w:rPr>
        <w:t xml:space="preserve"> in </w:t>
      </w:r>
      <w:r w:rsidR="00E406B2">
        <w:rPr>
          <w:rFonts w:ascii="Times New Roman" w:hAnsi="Times New Roman" w:cs="Times New Roman"/>
          <w:szCs w:val="24"/>
        </w:rPr>
        <w:t>a</w:t>
      </w:r>
      <w:r w:rsidRPr="00280407">
        <w:rPr>
          <w:rFonts w:ascii="Times New Roman" w:hAnsi="Times New Roman" w:cs="Times New Roman"/>
          <w:szCs w:val="24"/>
        </w:rPr>
        <w:t xml:space="preserve">) Chromatogram of Blank </w:t>
      </w:r>
      <w:r>
        <w:rPr>
          <w:rFonts w:ascii="Times New Roman" w:hAnsi="Times New Roman" w:cs="Times New Roman"/>
          <w:szCs w:val="24"/>
        </w:rPr>
        <w:t xml:space="preserve">PBS </w:t>
      </w:r>
      <w:r w:rsidRPr="00280407">
        <w:rPr>
          <w:rFonts w:ascii="Times New Roman" w:hAnsi="Times New Roman" w:cs="Times New Roman"/>
          <w:szCs w:val="24"/>
        </w:rPr>
        <w:t>sample</w:t>
      </w:r>
      <w:r>
        <w:rPr>
          <w:rFonts w:ascii="Times New Roman" w:hAnsi="Times New Roman" w:cs="Times New Roman"/>
          <w:szCs w:val="24"/>
        </w:rPr>
        <w:t xml:space="preserve">; </w:t>
      </w:r>
      <w:r w:rsidR="00E406B2">
        <w:rPr>
          <w:rFonts w:ascii="Times New Roman" w:hAnsi="Times New Roman" w:cs="Times New Roman"/>
          <w:szCs w:val="24"/>
        </w:rPr>
        <w:t>a</w:t>
      </w:r>
      <w:r w:rsidRPr="00280407">
        <w:rPr>
          <w:rFonts w:ascii="Times New Roman" w:hAnsi="Times New Roman" w:cs="Times New Roman"/>
          <w:szCs w:val="24"/>
        </w:rPr>
        <w:t xml:space="preserve">) Spiked with </w:t>
      </w:r>
      <w:r w:rsidR="00E406B2" w:rsidRPr="00744169">
        <w:rPr>
          <w:rFonts w:ascii="Times New Roman" w:hAnsi="Times New Roman" w:cs="Times New Roman"/>
          <w:i/>
          <w:szCs w:val="24"/>
        </w:rPr>
        <w:t>2.</w:t>
      </w:r>
      <w:r w:rsidRPr="00744169">
        <w:rPr>
          <w:rFonts w:ascii="Times New Roman" w:hAnsi="Times New Roman" w:cs="Times New Roman"/>
          <w:i/>
          <w:szCs w:val="24"/>
        </w:rPr>
        <w:t>5</w:t>
      </w:r>
      <w:r w:rsidR="00E406B2" w:rsidRPr="00744169">
        <w:rPr>
          <w:rFonts w:ascii="Times New Roman" w:hAnsi="Times New Roman" w:cs="Times New Roman"/>
          <w:i/>
          <w:szCs w:val="24"/>
        </w:rPr>
        <w:t xml:space="preserve"> </w:t>
      </w:r>
      <w:r w:rsidRPr="00744169">
        <w:rPr>
          <w:rFonts w:ascii="Times New Roman" w:hAnsi="Times New Roman" w:cs="Times New Roman"/>
          <w:i/>
          <w:szCs w:val="24"/>
        </w:rPr>
        <w:t>ng/</w:t>
      </w:r>
      <w:r w:rsidR="00AD3EA3">
        <w:rPr>
          <w:rFonts w:ascii="Times New Roman" w:hAnsi="Times New Roman" w:cs="Times New Roman"/>
          <w:i/>
          <w:szCs w:val="24"/>
        </w:rPr>
        <w:t>ml</w:t>
      </w:r>
      <w:r w:rsidRPr="00280407">
        <w:rPr>
          <w:rFonts w:ascii="Times New Roman" w:hAnsi="Times New Roman" w:cs="Times New Roman"/>
          <w:szCs w:val="24"/>
        </w:rPr>
        <w:t xml:space="preserve"> (</w:t>
      </w:r>
      <w:r w:rsidR="00AD3EA3">
        <w:rPr>
          <w:rFonts w:ascii="Times New Roman" w:hAnsi="Times New Roman" w:cs="Times New Roman"/>
          <w:szCs w:val="24"/>
        </w:rPr>
        <w:t>LLOQ</w:t>
      </w:r>
      <w:r w:rsidRPr="00280407"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Cs w:val="24"/>
        </w:rPr>
        <w:t xml:space="preserve">; </w:t>
      </w:r>
      <w:r w:rsidR="00E406B2">
        <w:rPr>
          <w:rFonts w:ascii="Times New Roman" w:hAnsi="Times New Roman" w:cs="Times New Roman"/>
          <w:szCs w:val="24"/>
        </w:rPr>
        <w:t>c</w:t>
      </w:r>
      <w:r w:rsidRPr="00280407">
        <w:rPr>
          <w:rFonts w:ascii="Times New Roman" w:hAnsi="Times New Roman" w:cs="Times New Roman"/>
          <w:szCs w:val="24"/>
        </w:rPr>
        <w:t>) Patient sample</w:t>
      </w:r>
      <w:r w:rsidR="00684419">
        <w:rPr>
          <w:rFonts w:ascii="Times New Roman" w:hAnsi="Times New Roman" w:cs="Times New Roman"/>
          <w:szCs w:val="24"/>
        </w:rPr>
        <w:t>,</w:t>
      </w:r>
      <w:r w:rsidR="00744169">
        <w:rPr>
          <w:rFonts w:ascii="Times New Roman" w:hAnsi="Times New Roman" w:cs="Times New Roman"/>
          <w:sz w:val="20"/>
          <w:szCs w:val="24"/>
        </w:rPr>
        <w:t xml:space="preserve"> </w:t>
      </w:r>
      <w:r w:rsidR="00744169" w:rsidRPr="00744169">
        <w:rPr>
          <w:rFonts w:ascii="Times New Roman" w:hAnsi="Times New Roman" w:cs="Times New Roman"/>
          <w:i/>
          <w:sz w:val="20"/>
          <w:szCs w:val="24"/>
        </w:rPr>
        <w:t>230.0 ng/</w:t>
      </w:r>
      <w:r w:rsidR="00AD3EA3">
        <w:rPr>
          <w:rFonts w:ascii="Times New Roman" w:hAnsi="Times New Roman" w:cs="Times New Roman"/>
          <w:i/>
          <w:sz w:val="20"/>
          <w:szCs w:val="24"/>
        </w:rPr>
        <w:t>ml</w:t>
      </w:r>
      <w:r w:rsidR="00744169">
        <w:rPr>
          <w:rFonts w:ascii="Times New Roman" w:hAnsi="Times New Roman" w:cs="Times New Roman"/>
          <w:sz w:val="20"/>
          <w:szCs w:val="24"/>
        </w:rPr>
        <w:t xml:space="preserve"> </w:t>
      </w:r>
      <w:r w:rsidR="00744169" w:rsidRPr="00744169">
        <w:rPr>
          <w:rFonts w:ascii="Times New Roman" w:hAnsi="Times New Roman" w:cs="Times New Roman"/>
          <w:b/>
          <w:sz w:val="20"/>
          <w:szCs w:val="24"/>
        </w:rPr>
        <w:t>NHC</w:t>
      </w:r>
      <w:r w:rsidR="00744169">
        <w:rPr>
          <w:rFonts w:ascii="Times New Roman" w:hAnsi="Times New Roman" w:cs="Times New Roman"/>
          <w:sz w:val="20"/>
          <w:szCs w:val="24"/>
        </w:rPr>
        <w:t xml:space="preserve">; </w:t>
      </w:r>
      <w:r w:rsidR="00744169" w:rsidRPr="00744169">
        <w:rPr>
          <w:rFonts w:ascii="Times New Roman" w:hAnsi="Times New Roman" w:cs="Times New Roman"/>
          <w:b/>
          <w:sz w:val="20"/>
          <w:szCs w:val="24"/>
        </w:rPr>
        <w:t>MPV</w:t>
      </w:r>
      <w:r w:rsidR="00744169">
        <w:rPr>
          <w:rFonts w:ascii="Times New Roman" w:hAnsi="Times New Roman" w:cs="Times New Roman"/>
          <w:sz w:val="20"/>
          <w:szCs w:val="24"/>
        </w:rPr>
        <w:t xml:space="preserve"> </w:t>
      </w:r>
      <w:r w:rsidR="00744169" w:rsidRPr="00744169">
        <w:rPr>
          <w:rFonts w:ascii="Times New Roman" w:hAnsi="Times New Roman" w:cs="Times New Roman"/>
          <w:i/>
          <w:sz w:val="20"/>
          <w:szCs w:val="24"/>
        </w:rPr>
        <w:t>&lt;</w:t>
      </w:r>
      <w:r w:rsidR="00AD3EA3">
        <w:rPr>
          <w:rFonts w:ascii="Times New Roman" w:hAnsi="Times New Roman" w:cs="Times New Roman"/>
          <w:i/>
          <w:sz w:val="20"/>
          <w:szCs w:val="24"/>
        </w:rPr>
        <w:t>LLOQ</w:t>
      </w:r>
      <w:r>
        <w:rPr>
          <w:rFonts w:ascii="Times New Roman" w:hAnsi="Times New Roman" w:cs="Times New Roman"/>
          <w:szCs w:val="24"/>
        </w:rPr>
        <w:t>;</w:t>
      </w:r>
      <w:r w:rsidRPr="00280407">
        <w:rPr>
          <w:rFonts w:ascii="Times New Roman" w:hAnsi="Times New Roman" w:cs="Times New Roman"/>
          <w:szCs w:val="24"/>
        </w:rPr>
        <w:t xml:space="preserve"> </w:t>
      </w:r>
      <w:r w:rsidR="00921674">
        <w:rPr>
          <w:rFonts w:ascii="Times New Roman" w:hAnsi="Times New Roman" w:cs="Times New Roman"/>
          <w:szCs w:val="24"/>
        </w:rPr>
        <w:t xml:space="preserve"> all with</w:t>
      </w:r>
      <w:r w:rsidRPr="00280407">
        <w:rPr>
          <w:rFonts w:ascii="Times New Roman" w:hAnsi="Times New Roman" w:cs="Times New Roman"/>
          <w:szCs w:val="24"/>
        </w:rPr>
        <w:t xml:space="preserve"> </w:t>
      </w:r>
      <w:r w:rsidR="00684419">
        <w:rPr>
          <w:rFonts w:ascii="Times New Roman" w:hAnsi="Times New Roman" w:cs="Times New Roman"/>
          <w:szCs w:val="24"/>
        </w:rPr>
        <w:t>i</w:t>
      </w:r>
      <w:r w:rsidRPr="00280407">
        <w:rPr>
          <w:rFonts w:ascii="Times New Roman" w:hAnsi="Times New Roman" w:cs="Times New Roman"/>
          <w:szCs w:val="24"/>
        </w:rPr>
        <w:t>nternal standard</w:t>
      </w:r>
      <w:r>
        <w:rPr>
          <w:rFonts w:ascii="Times New Roman" w:hAnsi="Times New Roman" w:cs="Times New Roman"/>
          <w:szCs w:val="24"/>
        </w:rPr>
        <w:t>s</w:t>
      </w:r>
    </w:p>
    <w:p w:rsidR="00DE6041" w:rsidRDefault="00DE6041" w:rsidP="00DE6041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</w:p>
    <w:p w:rsidR="00DE6041" w:rsidRDefault="00DE6041" w:rsidP="00DE6041">
      <w:pPr>
        <w:rPr>
          <w:rFonts w:ascii="Times New Roman" w:hAnsi="Times New Roman" w:cs="Times New Roman"/>
          <w:b/>
          <w:sz w:val="28"/>
          <w:szCs w:val="24"/>
        </w:rPr>
      </w:pPr>
    </w:p>
    <w:p w:rsidR="00DE6041" w:rsidRDefault="00DE6041" w:rsidP="00DE604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DE6041" w:rsidRDefault="00DE6041" w:rsidP="00DE6041">
      <w:pPr>
        <w:pStyle w:val="Bibliography"/>
        <w:rPr>
          <w:rStyle w:val="IntenseReference"/>
          <w:rFonts w:ascii="Times New Roman" w:hAnsi="Times New Roman" w:cs="Times New Roman"/>
          <w:sz w:val="28"/>
          <w:szCs w:val="28"/>
        </w:rPr>
      </w:pPr>
      <w:r w:rsidRPr="00FF276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BA6FCC">
        <w:rPr>
          <w:rStyle w:val="IntenseReference"/>
          <w:rFonts w:ascii="Times New Roman" w:hAnsi="Times New Roman" w:cs="Times New Roman"/>
          <w:color w:val="auto"/>
          <w:sz w:val="28"/>
          <w:szCs w:val="28"/>
        </w:rPr>
        <w:t>References</w:t>
      </w:r>
    </w:p>
    <w:p w:rsidR="00304E09" w:rsidRPr="00304E09" w:rsidRDefault="00304E09" w:rsidP="00BA6FCC">
      <w:pPr>
        <w:pStyle w:val="EndNoteBibliography"/>
        <w:spacing w:after="0" w:line="360" w:lineRule="auto"/>
        <w:jc w:val="both"/>
      </w:pPr>
      <w:r w:rsidRPr="00304E09">
        <w:t>[1] M.L. Agostini, A.J. Pruijssers, J.D. Chappell, J. Gribble, X. Lu, E.L. Andres, G.R. Bluemling, M.A. Lockwood, T.P. Sheahan, A.C. Sims, M.G. Natchus, M. Saindane, A.A. Kolykhalov, G.R. Painter, R.S. Baric, M.R. Denison, Small-Molecule Antiviral β-d-N (4)-Hydroxycytidine Inhibits a Proofreading-Intact Coronavirus with a High Genetic Barrier to Resistance, J Virol 93(24) (2019) e01348-19.</w:t>
      </w:r>
    </w:p>
    <w:p w:rsidR="00304E09" w:rsidRPr="00304E09" w:rsidRDefault="00304E09" w:rsidP="00BA6FCC">
      <w:pPr>
        <w:pStyle w:val="EndNoteBibliography"/>
        <w:spacing w:after="0" w:line="360" w:lineRule="auto"/>
        <w:jc w:val="both"/>
      </w:pPr>
      <w:r w:rsidRPr="00304E09">
        <w:t>[2] M. Toots, J.-J. Yoon, R.M. Cox, M. Hart, Z.M. Sticher, N. Makhsous, R. Plesker, A.H. Barrena, P.G. Reddy, D.G. Mitchell, R.C. Shean, G.R. Bluemling, A.A. Kolykhalov, A.L. Greninger, M.G. Natchus, G.R. Painter, R.K. Plemper, Characterization of orally efficacious influenza drug with high resistance barrier in ferrets and human airway epithelia, Science translational medicine 11(515) (2019) eaax5866.</w:t>
      </w:r>
    </w:p>
    <w:p w:rsidR="00304E09" w:rsidRPr="00304E09" w:rsidRDefault="00304E09" w:rsidP="00BA6FCC">
      <w:pPr>
        <w:pStyle w:val="EndNoteBibliography"/>
        <w:spacing w:after="0" w:line="360" w:lineRule="auto"/>
        <w:jc w:val="both"/>
      </w:pPr>
      <w:r w:rsidRPr="00304E09">
        <w:t>[3] T.P. Sheahan, A.C. Sims, S. Zhou, R.L. Graham, A.J. Pruijssers, M.L. Agostini, S.R. Leist, A. Schafer, K.H. Dinnon, 3rd, L.J. Stevens, J.D. Chappell, X. Lu, T.M. Hughes, A.S. George, C.S. Hill, S.A. Montgomery, A.J. Brown, G.R. Bluemling, M.G. Natchus, M. Saindane, A.A. Kolykhalov, G. Painter, J. Harcourt, A. Tamin, N.J. Thornburg, R. Swanstrom, M.R. Denison, R.S. Baric, An orally bioavailable broad-spectrum antiviral inhibits SARS-CoV-2 in human airway epithelial cell cultures and multiple coronaviruses in mice, Sci Transl Med 12(541) (2020).</w:t>
      </w:r>
    </w:p>
    <w:p w:rsidR="00304E09" w:rsidRPr="00304E09" w:rsidRDefault="00304E09" w:rsidP="00BA6FCC">
      <w:pPr>
        <w:pStyle w:val="EndNoteBibliography"/>
        <w:spacing w:after="0" w:line="360" w:lineRule="auto"/>
        <w:jc w:val="both"/>
      </w:pPr>
      <w:r w:rsidRPr="00304E09">
        <w:t>[4] G.R. Painter, R.A. Bowen, G.R. Bluemling, J. DeBergh, V. Edpuganti, P.R. Gruddanti, D.B. Guthrie, M. Hager, D.L. Kuiper, M.A. Lockwood, D.G. Mitchell, M.G. Natchus, Z.M. Sticher, A.A. Kolykhalov, The prophylactic and therapeutic activity of a broadly active ribonucleoside analog in a murine model of intranasal venezuelan equine encephalitis virus infection, Antiviral Res 171 (2019) 104597.</w:t>
      </w:r>
    </w:p>
    <w:p w:rsidR="00304E09" w:rsidRPr="00304E09" w:rsidRDefault="00304E09" w:rsidP="00BA6FCC">
      <w:pPr>
        <w:pStyle w:val="EndNoteBibliography"/>
        <w:spacing w:after="0" w:line="360" w:lineRule="auto"/>
        <w:jc w:val="both"/>
      </w:pPr>
      <w:r w:rsidRPr="00304E09">
        <w:t>[5] W.P. Painter, W. Holman, J.A. Bush, F. Almazedi, H. Malik, N.C.J.E. Eraut, M.J. Morin, L.J. Szewczyk, G.R. Painter, Human Safety, Tolerability, and Pharmacokinetics of a Novel Broad-Spectrum Oral Antiviral Compound, Molnupiravir, with Activity Against SARS-CoV-2, medRxiv  (2020) 2020.12.10.20235747.</w:t>
      </w:r>
    </w:p>
    <w:p w:rsidR="00304E09" w:rsidRPr="00304E09" w:rsidRDefault="00304E09" w:rsidP="00BA6FCC">
      <w:pPr>
        <w:pStyle w:val="EndNoteBibliography"/>
        <w:spacing w:after="0" w:line="360" w:lineRule="auto"/>
        <w:jc w:val="both"/>
      </w:pPr>
      <w:r w:rsidRPr="00304E09">
        <w:t>[6] K. Rosenke, F. Hansen, B. Schwarz, F. Feldmann, E. Haddock, R. Rosenke, K. Meade-White, A. Okumura, S. Leventhal, D.W. Hawman, E. Ricotta, C.M. Bosio, G. Saturday, H. Feldmann, M.A. Jarvis, Orally delivered MK-4482 inhibits SARS-CoV-2 replication in the Syrian hamster model, Res Sq  (2020) rs.3.rs-86289.</w:t>
      </w:r>
    </w:p>
    <w:p w:rsidR="00304E09" w:rsidRPr="00304E09" w:rsidRDefault="00304E09" w:rsidP="00BA6FCC">
      <w:pPr>
        <w:pStyle w:val="EndNoteBibliography"/>
        <w:spacing w:after="0" w:line="360" w:lineRule="auto"/>
        <w:jc w:val="both"/>
      </w:pPr>
      <w:r w:rsidRPr="00304E09">
        <w:t>[7] F.a.D.A. US Department of Health and Human Services, Center for Drug Evaluation and Research (CDER), Center for Veterinary medicine (CVM). Bioanalytical Method Validation, Guidance for Industry, 2020.</w:t>
      </w:r>
    </w:p>
    <w:p w:rsidR="005F01AF" w:rsidRDefault="00304E09" w:rsidP="005F01AF">
      <w:pPr>
        <w:pStyle w:val="EndNoteBibliography"/>
        <w:spacing w:line="360" w:lineRule="auto"/>
        <w:jc w:val="both"/>
      </w:pPr>
      <w:r w:rsidRPr="00304E09">
        <w:t>[</w:t>
      </w:r>
      <w:r w:rsidR="005F01AF">
        <w:t>8] S.H. Khoo, R. FitzGerald, T. Fletcher, S. Ewings, T. Jaki, R. Lyon, N. Downs, L. Walker, O. Tansley-Hancock, W. Greenhalf, C. Woods, H. Reynolds, E. Marwood, P. Mozgunov, E. Adams, K. Bullock, W. Holman, M.D. Bula, J.L. Gibney, G. Saunders, A. Corkhill, C. Hale, K. Thorne, J. Chiong, S. Condie, H. Pertinez, W. Painter, E. Wrixon, L. Johnson, S. Yeats, K. Mallard, M. Radford, K. Fines, V. Shaw, A. Owen, D.G. Lalloo, M. Jacobs, G. Griffiths, Optimal dose and safety of molnupiravir in patients with early SARS-CoV-2: a phase 1, dose-escalating, randomised controlled study, medRxiv  (2021) 2021.05.03.21256309.</w:t>
      </w:r>
    </w:p>
    <w:p w:rsidR="00CE192B" w:rsidRDefault="005F01AF" w:rsidP="005F01AF">
      <w:pPr>
        <w:pStyle w:val="EndNoteBibliography"/>
        <w:spacing w:line="360" w:lineRule="auto"/>
        <w:jc w:val="both"/>
      </w:pPr>
      <w:r>
        <w:t>[9] B.K. Matuszewski, M.L. Constanzer, C.M. Chavez-Eng, Strategies for the assessment of matrix effect in quantitative bioanalytical methods based on HPLC-MS/MS, Anal Chem 75(13) (2003) 3019-30.</w:t>
      </w:r>
    </w:p>
    <w:sectPr w:rsidR="00CE192B" w:rsidSect="00684419">
      <w:pgSz w:w="11906" w:h="16838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F39DA"/>
    <w:multiLevelType w:val="multilevel"/>
    <w:tmpl w:val="10C47A6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676F6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2A53C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8C7D5B"/>
    <w:multiLevelType w:val="multilevel"/>
    <w:tmpl w:val="B804E37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84325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FC74F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8C0924"/>
    <w:multiLevelType w:val="multilevel"/>
    <w:tmpl w:val="6B700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87D4ABD"/>
    <w:multiLevelType w:val="hybridMultilevel"/>
    <w:tmpl w:val="7B4C7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20BA5"/>
    <w:multiLevelType w:val="multilevel"/>
    <w:tmpl w:val="8244D1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A0B48EF"/>
    <w:multiLevelType w:val="hybridMultilevel"/>
    <w:tmpl w:val="8B966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B2C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B7A3EF9"/>
    <w:multiLevelType w:val="hybridMultilevel"/>
    <w:tmpl w:val="0BCAB6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Pharma Biomed Analysi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rzt20rvdjz9psuedxxjvzzezxxseexezwrze&quot;&gt;My EndNote Library&lt;record-ids&gt;&lt;item&gt;26&lt;/item&gt;&lt;/record-ids&gt;&lt;/item&gt;&lt;/Libraries&gt;"/>
  </w:docVars>
  <w:rsids>
    <w:rsidRoot w:val="00DE6041"/>
    <w:rsid w:val="00000DA0"/>
    <w:rsid w:val="00020F7C"/>
    <w:rsid w:val="00024515"/>
    <w:rsid w:val="00035DB0"/>
    <w:rsid w:val="00037A3C"/>
    <w:rsid w:val="00045F85"/>
    <w:rsid w:val="00050BC8"/>
    <w:rsid w:val="00051D82"/>
    <w:rsid w:val="00071A4C"/>
    <w:rsid w:val="00072526"/>
    <w:rsid w:val="000742E1"/>
    <w:rsid w:val="0009140A"/>
    <w:rsid w:val="00094E83"/>
    <w:rsid w:val="000B23FC"/>
    <w:rsid w:val="000B2741"/>
    <w:rsid w:val="000B4D5E"/>
    <w:rsid w:val="000E1EEC"/>
    <w:rsid w:val="001107A2"/>
    <w:rsid w:val="001147FB"/>
    <w:rsid w:val="00127CBD"/>
    <w:rsid w:val="00130EDA"/>
    <w:rsid w:val="00132ACC"/>
    <w:rsid w:val="00134345"/>
    <w:rsid w:val="00142F69"/>
    <w:rsid w:val="0015068A"/>
    <w:rsid w:val="00161D98"/>
    <w:rsid w:val="0016473C"/>
    <w:rsid w:val="00173FB1"/>
    <w:rsid w:val="00180169"/>
    <w:rsid w:val="00180761"/>
    <w:rsid w:val="001C061A"/>
    <w:rsid w:val="001D1503"/>
    <w:rsid w:val="001D59AB"/>
    <w:rsid w:val="001D6DA1"/>
    <w:rsid w:val="00222A05"/>
    <w:rsid w:val="00234451"/>
    <w:rsid w:val="002345C1"/>
    <w:rsid w:val="002361EF"/>
    <w:rsid w:val="00242CBE"/>
    <w:rsid w:val="00247ABE"/>
    <w:rsid w:val="00252A82"/>
    <w:rsid w:val="00273F0D"/>
    <w:rsid w:val="002A51EA"/>
    <w:rsid w:val="002D1268"/>
    <w:rsid w:val="002D798B"/>
    <w:rsid w:val="002E482A"/>
    <w:rsid w:val="002E73E1"/>
    <w:rsid w:val="002F19C7"/>
    <w:rsid w:val="002F5111"/>
    <w:rsid w:val="00304E09"/>
    <w:rsid w:val="00310937"/>
    <w:rsid w:val="0031703C"/>
    <w:rsid w:val="00325A98"/>
    <w:rsid w:val="0033645B"/>
    <w:rsid w:val="00337450"/>
    <w:rsid w:val="00360D9E"/>
    <w:rsid w:val="003805E5"/>
    <w:rsid w:val="003958BA"/>
    <w:rsid w:val="003D413A"/>
    <w:rsid w:val="003D43A5"/>
    <w:rsid w:val="003F2622"/>
    <w:rsid w:val="004141F3"/>
    <w:rsid w:val="0042070A"/>
    <w:rsid w:val="004257DE"/>
    <w:rsid w:val="00427EBE"/>
    <w:rsid w:val="00437DD5"/>
    <w:rsid w:val="00457041"/>
    <w:rsid w:val="00467B00"/>
    <w:rsid w:val="00470D20"/>
    <w:rsid w:val="00476B50"/>
    <w:rsid w:val="004838A3"/>
    <w:rsid w:val="004A0627"/>
    <w:rsid w:val="004B72E5"/>
    <w:rsid w:val="004D1E5D"/>
    <w:rsid w:val="004E05FC"/>
    <w:rsid w:val="00506065"/>
    <w:rsid w:val="0050766D"/>
    <w:rsid w:val="005146F5"/>
    <w:rsid w:val="00556DF7"/>
    <w:rsid w:val="0056068E"/>
    <w:rsid w:val="0056143E"/>
    <w:rsid w:val="00563BF8"/>
    <w:rsid w:val="005666E0"/>
    <w:rsid w:val="005A3B3A"/>
    <w:rsid w:val="005B760F"/>
    <w:rsid w:val="005C64F5"/>
    <w:rsid w:val="005C6BD1"/>
    <w:rsid w:val="005D003C"/>
    <w:rsid w:val="005D0864"/>
    <w:rsid w:val="005E67E5"/>
    <w:rsid w:val="005F01AF"/>
    <w:rsid w:val="00601CA9"/>
    <w:rsid w:val="006142E3"/>
    <w:rsid w:val="0062524F"/>
    <w:rsid w:val="006675F7"/>
    <w:rsid w:val="0067166C"/>
    <w:rsid w:val="006741C9"/>
    <w:rsid w:val="00684419"/>
    <w:rsid w:val="00694242"/>
    <w:rsid w:val="006A6EF8"/>
    <w:rsid w:val="006C368B"/>
    <w:rsid w:val="006D6BFB"/>
    <w:rsid w:val="00700F6B"/>
    <w:rsid w:val="007137AB"/>
    <w:rsid w:val="0072434B"/>
    <w:rsid w:val="00744169"/>
    <w:rsid w:val="007505A8"/>
    <w:rsid w:val="00752A8F"/>
    <w:rsid w:val="007724F6"/>
    <w:rsid w:val="00797126"/>
    <w:rsid w:val="007A5DA4"/>
    <w:rsid w:val="007B4808"/>
    <w:rsid w:val="007D069A"/>
    <w:rsid w:val="007D2569"/>
    <w:rsid w:val="007D6985"/>
    <w:rsid w:val="007E0E5F"/>
    <w:rsid w:val="007E17FD"/>
    <w:rsid w:val="007E763E"/>
    <w:rsid w:val="007F549C"/>
    <w:rsid w:val="007F70CC"/>
    <w:rsid w:val="00805E22"/>
    <w:rsid w:val="00813B8F"/>
    <w:rsid w:val="00864E47"/>
    <w:rsid w:val="00865374"/>
    <w:rsid w:val="00872F6A"/>
    <w:rsid w:val="0088338E"/>
    <w:rsid w:val="00885EB1"/>
    <w:rsid w:val="008F27D5"/>
    <w:rsid w:val="008F696B"/>
    <w:rsid w:val="0090767D"/>
    <w:rsid w:val="00914A4C"/>
    <w:rsid w:val="00915CE3"/>
    <w:rsid w:val="00921674"/>
    <w:rsid w:val="009245C9"/>
    <w:rsid w:val="009314C0"/>
    <w:rsid w:val="009577BD"/>
    <w:rsid w:val="00966D26"/>
    <w:rsid w:val="009A6251"/>
    <w:rsid w:val="009B4B96"/>
    <w:rsid w:val="009B4D13"/>
    <w:rsid w:val="009C293C"/>
    <w:rsid w:val="009C2B83"/>
    <w:rsid w:val="009D6CE1"/>
    <w:rsid w:val="009F6F97"/>
    <w:rsid w:val="00A07C71"/>
    <w:rsid w:val="00A23E2E"/>
    <w:rsid w:val="00A27422"/>
    <w:rsid w:val="00A4444B"/>
    <w:rsid w:val="00A448AC"/>
    <w:rsid w:val="00A57E4A"/>
    <w:rsid w:val="00A62217"/>
    <w:rsid w:val="00A62DE5"/>
    <w:rsid w:val="00A70771"/>
    <w:rsid w:val="00A72EEB"/>
    <w:rsid w:val="00A73765"/>
    <w:rsid w:val="00A85FE8"/>
    <w:rsid w:val="00AA7E8B"/>
    <w:rsid w:val="00AB59DC"/>
    <w:rsid w:val="00AD3EA3"/>
    <w:rsid w:val="00AF1D47"/>
    <w:rsid w:val="00AF3B47"/>
    <w:rsid w:val="00B02CA1"/>
    <w:rsid w:val="00B174BC"/>
    <w:rsid w:val="00B3122C"/>
    <w:rsid w:val="00B320EA"/>
    <w:rsid w:val="00B63AA4"/>
    <w:rsid w:val="00B931DE"/>
    <w:rsid w:val="00B972E8"/>
    <w:rsid w:val="00BA0EF6"/>
    <w:rsid w:val="00BA35A3"/>
    <w:rsid w:val="00BA6FCC"/>
    <w:rsid w:val="00BA78FD"/>
    <w:rsid w:val="00BC520A"/>
    <w:rsid w:val="00BD3FC0"/>
    <w:rsid w:val="00BE2850"/>
    <w:rsid w:val="00BE6E69"/>
    <w:rsid w:val="00C06A15"/>
    <w:rsid w:val="00C16CA2"/>
    <w:rsid w:val="00C17699"/>
    <w:rsid w:val="00C3060D"/>
    <w:rsid w:val="00C41A55"/>
    <w:rsid w:val="00C575FC"/>
    <w:rsid w:val="00C61EFD"/>
    <w:rsid w:val="00C7108E"/>
    <w:rsid w:val="00C73E08"/>
    <w:rsid w:val="00C87EBA"/>
    <w:rsid w:val="00CB099F"/>
    <w:rsid w:val="00CC22CA"/>
    <w:rsid w:val="00CC5838"/>
    <w:rsid w:val="00CC5C7E"/>
    <w:rsid w:val="00CC6F3A"/>
    <w:rsid w:val="00CD2CAD"/>
    <w:rsid w:val="00CD6DCE"/>
    <w:rsid w:val="00CE0C6D"/>
    <w:rsid w:val="00CE192B"/>
    <w:rsid w:val="00CE7E5C"/>
    <w:rsid w:val="00CF584A"/>
    <w:rsid w:val="00CF6C58"/>
    <w:rsid w:val="00D05693"/>
    <w:rsid w:val="00D15E24"/>
    <w:rsid w:val="00D26DAB"/>
    <w:rsid w:val="00D35C29"/>
    <w:rsid w:val="00D522F2"/>
    <w:rsid w:val="00D5254E"/>
    <w:rsid w:val="00D71962"/>
    <w:rsid w:val="00DB58D3"/>
    <w:rsid w:val="00DC5B70"/>
    <w:rsid w:val="00DE6041"/>
    <w:rsid w:val="00E14827"/>
    <w:rsid w:val="00E16F7F"/>
    <w:rsid w:val="00E33A16"/>
    <w:rsid w:val="00E406B2"/>
    <w:rsid w:val="00E55F8C"/>
    <w:rsid w:val="00EA003D"/>
    <w:rsid w:val="00EA2385"/>
    <w:rsid w:val="00EB287F"/>
    <w:rsid w:val="00EB2D08"/>
    <w:rsid w:val="00EC11A4"/>
    <w:rsid w:val="00EC6618"/>
    <w:rsid w:val="00EC6A1A"/>
    <w:rsid w:val="00EE3D7C"/>
    <w:rsid w:val="00EF294A"/>
    <w:rsid w:val="00EF623E"/>
    <w:rsid w:val="00F04EFB"/>
    <w:rsid w:val="00F202C4"/>
    <w:rsid w:val="00F262CB"/>
    <w:rsid w:val="00F277AE"/>
    <w:rsid w:val="00F56E96"/>
    <w:rsid w:val="00F62A79"/>
    <w:rsid w:val="00F83720"/>
    <w:rsid w:val="00FA6C65"/>
    <w:rsid w:val="00FC29E4"/>
    <w:rsid w:val="00FD3A57"/>
    <w:rsid w:val="00FD6463"/>
    <w:rsid w:val="00FE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34F94"/>
  <w15:chartTrackingRefBased/>
  <w15:docId w15:val="{B23EFDA2-37D2-4112-B735-49D2C8033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604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6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E6041"/>
    <w:pPr>
      <w:ind w:left="720"/>
      <w:contextualSpacing/>
    </w:pPr>
  </w:style>
  <w:style w:type="character" w:customStyle="1" w:styleId="apple-style-span">
    <w:name w:val="apple-style-span"/>
    <w:basedOn w:val="DefaultParagraphFont"/>
    <w:uiPriority w:val="99"/>
    <w:rsid w:val="00DE604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DE6041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DE604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E6041"/>
    <w:rPr>
      <w:rFonts w:ascii="Calibri" w:hAnsi="Calibri" w:cs="Calibri"/>
      <w:noProof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6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041"/>
    <w:rPr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6041"/>
  </w:style>
  <w:style w:type="paragraph" w:styleId="Bibliography">
    <w:name w:val="Bibliography"/>
    <w:basedOn w:val="Normal"/>
    <w:next w:val="Normal"/>
    <w:uiPriority w:val="37"/>
    <w:unhideWhenUsed/>
    <w:rsid w:val="00DE6041"/>
  </w:style>
  <w:style w:type="character" w:styleId="IntenseReference">
    <w:name w:val="Intense Reference"/>
    <w:basedOn w:val="DefaultParagraphFont"/>
    <w:uiPriority w:val="32"/>
    <w:qFormat/>
    <w:rsid w:val="00DE6041"/>
    <w:rPr>
      <w:b/>
      <w:bCs/>
      <w:smallCaps/>
      <w:color w:val="4472C4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041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DE6041"/>
  </w:style>
  <w:style w:type="paragraph" w:customStyle="1" w:styleId="EndNoteBibliographyTitle">
    <w:name w:val="EndNote Bibliography Title"/>
    <w:basedOn w:val="Normal"/>
    <w:link w:val="EndNoteBibliographyTitleChar"/>
    <w:rsid w:val="00DE604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DE6041"/>
    <w:rPr>
      <w:rFonts w:ascii="Calibri" w:hAnsi="Calibri" w:cs="Calibri"/>
      <w:noProof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8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8A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30E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84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A118AE6EB7543A7EC38CAF65D6D8B" ma:contentTypeVersion="12" ma:contentTypeDescription="Create a new document." ma:contentTypeScope="" ma:versionID="519c25c2ed32a987049462ff37f7d043">
  <xsd:schema xmlns:xsd="http://www.w3.org/2001/XMLSchema" xmlns:xs="http://www.w3.org/2001/XMLSchema" xmlns:p="http://schemas.microsoft.com/office/2006/metadata/properties" xmlns:ns3="2c0728d4-b628-46ac-beb8-1847ad0e6c02" xmlns:ns4="2c43926a-b248-4fb5-8692-7f03bd5c687b" targetNamespace="http://schemas.microsoft.com/office/2006/metadata/properties" ma:root="true" ma:fieldsID="015ee170dbd83cfc713b4edf6692f660" ns3:_="" ns4:_="">
    <xsd:import namespace="2c0728d4-b628-46ac-beb8-1847ad0e6c02"/>
    <xsd:import namespace="2c43926a-b248-4fb5-8692-7f03bd5c6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728d4-b628-46ac-beb8-1847ad0e6c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3926a-b248-4fb5-8692-7f03bd5c6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05C4F-B307-40FC-9FF1-E97B6C27E4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0728d4-b628-46ac-beb8-1847ad0e6c02"/>
    <ds:schemaRef ds:uri="2c43926a-b248-4fb5-8692-7f03bd5c6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360A3-F242-438D-8500-4C33B7235B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AE6023-C714-431F-990C-4BD940433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6888C9D-B961-4AA6-A772-06E845D7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4399</Words>
  <Characters>25076</Characters>
  <Application>Microsoft Office Word</Application>
  <DocSecurity>0</DocSecurity>
  <Lines>208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AMARA</dc:creator>
  <cp:keywords/>
  <dc:description/>
  <cp:lastModifiedBy>Amara, Alieu</cp:lastModifiedBy>
  <cp:revision>8</cp:revision>
  <dcterms:created xsi:type="dcterms:W3CDTF">2021-06-14T10:13:00Z</dcterms:created>
  <dcterms:modified xsi:type="dcterms:W3CDTF">2021-06-14T13:26:00Z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0x010100196A118AE6EB7543A7EC38CAF65D6D8B</vt:lpwstr>
  </property>
</Properties>
</file>