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241BA" w14:textId="77777777" w:rsidR="00B35D0E" w:rsidRDefault="00B35D0E" w:rsidP="00522FC5">
      <w:pPr>
        <w:pStyle w:val="Heading1"/>
      </w:pPr>
      <w:bookmarkStart w:id="0" w:name="_GoBack"/>
      <w:bookmarkEnd w:id="0"/>
      <w:r w:rsidRPr="00B35D0E">
        <w:t>Restricting the advertising of high fat, salt and sugar foods on the Transport for London estate: process and implementation study</w:t>
      </w:r>
    </w:p>
    <w:p w14:paraId="3C72F668" w14:textId="77777777" w:rsidR="00B35D0E" w:rsidRPr="00B35D0E" w:rsidRDefault="00B35D0E" w:rsidP="00522FC5">
      <w:pPr>
        <w:pStyle w:val="Heading1"/>
        <w:rPr>
          <w:color w:val="auto"/>
          <w:sz w:val="22"/>
          <w:szCs w:val="22"/>
        </w:rPr>
      </w:pPr>
      <w:r w:rsidRPr="00B35D0E">
        <w:rPr>
          <w:color w:val="auto"/>
          <w:sz w:val="22"/>
          <w:szCs w:val="22"/>
        </w:rPr>
        <w:t>Rebecca Meiksin1, Vanessa Er1, Claire Thompson2, Jean Adams3, Emma Boyland4, Thomas Burgoine3, Laura Cornelsen1, Frank de Vocht5,6, Matt Egan7, Amelia A Lake8,9, Karen Lock10, Oliver Mytton3, Martin White3, Amy Yau1, Steven Cummins1</w:t>
      </w:r>
    </w:p>
    <w:p w14:paraId="0AA95766" w14:textId="77777777" w:rsidR="00B35D0E" w:rsidRPr="00B35D0E" w:rsidRDefault="00B35D0E" w:rsidP="00522FC5">
      <w:pPr>
        <w:pStyle w:val="Heading1"/>
        <w:rPr>
          <w:color w:val="auto"/>
          <w:sz w:val="22"/>
          <w:szCs w:val="22"/>
        </w:rPr>
      </w:pPr>
      <w:r w:rsidRPr="00B35D0E">
        <w:rPr>
          <w:color w:val="auto"/>
          <w:sz w:val="22"/>
          <w:szCs w:val="22"/>
        </w:rPr>
        <w:t>1Population Health Innovation Lab, Department of Public Health, Environments &amp; Society, Faculty of Public Health &amp; Policy, London School of Hygiene &amp; Tropical Medicine, London, United Kingdom</w:t>
      </w:r>
    </w:p>
    <w:p w14:paraId="67490092" w14:textId="77777777" w:rsidR="00B35D0E" w:rsidRPr="00B35D0E" w:rsidRDefault="00B35D0E" w:rsidP="00522FC5">
      <w:pPr>
        <w:pStyle w:val="Heading1"/>
        <w:rPr>
          <w:color w:val="auto"/>
          <w:sz w:val="22"/>
          <w:szCs w:val="22"/>
        </w:rPr>
      </w:pPr>
      <w:r w:rsidRPr="00B35D0E">
        <w:rPr>
          <w:color w:val="auto"/>
          <w:sz w:val="22"/>
          <w:szCs w:val="22"/>
        </w:rPr>
        <w:t xml:space="preserve">2Centre for Research in Public Health and Community Care, School of Health and Social Work, University of Hertfordshire, Hatfield, United Kingdom </w:t>
      </w:r>
    </w:p>
    <w:p w14:paraId="1DBBA443" w14:textId="77777777" w:rsidR="00B35D0E" w:rsidRPr="00B35D0E" w:rsidRDefault="00B35D0E" w:rsidP="00522FC5">
      <w:pPr>
        <w:pStyle w:val="Heading1"/>
        <w:rPr>
          <w:color w:val="auto"/>
          <w:sz w:val="22"/>
          <w:szCs w:val="22"/>
        </w:rPr>
      </w:pPr>
      <w:r w:rsidRPr="00B35D0E">
        <w:rPr>
          <w:color w:val="auto"/>
          <w:sz w:val="22"/>
          <w:szCs w:val="22"/>
        </w:rPr>
        <w:t>3 UKCRC Centre for Diet and Activity Research (CEDAR), MRC Epidemiology Unit, University of Cambridge School of Clinical Medicine, Box 285 Institute of Metabolic Science, Cambridge Biomedical Campus, Cambridge, United Kingdom</w:t>
      </w:r>
    </w:p>
    <w:p w14:paraId="13459E2A" w14:textId="77777777" w:rsidR="00B35D0E" w:rsidRPr="00B35D0E" w:rsidRDefault="00B35D0E" w:rsidP="00522FC5">
      <w:pPr>
        <w:pStyle w:val="Heading1"/>
        <w:rPr>
          <w:color w:val="auto"/>
          <w:sz w:val="22"/>
          <w:szCs w:val="22"/>
        </w:rPr>
      </w:pPr>
      <w:r w:rsidRPr="00B35D0E">
        <w:rPr>
          <w:color w:val="auto"/>
          <w:sz w:val="22"/>
          <w:szCs w:val="22"/>
        </w:rPr>
        <w:t xml:space="preserve">4Department of Psychology, Institute of Population Health, University of Liverpool, Liverpool, United Kingdom  </w:t>
      </w:r>
    </w:p>
    <w:p w14:paraId="2C9C4BC3" w14:textId="77777777" w:rsidR="00B35D0E" w:rsidRPr="00B35D0E" w:rsidRDefault="00B35D0E" w:rsidP="00522FC5">
      <w:pPr>
        <w:pStyle w:val="Heading1"/>
        <w:rPr>
          <w:color w:val="auto"/>
          <w:sz w:val="22"/>
          <w:szCs w:val="22"/>
        </w:rPr>
      </w:pPr>
      <w:r w:rsidRPr="00B35D0E">
        <w:rPr>
          <w:color w:val="auto"/>
          <w:sz w:val="22"/>
          <w:szCs w:val="22"/>
        </w:rPr>
        <w:t xml:space="preserve">5Population Health Sciences, Bristol Medical School, University of Bristol, United Kingdom </w:t>
      </w:r>
    </w:p>
    <w:p w14:paraId="163FDCC0" w14:textId="77777777" w:rsidR="00B35D0E" w:rsidRPr="00B35D0E" w:rsidRDefault="00B35D0E" w:rsidP="00522FC5">
      <w:pPr>
        <w:pStyle w:val="Heading1"/>
        <w:rPr>
          <w:color w:val="auto"/>
          <w:sz w:val="22"/>
          <w:szCs w:val="22"/>
        </w:rPr>
      </w:pPr>
      <w:r w:rsidRPr="00B35D0E">
        <w:rPr>
          <w:color w:val="auto"/>
          <w:sz w:val="22"/>
          <w:szCs w:val="22"/>
        </w:rPr>
        <w:t xml:space="preserve">6National Institute for Health Research Applied Research Collaboration West (NIHR ARC West), Bristol, United Kingdom </w:t>
      </w:r>
    </w:p>
    <w:p w14:paraId="62BD89F8" w14:textId="77777777" w:rsidR="00B35D0E" w:rsidRPr="00B35D0E" w:rsidRDefault="00B35D0E" w:rsidP="00522FC5">
      <w:pPr>
        <w:pStyle w:val="Heading1"/>
        <w:rPr>
          <w:color w:val="auto"/>
          <w:sz w:val="22"/>
          <w:szCs w:val="22"/>
        </w:rPr>
      </w:pPr>
      <w:r w:rsidRPr="00B35D0E">
        <w:rPr>
          <w:color w:val="auto"/>
          <w:sz w:val="22"/>
          <w:szCs w:val="22"/>
        </w:rPr>
        <w:t>7Department of Public Health, Environments &amp; Society, Faculty of Public Health &amp; Policy, London School of Hygiene &amp; Tropical Medicine, London, United Kingdom</w:t>
      </w:r>
    </w:p>
    <w:p w14:paraId="15616363" w14:textId="77777777" w:rsidR="00B35D0E" w:rsidRPr="00B35D0E" w:rsidRDefault="00B35D0E" w:rsidP="00522FC5">
      <w:pPr>
        <w:pStyle w:val="Heading1"/>
        <w:rPr>
          <w:color w:val="auto"/>
          <w:sz w:val="22"/>
          <w:szCs w:val="22"/>
        </w:rPr>
      </w:pPr>
      <w:r w:rsidRPr="00B35D0E">
        <w:rPr>
          <w:color w:val="auto"/>
          <w:sz w:val="22"/>
          <w:szCs w:val="22"/>
        </w:rPr>
        <w:t>8Centre for Public Health Research, School of Health and Life Sciences, Teesside University, Middlesbrough, United Kingdom</w:t>
      </w:r>
    </w:p>
    <w:p w14:paraId="17781B6C" w14:textId="77777777" w:rsidR="00B35D0E" w:rsidRPr="00B35D0E" w:rsidRDefault="00B35D0E" w:rsidP="00522FC5">
      <w:pPr>
        <w:pStyle w:val="Heading1"/>
        <w:rPr>
          <w:color w:val="auto"/>
          <w:sz w:val="22"/>
          <w:szCs w:val="22"/>
        </w:rPr>
      </w:pPr>
      <w:r w:rsidRPr="00B35D0E">
        <w:rPr>
          <w:color w:val="auto"/>
          <w:sz w:val="22"/>
          <w:szCs w:val="22"/>
        </w:rPr>
        <w:t>9Fuse, The Centre for Translational Research in Public Health, Newcastle upon Tyne, United Kingdom</w:t>
      </w:r>
    </w:p>
    <w:p w14:paraId="654C4A24" w14:textId="391B2DF8" w:rsidR="00B35D0E" w:rsidRPr="00B35D0E" w:rsidRDefault="00B35D0E" w:rsidP="00522FC5">
      <w:pPr>
        <w:pStyle w:val="Heading1"/>
        <w:rPr>
          <w:color w:val="auto"/>
          <w:sz w:val="22"/>
          <w:szCs w:val="22"/>
        </w:rPr>
      </w:pPr>
      <w:r w:rsidRPr="00B35D0E">
        <w:rPr>
          <w:color w:val="auto"/>
          <w:sz w:val="22"/>
          <w:szCs w:val="22"/>
        </w:rPr>
        <w:t>10Department of Health Services Research &amp; Policy, Faculty of Public Health &amp; Policy, London School of Hygiene &amp; Tropical Medicine, London, United Kingdom</w:t>
      </w:r>
    </w:p>
    <w:p w14:paraId="62BF59A2" w14:textId="61DE942F" w:rsidR="00B35D0E" w:rsidRPr="00B35D0E" w:rsidRDefault="00B35D0E" w:rsidP="00B35D0E">
      <w:pPr>
        <w:rPr>
          <w:sz w:val="22"/>
          <w:szCs w:val="22"/>
          <w:lang w:val="en-GB" w:eastAsia="en-US"/>
        </w:rPr>
      </w:pPr>
    </w:p>
    <w:p w14:paraId="5D45B9D1" w14:textId="77777777" w:rsidR="00B35D0E" w:rsidRDefault="00B35D0E" w:rsidP="00522FC5">
      <w:pPr>
        <w:pStyle w:val="Heading1"/>
        <w:rPr>
          <w:sz w:val="22"/>
          <w:szCs w:val="22"/>
        </w:rPr>
      </w:pPr>
      <w:r w:rsidRPr="00B35D0E">
        <w:rPr>
          <w:sz w:val="22"/>
          <w:szCs w:val="22"/>
        </w:rPr>
        <w:lastRenderedPageBreak/>
        <w:t>Acknowledgements</w:t>
      </w:r>
    </w:p>
    <w:p w14:paraId="44611715" w14:textId="5A0730F5" w:rsidR="00B35D0E" w:rsidRPr="00B35D0E" w:rsidRDefault="00B35D0E" w:rsidP="00522FC5">
      <w:pPr>
        <w:pStyle w:val="Heading1"/>
        <w:rPr>
          <w:color w:val="auto"/>
          <w:sz w:val="22"/>
          <w:szCs w:val="22"/>
        </w:rPr>
      </w:pPr>
      <w:r w:rsidRPr="00B35D0E">
        <w:rPr>
          <w:color w:val="auto"/>
          <w:sz w:val="22"/>
          <w:szCs w:val="22"/>
        </w:rPr>
        <w:t>This study is funded by the</w:t>
      </w:r>
      <w:r>
        <w:rPr>
          <w:color w:val="auto"/>
          <w:sz w:val="22"/>
          <w:szCs w:val="22"/>
        </w:rPr>
        <w:t xml:space="preserve"> </w:t>
      </w:r>
      <w:r w:rsidRPr="00B35D0E">
        <w:rPr>
          <w:color w:val="auto"/>
          <w:sz w:val="22"/>
          <w:szCs w:val="22"/>
        </w:rPr>
        <w:t xml:space="preserve">NIHR School for Public Health Research (SPHR) (Grant Reference NumberPD-SPH-2015). The National Institute for Health Research (NIHR) School for Public Health Research is a partnership between the Universities of Sheffield; Bristol; Cambridge; Imperial; and University College London; The London School for Hygiene and Tropical Medicine (LSHTM); LiLaC –a collaboration between the Universities of Liverpool and Lancaster; and Fuse -The Centre for Translational Research in Public Health, a collaboration between Newcastle, Durham, Northumbria, Sunderland and Teesside Universities. </w:t>
      </w:r>
    </w:p>
    <w:p w14:paraId="57D335B2" w14:textId="77777777" w:rsidR="00B35D0E" w:rsidRPr="00B35D0E" w:rsidRDefault="00B35D0E" w:rsidP="00522FC5">
      <w:pPr>
        <w:pStyle w:val="Heading1"/>
        <w:rPr>
          <w:color w:val="auto"/>
          <w:sz w:val="22"/>
          <w:szCs w:val="22"/>
        </w:rPr>
      </w:pPr>
      <w:r w:rsidRPr="00B35D0E">
        <w:rPr>
          <w:color w:val="auto"/>
          <w:sz w:val="22"/>
          <w:szCs w:val="22"/>
        </w:rPr>
        <w:t>CT is funded by the National Institute for Health Research (NIHR) Applied Research Collaboration East of England. The views expressed are those of the author(s) and not necessarily those of the NHS, the NIHR or the Department of Health and Social Care.</w:t>
      </w:r>
    </w:p>
    <w:p w14:paraId="448EEEF3" w14:textId="77777777" w:rsidR="00B35D0E" w:rsidRPr="00B35D0E" w:rsidRDefault="00B35D0E" w:rsidP="00522FC5">
      <w:pPr>
        <w:pStyle w:val="Heading1"/>
        <w:rPr>
          <w:color w:val="auto"/>
          <w:sz w:val="22"/>
          <w:szCs w:val="22"/>
        </w:rPr>
      </w:pPr>
      <w:r w:rsidRPr="00B35D0E">
        <w:rPr>
          <w:color w:val="auto"/>
          <w:sz w:val="22"/>
          <w:szCs w:val="22"/>
        </w:rPr>
        <w:t xml:space="preserve">JA, MW and TB are supported by the MRC Epidemiology Unit, University of Cambridge [grant number MC/UU/12015/6] and Centre for Diet and Activity Research (CEDAR), a UK Clinical Research Collaboration (UKCRC) Public Health Research Centre of Excellence. Funding for CEDAR from the British Heart Foundation, Cancer Research UK, Economic and Social Research Council, Medical Research Council, the National Institute for Health Research [grant numbers ES/G007462/1 and MR/K023187/1], and the Wellcome Trust [grant number 087636/Z/08/Z], under the auspices of the UK Clinical Research Collaboration, is gratefully acknowledged. </w:t>
      </w:r>
    </w:p>
    <w:p w14:paraId="1C4A56EF" w14:textId="77777777" w:rsidR="00B35D0E" w:rsidRPr="00B35D0E" w:rsidRDefault="00B35D0E" w:rsidP="00522FC5">
      <w:pPr>
        <w:pStyle w:val="Heading1"/>
        <w:rPr>
          <w:color w:val="auto"/>
          <w:sz w:val="22"/>
          <w:szCs w:val="22"/>
        </w:rPr>
      </w:pPr>
      <w:r w:rsidRPr="00B35D0E">
        <w:rPr>
          <w:color w:val="auto"/>
          <w:sz w:val="22"/>
          <w:szCs w:val="22"/>
        </w:rPr>
        <w:t xml:space="preserve">FdV is partly funded by National Institute for Health Research Applied Research Collaboration West (NIHR ARC West) at University Hospitals Bristol NHS Foundation Trust. </w:t>
      </w:r>
    </w:p>
    <w:p w14:paraId="4F5BE965" w14:textId="14159D90" w:rsidR="00B35D0E" w:rsidRPr="00B35D0E" w:rsidRDefault="00B35D0E" w:rsidP="00522FC5">
      <w:pPr>
        <w:pStyle w:val="Heading1"/>
        <w:rPr>
          <w:color w:val="auto"/>
          <w:sz w:val="22"/>
          <w:szCs w:val="22"/>
        </w:rPr>
      </w:pPr>
      <w:r w:rsidRPr="00B35D0E">
        <w:rPr>
          <w:color w:val="auto"/>
          <w:sz w:val="22"/>
          <w:szCs w:val="22"/>
        </w:rPr>
        <w:t xml:space="preserve">AAL is a member of Fuse, the Centre for Translational Research in Public Health (www.fuse.ac.uk). Fuse is a Public Health Research Centre of Excellence funded by the five North East Universities of Durham, Newcastle, Northumbria, Sunderland and Teesside. </w:t>
      </w:r>
    </w:p>
    <w:p w14:paraId="75170882" w14:textId="77777777" w:rsidR="00B35D0E" w:rsidRPr="00B35D0E" w:rsidRDefault="00B35D0E" w:rsidP="00522FC5">
      <w:pPr>
        <w:pStyle w:val="Heading1"/>
        <w:rPr>
          <w:color w:val="auto"/>
          <w:sz w:val="22"/>
          <w:szCs w:val="22"/>
        </w:rPr>
      </w:pPr>
      <w:r w:rsidRPr="00B35D0E">
        <w:rPr>
          <w:color w:val="auto"/>
          <w:sz w:val="22"/>
          <w:szCs w:val="22"/>
        </w:rPr>
        <w:t xml:space="preserve">SC is funded by Health Data Research UK (HDR-UK). HDR-UK is an initiative funded by the UK Research and Innovation, Department of Health and Social Care (England) and the devolved administrations, and leading medical research charities. </w:t>
      </w:r>
    </w:p>
    <w:p w14:paraId="6825168D" w14:textId="2D4965D1" w:rsidR="00B35D0E" w:rsidRPr="00B35D0E" w:rsidRDefault="00B35D0E" w:rsidP="00522FC5">
      <w:pPr>
        <w:pStyle w:val="Heading1"/>
        <w:rPr>
          <w:color w:val="auto"/>
          <w:sz w:val="22"/>
          <w:szCs w:val="22"/>
        </w:rPr>
      </w:pPr>
      <w:r w:rsidRPr="00B35D0E">
        <w:rPr>
          <w:color w:val="auto"/>
          <w:sz w:val="22"/>
          <w:szCs w:val="22"/>
        </w:rPr>
        <w:t>The views expressed are those of the authors and do not necessarily represent those of any of the above named funders. The funders had no role in the design of the study, or collection, analysis and interpretation of the data, or in the decision to publish, or in writing the manuscript.</w:t>
      </w:r>
    </w:p>
    <w:p w14:paraId="1341DE43" w14:textId="77777777" w:rsidR="00B35D0E" w:rsidRDefault="00B35D0E" w:rsidP="00522FC5">
      <w:pPr>
        <w:pStyle w:val="Heading1"/>
      </w:pPr>
    </w:p>
    <w:p w14:paraId="35170F38" w14:textId="77777777" w:rsidR="00B35D0E" w:rsidRDefault="00B35D0E" w:rsidP="00522FC5">
      <w:pPr>
        <w:pStyle w:val="Heading1"/>
      </w:pPr>
    </w:p>
    <w:p w14:paraId="7C810886" w14:textId="77777777" w:rsidR="00B35D0E" w:rsidRDefault="00B35D0E" w:rsidP="00522FC5">
      <w:pPr>
        <w:pStyle w:val="Heading1"/>
      </w:pPr>
    </w:p>
    <w:p w14:paraId="15F79909" w14:textId="77777777" w:rsidR="00B35D0E" w:rsidRDefault="00B35D0E" w:rsidP="00522FC5">
      <w:pPr>
        <w:pStyle w:val="Heading1"/>
      </w:pPr>
    </w:p>
    <w:p w14:paraId="37A16B79" w14:textId="77777777" w:rsidR="00B35D0E" w:rsidRDefault="00B35D0E" w:rsidP="00522FC5">
      <w:pPr>
        <w:pStyle w:val="Heading1"/>
      </w:pPr>
    </w:p>
    <w:p w14:paraId="7BC61557" w14:textId="56B6A33E" w:rsidR="00203BA3" w:rsidRDefault="0006269F" w:rsidP="00522FC5">
      <w:pPr>
        <w:pStyle w:val="Heading1"/>
      </w:pPr>
      <w:r>
        <w:lastRenderedPageBreak/>
        <w:t>R</w:t>
      </w:r>
      <w:r w:rsidR="00BA7E56">
        <w:t>estricting the advertising of high fat, salt and sugar</w:t>
      </w:r>
      <w:r w:rsidR="00197F08">
        <w:t xml:space="preserve"> foods</w:t>
      </w:r>
      <w:r w:rsidR="00364B90">
        <w:t xml:space="preserve"> on the Transport for London </w:t>
      </w:r>
      <w:r w:rsidR="00A02474">
        <w:t>estate</w:t>
      </w:r>
      <w:r>
        <w:t>: process and implementation study</w:t>
      </w:r>
    </w:p>
    <w:p w14:paraId="5FC829D4" w14:textId="77777777" w:rsidR="00C22AE4" w:rsidRDefault="00C22AE4">
      <w:pPr>
        <w:rPr>
          <w:lang w:val="en-GB" w:eastAsia="en-US"/>
        </w:rPr>
      </w:pPr>
    </w:p>
    <w:p w14:paraId="5E560417" w14:textId="1554C3E2" w:rsidR="00034219" w:rsidRDefault="00034219">
      <w:pPr>
        <w:rPr>
          <w:lang w:val="en-GB" w:eastAsia="en-US"/>
        </w:rPr>
      </w:pPr>
    </w:p>
    <w:p w14:paraId="57E00568" w14:textId="4F1E3501" w:rsidR="00BA7E56" w:rsidRDefault="00BA7E56" w:rsidP="00F209CF">
      <w:pPr>
        <w:pStyle w:val="Heading2"/>
        <w:tabs>
          <w:tab w:val="left" w:pos="7740"/>
        </w:tabs>
        <w:spacing w:line="360" w:lineRule="auto"/>
      </w:pPr>
      <w:r>
        <w:t>Abstract</w:t>
      </w:r>
      <w:r w:rsidR="00E418E5">
        <w:tab/>
      </w:r>
    </w:p>
    <w:p w14:paraId="604E5F6D" w14:textId="77777777" w:rsidR="00377AF8" w:rsidRPr="00F209CF" w:rsidRDefault="00377AF8" w:rsidP="00F209CF">
      <w:pPr>
        <w:spacing w:line="360" w:lineRule="auto"/>
        <w:rPr>
          <w:rFonts w:asciiTheme="minorHAnsi" w:hAnsiTheme="minorHAnsi" w:cstheme="minorHAnsi"/>
          <w:b/>
          <w:bCs/>
          <w:sz w:val="22"/>
          <w:szCs w:val="22"/>
        </w:rPr>
      </w:pPr>
      <w:r w:rsidRPr="00F209CF">
        <w:rPr>
          <w:rFonts w:asciiTheme="minorHAnsi" w:hAnsiTheme="minorHAnsi" w:cstheme="minorHAnsi"/>
          <w:b/>
          <w:bCs/>
          <w:sz w:val="22"/>
          <w:szCs w:val="22"/>
        </w:rPr>
        <w:t>Introduction</w:t>
      </w:r>
    </w:p>
    <w:p w14:paraId="39AFB775" w14:textId="17A4AD1D" w:rsidR="00377AF8" w:rsidRPr="00475D3F" w:rsidRDefault="00765520" w:rsidP="00F209CF">
      <w:pPr>
        <w:spacing w:line="360" w:lineRule="auto"/>
        <w:rPr>
          <w:rFonts w:asciiTheme="minorHAnsi" w:hAnsiTheme="minorHAnsi" w:cstheme="minorHAnsi"/>
          <w:sz w:val="22"/>
          <w:szCs w:val="22"/>
        </w:rPr>
      </w:pPr>
      <w:r w:rsidRPr="00475D3F">
        <w:rPr>
          <w:rFonts w:asciiTheme="minorHAnsi" w:hAnsiTheme="minorHAnsi" w:cstheme="minorHAnsi"/>
          <w:sz w:val="22"/>
          <w:szCs w:val="22"/>
        </w:rPr>
        <w:t xml:space="preserve">One in five UK </w:t>
      </w:r>
      <w:r w:rsidR="00377AF8" w:rsidRPr="00475D3F">
        <w:rPr>
          <w:rFonts w:asciiTheme="minorHAnsi" w:hAnsiTheme="minorHAnsi" w:cstheme="minorHAnsi"/>
          <w:sz w:val="22"/>
          <w:szCs w:val="22"/>
        </w:rPr>
        <w:t>children</w:t>
      </w:r>
      <w:r w:rsidR="004C31E9" w:rsidRPr="00475D3F">
        <w:rPr>
          <w:rFonts w:asciiTheme="minorHAnsi" w:hAnsiTheme="minorHAnsi" w:cstheme="minorHAnsi"/>
          <w:sz w:val="22"/>
          <w:szCs w:val="22"/>
        </w:rPr>
        <w:t xml:space="preserve"> </w:t>
      </w:r>
      <w:r w:rsidR="00377AF8" w:rsidRPr="00475D3F">
        <w:rPr>
          <w:rFonts w:asciiTheme="minorHAnsi" w:hAnsiTheme="minorHAnsi" w:cstheme="minorHAnsi"/>
          <w:sz w:val="22"/>
          <w:szCs w:val="22"/>
        </w:rPr>
        <w:t>aged 10-11</w:t>
      </w:r>
      <w:r w:rsidR="00365E3E">
        <w:rPr>
          <w:rFonts w:asciiTheme="minorHAnsi" w:hAnsiTheme="minorHAnsi" w:cstheme="minorHAnsi"/>
          <w:sz w:val="22"/>
          <w:szCs w:val="22"/>
        </w:rPr>
        <w:t xml:space="preserve"> years</w:t>
      </w:r>
      <w:r w:rsidR="00377AF8" w:rsidRPr="00475D3F">
        <w:rPr>
          <w:rFonts w:asciiTheme="minorHAnsi" w:hAnsiTheme="minorHAnsi" w:cstheme="minorHAnsi"/>
          <w:sz w:val="22"/>
          <w:szCs w:val="22"/>
        </w:rPr>
        <w:t xml:space="preserve"> </w:t>
      </w:r>
      <w:r w:rsidR="00A55002">
        <w:rPr>
          <w:rFonts w:asciiTheme="minorHAnsi" w:hAnsiTheme="minorHAnsi" w:cstheme="minorHAnsi"/>
          <w:sz w:val="22"/>
          <w:szCs w:val="22"/>
        </w:rPr>
        <w:t xml:space="preserve">live with </w:t>
      </w:r>
      <w:r w:rsidR="00377AF8" w:rsidRPr="00475D3F">
        <w:rPr>
          <w:rFonts w:asciiTheme="minorHAnsi" w:hAnsiTheme="minorHAnsi" w:cstheme="minorHAnsi"/>
          <w:sz w:val="22"/>
          <w:szCs w:val="22"/>
        </w:rPr>
        <w:t>obes</w:t>
      </w:r>
      <w:r w:rsidR="00FE4E87">
        <w:rPr>
          <w:rFonts w:asciiTheme="minorHAnsi" w:hAnsiTheme="minorHAnsi" w:cstheme="minorHAnsi"/>
          <w:sz w:val="22"/>
          <w:szCs w:val="22"/>
        </w:rPr>
        <w:t>ity</w:t>
      </w:r>
      <w:r w:rsidR="00170A87" w:rsidRPr="00475D3F">
        <w:rPr>
          <w:rFonts w:asciiTheme="minorHAnsi" w:hAnsiTheme="minorHAnsi" w:cstheme="minorHAnsi"/>
          <w:sz w:val="22"/>
          <w:szCs w:val="22"/>
        </w:rPr>
        <w:t xml:space="preserve">. </w:t>
      </w:r>
      <w:r w:rsidR="00E764C1">
        <w:rPr>
          <w:rFonts w:asciiTheme="minorHAnsi" w:hAnsiTheme="minorHAnsi" w:cstheme="minorHAnsi"/>
          <w:sz w:val="22"/>
          <w:szCs w:val="22"/>
        </w:rPr>
        <w:t>They</w:t>
      </w:r>
      <w:r w:rsidR="00170A87" w:rsidRPr="00475D3F">
        <w:rPr>
          <w:rFonts w:asciiTheme="minorHAnsi" w:hAnsiTheme="minorHAnsi" w:cstheme="minorHAnsi"/>
          <w:sz w:val="22"/>
          <w:szCs w:val="22"/>
        </w:rPr>
        <w:t xml:space="preserve"> </w:t>
      </w:r>
      <w:r w:rsidR="00377AF8" w:rsidRPr="00475D3F">
        <w:rPr>
          <w:rFonts w:asciiTheme="minorHAnsi" w:hAnsiTheme="minorHAnsi" w:cstheme="minorHAnsi"/>
          <w:sz w:val="22"/>
          <w:szCs w:val="22"/>
        </w:rPr>
        <w:t xml:space="preserve">are more likely to </w:t>
      </w:r>
      <w:r w:rsidR="005A3EBF">
        <w:rPr>
          <w:rFonts w:asciiTheme="minorHAnsi" w:hAnsiTheme="minorHAnsi" w:cstheme="minorHAnsi"/>
          <w:sz w:val="22"/>
          <w:szCs w:val="22"/>
        </w:rPr>
        <w:t xml:space="preserve">continue living with </w:t>
      </w:r>
      <w:r w:rsidR="00E764C1">
        <w:rPr>
          <w:rFonts w:asciiTheme="minorHAnsi" w:hAnsiTheme="minorHAnsi" w:cstheme="minorHAnsi"/>
          <w:sz w:val="22"/>
          <w:szCs w:val="22"/>
        </w:rPr>
        <w:t>obesity</w:t>
      </w:r>
      <w:r w:rsidR="00E764C1" w:rsidRPr="00475D3F">
        <w:rPr>
          <w:rFonts w:asciiTheme="minorHAnsi" w:hAnsiTheme="minorHAnsi" w:cstheme="minorHAnsi"/>
          <w:sz w:val="22"/>
          <w:szCs w:val="22"/>
        </w:rPr>
        <w:t xml:space="preserve"> </w:t>
      </w:r>
      <w:r w:rsidR="00377AF8" w:rsidRPr="00475D3F">
        <w:rPr>
          <w:rFonts w:asciiTheme="minorHAnsi" w:hAnsiTheme="minorHAnsi" w:cstheme="minorHAnsi"/>
          <w:sz w:val="22"/>
          <w:szCs w:val="22"/>
        </w:rPr>
        <w:t xml:space="preserve">into adulthood and </w:t>
      </w:r>
      <w:r w:rsidR="00E764C1">
        <w:rPr>
          <w:rFonts w:asciiTheme="minorHAnsi" w:hAnsiTheme="minorHAnsi" w:cstheme="minorHAnsi"/>
          <w:sz w:val="22"/>
          <w:szCs w:val="22"/>
        </w:rPr>
        <w:t xml:space="preserve">to </w:t>
      </w:r>
      <w:r w:rsidR="00377AF8" w:rsidRPr="00475D3F">
        <w:rPr>
          <w:rFonts w:asciiTheme="minorHAnsi" w:hAnsiTheme="minorHAnsi" w:cstheme="minorHAnsi"/>
          <w:sz w:val="22"/>
          <w:szCs w:val="22"/>
        </w:rPr>
        <w:t xml:space="preserve">develop obesity-related chronic </w:t>
      </w:r>
      <w:r w:rsidR="00365E3E">
        <w:rPr>
          <w:rFonts w:asciiTheme="minorHAnsi" w:hAnsiTheme="minorHAnsi" w:cstheme="minorHAnsi"/>
          <w:sz w:val="22"/>
          <w:szCs w:val="22"/>
        </w:rPr>
        <w:t xml:space="preserve">health </w:t>
      </w:r>
      <w:r w:rsidR="00377AF8" w:rsidRPr="00475D3F">
        <w:rPr>
          <w:rFonts w:asciiTheme="minorHAnsi" w:hAnsiTheme="minorHAnsi" w:cstheme="minorHAnsi"/>
          <w:sz w:val="22"/>
          <w:szCs w:val="22"/>
        </w:rPr>
        <w:t xml:space="preserve">conditions </w:t>
      </w:r>
      <w:r w:rsidR="00FC3DF2">
        <w:rPr>
          <w:rFonts w:asciiTheme="minorHAnsi" w:hAnsiTheme="minorHAnsi" w:cstheme="minorHAnsi"/>
          <w:sz w:val="22"/>
          <w:szCs w:val="22"/>
        </w:rPr>
        <w:t>at a younger age</w:t>
      </w:r>
      <w:r w:rsidR="00377AF8" w:rsidRPr="00475D3F">
        <w:rPr>
          <w:rFonts w:asciiTheme="minorHAnsi" w:hAnsiTheme="minorHAnsi" w:cstheme="minorHAnsi"/>
          <w:sz w:val="22"/>
          <w:szCs w:val="22"/>
        </w:rPr>
        <w:t xml:space="preserve">. Regulating the marketing of high fat, salt and sugar (HFSS) foods and beverages has been highlighted as a promising approach to </w:t>
      </w:r>
      <w:r w:rsidR="00170A87" w:rsidRPr="00475D3F">
        <w:rPr>
          <w:rFonts w:asciiTheme="minorHAnsi" w:hAnsiTheme="minorHAnsi" w:cstheme="minorHAnsi"/>
          <w:sz w:val="22"/>
          <w:szCs w:val="22"/>
        </w:rPr>
        <w:t xml:space="preserve">obesity </w:t>
      </w:r>
      <w:r w:rsidR="00377AF8" w:rsidRPr="00475D3F">
        <w:rPr>
          <w:rFonts w:asciiTheme="minorHAnsi" w:hAnsiTheme="minorHAnsi" w:cstheme="minorHAnsi"/>
          <w:sz w:val="22"/>
          <w:szCs w:val="22"/>
        </w:rPr>
        <w:t>prevention. In 2019</w:t>
      </w:r>
      <w:r w:rsidR="00BA2C79">
        <w:rPr>
          <w:rFonts w:asciiTheme="minorHAnsi" w:hAnsiTheme="minorHAnsi" w:cstheme="minorHAnsi"/>
          <w:sz w:val="22"/>
          <w:szCs w:val="22"/>
        </w:rPr>
        <w:t>,</w:t>
      </w:r>
      <w:r w:rsidR="00377AF8" w:rsidRPr="00475D3F">
        <w:rPr>
          <w:rFonts w:asciiTheme="minorHAnsi" w:hAnsiTheme="minorHAnsi" w:cstheme="minorHAnsi"/>
          <w:sz w:val="22"/>
          <w:szCs w:val="22"/>
        </w:rPr>
        <w:t xml:space="preserve"> Transport for London implemented restrictions on the advertisement of HFSS </w:t>
      </w:r>
      <w:r w:rsidR="00FC3DF2">
        <w:rPr>
          <w:rFonts w:asciiTheme="minorHAnsi" w:hAnsiTheme="minorHAnsi" w:cstheme="minorHAnsi"/>
          <w:sz w:val="22"/>
          <w:szCs w:val="22"/>
        </w:rPr>
        <w:t>products</w:t>
      </w:r>
      <w:r w:rsidR="00C73422" w:rsidRPr="00475D3F">
        <w:rPr>
          <w:rFonts w:asciiTheme="minorHAnsi" w:hAnsiTheme="minorHAnsi" w:cstheme="minorHAnsi"/>
          <w:sz w:val="22"/>
          <w:szCs w:val="22"/>
        </w:rPr>
        <w:t xml:space="preserve"> </w:t>
      </w:r>
      <w:r w:rsidR="00377AF8" w:rsidRPr="00475D3F">
        <w:rPr>
          <w:rFonts w:asciiTheme="minorHAnsi" w:hAnsiTheme="minorHAnsi" w:cstheme="minorHAnsi"/>
          <w:sz w:val="22"/>
          <w:szCs w:val="22"/>
        </w:rPr>
        <w:t xml:space="preserve">across </w:t>
      </w:r>
      <w:r w:rsidR="00C73422" w:rsidRPr="00475D3F">
        <w:rPr>
          <w:rFonts w:asciiTheme="minorHAnsi" w:hAnsiTheme="minorHAnsi" w:cstheme="minorHAnsi"/>
          <w:sz w:val="22"/>
          <w:szCs w:val="22"/>
        </w:rPr>
        <w:t xml:space="preserve">its </w:t>
      </w:r>
      <w:r w:rsidR="00377AF8" w:rsidRPr="00475D3F">
        <w:rPr>
          <w:rFonts w:asciiTheme="minorHAnsi" w:hAnsiTheme="minorHAnsi" w:cstheme="minorHAnsi"/>
          <w:sz w:val="22"/>
          <w:szCs w:val="22"/>
        </w:rPr>
        <w:t xml:space="preserve">network. </w:t>
      </w:r>
      <w:r w:rsidR="001842BF" w:rsidRPr="00475D3F">
        <w:rPr>
          <w:rFonts w:asciiTheme="minorHAnsi" w:hAnsiTheme="minorHAnsi" w:cstheme="minorHAnsi"/>
          <w:sz w:val="22"/>
          <w:szCs w:val="22"/>
        </w:rPr>
        <w:t xml:space="preserve">This paper reports on a process evaluation </w:t>
      </w:r>
      <w:r w:rsidR="001842BF" w:rsidRPr="00D03C35">
        <w:rPr>
          <w:rFonts w:asciiTheme="minorHAnsi" w:hAnsiTheme="minorHAnsi" w:cstheme="minorHAnsi"/>
          <w:sz w:val="22"/>
          <w:szCs w:val="22"/>
        </w:rPr>
        <w:t>of th</w:t>
      </w:r>
      <w:r w:rsidR="00170A87" w:rsidRPr="00D03C35">
        <w:rPr>
          <w:rFonts w:asciiTheme="minorHAnsi" w:hAnsiTheme="minorHAnsi" w:cstheme="minorHAnsi"/>
          <w:sz w:val="22"/>
          <w:szCs w:val="22"/>
        </w:rPr>
        <w:t>e design and implementation of this</w:t>
      </w:r>
      <w:r w:rsidR="001842BF" w:rsidRPr="00D03C35">
        <w:rPr>
          <w:rFonts w:asciiTheme="minorHAnsi" w:hAnsiTheme="minorHAnsi" w:cstheme="minorHAnsi"/>
          <w:sz w:val="22"/>
          <w:szCs w:val="22"/>
        </w:rPr>
        <w:t xml:space="preserve"> intervention.</w:t>
      </w:r>
    </w:p>
    <w:p w14:paraId="54E7B585" w14:textId="77777777" w:rsidR="00377AF8" w:rsidRPr="00475D3F" w:rsidRDefault="00377AF8" w:rsidP="00F209CF">
      <w:pPr>
        <w:spacing w:line="360" w:lineRule="auto"/>
        <w:rPr>
          <w:rFonts w:asciiTheme="minorHAnsi" w:hAnsiTheme="minorHAnsi" w:cstheme="minorHAnsi"/>
          <w:sz w:val="22"/>
          <w:szCs w:val="22"/>
        </w:rPr>
      </w:pPr>
    </w:p>
    <w:p w14:paraId="251DDBB2" w14:textId="77777777" w:rsidR="00377AF8" w:rsidRPr="00F209CF" w:rsidRDefault="00377AF8" w:rsidP="00F209CF">
      <w:pPr>
        <w:spacing w:line="360" w:lineRule="auto"/>
        <w:rPr>
          <w:rFonts w:asciiTheme="minorHAnsi" w:hAnsiTheme="minorHAnsi" w:cstheme="minorHAnsi"/>
          <w:b/>
          <w:bCs/>
          <w:sz w:val="22"/>
          <w:szCs w:val="22"/>
        </w:rPr>
      </w:pPr>
      <w:r w:rsidRPr="00F209CF">
        <w:rPr>
          <w:rFonts w:asciiTheme="minorHAnsi" w:hAnsiTheme="minorHAnsi" w:cstheme="minorHAnsi"/>
          <w:b/>
          <w:bCs/>
          <w:sz w:val="22"/>
          <w:szCs w:val="22"/>
        </w:rPr>
        <w:t>Methods</w:t>
      </w:r>
    </w:p>
    <w:p w14:paraId="05820D7D" w14:textId="7D85C3E0" w:rsidR="00377AF8" w:rsidRPr="00475D3F" w:rsidRDefault="00264A94" w:rsidP="00F209CF">
      <w:pPr>
        <w:spacing w:line="360" w:lineRule="auto"/>
        <w:rPr>
          <w:rFonts w:asciiTheme="minorHAnsi" w:hAnsiTheme="minorHAnsi" w:cstheme="minorHAnsi"/>
          <w:sz w:val="22"/>
          <w:szCs w:val="22"/>
        </w:rPr>
      </w:pPr>
      <w:r w:rsidRPr="00475D3F">
        <w:rPr>
          <w:rFonts w:asciiTheme="minorHAnsi" w:hAnsiTheme="minorHAnsi" w:cstheme="minorHAnsi"/>
          <w:sz w:val="22"/>
          <w:szCs w:val="22"/>
        </w:rPr>
        <w:t xml:space="preserve">In 2019-2020, </w:t>
      </w:r>
      <w:r w:rsidR="00E764C1">
        <w:rPr>
          <w:rFonts w:asciiTheme="minorHAnsi" w:hAnsiTheme="minorHAnsi" w:cstheme="minorHAnsi"/>
          <w:sz w:val="22"/>
          <w:szCs w:val="22"/>
        </w:rPr>
        <w:t xml:space="preserve">we conducted </w:t>
      </w:r>
      <w:r w:rsidRPr="00475D3F">
        <w:rPr>
          <w:rFonts w:asciiTheme="minorHAnsi" w:hAnsiTheme="minorHAnsi" w:cstheme="minorHAnsi"/>
          <w:sz w:val="22"/>
          <w:szCs w:val="22"/>
        </w:rPr>
        <w:t>s</w:t>
      </w:r>
      <w:r w:rsidR="001842BF" w:rsidRPr="00475D3F">
        <w:rPr>
          <w:rFonts w:asciiTheme="minorHAnsi" w:hAnsiTheme="minorHAnsi" w:cstheme="minorHAnsi"/>
          <w:sz w:val="22"/>
          <w:szCs w:val="22"/>
        </w:rPr>
        <w:t>emi-structured interviews with</w:t>
      </w:r>
      <w:r w:rsidRPr="00475D3F">
        <w:rPr>
          <w:rFonts w:asciiTheme="minorHAnsi" w:hAnsiTheme="minorHAnsi" w:cstheme="minorHAnsi"/>
          <w:sz w:val="22"/>
          <w:szCs w:val="22"/>
        </w:rPr>
        <w:t xml:space="preserve"> </w:t>
      </w:r>
      <w:r w:rsidR="001842BF" w:rsidRPr="00475D3F">
        <w:rPr>
          <w:rFonts w:asciiTheme="minorHAnsi" w:hAnsiTheme="minorHAnsi" w:cstheme="minorHAnsi"/>
          <w:sz w:val="22"/>
          <w:szCs w:val="22"/>
        </w:rPr>
        <w:t xml:space="preserve">23 </w:t>
      </w:r>
      <w:r w:rsidR="00377AF8" w:rsidRPr="00475D3F">
        <w:rPr>
          <w:rFonts w:asciiTheme="minorHAnsi" w:hAnsiTheme="minorHAnsi" w:cstheme="minorHAnsi"/>
          <w:sz w:val="22"/>
          <w:szCs w:val="22"/>
        </w:rPr>
        <w:t>stakeholders</w:t>
      </w:r>
      <w:r w:rsidRPr="00475D3F">
        <w:rPr>
          <w:rFonts w:asciiTheme="minorHAnsi" w:hAnsiTheme="minorHAnsi" w:cstheme="minorHAnsi"/>
          <w:sz w:val="22"/>
          <w:szCs w:val="22"/>
        </w:rPr>
        <w:t>.  Interviews with</w:t>
      </w:r>
      <w:r w:rsidR="00792A9A">
        <w:rPr>
          <w:rFonts w:asciiTheme="minorHAnsi" w:hAnsiTheme="minorHAnsi" w:cstheme="minorHAnsi"/>
          <w:sz w:val="22"/>
          <w:szCs w:val="22"/>
        </w:rPr>
        <w:t xml:space="preserve"> </w:t>
      </w:r>
      <w:r w:rsidR="00E764C1">
        <w:rPr>
          <w:rFonts w:asciiTheme="minorHAnsi" w:hAnsiTheme="minorHAnsi" w:cstheme="minorHAnsi"/>
          <w:sz w:val="22"/>
          <w:szCs w:val="22"/>
        </w:rPr>
        <w:t>those</w:t>
      </w:r>
      <w:r w:rsidR="00792A9A">
        <w:rPr>
          <w:rFonts w:asciiTheme="minorHAnsi" w:hAnsiTheme="minorHAnsi" w:cstheme="minorHAnsi"/>
          <w:sz w:val="22"/>
          <w:szCs w:val="22"/>
        </w:rPr>
        <w:t xml:space="preserve"> responsible for</w:t>
      </w:r>
      <w:r w:rsidRPr="00475D3F">
        <w:rPr>
          <w:rFonts w:asciiTheme="minorHAnsi" w:hAnsiTheme="minorHAnsi" w:cstheme="minorHAnsi"/>
          <w:sz w:val="22"/>
          <w:szCs w:val="22"/>
        </w:rPr>
        <w:t xml:space="preserve"> implement</w:t>
      </w:r>
      <w:r w:rsidR="00792A9A">
        <w:rPr>
          <w:rFonts w:asciiTheme="minorHAnsi" w:hAnsiTheme="minorHAnsi" w:cstheme="minorHAnsi"/>
          <w:sz w:val="22"/>
          <w:szCs w:val="22"/>
        </w:rPr>
        <w:t>ation</w:t>
      </w:r>
      <w:r w:rsidRPr="00475D3F">
        <w:rPr>
          <w:rFonts w:asciiTheme="minorHAnsi" w:hAnsiTheme="minorHAnsi" w:cstheme="minorHAnsi"/>
          <w:sz w:val="22"/>
          <w:szCs w:val="22"/>
        </w:rPr>
        <w:t xml:space="preserve"> (n=13) explored stakeholder </w:t>
      </w:r>
      <w:r w:rsidR="00377AF8" w:rsidRPr="00475D3F">
        <w:rPr>
          <w:rFonts w:asciiTheme="minorHAnsi" w:hAnsiTheme="minorHAnsi" w:cstheme="minorHAnsi"/>
          <w:sz w:val="22"/>
          <w:szCs w:val="22"/>
        </w:rPr>
        <w:t>roles, barriers</w:t>
      </w:r>
      <w:r w:rsidR="00E307B9" w:rsidRPr="00475D3F">
        <w:rPr>
          <w:rFonts w:asciiTheme="minorHAnsi" w:hAnsiTheme="minorHAnsi" w:cstheme="minorHAnsi"/>
          <w:sz w:val="22"/>
          <w:szCs w:val="22"/>
        </w:rPr>
        <w:t xml:space="preserve"> </w:t>
      </w:r>
      <w:r w:rsidR="00377AF8" w:rsidRPr="00475D3F">
        <w:rPr>
          <w:rFonts w:asciiTheme="minorHAnsi" w:hAnsiTheme="minorHAnsi" w:cstheme="minorHAnsi"/>
          <w:sz w:val="22"/>
          <w:szCs w:val="22"/>
        </w:rPr>
        <w:t xml:space="preserve">and facilitators </w:t>
      </w:r>
      <w:r w:rsidR="00E307B9" w:rsidRPr="00475D3F">
        <w:rPr>
          <w:rFonts w:asciiTheme="minorHAnsi" w:hAnsiTheme="minorHAnsi" w:cstheme="minorHAnsi"/>
          <w:sz w:val="22"/>
          <w:szCs w:val="22"/>
        </w:rPr>
        <w:t>to</w:t>
      </w:r>
      <w:r w:rsidR="00377AF8" w:rsidRPr="00475D3F">
        <w:rPr>
          <w:rFonts w:asciiTheme="minorHAnsi" w:hAnsiTheme="minorHAnsi" w:cstheme="minorHAnsi"/>
          <w:sz w:val="22"/>
          <w:szCs w:val="22"/>
        </w:rPr>
        <w:t xml:space="preserve"> policy development</w:t>
      </w:r>
      <w:r w:rsidR="00D03C35">
        <w:rPr>
          <w:rFonts w:asciiTheme="minorHAnsi" w:hAnsiTheme="minorHAnsi" w:cstheme="minorHAnsi"/>
          <w:sz w:val="22"/>
          <w:szCs w:val="22"/>
        </w:rPr>
        <w:t>/</w:t>
      </w:r>
      <w:r w:rsidR="00377AF8" w:rsidRPr="00475D3F">
        <w:rPr>
          <w:rFonts w:asciiTheme="minorHAnsi" w:hAnsiTheme="minorHAnsi" w:cstheme="minorHAnsi"/>
          <w:sz w:val="22"/>
          <w:szCs w:val="22"/>
        </w:rPr>
        <w:t xml:space="preserve">implementation and </w:t>
      </w:r>
      <w:r w:rsidR="003B2B37" w:rsidRPr="00475D3F">
        <w:rPr>
          <w:rFonts w:asciiTheme="minorHAnsi" w:hAnsiTheme="minorHAnsi" w:cstheme="minorHAnsi"/>
          <w:sz w:val="22"/>
          <w:szCs w:val="22"/>
        </w:rPr>
        <w:t>un</w:t>
      </w:r>
      <w:r w:rsidR="00377AF8" w:rsidRPr="00475D3F">
        <w:rPr>
          <w:rFonts w:asciiTheme="minorHAnsi" w:hAnsiTheme="minorHAnsi" w:cstheme="minorHAnsi"/>
          <w:sz w:val="22"/>
          <w:szCs w:val="22"/>
        </w:rPr>
        <w:t xml:space="preserve">intended consequences. Interviews with </w:t>
      </w:r>
      <w:r w:rsidRPr="00475D3F">
        <w:rPr>
          <w:rFonts w:asciiTheme="minorHAnsi" w:hAnsiTheme="minorHAnsi" w:cstheme="minorHAnsi"/>
          <w:sz w:val="22"/>
          <w:szCs w:val="22"/>
        </w:rPr>
        <w:t xml:space="preserve">food </w:t>
      </w:r>
      <w:r w:rsidR="00377AF8" w:rsidRPr="00475D3F">
        <w:rPr>
          <w:rFonts w:asciiTheme="minorHAnsi" w:hAnsiTheme="minorHAnsi" w:cstheme="minorHAnsi"/>
          <w:sz w:val="22"/>
          <w:szCs w:val="22"/>
        </w:rPr>
        <w:t xml:space="preserve">industry stakeholders </w:t>
      </w:r>
      <w:r w:rsidRPr="00475D3F">
        <w:rPr>
          <w:rFonts w:asciiTheme="minorHAnsi" w:hAnsiTheme="minorHAnsi" w:cstheme="minorHAnsi"/>
          <w:sz w:val="22"/>
          <w:szCs w:val="22"/>
        </w:rPr>
        <w:t xml:space="preserve">(n=10) </w:t>
      </w:r>
      <w:r w:rsidR="00377AF8" w:rsidRPr="00475D3F">
        <w:rPr>
          <w:rFonts w:asciiTheme="minorHAnsi" w:hAnsiTheme="minorHAnsi" w:cstheme="minorHAnsi"/>
          <w:sz w:val="22"/>
          <w:szCs w:val="22"/>
        </w:rPr>
        <w:t>explored perceptions and acceptability of the policy, changes</w:t>
      </w:r>
      <w:r w:rsidR="00E307B9" w:rsidRPr="00475D3F">
        <w:rPr>
          <w:rFonts w:asciiTheme="minorHAnsi" w:hAnsiTheme="minorHAnsi" w:cstheme="minorHAnsi"/>
          <w:sz w:val="22"/>
          <w:szCs w:val="22"/>
        </w:rPr>
        <w:t xml:space="preserve"> to business practice</w:t>
      </w:r>
      <w:r w:rsidR="00377AF8" w:rsidRPr="00475D3F">
        <w:rPr>
          <w:rFonts w:asciiTheme="minorHAnsi" w:hAnsiTheme="minorHAnsi" w:cstheme="minorHAnsi"/>
          <w:sz w:val="22"/>
          <w:szCs w:val="22"/>
        </w:rPr>
        <w:t xml:space="preserve"> and impact on business. </w:t>
      </w:r>
      <w:r w:rsidR="008506B9" w:rsidRPr="00475D3F">
        <w:rPr>
          <w:rFonts w:asciiTheme="minorHAnsi" w:hAnsiTheme="minorHAnsi" w:cstheme="minorHAnsi"/>
          <w:sz w:val="22"/>
          <w:szCs w:val="22"/>
        </w:rPr>
        <w:t xml:space="preserve">Data were </w:t>
      </w:r>
      <w:r w:rsidR="00E307B9" w:rsidRPr="00475D3F">
        <w:rPr>
          <w:rFonts w:asciiTheme="minorHAnsi" w:hAnsiTheme="minorHAnsi" w:cstheme="minorHAnsi"/>
          <w:sz w:val="22"/>
          <w:szCs w:val="22"/>
        </w:rPr>
        <w:t xml:space="preserve">analysed using </w:t>
      </w:r>
      <w:r w:rsidR="00685063">
        <w:rPr>
          <w:rFonts w:asciiTheme="minorHAnsi" w:hAnsiTheme="minorHAnsi" w:cstheme="minorHAnsi"/>
          <w:sz w:val="22"/>
          <w:szCs w:val="22"/>
        </w:rPr>
        <w:t>a</w:t>
      </w:r>
      <w:r w:rsidR="00685063" w:rsidRPr="00475D3F">
        <w:rPr>
          <w:rFonts w:asciiTheme="minorHAnsi" w:hAnsiTheme="minorHAnsi" w:cstheme="minorHAnsi"/>
          <w:sz w:val="22"/>
          <w:szCs w:val="22"/>
        </w:rPr>
        <w:t xml:space="preserve"> </w:t>
      </w:r>
      <w:r w:rsidR="00377AF8" w:rsidRPr="00475D3F">
        <w:rPr>
          <w:rFonts w:asciiTheme="minorHAnsi" w:hAnsiTheme="minorHAnsi" w:cstheme="minorHAnsi"/>
          <w:sz w:val="22"/>
          <w:szCs w:val="22"/>
        </w:rPr>
        <w:t>General Inductive Approach.</w:t>
      </w:r>
    </w:p>
    <w:p w14:paraId="18482012" w14:textId="77777777" w:rsidR="00377AF8" w:rsidRPr="00475D3F" w:rsidRDefault="00377AF8" w:rsidP="00F209CF">
      <w:pPr>
        <w:spacing w:line="360" w:lineRule="auto"/>
        <w:rPr>
          <w:rFonts w:asciiTheme="minorHAnsi" w:hAnsiTheme="minorHAnsi" w:cstheme="minorHAnsi"/>
          <w:sz w:val="22"/>
          <w:szCs w:val="22"/>
        </w:rPr>
      </w:pPr>
    </w:p>
    <w:p w14:paraId="694C355F" w14:textId="77777777" w:rsidR="00377AF8" w:rsidRPr="00F209CF" w:rsidRDefault="00377AF8" w:rsidP="00F209CF">
      <w:pPr>
        <w:spacing w:line="360" w:lineRule="auto"/>
        <w:rPr>
          <w:rFonts w:asciiTheme="minorHAnsi" w:hAnsiTheme="minorHAnsi" w:cstheme="minorHAnsi"/>
          <w:b/>
          <w:bCs/>
          <w:sz w:val="22"/>
          <w:szCs w:val="22"/>
        </w:rPr>
      </w:pPr>
      <w:r w:rsidRPr="00F209CF">
        <w:rPr>
          <w:rFonts w:asciiTheme="minorHAnsi" w:hAnsiTheme="minorHAnsi" w:cstheme="minorHAnsi"/>
          <w:b/>
          <w:bCs/>
          <w:sz w:val="22"/>
          <w:szCs w:val="22"/>
        </w:rPr>
        <w:t>Results</w:t>
      </w:r>
    </w:p>
    <w:p w14:paraId="2BA869DC" w14:textId="23A66849" w:rsidR="00377AF8" w:rsidRPr="00475D3F" w:rsidRDefault="00535CE5" w:rsidP="00F209CF">
      <w:pPr>
        <w:spacing w:line="360" w:lineRule="auto"/>
        <w:rPr>
          <w:rFonts w:asciiTheme="minorHAnsi" w:hAnsiTheme="minorHAnsi" w:cstheme="minorHAnsi"/>
          <w:sz w:val="22"/>
          <w:szCs w:val="22"/>
        </w:rPr>
      </w:pPr>
      <w:r w:rsidRPr="00475D3F">
        <w:rPr>
          <w:rFonts w:asciiTheme="minorHAnsi" w:hAnsiTheme="minorHAnsi" w:cstheme="minorHAnsi"/>
          <w:sz w:val="22"/>
          <w:szCs w:val="22"/>
        </w:rPr>
        <w:t>P</w:t>
      </w:r>
      <w:r w:rsidR="00377AF8" w:rsidRPr="00475D3F">
        <w:rPr>
          <w:rFonts w:asciiTheme="minorHAnsi" w:hAnsiTheme="minorHAnsi" w:cstheme="minorHAnsi"/>
          <w:sz w:val="22"/>
          <w:szCs w:val="22"/>
        </w:rPr>
        <w:t>ractical challenges includ</w:t>
      </w:r>
      <w:r w:rsidRPr="00475D3F">
        <w:rPr>
          <w:rFonts w:asciiTheme="minorHAnsi" w:hAnsiTheme="minorHAnsi" w:cstheme="minorHAnsi"/>
          <w:sz w:val="22"/>
          <w:szCs w:val="22"/>
        </w:rPr>
        <w:t>ed</w:t>
      </w:r>
      <w:r w:rsidR="00377AF8" w:rsidRPr="00475D3F">
        <w:rPr>
          <w:rFonts w:asciiTheme="minorHAnsi" w:hAnsiTheme="minorHAnsi" w:cstheme="minorHAnsi"/>
          <w:sz w:val="22"/>
          <w:szCs w:val="22"/>
        </w:rPr>
        <w:t xml:space="preserve"> limited time between policy announcement and implementation, translating the concept of ‘junk food’ into operational policy, the legal landscape and </w:t>
      </w:r>
      <w:r w:rsidR="00625F23">
        <w:rPr>
          <w:rFonts w:asciiTheme="minorHAnsi" w:hAnsiTheme="minorHAnsi" w:cstheme="minorHAnsi"/>
          <w:sz w:val="22"/>
          <w:szCs w:val="22"/>
        </w:rPr>
        <w:t xml:space="preserve">reported </w:t>
      </w:r>
      <w:r w:rsidR="00377AF8" w:rsidRPr="00475D3F">
        <w:rPr>
          <w:rFonts w:asciiTheme="minorHAnsi" w:hAnsiTheme="minorHAnsi" w:cstheme="minorHAnsi"/>
          <w:sz w:val="22"/>
          <w:szCs w:val="22"/>
        </w:rPr>
        <w:t xml:space="preserve">uneven impacts across industry stakeholders. </w:t>
      </w:r>
      <w:r w:rsidR="00F13329" w:rsidRPr="00475D3F">
        <w:rPr>
          <w:rFonts w:asciiTheme="minorHAnsi" w:hAnsiTheme="minorHAnsi" w:cstheme="minorHAnsi"/>
          <w:sz w:val="22"/>
          <w:szCs w:val="22"/>
        </w:rPr>
        <w:t>P</w:t>
      </w:r>
      <w:r w:rsidR="00377AF8" w:rsidRPr="00475D3F">
        <w:rPr>
          <w:rFonts w:asciiTheme="minorHAnsi" w:hAnsiTheme="minorHAnsi" w:cstheme="minorHAnsi"/>
          <w:sz w:val="22"/>
          <w:szCs w:val="22"/>
        </w:rPr>
        <w:t>olitical challenges includ</w:t>
      </w:r>
      <w:r w:rsidR="00F13329" w:rsidRPr="00475D3F">
        <w:rPr>
          <w:rFonts w:asciiTheme="minorHAnsi" w:hAnsiTheme="minorHAnsi" w:cstheme="minorHAnsi"/>
          <w:sz w:val="22"/>
          <w:szCs w:val="22"/>
        </w:rPr>
        <w:t>ed</w:t>
      </w:r>
      <w:r w:rsidR="00CD16C5" w:rsidRPr="00475D3F">
        <w:rPr>
          <w:rFonts w:asciiTheme="minorHAnsi" w:hAnsiTheme="minorHAnsi" w:cstheme="minorHAnsi"/>
          <w:sz w:val="22"/>
          <w:szCs w:val="22"/>
        </w:rPr>
        <w:t xml:space="preserve"> </w:t>
      </w:r>
      <w:r w:rsidR="00D03C35">
        <w:rPr>
          <w:rFonts w:asciiTheme="minorHAnsi" w:hAnsiTheme="minorHAnsi" w:cstheme="minorHAnsi"/>
          <w:sz w:val="22"/>
          <w:szCs w:val="22"/>
        </w:rPr>
        <w:t>designing</w:t>
      </w:r>
      <w:r w:rsidR="00D03C35" w:rsidRPr="00475D3F">
        <w:rPr>
          <w:rFonts w:asciiTheme="minorHAnsi" w:hAnsiTheme="minorHAnsi" w:cstheme="minorHAnsi"/>
          <w:sz w:val="22"/>
          <w:szCs w:val="22"/>
        </w:rPr>
        <w:t xml:space="preserve"> </w:t>
      </w:r>
      <w:r w:rsidR="00377AF8" w:rsidRPr="00475D3F">
        <w:rPr>
          <w:rFonts w:asciiTheme="minorHAnsi" w:hAnsiTheme="minorHAnsi" w:cstheme="minorHAnsi"/>
          <w:sz w:val="22"/>
          <w:szCs w:val="22"/>
        </w:rPr>
        <w:t xml:space="preserve">a policy the public views as appropriate, balancing health </w:t>
      </w:r>
      <w:r w:rsidR="00424429" w:rsidRPr="00475D3F">
        <w:rPr>
          <w:rFonts w:asciiTheme="minorHAnsi" w:hAnsiTheme="minorHAnsi" w:cstheme="minorHAnsi"/>
          <w:sz w:val="22"/>
          <w:szCs w:val="22"/>
        </w:rPr>
        <w:t xml:space="preserve">and </w:t>
      </w:r>
      <w:r w:rsidR="00377AF8" w:rsidRPr="00475D3F">
        <w:rPr>
          <w:rFonts w:asciiTheme="minorHAnsi" w:hAnsiTheme="minorHAnsi" w:cstheme="minorHAnsi"/>
          <w:sz w:val="22"/>
          <w:szCs w:val="22"/>
        </w:rPr>
        <w:t>financial impact</w:t>
      </w:r>
      <w:r w:rsidR="00CD16C5" w:rsidRPr="00475D3F">
        <w:rPr>
          <w:rFonts w:asciiTheme="minorHAnsi" w:hAnsiTheme="minorHAnsi" w:cstheme="minorHAnsi"/>
          <w:sz w:val="22"/>
          <w:szCs w:val="22"/>
        </w:rPr>
        <w:t>s</w:t>
      </w:r>
      <w:r w:rsidR="00424429" w:rsidRPr="00475D3F">
        <w:rPr>
          <w:rFonts w:asciiTheme="minorHAnsi" w:hAnsiTheme="minorHAnsi" w:cstheme="minorHAnsi"/>
          <w:sz w:val="22"/>
          <w:szCs w:val="22"/>
        </w:rPr>
        <w:t>,</w:t>
      </w:r>
      <w:r w:rsidR="00377AF8" w:rsidRPr="00475D3F">
        <w:rPr>
          <w:rFonts w:asciiTheme="minorHAnsi" w:hAnsiTheme="minorHAnsi" w:cstheme="minorHAnsi"/>
          <w:sz w:val="22"/>
          <w:szCs w:val="22"/>
        </w:rPr>
        <w:t xml:space="preserve"> and the perceived influence of political motivations. Consultation during policy development and close communication with industry reportedly facilitated implementation, as did the development of an exceptions process that provided a review pathway for HFSS products that </w:t>
      </w:r>
      <w:r w:rsidR="00365E3E">
        <w:rPr>
          <w:rFonts w:asciiTheme="minorHAnsi" w:hAnsiTheme="minorHAnsi" w:cstheme="minorHAnsi"/>
          <w:sz w:val="22"/>
          <w:szCs w:val="22"/>
        </w:rPr>
        <w:t xml:space="preserve">might </w:t>
      </w:r>
      <w:r w:rsidR="00377AF8" w:rsidRPr="00475D3F">
        <w:rPr>
          <w:rFonts w:asciiTheme="minorHAnsi" w:hAnsiTheme="minorHAnsi" w:cstheme="minorHAnsi"/>
          <w:sz w:val="22"/>
          <w:szCs w:val="22"/>
        </w:rPr>
        <w:t xml:space="preserve">not contribute to </w:t>
      </w:r>
      <w:r w:rsidR="003B71E8">
        <w:rPr>
          <w:rFonts w:asciiTheme="minorHAnsi" w:hAnsiTheme="minorHAnsi" w:cstheme="minorHAnsi"/>
          <w:sz w:val="22"/>
          <w:szCs w:val="22"/>
        </w:rPr>
        <w:t>children’s HFSS consumption</w:t>
      </w:r>
      <w:r w:rsidR="00377AF8" w:rsidRPr="00475D3F">
        <w:rPr>
          <w:rFonts w:asciiTheme="minorHAnsi" w:hAnsiTheme="minorHAnsi" w:cstheme="minorHAnsi"/>
          <w:sz w:val="22"/>
          <w:szCs w:val="22"/>
        </w:rPr>
        <w:t xml:space="preserve">. </w:t>
      </w:r>
    </w:p>
    <w:p w14:paraId="691BD859" w14:textId="77777777" w:rsidR="00377AF8" w:rsidRPr="00475D3F" w:rsidRDefault="00377AF8" w:rsidP="00F209CF">
      <w:pPr>
        <w:spacing w:line="360" w:lineRule="auto"/>
        <w:rPr>
          <w:rFonts w:asciiTheme="minorHAnsi" w:hAnsiTheme="minorHAnsi" w:cstheme="minorHAnsi"/>
          <w:sz w:val="22"/>
          <w:szCs w:val="22"/>
        </w:rPr>
      </w:pPr>
    </w:p>
    <w:p w14:paraId="6AC8F21E" w14:textId="77777777" w:rsidR="009E6123" w:rsidRPr="00F209CF" w:rsidRDefault="00264A94" w:rsidP="00F209CF">
      <w:pPr>
        <w:spacing w:line="360" w:lineRule="auto"/>
        <w:rPr>
          <w:rFonts w:asciiTheme="minorHAnsi" w:hAnsiTheme="minorHAnsi" w:cstheme="minorHAnsi"/>
          <w:b/>
          <w:bCs/>
          <w:sz w:val="22"/>
          <w:szCs w:val="22"/>
        </w:rPr>
      </w:pPr>
      <w:r w:rsidRPr="00F209CF">
        <w:rPr>
          <w:rFonts w:asciiTheme="minorHAnsi" w:hAnsiTheme="minorHAnsi" w:cstheme="minorHAnsi"/>
          <w:b/>
          <w:bCs/>
          <w:sz w:val="22"/>
          <w:szCs w:val="22"/>
        </w:rPr>
        <w:t>Conclusions</w:t>
      </w:r>
      <w:r w:rsidR="00E307B9" w:rsidRPr="00F209CF">
        <w:rPr>
          <w:rFonts w:asciiTheme="minorHAnsi" w:hAnsiTheme="minorHAnsi" w:cstheme="minorHAnsi"/>
          <w:b/>
          <w:bCs/>
          <w:sz w:val="22"/>
          <w:szCs w:val="22"/>
        </w:rPr>
        <w:t xml:space="preserve"> </w:t>
      </w:r>
    </w:p>
    <w:p w14:paraId="1D297610" w14:textId="5373CBD3" w:rsidR="00BA7E56" w:rsidRDefault="00BF719F" w:rsidP="00F209CF">
      <w:pPr>
        <w:spacing w:line="360" w:lineRule="auto"/>
        <w:rPr>
          <w:rFonts w:asciiTheme="minorHAnsi" w:hAnsiTheme="minorHAnsi" w:cstheme="minorHAnsi"/>
          <w:sz w:val="22"/>
          <w:szCs w:val="22"/>
        </w:rPr>
      </w:pPr>
      <w:r w:rsidRPr="00475D3F">
        <w:rPr>
          <w:rFonts w:asciiTheme="minorHAnsi" w:hAnsiTheme="minorHAnsi" w:cstheme="minorHAnsi"/>
          <w:sz w:val="22"/>
          <w:szCs w:val="22"/>
        </w:rPr>
        <w:t>F</w:t>
      </w:r>
      <w:r w:rsidR="00377AF8" w:rsidRPr="00475D3F">
        <w:rPr>
          <w:rFonts w:asciiTheme="minorHAnsi" w:hAnsiTheme="minorHAnsi" w:cstheme="minorHAnsi"/>
          <w:sz w:val="22"/>
          <w:szCs w:val="22"/>
        </w:rPr>
        <w:t xml:space="preserve">indings suggest that </w:t>
      </w:r>
      <w:r w:rsidR="00567E2D" w:rsidRPr="00475D3F">
        <w:rPr>
          <w:rFonts w:asciiTheme="minorHAnsi" w:hAnsiTheme="minorHAnsi" w:cstheme="minorHAnsi"/>
          <w:sz w:val="22"/>
          <w:szCs w:val="22"/>
          <w:lang w:val="en-GB" w:eastAsia="en-US"/>
        </w:rPr>
        <w:t>restricting the outdoor advertisement of HFSS foods and beverages at scale is feasible</w:t>
      </w:r>
      <w:r w:rsidR="00567E2D" w:rsidRPr="00475D3F">
        <w:rPr>
          <w:rFonts w:asciiTheme="minorHAnsi" w:hAnsiTheme="minorHAnsi" w:cstheme="minorHAnsi"/>
          <w:sz w:val="22"/>
          <w:szCs w:val="22"/>
        </w:rPr>
        <w:t xml:space="preserve"> </w:t>
      </w:r>
      <w:r w:rsidR="00377AF8" w:rsidRPr="00475D3F">
        <w:rPr>
          <w:rFonts w:asciiTheme="minorHAnsi" w:hAnsiTheme="minorHAnsi" w:cstheme="minorHAnsi"/>
          <w:sz w:val="22"/>
          <w:szCs w:val="22"/>
        </w:rPr>
        <w:t xml:space="preserve">within a complex policy and business landscape. </w:t>
      </w:r>
      <w:r w:rsidR="00E307B9" w:rsidRPr="00475D3F">
        <w:rPr>
          <w:rFonts w:asciiTheme="minorHAnsi" w:hAnsiTheme="minorHAnsi" w:cstheme="minorHAnsi"/>
          <w:sz w:val="22"/>
          <w:szCs w:val="22"/>
        </w:rPr>
        <w:t xml:space="preserve">We outline </w:t>
      </w:r>
      <w:r w:rsidR="00377AF8" w:rsidRPr="00475D3F">
        <w:rPr>
          <w:rFonts w:asciiTheme="minorHAnsi" w:hAnsiTheme="minorHAnsi" w:cstheme="minorHAnsi"/>
          <w:sz w:val="22"/>
          <w:szCs w:val="22"/>
        </w:rPr>
        <w:t xml:space="preserve">practical steps that may </w:t>
      </w:r>
      <w:r w:rsidR="00E307B9" w:rsidRPr="00475D3F">
        <w:rPr>
          <w:rFonts w:asciiTheme="minorHAnsi" w:hAnsiTheme="minorHAnsi" w:cstheme="minorHAnsi"/>
          <w:sz w:val="22"/>
          <w:szCs w:val="22"/>
        </w:rPr>
        <w:t xml:space="preserve">further </w:t>
      </w:r>
      <w:r w:rsidR="00377AF8" w:rsidRPr="00475D3F">
        <w:rPr>
          <w:rFonts w:asciiTheme="minorHAnsi" w:hAnsiTheme="minorHAnsi" w:cstheme="minorHAnsi"/>
          <w:sz w:val="22"/>
          <w:szCs w:val="22"/>
        </w:rPr>
        <w:lastRenderedPageBreak/>
        <w:t>facilitate</w:t>
      </w:r>
      <w:r w:rsidR="006A5465">
        <w:rPr>
          <w:rFonts w:asciiTheme="minorHAnsi" w:hAnsiTheme="minorHAnsi" w:cstheme="minorHAnsi"/>
          <w:sz w:val="22"/>
          <w:szCs w:val="22"/>
        </w:rPr>
        <w:t xml:space="preserve"> the development and</w:t>
      </w:r>
      <w:r w:rsidR="00377AF8" w:rsidRPr="00475D3F">
        <w:rPr>
          <w:rFonts w:asciiTheme="minorHAnsi" w:hAnsiTheme="minorHAnsi" w:cstheme="minorHAnsi"/>
          <w:sz w:val="22"/>
          <w:szCs w:val="22"/>
        </w:rPr>
        <w:t xml:space="preserve"> implementation of similar policies</w:t>
      </w:r>
      <w:r w:rsidR="00847D49" w:rsidRPr="00475D3F">
        <w:rPr>
          <w:rFonts w:asciiTheme="minorHAnsi" w:hAnsiTheme="minorHAnsi" w:cstheme="minorHAnsi"/>
          <w:sz w:val="22"/>
          <w:szCs w:val="22"/>
        </w:rPr>
        <w:t xml:space="preserve"> and</w:t>
      </w:r>
      <w:r w:rsidR="003B71E8">
        <w:rPr>
          <w:rFonts w:asciiTheme="minorHAnsi" w:hAnsiTheme="minorHAnsi" w:cstheme="minorHAnsi"/>
          <w:sz w:val="22"/>
          <w:szCs w:val="22"/>
        </w:rPr>
        <w:t xml:space="preserve"> </w:t>
      </w:r>
      <w:r w:rsidR="00E764C1">
        <w:rPr>
          <w:rFonts w:asciiTheme="minorHAnsi" w:hAnsiTheme="minorHAnsi" w:cstheme="minorHAnsi"/>
          <w:sz w:val="22"/>
          <w:szCs w:val="22"/>
        </w:rPr>
        <w:t>we report on</w:t>
      </w:r>
      <w:r w:rsidR="00847D49" w:rsidRPr="00475D3F">
        <w:rPr>
          <w:rFonts w:asciiTheme="minorHAnsi" w:hAnsiTheme="minorHAnsi" w:cstheme="minorHAnsi"/>
          <w:sz w:val="22"/>
          <w:szCs w:val="22"/>
        </w:rPr>
        <w:t xml:space="preserve"> the importance of</w:t>
      </w:r>
      <w:r w:rsidR="00E742B5" w:rsidRPr="00475D3F">
        <w:rPr>
          <w:rFonts w:asciiTheme="minorHAnsi" w:hAnsiTheme="minorHAnsi" w:cstheme="minorHAnsi"/>
          <w:sz w:val="22"/>
          <w:szCs w:val="22"/>
        </w:rPr>
        <w:t xml:space="preserve"> </w:t>
      </w:r>
      <w:r w:rsidR="00377AF8" w:rsidRPr="00475D3F">
        <w:rPr>
          <w:rFonts w:asciiTheme="minorHAnsi" w:hAnsiTheme="minorHAnsi" w:cstheme="minorHAnsi"/>
          <w:sz w:val="22"/>
          <w:szCs w:val="22"/>
        </w:rPr>
        <w:t xml:space="preserve">ensuring </w:t>
      </w:r>
      <w:r w:rsidR="00E764C1">
        <w:rPr>
          <w:rFonts w:asciiTheme="minorHAnsi" w:hAnsiTheme="minorHAnsi" w:cstheme="minorHAnsi"/>
          <w:sz w:val="22"/>
          <w:szCs w:val="22"/>
        </w:rPr>
        <w:t>such</w:t>
      </w:r>
      <w:r w:rsidR="00E764C1" w:rsidRPr="00475D3F">
        <w:rPr>
          <w:rFonts w:asciiTheme="minorHAnsi" w:hAnsiTheme="minorHAnsi" w:cstheme="minorHAnsi"/>
          <w:sz w:val="22"/>
          <w:szCs w:val="22"/>
        </w:rPr>
        <w:t xml:space="preserve"> </w:t>
      </w:r>
      <w:r w:rsidR="00377AF8" w:rsidRPr="00475D3F">
        <w:rPr>
          <w:rFonts w:asciiTheme="minorHAnsi" w:hAnsiTheme="minorHAnsi" w:cstheme="minorHAnsi"/>
          <w:sz w:val="22"/>
          <w:szCs w:val="22"/>
        </w:rPr>
        <w:t>polic</w:t>
      </w:r>
      <w:r w:rsidR="00E764C1">
        <w:rPr>
          <w:rFonts w:asciiTheme="minorHAnsi" w:hAnsiTheme="minorHAnsi" w:cstheme="minorHAnsi"/>
          <w:sz w:val="22"/>
          <w:szCs w:val="22"/>
        </w:rPr>
        <w:t>ies</w:t>
      </w:r>
      <w:r w:rsidR="00377AF8" w:rsidRPr="00475D3F">
        <w:rPr>
          <w:rFonts w:asciiTheme="minorHAnsi" w:hAnsiTheme="minorHAnsi" w:cstheme="minorHAnsi"/>
          <w:sz w:val="22"/>
          <w:szCs w:val="22"/>
        </w:rPr>
        <w:t xml:space="preserve"> </w:t>
      </w:r>
      <w:r w:rsidR="00E764C1">
        <w:rPr>
          <w:rFonts w:asciiTheme="minorHAnsi" w:hAnsiTheme="minorHAnsi" w:cstheme="minorHAnsi"/>
          <w:sz w:val="22"/>
          <w:szCs w:val="22"/>
        </w:rPr>
        <w:t>are</w:t>
      </w:r>
      <w:r w:rsidR="00377AF8" w:rsidRPr="00475D3F">
        <w:rPr>
          <w:rFonts w:asciiTheme="minorHAnsi" w:hAnsiTheme="minorHAnsi" w:cstheme="minorHAnsi"/>
          <w:sz w:val="22"/>
          <w:szCs w:val="22"/>
        </w:rPr>
        <w:t xml:space="preserve"> applied in a way that is perceived as reasonable</w:t>
      </w:r>
      <w:r w:rsidR="00847D49" w:rsidRPr="00475D3F">
        <w:rPr>
          <w:rFonts w:asciiTheme="minorHAnsi" w:hAnsiTheme="minorHAnsi" w:cstheme="minorHAnsi"/>
          <w:sz w:val="22"/>
          <w:szCs w:val="22"/>
        </w:rPr>
        <w:t xml:space="preserve"> by</w:t>
      </w:r>
      <w:r w:rsidR="00377AF8" w:rsidRPr="00475D3F">
        <w:rPr>
          <w:rFonts w:asciiTheme="minorHAnsi" w:hAnsiTheme="minorHAnsi" w:cstheme="minorHAnsi"/>
          <w:sz w:val="22"/>
          <w:szCs w:val="22"/>
        </w:rPr>
        <w:t xml:space="preserve"> industry and the public.</w:t>
      </w:r>
    </w:p>
    <w:p w14:paraId="1C5F3AB7" w14:textId="77777777" w:rsidR="00E81CCE" w:rsidRPr="00475D3F" w:rsidRDefault="00E81CCE" w:rsidP="00F209CF">
      <w:pPr>
        <w:spacing w:line="360" w:lineRule="auto"/>
        <w:rPr>
          <w:rFonts w:asciiTheme="minorHAnsi" w:hAnsiTheme="minorHAnsi" w:cstheme="minorHAnsi"/>
          <w:sz w:val="22"/>
          <w:szCs w:val="22"/>
        </w:rPr>
      </w:pPr>
    </w:p>
    <w:p w14:paraId="00A90AF9" w14:textId="37FBBA13" w:rsidR="00D8706D" w:rsidRPr="00475D3F" w:rsidRDefault="00D8706D" w:rsidP="00F209CF">
      <w:pPr>
        <w:pStyle w:val="Heading2"/>
        <w:spacing w:line="360" w:lineRule="auto"/>
        <w:rPr>
          <w:rFonts w:asciiTheme="minorHAnsi" w:hAnsiTheme="minorHAnsi" w:cstheme="minorHAnsi"/>
          <w:sz w:val="22"/>
          <w:szCs w:val="22"/>
        </w:rPr>
      </w:pPr>
      <w:r w:rsidRPr="00475D3F">
        <w:rPr>
          <w:rFonts w:asciiTheme="minorHAnsi" w:hAnsiTheme="minorHAnsi" w:cstheme="minorHAnsi"/>
          <w:sz w:val="22"/>
          <w:szCs w:val="22"/>
        </w:rPr>
        <w:t>Keywords</w:t>
      </w:r>
      <w:r w:rsidR="00475D3F">
        <w:rPr>
          <w:rFonts w:asciiTheme="minorHAnsi" w:hAnsiTheme="minorHAnsi" w:cstheme="minorHAnsi"/>
          <w:sz w:val="22"/>
          <w:szCs w:val="22"/>
        </w:rPr>
        <w:t xml:space="preserve">: </w:t>
      </w:r>
      <w:r w:rsidR="00364B90" w:rsidRPr="00475D3F">
        <w:rPr>
          <w:rFonts w:asciiTheme="minorHAnsi" w:hAnsiTheme="minorHAnsi" w:cstheme="minorHAnsi"/>
          <w:color w:val="000000"/>
          <w:sz w:val="22"/>
          <w:szCs w:val="22"/>
        </w:rPr>
        <w:t xml:space="preserve">Food </w:t>
      </w:r>
      <w:r w:rsidR="002D53BE" w:rsidRPr="00475D3F">
        <w:rPr>
          <w:rFonts w:asciiTheme="minorHAnsi" w:hAnsiTheme="minorHAnsi" w:cstheme="minorHAnsi"/>
          <w:color w:val="000000"/>
          <w:sz w:val="22"/>
          <w:szCs w:val="22"/>
        </w:rPr>
        <w:t>advertising; regulation; childhood obesity; media; intervention; implementation</w:t>
      </w:r>
      <w:r w:rsidR="00CC3466" w:rsidRPr="00475D3F">
        <w:rPr>
          <w:rFonts w:asciiTheme="minorHAnsi" w:hAnsiTheme="minorHAnsi" w:cstheme="minorHAnsi"/>
          <w:color w:val="000000"/>
          <w:sz w:val="22"/>
          <w:szCs w:val="22"/>
        </w:rPr>
        <w:t>; HFSS.</w:t>
      </w:r>
    </w:p>
    <w:p w14:paraId="35DB3EA5" w14:textId="77777777" w:rsidR="00205CA6" w:rsidRDefault="00205CA6" w:rsidP="00475D3F"/>
    <w:p w14:paraId="51675EC7" w14:textId="3DF29238" w:rsidR="004C6173" w:rsidRPr="00BD338E" w:rsidRDefault="00522FC5" w:rsidP="00475D3F">
      <w:pPr>
        <w:pStyle w:val="Heading2"/>
        <w:spacing w:line="360" w:lineRule="auto"/>
      </w:pPr>
      <w:r w:rsidRPr="000B35F3">
        <w:t>Introduction</w:t>
      </w:r>
      <w:bookmarkStart w:id="1" w:name="_Hlk57646783"/>
    </w:p>
    <w:p w14:paraId="6439AA96" w14:textId="696CB0C9" w:rsidR="00BD338E" w:rsidRPr="00BD338E" w:rsidRDefault="00BD338E" w:rsidP="00475D3F">
      <w:pPr>
        <w:spacing w:line="360" w:lineRule="auto"/>
        <w:rPr>
          <w:rFonts w:ascii="Calibri" w:hAnsi="Calibri" w:cs="Calibri"/>
          <w:sz w:val="22"/>
          <w:szCs w:val="22"/>
        </w:rPr>
      </w:pPr>
      <w:r w:rsidRPr="00BD338E">
        <w:rPr>
          <w:rFonts w:ascii="Calibri" w:hAnsi="Calibri" w:cs="Calibri"/>
          <w:sz w:val="22"/>
          <w:szCs w:val="22"/>
        </w:rPr>
        <w:t>Regulati</w:t>
      </w:r>
      <w:r w:rsidR="00247E6A">
        <w:rPr>
          <w:rFonts w:ascii="Calibri" w:hAnsi="Calibri" w:cs="Calibri"/>
          <w:sz w:val="22"/>
          <w:szCs w:val="22"/>
        </w:rPr>
        <w:t>ng</w:t>
      </w:r>
      <w:r w:rsidRPr="00BD338E">
        <w:rPr>
          <w:rFonts w:ascii="Calibri" w:hAnsi="Calibri" w:cs="Calibri"/>
          <w:sz w:val="22"/>
          <w:szCs w:val="22"/>
        </w:rPr>
        <w:t xml:space="preserve"> </w:t>
      </w:r>
      <w:r w:rsidR="00247E6A">
        <w:rPr>
          <w:rFonts w:ascii="Calibri" w:hAnsi="Calibri" w:cs="Calibri"/>
          <w:sz w:val="22"/>
          <w:szCs w:val="22"/>
        </w:rPr>
        <w:t xml:space="preserve">the </w:t>
      </w:r>
      <w:r w:rsidRPr="00BD338E">
        <w:rPr>
          <w:rFonts w:ascii="Calibri" w:hAnsi="Calibri" w:cs="Calibri"/>
          <w:sz w:val="22"/>
          <w:szCs w:val="22"/>
        </w:rPr>
        <w:t>advertis</w:t>
      </w:r>
      <w:r w:rsidR="00247E6A">
        <w:rPr>
          <w:rFonts w:ascii="Calibri" w:hAnsi="Calibri" w:cs="Calibri"/>
          <w:sz w:val="22"/>
          <w:szCs w:val="22"/>
        </w:rPr>
        <w:t>ement</w:t>
      </w:r>
      <w:r w:rsidRPr="00BD338E">
        <w:rPr>
          <w:rFonts w:ascii="Calibri" w:hAnsi="Calibri" w:cs="Calibri"/>
          <w:sz w:val="22"/>
          <w:szCs w:val="22"/>
        </w:rPr>
        <w:t xml:space="preserve"> of high fat, salt and sugar (HFSS) foods and beverages has been promoted as a policy lever for childhood obesity prevention by local</w:t>
      </w:r>
      <w:r w:rsidR="0036579B">
        <w:rPr>
          <w:rFonts w:ascii="Calibri" w:hAnsi="Calibri" w:cs="Calibri"/>
          <w:sz w:val="22"/>
          <w:szCs w:val="22"/>
        </w:rPr>
        <w:t xml:space="preserve"> and</w:t>
      </w:r>
      <w:r w:rsidRPr="00BD338E">
        <w:rPr>
          <w:rFonts w:ascii="Calibri" w:hAnsi="Calibri" w:cs="Calibri"/>
          <w:sz w:val="22"/>
          <w:szCs w:val="22"/>
        </w:rPr>
        <w:t xml:space="preserve"> national public health policymakers and the World Health </w:t>
      </w:r>
      <w:r w:rsidRPr="005F1F85">
        <w:rPr>
          <w:rFonts w:ascii="Calibri" w:hAnsi="Calibri" w:cs="Calibri"/>
          <w:sz w:val="22"/>
          <w:szCs w:val="22"/>
        </w:rPr>
        <w:t>Organi</w:t>
      </w:r>
      <w:r w:rsidR="00B03F6B" w:rsidRPr="005F1F85">
        <w:rPr>
          <w:rFonts w:ascii="Calibri" w:hAnsi="Calibri" w:cs="Calibri"/>
          <w:sz w:val="22"/>
          <w:szCs w:val="22"/>
        </w:rPr>
        <w:t>z</w:t>
      </w:r>
      <w:r w:rsidRPr="005F1F85">
        <w:rPr>
          <w:rFonts w:ascii="Calibri" w:hAnsi="Calibri" w:cs="Calibri"/>
          <w:sz w:val="22"/>
          <w:szCs w:val="22"/>
        </w:rPr>
        <w:t>ation</w:t>
      </w:r>
      <w:r w:rsidR="00B72D4C">
        <w:rPr>
          <w:rFonts w:ascii="Calibri" w:hAnsi="Calibri" w:cs="Calibri"/>
          <w:sz w:val="22"/>
          <w:szCs w:val="22"/>
        </w:rPr>
        <w:t xml:space="preserve"> </w:t>
      </w:r>
      <w:r w:rsidR="00B72D4C">
        <w:rPr>
          <w:rFonts w:ascii="Calibri" w:hAnsi="Calibri" w:cs="Calibri"/>
          <w:sz w:val="22"/>
          <w:szCs w:val="22"/>
        </w:rPr>
        <w:fldChar w:fldCharType="begin"/>
      </w:r>
      <w:r w:rsidR="00B72D4C">
        <w:rPr>
          <w:rFonts w:ascii="Calibri" w:hAnsi="Calibri" w:cs="Calibri"/>
          <w:sz w:val="22"/>
          <w:szCs w:val="22"/>
        </w:rPr>
        <w:instrText xml:space="preserve"> ADDIN EN.CITE &lt;EndNote&gt;&lt;Cite&gt;&lt;Author&gt;Lambie&lt;/Author&gt;&lt;Year&gt;2011&lt;/Year&gt;&lt;RecNum&gt;41&lt;/RecNum&gt;&lt;DisplayText&gt;(Lambie, 2011)&lt;/DisplayText&gt;&lt;record&gt;&lt;rec-number&gt;41&lt;/rec-number&gt;&lt;foreign-keys&gt;&lt;key app="EN" db-id="s9vsxe023afd99ezx5qpv5vrrspsex2xrs00" timestamp="1623409926"&gt;41&lt;/key&gt;&lt;/foreign-keys&gt;&lt;ref-type name="Report"&gt;27&lt;/ref-type&gt;&lt;contributors&gt;&lt;authors&gt;&lt;author&gt;Lambie, H&lt;/author&gt;&lt;/authors&gt;&lt;tertiary-authors&gt;&lt;author&gt;Coventry University&lt;/author&gt;&lt;/tertiary-authors&gt;&lt;/contributors&gt;&lt;titles&gt;&lt;title&gt;The Trussell Trust Foodbank Network: Exploring the Growth of Foodbanks Across the UK&lt;/title&gt;&lt;/titles&gt;&lt;dates&gt;&lt;year&gt;2011&lt;/year&gt;&lt;/dates&gt;&lt;urls&gt;&lt;/urls&gt;&lt;/record&gt;&lt;/Cite&gt;&lt;/EndNote&gt;</w:instrText>
      </w:r>
      <w:r w:rsidR="00B72D4C">
        <w:rPr>
          <w:rFonts w:ascii="Calibri" w:hAnsi="Calibri" w:cs="Calibri"/>
          <w:sz w:val="22"/>
          <w:szCs w:val="22"/>
        </w:rPr>
        <w:fldChar w:fldCharType="separate"/>
      </w:r>
      <w:r w:rsidR="00B72D4C">
        <w:rPr>
          <w:rFonts w:ascii="Calibri" w:hAnsi="Calibri" w:cs="Calibri"/>
          <w:noProof/>
          <w:sz w:val="22"/>
          <w:szCs w:val="22"/>
        </w:rPr>
        <w:t>(Lambie, 2011)</w:t>
      </w:r>
      <w:r w:rsidR="00B72D4C">
        <w:rPr>
          <w:rFonts w:ascii="Calibri" w:hAnsi="Calibri" w:cs="Calibri"/>
          <w:sz w:val="22"/>
          <w:szCs w:val="22"/>
        </w:rPr>
        <w:fldChar w:fldCharType="end"/>
      </w:r>
      <w:r w:rsidR="005B695A">
        <w:rPr>
          <w:rFonts w:ascii="Calibri" w:hAnsi="Calibri" w:cs="Calibri"/>
          <w:sz w:val="22"/>
          <w:szCs w:val="22"/>
        </w:rPr>
        <w:t>.</w:t>
      </w:r>
      <w:r w:rsidRPr="005F1F85">
        <w:rPr>
          <w:rFonts w:ascii="Calibri" w:hAnsi="Calibri" w:cs="Calibri"/>
          <w:sz w:val="22"/>
          <w:szCs w:val="22"/>
        </w:rPr>
        <w:t xml:space="preserve"> The promotion of such </w:t>
      </w:r>
      <w:r w:rsidR="00364B90" w:rsidRPr="005F1F85">
        <w:rPr>
          <w:rFonts w:ascii="Calibri" w:hAnsi="Calibri" w:cs="Calibri"/>
          <w:sz w:val="22"/>
          <w:szCs w:val="22"/>
        </w:rPr>
        <w:t>policies</w:t>
      </w:r>
      <w:r w:rsidRPr="005F1F85">
        <w:rPr>
          <w:rFonts w:ascii="Calibri" w:hAnsi="Calibri" w:cs="Calibri"/>
          <w:sz w:val="22"/>
          <w:szCs w:val="22"/>
        </w:rPr>
        <w:t xml:space="preserve"> </w:t>
      </w:r>
      <w:r w:rsidR="002B6E66" w:rsidRPr="005F1F85">
        <w:rPr>
          <w:rFonts w:ascii="Calibri" w:hAnsi="Calibri" w:cs="Calibri"/>
          <w:sz w:val="22"/>
          <w:szCs w:val="22"/>
        </w:rPr>
        <w:t xml:space="preserve">is </w:t>
      </w:r>
      <w:r w:rsidRPr="005F1F85">
        <w:rPr>
          <w:rFonts w:ascii="Calibri" w:hAnsi="Calibri" w:cs="Calibri"/>
          <w:sz w:val="22"/>
          <w:szCs w:val="22"/>
        </w:rPr>
        <w:t xml:space="preserve">in recognition of the increasing importance of poor diet as a major determinant of childhood obesity. In the UK, children’s sugar and saturated fat intakes exceed recommended levels and 20% of children aged 10-11 </w:t>
      </w:r>
      <w:r w:rsidR="00A55002">
        <w:rPr>
          <w:rFonts w:ascii="Calibri" w:hAnsi="Calibri" w:cs="Calibri"/>
          <w:sz w:val="22"/>
          <w:szCs w:val="22"/>
        </w:rPr>
        <w:t>live with</w:t>
      </w:r>
      <w:r w:rsidR="003B71E8">
        <w:rPr>
          <w:rFonts w:ascii="Calibri" w:hAnsi="Calibri" w:cs="Calibri"/>
          <w:sz w:val="22"/>
          <w:szCs w:val="22"/>
        </w:rPr>
        <w:t xml:space="preserve"> </w:t>
      </w:r>
      <w:r w:rsidRPr="005F1F85">
        <w:rPr>
          <w:rFonts w:ascii="Calibri" w:hAnsi="Calibri" w:cs="Calibri"/>
          <w:sz w:val="22"/>
          <w:szCs w:val="22"/>
        </w:rPr>
        <w:t>obes</w:t>
      </w:r>
      <w:r w:rsidR="003B71E8">
        <w:rPr>
          <w:rFonts w:ascii="Calibri" w:hAnsi="Calibri" w:cs="Calibri"/>
          <w:sz w:val="22"/>
          <w:szCs w:val="22"/>
        </w:rPr>
        <w:t>ity</w:t>
      </w:r>
      <w:r w:rsidRPr="005F1F85">
        <w:rPr>
          <w:rFonts w:ascii="Calibri" w:hAnsi="Calibri" w:cs="Calibri"/>
          <w:sz w:val="22"/>
          <w:szCs w:val="22"/>
        </w:rPr>
        <w:t xml:space="preserve"> </w:t>
      </w:r>
      <w:r w:rsidR="00302210" w:rsidRPr="001842BF">
        <w:rPr>
          <w:rFonts w:ascii="Calibri" w:hAnsi="Calibri" w:cs="Calibri"/>
          <w:sz w:val="22"/>
          <w:szCs w:val="22"/>
        </w:rPr>
        <w:fldChar w:fldCharType="begin"/>
      </w:r>
      <w:r w:rsidR="000F2510">
        <w:rPr>
          <w:rFonts w:ascii="Calibri" w:hAnsi="Calibri" w:cs="Calibri"/>
          <w:sz w:val="22"/>
          <w:szCs w:val="22"/>
        </w:rPr>
        <w:instrText xml:space="preserve"> ADDIN EN.CITE &lt;EndNote&gt;&lt;Cite&gt;&lt;Author&gt;NHS Digital&lt;/Author&gt;&lt;Year&gt;2020&lt;/Year&gt;&lt;RecNum&gt;19&lt;/RecNum&gt;&lt;DisplayText&gt;(NHS Digital, 2020)&lt;/DisplayText&gt;&lt;record&gt;&lt;rec-number&gt;19&lt;/rec-number&gt;&lt;foreign-keys&gt;&lt;key app="EN" db-id="s9vsxe023afd99ezx5qpv5vrrspsex2xrs00" timestamp="1618306780"&gt;19&lt;/key&gt;&lt;/foreign-keys&gt;&lt;ref-type name="Web Page"&gt;12&lt;/ref-type&gt;&lt;contributors&gt;&lt;authors&gt;&lt;author&gt;NHS Digital,&lt;/author&gt;&lt;/authors&gt;&lt;/contributors&gt;&lt;titles&gt;&lt;title&gt;National Child Measurement Programme, England 2019/20 School Year&lt;/title&gt;&lt;/titles&gt;&lt;dates&gt;&lt;year&gt;2020&lt;/year&gt;&lt;/dates&gt;&lt;urls&gt;&lt;related-urls&gt;&lt;url&gt;https://digital.nhs.uk/data-and-information/publications/statistical/national-child-measurement-programme/2019-20-school-year&lt;/url&gt;&lt;/related-urls&gt;&lt;/urls&gt;&lt;/record&gt;&lt;/Cite&gt;&lt;/EndNote&gt;</w:instrText>
      </w:r>
      <w:r w:rsidR="00302210" w:rsidRPr="001842BF">
        <w:rPr>
          <w:rFonts w:ascii="Calibri" w:hAnsi="Calibri" w:cs="Calibri"/>
          <w:sz w:val="22"/>
          <w:szCs w:val="22"/>
        </w:rPr>
        <w:fldChar w:fldCharType="separate"/>
      </w:r>
      <w:r w:rsidR="006D1623">
        <w:rPr>
          <w:rFonts w:ascii="Calibri" w:hAnsi="Calibri" w:cs="Calibri"/>
          <w:noProof/>
          <w:sz w:val="22"/>
          <w:szCs w:val="22"/>
        </w:rPr>
        <w:t>(NHS Digital, 2020)</w:t>
      </w:r>
      <w:r w:rsidR="00302210" w:rsidRPr="001842BF">
        <w:rPr>
          <w:rFonts w:ascii="Calibri" w:hAnsi="Calibri" w:cs="Calibri"/>
          <w:sz w:val="22"/>
          <w:szCs w:val="22"/>
        </w:rPr>
        <w:fldChar w:fldCharType="end"/>
      </w:r>
      <w:r w:rsidR="00364B90" w:rsidRPr="005F1F85">
        <w:rPr>
          <w:rFonts w:ascii="Calibri" w:hAnsi="Calibri" w:cs="Calibri"/>
          <w:sz w:val="22"/>
          <w:szCs w:val="22"/>
        </w:rPr>
        <w:t>.</w:t>
      </w:r>
      <w:r w:rsidRPr="005F1F85">
        <w:rPr>
          <w:rFonts w:ascii="Calibri" w:hAnsi="Calibri" w:cs="Calibri"/>
          <w:sz w:val="22"/>
          <w:szCs w:val="22"/>
        </w:rPr>
        <w:t xml:space="preserve"> Prevention efforts focused on children and young people </w:t>
      </w:r>
      <w:r w:rsidR="003B71E8">
        <w:rPr>
          <w:rFonts w:ascii="Calibri" w:hAnsi="Calibri" w:cs="Calibri"/>
          <w:sz w:val="22"/>
          <w:szCs w:val="22"/>
        </w:rPr>
        <w:t>are</w:t>
      </w:r>
      <w:r w:rsidR="003B71E8" w:rsidRPr="005F1F85">
        <w:rPr>
          <w:rFonts w:ascii="Calibri" w:hAnsi="Calibri" w:cs="Calibri"/>
          <w:sz w:val="22"/>
          <w:szCs w:val="22"/>
        </w:rPr>
        <w:t xml:space="preserve"> </w:t>
      </w:r>
      <w:r w:rsidRPr="005F1F85">
        <w:rPr>
          <w:rFonts w:ascii="Calibri" w:hAnsi="Calibri" w:cs="Calibri"/>
          <w:sz w:val="22"/>
          <w:szCs w:val="22"/>
        </w:rPr>
        <w:t xml:space="preserve">key, as those who </w:t>
      </w:r>
      <w:r w:rsidR="00A55002">
        <w:rPr>
          <w:rFonts w:ascii="Calibri" w:hAnsi="Calibri" w:cs="Calibri"/>
          <w:sz w:val="22"/>
          <w:szCs w:val="22"/>
        </w:rPr>
        <w:t>live with</w:t>
      </w:r>
      <w:r w:rsidR="003B71E8" w:rsidRPr="005F1F85">
        <w:rPr>
          <w:rFonts w:ascii="Calibri" w:hAnsi="Calibri" w:cs="Calibri"/>
          <w:sz w:val="22"/>
          <w:szCs w:val="22"/>
        </w:rPr>
        <w:t xml:space="preserve"> </w:t>
      </w:r>
      <w:r w:rsidRPr="005F1F85">
        <w:rPr>
          <w:rFonts w:ascii="Calibri" w:hAnsi="Calibri" w:cs="Calibri"/>
          <w:sz w:val="22"/>
          <w:szCs w:val="22"/>
        </w:rPr>
        <w:t>overweight or obes</w:t>
      </w:r>
      <w:r w:rsidR="003B71E8">
        <w:rPr>
          <w:rFonts w:ascii="Calibri" w:hAnsi="Calibri" w:cs="Calibri"/>
          <w:sz w:val="22"/>
          <w:szCs w:val="22"/>
        </w:rPr>
        <w:t>ity</w:t>
      </w:r>
      <w:r w:rsidRPr="005F1F85">
        <w:rPr>
          <w:rFonts w:ascii="Calibri" w:hAnsi="Calibri" w:cs="Calibri"/>
          <w:sz w:val="22"/>
          <w:szCs w:val="22"/>
        </w:rPr>
        <w:t xml:space="preserve"> in childhood are more likely to </w:t>
      </w:r>
      <w:r w:rsidR="00D03C35">
        <w:rPr>
          <w:rFonts w:ascii="Calibri" w:hAnsi="Calibri" w:cs="Calibri"/>
          <w:sz w:val="22"/>
          <w:szCs w:val="22"/>
        </w:rPr>
        <w:t>live with obesity in</w:t>
      </w:r>
      <w:r w:rsidRPr="005F1F85">
        <w:rPr>
          <w:rFonts w:ascii="Calibri" w:hAnsi="Calibri" w:cs="Calibri"/>
          <w:sz w:val="22"/>
          <w:szCs w:val="22"/>
        </w:rPr>
        <w:t xml:space="preserve"> adulthood and more likely to develop obesity-related chronic </w:t>
      </w:r>
      <w:r w:rsidR="0036579B">
        <w:rPr>
          <w:rFonts w:ascii="Calibri" w:hAnsi="Calibri" w:cs="Calibri"/>
          <w:sz w:val="22"/>
          <w:szCs w:val="22"/>
        </w:rPr>
        <w:t xml:space="preserve">health </w:t>
      </w:r>
      <w:r w:rsidRPr="005F1F85">
        <w:rPr>
          <w:rFonts w:ascii="Calibri" w:hAnsi="Calibri" w:cs="Calibri"/>
          <w:sz w:val="22"/>
          <w:szCs w:val="22"/>
        </w:rPr>
        <w:t>conditions, such as Type 2 diabetes, earlier in life</w:t>
      </w:r>
      <w:r w:rsidR="005B695A">
        <w:rPr>
          <w:rFonts w:ascii="Calibri" w:hAnsi="Calibri" w:cs="Calibri"/>
          <w:sz w:val="22"/>
          <w:szCs w:val="22"/>
        </w:rPr>
        <w:t xml:space="preserve"> </w:t>
      </w:r>
      <w:r w:rsidR="00B03F6B" w:rsidRPr="001842BF">
        <w:rPr>
          <w:rFonts w:ascii="Calibri" w:hAnsi="Calibri" w:cs="Calibri"/>
          <w:sz w:val="22"/>
          <w:szCs w:val="22"/>
        </w:rPr>
        <w:fldChar w:fldCharType="begin"/>
      </w:r>
      <w:r w:rsidR="006D1623">
        <w:rPr>
          <w:rFonts w:ascii="Calibri" w:hAnsi="Calibri" w:cs="Calibri"/>
          <w:sz w:val="22"/>
          <w:szCs w:val="22"/>
        </w:rPr>
        <w:instrText xml:space="preserve"> ADDIN EN.CITE &lt;EndNote&gt;&lt;Cite&gt;&lt;Author&gt;Sahoo K&lt;/Author&gt;&lt;Year&gt;2015&lt;/Year&gt;&lt;RecNum&gt;13&lt;/RecNum&gt;&lt;DisplayText&gt;(Sahoo K, 2015)&lt;/DisplayText&gt;&lt;record&gt;&lt;rec-number&gt;13&lt;/rec-number&gt;&lt;foreign-keys&gt;&lt;key app="EN" db-id="s9vsxe023afd99ezx5qpv5vrrspsex2xrs00" timestamp="1613646708"&gt;13&lt;/key&gt;&lt;/foreign-keys&gt;&lt;ref-type name="Journal Article"&gt;17&lt;/ref-type&gt;&lt;contributors&gt;&lt;authors&gt;&lt;author&gt;Sahoo K, Sahoo B, Choudhury AK, Sofi NY, Kumar R, Bhadoria AS&lt;/author&gt;&lt;/authors&gt;&lt;/contributors&gt;&lt;titles&gt;&lt;title&gt;Childhood obesity: causes and consequences&lt;/title&gt;&lt;secondary-title&gt;Journal of Family Medicine and Primary Care&lt;/secondary-title&gt;&lt;/titles&gt;&lt;periodical&gt;&lt;full-title&gt;Journal of Family Medicine and Primary Care&lt;/full-title&gt;&lt;/periodical&gt;&lt;pages&gt;187-192&lt;/pages&gt;&lt;volume&gt;4&lt;/volume&gt;&lt;number&gt;2&lt;/number&gt;&lt;dates&gt;&lt;year&gt;2015&lt;/year&gt;&lt;pub-dates&gt;&lt;date&gt;2015&lt;/date&gt;&lt;/pub-dates&gt;&lt;/dates&gt;&lt;urls&gt;&lt;/urls&gt;&lt;electronic-resource-num&gt;10.4103/2249-4863.154628&lt;/electronic-resource-num&gt;&lt;/record&gt;&lt;/Cite&gt;&lt;/EndNote&gt;</w:instrText>
      </w:r>
      <w:r w:rsidR="00B03F6B" w:rsidRPr="001842BF">
        <w:rPr>
          <w:rFonts w:ascii="Calibri" w:hAnsi="Calibri" w:cs="Calibri"/>
          <w:sz w:val="22"/>
          <w:szCs w:val="22"/>
        </w:rPr>
        <w:fldChar w:fldCharType="separate"/>
      </w:r>
      <w:r w:rsidR="006D1623">
        <w:rPr>
          <w:rFonts w:ascii="Calibri" w:hAnsi="Calibri" w:cs="Calibri"/>
          <w:noProof/>
          <w:sz w:val="22"/>
          <w:szCs w:val="22"/>
        </w:rPr>
        <w:t>(Sahoo K, 2015)</w:t>
      </w:r>
      <w:r w:rsidR="00B03F6B" w:rsidRPr="001842BF">
        <w:rPr>
          <w:rFonts w:ascii="Calibri" w:hAnsi="Calibri" w:cs="Calibri"/>
          <w:sz w:val="22"/>
          <w:szCs w:val="22"/>
        </w:rPr>
        <w:fldChar w:fldCharType="end"/>
      </w:r>
      <w:r w:rsidR="005B695A">
        <w:rPr>
          <w:rFonts w:ascii="Calibri" w:hAnsi="Calibri" w:cs="Calibri"/>
          <w:sz w:val="22"/>
          <w:szCs w:val="22"/>
        </w:rPr>
        <w:t>.</w:t>
      </w:r>
    </w:p>
    <w:p w14:paraId="13522D43" w14:textId="77777777" w:rsidR="00BD338E" w:rsidRPr="00BD338E" w:rsidRDefault="00BD338E" w:rsidP="00475D3F">
      <w:pPr>
        <w:spacing w:line="360" w:lineRule="auto"/>
        <w:rPr>
          <w:rFonts w:ascii="Calibri" w:hAnsi="Calibri" w:cs="Calibri"/>
          <w:sz w:val="22"/>
          <w:szCs w:val="22"/>
        </w:rPr>
      </w:pPr>
    </w:p>
    <w:p w14:paraId="529F24FA" w14:textId="4536E38F" w:rsidR="00BD338E" w:rsidRPr="00BD338E" w:rsidRDefault="00247E6A" w:rsidP="00475D3F">
      <w:pPr>
        <w:spacing w:line="360" w:lineRule="auto"/>
        <w:rPr>
          <w:rFonts w:ascii="Calibri" w:hAnsi="Calibri" w:cs="Calibri"/>
          <w:sz w:val="22"/>
          <w:szCs w:val="22"/>
        </w:rPr>
      </w:pPr>
      <w:r>
        <w:rPr>
          <w:rFonts w:ascii="Calibri" w:hAnsi="Calibri" w:cs="Calibri"/>
          <w:sz w:val="22"/>
          <w:szCs w:val="22"/>
        </w:rPr>
        <w:t xml:space="preserve">The </w:t>
      </w:r>
      <w:r w:rsidR="00BD338E" w:rsidRPr="00BD338E">
        <w:rPr>
          <w:rFonts w:ascii="Calibri" w:hAnsi="Calibri" w:cs="Calibri"/>
          <w:sz w:val="22"/>
          <w:szCs w:val="22"/>
        </w:rPr>
        <w:t>advertis</w:t>
      </w:r>
      <w:r>
        <w:rPr>
          <w:rFonts w:ascii="Calibri" w:hAnsi="Calibri" w:cs="Calibri"/>
          <w:sz w:val="22"/>
          <w:szCs w:val="22"/>
        </w:rPr>
        <w:t>ement</w:t>
      </w:r>
      <w:r w:rsidR="00BD338E" w:rsidRPr="00BD338E">
        <w:rPr>
          <w:rFonts w:ascii="Calibri" w:hAnsi="Calibri" w:cs="Calibri"/>
          <w:sz w:val="22"/>
          <w:szCs w:val="22"/>
        </w:rPr>
        <w:t xml:space="preserve"> of foods and beverages ha</w:t>
      </w:r>
      <w:r w:rsidR="00E478C0">
        <w:rPr>
          <w:rFonts w:ascii="Calibri" w:hAnsi="Calibri" w:cs="Calibri"/>
          <w:sz w:val="22"/>
          <w:szCs w:val="22"/>
        </w:rPr>
        <w:t>s</w:t>
      </w:r>
      <w:r w:rsidR="00BD338E" w:rsidRPr="00BD338E">
        <w:rPr>
          <w:rFonts w:ascii="Calibri" w:hAnsi="Calibri" w:cs="Calibri"/>
          <w:sz w:val="22"/>
          <w:szCs w:val="22"/>
        </w:rPr>
        <w:t xml:space="preserve"> been shown to affect nutrition knowledge</w:t>
      </w:r>
      <w:r w:rsidR="00EC2284">
        <w:rPr>
          <w:rFonts w:ascii="Calibri" w:hAnsi="Calibri" w:cs="Calibri"/>
          <w:sz w:val="22"/>
          <w:szCs w:val="22"/>
        </w:rPr>
        <w:t>,</w:t>
      </w:r>
      <w:r w:rsidR="00BD338E" w:rsidRPr="00BD338E">
        <w:rPr>
          <w:rFonts w:ascii="Calibri" w:hAnsi="Calibri" w:cs="Calibri"/>
          <w:sz w:val="22"/>
          <w:szCs w:val="22"/>
        </w:rPr>
        <w:t xml:space="preserve"> preferences, purchas</w:t>
      </w:r>
      <w:r w:rsidR="0036579B">
        <w:rPr>
          <w:rFonts w:ascii="Calibri" w:hAnsi="Calibri" w:cs="Calibri"/>
          <w:sz w:val="22"/>
          <w:szCs w:val="22"/>
        </w:rPr>
        <w:t>ing</w:t>
      </w:r>
      <w:r w:rsidR="00B0419D">
        <w:rPr>
          <w:rFonts w:ascii="Calibri" w:hAnsi="Calibri" w:cs="Calibri"/>
          <w:sz w:val="22"/>
          <w:szCs w:val="22"/>
        </w:rPr>
        <w:t>,</w:t>
      </w:r>
      <w:r w:rsidR="00BD338E" w:rsidRPr="00BD338E">
        <w:rPr>
          <w:rFonts w:ascii="Calibri" w:hAnsi="Calibri" w:cs="Calibri"/>
          <w:sz w:val="22"/>
          <w:szCs w:val="22"/>
        </w:rPr>
        <w:t xml:space="preserve"> and consumption in children, with television advertising shown mainly </w:t>
      </w:r>
      <w:r w:rsidR="00197F08" w:rsidRPr="00BD338E">
        <w:rPr>
          <w:rFonts w:ascii="Calibri" w:hAnsi="Calibri" w:cs="Calibri"/>
          <w:sz w:val="22"/>
          <w:szCs w:val="22"/>
        </w:rPr>
        <w:t xml:space="preserve">to </w:t>
      </w:r>
      <w:r w:rsidR="00BD338E" w:rsidRPr="00BD338E">
        <w:rPr>
          <w:rFonts w:ascii="Calibri" w:hAnsi="Calibri" w:cs="Calibri"/>
          <w:sz w:val="22"/>
          <w:szCs w:val="22"/>
        </w:rPr>
        <w:t xml:space="preserve">promote less healthy products </w:t>
      </w:r>
      <w:r w:rsidR="00302210">
        <w:rPr>
          <w:rFonts w:ascii="Calibri" w:hAnsi="Calibri" w:cs="Calibri"/>
          <w:sz w:val="22"/>
          <w:szCs w:val="22"/>
        </w:rPr>
        <w:fldChar w:fldCharType="begin"/>
      </w:r>
      <w:r w:rsidR="000F2510">
        <w:rPr>
          <w:rFonts w:ascii="Calibri" w:hAnsi="Calibri" w:cs="Calibri"/>
          <w:sz w:val="22"/>
          <w:szCs w:val="22"/>
        </w:rPr>
        <w:instrText xml:space="preserve"> ADDIN EN.CITE &lt;EndNote&gt;&lt;Cite&gt;&lt;Author&gt;Cairns&lt;/Author&gt;&lt;Year&gt;2013&lt;/Year&gt;&lt;RecNum&gt;20&lt;/RecNum&gt;&lt;DisplayText&gt;(Cairns et al., 2013)&lt;/DisplayText&gt;&lt;record&gt;&lt;rec-number&gt;20&lt;/rec-number&gt;&lt;foreign-keys&gt;&lt;key app="EN" db-id="s9vsxe023afd99ezx5qpv5vrrspsex2xrs00" timestamp="1618306780"&gt;20&lt;/key&gt;&lt;/foreign-keys&gt;&lt;ref-type name="Journal Article"&gt;17&lt;/ref-type&gt;&lt;contributors&gt;&lt;authors&gt;&lt;author&gt;Cairns, G.&lt;/author&gt;&lt;author&gt;Angus, K.&lt;/author&gt;&lt;author&gt;Hastings, G.&lt;/author&gt;&lt;author&gt;Caraher, M.&lt;/author&gt;&lt;/authors&gt;&lt;/contributors&gt;&lt;titles&gt;&lt;title&gt;Systematic reviews of the evidence on the nature, extent and effects of food marketing to children. A retrospective summary&lt;/title&gt;&lt;secondary-title&gt;Appetite&lt;/secondary-title&gt;&lt;/titles&gt;&lt;periodical&gt;&lt;full-title&gt;Appetite&lt;/full-title&gt;&lt;/periodical&gt;&lt;pages&gt;209-15&lt;/pages&gt;&lt;volume&gt;62&lt;/volume&gt;&lt;dates&gt;&lt;year&gt;2013&lt;/year&gt;&lt;/dates&gt;&lt;urls&gt;&lt;/urls&gt;&lt;/record&gt;&lt;/Cite&gt;&lt;/EndNote&gt;</w:instrText>
      </w:r>
      <w:r w:rsidR="00302210">
        <w:rPr>
          <w:rFonts w:ascii="Calibri" w:hAnsi="Calibri" w:cs="Calibri"/>
          <w:sz w:val="22"/>
          <w:szCs w:val="22"/>
        </w:rPr>
        <w:fldChar w:fldCharType="separate"/>
      </w:r>
      <w:r w:rsidR="000F2510">
        <w:rPr>
          <w:rFonts w:ascii="Calibri" w:hAnsi="Calibri" w:cs="Calibri"/>
          <w:noProof/>
          <w:sz w:val="22"/>
          <w:szCs w:val="22"/>
        </w:rPr>
        <w:t>(Cairns et al., 2013)</w:t>
      </w:r>
      <w:r w:rsidR="00302210">
        <w:rPr>
          <w:rFonts w:ascii="Calibri" w:hAnsi="Calibri" w:cs="Calibri"/>
          <w:sz w:val="22"/>
          <w:szCs w:val="22"/>
        </w:rPr>
        <w:fldChar w:fldCharType="end"/>
      </w:r>
      <w:r w:rsidR="00BD338E" w:rsidRPr="00BD338E">
        <w:rPr>
          <w:rFonts w:ascii="Calibri" w:hAnsi="Calibri" w:cs="Calibri"/>
          <w:sz w:val="22"/>
          <w:szCs w:val="22"/>
        </w:rPr>
        <w:t>. These commercial activities may also exac</w:t>
      </w:r>
      <w:r w:rsidR="00197F08">
        <w:rPr>
          <w:rFonts w:ascii="Calibri" w:hAnsi="Calibri" w:cs="Calibri"/>
          <w:sz w:val="22"/>
          <w:szCs w:val="22"/>
        </w:rPr>
        <w:t>e</w:t>
      </w:r>
      <w:r w:rsidR="00BD338E" w:rsidRPr="00BD338E">
        <w:rPr>
          <w:rFonts w:ascii="Calibri" w:hAnsi="Calibri" w:cs="Calibri"/>
          <w:sz w:val="22"/>
          <w:szCs w:val="22"/>
        </w:rPr>
        <w:t>rbate diet and diet-related health inequalities as</w:t>
      </w:r>
      <w:r w:rsidR="0036579B">
        <w:rPr>
          <w:rFonts w:ascii="Calibri" w:hAnsi="Calibri" w:cs="Calibri"/>
          <w:sz w:val="22"/>
          <w:szCs w:val="22"/>
        </w:rPr>
        <w:t xml:space="preserve"> </w:t>
      </w:r>
      <w:r w:rsidR="003E074C">
        <w:rPr>
          <w:rFonts w:ascii="Calibri" w:hAnsi="Calibri" w:cs="Calibri"/>
          <w:sz w:val="22"/>
          <w:szCs w:val="22"/>
        </w:rPr>
        <w:t>people</w:t>
      </w:r>
      <w:r w:rsidR="0036579B">
        <w:rPr>
          <w:rFonts w:ascii="Calibri" w:hAnsi="Calibri" w:cs="Calibri"/>
          <w:sz w:val="22"/>
          <w:szCs w:val="22"/>
        </w:rPr>
        <w:t xml:space="preserve"> belonging to</w:t>
      </w:r>
      <w:r w:rsidR="00BD338E" w:rsidRPr="00BD338E">
        <w:rPr>
          <w:rFonts w:ascii="Calibri" w:hAnsi="Calibri" w:cs="Calibri"/>
          <w:sz w:val="22"/>
          <w:szCs w:val="22"/>
        </w:rPr>
        <w:t xml:space="preserve"> more disadvantaged households have </w:t>
      </w:r>
      <w:r w:rsidR="0036579B">
        <w:rPr>
          <w:rFonts w:ascii="Calibri" w:hAnsi="Calibri" w:cs="Calibri"/>
          <w:sz w:val="22"/>
          <w:szCs w:val="22"/>
        </w:rPr>
        <w:t>greater</w:t>
      </w:r>
      <w:r w:rsidR="00BD338E" w:rsidRPr="00BD338E">
        <w:rPr>
          <w:rFonts w:ascii="Calibri" w:hAnsi="Calibri" w:cs="Calibri"/>
          <w:sz w:val="22"/>
          <w:szCs w:val="22"/>
        </w:rPr>
        <w:t xml:space="preserve"> expos</w:t>
      </w:r>
      <w:r w:rsidR="0036579B">
        <w:rPr>
          <w:rFonts w:ascii="Calibri" w:hAnsi="Calibri" w:cs="Calibri"/>
          <w:sz w:val="22"/>
          <w:szCs w:val="22"/>
        </w:rPr>
        <w:t>ur</w:t>
      </w:r>
      <w:r w:rsidR="00BD338E" w:rsidRPr="00BD338E">
        <w:rPr>
          <w:rFonts w:ascii="Calibri" w:hAnsi="Calibri" w:cs="Calibri"/>
          <w:sz w:val="22"/>
          <w:szCs w:val="22"/>
        </w:rPr>
        <w:t xml:space="preserve">e to HFSS </w:t>
      </w:r>
      <w:r w:rsidR="0036579B">
        <w:rPr>
          <w:rFonts w:ascii="Calibri" w:hAnsi="Calibri" w:cs="Calibri"/>
          <w:sz w:val="22"/>
          <w:szCs w:val="22"/>
        </w:rPr>
        <w:t>advertising</w:t>
      </w:r>
      <w:r w:rsidR="00BD338E" w:rsidRPr="00BD338E">
        <w:rPr>
          <w:rFonts w:ascii="Calibri" w:hAnsi="Calibri" w:cs="Calibri"/>
          <w:sz w:val="22"/>
          <w:szCs w:val="22"/>
        </w:rPr>
        <w:t>, and companies that deliver them, in a range of outdoor, recreational and digital settings</w:t>
      </w:r>
      <w:r w:rsidR="002A4FD9">
        <w:rPr>
          <w:rFonts w:ascii="Calibri" w:hAnsi="Calibri" w:cs="Calibri"/>
          <w:sz w:val="22"/>
          <w:szCs w:val="22"/>
        </w:rPr>
        <w:t xml:space="preserve"> </w:t>
      </w:r>
      <w:r w:rsidR="00150114">
        <w:rPr>
          <w:rFonts w:ascii="Calibri" w:hAnsi="Calibri" w:cs="Calibri"/>
          <w:sz w:val="22"/>
          <w:szCs w:val="22"/>
        </w:rPr>
        <w:fldChar w:fldCharType="begin"/>
      </w:r>
      <w:r w:rsidR="000F2510">
        <w:rPr>
          <w:rFonts w:ascii="Calibri" w:hAnsi="Calibri" w:cs="Calibri"/>
          <w:sz w:val="22"/>
          <w:szCs w:val="22"/>
        </w:rPr>
        <w:instrText xml:space="preserve"> ADDIN EN.CITE &lt;EndNote&gt;&lt;Cite&gt;&lt;Author&gt;Adams&lt;/Author&gt;&lt;Year&gt;2012&lt;/Year&gt;&lt;RecNum&gt;21&lt;/RecNum&gt;&lt;DisplayText&gt;(Adams et al., 2012; Backholer et al., 2020)&lt;/DisplayText&gt;&lt;record&gt;&lt;rec-number&gt;21&lt;/rec-number&gt;&lt;foreign-keys&gt;&lt;key app="EN" db-id="s9vsxe023afd99ezx5qpv5vrrspsex2xrs00" timestamp="1618306780"&gt;21&lt;/key&gt;&lt;/foreign-keys&gt;&lt;ref-type name="Journal Article"&gt;17&lt;/ref-type&gt;&lt;contributors&gt;&lt;authors&gt;&lt;author&gt;Adams, J.&lt;/author&gt;&lt;author&gt;Tyrrell, R.&lt;/author&gt;&lt;author&gt;Adamson, A.J.&lt;/author&gt;&lt;author&gt;White, M.&lt;/author&gt;&lt;/authors&gt;&lt;/contributors&gt;&lt;titles&gt;&lt;title&gt;Socio-economic differences in exposure to television food advertisements in the UK: a cross-sectional study of advertisements broadcast in one television region&lt;/title&gt;&lt;secondary-title&gt;Public Health Nutrition&lt;/secondary-title&gt;&lt;/titles&gt;&lt;periodical&gt;&lt;full-title&gt;Public Health Nutrition&lt;/full-title&gt;&lt;/periodical&gt;&lt;pages&gt;487-494&lt;/pages&gt;&lt;volume&gt;15&lt;/volume&gt;&lt;dates&gt;&lt;year&gt;2012&lt;/year&gt;&lt;/dates&gt;&lt;urls&gt;&lt;/urls&gt;&lt;/record&gt;&lt;/Cite&gt;&lt;Cite&gt;&lt;Author&gt;Backholer&lt;/Author&gt;&lt;Year&gt;2020&lt;/Year&gt;&lt;RecNum&gt;22&lt;/RecNum&gt;&lt;record&gt;&lt;rec-number&gt;22&lt;/rec-number&gt;&lt;foreign-keys&gt;&lt;key app="EN" db-id="s9vsxe023afd99ezx5qpv5vrrspsex2xrs00" timestamp="1618306780"&gt;22&lt;/key&gt;&lt;/foreign-keys&gt;&lt;ref-type name="Journal Article"&gt;17&lt;/ref-type&gt;&lt;contributors&gt;&lt;authors&gt;&lt;author&gt;Backholer, K.&lt;/author&gt;&lt;author&gt;Gupta, A.&lt;/author&gt;&lt;author&gt;Zorbas, C.&lt;/author&gt;&lt;author&gt;Bennett, R.&lt;/author&gt;&lt;author&gt;Huse, O.&lt;/author&gt;&lt;author&gt;Chung, A.&lt;/author&gt;&lt;author&gt;Isaacs, A.&lt;/author&gt;&lt;author&gt;Golds, G.&lt;/author&gt;&lt;author&gt;Kelly, B.&lt;/author&gt;&lt;author&gt;Peeters, A.&lt;/author&gt;&lt;/authors&gt;&lt;/contributors&gt;&lt;titles&gt;&lt;title&gt;Differential exposure to, and potential impact of, unhealthy advertising to children by socio‐economic and ethnic groups: A systematic review of the evidence&lt;/title&gt;&lt;secondary-title&gt;Obesity Reviews&lt;/secondary-title&gt;&lt;/titles&gt;&lt;periodical&gt;&lt;full-title&gt;Obesity Reviews&lt;/full-title&gt;&lt;/periodical&gt;&lt;pages&gt;1-20&lt;/pages&gt;&lt;volume&gt;https://doi.org/10.1111/obr.13144&lt;/volume&gt;&lt;dates&gt;&lt;year&gt;2020&lt;/year&gt;&lt;/dates&gt;&lt;urls&gt;&lt;/urls&gt;&lt;/record&gt;&lt;/Cite&gt;&lt;/EndNote&gt;</w:instrText>
      </w:r>
      <w:r w:rsidR="00150114">
        <w:rPr>
          <w:rFonts w:ascii="Calibri" w:hAnsi="Calibri" w:cs="Calibri"/>
          <w:sz w:val="22"/>
          <w:szCs w:val="22"/>
        </w:rPr>
        <w:fldChar w:fldCharType="separate"/>
      </w:r>
      <w:r w:rsidR="000F2510">
        <w:rPr>
          <w:rFonts w:ascii="Calibri" w:hAnsi="Calibri" w:cs="Calibri"/>
          <w:noProof/>
          <w:sz w:val="22"/>
          <w:szCs w:val="22"/>
        </w:rPr>
        <w:t>(Adams et al., 2012; Backholer et al., 2020)</w:t>
      </w:r>
      <w:r w:rsidR="00150114">
        <w:rPr>
          <w:rFonts w:ascii="Calibri" w:hAnsi="Calibri" w:cs="Calibri"/>
          <w:sz w:val="22"/>
          <w:szCs w:val="22"/>
        </w:rPr>
        <w:fldChar w:fldCharType="end"/>
      </w:r>
      <w:r w:rsidR="00966ECC">
        <w:rPr>
          <w:rFonts w:ascii="Calibri" w:hAnsi="Calibri" w:cs="Calibri"/>
          <w:sz w:val="22"/>
          <w:szCs w:val="22"/>
        </w:rPr>
        <w:t>.</w:t>
      </w:r>
    </w:p>
    <w:p w14:paraId="3E5A6928" w14:textId="77777777" w:rsidR="00BD338E" w:rsidRPr="00BD338E" w:rsidRDefault="00BD338E" w:rsidP="00475D3F">
      <w:pPr>
        <w:spacing w:line="360" w:lineRule="auto"/>
        <w:rPr>
          <w:rFonts w:ascii="Calibri" w:hAnsi="Calibri" w:cs="Calibri"/>
          <w:sz w:val="22"/>
          <w:szCs w:val="22"/>
        </w:rPr>
      </w:pPr>
    </w:p>
    <w:p w14:paraId="2D80F14F" w14:textId="2C9AD725" w:rsidR="00BD338E" w:rsidRPr="00BD338E" w:rsidRDefault="00BD338E" w:rsidP="00475D3F">
      <w:pPr>
        <w:spacing w:line="360" w:lineRule="auto"/>
        <w:rPr>
          <w:rFonts w:ascii="Calibri" w:hAnsi="Calibri" w:cs="Calibri"/>
          <w:sz w:val="22"/>
          <w:szCs w:val="22"/>
        </w:rPr>
      </w:pPr>
      <w:r w:rsidRPr="00BD338E">
        <w:rPr>
          <w:rFonts w:ascii="Calibri" w:hAnsi="Calibri" w:cs="Calibri"/>
          <w:sz w:val="22"/>
          <w:szCs w:val="22"/>
        </w:rPr>
        <w:t xml:space="preserve">In the UK, </w:t>
      </w:r>
      <w:r w:rsidR="0036579B">
        <w:rPr>
          <w:rFonts w:ascii="Calibri" w:hAnsi="Calibri" w:cs="Calibri"/>
          <w:sz w:val="22"/>
          <w:szCs w:val="22"/>
        </w:rPr>
        <w:t xml:space="preserve">government </w:t>
      </w:r>
      <w:r w:rsidRPr="00BD338E">
        <w:rPr>
          <w:rFonts w:ascii="Calibri" w:hAnsi="Calibri" w:cs="Calibri"/>
          <w:sz w:val="22"/>
          <w:szCs w:val="22"/>
        </w:rPr>
        <w:t xml:space="preserve">policies aimed at curbing children’s exposure to the advertising of HFSS foods </w:t>
      </w:r>
      <w:r w:rsidR="006D78F0">
        <w:rPr>
          <w:rFonts w:ascii="Calibri" w:hAnsi="Calibri" w:cs="Calibri"/>
          <w:sz w:val="22"/>
          <w:szCs w:val="22"/>
        </w:rPr>
        <w:t xml:space="preserve">and beverages </w:t>
      </w:r>
      <w:r w:rsidR="0036579B">
        <w:rPr>
          <w:rFonts w:ascii="Calibri" w:hAnsi="Calibri" w:cs="Calibri"/>
          <w:sz w:val="22"/>
          <w:szCs w:val="22"/>
        </w:rPr>
        <w:t>on</w:t>
      </w:r>
      <w:r w:rsidR="0036579B" w:rsidRPr="00BD338E">
        <w:rPr>
          <w:rFonts w:ascii="Calibri" w:hAnsi="Calibri" w:cs="Calibri"/>
          <w:sz w:val="22"/>
          <w:szCs w:val="22"/>
        </w:rPr>
        <w:t xml:space="preserve"> </w:t>
      </w:r>
      <w:r w:rsidRPr="00BD338E">
        <w:rPr>
          <w:rFonts w:ascii="Calibri" w:hAnsi="Calibri" w:cs="Calibri"/>
          <w:sz w:val="22"/>
          <w:szCs w:val="22"/>
        </w:rPr>
        <w:t>television have been in place since 2007</w:t>
      </w:r>
      <w:r w:rsidR="0036579B">
        <w:rPr>
          <w:rFonts w:ascii="Calibri" w:hAnsi="Calibri" w:cs="Calibri"/>
          <w:sz w:val="22"/>
          <w:szCs w:val="22"/>
        </w:rPr>
        <w:t>.</w:t>
      </w:r>
      <w:r w:rsidRPr="00BD338E">
        <w:rPr>
          <w:rFonts w:ascii="Calibri" w:hAnsi="Calibri" w:cs="Calibri"/>
          <w:sz w:val="22"/>
          <w:szCs w:val="22"/>
        </w:rPr>
        <w:t xml:space="preserve"> </w:t>
      </w:r>
      <w:r w:rsidR="0036579B">
        <w:rPr>
          <w:rFonts w:ascii="Calibri" w:hAnsi="Calibri" w:cs="Calibri"/>
          <w:sz w:val="22"/>
          <w:szCs w:val="22"/>
        </w:rPr>
        <w:t>R</w:t>
      </w:r>
      <w:r w:rsidRPr="00BD338E">
        <w:rPr>
          <w:rFonts w:ascii="Calibri" w:hAnsi="Calibri" w:cs="Calibri"/>
          <w:sz w:val="22"/>
          <w:szCs w:val="22"/>
        </w:rPr>
        <w:t>estriction</w:t>
      </w:r>
      <w:r w:rsidR="00197F08">
        <w:rPr>
          <w:rFonts w:ascii="Calibri" w:hAnsi="Calibri" w:cs="Calibri"/>
          <w:sz w:val="22"/>
          <w:szCs w:val="22"/>
        </w:rPr>
        <w:t>s</w:t>
      </w:r>
      <w:r w:rsidRPr="00BD338E">
        <w:rPr>
          <w:rFonts w:ascii="Calibri" w:hAnsi="Calibri" w:cs="Calibri"/>
          <w:sz w:val="22"/>
          <w:szCs w:val="22"/>
        </w:rPr>
        <w:t xml:space="preserve"> </w:t>
      </w:r>
      <w:r w:rsidR="0036579B">
        <w:rPr>
          <w:rFonts w:ascii="Calibri" w:hAnsi="Calibri" w:cs="Calibri"/>
          <w:sz w:val="22"/>
          <w:szCs w:val="22"/>
        </w:rPr>
        <w:t>targeted</w:t>
      </w:r>
      <w:r w:rsidRPr="00BD338E">
        <w:rPr>
          <w:rFonts w:ascii="Calibri" w:hAnsi="Calibri" w:cs="Calibri"/>
          <w:sz w:val="22"/>
          <w:szCs w:val="22"/>
        </w:rPr>
        <w:t xml:space="preserve"> the advertisement of HFSS foods on </w:t>
      </w:r>
      <w:r w:rsidR="00762F61">
        <w:rPr>
          <w:rFonts w:ascii="Calibri" w:hAnsi="Calibri" w:cs="Calibri"/>
          <w:sz w:val="22"/>
          <w:szCs w:val="22"/>
        </w:rPr>
        <w:t xml:space="preserve">dedicated children’s </w:t>
      </w:r>
      <w:r w:rsidRPr="00BD338E">
        <w:rPr>
          <w:rFonts w:ascii="Calibri" w:hAnsi="Calibri" w:cs="Calibri"/>
          <w:sz w:val="22"/>
          <w:szCs w:val="22"/>
        </w:rPr>
        <w:t xml:space="preserve">TV channels </w:t>
      </w:r>
      <w:r w:rsidR="00762F61">
        <w:rPr>
          <w:rFonts w:ascii="Calibri" w:hAnsi="Calibri" w:cs="Calibri"/>
          <w:sz w:val="22"/>
          <w:szCs w:val="22"/>
        </w:rPr>
        <w:t xml:space="preserve">and around programming </w:t>
      </w:r>
      <w:r w:rsidR="00B068AB">
        <w:rPr>
          <w:rFonts w:ascii="Calibri" w:hAnsi="Calibri" w:cs="Calibri"/>
          <w:sz w:val="22"/>
          <w:szCs w:val="22"/>
        </w:rPr>
        <w:t>‘</w:t>
      </w:r>
      <w:r w:rsidR="00762F61">
        <w:rPr>
          <w:rFonts w:ascii="Calibri" w:hAnsi="Calibri" w:cs="Calibri"/>
          <w:sz w:val="22"/>
          <w:szCs w:val="22"/>
        </w:rPr>
        <w:t>of particular appeal</w:t>
      </w:r>
      <w:r w:rsidR="00B068AB">
        <w:rPr>
          <w:rFonts w:ascii="Calibri" w:hAnsi="Calibri" w:cs="Calibri"/>
          <w:sz w:val="22"/>
          <w:szCs w:val="22"/>
        </w:rPr>
        <w:t>’</w:t>
      </w:r>
      <w:r w:rsidR="00762F61">
        <w:rPr>
          <w:rFonts w:ascii="Calibri" w:hAnsi="Calibri" w:cs="Calibri"/>
          <w:sz w:val="22"/>
          <w:szCs w:val="22"/>
        </w:rPr>
        <w:t xml:space="preserve"> to</w:t>
      </w:r>
      <w:r w:rsidRPr="00BD338E">
        <w:rPr>
          <w:rFonts w:ascii="Calibri" w:hAnsi="Calibri" w:cs="Calibri"/>
          <w:sz w:val="22"/>
          <w:szCs w:val="22"/>
        </w:rPr>
        <w:t xml:space="preserve"> children </w:t>
      </w:r>
      <w:r w:rsidR="00150114">
        <w:rPr>
          <w:rFonts w:ascii="Calibri" w:hAnsi="Calibri" w:cs="Calibri"/>
          <w:sz w:val="22"/>
          <w:szCs w:val="22"/>
        </w:rPr>
        <w:fldChar w:fldCharType="begin"/>
      </w:r>
      <w:r w:rsidR="000F2510">
        <w:rPr>
          <w:rFonts w:ascii="Calibri" w:hAnsi="Calibri" w:cs="Calibri"/>
          <w:sz w:val="22"/>
          <w:szCs w:val="22"/>
        </w:rPr>
        <w:instrText xml:space="preserve"> ADDIN EN.CITE &lt;EndNote&gt;&lt;Cite&gt;&lt;Author&gt;Galbraith‐Emami&lt;/Author&gt;&lt;Year&gt;2013&lt;/Year&gt;&lt;RecNum&gt;23&lt;/RecNum&gt;&lt;DisplayText&gt;(Galbraith‐Emami &amp;amp; Lobstein, 2013)&lt;/DisplayText&gt;&lt;record&gt;&lt;rec-number&gt;23&lt;/rec-number&gt;&lt;foreign-keys&gt;&lt;key app="EN" db-id="s9vsxe023afd99ezx5qpv5vrrspsex2xrs00" timestamp="1618306780"&gt;23&lt;/key&gt;&lt;/foreign-keys&gt;&lt;ref-type name="Journal Article"&gt;17&lt;/ref-type&gt;&lt;contributors&gt;&lt;authors&gt;&lt;author&gt;Galbraith‐Emami, S.&lt;/author&gt;&lt;author&gt;Lobstein, T.&lt;/author&gt;&lt;/authors&gt;&lt;/contributors&gt;&lt;titles&gt;&lt;title&gt;The impact of initiatives to limit the advertising of food and beverage products to children: a systematic review&lt;/title&gt;&lt;secondary-title&gt;Obesity Reviews&lt;/secondary-title&gt;&lt;/titles&gt;&lt;periodical&gt;&lt;full-title&gt;Obesity Reviews&lt;/full-title&gt;&lt;/periodical&gt;&lt;pages&gt;960-74&lt;/pages&gt;&lt;volume&gt;14&lt;/volume&gt;&lt;dates&gt;&lt;year&gt;2013&lt;/year&gt;&lt;/dates&gt;&lt;urls&gt;&lt;/urls&gt;&lt;/record&gt;&lt;/Cite&gt;&lt;/EndNote&gt;</w:instrText>
      </w:r>
      <w:r w:rsidR="00150114">
        <w:rPr>
          <w:rFonts w:ascii="Calibri" w:hAnsi="Calibri" w:cs="Calibri"/>
          <w:sz w:val="22"/>
          <w:szCs w:val="22"/>
        </w:rPr>
        <w:fldChar w:fldCharType="separate"/>
      </w:r>
      <w:r w:rsidR="006D1623">
        <w:rPr>
          <w:rFonts w:ascii="Calibri" w:hAnsi="Calibri" w:cs="Calibri"/>
          <w:noProof/>
          <w:sz w:val="22"/>
          <w:szCs w:val="22"/>
        </w:rPr>
        <w:t>(Galbraith‐Emami &amp; Lobstein, 2013)</w:t>
      </w:r>
      <w:r w:rsidR="00150114">
        <w:rPr>
          <w:rFonts w:ascii="Calibri" w:hAnsi="Calibri" w:cs="Calibri"/>
          <w:sz w:val="22"/>
          <w:szCs w:val="22"/>
        </w:rPr>
        <w:fldChar w:fldCharType="end"/>
      </w:r>
      <w:r w:rsidR="00672E64">
        <w:rPr>
          <w:rFonts w:ascii="Calibri" w:hAnsi="Calibri" w:cs="Calibri"/>
          <w:sz w:val="22"/>
          <w:szCs w:val="22"/>
        </w:rPr>
        <w:t>.</w:t>
      </w:r>
      <w:r w:rsidR="006D78F0">
        <w:rPr>
          <w:rFonts w:ascii="Calibri" w:hAnsi="Calibri" w:cs="Calibri"/>
          <w:sz w:val="22"/>
          <w:szCs w:val="22"/>
        </w:rPr>
        <w:t xml:space="preserve"> </w:t>
      </w:r>
      <w:r w:rsidRPr="00BD338E">
        <w:rPr>
          <w:rFonts w:ascii="Calibri" w:hAnsi="Calibri" w:cs="Calibri"/>
          <w:sz w:val="22"/>
          <w:szCs w:val="22"/>
        </w:rPr>
        <w:t xml:space="preserve">However, children are </w:t>
      </w:r>
      <w:r w:rsidR="00672E64">
        <w:rPr>
          <w:rFonts w:ascii="Calibri" w:hAnsi="Calibri" w:cs="Calibri"/>
          <w:sz w:val="22"/>
          <w:szCs w:val="22"/>
        </w:rPr>
        <w:t xml:space="preserve">also </w:t>
      </w:r>
      <w:r w:rsidRPr="00BD338E">
        <w:rPr>
          <w:rFonts w:ascii="Calibri" w:hAnsi="Calibri" w:cs="Calibri"/>
          <w:sz w:val="22"/>
          <w:szCs w:val="22"/>
        </w:rPr>
        <w:t xml:space="preserve">exposed to HFSS food </w:t>
      </w:r>
      <w:r w:rsidR="00333C6E" w:rsidRPr="00BD338E">
        <w:rPr>
          <w:rFonts w:ascii="Calibri" w:hAnsi="Calibri" w:cs="Calibri"/>
          <w:sz w:val="22"/>
          <w:szCs w:val="22"/>
        </w:rPr>
        <w:t xml:space="preserve">and beverage </w:t>
      </w:r>
      <w:r w:rsidRPr="00BD338E">
        <w:rPr>
          <w:rFonts w:ascii="Calibri" w:hAnsi="Calibri" w:cs="Calibri"/>
          <w:sz w:val="22"/>
          <w:szCs w:val="22"/>
        </w:rPr>
        <w:t>advertising</w:t>
      </w:r>
      <w:r w:rsidR="00E41972">
        <w:rPr>
          <w:rFonts w:ascii="Calibri" w:hAnsi="Calibri" w:cs="Calibri"/>
          <w:sz w:val="22"/>
          <w:szCs w:val="22"/>
        </w:rPr>
        <w:t xml:space="preserve"> in other settings;</w:t>
      </w:r>
      <w:r w:rsidRPr="00BD338E">
        <w:rPr>
          <w:rFonts w:ascii="Calibri" w:hAnsi="Calibri" w:cs="Calibri"/>
          <w:sz w:val="22"/>
          <w:szCs w:val="22"/>
        </w:rPr>
        <w:t xml:space="preserve"> televised media </w:t>
      </w:r>
      <w:r w:rsidR="0036579B">
        <w:rPr>
          <w:rFonts w:ascii="Calibri" w:hAnsi="Calibri" w:cs="Calibri"/>
          <w:sz w:val="22"/>
          <w:szCs w:val="22"/>
        </w:rPr>
        <w:t xml:space="preserve">itself </w:t>
      </w:r>
      <w:r w:rsidRPr="00BD338E">
        <w:rPr>
          <w:rFonts w:ascii="Calibri" w:hAnsi="Calibri" w:cs="Calibri"/>
          <w:sz w:val="22"/>
          <w:szCs w:val="22"/>
        </w:rPr>
        <w:t>represents only 1</w:t>
      </w:r>
      <w:r w:rsidR="00F212DA">
        <w:rPr>
          <w:rFonts w:ascii="Calibri" w:hAnsi="Calibri" w:cs="Calibri"/>
          <w:sz w:val="22"/>
          <w:szCs w:val="22"/>
        </w:rPr>
        <w:t>8</w:t>
      </w:r>
      <w:r w:rsidRPr="00BD338E">
        <w:rPr>
          <w:rFonts w:ascii="Calibri" w:hAnsi="Calibri" w:cs="Calibri"/>
          <w:sz w:val="22"/>
          <w:szCs w:val="22"/>
        </w:rPr>
        <w:t>% of</w:t>
      </w:r>
      <w:r w:rsidR="00F212DA">
        <w:rPr>
          <w:rFonts w:ascii="Calibri" w:hAnsi="Calibri" w:cs="Calibri"/>
          <w:sz w:val="22"/>
          <w:szCs w:val="22"/>
        </w:rPr>
        <w:t xml:space="preserve"> total</w:t>
      </w:r>
      <w:r w:rsidRPr="00BD338E">
        <w:rPr>
          <w:rFonts w:ascii="Calibri" w:hAnsi="Calibri" w:cs="Calibri"/>
          <w:sz w:val="22"/>
          <w:szCs w:val="22"/>
        </w:rPr>
        <w:t xml:space="preserve"> advertising by revenue</w:t>
      </w:r>
      <w:r w:rsidR="005B695A">
        <w:rPr>
          <w:rFonts w:ascii="Calibri" w:hAnsi="Calibri" w:cs="Calibri"/>
          <w:sz w:val="22"/>
          <w:szCs w:val="22"/>
        </w:rPr>
        <w:t xml:space="preserve"> based on projections for 2021</w:t>
      </w:r>
      <w:r w:rsidR="005B695A" w:rsidRPr="005B695A">
        <w:t xml:space="preserve"> </w:t>
      </w:r>
      <w:r w:rsidR="000062BC">
        <w:rPr>
          <w:rFonts w:ascii="Calibri" w:hAnsi="Calibri" w:cs="Calibri"/>
          <w:sz w:val="22"/>
          <w:szCs w:val="22"/>
        </w:rPr>
        <w:t xml:space="preserve"> </w:t>
      </w:r>
      <w:r w:rsidR="000062BC">
        <w:rPr>
          <w:rFonts w:ascii="Calibri" w:hAnsi="Calibri" w:cs="Calibri"/>
          <w:sz w:val="22"/>
          <w:szCs w:val="22"/>
        </w:rPr>
        <w:fldChar w:fldCharType="begin"/>
      </w:r>
      <w:r w:rsidR="000062BC">
        <w:rPr>
          <w:rFonts w:ascii="Calibri" w:hAnsi="Calibri" w:cs="Calibri"/>
          <w:sz w:val="22"/>
          <w:szCs w:val="22"/>
        </w:rPr>
        <w:instrText xml:space="preserve"> ADDIN EN.CITE &lt;EndNote&gt;&lt;Cite&gt;&lt;Author&gt;GroupM&lt;/Author&gt;&lt;Year&gt;2020&lt;/Year&gt;&lt;RecNum&gt;17&lt;/RecNum&gt;&lt;DisplayText&gt;(GroupM, 2020)&lt;/DisplayText&gt;&lt;record&gt;&lt;rec-number&gt;17&lt;/rec-number&gt;&lt;foreign-keys&gt;&lt;key app="EN" db-id="s9vsxe023afd99ezx5qpv5vrrspsex2xrs00" timestamp="1618306168"&gt;17&lt;/key&gt;&lt;/foreign-keys&gt;&lt;ref-type name="Report"&gt;27&lt;/ref-type&gt;&lt;contributors&gt;&lt;authors&gt;&lt;author&gt;GroupM,&lt;/author&gt;&lt;/authors&gt;&lt;/contributors&gt;&lt;titles&gt;&lt;title&gt;This Year Next Year U.K. End-of-Year Forecast &lt;/title&gt;&lt;secondary-title&gt;This Year Next Year&lt;/secondary-title&gt;&lt;/titles&gt;&lt;volume&gt;December 2020&lt;/volume&gt;&lt;dates&gt;&lt;year&gt;2020&lt;/year&gt;&lt;/dates&gt;&lt;publisher&gt;GroupM Worldwide, Inc.&lt;/publisher&gt;&lt;urls&gt;&lt;related-urls&gt;&lt;url&gt;https://dmx9040v9xyo8.cloudfront.net/uploads/2020/12/groupmukadvertisingforecast_Dec2020_1.pdf&lt;/url&gt;&lt;/related-urls&gt;&lt;/urls&gt;&lt;/record&gt;&lt;/Cite&gt;&lt;/EndNote&gt;</w:instrText>
      </w:r>
      <w:r w:rsidR="000062BC">
        <w:rPr>
          <w:rFonts w:ascii="Calibri" w:hAnsi="Calibri" w:cs="Calibri"/>
          <w:sz w:val="22"/>
          <w:szCs w:val="22"/>
        </w:rPr>
        <w:fldChar w:fldCharType="separate"/>
      </w:r>
      <w:r w:rsidR="000062BC">
        <w:rPr>
          <w:rFonts w:ascii="Calibri" w:hAnsi="Calibri" w:cs="Calibri"/>
          <w:noProof/>
          <w:sz w:val="22"/>
          <w:szCs w:val="22"/>
        </w:rPr>
        <w:t>(GroupM, 2020)</w:t>
      </w:r>
      <w:r w:rsidR="000062BC">
        <w:rPr>
          <w:rFonts w:ascii="Calibri" w:hAnsi="Calibri" w:cs="Calibri"/>
          <w:sz w:val="22"/>
          <w:szCs w:val="22"/>
        </w:rPr>
        <w:fldChar w:fldCharType="end"/>
      </w:r>
      <w:r w:rsidRPr="00BD338E">
        <w:rPr>
          <w:rFonts w:ascii="Calibri" w:hAnsi="Calibri" w:cs="Calibri"/>
          <w:sz w:val="22"/>
          <w:szCs w:val="22"/>
        </w:rPr>
        <w:t>. Evidence suggests that restrictions target</w:t>
      </w:r>
      <w:r w:rsidR="00197F08">
        <w:rPr>
          <w:rFonts w:ascii="Calibri" w:hAnsi="Calibri" w:cs="Calibri"/>
          <w:sz w:val="22"/>
          <w:szCs w:val="22"/>
        </w:rPr>
        <w:t>ing</w:t>
      </w:r>
      <w:r w:rsidRPr="00BD338E">
        <w:rPr>
          <w:rFonts w:ascii="Calibri" w:hAnsi="Calibri" w:cs="Calibri"/>
          <w:sz w:val="22"/>
          <w:szCs w:val="22"/>
        </w:rPr>
        <w:t xml:space="preserve"> a </w:t>
      </w:r>
      <w:r w:rsidR="0036579B">
        <w:rPr>
          <w:rFonts w:ascii="Calibri" w:hAnsi="Calibri" w:cs="Calibri"/>
          <w:sz w:val="22"/>
          <w:szCs w:val="22"/>
        </w:rPr>
        <w:t xml:space="preserve">broader </w:t>
      </w:r>
      <w:r w:rsidRPr="00BD338E">
        <w:rPr>
          <w:rFonts w:ascii="Calibri" w:hAnsi="Calibri" w:cs="Calibri"/>
          <w:sz w:val="22"/>
          <w:szCs w:val="22"/>
        </w:rPr>
        <w:t>variety of media are required in order to have meaningful impact</w:t>
      </w:r>
      <w:r w:rsidR="00150114">
        <w:rPr>
          <w:rFonts w:ascii="Calibri" w:hAnsi="Calibri" w:cs="Calibri"/>
          <w:sz w:val="22"/>
          <w:szCs w:val="22"/>
        </w:rPr>
        <w:t xml:space="preserve"> </w:t>
      </w:r>
      <w:r w:rsidR="00150114">
        <w:rPr>
          <w:rFonts w:ascii="Calibri" w:hAnsi="Calibri" w:cs="Calibri"/>
          <w:sz w:val="22"/>
          <w:szCs w:val="22"/>
        </w:rPr>
        <w:fldChar w:fldCharType="begin"/>
      </w:r>
      <w:r w:rsidR="000F2510">
        <w:rPr>
          <w:rFonts w:ascii="Calibri" w:hAnsi="Calibri" w:cs="Calibri"/>
          <w:sz w:val="22"/>
          <w:szCs w:val="22"/>
        </w:rPr>
        <w:instrText xml:space="preserve"> ADDIN EN.CITE &lt;EndNote&gt;&lt;Cite&gt;&lt;Author&gt;Adams&lt;/Author&gt;&lt;Year&gt;2012&lt;/Year&gt;&lt;RecNum&gt;21&lt;/RecNum&gt;&lt;DisplayText&gt;(Adams et al., 2012)&lt;/DisplayText&gt;&lt;record&gt;&lt;rec-number&gt;21&lt;/rec-number&gt;&lt;foreign-keys&gt;&lt;key app="EN" db-id="s9vsxe023afd99ezx5qpv5vrrspsex2xrs00" timestamp="1618306780"&gt;21&lt;/key&gt;&lt;/foreign-keys&gt;&lt;ref-type name="Journal Article"&gt;17&lt;/ref-type&gt;&lt;contributors&gt;&lt;authors&gt;&lt;author&gt;Adams, J.&lt;/author&gt;&lt;author&gt;Tyrrell, R.&lt;/author&gt;&lt;author&gt;Adamson, A.J.&lt;/author&gt;&lt;author&gt;White, M.&lt;/author&gt;&lt;/authors&gt;&lt;/contributors&gt;&lt;titles&gt;&lt;title&gt;Socio-economic differences in exposure to television food advertisements in the UK: a cross-sectional study of advertisements broadcast in one television region&lt;/title&gt;&lt;secondary-title&gt;Public Health Nutrition&lt;/secondary-title&gt;&lt;/titles&gt;&lt;periodical&gt;&lt;full-title&gt;Public Health Nutrition&lt;/full-title&gt;&lt;/periodical&gt;&lt;pages&gt;487-494&lt;/pages&gt;&lt;volume&gt;15&lt;/volume&gt;&lt;dates&gt;&lt;year&gt;2012&lt;/year&gt;&lt;/dates&gt;&lt;urls&gt;&lt;/urls&gt;&lt;/record&gt;&lt;/Cite&gt;&lt;/EndNote&gt;</w:instrText>
      </w:r>
      <w:r w:rsidR="00150114">
        <w:rPr>
          <w:rFonts w:ascii="Calibri" w:hAnsi="Calibri" w:cs="Calibri"/>
          <w:sz w:val="22"/>
          <w:szCs w:val="22"/>
        </w:rPr>
        <w:fldChar w:fldCharType="separate"/>
      </w:r>
      <w:r w:rsidR="006D1623">
        <w:rPr>
          <w:rFonts w:ascii="Calibri" w:hAnsi="Calibri" w:cs="Calibri"/>
          <w:noProof/>
          <w:sz w:val="22"/>
          <w:szCs w:val="22"/>
        </w:rPr>
        <w:t>(Adams et al., 2012)</w:t>
      </w:r>
      <w:r w:rsidR="00150114">
        <w:rPr>
          <w:rFonts w:ascii="Calibri" w:hAnsi="Calibri" w:cs="Calibri"/>
          <w:sz w:val="22"/>
          <w:szCs w:val="22"/>
        </w:rPr>
        <w:fldChar w:fldCharType="end"/>
      </w:r>
      <w:r w:rsidR="00672E64">
        <w:rPr>
          <w:rFonts w:ascii="Calibri" w:hAnsi="Calibri" w:cs="Calibri"/>
          <w:sz w:val="22"/>
          <w:szCs w:val="22"/>
        </w:rPr>
        <w:t>.</w:t>
      </w:r>
    </w:p>
    <w:p w14:paraId="46B62C01" w14:textId="77777777" w:rsidR="00BD338E" w:rsidRPr="00BD338E" w:rsidRDefault="00BD338E" w:rsidP="00475D3F">
      <w:pPr>
        <w:spacing w:line="360" w:lineRule="auto"/>
        <w:rPr>
          <w:rFonts w:ascii="Calibri" w:hAnsi="Calibri" w:cs="Calibri"/>
          <w:b/>
          <w:bCs/>
          <w:sz w:val="22"/>
          <w:szCs w:val="22"/>
        </w:rPr>
      </w:pPr>
    </w:p>
    <w:p w14:paraId="186F3C09" w14:textId="70E95D3F" w:rsidR="00AD735A" w:rsidRDefault="00666B57" w:rsidP="00475D3F">
      <w:pPr>
        <w:spacing w:line="360" w:lineRule="auto"/>
        <w:rPr>
          <w:rFonts w:ascii="Calibri" w:hAnsi="Calibri" w:cs="Calibri"/>
          <w:sz w:val="22"/>
          <w:szCs w:val="22"/>
        </w:rPr>
      </w:pPr>
      <w:r>
        <w:rPr>
          <w:rFonts w:ascii="Calibri" w:hAnsi="Calibri" w:cs="Calibri"/>
          <w:sz w:val="22"/>
          <w:szCs w:val="22"/>
        </w:rPr>
        <w:lastRenderedPageBreak/>
        <w:t xml:space="preserve">Governed by the Mayor of London, Transport for London </w:t>
      </w:r>
      <w:r w:rsidR="0088393A">
        <w:rPr>
          <w:rFonts w:ascii="Calibri" w:hAnsi="Calibri" w:cs="Calibri"/>
          <w:sz w:val="22"/>
          <w:szCs w:val="22"/>
        </w:rPr>
        <w:t xml:space="preserve">(TfL) </w:t>
      </w:r>
      <w:r>
        <w:rPr>
          <w:rFonts w:ascii="Calibri" w:hAnsi="Calibri" w:cs="Calibri"/>
          <w:sz w:val="22"/>
          <w:szCs w:val="22"/>
        </w:rPr>
        <w:t>is a government body responsible for Greater London’s transport system which includes London’s roads as well as several rail networks including the London Underground, London Overground, Docklands Light Railway and TfL Rail</w:t>
      </w:r>
      <w:r w:rsidR="00A97A76">
        <w:rPr>
          <w:rFonts w:ascii="Calibri" w:hAnsi="Calibri" w:cs="Calibri"/>
          <w:sz w:val="22"/>
          <w:szCs w:val="22"/>
        </w:rPr>
        <w:t>.</w:t>
      </w:r>
      <w:r>
        <w:rPr>
          <w:rFonts w:ascii="Calibri" w:hAnsi="Calibri" w:cs="Calibri"/>
          <w:sz w:val="22"/>
          <w:szCs w:val="22"/>
        </w:rPr>
        <w:t xml:space="preserve"> </w:t>
      </w:r>
      <w:r w:rsidR="00BD338E" w:rsidRPr="00BD338E">
        <w:rPr>
          <w:rFonts w:ascii="Calibri" w:hAnsi="Calibri" w:cs="Calibri"/>
          <w:sz w:val="22"/>
          <w:szCs w:val="22"/>
        </w:rPr>
        <w:t>In February 2019, TfL implemented restrictions on the advertisement of HFSS foods and beverages across their network</w:t>
      </w:r>
      <w:r w:rsidR="0023794C">
        <w:rPr>
          <w:rFonts w:ascii="Calibri" w:hAnsi="Calibri" w:cs="Calibri"/>
          <w:sz w:val="22"/>
          <w:szCs w:val="22"/>
        </w:rPr>
        <w:t xml:space="preserve"> (</w:t>
      </w:r>
      <w:r w:rsidR="000408AE">
        <w:rPr>
          <w:rFonts w:ascii="Calibri" w:hAnsi="Calibri" w:cs="Calibri"/>
          <w:sz w:val="22"/>
          <w:szCs w:val="22"/>
        </w:rPr>
        <w:t xml:space="preserve">see </w:t>
      </w:r>
      <w:r w:rsidR="0023794C" w:rsidRPr="009E6123">
        <w:rPr>
          <w:rFonts w:ascii="Calibri" w:hAnsi="Calibri" w:cs="Calibri"/>
          <w:b/>
          <w:bCs/>
          <w:sz w:val="22"/>
          <w:szCs w:val="22"/>
        </w:rPr>
        <w:t>Box 1</w:t>
      </w:r>
      <w:r w:rsidR="000408AE">
        <w:rPr>
          <w:rFonts w:ascii="Calibri" w:hAnsi="Calibri" w:cs="Calibri"/>
          <w:b/>
          <w:bCs/>
          <w:sz w:val="22"/>
          <w:szCs w:val="22"/>
        </w:rPr>
        <w:t xml:space="preserve"> </w:t>
      </w:r>
      <w:r w:rsidR="000408AE">
        <w:rPr>
          <w:rFonts w:ascii="Calibri" w:hAnsi="Calibri" w:cs="Calibri"/>
          <w:sz w:val="22"/>
          <w:szCs w:val="22"/>
        </w:rPr>
        <w:t>for policy</w:t>
      </w:r>
      <w:r w:rsidR="00E32792">
        <w:rPr>
          <w:rFonts w:ascii="Calibri" w:hAnsi="Calibri" w:cs="Calibri"/>
          <w:sz w:val="22"/>
          <w:szCs w:val="22"/>
        </w:rPr>
        <w:t xml:space="preserve"> details</w:t>
      </w:r>
      <w:r w:rsidR="000408AE">
        <w:rPr>
          <w:rFonts w:ascii="Calibri" w:hAnsi="Calibri" w:cs="Calibri"/>
          <w:sz w:val="22"/>
          <w:szCs w:val="22"/>
        </w:rPr>
        <w:t xml:space="preserve"> and</w:t>
      </w:r>
      <w:r w:rsidR="009E5242">
        <w:rPr>
          <w:rFonts w:ascii="Calibri" w:hAnsi="Calibri" w:cs="Calibri"/>
          <w:b/>
          <w:bCs/>
          <w:sz w:val="22"/>
          <w:szCs w:val="22"/>
        </w:rPr>
        <w:t xml:space="preserve"> </w:t>
      </w:r>
      <w:r w:rsidR="000408AE">
        <w:rPr>
          <w:rFonts w:ascii="Calibri" w:hAnsi="Calibri" w:cs="Calibri"/>
          <w:sz w:val="22"/>
          <w:szCs w:val="22"/>
        </w:rPr>
        <w:t>timeline</w:t>
      </w:r>
      <w:r w:rsidR="0023794C">
        <w:rPr>
          <w:rFonts w:ascii="Calibri" w:hAnsi="Calibri" w:cs="Calibri"/>
          <w:sz w:val="22"/>
          <w:szCs w:val="22"/>
        </w:rPr>
        <w:t>)</w:t>
      </w:r>
      <w:r w:rsidR="00BD338E" w:rsidRPr="00BD338E">
        <w:rPr>
          <w:rFonts w:ascii="Calibri" w:hAnsi="Calibri" w:cs="Calibri"/>
          <w:sz w:val="22"/>
          <w:szCs w:val="22"/>
        </w:rPr>
        <w:t>.</w:t>
      </w:r>
      <w:r w:rsidR="00BD338E" w:rsidRPr="00BD338E">
        <w:rPr>
          <w:rFonts w:ascii="Calibri" w:hAnsi="Calibri" w:cs="Calibri"/>
          <w:sz w:val="22"/>
          <w:szCs w:val="22"/>
          <w:lang w:val="en-GB"/>
        </w:rPr>
        <w:t xml:space="preserve"> </w:t>
      </w:r>
      <w:r w:rsidR="00CC2239">
        <w:rPr>
          <w:rFonts w:ascii="Calibri" w:hAnsi="Calibri" w:cs="Calibri"/>
          <w:sz w:val="22"/>
          <w:szCs w:val="22"/>
          <w:lang w:val="en-GB"/>
        </w:rPr>
        <w:t>While commercial advertising accounts for a small proportion of TfL’s revenue (2.8% in 2017</w:t>
      </w:r>
      <w:r w:rsidR="00EE5C70">
        <w:rPr>
          <w:rFonts w:ascii="Calibri" w:hAnsi="Calibri" w:cs="Calibri"/>
          <w:sz w:val="22"/>
          <w:szCs w:val="22"/>
          <w:lang w:val="en-GB"/>
        </w:rPr>
        <w:t>/</w:t>
      </w:r>
      <w:r w:rsidR="00CC2239">
        <w:rPr>
          <w:rFonts w:ascii="Calibri" w:hAnsi="Calibri" w:cs="Calibri"/>
          <w:sz w:val="22"/>
          <w:szCs w:val="22"/>
          <w:lang w:val="en-GB"/>
        </w:rPr>
        <w:t>2018)</w:t>
      </w:r>
      <w:r w:rsidR="00EE5C70" w:rsidRPr="00EE5C70">
        <w:t xml:space="preserve"> </w:t>
      </w:r>
      <w:r w:rsidR="00EE5C70">
        <w:rPr>
          <w:rFonts w:ascii="Calibri" w:hAnsi="Calibri" w:cs="Calibri"/>
          <w:sz w:val="22"/>
          <w:szCs w:val="22"/>
          <w:lang w:val="en-GB"/>
        </w:rPr>
        <w:fldChar w:fldCharType="begin"/>
      </w:r>
      <w:r w:rsidR="000F2510">
        <w:rPr>
          <w:rFonts w:ascii="Calibri" w:hAnsi="Calibri" w:cs="Calibri"/>
          <w:sz w:val="22"/>
          <w:szCs w:val="22"/>
          <w:lang w:val="en-GB"/>
        </w:rPr>
        <w:instrText xml:space="preserve"> ADDIN EN.CITE &lt;EndNote&gt;&lt;Cite&gt;&lt;Author&gt;Transport for London&lt;/Author&gt;&lt;Year&gt;2019&lt;/Year&gt;&lt;RecNum&gt;33&lt;/RecNum&gt;&lt;DisplayText&gt;(Transport for London, 2019a)&lt;/DisplayText&gt;&lt;record&gt;&lt;rec-number&gt;33&lt;/rec-number&gt;&lt;foreign-keys&gt;&lt;key app="EN" db-id="s9vsxe023afd99ezx5qpv5vrrspsex2xrs00" timestamp="1618306907"&gt;33&lt;/key&gt;&lt;/foreign-keys&gt;&lt;ref-type name="Report"&gt;27&lt;/ref-type&gt;&lt;contributors&gt;&lt;authors&gt;&lt;author&gt;Transport for London,&lt;/author&gt;&lt;/authors&gt;&lt;tertiary-authors&gt;&lt;author&gt;Mayor of London and Transport for London&lt;/author&gt;&lt;/tertiary-authors&gt;&lt;/contributors&gt;&lt;titles&gt;&lt;title&gt;Annual Report and Statement of Accounts 2018/19&lt;/title&gt;&lt;/titles&gt;&lt;dates&gt;&lt;year&gt;2019&lt;/year&gt;&lt;/dates&gt;&lt;publisher&gt;Mayor of London and Transport for London&lt;/publisher&gt;&lt;urls&gt;&lt;related-urls&gt;&lt;url&gt;http://content.tfl.gov.uk/tfl-annual-report-and-statement-of-accounts-2018-19.pdf&lt;/url&gt;&lt;/related-urls&gt;&lt;/urls&gt;&lt;/record&gt;&lt;/Cite&gt;&lt;/EndNote&gt;</w:instrText>
      </w:r>
      <w:r w:rsidR="00EE5C70">
        <w:rPr>
          <w:rFonts w:ascii="Calibri" w:hAnsi="Calibri" w:cs="Calibri"/>
          <w:sz w:val="22"/>
          <w:szCs w:val="22"/>
          <w:lang w:val="en-GB"/>
        </w:rPr>
        <w:fldChar w:fldCharType="separate"/>
      </w:r>
      <w:r w:rsidR="000F2510">
        <w:rPr>
          <w:rFonts w:ascii="Calibri" w:hAnsi="Calibri" w:cs="Calibri"/>
          <w:noProof/>
          <w:sz w:val="22"/>
          <w:szCs w:val="22"/>
          <w:lang w:val="en-GB"/>
        </w:rPr>
        <w:t>(Transport for London, 2019a)</w:t>
      </w:r>
      <w:r w:rsidR="00EE5C70">
        <w:rPr>
          <w:rFonts w:ascii="Calibri" w:hAnsi="Calibri" w:cs="Calibri"/>
          <w:sz w:val="22"/>
          <w:szCs w:val="22"/>
          <w:lang w:val="en-GB"/>
        </w:rPr>
        <w:fldChar w:fldCharType="end"/>
      </w:r>
      <w:r w:rsidR="00CC2239">
        <w:rPr>
          <w:rFonts w:ascii="Calibri" w:hAnsi="Calibri" w:cs="Calibri"/>
          <w:sz w:val="22"/>
          <w:szCs w:val="22"/>
          <w:lang w:val="en-GB"/>
        </w:rPr>
        <w:t xml:space="preserve">, </w:t>
      </w:r>
      <w:r w:rsidR="00BD338E" w:rsidRPr="00BD338E">
        <w:rPr>
          <w:rFonts w:ascii="Calibri" w:hAnsi="Calibri" w:cs="Calibri"/>
          <w:sz w:val="22"/>
          <w:szCs w:val="22"/>
          <w:lang w:val="en-GB"/>
        </w:rPr>
        <w:t xml:space="preserve">TfL has one of the most valuable advertising estates in the world. It owns 20% </w:t>
      </w:r>
      <w:r w:rsidR="00BA7404">
        <w:rPr>
          <w:rFonts w:ascii="Calibri" w:hAnsi="Calibri" w:cs="Calibri"/>
          <w:sz w:val="22"/>
          <w:szCs w:val="22"/>
          <w:lang w:val="en-GB"/>
        </w:rPr>
        <w:t xml:space="preserve">and 40% respectively </w:t>
      </w:r>
      <w:r w:rsidR="00BD338E" w:rsidRPr="00BD338E">
        <w:rPr>
          <w:rFonts w:ascii="Calibri" w:hAnsi="Calibri" w:cs="Calibri"/>
          <w:sz w:val="22"/>
          <w:szCs w:val="22"/>
          <w:lang w:val="en-GB"/>
        </w:rPr>
        <w:t>of the UK</w:t>
      </w:r>
      <w:r w:rsidR="00BA7404">
        <w:rPr>
          <w:rFonts w:ascii="Calibri" w:hAnsi="Calibri" w:cs="Calibri"/>
          <w:sz w:val="22"/>
          <w:szCs w:val="22"/>
          <w:lang w:val="en-GB"/>
        </w:rPr>
        <w:t xml:space="preserve"> and London</w:t>
      </w:r>
      <w:r w:rsidR="00BD338E" w:rsidRPr="00BD338E">
        <w:rPr>
          <w:rFonts w:ascii="Calibri" w:hAnsi="Calibri" w:cs="Calibri"/>
          <w:sz w:val="22"/>
          <w:szCs w:val="22"/>
          <w:lang w:val="en-GB"/>
        </w:rPr>
        <w:t xml:space="preserve">’s outdoor advertising </w:t>
      </w:r>
      <w:r w:rsidR="00BA7404">
        <w:rPr>
          <w:rFonts w:ascii="Calibri" w:hAnsi="Calibri" w:cs="Calibri"/>
          <w:sz w:val="22"/>
          <w:szCs w:val="22"/>
          <w:lang w:val="en-GB"/>
        </w:rPr>
        <w:t xml:space="preserve">by </w:t>
      </w:r>
      <w:r w:rsidR="00BD338E" w:rsidRPr="00BD338E">
        <w:rPr>
          <w:rFonts w:ascii="Calibri" w:hAnsi="Calibri" w:cs="Calibri"/>
          <w:sz w:val="22"/>
          <w:szCs w:val="22"/>
          <w:lang w:val="en-GB"/>
        </w:rPr>
        <w:t>value</w:t>
      </w:r>
      <w:r w:rsidR="007614AB">
        <w:rPr>
          <w:rFonts w:ascii="Calibri" w:hAnsi="Calibri" w:cs="Calibri"/>
          <w:sz w:val="22"/>
          <w:szCs w:val="22"/>
          <w:lang w:val="en-GB"/>
        </w:rPr>
        <w:t xml:space="preserve"> </w:t>
      </w:r>
      <w:r w:rsidR="007614AB">
        <w:rPr>
          <w:rFonts w:ascii="Calibri" w:hAnsi="Calibri" w:cs="Calibri"/>
          <w:sz w:val="22"/>
          <w:szCs w:val="22"/>
          <w:lang w:val="en-GB"/>
        </w:rPr>
        <w:fldChar w:fldCharType="begin"/>
      </w:r>
      <w:r w:rsidR="007614AB">
        <w:rPr>
          <w:rFonts w:ascii="Calibri" w:hAnsi="Calibri" w:cs="Calibri"/>
          <w:sz w:val="22"/>
          <w:szCs w:val="22"/>
          <w:lang w:val="en-GB"/>
        </w:rPr>
        <w:instrText xml:space="preserve"> ADDIN EN.CITE &lt;EndNote&gt;&lt;Cite&gt;&lt;Author&gt;Transport for London&lt;/Author&gt;&lt;Year&gt;2019&lt;/Year&gt;&lt;RecNum&gt;34&lt;/RecNum&gt;&lt;DisplayText&gt;(Transport for London, 2019b)&lt;/DisplayText&gt;&lt;record&gt;&lt;rec-number&gt;34&lt;/rec-number&gt;&lt;foreign-keys&gt;&lt;key app="EN" db-id="s9vsxe023afd99ezx5qpv5vrrspsex2xrs00" timestamp="1618307529"&gt;34&lt;/key&gt;&lt;/foreign-keys&gt;&lt;ref-type name="Web Page"&gt;12&lt;/ref-type&gt;&lt;contributors&gt;&lt;authors&gt;&lt;author&gt;Transport for London,&lt;/author&gt;&lt;/authors&gt;&lt;/contributors&gt;&lt;titles&gt;&lt;title&gt;Transport for London&amp;apos;s advertising revenue increases as innovative advertising platforms are introduced&lt;/title&gt;&lt;/titles&gt;&lt;volume&gt;2021&lt;/volume&gt;&lt;number&gt;13 April 2021&lt;/number&gt;&lt;dates&gt;&lt;year&gt;2019&lt;/year&gt;&lt;/dates&gt;&lt;publisher&gt;Transport for London&lt;/publisher&gt;&lt;urls&gt;&lt;related-urls&gt;&lt;url&gt;https://tfl.gov.uk/info-for/media/press-releases/2019/january/transport-for-london-s-advertising-revenue-increases-as-innovative-advertising-platforms-are-introduced&lt;/url&gt;&lt;/related-urls&gt;&lt;/urls&gt;&lt;/record&gt;&lt;/Cite&gt;&lt;/EndNote&gt;</w:instrText>
      </w:r>
      <w:r w:rsidR="007614AB">
        <w:rPr>
          <w:rFonts w:ascii="Calibri" w:hAnsi="Calibri" w:cs="Calibri"/>
          <w:sz w:val="22"/>
          <w:szCs w:val="22"/>
          <w:lang w:val="en-GB"/>
        </w:rPr>
        <w:fldChar w:fldCharType="separate"/>
      </w:r>
      <w:r w:rsidR="007614AB">
        <w:rPr>
          <w:rFonts w:ascii="Calibri" w:hAnsi="Calibri" w:cs="Calibri"/>
          <w:noProof/>
          <w:sz w:val="22"/>
          <w:szCs w:val="22"/>
          <w:lang w:val="en-GB"/>
        </w:rPr>
        <w:t>(Transport for London, 2019b)</w:t>
      </w:r>
      <w:r w:rsidR="007614AB">
        <w:rPr>
          <w:rFonts w:ascii="Calibri" w:hAnsi="Calibri" w:cs="Calibri"/>
          <w:sz w:val="22"/>
          <w:szCs w:val="22"/>
          <w:lang w:val="en-GB"/>
        </w:rPr>
        <w:fldChar w:fldCharType="end"/>
      </w:r>
      <w:r w:rsidR="00C24EFB" w:rsidRPr="00C24EFB">
        <w:t xml:space="preserve"> </w:t>
      </w:r>
      <w:r w:rsidR="00BA7404">
        <w:rPr>
          <w:rFonts w:ascii="Calibri" w:hAnsi="Calibri" w:cs="Calibri"/>
          <w:sz w:val="22"/>
          <w:szCs w:val="22"/>
          <w:lang w:val="en-GB"/>
        </w:rPr>
        <w:t>with a total</w:t>
      </w:r>
      <w:r w:rsidR="00BD338E" w:rsidRPr="00BD338E">
        <w:rPr>
          <w:rFonts w:ascii="Calibri" w:hAnsi="Calibri" w:cs="Calibri"/>
          <w:sz w:val="22"/>
          <w:szCs w:val="22"/>
          <w:lang w:val="en-GB"/>
        </w:rPr>
        <w:t xml:space="preserve"> revenue of £152 million in 2017/18 </w:t>
      </w:r>
      <w:r w:rsidR="006D1623" w:rsidRPr="00CE3CCA">
        <w:rPr>
          <w:rFonts w:ascii="Calibri" w:hAnsi="Calibri" w:cs="Calibri"/>
          <w:sz w:val="22"/>
          <w:szCs w:val="22"/>
          <w:lang w:val="en-GB"/>
        </w:rPr>
        <w:fldChar w:fldCharType="begin"/>
      </w:r>
      <w:r w:rsidR="000F2510" w:rsidRPr="00CE3CCA">
        <w:rPr>
          <w:rFonts w:ascii="Calibri" w:hAnsi="Calibri" w:cs="Calibri"/>
          <w:sz w:val="22"/>
          <w:szCs w:val="22"/>
          <w:lang w:val="en-GB"/>
        </w:rPr>
        <w:instrText xml:space="preserve"> ADDIN EN.CITE &lt;EndNote&gt;&lt;Cite&gt;&lt;Author&gt;Transport for London&lt;/Author&gt;&lt;Year&gt;2019&lt;/Year&gt;&lt;RecNum&gt;33&lt;/RecNum&gt;&lt;DisplayText&gt;(Transport for London, 2019a)&lt;/DisplayText&gt;&lt;record&gt;&lt;rec-number&gt;33&lt;/rec-number&gt;&lt;foreign-keys&gt;&lt;key app="EN" db-id="s9vsxe023afd99ezx5qpv5vrrspsex2xrs00" timestamp="1618306907"&gt;33&lt;/key&gt;&lt;/foreign-keys&gt;&lt;ref-type name="Report"&gt;27&lt;/ref-type&gt;&lt;contributors&gt;&lt;authors&gt;&lt;author&gt;Transport for London,&lt;/author&gt;&lt;/authors&gt;&lt;tertiary-authors&gt;&lt;author&gt;Mayor of London and Transport for London&lt;/author&gt;&lt;/tertiary-authors&gt;&lt;/contributors&gt;&lt;titles&gt;&lt;title&gt;Annual Report and Statement of Accounts 2018/19&lt;/title&gt;&lt;/titles&gt;&lt;dates&gt;&lt;year&gt;2019&lt;/year&gt;&lt;/dates&gt;&lt;publisher&gt;Mayor of London and Transport for London&lt;/publisher&gt;&lt;urls&gt;&lt;related-urls&gt;&lt;url&gt;http://content.tfl.gov.uk/tfl-annual-report-and-statement-of-accounts-2018-19.pdf&lt;/url&gt;&lt;/related-urls&gt;&lt;/urls&gt;&lt;/record&gt;&lt;/Cite&gt;&lt;/EndNote&gt;</w:instrText>
      </w:r>
      <w:r w:rsidR="006D1623" w:rsidRPr="00CE3CCA">
        <w:rPr>
          <w:rFonts w:ascii="Calibri" w:hAnsi="Calibri" w:cs="Calibri"/>
          <w:sz w:val="22"/>
          <w:szCs w:val="22"/>
          <w:lang w:val="en-GB"/>
        </w:rPr>
        <w:fldChar w:fldCharType="separate"/>
      </w:r>
      <w:r w:rsidR="000F2510" w:rsidRPr="00CE3CCA">
        <w:rPr>
          <w:rFonts w:ascii="Calibri" w:hAnsi="Calibri" w:cs="Calibri"/>
          <w:noProof/>
          <w:sz w:val="22"/>
          <w:szCs w:val="22"/>
          <w:lang w:val="en-GB"/>
        </w:rPr>
        <w:t>(Transport for London, 2019a)</w:t>
      </w:r>
      <w:r w:rsidR="006D1623" w:rsidRPr="00CE3CCA">
        <w:rPr>
          <w:rFonts w:ascii="Calibri" w:hAnsi="Calibri" w:cs="Calibri"/>
          <w:sz w:val="22"/>
          <w:szCs w:val="22"/>
          <w:lang w:val="en-GB"/>
        </w:rPr>
        <w:fldChar w:fldCharType="end"/>
      </w:r>
      <w:r w:rsidR="00BD338E" w:rsidRPr="00CE3CCA">
        <w:rPr>
          <w:rFonts w:ascii="Calibri" w:hAnsi="Calibri" w:cs="Calibri"/>
          <w:sz w:val="22"/>
          <w:szCs w:val="22"/>
          <w:lang w:val="en-GB"/>
        </w:rPr>
        <w:t xml:space="preserve">. </w:t>
      </w:r>
      <w:r w:rsidR="0087044E" w:rsidRPr="00CE3CCA">
        <w:rPr>
          <w:rFonts w:ascii="Calibri" w:hAnsi="Calibri" w:cs="Calibri"/>
          <w:sz w:val="22"/>
          <w:szCs w:val="22"/>
          <w:lang w:val="en-GB"/>
        </w:rPr>
        <w:t>In addition, 9.68 million trips are made on TfL operated public transport services per year, which equates around 36% of trips across all modes (walking, cycling, public transport and private motorised) made by Londoners(TfL, 2019</w:t>
      </w:r>
      <w:r w:rsidR="0025484B" w:rsidRPr="00CE3CCA">
        <w:rPr>
          <w:rFonts w:ascii="Calibri" w:hAnsi="Calibri" w:cs="Calibri"/>
          <w:sz w:val="22"/>
          <w:szCs w:val="22"/>
          <w:lang w:val="en-GB"/>
        </w:rPr>
        <w:t>c</w:t>
      </w:r>
      <w:r w:rsidR="0087044E" w:rsidRPr="00CE3CCA">
        <w:rPr>
          <w:rFonts w:ascii="Calibri" w:hAnsi="Calibri" w:cs="Calibri"/>
          <w:sz w:val="22"/>
          <w:szCs w:val="22"/>
          <w:lang w:val="en-GB"/>
        </w:rPr>
        <w:t>)</w:t>
      </w:r>
      <w:r w:rsidR="00F55AD7" w:rsidRPr="00CE3CCA">
        <w:rPr>
          <w:rFonts w:ascii="Calibri" w:hAnsi="Calibri" w:cs="Calibri"/>
          <w:sz w:val="22"/>
          <w:szCs w:val="22"/>
          <w:lang w:val="en-GB"/>
        </w:rPr>
        <w:t xml:space="preserve">. </w:t>
      </w:r>
      <w:r w:rsidR="00BD338E" w:rsidRPr="00CE3CCA">
        <w:rPr>
          <w:rFonts w:ascii="Calibri" w:hAnsi="Calibri" w:cs="Calibri"/>
          <w:sz w:val="22"/>
          <w:szCs w:val="22"/>
          <w:lang w:val="en-GB"/>
        </w:rPr>
        <w:t xml:space="preserve">As such, restrictions may </w:t>
      </w:r>
      <w:r w:rsidR="00FA63E7" w:rsidRPr="00CE3CCA">
        <w:rPr>
          <w:rFonts w:ascii="Calibri" w:hAnsi="Calibri" w:cs="Calibri"/>
          <w:sz w:val="22"/>
          <w:szCs w:val="22"/>
          <w:lang w:val="en-GB"/>
        </w:rPr>
        <w:t xml:space="preserve">contribute </w:t>
      </w:r>
      <w:r w:rsidR="00BD338E" w:rsidRPr="00CE3CCA">
        <w:rPr>
          <w:rFonts w:ascii="Calibri" w:hAnsi="Calibri" w:cs="Calibri"/>
          <w:sz w:val="22"/>
          <w:szCs w:val="22"/>
          <w:lang w:val="en-GB"/>
        </w:rPr>
        <w:t>significantly</w:t>
      </w:r>
      <w:r w:rsidR="00FA63E7" w:rsidRPr="00CE3CCA">
        <w:rPr>
          <w:rFonts w:ascii="Calibri" w:hAnsi="Calibri" w:cs="Calibri"/>
          <w:sz w:val="22"/>
          <w:szCs w:val="22"/>
          <w:lang w:val="en-GB"/>
        </w:rPr>
        <w:t xml:space="preserve"> to</w:t>
      </w:r>
      <w:r w:rsidR="00BD338E" w:rsidRPr="00CE3CCA">
        <w:rPr>
          <w:rFonts w:ascii="Calibri" w:hAnsi="Calibri" w:cs="Calibri"/>
          <w:sz w:val="22"/>
          <w:szCs w:val="22"/>
          <w:lang w:val="en-GB"/>
        </w:rPr>
        <w:t xml:space="preserve"> reduc</w:t>
      </w:r>
      <w:r w:rsidR="00FA63E7" w:rsidRPr="00CE3CCA">
        <w:rPr>
          <w:rFonts w:ascii="Calibri" w:hAnsi="Calibri" w:cs="Calibri"/>
          <w:sz w:val="22"/>
          <w:szCs w:val="22"/>
          <w:lang w:val="en-GB"/>
        </w:rPr>
        <w:t>ing</w:t>
      </w:r>
      <w:r w:rsidR="00BD338E" w:rsidRPr="00CE3CCA">
        <w:rPr>
          <w:rFonts w:ascii="Calibri" w:hAnsi="Calibri" w:cs="Calibri"/>
          <w:sz w:val="22"/>
          <w:szCs w:val="22"/>
          <w:lang w:val="en-GB"/>
        </w:rPr>
        <w:t xml:space="preserve"> exposure to HFSS product advertising. </w:t>
      </w:r>
      <w:r w:rsidR="00BD338E" w:rsidRPr="00CE3CCA">
        <w:rPr>
          <w:rFonts w:ascii="Calibri" w:hAnsi="Calibri" w:cs="Calibri"/>
          <w:sz w:val="22"/>
          <w:szCs w:val="22"/>
        </w:rPr>
        <w:t xml:space="preserve">The policy was designed to help reduce childhood obesity by restricting the advertising of </w:t>
      </w:r>
      <w:r w:rsidR="00B068AB" w:rsidRPr="00CE3CCA">
        <w:rPr>
          <w:rFonts w:ascii="Calibri" w:hAnsi="Calibri" w:cs="Calibri"/>
          <w:sz w:val="22"/>
          <w:szCs w:val="22"/>
        </w:rPr>
        <w:t xml:space="preserve">HFSS </w:t>
      </w:r>
      <w:r w:rsidR="00BD338E" w:rsidRPr="00CE3CCA">
        <w:rPr>
          <w:rFonts w:ascii="Calibri" w:hAnsi="Calibri" w:cs="Calibri"/>
          <w:sz w:val="22"/>
          <w:szCs w:val="22"/>
        </w:rPr>
        <w:t xml:space="preserve">foods </w:t>
      </w:r>
      <w:r w:rsidR="00333C6E" w:rsidRPr="00CE3CCA">
        <w:rPr>
          <w:rFonts w:ascii="Calibri" w:hAnsi="Calibri" w:cs="Calibri"/>
          <w:sz w:val="22"/>
          <w:szCs w:val="22"/>
        </w:rPr>
        <w:t xml:space="preserve">and beverages </w:t>
      </w:r>
      <w:r w:rsidR="00BD338E" w:rsidRPr="00CE3CCA">
        <w:rPr>
          <w:rFonts w:ascii="Calibri" w:hAnsi="Calibri" w:cs="Calibri"/>
          <w:sz w:val="22"/>
          <w:szCs w:val="22"/>
        </w:rPr>
        <w:t>consumed by children</w:t>
      </w:r>
      <w:r w:rsidR="00B068AB" w:rsidRPr="00CE3CCA">
        <w:rPr>
          <w:rFonts w:ascii="Calibri" w:hAnsi="Calibri" w:cs="Calibri"/>
          <w:sz w:val="22"/>
          <w:szCs w:val="22"/>
        </w:rPr>
        <w:t xml:space="preserve">, with the classifications of HFSS being determined </w:t>
      </w:r>
      <w:r w:rsidR="00BD338E" w:rsidRPr="00CE3CCA">
        <w:rPr>
          <w:rFonts w:ascii="Calibri" w:hAnsi="Calibri" w:cs="Calibri"/>
          <w:sz w:val="22"/>
          <w:szCs w:val="22"/>
        </w:rPr>
        <w:t xml:space="preserve">using the Nutrient </w:t>
      </w:r>
      <w:r w:rsidR="00973A77" w:rsidRPr="00CE3CCA">
        <w:rPr>
          <w:rFonts w:ascii="Calibri" w:hAnsi="Calibri" w:cs="Calibri"/>
          <w:sz w:val="22"/>
          <w:szCs w:val="22"/>
        </w:rPr>
        <w:t xml:space="preserve">Profiling </w:t>
      </w:r>
      <w:r w:rsidR="00BD338E" w:rsidRPr="00CE3CCA">
        <w:rPr>
          <w:rFonts w:ascii="Calibri" w:hAnsi="Calibri" w:cs="Calibri"/>
          <w:sz w:val="22"/>
          <w:szCs w:val="22"/>
        </w:rPr>
        <w:t xml:space="preserve">Model </w:t>
      </w:r>
      <w:r w:rsidR="00197F08" w:rsidRPr="00CE3CCA">
        <w:rPr>
          <w:rFonts w:ascii="Calibri" w:hAnsi="Calibri" w:cs="Calibri"/>
          <w:sz w:val="22"/>
          <w:szCs w:val="22"/>
        </w:rPr>
        <w:t>(NPM)</w:t>
      </w:r>
      <w:r w:rsidR="00793B37" w:rsidRPr="00CE3CCA">
        <w:rPr>
          <w:rFonts w:ascii="Calibri" w:hAnsi="Calibri" w:cs="Calibri"/>
          <w:sz w:val="22"/>
          <w:szCs w:val="22"/>
        </w:rPr>
        <w:t xml:space="preserve"> </w:t>
      </w:r>
      <w:r w:rsidR="00970F1D" w:rsidRPr="00CE3CCA">
        <w:rPr>
          <w:rFonts w:ascii="Calibri" w:hAnsi="Calibri" w:cs="Calibri"/>
          <w:sz w:val="22"/>
          <w:szCs w:val="22"/>
        </w:rPr>
        <w:fldChar w:fldCharType="begin"/>
      </w:r>
      <w:r w:rsidR="000F2510" w:rsidRPr="00CE3CCA">
        <w:rPr>
          <w:rFonts w:ascii="Calibri" w:hAnsi="Calibri" w:cs="Calibri"/>
          <w:sz w:val="22"/>
          <w:szCs w:val="22"/>
        </w:rPr>
        <w:instrText xml:space="preserve"> ADDIN EN.CITE &lt;EndNote&gt;&lt;Cite&gt;&lt;Author&gt;Department of Health&lt;/Author&gt;&lt;Year&gt;2011&lt;/Year&gt;&lt;RecNum&gt;14&lt;/RecNum&gt;&lt;DisplayText&gt;(Department of Health, 2011; Greater London Authority, 2018)&lt;/DisplayText&gt;&lt;record&gt;&lt;rec-number&gt;14&lt;/rec-number&gt;&lt;foreign-keys&gt;&lt;key app="EN" db-id="s9vsxe023afd99ezx5qpv5vrrspsex2xrs00" timestamp="1613646968"&gt;14&lt;/key&gt;&lt;/foreign-keys&gt;&lt;ref-type name="Report"&gt;27&lt;/ref-type&gt;&lt;contributors&gt;&lt;authors&gt;&lt;author&gt;Department of Health,&lt;/author&gt;&lt;/authors&gt;&lt;tertiary-authors&gt;&lt;author&gt;Department of Health&lt;/author&gt;&lt;/tertiary-authors&gt;&lt;/contributors&gt;&lt;titles&gt;&lt;title&gt;Nutrient Profiling Technical Guidance&lt;/title&gt;&lt;/titles&gt;&lt;dates&gt;&lt;year&gt;2011&lt;/year&gt;&lt;/dates&gt;&lt;pub-location&gt;UK&lt;/pub-location&gt;&lt;publisher&gt;Department of Health&lt;/publisher&gt;&lt;urls&gt;&lt;related-urls&gt;&lt;url&gt;https://assets.publishing.service.gov.uk/government/uploads/system/uploads/attachment_data/file/216094/dh_123492.pdf&lt;/url&gt;&lt;/related-urls&gt;&lt;/urls&gt;&lt;access-date&gt;18 February 2021&lt;/access-date&gt;&lt;/record&gt;&lt;/Cite&gt;&lt;Cite&gt;&lt;Author&gt;Greater London Authority&lt;/Author&gt;&lt;Year&gt;2018&lt;/Year&gt;&lt;RecNum&gt;15&lt;/RecNum&gt;&lt;record&gt;&lt;rec-number&gt;15&lt;/rec-number&gt;&lt;foreign-keys&gt;&lt;key app="EN" db-id="s9vsxe023afd99ezx5qpv5vrrspsex2xrs00" timestamp="1613647423"&gt;15&lt;/key&gt;&lt;/foreign-keys&gt;&lt;ref-type name="Report"&gt;27&lt;/ref-type&gt;&lt;contributors&gt;&lt;authors&gt;&lt;author&gt;Greater London Authority,&lt;/author&gt;&lt;/authors&gt;&lt;tertiary-authors&gt;&lt;author&gt;Greater London Authority&lt;/author&gt;&lt;/tertiary-authors&gt;&lt;/contributors&gt;&lt;titles&gt;&lt;title&gt;The London Food Strategy: Healthy and sustainable food for London&lt;/title&gt;&lt;/titles&gt;&lt;dates&gt;&lt;year&gt;2018&lt;/year&gt;&lt;pub-dates&gt;&lt;date&gt;December 2018&lt;/date&gt;&lt;/pub-dates&gt;&lt;/dates&gt;&lt;pub-location&gt;London, UK&lt;/pub-location&gt;&lt;publisher&gt;Greater London Authority&lt;/publisher&gt;&lt;urls&gt;&lt;related-urls&gt;&lt;url&gt;https://www.london.gov.uk/sites/default/files/final_london_food_strategy.pdf&lt;/url&gt;&lt;/related-urls&gt;&lt;/urls&gt;&lt;access-date&gt;18 February 2021&lt;/access-date&gt;&lt;/record&gt;&lt;/Cite&gt;&lt;/EndNote&gt;</w:instrText>
      </w:r>
      <w:r w:rsidR="00970F1D" w:rsidRPr="00CE3CCA">
        <w:rPr>
          <w:rFonts w:ascii="Calibri" w:hAnsi="Calibri" w:cs="Calibri"/>
          <w:sz w:val="22"/>
          <w:szCs w:val="22"/>
        </w:rPr>
        <w:fldChar w:fldCharType="separate"/>
      </w:r>
      <w:r w:rsidR="000F2510" w:rsidRPr="00CE3CCA">
        <w:rPr>
          <w:rFonts w:ascii="Calibri" w:hAnsi="Calibri" w:cs="Calibri"/>
          <w:noProof/>
          <w:sz w:val="22"/>
          <w:szCs w:val="22"/>
        </w:rPr>
        <w:t>(Department of Health, 2011; Greater London Authority, 2018)</w:t>
      </w:r>
      <w:r w:rsidR="00970F1D" w:rsidRPr="00CE3CCA">
        <w:rPr>
          <w:rFonts w:ascii="Calibri" w:hAnsi="Calibri" w:cs="Calibri"/>
          <w:sz w:val="22"/>
          <w:szCs w:val="22"/>
        </w:rPr>
        <w:fldChar w:fldCharType="end"/>
      </w:r>
      <w:r w:rsidR="00793B37" w:rsidRPr="00CE3CCA">
        <w:rPr>
          <w:rFonts w:ascii="Calibri" w:hAnsi="Calibri" w:cs="Calibri"/>
          <w:sz w:val="22"/>
          <w:szCs w:val="22"/>
        </w:rPr>
        <w:t>.</w:t>
      </w:r>
      <w:r w:rsidR="00BD338E" w:rsidRPr="00CE3CCA">
        <w:rPr>
          <w:rFonts w:ascii="Calibri" w:hAnsi="Calibri" w:cs="Calibri"/>
          <w:sz w:val="22"/>
          <w:szCs w:val="22"/>
        </w:rPr>
        <w:t xml:space="preserve"> The NPM </w:t>
      </w:r>
      <w:r w:rsidR="00793B37" w:rsidRPr="00CE3CCA">
        <w:rPr>
          <w:rFonts w:ascii="Calibri" w:hAnsi="Calibri" w:cs="Calibri"/>
          <w:sz w:val="22"/>
          <w:szCs w:val="22"/>
        </w:rPr>
        <w:t xml:space="preserve">was originally developed by the Food Standards Agency </w:t>
      </w:r>
      <w:r w:rsidR="00237DFE" w:rsidRPr="00CE3CCA">
        <w:rPr>
          <w:rFonts w:ascii="Calibri" w:hAnsi="Calibri" w:cs="Calibri"/>
          <w:sz w:val="22"/>
          <w:szCs w:val="22"/>
        </w:rPr>
        <w:t>for the purpose of</w:t>
      </w:r>
      <w:r w:rsidR="00BD338E" w:rsidRPr="00CE3CCA">
        <w:rPr>
          <w:rFonts w:ascii="Calibri" w:hAnsi="Calibri" w:cs="Calibri"/>
          <w:sz w:val="22"/>
          <w:szCs w:val="22"/>
        </w:rPr>
        <w:t xml:space="preserve"> decid</w:t>
      </w:r>
      <w:r w:rsidR="00237DFE" w:rsidRPr="00CE3CCA">
        <w:rPr>
          <w:rFonts w:ascii="Calibri" w:hAnsi="Calibri" w:cs="Calibri"/>
          <w:sz w:val="22"/>
          <w:szCs w:val="22"/>
        </w:rPr>
        <w:t>ing</w:t>
      </w:r>
      <w:r w:rsidR="00BD338E" w:rsidRPr="00CE3CCA">
        <w:rPr>
          <w:rFonts w:ascii="Calibri" w:hAnsi="Calibri" w:cs="Calibri"/>
          <w:sz w:val="22"/>
          <w:szCs w:val="22"/>
        </w:rPr>
        <w:t xml:space="preserve"> which foods </w:t>
      </w:r>
      <w:r w:rsidR="00B068AB" w:rsidRPr="00CE3CCA">
        <w:rPr>
          <w:rFonts w:ascii="Calibri" w:hAnsi="Calibri" w:cs="Calibri"/>
          <w:sz w:val="22"/>
          <w:szCs w:val="22"/>
        </w:rPr>
        <w:t xml:space="preserve">can </w:t>
      </w:r>
      <w:r w:rsidR="00BD338E" w:rsidRPr="00CE3CCA">
        <w:rPr>
          <w:rFonts w:ascii="Calibri" w:hAnsi="Calibri" w:cs="Calibri"/>
          <w:sz w:val="22"/>
          <w:szCs w:val="22"/>
        </w:rPr>
        <w:t>be advertised</w:t>
      </w:r>
      <w:r w:rsidR="00B068AB" w:rsidRPr="00CE3CCA">
        <w:rPr>
          <w:rFonts w:ascii="Calibri" w:hAnsi="Calibri" w:cs="Calibri"/>
          <w:sz w:val="22"/>
          <w:szCs w:val="22"/>
        </w:rPr>
        <w:t xml:space="preserve"> to children</w:t>
      </w:r>
      <w:r w:rsidR="00BD338E" w:rsidRPr="00CE3CCA">
        <w:rPr>
          <w:rFonts w:ascii="Calibri" w:hAnsi="Calibri" w:cs="Calibri"/>
          <w:sz w:val="22"/>
          <w:szCs w:val="22"/>
        </w:rPr>
        <w:t xml:space="preserve"> </w:t>
      </w:r>
      <w:r w:rsidRPr="00CE3CCA">
        <w:rPr>
          <w:rFonts w:ascii="Calibri" w:hAnsi="Calibri" w:cs="Calibri"/>
          <w:sz w:val="22"/>
          <w:szCs w:val="22"/>
        </w:rPr>
        <w:t xml:space="preserve">via </w:t>
      </w:r>
      <w:r w:rsidR="00BD338E" w:rsidRPr="00CE3CCA">
        <w:rPr>
          <w:rFonts w:ascii="Calibri" w:hAnsi="Calibri" w:cs="Calibri"/>
          <w:sz w:val="22"/>
          <w:szCs w:val="22"/>
        </w:rPr>
        <w:t>television</w:t>
      </w:r>
      <w:r w:rsidR="001E29B3" w:rsidRPr="00CE3CCA">
        <w:rPr>
          <w:rFonts w:ascii="Calibri" w:hAnsi="Calibri" w:cs="Calibri"/>
          <w:sz w:val="22"/>
          <w:szCs w:val="22"/>
        </w:rPr>
        <w:t xml:space="preserve"> </w:t>
      </w:r>
      <w:r w:rsidR="00F80468" w:rsidRPr="00CE3CCA">
        <w:rPr>
          <w:rFonts w:ascii="Calibri" w:hAnsi="Calibri" w:cs="Calibri"/>
          <w:sz w:val="22"/>
          <w:szCs w:val="22"/>
        </w:rPr>
        <w:fldChar w:fldCharType="begin"/>
      </w:r>
      <w:r w:rsidR="000F2510" w:rsidRPr="00CE3CCA">
        <w:rPr>
          <w:rFonts w:ascii="Calibri" w:hAnsi="Calibri" w:cs="Calibri"/>
          <w:sz w:val="22"/>
          <w:szCs w:val="22"/>
        </w:rPr>
        <w:instrText xml:space="preserve"> ADDIN EN.CITE &lt;EndNote&gt;&lt;Cite&gt;&lt;Author&gt;Department of Health&lt;/Author&gt;&lt;Year&gt;2011&lt;/Year&gt;&lt;RecNum&gt;14&lt;/RecNum&gt;&lt;DisplayText&gt;(Department of Health, 2011)&lt;/DisplayText&gt;&lt;record&gt;&lt;rec-number&gt;14&lt;/rec-number&gt;&lt;foreign-keys&gt;&lt;key app="EN" db-id="s9vsxe023afd99ezx5qpv5vrrspsex2xrs00" timestamp="1613646968"&gt;14&lt;/key&gt;&lt;/foreign-keys&gt;&lt;ref-type name="Report"&gt;27&lt;/ref-type&gt;&lt;contributors&gt;&lt;authors&gt;&lt;author&gt;Department of Health,&lt;/author&gt;&lt;/authors&gt;&lt;tertiary-authors&gt;&lt;author&gt;Department of Health&lt;/author&gt;&lt;/tertiary-authors&gt;&lt;/contributors&gt;&lt;titles&gt;&lt;title&gt;Nutrient Profiling Technical Guidance&lt;/title&gt;&lt;/titles&gt;&lt;dates&gt;&lt;year&gt;2011&lt;/year&gt;&lt;/dates&gt;&lt;pub-location&gt;UK&lt;/pub-location&gt;&lt;publisher&gt;Department of Health&lt;/publisher&gt;&lt;urls&gt;&lt;related-urls&gt;&lt;url&gt;https://assets.publishing.service.gov.uk/government/uploads/system/uploads/attachment_data/file/216094/dh_123492.pdf&lt;/url&gt;&lt;/related-urls&gt;&lt;/urls&gt;&lt;access-date&gt;18 February 2021&lt;/access-date&gt;&lt;/record&gt;&lt;/Cite&gt;&lt;/EndNote&gt;</w:instrText>
      </w:r>
      <w:r w:rsidR="00F80468" w:rsidRPr="00CE3CCA">
        <w:rPr>
          <w:rFonts w:ascii="Calibri" w:hAnsi="Calibri" w:cs="Calibri"/>
          <w:sz w:val="22"/>
          <w:szCs w:val="22"/>
        </w:rPr>
        <w:fldChar w:fldCharType="separate"/>
      </w:r>
      <w:r w:rsidR="000F2510" w:rsidRPr="00CE3CCA">
        <w:rPr>
          <w:rFonts w:ascii="Calibri" w:hAnsi="Calibri" w:cs="Calibri"/>
          <w:noProof/>
          <w:sz w:val="22"/>
          <w:szCs w:val="22"/>
        </w:rPr>
        <w:t>(Department of Health, 2011)</w:t>
      </w:r>
      <w:r w:rsidR="00F80468" w:rsidRPr="00CE3CCA">
        <w:rPr>
          <w:rFonts w:ascii="Calibri" w:hAnsi="Calibri" w:cs="Calibri"/>
          <w:sz w:val="22"/>
          <w:szCs w:val="22"/>
        </w:rPr>
        <w:fldChar w:fldCharType="end"/>
      </w:r>
      <w:r w:rsidR="001E29B3" w:rsidRPr="00CE3CCA">
        <w:rPr>
          <w:rFonts w:ascii="Calibri" w:hAnsi="Calibri" w:cs="Calibri"/>
          <w:sz w:val="22"/>
          <w:szCs w:val="22"/>
        </w:rPr>
        <w:t>.</w:t>
      </w:r>
      <w:r w:rsidR="00BD338E" w:rsidRPr="00CE3CCA">
        <w:rPr>
          <w:rFonts w:ascii="Calibri" w:hAnsi="Calibri" w:cs="Calibri"/>
          <w:sz w:val="22"/>
          <w:szCs w:val="22"/>
        </w:rPr>
        <w:t xml:space="preserve"> The</w:t>
      </w:r>
      <w:r w:rsidR="00B068AB" w:rsidRPr="00CE3CCA">
        <w:rPr>
          <w:rFonts w:ascii="Calibri" w:hAnsi="Calibri" w:cs="Calibri"/>
          <w:sz w:val="22"/>
          <w:szCs w:val="22"/>
        </w:rPr>
        <w:t xml:space="preserve"> TfL</w:t>
      </w:r>
      <w:r w:rsidR="00BD338E" w:rsidRPr="00CE3CCA">
        <w:rPr>
          <w:rFonts w:ascii="Calibri" w:hAnsi="Calibri" w:cs="Calibri"/>
          <w:sz w:val="22"/>
          <w:szCs w:val="22"/>
        </w:rPr>
        <w:t xml:space="preserve"> policy was developed as a component of The London Food Strategy</w:t>
      </w:r>
      <w:r w:rsidR="002E6A72" w:rsidRPr="00CE3CCA">
        <w:rPr>
          <w:rFonts w:ascii="Calibri" w:hAnsi="Calibri" w:cs="Calibri"/>
          <w:sz w:val="22"/>
          <w:szCs w:val="22"/>
        </w:rPr>
        <w:t xml:space="preserve"> </w:t>
      </w:r>
      <w:r w:rsidR="002E6A72" w:rsidRPr="00CE3CCA">
        <w:rPr>
          <w:rFonts w:ascii="Calibri" w:hAnsi="Calibri" w:cs="Calibri"/>
          <w:sz w:val="22"/>
          <w:szCs w:val="22"/>
        </w:rPr>
        <w:fldChar w:fldCharType="begin"/>
      </w:r>
      <w:r w:rsidR="002E6A72" w:rsidRPr="00CE3CCA">
        <w:rPr>
          <w:rFonts w:ascii="Calibri" w:hAnsi="Calibri" w:cs="Calibri"/>
          <w:sz w:val="22"/>
          <w:szCs w:val="22"/>
        </w:rPr>
        <w:instrText xml:space="preserve"> ADDIN EN.CITE &lt;EndNote&gt;&lt;Cite&gt;&lt;Author&gt;Greater London Authority&lt;/Author&gt;&lt;Year&gt;2018&lt;/Year&gt;&lt;RecNum&gt;15&lt;/RecNum&gt;&lt;DisplayText&gt;(Greater London Authority, 2018)&lt;/DisplayText&gt;&lt;record&gt;&lt;rec-number&gt;15&lt;/rec-number&gt;&lt;foreign-keys&gt;&lt;key app="EN" db-id="s9vsxe023afd99ezx5qpv5vrrspsex2xrs00" timestamp="1613647423"&gt;15&lt;/key&gt;&lt;/foreign-keys&gt;&lt;ref-type name="Report"&gt;27&lt;/ref-type&gt;&lt;contributors&gt;&lt;authors&gt;&lt;author&gt;Greater London Authority,&lt;/author&gt;&lt;/authors&gt;&lt;tertiary-authors&gt;&lt;author&gt;Greater London Authority&lt;/author&gt;&lt;/tertiary-authors&gt;&lt;/contributors&gt;&lt;titles&gt;&lt;title&gt;The London Food Strategy: Healthy and sustainable food for London&lt;/title&gt;&lt;/titles&gt;&lt;dates&gt;&lt;year&gt;2018&lt;/year&gt;&lt;pub-dates&gt;&lt;date&gt;December 2018&lt;/date&gt;&lt;/pub-dates&gt;&lt;/dates&gt;&lt;pub-location&gt;London, UK&lt;/pub-location&gt;&lt;publisher&gt;Greater London Authority&lt;/publisher&gt;&lt;urls&gt;&lt;related-urls&gt;&lt;url&gt;https://www.london.gov.uk/sites/default/files/final_london_food_strategy.pdf&lt;/url&gt;&lt;/related-urls&gt;&lt;/urls&gt;&lt;access-date&gt;18 February 2021&lt;/access-date&gt;&lt;/record&gt;&lt;/Cite&gt;&lt;/EndNote&gt;</w:instrText>
      </w:r>
      <w:r w:rsidR="002E6A72" w:rsidRPr="00CE3CCA">
        <w:rPr>
          <w:rFonts w:ascii="Calibri" w:hAnsi="Calibri" w:cs="Calibri"/>
          <w:sz w:val="22"/>
          <w:szCs w:val="22"/>
        </w:rPr>
        <w:fldChar w:fldCharType="separate"/>
      </w:r>
      <w:r w:rsidR="002E6A72" w:rsidRPr="00CE3CCA">
        <w:rPr>
          <w:rFonts w:ascii="Calibri" w:hAnsi="Calibri" w:cs="Calibri"/>
          <w:noProof/>
          <w:sz w:val="22"/>
          <w:szCs w:val="22"/>
        </w:rPr>
        <w:t>(Greater London Authority, 2018)</w:t>
      </w:r>
      <w:r w:rsidR="002E6A72" w:rsidRPr="00CE3CCA">
        <w:rPr>
          <w:rFonts w:ascii="Calibri" w:hAnsi="Calibri" w:cs="Calibri"/>
          <w:sz w:val="22"/>
          <w:szCs w:val="22"/>
        </w:rPr>
        <w:fldChar w:fldCharType="end"/>
      </w:r>
      <w:r w:rsidR="00BD338E" w:rsidRPr="00CE3CCA">
        <w:rPr>
          <w:rFonts w:ascii="Calibri" w:hAnsi="Calibri" w:cs="Calibri"/>
          <w:sz w:val="22"/>
          <w:szCs w:val="22"/>
        </w:rPr>
        <w:t>,</w:t>
      </w:r>
      <w:r w:rsidR="00185EB6" w:rsidRPr="00CE3CCA">
        <w:rPr>
          <w:rFonts w:ascii="Calibri" w:hAnsi="Calibri" w:cs="Calibri"/>
          <w:sz w:val="22"/>
          <w:szCs w:val="22"/>
        </w:rPr>
        <w:t xml:space="preserve"> a product of</w:t>
      </w:r>
      <w:r w:rsidR="00BD338E" w:rsidRPr="00CE3CCA">
        <w:rPr>
          <w:rFonts w:ascii="Calibri" w:hAnsi="Calibri" w:cs="Calibri"/>
          <w:sz w:val="22"/>
          <w:szCs w:val="22"/>
        </w:rPr>
        <w:t xml:space="preserve"> </w:t>
      </w:r>
      <w:r w:rsidR="00185EB6" w:rsidRPr="00CE3CCA">
        <w:rPr>
          <w:rFonts w:ascii="Calibri" w:hAnsi="Calibri" w:cs="Calibri"/>
          <w:sz w:val="22"/>
          <w:szCs w:val="22"/>
        </w:rPr>
        <w:t xml:space="preserve">the Greater London Authority (GLA), the government body responsible for the administration of Greater London and whose remit includes transport policy </w:t>
      </w:r>
      <w:r w:rsidR="00AD735A" w:rsidRPr="00CE3CCA">
        <w:rPr>
          <w:rFonts w:ascii="Calibri" w:hAnsi="Calibri" w:cs="Calibri"/>
          <w:sz w:val="22"/>
          <w:szCs w:val="22"/>
        </w:rPr>
        <w:t>for</w:t>
      </w:r>
      <w:r w:rsidR="00185EB6" w:rsidRPr="00CE3CCA">
        <w:rPr>
          <w:rFonts w:ascii="Calibri" w:hAnsi="Calibri" w:cs="Calibri"/>
          <w:sz w:val="22"/>
          <w:szCs w:val="22"/>
        </w:rPr>
        <w:t xml:space="preserve"> the region</w:t>
      </w:r>
      <w:r w:rsidR="006B7A4A" w:rsidRPr="00CE3CCA">
        <w:rPr>
          <w:rFonts w:ascii="Calibri" w:hAnsi="Calibri" w:cs="Calibri"/>
          <w:sz w:val="22"/>
          <w:szCs w:val="22"/>
        </w:rPr>
        <w:fldChar w:fldCharType="begin"/>
      </w:r>
      <w:r w:rsidR="00133859" w:rsidRPr="00CE3CCA">
        <w:rPr>
          <w:rFonts w:ascii="Calibri" w:hAnsi="Calibri" w:cs="Calibri"/>
          <w:sz w:val="22"/>
          <w:szCs w:val="22"/>
        </w:rPr>
        <w:instrText xml:space="preserve"> ADDIN EN.CITE &lt;EndNote&gt;&lt;Cite ExcludeAuth="1" ExcludeYear="1"&gt;&lt;Author&gt;FareShare&lt;/Author&gt;&lt;Year&gt;2013&lt;/Year&gt;&lt;RecNum&gt;38&lt;/RecNum&gt;&lt;record&gt;&lt;rec-number&gt;38&lt;/rec-number&gt;&lt;foreign-keys&gt;&lt;key app="EN" db-id="wz0s5vxeow0299ew9xqvdsw7t0xf9w02z5wt" timestamp="0"&gt;38&lt;/key&gt;&lt;/foreign-keys&gt;&lt;ref-type name="Report"&gt;27&lt;/ref-type&gt;&lt;contributors&gt;&lt;authors&gt;&lt;author&gt;FareShare&lt;/author&gt;&lt;/authors&gt;&lt;/contributors&gt;&lt;titles&gt;&lt;title&gt;Stepping up to the plate&lt;/title&gt;&lt;secondary-title&gt;FareShare: fighting hunger, tackling food waste&lt;/secondary-title&gt;&lt;/titles&gt;&lt;dates&gt;&lt;year&gt;2013&lt;/year&gt;&lt;/dates&gt;&lt;pub-location&gt;London&lt;/pub-location&gt;&lt;publisher&gt;Sodexo&lt;/publisher&gt;&lt;urls&gt;&lt;related-urls&gt;&lt;url&gt;http://www.fareshare.org.uk/wordpress/wp-content/uploads/2013/07/Fareshare-final-brochure.pdf&lt;/url&gt;&lt;/related-urls&gt;&lt;/urls&gt;&lt;/record&gt;&lt;/Cite&gt;&lt;/EndNote&gt;</w:instrText>
      </w:r>
      <w:r w:rsidR="006B7A4A" w:rsidRPr="00CE3CCA">
        <w:rPr>
          <w:rFonts w:ascii="Calibri" w:hAnsi="Calibri" w:cs="Calibri"/>
          <w:sz w:val="22"/>
          <w:szCs w:val="22"/>
        </w:rPr>
        <w:fldChar w:fldCharType="end"/>
      </w:r>
      <w:r w:rsidR="00185EB6" w:rsidRPr="00CE3CCA">
        <w:rPr>
          <w:rFonts w:ascii="Calibri" w:hAnsi="Calibri" w:cs="Calibri"/>
          <w:sz w:val="22"/>
          <w:szCs w:val="22"/>
        </w:rPr>
        <w:t xml:space="preserve">. The overall strategy </w:t>
      </w:r>
      <w:r w:rsidR="00754C22" w:rsidRPr="00CE3CCA">
        <w:rPr>
          <w:rFonts w:ascii="Calibri" w:hAnsi="Calibri" w:cs="Calibri"/>
          <w:sz w:val="22"/>
          <w:szCs w:val="22"/>
        </w:rPr>
        <w:t>aimed</w:t>
      </w:r>
      <w:r w:rsidR="00BD338E" w:rsidRPr="00CE3CCA">
        <w:rPr>
          <w:rFonts w:ascii="Calibri" w:hAnsi="Calibri" w:cs="Calibri"/>
          <w:sz w:val="22"/>
          <w:szCs w:val="22"/>
        </w:rPr>
        <w:t xml:space="preserve"> to improve health and reduce inequalities in London</w:t>
      </w:r>
      <w:r w:rsidR="00571EBB" w:rsidRPr="00CE3CCA">
        <w:rPr>
          <w:rFonts w:ascii="Calibri" w:hAnsi="Calibri" w:cs="Calibri"/>
          <w:sz w:val="22"/>
          <w:szCs w:val="22"/>
        </w:rPr>
        <w:t xml:space="preserve"> </w:t>
      </w:r>
      <w:r w:rsidR="00970F1D" w:rsidRPr="00CE3CCA">
        <w:rPr>
          <w:rFonts w:ascii="Calibri" w:hAnsi="Calibri" w:cs="Calibri"/>
          <w:sz w:val="22"/>
          <w:szCs w:val="22"/>
        </w:rPr>
        <w:fldChar w:fldCharType="begin"/>
      </w:r>
      <w:r w:rsidR="000F2510" w:rsidRPr="00CE3CCA">
        <w:rPr>
          <w:rFonts w:ascii="Calibri" w:hAnsi="Calibri" w:cs="Calibri"/>
          <w:sz w:val="22"/>
          <w:szCs w:val="22"/>
        </w:rPr>
        <w:instrText xml:space="preserve"> ADDIN EN.CITE &lt;EndNote&gt;&lt;Cite&gt;&lt;Author&gt;Greater London Authority&lt;/Author&gt;&lt;Year&gt;2018&lt;/Year&gt;&lt;RecNum&gt;15&lt;/RecNum&gt;&lt;DisplayText&gt;(Greater London Authority, 2018)&lt;/DisplayText&gt;&lt;record&gt;&lt;rec-number&gt;15&lt;/rec-number&gt;&lt;foreign-keys&gt;&lt;key app="EN" db-id="s9vsxe023afd99ezx5qpv5vrrspsex2xrs00" timestamp="1613647423"&gt;15&lt;/key&gt;&lt;/foreign-keys&gt;&lt;ref-type name="Report"&gt;27&lt;/ref-type&gt;&lt;contributors&gt;&lt;authors&gt;&lt;author&gt;Greater London Authority,&lt;/author&gt;&lt;/authors&gt;&lt;tertiary-authors&gt;&lt;author&gt;Greater London Authority&lt;/author&gt;&lt;/tertiary-authors&gt;&lt;/contributors&gt;&lt;titles&gt;&lt;title&gt;The London Food Strategy: Healthy and sustainable food for London&lt;/title&gt;&lt;/titles&gt;&lt;dates&gt;&lt;year&gt;2018&lt;/year&gt;&lt;pub-dates&gt;&lt;date&gt;December 2018&lt;/date&gt;&lt;/pub-dates&gt;&lt;/dates&gt;&lt;pub-location&gt;London, UK&lt;/pub-location&gt;&lt;publisher&gt;Greater London Authority&lt;/publisher&gt;&lt;urls&gt;&lt;related-urls&gt;&lt;url&gt;https://www.london.gov.uk/sites/default/files/final_london_food_strategy.pdf&lt;/url&gt;&lt;/related-urls&gt;&lt;/urls&gt;&lt;access-date&gt;18 February 2021&lt;/access-date&gt;&lt;/record&gt;&lt;/Cite&gt;&lt;/EndNote&gt;</w:instrText>
      </w:r>
      <w:r w:rsidR="00970F1D" w:rsidRPr="00CE3CCA">
        <w:rPr>
          <w:rFonts w:ascii="Calibri" w:hAnsi="Calibri" w:cs="Calibri"/>
          <w:sz w:val="22"/>
          <w:szCs w:val="22"/>
        </w:rPr>
        <w:fldChar w:fldCharType="separate"/>
      </w:r>
      <w:r w:rsidR="000F2510" w:rsidRPr="00CE3CCA">
        <w:rPr>
          <w:rFonts w:ascii="Calibri" w:hAnsi="Calibri" w:cs="Calibri"/>
          <w:noProof/>
          <w:sz w:val="22"/>
          <w:szCs w:val="22"/>
        </w:rPr>
        <w:t>(Greater London Authority, 2018)</w:t>
      </w:r>
      <w:r w:rsidR="00970F1D" w:rsidRPr="00CE3CCA">
        <w:rPr>
          <w:rFonts w:ascii="Calibri" w:hAnsi="Calibri" w:cs="Calibri"/>
          <w:sz w:val="22"/>
          <w:szCs w:val="22"/>
        </w:rPr>
        <w:fldChar w:fldCharType="end"/>
      </w:r>
      <w:r w:rsidR="00571EBB" w:rsidRPr="00CE3CCA">
        <w:rPr>
          <w:rFonts w:ascii="Calibri" w:hAnsi="Calibri" w:cs="Calibri"/>
          <w:sz w:val="22"/>
          <w:szCs w:val="22"/>
        </w:rPr>
        <w:t>.</w:t>
      </w:r>
      <w:r w:rsidR="00BD338E" w:rsidRPr="00BD338E">
        <w:rPr>
          <w:rFonts w:ascii="Calibri" w:hAnsi="Calibri" w:cs="Calibri"/>
          <w:sz w:val="22"/>
          <w:szCs w:val="22"/>
        </w:rPr>
        <w:t xml:space="preserve"> </w:t>
      </w:r>
    </w:p>
    <w:p w14:paraId="1C065703" w14:textId="77777777" w:rsidR="00AD735A" w:rsidRDefault="00AD735A" w:rsidP="00475D3F">
      <w:pPr>
        <w:spacing w:line="360" w:lineRule="auto"/>
        <w:rPr>
          <w:rFonts w:ascii="Calibri" w:hAnsi="Calibri" w:cs="Calibri"/>
          <w:sz w:val="22"/>
          <w:szCs w:val="22"/>
        </w:rPr>
      </w:pPr>
    </w:p>
    <w:p w14:paraId="55C30711" w14:textId="54B61A0B" w:rsidR="00BD338E" w:rsidRDefault="00BD338E" w:rsidP="00475D3F">
      <w:pPr>
        <w:spacing w:line="360" w:lineRule="auto"/>
        <w:rPr>
          <w:rFonts w:ascii="Calibri" w:hAnsi="Calibri" w:cs="Calibri"/>
          <w:sz w:val="22"/>
          <w:szCs w:val="22"/>
        </w:rPr>
      </w:pPr>
      <w:r w:rsidRPr="00BD338E">
        <w:rPr>
          <w:rFonts w:ascii="Calibri" w:hAnsi="Calibri" w:cs="Calibri"/>
          <w:sz w:val="22"/>
          <w:szCs w:val="22"/>
        </w:rPr>
        <w:t xml:space="preserve">While a relatively ‘simple’ intervention, the </w:t>
      </w:r>
      <w:r w:rsidR="00AD735A">
        <w:rPr>
          <w:rFonts w:ascii="Calibri" w:hAnsi="Calibri" w:cs="Calibri"/>
          <w:sz w:val="22"/>
          <w:szCs w:val="22"/>
        </w:rPr>
        <w:t xml:space="preserve">TfL </w:t>
      </w:r>
      <w:r w:rsidRPr="00BD338E">
        <w:rPr>
          <w:rFonts w:ascii="Calibri" w:hAnsi="Calibri" w:cs="Calibri"/>
          <w:sz w:val="22"/>
          <w:szCs w:val="22"/>
        </w:rPr>
        <w:t xml:space="preserve">policy </w:t>
      </w:r>
      <w:r w:rsidR="00AD735A">
        <w:rPr>
          <w:rFonts w:ascii="Calibri" w:hAnsi="Calibri" w:cs="Calibri"/>
          <w:sz w:val="22"/>
          <w:szCs w:val="22"/>
        </w:rPr>
        <w:t xml:space="preserve">restricting HFSS advertising </w:t>
      </w:r>
      <w:r w:rsidR="00A02474">
        <w:rPr>
          <w:rFonts w:ascii="Calibri" w:hAnsi="Calibri" w:cs="Calibri"/>
          <w:sz w:val="22"/>
          <w:szCs w:val="22"/>
        </w:rPr>
        <w:t>was developed and implemented</w:t>
      </w:r>
      <w:r w:rsidRPr="00BD338E">
        <w:rPr>
          <w:rFonts w:ascii="Calibri" w:hAnsi="Calibri" w:cs="Calibri"/>
          <w:sz w:val="22"/>
          <w:szCs w:val="22"/>
        </w:rPr>
        <w:t xml:space="preserve"> within a complex policy and business landscape. </w:t>
      </w:r>
      <w:r w:rsidR="00754C22">
        <w:rPr>
          <w:rFonts w:ascii="Calibri" w:hAnsi="Calibri" w:cs="Calibri"/>
          <w:sz w:val="22"/>
          <w:szCs w:val="22"/>
        </w:rPr>
        <w:t>Specifically,</w:t>
      </w:r>
      <w:r w:rsidRPr="00BD338E">
        <w:rPr>
          <w:rFonts w:ascii="Calibri" w:hAnsi="Calibri" w:cs="Calibri"/>
          <w:sz w:val="22"/>
          <w:szCs w:val="22"/>
        </w:rPr>
        <w:t xml:space="preserve"> the regulation of commercial activity</w:t>
      </w:r>
      <w:r w:rsidR="00754C22">
        <w:rPr>
          <w:rFonts w:ascii="Calibri" w:hAnsi="Calibri" w:cs="Calibri"/>
          <w:sz w:val="22"/>
          <w:szCs w:val="22"/>
        </w:rPr>
        <w:t xml:space="preserve"> was juxtaposed</w:t>
      </w:r>
      <w:r w:rsidRPr="00BD338E">
        <w:rPr>
          <w:rFonts w:ascii="Calibri" w:hAnsi="Calibri" w:cs="Calibri"/>
          <w:sz w:val="22"/>
          <w:szCs w:val="22"/>
        </w:rPr>
        <w:t xml:space="preserve"> against </w:t>
      </w:r>
      <w:r w:rsidR="00754C22">
        <w:rPr>
          <w:rFonts w:ascii="Calibri" w:hAnsi="Calibri" w:cs="Calibri"/>
          <w:sz w:val="22"/>
          <w:szCs w:val="22"/>
        </w:rPr>
        <w:t>commercial</w:t>
      </w:r>
      <w:r w:rsidR="00754C22" w:rsidRPr="00BD338E">
        <w:rPr>
          <w:rFonts w:ascii="Calibri" w:hAnsi="Calibri" w:cs="Calibri"/>
          <w:sz w:val="22"/>
          <w:szCs w:val="22"/>
        </w:rPr>
        <w:t xml:space="preserve"> </w:t>
      </w:r>
      <w:r w:rsidRPr="00BD338E">
        <w:rPr>
          <w:rFonts w:ascii="Calibri" w:hAnsi="Calibri" w:cs="Calibri"/>
          <w:sz w:val="22"/>
          <w:szCs w:val="22"/>
        </w:rPr>
        <w:t>interests</w:t>
      </w:r>
      <w:r w:rsidR="00754C22">
        <w:rPr>
          <w:rFonts w:ascii="Calibri" w:hAnsi="Calibri" w:cs="Calibri"/>
          <w:sz w:val="22"/>
          <w:szCs w:val="22"/>
        </w:rPr>
        <w:t>,</w:t>
      </w:r>
      <w:r w:rsidRPr="00BD338E">
        <w:rPr>
          <w:rFonts w:ascii="Calibri" w:hAnsi="Calibri" w:cs="Calibri"/>
          <w:sz w:val="22"/>
          <w:szCs w:val="22"/>
        </w:rPr>
        <w:t xml:space="preserve"> </w:t>
      </w:r>
      <w:r w:rsidR="00754C22">
        <w:rPr>
          <w:rFonts w:ascii="Calibri" w:hAnsi="Calibri" w:cs="Calibri"/>
          <w:sz w:val="22"/>
          <w:szCs w:val="22"/>
        </w:rPr>
        <w:t xml:space="preserve">in </w:t>
      </w:r>
      <w:r w:rsidR="00AD735A">
        <w:rPr>
          <w:rFonts w:ascii="Calibri" w:hAnsi="Calibri" w:cs="Calibri"/>
          <w:sz w:val="22"/>
          <w:szCs w:val="22"/>
        </w:rPr>
        <w:t>a</w:t>
      </w:r>
      <w:r w:rsidR="00754C22">
        <w:rPr>
          <w:rFonts w:ascii="Calibri" w:hAnsi="Calibri" w:cs="Calibri"/>
          <w:sz w:val="22"/>
          <w:szCs w:val="22"/>
        </w:rPr>
        <w:t xml:space="preserve"> context where </w:t>
      </w:r>
      <w:r w:rsidRPr="00BD338E">
        <w:rPr>
          <w:rFonts w:ascii="Calibri" w:hAnsi="Calibri" w:cs="Calibri"/>
          <w:sz w:val="22"/>
          <w:szCs w:val="22"/>
        </w:rPr>
        <w:t>commercial revenue</w:t>
      </w:r>
      <w:r w:rsidR="00754C22">
        <w:rPr>
          <w:rFonts w:ascii="Calibri" w:hAnsi="Calibri" w:cs="Calibri"/>
          <w:sz w:val="22"/>
          <w:szCs w:val="22"/>
        </w:rPr>
        <w:t>s are</w:t>
      </w:r>
      <w:r w:rsidRPr="00BD338E">
        <w:rPr>
          <w:rFonts w:ascii="Calibri" w:hAnsi="Calibri" w:cs="Calibri"/>
          <w:sz w:val="22"/>
          <w:szCs w:val="22"/>
        </w:rPr>
        <w:t xml:space="preserve"> reinvest</w:t>
      </w:r>
      <w:r w:rsidR="00754C22">
        <w:rPr>
          <w:rFonts w:ascii="Calibri" w:hAnsi="Calibri" w:cs="Calibri"/>
          <w:sz w:val="22"/>
          <w:szCs w:val="22"/>
        </w:rPr>
        <w:t>ed</w:t>
      </w:r>
      <w:r w:rsidRPr="00BD338E">
        <w:rPr>
          <w:rFonts w:ascii="Calibri" w:hAnsi="Calibri" w:cs="Calibri"/>
          <w:sz w:val="22"/>
          <w:szCs w:val="22"/>
        </w:rPr>
        <w:t xml:space="preserve"> into </w:t>
      </w:r>
      <w:r w:rsidR="001628F4">
        <w:rPr>
          <w:rFonts w:ascii="Calibri" w:hAnsi="Calibri" w:cs="Calibri"/>
          <w:sz w:val="22"/>
          <w:szCs w:val="22"/>
        </w:rPr>
        <w:t xml:space="preserve">public </w:t>
      </w:r>
      <w:r w:rsidRPr="00BD338E">
        <w:rPr>
          <w:rFonts w:ascii="Calibri" w:hAnsi="Calibri" w:cs="Calibri"/>
          <w:sz w:val="22"/>
          <w:szCs w:val="22"/>
        </w:rPr>
        <w:t xml:space="preserve">transport. Its implementation requires engagement with a range of actors including </w:t>
      </w:r>
      <w:r w:rsidR="007A1C1D">
        <w:rPr>
          <w:rFonts w:ascii="Calibri" w:hAnsi="Calibri" w:cs="Calibri"/>
          <w:sz w:val="22"/>
          <w:szCs w:val="22"/>
        </w:rPr>
        <w:t>government- and non-government actors</w:t>
      </w:r>
      <w:r w:rsidR="007A1C1D" w:rsidRPr="00BD338E">
        <w:rPr>
          <w:rFonts w:ascii="Calibri" w:hAnsi="Calibri" w:cs="Calibri"/>
          <w:sz w:val="22"/>
          <w:szCs w:val="22"/>
        </w:rPr>
        <w:t xml:space="preserve"> </w:t>
      </w:r>
      <w:r w:rsidR="007A1C1D">
        <w:rPr>
          <w:rFonts w:ascii="Calibri" w:hAnsi="Calibri" w:cs="Calibri"/>
          <w:sz w:val="22"/>
          <w:szCs w:val="22"/>
        </w:rPr>
        <w:t xml:space="preserve">involved in </w:t>
      </w:r>
      <w:r w:rsidRPr="00BD338E">
        <w:rPr>
          <w:rFonts w:ascii="Calibri" w:hAnsi="Calibri" w:cs="Calibri"/>
          <w:sz w:val="22"/>
          <w:szCs w:val="22"/>
        </w:rPr>
        <w:t>de</w:t>
      </w:r>
      <w:r w:rsidR="007A1C1D">
        <w:rPr>
          <w:rFonts w:ascii="Calibri" w:hAnsi="Calibri" w:cs="Calibri"/>
          <w:sz w:val="22"/>
          <w:szCs w:val="22"/>
        </w:rPr>
        <w:t>veloping</w:t>
      </w:r>
      <w:r w:rsidRPr="00BD338E">
        <w:rPr>
          <w:rFonts w:ascii="Calibri" w:hAnsi="Calibri" w:cs="Calibri"/>
          <w:sz w:val="22"/>
          <w:szCs w:val="22"/>
        </w:rPr>
        <w:t xml:space="preserve"> and implement</w:t>
      </w:r>
      <w:r w:rsidR="007A1C1D">
        <w:rPr>
          <w:rFonts w:ascii="Calibri" w:hAnsi="Calibri" w:cs="Calibri"/>
          <w:sz w:val="22"/>
          <w:szCs w:val="22"/>
        </w:rPr>
        <w:t>ing</w:t>
      </w:r>
      <w:r w:rsidRPr="00BD338E">
        <w:rPr>
          <w:rFonts w:ascii="Calibri" w:hAnsi="Calibri" w:cs="Calibri"/>
          <w:sz w:val="22"/>
          <w:szCs w:val="22"/>
        </w:rPr>
        <w:t xml:space="preserve"> the policy</w:t>
      </w:r>
      <w:r w:rsidR="0048421A">
        <w:rPr>
          <w:rFonts w:ascii="Calibri" w:hAnsi="Calibri" w:cs="Calibri"/>
          <w:sz w:val="22"/>
          <w:szCs w:val="22"/>
        </w:rPr>
        <w:t>,</w:t>
      </w:r>
      <w:r w:rsidRPr="00BD338E">
        <w:rPr>
          <w:rFonts w:ascii="Calibri" w:hAnsi="Calibri" w:cs="Calibri"/>
          <w:sz w:val="22"/>
          <w:szCs w:val="22"/>
        </w:rPr>
        <w:t xml:space="preserve"> commercial stakeholders and the general public, all of whom operate within </w:t>
      </w:r>
      <w:r w:rsidR="00A02474">
        <w:rPr>
          <w:rFonts w:ascii="Calibri" w:hAnsi="Calibri" w:cs="Calibri"/>
          <w:sz w:val="22"/>
          <w:szCs w:val="22"/>
        </w:rPr>
        <w:t xml:space="preserve">their own </w:t>
      </w:r>
      <w:r w:rsidRPr="00BD338E">
        <w:rPr>
          <w:rFonts w:ascii="Calibri" w:hAnsi="Calibri" w:cs="Calibri"/>
          <w:sz w:val="22"/>
          <w:szCs w:val="22"/>
        </w:rPr>
        <w:t>existing policy and market contexts.</w:t>
      </w:r>
    </w:p>
    <w:p w14:paraId="6911F9A0" w14:textId="77777777" w:rsidR="00D45700" w:rsidRDefault="00D45700" w:rsidP="00475D3F">
      <w:pPr>
        <w:spacing w:line="360" w:lineRule="auto"/>
        <w:rPr>
          <w:rFonts w:ascii="Calibri" w:hAnsi="Calibri" w:cs="Calibri"/>
          <w:sz w:val="22"/>
          <w:szCs w:val="22"/>
        </w:rPr>
      </w:pPr>
    </w:p>
    <w:p w14:paraId="52507580" w14:textId="77777777" w:rsidR="0023794C" w:rsidRDefault="0023794C" w:rsidP="00BD338E">
      <w:pPr>
        <w:rPr>
          <w:rFonts w:ascii="Calibri" w:hAnsi="Calibri" w:cs="Calibri"/>
          <w:sz w:val="22"/>
          <w:szCs w:val="22"/>
        </w:rPr>
      </w:pPr>
    </w:p>
    <w:tbl>
      <w:tblPr>
        <w:tblStyle w:val="TableGrid"/>
        <w:tblW w:w="0" w:type="auto"/>
        <w:tblLook w:val="04A0" w:firstRow="1" w:lastRow="0" w:firstColumn="1" w:lastColumn="0" w:noHBand="0" w:noVBand="1"/>
      </w:tblPr>
      <w:tblGrid>
        <w:gridCol w:w="9350"/>
      </w:tblGrid>
      <w:tr w:rsidR="0023794C" w:rsidRPr="00CE3CCA" w14:paraId="7911C1D7" w14:textId="77777777" w:rsidTr="0023794C">
        <w:tc>
          <w:tcPr>
            <w:tcW w:w="9350" w:type="dxa"/>
          </w:tcPr>
          <w:p w14:paraId="5EEE3A90" w14:textId="0FB857CC" w:rsidR="0023794C" w:rsidRPr="00CE3CCA" w:rsidRDefault="0023794C" w:rsidP="00BD338E">
            <w:pPr>
              <w:rPr>
                <w:rFonts w:ascii="Calibri" w:hAnsi="Calibri" w:cs="Calibri"/>
                <w:sz w:val="22"/>
                <w:szCs w:val="22"/>
                <w:lang w:val="en-GB"/>
              </w:rPr>
            </w:pPr>
            <w:r w:rsidRPr="00CE3CCA">
              <w:rPr>
                <w:rFonts w:ascii="Calibri" w:hAnsi="Calibri" w:cs="Calibri"/>
                <w:b/>
                <w:bCs/>
                <w:sz w:val="22"/>
                <w:szCs w:val="22"/>
                <w:lang w:val="en-GB"/>
              </w:rPr>
              <w:t xml:space="preserve">Box 1. Policy restricting the advertisement of </w:t>
            </w:r>
            <w:r w:rsidR="00760F31" w:rsidRPr="00CE3CCA">
              <w:rPr>
                <w:rFonts w:asciiTheme="minorHAnsi" w:hAnsiTheme="minorHAnsi" w:cstheme="minorHAnsi"/>
                <w:b/>
                <w:bCs/>
                <w:sz w:val="22"/>
                <w:szCs w:val="22"/>
              </w:rPr>
              <w:t>high fat, salt and sugar</w:t>
            </w:r>
            <w:r w:rsidR="00760F31" w:rsidRPr="00CE3CCA">
              <w:rPr>
                <w:rFonts w:asciiTheme="minorHAnsi" w:hAnsiTheme="minorHAnsi" w:cstheme="minorHAnsi"/>
                <w:sz w:val="22"/>
                <w:szCs w:val="22"/>
              </w:rPr>
              <w:t xml:space="preserve"> </w:t>
            </w:r>
            <w:r w:rsidRPr="00CE3CCA">
              <w:rPr>
                <w:rFonts w:ascii="Calibri" w:hAnsi="Calibri" w:cs="Calibri"/>
                <w:b/>
                <w:bCs/>
                <w:sz w:val="22"/>
                <w:szCs w:val="22"/>
                <w:lang w:val="en-GB"/>
              </w:rPr>
              <w:t>foods and beverages on the Transport for London estate</w:t>
            </w:r>
          </w:p>
          <w:p w14:paraId="0690B8E4" w14:textId="07AC7FB2" w:rsidR="00023B4E" w:rsidRPr="00CE3CCA" w:rsidRDefault="00760F31" w:rsidP="00BD338E">
            <w:pPr>
              <w:rPr>
                <w:rFonts w:ascii="Calibri" w:hAnsi="Calibri" w:cs="Calibri"/>
                <w:sz w:val="22"/>
                <w:szCs w:val="22"/>
                <w:lang w:val="en-GB"/>
              </w:rPr>
            </w:pPr>
            <w:r w:rsidRPr="00CE3CCA">
              <w:rPr>
                <w:rFonts w:ascii="Calibri" w:hAnsi="Calibri" w:cs="Calibri"/>
                <w:sz w:val="22"/>
                <w:szCs w:val="22"/>
                <w:lang w:val="en-GB"/>
              </w:rPr>
              <w:lastRenderedPageBreak/>
              <w:t xml:space="preserve">Following the launch of a public consultation on a policy restricting </w:t>
            </w:r>
            <w:r w:rsidRPr="00CE3CCA">
              <w:rPr>
                <w:rFonts w:asciiTheme="minorHAnsi" w:hAnsiTheme="minorHAnsi" w:cstheme="minorHAnsi"/>
                <w:sz w:val="22"/>
                <w:szCs w:val="22"/>
              </w:rPr>
              <w:t xml:space="preserve">the </w:t>
            </w:r>
            <w:r w:rsidRPr="00CE3CCA">
              <w:rPr>
                <w:rFonts w:ascii="Calibri" w:hAnsi="Calibri" w:cs="Calibri"/>
                <w:sz w:val="22"/>
                <w:szCs w:val="22"/>
                <w:lang w:val="en-GB"/>
              </w:rPr>
              <w:t>advertisement of high fat, salt and sugar (HFSS) foods</w:t>
            </w:r>
            <w:r w:rsidR="00837065" w:rsidRPr="00CE3CCA">
              <w:rPr>
                <w:rFonts w:ascii="Calibri" w:hAnsi="Calibri" w:cs="Calibri"/>
                <w:sz w:val="22"/>
                <w:szCs w:val="22"/>
                <w:lang w:val="en-GB"/>
              </w:rPr>
              <w:t xml:space="preserve"> and beverages on the Transport for London (TfL) estate </w:t>
            </w:r>
            <w:r w:rsidRPr="00CE3CCA">
              <w:rPr>
                <w:rFonts w:ascii="Calibri" w:hAnsi="Calibri" w:cs="Calibri"/>
                <w:sz w:val="22"/>
                <w:szCs w:val="22"/>
                <w:lang w:val="en-GB"/>
              </w:rPr>
              <w:t>in May 2018, and announcement of the policy in November 2018, the new policy was i</w:t>
            </w:r>
            <w:r w:rsidR="0023794C" w:rsidRPr="00CE3CCA">
              <w:rPr>
                <w:rFonts w:ascii="Calibri" w:hAnsi="Calibri" w:cs="Calibri"/>
                <w:sz w:val="22"/>
                <w:szCs w:val="22"/>
                <w:lang w:val="en-GB"/>
              </w:rPr>
              <w:t>mplemented in February 2019</w:t>
            </w:r>
            <w:r w:rsidR="006B7A4A" w:rsidRPr="00CE3CCA">
              <w:rPr>
                <w:rFonts w:ascii="Calibri" w:hAnsi="Calibri" w:cs="Calibri"/>
                <w:sz w:val="22"/>
                <w:szCs w:val="22"/>
                <w:lang w:val="en-GB"/>
              </w:rPr>
              <w:fldChar w:fldCharType="begin"/>
            </w:r>
            <w:r w:rsidR="00133859" w:rsidRPr="00CE3CCA">
              <w:rPr>
                <w:rFonts w:ascii="Calibri" w:hAnsi="Calibri" w:cs="Calibri"/>
                <w:sz w:val="22"/>
                <w:szCs w:val="22"/>
                <w:lang w:val="en-GB"/>
              </w:rPr>
              <w:instrText xml:space="preserve"> ADDIN EN.CITE &lt;EndNote&gt;&lt;Cite ExcludeAuth="1" ExcludeYear="1"&gt;&lt;Author&gt;Hawkes&lt;/Author&gt;&lt;Year&gt;2000&lt;/Year&gt;&lt;RecNum&gt;36&lt;/RecNum&gt;&lt;record&gt;&lt;rec-number&gt;36&lt;/rec-number&gt;&lt;foreign-keys&gt;&lt;key app="EN" db-id="wz0s5vxeow0299ew9xqvdsw7t0xf9w02z5wt" timestamp="0"&gt;36&lt;/key&gt;&lt;/foreign-keys&gt;&lt;ref-type name="Book"&gt;6&lt;/ref-type&gt;&lt;contributors&gt;&lt;authors&gt;&lt;author&gt;Hawkes, C.&lt;/author&gt;&lt;author&gt;Webster, J.&lt;/author&gt;&lt;/authors&gt;&lt;/contributors&gt;&lt;titles&gt;&lt;title&gt;Too much and too little?  Debates on surplus food redistribution&lt;/title&gt;&lt;/titles&gt;&lt;dates&gt;&lt;year&gt;2000&lt;/year&gt;&lt;/dates&gt;&lt;pub-location&gt;London&lt;/pub-location&gt;&lt;publisher&gt;Sustain&lt;/publisher&gt;&lt;urls&gt;&lt;/urls&gt;&lt;/record&gt;&lt;/Cite&gt;&lt;/EndNote&gt;</w:instrText>
            </w:r>
            <w:r w:rsidR="006B7A4A" w:rsidRPr="00CE3CCA">
              <w:rPr>
                <w:rFonts w:ascii="Calibri" w:hAnsi="Calibri" w:cs="Calibri"/>
                <w:sz w:val="22"/>
                <w:szCs w:val="22"/>
                <w:lang w:val="en-GB"/>
              </w:rPr>
              <w:fldChar w:fldCharType="end"/>
            </w:r>
            <w:r w:rsidRPr="00CE3CCA">
              <w:rPr>
                <w:rFonts w:ascii="Calibri" w:hAnsi="Calibri" w:cs="Calibri"/>
                <w:sz w:val="22"/>
                <w:szCs w:val="22"/>
                <w:lang w:val="en-GB"/>
              </w:rPr>
              <w:t xml:space="preserve"> and further refined with updated guidance in June 2019.</w:t>
            </w:r>
            <w:r w:rsidR="00F55AD7" w:rsidRPr="00CE3CCA">
              <w:rPr>
                <w:rFonts w:ascii="Calibri" w:hAnsi="Calibri" w:cs="Calibri"/>
                <w:sz w:val="22"/>
                <w:szCs w:val="22"/>
                <w:lang w:val="en-GB"/>
              </w:rPr>
              <w:t xml:space="preserve"> Updates included new rules on advertising single portions only, restricting the use of children in adverts and allowing the advertising of products incidental to the main advert.</w:t>
            </w:r>
            <w:r w:rsidRPr="00CE3CCA">
              <w:rPr>
                <w:rFonts w:ascii="Calibri" w:hAnsi="Calibri" w:cs="Calibri"/>
                <w:sz w:val="22"/>
                <w:szCs w:val="22"/>
                <w:lang w:val="en-GB"/>
              </w:rPr>
              <w:t xml:space="preserve"> A</w:t>
            </w:r>
            <w:r w:rsidR="00FA63E7" w:rsidRPr="00CE3CCA">
              <w:rPr>
                <w:rFonts w:ascii="Calibri" w:hAnsi="Calibri" w:cs="Calibri"/>
                <w:sz w:val="22"/>
                <w:szCs w:val="22"/>
                <w:lang w:val="en-GB"/>
              </w:rPr>
              <w:t>s part of a wider strategy</w:t>
            </w:r>
            <w:r w:rsidR="00401350" w:rsidRPr="00CE3CCA">
              <w:rPr>
                <w:rFonts w:ascii="Calibri" w:hAnsi="Calibri" w:cs="Calibri"/>
                <w:sz w:val="22"/>
                <w:szCs w:val="22"/>
                <w:lang w:val="en-GB"/>
              </w:rPr>
              <w:t xml:space="preserve"> </w:t>
            </w:r>
            <w:r w:rsidR="00401350" w:rsidRPr="00CE3CCA">
              <w:rPr>
                <w:rFonts w:ascii="Calibri" w:hAnsi="Calibri" w:cs="Calibri"/>
                <w:sz w:val="22"/>
                <w:szCs w:val="22"/>
                <w:lang w:val="en-GB"/>
              </w:rPr>
              <w:fldChar w:fldCharType="begin"/>
            </w:r>
            <w:r w:rsidR="00401350" w:rsidRPr="00CE3CCA">
              <w:rPr>
                <w:rFonts w:ascii="Calibri" w:hAnsi="Calibri" w:cs="Calibri"/>
                <w:sz w:val="22"/>
                <w:szCs w:val="22"/>
                <w:lang w:val="en-GB"/>
              </w:rPr>
              <w:instrText xml:space="preserve"> ADDIN EN.CITE &lt;EndNote&gt;&lt;Cite&gt;&lt;Author&gt;Greater London Authority&lt;/Author&gt;&lt;Year&gt;2018&lt;/Year&gt;&lt;RecNum&gt;15&lt;/RecNum&gt;&lt;DisplayText&gt;(Greater London Authority, 2018)&lt;/DisplayText&gt;&lt;record&gt;&lt;rec-number&gt;15&lt;/rec-number&gt;&lt;foreign-keys&gt;&lt;key app="EN" db-id="s9vsxe023afd99ezx5qpv5vrrspsex2xrs00" timestamp="1613647423"&gt;15&lt;/key&gt;&lt;/foreign-keys&gt;&lt;ref-type name="Report"&gt;27&lt;/ref-type&gt;&lt;contributors&gt;&lt;authors&gt;&lt;author&gt;Greater London Authority,&lt;/author&gt;&lt;/authors&gt;&lt;tertiary-authors&gt;&lt;author&gt;Greater London Authority&lt;/author&gt;&lt;/tertiary-authors&gt;&lt;/contributors&gt;&lt;titles&gt;&lt;title&gt;The London Food Strategy: Healthy and sustainable food for London&lt;/title&gt;&lt;/titles&gt;&lt;dates&gt;&lt;year&gt;2018&lt;/year&gt;&lt;pub-dates&gt;&lt;date&gt;December 2018&lt;/date&gt;&lt;/pub-dates&gt;&lt;/dates&gt;&lt;pub-location&gt;London, UK&lt;/pub-location&gt;&lt;publisher&gt;Greater London Authority&lt;/publisher&gt;&lt;urls&gt;&lt;related-urls&gt;&lt;url&gt;https://www.london.gov.uk/sites/default/files/final_london_food_strategy.pdf&lt;/url&gt;&lt;/related-urls&gt;&lt;/urls&gt;&lt;access-date&gt;18 February 2021&lt;/access-date&gt;&lt;/record&gt;&lt;/Cite&gt;&lt;/EndNote&gt;</w:instrText>
            </w:r>
            <w:r w:rsidR="00401350" w:rsidRPr="00CE3CCA">
              <w:rPr>
                <w:rFonts w:ascii="Calibri" w:hAnsi="Calibri" w:cs="Calibri"/>
                <w:sz w:val="22"/>
                <w:szCs w:val="22"/>
                <w:lang w:val="en-GB"/>
              </w:rPr>
              <w:fldChar w:fldCharType="separate"/>
            </w:r>
            <w:r w:rsidR="00401350" w:rsidRPr="00CE3CCA">
              <w:rPr>
                <w:rFonts w:ascii="Calibri" w:hAnsi="Calibri" w:cs="Calibri"/>
                <w:noProof/>
                <w:sz w:val="22"/>
                <w:szCs w:val="22"/>
                <w:lang w:val="en-GB"/>
              </w:rPr>
              <w:t>(Greater London Authority, 2018)</w:t>
            </w:r>
            <w:r w:rsidR="00401350" w:rsidRPr="00CE3CCA">
              <w:rPr>
                <w:rFonts w:ascii="Calibri" w:hAnsi="Calibri" w:cs="Calibri"/>
                <w:sz w:val="22"/>
                <w:szCs w:val="22"/>
                <w:lang w:val="en-GB"/>
              </w:rPr>
              <w:fldChar w:fldCharType="end"/>
            </w:r>
            <w:r w:rsidRPr="00CE3CCA">
              <w:rPr>
                <w:rFonts w:ascii="Calibri" w:hAnsi="Calibri" w:cs="Calibri"/>
                <w:sz w:val="22"/>
                <w:szCs w:val="22"/>
                <w:lang w:val="en-GB"/>
              </w:rPr>
              <w:t>, the policy aims to contribute to reducing childhood obesity</w:t>
            </w:r>
            <w:r w:rsidR="0023794C" w:rsidRPr="00CE3CCA">
              <w:rPr>
                <w:rFonts w:ascii="Calibri" w:hAnsi="Calibri" w:cs="Calibri"/>
                <w:sz w:val="22"/>
                <w:szCs w:val="22"/>
                <w:lang w:val="en-GB"/>
              </w:rPr>
              <w:t>.</w:t>
            </w:r>
            <w:r w:rsidR="00FA63E7" w:rsidRPr="00CE3CCA">
              <w:rPr>
                <w:rFonts w:ascii="Calibri" w:hAnsi="Calibri" w:cs="Calibri"/>
                <w:sz w:val="22"/>
                <w:szCs w:val="22"/>
                <w:lang w:val="en-GB"/>
              </w:rPr>
              <w:t xml:space="preserve"> Advertisements portraying</w:t>
            </w:r>
            <w:r w:rsidR="0023794C" w:rsidRPr="00CE3CCA">
              <w:rPr>
                <w:rFonts w:ascii="Calibri" w:hAnsi="Calibri" w:cs="Calibri"/>
                <w:sz w:val="22"/>
                <w:szCs w:val="22"/>
                <w:lang w:val="en-GB"/>
              </w:rPr>
              <w:t xml:space="preserve"> </w:t>
            </w:r>
            <w:r w:rsidR="00FA63E7" w:rsidRPr="00CE3CCA">
              <w:rPr>
                <w:rFonts w:ascii="Calibri" w:hAnsi="Calibri" w:cs="Calibri"/>
                <w:sz w:val="22"/>
                <w:szCs w:val="22"/>
                <w:lang w:val="en-GB"/>
              </w:rPr>
              <w:t>s</w:t>
            </w:r>
            <w:r w:rsidR="00BB0669" w:rsidRPr="00CE3CCA">
              <w:rPr>
                <w:rFonts w:ascii="Calibri" w:hAnsi="Calibri" w:cs="Calibri"/>
                <w:sz w:val="22"/>
                <w:szCs w:val="22"/>
                <w:lang w:val="en-GB"/>
              </w:rPr>
              <w:t>pecific f</w:t>
            </w:r>
            <w:r w:rsidR="0023794C" w:rsidRPr="00CE3CCA">
              <w:rPr>
                <w:rFonts w:ascii="Calibri" w:hAnsi="Calibri" w:cs="Calibri"/>
                <w:sz w:val="22"/>
                <w:szCs w:val="22"/>
                <w:lang w:val="en-GB"/>
              </w:rPr>
              <w:t xml:space="preserve">ood and beverage products submitted for </w:t>
            </w:r>
            <w:r w:rsidR="00FA63E7" w:rsidRPr="00CE3CCA">
              <w:rPr>
                <w:rFonts w:ascii="Calibri" w:hAnsi="Calibri" w:cs="Calibri"/>
                <w:sz w:val="22"/>
                <w:szCs w:val="22"/>
                <w:lang w:val="en-GB"/>
              </w:rPr>
              <w:t xml:space="preserve">posting </w:t>
            </w:r>
            <w:r w:rsidR="0023794C" w:rsidRPr="00CE3CCA">
              <w:rPr>
                <w:rFonts w:ascii="Calibri" w:hAnsi="Calibri" w:cs="Calibri"/>
                <w:sz w:val="22"/>
                <w:szCs w:val="22"/>
                <w:lang w:val="en-GB"/>
              </w:rPr>
              <w:t>on the</w:t>
            </w:r>
            <w:r w:rsidR="00837065" w:rsidRPr="00CE3CCA">
              <w:rPr>
                <w:rFonts w:ascii="Calibri" w:hAnsi="Calibri" w:cs="Calibri"/>
                <w:sz w:val="22"/>
                <w:szCs w:val="22"/>
                <w:lang w:val="en-GB"/>
              </w:rPr>
              <w:t xml:space="preserve"> </w:t>
            </w:r>
            <w:r w:rsidR="0023794C" w:rsidRPr="00CE3CCA">
              <w:rPr>
                <w:rFonts w:ascii="Calibri" w:hAnsi="Calibri" w:cs="Calibri"/>
                <w:sz w:val="22"/>
                <w:szCs w:val="22"/>
                <w:lang w:val="en-GB"/>
              </w:rPr>
              <w:t xml:space="preserve">TfL estate are assessed against the Nutrient </w:t>
            </w:r>
            <w:r w:rsidR="00973A77" w:rsidRPr="00CE3CCA">
              <w:rPr>
                <w:rFonts w:ascii="Calibri" w:hAnsi="Calibri" w:cs="Calibri"/>
                <w:sz w:val="22"/>
                <w:szCs w:val="22"/>
                <w:lang w:val="en-GB"/>
              </w:rPr>
              <w:t xml:space="preserve">Profiling </w:t>
            </w:r>
            <w:r w:rsidR="0023794C" w:rsidRPr="00CE3CCA">
              <w:rPr>
                <w:rFonts w:ascii="Calibri" w:hAnsi="Calibri" w:cs="Calibri"/>
                <w:sz w:val="22"/>
                <w:szCs w:val="22"/>
                <w:lang w:val="en-GB"/>
              </w:rPr>
              <w:t>Mode</w:t>
            </w:r>
            <w:r w:rsidRPr="00CE3CCA">
              <w:rPr>
                <w:rFonts w:ascii="Calibri" w:hAnsi="Calibri" w:cs="Calibri"/>
                <w:sz w:val="22"/>
                <w:szCs w:val="22"/>
                <w:lang w:val="en-GB"/>
              </w:rPr>
              <w:t>l</w:t>
            </w:r>
            <w:r w:rsidR="006B7A4A" w:rsidRPr="00CE3CCA">
              <w:rPr>
                <w:rFonts w:ascii="Calibri" w:hAnsi="Calibri" w:cs="Calibri"/>
                <w:sz w:val="22"/>
                <w:szCs w:val="22"/>
                <w:lang w:val="en-GB"/>
              </w:rPr>
              <w:fldChar w:fldCharType="begin"/>
            </w:r>
            <w:r w:rsidR="00133859" w:rsidRPr="00CE3CCA">
              <w:rPr>
                <w:rFonts w:ascii="Calibri" w:hAnsi="Calibri" w:cs="Calibri"/>
                <w:sz w:val="22"/>
                <w:szCs w:val="22"/>
                <w:lang w:val="en-GB"/>
              </w:rPr>
              <w:instrText xml:space="preserve"> ADDIN EN.CITE &lt;EndNote&gt;&lt;Cite ExcludeAuth="1" ExcludeYear="1"&gt;&lt;Author&gt;DEFRA&lt;/Author&gt;&lt;Year&gt;2013&lt;/Year&gt;&lt;RecNum&gt;37&lt;/RecNum&gt;&lt;record&gt;&lt;rec-number&gt;37&lt;/rec-number&gt;&lt;foreign-keys&gt;&lt;key app="EN" db-id="wz0s5vxeow0299ew9xqvdsw7t0xf9w02z5wt" timestamp="0"&gt;37&lt;/key&gt;&lt;/foreign-keys&gt;&lt;ref-type name="Report"&gt;27&lt;/ref-type&gt;&lt;contributors&gt;&lt;authors&gt;&lt;author&gt;DEFRA&lt;/author&gt;&lt;/authors&gt;&lt;tertiary-authors&gt;&lt;author&gt;Crown Copyright 2013,&lt;/author&gt;&lt;/tertiary-authors&gt;&lt;/contributors&gt;&lt;titles&gt;&lt;title&gt;Food Statistics Pocketbook 2013&lt;/title&gt;&lt;secondary-title&gt;National Statistics&lt;/secondary-title&gt;&lt;/titles&gt;&lt;dates&gt;&lt;year&gt;2013&lt;/year&gt;&lt;/dates&gt;&lt;publisher&gt;Department for Environment Food and Rural Affairs&lt;/publisher&gt;&lt;urls&gt;&lt;/urls&gt;&lt;/record&gt;&lt;/Cite&gt;&lt;/EndNote&gt;</w:instrText>
            </w:r>
            <w:r w:rsidR="006B7A4A" w:rsidRPr="00CE3CCA">
              <w:rPr>
                <w:rFonts w:ascii="Calibri" w:hAnsi="Calibri" w:cs="Calibri"/>
                <w:sz w:val="22"/>
                <w:szCs w:val="22"/>
                <w:lang w:val="en-GB"/>
              </w:rPr>
              <w:fldChar w:fldCharType="end"/>
            </w:r>
            <w:r w:rsidR="0023794C" w:rsidRPr="00CE3CCA">
              <w:rPr>
                <w:rFonts w:ascii="Calibri" w:hAnsi="Calibri" w:cs="Calibri"/>
                <w:sz w:val="22"/>
                <w:szCs w:val="22"/>
                <w:lang w:val="en-GB"/>
              </w:rPr>
              <w:t xml:space="preserve">. Those </w:t>
            </w:r>
            <w:r w:rsidR="00FA63E7" w:rsidRPr="00CE3CCA">
              <w:rPr>
                <w:rFonts w:ascii="Calibri" w:hAnsi="Calibri" w:cs="Calibri"/>
                <w:sz w:val="22"/>
                <w:szCs w:val="22"/>
                <w:lang w:val="en-GB"/>
              </w:rPr>
              <w:t xml:space="preserve">portraying products </w:t>
            </w:r>
            <w:r w:rsidR="0023794C" w:rsidRPr="00CE3CCA">
              <w:rPr>
                <w:rFonts w:ascii="Calibri" w:hAnsi="Calibri" w:cs="Calibri"/>
                <w:sz w:val="22"/>
                <w:szCs w:val="22"/>
                <w:lang w:val="en-GB"/>
              </w:rPr>
              <w:t xml:space="preserve">classified as HFSS </w:t>
            </w:r>
            <w:r w:rsidR="00BB0669" w:rsidRPr="00CE3CCA">
              <w:rPr>
                <w:rFonts w:ascii="Calibri" w:hAnsi="Calibri" w:cs="Calibri"/>
                <w:sz w:val="22"/>
                <w:szCs w:val="22"/>
                <w:lang w:val="en-GB"/>
              </w:rPr>
              <w:t>(</w:t>
            </w:r>
            <w:r w:rsidR="00837065" w:rsidRPr="00CE3CCA">
              <w:rPr>
                <w:rFonts w:ascii="Calibri" w:hAnsi="Calibri" w:cs="Calibri"/>
                <w:sz w:val="22"/>
                <w:szCs w:val="22"/>
                <w:lang w:val="en-GB"/>
              </w:rPr>
              <w:t xml:space="preserve">receiving </w:t>
            </w:r>
            <w:r w:rsidR="00BB0669" w:rsidRPr="00CE3CCA">
              <w:rPr>
                <w:rFonts w:ascii="Calibri" w:hAnsi="Calibri" w:cs="Calibri"/>
                <w:sz w:val="22"/>
                <w:szCs w:val="22"/>
                <w:lang w:val="en-GB"/>
              </w:rPr>
              <w:t>a score of &gt;4</w:t>
            </w:r>
            <w:r w:rsidR="008357EE" w:rsidRPr="00CE3CCA">
              <w:rPr>
                <w:rFonts w:ascii="Calibri" w:hAnsi="Calibri" w:cs="Calibri"/>
                <w:sz w:val="22"/>
                <w:szCs w:val="22"/>
                <w:lang w:val="en-GB"/>
              </w:rPr>
              <w:t xml:space="preserve"> for foods and &gt;1 for beverages</w:t>
            </w:r>
            <w:r w:rsidR="00401350" w:rsidRPr="00CE3CCA">
              <w:rPr>
                <w:rFonts w:ascii="Calibri" w:hAnsi="Calibri" w:cs="Calibri"/>
                <w:sz w:val="22"/>
                <w:szCs w:val="22"/>
                <w:lang w:val="en-GB"/>
              </w:rPr>
              <w:t xml:space="preserve"> </w:t>
            </w:r>
            <w:r w:rsidR="00401350" w:rsidRPr="00CE3CCA">
              <w:rPr>
                <w:rFonts w:ascii="Calibri" w:hAnsi="Calibri" w:cs="Calibri"/>
                <w:sz w:val="22"/>
                <w:szCs w:val="22"/>
                <w:lang w:val="en-GB"/>
              </w:rPr>
              <w:fldChar w:fldCharType="begin"/>
            </w:r>
            <w:r w:rsidR="00401350" w:rsidRPr="00CE3CCA">
              <w:rPr>
                <w:rFonts w:ascii="Calibri" w:hAnsi="Calibri" w:cs="Calibri"/>
                <w:sz w:val="22"/>
                <w:szCs w:val="22"/>
                <w:lang w:val="en-GB"/>
              </w:rPr>
              <w:instrText xml:space="preserve"> ADDIN EN.CITE &lt;EndNote&gt;&lt;Cite&gt;&lt;Author&gt;Department of Health&lt;/Author&gt;&lt;Year&gt;2011&lt;/Year&gt;&lt;RecNum&gt;14&lt;/RecNum&gt;&lt;DisplayText&gt;(Department of Health, 2011)&lt;/DisplayText&gt;&lt;record&gt;&lt;rec-number&gt;14&lt;/rec-number&gt;&lt;foreign-keys&gt;&lt;key app="EN" db-id="s9vsxe023afd99ezx5qpv5vrrspsex2xrs00" timestamp="1613646968"&gt;14&lt;/key&gt;&lt;/foreign-keys&gt;&lt;ref-type name="Report"&gt;27&lt;/ref-type&gt;&lt;contributors&gt;&lt;authors&gt;&lt;author&gt;Department of Health,&lt;/author&gt;&lt;/authors&gt;&lt;tertiary-authors&gt;&lt;author&gt;Department of Health&lt;/author&gt;&lt;/tertiary-authors&gt;&lt;/contributors&gt;&lt;titles&gt;&lt;title&gt;Nutrient Profiling Technical Guidance&lt;/title&gt;&lt;/titles&gt;&lt;dates&gt;&lt;year&gt;2011&lt;/year&gt;&lt;/dates&gt;&lt;pub-location&gt;UK&lt;/pub-location&gt;&lt;publisher&gt;Department of Health&lt;/publisher&gt;&lt;urls&gt;&lt;related-urls&gt;&lt;url&gt;https://assets.publishing.service.gov.uk/government/uploads/system/uploads/attachment_data/file/216094/dh_123492.pdf&lt;/url&gt;&lt;/related-urls&gt;&lt;/urls&gt;&lt;access-date&gt;18 February 2021&lt;/access-date&gt;&lt;/record&gt;&lt;/Cite&gt;&lt;/EndNote&gt;</w:instrText>
            </w:r>
            <w:r w:rsidR="00401350" w:rsidRPr="00CE3CCA">
              <w:rPr>
                <w:rFonts w:ascii="Calibri" w:hAnsi="Calibri" w:cs="Calibri"/>
                <w:sz w:val="22"/>
                <w:szCs w:val="22"/>
                <w:lang w:val="en-GB"/>
              </w:rPr>
              <w:fldChar w:fldCharType="separate"/>
            </w:r>
            <w:r w:rsidR="00401350" w:rsidRPr="00CE3CCA">
              <w:rPr>
                <w:rFonts w:ascii="Calibri" w:hAnsi="Calibri" w:cs="Calibri"/>
                <w:noProof/>
                <w:sz w:val="22"/>
                <w:szCs w:val="22"/>
                <w:lang w:val="en-GB"/>
              </w:rPr>
              <w:t>(Department of Health, 2011)</w:t>
            </w:r>
            <w:r w:rsidR="00401350" w:rsidRPr="00CE3CCA">
              <w:rPr>
                <w:rFonts w:ascii="Calibri" w:hAnsi="Calibri" w:cs="Calibri"/>
                <w:sz w:val="22"/>
                <w:szCs w:val="22"/>
                <w:lang w:val="en-GB"/>
              </w:rPr>
              <w:fldChar w:fldCharType="end"/>
            </w:r>
            <w:r w:rsidRPr="00CE3CCA">
              <w:rPr>
                <w:rFonts w:ascii="Calibri" w:hAnsi="Calibri" w:cs="Calibri"/>
                <w:sz w:val="22"/>
                <w:szCs w:val="22"/>
                <w:lang w:val="en-GB"/>
              </w:rPr>
              <w:t>)</w:t>
            </w:r>
            <w:r w:rsidR="0023794C" w:rsidRPr="00CE3CCA">
              <w:rPr>
                <w:rFonts w:ascii="Calibri" w:hAnsi="Calibri" w:cs="Calibri"/>
                <w:sz w:val="22"/>
                <w:szCs w:val="22"/>
                <w:lang w:val="en-GB"/>
              </w:rPr>
              <w:t xml:space="preserve"> cannot be advertised. Where the advertiser believes that a product</w:t>
            </w:r>
            <w:r w:rsidR="00FA63E7" w:rsidRPr="00CE3CCA">
              <w:rPr>
                <w:rFonts w:ascii="Calibri" w:hAnsi="Calibri" w:cs="Calibri"/>
                <w:sz w:val="22"/>
                <w:szCs w:val="22"/>
                <w:lang w:val="en-GB"/>
              </w:rPr>
              <w:t xml:space="preserve"> portrayed in an advertisement</w:t>
            </w:r>
            <w:r w:rsidR="0023794C" w:rsidRPr="00CE3CCA">
              <w:rPr>
                <w:rFonts w:ascii="Calibri" w:hAnsi="Calibri" w:cs="Calibri"/>
                <w:sz w:val="22"/>
                <w:szCs w:val="22"/>
                <w:lang w:val="en-GB"/>
              </w:rPr>
              <w:t xml:space="preserve"> does not contribute to </w:t>
            </w:r>
            <w:r w:rsidR="00B068AB" w:rsidRPr="00CE3CCA">
              <w:rPr>
                <w:rFonts w:ascii="Calibri" w:hAnsi="Calibri" w:cs="Calibri"/>
                <w:sz w:val="22"/>
                <w:szCs w:val="22"/>
                <w:lang w:val="en-GB"/>
              </w:rPr>
              <w:t>HFSS consumption by children</w:t>
            </w:r>
            <w:r w:rsidR="0023794C" w:rsidRPr="00CE3CCA">
              <w:rPr>
                <w:rFonts w:ascii="Calibri" w:hAnsi="Calibri" w:cs="Calibri"/>
                <w:sz w:val="22"/>
                <w:szCs w:val="22"/>
                <w:lang w:val="en-GB"/>
              </w:rPr>
              <w:t>, they may submit an application to an exceptions panel which considers the evidence presented and makes a determination as to whether the product can be advertised on the TfL estate</w:t>
            </w:r>
            <w:r w:rsidR="006B7A4A" w:rsidRPr="00CE3CCA">
              <w:rPr>
                <w:rFonts w:ascii="Calibri" w:hAnsi="Calibri" w:cs="Calibri"/>
                <w:sz w:val="22"/>
                <w:szCs w:val="22"/>
                <w:lang w:val="en-GB"/>
              </w:rPr>
              <w:fldChar w:fldCharType="begin"/>
            </w:r>
            <w:r w:rsidR="00133859" w:rsidRPr="00CE3CCA">
              <w:rPr>
                <w:rFonts w:ascii="Calibri" w:hAnsi="Calibri" w:cs="Calibri"/>
                <w:sz w:val="22"/>
                <w:szCs w:val="22"/>
                <w:lang w:val="en-GB"/>
              </w:rPr>
              <w:instrText xml:space="preserve"> ADDIN EN.CITE &lt;EndNote&gt;&lt;Cite ExcludeAuth="1" ExcludeYear="1"&gt;&lt;Author&gt;DEFRA&lt;/Author&gt;&lt;Year&gt;2013&lt;/Year&gt;&lt;RecNum&gt;37&lt;/RecNum&gt;&lt;record&gt;&lt;rec-number&gt;37&lt;/rec-number&gt;&lt;foreign-keys&gt;&lt;key app="EN" db-id="wz0s5vxeow0299ew9xqvdsw7t0xf9w02z5wt" timestamp="0"&gt;37&lt;/key&gt;&lt;/foreign-keys&gt;&lt;ref-type name="Report"&gt;27&lt;/ref-type&gt;&lt;contributors&gt;&lt;authors&gt;&lt;author&gt;DEFRA&lt;/author&gt;&lt;/authors&gt;&lt;tertiary-authors&gt;&lt;author&gt;Crown Copyright 2013,&lt;/author&gt;&lt;/tertiary-authors&gt;&lt;/contributors&gt;&lt;titles&gt;&lt;title&gt;Food Statistics Pocketbook 2013&lt;/title&gt;&lt;secondary-title&gt;National Statistics&lt;/secondary-title&gt;&lt;/titles&gt;&lt;dates&gt;&lt;year&gt;2013&lt;/year&gt;&lt;/dates&gt;&lt;publisher&gt;Department for Environment Food and Rural Affairs&lt;/publisher&gt;&lt;urls&gt;&lt;/urls&gt;&lt;/record&gt;&lt;/Cite&gt;&lt;/EndNote&gt;</w:instrText>
            </w:r>
            <w:r w:rsidR="006B7A4A" w:rsidRPr="00CE3CCA">
              <w:rPr>
                <w:rFonts w:ascii="Calibri" w:hAnsi="Calibri" w:cs="Calibri"/>
                <w:sz w:val="22"/>
                <w:szCs w:val="22"/>
                <w:lang w:val="en-GB"/>
              </w:rPr>
              <w:fldChar w:fldCharType="end"/>
            </w:r>
            <w:r w:rsidR="0023794C" w:rsidRPr="00CE3CCA">
              <w:rPr>
                <w:rFonts w:ascii="Calibri" w:hAnsi="Calibri" w:cs="Calibri"/>
                <w:sz w:val="22"/>
                <w:szCs w:val="22"/>
                <w:lang w:val="en-GB"/>
              </w:rPr>
              <w:t>.</w:t>
            </w:r>
          </w:p>
        </w:tc>
      </w:tr>
    </w:tbl>
    <w:p w14:paraId="0BB5A68C" w14:textId="77777777" w:rsidR="0023794C" w:rsidRPr="00CE3CCA" w:rsidRDefault="0023794C" w:rsidP="00BD338E">
      <w:pPr>
        <w:rPr>
          <w:rFonts w:ascii="Calibri" w:hAnsi="Calibri" w:cs="Calibri"/>
          <w:sz w:val="22"/>
          <w:szCs w:val="22"/>
          <w:lang w:val="en-GB"/>
        </w:rPr>
      </w:pPr>
    </w:p>
    <w:p w14:paraId="03CC6A25" w14:textId="77777777" w:rsidR="009E5242" w:rsidRPr="00CE3CCA" w:rsidRDefault="009E5242" w:rsidP="009E5242">
      <w:pPr>
        <w:rPr>
          <w:rFonts w:ascii="Calibri" w:hAnsi="Calibri" w:cs="Calibri"/>
          <w:sz w:val="22"/>
          <w:szCs w:val="22"/>
        </w:rPr>
      </w:pPr>
    </w:p>
    <w:p w14:paraId="35F2F5D0" w14:textId="77777777" w:rsidR="00BD338E" w:rsidRPr="00CE3CCA" w:rsidRDefault="00BD338E" w:rsidP="00BD338E">
      <w:pPr>
        <w:rPr>
          <w:rFonts w:ascii="Calibri" w:hAnsi="Calibri" w:cs="Calibri"/>
          <w:b/>
          <w:bCs/>
          <w:sz w:val="22"/>
          <w:szCs w:val="22"/>
        </w:rPr>
      </w:pPr>
    </w:p>
    <w:p w14:paraId="3B6230B0" w14:textId="568060DF" w:rsidR="00BD338E" w:rsidRDefault="00BD338E" w:rsidP="00475D3F">
      <w:pPr>
        <w:spacing w:line="360" w:lineRule="auto"/>
        <w:rPr>
          <w:rFonts w:ascii="Calibri" w:hAnsi="Calibri" w:cs="Calibri"/>
          <w:sz w:val="22"/>
          <w:szCs w:val="22"/>
        </w:rPr>
      </w:pPr>
      <w:r w:rsidRPr="00CE3CCA">
        <w:rPr>
          <w:rFonts w:ascii="Calibri" w:hAnsi="Calibri" w:cs="Calibri"/>
          <w:sz w:val="22"/>
          <w:szCs w:val="22"/>
        </w:rPr>
        <w:t>In this paper we report on a process evaluation of th</w:t>
      </w:r>
      <w:r w:rsidR="00921EFF" w:rsidRPr="00CE3CCA">
        <w:rPr>
          <w:rFonts w:ascii="Calibri" w:hAnsi="Calibri" w:cs="Calibri"/>
          <w:sz w:val="22"/>
          <w:szCs w:val="22"/>
        </w:rPr>
        <w:t xml:space="preserve">e </w:t>
      </w:r>
      <w:r w:rsidR="00792A9A" w:rsidRPr="00CE3CCA">
        <w:rPr>
          <w:rFonts w:ascii="Calibri" w:hAnsi="Calibri" w:cs="Calibri"/>
          <w:sz w:val="22"/>
          <w:szCs w:val="22"/>
        </w:rPr>
        <w:t xml:space="preserve">development, </w:t>
      </w:r>
      <w:r w:rsidR="00921EFF" w:rsidRPr="00CE3CCA">
        <w:rPr>
          <w:rFonts w:ascii="Calibri" w:hAnsi="Calibri" w:cs="Calibri"/>
          <w:sz w:val="22"/>
          <w:szCs w:val="22"/>
        </w:rPr>
        <w:t xml:space="preserve">design and implementation of </w:t>
      </w:r>
      <w:r w:rsidR="00212696" w:rsidRPr="00CE3CCA">
        <w:rPr>
          <w:rFonts w:ascii="Calibri" w:hAnsi="Calibri" w:cs="Calibri"/>
          <w:sz w:val="22"/>
          <w:szCs w:val="22"/>
        </w:rPr>
        <w:t>TfL’s restrictions on HFSS advertising</w:t>
      </w:r>
      <w:r w:rsidRPr="00CE3CCA">
        <w:rPr>
          <w:rFonts w:ascii="Calibri" w:hAnsi="Calibri" w:cs="Calibri"/>
          <w:sz w:val="22"/>
          <w:szCs w:val="22"/>
        </w:rPr>
        <w:t xml:space="preserve">. We aimed to explore the </w:t>
      </w:r>
      <w:r w:rsidR="00FA63E7" w:rsidRPr="00CE3CCA">
        <w:rPr>
          <w:rFonts w:ascii="Calibri" w:hAnsi="Calibri" w:cs="Calibri"/>
          <w:sz w:val="22"/>
          <w:szCs w:val="22"/>
        </w:rPr>
        <w:t>process</w:t>
      </w:r>
      <w:r w:rsidR="00AD735A" w:rsidRPr="00CE3CCA">
        <w:rPr>
          <w:rFonts w:ascii="Calibri" w:hAnsi="Calibri" w:cs="Calibri"/>
          <w:sz w:val="22"/>
          <w:szCs w:val="22"/>
        </w:rPr>
        <w:t>es</w:t>
      </w:r>
      <w:r w:rsidR="00FA63E7" w:rsidRPr="00CE3CCA">
        <w:rPr>
          <w:rFonts w:ascii="Calibri" w:hAnsi="Calibri" w:cs="Calibri"/>
          <w:sz w:val="22"/>
          <w:szCs w:val="22"/>
        </w:rPr>
        <w:t xml:space="preserve"> leading to</w:t>
      </w:r>
      <w:r w:rsidRPr="00CE3CCA">
        <w:rPr>
          <w:rFonts w:ascii="Calibri" w:hAnsi="Calibri" w:cs="Calibri"/>
          <w:sz w:val="22"/>
          <w:szCs w:val="22"/>
        </w:rPr>
        <w:t xml:space="preserve"> </w:t>
      </w:r>
      <w:r w:rsidR="00AD735A" w:rsidRPr="00CE3CCA">
        <w:rPr>
          <w:rFonts w:ascii="Calibri" w:hAnsi="Calibri" w:cs="Calibri"/>
          <w:sz w:val="22"/>
          <w:szCs w:val="22"/>
        </w:rPr>
        <w:t xml:space="preserve">and encompassing implementation of </w:t>
      </w:r>
      <w:r w:rsidR="00212696" w:rsidRPr="00CE3CCA">
        <w:rPr>
          <w:rFonts w:ascii="Calibri" w:hAnsi="Calibri" w:cs="Calibri"/>
          <w:sz w:val="22"/>
          <w:szCs w:val="22"/>
        </w:rPr>
        <w:t>this intervention</w:t>
      </w:r>
      <w:r w:rsidRPr="00CE3CCA">
        <w:rPr>
          <w:rFonts w:ascii="Calibri" w:hAnsi="Calibri" w:cs="Calibri"/>
          <w:sz w:val="22"/>
          <w:szCs w:val="22"/>
        </w:rPr>
        <w:t>, with a focus on the political and practical factors facilitating and impeding implementation from the perspectives of</w:t>
      </w:r>
      <w:r w:rsidR="00AD735A" w:rsidRPr="00CE3CCA">
        <w:rPr>
          <w:rFonts w:ascii="Calibri" w:hAnsi="Calibri" w:cs="Calibri"/>
          <w:sz w:val="22"/>
          <w:szCs w:val="22"/>
        </w:rPr>
        <w:t xml:space="preserve"> (1)</w:t>
      </w:r>
      <w:r w:rsidRPr="00CE3CCA">
        <w:rPr>
          <w:rFonts w:ascii="Calibri" w:hAnsi="Calibri" w:cs="Calibri"/>
          <w:sz w:val="22"/>
          <w:szCs w:val="22"/>
        </w:rPr>
        <w:t xml:space="preserve"> stakeholders involved in developing and implementing the policy</w:t>
      </w:r>
      <w:r w:rsidR="00A02474" w:rsidRPr="00CE3CCA">
        <w:rPr>
          <w:rFonts w:ascii="Calibri" w:hAnsi="Calibri" w:cs="Calibri"/>
          <w:sz w:val="22"/>
          <w:szCs w:val="22"/>
        </w:rPr>
        <w:t xml:space="preserve"> and</w:t>
      </w:r>
      <w:r w:rsidRPr="00CE3CCA">
        <w:rPr>
          <w:rFonts w:ascii="Calibri" w:hAnsi="Calibri" w:cs="Calibri"/>
          <w:sz w:val="22"/>
          <w:szCs w:val="22"/>
        </w:rPr>
        <w:t xml:space="preserve"> </w:t>
      </w:r>
      <w:r w:rsidR="00AD735A" w:rsidRPr="00CE3CCA">
        <w:rPr>
          <w:rFonts w:ascii="Calibri" w:hAnsi="Calibri" w:cs="Calibri"/>
          <w:sz w:val="22"/>
          <w:szCs w:val="22"/>
        </w:rPr>
        <w:t xml:space="preserve">(2) </w:t>
      </w:r>
      <w:r w:rsidR="00A02474" w:rsidRPr="00CE3CCA">
        <w:rPr>
          <w:rFonts w:ascii="Calibri" w:hAnsi="Calibri" w:cs="Calibri"/>
          <w:sz w:val="22"/>
          <w:szCs w:val="22"/>
        </w:rPr>
        <w:t>commercial</w:t>
      </w:r>
      <w:r w:rsidR="00EC2284" w:rsidRPr="00CE3CCA">
        <w:rPr>
          <w:rFonts w:ascii="Calibri" w:hAnsi="Calibri" w:cs="Calibri"/>
          <w:sz w:val="22"/>
          <w:szCs w:val="22"/>
        </w:rPr>
        <w:t xml:space="preserve"> stakeholders</w:t>
      </w:r>
      <w:r w:rsidR="00A02474" w:rsidRPr="00CE3CCA">
        <w:rPr>
          <w:rFonts w:ascii="Calibri" w:hAnsi="Calibri" w:cs="Calibri"/>
          <w:sz w:val="22"/>
          <w:szCs w:val="22"/>
        </w:rPr>
        <w:t xml:space="preserve"> </w:t>
      </w:r>
      <w:r w:rsidRPr="00CE3CCA">
        <w:rPr>
          <w:rFonts w:ascii="Calibri" w:hAnsi="Calibri" w:cs="Calibri"/>
          <w:sz w:val="22"/>
          <w:szCs w:val="22"/>
        </w:rPr>
        <w:t>involved in advertising on the TfL estate</w:t>
      </w:r>
      <w:r w:rsidR="00A02474" w:rsidRPr="00CE3CCA">
        <w:rPr>
          <w:rFonts w:ascii="Calibri" w:hAnsi="Calibri" w:cs="Calibri"/>
          <w:sz w:val="22"/>
          <w:szCs w:val="22"/>
        </w:rPr>
        <w:t>.</w:t>
      </w:r>
    </w:p>
    <w:p w14:paraId="78665C88" w14:textId="77777777" w:rsidR="0096227E" w:rsidRPr="000B35F3" w:rsidRDefault="0096227E" w:rsidP="00475D3F">
      <w:pPr>
        <w:spacing w:line="360" w:lineRule="auto"/>
      </w:pPr>
    </w:p>
    <w:p w14:paraId="7E495F05" w14:textId="74E9F3A4" w:rsidR="00522FC5" w:rsidRDefault="00522FC5" w:rsidP="00475D3F">
      <w:pPr>
        <w:pStyle w:val="Heading2"/>
        <w:spacing w:line="360" w:lineRule="auto"/>
      </w:pPr>
      <w:r w:rsidRPr="000B35F3">
        <w:t>Methods</w:t>
      </w:r>
    </w:p>
    <w:p w14:paraId="4E34C101" w14:textId="34C754AD" w:rsidR="005B3399" w:rsidRPr="005B3399" w:rsidRDefault="005B3399" w:rsidP="00475D3F">
      <w:pPr>
        <w:pStyle w:val="Heading3"/>
        <w:spacing w:line="360" w:lineRule="auto"/>
      </w:pPr>
      <w:r>
        <w:t>Sampling and recruitment</w:t>
      </w:r>
    </w:p>
    <w:p w14:paraId="0F805CB1" w14:textId="1D72C9BD" w:rsidR="00B525A6" w:rsidRPr="00F66DB4" w:rsidRDefault="00B525A6" w:rsidP="00475D3F">
      <w:pPr>
        <w:spacing w:line="360" w:lineRule="auto"/>
        <w:rPr>
          <w:rFonts w:ascii="Calibri" w:hAnsi="Calibri" w:cs="Calibri"/>
          <w:sz w:val="22"/>
          <w:szCs w:val="22"/>
        </w:rPr>
      </w:pPr>
      <w:r w:rsidRPr="00F66DB4">
        <w:rPr>
          <w:rFonts w:ascii="Calibri" w:hAnsi="Calibri" w:cs="Calibri"/>
          <w:sz w:val="22"/>
          <w:szCs w:val="22"/>
        </w:rPr>
        <w:t xml:space="preserve">We </w:t>
      </w:r>
      <w:r w:rsidR="00217C14">
        <w:rPr>
          <w:rFonts w:ascii="Calibri" w:hAnsi="Calibri" w:cs="Calibri"/>
          <w:sz w:val="22"/>
          <w:szCs w:val="22"/>
        </w:rPr>
        <w:t xml:space="preserve">recruited </w:t>
      </w:r>
      <w:r w:rsidRPr="00F66DB4">
        <w:rPr>
          <w:rFonts w:ascii="Calibri" w:hAnsi="Calibri" w:cs="Calibri"/>
          <w:sz w:val="22"/>
          <w:szCs w:val="22"/>
        </w:rPr>
        <w:t xml:space="preserve">key stakeholders </w:t>
      </w:r>
      <w:r w:rsidR="006D2D38">
        <w:rPr>
          <w:rFonts w:ascii="Calibri" w:hAnsi="Calibri" w:cs="Calibri"/>
          <w:sz w:val="22"/>
          <w:szCs w:val="22"/>
        </w:rPr>
        <w:t xml:space="preserve">who were </w:t>
      </w:r>
      <w:r w:rsidRPr="00F66DB4">
        <w:rPr>
          <w:rFonts w:ascii="Calibri" w:hAnsi="Calibri" w:cs="Calibri"/>
          <w:sz w:val="22"/>
          <w:szCs w:val="22"/>
        </w:rPr>
        <w:t xml:space="preserve">involved in </w:t>
      </w:r>
      <w:r w:rsidR="004B6735">
        <w:rPr>
          <w:rFonts w:ascii="Calibri" w:hAnsi="Calibri" w:cs="Calibri"/>
          <w:sz w:val="22"/>
          <w:szCs w:val="22"/>
        </w:rPr>
        <w:t xml:space="preserve">developing and </w:t>
      </w:r>
      <w:r w:rsidRPr="00F66DB4">
        <w:rPr>
          <w:rFonts w:ascii="Calibri" w:hAnsi="Calibri" w:cs="Calibri"/>
          <w:sz w:val="22"/>
          <w:szCs w:val="22"/>
        </w:rPr>
        <w:t>implementing the policy</w:t>
      </w:r>
      <w:r w:rsidR="004B6735">
        <w:rPr>
          <w:rFonts w:ascii="Calibri" w:hAnsi="Calibri" w:cs="Calibri"/>
          <w:sz w:val="22"/>
          <w:szCs w:val="22"/>
        </w:rPr>
        <w:t xml:space="preserve"> (</w:t>
      </w:r>
      <w:r w:rsidR="006D2D38">
        <w:rPr>
          <w:rFonts w:ascii="Calibri" w:hAnsi="Calibri" w:cs="Calibri"/>
          <w:sz w:val="22"/>
          <w:szCs w:val="22"/>
        </w:rPr>
        <w:t xml:space="preserve">hereafter </w:t>
      </w:r>
      <w:r w:rsidR="004B6735">
        <w:rPr>
          <w:rFonts w:ascii="Calibri" w:hAnsi="Calibri" w:cs="Calibri"/>
          <w:sz w:val="22"/>
          <w:szCs w:val="22"/>
        </w:rPr>
        <w:t>referred to as “implementation stakeholders”)</w:t>
      </w:r>
      <w:r w:rsidR="006D2D38">
        <w:rPr>
          <w:rFonts w:ascii="Calibri" w:hAnsi="Calibri" w:cs="Calibri"/>
          <w:sz w:val="22"/>
          <w:szCs w:val="22"/>
        </w:rPr>
        <w:t>, as well as</w:t>
      </w:r>
      <w:r w:rsidR="005B3399" w:rsidRPr="00F66DB4">
        <w:rPr>
          <w:rFonts w:ascii="Calibri" w:hAnsi="Calibri" w:cs="Calibri"/>
          <w:sz w:val="22"/>
          <w:szCs w:val="22"/>
        </w:rPr>
        <w:t xml:space="preserve"> key food </w:t>
      </w:r>
      <w:r w:rsidR="00A02474">
        <w:rPr>
          <w:rFonts w:ascii="Calibri" w:hAnsi="Calibri" w:cs="Calibri"/>
          <w:sz w:val="22"/>
          <w:szCs w:val="22"/>
        </w:rPr>
        <w:t xml:space="preserve">and beverage </w:t>
      </w:r>
      <w:r w:rsidR="005B3399" w:rsidRPr="00F66DB4">
        <w:rPr>
          <w:rFonts w:ascii="Calibri" w:hAnsi="Calibri" w:cs="Calibri"/>
          <w:sz w:val="22"/>
          <w:szCs w:val="22"/>
        </w:rPr>
        <w:t xml:space="preserve">industry stakeholders </w:t>
      </w:r>
      <w:r w:rsidR="006D2D38">
        <w:rPr>
          <w:rFonts w:ascii="Calibri" w:hAnsi="Calibri" w:cs="Calibri"/>
          <w:sz w:val="22"/>
          <w:szCs w:val="22"/>
        </w:rPr>
        <w:t xml:space="preserve">who were </w:t>
      </w:r>
      <w:r w:rsidR="005B3399" w:rsidRPr="00F66DB4">
        <w:rPr>
          <w:rFonts w:ascii="Calibri" w:hAnsi="Calibri" w:cs="Calibri"/>
          <w:sz w:val="22"/>
          <w:szCs w:val="22"/>
        </w:rPr>
        <w:t>affected by the policy</w:t>
      </w:r>
      <w:r w:rsidR="004B6735">
        <w:rPr>
          <w:rFonts w:ascii="Calibri" w:hAnsi="Calibri" w:cs="Calibri"/>
          <w:sz w:val="22"/>
          <w:szCs w:val="22"/>
        </w:rPr>
        <w:t xml:space="preserve"> (</w:t>
      </w:r>
      <w:r w:rsidR="006D2D38">
        <w:rPr>
          <w:rFonts w:ascii="Calibri" w:hAnsi="Calibri" w:cs="Calibri"/>
          <w:sz w:val="22"/>
          <w:szCs w:val="22"/>
        </w:rPr>
        <w:t>hereafter,</w:t>
      </w:r>
      <w:r w:rsidR="004B6735">
        <w:rPr>
          <w:rFonts w:ascii="Calibri" w:hAnsi="Calibri" w:cs="Calibri"/>
          <w:sz w:val="22"/>
          <w:szCs w:val="22"/>
        </w:rPr>
        <w:t xml:space="preserve"> “industry stakeholders”)</w:t>
      </w:r>
      <w:r w:rsidR="005B3399" w:rsidRPr="00F66DB4">
        <w:rPr>
          <w:rFonts w:ascii="Calibri" w:hAnsi="Calibri" w:cs="Calibri"/>
          <w:sz w:val="22"/>
          <w:szCs w:val="22"/>
        </w:rPr>
        <w:t xml:space="preserve">. Sampling was purposive and informed by </w:t>
      </w:r>
      <w:r w:rsidR="006D2D38">
        <w:rPr>
          <w:rFonts w:ascii="Calibri" w:hAnsi="Calibri" w:cs="Calibri"/>
          <w:sz w:val="22"/>
          <w:szCs w:val="22"/>
        </w:rPr>
        <w:t>expert</w:t>
      </w:r>
      <w:r w:rsidR="005B3399" w:rsidRPr="00F66DB4">
        <w:rPr>
          <w:rFonts w:ascii="Calibri" w:hAnsi="Calibri" w:cs="Calibri"/>
          <w:sz w:val="22"/>
          <w:szCs w:val="22"/>
        </w:rPr>
        <w:t xml:space="preserve"> mapping of relevant actors</w:t>
      </w:r>
      <w:r w:rsidR="0064272D">
        <w:rPr>
          <w:rFonts w:ascii="Calibri" w:hAnsi="Calibri" w:cs="Calibri"/>
          <w:sz w:val="22"/>
          <w:szCs w:val="22"/>
        </w:rPr>
        <w:t xml:space="preserve"> and </w:t>
      </w:r>
      <w:r w:rsidR="009913F1">
        <w:rPr>
          <w:rFonts w:ascii="Calibri" w:hAnsi="Calibri" w:cs="Calibri"/>
          <w:sz w:val="22"/>
          <w:szCs w:val="22"/>
        </w:rPr>
        <w:t xml:space="preserve">by </w:t>
      </w:r>
      <w:r w:rsidR="0064272D">
        <w:rPr>
          <w:rFonts w:ascii="Calibri" w:hAnsi="Calibri" w:cs="Calibri"/>
          <w:sz w:val="22"/>
          <w:szCs w:val="22"/>
        </w:rPr>
        <w:t>snowball</w:t>
      </w:r>
      <w:r w:rsidR="009913F1">
        <w:rPr>
          <w:rFonts w:ascii="Calibri" w:hAnsi="Calibri" w:cs="Calibri"/>
          <w:sz w:val="22"/>
          <w:szCs w:val="22"/>
        </w:rPr>
        <w:t xml:space="preserve"> sampl</w:t>
      </w:r>
      <w:r w:rsidR="0064272D">
        <w:rPr>
          <w:rFonts w:ascii="Calibri" w:hAnsi="Calibri" w:cs="Calibri"/>
          <w:sz w:val="22"/>
          <w:szCs w:val="22"/>
        </w:rPr>
        <w:t>ing</w:t>
      </w:r>
      <w:r w:rsidR="005B3399" w:rsidRPr="00F66DB4">
        <w:rPr>
          <w:rFonts w:ascii="Calibri" w:hAnsi="Calibri" w:cs="Calibri"/>
          <w:sz w:val="22"/>
          <w:szCs w:val="22"/>
        </w:rPr>
        <w:t xml:space="preserve">. </w:t>
      </w:r>
      <w:r w:rsidR="004B6735">
        <w:rPr>
          <w:rFonts w:ascii="Calibri" w:hAnsi="Calibri" w:cs="Calibri"/>
          <w:sz w:val="22"/>
          <w:szCs w:val="22"/>
        </w:rPr>
        <w:t>I</w:t>
      </w:r>
      <w:r w:rsidR="005B3399" w:rsidRPr="00F66DB4">
        <w:rPr>
          <w:rFonts w:ascii="Calibri" w:hAnsi="Calibri" w:cs="Calibri"/>
          <w:sz w:val="22"/>
          <w:szCs w:val="22"/>
        </w:rPr>
        <w:t>mplement</w:t>
      </w:r>
      <w:r w:rsidR="00BA25BB" w:rsidRPr="00F66DB4">
        <w:rPr>
          <w:rFonts w:ascii="Calibri" w:hAnsi="Calibri" w:cs="Calibri"/>
          <w:sz w:val="22"/>
          <w:szCs w:val="22"/>
        </w:rPr>
        <w:t>ation</w:t>
      </w:r>
      <w:r w:rsidR="005B3399" w:rsidRPr="00F66DB4">
        <w:rPr>
          <w:rFonts w:ascii="Calibri" w:hAnsi="Calibri" w:cs="Calibri"/>
          <w:sz w:val="22"/>
          <w:szCs w:val="22"/>
        </w:rPr>
        <w:t xml:space="preserve"> stakeholders were</w:t>
      </w:r>
      <w:r w:rsidRPr="00F66DB4">
        <w:rPr>
          <w:rFonts w:ascii="Calibri" w:hAnsi="Calibri" w:cs="Calibri"/>
          <w:sz w:val="22"/>
          <w:szCs w:val="22"/>
        </w:rPr>
        <w:t xml:space="preserve"> recruited from the GLA</w:t>
      </w:r>
      <w:r w:rsidR="005B3399" w:rsidRPr="00F66DB4">
        <w:rPr>
          <w:rFonts w:ascii="Calibri" w:hAnsi="Calibri" w:cs="Calibri"/>
          <w:sz w:val="22"/>
          <w:szCs w:val="22"/>
        </w:rPr>
        <w:t>,</w:t>
      </w:r>
      <w:r w:rsidRPr="00F66DB4">
        <w:rPr>
          <w:rFonts w:ascii="Calibri" w:hAnsi="Calibri" w:cs="Calibri"/>
          <w:sz w:val="22"/>
          <w:szCs w:val="22"/>
        </w:rPr>
        <w:t xml:space="preserve"> T</w:t>
      </w:r>
      <w:r w:rsidR="00065784">
        <w:rPr>
          <w:rFonts w:ascii="Calibri" w:hAnsi="Calibri" w:cs="Calibri"/>
          <w:sz w:val="22"/>
          <w:szCs w:val="22"/>
        </w:rPr>
        <w:t>f</w:t>
      </w:r>
      <w:r w:rsidRPr="00F66DB4">
        <w:rPr>
          <w:rFonts w:ascii="Calibri" w:hAnsi="Calibri" w:cs="Calibri"/>
          <w:sz w:val="22"/>
          <w:szCs w:val="22"/>
        </w:rPr>
        <w:t>L</w:t>
      </w:r>
      <w:r w:rsidR="00197F08">
        <w:rPr>
          <w:rFonts w:ascii="Calibri" w:hAnsi="Calibri" w:cs="Calibri"/>
          <w:sz w:val="22"/>
          <w:szCs w:val="22"/>
        </w:rPr>
        <w:t xml:space="preserve">, </w:t>
      </w:r>
      <w:r w:rsidR="002A53B7">
        <w:rPr>
          <w:rFonts w:ascii="Calibri" w:hAnsi="Calibri" w:cs="Calibri"/>
          <w:sz w:val="22"/>
          <w:szCs w:val="22"/>
        </w:rPr>
        <w:t>n</w:t>
      </w:r>
      <w:r w:rsidR="00065784">
        <w:rPr>
          <w:rFonts w:ascii="Calibri" w:hAnsi="Calibri" w:cs="Calibri"/>
          <w:sz w:val="22"/>
          <w:szCs w:val="22"/>
        </w:rPr>
        <w:t>on-</w:t>
      </w:r>
      <w:r w:rsidR="002A53B7">
        <w:rPr>
          <w:rFonts w:ascii="Calibri" w:hAnsi="Calibri" w:cs="Calibri"/>
          <w:sz w:val="22"/>
          <w:szCs w:val="22"/>
        </w:rPr>
        <w:t>g</w:t>
      </w:r>
      <w:r w:rsidR="00065784">
        <w:rPr>
          <w:rFonts w:ascii="Calibri" w:hAnsi="Calibri" w:cs="Calibri"/>
          <w:sz w:val="22"/>
          <w:szCs w:val="22"/>
        </w:rPr>
        <w:t xml:space="preserve">overnmental </w:t>
      </w:r>
      <w:r w:rsidR="002A53B7">
        <w:rPr>
          <w:rFonts w:ascii="Calibri" w:hAnsi="Calibri" w:cs="Calibri"/>
          <w:sz w:val="22"/>
          <w:szCs w:val="22"/>
        </w:rPr>
        <w:t>o</w:t>
      </w:r>
      <w:r w:rsidR="00065784">
        <w:rPr>
          <w:rFonts w:ascii="Calibri" w:hAnsi="Calibri" w:cs="Calibri"/>
          <w:sz w:val="22"/>
          <w:szCs w:val="22"/>
        </w:rPr>
        <w:t>rganisations (</w:t>
      </w:r>
      <w:r w:rsidR="00197F08">
        <w:rPr>
          <w:rFonts w:ascii="Calibri" w:hAnsi="Calibri" w:cs="Calibri"/>
          <w:sz w:val="22"/>
          <w:szCs w:val="22"/>
        </w:rPr>
        <w:t>NGOs</w:t>
      </w:r>
      <w:r w:rsidR="00065784">
        <w:rPr>
          <w:rFonts w:ascii="Calibri" w:hAnsi="Calibri" w:cs="Calibri"/>
          <w:sz w:val="22"/>
          <w:szCs w:val="22"/>
        </w:rPr>
        <w:t>)</w:t>
      </w:r>
      <w:r w:rsidR="00197F08">
        <w:rPr>
          <w:rFonts w:ascii="Calibri" w:hAnsi="Calibri" w:cs="Calibri"/>
          <w:sz w:val="22"/>
          <w:szCs w:val="22"/>
        </w:rPr>
        <w:t xml:space="preserve"> </w:t>
      </w:r>
      <w:r w:rsidR="005B3399" w:rsidRPr="00F66DB4">
        <w:rPr>
          <w:rFonts w:ascii="Calibri" w:hAnsi="Calibri" w:cs="Calibri"/>
          <w:sz w:val="22"/>
          <w:szCs w:val="22"/>
        </w:rPr>
        <w:t>and Public Health England (PHE)</w:t>
      </w:r>
      <w:r w:rsidR="00E439F0">
        <w:rPr>
          <w:rFonts w:ascii="Calibri" w:hAnsi="Calibri" w:cs="Calibri"/>
          <w:sz w:val="22"/>
          <w:szCs w:val="22"/>
        </w:rPr>
        <w:t>, all of whom were involved in policy implementation</w:t>
      </w:r>
      <w:r w:rsidR="006D78F0">
        <w:rPr>
          <w:rFonts w:ascii="Calibri" w:hAnsi="Calibri" w:cs="Calibri"/>
          <w:sz w:val="22"/>
          <w:szCs w:val="22"/>
        </w:rPr>
        <w:t xml:space="preserve">. </w:t>
      </w:r>
      <w:r w:rsidR="006D2D38">
        <w:rPr>
          <w:rFonts w:ascii="Calibri" w:hAnsi="Calibri" w:cs="Calibri"/>
          <w:sz w:val="22"/>
          <w:szCs w:val="22"/>
        </w:rPr>
        <w:t>I</w:t>
      </w:r>
      <w:r w:rsidR="005B3399" w:rsidRPr="00F66DB4">
        <w:rPr>
          <w:rFonts w:ascii="Calibri" w:hAnsi="Calibri" w:cs="Calibri"/>
          <w:sz w:val="22"/>
          <w:szCs w:val="22"/>
        </w:rPr>
        <w:t>ndustry stakeholders were</w:t>
      </w:r>
      <w:r w:rsidRPr="00F66DB4">
        <w:rPr>
          <w:rFonts w:ascii="Calibri" w:hAnsi="Calibri" w:cs="Calibri"/>
          <w:sz w:val="22"/>
          <w:szCs w:val="22"/>
        </w:rPr>
        <w:t xml:space="preserve"> </w:t>
      </w:r>
      <w:r w:rsidR="005B3399" w:rsidRPr="00F66DB4">
        <w:rPr>
          <w:rFonts w:ascii="Calibri" w:hAnsi="Calibri" w:cs="Calibri"/>
          <w:sz w:val="22"/>
          <w:szCs w:val="22"/>
        </w:rPr>
        <w:t>recruited from</w:t>
      </w:r>
      <w:r w:rsidR="00116988">
        <w:rPr>
          <w:rFonts w:ascii="Calibri" w:hAnsi="Calibri" w:cs="Calibri"/>
          <w:sz w:val="22"/>
          <w:szCs w:val="22"/>
        </w:rPr>
        <w:t xml:space="preserve"> industry bodies</w:t>
      </w:r>
      <w:r w:rsidR="00E439F0">
        <w:rPr>
          <w:rFonts w:ascii="Calibri" w:hAnsi="Calibri" w:cs="Calibri"/>
          <w:sz w:val="22"/>
          <w:szCs w:val="22"/>
        </w:rPr>
        <w:t xml:space="preserve"> affected by the policy</w:t>
      </w:r>
      <w:r w:rsidR="00116988">
        <w:rPr>
          <w:rFonts w:ascii="Calibri" w:hAnsi="Calibri" w:cs="Calibri"/>
          <w:sz w:val="22"/>
          <w:szCs w:val="22"/>
        </w:rPr>
        <w:t xml:space="preserve">, </w:t>
      </w:r>
      <w:r w:rsidR="00FB0BA4">
        <w:rPr>
          <w:rFonts w:ascii="Calibri" w:hAnsi="Calibri" w:cs="Calibri"/>
          <w:sz w:val="22"/>
          <w:szCs w:val="22"/>
        </w:rPr>
        <w:t>companies</w:t>
      </w:r>
      <w:r w:rsidR="005E5233">
        <w:rPr>
          <w:rFonts w:ascii="Calibri" w:hAnsi="Calibri" w:cs="Calibri"/>
          <w:sz w:val="22"/>
          <w:szCs w:val="22"/>
        </w:rPr>
        <w:t xml:space="preserve"> contract</w:t>
      </w:r>
      <w:r w:rsidR="00FB0BA4">
        <w:rPr>
          <w:rFonts w:ascii="Calibri" w:hAnsi="Calibri" w:cs="Calibri"/>
          <w:sz w:val="22"/>
          <w:szCs w:val="22"/>
        </w:rPr>
        <w:t>ed</w:t>
      </w:r>
      <w:r w:rsidR="005E5233">
        <w:rPr>
          <w:rFonts w:ascii="Calibri" w:hAnsi="Calibri" w:cs="Calibri"/>
          <w:sz w:val="22"/>
          <w:szCs w:val="22"/>
        </w:rPr>
        <w:t xml:space="preserve"> with TfL to </w:t>
      </w:r>
      <w:r w:rsidR="00FB0BA4">
        <w:rPr>
          <w:rFonts w:ascii="Calibri" w:hAnsi="Calibri" w:cs="Calibri"/>
          <w:sz w:val="22"/>
          <w:szCs w:val="22"/>
        </w:rPr>
        <w:t xml:space="preserve">market and </w:t>
      </w:r>
      <w:r w:rsidR="005E5233">
        <w:rPr>
          <w:rFonts w:ascii="Calibri" w:hAnsi="Calibri" w:cs="Calibri"/>
          <w:sz w:val="22"/>
          <w:szCs w:val="22"/>
        </w:rPr>
        <w:t>manage its</w:t>
      </w:r>
      <w:r w:rsidR="00FB0BA4">
        <w:rPr>
          <w:rFonts w:ascii="Calibri" w:hAnsi="Calibri" w:cs="Calibri"/>
          <w:sz w:val="22"/>
          <w:szCs w:val="22"/>
        </w:rPr>
        <w:t xml:space="preserve"> advertising sites</w:t>
      </w:r>
      <w:r w:rsidR="005E5233">
        <w:rPr>
          <w:rFonts w:ascii="Calibri" w:hAnsi="Calibri" w:cs="Calibri"/>
          <w:sz w:val="22"/>
          <w:szCs w:val="22"/>
        </w:rPr>
        <w:t xml:space="preserve"> and sell space to advertisers</w:t>
      </w:r>
      <w:r w:rsidR="00FB0BA4">
        <w:rPr>
          <w:rFonts w:ascii="Calibri" w:hAnsi="Calibri" w:cs="Calibri"/>
          <w:sz w:val="22"/>
          <w:szCs w:val="22"/>
        </w:rPr>
        <w:t>,</w:t>
      </w:r>
      <w:r w:rsidR="006D78F0">
        <w:rPr>
          <w:rFonts w:ascii="Calibri" w:hAnsi="Calibri" w:cs="Calibri"/>
          <w:sz w:val="22"/>
          <w:szCs w:val="22"/>
        </w:rPr>
        <w:t xml:space="preserve"> and </w:t>
      </w:r>
      <w:r w:rsidR="005E5233">
        <w:rPr>
          <w:rFonts w:ascii="Calibri" w:hAnsi="Calibri" w:cs="Calibri"/>
          <w:sz w:val="22"/>
          <w:szCs w:val="22"/>
        </w:rPr>
        <w:t xml:space="preserve">media </w:t>
      </w:r>
      <w:r w:rsidR="00AB11B2">
        <w:rPr>
          <w:rFonts w:ascii="Calibri" w:hAnsi="Calibri" w:cs="Calibri"/>
          <w:sz w:val="22"/>
          <w:szCs w:val="22"/>
        </w:rPr>
        <w:t>buyers</w:t>
      </w:r>
      <w:r w:rsidR="005E5233">
        <w:rPr>
          <w:rFonts w:ascii="Calibri" w:hAnsi="Calibri" w:cs="Calibri"/>
          <w:sz w:val="22"/>
          <w:szCs w:val="22"/>
        </w:rPr>
        <w:t xml:space="preserve"> (</w:t>
      </w:r>
      <w:r w:rsidR="00FB0BA4">
        <w:rPr>
          <w:rFonts w:ascii="Calibri" w:hAnsi="Calibri" w:cs="Calibri"/>
          <w:sz w:val="22"/>
          <w:szCs w:val="22"/>
        </w:rPr>
        <w:t xml:space="preserve">companies and agencies </w:t>
      </w:r>
      <w:r w:rsidR="005E5233">
        <w:rPr>
          <w:rFonts w:ascii="Calibri" w:hAnsi="Calibri" w:cs="Calibri"/>
          <w:sz w:val="22"/>
          <w:szCs w:val="22"/>
        </w:rPr>
        <w:t xml:space="preserve">who purchase advertising space </w:t>
      </w:r>
      <w:r w:rsidR="00FB0BA4">
        <w:rPr>
          <w:rFonts w:ascii="Calibri" w:hAnsi="Calibri" w:cs="Calibri"/>
          <w:sz w:val="22"/>
          <w:szCs w:val="22"/>
        </w:rPr>
        <w:t>on behalf of</w:t>
      </w:r>
      <w:r w:rsidR="005E5233">
        <w:rPr>
          <w:rFonts w:ascii="Calibri" w:hAnsi="Calibri" w:cs="Calibri"/>
          <w:sz w:val="22"/>
          <w:szCs w:val="22"/>
        </w:rPr>
        <w:t xml:space="preserve"> clients</w:t>
      </w:r>
      <w:r w:rsidR="00FB0BA4">
        <w:rPr>
          <w:rFonts w:ascii="Calibri" w:hAnsi="Calibri" w:cs="Calibri"/>
          <w:sz w:val="22"/>
          <w:szCs w:val="22"/>
        </w:rPr>
        <w:t xml:space="preserve"> and</w:t>
      </w:r>
      <w:r w:rsidR="005E5233">
        <w:rPr>
          <w:rFonts w:ascii="Calibri" w:hAnsi="Calibri" w:cs="Calibri"/>
          <w:sz w:val="22"/>
          <w:szCs w:val="22"/>
        </w:rPr>
        <w:t xml:space="preserve"> brands)</w:t>
      </w:r>
      <w:r w:rsidR="006D78F0">
        <w:rPr>
          <w:rFonts w:ascii="Calibri" w:hAnsi="Calibri" w:cs="Calibri"/>
          <w:sz w:val="22"/>
          <w:szCs w:val="22"/>
        </w:rPr>
        <w:t>,</w:t>
      </w:r>
      <w:r w:rsidR="005B3399" w:rsidRPr="00F66DB4">
        <w:rPr>
          <w:rFonts w:ascii="Calibri" w:hAnsi="Calibri" w:cs="Calibri"/>
          <w:sz w:val="22"/>
          <w:szCs w:val="22"/>
        </w:rPr>
        <w:t xml:space="preserve"> </w:t>
      </w:r>
      <w:r w:rsidR="0096533C">
        <w:rPr>
          <w:rFonts w:ascii="Calibri" w:hAnsi="Calibri" w:cs="Calibri"/>
          <w:sz w:val="22"/>
          <w:szCs w:val="22"/>
        </w:rPr>
        <w:t xml:space="preserve">and food </w:t>
      </w:r>
      <w:r w:rsidR="00A02474">
        <w:rPr>
          <w:rFonts w:ascii="Calibri" w:hAnsi="Calibri" w:cs="Calibri"/>
          <w:sz w:val="22"/>
          <w:szCs w:val="22"/>
        </w:rPr>
        <w:t xml:space="preserve">and beverage </w:t>
      </w:r>
      <w:r w:rsidR="0096533C">
        <w:rPr>
          <w:rFonts w:ascii="Calibri" w:hAnsi="Calibri" w:cs="Calibri"/>
          <w:sz w:val="22"/>
          <w:szCs w:val="22"/>
        </w:rPr>
        <w:t>brands</w:t>
      </w:r>
      <w:r w:rsidRPr="00F66DB4">
        <w:rPr>
          <w:rFonts w:ascii="Calibri" w:hAnsi="Calibri" w:cs="Calibri"/>
          <w:sz w:val="22"/>
          <w:szCs w:val="22"/>
        </w:rPr>
        <w:t xml:space="preserve">. </w:t>
      </w:r>
    </w:p>
    <w:p w14:paraId="2D5D3FB4" w14:textId="5E083063" w:rsidR="005B3399" w:rsidRDefault="005B3399" w:rsidP="00475D3F">
      <w:pPr>
        <w:pStyle w:val="Heading3"/>
        <w:spacing w:line="360" w:lineRule="auto"/>
      </w:pPr>
    </w:p>
    <w:p w14:paraId="7B352100" w14:textId="18911CC3" w:rsidR="005B3399" w:rsidRDefault="005B3399" w:rsidP="00475D3F">
      <w:pPr>
        <w:pStyle w:val="Heading3"/>
        <w:spacing w:line="360" w:lineRule="auto"/>
      </w:pPr>
      <w:r>
        <w:t>Data collection</w:t>
      </w:r>
    </w:p>
    <w:p w14:paraId="57328087" w14:textId="4AA57141" w:rsidR="005B3399" w:rsidRPr="00C319B4" w:rsidRDefault="00217C14" w:rsidP="00475D3F">
      <w:pPr>
        <w:spacing w:line="360" w:lineRule="auto"/>
        <w:rPr>
          <w:rFonts w:ascii="Calibri" w:hAnsi="Calibri" w:cs="Calibri"/>
          <w:sz w:val="22"/>
          <w:szCs w:val="22"/>
        </w:rPr>
      </w:pPr>
      <w:r>
        <w:rPr>
          <w:rFonts w:ascii="Calibri" w:hAnsi="Calibri" w:cs="Calibri"/>
          <w:sz w:val="22"/>
          <w:szCs w:val="22"/>
        </w:rPr>
        <w:t>We conducted semi-structured interviews</w:t>
      </w:r>
      <w:r w:rsidR="008B56B7">
        <w:rPr>
          <w:rFonts w:ascii="Calibri" w:hAnsi="Calibri" w:cs="Calibri"/>
          <w:sz w:val="22"/>
          <w:szCs w:val="22"/>
        </w:rPr>
        <w:t xml:space="preserve"> (in-person and by telephone)</w:t>
      </w:r>
      <w:r w:rsidR="00632A8E">
        <w:rPr>
          <w:rFonts w:ascii="Calibri" w:hAnsi="Calibri" w:cs="Calibri"/>
          <w:sz w:val="22"/>
          <w:szCs w:val="22"/>
        </w:rPr>
        <w:t>,</w:t>
      </w:r>
      <w:r w:rsidR="00632A8E" w:rsidRPr="00632A8E">
        <w:rPr>
          <w:rFonts w:ascii="Calibri" w:hAnsi="Calibri" w:cs="Calibri"/>
          <w:sz w:val="22"/>
          <w:szCs w:val="22"/>
        </w:rPr>
        <w:t xml:space="preserve"> </w:t>
      </w:r>
      <w:r w:rsidR="00632A8E" w:rsidRPr="00F66DB4">
        <w:rPr>
          <w:rFonts w:ascii="Calibri" w:hAnsi="Calibri" w:cs="Calibri"/>
          <w:sz w:val="22"/>
          <w:szCs w:val="22"/>
        </w:rPr>
        <w:t>explor</w:t>
      </w:r>
      <w:r w:rsidR="00632A8E">
        <w:rPr>
          <w:rFonts w:ascii="Calibri" w:hAnsi="Calibri" w:cs="Calibri"/>
          <w:sz w:val="22"/>
          <w:szCs w:val="22"/>
        </w:rPr>
        <w:t>ing</w:t>
      </w:r>
      <w:r w:rsidR="00632A8E" w:rsidRPr="00F66DB4">
        <w:rPr>
          <w:rFonts w:ascii="Calibri" w:hAnsi="Calibri" w:cs="Calibri"/>
          <w:sz w:val="22"/>
          <w:szCs w:val="22"/>
        </w:rPr>
        <w:t xml:space="preserve"> </w:t>
      </w:r>
      <w:r w:rsidR="00DE09C3" w:rsidRPr="00F66DB4">
        <w:rPr>
          <w:rFonts w:ascii="Calibri" w:hAnsi="Calibri" w:cs="Calibri"/>
          <w:sz w:val="22"/>
          <w:szCs w:val="22"/>
        </w:rPr>
        <w:t xml:space="preserve">the values underpinning </w:t>
      </w:r>
      <w:r w:rsidR="00632A8E" w:rsidRPr="00F66DB4">
        <w:rPr>
          <w:rFonts w:ascii="Calibri" w:hAnsi="Calibri" w:cs="Calibri"/>
          <w:sz w:val="22"/>
          <w:szCs w:val="22"/>
        </w:rPr>
        <w:t>the policy</w:t>
      </w:r>
      <w:r w:rsidR="00A02474">
        <w:rPr>
          <w:rFonts w:ascii="Calibri" w:hAnsi="Calibri" w:cs="Calibri"/>
          <w:sz w:val="22"/>
          <w:szCs w:val="22"/>
        </w:rPr>
        <w:t>,</w:t>
      </w:r>
      <w:r w:rsidR="00632A8E" w:rsidRPr="00F66DB4">
        <w:rPr>
          <w:rFonts w:ascii="Calibri" w:hAnsi="Calibri" w:cs="Calibri"/>
          <w:sz w:val="22"/>
          <w:szCs w:val="22"/>
        </w:rPr>
        <w:t xml:space="preserve"> and </w:t>
      </w:r>
      <w:r w:rsidR="00DE09C3" w:rsidRPr="00F66DB4">
        <w:rPr>
          <w:rFonts w:ascii="Calibri" w:hAnsi="Calibri" w:cs="Calibri"/>
          <w:sz w:val="22"/>
          <w:szCs w:val="22"/>
        </w:rPr>
        <w:t xml:space="preserve">narratives </w:t>
      </w:r>
      <w:r w:rsidR="00DE09C3">
        <w:rPr>
          <w:rFonts w:ascii="Calibri" w:hAnsi="Calibri" w:cs="Calibri"/>
          <w:sz w:val="22"/>
          <w:szCs w:val="22"/>
        </w:rPr>
        <w:t>around</w:t>
      </w:r>
      <w:r w:rsidR="00DE09C3" w:rsidRPr="00F66DB4">
        <w:rPr>
          <w:rFonts w:ascii="Calibri" w:hAnsi="Calibri" w:cs="Calibri"/>
          <w:sz w:val="22"/>
          <w:szCs w:val="22"/>
        </w:rPr>
        <w:t xml:space="preserve"> the </w:t>
      </w:r>
      <w:r w:rsidR="00DE09C3">
        <w:rPr>
          <w:rFonts w:ascii="Calibri" w:hAnsi="Calibri" w:cs="Calibri"/>
          <w:sz w:val="22"/>
          <w:szCs w:val="22"/>
        </w:rPr>
        <w:t xml:space="preserve">policy’s </w:t>
      </w:r>
      <w:r w:rsidR="00DE09C3" w:rsidRPr="00F66DB4">
        <w:rPr>
          <w:rFonts w:ascii="Calibri" w:hAnsi="Calibri" w:cs="Calibri"/>
          <w:sz w:val="22"/>
          <w:szCs w:val="22"/>
        </w:rPr>
        <w:t>development and implementation</w:t>
      </w:r>
      <w:r>
        <w:rPr>
          <w:rFonts w:ascii="Calibri" w:hAnsi="Calibri" w:cs="Calibri"/>
          <w:sz w:val="22"/>
          <w:szCs w:val="22"/>
        </w:rPr>
        <w:t xml:space="preserve">. </w:t>
      </w:r>
      <w:r w:rsidR="00583FAF" w:rsidRPr="00F66DB4">
        <w:rPr>
          <w:rFonts w:ascii="Calibri" w:hAnsi="Calibri" w:cs="Calibri"/>
          <w:sz w:val="22"/>
          <w:szCs w:val="22"/>
        </w:rPr>
        <w:t xml:space="preserve">Interview topic guides were </w:t>
      </w:r>
      <w:r w:rsidR="005B3399" w:rsidRPr="00F66DB4">
        <w:rPr>
          <w:rFonts w:ascii="Calibri" w:hAnsi="Calibri" w:cs="Calibri"/>
          <w:sz w:val="22"/>
          <w:szCs w:val="22"/>
        </w:rPr>
        <w:t xml:space="preserve">developed </w:t>
      </w:r>
      <w:r w:rsidR="0096533C">
        <w:rPr>
          <w:rFonts w:ascii="Calibri" w:hAnsi="Calibri" w:cs="Calibri"/>
          <w:sz w:val="22"/>
          <w:szCs w:val="22"/>
        </w:rPr>
        <w:t xml:space="preserve">and </w:t>
      </w:r>
      <w:r w:rsidR="005B3399" w:rsidRPr="00F66DB4">
        <w:rPr>
          <w:rFonts w:ascii="Calibri" w:hAnsi="Calibri" w:cs="Calibri"/>
          <w:sz w:val="22"/>
          <w:szCs w:val="22"/>
        </w:rPr>
        <w:t>piloted prior to</w:t>
      </w:r>
      <w:r w:rsidR="0096533C">
        <w:rPr>
          <w:rFonts w:ascii="Calibri" w:hAnsi="Calibri" w:cs="Calibri"/>
          <w:sz w:val="22"/>
          <w:szCs w:val="22"/>
        </w:rPr>
        <w:t xml:space="preserve"> </w:t>
      </w:r>
      <w:r w:rsidR="005B3399" w:rsidRPr="00F66DB4">
        <w:rPr>
          <w:rFonts w:ascii="Calibri" w:hAnsi="Calibri" w:cs="Calibri"/>
          <w:sz w:val="22"/>
          <w:szCs w:val="22"/>
        </w:rPr>
        <w:t>data collection</w:t>
      </w:r>
      <w:r w:rsidR="00632A8E">
        <w:rPr>
          <w:rFonts w:ascii="Calibri" w:hAnsi="Calibri" w:cs="Calibri"/>
          <w:sz w:val="22"/>
          <w:szCs w:val="22"/>
        </w:rPr>
        <w:t xml:space="preserve">, </w:t>
      </w:r>
      <w:r w:rsidR="002B0C50">
        <w:rPr>
          <w:rFonts w:ascii="Calibri" w:hAnsi="Calibri" w:cs="Calibri"/>
          <w:sz w:val="22"/>
          <w:szCs w:val="22"/>
        </w:rPr>
        <w:t>which</w:t>
      </w:r>
      <w:r w:rsidR="00632A8E">
        <w:rPr>
          <w:rFonts w:ascii="Calibri" w:hAnsi="Calibri" w:cs="Calibri"/>
          <w:sz w:val="22"/>
          <w:szCs w:val="22"/>
        </w:rPr>
        <w:t xml:space="preserve"> took place from </w:t>
      </w:r>
      <w:r w:rsidR="00F962EB">
        <w:rPr>
          <w:rFonts w:ascii="Calibri" w:hAnsi="Calibri" w:cs="Calibri"/>
          <w:sz w:val="22"/>
          <w:szCs w:val="22"/>
        </w:rPr>
        <w:t>June</w:t>
      </w:r>
      <w:r w:rsidR="00065784">
        <w:rPr>
          <w:rFonts w:ascii="Calibri" w:hAnsi="Calibri" w:cs="Calibri"/>
          <w:sz w:val="22"/>
          <w:szCs w:val="22"/>
        </w:rPr>
        <w:t xml:space="preserve"> 2019</w:t>
      </w:r>
      <w:r w:rsidR="00632A8E">
        <w:rPr>
          <w:rFonts w:ascii="Calibri" w:hAnsi="Calibri" w:cs="Calibri"/>
          <w:sz w:val="22"/>
          <w:szCs w:val="22"/>
        </w:rPr>
        <w:t>-</w:t>
      </w:r>
      <w:r w:rsidR="00065784">
        <w:rPr>
          <w:rFonts w:ascii="Calibri" w:hAnsi="Calibri" w:cs="Calibri"/>
          <w:sz w:val="22"/>
          <w:szCs w:val="22"/>
        </w:rPr>
        <w:t>May 2020</w:t>
      </w:r>
      <w:r w:rsidR="008B56B7">
        <w:rPr>
          <w:rFonts w:ascii="Calibri" w:hAnsi="Calibri" w:cs="Calibri"/>
          <w:sz w:val="22"/>
          <w:szCs w:val="22"/>
        </w:rPr>
        <w:t xml:space="preserve"> with fieldwork delays due to the COVID-19 pandemic</w:t>
      </w:r>
      <w:r w:rsidR="005B3399" w:rsidRPr="00F66DB4">
        <w:rPr>
          <w:rFonts w:ascii="Calibri" w:hAnsi="Calibri" w:cs="Calibri"/>
          <w:sz w:val="22"/>
          <w:szCs w:val="22"/>
        </w:rPr>
        <w:t xml:space="preserve">. Topic guides for interviews with </w:t>
      </w:r>
      <w:r w:rsidR="00DE09C3">
        <w:rPr>
          <w:rFonts w:ascii="Calibri" w:hAnsi="Calibri" w:cs="Calibri"/>
          <w:sz w:val="22"/>
          <w:szCs w:val="22"/>
        </w:rPr>
        <w:t xml:space="preserve">implementation </w:t>
      </w:r>
      <w:r w:rsidR="00583FAF" w:rsidRPr="00F66DB4">
        <w:rPr>
          <w:rFonts w:ascii="Calibri" w:hAnsi="Calibri" w:cs="Calibri"/>
          <w:sz w:val="22"/>
          <w:szCs w:val="22"/>
        </w:rPr>
        <w:t>stakeholders</w:t>
      </w:r>
      <w:r w:rsidR="005B3399" w:rsidRPr="00F66DB4">
        <w:rPr>
          <w:rFonts w:ascii="Calibri" w:hAnsi="Calibri" w:cs="Calibri"/>
          <w:sz w:val="22"/>
          <w:szCs w:val="22"/>
        </w:rPr>
        <w:t xml:space="preserve"> asked about their role, barriers</w:t>
      </w:r>
      <w:r w:rsidR="00F0672A">
        <w:rPr>
          <w:rFonts w:ascii="Calibri" w:hAnsi="Calibri" w:cs="Calibri"/>
          <w:sz w:val="22"/>
          <w:szCs w:val="22"/>
        </w:rPr>
        <w:t xml:space="preserve"> to</w:t>
      </w:r>
      <w:r w:rsidR="005B3399" w:rsidRPr="00F66DB4">
        <w:rPr>
          <w:rFonts w:ascii="Calibri" w:hAnsi="Calibri" w:cs="Calibri"/>
          <w:sz w:val="22"/>
          <w:szCs w:val="22"/>
        </w:rPr>
        <w:t xml:space="preserve"> and facilitators </w:t>
      </w:r>
      <w:r w:rsidR="00F0672A">
        <w:rPr>
          <w:rFonts w:ascii="Calibri" w:hAnsi="Calibri" w:cs="Calibri"/>
          <w:sz w:val="22"/>
          <w:szCs w:val="22"/>
        </w:rPr>
        <w:t>of</w:t>
      </w:r>
      <w:r w:rsidR="00F0672A" w:rsidRPr="00F66DB4">
        <w:rPr>
          <w:rFonts w:ascii="Calibri" w:hAnsi="Calibri" w:cs="Calibri"/>
          <w:sz w:val="22"/>
          <w:szCs w:val="22"/>
        </w:rPr>
        <w:t xml:space="preserve"> </w:t>
      </w:r>
      <w:r w:rsidR="005B3399" w:rsidRPr="00F66DB4">
        <w:rPr>
          <w:rFonts w:ascii="Calibri" w:hAnsi="Calibri" w:cs="Calibri"/>
          <w:sz w:val="22"/>
          <w:szCs w:val="22"/>
        </w:rPr>
        <w:t xml:space="preserve">the development and implementation process and any unintended consequences. Interviews with marketing and food industry </w:t>
      </w:r>
      <w:r w:rsidR="00583FAF" w:rsidRPr="00F66DB4">
        <w:rPr>
          <w:rFonts w:ascii="Calibri" w:hAnsi="Calibri" w:cs="Calibri"/>
          <w:sz w:val="22"/>
          <w:szCs w:val="22"/>
        </w:rPr>
        <w:t xml:space="preserve">stakeholders </w:t>
      </w:r>
      <w:r w:rsidR="0096533C">
        <w:rPr>
          <w:rFonts w:ascii="Calibri" w:hAnsi="Calibri" w:cs="Calibri"/>
          <w:sz w:val="22"/>
          <w:szCs w:val="22"/>
        </w:rPr>
        <w:t>explored</w:t>
      </w:r>
      <w:r w:rsidR="005B3399" w:rsidRPr="00F66DB4">
        <w:rPr>
          <w:rFonts w:ascii="Calibri" w:hAnsi="Calibri" w:cs="Calibri"/>
          <w:sz w:val="22"/>
          <w:szCs w:val="22"/>
        </w:rPr>
        <w:t xml:space="preserve"> perceptions and acceptability of the removal of advertising</w:t>
      </w:r>
      <w:r w:rsidR="002B0C50">
        <w:rPr>
          <w:rFonts w:ascii="Calibri" w:hAnsi="Calibri" w:cs="Calibri"/>
          <w:sz w:val="22"/>
          <w:szCs w:val="22"/>
        </w:rPr>
        <w:t xml:space="preserve"> for HFSS products</w:t>
      </w:r>
      <w:r w:rsidR="005B3399" w:rsidRPr="00F66DB4">
        <w:rPr>
          <w:rFonts w:ascii="Calibri" w:hAnsi="Calibri" w:cs="Calibri"/>
          <w:sz w:val="22"/>
          <w:szCs w:val="22"/>
        </w:rPr>
        <w:t>, impact</w:t>
      </w:r>
      <w:r w:rsidR="0096533C">
        <w:rPr>
          <w:rFonts w:ascii="Calibri" w:hAnsi="Calibri" w:cs="Calibri"/>
          <w:sz w:val="22"/>
          <w:szCs w:val="22"/>
        </w:rPr>
        <w:t xml:space="preserve"> on business</w:t>
      </w:r>
      <w:r w:rsidR="005B3399" w:rsidRPr="00F66DB4">
        <w:rPr>
          <w:rFonts w:ascii="Calibri" w:hAnsi="Calibri" w:cs="Calibri"/>
          <w:sz w:val="22"/>
          <w:szCs w:val="22"/>
        </w:rPr>
        <w:t xml:space="preserve"> and changes made as a result of the </w:t>
      </w:r>
      <w:r w:rsidR="00D355A5">
        <w:rPr>
          <w:rFonts w:ascii="Calibri" w:hAnsi="Calibri" w:cs="Calibri"/>
          <w:sz w:val="22"/>
          <w:szCs w:val="22"/>
        </w:rPr>
        <w:t>policy</w:t>
      </w:r>
      <w:r w:rsidR="005B3399" w:rsidRPr="00F66DB4">
        <w:rPr>
          <w:rFonts w:ascii="Calibri" w:hAnsi="Calibri" w:cs="Calibri"/>
          <w:sz w:val="22"/>
          <w:szCs w:val="22"/>
        </w:rPr>
        <w:t xml:space="preserve">. All interviews </w:t>
      </w:r>
      <w:r w:rsidR="00583FAF" w:rsidRPr="00F66DB4">
        <w:rPr>
          <w:rFonts w:ascii="Calibri" w:hAnsi="Calibri" w:cs="Calibri"/>
          <w:sz w:val="22"/>
          <w:szCs w:val="22"/>
        </w:rPr>
        <w:t>were</w:t>
      </w:r>
      <w:r w:rsidR="005B3399" w:rsidRPr="00F66DB4">
        <w:rPr>
          <w:rFonts w:ascii="Calibri" w:hAnsi="Calibri" w:cs="Calibri"/>
          <w:sz w:val="22"/>
          <w:szCs w:val="22"/>
        </w:rPr>
        <w:t xml:space="preserve"> audio-recorded, subject to participant consent.</w:t>
      </w:r>
      <w:r w:rsidR="00583FAF" w:rsidRPr="00F66DB4">
        <w:rPr>
          <w:rFonts w:ascii="Calibri" w:hAnsi="Calibri" w:cs="Calibri"/>
          <w:sz w:val="22"/>
          <w:szCs w:val="22"/>
        </w:rPr>
        <w:t xml:space="preserve"> Where</w:t>
      </w:r>
      <w:r w:rsidR="005B3399" w:rsidRPr="00F66DB4">
        <w:rPr>
          <w:rFonts w:ascii="Calibri" w:hAnsi="Calibri" w:cs="Calibri"/>
          <w:sz w:val="22"/>
          <w:szCs w:val="22"/>
        </w:rPr>
        <w:t xml:space="preserve"> participants </w:t>
      </w:r>
      <w:r w:rsidR="00583FAF" w:rsidRPr="00F66DB4">
        <w:rPr>
          <w:rFonts w:ascii="Calibri" w:hAnsi="Calibri" w:cs="Calibri"/>
          <w:sz w:val="22"/>
          <w:szCs w:val="22"/>
        </w:rPr>
        <w:t>did</w:t>
      </w:r>
      <w:r w:rsidR="005B3399" w:rsidRPr="00F66DB4">
        <w:rPr>
          <w:rFonts w:ascii="Calibri" w:hAnsi="Calibri" w:cs="Calibri"/>
          <w:sz w:val="22"/>
          <w:szCs w:val="22"/>
        </w:rPr>
        <w:t xml:space="preserve"> not consent to audio recording</w:t>
      </w:r>
      <w:r w:rsidR="00F02051">
        <w:rPr>
          <w:rFonts w:ascii="Calibri" w:hAnsi="Calibri" w:cs="Calibri"/>
          <w:sz w:val="22"/>
          <w:szCs w:val="22"/>
        </w:rPr>
        <w:t xml:space="preserve"> (n=</w:t>
      </w:r>
      <w:r w:rsidR="00846663">
        <w:rPr>
          <w:rFonts w:ascii="Calibri" w:hAnsi="Calibri" w:cs="Calibri"/>
          <w:sz w:val="22"/>
          <w:szCs w:val="22"/>
        </w:rPr>
        <w:t>2</w:t>
      </w:r>
      <w:r w:rsidR="00E04027">
        <w:rPr>
          <w:rFonts w:ascii="Calibri" w:hAnsi="Calibri" w:cs="Calibri"/>
          <w:sz w:val="22"/>
          <w:szCs w:val="22"/>
        </w:rPr>
        <w:t>; one implementation and one industry stakeholder</w:t>
      </w:r>
      <w:r w:rsidR="00F02051">
        <w:rPr>
          <w:rFonts w:ascii="Calibri" w:hAnsi="Calibri" w:cs="Calibri"/>
          <w:sz w:val="22"/>
          <w:szCs w:val="22"/>
        </w:rPr>
        <w:t>)</w:t>
      </w:r>
      <w:r w:rsidR="005B3399" w:rsidRPr="00F66DB4">
        <w:rPr>
          <w:rFonts w:ascii="Calibri" w:hAnsi="Calibri" w:cs="Calibri"/>
          <w:sz w:val="22"/>
          <w:szCs w:val="22"/>
        </w:rPr>
        <w:t xml:space="preserve">, the researcher </w:t>
      </w:r>
      <w:r w:rsidR="00E04027">
        <w:rPr>
          <w:rFonts w:ascii="Calibri" w:hAnsi="Calibri" w:cs="Calibri"/>
          <w:sz w:val="22"/>
          <w:szCs w:val="22"/>
        </w:rPr>
        <w:t xml:space="preserve">(VE) </w:t>
      </w:r>
      <w:r w:rsidR="00583FAF" w:rsidRPr="00F66DB4">
        <w:rPr>
          <w:rFonts w:ascii="Calibri" w:hAnsi="Calibri" w:cs="Calibri"/>
          <w:sz w:val="22"/>
          <w:szCs w:val="22"/>
        </w:rPr>
        <w:t>took</w:t>
      </w:r>
      <w:r w:rsidR="005B3399" w:rsidRPr="00F66DB4">
        <w:rPr>
          <w:rFonts w:ascii="Calibri" w:hAnsi="Calibri" w:cs="Calibri"/>
          <w:sz w:val="22"/>
          <w:szCs w:val="22"/>
        </w:rPr>
        <w:t xml:space="preserve"> comprehensive</w:t>
      </w:r>
      <w:r w:rsidR="0064272D">
        <w:rPr>
          <w:rFonts w:ascii="Calibri" w:hAnsi="Calibri" w:cs="Calibri"/>
          <w:sz w:val="22"/>
          <w:szCs w:val="22"/>
        </w:rPr>
        <w:t xml:space="preserve"> interview</w:t>
      </w:r>
      <w:r w:rsidR="005B3399" w:rsidRPr="00F66DB4">
        <w:rPr>
          <w:rFonts w:ascii="Calibri" w:hAnsi="Calibri" w:cs="Calibri"/>
          <w:sz w:val="22"/>
          <w:szCs w:val="22"/>
        </w:rPr>
        <w:t xml:space="preserve"> notes.</w:t>
      </w:r>
      <w:r w:rsidR="00220805">
        <w:rPr>
          <w:rFonts w:ascii="Calibri" w:hAnsi="Calibri" w:cs="Calibri"/>
          <w:sz w:val="22"/>
          <w:szCs w:val="22"/>
        </w:rPr>
        <w:t xml:space="preserve"> Audio-recorded interviews were transcribed </w:t>
      </w:r>
      <w:r w:rsidR="00220805" w:rsidRPr="009B088D">
        <w:rPr>
          <w:rFonts w:ascii="Calibri" w:hAnsi="Calibri" w:cs="Calibri"/>
          <w:sz w:val="22"/>
          <w:szCs w:val="22"/>
        </w:rPr>
        <w:t>verbatim</w:t>
      </w:r>
      <w:r w:rsidR="00220805">
        <w:rPr>
          <w:rFonts w:ascii="Calibri" w:hAnsi="Calibri" w:cs="Calibri"/>
          <w:sz w:val="22"/>
          <w:szCs w:val="22"/>
        </w:rPr>
        <w:t>.</w:t>
      </w:r>
    </w:p>
    <w:p w14:paraId="20F7D541" w14:textId="77777777" w:rsidR="005B3399" w:rsidRPr="005B3399" w:rsidRDefault="005B3399" w:rsidP="00475D3F">
      <w:pPr>
        <w:spacing w:line="360" w:lineRule="auto"/>
      </w:pPr>
    </w:p>
    <w:p w14:paraId="203172AC" w14:textId="3FECAED9" w:rsidR="005B3399" w:rsidRDefault="005B3399" w:rsidP="00475D3F">
      <w:pPr>
        <w:pStyle w:val="Heading3"/>
        <w:spacing w:line="360" w:lineRule="auto"/>
      </w:pPr>
      <w:r>
        <w:t>Data analysis</w:t>
      </w:r>
    </w:p>
    <w:p w14:paraId="75FC93D8" w14:textId="32668B88" w:rsidR="00583FAF" w:rsidRPr="00F66DB4" w:rsidRDefault="00583FAF" w:rsidP="00475D3F">
      <w:pPr>
        <w:spacing w:line="360" w:lineRule="auto"/>
        <w:rPr>
          <w:rFonts w:ascii="Calibri" w:hAnsi="Calibri" w:cs="Calibri"/>
          <w:sz w:val="22"/>
          <w:szCs w:val="22"/>
        </w:rPr>
      </w:pPr>
      <w:r w:rsidRPr="00F66DB4">
        <w:rPr>
          <w:rFonts w:ascii="Calibri" w:hAnsi="Calibri" w:cs="Calibri"/>
          <w:sz w:val="22"/>
          <w:szCs w:val="22"/>
        </w:rPr>
        <w:t>Interview</w:t>
      </w:r>
      <w:r w:rsidR="00220805">
        <w:rPr>
          <w:rFonts w:ascii="Calibri" w:hAnsi="Calibri" w:cs="Calibri"/>
          <w:sz w:val="22"/>
          <w:szCs w:val="22"/>
        </w:rPr>
        <w:t xml:space="preserve"> transcripts </w:t>
      </w:r>
      <w:r w:rsidRPr="00F66DB4">
        <w:rPr>
          <w:rFonts w:ascii="Calibri" w:hAnsi="Calibri" w:cs="Calibri"/>
          <w:sz w:val="22"/>
          <w:szCs w:val="22"/>
        </w:rPr>
        <w:t>were uploaded to</w:t>
      </w:r>
      <w:r w:rsidR="002978BC">
        <w:rPr>
          <w:rFonts w:ascii="Calibri" w:hAnsi="Calibri" w:cs="Calibri"/>
          <w:sz w:val="22"/>
          <w:szCs w:val="22"/>
        </w:rPr>
        <w:t xml:space="preserve"> the qualitative analysis software</w:t>
      </w:r>
      <w:r w:rsidRPr="00F66DB4">
        <w:rPr>
          <w:rFonts w:ascii="Calibri" w:hAnsi="Calibri" w:cs="Calibri"/>
          <w:sz w:val="22"/>
          <w:szCs w:val="22"/>
        </w:rPr>
        <w:t xml:space="preserve"> NVivo </w:t>
      </w:r>
      <w:r w:rsidR="00E53839">
        <w:rPr>
          <w:rFonts w:ascii="Calibri" w:hAnsi="Calibri" w:cs="Calibri"/>
          <w:sz w:val="22"/>
          <w:szCs w:val="22"/>
        </w:rPr>
        <w:t>12 Plus</w:t>
      </w:r>
      <w:r w:rsidR="00571EBB">
        <w:t xml:space="preserve"> </w:t>
      </w:r>
      <w:r w:rsidR="00436627">
        <w:rPr>
          <w:rFonts w:ascii="Calibri" w:hAnsi="Calibri" w:cs="Calibri"/>
          <w:sz w:val="22"/>
          <w:szCs w:val="22"/>
        </w:rPr>
        <w:fldChar w:fldCharType="begin"/>
      </w:r>
      <w:r w:rsidR="007A3286">
        <w:rPr>
          <w:rFonts w:ascii="Calibri" w:hAnsi="Calibri" w:cs="Calibri"/>
          <w:sz w:val="22"/>
          <w:szCs w:val="22"/>
        </w:rPr>
        <w:instrText xml:space="preserve"> ADDIN EN.CITE &lt;EndNote&gt;&lt;Cite&gt;&lt;Year&gt;2020&lt;/Year&gt;&lt;RecNum&gt;2&lt;/RecNum&gt;&lt;DisplayText&gt;(&amp;quot;Nvivo (Version 12 Plus),&amp;quot; 2020)&lt;/DisplayText&gt;&lt;record&gt;&lt;rec-number&gt;2&lt;/rec-number&gt;&lt;foreign-keys&gt;&lt;key app="EN" db-id="s9vsxe023afd99ezx5qpv5vrrspsex2xrs00" timestamp="1602758614"&gt;2&lt;/key&gt;&lt;/foreign-keys&gt;&lt;ref-type name="Computer Program"&gt;9&lt;/ref-type&gt;&lt;contributors&gt;&lt;/contributors&gt;&lt;titles&gt;&lt;title&gt;Nvivo (Version 12 Plus)&lt;/title&gt;&lt;/titles&gt;&lt;dates&gt;&lt;year&gt;2020&lt;/year&gt;&lt;/dates&gt;&lt;publisher&gt;QSR International Pty Ltd&lt;/publisher&gt;&lt;urls&gt;&lt;related-urls&gt;&lt;url&gt;https://www.qsrinternational.com/nvivo-qualitative-data-analysis-software/home&lt;/url&gt;&lt;/related-urls&gt;&lt;/urls&gt;&lt;/record&gt;&lt;/Cite&gt;&lt;/EndNote&gt;</w:instrText>
      </w:r>
      <w:r w:rsidR="00436627">
        <w:rPr>
          <w:rFonts w:ascii="Calibri" w:hAnsi="Calibri" w:cs="Calibri"/>
          <w:sz w:val="22"/>
          <w:szCs w:val="22"/>
        </w:rPr>
        <w:fldChar w:fldCharType="separate"/>
      </w:r>
      <w:r w:rsidR="007A3286">
        <w:rPr>
          <w:rFonts w:ascii="Calibri" w:hAnsi="Calibri" w:cs="Calibri"/>
          <w:noProof/>
          <w:sz w:val="22"/>
          <w:szCs w:val="22"/>
        </w:rPr>
        <w:t>("Nvivo (Version 12 Plus)," 2020)</w:t>
      </w:r>
      <w:r w:rsidR="00436627">
        <w:rPr>
          <w:rFonts w:ascii="Calibri" w:hAnsi="Calibri" w:cs="Calibri"/>
          <w:sz w:val="22"/>
          <w:szCs w:val="22"/>
        </w:rPr>
        <w:fldChar w:fldCharType="end"/>
      </w:r>
      <w:r w:rsidR="00571EBB">
        <w:rPr>
          <w:rFonts w:ascii="Calibri" w:hAnsi="Calibri" w:cs="Calibri"/>
          <w:sz w:val="22"/>
          <w:szCs w:val="22"/>
        </w:rPr>
        <w:t>.</w:t>
      </w:r>
      <w:r w:rsidR="00D60470" w:rsidRPr="00F66DB4">
        <w:rPr>
          <w:rFonts w:ascii="Calibri" w:hAnsi="Calibri" w:cs="Calibri"/>
          <w:sz w:val="22"/>
          <w:szCs w:val="22"/>
        </w:rPr>
        <w:t xml:space="preserve"> For interviews that were not audio</w:t>
      </w:r>
      <w:r w:rsidR="0064272D">
        <w:rPr>
          <w:rFonts w:ascii="Calibri" w:hAnsi="Calibri" w:cs="Calibri"/>
          <w:sz w:val="22"/>
          <w:szCs w:val="22"/>
        </w:rPr>
        <w:t>-</w:t>
      </w:r>
      <w:r w:rsidR="00D60470" w:rsidRPr="00F66DB4">
        <w:rPr>
          <w:rFonts w:ascii="Calibri" w:hAnsi="Calibri" w:cs="Calibri"/>
          <w:sz w:val="22"/>
          <w:szCs w:val="22"/>
        </w:rPr>
        <w:t>recorded</w:t>
      </w:r>
      <w:r w:rsidR="00F937E4">
        <w:rPr>
          <w:rFonts w:ascii="Calibri" w:hAnsi="Calibri" w:cs="Calibri"/>
          <w:sz w:val="22"/>
          <w:szCs w:val="22"/>
        </w:rPr>
        <w:t>,</w:t>
      </w:r>
      <w:r w:rsidR="00D60470" w:rsidRPr="00F66DB4">
        <w:rPr>
          <w:rFonts w:ascii="Calibri" w:hAnsi="Calibri" w:cs="Calibri"/>
          <w:sz w:val="22"/>
          <w:szCs w:val="22"/>
        </w:rPr>
        <w:t xml:space="preserve"> </w:t>
      </w:r>
      <w:r w:rsidR="003F6A0A">
        <w:rPr>
          <w:rFonts w:ascii="Calibri" w:hAnsi="Calibri" w:cs="Calibri"/>
          <w:sz w:val="22"/>
          <w:szCs w:val="22"/>
        </w:rPr>
        <w:t xml:space="preserve">fieldnotes </w:t>
      </w:r>
      <w:r w:rsidR="00D60470" w:rsidRPr="00F66DB4">
        <w:rPr>
          <w:rFonts w:ascii="Calibri" w:hAnsi="Calibri" w:cs="Calibri"/>
          <w:sz w:val="22"/>
          <w:szCs w:val="22"/>
        </w:rPr>
        <w:t xml:space="preserve">were </w:t>
      </w:r>
      <w:r w:rsidR="00C82D1D">
        <w:rPr>
          <w:rFonts w:ascii="Calibri" w:hAnsi="Calibri" w:cs="Calibri"/>
          <w:sz w:val="22"/>
          <w:szCs w:val="22"/>
        </w:rPr>
        <w:t xml:space="preserve">also </w:t>
      </w:r>
      <w:r w:rsidR="00D60470" w:rsidRPr="00F66DB4">
        <w:rPr>
          <w:rFonts w:ascii="Calibri" w:hAnsi="Calibri" w:cs="Calibri"/>
          <w:sz w:val="22"/>
          <w:szCs w:val="22"/>
        </w:rPr>
        <w:t xml:space="preserve">entered into </w:t>
      </w:r>
      <w:r w:rsidR="0064272D">
        <w:rPr>
          <w:rFonts w:ascii="Calibri" w:hAnsi="Calibri" w:cs="Calibri"/>
          <w:sz w:val="22"/>
          <w:szCs w:val="22"/>
        </w:rPr>
        <w:t>NVivo</w:t>
      </w:r>
      <w:r w:rsidR="002978BC" w:rsidRPr="00F66DB4">
        <w:rPr>
          <w:rFonts w:ascii="Calibri" w:hAnsi="Calibri" w:cs="Calibri"/>
          <w:sz w:val="22"/>
          <w:szCs w:val="22"/>
        </w:rPr>
        <w:t xml:space="preserve"> </w:t>
      </w:r>
      <w:r w:rsidR="00D60470" w:rsidRPr="00F66DB4">
        <w:rPr>
          <w:rFonts w:ascii="Calibri" w:hAnsi="Calibri" w:cs="Calibri"/>
          <w:sz w:val="22"/>
          <w:szCs w:val="22"/>
        </w:rPr>
        <w:t>for analysis alongside interview transcripts. Data were</w:t>
      </w:r>
      <w:r w:rsidRPr="00F66DB4">
        <w:rPr>
          <w:rFonts w:ascii="Calibri" w:hAnsi="Calibri" w:cs="Calibri"/>
          <w:sz w:val="22"/>
          <w:szCs w:val="22"/>
        </w:rPr>
        <w:t xml:space="preserve"> subject to </w:t>
      </w:r>
      <w:r w:rsidR="00F0672A" w:rsidRPr="00F66DB4">
        <w:rPr>
          <w:rFonts w:ascii="Calibri" w:hAnsi="Calibri" w:cs="Calibri"/>
          <w:sz w:val="22"/>
          <w:szCs w:val="22"/>
        </w:rPr>
        <w:t xml:space="preserve">analysis </w:t>
      </w:r>
      <w:r w:rsidR="00F0672A">
        <w:rPr>
          <w:rFonts w:ascii="Calibri" w:hAnsi="Calibri" w:cs="Calibri"/>
          <w:sz w:val="22"/>
          <w:szCs w:val="22"/>
        </w:rPr>
        <w:t xml:space="preserve">using </w:t>
      </w:r>
      <w:r w:rsidR="00237DFE">
        <w:rPr>
          <w:rFonts w:ascii="Calibri" w:hAnsi="Calibri" w:cs="Calibri"/>
          <w:sz w:val="22"/>
          <w:szCs w:val="22"/>
        </w:rPr>
        <w:t xml:space="preserve">a </w:t>
      </w:r>
      <w:r w:rsidRPr="00F66DB4">
        <w:rPr>
          <w:rFonts w:ascii="Calibri" w:hAnsi="Calibri" w:cs="Calibri"/>
          <w:sz w:val="22"/>
          <w:szCs w:val="22"/>
        </w:rPr>
        <w:t>General Inductive Approach</w:t>
      </w:r>
      <w:r w:rsidR="0003396E">
        <w:rPr>
          <w:rFonts w:ascii="Calibri" w:hAnsi="Calibri" w:cs="Calibri"/>
          <w:sz w:val="22"/>
          <w:szCs w:val="22"/>
        </w:rPr>
        <w:t xml:space="preserve"> </w:t>
      </w:r>
      <w:r w:rsidR="00436627">
        <w:rPr>
          <w:rFonts w:ascii="Calibri" w:hAnsi="Calibri" w:cs="Calibri"/>
          <w:sz w:val="22"/>
          <w:szCs w:val="22"/>
        </w:rPr>
        <w:fldChar w:fldCharType="begin"/>
      </w:r>
      <w:r w:rsidR="006D1623">
        <w:rPr>
          <w:rFonts w:ascii="Calibri" w:hAnsi="Calibri" w:cs="Calibri"/>
          <w:sz w:val="22"/>
          <w:szCs w:val="22"/>
        </w:rPr>
        <w:instrText xml:space="preserve"> ADDIN EN.CITE &lt;EndNote&gt;&lt;Cite&gt;&lt;Author&gt;Thomas&lt;/Author&gt;&lt;Year&gt;2006&lt;/Year&gt;&lt;RecNum&gt;1&lt;/RecNum&gt;&lt;DisplayText&gt;(Thomas, 2006)&lt;/DisplayText&gt;&lt;record&gt;&lt;rec-number&gt;1&lt;/rec-number&gt;&lt;foreign-keys&gt;&lt;key app="EN" db-id="s9vsxe023afd99ezx5qpv5vrrspsex2xrs00" timestamp="1602503208"&gt;1&lt;/key&gt;&lt;/foreign-keys&gt;&lt;ref-type name="Journal Article"&gt;17&lt;/ref-type&gt;&lt;contributors&gt;&lt;authors&gt;&lt;author&gt;Thomas, DR&lt;/author&gt;&lt;/authors&gt;&lt;/contributors&gt;&lt;titles&gt;&lt;title&gt;A General Inductive Approach for Analyzing Qualitative Evaluation Data&lt;/title&gt;&lt;secondary-title&gt;American Journal of Evaluation&lt;/secondary-title&gt;&lt;/titles&gt;&lt;periodical&gt;&lt;full-title&gt;American Journal of Evaluation&lt;/full-title&gt;&lt;/periodical&gt;&lt;pages&gt;237-246&lt;/pages&gt;&lt;volume&gt;27&lt;/volume&gt;&lt;number&gt;2&lt;/number&gt;&lt;dates&gt;&lt;year&gt;2006&lt;/year&gt;&lt;/dates&gt;&lt;urls&gt;&lt;/urls&gt;&lt;/record&gt;&lt;/Cite&gt;&lt;/EndNote&gt;</w:instrText>
      </w:r>
      <w:r w:rsidR="00436627">
        <w:rPr>
          <w:rFonts w:ascii="Calibri" w:hAnsi="Calibri" w:cs="Calibri"/>
          <w:sz w:val="22"/>
          <w:szCs w:val="22"/>
        </w:rPr>
        <w:fldChar w:fldCharType="separate"/>
      </w:r>
      <w:r w:rsidR="006D1623">
        <w:rPr>
          <w:rFonts w:ascii="Calibri" w:hAnsi="Calibri" w:cs="Calibri"/>
          <w:noProof/>
          <w:sz w:val="22"/>
          <w:szCs w:val="22"/>
        </w:rPr>
        <w:t>(Thomas, 2006)</w:t>
      </w:r>
      <w:r w:rsidR="00436627">
        <w:rPr>
          <w:rFonts w:ascii="Calibri" w:hAnsi="Calibri" w:cs="Calibri"/>
          <w:sz w:val="22"/>
          <w:szCs w:val="22"/>
        </w:rPr>
        <w:fldChar w:fldCharType="end"/>
      </w:r>
      <w:r w:rsidR="0003396E">
        <w:rPr>
          <w:rFonts w:ascii="Calibri" w:hAnsi="Calibri" w:cs="Calibri"/>
          <w:sz w:val="22"/>
          <w:szCs w:val="22"/>
        </w:rPr>
        <w:t>,</w:t>
      </w:r>
      <w:r w:rsidR="00D60470" w:rsidRPr="00F66DB4">
        <w:rPr>
          <w:rFonts w:ascii="Calibri" w:hAnsi="Calibri" w:cs="Calibri"/>
          <w:sz w:val="22"/>
          <w:szCs w:val="22"/>
        </w:rPr>
        <w:t xml:space="preserve"> with particular attention paid to discordant voices </w:t>
      </w:r>
      <w:r w:rsidR="00C82D1D">
        <w:rPr>
          <w:rFonts w:ascii="Calibri" w:hAnsi="Calibri" w:cs="Calibri"/>
          <w:sz w:val="22"/>
          <w:szCs w:val="22"/>
        </w:rPr>
        <w:t>and/</w:t>
      </w:r>
      <w:r w:rsidR="00D60470" w:rsidRPr="00F66DB4">
        <w:rPr>
          <w:rFonts w:ascii="Calibri" w:hAnsi="Calibri" w:cs="Calibri"/>
          <w:sz w:val="22"/>
          <w:szCs w:val="22"/>
        </w:rPr>
        <w:t>or dissonant cases</w:t>
      </w:r>
      <w:r w:rsidRPr="00F66DB4">
        <w:rPr>
          <w:rFonts w:ascii="Calibri" w:hAnsi="Calibri" w:cs="Calibri"/>
          <w:sz w:val="22"/>
          <w:szCs w:val="22"/>
        </w:rPr>
        <w:t xml:space="preserve">. </w:t>
      </w:r>
      <w:r w:rsidR="004B34D1">
        <w:rPr>
          <w:rFonts w:ascii="Calibri" w:hAnsi="Calibri" w:cs="Calibri"/>
          <w:sz w:val="22"/>
          <w:szCs w:val="22"/>
        </w:rPr>
        <w:t xml:space="preserve">One researcher (CT) </w:t>
      </w:r>
      <w:r w:rsidRPr="00F66DB4">
        <w:rPr>
          <w:rFonts w:ascii="Calibri" w:hAnsi="Calibri" w:cs="Calibri"/>
          <w:sz w:val="22"/>
          <w:szCs w:val="22"/>
        </w:rPr>
        <w:t xml:space="preserve">independently analysed </w:t>
      </w:r>
      <w:r w:rsidR="004B34D1">
        <w:rPr>
          <w:rFonts w:ascii="Calibri" w:hAnsi="Calibri" w:cs="Calibri"/>
          <w:sz w:val="22"/>
          <w:szCs w:val="22"/>
        </w:rPr>
        <w:t>a sample of the data, developing an initial coding framework. A</w:t>
      </w:r>
      <w:r w:rsidRPr="00F66DB4">
        <w:rPr>
          <w:rFonts w:ascii="Calibri" w:hAnsi="Calibri" w:cs="Calibri"/>
          <w:sz w:val="22"/>
          <w:szCs w:val="22"/>
        </w:rPr>
        <w:t xml:space="preserve"> second researcher </w:t>
      </w:r>
      <w:r w:rsidR="004B34D1">
        <w:rPr>
          <w:rFonts w:ascii="Calibri" w:hAnsi="Calibri" w:cs="Calibri"/>
          <w:sz w:val="22"/>
          <w:szCs w:val="22"/>
        </w:rPr>
        <w:t xml:space="preserve">(RM) </w:t>
      </w:r>
      <w:r w:rsidR="008D17DE">
        <w:rPr>
          <w:rFonts w:ascii="Calibri" w:hAnsi="Calibri" w:cs="Calibri"/>
          <w:sz w:val="22"/>
          <w:szCs w:val="22"/>
        </w:rPr>
        <w:t xml:space="preserve">independently applied this coding framework to a sample of </w:t>
      </w:r>
      <w:r w:rsidR="00064A7A">
        <w:rPr>
          <w:rFonts w:ascii="Calibri" w:hAnsi="Calibri" w:cs="Calibri"/>
          <w:sz w:val="22"/>
          <w:szCs w:val="22"/>
        </w:rPr>
        <w:t>ten transcripts</w:t>
      </w:r>
      <w:r w:rsidR="008D17DE">
        <w:rPr>
          <w:rFonts w:ascii="Calibri" w:hAnsi="Calibri" w:cs="Calibri"/>
          <w:sz w:val="22"/>
          <w:szCs w:val="22"/>
        </w:rPr>
        <w:t xml:space="preserve"> </w:t>
      </w:r>
      <w:r w:rsidRPr="00F66DB4">
        <w:rPr>
          <w:rFonts w:ascii="Calibri" w:hAnsi="Calibri" w:cs="Calibri"/>
          <w:sz w:val="22"/>
          <w:szCs w:val="22"/>
        </w:rPr>
        <w:t>to ensure reliability of the coding framework</w:t>
      </w:r>
      <w:r w:rsidR="00686446">
        <w:rPr>
          <w:rFonts w:ascii="Calibri" w:hAnsi="Calibri" w:cs="Calibri"/>
          <w:sz w:val="22"/>
          <w:szCs w:val="22"/>
        </w:rPr>
        <w:t xml:space="preserve"> (see appendix 1)</w:t>
      </w:r>
      <w:r w:rsidRPr="00F66DB4">
        <w:rPr>
          <w:rFonts w:ascii="Calibri" w:hAnsi="Calibri" w:cs="Calibri"/>
          <w:sz w:val="22"/>
          <w:szCs w:val="22"/>
        </w:rPr>
        <w:t xml:space="preserve">. </w:t>
      </w:r>
      <w:r w:rsidR="00D60470" w:rsidRPr="00F66DB4">
        <w:rPr>
          <w:rFonts w:ascii="Calibri" w:hAnsi="Calibri" w:cs="Calibri"/>
          <w:sz w:val="22"/>
          <w:szCs w:val="22"/>
        </w:rPr>
        <w:t xml:space="preserve">Once </w:t>
      </w:r>
      <w:r w:rsidR="0064272D">
        <w:rPr>
          <w:rFonts w:ascii="Calibri" w:hAnsi="Calibri" w:cs="Calibri"/>
          <w:sz w:val="22"/>
          <w:szCs w:val="22"/>
        </w:rPr>
        <w:t>the</w:t>
      </w:r>
      <w:r w:rsidR="00D60470" w:rsidRPr="00F66DB4">
        <w:rPr>
          <w:rFonts w:ascii="Calibri" w:hAnsi="Calibri" w:cs="Calibri"/>
          <w:sz w:val="22"/>
          <w:szCs w:val="22"/>
        </w:rPr>
        <w:t xml:space="preserve"> coding framework was agreed one researcher </w:t>
      </w:r>
      <w:r w:rsidR="0022322C">
        <w:rPr>
          <w:rFonts w:ascii="Calibri" w:hAnsi="Calibri" w:cs="Calibri"/>
          <w:sz w:val="22"/>
          <w:szCs w:val="22"/>
        </w:rPr>
        <w:t xml:space="preserve">(RM) </w:t>
      </w:r>
      <w:r w:rsidR="00D60470" w:rsidRPr="00F66DB4">
        <w:rPr>
          <w:rFonts w:ascii="Calibri" w:hAnsi="Calibri" w:cs="Calibri"/>
          <w:sz w:val="22"/>
          <w:szCs w:val="22"/>
        </w:rPr>
        <w:t>coded data from all interviews</w:t>
      </w:r>
      <w:r w:rsidR="001A4CDF" w:rsidRPr="00F66DB4">
        <w:rPr>
          <w:rFonts w:ascii="Calibri" w:hAnsi="Calibri" w:cs="Calibri"/>
          <w:sz w:val="22"/>
          <w:szCs w:val="22"/>
        </w:rPr>
        <w:t>, inductively adding new codes as</w:t>
      </w:r>
      <w:r w:rsidR="008D17DE">
        <w:rPr>
          <w:rFonts w:ascii="Calibri" w:hAnsi="Calibri" w:cs="Calibri"/>
          <w:sz w:val="22"/>
          <w:szCs w:val="22"/>
        </w:rPr>
        <w:t xml:space="preserve"> new</w:t>
      </w:r>
      <w:r w:rsidR="001A4CDF" w:rsidRPr="00F66DB4">
        <w:rPr>
          <w:rFonts w:ascii="Calibri" w:hAnsi="Calibri" w:cs="Calibri"/>
          <w:sz w:val="22"/>
          <w:szCs w:val="22"/>
        </w:rPr>
        <w:t xml:space="preserve"> themes emerged</w:t>
      </w:r>
      <w:r w:rsidR="00D60470" w:rsidRPr="00F66DB4">
        <w:rPr>
          <w:rFonts w:ascii="Calibri" w:hAnsi="Calibri" w:cs="Calibri"/>
          <w:sz w:val="22"/>
          <w:szCs w:val="22"/>
        </w:rPr>
        <w:t xml:space="preserve">. </w:t>
      </w:r>
      <w:r w:rsidR="00217C14">
        <w:rPr>
          <w:rFonts w:ascii="Calibri" w:hAnsi="Calibri" w:cs="Calibri"/>
          <w:sz w:val="22"/>
          <w:szCs w:val="22"/>
        </w:rPr>
        <w:t xml:space="preserve">Coded data were then </w:t>
      </w:r>
      <w:r w:rsidR="001A4CDF" w:rsidRPr="00F66DB4">
        <w:rPr>
          <w:rFonts w:ascii="Calibri" w:hAnsi="Calibri" w:cs="Calibri"/>
          <w:sz w:val="22"/>
          <w:szCs w:val="22"/>
        </w:rPr>
        <w:t>reviewed and organised into broader themes</w:t>
      </w:r>
      <w:r w:rsidR="00217C14">
        <w:rPr>
          <w:rFonts w:ascii="Calibri" w:hAnsi="Calibri" w:cs="Calibri"/>
          <w:sz w:val="22"/>
          <w:szCs w:val="22"/>
        </w:rPr>
        <w:t xml:space="preserve">. </w:t>
      </w:r>
      <w:r w:rsidRPr="00F66DB4">
        <w:rPr>
          <w:rFonts w:ascii="Calibri" w:hAnsi="Calibri" w:cs="Calibri"/>
          <w:sz w:val="22"/>
          <w:szCs w:val="22"/>
        </w:rPr>
        <w:t xml:space="preserve">The research team </w:t>
      </w:r>
      <w:r w:rsidR="00D60470" w:rsidRPr="00F66DB4">
        <w:rPr>
          <w:rFonts w:ascii="Calibri" w:hAnsi="Calibri" w:cs="Calibri"/>
          <w:sz w:val="22"/>
          <w:szCs w:val="22"/>
        </w:rPr>
        <w:t>met</w:t>
      </w:r>
      <w:r w:rsidRPr="00F66DB4">
        <w:rPr>
          <w:rFonts w:ascii="Calibri" w:hAnsi="Calibri" w:cs="Calibri"/>
          <w:sz w:val="22"/>
          <w:szCs w:val="22"/>
        </w:rPr>
        <w:t xml:space="preserve"> regularly to achieve consensus in</w:t>
      </w:r>
      <w:r w:rsidR="0064272D">
        <w:rPr>
          <w:rFonts w:ascii="Calibri" w:hAnsi="Calibri" w:cs="Calibri"/>
          <w:sz w:val="22"/>
          <w:szCs w:val="22"/>
        </w:rPr>
        <w:t xml:space="preserve"> </w:t>
      </w:r>
      <w:r w:rsidRPr="00F66DB4">
        <w:rPr>
          <w:rFonts w:ascii="Calibri" w:hAnsi="Calibri" w:cs="Calibri"/>
          <w:sz w:val="22"/>
          <w:szCs w:val="22"/>
        </w:rPr>
        <w:t xml:space="preserve">data interpretation. </w:t>
      </w:r>
    </w:p>
    <w:bookmarkEnd w:id="1"/>
    <w:p w14:paraId="682864EB" w14:textId="70B47551" w:rsidR="001A4CDF" w:rsidRDefault="001A4CDF" w:rsidP="00475D3F">
      <w:pPr>
        <w:spacing w:line="360" w:lineRule="auto"/>
        <w:rPr>
          <w:highlight w:val="yellow"/>
        </w:rPr>
      </w:pPr>
    </w:p>
    <w:p w14:paraId="3063581D" w14:textId="45E798CD" w:rsidR="00885FB7" w:rsidRDefault="001A4CDF" w:rsidP="00475D3F">
      <w:pPr>
        <w:pStyle w:val="Heading3"/>
        <w:spacing w:line="360" w:lineRule="auto"/>
        <w:rPr>
          <w:b/>
          <w:highlight w:val="yellow"/>
        </w:rPr>
      </w:pPr>
      <w:r w:rsidRPr="00885FB7">
        <w:t>Ethic</w:t>
      </w:r>
      <w:r w:rsidR="00F66DB4">
        <w:t>s</w:t>
      </w:r>
      <w:r w:rsidRPr="00885FB7">
        <w:t xml:space="preserve"> and informed consent</w:t>
      </w:r>
    </w:p>
    <w:p w14:paraId="3ECC9DA4" w14:textId="71B48D58" w:rsidR="00885FB7" w:rsidRPr="00966ECC" w:rsidRDefault="00B704CB" w:rsidP="00475D3F">
      <w:pPr>
        <w:spacing w:line="360" w:lineRule="auto"/>
        <w:rPr>
          <w:rFonts w:ascii="Calibri" w:hAnsi="Calibri" w:cs="Calibri"/>
          <w:sz w:val="22"/>
          <w:szCs w:val="22"/>
          <w:lang w:val="en-GB"/>
        </w:rPr>
      </w:pPr>
      <w:r w:rsidRPr="00F66DB4">
        <w:rPr>
          <w:rFonts w:ascii="Calibri" w:hAnsi="Calibri" w:cs="Calibri"/>
          <w:sz w:val="22"/>
          <w:szCs w:val="22"/>
        </w:rPr>
        <w:t>Participants received an information sheet and consent form</w:t>
      </w:r>
      <w:r>
        <w:rPr>
          <w:rFonts w:ascii="Calibri" w:hAnsi="Calibri" w:cs="Calibri"/>
          <w:sz w:val="22"/>
          <w:szCs w:val="22"/>
        </w:rPr>
        <w:t>.</w:t>
      </w:r>
      <w:r w:rsidRPr="00F66DB4">
        <w:rPr>
          <w:rFonts w:ascii="Calibri" w:hAnsi="Calibri" w:cs="Calibri"/>
          <w:sz w:val="22"/>
          <w:szCs w:val="22"/>
        </w:rPr>
        <w:t xml:space="preserve"> </w:t>
      </w:r>
      <w:r w:rsidR="001A4CDF" w:rsidRPr="00F66DB4">
        <w:rPr>
          <w:rFonts w:ascii="Calibri" w:hAnsi="Calibri" w:cs="Calibri"/>
          <w:sz w:val="22"/>
          <w:szCs w:val="22"/>
        </w:rPr>
        <w:t xml:space="preserve">Written informed consent </w:t>
      </w:r>
      <w:r w:rsidR="00885FB7" w:rsidRPr="00F66DB4">
        <w:rPr>
          <w:rFonts w:ascii="Calibri" w:hAnsi="Calibri" w:cs="Calibri"/>
          <w:sz w:val="22"/>
          <w:szCs w:val="22"/>
        </w:rPr>
        <w:t>was</w:t>
      </w:r>
      <w:r w:rsidR="001A4CDF" w:rsidRPr="00F66DB4">
        <w:rPr>
          <w:rFonts w:ascii="Calibri" w:hAnsi="Calibri" w:cs="Calibri"/>
          <w:sz w:val="22"/>
          <w:szCs w:val="22"/>
        </w:rPr>
        <w:t xml:space="preserve"> obtained from all participants</w:t>
      </w:r>
      <w:r w:rsidR="00D85951">
        <w:rPr>
          <w:rFonts w:ascii="Calibri" w:hAnsi="Calibri" w:cs="Calibri"/>
          <w:sz w:val="22"/>
          <w:szCs w:val="22"/>
        </w:rPr>
        <w:t xml:space="preserve"> prior to</w:t>
      </w:r>
      <w:r w:rsidR="004C5E2F">
        <w:rPr>
          <w:rFonts w:ascii="Calibri" w:hAnsi="Calibri" w:cs="Calibri"/>
          <w:sz w:val="22"/>
          <w:szCs w:val="22"/>
        </w:rPr>
        <w:t xml:space="preserve"> </w:t>
      </w:r>
      <w:r w:rsidR="00D85951">
        <w:rPr>
          <w:rFonts w:ascii="Calibri" w:hAnsi="Calibri" w:cs="Calibri"/>
          <w:sz w:val="22"/>
          <w:szCs w:val="22"/>
        </w:rPr>
        <w:t>interview</w:t>
      </w:r>
      <w:r w:rsidR="009006FE">
        <w:rPr>
          <w:rFonts w:ascii="Calibri" w:hAnsi="Calibri" w:cs="Calibri"/>
          <w:sz w:val="22"/>
          <w:szCs w:val="22"/>
        </w:rPr>
        <w:t xml:space="preserve">, with the exception of three participants </w:t>
      </w:r>
      <w:r w:rsidR="006D78F0">
        <w:rPr>
          <w:rFonts w:ascii="Calibri" w:hAnsi="Calibri" w:cs="Calibri"/>
          <w:sz w:val="22"/>
          <w:szCs w:val="22"/>
        </w:rPr>
        <w:t>who</w:t>
      </w:r>
      <w:r w:rsidR="009006FE">
        <w:rPr>
          <w:rFonts w:ascii="Calibri" w:hAnsi="Calibri" w:cs="Calibri"/>
          <w:sz w:val="22"/>
          <w:szCs w:val="22"/>
        </w:rPr>
        <w:t xml:space="preserve"> gave verbal consent (recorded over the telephone)</w:t>
      </w:r>
      <w:r w:rsidR="001A4CDF" w:rsidRPr="00F66DB4">
        <w:rPr>
          <w:rFonts w:ascii="Calibri" w:hAnsi="Calibri" w:cs="Calibri"/>
          <w:sz w:val="22"/>
          <w:szCs w:val="22"/>
        </w:rPr>
        <w:t xml:space="preserve">. </w:t>
      </w:r>
      <w:r w:rsidR="004C5E2F">
        <w:rPr>
          <w:rFonts w:ascii="Calibri" w:hAnsi="Calibri" w:cs="Calibri"/>
          <w:sz w:val="22"/>
          <w:szCs w:val="22"/>
        </w:rPr>
        <w:t>Participants were able to</w:t>
      </w:r>
      <w:r w:rsidR="001A4CDF" w:rsidRPr="00F66DB4">
        <w:rPr>
          <w:rFonts w:ascii="Calibri" w:hAnsi="Calibri" w:cs="Calibri"/>
          <w:sz w:val="22"/>
          <w:szCs w:val="22"/>
        </w:rPr>
        <w:t xml:space="preserve"> withdraw </w:t>
      </w:r>
      <w:r w:rsidR="00885FB7" w:rsidRPr="00F66DB4">
        <w:rPr>
          <w:rFonts w:ascii="Calibri" w:hAnsi="Calibri" w:cs="Calibri"/>
          <w:sz w:val="22"/>
          <w:szCs w:val="22"/>
        </w:rPr>
        <w:t xml:space="preserve">from the study </w:t>
      </w:r>
      <w:r w:rsidR="001A4CDF" w:rsidRPr="00F66DB4">
        <w:rPr>
          <w:rFonts w:ascii="Calibri" w:hAnsi="Calibri" w:cs="Calibri"/>
          <w:sz w:val="22"/>
          <w:szCs w:val="22"/>
        </w:rPr>
        <w:t>at any time.</w:t>
      </w:r>
      <w:r w:rsidR="00E36072">
        <w:rPr>
          <w:rFonts w:ascii="Calibri" w:hAnsi="Calibri" w:cs="Calibri"/>
          <w:sz w:val="22"/>
          <w:szCs w:val="22"/>
        </w:rPr>
        <w:t xml:space="preserve"> </w:t>
      </w:r>
      <w:r w:rsidR="00E36072" w:rsidRPr="00A02474">
        <w:rPr>
          <w:rFonts w:ascii="Calibri" w:hAnsi="Calibri" w:cs="Calibri"/>
          <w:sz w:val="22"/>
          <w:szCs w:val="22"/>
        </w:rPr>
        <w:t xml:space="preserve">This study was approved by the </w:t>
      </w:r>
      <w:r w:rsidR="00F7383E">
        <w:rPr>
          <w:rFonts w:ascii="Calibri" w:hAnsi="Calibri" w:cs="Calibri"/>
          <w:sz w:val="22"/>
          <w:szCs w:val="22"/>
        </w:rPr>
        <w:t>XXX research ethics committee</w:t>
      </w:r>
    </w:p>
    <w:p w14:paraId="5D6530A7" w14:textId="1198B1E7" w:rsidR="00BA2D4C" w:rsidRPr="000B35F3" w:rsidRDefault="00BA2D4C" w:rsidP="00475D3F">
      <w:pPr>
        <w:spacing w:line="360" w:lineRule="auto"/>
      </w:pPr>
    </w:p>
    <w:p w14:paraId="29EDAD4E" w14:textId="5D4E34B5" w:rsidR="00BA2D4C" w:rsidRPr="000B35F3" w:rsidRDefault="00BA2D4C" w:rsidP="00475D3F">
      <w:pPr>
        <w:pStyle w:val="Heading2"/>
        <w:spacing w:line="360" w:lineRule="auto"/>
      </w:pPr>
      <w:r w:rsidRPr="000B35F3">
        <w:t>Results</w:t>
      </w:r>
    </w:p>
    <w:p w14:paraId="1DCBE241" w14:textId="27899EF8" w:rsidR="00BA2D4C" w:rsidRDefault="00BA2D4C" w:rsidP="00475D3F">
      <w:pPr>
        <w:pStyle w:val="Heading3"/>
        <w:spacing w:line="360" w:lineRule="auto"/>
      </w:pPr>
      <w:r w:rsidRPr="000B35F3">
        <w:t>Participation</w:t>
      </w:r>
    </w:p>
    <w:p w14:paraId="4CD89CE2" w14:textId="5D7B7BAB" w:rsidR="00E93AB9" w:rsidRDefault="005E63D5" w:rsidP="00475D3F">
      <w:pPr>
        <w:spacing w:line="360" w:lineRule="auto"/>
        <w:rPr>
          <w:rFonts w:ascii="Calibri" w:hAnsi="Calibri" w:cs="Calibri"/>
          <w:sz w:val="22"/>
          <w:szCs w:val="22"/>
        </w:rPr>
      </w:pPr>
      <w:r w:rsidRPr="00F66DB4">
        <w:rPr>
          <w:rFonts w:ascii="Calibri" w:hAnsi="Calibri" w:cs="Calibri"/>
          <w:sz w:val="22"/>
          <w:szCs w:val="22"/>
        </w:rPr>
        <w:t>We conducted 20 stakeholder</w:t>
      </w:r>
      <w:r w:rsidR="00C97D74" w:rsidRPr="00F66DB4">
        <w:rPr>
          <w:rFonts w:ascii="Calibri" w:hAnsi="Calibri" w:cs="Calibri"/>
          <w:sz w:val="22"/>
          <w:szCs w:val="22"/>
        </w:rPr>
        <w:t xml:space="preserve"> interviews</w:t>
      </w:r>
      <w:r w:rsidR="0058188E">
        <w:rPr>
          <w:rFonts w:ascii="Calibri" w:hAnsi="Calibri" w:cs="Calibri"/>
          <w:sz w:val="22"/>
          <w:szCs w:val="22"/>
        </w:rPr>
        <w:t xml:space="preserve"> with 2</w:t>
      </w:r>
      <w:r w:rsidR="009D5307">
        <w:rPr>
          <w:rFonts w:ascii="Calibri" w:hAnsi="Calibri" w:cs="Calibri"/>
          <w:sz w:val="22"/>
          <w:szCs w:val="22"/>
        </w:rPr>
        <w:t>3</w:t>
      </w:r>
      <w:r w:rsidR="0058188E">
        <w:rPr>
          <w:rFonts w:ascii="Calibri" w:hAnsi="Calibri" w:cs="Calibri"/>
          <w:sz w:val="22"/>
          <w:szCs w:val="22"/>
        </w:rPr>
        <w:t xml:space="preserve"> participants</w:t>
      </w:r>
      <w:r w:rsidR="00882281">
        <w:rPr>
          <w:rFonts w:ascii="Calibri" w:hAnsi="Calibri" w:cs="Calibri"/>
          <w:sz w:val="22"/>
          <w:szCs w:val="22"/>
        </w:rPr>
        <w:t xml:space="preserve"> (Table 1)</w:t>
      </w:r>
      <w:r w:rsidR="00BD75DB">
        <w:rPr>
          <w:rFonts w:ascii="Calibri" w:hAnsi="Calibri" w:cs="Calibri"/>
          <w:sz w:val="22"/>
          <w:szCs w:val="22"/>
        </w:rPr>
        <w:t xml:space="preserve"> ranging from 30-90 minutes</w:t>
      </w:r>
      <w:r w:rsidR="0058188E">
        <w:rPr>
          <w:rFonts w:ascii="Calibri" w:hAnsi="Calibri" w:cs="Calibri"/>
          <w:sz w:val="22"/>
          <w:szCs w:val="22"/>
        </w:rPr>
        <w:t>.</w:t>
      </w:r>
      <w:r w:rsidR="00C97D74" w:rsidRPr="00F66DB4">
        <w:rPr>
          <w:rFonts w:ascii="Calibri" w:hAnsi="Calibri" w:cs="Calibri"/>
          <w:sz w:val="22"/>
          <w:szCs w:val="22"/>
        </w:rPr>
        <w:t xml:space="preserve"> </w:t>
      </w:r>
      <w:r w:rsidR="0058188E">
        <w:rPr>
          <w:rFonts w:ascii="Calibri" w:hAnsi="Calibri" w:cs="Calibri"/>
          <w:sz w:val="22"/>
          <w:szCs w:val="22"/>
        </w:rPr>
        <w:t>Fifteen were conducted</w:t>
      </w:r>
      <w:r w:rsidR="00C97D74" w:rsidRPr="00F66DB4">
        <w:rPr>
          <w:rFonts w:ascii="Calibri" w:hAnsi="Calibri" w:cs="Calibri"/>
          <w:sz w:val="22"/>
          <w:szCs w:val="22"/>
        </w:rPr>
        <w:t xml:space="preserve"> face-to-face and five by telephone. </w:t>
      </w:r>
      <w:r w:rsidR="001164E8" w:rsidRPr="00F66DB4">
        <w:rPr>
          <w:rFonts w:ascii="Calibri" w:hAnsi="Calibri" w:cs="Calibri"/>
          <w:sz w:val="22"/>
          <w:szCs w:val="22"/>
        </w:rPr>
        <w:t>Seventeen interviews</w:t>
      </w:r>
      <w:r w:rsidR="00C97D74" w:rsidRPr="00F66DB4">
        <w:rPr>
          <w:rFonts w:ascii="Calibri" w:hAnsi="Calibri" w:cs="Calibri"/>
          <w:sz w:val="22"/>
          <w:szCs w:val="22"/>
        </w:rPr>
        <w:t xml:space="preserve"> were conducted with one participant and </w:t>
      </w:r>
      <w:r w:rsidR="009D5307">
        <w:rPr>
          <w:rFonts w:ascii="Calibri" w:hAnsi="Calibri" w:cs="Calibri"/>
          <w:sz w:val="22"/>
          <w:szCs w:val="22"/>
        </w:rPr>
        <w:t>three</w:t>
      </w:r>
      <w:r w:rsidR="009D5307" w:rsidRPr="00F66DB4">
        <w:rPr>
          <w:rFonts w:ascii="Calibri" w:hAnsi="Calibri" w:cs="Calibri"/>
          <w:sz w:val="22"/>
          <w:szCs w:val="22"/>
        </w:rPr>
        <w:t xml:space="preserve"> </w:t>
      </w:r>
      <w:r w:rsidR="006424B1">
        <w:rPr>
          <w:rFonts w:ascii="Calibri" w:hAnsi="Calibri" w:cs="Calibri"/>
          <w:sz w:val="22"/>
          <w:szCs w:val="22"/>
        </w:rPr>
        <w:t>(</w:t>
      </w:r>
      <w:r w:rsidR="009D5307">
        <w:rPr>
          <w:rFonts w:ascii="Calibri" w:hAnsi="Calibri" w:cs="Calibri"/>
          <w:sz w:val="22"/>
          <w:szCs w:val="22"/>
        </w:rPr>
        <w:t>all</w:t>
      </w:r>
      <w:r w:rsidR="006424B1">
        <w:rPr>
          <w:rFonts w:ascii="Calibri" w:hAnsi="Calibri" w:cs="Calibri"/>
          <w:sz w:val="22"/>
          <w:szCs w:val="22"/>
        </w:rPr>
        <w:t xml:space="preserve"> </w:t>
      </w:r>
      <w:r w:rsidR="00116988">
        <w:rPr>
          <w:rFonts w:ascii="Calibri" w:hAnsi="Calibri" w:cs="Calibri"/>
          <w:sz w:val="22"/>
          <w:szCs w:val="22"/>
        </w:rPr>
        <w:t xml:space="preserve">with </w:t>
      </w:r>
      <w:r w:rsidR="006424B1">
        <w:rPr>
          <w:rFonts w:ascii="Calibri" w:hAnsi="Calibri" w:cs="Calibri"/>
          <w:sz w:val="22"/>
          <w:szCs w:val="22"/>
        </w:rPr>
        <w:t>industry stakeholder</w:t>
      </w:r>
      <w:r w:rsidR="00116988">
        <w:rPr>
          <w:rFonts w:ascii="Calibri" w:hAnsi="Calibri" w:cs="Calibri"/>
          <w:sz w:val="22"/>
          <w:szCs w:val="22"/>
        </w:rPr>
        <w:t>s</w:t>
      </w:r>
      <w:r w:rsidR="006424B1">
        <w:rPr>
          <w:rFonts w:ascii="Calibri" w:hAnsi="Calibri" w:cs="Calibri"/>
          <w:sz w:val="22"/>
          <w:szCs w:val="22"/>
        </w:rPr>
        <w:t xml:space="preserve">) </w:t>
      </w:r>
      <w:r w:rsidR="00C97D74" w:rsidRPr="00F66DB4">
        <w:rPr>
          <w:rFonts w:ascii="Calibri" w:hAnsi="Calibri" w:cs="Calibri"/>
          <w:sz w:val="22"/>
          <w:szCs w:val="22"/>
        </w:rPr>
        <w:t>were conducted with two participants</w:t>
      </w:r>
      <w:r w:rsidR="008B56B7">
        <w:rPr>
          <w:rFonts w:ascii="Calibri" w:hAnsi="Calibri" w:cs="Calibri"/>
          <w:sz w:val="22"/>
          <w:szCs w:val="22"/>
        </w:rPr>
        <w:t>. This was at the request of the participants and included communications personnel relevant to the delivery of the policy</w:t>
      </w:r>
      <w:r w:rsidR="00C97D74" w:rsidRPr="00F66DB4">
        <w:rPr>
          <w:rFonts w:ascii="Calibri" w:hAnsi="Calibri" w:cs="Calibri"/>
          <w:sz w:val="22"/>
          <w:szCs w:val="22"/>
        </w:rPr>
        <w:t xml:space="preserve">. </w:t>
      </w:r>
      <w:r w:rsidR="00237DFE">
        <w:rPr>
          <w:rFonts w:ascii="Calibri" w:hAnsi="Calibri" w:cs="Calibri"/>
          <w:sz w:val="22"/>
          <w:szCs w:val="22"/>
        </w:rPr>
        <w:t>N</w:t>
      </w:r>
      <w:r w:rsidR="008A5C21">
        <w:rPr>
          <w:rFonts w:ascii="Calibri" w:hAnsi="Calibri" w:cs="Calibri"/>
          <w:sz w:val="22"/>
          <w:szCs w:val="22"/>
        </w:rPr>
        <w:t>ine</w:t>
      </w:r>
      <w:r w:rsidR="008A5C21" w:rsidRPr="00F66DB4">
        <w:rPr>
          <w:rFonts w:ascii="Calibri" w:hAnsi="Calibri" w:cs="Calibri"/>
          <w:sz w:val="22"/>
          <w:szCs w:val="22"/>
        </w:rPr>
        <w:t xml:space="preserve"> </w:t>
      </w:r>
      <w:r w:rsidR="00237DFE">
        <w:rPr>
          <w:rFonts w:ascii="Calibri" w:hAnsi="Calibri" w:cs="Calibri"/>
          <w:sz w:val="22"/>
          <w:szCs w:val="22"/>
        </w:rPr>
        <w:t xml:space="preserve">participants </w:t>
      </w:r>
      <w:r w:rsidR="00E93AB9" w:rsidRPr="00F66DB4">
        <w:rPr>
          <w:rFonts w:ascii="Calibri" w:hAnsi="Calibri" w:cs="Calibri"/>
          <w:sz w:val="22"/>
          <w:szCs w:val="22"/>
        </w:rPr>
        <w:t>were industry stakeholders</w:t>
      </w:r>
      <w:r w:rsidR="00FD53B8" w:rsidRPr="00F66DB4">
        <w:rPr>
          <w:rFonts w:ascii="Calibri" w:hAnsi="Calibri" w:cs="Calibri"/>
          <w:sz w:val="22"/>
          <w:szCs w:val="22"/>
        </w:rPr>
        <w:t xml:space="preserve"> and 13 were implementation</w:t>
      </w:r>
      <w:r w:rsidR="00942764">
        <w:rPr>
          <w:rFonts w:ascii="Calibri" w:hAnsi="Calibri" w:cs="Calibri"/>
          <w:sz w:val="22"/>
          <w:szCs w:val="22"/>
        </w:rPr>
        <w:t xml:space="preserve"> stakeholders</w:t>
      </w:r>
      <w:r w:rsidR="00FD53B8" w:rsidRPr="00F66DB4">
        <w:rPr>
          <w:rFonts w:ascii="Calibri" w:hAnsi="Calibri" w:cs="Calibri"/>
          <w:sz w:val="22"/>
          <w:szCs w:val="22"/>
        </w:rPr>
        <w:t xml:space="preserve">. </w:t>
      </w:r>
      <w:r w:rsidR="009006FE">
        <w:rPr>
          <w:rFonts w:ascii="Calibri" w:hAnsi="Calibri" w:cs="Calibri"/>
          <w:sz w:val="22"/>
          <w:szCs w:val="22"/>
        </w:rPr>
        <w:t>NGO names are kept confidential to preserve anonymity.</w:t>
      </w:r>
    </w:p>
    <w:p w14:paraId="4A0BDF75" w14:textId="44887620" w:rsidR="00882281" w:rsidRDefault="00882281" w:rsidP="005E63D5">
      <w:pPr>
        <w:rPr>
          <w:rFonts w:ascii="Calibri" w:hAnsi="Calibri" w:cs="Calibri"/>
          <w:sz w:val="22"/>
          <w:szCs w:val="22"/>
        </w:rPr>
      </w:pPr>
    </w:p>
    <w:p w14:paraId="422895AC" w14:textId="6058B64F" w:rsidR="00882281" w:rsidRDefault="00882281" w:rsidP="005E63D5">
      <w:pPr>
        <w:rPr>
          <w:rFonts w:ascii="Calibri" w:hAnsi="Calibri" w:cs="Calibri"/>
          <w:b/>
          <w:bCs/>
          <w:sz w:val="22"/>
          <w:szCs w:val="22"/>
        </w:rPr>
      </w:pPr>
      <w:bookmarkStart w:id="2" w:name="_Hlk57996687"/>
      <w:r>
        <w:rPr>
          <w:rFonts w:ascii="Calibri" w:hAnsi="Calibri" w:cs="Calibri"/>
          <w:b/>
          <w:bCs/>
          <w:sz w:val="22"/>
          <w:szCs w:val="22"/>
        </w:rPr>
        <w:t>Table 1. Interview participants</w:t>
      </w:r>
    </w:p>
    <w:p w14:paraId="4656DCD9" w14:textId="0D635D1B" w:rsidR="00882281" w:rsidRDefault="00882281" w:rsidP="005E63D5">
      <w:pPr>
        <w:rPr>
          <w:rFonts w:ascii="Calibri" w:hAnsi="Calibri" w:cs="Calibri"/>
          <w:b/>
          <w:bCs/>
          <w:sz w:val="22"/>
          <w:szCs w:val="22"/>
        </w:rPr>
      </w:pPr>
    </w:p>
    <w:bookmarkEnd w:id="2"/>
    <w:p w14:paraId="3AC28CAC" w14:textId="6A96AFE6" w:rsidR="00BA2D4C" w:rsidRPr="000B35F3" w:rsidRDefault="00BA2D4C" w:rsidP="00BA2D4C"/>
    <w:p w14:paraId="31E6F75A" w14:textId="6648AE77" w:rsidR="00BA2D4C" w:rsidRDefault="00A27D74" w:rsidP="00475D3F">
      <w:pPr>
        <w:pStyle w:val="Heading4"/>
        <w:spacing w:line="360" w:lineRule="auto"/>
      </w:pPr>
      <w:r>
        <w:rPr>
          <w:i w:val="0"/>
          <w:iCs w:val="0"/>
        </w:rPr>
        <w:t>Emergent themes</w:t>
      </w:r>
    </w:p>
    <w:p w14:paraId="40F93083" w14:textId="02CD79DF" w:rsidR="00B72D7D" w:rsidRPr="00B86C1D" w:rsidRDefault="009006FE" w:rsidP="00475D3F">
      <w:pPr>
        <w:spacing w:line="360" w:lineRule="auto"/>
        <w:rPr>
          <w:rFonts w:asciiTheme="minorHAnsi" w:hAnsiTheme="minorHAnsi" w:cstheme="minorHAnsi"/>
          <w:sz w:val="22"/>
          <w:szCs w:val="22"/>
        </w:rPr>
      </w:pPr>
      <w:r>
        <w:rPr>
          <w:rFonts w:ascii="Calibri" w:hAnsi="Calibri" w:cs="Calibri"/>
          <w:sz w:val="22"/>
          <w:szCs w:val="22"/>
        </w:rPr>
        <w:t xml:space="preserve">A range of practical and political </w:t>
      </w:r>
      <w:r w:rsidR="006A5465">
        <w:rPr>
          <w:rFonts w:ascii="Calibri" w:hAnsi="Calibri" w:cs="Calibri"/>
          <w:sz w:val="22"/>
          <w:szCs w:val="22"/>
        </w:rPr>
        <w:t>factors affecting</w:t>
      </w:r>
      <w:r>
        <w:rPr>
          <w:rFonts w:ascii="Calibri" w:hAnsi="Calibri" w:cs="Calibri"/>
          <w:sz w:val="22"/>
          <w:szCs w:val="22"/>
        </w:rPr>
        <w:t xml:space="preserve"> the development</w:t>
      </w:r>
      <w:r w:rsidR="00396F12">
        <w:rPr>
          <w:rFonts w:ascii="Calibri" w:hAnsi="Calibri" w:cs="Calibri"/>
          <w:sz w:val="22"/>
          <w:szCs w:val="22"/>
        </w:rPr>
        <w:t>, design</w:t>
      </w:r>
      <w:r>
        <w:rPr>
          <w:rFonts w:ascii="Calibri" w:hAnsi="Calibri" w:cs="Calibri"/>
          <w:sz w:val="22"/>
          <w:szCs w:val="22"/>
        </w:rPr>
        <w:t xml:space="preserve"> and implementation of the policy emerged from stakeholder accounts. Practical challenges included those</w:t>
      </w:r>
      <w:r w:rsidR="00B72D7D" w:rsidRPr="00F66DB4">
        <w:rPr>
          <w:rFonts w:ascii="Calibri" w:hAnsi="Calibri" w:cs="Calibri"/>
          <w:sz w:val="22"/>
          <w:szCs w:val="22"/>
        </w:rPr>
        <w:t xml:space="preserve"> relat</w:t>
      </w:r>
      <w:r w:rsidR="00D51F19">
        <w:rPr>
          <w:rFonts w:ascii="Calibri" w:hAnsi="Calibri" w:cs="Calibri"/>
          <w:sz w:val="22"/>
          <w:szCs w:val="22"/>
        </w:rPr>
        <w:t>ing</w:t>
      </w:r>
      <w:r w:rsidR="00B72D7D" w:rsidRPr="00F66DB4">
        <w:rPr>
          <w:rFonts w:ascii="Calibri" w:hAnsi="Calibri" w:cs="Calibri"/>
          <w:sz w:val="22"/>
          <w:szCs w:val="22"/>
        </w:rPr>
        <w:t xml:space="preserve"> to </w:t>
      </w:r>
      <w:r w:rsidR="00D51F19" w:rsidRPr="006942DC">
        <w:rPr>
          <w:rFonts w:ascii="Calibri" w:hAnsi="Calibri" w:cs="Calibri"/>
          <w:sz w:val="22"/>
          <w:szCs w:val="22"/>
        </w:rPr>
        <w:t xml:space="preserve">what some felt was too short a timeline between announcing and </w:t>
      </w:r>
      <w:r w:rsidR="00A02474">
        <w:rPr>
          <w:rFonts w:ascii="Calibri" w:hAnsi="Calibri" w:cs="Calibri"/>
          <w:sz w:val="22"/>
          <w:szCs w:val="22"/>
        </w:rPr>
        <w:t>implementing</w:t>
      </w:r>
      <w:r w:rsidR="00D51F19" w:rsidRPr="006942DC">
        <w:rPr>
          <w:rFonts w:ascii="Calibri" w:hAnsi="Calibri" w:cs="Calibri"/>
          <w:sz w:val="22"/>
          <w:szCs w:val="22"/>
        </w:rPr>
        <w:t xml:space="preserve"> the policy; </w:t>
      </w:r>
      <w:r w:rsidR="007B10F6">
        <w:rPr>
          <w:rFonts w:ascii="Calibri" w:hAnsi="Calibri" w:cs="Calibri"/>
          <w:sz w:val="22"/>
          <w:szCs w:val="22"/>
        </w:rPr>
        <w:t xml:space="preserve">translating the concept of ‘junk food’ into operational </w:t>
      </w:r>
      <w:r w:rsidR="007B10F6" w:rsidRPr="001B7B0C">
        <w:rPr>
          <w:rFonts w:ascii="Calibri" w:hAnsi="Calibri" w:cs="Calibri"/>
          <w:sz w:val="22"/>
          <w:szCs w:val="22"/>
        </w:rPr>
        <w:t>policy</w:t>
      </w:r>
      <w:r w:rsidR="000350A8" w:rsidRPr="001B7B0C">
        <w:rPr>
          <w:rFonts w:ascii="Calibri" w:hAnsi="Calibri" w:cs="Calibri"/>
          <w:sz w:val="22"/>
          <w:szCs w:val="22"/>
        </w:rPr>
        <w:t xml:space="preserve"> to</w:t>
      </w:r>
      <w:r w:rsidRPr="001B7B0C">
        <w:rPr>
          <w:rFonts w:ascii="Calibri" w:hAnsi="Calibri" w:cs="Calibri"/>
          <w:sz w:val="22"/>
          <w:szCs w:val="22"/>
        </w:rPr>
        <w:t xml:space="preserve"> </w:t>
      </w:r>
      <w:r w:rsidR="007B10F6" w:rsidRPr="001B7B0C">
        <w:rPr>
          <w:rFonts w:ascii="Calibri" w:hAnsi="Calibri" w:cs="Calibri"/>
          <w:sz w:val="22"/>
          <w:szCs w:val="22"/>
        </w:rPr>
        <w:t>determin</w:t>
      </w:r>
      <w:r w:rsidR="000350A8" w:rsidRPr="001B7B0C">
        <w:rPr>
          <w:rFonts w:ascii="Calibri" w:hAnsi="Calibri" w:cs="Calibri"/>
          <w:sz w:val="22"/>
          <w:szCs w:val="22"/>
        </w:rPr>
        <w:t>e</w:t>
      </w:r>
      <w:r w:rsidR="007B10F6" w:rsidRPr="001B7B0C">
        <w:rPr>
          <w:rFonts w:ascii="Calibri" w:hAnsi="Calibri" w:cs="Calibri"/>
          <w:sz w:val="22"/>
          <w:szCs w:val="22"/>
        </w:rPr>
        <w:t xml:space="preserve"> which products should be affected</w:t>
      </w:r>
      <w:r w:rsidR="000350A8" w:rsidRPr="001B7B0C">
        <w:rPr>
          <w:rFonts w:ascii="Calibri" w:hAnsi="Calibri" w:cs="Calibri"/>
          <w:sz w:val="22"/>
          <w:szCs w:val="22"/>
        </w:rPr>
        <w:t>;</w:t>
      </w:r>
      <w:r w:rsidR="007B10F6" w:rsidRPr="001B7B0C">
        <w:rPr>
          <w:rFonts w:ascii="Calibri" w:hAnsi="Calibri" w:cs="Calibri"/>
          <w:sz w:val="22"/>
          <w:szCs w:val="22"/>
        </w:rPr>
        <w:t xml:space="preserve"> </w:t>
      </w:r>
      <w:r w:rsidR="000D18E6" w:rsidRPr="001B7B0C">
        <w:rPr>
          <w:rFonts w:ascii="Calibri" w:hAnsi="Calibri" w:cs="Calibri"/>
          <w:sz w:val="22"/>
          <w:szCs w:val="22"/>
        </w:rPr>
        <w:t>legal considerations</w:t>
      </w:r>
      <w:r w:rsidR="001B7B0C" w:rsidRPr="001B7B0C">
        <w:rPr>
          <w:rFonts w:ascii="Calibri" w:hAnsi="Calibri" w:cs="Calibri"/>
          <w:sz w:val="22"/>
          <w:szCs w:val="22"/>
        </w:rPr>
        <w:t>; and</w:t>
      </w:r>
      <w:r w:rsidR="000D18E6" w:rsidRPr="001B7B0C">
        <w:rPr>
          <w:rFonts w:ascii="Calibri" w:hAnsi="Calibri" w:cs="Calibri"/>
          <w:sz w:val="22"/>
          <w:szCs w:val="22"/>
        </w:rPr>
        <w:t xml:space="preserve"> </w:t>
      </w:r>
      <w:r w:rsidR="001B7B0C" w:rsidRPr="001B7B0C">
        <w:rPr>
          <w:rFonts w:ascii="Calibri" w:hAnsi="Calibri" w:cs="Calibri"/>
          <w:sz w:val="22"/>
          <w:szCs w:val="22"/>
        </w:rPr>
        <w:t xml:space="preserve">uneven impacts on different industry actors. </w:t>
      </w:r>
      <w:r w:rsidRPr="001B7B0C">
        <w:rPr>
          <w:rFonts w:ascii="Calibri" w:hAnsi="Calibri" w:cs="Calibri"/>
          <w:sz w:val="22"/>
          <w:szCs w:val="22"/>
        </w:rPr>
        <w:t>P</w:t>
      </w:r>
      <w:r w:rsidR="00455768" w:rsidRPr="001B7B0C">
        <w:rPr>
          <w:rFonts w:ascii="Calibri" w:hAnsi="Calibri" w:cs="Calibri"/>
          <w:sz w:val="22"/>
          <w:szCs w:val="22"/>
        </w:rPr>
        <w:t>olitical challenges</w:t>
      </w:r>
      <w:r w:rsidRPr="001B7B0C">
        <w:rPr>
          <w:rFonts w:ascii="Calibri" w:hAnsi="Calibri" w:cs="Calibri"/>
          <w:sz w:val="22"/>
          <w:szCs w:val="22"/>
        </w:rPr>
        <w:t xml:space="preserve"> included </w:t>
      </w:r>
      <w:r w:rsidR="001B7B0C" w:rsidRPr="00B41C9C">
        <w:rPr>
          <w:rFonts w:ascii="Calibri" w:hAnsi="Calibri" w:cs="Calibri"/>
          <w:sz w:val="22"/>
          <w:szCs w:val="22"/>
        </w:rPr>
        <w:t>developing a policy</w:t>
      </w:r>
      <w:r w:rsidR="00296BFF">
        <w:rPr>
          <w:rFonts w:ascii="Calibri" w:hAnsi="Calibri" w:cs="Calibri"/>
          <w:sz w:val="22"/>
          <w:szCs w:val="22"/>
        </w:rPr>
        <w:t xml:space="preserve"> that </w:t>
      </w:r>
      <w:r w:rsidR="00DC70C5">
        <w:rPr>
          <w:rFonts w:ascii="Calibri" w:hAnsi="Calibri" w:cs="Calibri"/>
          <w:sz w:val="22"/>
          <w:szCs w:val="22"/>
        </w:rPr>
        <w:t xml:space="preserve">could be applied in a way </w:t>
      </w:r>
      <w:r w:rsidR="00296BFF">
        <w:rPr>
          <w:rFonts w:ascii="Calibri" w:hAnsi="Calibri" w:cs="Calibri"/>
          <w:sz w:val="22"/>
          <w:szCs w:val="22"/>
        </w:rPr>
        <w:t>the public would</w:t>
      </w:r>
      <w:r w:rsidR="001B7B0C" w:rsidRPr="00B41C9C">
        <w:rPr>
          <w:rFonts w:ascii="Calibri" w:hAnsi="Calibri" w:cs="Calibri"/>
          <w:sz w:val="22"/>
          <w:szCs w:val="22"/>
        </w:rPr>
        <w:t xml:space="preserve"> perceive as ‘common sense</w:t>
      </w:r>
      <w:r w:rsidR="00296BFF">
        <w:rPr>
          <w:rFonts w:ascii="Calibri" w:hAnsi="Calibri" w:cs="Calibri"/>
          <w:sz w:val="22"/>
          <w:szCs w:val="22"/>
        </w:rPr>
        <w:t>;</w:t>
      </w:r>
      <w:r w:rsidR="001B7B0C" w:rsidRPr="00B41C9C">
        <w:rPr>
          <w:rFonts w:ascii="Calibri" w:hAnsi="Calibri" w:cs="Calibri"/>
          <w:sz w:val="22"/>
          <w:szCs w:val="22"/>
        </w:rPr>
        <w:t>’</w:t>
      </w:r>
      <w:r w:rsidR="00EB14CD" w:rsidRPr="001B7B0C">
        <w:rPr>
          <w:rFonts w:ascii="Calibri" w:hAnsi="Calibri" w:cs="Calibri"/>
          <w:sz w:val="22"/>
          <w:szCs w:val="22"/>
        </w:rPr>
        <w:t xml:space="preserve"> </w:t>
      </w:r>
      <w:r w:rsidR="009954D5" w:rsidRPr="001B7B0C">
        <w:rPr>
          <w:rFonts w:ascii="Calibri" w:hAnsi="Calibri" w:cs="Calibri"/>
          <w:sz w:val="22"/>
          <w:szCs w:val="22"/>
        </w:rPr>
        <w:t xml:space="preserve">balancing </w:t>
      </w:r>
      <w:r w:rsidR="00DE4A2D" w:rsidRPr="001B7B0C">
        <w:rPr>
          <w:rFonts w:ascii="Calibri" w:hAnsi="Calibri" w:cs="Calibri"/>
          <w:sz w:val="22"/>
          <w:szCs w:val="22"/>
        </w:rPr>
        <w:t xml:space="preserve">health </w:t>
      </w:r>
      <w:r w:rsidR="009954D5" w:rsidRPr="001B7B0C">
        <w:rPr>
          <w:rFonts w:ascii="Calibri" w:hAnsi="Calibri" w:cs="Calibri"/>
          <w:sz w:val="22"/>
          <w:szCs w:val="22"/>
        </w:rPr>
        <w:t>policy with the financial</w:t>
      </w:r>
      <w:r w:rsidR="00DE4A2D" w:rsidRPr="001B7B0C">
        <w:rPr>
          <w:rFonts w:ascii="Calibri" w:hAnsi="Calibri" w:cs="Calibri"/>
          <w:sz w:val="22"/>
          <w:szCs w:val="22"/>
        </w:rPr>
        <w:t xml:space="preserve"> </w:t>
      </w:r>
      <w:r w:rsidR="00A02474">
        <w:rPr>
          <w:rFonts w:ascii="Calibri" w:hAnsi="Calibri" w:cs="Calibri"/>
          <w:sz w:val="22"/>
          <w:szCs w:val="22"/>
        </w:rPr>
        <w:t xml:space="preserve">impact on </w:t>
      </w:r>
      <w:r w:rsidR="009954D5" w:rsidRPr="001B7B0C">
        <w:rPr>
          <w:rFonts w:ascii="Calibri" w:hAnsi="Calibri" w:cs="Calibri"/>
          <w:sz w:val="22"/>
          <w:szCs w:val="22"/>
        </w:rPr>
        <w:t>T</w:t>
      </w:r>
      <w:r w:rsidR="006F55FA">
        <w:rPr>
          <w:rFonts w:ascii="Calibri" w:hAnsi="Calibri" w:cs="Calibri"/>
          <w:sz w:val="22"/>
          <w:szCs w:val="22"/>
        </w:rPr>
        <w:t>f</w:t>
      </w:r>
      <w:r w:rsidR="009954D5" w:rsidRPr="001B7B0C">
        <w:rPr>
          <w:rFonts w:ascii="Calibri" w:hAnsi="Calibri" w:cs="Calibri"/>
          <w:sz w:val="22"/>
          <w:szCs w:val="22"/>
        </w:rPr>
        <w:t xml:space="preserve">L; </w:t>
      </w:r>
      <w:r w:rsidR="00EB14CD" w:rsidRPr="001B7B0C">
        <w:rPr>
          <w:rFonts w:ascii="Calibri" w:hAnsi="Calibri" w:cs="Calibri"/>
          <w:sz w:val="22"/>
          <w:szCs w:val="22"/>
        </w:rPr>
        <w:t xml:space="preserve">and </w:t>
      </w:r>
      <w:r w:rsidR="001B7B0C">
        <w:rPr>
          <w:rFonts w:ascii="Calibri" w:hAnsi="Calibri" w:cs="Calibri"/>
          <w:sz w:val="22"/>
          <w:szCs w:val="22"/>
        </w:rPr>
        <w:t xml:space="preserve">the </w:t>
      </w:r>
      <w:r w:rsidR="00EB14CD" w:rsidRPr="001B7B0C">
        <w:rPr>
          <w:rFonts w:ascii="Calibri" w:hAnsi="Calibri" w:cs="Calibri"/>
          <w:sz w:val="22"/>
          <w:szCs w:val="22"/>
        </w:rPr>
        <w:t xml:space="preserve">perceived influence of public perception and political motivations. </w:t>
      </w:r>
      <w:bookmarkStart w:id="3" w:name="_Hlk69293383"/>
      <w:r w:rsidR="008B61FC" w:rsidRPr="00475D3F">
        <w:rPr>
          <w:rFonts w:asciiTheme="minorHAnsi" w:hAnsiTheme="minorHAnsi" w:cstheme="minorHAnsi"/>
          <w:sz w:val="22"/>
          <w:szCs w:val="22"/>
        </w:rPr>
        <w:t>Consultation during policy development</w:t>
      </w:r>
      <w:r w:rsidR="009E5242">
        <w:rPr>
          <w:rFonts w:asciiTheme="minorHAnsi" w:hAnsiTheme="minorHAnsi" w:cstheme="minorHAnsi"/>
          <w:sz w:val="22"/>
          <w:szCs w:val="22"/>
        </w:rPr>
        <w:t>,</w:t>
      </w:r>
      <w:r w:rsidR="008B61FC" w:rsidRPr="00475D3F">
        <w:rPr>
          <w:rFonts w:asciiTheme="minorHAnsi" w:hAnsiTheme="minorHAnsi" w:cstheme="minorHAnsi"/>
          <w:sz w:val="22"/>
          <w:szCs w:val="22"/>
        </w:rPr>
        <w:t xml:space="preserve"> close communication with industry</w:t>
      </w:r>
      <w:r w:rsidR="008B61FC">
        <w:rPr>
          <w:rFonts w:asciiTheme="minorHAnsi" w:hAnsiTheme="minorHAnsi" w:cstheme="minorHAnsi"/>
          <w:sz w:val="22"/>
          <w:szCs w:val="22"/>
        </w:rPr>
        <w:t xml:space="preserve"> stakeholders</w:t>
      </w:r>
      <w:r w:rsidR="009E5242">
        <w:rPr>
          <w:rFonts w:asciiTheme="minorHAnsi" w:hAnsiTheme="minorHAnsi" w:cstheme="minorHAnsi"/>
          <w:sz w:val="22"/>
          <w:szCs w:val="22"/>
        </w:rPr>
        <w:t>, building on existing policies and legal agreements and</w:t>
      </w:r>
      <w:r w:rsidR="008B61FC" w:rsidRPr="00475D3F">
        <w:rPr>
          <w:rFonts w:asciiTheme="minorHAnsi" w:hAnsiTheme="minorHAnsi" w:cstheme="minorHAnsi"/>
          <w:sz w:val="22"/>
          <w:szCs w:val="22"/>
        </w:rPr>
        <w:t xml:space="preserve"> the development of an exceptions process</w:t>
      </w:r>
      <w:r w:rsidR="009E5242">
        <w:rPr>
          <w:rFonts w:asciiTheme="minorHAnsi" w:hAnsiTheme="minorHAnsi" w:cstheme="minorHAnsi"/>
          <w:sz w:val="22"/>
          <w:szCs w:val="22"/>
        </w:rPr>
        <w:t xml:space="preserve"> through which advertising requests </w:t>
      </w:r>
      <w:r w:rsidR="00DC70C5">
        <w:rPr>
          <w:rFonts w:asciiTheme="minorHAnsi" w:hAnsiTheme="minorHAnsi" w:cstheme="minorHAnsi"/>
          <w:sz w:val="22"/>
          <w:szCs w:val="22"/>
        </w:rPr>
        <w:t xml:space="preserve">could be reviewed where they involved </w:t>
      </w:r>
      <w:r w:rsidR="009E5242">
        <w:rPr>
          <w:rFonts w:asciiTheme="minorHAnsi" w:hAnsiTheme="minorHAnsi" w:cstheme="minorHAnsi"/>
          <w:sz w:val="22"/>
          <w:szCs w:val="22"/>
        </w:rPr>
        <w:t xml:space="preserve">HFSS products </w:t>
      </w:r>
      <w:r w:rsidR="00DC70C5">
        <w:rPr>
          <w:rFonts w:asciiTheme="minorHAnsi" w:hAnsiTheme="minorHAnsi" w:cstheme="minorHAnsi"/>
          <w:sz w:val="22"/>
          <w:szCs w:val="22"/>
        </w:rPr>
        <w:t>that</w:t>
      </w:r>
      <w:r w:rsidR="009E5242">
        <w:rPr>
          <w:rFonts w:asciiTheme="minorHAnsi" w:hAnsiTheme="minorHAnsi" w:cstheme="minorHAnsi"/>
          <w:sz w:val="22"/>
          <w:szCs w:val="22"/>
        </w:rPr>
        <w:t xml:space="preserve"> might arguabl</w:t>
      </w:r>
      <w:r w:rsidR="001C4BDA">
        <w:rPr>
          <w:rFonts w:asciiTheme="minorHAnsi" w:hAnsiTheme="minorHAnsi" w:cstheme="minorHAnsi"/>
          <w:sz w:val="22"/>
          <w:szCs w:val="22"/>
        </w:rPr>
        <w:t>y</w:t>
      </w:r>
      <w:r w:rsidR="009E5242">
        <w:rPr>
          <w:rFonts w:asciiTheme="minorHAnsi" w:hAnsiTheme="minorHAnsi" w:cstheme="minorHAnsi"/>
          <w:sz w:val="22"/>
          <w:szCs w:val="22"/>
        </w:rPr>
        <w:t xml:space="preserve"> fall outside of the scope of the policy</w:t>
      </w:r>
      <w:r w:rsidR="008B61FC" w:rsidRPr="00475D3F">
        <w:rPr>
          <w:rFonts w:asciiTheme="minorHAnsi" w:hAnsiTheme="minorHAnsi" w:cstheme="minorHAnsi"/>
          <w:sz w:val="22"/>
          <w:szCs w:val="22"/>
        </w:rPr>
        <w:t xml:space="preserve"> </w:t>
      </w:r>
      <w:r w:rsidR="009E5242">
        <w:rPr>
          <w:rFonts w:asciiTheme="minorHAnsi" w:hAnsiTheme="minorHAnsi" w:cstheme="minorHAnsi"/>
          <w:sz w:val="22"/>
          <w:szCs w:val="22"/>
        </w:rPr>
        <w:t>reportedly facilitated implementation</w:t>
      </w:r>
      <w:r w:rsidR="008B61FC" w:rsidRPr="00475D3F">
        <w:rPr>
          <w:rFonts w:asciiTheme="minorHAnsi" w:hAnsiTheme="minorHAnsi" w:cstheme="minorHAnsi"/>
          <w:sz w:val="22"/>
          <w:szCs w:val="22"/>
        </w:rPr>
        <w:t xml:space="preserve">. </w:t>
      </w:r>
      <w:bookmarkEnd w:id="3"/>
    </w:p>
    <w:p w14:paraId="0CB6A053" w14:textId="5531377D" w:rsidR="00C42D02" w:rsidRPr="00F66DB4" w:rsidRDefault="00C42D02" w:rsidP="00475D3F">
      <w:pPr>
        <w:spacing w:line="360" w:lineRule="auto"/>
        <w:rPr>
          <w:rFonts w:ascii="Calibri" w:hAnsi="Calibri" w:cs="Calibri"/>
          <w:sz w:val="22"/>
          <w:szCs w:val="22"/>
        </w:rPr>
      </w:pPr>
    </w:p>
    <w:p w14:paraId="3F319FAD" w14:textId="40BB532F" w:rsidR="00455768" w:rsidRDefault="00455768" w:rsidP="00475D3F">
      <w:pPr>
        <w:pStyle w:val="Heading4"/>
        <w:spacing w:line="360" w:lineRule="auto"/>
      </w:pPr>
      <w:r w:rsidRPr="00B41C9C">
        <w:t xml:space="preserve">Practical </w:t>
      </w:r>
      <w:r w:rsidR="008B61FC">
        <w:t>factors</w:t>
      </w:r>
    </w:p>
    <w:p w14:paraId="7AB6309B" w14:textId="77777777" w:rsidR="00262718" w:rsidRPr="00F66DB4" w:rsidRDefault="00262718" w:rsidP="00475D3F">
      <w:pPr>
        <w:spacing w:line="360" w:lineRule="auto"/>
        <w:rPr>
          <w:rFonts w:ascii="Calibri" w:hAnsi="Calibri" w:cs="Calibri"/>
          <w:b/>
          <w:bCs/>
          <w:sz w:val="22"/>
          <w:szCs w:val="22"/>
        </w:rPr>
      </w:pPr>
      <w:r w:rsidRPr="00F66DB4">
        <w:rPr>
          <w:rFonts w:ascii="Calibri" w:hAnsi="Calibri" w:cs="Calibri"/>
          <w:b/>
          <w:bCs/>
          <w:sz w:val="22"/>
          <w:szCs w:val="22"/>
        </w:rPr>
        <w:t>Timeframe for consultation and implementation</w:t>
      </w:r>
    </w:p>
    <w:p w14:paraId="0F6FDD03" w14:textId="1570F412" w:rsidR="00262718" w:rsidRPr="00E01F9A" w:rsidRDefault="00262718" w:rsidP="00475D3F">
      <w:pPr>
        <w:spacing w:line="360" w:lineRule="auto"/>
        <w:rPr>
          <w:rFonts w:ascii="Calibri" w:hAnsi="Calibri" w:cs="Calibri"/>
          <w:sz w:val="22"/>
          <w:szCs w:val="22"/>
        </w:rPr>
      </w:pPr>
      <w:r w:rsidRPr="00F66DB4">
        <w:rPr>
          <w:rFonts w:ascii="Calibri" w:hAnsi="Calibri" w:cs="Calibri"/>
          <w:sz w:val="22"/>
          <w:szCs w:val="22"/>
        </w:rPr>
        <w:t xml:space="preserve">Industry and </w:t>
      </w:r>
      <w:r w:rsidR="0082009C">
        <w:rPr>
          <w:rFonts w:ascii="Calibri" w:hAnsi="Calibri" w:cs="Calibri"/>
          <w:sz w:val="22"/>
          <w:szCs w:val="22"/>
        </w:rPr>
        <w:t>implementation</w:t>
      </w:r>
      <w:r w:rsidRPr="00F66DB4">
        <w:rPr>
          <w:rFonts w:ascii="Calibri" w:hAnsi="Calibri" w:cs="Calibri"/>
          <w:sz w:val="22"/>
          <w:szCs w:val="22"/>
        </w:rPr>
        <w:t xml:space="preserve"> stakeholders </w:t>
      </w:r>
      <w:r w:rsidR="002825E1">
        <w:rPr>
          <w:rFonts w:ascii="Calibri" w:hAnsi="Calibri" w:cs="Calibri"/>
          <w:sz w:val="22"/>
          <w:szCs w:val="22"/>
        </w:rPr>
        <w:t>both felt</w:t>
      </w:r>
      <w:r w:rsidRPr="00F66DB4">
        <w:rPr>
          <w:rFonts w:ascii="Calibri" w:hAnsi="Calibri" w:cs="Calibri"/>
          <w:sz w:val="22"/>
          <w:szCs w:val="22"/>
        </w:rPr>
        <w:t xml:space="preserve"> that the time</w:t>
      </w:r>
      <w:r w:rsidR="00D70662">
        <w:rPr>
          <w:rFonts w:ascii="Calibri" w:hAnsi="Calibri" w:cs="Calibri"/>
          <w:sz w:val="22"/>
          <w:szCs w:val="22"/>
        </w:rPr>
        <w:t xml:space="preserve">line for initiating consultation (May 2018) and announcing (November 2018) and implementing (February 2019) the policy </w:t>
      </w:r>
      <w:r w:rsidRPr="00F66DB4">
        <w:rPr>
          <w:rFonts w:ascii="Calibri" w:hAnsi="Calibri" w:cs="Calibri"/>
          <w:sz w:val="22"/>
          <w:szCs w:val="22"/>
        </w:rPr>
        <w:t>was</w:t>
      </w:r>
      <w:r w:rsidR="00C923DC">
        <w:rPr>
          <w:rFonts w:ascii="Calibri" w:hAnsi="Calibri" w:cs="Calibri"/>
          <w:sz w:val="22"/>
          <w:szCs w:val="22"/>
        </w:rPr>
        <w:t xml:space="preserve"> fast-paced</w:t>
      </w:r>
      <w:r w:rsidRPr="00F66DB4">
        <w:rPr>
          <w:rFonts w:ascii="Calibri" w:hAnsi="Calibri" w:cs="Calibri"/>
          <w:sz w:val="22"/>
          <w:szCs w:val="22"/>
        </w:rPr>
        <w:t xml:space="preserve">. Some industry stakeholders felt the rapid consultation was a cursory “box ticking exercise” for a policy </w:t>
      </w:r>
      <w:r w:rsidRPr="00F66DB4">
        <w:rPr>
          <w:rFonts w:ascii="Calibri" w:hAnsi="Calibri" w:cs="Calibri"/>
          <w:sz w:val="22"/>
          <w:szCs w:val="22"/>
        </w:rPr>
        <w:lastRenderedPageBreak/>
        <w:t xml:space="preserve">that </w:t>
      </w:r>
      <w:r w:rsidR="00D51F19">
        <w:rPr>
          <w:rFonts w:ascii="Calibri" w:hAnsi="Calibri" w:cs="Calibri"/>
          <w:sz w:val="22"/>
          <w:szCs w:val="22"/>
        </w:rPr>
        <w:t>was</w:t>
      </w:r>
      <w:r w:rsidRPr="00F66DB4">
        <w:rPr>
          <w:rFonts w:ascii="Calibri" w:hAnsi="Calibri" w:cs="Calibri"/>
          <w:sz w:val="22"/>
          <w:szCs w:val="22"/>
        </w:rPr>
        <w:t xml:space="preserve"> </w:t>
      </w:r>
      <w:r w:rsidR="00D51F19" w:rsidRPr="00F66DB4">
        <w:rPr>
          <w:rFonts w:ascii="Calibri" w:hAnsi="Calibri" w:cs="Calibri"/>
          <w:sz w:val="22"/>
          <w:szCs w:val="22"/>
        </w:rPr>
        <w:t xml:space="preserve">already </w:t>
      </w:r>
      <w:r w:rsidR="00C82D1D">
        <w:rPr>
          <w:rFonts w:ascii="Calibri" w:hAnsi="Calibri" w:cs="Calibri"/>
          <w:sz w:val="22"/>
          <w:szCs w:val="22"/>
        </w:rPr>
        <w:t>likely to be adopted,</w:t>
      </w:r>
      <w:r w:rsidR="00E418E5">
        <w:rPr>
          <w:rFonts w:ascii="Calibri" w:hAnsi="Calibri" w:cs="Calibri"/>
          <w:sz w:val="22"/>
          <w:szCs w:val="22"/>
        </w:rPr>
        <w:t xml:space="preserve"> and a</w:t>
      </w:r>
      <w:r w:rsidRPr="00F66DB4">
        <w:rPr>
          <w:rFonts w:ascii="Calibri" w:hAnsi="Calibri" w:cs="Calibri"/>
          <w:sz w:val="22"/>
          <w:szCs w:val="22"/>
        </w:rPr>
        <w:t xml:space="preserve">ccording to </w:t>
      </w:r>
      <w:r w:rsidR="00D51F19">
        <w:rPr>
          <w:rFonts w:ascii="Calibri" w:hAnsi="Calibri" w:cs="Calibri"/>
          <w:sz w:val="22"/>
          <w:szCs w:val="22"/>
        </w:rPr>
        <w:t>some</w:t>
      </w:r>
      <w:r w:rsidRPr="00F66DB4">
        <w:rPr>
          <w:rFonts w:ascii="Calibri" w:hAnsi="Calibri" w:cs="Calibri"/>
          <w:sz w:val="22"/>
          <w:szCs w:val="22"/>
        </w:rPr>
        <w:t xml:space="preserve"> stakeholders the “rushed” timeline resulted in implementing </w:t>
      </w:r>
      <w:r w:rsidR="00C82D1D">
        <w:rPr>
          <w:rFonts w:ascii="Calibri" w:hAnsi="Calibri" w:cs="Calibri"/>
          <w:sz w:val="22"/>
          <w:szCs w:val="22"/>
        </w:rPr>
        <w:t>a</w:t>
      </w:r>
      <w:r w:rsidR="00C82D1D" w:rsidRPr="00F66DB4">
        <w:rPr>
          <w:rFonts w:ascii="Calibri" w:hAnsi="Calibri" w:cs="Calibri"/>
          <w:sz w:val="22"/>
          <w:szCs w:val="22"/>
        </w:rPr>
        <w:t xml:space="preserve"> </w:t>
      </w:r>
      <w:r w:rsidRPr="00F66DB4">
        <w:rPr>
          <w:rFonts w:ascii="Calibri" w:hAnsi="Calibri" w:cs="Calibri"/>
          <w:sz w:val="22"/>
          <w:szCs w:val="22"/>
        </w:rPr>
        <w:t xml:space="preserve">policy with foreseeable flaws </w:t>
      </w:r>
      <w:r w:rsidR="00C82D1D">
        <w:rPr>
          <w:rFonts w:ascii="Calibri" w:hAnsi="Calibri" w:cs="Calibri"/>
          <w:sz w:val="22"/>
          <w:szCs w:val="22"/>
        </w:rPr>
        <w:t>that</w:t>
      </w:r>
      <w:r w:rsidR="00C82D1D" w:rsidRPr="00F66DB4">
        <w:rPr>
          <w:rFonts w:ascii="Calibri" w:hAnsi="Calibri" w:cs="Calibri"/>
          <w:sz w:val="22"/>
          <w:szCs w:val="22"/>
        </w:rPr>
        <w:t xml:space="preserve"> </w:t>
      </w:r>
      <w:r w:rsidRPr="00F66DB4">
        <w:rPr>
          <w:rFonts w:ascii="Calibri" w:hAnsi="Calibri" w:cs="Calibri"/>
          <w:sz w:val="22"/>
          <w:szCs w:val="22"/>
        </w:rPr>
        <w:t xml:space="preserve">had to be </w:t>
      </w:r>
      <w:r w:rsidR="00C82D1D">
        <w:rPr>
          <w:rFonts w:ascii="Calibri" w:hAnsi="Calibri" w:cs="Calibri"/>
          <w:sz w:val="22"/>
          <w:szCs w:val="22"/>
        </w:rPr>
        <w:t xml:space="preserve">subsequently </w:t>
      </w:r>
      <w:r w:rsidRPr="00F66DB4">
        <w:rPr>
          <w:rFonts w:ascii="Calibri" w:hAnsi="Calibri" w:cs="Calibri"/>
          <w:sz w:val="22"/>
          <w:szCs w:val="22"/>
        </w:rPr>
        <w:t>addressed</w:t>
      </w:r>
      <w:r w:rsidR="00E30D1F">
        <w:rPr>
          <w:rFonts w:ascii="Calibri" w:hAnsi="Calibri" w:cs="Calibri"/>
          <w:sz w:val="22"/>
          <w:szCs w:val="22"/>
        </w:rPr>
        <w:t>:</w:t>
      </w:r>
      <w:r w:rsidRPr="00F66DB4">
        <w:rPr>
          <w:rFonts w:ascii="Calibri" w:hAnsi="Calibri" w:cs="Calibri"/>
          <w:sz w:val="22"/>
          <w:szCs w:val="22"/>
        </w:rPr>
        <w:t xml:space="preserve"> </w:t>
      </w:r>
    </w:p>
    <w:p w14:paraId="517E878B" w14:textId="77777777" w:rsidR="00262718" w:rsidRPr="00753919" w:rsidRDefault="00262718" w:rsidP="00475D3F">
      <w:pPr>
        <w:spacing w:line="360" w:lineRule="auto"/>
        <w:rPr>
          <w:rFonts w:ascii="Calibri" w:hAnsi="Calibri" w:cs="Calibri"/>
          <w:sz w:val="22"/>
          <w:szCs w:val="22"/>
        </w:rPr>
      </w:pPr>
    </w:p>
    <w:p w14:paraId="7E22B5F6" w14:textId="1F48363C" w:rsidR="00262718" w:rsidRDefault="00262718" w:rsidP="00475D3F">
      <w:pPr>
        <w:spacing w:line="360" w:lineRule="auto"/>
        <w:ind w:left="709" w:right="571"/>
        <w:rPr>
          <w:rFonts w:asciiTheme="minorHAnsi" w:hAnsiTheme="minorHAnsi" w:cstheme="minorHAnsi"/>
          <w:i/>
          <w:iCs/>
          <w:sz w:val="22"/>
          <w:szCs w:val="22"/>
        </w:rPr>
      </w:pPr>
      <w:r w:rsidRPr="000D12C4">
        <w:rPr>
          <w:rFonts w:asciiTheme="minorHAnsi" w:hAnsiTheme="minorHAnsi" w:cstheme="minorHAnsi"/>
          <w:i/>
          <w:iCs/>
          <w:sz w:val="22"/>
          <w:szCs w:val="22"/>
        </w:rPr>
        <w:t>“</w:t>
      </w:r>
      <w:r w:rsidR="000F6918">
        <w:rPr>
          <w:rFonts w:asciiTheme="minorHAnsi" w:hAnsiTheme="minorHAnsi" w:cstheme="minorHAnsi"/>
          <w:i/>
          <w:iCs/>
          <w:sz w:val="22"/>
          <w:szCs w:val="22"/>
        </w:rPr>
        <w:t>…</w:t>
      </w:r>
      <w:r w:rsidRPr="000D12C4">
        <w:rPr>
          <w:rFonts w:asciiTheme="minorHAnsi" w:hAnsiTheme="minorHAnsi" w:cstheme="minorHAnsi"/>
          <w:i/>
          <w:iCs/>
          <w:sz w:val="22"/>
          <w:szCs w:val="22"/>
        </w:rPr>
        <w:t>there is no perfect solution to this stuff</w:t>
      </w:r>
      <w:r w:rsidR="000F6918">
        <w:rPr>
          <w:rFonts w:asciiTheme="minorHAnsi" w:hAnsiTheme="minorHAnsi" w:cstheme="minorHAnsi"/>
          <w:i/>
          <w:iCs/>
          <w:sz w:val="22"/>
          <w:szCs w:val="22"/>
        </w:rPr>
        <w:t>…</w:t>
      </w:r>
      <w:r w:rsidRPr="000D12C4">
        <w:rPr>
          <w:rFonts w:asciiTheme="minorHAnsi" w:hAnsiTheme="minorHAnsi" w:cstheme="minorHAnsi"/>
          <w:i/>
          <w:iCs/>
          <w:sz w:val="22"/>
          <w:szCs w:val="22"/>
        </w:rPr>
        <w:t>I think if we had spent more time considering the implementation, we might have discovered some of these unforeseen, unintended consequences…without having to run through them live with commercial organisations.”</w:t>
      </w:r>
    </w:p>
    <w:p w14:paraId="14AB8FBD" w14:textId="352AE295" w:rsidR="00262718" w:rsidRPr="000D12C4" w:rsidRDefault="00262718" w:rsidP="00475D3F">
      <w:pPr>
        <w:pStyle w:val="ListParagraph"/>
        <w:numPr>
          <w:ilvl w:val="0"/>
          <w:numId w:val="9"/>
        </w:numPr>
        <w:spacing w:line="360" w:lineRule="auto"/>
        <w:ind w:right="571"/>
        <w:rPr>
          <w:rFonts w:cstheme="minorHAnsi"/>
          <w:i/>
          <w:iCs/>
          <w:sz w:val="22"/>
          <w:szCs w:val="22"/>
        </w:rPr>
      </w:pPr>
      <w:r>
        <w:rPr>
          <w:rFonts w:cstheme="minorHAnsi"/>
          <w:i/>
          <w:iCs/>
          <w:sz w:val="22"/>
          <w:szCs w:val="22"/>
        </w:rPr>
        <w:t>Implementation stakeholder (</w:t>
      </w:r>
      <w:r w:rsidR="002057F4">
        <w:rPr>
          <w:rFonts w:cstheme="minorHAnsi"/>
          <w:i/>
          <w:iCs/>
          <w:sz w:val="22"/>
          <w:szCs w:val="22"/>
        </w:rPr>
        <w:t>G</w:t>
      </w:r>
      <w:r>
        <w:rPr>
          <w:rFonts w:cstheme="minorHAnsi"/>
          <w:i/>
          <w:iCs/>
          <w:sz w:val="22"/>
          <w:szCs w:val="22"/>
        </w:rPr>
        <w:t>LA)</w:t>
      </w:r>
    </w:p>
    <w:p w14:paraId="14B5F265" w14:textId="77777777" w:rsidR="00262718" w:rsidRPr="00F66DB4" w:rsidRDefault="00262718" w:rsidP="00262718">
      <w:pPr>
        <w:ind w:left="720" w:right="720"/>
        <w:rPr>
          <w:rFonts w:ascii="Calibri" w:hAnsi="Calibri" w:cs="Calibri"/>
          <w:i/>
          <w:iCs/>
          <w:sz w:val="22"/>
          <w:szCs w:val="22"/>
        </w:rPr>
      </w:pPr>
    </w:p>
    <w:p w14:paraId="7F08C8FC" w14:textId="77777777" w:rsidR="009F67BA" w:rsidRDefault="009F67BA" w:rsidP="00B05A8F">
      <w:pPr>
        <w:rPr>
          <w:rFonts w:ascii="Calibri" w:hAnsi="Calibri" w:cs="Calibri"/>
          <w:sz w:val="22"/>
          <w:szCs w:val="22"/>
        </w:rPr>
      </w:pPr>
    </w:p>
    <w:p w14:paraId="19E83EC4" w14:textId="1D6B083A" w:rsidR="00262718" w:rsidRPr="0003719C" w:rsidRDefault="00262718" w:rsidP="00475D3F">
      <w:pPr>
        <w:spacing w:line="360" w:lineRule="auto"/>
        <w:rPr>
          <w:rFonts w:ascii="Calibri" w:hAnsi="Calibri" w:cs="Calibri"/>
          <w:sz w:val="22"/>
          <w:szCs w:val="22"/>
        </w:rPr>
      </w:pPr>
      <w:r w:rsidRPr="00F66DB4">
        <w:rPr>
          <w:rFonts w:ascii="Calibri" w:hAnsi="Calibri" w:cs="Calibri"/>
          <w:sz w:val="22"/>
          <w:szCs w:val="22"/>
        </w:rPr>
        <w:t>Participants</w:t>
      </w:r>
      <w:r w:rsidR="00E30D1F">
        <w:rPr>
          <w:rFonts w:ascii="Calibri" w:hAnsi="Calibri" w:cs="Calibri"/>
          <w:sz w:val="22"/>
          <w:szCs w:val="22"/>
        </w:rPr>
        <w:t xml:space="preserve"> also</w:t>
      </w:r>
      <w:r w:rsidRPr="00F66DB4">
        <w:rPr>
          <w:rFonts w:ascii="Calibri" w:hAnsi="Calibri" w:cs="Calibri"/>
          <w:sz w:val="22"/>
          <w:szCs w:val="22"/>
        </w:rPr>
        <w:t xml:space="preserve"> reported that</w:t>
      </w:r>
      <w:r w:rsidR="00957D35">
        <w:rPr>
          <w:rFonts w:ascii="Calibri" w:hAnsi="Calibri" w:cs="Calibri"/>
          <w:sz w:val="22"/>
          <w:szCs w:val="22"/>
        </w:rPr>
        <w:t>,</w:t>
      </w:r>
      <w:r w:rsidRPr="00F66DB4">
        <w:rPr>
          <w:rFonts w:ascii="Calibri" w:hAnsi="Calibri" w:cs="Calibri"/>
          <w:sz w:val="22"/>
          <w:szCs w:val="22"/>
        </w:rPr>
        <w:t xml:space="preserve"> although TfL engaged effectively with industry </w:t>
      </w:r>
      <w:r w:rsidR="00515DED">
        <w:rPr>
          <w:rFonts w:ascii="Calibri" w:hAnsi="Calibri" w:cs="Calibri"/>
          <w:sz w:val="22"/>
          <w:szCs w:val="22"/>
        </w:rPr>
        <w:t>when</w:t>
      </w:r>
      <w:r w:rsidRPr="00F66DB4">
        <w:rPr>
          <w:rFonts w:ascii="Calibri" w:hAnsi="Calibri" w:cs="Calibri"/>
          <w:sz w:val="22"/>
          <w:szCs w:val="22"/>
        </w:rPr>
        <w:t xml:space="preserve"> the policy </w:t>
      </w:r>
      <w:r w:rsidR="00515DED">
        <w:rPr>
          <w:rFonts w:ascii="Calibri" w:hAnsi="Calibri" w:cs="Calibri"/>
          <w:sz w:val="22"/>
          <w:szCs w:val="22"/>
        </w:rPr>
        <w:t xml:space="preserve">was </w:t>
      </w:r>
      <w:r w:rsidRPr="00F66DB4">
        <w:rPr>
          <w:rFonts w:ascii="Calibri" w:hAnsi="Calibri" w:cs="Calibri"/>
          <w:sz w:val="22"/>
          <w:szCs w:val="22"/>
        </w:rPr>
        <w:t>announce</w:t>
      </w:r>
      <w:r w:rsidR="00515DED">
        <w:rPr>
          <w:rFonts w:ascii="Calibri" w:hAnsi="Calibri" w:cs="Calibri"/>
          <w:sz w:val="22"/>
          <w:szCs w:val="22"/>
        </w:rPr>
        <w:t>d</w:t>
      </w:r>
      <w:r w:rsidRPr="00F66DB4">
        <w:rPr>
          <w:rFonts w:ascii="Calibri" w:hAnsi="Calibri" w:cs="Calibri"/>
          <w:sz w:val="22"/>
          <w:szCs w:val="22"/>
        </w:rPr>
        <w:t>, the three</w:t>
      </w:r>
      <w:r w:rsidR="00A24C27">
        <w:rPr>
          <w:rFonts w:ascii="Calibri" w:hAnsi="Calibri" w:cs="Calibri"/>
          <w:sz w:val="22"/>
          <w:szCs w:val="22"/>
        </w:rPr>
        <w:t>-</w:t>
      </w:r>
      <w:r w:rsidRPr="00F66DB4">
        <w:rPr>
          <w:rFonts w:ascii="Calibri" w:hAnsi="Calibri" w:cs="Calibri"/>
          <w:sz w:val="22"/>
          <w:szCs w:val="22"/>
        </w:rPr>
        <w:t>month</w:t>
      </w:r>
      <w:r>
        <w:rPr>
          <w:rFonts w:ascii="Calibri" w:hAnsi="Calibri" w:cs="Calibri"/>
          <w:sz w:val="22"/>
          <w:szCs w:val="22"/>
        </w:rPr>
        <w:t xml:space="preserve"> period</w:t>
      </w:r>
      <w:r w:rsidRPr="00F66DB4">
        <w:rPr>
          <w:rFonts w:ascii="Calibri" w:hAnsi="Calibri" w:cs="Calibri"/>
          <w:sz w:val="22"/>
          <w:szCs w:val="22"/>
        </w:rPr>
        <w:t xml:space="preserve"> between </w:t>
      </w:r>
      <w:r w:rsidR="00E418E5">
        <w:rPr>
          <w:rFonts w:ascii="Calibri" w:hAnsi="Calibri" w:cs="Calibri"/>
          <w:sz w:val="22"/>
          <w:szCs w:val="22"/>
        </w:rPr>
        <w:t>policy</w:t>
      </w:r>
      <w:r w:rsidR="00D51F19">
        <w:rPr>
          <w:rFonts w:ascii="Calibri" w:hAnsi="Calibri" w:cs="Calibri"/>
          <w:sz w:val="22"/>
          <w:szCs w:val="22"/>
        </w:rPr>
        <w:t xml:space="preserve"> </w:t>
      </w:r>
      <w:r w:rsidRPr="00F66DB4">
        <w:rPr>
          <w:rFonts w:ascii="Calibri" w:hAnsi="Calibri" w:cs="Calibri"/>
          <w:sz w:val="22"/>
          <w:szCs w:val="22"/>
        </w:rPr>
        <w:t xml:space="preserve">announcement and </w:t>
      </w:r>
      <w:r w:rsidR="00D51F19">
        <w:rPr>
          <w:rFonts w:ascii="Calibri" w:hAnsi="Calibri" w:cs="Calibri"/>
          <w:sz w:val="22"/>
          <w:szCs w:val="22"/>
        </w:rPr>
        <w:t>implementation</w:t>
      </w:r>
      <w:r w:rsidRPr="00F66DB4">
        <w:rPr>
          <w:rFonts w:ascii="Calibri" w:hAnsi="Calibri" w:cs="Calibri"/>
          <w:sz w:val="22"/>
          <w:szCs w:val="22"/>
        </w:rPr>
        <w:t xml:space="preserve"> </w:t>
      </w:r>
      <w:r w:rsidR="00515DED">
        <w:rPr>
          <w:rFonts w:ascii="Calibri" w:hAnsi="Calibri" w:cs="Calibri"/>
          <w:sz w:val="22"/>
          <w:szCs w:val="22"/>
        </w:rPr>
        <w:t xml:space="preserve">was </w:t>
      </w:r>
      <w:r w:rsidR="00D51F19">
        <w:rPr>
          <w:rFonts w:ascii="Calibri" w:hAnsi="Calibri" w:cs="Calibri"/>
          <w:sz w:val="22"/>
          <w:szCs w:val="22"/>
        </w:rPr>
        <w:t xml:space="preserve">too </w:t>
      </w:r>
      <w:r w:rsidR="00C82D1D">
        <w:rPr>
          <w:rFonts w:ascii="Calibri" w:hAnsi="Calibri" w:cs="Calibri"/>
          <w:sz w:val="22"/>
          <w:szCs w:val="22"/>
        </w:rPr>
        <w:t>short</w:t>
      </w:r>
      <w:r w:rsidR="00C82D1D" w:rsidRPr="00F66DB4">
        <w:rPr>
          <w:rFonts w:ascii="Calibri" w:hAnsi="Calibri" w:cs="Calibri"/>
          <w:sz w:val="22"/>
          <w:szCs w:val="22"/>
        </w:rPr>
        <w:t xml:space="preserve"> </w:t>
      </w:r>
      <w:r w:rsidRPr="00F66DB4">
        <w:rPr>
          <w:rFonts w:ascii="Calibri" w:hAnsi="Calibri" w:cs="Calibri"/>
          <w:sz w:val="22"/>
          <w:szCs w:val="22"/>
        </w:rPr>
        <w:t xml:space="preserve">for advertisers </w:t>
      </w:r>
      <w:r w:rsidR="00C82D1D">
        <w:rPr>
          <w:rFonts w:ascii="Calibri" w:hAnsi="Calibri" w:cs="Calibri"/>
          <w:sz w:val="22"/>
          <w:szCs w:val="22"/>
        </w:rPr>
        <w:t>(</w:t>
      </w:r>
      <w:r w:rsidR="00515DED">
        <w:rPr>
          <w:rFonts w:ascii="Calibri" w:hAnsi="Calibri" w:cs="Calibri"/>
          <w:sz w:val="22"/>
          <w:szCs w:val="22"/>
        </w:rPr>
        <w:t xml:space="preserve">who work </w:t>
      </w:r>
      <w:r w:rsidR="0048604F">
        <w:rPr>
          <w:rFonts w:ascii="Calibri" w:hAnsi="Calibri" w:cs="Calibri"/>
          <w:sz w:val="22"/>
          <w:szCs w:val="22"/>
        </w:rPr>
        <w:t>to</w:t>
      </w:r>
      <w:r w:rsidR="00515DED">
        <w:rPr>
          <w:rFonts w:ascii="Calibri" w:hAnsi="Calibri" w:cs="Calibri"/>
          <w:sz w:val="22"/>
          <w:szCs w:val="22"/>
        </w:rPr>
        <w:t xml:space="preserve"> much longer timelines</w:t>
      </w:r>
      <w:r w:rsidR="000B39E0">
        <w:rPr>
          <w:rFonts w:ascii="Calibri" w:hAnsi="Calibri" w:cs="Calibri"/>
          <w:sz w:val="22"/>
          <w:szCs w:val="22"/>
        </w:rPr>
        <w:t xml:space="preserve"> </w:t>
      </w:r>
      <w:r w:rsidR="0048604F">
        <w:rPr>
          <w:rFonts w:ascii="Calibri" w:hAnsi="Calibri" w:cs="Calibri"/>
          <w:sz w:val="22"/>
          <w:szCs w:val="22"/>
        </w:rPr>
        <w:t>when</w:t>
      </w:r>
      <w:r w:rsidR="000B39E0">
        <w:rPr>
          <w:rFonts w:ascii="Calibri" w:hAnsi="Calibri" w:cs="Calibri"/>
          <w:sz w:val="22"/>
          <w:szCs w:val="22"/>
        </w:rPr>
        <w:t xml:space="preserve"> planning an</w:t>
      </w:r>
      <w:r w:rsidR="0048604F">
        <w:rPr>
          <w:rFonts w:ascii="Calibri" w:hAnsi="Calibri" w:cs="Calibri"/>
          <w:sz w:val="22"/>
          <w:szCs w:val="22"/>
        </w:rPr>
        <w:t>d executing</w:t>
      </w:r>
      <w:r w:rsidR="000B39E0">
        <w:rPr>
          <w:rFonts w:ascii="Calibri" w:hAnsi="Calibri" w:cs="Calibri"/>
          <w:sz w:val="22"/>
          <w:szCs w:val="22"/>
        </w:rPr>
        <w:t xml:space="preserve"> advertising campaign</w:t>
      </w:r>
      <w:r w:rsidR="0048604F">
        <w:rPr>
          <w:rFonts w:ascii="Calibri" w:hAnsi="Calibri" w:cs="Calibri"/>
          <w:sz w:val="22"/>
          <w:szCs w:val="22"/>
        </w:rPr>
        <w:t>s</w:t>
      </w:r>
      <w:r w:rsidR="00C82D1D">
        <w:rPr>
          <w:rFonts w:ascii="Calibri" w:hAnsi="Calibri" w:cs="Calibri"/>
          <w:sz w:val="22"/>
          <w:szCs w:val="22"/>
        </w:rPr>
        <w:t>)</w:t>
      </w:r>
      <w:r w:rsidR="00515DED">
        <w:rPr>
          <w:rFonts w:ascii="Calibri" w:hAnsi="Calibri" w:cs="Calibri"/>
          <w:sz w:val="22"/>
          <w:szCs w:val="22"/>
        </w:rPr>
        <w:t xml:space="preserve"> </w:t>
      </w:r>
      <w:r w:rsidRPr="00F66DB4">
        <w:rPr>
          <w:rFonts w:ascii="Calibri" w:hAnsi="Calibri" w:cs="Calibri"/>
          <w:sz w:val="22"/>
          <w:szCs w:val="22"/>
        </w:rPr>
        <w:t>to</w:t>
      </w:r>
      <w:r w:rsidR="00C82D1D">
        <w:rPr>
          <w:rFonts w:ascii="Calibri" w:hAnsi="Calibri" w:cs="Calibri"/>
          <w:sz w:val="22"/>
          <w:szCs w:val="22"/>
        </w:rPr>
        <w:t xml:space="preserve"> be</w:t>
      </w:r>
      <w:r w:rsidRPr="00F66DB4">
        <w:rPr>
          <w:rFonts w:ascii="Calibri" w:hAnsi="Calibri" w:cs="Calibri"/>
          <w:sz w:val="22"/>
          <w:szCs w:val="22"/>
        </w:rPr>
        <w:t xml:space="preserve"> prepare</w:t>
      </w:r>
      <w:r w:rsidR="00C82D1D">
        <w:rPr>
          <w:rFonts w:ascii="Calibri" w:hAnsi="Calibri" w:cs="Calibri"/>
          <w:sz w:val="22"/>
          <w:szCs w:val="22"/>
        </w:rPr>
        <w:t>d</w:t>
      </w:r>
      <w:r w:rsidRPr="00F66DB4">
        <w:rPr>
          <w:rFonts w:ascii="Calibri" w:hAnsi="Calibri" w:cs="Calibri"/>
          <w:sz w:val="22"/>
          <w:szCs w:val="22"/>
        </w:rPr>
        <w:t>.</w:t>
      </w:r>
      <w:r w:rsidR="00515DED">
        <w:rPr>
          <w:rFonts w:ascii="Calibri" w:hAnsi="Calibri" w:cs="Calibri"/>
          <w:i/>
          <w:iCs/>
          <w:sz w:val="22"/>
          <w:szCs w:val="22"/>
        </w:rPr>
        <w:t xml:space="preserve"> </w:t>
      </w:r>
      <w:r w:rsidRPr="00F66DB4">
        <w:rPr>
          <w:rFonts w:ascii="Calibri" w:hAnsi="Calibri" w:cs="Calibri"/>
          <w:sz w:val="22"/>
          <w:szCs w:val="22"/>
        </w:rPr>
        <w:t xml:space="preserve">An industry </w:t>
      </w:r>
      <w:r>
        <w:rPr>
          <w:rFonts w:ascii="Calibri" w:hAnsi="Calibri" w:cs="Calibri"/>
          <w:sz w:val="22"/>
          <w:szCs w:val="22"/>
        </w:rPr>
        <w:t>body representative</w:t>
      </w:r>
      <w:r w:rsidRPr="00F66DB4">
        <w:rPr>
          <w:rFonts w:ascii="Calibri" w:hAnsi="Calibri" w:cs="Calibri"/>
          <w:sz w:val="22"/>
          <w:szCs w:val="22"/>
        </w:rPr>
        <w:t xml:space="preserve"> explained that this approach could mean incurring</w:t>
      </w:r>
      <w:r w:rsidR="0003719C">
        <w:rPr>
          <w:rFonts w:ascii="Calibri" w:hAnsi="Calibri" w:cs="Calibri"/>
          <w:sz w:val="22"/>
          <w:szCs w:val="22"/>
        </w:rPr>
        <w:t xml:space="preserve"> </w:t>
      </w:r>
      <w:r w:rsidRPr="00F66DB4">
        <w:rPr>
          <w:rFonts w:ascii="Calibri" w:hAnsi="Calibri" w:cs="Calibri"/>
          <w:sz w:val="22"/>
          <w:szCs w:val="22"/>
        </w:rPr>
        <w:t>considerable</w:t>
      </w:r>
      <w:r w:rsidR="00340454">
        <w:rPr>
          <w:rFonts w:ascii="Calibri" w:hAnsi="Calibri" w:cs="Calibri"/>
          <w:sz w:val="22"/>
          <w:szCs w:val="22"/>
        </w:rPr>
        <w:t xml:space="preserve"> extra</w:t>
      </w:r>
      <w:r w:rsidRPr="00F66DB4">
        <w:rPr>
          <w:rFonts w:ascii="Calibri" w:hAnsi="Calibri" w:cs="Calibri"/>
          <w:sz w:val="22"/>
          <w:szCs w:val="22"/>
        </w:rPr>
        <w:t xml:space="preserve"> costs to bring</w:t>
      </w:r>
      <w:r w:rsidR="00515DED">
        <w:rPr>
          <w:rFonts w:ascii="Calibri" w:hAnsi="Calibri" w:cs="Calibri"/>
          <w:sz w:val="22"/>
          <w:szCs w:val="22"/>
        </w:rPr>
        <w:t xml:space="preserve"> planned campaigns</w:t>
      </w:r>
      <w:r w:rsidRPr="00F66DB4">
        <w:rPr>
          <w:rFonts w:ascii="Calibri" w:hAnsi="Calibri" w:cs="Calibri"/>
          <w:sz w:val="22"/>
          <w:szCs w:val="22"/>
        </w:rPr>
        <w:t xml:space="preserve"> into compliance:</w:t>
      </w:r>
    </w:p>
    <w:p w14:paraId="7DBC9F45" w14:textId="77777777" w:rsidR="00262718" w:rsidRPr="00F66DB4" w:rsidRDefault="00262718" w:rsidP="00475D3F">
      <w:pPr>
        <w:spacing w:line="360" w:lineRule="auto"/>
        <w:rPr>
          <w:rFonts w:ascii="Calibri" w:hAnsi="Calibri" w:cs="Calibri"/>
          <w:sz w:val="22"/>
          <w:szCs w:val="22"/>
        </w:rPr>
      </w:pPr>
    </w:p>
    <w:p w14:paraId="48371180" w14:textId="67C5F41B" w:rsidR="00262718" w:rsidRPr="00F66DB4" w:rsidRDefault="00262718" w:rsidP="00475D3F">
      <w:pPr>
        <w:spacing w:line="360" w:lineRule="auto"/>
        <w:ind w:left="720" w:right="720"/>
        <w:rPr>
          <w:rFonts w:ascii="Calibri" w:hAnsi="Calibri" w:cs="Calibri"/>
          <w:i/>
          <w:iCs/>
          <w:sz w:val="22"/>
          <w:szCs w:val="22"/>
        </w:rPr>
      </w:pPr>
      <w:r>
        <w:rPr>
          <w:rFonts w:ascii="Calibri" w:hAnsi="Calibri" w:cs="Calibri"/>
          <w:i/>
          <w:iCs/>
          <w:sz w:val="22"/>
          <w:szCs w:val="22"/>
        </w:rPr>
        <w:t>“</w:t>
      </w:r>
      <w:r w:rsidR="00515DED">
        <w:rPr>
          <w:rFonts w:ascii="Calibri" w:hAnsi="Calibri" w:cs="Calibri"/>
          <w:i/>
          <w:iCs/>
          <w:sz w:val="22"/>
          <w:szCs w:val="22"/>
        </w:rPr>
        <w:t>…</w:t>
      </w:r>
      <w:r w:rsidRPr="00F66DB4">
        <w:rPr>
          <w:rFonts w:ascii="Calibri" w:hAnsi="Calibri" w:cs="Calibri"/>
          <w:i/>
          <w:iCs/>
          <w:sz w:val="22"/>
          <w:szCs w:val="22"/>
        </w:rPr>
        <w:t>they’re having to repay agencies, they’re having to redo creative inhouse when they’re actually already looking at a campaign for next year</w:t>
      </w:r>
      <w:r>
        <w:rPr>
          <w:rFonts w:ascii="Calibri" w:hAnsi="Calibri" w:cs="Calibri"/>
          <w:i/>
          <w:iCs/>
          <w:sz w:val="22"/>
          <w:szCs w:val="22"/>
        </w:rPr>
        <w:t>…</w:t>
      </w:r>
      <w:r w:rsidRPr="00F66DB4">
        <w:rPr>
          <w:rFonts w:ascii="Calibri" w:hAnsi="Calibri" w:cs="Calibri"/>
          <w:i/>
          <w:iCs/>
          <w:sz w:val="22"/>
          <w:szCs w:val="22"/>
        </w:rPr>
        <w:t>their advertising is planned for the next 12 months at least…I think there was</w:t>
      </w:r>
      <w:r>
        <w:rPr>
          <w:rFonts w:ascii="Calibri" w:hAnsi="Calibri" w:cs="Calibri"/>
          <w:i/>
          <w:iCs/>
          <w:sz w:val="22"/>
          <w:szCs w:val="22"/>
        </w:rPr>
        <w:t>…</w:t>
      </w:r>
      <w:r w:rsidRPr="00F66DB4">
        <w:rPr>
          <w:rFonts w:ascii="Calibri" w:hAnsi="Calibri" w:cs="Calibri"/>
          <w:i/>
          <w:iCs/>
          <w:sz w:val="22"/>
          <w:szCs w:val="22"/>
        </w:rPr>
        <w:t>a misunderstanding particularly from the political side that advertisers just kind of rang up a few days before and the advert appeared.</w:t>
      </w:r>
      <w:r>
        <w:rPr>
          <w:rFonts w:ascii="Calibri" w:hAnsi="Calibri" w:cs="Calibri"/>
          <w:i/>
          <w:iCs/>
          <w:sz w:val="22"/>
          <w:szCs w:val="22"/>
        </w:rPr>
        <w:t>”</w:t>
      </w:r>
    </w:p>
    <w:p w14:paraId="03A74A06" w14:textId="157523AB" w:rsidR="00262718" w:rsidRPr="00F66DB4" w:rsidRDefault="00262718" w:rsidP="00475D3F">
      <w:pPr>
        <w:pStyle w:val="ListParagraph"/>
        <w:numPr>
          <w:ilvl w:val="0"/>
          <w:numId w:val="8"/>
        </w:numPr>
        <w:spacing w:line="360" w:lineRule="auto"/>
        <w:ind w:right="720"/>
        <w:rPr>
          <w:rFonts w:ascii="Calibri" w:hAnsi="Calibri" w:cs="Calibri"/>
          <w:i/>
          <w:iCs/>
          <w:sz w:val="22"/>
          <w:szCs w:val="22"/>
        </w:rPr>
      </w:pPr>
      <w:r w:rsidRPr="00F66DB4">
        <w:rPr>
          <w:rFonts w:ascii="Calibri" w:hAnsi="Calibri" w:cs="Calibri"/>
          <w:i/>
          <w:iCs/>
          <w:sz w:val="22"/>
          <w:szCs w:val="22"/>
        </w:rPr>
        <w:t xml:space="preserve">Industry </w:t>
      </w:r>
      <w:r>
        <w:rPr>
          <w:rFonts w:ascii="Calibri" w:hAnsi="Calibri" w:cs="Calibri"/>
          <w:i/>
          <w:iCs/>
          <w:sz w:val="22"/>
          <w:szCs w:val="22"/>
        </w:rPr>
        <w:t>stakeholder</w:t>
      </w:r>
      <w:r w:rsidRPr="00F66DB4">
        <w:rPr>
          <w:rFonts w:ascii="Calibri" w:hAnsi="Calibri" w:cs="Calibri"/>
          <w:i/>
          <w:iCs/>
          <w:sz w:val="22"/>
          <w:szCs w:val="22"/>
        </w:rPr>
        <w:t xml:space="preserve"> (</w:t>
      </w:r>
      <w:r>
        <w:rPr>
          <w:rFonts w:ascii="Calibri" w:hAnsi="Calibri" w:cs="Calibri"/>
          <w:i/>
          <w:iCs/>
          <w:sz w:val="22"/>
          <w:szCs w:val="22"/>
        </w:rPr>
        <w:t>industry body</w:t>
      </w:r>
      <w:r w:rsidRPr="00F66DB4">
        <w:rPr>
          <w:rFonts w:ascii="Calibri" w:hAnsi="Calibri" w:cs="Calibri"/>
          <w:i/>
          <w:iCs/>
          <w:sz w:val="22"/>
          <w:szCs w:val="22"/>
        </w:rPr>
        <w:t>)</w:t>
      </w:r>
    </w:p>
    <w:p w14:paraId="43CF7895" w14:textId="77777777" w:rsidR="00262718" w:rsidRPr="00F66DB4" w:rsidRDefault="00262718" w:rsidP="00475D3F">
      <w:pPr>
        <w:spacing w:line="360" w:lineRule="auto"/>
        <w:rPr>
          <w:rFonts w:ascii="Calibri" w:hAnsi="Calibri" w:cs="Calibri"/>
          <w:sz w:val="22"/>
          <w:szCs w:val="22"/>
        </w:rPr>
      </w:pPr>
    </w:p>
    <w:p w14:paraId="0951D302" w14:textId="58C28498" w:rsidR="00262718" w:rsidRPr="00F66DB4" w:rsidRDefault="00262718" w:rsidP="00475D3F">
      <w:pPr>
        <w:spacing w:line="360" w:lineRule="auto"/>
        <w:rPr>
          <w:rFonts w:ascii="Calibri" w:hAnsi="Calibri" w:cs="Calibri"/>
          <w:sz w:val="22"/>
          <w:szCs w:val="22"/>
        </w:rPr>
      </w:pPr>
      <w:r w:rsidRPr="00F66DB4">
        <w:rPr>
          <w:rFonts w:ascii="Calibri" w:hAnsi="Calibri" w:cs="Calibri"/>
          <w:sz w:val="22"/>
          <w:szCs w:val="22"/>
        </w:rPr>
        <w:t>Advertisers also reported that they were not always informed of</w:t>
      </w:r>
      <w:r w:rsidR="00515DED">
        <w:rPr>
          <w:rFonts w:ascii="Calibri" w:hAnsi="Calibri" w:cs="Calibri"/>
          <w:sz w:val="22"/>
          <w:szCs w:val="22"/>
        </w:rPr>
        <w:t xml:space="preserve"> subsequent</w:t>
      </w:r>
      <w:r w:rsidRPr="00F66DB4">
        <w:rPr>
          <w:rFonts w:ascii="Calibri" w:hAnsi="Calibri" w:cs="Calibri"/>
          <w:sz w:val="22"/>
          <w:szCs w:val="22"/>
        </w:rPr>
        <w:t xml:space="preserve"> changes to the policy</w:t>
      </w:r>
      <w:r w:rsidR="00E20526">
        <w:rPr>
          <w:rFonts w:ascii="Calibri" w:hAnsi="Calibri" w:cs="Calibri"/>
          <w:sz w:val="22"/>
          <w:szCs w:val="22"/>
        </w:rPr>
        <w:t>, sometimes</w:t>
      </w:r>
      <w:r w:rsidRPr="00F66DB4">
        <w:rPr>
          <w:rFonts w:ascii="Calibri" w:hAnsi="Calibri" w:cs="Calibri"/>
          <w:sz w:val="22"/>
          <w:szCs w:val="22"/>
        </w:rPr>
        <w:t xml:space="preserve"> only learning of them when advertisements</w:t>
      </w:r>
      <w:r w:rsidR="00E418E5">
        <w:rPr>
          <w:rFonts w:ascii="Calibri" w:hAnsi="Calibri" w:cs="Calibri"/>
          <w:sz w:val="22"/>
          <w:szCs w:val="22"/>
        </w:rPr>
        <w:t xml:space="preserve"> they submitted</w:t>
      </w:r>
      <w:r w:rsidRPr="00F66DB4">
        <w:rPr>
          <w:rFonts w:ascii="Calibri" w:hAnsi="Calibri" w:cs="Calibri"/>
          <w:sz w:val="22"/>
          <w:szCs w:val="22"/>
        </w:rPr>
        <w:t xml:space="preserve"> were rejected. </w:t>
      </w:r>
    </w:p>
    <w:p w14:paraId="2318B644" w14:textId="77777777" w:rsidR="00262718" w:rsidRPr="00F66DB4" w:rsidRDefault="00262718" w:rsidP="00475D3F">
      <w:pPr>
        <w:spacing w:line="360" w:lineRule="auto"/>
        <w:rPr>
          <w:rFonts w:ascii="Calibri" w:hAnsi="Calibri" w:cs="Calibri"/>
          <w:sz w:val="22"/>
          <w:szCs w:val="22"/>
        </w:rPr>
      </w:pPr>
    </w:p>
    <w:p w14:paraId="1E7F2209" w14:textId="7FE7B11E" w:rsidR="00F8431E" w:rsidRDefault="00262718" w:rsidP="00475D3F">
      <w:pPr>
        <w:spacing w:line="360" w:lineRule="auto"/>
        <w:rPr>
          <w:rFonts w:ascii="Calibri" w:hAnsi="Calibri" w:cs="Calibri"/>
          <w:sz w:val="22"/>
          <w:szCs w:val="22"/>
        </w:rPr>
      </w:pPr>
      <w:r w:rsidRPr="00F66DB4">
        <w:rPr>
          <w:rFonts w:ascii="Calibri" w:hAnsi="Calibri" w:cs="Calibri"/>
          <w:sz w:val="22"/>
          <w:szCs w:val="22"/>
        </w:rPr>
        <w:t xml:space="preserve">In contrast, implementers </w:t>
      </w:r>
      <w:r w:rsidR="00F569E0">
        <w:rPr>
          <w:rFonts w:ascii="Calibri" w:hAnsi="Calibri" w:cs="Calibri"/>
          <w:sz w:val="22"/>
          <w:szCs w:val="22"/>
        </w:rPr>
        <w:t xml:space="preserve">reported </w:t>
      </w:r>
      <w:r w:rsidR="00EB3E4E">
        <w:rPr>
          <w:rFonts w:ascii="Calibri" w:hAnsi="Calibri" w:cs="Calibri"/>
          <w:sz w:val="22"/>
          <w:szCs w:val="22"/>
        </w:rPr>
        <w:t>listening to industry concerns and</w:t>
      </w:r>
      <w:r w:rsidRPr="00F66DB4">
        <w:rPr>
          <w:rFonts w:ascii="Calibri" w:hAnsi="Calibri" w:cs="Calibri"/>
          <w:sz w:val="22"/>
          <w:szCs w:val="22"/>
        </w:rPr>
        <w:t xml:space="preserve"> carefully </w:t>
      </w:r>
      <w:r w:rsidR="00E30D1F">
        <w:rPr>
          <w:rFonts w:ascii="Calibri" w:hAnsi="Calibri" w:cs="Calibri"/>
          <w:sz w:val="22"/>
          <w:szCs w:val="22"/>
        </w:rPr>
        <w:t xml:space="preserve">developing </w:t>
      </w:r>
      <w:r w:rsidR="00876C1D">
        <w:rPr>
          <w:rFonts w:ascii="Calibri" w:hAnsi="Calibri" w:cs="Calibri"/>
          <w:sz w:val="22"/>
          <w:szCs w:val="22"/>
        </w:rPr>
        <w:t xml:space="preserve">the policy </w:t>
      </w:r>
      <w:r w:rsidRPr="00F66DB4">
        <w:rPr>
          <w:rFonts w:ascii="Calibri" w:hAnsi="Calibri" w:cs="Calibri"/>
          <w:sz w:val="22"/>
          <w:szCs w:val="22"/>
        </w:rPr>
        <w:t xml:space="preserve">based on stakeholder input </w:t>
      </w:r>
      <w:r w:rsidR="00E418E5">
        <w:rPr>
          <w:rFonts w:ascii="Calibri" w:hAnsi="Calibri" w:cs="Calibri"/>
          <w:sz w:val="22"/>
          <w:szCs w:val="22"/>
        </w:rPr>
        <w:t>during</w:t>
      </w:r>
      <w:r w:rsidR="001868C9">
        <w:rPr>
          <w:rFonts w:ascii="Calibri" w:hAnsi="Calibri" w:cs="Calibri"/>
          <w:sz w:val="22"/>
          <w:szCs w:val="22"/>
        </w:rPr>
        <w:t xml:space="preserve"> the</w:t>
      </w:r>
      <w:r w:rsidRPr="00F66DB4">
        <w:rPr>
          <w:rFonts w:ascii="Calibri" w:hAnsi="Calibri" w:cs="Calibri"/>
          <w:sz w:val="22"/>
          <w:szCs w:val="22"/>
        </w:rPr>
        <w:t xml:space="preserve"> consultation</w:t>
      </w:r>
      <w:r w:rsidR="00C82D1D">
        <w:rPr>
          <w:rFonts w:ascii="Calibri" w:hAnsi="Calibri" w:cs="Calibri"/>
          <w:sz w:val="22"/>
          <w:szCs w:val="22"/>
        </w:rPr>
        <w:t xml:space="preserve"> period</w:t>
      </w:r>
      <w:r w:rsidR="00521200">
        <w:rPr>
          <w:rFonts w:ascii="Calibri" w:hAnsi="Calibri" w:cs="Calibri"/>
          <w:sz w:val="22"/>
          <w:szCs w:val="22"/>
        </w:rPr>
        <w:t xml:space="preserve">. </w:t>
      </w:r>
      <w:r w:rsidR="00E30D1F">
        <w:rPr>
          <w:rFonts w:ascii="Calibri" w:hAnsi="Calibri" w:cs="Calibri"/>
          <w:sz w:val="22"/>
          <w:szCs w:val="22"/>
        </w:rPr>
        <w:t xml:space="preserve">There was concern that the NPM’s scoring system would “give [a] black or white answer that may not necessarily work for this policy,” prohibiting advertisements for products that should not be subject to restriction. </w:t>
      </w:r>
      <w:r w:rsidR="00521200">
        <w:rPr>
          <w:rFonts w:ascii="Calibri" w:hAnsi="Calibri" w:cs="Calibri"/>
          <w:sz w:val="22"/>
          <w:szCs w:val="22"/>
        </w:rPr>
        <w:t xml:space="preserve">The </w:t>
      </w:r>
      <w:r w:rsidR="00E30D1F">
        <w:rPr>
          <w:rFonts w:ascii="Calibri" w:hAnsi="Calibri" w:cs="Calibri"/>
          <w:sz w:val="22"/>
          <w:szCs w:val="22"/>
        </w:rPr>
        <w:t>incorporation</w:t>
      </w:r>
      <w:r w:rsidR="00521200">
        <w:rPr>
          <w:rFonts w:ascii="Calibri" w:hAnsi="Calibri" w:cs="Calibri"/>
          <w:sz w:val="22"/>
          <w:szCs w:val="22"/>
        </w:rPr>
        <w:t xml:space="preserve"> of </w:t>
      </w:r>
      <w:r w:rsidR="00876C1D">
        <w:rPr>
          <w:rFonts w:ascii="Calibri" w:hAnsi="Calibri" w:cs="Calibri"/>
          <w:sz w:val="22"/>
          <w:szCs w:val="22"/>
        </w:rPr>
        <w:t>an</w:t>
      </w:r>
      <w:r w:rsidR="00521200">
        <w:rPr>
          <w:rFonts w:ascii="Calibri" w:hAnsi="Calibri" w:cs="Calibri"/>
          <w:sz w:val="22"/>
          <w:szCs w:val="22"/>
        </w:rPr>
        <w:t xml:space="preserve"> </w:t>
      </w:r>
      <w:r w:rsidR="00C82D1D">
        <w:rPr>
          <w:rFonts w:ascii="Calibri" w:hAnsi="Calibri" w:cs="Calibri"/>
          <w:sz w:val="22"/>
          <w:szCs w:val="22"/>
        </w:rPr>
        <w:t>“</w:t>
      </w:r>
      <w:r w:rsidR="00521200">
        <w:rPr>
          <w:rFonts w:ascii="Calibri" w:hAnsi="Calibri" w:cs="Calibri"/>
          <w:sz w:val="22"/>
          <w:szCs w:val="22"/>
        </w:rPr>
        <w:t>exceptions process</w:t>
      </w:r>
      <w:r w:rsidR="00C82D1D">
        <w:rPr>
          <w:rFonts w:ascii="Calibri" w:hAnsi="Calibri" w:cs="Calibri"/>
          <w:sz w:val="22"/>
          <w:szCs w:val="22"/>
        </w:rPr>
        <w:t>” which</w:t>
      </w:r>
      <w:r w:rsidR="00CD5F57">
        <w:rPr>
          <w:rFonts w:ascii="Calibri" w:hAnsi="Calibri" w:cs="Calibri"/>
          <w:sz w:val="22"/>
          <w:szCs w:val="22"/>
        </w:rPr>
        <w:t xml:space="preserve"> consider</w:t>
      </w:r>
      <w:r w:rsidR="00C82D1D">
        <w:rPr>
          <w:rFonts w:ascii="Calibri" w:hAnsi="Calibri" w:cs="Calibri"/>
          <w:sz w:val="22"/>
          <w:szCs w:val="22"/>
        </w:rPr>
        <w:t>ed the reach of the restrictions</w:t>
      </w:r>
      <w:r w:rsidR="00CD5F57">
        <w:rPr>
          <w:rFonts w:ascii="Calibri" w:hAnsi="Calibri" w:cs="Calibri"/>
          <w:sz w:val="22"/>
          <w:szCs w:val="22"/>
        </w:rPr>
        <w:t xml:space="preserve"> on a case-by-case basis </w:t>
      </w:r>
      <w:r w:rsidR="00521200">
        <w:rPr>
          <w:rFonts w:ascii="Calibri" w:hAnsi="Calibri" w:cs="Calibri"/>
          <w:sz w:val="22"/>
          <w:szCs w:val="22"/>
        </w:rPr>
        <w:t>was reportedly based</w:t>
      </w:r>
      <w:r w:rsidR="00876C1D">
        <w:rPr>
          <w:rFonts w:ascii="Calibri" w:hAnsi="Calibri" w:cs="Calibri"/>
          <w:sz w:val="22"/>
          <w:szCs w:val="22"/>
        </w:rPr>
        <w:t>,</w:t>
      </w:r>
      <w:r w:rsidR="00521200">
        <w:rPr>
          <w:rFonts w:ascii="Calibri" w:hAnsi="Calibri" w:cs="Calibri"/>
          <w:sz w:val="22"/>
          <w:szCs w:val="22"/>
        </w:rPr>
        <w:t xml:space="preserve"> in part</w:t>
      </w:r>
      <w:r w:rsidR="00876C1D">
        <w:rPr>
          <w:rFonts w:ascii="Calibri" w:hAnsi="Calibri" w:cs="Calibri"/>
          <w:sz w:val="22"/>
          <w:szCs w:val="22"/>
        </w:rPr>
        <w:t>,</w:t>
      </w:r>
      <w:r w:rsidR="00521200">
        <w:rPr>
          <w:rFonts w:ascii="Calibri" w:hAnsi="Calibri" w:cs="Calibri"/>
          <w:sz w:val="22"/>
          <w:szCs w:val="22"/>
        </w:rPr>
        <w:t xml:space="preserve"> on</w:t>
      </w:r>
      <w:r w:rsidR="00C82D1D">
        <w:rPr>
          <w:rFonts w:ascii="Calibri" w:hAnsi="Calibri" w:cs="Calibri"/>
          <w:sz w:val="22"/>
          <w:szCs w:val="22"/>
        </w:rPr>
        <w:t xml:space="preserve"> feedback from</w:t>
      </w:r>
      <w:r w:rsidR="00521200">
        <w:rPr>
          <w:rFonts w:ascii="Calibri" w:hAnsi="Calibri" w:cs="Calibri"/>
          <w:sz w:val="22"/>
          <w:szCs w:val="22"/>
        </w:rPr>
        <w:t xml:space="preserve"> industry</w:t>
      </w:r>
      <w:r w:rsidR="00E30D1F">
        <w:rPr>
          <w:rFonts w:ascii="Calibri" w:hAnsi="Calibri" w:cs="Calibri"/>
          <w:sz w:val="22"/>
          <w:szCs w:val="22"/>
        </w:rPr>
        <w:t>, and</w:t>
      </w:r>
      <w:r w:rsidR="00C82D1D">
        <w:rPr>
          <w:rFonts w:ascii="Calibri" w:hAnsi="Calibri" w:cs="Calibri"/>
          <w:sz w:val="22"/>
          <w:szCs w:val="22"/>
        </w:rPr>
        <w:t xml:space="preserve"> </w:t>
      </w:r>
      <w:r w:rsidR="00E30D1F">
        <w:rPr>
          <w:rFonts w:ascii="Calibri" w:hAnsi="Calibri" w:cs="Calibri"/>
          <w:sz w:val="22"/>
          <w:szCs w:val="22"/>
        </w:rPr>
        <w:t>i</w:t>
      </w:r>
      <w:r w:rsidR="00DA37FD">
        <w:rPr>
          <w:rFonts w:ascii="Calibri" w:hAnsi="Calibri" w:cs="Calibri"/>
          <w:sz w:val="22"/>
          <w:szCs w:val="22"/>
        </w:rPr>
        <w:t>mplementers reported</w:t>
      </w:r>
      <w:r w:rsidRPr="00F66DB4">
        <w:rPr>
          <w:rFonts w:ascii="Calibri" w:hAnsi="Calibri" w:cs="Calibri"/>
          <w:sz w:val="22"/>
          <w:szCs w:val="22"/>
        </w:rPr>
        <w:t xml:space="preserve"> </w:t>
      </w:r>
      <w:r w:rsidR="00C82D1D">
        <w:rPr>
          <w:rFonts w:ascii="Calibri" w:hAnsi="Calibri" w:cs="Calibri"/>
          <w:sz w:val="22"/>
          <w:szCs w:val="22"/>
        </w:rPr>
        <w:t>engag</w:t>
      </w:r>
      <w:r w:rsidR="00E30D1F">
        <w:rPr>
          <w:rFonts w:ascii="Calibri" w:hAnsi="Calibri" w:cs="Calibri"/>
          <w:sz w:val="22"/>
          <w:szCs w:val="22"/>
        </w:rPr>
        <w:t>ing</w:t>
      </w:r>
      <w:r w:rsidR="00C82D1D">
        <w:rPr>
          <w:rFonts w:ascii="Calibri" w:hAnsi="Calibri" w:cs="Calibri"/>
          <w:sz w:val="22"/>
          <w:szCs w:val="22"/>
        </w:rPr>
        <w:t xml:space="preserve"> with </w:t>
      </w:r>
      <w:r w:rsidR="00DA37FD">
        <w:rPr>
          <w:rFonts w:ascii="Calibri" w:hAnsi="Calibri" w:cs="Calibri"/>
          <w:sz w:val="22"/>
          <w:szCs w:val="22"/>
        </w:rPr>
        <w:t>industry</w:t>
      </w:r>
      <w:r w:rsidRPr="00F66DB4">
        <w:rPr>
          <w:rFonts w:ascii="Calibri" w:hAnsi="Calibri" w:cs="Calibri"/>
          <w:sz w:val="22"/>
          <w:szCs w:val="22"/>
        </w:rPr>
        <w:t xml:space="preserve"> to elaborate </w:t>
      </w:r>
      <w:r w:rsidR="00E30D1F">
        <w:rPr>
          <w:rFonts w:ascii="Calibri" w:hAnsi="Calibri" w:cs="Calibri"/>
          <w:sz w:val="22"/>
          <w:szCs w:val="22"/>
        </w:rPr>
        <w:t>this</w:t>
      </w:r>
      <w:r w:rsidRPr="00F66DB4">
        <w:rPr>
          <w:rFonts w:ascii="Calibri" w:hAnsi="Calibri" w:cs="Calibri"/>
          <w:sz w:val="22"/>
          <w:szCs w:val="22"/>
        </w:rPr>
        <w:t xml:space="preserve"> process</w:t>
      </w:r>
      <w:r w:rsidR="0031217A">
        <w:rPr>
          <w:rFonts w:ascii="Calibri" w:hAnsi="Calibri" w:cs="Calibri"/>
          <w:sz w:val="22"/>
          <w:szCs w:val="22"/>
        </w:rPr>
        <w:t xml:space="preserve">: </w:t>
      </w:r>
    </w:p>
    <w:p w14:paraId="3392610E" w14:textId="77777777" w:rsidR="00F8431E" w:rsidRDefault="00F8431E" w:rsidP="00475D3F">
      <w:pPr>
        <w:spacing w:line="360" w:lineRule="auto"/>
        <w:rPr>
          <w:rFonts w:ascii="Calibri" w:hAnsi="Calibri" w:cs="Calibri"/>
          <w:sz w:val="22"/>
          <w:szCs w:val="22"/>
        </w:rPr>
      </w:pPr>
    </w:p>
    <w:p w14:paraId="6F17BAB1" w14:textId="4A6B901C" w:rsidR="0031217A" w:rsidRDefault="0031217A" w:rsidP="00475D3F">
      <w:pPr>
        <w:spacing w:line="360" w:lineRule="auto"/>
        <w:ind w:left="567" w:right="571"/>
        <w:rPr>
          <w:rFonts w:ascii="Calibri" w:hAnsi="Calibri" w:cs="Calibri"/>
          <w:i/>
          <w:iCs/>
          <w:sz w:val="22"/>
          <w:szCs w:val="22"/>
        </w:rPr>
      </w:pPr>
      <w:r w:rsidRPr="00846663">
        <w:rPr>
          <w:rFonts w:ascii="Calibri" w:hAnsi="Calibri" w:cs="Calibri"/>
          <w:i/>
          <w:iCs/>
          <w:sz w:val="22"/>
          <w:szCs w:val="22"/>
        </w:rPr>
        <w:lastRenderedPageBreak/>
        <w:t xml:space="preserve">“…from the commercial team at TfL, they were excellent in terms of engaging with our members. </w:t>
      </w:r>
      <w:r w:rsidR="000F6918">
        <w:rPr>
          <w:rFonts w:ascii="Calibri" w:hAnsi="Calibri" w:cs="Calibri"/>
          <w:i/>
          <w:iCs/>
          <w:sz w:val="22"/>
          <w:szCs w:val="22"/>
        </w:rPr>
        <w:t>T</w:t>
      </w:r>
      <w:r w:rsidRPr="00846663">
        <w:rPr>
          <w:rFonts w:ascii="Calibri" w:hAnsi="Calibri" w:cs="Calibri"/>
          <w:i/>
          <w:iCs/>
          <w:sz w:val="22"/>
          <w:szCs w:val="22"/>
        </w:rPr>
        <w:t>hey spent several days</w:t>
      </w:r>
      <w:r w:rsidR="00F8431E">
        <w:rPr>
          <w:rFonts w:ascii="Calibri" w:hAnsi="Calibri" w:cs="Calibri"/>
          <w:i/>
          <w:iCs/>
          <w:sz w:val="22"/>
          <w:szCs w:val="22"/>
        </w:rPr>
        <w:t xml:space="preserve"> </w:t>
      </w:r>
      <w:r w:rsidRPr="00846663">
        <w:rPr>
          <w:rFonts w:ascii="Calibri" w:hAnsi="Calibri" w:cs="Calibri"/>
          <w:i/>
          <w:iCs/>
          <w:sz w:val="22"/>
          <w:szCs w:val="22"/>
        </w:rPr>
        <w:t>in here almost doing kind of a surgery of meetings to work out how the exe</w:t>
      </w:r>
      <w:r w:rsidR="00F8431E" w:rsidRPr="00846663">
        <w:rPr>
          <w:rFonts w:ascii="Calibri" w:hAnsi="Calibri" w:cs="Calibri"/>
          <w:i/>
          <w:iCs/>
          <w:sz w:val="22"/>
          <w:szCs w:val="22"/>
        </w:rPr>
        <w:t>mptions worked, so that products for things like cough sweets…how you except those and how you get those changes in place.”</w:t>
      </w:r>
    </w:p>
    <w:p w14:paraId="1568287C" w14:textId="7384166F" w:rsidR="00F8431E" w:rsidRPr="00846663" w:rsidRDefault="00F8431E" w:rsidP="00475D3F">
      <w:pPr>
        <w:pStyle w:val="ListParagraph"/>
        <w:numPr>
          <w:ilvl w:val="0"/>
          <w:numId w:val="8"/>
        </w:numPr>
        <w:spacing w:line="360" w:lineRule="auto"/>
        <w:ind w:right="720"/>
        <w:rPr>
          <w:rFonts w:ascii="Calibri" w:hAnsi="Calibri" w:cs="Calibri"/>
          <w:i/>
          <w:iCs/>
          <w:sz w:val="22"/>
          <w:szCs w:val="22"/>
        </w:rPr>
      </w:pPr>
      <w:r w:rsidRPr="00F66DB4">
        <w:rPr>
          <w:rFonts w:ascii="Calibri" w:hAnsi="Calibri" w:cs="Calibri"/>
          <w:i/>
          <w:iCs/>
          <w:sz w:val="22"/>
          <w:szCs w:val="22"/>
        </w:rPr>
        <w:t xml:space="preserve">Industry </w:t>
      </w:r>
      <w:r>
        <w:rPr>
          <w:rFonts w:ascii="Calibri" w:hAnsi="Calibri" w:cs="Calibri"/>
          <w:i/>
          <w:iCs/>
          <w:sz w:val="22"/>
          <w:szCs w:val="22"/>
        </w:rPr>
        <w:t>stakeholder</w:t>
      </w:r>
      <w:r w:rsidRPr="00F66DB4">
        <w:rPr>
          <w:rFonts w:ascii="Calibri" w:hAnsi="Calibri" w:cs="Calibri"/>
          <w:i/>
          <w:iCs/>
          <w:sz w:val="22"/>
          <w:szCs w:val="22"/>
        </w:rPr>
        <w:t xml:space="preserve"> (</w:t>
      </w:r>
      <w:r>
        <w:rPr>
          <w:rFonts w:ascii="Calibri" w:hAnsi="Calibri" w:cs="Calibri"/>
          <w:i/>
          <w:iCs/>
          <w:sz w:val="22"/>
          <w:szCs w:val="22"/>
        </w:rPr>
        <w:t>industry body</w:t>
      </w:r>
      <w:r w:rsidRPr="00F66DB4">
        <w:rPr>
          <w:rFonts w:ascii="Calibri" w:hAnsi="Calibri" w:cs="Calibri"/>
          <w:i/>
          <w:iCs/>
          <w:sz w:val="22"/>
          <w:szCs w:val="22"/>
        </w:rPr>
        <w:t>)</w:t>
      </w:r>
    </w:p>
    <w:p w14:paraId="5B2D54C8" w14:textId="77777777" w:rsidR="0031217A" w:rsidRDefault="0031217A" w:rsidP="00475D3F">
      <w:pPr>
        <w:spacing w:line="360" w:lineRule="auto"/>
        <w:rPr>
          <w:rFonts w:ascii="Calibri" w:hAnsi="Calibri" w:cs="Calibri"/>
          <w:sz w:val="22"/>
          <w:szCs w:val="22"/>
        </w:rPr>
      </w:pPr>
    </w:p>
    <w:p w14:paraId="70B65CB9" w14:textId="6E19101C" w:rsidR="00262718" w:rsidRPr="00F66DB4" w:rsidRDefault="00836A74" w:rsidP="00475D3F">
      <w:pPr>
        <w:spacing w:line="360" w:lineRule="auto"/>
        <w:rPr>
          <w:rFonts w:ascii="Calibri" w:hAnsi="Calibri" w:cs="Calibri"/>
          <w:sz w:val="22"/>
          <w:szCs w:val="22"/>
        </w:rPr>
      </w:pPr>
      <w:r>
        <w:rPr>
          <w:rFonts w:ascii="Calibri" w:hAnsi="Calibri" w:cs="Calibri"/>
          <w:sz w:val="22"/>
          <w:szCs w:val="22"/>
        </w:rPr>
        <w:t>Implementers</w:t>
      </w:r>
      <w:r w:rsidR="00C97239" w:rsidRPr="00F66DB4">
        <w:rPr>
          <w:rFonts w:ascii="Calibri" w:hAnsi="Calibri" w:cs="Calibri"/>
          <w:sz w:val="22"/>
          <w:szCs w:val="22"/>
        </w:rPr>
        <w:t xml:space="preserve"> reported </w:t>
      </w:r>
      <w:r w:rsidR="00C97239">
        <w:rPr>
          <w:rFonts w:ascii="Calibri" w:hAnsi="Calibri" w:cs="Calibri"/>
          <w:sz w:val="22"/>
          <w:szCs w:val="22"/>
        </w:rPr>
        <w:t>working</w:t>
      </w:r>
      <w:r w:rsidR="00C97239" w:rsidRPr="00F66DB4">
        <w:rPr>
          <w:rFonts w:ascii="Calibri" w:hAnsi="Calibri" w:cs="Calibri"/>
          <w:sz w:val="22"/>
          <w:szCs w:val="22"/>
        </w:rPr>
        <w:t xml:space="preserve"> closely with the commercial sector, including those developing the creative</w:t>
      </w:r>
      <w:r w:rsidR="00C97239">
        <w:rPr>
          <w:rFonts w:ascii="Calibri" w:hAnsi="Calibri" w:cs="Calibri"/>
          <w:sz w:val="22"/>
          <w:szCs w:val="22"/>
        </w:rPr>
        <w:t xml:space="preserve"> content for advertisements</w:t>
      </w:r>
      <w:r w:rsidR="00C97239" w:rsidRPr="00F66DB4">
        <w:rPr>
          <w:rFonts w:ascii="Calibri" w:hAnsi="Calibri" w:cs="Calibri"/>
          <w:sz w:val="22"/>
          <w:szCs w:val="22"/>
        </w:rPr>
        <w:t xml:space="preserve">, to help </w:t>
      </w:r>
      <w:r w:rsidR="001868C9">
        <w:rPr>
          <w:rFonts w:ascii="Calibri" w:hAnsi="Calibri" w:cs="Calibri"/>
          <w:sz w:val="22"/>
          <w:szCs w:val="22"/>
        </w:rPr>
        <w:t>stakeholders</w:t>
      </w:r>
      <w:r w:rsidR="00C97239" w:rsidRPr="00F66DB4">
        <w:rPr>
          <w:rFonts w:ascii="Calibri" w:hAnsi="Calibri" w:cs="Calibri"/>
          <w:sz w:val="22"/>
          <w:szCs w:val="22"/>
        </w:rPr>
        <w:t xml:space="preserve"> prepare</w:t>
      </w:r>
      <w:r w:rsidR="0031217A">
        <w:rPr>
          <w:rFonts w:ascii="Calibri" w:hAnsi="Calibri" w:cs="Calibri"/>
          <w:sz w:val="22"/>
          <w:szCs w:val="22"/>
        </w:rPr>
        <w:t xml:space="preserve"> for implementation of the policy</w:t>
      </w:r>
      <w:r w:rsidR="00C97239">
        <w:rPr>
          <w:rFonts w:ascii="Calibri" w:hAnsi="Calibri" w:cs="Calibri"/>
          <w:sz w:val="22"/>
          <w:szCs w:val="22"/>
        </w:rPr>
        <w:t>.</w:t>
      </w:r>
      <w:r w:rsidR="00C97239" w:rsidRPr="00F66DB4">
        <w:rPr>
          <w:rFonts w:ascii="Calibri" w:hAnsi="Calibri" w:cs="Calibri"/>
          <w:sz w:val="22"/>
          <w:szCs w:val="22"/>
        </w:rPr>
        <w:t xml:space="preserve"> </w:t>
      </w:r>
      <w:r w:rsidR="00262718" w:rsidRPr="00F66DB4">
        <w:rPr>
          <w:rFonts w:ascii="Calibri" w:hAnsi="Calibri" w:cs="Calibri"/>
          <w:sz w:val="22"/>
          <w:szCs w:val="22"/>
        </w:rPr>
        <w:t xml:space="preserve">Recognising </w:t>
      </w:r>
      <w:r w:rsidR="00876C1D">
        <w:rPr>
          <w:rFonts w:ascii="Calibri" w:hAnsi="Calibri" w:cs="Calibri"/>
          <w:sz w:val="22"/>
          <w:szCs w:val="22"/>
        </w:rPr>
        <w:t xml:space="preserve">the </w:t>
      </w:r>
      <w:r w:rsidR="00262718" w:rsidRPr="00F66DB4">
        <w:rPr>
          <w:rFonts w:ascii="Calibri" w:hAnsi="Calibri" w:cs="Calibri"/>
          <w:sz w:val="22"/>
          <w:szCs w:val="22"/>
        </w:rPr>
        <w:t>difficulties advertisers faced with</w:t>
      </w:r>
      <w:r w:rsidR="00C97239">
        <w:rPr>
          <w:rFonts w:ascii="Calibri" w:hAnsi="Calibri" w:cs="Calibri"/>
          <w:sz w:val="22"/>
          <w:szCs w:val="22"/>
        </w:rPr>
        <w:t xml:space="preserve"> planned</w:t>
      </w:r>
      <w:r w:rsidR="00262718" w:rsidRPr="00F66DB4">
        <w:rPr>
          <w:rFonts w:ascii="Calibri" w:hAnsi="Calibri" w:cs="Calibri"/>
          <w:sz w:val="22"/>
          <w:szCs w:val="22"/>
        </w:rPr>
        <w:t xml:space="preserve"> campaigns, they also reported </w:t>
      </w:r>
      <w:r w:rsidR="00876C1D">
        <w:rPr>
          <w:rFonts w:ascii="Calibri" w:hAnsi="Calibri" w:cs="Calibri"/>
          <w:sz w:val="22"/>
          <w:szCs w:val="22"/>
        </w:rPr>
        <w:t xml:space="preserve">acting </w:t>
      </w:r>
      <w:r w:rsidR="00262718" w:rsidRPr="00F66DB4">
        <w:rPr>
          <w:rFonts w:ascii="Calibri" w:hAnsi="Calibri" w:cs="Calibri"/>
          <w:sz w:val="22"/>
          <w:szCs w:val="22"/>
        </w:rPr>
        <w:t>flexibly in the first few months</w:t>
      </w:r>
      <w:r w:rsidR="00876C1D">
        <w:rPr>
          <w:rFonts w:ascii="Calibri" w:hAnsi="Calibri" w:cs="Calibri"/>
          <w:sz w:val="22"/>
          <w:szCs w:val="22"/>
        </w:rPr>
        <w:t xml:space="preserve"> of implementation by </w:t>
      </w:r>
      <w:r w:rsidR="00B0779F">
        <w:rPr>
          <w:rFonts w:ascii="Calibri" w:hAnsi="Calibri" w:cs="Calibri"/>
          <w:sz w:val="22"/>
          <w:szCs w:val="22"/>
        </w:rPr>
        <w:t xml:space="preserve">striving to make decisions quickly </w:t>
      </w:r>
      <w:r w:rsidR="00262718" w:rsidRPr="00F66DB4">
        <w:rPr>
          <w:rFonts w:ascii="Calibri" w:hAnsi="Calibri" w:cs="Calibri"/>
          <w:sz w:val="22"/>
          <w:szCs w:val="22"/>
        </w:rPr>
        <w:t>on advertisements</w:t>
      </w:r>
      <w:r w:rsidR="00876C1D">
        <w:rPr>
          <w:rFonts w:ascii="Calibri" w:hAnsi="Calibri" w:cs="Calibri"/>
          <w:sz w:val="22"/>
          <w:szCs w:val="22"/>
        </w:rPr>
        <w:t xml:space="preserve"> that were</w:t>
      </w:r>
      <w:r w:rsidR="00262718" w:rsidRPr="00F66DB4">
        <w:rPr>
          <w:rFonts w:ascii="Calibri" w:hAnsi="Calibri" w:cs="Calibri"/>
          <w:sz w:val="22"/>
          <w:szCs w:val="22"/>
        </w:rPr>
        <w:t xml:space="preserve"> scheduled to run in the near-term</w:t>
      </w:r>
      <w:r w:rsidR="00B0779F">
        <w:rPr>
          <w:rFonts w:ascii="Calibri" w:hAnsi="Calibri" w:cs="Calibri"/>
          <w:sz w:val="22"/>
          <w:szCs w:val="22"/>
        </w:rPr>
        <w:t xml:space="preserve"> and,</w:t>
      </w:r>
      <w:r w:rsidR="00262718" w:rsidRPr="00F66DB4">
        <w:rPr>
          <w:rFonts w:ascii="Calibri" w:hAnsi="Calibri" w:cs="Calibri"/>
          <w:sz w:val="22"/>
          <w:szCs w:val="22"/>
        </w:rPr>
        <w:t xml:space="preserve"> </w:t>
      </w:r>
      <w:r w:rsidR="00B0779F">
        <w:rPr>
          <w:rFonts w:ascii="Calibri" w:hAnsi="Calibri" w:cs="Calibri"/>
          <w:sz w:val="22"/>
          <w:szCs w:val="22"/>
        </w:rPr>
        <w:t>i</w:t>
      </w:r>
      <w:r w:rsidR="00876C1D">
        <w:rPr>
          <w:rFonts w:ascii="Calibri" w:hAnsi="Calibri" w:cs="Calibri"/>
          <w:sz w:val="22"/>
          <w:szCs w:val="22"/>
        </w:rPr>
        <w:t>n</w:t>
      </w:r>
      <w:r w:rsidR="00262718" w:rsidRPr="00F66DB4">
        <w:rPr>
          <w:rFonts w:ascii="Calibri" w:hAnsi="Calibri" w:cs="Calibri"/>
          <w:sz w:val="22"/>
          <w:szCs w:val="22"/>
        </w:rPr>
        <w:t xml:space="preserve"> some cases</w:t>
      </w:r>
      <w:r w:rsidR="00716A6F">
        <w:rPr>
          <w:rFonts w:ascii="Calibri" w:hAnsi="Calibri" w:cs="Calibri"/>
          <w:sz w:val="22"/>
          <w:szCs w:val="22"/>
        </w:rPr>
        <w:t>,</w:t>
      </w:r>
      <w:r w:rsidR="00262718" w:rsidRPr="00F66DB4">
        <w:rPr>
          <w:rFonts w:ascii="Calibri" w:hAnsi="Calibri" w:cs="Calibri"/>
          <w:sz w:val="22"/>
          <w:szCs w:val="22"/>
        </w:rPr>
        <w:t xml:space="preserve"> permitting</w:t>
      </w:r>
      <w:r w:rsidR="00876C1D">
        <w:rPr>
          <w:rFonts w:ascii="Calibri" w:hAnsi="Calibri" w:cs="Calibri"/>
          <w:sz w:val="22"/>
          <w:szCs w:val="22"/>
        </w:rPr>
        <w:t xml:space="preserve"> the use of</w:t>
      </w:r>
      <w:r w:rsidR="00262718" w:rsidRPr="00F66DB4">
        <w:rPr>
          <w:rFonts w:ascii="Calibri" w:hAnsi="Calibri" w:cs="Calibri"/>
          <w:sz w:val="22"/>
          <w:szCs w:val="22"/>
        </w:rPr>
        <w:t xml:space="preserve"> HFSS images </w:t>
      </w:r>
      <w:r w:rsidR="00977622">
        <w:rPr>
          <w:rFonts w:ascii="Calibri" w:hAnsi="Calibri" w:cs="Calibri"/>
          <w:sz w:val="22"/>
          <w:szCs w:val="22"/>
        </w:rPr>
        <w:t>in ‘incidentals’ (</w:t>
      </w:r>
      <w:r w:rsidR="00262718" w:rsidRPr="00F66DB4">
        <w:rPr>
          <w:rFonts w:ascii="Calibri" w:hAnsi="Calibri" w:cs="Calibri"/>
          <w:sz w:val="22"/>
          <w:szCs w:val="22"/>
        </w:rPr>
        <w:t>advertisements for non-food products</w:t>
      </w:r>
      <w:r w:rsidR="00977622">
        <w:rPr>
          <w:rFonts w:ascii="Calibri" w:hAnsi="Calibri" w:cs="Calibri"/>
          <w:sz w:val="22"/>
          <w:szCs w:val="22"/>
        </w:rPr>
        <w:t xml:space="preserve"> or services – e.g., movies, insurance or travel – that feature</w:t>
      </w:r>
      <w:r w:rsidR="00237DFE">
        <w:rPr>
          <w:rFonts w:ascii="Calibri" w:hAnsi="Calibri" w:cs="Calibri"/>
          <w:sz w:val="22"/>
          <w:szCs w:val="22"/>
        </w:rPr>
        <w:t>d</w:t>
      </w:r>
      <w:r w:rsidR="00977622">
        <w:rPr>
          <w:rFonts w:ascii="Calibri" w:hAnsi="Calibri" w:cs="Calibri"/>
          <w:sz w:val="22"/>
          <w:szCs w:val="22"/>
        </w:rPr>
        <w:t xml:space="preserve"> HFSS </w:t>
      </w:r>
      <w:r w:rsidR="00CD5F57">
        <w:rPr>
          <w:rFonts w:ascii="Calibri" w:hAnsi="Calibri" w:cs="Calibri"/>
          <w:sz w:val="22"/>
          <w:szCs w:val="22"/>
        </w:rPr>
        <w:t>products</w:t>
      </w:r>
      <w:r w:rsidR="00977622">
        <w:rPr>
          <w:rFonts w:ascii="Calibri" w:hAnsi="Calibri" w:cs="Calibri"/>
          <w:sz w:val="22"/>
          <w:szCs w:val="22"/>
        </w:rPr>
        <w:t>)</w:t>
      </w:r>
      <w:r w:rsidR="00262718" w:rsidRPr="00F66DB4">
        <w:rPr>
          <w:rFonts w:ascii="Calibri" w:hAnsi="Calibri" w:cs="Calibri"/>
          <w:sz w:val="22"/>
          <w:szCs w:val="22"/>
        </w:rPr>
        <w:t>.</w:t>
      </w:r>
    </w:p>
    <w:p w14:paraId="0D745420" w14:textId="77777777" w:rsidR="00262718" w:rsidRDefault="00262718" w:rsidP="00475D3F">
      <w:pPr>
        <w:spacing w:line="360" w:lineRule="auto"/>
        <w:rPr>
          <w:rFonts w:ascii="Calibri" w:hAnsi="Calibri" w:cs="Calibri"/>
          <w:b/>
          <w:bCs/>
          <w:sz w:val="22"/>
          <w:szCs w:val="22"/>
        </w:rPr>
      </w:pPr>
    </w:p>
    <w:p w14:paraId="38CA8DB6" w14:textId="576A37B9" w:rsidR="00A91F0C" w:rsidRPr="002D32F9" w:rsidRDefault="006E4D24" w:rsidP="00475D3F">
      <w:pPr>
        <w:spacing w:line="360" w:lineRule="auto"/>
        <w:rPr>
          <w:rFonts w:ascii="Calibri" w:hAnsi="Calibri" w:cs="Calibri"/>
          <w:b/>
          <w:bCs/>
          <w:sz w:val="22"/>
          <w:szCs w:val="22"/>
        </w:rPr>
      </w:pPr>
      <w:r>
        <w:rPr>
          <w:rFonts w:ascii="Calibri" w:hAnsi="Calibri" w:cs="Calibri"/>
          <w:b/>
          <w:bCs/>
          <w:sz w:val="22"/>
          <w:szCs w:val="22"/>
        </w:rPr>
        <w:t>The challenge of</w:t>
      </w:r>
      <w:r w:rsidR="00A27D74">
        <w:rPr>
          <w:rFonts w:ascii="Calibri" w:hAnsi="Calibri" w:cs="Calibri"/>
          <w:b/>
          <w:bCs/>
          <w:sz w:val="22"/>
          <w:szCs w:val="22"/>
        </w:rPr>
        <w:t xml:space="preserve"> o</w:t>
      </w:r>
      <w:r w:rsidR="00A91F0C" w:rsidRPr="002D32F9">
        <w:rPr>
          <w:rFonts w:ascii="Calibri" w:hAnsi="Calibri" w:cs="Calibri"/>
          <w:b/>
          <w:bCs/>
          <w:sz w:val="22"/>
          <w:szCs w:val="22"/>
        </w:rPr>
        <w:t xml:space="preserve">perationalising </w:t>
      </w:r>
      <w:r w:rsidR="00A27D74">
        <w:rPr>
          <w:rFonts w:ascii="Calibri" w:hAnsi="Calibri" w:cs="Calibri"/>
          <w:b/>
          <w:bCs/>
          <w:sz w:val="22"/>
          <w:szCs w:val="22"/>
        </w:rPr>
        <w:t xml:space="preserve">the concept of </w:t>
      </w:r>
      <w:r w:rsidR="00A91F0C" w:rsidRPr="002D32F9">
        <w:rPr>
          <w:rFonts w:ascii="Calibri" w:hAnsi="Calibri" w:cs="Calibri"/>
          <w:b/>
          <w:bCs/>
          <w:sz w:val="22"/>
          <w:szCs w:val="22"/>
        </w:rPr>
        <w:t>‘junk food’</w:t>
      </w:r>
    </w:p>
    <w:p w14:paraId="42D11E70" w14:textId="39F79130" w:rsidR="002D3C80" w:rsidRPr="00DC014C" w:rsidRDefault="006472CB" w:rsidP="00475D3F">
      <w:pPr>
        <w:spacing w:line="360" w:lineRule="auto"/>
        <w:rPr>
          <w:rFonts w:asciiTheme="minorHAnsi" w:hAnsiTheme="minorHAnsi" w:cstheme="minorHAnsi"/>
          <w:sz w:val="22"/>
          <w:szCs w:val="22"/>
        </w:rPr>
      </w:pPr>
      <w:r>
        <w:rPr>
          <w:rFonts w:ascii="Calibri" w:hAnsi="Calibri" w:cs="Calibri"/>
          <w:sz w:val="22"/>
          <w:szCs w:val="22"/>
        </w:rPr>
        <w:t>Industry and implementation stakeholders</w:t>
      </w:r>
      <w:r w:rsidR="008D4EBF" w:rsidRPr="00F66DB4">
        <w:rPr>
          <w:rFonts w:ascii="Calibri" w:hAnsi="Calibri" w:cs="Calibri"/>
          <w:sz w:val="22"/>
          <w:szCs w:val="22"/>
        </w:rPr>
        <w:t xml:space="preserve"> </w:t>
      </w:r>
      <w:r w:rsidR="00A91F0C">
        <w:rPr>
          <w:rFonts w:ascii="Calibri" w:hAnsi="Calibri" w:cs="Calibri"/>
          <w:sz w:val="22"/>
          <w:szCs w:val="22"/>
        </w:rPr>
        <w:t>recogni</w:t>
      </w:r>
      <w:r w:rsidR="00870F8E">
        <w:rPr>
          <w:rFonts w:ascii="Calibri" w:hAnsi="Calibri" w:cs="Calibri"/>
          <w:sz w:val="22"/>
          <w:szCs w:val="22"/>
        </w:rPr>
        <w:t>s</w:t>
      </w:r>
      <w:r w:rsidR="00A91F0C">
        <w:rPr>
          <w:rFonts w:ascii="Calibri" w:hAnsi="Calibri" w:cs="Calibri"/>
          <w:sz w:val="22"/>
          <w:szCs w:val="22"/>
        </w:rPr>
        <w:t xml:space="preserve">ed the </w:t>
      </w:r>
      <w:r w:rsidR="006865BC" w:rsidRPr="00F66DB4">
        <w:rPr>
          <w:rFonts w:ascii="Calibri" w:hAnsi="Calibri" w:cs="Calibri"/>
          <w:sz w:val="22"/>
          <w:szCs w:val="22"/>
        </w:rPr>
        <w:t xml:space="preserve">limitations of applying </w:t>
      </w:r>
      <w:r w:rsidR="000F6918">
        <w:rPr>
          <w:rFonts w:ascii="Calibri" w:hAnsi="Calibri" w:cs="Calibri"/>
          <w:sz w:val="22"/>
          <w:szCs w:val="22"/>
        </w:rPr>
        <w:t>the NPM</w:t>
      </w:r>
      <w:r w:rsidR="006865BC" w:rsidRPr="00F66DB4">
        <w:rPr>
          <w:rFonts w:ascii="Calibri" w:hAnsi="Calibri" w:cs="Calibri"/>
          <w:sz w:val="22"/>
          <w:szCs w:val="22"/>
        </w:rPr>
        <w:t xml:space="preserve"> to the </w:t>
      </w:r>
      <w:r w:rsidR="008D4EBF" w:rsidRPr="00F66DB4">
        <w:rPr>
          <w:rFonts w:ascii="Calibri" w:hAnsi="Calibri" w:cs="Calibri"/>
          <w:sz w:val="22"/>
          <w:szCs w:val="22"/>
        </w:rPr>
        <w:t xml:space="preserve">new </w:t>
      </w:r>
      <w:r w:rsidR="006865BC" w:rsidRPr="00F66DB4">
        <w:rPr>
          <w:rFonts w:ascii="Calibri" w:hAnsi="Calibri" w:cs="Calibri"/>
          <w:sz w:val="22"/>
          <w:szCs w:val="22"/>
        </w:rPr>
        <w:t>policy</w:t>
      </w:r>
      <w:r w:rsidR="008D4EBF" w:rsidRPr="00F66DB4">
        <w:rPr>
          <w:rFonts w:ascii="Calibri" w:hAnsi="Calibri" w:cs="Calibri"/>
          <w:sz w:val="22"/>
          <w:szCs w:val="22"/>
        </w:rPr>
        <w:t>.</w:t>
      </w:r>
      <w:r w:rsidR="006865BC" w:rsidRPr="00F66DB4">
        <w:rPr>
          <w:rFonts w:ascii="Calibri" w:hAnsi="Calibri" w:cs="Calibri"/>
          <w:sz w:val="22"/>
          <w:szCs w:val="22"/>
        </w:rPr>
        <w:t xml:space="preserve"> </w:t>
      </w:r>
      <w:r w:rsidR="002D3C80">
        <w:rPr>
          <w:rFonts w:ascii="Calibri" w:hAnsi="Calibri" w:cs="Calibri"/>
          <w:sz w:val="22"/>
          <w:szCs w:val="22"/>
        </w:rPr>
        <w:t xml:space="preserve">One limitation </w:t>
      </w:r>
      <w:r w:rsidR="002D3C80" w:rsidRPr="00F66DB4">
        <w:rPr>
          <w:rFonts w:ascii="Calibri" w:hAnsi="Calibri" w:cs="Calibri"/>
          <w:sz w:val="22"/>
          <w:szCs w:val="22"/>
        </w:rPr>
        <w:t>was that the NPM does not account for the portion size of products</w:t>
      </w:r>
      <w:r w:rsidR="00C82D1D">
        <w:rPr>
          <w:rFonts w:ascii="Calibri" w:hAnsi="Calibri" w:cs="Calibri"/>
          <w:sz w:val="22"/>
          <w:szCs w:val="22"/>
        </w:rPr>
        <w:t>;</w:t>
      </w:r>
      <w:r w:rsidR="00A91F0C">
        <w:rPr>
          <w:rFonts w:ascii="Calibri" w:hAnsi="Calibri" w:cs="Calibri"/>
          <w:sz w:val="22"/>
          <w:szCs w:val="22"/>
        </w:rPr>
        <w:t xml:space="preserve"> rather </w:t>
      </w:r>
      <w:r w:rsidR="00C82D1D">
        <w:rPr>
          <w:rFonts w:ascii="Calibri" w:hAnsi="Calibri" w:cs="Calibri"/>
          <w:sz w:val="22"/>
          <w:szCs w:val="22"/>
        </w:rPr>
        <w:t xml:space="preserve">it </w:t>
      </w:r>
      <w:r w:rsidR="00A91F0C">
        <w:rPr>
          <w:rFonts w:ascii="Calibri" w:hAnsi="Calibri" w:cs="Calibri"/>
          <w:sz w:val="22"/>
          <w:szCs w:val="22"/>
        </w:rPr>
        <w:t>produc</w:t>
      </w:r>
      <w:r w:rsidR="00C82D1D">
        <w:rPr>
          <w:rFonts w:ascii="Calibri" w:hAnsi="Calibri" w:cs="Calibri"/>
          <w:sz w:val="22"/>
          <w:szCs w:val="22"/>
        </w:rPr>
        <w:t>es</w:t>
      </w:r>
      <w:r w:rsidR="00A91F0C">
        <w:rPr>
          <w:rFonts w:ascii="Calibri" w:hAnsi="Calibri" w:cs="Calibri"/>
          <w:sz w:val="22"/>
          <w:szCs w:val="22"/>
        </w:rPr>
        <w:t xml:space="preserve"> a score per 100g</w:t>
      </w:r>
      <w:r w:rsidR="002D3C80" w:rsidRPr="00F66DB4">
        <w:rPr>
          <w:rFonts w:ascii="Calibri" w:hAnsi="Calibri" w:cs="Calibri"/>
          <w:sz w:val="22"/>
          <w:szCs w:val="22"/>
        </w:rPr>
        <w:t>. Some</w:t>
      </w:r>
      <w:r w:rsidR="00A91F0C">
        <w:rPr>
          <w:rFonts w:ascii="Calibri" w:hAnsi="Calibri" w:cs="Calibri"/>
          <w:sz w:val="22"/>
          <w:szCs w:val="22"/>
        </w:rPr>
        <w:t xml:space="preserve"> stakeholders</w:t>
      </w:r>
      <w:r w:rsidR="002D3C80" w:rsidRPr="00F66DB4">
        <w:rPr>
          <w:rFonts w:ascii="Calibri" w:hAnsi="Calibri" w:cs="Calibri"/>
          <w:sz w:val="22"/>
          <w:szCs w:val="22"/>
        </w:rPr>
        <w:t xml:space="preserve"> argued that this</w:t>
      </w:r>
      <w:r w:rsidR="00A91F0C">
        <w:rPr>
          <w:rFonts w:ascii="Calibri" w:hAnsi="Calibri" w:cs="Calibri"/>
          <w:sz w:val="22"/>
          <w:szCs w:val="22"/>
        </w:rPr>
        <w:t xml:space="preserve"> was overly </w:t>
      </w:r>
      <w:r w:rsidR="00177089">
        <w:rPr>
          <w:rFonts w:ascii="Calibri" w:hAnsi="Calibri" w:cs="Calibri"/>
          <w:sz w:val="22"/>
          <w:szCs w:val="22"/>
        </w:rPr>
        <w:t xml:space="preserve">sensitive </w:t>
      </w:r>
      <w:r w:rsidR="00A91F0C">
        <w:rPr>
          <w:rFonts w:ascii="Calibri" w:hAnsi="Calibri" w:cs="Calibri"/>
          <w:sz w:val="22"/>
          <w:szCs w:val="22"/>
        </w:rPr>
        <w:t>and</w:t>
      </w:r>
      <w:r w:rsidR="002D3C80" w:rsidRPr="00F66DB4">
        <w:rPr>
          <w:rFonts w:ascii="Calibri" w:hAnsi="Calibri" w:cs="Calibri"/>
          <w:sz w:val="22"/>
          <w:szCs w:val="22"/>
        </w:rPr>
        <w:t xml:space="preserve"> resulted in </w:t>
      </w:r>
      <w:r w:rsidR="00A91F0C">
        <w:rPr>
          <w:rFonts w:ascii="Calibri" w:hAnsi="Calibri" w:cs="Calibri"/>
          <w:sz w:val="22"/>
          <w:szCs w:val="22"/>
        </w:rPr>
        <w:t xml:space="preserve">placing </w:t>
      </w:r>
      <w:r w:rsidR="002D3C80" w:rsidRPr="00F66DB4">
        <w:rPr>
          <w:rFonts w:ascii="Calibri" w:hAnsi="Calibri" w:cs="Calibri"/>
          <w:sz w:val="22"/>
          <w:szCs w:val="22"/>
        </w:rPr>
        <w:t xml:space="preserve">restrictions on foods typically consumed in small quantities, such as olive oil. </w:t>
      </w:r>
      <w:r w:rsidR="00A91F0C">
        <w:rPr>
          <w:rFonts w:ascii="Calibri" w:hAnsi="Calibri" w:cs="Calibri"/>
          <w:sz w:val="22"/>
          <w:szCs w:val="22"/>
        </w:rPr>
        <w:t>However, it also meant some foods were policy</w:t>
      </w:r>
      <w:r w:rsidR="00870F8E">
        <w:rPr>
          <w:rFonts w:ascii="Calibri" w:hAnsi="Calibri" w:cs="Calibri"/>
          <w:sz w:val="22"/>
          <w:szCs w:val="22"/>
        </w:rPr>
        <w:t>-</w:t>
      </w:r>
      <w:r w:rsidR="00A91F0C">
        <w:rPr>
          <w:rFonts w:ascii="Calibri" w:hAnsi="Calibri" w:cs="Calibri"/>
          <w:sz w:val="22"/>
          <w:szCs w:val="22"/>
        </w:rPr>
        <w:t xml:space="preserve">compliant </w:t>
      </w:r>
      <w:r w:rsidR="00C82D1D">
        <w:rPr>
          <w:rFonts w:ascii="Calibri" w:hAnsi="Calibri" w:cs="Calibri"/>
          <w:sz w:val="22"/>
          <w:szCs w:val="22"/>
        </w:rPr>
        <w:t>that would commonly be considered as ‘junk food,’ such as fried chicken, which has a high prote</w:t>
      </w:r>
      <w:r w:rsidR="000F6918">
        <w:rPr>
          <w:rFonts w:ascii="Calibri" w:hAnsi="Calibri" w:cs="Calibri"/>
          <w:sz w:val="22"/>
          <w:szCs w:val="22"/>
        </w:rPr>
        <w:t>i</w:t>
      </w:r>
      <w:r w:rsidR="00C82D1D">
        <w:rPr>
          <w:rFonts w:ascii="Calibri" w:hAnsi="Calibri" w:cs="Calibri"/>
          <w:sz w:val="22"/>
          <w:szCs w:val="22"/>
        </w:rPr>
        <w:t xml:space="preserve">n content that is considered a benefit within the NPM. Such foods </w:t>
      </w:r>
      <w:r w:rsidR="00A91F0C">
        <w:rPr>
          <w:rFonts w:ascii="Calibri" w:hAnsi="Calibri" w:cs="Calibri"/>
          <w:sz w:val="22"/>
          <w:szCs w:val="22"/>
        </w:rPr>
        <w:t xml:space="preserve">could </w:t>
      </w:r>
      <w:r w:rsidR="00C82D1D">
        <w:rPr>
          <w:rFonts w:ascii="Calibri" w:hAnsi="Calibri" w:cs="Calibri"/>
          <w:sz w:val="22"/>
          <w:szCs w:val="22"/>
        </w:rPr>
        <w:t xml:space="preserve">therefore also </w:t>
      </w:r>
      <w:r w:rsidR="00A91F0C">
        <w:rPr>
          <w:rFonts w:ascii="Calibri" w:hAnsi="Calibri" w:cs="Calibri"/>
          <w:sz w:val="22"/>
          <w:szCs w:val="22"/>
        </w:rPr>
        <w:t>be advertised in quantities such as ‘buckets</w:t>
      </w:r>
      <w:r w:rsidR="00C82D1D">
        <w:rPr>
          <w:rFonts w:ascii="Calibri" w:hAnsi="Calibri" w:cs="Calibri"/>
          <w:sz w:val="22"/>
          <w:szCs w:val="22"/>
        </w:rPr>
        <w:t>,</w:t>
      </w:r>
      <w:r w:rsidR="00870F8E">
        <w:rPr>
          <w:rFonts w:ascii="Calibri" w:hAnsi="Calibri" w:cs="Calibri"/>
          <w:sz w:val="22"/>
          <w:szCs w:val="22"/>
        </w:rPr>
        <w:t>’</w:t>
      </w:r>
      <w:r w:rsidR="00C82D1D">
        <w:rPr>
          <w:rFonts w:ascii="Calibri" w:hAnsi="Calibri" w:cs="Calibri"/>
          <w:sz w:val="22"/>
          <w:szCs w:val="22"/>
        </w:rPr>
        <w:t xml:space="preserve"> which would </w:t>
      </w:r>
      <w:r w:rsidR="00A91F0C">
        <w:rPr>
          <w:rFonts w:ascii="Calibri" w:hAnsi="Calibri" w:cs="Calibri"/>
          <w:sz w:val="22"/>
          <w:szCs w:val="22"/>
        </w:rPr>
        <w:t>exceed the energy content recommended by government</w:t>
      </w:r>
      <w:r w:rsidR="00C82D1D">
        <w:rPr>
          <w:rFonts w:ascii="Calibri" w:hAnsi="Calibri" w:cs="Calibri"/>
          <w:sz w:val="22"/>
          <w:szCs w:val="22"/>
        </w:rPr>
        <w:t xml:space="preserve"> for </w:t>
      </w:r>
      <w:r w:rsidR="00C82D1D" w:rsidRPr="00DC014C">
        <w:rPr>
          <w:rFonts w:asciiTheme="minorHAnsi" w:hAnsiTheme="minorHAnsi" w:cstheme="minorHAnsi"/>
          <w:sz w:val="22"/>
          <w:szCs w:val="22"/>
        </w:rPr>
        <w:t>a single meal</w:t>
      </w:r>
      <w:r w:rsidR="0050659C" w:rsidRPr="00DC014C">
        <w:rPr>
          <w:rFonts w:asciiTheme="minorHAnsi" w:hAnsiTheme="minorHAnsi" w:cstheme="minorHAnsi"/>
          <w:sz w:val="22"/>
          <w:szCs w:val="22"/>
        </w:rPr>
        <w:t>:</w:t>
      </w:r>
    </w:p>
    <w:p w14:paraId="235FBF07" w14:textId="77777777" w:rsidR="0050659C" w:rsidRPr="004737B1" w:rsidRDefault="0050659C" w:rsidP="004737B1">
      <w:pPr>
        <w:pStyle w:val="Normal0"/>
        <w:spacing w:line="360" w:lineRule="auto"/>
        <w:ind w:left="567" w:right="855"/>
        <w:rPr>
          <w:rFonts w:asciiTheme="minorHAnsi" w:hAnsiTheme="minorHAnsi" w:cstheme="minorHAnsi"/>
          <w:i/>
          <w:iCs/>
          <w:sz w:val="22"/>
          <w:szCs w:val="22"/>
        </w:rPr>
      </w:pPr>
      <w:r w:rsidRPr="00DC014C">
        <w:rPr>
          <w:rFonts w:asciiTheme="minorHAnsi" w:hAnsiTheme="minorHAnsi" w:cstheme="minorHAnsi"/>
          <w:i/>
          <w:iCs/>
          <w:sz w:val="22"/>
          <w:szCs w:val="22"/>
        </w:rPr>
        <w:t xml:space="preserve">“there’s quite a lot of fried chicken advertising which is actually permitted because the way the model works is it, it provides quite a lot of, sort of, good points to protein, so products with high levels of protein, even if they </w:t>
      </w:r>
      <w:r w:rsidRPr="004737B1">
        <w:rPr>
          <w:rFonts w:asciiTheme="minorHAnsi" w:hAnsiTheme="minorHAnsi" w:cstheme="minorHAnsi"/>
          <w:i/>
          <w:iCs/>
          <w:sz w:val="22"/>
          <w:szCs w:val="22"/>
        </w:rPr>
        <w:t xml:space="preserve">also have quite high levels of fat, become non HFSS.” </w:t>
      </w:r>
    </w:p>
    <w:p w14:paraId="65836972" w14:textId="71E735F6" w:rsidR="0050659C" w:rsidRPr="004737B1" w:rsidRDefault="0050659C" w:rsidP="004737B1">
      <w:pPr>
        <w:pStyle w:val="Normal0"/>
        <w:numPr>
          <w:ilvl w:val="0"/>
          <w:numId w:val="8"/>
        </w:numPr>
        <w:spacing w:line="360" w:lineRule="auto"/>
        <w:rPr>
          <w:rFonts w:asciiTheme="minorHAnsi" w:hAnsiTheme="minorHAnsi" w:cstheme="minorHAnsi"/>
          <w:i/>
          <w:iCs/>
          <w:sz w:val="22"/>
          <w:szCs w:val="22"/>
        </w:rPr>
      </w:pPr>
      <w:r w:rsidRPr="004737B1">
        <w:rPr>
          <w:rFonts w:asciiTheme="minorHAnsi" w:hAnsiTheme="minorHAnsi" w:cstheme="minorHAnsi"/>
          <w:i/>
          <w:iCs/>
          <w:sz w:val="22"/>
          <w:szCs w:val="22"/>
        </w:rPr>
        <w:t>Implementation stakeholder (GLA)</w:t>
      </w:r>
    </w:p>
    <w:p w14:paraId="11991CD7" w14:textId="7F2B102A" w:rsidR="000C3E77" w:rsidRDefault="002D3C80" w:rsidP="00475D3F">
      <w:pPr>
        <w:spacing w:line="360" w:lineRule="auto"/>
        <w:rPr>
          <w:rFonts w:ascii="Calibri" w:hAnsi="Calibri" w:cs="Calibri"/>
          <w:sz w:val="22"/>
          <w:szCs w:val="22"/>
        </w:rPr>
      </w:pPr>
      <w:r w:rsidRPr="004737B1">
        <w:rPr>
          <w:rFonts w:asciiTheme="minorHAnsi" w:hAnsiTheme="minorHAnsi" w:cstheme="minorHAnsi"/>
          <w:sz w:val="22"/>
          <w:szCs w:val="22"/>
        </w:rPr>
        <w:t>S</w:t>
      </w:r>
      <w:r w:rsidR="00532C13" w:rsidRPr="004737B1">
        <w:rPr>
          <w:rFonts w:asciiTheme="minorHAnsi" w:hAnsiTheme="minorHAnsi" w:cstheme="minorHAnsi"/>
          <w:sz w:val="22"/>
          <w:szCs w:val="22"/>
        </w:rPr>
        <w:t>ome</w:t>
      </w:r>
      <w:r w:rsidRPr="004737B1">
        <w:rPr>
          <w:rFonts w:asciiTheme="minorHAnsi" w:hAnsiTheme="minorHAnsi" w:cstheme="minorHAnsi"/>
          <w:sz w:val="22"/>
          <w:szCs w:val="22"/>
        </w:rPr>
        <w:t xml:space="preserve"> </w:t>
      </w:r>
      <w:r w:rsidR="00C97688">
        <w:rPr>
          <w:rFonts w:asciiTheme="minorHAnsi" w:hAnsiTheme="minorHAnsi" w:cstheme="minorHAnsi"/>
          <w:sz w:val="22"/>
          <w:szCs w:val="22"/>
        </w:rPr>
        <w:t xml:space="preserve">implementation and industry stakeholders </w:t>
      </w:r>
      <w:r w:rsidRPr="004737B1">
        <w:rPr>
          <w:rFonts w:asciiTheme="minorHAnsi" w:hAnsiTheme="minorHAnsi" w:cstheme="minorHAnsi"/>
          <w:sz w:val="22"/>
          <w:szCs w:val="22"/>
        </w:rPr>
        <w:t xml:space="preserve">argued that </w:t>
      </w:r>
      <w:r w:rsidR="00532C13" w:rsidRPr="004737B1">
        <w:rPr>
          <w:rFonts w:asciiTheme="minorHAnsi" w:hAnsiTheme="minorHAnsi" w:cstheme="minorHAnsi"/>
          <w:sz w:val="22"/>
          <w:szCs w:val="22"/>
        </w:rPr>
        <w:t xml:space="preserve">certain </w:t>
      </w:r>
      <w:r w:rsidRPr="004737B1">
        <w:rPr>
          <w:rFonts w:asciiTheme="minorHAnsi" w:hAnsiTheme="minorHAnsi" w:cstheme="minorHAnsi"/>
          <w:sz w:val="22"/>
          <w:szCs w:val="22"/>
        </w:rPr>
        <w:t xml:space="preserve">foods </w:t>
      </w:r>
      <w:r w:rsidR="00C82D1D" w:rsidRPr="004737B1">
        <w:rPr>
          <w:rFonts w:asciiTheme="minorHAnsi" w:hAnsiTheme="minorHAnsi" w:cstheme="minorHAnsi"/>
          <w:sz w:val="22"/>
          <w:szCs w:val="22"/>
        </w:rPr>
        <w:t>subject to</w:t>
      </w:r>
      <w:r w:rsidRPr="004737B1">
        <w:rPr>
          <w:rFonts w:asciiTheme="minorHAnsi" w:hAnsiTheme="minorHAnsi" w:cstheme="minorHAnsi"/>
          <w:sz w:val="22"/>
          <w:szCs w:val="22"/>
        </w:rPr>
        <w:t xml:space="preserve"> </w:t>
      </w:r>
      <w:r w:rsidR="00C82D1D" w:rsidRPr="004737B1">
        <w:rPr>
          <w:rFonts w:asciiTheme="minorHAnsi" w:hAnsiTheme="minorHAnsi" w:cstheme="minorHAnsi"/>
          <w:sz w:val="22"/>
          <w:szCs w:val="22"/>
        </w:rPr>
        <w:t>restrictions according to</w:t>
      </w:r>
      <w:r w:rsidRPr="004737B1">
        <w:rPr>
          <w:rFonts w:asciiTheme="minorHAnsi" w:hAnsiTheme="minorHAnsi" w:cstheme="minorHAnsi"/>
          <w:sz w:val="22"/>
          <w:szCs w:val="22"/>
        </w:rPr>
        <w:t xml:space="preserve"> the NPM</w:t>
      </w:r>
      <w:r w:rsidR="00C97688">
        <w:rPr>
          <w:rFonts w:asciiTheme="minorHAnsi" w:hAnsiTheme="minorHAnsi" w:cstheme="minorHAnsi"/>
          <w:sz w:val="22"/>
          <w:szCs w:val="22"/>
        </w:rPr>
        <w:t>, such as cough sweets,</w:t>
      </w:r>
      <w:r w:rsidRPr="004737B1">
        <w:rPr>
          <w:rFonts w:asciiTheme="minorHAnsi" w:hAnsiTheme="minorHAnsi" w:cstheme="minorHAnsi"/>
          <w:sz w:val="22"/>
          <w:szCs w:val="22"/>
        </w:rPr>
        <w:t xml:space="preserve"> were not salient to children</w:t>
      </w:r>
      <w:r w:rsidR="00C97688">
        <w:rPr>
          <w:rFonts w:asciiTheme="minorHAnsi" w:hAnsiTheme="minorHAnsi" w:cstheme="minorHAnsi"/>
          <w:sz w:val="22"/>
          <w:szCs w:val="22"/>
        </w:rPr>
        <w:t>,</w:t>
      </w:r>
      <w:r w:rsidR="00C82D1D" w:rsidRPr="004737B1">
        <w:rPr>
          <w:rFonts w:asciiTheme="minorHAnsi" w:hAnsiTheme="minorHAnsi" w:cstheme="minorHAnsi"/>
          <w:sz w:val="22"/>
          <w:szCs w:val="22"/>
        </w:rPr>
        <w:t xml:space="preserve"> as</w:t>
      </w:r>
      <w:r w:rsidRPr="004737B1">
        <w:rPr>
          <w:rFonts w:asciiTheme="minorHAnsi" w:hAnsiTheme="minorHAnsi" w:cstheme="minorHAnsi"/>
          <w:sz w:val="22"/>
          <w:szCs w:val="22"/>
        </w:rPr>
        <w:t xml:space="preserve"> the policy’s target population</w:t>
      </w:r>
      <w:r w:rsidR="00C97688">
        <w:rPr>
          <w:rFonts w:asciiTheme="minorHAnsi" w:hAnsiTheme="minorHAnsi" w:cstheme="minorHAnsi"/>
          <w:sz w:val="22"/>
          <w:szCs w:val="22"/>
        </w:rPr>
        <w:t>.</w:t>
      </w:r>
      <w:r w:rsidRPr="004737B1">
        <w:rPr>
          <w:rFonts w:asciiTheme="minorHAnsi" w:hAnsiTheme="minorHAnsi" w:cstheme="minorHAnsi"/>
          <w:sz w:val="22"/>
          <w:szCs w:val="22"/>
        </w:rPr>
        <w:t xml:space="preserve"> </w:t>
      </w:r>
      <w:r w:rsidR="00C97688">
        <w:rPr>
          <w:rFonts w:asciiTheme="minorHAnsi" w:hAnsiTheme="minorHAnsi" w:cstheme="minorHAnsi"/>
          <w:sz w:val="22"/>
          <w:szCs w:val="22"/>
        </w:rPr>
        <w:t>O</w:t>
      </w:r>
      <w:r w:rsidR="00532C13" w:rsidRPr="004737B1">
        <w:rPr>
          <w:rFonts w:asciiTheme="minorHAnsi" w:hAnsiTheme="minorHAnsi" w:cstheme="minorHAnsi"/>
          <w:sz w:val="22"/>
          <w:szCs w:val="22"/>
        </w:rPr>
        <w:t>ther</w:t>
      </w:r>
      <w:r w:rsidR="00C97688">
        <w:rPr>
          <w:rFonts w:asciiTheme="minorHAnsi" w:hAnsiTheme="minorHAnsi" w:cstheme="minorHAnsi"/>
          <w:sz w:val="22"/>
          <w:szCs w:val="22"/>
        </w:rPr>
        <w:t xml:space="preserve"> participant</w:t>
      </w:r>
      <w:r w:rsidR="00532C13" w:rsidRPr="004737B1">
        <w:rPr>
          <w:rFonts w:asciiTheme="minorHAnsi" w:hAnsiTheme="minorHAnsi" w:cstheme="minorHAnsi"/>
          <w:sz w:val="22"/>
          <w:szCs w:val="22"/>
        </w:rPr>
        <w:t>s took the view that</w:t>
      </w:r>
      <w:r w:rsidRPr="004737B1">
        <w:rPr>
          <w:rFonts w:asciiTheme="minorHAnsi" w:hAnsiTheme="minorHAnsi" w:cstheme="minorHAnsi"/>
          <w:sz w:val="22"/>
          <w:szCs w:val="22"/>
        </w:rPr>
        <w:t xml:space="preserve"> advertisements for these products nonetheless promoted</w:t>
      </w:r>
      <w:r w:rsidRPr="00F66DB4">
        <w:rPr>
          <w:rFonts w:ascii="Calibri" w:hAnsi="Calibri" w:cs="Calibri"/>
          <w:sz w:val="22"/>
          <w:szCs w:val="22"/>
        </w:rPr>
        <w:t xml:space="preserve"> unhealthy</w:t>
      </w:r>
      <w:r w:rsidR="00A91F0C">
        <w:rPr>
          <w:rFonts w:ascii="Calibri" w:hAnsi="Calibri" w:cs="Calibri"/>
          <w:sz w:val="22"/>
          <w:szCs w:val="22"/>
        </w:rPr>
        <w:t xml:space="preserve"> eating</w:t>
      </w:r>
      <w:r w:rsidRPr="00F66DB4">
        <w:rPr>
          <w:rFonts w:ascii="Calibri" w:hAnsi="Calibri" w:cs="Calibri"/>
          <w:sz w:val="22"/>
          <w:szCs w:val="22"/>
        </w:rPr>
        <w:t xml:space="preserve"> among children. </w:t>
      </w:r>
      <w:r w:rsidR="00903434">
        <w:rPr>
          <w:rFonts w:ascii="Calibri" w:hAnsi="Calibri" w:cs="Calibri"/>
          <w:sz w:val="22"/>
          <w:szCs w:val="22"/>
        </w:rPr>
        <w:t>C</w:t>
      </w:r>
      <w:r w:rsidR="00870F8E">
        <w:rPr>
          <w:rFonts w:ascii="Calibri" w:hAnsi="Calibri" w:cs="Calibri"/>
          <w:sz w:val="22"/>
          <w:szCs w:val="22"/>
        </w:rPr>
        <w:t>ompanies could request</w:t>
      </w:r>
      <w:r w:rsidR="00C82D1D">
        <w:rPr>
          <w:rFonts w:ascii="Calibri" w:hAnsi="Calibri" w:cs="Calibri"/>
          <w:sz w:val="22"/>
          <w:szCs w:val="22"/>
        </w:rPr>
        <w:t xml:space="preserve"> policy</w:t>
      </w:r>
      <w:r w:rsidR="00870F8E">
        <w:rPr>
          <w:rFonts w:ascii="Calibri" w:hAnsi="Calibri" w:cs="Calibri"/>
          <w:sz w:val="22"/>
          <w:szCs w:val="22"/>
        </w:rPr>
        <w:t xml:space="preserve"> </w:t>
      </w:r>
      <w:r w:rsidRPr="00F66DB4">
        <w:rPr>
          <w:rFonts w:ascii="Calibri" w:hAnsi="Calibri" w:cs="Calibri"/>
          <w:sz w:val="22"/>
          <w:szCs w:val="22"/>
        </w:rPr>
        <w:t xml:space="preserve">exceptions for </w:t>
      </w:r>
      <w:r w:rsidR="00A91F0C">
        <w:rPr>
          <w:rFonts w:ascii="Calibri" w:hAnsi="Calibri" w:cs="Calibri"/>
          <w:sz w:val="22"/>
          <w:szCs w:val="22"/>
        </w:rPr>
        <w:t>products</w:t>
      </w:r>
      <w:r w:rsidRPr="00F66DB4">
        <w:rPr>
          <w:rFonts w:ascii="Calibri" w:hAnsi="Calibri" w:cs="Calibri"/>
          <w:sz w:val="22"/>
          <w:szCs w:val="22"/>
        </w:rPr>
        <w:t xml:space="preserve"> </w:t>
      </w:r>
      <w:r w:rsidRPr="00F66DB4">
        <w:rPr>
          <w:rFonts w:ascii="Calibri" w:hAnsi="Calibri" w:cs="Calibri"/>
          <w:sz w:val="22"/>
          <w:szCs w:val="22"/>
        </w:rPr>
        <w:lastRenderedPageBreak/>
        <w:t xml:space="preserve">that </w:t>
      </w:r>
      <w:r w:rsidR="00870F8E">
        <w:rPr>
          <w:rFonts w:ascii="Calibri" w:hAnsi="Calibri" w:cs="Calibri"/>
          <w:sz w:val="22"/>
          <w:szCs w:val="22"/>
        </w:rPr>
        <w:t>they could</w:t>
      </w:r>
      <w:r w:rsidRPr="00F66DB4">
        <w:rPr>
          <w:rFonts w:ascii="Calibri" w:hAnsi="Calibri" w:cs="Calibri"/>
          <w:sz w:val="22"/>
          <w:szCs w:val="22"/>
        </w:rPr>
        <w:t xml:space="preserve"> </w:t>
      </w:r>
      <w:r w:rsidRPr="004737B1">
        <w:rPr>
          <w:rFonts w:ascii="Calibri" w:hAnsi="Calibri" w:cs="Calibri"/>
          <w:i/>
          <w:iCs/>
          <w:sz w:val="22"/>
          <w:szCs w:val="22"/>
        </w:rPr>
        <w:t>demonstrate</w:t>
      </w:r>
      <w:r w:rsidRPr="00F66DB4">
        <w:rPr>
          <w:rFonts w:ascii="Calibri" w:hAnsi="Calibri" w:cs="Calibri"/>
          <w:sz w:val="22"/>
          <w:szCs w:val="22"/>
        </w:rPr>
        <w:t xml:space="preserve"> </w:t>
      </w:r>
      <w:r w:rsidR="00870F8E">
        <w:rPr>
          <w:rFonts w:ascii="Calibri" w:hAnsi="Calibri" w:cs="Calibri"/>
          <w:sz w:val="22"/>
          <w:szCs w:val="22"/>
        </w:rPr>
        <w:t>d</w:t>
      </w:r>
      <w:r w:rsidRPr="00F66DB4">
        <w:rPr>
          <w:rFonts w:ascii="Calibri" w:hAnsi="Calibri" w:cs="Calibri"/>
          <w:sz w:val="22"/>
          <w:szCs w:val="22"/>
        </w:rPr>
        <w:t>o not contribute to</w:t>
      </w:r>
      <w:r w:rsidR="00601396">
        <w:rPr>
          <w:rFonts w:ascii="Calibri" w:hAnsi="Calibri" w:cs="Calibri"/>
          <w:sz w:val="22"/>
          <w:szCs w:val="22"/>
        </w:rPr>
        <w:t xml:space="preserve"> children</w:t>
      </w:r>
      <w:r w:rsidR="00C82D1D">
        <w:rPr>
          <w:rFonts w:ascii="Calibri" w:hAnsi="Calibri" w:cs="Calibri"/>
          <w:sz w:val="22"/>
          <w:szCs w:val="22"/>
        </w:rPr>
        <w:t>’s diets</w:t>
      </w:r>
      <w:r w:rsidRPr="00F66DB4">
        <w:rPr>
          <w:rFonts w:ascii="Calibri" w:hAnsi="Calibri" w:cs="Calibri"/>
          <w:sz w:val="22"/>
          <w:szCs w:val="22"/>
        </w:rPr>
        <w:t xml:space="preserve">, </w:t>
      </w:r>
      <w:r w:rsidR="00E30D1F">
        <w:rPr>
          <w:rFonts w:ascii="Calibri" w:hAnsi="Calibri" w:cs="Calibri"/>
          <w:sz w:val="22"/>
          <w:szCs w:val="22"/>
        </w:rPr>
        <w:t>but</w:t>
      </w:r>
      <w:r w:rsidR="008C3969">
        <w:rPr>
          <w:rFonts w:ascii="Calibri" w:hAnsi="Calibri" w:cs="Calibri"/>
          <w:sz w:val="22"/>
          <w:szCs w:val="22"/>
        </w:rPr>
        <w:t xml:space="preserve"> some argued that consumer data</w:t>
      </w:r>
      <w:r w:rsidR="00E30D1F">
        <w:rPr>
          <w:rFonts w:ascii="Calibri" w:hAnsi="Calibri" w:cs="Calibri"/>
          <w:sz w:val="22"/>
          <w:szCs w:val="22"/>
        </w:rPr>
        <w:t xml:space="preserve"> used to support these requests</w:t>
      </w:r>
      <w:r w:rsidR="008C3969">
        <w:rPr>
          <w:rFonts w:ascii="Calibri" w:hAnsi="Calibri" w:cs="Calibri"/>
          <w:sz w:val="22"/>
          <w:szCs w:val="22"/>
        </w:rPr>
        <w:t xml:space="preserve"> </w:t>
      </w:r>
      <w:r w:rsidR="003A6472">
        <w:rPr>
          <w:rFonts w:ascii="Calibri" w:hAnsi="Calibri" w:cs="Calibri"/>
          <w:sz w:val="22"/>
          <w:szCs w:val="22"/>
        </w:rPr>
        <w:t xml:space="preserve">had </w:t>
      </w:r>
      <w:r w:rsidR="008C3969">
        <w:rPr>
          <w:rFonts w:ascii="Calibri" w:hAnsi="Calibri" w:cs="Calibri"/>
          <w:sz w:val="22"/>
          <w:szCs w:val="22"/>
        </w:rPr>
        <w:t xml:space="preserve">limitations for determining levels of consumption by children and was costly to </w:t>
      </w:r>
      <w:r w:rsidR="00D519C3">
        <w:rPr>
          <w:rFonts w:ascii="Calibri" w:hAnsi="Calibri" w:cs="Calibri"/>
          <w:sz w:val="22"/>
          <w:szCs w:val="22"/>
        </w:rPr>
        <w:t>industry:</w:t>
      </w:r>
    </w:p>
    <w:p w14:paraId="073C53D3" w14:textId="24513796" w:rsidR="008C3969" w:rsidRPr="004737B1" w:rsidRDefault="008C3969" w:rsidP="004737B1">
      <w:pPr>
        <w:widowControl w:val="0"/>
        <w:autoSpaceDE w:val="0"/>
        <w:autoSpaceDN w:val="0"/>
        <w:adjustRightInd w:val="0"/>
        <w:spacing w:line="360" w:lineRule="auto"/>
        <w:ind w:left="567" w:right="855"/>
        <w:rPr>
          <w:rFonts w:asciiTheme="minorHAnsi" w:eastAsiaTheme="minorHAnsi" w:hAnsiTheme="minorHAnsi" w:cstheme="minorHAnsi"/>
          <w:i/>
          <w:iCs/>
          <w:sz w:val="22"/>
          <w:szCs w:val="22"/>
          <w:lang w:val="en-GB" w:eastAsia="en-US"/>
        </w:rPr>
      </w:pPr>
      <w:r w:rsidRPr="004737B1">
        <w:rPr>
          <w:rFonts w:asciiTheme="minorHAnsi" w:eastAsiaTheme="minorHAnsi" w:hAnsiTheme="minorHAnsi" w:cstheme="minorHAnsi"/>
          <w:i/>
          <w:iCs/>
          <w:sz w:val="22"/>
          <w:szCs w:val="22"/>
          <w:lang w:val="en-GB" w:eastAsia="en-US"/>
        </w:rPr>
        <w:t>“Kantar data is what they would sometimes use as well but we know</w:t>
      </w:r>
      <w:r w:rsidR="00690358">
        <w:rPr>
          <w:rFonts w:asciiTheme="minorHAnsi" w:eastAsiaTheme="minorHAnsi" w:hAnsiTheme="minorHAnsi" w:cstheme="minorHAnsi"/>
          <w:i/>
          <w:iCs/>
          <w:sz w:val="22"/>
          <w:szCs w:val="22"/>
          <w:lang w:val="en-GB" w:eastAsia="en-US"/>
        </w:rPr>
        <w:t>…</w:t>
      </w:r>
      <w:r w:rsidRPr="004737B1">
        <w:rPr>
          <w:rFonts w:asciiTheme="minorHAnsi" w:eastAsiaTheme="minorHAnsi" w:hAnsiTheme="minorHAnsi" w:cstheme="minorHAnsi"/>
          <w:i/>
          <w:iCs/>
          <w:sz w:val="22"/>
          <w:szCs w:val="22"/>
          <w:lang w:val="en-GB" w:eastAsia="en-US"/>
        </w:rPr>
        <w:t>that that doesn’t really give the full picture</w:t>
      </w:r>
      <w:r w:rsidR="00690358">
        <w:rPr>
          <w:rFonts w:asciiTheme="minorHAnsi" w:eastAsiaTheme="minorHAnsi" w:hAnsiTheme="minorHAnsi" w:cstheme="minorHAnsi"/>
          <w:i/>
          <w:iCs/>
          <w:sz w:val="22"/>
          <w:szCs w:val="22"/>
          <w:lang w:val="en-GB" w:eastAsia="en-US"/>
        </w:rPr>
        <w:t>…</w:t>
      </w:r>
      <w:r w:rsidRPr="004737B1">
        <w:rPr>
          <w:rFonts w:asciiTheme="minorHAnsi" w:eastAsiaTheme="minorHAnsi" w:hAnsiTheme="minorHAnsi" w:cstheme="minorHAnsi"/>
          <w:i/>
          <w:iCs/>
          <w:sz w:val="22"/>
          <w:szCs w:val="22"/>
          <w:lang w:val="en-GB" w:eastAsia="en-US"/>
        </w:rPr>
        <w:t>and also that isn’t often available unless you have lots of money to buy it</w:t>
      </w:r>
      <w:r w:rsidR="00690358">
        <w:rPr>
          <w:rFonts w:asciiTheme="minorHAnsi" w:eastAsiaTheme="minorHAnsi" w:hAnsiTheme="minorHAnsi" w:cstheme="minorHAnsi"/>
          <w:i/>
          <w:iCs/>
          <w:sz w:val="22"/>
          <w:szCs w:val="22"/>
          <w:lang w:val="en-GB" w:eastAsia="en-US"/>
        </w:rPr>
        <w:t>…</w:t>
      </w:r>
      <w:r w:rsidRPr="004737B1">
        <w:rPr>
          <w:rFonts w:asciiTheme="minorHAnsi" w:eastAsiaTheme="minorHAnsi" w:hAnsiTheme="minorHAnsi" w:cstheme="minorHAnsi"/>
          <w:i/>
          <w:iCs/>
          <w:sz w:val="22"/>
          <w:szCs w:val="22"/>
          <w:lang w:val="en-GB" w:eastAsia="en-US"/>
        </w:rPr>
        <w:t>and that was also for the</w:t>
      </w:r>
      <w:r w:rsidR="00690358">
        <w:rPr>
          <w:rFonts w:asciiTheme="minorHAnsi" w:eastAsiaTheme="minorHAnsi" w:hAnsiTheme="minorHAnsi" w:cstheme="minorHAnsi"/>
          <w:i/>
          <w:iCs/>
          <w:sz w:val="22"/>
          <w:szCs w:val="22"/>
          <w:lang w:val="en-GB" w:eastAsia="en-US"/>
        </w:rPr>
        <w:t xml:space="preserve"> [question of whether it has]…</w:t>
      </w:r>
      <w:r w:rsidRPr="004737B1">
        <w:rPr>
          <w:rFonts w:asciiTheme="minorHAnsi" w:eastAsiaTheme="minorHAnsi" w:hAnsiTheme="minorHAnsi" w:cstheme="minorHAnsi"/>
          <w:i/>
          <w:iCs/>
          <w:sz w:val="22"/>
          <w:szCs w:val="22"/>
          <w:lang w:val="en-GB" w:eastAsia="en-US"/>
        </w:rPr>
        <w:t>been demonstrated</w:t>
      </w:r>
      <w:r w:rsidR="00690358">
        <w:rPr>
          <w:rFonts w:asciiTheme="minorHAnsi" w:eastAsiaTheme="minorHAnsi" w:hAnsiTheme="minorHAnsi" w:cstheme="minorHAnsi"/>
          <w:i/>
          <w:iCs/>
          <w:sz w:val="22"/>
          <w:szCs w:val="22"/>
          <w:lang w:val="en-GB" w:eastAsia="en-US"/>
        </w:rPr>
        <w:t>…</w:t>
      </w:r>
      <w:r w:rsidRPr="004737B1">
        <w:rPr>
          <w:rFonts w:asciiTheme="minorHAnsi" w:eastAsiaTheme="minorHAnsi" w:hAnsiTheme="minorHAnsi" w:cstheme="minorHAnsi"/>
          <w:i/>
          <w:iCs/>
          <w:sz w:val="22"/>
          <w:szCs w:val="22"/>
          <w:lang w:val="en-GB" w:eastAsia="en-US"/>
        </w:rPr>
        <w:t>that the product is not generally consumed by children</w:t>
      </w:r>
      <w:r w:rsidR="00690358">
        <w:rPr>
          <w:rFonts w:asciiTheme="minorHAnsi" w:eastAsiaTheme="minorHAnsi" w:hAnsiTheme="minorHAnsi" w:cstheme="minorHAnsi"/>
          <w:i/>
          <w:iCs/>
          <w:sz w:val="22"/>
          <w:szCs w:val="22"/>
          <w:lang w:val="en-GB" w:eastAsia="en-US"/>
        </w:rPr>
        <w:t>…</w:t>
      </w:r>
      <w:r w:rsidRPr="004737B1">
        <w:rPr>
          <w:rFonts w:asciiTheme="minorHAnsi" w:eastAsiaTheme="minorHAnsi" w:hAnsiTheme="minorHAnsi" w:cstheme="minorHAnsi"/>
          <w:i/>
          <w:iCs/>
          <w:sz w:val="22"/>
          <w:szCs w:val="22"/>
          <w:lang w:val="en-GB" w:eastAsia="en-US"/>
        </w:rPr>
        <w:t>It was hard to, kind of, really be clear about whether it was or wasn’t, if it’s a product that’s in a family home.”</w:t>
      </w:r>
    </w:p>
    <w:p w14:paraId="30686A4B" w14:textId="77777777" w:rsidR="008C3969" w:rsidRPr="004737B1" w:rsidRDefault="008C3969" w:rsidP="008C3969">
      <w:pPr>
        <w:widowControl w:val="0"/>
        <w:autoSpaceDE w:val="0"/>
        <w:autoSpaceDN w:val="0"/>
        <w:adjustRightInd w:val="0"/>
        <w:rPr>
          <w:rFonts w:asciiTheme="minorHAnsi" w:eastAsiaTheme="minorHAnsi" w:hAnsiTheme="minorHAnsi" w:cstheme="minorHAnsi"/>
          <w:i/>
          <w:iCs/>
          <w:sz w:val="22"/>
          <w:szCs w:val="22"/>
          <w:lang w:val="en-GB" w:eastAsia="en-US"/>
        </w:rPr>
      </w:pPr>
    </w:p>
    <w:p w14:paraId="2881530A" w14:textId="10B17C2F" w:rsidR="008C3969" w:rsidRPr="004737B1" w:rsidRDefault="008C3969" w:rsidP="004737B1">
      <w:pPr>
        <w:pStyle w:val="ListParagraph"/>
        <w:widowControl w:val="0"/>
        <w:numPr>
          <w:ilvl w:val="0"/>
          <w:numId w:val="8"/>
        </w:numPr>
        <w:autoSpaceDE w:val="0"/>
        <w:autoSpaceDN w:val="0"/>
        <w:adjustRightInd w:val="0"/>
        <w:rPr>
          <w:rFonts w:cstheme="minorHAnsi"/>
          <w:i/>
          <w:iCs/>
          <w:sz w:val="22"/>
          <w:szCs w:val="22"/>
        </w:rPr>
      </w:pPr>
      <w:r w:rsidRPr="004737B1">
        <w:rPr>
          <w:rFonts w:cstheme="minorHAnsi"/>
          <w:i/>
          <w:iCs/>
          <w:sz w:val="22"/>
          <w:szCs w:val="22"/>
        </w:rPr>
        <w:t>Implementation stakeholder (NGO)</w:t>
      </w:r>
    </w:p>
    <w:p w14:paraId="088B020F" w14:textId="77777777" w:rsidR="008C3969" w:rsidRPr="004737B1" w:rsidRDefault="008C3969" w:rsidP="00475D3F">
      <w:pPr>
        <w:spacing w:line="360" w:lineRule="auto"/>
        <w:rPr>
          <w:rFonts w:ascii="Calibri" w:hAnsi="Calibri" w:cs="Calibri"/>
          <w:sz w:val="22"/>
          <w:szCs w:val="22"/>
          <w:lang w:val="en-GB"/>
        </w:rPr>
      </w:pPr>
    </w:p>
    <w:p w14:paraId="1590A8DD" w14:textId="136ADA68" w:rsidR="00B6257E" w:rsidRPr="00F66DB4" w:rsidRDefault="00870F8E" w:rsidP="00475D3F">
      <w:pPr>
        <w:spacing w:line="360" w:lineRule="auto"/>
        <w:rPr>
          <w:rFonts w:ascii="Calibri" w:hAnsi="Calibri" w:cs="Calibri"/>
          <w:sz w:val="22"/>
          <w:szCs w:val="22"/>
        </w:rPr>
      </w:pPr>
      <w:r w:rsidRPr="00D3472A">
        <w:rPr>
          <w:rFonts w:ascii="Calibri" w:hAnsi="Calibri" w:cs="Calibri"/>
          <w:sz w:val="22"/>
          <w:szCs w:val="22"/>
        </w:rPr>
        <w:t>‘</w:t>
      </w:r>
      <w:r w:rsidR="006865BC" w:rsidRPr="00D3472A">
        <w:rPr>
          <w:rFonts w:ascii="Calibri" w:hAnsi="Calibri" w:cs="Calibri"/>
          <w:sz w:val="22"/>
          <w:szCs w:val="22"/>
        </w:rPr>
        <w:t>Incidentals</w:t>
      </w:r>
      <w:r w:rsidRPr="00D3472A">
        <w:rPr>
          <w:rFonts w:ascii="Calibri" w:hAnsi="Calibri" w:cs="Calibri"/>
          <w:sz w:val="22"/>
          <w:szCs w:val="22"/>
        </w:rPr>
        <w:t>’</w:t>
      </w:r>
      <w:r w:rsidR="006865BC" w:rsidRPr="00D3472A">
        <w:rPr>
          <w:rFonts w:ascii="Calibri" w:hAnsi="Calibri" w:cs="Calibri"/>
          <w:sz w:val="22"/>
          <w:szCs w:val="22"/>
        </w:rPr>
        <w:t xml:space="preserve"> </w:t>
      </w:r>
      <w:r w:rsidR="002D3C80" w:rsidRPr="00D3472A">
        <w:rPr>
          <w:rFonts w:ascii="Calibri" w:hAnsi="Calibri" w:cs="Calibri"/>
          <w:sz w:val="22"/>
          <w:szCs w:val="22"/>
        </w:rPr>
        <w:t xml:space="preserve">also </w:t>
      </w:r>
      <w:r w:rsidR="005D487D" w:rsidRPr="00D3472A">
        <w:rPr>
          <w:rFonts w:ascii="Calibri" w:hAnsi="Calibri" w:cs="Calibri"/>
          <w:sz w:val="22"/>
          <w:szCs w:val="22"/>
        </w:rPr>
        <w:t xml:space="preserve">introduced </w:t>
      </w:r>
      <w:r w:rsidR="00E5129F" w:rsidRPr="00D3472A">
        <w:rPr>
          <w:rFonts w:ascii="Calibri" w:hAnsi="Calibri" w:cs="Calibri"/>
          <w:sz w:val="22"/>
          <w:szCs w:val="22"/>
        </w:rPr>
        <w:t>implementation</w:t>
      </w:r>
      <w:r w:rsidR="00A91F0C" w:rsidRPr="00D3472A">
        <w:rPr>
          <w:rFonts w:ascii="Calibri" w:hAnsi="Calibri" w:cs="Calibri"/>
          <w:sz w:val="22"/>
          <w:szCs w:val="22"/>
        </w:rPr>
        <w:t xml:space="preserve"> challenges</w:t>
      </w:r>
      <w:r w:rsidR="00E5129F" w:rsidRPr="00D3472A">
        <w:rPr>
          <w:rFonts w:ascii="Calibri" w:hAnsi="Calibri" w:cs="Calibri"/>
          <w:sz w:val="22"/>
          <w:szCs w:val="22"/>
        </w:rPr>
        <w:t>.</w:t>
      </w:r>
      <w:r w:rsidR="00B6257E" w:rsidRPr="00D3472A">
        <w:rPr>
          <w:rFonts w:ascii="Calibri" w:hAnsi="Calibri" w:cs="Calibri"/>
          <w:sz w:val="22"/>
          <w:szCs w:val="22"/>
        </w:rPr>
        <w:t xml:space="preserve"> </w:t>
      </w:r>
      <w:r w:rsidR="00AA2ABE" w:rsidRPr="00D3472A">
        <w:rPr>
          <w:rFonts w:ascii="Calibri" w:hAnsi="Calibri" w:cs="Calibri"/>
          <w:sz w:val="22"/>
          <w:szCs w:val="22"/>
        </w:rPr>
        <w:t>Exposure</w:t>
      </w:r>
      <w:r w:rsidR="00B6257E" w:rsidRPr="00D3472A">
        <w:rPr>
          <w:rFonts w:ascii="Calibri" w:hAnsi="Calibri" w:cs="Calibri"/>
          <w:sz w:val="22"/>
          <w:szCs w:val="22"/>
        </w:rPr>
        <w:t xml:space="preserve"> to advertisements </w:t>
      </w:r>
      <w:r w:rsidR="00AA2ABE" w:rsidRPr="00D3472A">
        <w:rPr>
          <w:rFonts w:ascii="Calibri" w:hAnsi="Calibri" w:cs="Calibri"/>
          <w:sz w:val="22"/>
          <w:szCs w:val="22"/>
        </w:rPr>
        <w:t>featuring</w:t>
      </w:r>
      <w:r w:rsidR="00B6257E" w:rsidRPr="00D3472A">
        <w:rPr>
          <w:rFonts w:ascii="Calibri" w:hAnsi="Calibri" w:cs="Calibri"/>
          <w:sz w:val="22"/>
          <w:szCs w:val="22"/>
        </w:rPr>
        <w:t xml:space="preserve"> HFSS foods </w:t>
      </w:r>
      <w:r w:rsidR="00CD688F">
        <w:rPr>
          <w:rFonts w:ascii="Calibri" w:hAnsi="Calibri" w:cs="Calibri"/>
          <w:sz w:val="22"/>
          <w:szCs w:val="22"/>
        </w:rPr>
        <w:t xml:space="preserve">was </w:t>
      </w:r>
      <w:r w:rsidR="00B6257E" w:rsidRPr="00D3472A">
        <w:rPr>
          <w:rFonts w:ascii="Calibri" w:hAnsi="Calibri" w:cs="Calibri"/>
          <w:sz w:val="22"/>
          <w:szCs w:val="22"/>
        </w:rPr>
        <w:t xml:space="preserve">seen as contributing to childhood obesity, regardless of the </w:t>
      </w:r>
      <w:r w:rsidR="002D3C80" w:rsidRPr="00D3472A">
        <w:rPr>
          <w:rFonts w:ascii="Calibri" w:hAnsi="Calibri" w:cs="Calibri"/>
          <w:sz w:val="22"/>
          <w:szCs w:val="22"/>
        </w:rPr>
        <w:t xml:space="preserve">advertisement’s </w:t>
      </w:r>
      <w:r w:rsidR="00B6257E" w:rsidRPr="00D3472A">
        <w:rPr>
          <w:rFonts w:ascii="Calibri" w:hAnsi="Calibri" w:cs="Calibri"/>
          <w:sz w:val="22"/>
          <w:szCs w:val="22"/>
        </w:rPr>
        <w:t>focus:</w:t>
      </w:r>
      <w:r w:rsidR="00B6257E" w:rsidRPr="00F66DB4">
        <w:rPr>
          <w:rFonts w:ascii="Calibri" w:hAnsi="Calibri" w:cs="Calibri"/>
          <w:sz w:val="22"/>
          <w:szCs w:val="22"/>
        </w:rPr>
        <w:t xml:space="preserve">  </w:t>
      </w:r>
    </w:p>
    <w:p w14:paraId="6BB9A869" w14:textId="4C7EC013" w:rsidR="00B6257E" w:rsidRPr="00F66DB4" w:rsidRDefault="00B6257E" w:rsidP="00475D3F">
      <w:pPr>
        <w:spacing w:line="360" w:lineRule="auto"/>
        <w:jc w:val="center"/>
        <w:rPr>
          <w:rFonts w:ascii="Calibri" w:hAnsi="Calibri" w:cs="Calibri"/>
          <w:sz w:val="22"/>
          <w:szCs w:val="22"/>
        </w:rPr>
      </w:pPr>
    </w:p>
    <w:p w14:paraId="6C19BF65" w14:textId="3BEC7899" w:rsidR="00B6257E" w:rsidRPr="00F66DB4" w:rsidRDefault="002D3C80" w:rsidP="00475D3F">
      <w:pPr>
        <w:spacing w:line="360" w:lineRule="auto"/>
        <w:ind w:left="720" w:right="720"/>
        <w:rPr>
          <w:rFonts w:ascii="Calibri" w:hAnsi="Calibri" w:cs="Calibri"/>
          <w:i/>
          <w:iCs/>
          <w:sz w:val="22"/>
          <w:szCs w:val="22"/>
        </w:rPr>
      </w:pPr>
      <w:r>
        <w:rPr>
          <w:rFonts w:ascii="Calibri" w:hAnsi="Calibri" w:cs="Calibri"/>
          <w:i/>
          <w:iCs/>
          <w:sz w:val="22"/>
          <w:szCs w:val="22"/>
        </w:rPr>
        <w:t>“</w:t>
      </w:r>
      <w:r w:rsidR="00AA2ABE" w:rsidRPr="00F66DB4">
        <w:rPr>
          <w:rFonts w:ascii="Calibri" w:hAnsi="Calibri" w:cs="Calibri"/>
          <w:i/>
          <w:iCs/>
          <w:sz w:val="22"/>
          <w:szCs w:val="22"/>
        </w:rPr>
        <w:t>…</w:t>
      </w:r>
      <w:r w:rsidR="00B6257E" w:rsidRPr="00F66DB4">
        <w:rPr>
          <w:rFonts w:ascii="Calibri" w:hAnsi="Calibri" w:cs="Calibri"/>
          <w:i/>
          <w:iCs/>
          <w:sz w:val="22"/>
          <w:szCs w:val="22"/>
        </w:rPr>
        <w:t>I think it’s right to have a policy around incidentals because what we were trying to do here is dampen down the amount of unhealthy food that children would see. So, and it makes no difference to the child whether they see it under a, the banner of a junk, an actual bran</w:t>
      </w:r>
      <w:r w:rsidR="00AA2ABE" w:rsidRPr="00F66DB4">
        <w:rPr>
          <w:rFonts w:ascii="Calibri" w:hAnsi="Calibri" w:cs="Calibri"/>
          <w:i/>
          <w:iCs/>
          <w:sz w:val="22"/>
          <w:szCs w:val="22"/>
        </w:rPr>
        <w:t>d…</w:t>
      </w:r>
      <w:r w:rsidR="00B6257E" w:rsidRPr="00F66DB4">
        <w:rPr>
          <w:rFonts w:ascii="Calibri" w:hAnsi="Calibri" w:cs="Calibri"/>
          <w:i/>
          <w:iCs/>
          <w:sz w:val="22"/>
          <w:szCs w:val="22"/>
        </w:rPr>
        <w:t>Or whether they see it under the banner of something else, they’re still seeing it. And if advertising didn’t work, we wouldn’t sell this network space, would we?</w:t>
      </w:r>
      <w:r>
        <w:rPr>
          <w:rFonts w:ascii="Calibri" w:hAnsi="Calibri" w:cs="Calibri"/>
          <w:i/>
          <w:iCs/>
          <w:sz w:val="22"/>
          <w:szCs w:val="22"/>
        </w:rPr>
        <w:t>”</w:t>
      </w:r>
    </w:p>
    <w:p w14:paraId="359B8387" w14:textId="60747B28" w:rsidR="00B6257E" w:rsidRPr="00F66DB4" w:rsidRDefault="00B6257E" w:rsidP="00475D3F">
      <w:pPr>
        <w:pStyle w:val="ListParagraph"/>
        <w:numPr>
          <w:ilvl w:val="0"/>
          <w:numId w:val="8"/>
        </w:numPr>
        <w:spacing w:line="360" w:lineRule="auto"/>
        <w:ind w:right="720"/>
        <w:rPr>
          <w:rFonts w:ascii="Calibri" w:hAnsi="Calibri" w:cs="Calibri"/>
          <w:i/>
          <w:iCs/>
          <w:sz w:val="22"/>
          <w:szCs w:val="22"/>
        </w:rPr>
      </w:pPr>
      <w:r w:rsidRPr="00F66DB4">
        <w:rPr>
          <w:rFonts w:ascii="Calibri" w:hAnsi="Calibri" w:cs="Calibri"/>
          <w:i/>
          <w:iCs/>
          <w:sz w:val="22"/>
          <w:szCs w:val="22"/>
        </w:rPr>
        <w:t xml:space="preserve">Implementation stakeholder </w:t>
      </w:r>
      <w:r w:rsidR="005404F5">
        <w:rPr>
          <w:rFonts w:ascii="Calibri" w:hAnsi="Calibri" w:cs="Calibri"/>
          <w:i/>
          <w:iCs/>
          <w:sz w:val="22"/>
          <w:szCs w:val="22"/>
        </w:rPr>
        <w:t>(GLA)</w:t>
      </w:r>
    </w:p>
    <w:p w14:paraId="0B0CC657" w14:textId="77777777" w:rsidR="000C3E77" w:rsidRPr="00F66DB4" w:rsidRDefault="000C3E77" w:rsidP="00475D3F">
      <w:pPr>
        <w:spacing w:line="360" w:lineRule="auto"/>
        <w:rPr>
          <w:rFonts w:ascii="Calibri" w:hAnsi="Calibri" w:cs="Calibri"/>
          <w:sz w:val="22"/>
          <w:szCs w:val="22"/>
        </w:rPr>
      </w:pPr>
    </w:p>
    <w:p w14:paraId="111A9865" w14:textId="106487DF" w:rsidR="00173FFF" w:rsidRPr="00F66DB4" w:rsidRDefault="00AA2ABE" w:rsidP="00475D3F">
      <w:pPr>
        <w:spacing w:line="360" w:lineRule="auto"/>
        <w:rPr>
          <w:rFonts w:ascii="Calibri" w:hAnsi="Calibri" w:cs="Calibri"/>
          <w:sz w:val="22"/>
          <w:szCs w:val="22"/>
        </w:rPr>
      </w:pPr>
      <w:r w:rsidRPr="00F66DB4">
        <w:rPr>
          <w:rFonts w:ascii="Calibri" w:hAnsi="Calibri" w:cs="Calibri"/>
          <w:sz w:val="22"/>
          <w:szCs w:val="22"/>
        </w:rPr>
        <w:t>S</w:t>
      </w:r>
      <w:r w:rsidR="0064384D" w:rsidRPr="00F66DB4">
        <w:rPr>
          <w:rFonts w:ascii="Calibri" w:hAnsi="Calibri" w:cs="Calibri"/>
          <w:sz w:val="22"/>
          <w:szCs w:val="22"/>
        </w:rPr>
        <w:t>uch non-food</w:t>
      </w:r>
      <w:r w:rsidR="000C3E77" w:rsidRPr="00F66DB4">
        <w:rPr>
          <w:rFonts w:ascii="Calibri" w:hAnsi="Calibri" w:cs="Calibri"/>
          <w:sz w:val="22"/>
          <w:szCs w:val="22"/>
        </w:rPr>
        <w:t xml:space="preserve"> advertisements </w:t>
      </w:r>
      <w:r w:rsidR="0064384D" w:rsidRPr="00F66DB4">
        <w:rPr>
          <w:rFonts w:ascii="Calibri" w:hAnsi="Calibri" w:cs="Calibri"/>
          <w:sz w:val="22"/>
          <w:szCs w:val="22"/>
        </w:rPr>
        <w:t xml:space="preserve">were </w:t>
      </w:r>
      <w:r w:rsidRPr="00F66DB4">
        <w:rPr>
          <w:rFonts w:ascii="Calibri" w:hAnsi="Calibri" w:cs="Calibri"/>
          <w:sz w:val="22"/>
          <w:szCs w:val="22"/>
        </w:rPr>
        <w:t xml:space="preserve">reportedly </w:t>
      </w:r>
      <w:r w:rsidR="000C3E77" w:rsidRPr="00F66DB4">
        <w:rPr>
          <w:rFonts w:ascii="Calibri" w:hAnsi="Calibri" w:cs="Calibri"/>
          <w:sz w:val="22"/>
          <w:szCs w:val="22"/>
        </w:rPr>
        <w:t>modified</w:t>
      </w:r>
      <w:r w:rsidR="000372B5">
        <w:rPr>
          <w:rFonts w:ascii="Calibri" w:hAnsi="Calibri" w:cs="Calibri"/>
          <w:sz w:val="22"/>
          <w:szCs w:val="22"/>
        </w:rPr>
        <w:t xml:space="preserve"> in some cases</w:t>
      </w:r>
      <w:r w:rsidR="000C3E77" w:rsidRPr="00F66DB4">
        <w:rPr>
          <w:rFonts w:ascii="Calibri" w:hAnsi="Calibri" w:cs="Calibri"/>
          <w:sz w:val="22"/>
          <w:szCs w:val="22"/>
        </w:rPr>
        <w:t xml:space="preserve"> to</w:t>
      </w:r>
      <w:r w:rsidR="0064384D" w:rsidRPr="00F66DB4">
        <w:rPr>
          <w:rFonts w:ascii="Calibri" w:hAnsi="Calibri" w:cs="Calibri"/>
          <w:sz w:val="22"/>
          <w:szCs w:val="22"/>
        </w:rPr>
        <w:t xml:space="preserve"> </w:t>
      </w:r>
      <w:r w:rsidR="00A91F0C">
        <w:rPr>
          <w:rFonts w:ascii="Calibri" w:hAnsi="Calibri" w:cs="Calibri"/>
          <w:sz w:val="22"/>
          <w:szCs w:val="22"/>
        </w:rPr>
        <w:t xml:space="preserve">ensure </w:t>
      </w:r>
      <w:r w:rsidR="0064384D" w:rsidRPr="00F66DB4">
        <w:rPr>
          <w:rFonts w:ascii="Calibri" w:hAnsi="Calibri" w:cs="Calibri"/>
          <w:sz w:val="22"/>
          <w:szCs w:val="22"/>
        </w:rPr>
        <w:t>compliance</w:t>
      </w:r>
      <w:r w:rsidR="000C3E77" w:rsidRPr="00F66DB4">
        <w:rPr>
          <w:rFonts w:ascii="Calibri" w:hAnsi="Calibri" w:cs="Calibri"/>
          <w:sz w:val="22"/>
          <w:szCs w:val="22"/>
        </w:rPr>
        <w:t xml:space="preserve"> </w:t>
      </w:r>
      <w:r w:rsidR="0064384D" w:rsidRPr="00F66DB4">
        <w:rPr>
          <w:rFonts w:ascii="Calibri" w:hAnsi="Calibri" w:cs="Calibri"/>
          <w:sz w:val="22"/>
          <w:szCs w:val="22"/>
        </w:rPr>
        <w:t>with the</w:t>
      </w:r>
      <w:r w:rsidR="000C3E77" w:rsidRPr="00F66DB4">
        <w:rPr>
          <w:rFonts w:ascii="Calibri" w:hAnsi="Calibri" w:cs="Calibri"/>
          <w:sz w:val="22"/>
          <w:szCs w:val="22"/>
        </w:rPr>
        <w:t xml:space="preserve"> policy, </w:t>
      </w:r>
      <w:r w:rsidR="0064384D" w:rsidRPr="00F66DB4">
        <w:rPr>
          <w:rFonts w:ascii="Calibri" w:hAnsi="Calibri" w:cs="Calibri"/>
          <w:sz w:val="22"/>
          <w:szCs w:val="22"/>
        </w:rPr>
        <w:t xml:space="preserve">and </w:t>
      </w:r>
      <w:r w:rsidRPr="00F66DB4">
        <w:rPr>
          <w:rFonts w:ascii="Calibri" w:hAnsi="Calibri" w:cs="Calibri"/>
          <w:sz w:val="22"/>
          <w:szCs w:val="22"/>
        </w:rPr>
        <w:t>in other cases</w:t>
      </w:r>
      <w:r w:rsidR="0064384D" w:rsidRPr="00F66DB4">
        <w:rPr>
          <w:rFonts w:ascii="Calibri" w:hAnsi="Calibri" w:cs="Calibri"/>
          <w:sz w:val="22"/>
          <w:szCs w:val="22"/>
        </w:rPr>
        <w:t xml:space="preserve"> </w:t>
      </w:r>
      <w:r w:rsidR="00432EC8">
        <w:rPr>
          <w:rFonts w:ascii="Calibri" w:hAnsi="Calibri" w:cs="Calibri"/>
          <w:sz w:val="22"/>
          <w:szCs w:val="22"/>
        </w:rPr>
        <w:t>ran elsewhere but not</w:t>
      </w:r>
      <w:r w:rsidR="00A91F0C">
        <w:rPr>
          <w:rFonts w:ascii="Calibri" w:hAnsi="Calibri" w:cs="Calibri"/>
          <w:sz w:val="22"/>
          <w:szCs w:val="22"/>
        </w:rPr>
        <w:t xml:space="preserve"> </w:t>
      </w:r>
      <w:r w:rsidR="00432EC8" w:rsidRPr="00F66DB4">
        <w:rPr>
          <w:rFonts w:ascii="Calibri" w:hAnsi="Calibri" w:cs="Calibri"/>
          <w:sz w:val="22"/>
          <w:szCs w:val="22"/>
        </w:rPr>
        <w:t>on the TfL estate</w:t>
      </w:r>
      <w:r w:rsidR="0064384D" w:rsidRPr="00F66DB4">
        <w:rPr>
          <w:rFonts w:ascii="Calibri" w:hAnsi="Calibri" w:cs="Calibri"/>
          <w:sz w:val="22"/>
          <w:szCs w:val="22"/>
        </w:rPr>
        <w:t xml:space="preserve">. In an example of the latter, </w:t>
      </w:r>
      <w:r w:rsidR="00B839B0">
        <w:rPr>
          <w:rFonts w:ascii="Calibri" w:hAnsi="Calibri" w:cs="Calibri"/>
          <w:sz w:val="22"/>
          <w:szCs w:val="22"/>
        </w:rPr>
        <w:t xml:space="preserve">in </w:t>
      </w:r>
      <w:r w:rsidR="00E5129F" w:rsidRPr="00F66DB4">
        <w:rPr>
          <w:rFonts w:ascii="Calibri" w:hAnsi="Calibri" w:cs="Calibri"/>
          <w:sz w:val="22"/>
          <w:szCs w:val="22"/>
        </w:rPr>
        <w:t>an advertising campaign for a cartoon movie, a</w:t>
      </w:r>
      <w:r w:rsidR="00A91F0C">
        <w:rPr>
          <w:rFonts w:ascii="Calibri" w:hAnsi="Calibri" w:cs="Calibri"/>
          <w:sz w:val="22"/>
          <w:szCs w:val="22"/>
        </w:rPr>
        <w:t>n animated representation of</w:t>
      </w:r>
      <w:r w:rsidR="00E5129F" w:rsidRPr="00F66DB4">
        <w:rPr>
          <w:rFonts w:ascii="Calibri" w:hAnsi="Calibri" w:cs="Calibri"/>
          <w:sz w:val="22"/>
          <w:szCs w:val="22"/>
        </w:rPr>
        <w:t xml:space="preserve"> </w:t>
      </w:r>
      <w:r w:rsidR="00B839B0">
        <w:rPr>
          <w:rFonts w:ascii="Calibri" w:hAnsi="Calibri" w:cs="Calibri"/>
          <w:sz w:val="22"/>
          <w:szCs w:val="22"/>
        </w:rPr>
        <w:t xml:space="preserve">a </w:t>
      </w:r>
      <w:r w:rsidR="00E5129F" w:rsidRPr="00F66DB4">
        <w:rPr>
          <w:rFonts w:ascii="Calibri" w:hAnsi="Calibri" w:cs="Calibri"/>
          <w:sz w:val="22"/>
          <w:szCs w:val="22"/>
        </w:rPr>
        <w:t xml:space="preserve">high-sugar food could not be nutritionally profiled as it was not a </w:t>
      </w:r>
      <w:r w:rsidR="00A91F0C">
        <w:rPr>
          <w:rFonts w:ascii="Calibri" w:hAnsi="Calibri" w:cs="Calibri"/>
          <w:sz w:val="22"/>
          <w:szCs w:val="22"/>
        </w:rPr>
        <w:t>‘</w:t>
      </w:r>
      <w:r w:rsidR="00E5129F" w:rsidRPr="00F66DB4">
        <w:rPr>
          <w:rFonts w:ascii="Calibri" w:hAnsi="Calibri" w:cs="Calibri"/>
          <w:sz w:val="22"/>
          <w:szCs w:val="22"/>
        </w:rPr>
        <w:t>real</w:t>
      </w:r>
      <w:r w:rsidR="00A91F0C">
        <w:rPr>
          <w:rFonts w:ascii="Calibri" w:hAnsi="Calibri" w:cs="Calibri"/>
          <w:sz w:val="22"/>
          <w:szCs w:val="22"/>
        </w:rPr>
        <w:t>’</w:t>
      </w:r>
      <w:r w:rsidR="00E5129F" w:rsidRPr="00F66DB4">
        <w:rPr>
          <w:rFonts w:ascii="Calibri" w:hAnsi="Calibri" w:cs="Calibri"/>
          <w:sz w:val="22"/>
          <w:szCs w:val="22"/>
        </w:rPr>
        <w:t xml:space="preserve"> product. Rather than changing the image, which was a still from the film, the campaign appeared </w:t>
      </w:r>
      <w:r w:rsidR="00A91F0C">
        <w:rPr>
          <w:rFonts w:ascii="Calibri" w:hAnsi="Calibri" w:cs="Calibri"/>
          <w:sz w:val="22"/>
          <w:szCs w:val="22"/>
        </w:rPr>
        <w:t xml:space="preserve">without modification </w:t>
      </w:r>
      <w:r w:rsidR="00E00B22">
        <w:rPr>
          <w:rFonts w:ascii="Calibri" w:hAnsi="Calibri" w:cs="Calibri"/>
          <w:sz w:val="22"/>
          <w:szCs w:val="22"/>
        </w:rPr>
        <w:t>i</w:t>
      </w:r>
      <w:r w:rsidR="00604D7B" w:rsidRPr="00F66DB4">
        <w:rPr>
          <w:rFonts w:ascii="Calibri" w:hAnsi="Calibri" w:cs="Calibri"/>
          <w:sz w:val="22"/>
          <w:szCs w:val="22"/>
        </w:rPr>
        <w:t xml:space="preserve">n other </w:t>
      </w:r>
      <w:r w:rsidR="00E00B22">
        <w:rPr>
          <w:rFonts w:ascii="Calibri" w:hAnsi="Calibri" w:cs="Calibri"/>
          <w:sz w:val="22"/>
          <w:szCs w:val="22"/>
        </w:rPr>
        <w:t>locations</w:t>
      </w:r>
      <w:r w:rsidR="00E00B22" w:rsidRPr="00F66DB4">
        <w:rPr>
          <w:rFonts w:ascii="Calibri" w:hAnsi="Calibri" w:cs="Calibri"/>
          <w:sz w:val="22"/>
          <w:szCs w:val="22"/>
        </w:rPr>
        <w:t xml:space="preserve"> </w:t>
      </w:r>
      <w:r w:rsidR="00432EC8">
        <w:rPr>
          <w:rFonts w:ascii="Calibri" w:hAnsi="Calibri" w:cs="Calibri"/>
          <w:sz w:val="22"/>
          <w:szCs w:val="22"/>
        </w:rPr>
        <w:t>and</w:t>
      </w:r>
      <w:r w:rsidR="00E5129F" w:rsidRPr="00F66DB4">
        <w:rPr>
          <w:rFonts w:ascii="Calibri" w:hAnsi="Calibri" w:cs="Calibri"/>
          <w:sz w:val="22"/>
          <w:szCs w:val="22"/>
        </w:rPr>
        <w:t xml:space="preserve"> </w:t>
      </w:r>
      <w:r w:rsidR="00432EC8">
        <w:rPr>
          <w:rFonts w:ascii="Calibri" w:hAnsi="Calibri" w:cs="Calibri"/>
          <w:sz w:val="22"/>
          <w:szCs w:val="22"/>
        </w:rPr>
        <w:t xml:space="preserve">did </w:t>
      </w:r>
      <w:r w:rsidR="00A91F0C">
        <w:rPr>
          <w:rFonts w:ascii="Calibri" w:hAnsi="Calibri" w:cs="Calibri"/>
          <w:sz w:val="22"/>
          <w:szCs w:val="22"/>
        </w:rPr>
        <w:t xml:space="preserve">not run on </w:t>
      </w:r>
      <w:r w:rsidR="00E5129F" w:rsidRPr="00F66DB4">
        <w:rPr>
          <w:rFonts w:ascii="Calibri" w:hAnsi="Calibri" w:cs="Calibri"/>
          <w:sz w:val="22"/>
          <w:szCs w:val="22"/>
        </w:rPr>
        <w:t>TfL</w:t>
      </w:r>
      <w:r w:rsidR="00432EC8">
        <w:rPr>
          <w:rFonts w:ascii="Calibri" w:hAnsi="Calibri" w:cs="Calibri"/>
          <w:sz w:val="22"/>
          <w:szCs w:val="22"/>
        </w:rPr>
        <w:t>’s</w:t>
      </w:r>
      <w:r w:rsidR="00ED6A63">
        <w:rPr>
          <w:rFonts w:ascii="Calibri" w:hAnsi="Calibri" w:cs="Calibri"/>
          <w:sz w:val="22"/>
          <w:szCs w:val="22"/>
        </w:rPr>
        <w:t xml:space="preserve"> estate</w:t>
      </w:r>
      <w:r w:rsidR="00E5129F" w:rsidRPr="00F66DB4">
        <w:rPr>
          <w:rFonts w:ascii="Calibri" w:hAnsi="Calibri" w:cs="Calibri"/>
          <w:sz w:val="22"/>
          <w:szCs w:val="22"/>
        </w:rPr>
        <w:t>.</w:t>
      </w:r>
      <w:r w:rsidR="00173FFF" w:rsidRPr="00F66DB4">
        <w:rPr>
          <w:rFonts w:ascii="Calibri" w:hAnsi="Calibri" w:cs="Calibri"/>
          <w:sz w:val="22"/>
          <w:szCs w:val="22"/>
        </w:rPr>
        <w:t xml:space="preserve"> </w:t>
      </w:r>
    </w:p>
    <w:p w14:paraId="0EA5B271" w14:textId="77777777" w:rsidR="00173FFF" w:rsidRPr="00F66DB4" w:rsidRDefault="00173FFF" w:rsidP="00475D3F">
      <w:pPr>
        <w:spacing w:line="360" w:lineRule="auto"/>
        <w:rPr>
          <w:rFonts w:ascii="Calibri" w:hAnsi="Calibri" w:cs="Calibri"/>
          <w:sz w:val="22"/>
          <w:szCs w:val="22"/>
        </w:rPr>
      </w:pPr>
    </w:p>
    <w:p w14:paraId="0881568E" w14:textId="7BBD2AFC" w:rsidR="009842F2" w:rsidRPr="004737B1" w:rsidRDefault="00B6257E">
      <w:pPr>
        <w:spacing w:line="360" w:lineRule="auto"/>
        <w:rPr>
          <w:rFonts w:asciiTheme="minorHAnsi" w:hAnsiTheme="minorHAnsi" w:cstheme="minorHAnsi"/>
          <w:sz w:val="22"/>
          <w:szCs w:val="22"/>
        </w:rPr>
      </w:pPr>
      <w:r w:rsidRPr="00F66DB4">
        <w:rPr>
          <w:rFonts w:ascii="Calibri" w:hAnsi="Calibri" w:cs="Calibri"/>
          <w:sz w:val="22"/>
          <w:szCs w:val="22"/>
        </w:rPr>
        <w:t>S</w:t>
      </w:r>
      <w:r w:rsidR="00173FFF" w:rsidRPr="00F66DB4">
        <w:rPr>
          <w:rFonts w:ascii="Calibri" w:hAnsi="Calibri" w:cs="Calibri"/>
          <w:sz w:val="22"/>
          <w:szCs w:val="22"/>
        </w:rPr>
        <w:t xml:space="preserve">takeholders suggested that non-food companies were less likely to be aware of the </w:t>
      </w:r>
      <w:r w:rsidR="00432EC8">
        <w:rPr>
          <w:rFonts w:ascii="Calibri" w:hAnsi="Calibri" w:cs="Calibri"/>
          <w:sz w:val="22"/>
          <w:szCs w:val="22"/>
        </w:rPr>
        <w:t xml:space="preserve">advertising </w:t>
      </w:r>
      <w:r w:rsidR="00173FFF" w:rsidRPr="00F66DB4">
        <w:rPr>
          <w:rFonts w:ascii="Calibri" w:hAnsi="Calibri" w:cs="Calibri"/>
          <w:sz w:val="22"/>
          <w:szCs w:val="22"/>
        </w:rPr>
        <w:t xml:space="preserve">guidelines, and more likely to be taken off guard by the rejection of </w:t>
      </w:r>
      <w:r w:rsidR="00604D7B" w:rsidRPr="00F66DB4">
        <w:rPr>
          <w:rFonts w:ascii="Calibri" w:hAnsi="Calibri" w:cs="Calibri"/>
          <w:sz w:val="22"/>
          <w:szCs w:val="22"/>
        </w:rPr>
        <w:t xml:space="preserve">their </w:t>
      </w:r>
      <w:r w:rsidR="00173FFF" w:rsidRPr="00F66DB4">
        <w:rPr>
          <w:rFonts w:ascii="Calibri" w:hAnsi="Calibri" w:cs="Calibri"/>
          <w:sz w:val="22"/>
          <w:szCs w:val="22"/>
        </w:rPr>
        <w:t>ad</w:t>
      </w:r>
      <w:r w:rsidR="00FE77DC">
        <w:rPr>
          <w:rFonts w:ascii="Calibri" w:hAnsi="Calibri" w:cs="Calibri"/>
          <w:sz w:val="22"/>
          <w:szCs w:val="22"/>
        </w:rPr>
        <w:t>vertisement</w:t>
      </w:r>
      <w:r w:rsidR="00173FFF" w:rsidRPr="00F66DB4">
        <w:rPr>
          <w:rFonts w:ascii="Calibri" w:hAnsi="Calibri" w:cs="Calibri"/>
          <w:sz w:val="22"/>
          <w:szCs w:val="22"/>
        </w:rPr>
        <w:t>s</w:t>
      </w:r>
      <w:r w:rsidR="00604D7B" w:rsidRPr="00F66DB4">
        <w:rPr>
          <w:rFonts w:ascii="Calibri" w:hAnsi="Calibri" w:cs="Calibri"/>
          <w:sz w:val="22"/>
          <w:szCs w:val="22"/>
        </w:rPr>
        <w:t xml:space="preserve"> based on the policy</w:t>
      </w:r>
      <w:r w:rsidR="009842F2" w:rsidRPr="004737B1">
        <w:rPr>
          <w:rFonts w:asciiTheme="minorHAnsi" w:hAnsiTheme="minorHAnsi" w:cstheme="minorHAnsi"/>
          <w:sz w:val="22"/>
          <w:szCs w:val="22"/>
        </w:rPr>
        <w:t>:</w:t>
      </w:r>
    </w:p>
    <w:p w14:paraId="353AAAF6" w14:textId="1C5C476A" w:rsidR="009842F2" w:rsidRPr="004737B1" w:rsidRDefault="009842F2" w:rsidP="004737B1">
      <w:pPr>
        <w:widowControl w:val="0"/>
        <w:autoSpaceDE w:val="0"/>
        <w:autoSpaceDN w:val="0"/>
        <w:adjustRightInd w:val="0"/>
        <w:spacing w:line="360" w:lineRule="auto"/>
        <w:ind w:left="567" w:right="855"/>
        <w:rPr>
          <w:rFonts w:cstheme="minorHAnsi"/>
          <w:i/>
          <w:iCs/>
          <w:sz w:val="22"/>
          <w:szCs w:val="22"/>
        </w:rPr>
      </w:pPr>
      <w:r w:rsidRPr="004737B1">
        <w:rPr>
          <w:rFonts w:asciiTheme="minorHAnsi" w:eastAsiaTheme="minorHAnsi" w:hAnsiTheme="minorHAnsi" w:cstheme="minorHAnsi"/>
          <w:i/>
          <w:iCs/>
          <w:sz w:val="22"/>
          <w:szCs w:val="22"/>
        </w:rPr>
        <w:t xml:space="preserve">“…from an ad, advertiser’s point of [view], food and drink advertisers will have some </w:t>
      </w:r>
      <w:r w:rsidRPr="004737B1">
        <w:rPr>
          <w:rFonts w:asciiTheme="minorHAnsi" w:eastAsiaTheme="minorHAnsi" w:hAnsiTheme="minorHAnsi" w:cstheme="minorHAnsi"/>
          <w:i/>
          <w:iCs/>
          <w:sz w:val="22"/>
          <w:szCs w:val="22"/>
        </w:rPr>
        <w:lastRenderedPageBreak/>
        <w:t>understanding…of these rules already, but if you're a bank, or a holiday company, or a car company or whatever, you probably haven't been developing your adverts thinking about…being high in fat and salt and sugar…”</w:t>
      </w:r>
    </w:p>
    <w:p w14:paraId="4D3D7662" w14:textId="0D3D089F" w:rsidR="009842F2" w:rsidRPr="004737B1" w:rsidRDefault="009842F2" w:rsidP="004737B1">
      <w:pPr>
        <w:pStyle w:val="ListParagraph"/>
        <w:widowControl w:val="0"/>
        <w:numPr>
          <w:ilvl w:val="0"/>
          <w:numId w:val="8"/>
        </w:numPr>
        <w:autoSpaceDE w:val="0"/>
        <w:autoSpaceDN w:val="0"/>
        <w:adjustRightInd w:val="0"/>
        <w:spacing w:line="360" w:lineRule="auto"/>
        <w:ind w:right="855"/>
        <w:rPr>
          <w:rFonts w:cstheme="minorHAnsi"/>
          <w:i/>
          <w:iCs/>
          <w:sz w:val="22"/>
          <w:szCs w:val="22"/>
        </w:rPr>
      </w:pPr>
      <w:r w:rsidRPr="004737B1">
        <w:rPr>
          <w:rFonts w:cstheme="minorHAnsi"/>
          <w:i/>
          <w:iCs/>
          <w:sz w:val="22"/>
          <w:szCs w:val="22"/>
        </w:rPr>
        <w:t>Implementation stakeholder (TfL)</w:t>
      </w:r>
    </w:p>
    <w:p w14:paraId="042332FD" w14:textId="27BEAEFC" w:rsidR="003A6472" w:rsidRDefault="003A6472" w:rsidP="00475D3F">
      <w:pPr>
        <w:spacing w:line="360" w:lineRule="auto"/>
        <w:rPr>
          <w:rFonts w:ascii="Calibri" w:hAnsi="Calibri" w:cs="Calibri"/>
          <w:sz w:val="22"/>
          <w:szCs w:val="22"/>
        </w:rPr>
      </w:pPr>
    </w:p>
    <w:p w14:paraId="407CA04E" w14:textId="20875DB9" w:rsidR="000C3E77" w:rsidRPr="00F66DB4" w:rsidRDefault="005B2CE2" w:rsidP="00475D3F">
      <w:pPr>
        <w:spacing w:line="360" w:lineRule="auto"/>
        <w:rPr>
          <w:rFonts w:ascii="Calibri" w:hAnsi="Calibri" w:cs="Calibri"/>
          <w:sz w:val="22"/>
          <w:szCs w:val="22"/>
        </w:rPr>
      </w:pPr>
      <w:r>
        <w:rPr>
          <w:rFonts w:ascii="Calibri" w:hAnsi="Calibri" w:cs="Calibri"/>
          <w:sz w:val="22"/>
          <w:szCs w:val="22"/>
        </w:rPr>
        <w:t>E</w:t>
      </w:r>
      <w:r w:rsidR="00B6257E" w:rsidRPr="00F66DB4">
        <w:rPr>
          <w:rFonts w:ascii="Calibri" w:hAnsi="Calibri" w:cs="Calibri"/>
          <w:sz w:val="22"/>
          <w:szCs w:val="22"/>
        </w:rPr>
        <w:t xml:space="preserve">ducating </w:t>
      </w:r>
      <w:r w:rsidR="00604D7B" w:rsidRPr="00F66DB4">
        <w:rPr>
          <w:rFonts w:ascii="Calibri" w:hAnsi="Calibri" w:cs="Calibri"/>
          <w:sz w:val="22"/>
          <w:szCs w:val="22"/>
        </w:rPr>
        <w:t>advertisers</w:t>
      </w:r>
      <w:r w:rsidR="00B6257E" w:rsidRPr="00F66DB4">
        <w:rPr>
          <w:rFonts w:ascii="Calibri" w:hAnsi="Calibri" w:cs="Calibri"/>
          <w:sz w:val="22"/>
          <w:szCs w:val="22"/>
        </w:rPr>
        <w:t xml:space="preserve"> as well as the creative agencies responsible for developing ad</w:t>
      </w:r>
      <w:r w:rsidR="00BA7A55">
        <w:rPr>
          <w:rFonts w:ascii="Calibri" w:hAnsi="Calibri" w:cs="Calibri"/>
          <w:sz w:val="22"/>
          <w:szCs w:val="22"/>
        </w:rPr>
        <w:t>verti</w:t>
      </w:r>
      <w:r w:rsidR="00B6257E" w:rsidRPr="00F66DB4">
        <w:rPr>
          <w:rFonts w:ascii="Calibri" w:hAnsi="Calibri" w:cs="Calibri"/>
          <w:sz w:val="22"/>
          <w:szCs w:val="22"/>
        </w:rPr>
        <w:t>s</w:t>
      </w:r>
      <w:r w:rsidR="00BA7A55">
        <w:rPr>
          <w:rFonts w:ascii="Calibri" w:hAnsi="Calibri" w:cs="Calibri"/>
          <w:sz w:val="22"/>
          <w:szCs w:val="22"/>
        </w:rPr>
        <w:t>ements</w:t>
      </w:r>
      <w:r w:rsidR="00B6257E" w:rsidRPr="00F66DB4">
        <w:rPr>
          <w:rFonts w:ascii="Calibri" w:hAnsi="Calibri" w:cs="Calibri"/>
          <w:sz w:val="22"/>
          <w:szCs w:val="22"/>
        </w:rPr>
        <w:t xml:space="preserve"> was </w:t>
      </w:r>
      <w:r>
        <w:rPr>
          <w:rFonts w:ascii="Calibri" w:hAnsi="Calibri" w:cs="Calibri"/>
          <w:sz w:val="22"/>
          <w:szCs w:val="22"/>
        </w:rPr>
        <w:t xml:space="preserve">seen as </w:t>
      </w:r>
      <w:r w:rsidR="00B6257E" w:rsidRPr="00F66DB4">
        <w:rPr>
          <w:rFonts w:ascii="Calibri" w:hAnsi="Calibri" w:cs="Calibri"/>
          <w:sz w:val="22"/>
          <w:szCs w:val="22"/>
        </w:rPr>
        <w:t>an important step in addressing this issue.</w:t>
      </w:r>
    </w:p>
    <w:p w14:paraId="1197F8E6" w14:textId="0E343F23" w:rsidR="005D487D" w:rsidRPr="00F66DB4" w:rsidRDefault="005D487D" w:rsidP="00475D3F">
      <w:pPr>
        <w:spacing w:line="360" w:lineRule="auto"/>
        <w:rPr>
          <w:rFonts w:ascii="Calibri" w:hAnsi="Calibri" w:cs="Calibri"/>
          <w:sz w:val="22"/>
          <w:szCs w:val="22"/>
        </w:rPr>
      </w:pPr>
    </w:p>
    <w:p w14:paraId="00D02D66" w14:textId="144720E4" w:rsidR="000C3E77" w:rsidRPr="00F66DB4" w:rsidRDefault="008F0A0D" w:rsidP="00475D3F">
      <w:pPr>
        <w:spacing w:line="360" w:lineRule="auto"/>
        <w:rPr>
          <w:rFonts w:ascii="Calibri" w:hAnsi="Calibri" w:cs="Calibri"/>
          <w:sz w:val="22"/>
          <w:szCs w:val="22"/>
        </w:rPr>
      </w:pPr>
      <w:r w:rsidRPr="00F66DB4">
        <w:rPr>
          <w:rFonts w:ascii="Calibri" w:hAnsi="Calibri" w:cs="Calibri"/>
          <w:sz w:val="22"/>
          <w:szCs w:val="22"/>
        </w:rPr>
        <w:t>T</w:t>
      </w:r>
      <w:r w:rsidR="000C3E77" w:rsidRPr="00F66DB4">
        <w:rPr>
          <w:rFonts w:ascii="Calibri" w:hAnsi="Calibri" w:cs="Calibri"/>
          <w:sz w:val="22"/>
          <w:szCs w:val="22"/>
        </w:rPr>
        <w:t>he exceptions process</w:t>
      </w:r>
      <w:r w:rsidR="003A6472">
        <w:rPr>
          <w:rFonts w:ascii="Calibri" w:hAnsi="Calibri" w:cs="Calibri"/>
          <w:sz w:val="22"/>
          <w:szCs w:val="22"/>
        </w:rPr>
        <w:t>,</w:t>
      </w:r>
      <w:r w:rsidR="000C3E77" w:rsidRPr="00F66DB4">
        <w:rPr>
          <w:rFonts w:ascii="Calibri" w:hAnsi="Calibri" w:cs="Calibri"/>
          <w:sz w:val="22"/>
          <w:szCs w:val="22"/>
        </w:rPr>
        <w:t xml:space="preserve"> and</w:t>
      </w:r>
      <w:r w:rsidR="0061141F">
        <w:rPr>
          <w:rFonts w:ascii="Calibri" w:hAnsi="Calibri" w:cs="Calibri"/>
          <w:sz w:val="22"/>
          <w:szCs w:val="22"/>
        </w:rPr>
        <w:t xml:space="preserve"> </w:t>
      </w:r>
      <w:r w:rsidR="000C3E77" w:rsidRPr="00F66DB4">
        <w:rPr>
          <w:rFonts w:ascii="Calibri" w:hAnsi="Calibri" w:cs="Calibri"/>
          <w:sz w:val="22"/>
          <w:szCs w:val="22"/>
        </w:rPr>
        <w:t>consideration of the context and placement of HFSS food</w:t>
      </w:r>
      <w:r w:rsidR="0061141F">
        <w:rPr>
          <w:rFonts w:ascii="Calibri" w:hAnsi="Calibri" w:cs="Calibri"/>
          <w:sz w:val="22"/>
          <w:szCs w:val="22"/>
        </w:rPr>
        <w:t xml:space="preserve"> as incidentals</w:t>
      </w:r>
      <w:r w:rsidRPr="00F66DB4">
        <w:rPr>
          <w:rFonts w:ascii="Calibri" w:hAnsi="Calibri" w:cs="Calibri"/>
          <w:sz w:val="22"/>
          <w:szCs w:val="22"/>
        </w:rPr>
        <w:t xml:space="preserve">, </w:t>
      </w:r>
      <w:r w:rsidR="000C3E77" w:rsidRPr="00F66DB4">
        <w:rPr>
          <w:rFonts w:ascii="Calibri" w:hAnsi="Calibri" w:cs="Calibri"/>
          <w:sz w:val="22"/>
          <w:szCs w:val="22"/>
        </w:rPr>
        <w:t>allow</w:t>
      </w:r>
      <w:r w:rsidRPr="00F66DB4">
        <w:rPr>
          <w:rFonts w:ascii="Calibri" w:hAnsi="Calibri" w:cs="Calibri"/>
          <w:sz w:val="22"/>
          <w:szCs w:val="22"/>
        </w:rPr>
        <w:t>ed</w:t>
      </w:r>
      <w:r w:rsidR="000C3E77" w:rsidRPr="00F66DB4">
        <w:rPr>
          <w:rFonts w:ascii="Calibri" w:hAnsi="Calibri" w:cs="Calibri"/>
          <w:sz w:val="22"/>
          <w:szCs w:val="22"/>
        </w:rPr>
        <w:t xml:space="preserve"> for discretion and</w:t>
      </w:r>
      <w:r w:rsidRPr="00F66DB4">
        <w:rPr>
          <w:rFonts w:ascii="Calibri" w:hAnsi="Calibri" w:cs="Calibri"/>
          <w:sz w:val="22"/>
          <w:szCs w:val="22"/>
        </w:rPr>
        <w:t xml:space="preserve"> nuance</w:t>
      </w:r>
      <w:r w:rsidR="000C3E77" w:rsidRPr="00F66DB4">
        <w:rPr>
          <w:rFonts w:ascii="Calibri" w:hAnsi="Calibri" w:cs="Calibri"/>
          <w:sz w:val="22"/>
          <w:szCs w:val="22"/>
        </w:rPr>
        <w:t xml:space="preserve"> </w:t>
      </w:r>
      <w:r w:rsidRPr="00F66DB4">
        <w:rPr>
          <w:rFonts w:ascii="Calibri" w:hAnsi="Calibri" w:cs="Calibri"/>
          <w:sz w:val="22"/>
          <w:szCs w:val="22"/>
        </w:rPr>
        <w:t>in determining whether specific ad</w:t>
      </w:r>
      <w:r w:rsidR="00FE77DC">
        <w:rPr>
          <w:rFonts w:ascii="Calibri" w:hAnsi="Calibri" w:cs="Calibri"/>
          <w:sz w:val="22"/>
          <w:szCs w:val="22"/>
        </w:rPr>
        <w:t>vertisement</w:t>
      </w:r>
      <w:r w:rsidRPr="00F66DB4">
        <w:rPr>
          <w:rFonts w:ascii="Calibri" w:hAnsi="Calibri" w:cs="Calibri"/>
          <w:sz w:val="22"/>
          <w:szCs w:val="22"/>
        </w:rPr>
        <w:t>s were</w:t>
      </w:r>
      <w:r w:rsidR="000C3E77" w:rsidRPr="00F66DB4">
        <w:rPr>
          <w:rFonts w:ascii="Calibri" w:hAnsi="Calibri" w:cs="Calibri"/>
          <w:sz w:val="22"/>
          <w:szCs w:val="22"/>
        </w:rPr>
        <w:t xml:space="preserve"> appropriate </w:t>
      </w:r>
      <w:r w:rsidRPr="00F66DB4">
        <w:rPr>
          <w:rFonts w:ascii="Calibri" w:hAnsi="Calibri" w:cs="Calibri"/>
          <w:sz w:val="22"/>
          <w:szCs w:val="22"/>
        </w:rPr>
        <w:t>for the TfL estate</w:t>
      </w:r>
      <w:r w:rsidR="000C3E77" w:rsidRPr="00F66DB4">
        <w:rPr>
          <w:rFonts w:ascii="Calibri" w:hAnsi="Calibri" w:cs="Calibri"/>
          <w:sz w:val="22"/>
          <w:szCs w:val="22"/>
        </w:rPr>
        <w:t xml:space="preserve">. However, there was concern among some implementers that </w:t>
      </w:r>
      <w:r w:rsidRPr="00F66DB4">
        <w:rPr>
          <w:rFonts w:ascii="Calibri" w:hAnsi="Calibri" w:cs="Calibri"/>
          <w:sz w:val="22"/>
          <w:szCs w:val="22"/>
        </w:rPr>
        <w:t>this flexibility</w:t>
      </w:r>
      <w:r w:rsidR="00CB1AD0">
        <w:rPr>
          <w:rFonts w:ascii="Calibri" w:hAnsi="Calibri" w:cs="Calibri"/>
          <w:sz w:val="22"/>
          <w:szCs w:val="22"/>
        </w:rPr>
        <w:t xml:space="preserve"> both</w:t>
      </w:r>
      <w:r w:rsidR="000C3E77" w:rsidRPr="00F66DB4">
        <w:rPr>
          <w:rFonts w:ascii="Calibri" w:hAnsi="Calibri" w:cs="Calibri"/>
          <w:sz w:val="22"/>
          <w:szCs w:val="22"/>
        </w:rPr>
        <w:t xml:space="preserve"> </w:t>
      </w:r>
      <w:r w:rsidR="00CB1AD0">
        <w:rPr>
          <w:rFonts w:ascii="Calibri" w:hAnsi="Calibri" w:cs="Calibri"/>
          <w:sz w:val="22"/>
          <w:szCs w:val="22"/>
        </w:rPr>
        <w:t xml:space="preserve">introduced loopholes </w:t>
      </w:r>
      <w:r w:rsidR="000C3E77" w:rsidRPr="00F66DB4">
        <w:rPr>
          <w:rFonts w:ascii="Calibri" w:hAnsi="Calibri" w:cs="Calibri"/>
          <w:sz w:val="22"/>
          <w:szCs w:val="22"/>
        </w:rPr>
        <w:t xml:space="preserve">and risked undermining the NPM. </w:t>
      </w:r>
      <w:r w:rsidR="0061141F">
        <w:rPr>
          <w:rFonts w:ascii="Calibri" w:hAnsi="Calibri" w:cs="Calibri"/>
          <w:sz w:val="22"/>
          <w:szCs w:val="22"/>
        </w:rPr>
        <w:t>Moreover, s</w:t>
      </w:r>
      <w:r w:rsidR="0022530C" w:rsidRPr="00F66DB4">
        <w:rPr>
          <w:rFonts w:ascii="Calibri" w:hAnsi="Calibri" w:cs="Calibri"/>
          <w:sz w:val="22"/>
          <w:szCs w:val="22"/>
        </w:rPr>
        <w:t xml:space="preserve">ome </w:t>
      </w:r>
      <w:r w:rsidR="002D3C80">
        <w:rPr>
          <w:rFonts w:ascii="Calibri" w:hAnsi="Calibri" w:cs="Calibri"/>
          <w:sz w:val="22"/>
          <w:szCs w:val="22"/>
        </w:rPr>
        <w:t xml:space="preserve">were </w:t>
      </w:r>
      <w:r w:rsidR="0022530C" w:rsidRPr="00F66DB4">
        <w:rPr>
          <w:rFonts w:ascii="Calibri" w:hAnsi="Calibri" w:cs="Calibri"/>
          <w:sz w:val="22"/>
          <w:szCs w:val="22"/>
        </w:rPr>
        <w:t>also concern</w:t>
      </w:r>
      <w:r w:rsidR="002D3C80">
        <w:rPr>
          <w:rFonts w:ascii="Calibri" w:hAnsi="Calibri" w:cs="Calibri"/>
          <w:sz w:val="22"/>
          <w:szCs w:val="22"/>
        </w:rPr>
        <w:t>ed</w:t>
      </w:r>
      <w:r w:rsidR="0022530C" w:rsidRPr="00F66DB4">
        <w:rPr>
          <w:rFonts w:ascii="Calibri" w:hAnsi="Calibri" w:cs="Calibri"/>
          <w:sz w:val="22"/>
          <w:szCs w:val="22"/>
        </w:rPr>
        <w:t xml:space="preserve"> that </w:t>
      </w:r>
      <w:r w:rsidR="005E5C51">
        <w:rPr>
          <w:rFonts w:ascii="Calibri" w:hAnsi="Calibri" w:cs="Calibri"/>
          <w:sz w:val="22"/>
          <w:szCs w:val="22"/>
        </w:rPr>
        <w:t>approaches</w:t>
      </w:r>
      <w:r w:rsidR="005E5C51" w:rsidRPr="00F66DB4">
        <w:rPr>
          <w:rFonts w:ascii="Calibri" w:hAnsi="Calibri" w:cs="Calibri"/>
          <w:sz w:val="22"/>
          <w:szCs w:val="22"/>
        </w:rPr>
        <w:t xml:space="preserve"> </w:t>
      </w:r>
      <w:r w:rsidR="00CF1BBD">
        <w:rPr>
          <w:rFonts w:ascii="Calibri" w:hAnsi="Calibri" w:cs="Calibri"/>
          <w:sz w:val="22"/>
          <w:szCs w:val="22"/>
        </w:rPr>
        <w:t xml:space="preserve">designed </w:t>
      </w:r>
      <w:r w:rsidR="0022530C" w:rsidRPr="00F66DB4">
        <w:rPr>
          <w:rFonts w:ascii="Calibri" w:hAnsi="Calibri" w:cs="Calibri"/>
          <w:sz w:val="22"/>
          <w:szCs w:val="22"/>
        </w:rPr>
        <w:t xml:space="preserve">to make the policy appear more </w:t>
      </w:r>
      <w:r w:rsidR="00707243">
        <w:rPr>
          <w:rFonts w:ascii="Calibri" w:hAnsi="Calibri" w:cs="Calibri"/>
          <w:sz w:val="22"/>
          <w:szCs w:val="22"/>
        </w:rPr>
        <w:t>‘</w:t>
      </w:r>
      <w:r w:rsidR="0022530C" w:rsidRPr="00F66DB4">
        <w:rPr>
          <w:rFonts w:ascii="Calibri" w:hAnsi="Calibri" w:cs="Calibri"/>
          <w:sz w:val="22"/>
          <w:szCs w:val="22"/>
        </w:rPr>
        <w:t>sensible</w:t>
      </w:r>
      <w:r w:rsidR="00707243">
        <w:rPr>
          <w:rFonts w:ascii="Calibri" w:hAnsi="Calibri" w:cs="Calibri"/>
          <w:sz w:val="22"/>
          <w:szCs w:val="22"/>
        </w:rPr>
        <w:t>’</w:t>
      </w:r>
      <w:r w:rsidR="0022530C" w:rsidRPr="00F66DB4">
        <w:rPr>
          <w:rFonts w:ascii="Calibri" w:hAnsi="Calibri" w:cs="Calibri"/>
          <w:sz w:val="22"/>
          <w:szCs w:val="22"/>
        </w:rPr>
        <w:t xml:space="preserve"> were </w:t>
      </w:r>
      <w:r w:rsidR="00CB1AD0" w:rsidRPr="00F66DB4">
        <w:rPr>
          <w:rFonts w:ascii="Calibri" w:hAnsi="Calibri" w:cs="Calibri"/>
          <w:sz w:val="22"/>
          <w:szCs w:val="22"/>
        </w:rPr>
        <w:t>not consistent with the science underpinning the policy</w:t>
      </w:r>
      <w:r w:rsidR="00CB1AD0">
        <w:rPr>
          <w:rFonts w:ascii="Calibri" w:hAnsi="Calibri" w:cs="Calibri"/>
          <w:sz w:val="22"/>
          <w:szCs w:val="22"/>
        </w:rPr>
        <w:t xml:space="preserve"> and were </w:t>
      </w:r>
      <w:r w:rsidR="004B6880" w:rsidRPr="00F66DB4">
        <w:rPr>
          <w:rFonts w:ascii="Calibri" w:hAnsi="Calibri" w:cs="Calibri"/>
          <w:sz w:val="22"/>
          <w:szCs w:val="22"/>
        </w:rPr>
        <w:t xml:space="preserve">often </w:t>
      </w:r>
      <w:r w:rsidR="0022530C" w:rsidRPr="00F66DB4">
        <w:rPr>
          <w:rFonts w:ascii="Calibri" w:hAnsi="Calibri" w:cs="Calibri"/>
          <w:sz w:val="22"/>
          <w:szCs w:val="22"/>
        </w:rPr>
        <w:t xml:space="preserve">guided </w:t>
      </w:r>
      <w:r w:rsidR="004B6880" w:rsidRPr="00F66DB4">
        <w:rPr>
          <w:rFonts w:ascii="Calibri" w:hAnsi="Calibri" w:cs="Calibri"/>
          <w:sz w:val="22"/>
          <w:szCs w:val="22"/>
        </w:rPr>
        <w:t>by</w:t>
      </w:r>
      <w:r w:rsidR="0022530C" w:rsidRPr="00F66DB4">
        <w:rPr>
          <w:rFonts w:ascii="Calibri" w:hAnsi="Calibri" w:cs="Calibri"/>
          <w:sz w:val="22"/>
          <w:szCs w:val="22"/>
        </w:rPr>
        <w:t xml:space="preserve"> </w:t>
      </w:r>
      <w:r w:rsidR="00CB1AD0">
        <w:rPr>
          <w:rFonts w:ascii="Calibri" w:hAnsi="Calibri" w:cs="Calibri"/>
          <w:sz w:val="22"/>
          <w:szCs w:val="22"/>
        </w:rPr>
        <w:t>the opinions of implementation stakeholders who were not experts in food and nutrition</w:t>
      </w:r>
      <w:r w:rsidR="00EA21A5" w:rsidRPr="00F66DB4">
        <w:rPr>
          <w:rFonts w:ascii="Calibri" w:hAnsi="Calibri" w:cs="Calibri"/>
          <w:sz w:val="22"/>
          <w:szCs w:val="22"/>
        </w:rPr>
        <w:t>.</w:t>
      </w:r>
      <w:r w:rsidR="004B6880" w:rsidRPr="00F66DB4">
        <w:rPr>
          <w:rFonts w:ascii="Calibri" w:hAnsi="Calibri" w:cs="Calibri"/>
          <w:sz w:val="22"/>
          <w:szCs w:val="22"/>
        </w:rPr>
        <w:t xml:space="preserve"> </w:t>
      </w:r>
      <w:r w:rsidR="00EA21A5" w:rsidRPr="00F66DB4">
        <w:rPr>
          <w:rFonts w:ascii="Calibri" w:hAnsi="Calibri" w:cs="Calibri"/>
          <w:sz w:val="22"/>
          <w:szCs w:val="22"/>
        </w:rPr>
        <w:t>F</w:t>
      </w:r>
      <w:r w:rsidR="004B6880" w:rsidRPr="00F66DB4">
        <w:rPr>
          <w:rFonts w:ascii="Calibri" w:hAnsi="Calibri" w:cs="Calibri"/>
          <w:sz w:val="22"/>
          <w:szCs w:val="22"/>
        </w:rPr>
        <w:t>or example</w:t>
      </w:r>
      <w:r w:rsidR="003A6472">
        <w:rPr>
          <w:rFonts w:ascii="Calibri" w:hAnsi="Calibri" w:cs="Calibri"/>
          <w:sz w:val="22"/>
          <w:szCs w:val="22"/>
        </w:rPr>
        <w:t>:</w:t>
      </w:r>
      <w:r w:rsidR="004B6880" w:rsidRPr="00F66DB4">
        <w:rPr>
          <w:rFonts w:ascii="Calibri" w:hAnsi="Calibri" w:cs="Calibri"/>
          <w:sz w:val="22"/>
          <w:szCs w:val="22"/>
        </w:rPr>
        <w:t xml:space="preserve"> </w:t>
      </w:r>
    </w:p>
    <w:p w14:paraId="263A7CA5" w14:textId="2CCC8362" w:rsidR="004B6880" w:rsidRPr="00F66DB4" w:rsidRDefault="004B6880" w:rsidP="00475D3F">
      <w:pPr>
        <w:spacing w:line="360" w:lineRule="auto"/>
        <w:rPr>
          <w:rFonts w:ascii="Calibri" w:hAnsi="Calibri" w:cs="Calibri"/>
          <w:sz w:val="22"/>
          <w:szCs w:val="22"/>
        </w:rPr>
      </w:pPr>
    </w:p>
    <w:p w14:paraId="4C867190" w14:textId="79807621" w:rsidR="004B6880" w:rsidRPr="00F66DB4" w:rsidRDefault="002D3C80" w:rsidP="00475D3F">
      <w:pPr>
        <w:spacing w:line="360" w:lineRule="auto"/>
        <w:ind w:left="720" w:right="720"/>
        <w:rPr>
          <w:rFonts w:ascii="Calibri" w:hAnsi="Calibri" w:cs="Calibri"/>
          <w:i/>
          <w:iCs/>
          <w:sz w:val="22"/>
          <w:szCs w:val="22"/>
        </w:rPr>
      </w:pPr>
      <w:r>
        <w:rPr>
          <w:rFonts w:ascii="Calibri" w:hAnsi="Calibri" w:cs="Calibri"/>
          <w:i/>
          <w:iCs/>
          <w:sz w:val="22"/>
          <w:szCs w:val="22"/>
        </w:rPr>
        <w:t>“…</w:t>
      </w:r>
      <w:r w:rsidR="004B6880" w:rsidRPr="00F66DB4">
        <w:rPr>
          <w:rFonts w:ascii="Calibri" w:hAnsi="Calibri" w:cs="Calibri"/>
          <w:i/>
          <w:iCs/>
          <w:sz w:val="22"/>
          <w:szCs w:val="22"/>
        </w:rPr>
        <w:t>with food, everyone thinks they're an expert because they eat. So, so you get all these</w:t>
      </w:r>
      <w:r>
        <w:rPr>
          <w:rFonts w:ascii="Calibri" w:hAnsi="Calibri" w:cs="Calibri"/>
          <w:i/>
          <w:iCs/>
          <w:sz w:val="22"/>
          <w:szCs w:val="22"/>
        </w:rPr>
        <w:t>…</w:t>
      </w:r>
      <w:r w:rsidR="004B6880" w:rsidRPr="00F66DB4">
        <w:rPr>
          <w:rFonts w:ascii="Calibri" w:hAnsi="Calibri" w:cs="Calibri"/>
          <w:i/>
          <w:iCs/>
          <w:sz w:val="22"/>
          <w:szCs w:val="22"/>
        </w:rPr>
        <w:t>people who are, you know, really well educated</w:t>
      </w:r>
      <w:r>
        <w:rPr>
          <w:rFonts w:ascii="Calibri" w:hAnsi="Calibri" w:cs="Calibri"/>
          <w:i/>
          <w:iCs/>
          <w:sz w:val="22"/>
          <w:szCs w:val="22"/>
        </w:rPr>
        <w:t>…</w:t>
      </w:r>
      <w:r w:rsidR="004B6880" w:rsidRPr="00F66DB4">
        <w:rPr>
          <w:rFonts w:ascii="Calibri" w:hAnsi="Calibri" w:cs="Calibri"/>
          <w:i/>
          <w:iCs/>
          <w:sz w:val="22"/>
          <w:szCs w:val="22"/>
        </w:rPr>
        <w:t xml:space="preserve">will then say, </w:t>
      </w:r>
      <w:r w:rsidR="00CE5E27">
        <w:rPr>
          <w:rFonts w:ascii="Calibri" w:hAnsi="Calibri" w:cs="Calibri"/>
          <w:i/>
          <w:iCs/>
          <w:sz w:val="22"/>
          <w:szCs w:val="22"/>
        </w:rPr>
        <w:t>‘</w:t>
      </w:r>
      <w:r w:rsidR="004B6880" w:rsidRPr="00F66DB4">
        <w:rPr>
          <w:rFonts w:ascii="Calibri" w:hAnsi="Calibri" w:cs="Calibri"/>
          <w:i/>
          <w:iCs/>
          <w:sz w:val="22"/>
          <w:szCs w:val="22"/>
        </w:rPr>
        <w:t>oh but</w:t>
      </w:r>
      <w:r w:rsidR="009E3602">
        <w:rPr>
          <w:rFonts w:ascii="Calibri" w:hAnsi="Calibri" w:cs="Calibri"/>
          <w:i/>
          <w:iCs/>
          <w:sz w:val="22"/>
          <w:szCs w:val="22"/>
        </w:rPr>
        <w:t xml:space="preserve"> </w:t>
      </w:r>
      <w:r w:rsidR="004B6880" w:rsidRPr="00F66DB4">
        <w:rPr>
          <w:rFonts w:ascii="Calibri" w:hAnsi="Calibri" w:cs="Calibri"/>
          <w:i/>
          <w:iCs/>
          <w:sz w:val="22"/>
          <w:szCs w:val="22"/>
        </w:rPr>
        <w:t>butter, bacon, yeah but you know I eat it,</w:t>
      </w:r>
      <w:r w:rsidR="00CE5E27">
        <w:rPr>
          <w:rFonts w:ascii="Calibri" w:hAnsi="Calibri" w:cs="Calibri"/>
          <w:i/>
          <w:iCs/>
          <w:sz w:val="22"/>
          <w:szCs w:val="22"/>
        </w:rPr>
        <w:t>’</w:t>
      </w:r>
      <w:r w:rsidR="004B6880" w:rsidRPr="00F66DB4">
        <w:rPr>
          <w:rFonts w:ascii="Calibri" w:hAnsi="Calibri" w:cs="Calibri"/>
          <w:i/>
          <w:iCs/>
          <w:sz w:val="22"/>
          <w:szCs w:val="22"/>
        </w:rPr>
        <w:t xml:space="preserve"> essentially and that informs their policy decision or, or how likely they are to support the policy</w:t>
      </w:r>
      <w:r w:rsidR="005E5C51">
        <w:rPr>
          <w:rFonts w:ascii="Calibri" w:hAnsi="Calibri" w:cs="Calibri"/>
          <w:i/>
          <w:iCs/>
          <w:sz w:val="22"/>
          <w:szCs w:val="22"/>
        </w:rPr>
        <w:t>.”</w:t>
      </w:r>
    </w:p>
    <w:p w14:paraId="3CD91E58" w14:textId="4EC26846" w:rsidR="004B6880" w:rsidRPr="00F66DB4" w:rsidRDefault="004B6880" w:rsidP="00475D3F">
      <w:pPr>
        <w:pStyle w:val="ListParagraph"/>
        <w:numPr>
          <w:ilvl w:val="0"/>
          <w:numId w:val="8"/>
        </w:numPr>
        <w:spacing w:line="360" w:lineRule="auto"/>
        <w:ind w:right="720"/>
        <w:rPr>
          <w:rFonts w:ascii="Calibri" w:hAnsi="Calibri" w:cs="Calibri"/>
          <w:i/>
          <w:iCs/>
          <w:sz w:val="22"/>
          <w:szCs w:val="22"/>
        </w:rPr>
      </w:pPr>
      <w:r w:rsidRPr="00F66DB4">
        <w:rPr>
          <w:rFonts w:ascii="Calibri" w:hAnsi="Calibri" w:cs="Calibri"/>
          <w:i/>
          <w:iCs/>
          <w:sz w:val="22"/>
          <w:szCs w:val="22"/>
        </w:rPr>
        <w:t xml:space="preserve">Implementation stakeholder </w:t>
      </w:r>
      <w:r w:rsidR="005404F5">
        <w:rPr>
          <w:rFonts w:ascii="Calibri" w:hAnsi="Calibri" w:cs="Calibri"/>
          <w:i/>
          <w:iCs/>
          <w:sz w:val="22"/>
          <w:szCs w:val="22"/>
        </w:rPr>
        <w:t>(GLA)</w:t>
      </w:r>
    </w:p>
    <w:p w14:paraId="665454D3" w14:textId="334622A7" w:rsidR="00C42D02" w:rsidRPr="00F66DB4" w:rsidRDefault="00C42D02" w:rsidP="00475D3F">
      <w:pPr>
        <w:spacing w:line="360" w:lineRule="auto"/>
        <w:ind w:right="720"/>
        <w:rPr>
          <w:rFonts w:ascii="Calibri" w:hAnsi="Calibri" w:cs="Calibri"/>
          <w:sz w:val="22"/>
          <w:szCs w:val="22"/>
          <w:highlight w:val="yellow"/>
        </w:rPr>
      </w:pPr>
    </w:p>
    <w:p w14:paraId="2BBF14E5" w14:textId="2AF56427" w:rsidR="00F54F9E" w:rsidRDefault="0038445A" w:rsidP="00475D3F">
      <w:pPr>
        <w:spacing w:line="360" w:lineRule="auto"/>
        <w:ind w:right="720"/>
        <w:rPr>
          <w:rFonts w:ascii="Calibri" w:hAnsi="Calibri" w:cs="Calibri"/>
          <w:sz w:val="22"/>
          <w:szCs w:val="22"/>
        </w:rPr>
      </w:pPr>
      <w:r w:rsidRPr="00F66DB4">
        <w:rPr>
          <w:rFonts w:ascii="Calibri" w:hAnsi="Calibri" w:cs="Calibri"/>
          <w:sz w:val="22"/>
          <w:szCs w:val="22"/>
        </w:rPr>
        <w:t xml:space="preserve">Despite these challenges, several </w:t>
      </w:r>
      <w:r w:rsidR="00F42C04">
        <w:rPr>
          <w:rFonts w:ascii="Calibri" w:hAnsi="Calibri" w:cs="Calibri"/>
          <w:sz w:val="22"/>
          <w:szCs w:val="22"/>
        </w:rPr>
        <w:t xml:space="preserve">implementation and industry </w:t>
      </w:r>
      <w:r w:rsidR="002D3C80">
        <w:rPr>
          <w:rFonts w:ascii="Calibri" w:hAnsi="Calibri" w:cs="Calibri"/>
          <w:sz w:val="22"/>
          <w:szCs w:val="22"/>
        </w:rPr>
        <w:t>stakeholders</w:t>
      </w:r>
      <w:r w:rsidR="00CB1AD0">
        <w:rPr>
          <w:rFonts w:ascii="Calibri" w:hAnsi="Calibri" w:cs="Calibri"/>
          <w:sz w:val="22"/>
          <w:szCs w:val="22"/>
        </w:rPr>
        <w:t xml:space="preserve"> reported that commercial actors </w:t>
      </w:r>
      <w:r w:rsidR="00F42C04">
        <w:rPr>
          <w:rFonts w:ascii="Calibri" w:hAnsi="Calibri" w:cs="Calibri"/>
          <w:sz w:val="22"/>
          <w:szCs w:val="22"/>
        </w:rPr>
        <w:t xml:space="preserve">had </w:t>
      </w:r>
      <w:r w:rsidR="009028B4">
        <w:rPr>
          <w:rFonts w:ascii="Calibri" w:hAnsi="Calibri" w:cs="Calibri"/>
          <w:sz w:val="22"/>
          <w:szCs w:val="22"/>
        </w:rPr>
        <w:t>acclimatized to the new policy and</w:t>
      </w:r>
      <w:r w:rsidR="002D3C80">
        <w:rPr>
          <w:rFonts w:ascii="Calibri" w:hAnsi="Calibri" w:cs="Calibri"/>
          <w:sz w:val="22"/>
          <w:szCs w:val="22"/>
        </w:rPr>
        <w:t xml:space="preserve"> </w:t>
      </w:r>
      <w:r w:rsidR="00F42C04">
        <w:rPr>
          <w:rFonts w:ascii="Calibri" w:hAnsi="Calibri" w:cs="Calibri"/>
          <w:sz w:val="22"/>
          <w:szCs w:val="22"/>
        </w:rPr>
        <w:t xml:space="preserve">implementation stakeholders </w:t>
      </w:r>
      <w:r w:rsidRPr="00F66DB4">
        <w:rPr>
          <w:rFonts w:ascii="Calibri" w:hAnsi="Calibri" w:cs="Calibri"/>
          <w:sz w:val="22"/>
          <w:szCs w:val="22"/>
        </w:rPr>
        <w:t>highlighted tangible changes</w:t>
      </w:r>
      <w:r w:rsidR="00CB1AD0">
        <w:rPr>
          <w:rFonts w:ascii="Calibri" w:hAnsi="Calibri" w:cs="Calibri"/>
          <w:sz w:val="22"/>
          <w:szCs w:val="22"/>
        </w:rPr>
        <w:t xml:space="preserve"> they</w:t>
      </w:r>
      <w:r w:rsidR="00F42C04">
        <w:rPr>
          <w:rFonts w:ascii="Calibri" w:hAnsi="Calibri" w:cs="Calibri"/>
          <w:sz w:val="22"/>
          <w:szCs w:val="22"/>
        </w:rPr>
        <w:t xml:space="preserve"> had</w:t>
      </w:r>
      <w:r w:rsidR="00CB1AD0">
        <w:rPr>
          <w:rFonts w:ascii="Calibri" w:hAnsi="Calibri" w:cs="Calibri"/>
          <w:sz w:val="22"/>
          <w:szCs w:val="22"/>
        </w:rPr>
        <w:t xml:space="preserve"> </w:t>
      </w:r>
      <w:r w:rsidR="00F42C04">
        <w:rPr>
          <w:rFonts w:ascii="Calibri" w:hAnsi="Calibri" w:cs="Calibri"/>
          <w:sz w:val="22"/>
          <w:szCs w:val="22"/>
        </w:rPr>
        <w:t>observed</w:t>
      </w:r>
      <w:r w:rsidR="00CA0659" w:rsidRPr="00F66DB4">
        <w:rPr>
          <w:rFonts w:ascii="Calibri" w:hAnsi="Calibri" w:cs="Calibri"/>
          <w:sz w:val="22"/>
          <w:szCs w:val="22"/>
        </w:rPr>
        <w:t xml:space="preserve"> </w:t>
      </w:r>
      <w:r w:rsidRPr="00F66DB4">
        <w:rPr>
          <w:rFonts w:ascii="Calibri" w:hAnsi="Calibri" w:cs="Calibri"/>
          <w:sz w:val="22"/>
          <w:szCs w:val="22"/>
        </w:rPr>
        <w:t xml:space="preserve">in </w:t>
      </w:r>
      <w:r w:rsidR="00CA0659" w:rsidRPr="00F66DB4">
        <w:rPr>
          <w:rFonts w:ascii="Calibri" w:hAnsi="Calibri" w:cs="Calibri"/>
          <w:sz w:val="22"/>
          <w:szCs w:val="22"/>
        </w:rPr>
        <w:t>adve</w:t>
      </w:r>
      <w:r w:rsidR="005404F5">
        <w:rPr>
          <w:rFonts w:ascii="Calibri" w:hAnsi="Calibri" w:cs="Calibri"/>
          <w:sz w:val="22"/>
          <w:szCs w:val="22"/>
        </w:rPr>
        <w:t>r</w:t>
      </w:r>
      <w:r w:rsidR="00CA0659" w:rsidRPr="00F66DB4">
        <w:rPr>
          <w:rFonts w:ascii="Calibri" w:hAnsi="Calibri" w:cs="Calibri"/>
          <w:sz w:val="22"/>
          <w:szCs w:val="22"/>
        </w:rPr>
        <w:t xml:space="preserve">tisements </w:t>
      </w:r>
      <w:r w:rsidRPr="00F66DB4">
        <w:rPr>
          <w:rFonts w:ascii="Calibri" w:hAnsi="Calibri" w:cs="Calibri"/>
          <w:sz w:val="22"/>
          <w:szCs w:val="22"/>
        </w:rPr>
        <w:t>on the TfL estate</w:t>
      </w:r>
      <w:r w:rsidR="00F54F9E">
        <w:rPr>
          <w:rFonts w:ascii="Calibri" w:hAnsi="Calibri" w:cs="Calibri"/>
          <w:sz w:val="22"/>
          <w:szCs w:val="22"/>
        </w:rPr>
        <w:t xml:space="preserve"> since the policy came into effect. For example, </w:t>
      </w:r>
      <w:r w:rsidR="008D3F56">
        <w:rPr>
          <w:rFonts w:ascii="Calibri" w:hAnsi="Calibri" w:cs="Calibri"/>
          <w:sz w:val="22"/>
          <w:szCs w:val="22"/>
        </w:rPr>
        <w:t>a media buyer</w:t>
      </w:r>
      <w:r w:rsidR="00F54F9E">
        <w:rPr>
          <w:rFonts w:ascii="Calibri" w:hAnsi="Calibri" w:cs="Calibri"/>
          <w:sz w:val="22"/>
          <w:szCs w:val="22"/>
        </w:rPr>
        <w:t xml:space="preserve"> who helps to place advertisements observed that among their clients, “I think it’s just standard practice now and kind of common knowledge…what is and isn’t allowed.”</w:t>
      </w:r>
      <w:r w:rsidR="00403BAD">
        <w:rPr>
          <w:rFonts w:ascii="Calibri" w:hAnsi="Calibri" w:cs="Calibri"/>
          <w:sz w:val="22"/>
          <w:szCs w:val="22"/>
        </w:rPr>
        <w:t xml:space="preserve"> </w:t>
      </w:r>
      <w:r w:rsidR="00A134E6">
        <w:rPr>
          <w:rFonts w:ascii="Calibri" w:hAnsi="Calibri" w:cs="Calibri"/>
          <w:sz w:val="22"/>
          <w:szCs w:val="22"/>
        </w:rPr>
        <w:t>As a</w:t>
      </w:r>
      <w:r w:rsidR="00F54F9E">
        <w:rPr>
          <w:rFonts w:ascii="Calibri" w:hAnsi="Calibri" w:cs="Calibri"/>
          <w:sz w:val="22"/>
          <w:szCs w:val="22"/>
        </w:rPr>
        <w:t xml:space="preserve"> GLA stakeholder observed</w:t>
      </w:r>
      <w:r w:rsidR="00A134E6">
        <w:rPr>
          <w:rFonts w:ascii="Calibri" w:hAnsi="Calibri" w:cs="Calibri"/>
          <w:sz w:val="22"/>
          <w:szCs w:val="22"/>
        </w:rPr>
        <w:t>,</w:t>
      </w:r>
      <w:r w:rsidR="00F54F9E">
        <w:rPr>
          <w:rFonts w:ascii="Calibri" w:hAnsi="Calibri" w:cs="Calibri"/>
          <w:sz w:val="22"/>
          <w:szCs w:val="22"/>
        </w:rPr>
        <w:t xml:space="preserve"> </w:t>
      </w:r>
      <w:r w:rsidR="00F54F9E" w:rsidRPr="00101A67">
        <w:rPr>
          <w:rFonts w:ascii="Calibri" w:hAnsi="Calibri" w:cs="Calibri"/>
          <w:sz w:val="22"/>
          <w:szCs w:val="22"/>
        </w:rPr>
        <w:t>“</w:t>
      </w:r>
      <w:r w:rsidR="00F54F9E" w:rsidRPr="00C61C4A">
        <w:rPr>
          <w:rFonts w:ascii="Calibri" w:hAnsi="Calibri" w:cs="Calibri"/>
          <w:sz w:val="22"/>
          <w:szCs w:val="22"/>
        </w:rPr>
        <w:t>I think in general when you look around the network you see much less food that one might consider to be junk food...”</w:t>
      </w:r>
      <w:r w:rsidR="00F54F9E">
        <w:rPr>
          <w:rFonts w:ascii="Calibri" w:hAnsi="Calibri" w:cs="Calibri"/>
          <w:sz w:val="22"/>
          <w:szCs w:val="22"/>
        </w:rPr>
        <w:t xml:space="preserve"> </w:t>
      </w:r>
      <w:r w:rsidR="00A134E6">
        <w:rPr>
          <w:rFonts w:ascii="Calibri" w:hAnsi="Calibri" w:cs="Calibri"/>
          <w:sz w:val="22"/>
          <w:szCs w:val="22"/>
        </w:rPr>
        <w:t>Another highlighted emerging effects as an important first step in a complex process which can be improved over time:</w:t>
      </w:r>
    </w:p>
    <w:p w14:paraId="4DE54B0D" w14:textId="77777777" w:rsidR="00F54F9E" w:rsidRPr="00101A67" w:rsidRDefault="00F54F9E" w:rsidP="00475D3F">
      <w:pPr>
        <w:spacing w:line="360" w:lineRule="auto"/>
        <w:ind w:right="720"/>
        <w:rPr>
          <w:rFonts w:ascii="Calibri" w:hAnsi="Calibri" w:cs="Calibri"/>
          <w:sz w:val="22"/>
          <w:szCs w:val="22"/>
        </w:rPr>
      </w:pPr>
    </w:p>
    <w:p w14:paraId="166B3944" w14:textId="449D6AAF" w:rsidR="00C42D02" w:rsidRPr="00101A67" w:rsidRDefault="00F54F9E" w:rsidP="00475D3F">
      <w:pPr>
        <w:spacing w:line="360" w:lineRule="auto"/>
        <w:ind w:left="709" w:right="720"/>
        <w:rPr>
          <w:rFonts w:ascii="Calibri" w:hAnsi="Calibri" w:cs="Calibri"/>
          <w:i/>
          <w:iCs/>
          <w:sz w:val="22"/>
          <w:szCs w:val="22"/>
        </w:rPr>
      </w:pPr>
      <w:r>
        <w:rPr>
          <w:rFonts w:ascii="Calibri" w:hAnsi="Calibri" w:cs="Calibri"/>
          <w:i/>
          <w:iCs/>
          <w:sz w:val="22"/>
          <w:szCs w:val="22"/>
        </w:rPr>
        <w:lastRenderedPageBreak/>
        <w:t>“…</w:t>
      </w:r>
      <w:r w:rsidR="00C42D02" w:rsidRPr="00C319B4">
        <w:rPr>
          <w:rFonts w:ascii="Calibri" w:hAnsi="Calibri" w:cs="Calibri"/>
          <w:i/>
          <w:iCs/>
          <w:sz w:val="22"/>
          <w:szCs w:val="22"/>
        </w:rPr>
        <w:t>what I’ve learned also is that you might want to get to a perfect place but actually to get there there’s a number of different steps to get there. And</w:t>
      </w:r>
      <w:r>
        <w:rPr>
          <w:rFonts w:ascii="Calibri" w:hAnsi="Calibri" w:cs="Calibri"/>
          <w:i/>
          <w:iCs/>
          <w:sz w:val="22"/>
          <w:szCs w:val="22"/>
        </w:rPr>
        <w:t>…</w:t>
      </w:r>
      <w:r w:rsidR="00C42D02" w:rsidRPr="00C319B4">
        <w:rPr>
          <w:rFonts w:ascii="Calibri" w:hAnsi="Calibri" w:cs="Calibri"/>
          <w:i/>
          <w:iCs/>
          <w:sz w:val="22"/>
          <w:szCs w:val="22"/>
        </w:rPr>
        <w:t>if you think of the absolute numbers of all the junk food adverts have produced</w:t>
      </w:r>
      <w:r w:rsidR="00EA21A5" w:rsidRPr="00C319B4">
        <w:rPr>
          <w:rFonts w:ascii="Calibri" w:hAnsi="Calibri" w:cs="Calibri"/>
          <w:i/>
          <w:iCs/>
          <w:sz w:val="22"/>
          <w:szCs w:val="22"/>
        </w:rPr>
        <w:t>…</w:t>
      </w:r>
      <w:r w:rsidR="00C42D02" w:rsidRPr="00C319B4">
        <w:rPr>
          <w:rFonts w:ascii="Calibri" w:hAnsi="Calibri" w:cs="Calibri"/>
          <w:i/>
          <w:iCs/>
          <w:sz w:val="22"/>
          <w:szCs w:val="22"/>
        </w:rPr>
        <w:t>actually don’t lose sight of the overall aim and so don’t let the perfect be the enemy of the good</w:t>
      </w:r>
      <w:r w:rsidR="00EA21A5" w:rsidRPr="00C319B4">
        <w:rPr>
          <w:rFonts w:ascii="Calibri" w:hAnsi="Calibri" w:cs="Calibri"/>
          <w:i/>
          <w:iCs/>
          <w:sz w:val="22"/>
          <w:szCs w:val="22"/>
        </w:rPr>
        <w:t>…</w:t>
      </w:r>
      <w:r w:rsidR="00C42D02" w:rsidRPr="00C319B4">
        <w:rPr>
          <w:rFonts w:ascii="Calibri" w:hAnsi="Calibri" w:cs="Calibri"/>
          <w:i/>
          <w:iCs/>
          <w:sz w:val="22"/>
          <w:szCs w:val="22"/>
        </w:rPr>
        <w:t>And what I’ve learned through this whole process is that there’s been immense careful consideration and thought that’s gone into this and we can’t envisage everything. But what I’d say is that we are, erm, what I’m quite proud of is that we’ve got somewhere and actually I think in the future it might be more refined and it might be that perfect version but, er, don’t lose sight of that.</w:t>
      </w:r>
      <w:r w:rsidR="00684DA4">
        <w:rPr>
          <w:rFonts w:ascii="Calibri" w:hAnsi="Calibri" w:cs="Calibri"/>
          <w:i/>
          <w:iCs/>
          <w:sz w:val="22"/>
          <w:szCs w:val="22"/>
        </w:rPr>
        <w:t>”</w:t>
      </w:r>
    </w:p>
    <w:p w14:paraId="2A809668" w14:textId="470C664F" w:rsidR="00C42D02" w:rsidRPr="00C319B4" w:rsidRDefault="00C42D02" w:rsidP="00475D3F">
      <w:pPr>
        <w:pStyle w:val="ListParagraph"/>
        <w:numPr>
          <w:ilvl w:val="0"/>
          <w:numId w:val="8"/>
        </w:numPr>
        <w:spacing w:line="360" w:lineRule="auto"/>
        <w:ind w:left="1843" w:right="720"/>
        <w:rPr>
          <w:rFonts w:ascii="Calibri" w:hAnsi="Calibri" w:cs="Calibri"/>
          <w:i/>
          <w:iCs/>
          <w:sz w:val="22"/>
          <w:szCs w:val="22"/>
        </w:rPr>
      </w:pPr>
      <w:r w:rsidRPr="00C319B4">
        <w:rPr>
          <w:rFonts w:ascii="Calibri" w:hAnsi="Calibri" w:cs="Calibri"/>
          <w:i/>
          <w:iCs/>
          <w:sz w:val="22"/>
          <w:szCs w:val="22"/>
        </w:rPr>
        <w:t xml:space="preserve">Implementation stakeholder </w:t>
      </w:r>
      <w:r w:rsidR="0038445A" w:rsidRPr="00C319B4">
        <w:rPr>
          <w:rFonts w:ascii="Calibri" w:hAnsi="Calibri" w:cs="Calibri"/>
          <w:i/>
          <w:iCs/>
          <w:sz w:val="22"/>
          <w:szCs w:val="22"/>
        </w:rPr>
        <w:t>(</w:t>
      </w:r>
      <w:r w:rsidR="00F54F9E">
        <w:rPr>
          <w:rFonts w:ascii="Calibri" w:hAnsi="Calibri" w:cs="Calibri"/>
          <w:i/>
          <w:iCs/>
          <w:sz w:val="22"/>
          <w:szCs w:val="22"/>
        </w:rPr>
        <w:t>GLA</w:t>
      </w:r>
      <w:r w:rsidR="0038445A" w:rsidRPr="00C319B4">
        <w:rPr>
          <w:rFonts w:ascii="Calibri" w:hAnsi="Calibri" w:cs="Calibri"/>
          <w:i/>
          <w:iCs/>
          <w:sz w:val="22"/>
          <w:szCs w:val="22"/>
        </w:rPr>
        <w:t>)</w:t>
      </w:r>
    </w:p>
    <w:p w14:paraId="1898F355" w14:textId="77777777" w:rsidR="0050025E" w:rsidRDefault="0050025E" w:rsidP="00475D3F">
      <w:pPr>
        <w:spacing w:line="360" w:lineRule="auto"/>
        <w:rPr>
          <w:rFonts w:ascii="Calibri" w:hAnsi="Calibri" w:cs="Calibri"/>
          <w:b/>
          <w:bCs/>
          <w:sz w:val="22"/>
          <w:szCs w:val="22"/>
        </w:rPr>
      </w:pPr>
    </w:p>
    <w:p w14:paraId="64ED6978" w14:textId="77777777" w:rsidR="00A615C0" w:rsidRPr="00F66DB4" w:rsidRDefault="00A615C0" w:rsidP="00475D3F">
      <w:pPr>
        <w:spacing w:line="360" w:lineRule="auto"/>
        <w:rPr>
          <w:rFonts w:ascii="Calibri" w:hAnsi="Calibri" w:cs="Calibri"/>
          <w:i/>
          <w:iCs/>
          <w:sz w:val="22"/>
          <w:szCs w:val="22"/>
        </w:rPr>
      </w:pPr>
    </w:p>
    <w:p w14:paraId="02F41EC7" w14:textId="3639A9A1" w:rsidR="00A615C0" w:rsidRPr="00F66DB4" w:rsidRDefault="00A615C0" w:rsidP="00475D3F">
      <w:pPr>
        <w:spacing w:line="360" w:lineRule="auto"/>
        <w:rPr>
          <w:rFonts w:ascii="Calibri" w:hAnsi="Calibri" w:cs="Calibri"/>
          <w:b/>
          <w:bCs/>
          <w:sz w:val="22"/>
          <w:szCs w:val="22"/>
        </w:rPr>
      </w:pPr>
      <w:r w:rsidRPr="00F66DB4">
        <w:rPr>
          <w:rFonts w:ascii="Calibri" w:hAnsi="Calibri" w:cs="Calibri"/>
          <w:b/>
          <w:bCs/>
          <w:sz w:val="22"/>
          <w:szCs w:val="22"/>
        </w:rPr>
        <w:t xml:space="preserve">Legal considerations </w:t>
      </w:r>
      <w:r w:rsidR="00C065EB">
        <w:rPr>
          <w:rFonts w:ascii="Calibri" w:hAnsi="Calibri" w:cs="Calibri"/>
          <w:b/>
          <w:bCs/>
          <w:sz w:val="22"/>
          <w:szCs w:val="22"/>
        </w:rPr>
        <w:t>relating to</w:t>
      </w:r>
      <w:r w:rsidR="00C065EB" w:rsidRPr="00F66DB4">
        <w:rPr>
          <w:rFonts w:ascii="Calibri" w:hAnsi="Calibri" w:cs="Calibri"/>
          <w:b/>
          <w:bCs/>
          <w:sz w:val="22"/>
          <w:szCs w:val="22"/>
        </w:rPr>
        <w:t xml:space="preserve"> </w:t>
      </w:r>
      <w:r w:rsidRPr="00F66DB4">
        <w:rPr>
          <w:rFonts w:ascii="Calibri" w:hAnsi="Calibri" w:cs="Calibri"/>
          <w:b/>
          <w:bCs/>
          <w:sz w:val="22"/>
          <w:szCs w:val="22"/>
        </w:rPr>
        <w:t>policy implementation</w:t>
      </w:r>
    </w:p>
    <w:p w14:paraId="6A4D6745" w14:textId="57C51445" w:rsidR="00A615C0" w:rsidRPr="00F66DB4" w:rsidRDefault="00A615C0" w:rsidP="00475D3F">
      <w:pPr>
        <w:spacing w:line="360" w:lineRule="auto"/>
        <w:rPr>
          <w:rFonts w:ascii="Calibri" w:hAnsi="Calibri" w:cs="Calibri"/>
          <w:sz w:val="22"/>
          <w:szCs w:val="22"/>
        </w:rPr>
      </w:pPr>
      <w:r w:rsidRPr="00F66DB4">
        <w:rPr>
          <w:rFonts w:ascii="Calibri" w:hAnsi="Calibri" w:cs="Calibri"/>
          <w:sz w:val="22"/>
          <w:szCs w:val="22"/>
        </w:rPr>
        <w:t xml:space="preserve">Developing a policy that </w:t>
      </w:r>
      <w:r w:rsidR="00532C13">
        <w:rPr>
          <w:rFonts w:ascii="Calibri" w:hAnsi="Calibri" w:cs="Calibri"/>
          <w:sz w:val="22"/>
          <w:szCs w:val="22"/>
        </w:rPr>
        <w:t xml:space="preserve">would </w:t>
      </w:r>
      <w:r w:rsidRPr="00F66DB4">
        <w:rPr>
          <w:rFonts w:ascii="Calibri" w:hAnsi="Calibri" w:cs="Calibri"/>
          <w:sz w:val="22"/>
          <w:szCs w:val="22"/>
        </w:rPr>
        <w:t>fit within existing legal frameworks</w:t>
      </w:r>
      <w:r w:rsidR="00B61E03">
        <w:rPr>
          <w:rFonts w:ascii="Calibri" w:hAnsi="Calibri" w:cs="Calibri"/>
          <w:sz w:val="22"/>
          <w:szCs w:val="22"/>
        </w:rPr>
        <w:t>,</w:t>
      </w:r>
      <w:r w:rsidRPr="00F66DB4">
        <w:rPr>
          <w:rFonts w:ascii="Calibri" w:hAnsi="Calibri" w:cs="Calibri"/>
          <w:sz w:val="22"/>
          <w:szCs w:val="22"/>
        </w:rPr>
        <w:t xml:space="preserve"> and </w:t>
      </w:r>
      <w:r w:rsidR="0061141F">
        <w:rPr>
          <w:rFonts w:ascii="Calibri" w:hAnsi="Calibri" w:cs="Calibri"/>
          <w:sz w:val="22"/>
          <w:szCs w:val="22"/>
        </w:rPr>
        <w:t xml:space="preserve">that would </w:t>
      </w:r>
      <w:r w:rsidR="00FE77DC">
        <w:rPr>
          <w:rFonts w:ascii="Calibri" w:hAnsi="Calibri" w:cs="Calibri"/>
          <w:sz w:val="22"/>
          <w:szCs w:val="22"/>
        </w:rPr>
        <w:t>not be vulnerable to</w:t>
      </w:r>
      <w:r w:rsidRPr="00F66DB4">
        <w:rPr>
          <w:rFonts w:ascii="Calibri" w:hAnsi="Calibri" w:cs="Calibri"/>
          <w:sz w:val="22"/>
          <w:szCs w:val="22"/>
        </w:rPr>
        <w:t xml:space="preserve"> legal challenges</w:t>
      </w:r>
      <w:r w:rsidR="00B61E03">
        <w:rPr>
          <w:rFonts w:ascii="Calibri" w:hAnsi="Calibri" w:cs="Calibri"/>
          <w:sz w:val="22"/>
          <w:szCs w:val="22"/>
        </w:rPr>
        <w:t>,</w:t>
      </w:r>
      <w:r w:rsidRPr="00F66DB4">
        <w:rPr>
          <w:rFonts w:ascii="Calibri" w:hAnsi="Calibri" w:cs="Calibri"/>
          <w:sz w:val="22"/>
          <w:szCs w:val="22"/>
        </w:rPr>
        <w:t xml:space="preserve"> was a key concern among </w:t>
      </w:r>
      <w:r w:rsidR="008D3F56">
        <w:rPr>
          <w:rFonts w:ascii="Calibri" w:hAnsi="Calibri" w:cs="Calibri"/>
          <w:sz w:val="22"/>
          <w:szCs w:val="22"/>
        </w:rPr>
        <w:t>GLA and TfL</w:t>
      </w:r>
      <w:r w:rsidR="008D3F56" w:rsidRPr="00F66DB4">
        <w:rPr>
          <w:rFonts w:ascii="Calibri" w:hAnsi="Calibri" w:cs="Calibri"/>
          <w:sz w:val="22"/>
          <w:szCs w:val="22"/>
        </w:rPr>
        <w:t xml:space="preserve"> </w:t>
      </w:r>
      <w:r w:rsidRPr="00F66DB4">
        <w:rPr>
          <w:rFonts w:ascii="Calibri" w:hAnsi="Calibri" w:cs="Calibri"/>
          <w:sz w:val="22"/>
          <w:szCs w:val="22"/>
        </w:rPr>
        <w:t xml:space="preserve">stakeholders, who worked closely </w:t>
      </w:r>
      <w:r w:rsidR="004B6735">
        <w:rPr>
          <w:rFonts w:ascii="Calibri" w:hAnsi="Calibri" w:cs="Calibri"/>
          <w:sz w:val="22"/>
          <w:szCs w:val="22"/>
        </w:rPr>
        <w:t xml:space="preserve">with </w:t>
      </w:r>
      <w:r w:rsidRPr="00F66DB4">
        <w:rPr>
          <w:rFonts w:ascii="Calibri" w:hAnsi="Calibri" w:cs="Calibri"/>
          <w:sz w:val="22"/>
          <w:szCs w:val="22"/>
        </w:rPr>
        <w:t xml:space="preserve">legal advisors to </w:t>
      </w:r>
      <w:r w:rsidR="00011D00">
        <w:rPr>
          <w:rFonts w:ascii="Calibri" w:hAnsi="Calibri" w:cs="Calibri"/>
          <w:sz w:val="22"/>
          <w:szCs w:val="22"/>
        </w:rPr>
        <w:t>do so</w:t>
      </w:r>
      <w:r w:rsidRPr="00F66DB4">
        <w:rPr>
          <w:rFonts w:ascii="Calibri" w:hAnsi="Calibri" w:cs="Calibri"/>
          <w:sz w:val="22"/>
          <w:szCs w:val="22"/>
        </w:rPr>
        <w:t>. Inconsistent application of the policy was viewed as an important risk</w:t>
      </w:r>
      <w:r w:rsidR="0061141F">
        <w:rPr>
          <w:rFonts w:ascii="Calibri" w:hAnsi="Calibri" w:cs="Calibri"/>
          <w:sz w:val="22"/>
          <w:szCs w:val="22"/>
        </w:rPr>
        <w:t xml:space="preserve">. </w:t>
      </w:r>
      <w:r w:rsidRPr="00F66DB4">
        <w:rPr>
          <w:rFonts w:ascii="Calibri" w:hAnsi="Calibri" w:cs="Calibri"/>
          <w:sz w:val="22"/>
          <w:szCs w:val="22"/>
        </w:rPr>
        <w:t>However, there was recognition that this concern needed to be balanced with commercial and political considerations</w:t>
      </w:r>
      <w:r w:rsidR="00FF1250">
        <w:rPr>
          <w:rFonts w:ascii="Calibri" w:hAnsi="Calibri" w:cs="Calibri"/>
          <w:sz w:val="22"/>
          <w:szCs w:val="22"/>
        </w:rPr>
        <w:t>:</w:t>
      </w:r>
      <w:r w:rsidRPr="00F66DB4">
        <w:rPr>
          <w:rFonts w:ascii="Calibri" w:hAnsi="Calibri" w:cs="Calibri"/>
          <w:sz w:val="22"/>
          <w:szCs w:val="22"/>
        </w:rPr>
        <w:t xml:space="preserve"> </w:t>
      </w:r>
    </w:p>
    <w:p w14:paraId="367FBE00" w14:textId="77777777" w:rsidR="00A615C0" w:rsidRPr="00F66DB4" w:rsidRDefault="00A615C0" w:rsidP="00475D3F">
      <w:pPr>
        <w:spacing w:line="360" w:lineRule="auto"/>
        <w:rPr>
          <w:rFonts w:ascii="Calibri" w:hAnsi="Calibri" w:cs="Calibri"/>
          <w:sz w:val="22"/>
          <w:szCs w:val="22"/>
        </w:rPr>
      </w:pPr>
    </w:p>
    <w:p w14:paraId="5DA8E11C" w14:textId="625B0A2E" w:rsidR="00A615C0" w:rsidRPr="00F66DB4" w:rsidRDefault="00A615C0" w:rsidP="00475D3F">
      <w:pPr>
        <w:spacing w:line="360" w:lineRule="auto"/>
        <w:ind w:left="720" w:right="720"/>
        <w:rPr>
          <w:rFonts w:ascii="Calibri" w:hAnsi="Calibri" w:cs="Calibri"/>
          <w:i/>
          <w:iCs/>
          <w:sz w:val="22"/>
          <w:szCs w:val="22"/>
        </w:rPr>
      </w:pPr>
      <w:r w:rsidRPr="00F66DB4">
        <w:rPr>
          <w:rFonts w:ascii="Calibri" w:hAnsi="Calibri" w:cs="Calibri"/>
          <w:i/>
          <w:iCs/>
          <w:sz w:val="22"/>
          <w:szCs w:val="22"/>
        </w:rPr>
        <w:t>“</w:t>
      </w:r>
      <w:r w:rsidR="00B839B0">
        <w:rPr>
          <w:rFonts w:ascii="Calibri" w:hAnsi="Calibri" w:cs="Calibri"/>
          <w:i/>
          <w:iCs/>
          <w:sz w:val="22"/>
          <w:szCs w:val="22"/>
        </w:rPr>
        <w:t>W</w:t>
      </w:r>
      <w:r w:rsidRPr="00F66DB4">
        <w:rPr>
          <w:rFonts w:ascii="Calibri" w:hAnsi="Calibri" w:cs="Calibri"/>
          <w:i/>
          <w:iCs/>
          <w:sz w:val="22"/>
          <w:szCs w:val="22"/>
        </w:rPr>
        <w:t xml:space="preserve">e tried to establish a policy that was workable on a consistent </w:t>
      </w:r>
      <w:r w:rsidR="00D519C3" w:rsidRPr="00F66DB4">
        <w:rPr>
          <w:rFonts w:ascii="Calibri" w:hAnsi="Calibri" w:cs="Calibri"/>
          <w:i/>
          <w:iCs/>
          <w:sz w:val="22"/>
          <w:szCs w:val="22"/>
        </w:rPr>
        <w:t>basis but</w:t>
      </w:r>
      <w:r w:rsidRPr="00F66DB4">
        <w:rPr>
          <w:rFonts w:ascii="Calibri" w:hAnsi="Calibri" w:cs="Calibri"/>
          <w:i/>
          <w:iCs/>
          <w:sz w:val="22"/>
          <w:szCs w:val="22"/>
        </w:rPr>
        <w:t xml:space="preserve"> would still leave perhaps some reasonable discretion to those applying the policy, so which would…enable reasonable but consistent decisions to be taken, without it being…possible for someone to say that we were being irrational, unreasonable or unfair.”</w:t>
      </w:r>
    </w:p>
    <w:p w14:paraId="32D0EA94" w14:textId="79B30D40" w:rsidR="00A615C0" w:rsidRPr="00F66DB4" w:rsidRDefault="00A615C0" w:rsidP="00475D3F">
      <w:pPr>
        <w:pStyle w:val="ListParagraph"/>
        <w:numPr>
          <w:ilvl w:val="0"/>
          <w:numId w:val="8"/>
        </w:numPr>
        <w:spacing w:line="360" w:lineRule="auto"/>
        <w:ind w:right="720"/>
        <w:rPr>
          <w:rFonts w:ascii="Calibri" w:hAnsi="Calibri" w:cs="Calibri"/>
          <w:i/>
          <w:iCs/>
          <w:sz w:val="22"/>
          <w:szCs w:val="22"/>
        </w:rPr>
      </w:pPr>
      <w:r w:rsidRPr="00F66DB4">
        <w:rPr>
          <w:rFonts w:ascii="Calibri" w:hAnsi="Calibri" w:cs="Calibri"/>
          <w:i/>
          <w:iCs/>
          <w:sz w:val="22"/>
          <w:szCs w:val="22"/>
        </w:rPr>
        <w:t xml:space="preserve">Implementation stakeholder  </w:t>
      </w:r>
      <w:r>
        <w:rPr>
          <w:rFonts w:ascii="Calibri" w:hAnsi="Calibri" w:cs="Calibri"/>
          <w:i/>
          <w:iCs/>
          <w:sz w:val="22"/>
          <w:szCs w:val="22"/>
        </w:rPr>
        <w:t>(</w:t>
      </w:r>
      <w:r w:rsidRPr="004737B1">
        <w:rPr>
          <w:rFonts w:ascii="Calibri" w:hAnsi="Calibri" w:cs="Calibri"/>
          <w:i/>
          <w:iCs/>
          <w:sz w:val="22"/>
          <w:szCs w:val="22"/>
        </w:rPr>
        <w:t>T</w:t>
      </w:r>
      <w:r w:rsidR="00F610EF" w:rsidRPr="004737B1">
        <w:rPr>
          <w:rFonts w:ascii="Calibri" w:hAnsi="Calibri" w:cs="Calibri"/>
          <w:i/>
          <w:iCs/>
          <w:sz w:val="22"/>
          <w:szCs w:val="22"/>
        </w:rPr>
        <w:t>f</w:t>
      </w:r>
      <w:r w:rsidRPr="004737B1">
        <w:rPr>
          <w:rFonts w:ascii="Calibri" w:hAnsi="Calibri" w:cs="Calibri"/>
          <w:i/>
          <w:iCs/>
          <w:sz w:val="22"/>
          <w:szCs w:val="22"/>
        </w:rPr>
        <w:t>L</w:t>
      </w:r>
      <w:r>
        <w:rPr>
          <w:rFonts w:ascii="Calibri" w:hAnsi="Calibri" w:cs="Calibri"/>
          <w:i/>
          <w:iCs/>
          <w:sz w:val="22"/>
          <w:szCs w:val="22"/>
        </w:rPr>
        <w:t>)</w:t>
      </w:r>
    </w:p>
    <w:p w14:paraId="13C40FD4" w14:textId="77777777" w:rsidR="00A615C0" w:rsidRPr="00F66DB4" w:rsidRDefault="00A615C0" w:rsidP="00475D3F">
      <w:pPr>
        <w:spacing w:line="360" w:lineRule="auto"/>
        <w:rPr>
          <w:rFonts w:ascii="Calibri" w:hAnsi="Calibri" w:cs="Calibri"/>
          <w:sz w:val="22"/>
          <w:szCs w:val="22"/>
        </w:rPr>
      </w:pPr>
    </w:p>
    <w:p w14:paraId="639FE63F" w14:textId="3CDEE905" w:rsidR="00A615C0" w:rsidRPr="00F66DB4" w:rsidRDefault="00446267" w:rsidP="00475D3F">
      <w:pPr>
        <w:spacing w:line="360" w:lineRule="auto"/>
        <w:rPr>
          <w:rFonts w:ascii="Calibri" w:hAnsi="Calibri" w:cs="Calibri"/>
          <w:sz w:val="22"/>
          <w:szCs w:val="22"/>
        </w:rPr>
      </w:pPr>
      <w:r>
        <w:rPr>
          <w:rFonts w:ascii="Calibri" w:hAnsi="Calibri" w:cs="Calibri"/>
          <w:sz w:val="22"/>
          <w:szCs w:val="22"/>
        </w:rPr>
        <w:t>Addressing</w:t>
      </w:r>
      <w:r w:rsidR="00A615C0" w:rsidRPr="00F66DB4">
        <w:rPr>
          <w:rFonts w:ascii="Calibri" w:hAnsi="Calibri" w:cs="Calibri"/>
          <w:sz w:val="22"/>
          <w:szCs w:val="22"/>
        </w:rPr>
        <w:t xml:space="preserve"> the challenge of ongoing</w:t>
      </w:r>
      <w:r w:rsidR="000573D1">
        <w:rPr>
          <w:rFonts w:ascii="Calibri" w:hAnsi="Calibri" w:cs="Calibri"/>
          <w:sz w:val="22"/>
          <w:szCs w:val="22"/>
        </w:rPr>
        <w:t xml:space="preserve"> advertising</w:t>
      </w:r>
      <w:r w:rsidR="00A615C0" w:rsidRPr="00F66DB4">
        <w:rPr>
          <w:rFonts w:ascii="Calibri" w:hAnsi="Calibri" w:cs="Calibri"/>
          <w:sz w:val="22"/>
          <w:szCs w:val="22"/>
        </w:rPr>
        <w:t xml:space="preserve"> contracts </w:t>
      </w:r>
      <w:r w:rsidR="0061141F">
        <w:rPr>
          <w:rFonts w:ascii="Calibri" w:hAnsi="Calibri" w:cs="Calibri"/>
          <w:sz w:val="22"/>
          <w:szCs w:val="22"/>
        </w:rPr>
        <w:t xml:space="preserve">that were </w:t>
      </w:r>
      <w:r w:rsidR="00A615C0" w:rsidRPr="00F66DB4">
        <w:rPr>
          <w:rFonts w:ascii="Calibri" w:hAnsi="Calibri" w:cs="Calibri"/>
          <w:sz w:val="22"/>
          <w:szCs w:val="22"/>
        </w:rPr>
        <w:t xml:space="preserve">signed before the new policy </w:t>
      </w:r>
      <w:r w:rsidR="00FF1250">
        <w:rPr>
          <w:rFonts w:ascii="Calibri" w:hAnsi="Calibri" w:cs="Calibri"/>
          <w:sz w:val="22"/>
          <w:szCs w:val="22"/>
        </w:rPr>
        <w:t>came into effect</w:t>
      </w:r>
      <w:r w:rsidR="00A615C0" w:rsidRPr="00F66DB4">
        <w:rPr>
          <w:rFonts w:ascii="Calibri" w:hAnsi="Calibri" w:cs="Calibri"/>
          <w:sz w:val="22"/>
          <w:szCs w:val="22"/>
        </w:rPr>
        <w:t xml:space="preserve">, </w:t>
      </w:r>
      <w:r>
        <w:rPr>
          <w:rFonts w:ascii="Calibri" w:hAnsi="Calibri" w:cs="Calibri"/>
          <w:sz w:val="22"/>
          <w:szCs w:val="22"/>
        </w:rPr>
        <w:t>implementation stakeholders reported that the new guidelines were</w:t>
      </w:r>
      <w:r w:rsidR="00A615C0" w:rsidRPr="00F66DB4">
        <w:rPr>
          <w:rFonts w:ascii="Calibri" w:hAnsi="Calibri" w:cs="Calibri"/>
          <w:sz w:val="22"/>
          <w:szCs w:val="22"/>
        </w:rPr>
        <w:t xml:space="preserve"> integrate</w:t>
      </w:r>
      <w:r>
        <w:rPr>
          <w:rFonts w:ascii="Calibri" w:hAnsi="Calibri" w:cs="Calibri"/>
          <w:sz w:val="22"/>
          <w:szCs w:val="22"/>
        </w:rPr>
        <w:t>d</w:t>
      </w:r>
      <w:r w:rsidR="00A615C0" w:rsidRPr="00F66DB4">
        <w:rPr>
          <w:rFonts w:ascii="Calibri" w:hAnsi="Calibri" w:cs="Calibri"/>
          <w:sz w:val="22"/>
          <w:szCs w:val="22"/>
        </w:rPr>
        <w:t xml:space="preserve"> into </w:t>
      </w:r>
      <w:r>
        <w:rPr>
          <w:rFonts w:ascii="Calibri" w:hAnsi="Calibri" w:cs="Calibri"/>
          <w:sz w:val="22"/>
          <w:szCs w:val="22"/>
        </w:rPr>
        <w:t xml:space="preserve">TfL’s </w:t>
      </w:r>
      <w:r w:rsidR="00A615C0" w:rsidRPr="00F66DB4">
        <w:rPr>
          <w:rFonts w:ascii="Calibri" w:hAnsi="Calibri" w:cs="Calibri"/>
          <w:sz w:val="22"/>
          <w:szCs w:val="22"/>
        </w:rPr>
        <w:t xml:space="preserve">existing </w:t>
      </w:r>
      <w:r>
        <w:rPr>
          <w:rFonts w:ascii="Calibri" w:hAnsi="Calibri" w:cs="Calibri"/>
          <w:sz w:val="22"/>
          <w:szCs w:val="22"/>
        </w:rPr>
        <w:t xml:space="preserve">advertising </w:t>
      </w:r>
      <w:r w:rsidR="00A615C0" w:rsidRPr="00F66DB4">
        <w:rPr>
          <w:rFonts w:ascii="Calibri" w:hAnsi="Calibri" w:cs="Calibri"/>
          <w:sz w:val="22"/>
          <w:szCs w:val="22"/>
        </w:rPr>
        <w:t>polic</w:t>
      </w:r>
      <w:r>
        <w:rPr>
          <w:rFonts w:ascii="Calibri" w:hAnsi="Calibri" w:cs="Calibri"/>
          <w:sz w:val="22"/>
          <w:szCs w:val="22"/>
        </w:rPr>
        <w:t xml:space="preserve">y, which individual contracts reference and which could be changed. In this way, restrictions on HFSS advertising were added to other existing restrictions (e.g., those prohibiting the advertisement of weapons of mass destruction) and could be implemented across all existing and new contracts. </w:t>
      </w:r>
      <w:r w:rsidR="00A615C0" w:rsidRPr="00F66DB4">
        <w:rPr>
          <w:rFonts w:ascii="Calibri" w:hAnsi="Calibri" w:cs="Calibri"/>
          <w:sz w:val="22"/>
          <w:szCs w:val="22"/>
        </w:rPr>
        <w:t xml:space="preserve">The new </w:t>
      </w:r>
      <w:r w:rsidR="00845DB4">
        <w:rPr>
          <w:rFonts w:ascii="Calibri" w:hAnsi="Calibri" w:cs="Calibri"/>
          <w:sz w:val="22"/>
          <w:szCs w:val="22"/>
        </w:rPr>
        <w:t>policy</w:t>
      </w:r>
      <w:r w:rsidR="00845DB4" w:rsidRPr="00F66DB4">
        <w:rPr>
          <w:rFonts w:ascii="Calibri" w:hAnsi="Calibri" w:cs="Calibri"/>
          <w:sz w:val="22"/>
          <w:szCs w:val="22"/>
        </w:rPr>
        <w:t xml:space="preserve"> </w:t>
      </w:r>
      <w:r w:rsidR="00A615C0" w:rsidRPr="00F66DB4">
        <w:rPr>
          <w:rFonts w:ascii="Calibri" w:hAnsi="Calibri" w:cs="Calibri"/>
          <w:sz w:val="22"/>
          <w:szCs w:val="22"/>
        </w:rPr>
        <w:t>also built on existing processes within TfL for reviewing ad</w:t>
      </w:r>
      <w:r w:rsidR="00CE5E27">
        <w:rPr>
          <w:rFonts w:ascii="Calibri" w:hAnsi="Calibri" w:cs="Calibri"/>
          <w:sz w:val="22"/>
          <w:szCs w:val="22"/>
        </w:rPr>
        <w:t>vertisement</w:t>
      </w:r>
      <w:r w:rsidR="00A615C0" w:rsidRPr="00F66DB4">
        <w:rPr>
          <w:rFonts w:ascii="Calibri" w:hAnsi="Calibri" w:cs="Calibri"/>
          <w:sz w:val="22"/>
          <w:szCs w:val="22"/>
        </w:rPr>
        <w:t xml:space="preserve">s </w:t>
      </w:r>
      <w:r w:rsidR="00A615C0" w:rsidRPr="00F66DB4">
        <w:rPr>
          <w:rFonts w:ascii="Calibri" w:hAnsi="Calibri" w:cs="Calibri"/>
          <w:sz w:val="22"/>
          <w:szCs w:val="22"/>
        </w:rPr>
        <w:lastRenderedPageBreak/>
        <w:t xml:space="preserve">for suitability in terms of weapons, violence and </w:t>
      </w:r>
      <w:r w:rsidR="007B1F76">
        <w:rPr>
          <w:rFonts w:ascii="Calibri" w:hAnsi="Calibri" w:cs="Calibri"/>
          <w:sz w:val="22"/>
          <w:szCs w:val="22"/>
        </w:rPr>
        <w:t>sexualisation, adding</w:t>
      </w:r>
      <w:r w:rsidR="00A615C0" w:rsidRPr="00F66DB4">
        <w:rPr>
          <w:rFonts w:ascii="Calibri" w:hAnsi="Calibri" w:cs="Calibri"/>
          <w:sz w:val="22"/>
          <w:szCs w:val="22"/>
        </w:rPr>
        <w:t xml:space="preserve"> </w:t>
      </w:r>
      <w:r w:rsidR="007B1F76">
        <w:rPr>
          <w:rFonts w:ascii="Calibri" w:hAnsi="Calibri" w:cs="Calibri"/>
          <w:sz w:val="22"/>
          <w:szCs w:val="22"/>
        </w:rPr>
        <w:t>what</w:t>
      </w:r>
      <w:r w:rsidR="00A615C0" w:rsidRPr="00F66DB4">
        <w:rPr>
          <w:rFonts w:ascii="Calibri" w:hAnsi="Calibri" w:cs="Calibri"/>
          <w:sz w:val="22"/>
          <w:szCs w:val="22"/>
        </w:rPr>
        <w:t xml:space="preserve"> </w:t>
      </w:r>
      <w:r w:rsidR="007B1F76">
        <w:rPr>
          <w:rFonts w:ascii="Calibri" w:hAnsi="Calibri" w:cs="Calibri"/>
          <w:sz w:val="22"/>
          <w:szCs w:val="22"/>
        </w:rPr>
        <w:t>an</w:t>
      </w:r>
      <w:r w:rsidR="00A615C0" w:rsidRPr="00F66DB4">
        <w:rPr>
          <w:rFonts w:ascii="Calibri" w:hAnsi="Calibri" w:cs="Calibri"/>
          <w:sz w:val="22"/>
          <w:szCs w:val="22"/>
        </w:rPr>
        <w:t xml:space="preserve"> industry stakeholder</w:t>
      </w:r>
      <w:r w:rsidR="007B1F76">
        <w:rPr>
          <w:rFonts w:ascii="Calibri" w:hAnsi="Calibri" w:cs="Calibri"/>
          <w:sz w:val="22"/>
          <w:szCs w:val="22"/>
        </w:rPr>
        <w:t xml:space="preserve"> described as</w:t>
      </w:r>
      <w:r w:rsidR="00A615C0" w:rsidRPr="00F66DB4">
        <w:rPr>
          <w:rFonts w:ascii="Calibri" w:hAnsi="Calibri" w:cs="Calibri"/>
          <w:sz w:val="22"/>
          <w:szCs w:val="22"/>
        </w:rPr>
        <w:t xml:space="preserve"> “another layer on top of” existing </w:t>
      </w:r>
      <w:r w:rsidR="00FF1250">
        <w:rPr>
          <w:rFonts w:ascii="Calibri" w:hAnsi="Calibri" w:cs="Calibri"/>
          <w:sz w:val="22"/>
          <w:szCs w:val="22"/>
        </w:rPr>
        <w:t xml:space="preserve">review </w:t>
      </w:r>
      <w:r w:rsidR="00A615C0" w:rsidRPr="00F66DB4">
        <w:rPr>
          <w:rFonts w:ascii="Calibri" w:hAnsi="Calibri" w:cs="Calibri"/>
          <w:sz w:val="22"/>
          <w:szCs w:val="22"/>
        </w:rPr>
        <w:t>procedures.</w:t>
      </w:r>
    </w:p>
    <w:p w14:paraId="0850DB80" w14:textId="77777777" w:rsidR="00A615C0" w:rsidRPr="00F66DB4" w:rsidRDefault="00A615C0" w:rsidP="00475D3F">
      <w:pPr>
        <w:spacing w:line="360" w:lineRule="auto"/>
        <w:rPr>
          <w:rFonts w:ascii="Calibri" w:hAnsi="Calibri" w:cs="Calibri"/>
          <w:sz w:val="22"/>
          <w:szCs w:val="22"/>
        </w:rPr>
      </w:pPr>
    </w:p>
    <w:p w14:paraId="46711820" w14:textId="7CB6344D" w:rsidR="00A615C0" w:rsidRPr="00F66DB4" w:rsidRDefault="00A615C0" w:rsidP="00475D3F">
      <w:pPr>
        <w:spacing w:line="360" w:lineRule="auto"/>
        <w:rPr>
          <w:rFonts w:ascii="Calibri" w:hAnsi="Calibri" w:cs="Calibri"/>
          <w:sz w:val="22"/>
          <w:szCs w:val="22"/>
        </w:rPr>
      </w:pPr>
      <w:r w:rsidRPr="00F66DB4">
        <w:rPr>
          <w:rFonts w:ascii="Calibri" w:hAnsi="Calibri" w:cs="Calibri"/>
          <w:sz w:val="22"/>
          <w:szCs w:val="22"/>
        </w:rPr>
        <w:t xml:space="preserve">This approach of building upon existing policy was also evidenced in other aspects of the new guidelines. The </w:t>
      </w:r>
      <w:r w:rsidR="0061141F">
        <w:rPr>
          <w:rFonts w:ascii="Calibri" w:hAnsi="Calibri" w:cs="Calibri"/>
          <w:sz w:val="22"/>
          <w:szCs w:val="22"/>
        </w:rPr>
        <w:t>NPM</w:t>
      </w:r>
      <w:r w:rsidRPr="00F66DB4">
        <w:rPr>
          <w:rFonts w:ascii="Calibri" w:hAnsi="Calibri" w:cs="Calibri"/>
          <w:sz w:val="22"/>
          <w:szCs w:val="22"/>
        </w:rPr>
        <w:t xml:space="preserve"> </w:t>
      </w:r>
      <w:r w:rsidR="0079488F">
        <w:rPr>
          <w:rFonts w:ascii="Calibri" w:hAnsi="Calibri" w:cs="Calibri"/>
          <w:sz w:val="22"/>
          <w:szCs w:val="22"/>
        </w:rPr>
        <w:t xml:space="preserve">already had “credibility” as one TfL stakeholder described and was </w:t>
      </w:r>
      <w:r w:rsidR="0061141F">
        <w:rPr>
          <w:rFonts w:ascii="Calibri" w:hAnsi="Calibri" w:cs="Calibri"/>
          <w:sz w:val="22"/>
          <w:szCs w:val="22"/>
        </w:rPr>
        <w:t xml:space="preserve">therefore </w:t>
      </w:r>
      <w:r w:rsidRPr="00F66DB4">
        <w:rPr>
          <w:rFonts w:ascii="Calibri" w:hAnsi="Calibri" w:cs="Calibri"/>
          <w:sz w:val="22"/>
          <w:szCs w:val="22"/>
        </w:rPr>
        <w:t>selected as the primary measure for assessing products for advertising on TfL</w:t>
      </w:r>
      <w:r w:rsidR="0079488F">
        <w:rPr>
          <w:rFonts w:ascii="Calibri" w:hAnsi="Calibri" w:cs="Calibri"/>
          <w:sz w:val="22"/>
          <w:szCs w:val="22"/>
        </w:rPr>
        <w:t xml:space="preserve">. </w:t>
      </w:r>
      <w:bookmarkStart w:id="4" w:name="_Hlk69044030"/>
      <w:r w:rsidRPr="00F66DB4">
        <w:rPr>
          <w:rFonts w:ascii="Calibri" w:hAnsi="Calibri" w:cs="Calibri"/>
          <w:sz w:val="22"/>
          <w:szCs w:val="22"/>
        </w:rPr>
        <w:t xml:space="preserve">Furthermore, </w:t>
      </w:r>
      <w:r w:rsidR="00C364DE">
        <w:rPr>
          <w:rFonts w:ascii="Calibri" w:hAnsi="Calibri" w:cs="Calibri"/>
          <w:sz w:val="22"/>
          <w:szCs w:val="22"/>
        </w:rPr>
        <w:t xml:space="preserve">stakeholders reported that </w:t>
      </w:r>
      <w:r w:rsidRPr="00F66DB4">
        <w:rPr>
          <w:rFonts w:ascii="Calibri" w:hAnsi="Calibri" w:cs="Calibri"/>
          <w:sz w:val="22"/>
          <w:szCs w:val="22"/>
        </w:rPr>
        <w:t>the policy was developed and refined so that</w:t>
      </w:r>
      <w:r w:rsidR="00C42545">
        <w:rPr>
          <w:rFonts w:ascii="Calibri" w:hAnsi="Calibri" w:cs="Calibri"/>
          <w:sz w:val="22"/>
          <w:szCs w:val="22"/>
        </w:rPr>
        <w:t xml:space="preserve"> the exceptions process would take into account whether </w:t>
      </w:r>
      <w:r w:rsidRPr="00F66DB4">
        <w:rPr>
          <w:rFonts w:ascii="Calibri" w:hAnsi="Calibri" w:cs="Calibri"/>
          <w:sz w:val="22"/>
          <w:szCs w:val="22"/>
        </w:rPr>
        <w:t>products</w:t>
      </w:r>
      <w:r w:rsidR="00C42545">
        <w:rPr>
          <w:rFonts w:ascii="Calibri" w:hAnsi="Calibri" w:cs="Calibri"/>
          <w:sz w:val="22"/>
          <w:szCs w:val="22"/>
        </w:rPr>
        <w:t xml:space="preserve"> </w:t>
      </w:r>
      <w:r w:rsidR="001B3FDA">
        <w:rPr>
          <w:rFonts w:ascii="Calibri" w:hAnsi="Calibri" w:cs="Calibri"/>
          <w:sz w:val="22"/>
          <w:szCs w:val="22"/>
        </w:rPr>
        <w:t>were targeted in existing UK food policy initiatives (</w:t>
      </w:r>
      <w:r w:rsidR="00C42545">
        <w:rPr>
          <w:rFonts w:ascii="Calibri" w:hAnsi="Calibri" w:cs="Calibri"/>
          <w:sz w:val="22"/>
          <w:szCs w:val="22"/>
        </w:rPr>
        <w:t>c</w:t>
      </w:r>
      <w:r w:rsidRPr="00F66DB4">
        <w:rPr>
          <w:rFonts w:ascii="Calibri" w:hAnsi="Calibri" w:cs="Calibri"/>
          <w:sz w:val="22"/>
          <w:szCs w:val="22"/>
        </w:rPr>
        <w:t xml:space="preserve">alorie </w:t>
      </w:r>
      <w:r w:rsidR="00C42545">
        <w:rPr>
          <w:rFonts w:ascii="Calibri" w:hAnsi="Calibri" w:cs="Calibri"/>
          <w:sz w:val="22"/>
          <w:szCs w:val="22"/>
        </w:rPr>
        <w:t>r</w:t>
      </w:r>
      <w:r w:rsidRPr="00F66DB4">
        <w:rPr>
          <w:rFonts w:ascii="Calibri" w:hAnsi="Calibri" w:cs="Calibri"/>
          <w:sz w:val="22"/>
          <w:szCs w:val="22"/>
        </w:rPr>
        <w:t xml:space="preserve">eductions </w:t>
      </w:r>
      <w:r w:rsidR="00C42545">
        <w:rPr>
          <w:rFonts w:ascii="Calibri" w:hAnsi="Calibri" w:cs="Calibri"/>
          <w:sz w:val="22"/>
          <w:szCs w:val="22"/>
        </w:rPr>
        <w:t>categories</w:t>
      </w:r>
      <w:r w:rsidR="001B3FDA">
        <w:rPr>
          <w:rFonts w:ascii="Calibri" w:hAnsi="Calibri" w:cs="Calibri"/>
          <w:sz w:val="22"/>
          <w:szCs w:val="22"/>
        </w:rPr>
        <w:t>,</w:t>
      </w:r>
      <w:r w:rsidR="00ED6A63">
        <w:rPr>
          <w:rFonts w:ascii="Calibri" w:hAnsi="Calibri" w:cs="Calibri"/>
          <w:sz w:val="22"/>
          <w:szCs w:val="22"/>
        </w:rPr>
        <w:t xml:space="preserve"> </w:t>
      </w:r>
      <w:r w:rsidR="00436627">
        <w:rPr>
          <w:rFonts w:ascii="Calibri" w:hAnsi="Calibri" w:cs="Calibri"/>
          <w:sz w:val="22"/>
          <w:szCs w:val="22"/>
        </w:rPr>
        <w:fldChar w:fldCharType="begin"/>
      </w:r>
      <w:r w:rsidR="006D1623">
        <w:rPr>
          <w:rFonts w:ascii="Calibri" w:hAnsi="Calibri" w:cs="Calibri"/>
          <w:sz w:val="22"/>
          <w:szCs w:val="22"/>
        </w:rPr>
        <w:instrText xml:space="preserve"> ADDIN EN.CITE &lt;EndNote&gt;&lt;Cite&gt;&lt;Author&gt;Pyne&lt;/Author&gt;&lt;Year&gt;2020&lt;/Year&gt;&lt;RecNum&gt;6&lt;/RecNum&gt;&lt;DisplayText&gt;(Pyne et al., 2020)&lt;/DisplayText&gt;&lt;record&gt;&lt;rec-number&gt;6&lt;/rec-number&gt;&lt;foreign-keys&gt;&lt;key app="EN" db-id="s9vsxe023afd99ezx5qpv5vrrspsex2xrs00" timestamp="1602936011"&gt;6&lt;/key&gt;&lt;/foreign-keys&gt;&lt;ref-type name="Report"&gt;27&lt;/ref-type&gt;&lt;contributors&gt;&lt;authors&gt;&lt;author&gt;Pyne, V&lt;/author&gt;&lt;author&gt;Montel, S&lt;/author&gt;&lt;author&gt;Targett, V&lt;/author&gt;&lt;author&gt;Little, E&lt;/author&gt;&lt;author&gt;Owtram, G&lt;/author&gt;&lt;author&gt;Tedstone, A&lt;/author&gt;&lt;author&gt;O&amp;apos;Kennedy, E&lt;/author&gt;&lt;/authors&gt;&lt;tertiary-authors&gt;&lt;author&gt;Public Health England&lt;/author&gt;&lt;/tertiary-authors&gt;&lt;/contributors&gt;&lt;titles&gt;&lt;title&gt;Calorie reduction. Technical report: guidelines for industry, 2017 baseline calorie levels and the next steps&lt;/title&gt;&lt;/titles&gt;&lt;dates&gt;&lt;year&gt;2020&lt;/year&gt;&lt;pub-dates&gt;&lt;date&gt;September 2020&lt;/date&gt;&lt;/pub-dates&gt;&lt;/dates&gt;&lt;pub-location&gt;London, England&lt;/pub-location&gt;&lt;publisher&gt;Public Health England&lt;/publisher&gt;&lt;urls&gt;&lt;related-urls&gt;&lt;url&gt;https://assets.publishing.service.gov.uk/government/uploads/system/uploads/attachment_data/file/915367/Calorie_reduction_guidelines-Technical_report_070920-FINAL.pdf&lt;/url&gt;&lt;/related-urls&gt;&lt;/urls&gt;&lt;/record&gt;&lt;/Cite&gt;&lt;/EndNote&gt;</w:instrText>
      </w:r>
      <w:r w:rsidR="00436627">
        <w:rPr>
          <w:rFonts w:ascii="Calibri" w:hAnsi="Calibri" w:cs="Calibri"/>
          <w:sz w:val="22"/>
          <w:szCs w:val="22"/>
        </w:rPr>
        <w:fldChar w:fldCharType="separate"/>
      </w:r>
      <w:r w:rsidR="006D1623">
        <w:rPr>
          <w:rFonts w:ascii="Calibri" w:hAnsi="Calibri" w:cs="Calibri"/>
          <w:noProof/>
          <w:sz w:val="22"/>
          <w:szCs w:val="22"/>
        </w:rPr>
        <w:t>(Pyne et al., 2020)</w:t>
      </w:r>
      <w:r w:rsidR="00436627">
        <w:rPr>
          <w:rFonts w:ascii="Calibri" w:hAnsi="Calibri" w:cs="Calibri"/>
          <w:sz w:val="22"/>
          <w:szCs w:val="22"/>
        </w:rPr>
        <w:fldChar w:fldCharType="end"/>
      </w:r>
      <w:r w:rsidRPr="00F66DB4">
        <w:rPr>
          <w:rFonts w:ascii="Calibri" w:hAnsi="Calibri" w:cs="Calibri"/>
          <w:sz w:val="22"/>
          <w:szCs w:val="22"/>
        </w:rPr>
        <w:t xml:space="preserve"> the soft drinks industry levy</w:t>
      </w:r>
      <w:r w:rsidR="002E6A72">
        <w:rPr>
          <w:rFonts w:ascii="Calibri" w:hAnsi="Calibri" w:cs="Calibri"/>
          <w:sz w:val="22"/>
          <w:szCs w:val="22"/>
        </w:rPr>
        <w:t xml:space="preserve"> </w:t>
      </w:r>
      <w:r w:rsidR="002E6A72">
        <w:rPr>
          <w:rFonts w:ascii="Calibri" w:hAnsi="Calibri" w:cs="Calibri"/>
          <w:sz w:val="22"/>
          <w:szCs w:val="22"/>
        </w:rPr>
        <w:fldChar w:fldCharType="begin"/>
      </w:r>
      <w:r w:rsidR="002E6A72">
        <w:rPr>
          <w:rFonts w:ascii="Calibri" w:hAnsi="Calibri" w:cs="Calibri"/>
          <w:sz w:val="22"/>
          <w:szCs w:val="22"/>
        </w:rPr>
        <w:instrText xml:space="preserve"> ADDIN EN.CITE &lt;EndNote&gt;&lt;Cite&gt;&lt;Author&gt;HM Revenue &amp;amp; Customs&lt;/Author&gt;&lt;Year&gt;2018&lt;/Year&gt;&lt;RecNum&gt;7&lt;/RecNum&gt;&lt;DisplayText&gt;(HM Revenue &amp;amp; Customs, 2018)&lt;/DisplayText&gt;&lt;record&gt;&lt;rec-number&gt;7&lt;/rec-number&gt;&lt;foreign-keys&gt;&lt;key app="EN" db-id="s9vsxe023afd99ezx5qpv5vrrspsex2xrs00" timestamp="1602936393"&gt;7&lt;/key&gt;&lt;/foreign-keys&gt;&lt;ref-type name="Web Page"&gt;12&lt;/ref-type&gt;&lt;contributors&gt;&lt;authors&gt;&lt;author&gt;HM Revenue &amp;amp; Customs,&lt;/author&gt;&lt;/authors&gt;&lt;/contributors&gt;&lt;titles&gt;&lt;title&gt;Guidance: Check if your drink is liable for the Soft Drinks Industry Levy&lt;/title&gt;&lt;/titles&gt;&lt;volume&gt;2020&lt;/volume&gt;&lt;number&gt;17 October 2020&lt;/number&gt;&lt;dates&gt;&lt;year&gt;2018&lt;/year&gt;&lt;/dates&gt;&lt;publisher&gt;HM Revenue &amp;amp; Customs&lt;/publisher&gt;&lt;urls&gt;&lt;related-urls&gt;&lt;url&gt;https://www.gov.uk/guidance/check-if-your-drink-is-liable-for-the-soft-drinks-industry-levy&lt;/url&gt;&lt;/related-urls&gt;&lt;/urls&gt;&lt;/record&gt;&lt;/Cite&gt;&lt;/EndNote&gt;</w:instrText>
      </w:r>
      <w:r w:rsidR="002E6A72">
        <w:rPr>
          <w:rFonts w:ascii="Calibri" w:hAnsi="Calibri" w:cs="Calibri"/>
          <w:sz w:val="22"/>
          <w:szCs w:val="22"/>
        </w:rPr>
        <w:fldChar w:fldCharType="separate"/>
      </w:r>
      <w:r w:rsidR="002E6A72">
        <w:rPr>
          <w:rFonts w:ascii="Calibri" w:hAnsi="Calibri" w:cs="Calibri"/>
          <w:noProof/>
          <w:sz w:val="22"/>
          <w:szCs w:val="22"/>
        </w:rPr>
        <w:t>(HM Revenue &amp; Customs, 2018)</w:t>
      </w:r>
      <w:r w:rsidR="002E6A72">
        <w:rPr>
          <w:rFonts w:ascii="Calibri" w:hAnsi="Calibri" w:cs="Calibri"/>
          <w:sz w:val="22"/>
          <w:szCs w:val="22"/>
        </w:rPr>
        <w:fldChar w:fldCharType="end"/>
      </w:r>
      <w:r w:rsidR="001B3FDA">
        <w:rPr>
          <w:rFonts w:ascii="Calibri" w:hAnsi="Calibri" w:cs="Calibri"/>
          <w:sz w:val="22"/>
          <w:szCs w:val="22"/>
        </w:rPr>
        <w:t xml:space="preserve"> </w:t>
      </w:r>
      <w:r w:rsidR="0061141F">
        <w:rPr>
          <w:rFonts w:ascii="Calibri" w:hAnsi="Calibri" w:cs="Calibri"/>
          <w:sz w:val="22"/>
          <w:szCs w:val="22"/>
        </w:rPr>
        <w:t>or other</w:t>
      </w:r>
      <w:r w:rsidR="007D18CC">
        <w:rPr>
          <w:rFonts w:ascii="Calibri" w:hAnsi="Calibri" w:cs="Calibri"/>
          <w:sz w:val="22"/>
          <w:szCs w:val="22"/>
        </w:rPr>
        <w:t xml:space="preserve"> sugar reduction </w:t>
      </w:r>
      <w:r w:rsidR="0061141F">
        <w:rPr>
          <w:rFonts w:ascii="Calibri" w:hAnsi="Calibri" w:cs="Calibri"/>
          <w:sz w:val="22"/>
          <w:szCs w:val="22"/>
        </w:rPr>
        <w:t>strategies</w:t>
      </w:r>
      <w:r w:rsidR="007A312D">
        <w:rPr>
          <w:rFonts w:ascii="Calibri" w:hAnsi="Calibri" w:cs="Calibri"/>
          <w:sz w:val="22"/>
          <w:szCs w:val="22"/>
        </w:rPr>
        <w:fldChar w:fldCharType="begin"/>
      </w:r>
      <w:r w:rsidR="000F2510">
        <w:rPr>
          <w:rFonts w:ascii="Calibri" w:hAnsi="Calibri" w:cs="Calibri"/>
          <w:sz w:val="22"/>
          <w:szCs w:val="22"/>
        </w:rPr>
        <w:instrText xml:space="preserve"> ADDIN EN.CITE &lt;EndNote&gt;&lt;Cite ExcludeAuth="1" ExcludeYear="1"&gt;&lt;Author&gt;Thompson&lt;/Author&gt;&lt;Year&gt;2011&lt;/Year&gt;&lt;RecNum&gt;26&lt;/RecNum&gt;&lt;record&gt;&lt;rec-number&gt;26&lt;/rec-number&gt;&lt;foreign-keys&gt;&lt;key app="EN" db-id="s9vsxe023afd99ezx5qpv5vrrspsex2xrs00" timestamp="1618306780"&gt;26&lt;/key&gt;&lt;/foreign-keys&gt;&lt;ref-type name="Conference Paper"&gt;47&lt;/ref-type&gt;&lt;contributors&gt;&lt;authors&gt;&lt;author&gt;Thompson, C.&lt;/author&gt;&lt;author&gt;Cummins, S.&lt;/author&gt;&lt;author&gt;Kyle, R.&lt;/author&gt;&lt;author&gt;Brown, T.&lt;/author&gt;&lt;/authors&gt;&lt;/contributors&gt;&lt;titles&gt;&lt;title&gt;The go-along interview:  conducting interviews and observations on accompanied food shopping trips&lt;/title&gt;&lt;secondary-title&gt;British Sociological Association Annual Conference, 60 years of Sociology&lt;/secondary-title&gt;&lt;/titles&gt;&lt;num-vols&gt;Round table discussion&lt;/num-vols&gt;&lt;dates&gt;&lt;year&gt;2011&lt;/year&gt;&lt;/dates&gt;&lt;pub-location&gt;London School of Economics&lt;/pub-location&gt;&lt;urls&gt;&lt;/urls&gt;&lt;/record&gt;&lt;/Cite&gt;&lt;/EndNote&gt;</w:instrText>
      </w:r>
      <w:r w:rsidR="007A312D">
        <w:rPr>
          <w:rFonts w:ascii="Calibri" w:hAnsi="Calibri" w:cs="Calibri"/>
          <w:sz w:val="22"/>
          <w:szCs w:val="22"/>
        </w:rPr>
        <w:fldChar w:fldCharType="end"/>
      </w:r>
      <w:bookmarkEnd w:id="4"/>
      <w:r w:rsidR="001B3FDA">
        <w:rPr>
          <w:rFonts w:ascii="Calibri" w:hAnsi="Calibri" w:cs="Calibri"/>
          <w:sz w:val="22"/>
          <w:szCs w:val="22"/>
        </w:rPr>
        <w:t>).</w:t>
      </w:r>
    </w:p>
    <w:p w14:paraId="1B1C7230" w14:textId="77777777" w:rsidR="00A615C0" w:rsidRPr="00C319B4" w:rsidRDefault="00A615C0" w:rsidP="00475D3F">
      <w:pPr>
        <w:spacing w:line="360" w:lineRule="auto"/>
        <w:rPr>
          <w:lang w:eastAsia="en-US"/>
        </w:rPr>
      </w:pPr>
    </w:p>
    <w:p w14:paraId="30EDF8E2" w14:textId="34B52CCD" w:rsidR="00684DA4" w:rsidRPr="00C319B4" w:rsidRDefault="007B10F6" w:rsidP="00475D3F">
      <w:pPr>
        <w:spacing w:line="360" w:lineRule="auto"/>
        <w:rPr>
          <w:rFonts w:ascii="Calibri" w:hAnsi="Calibri" w:cs="Calibri"/>
          <w:b/>
          <w:bCs/>
          <w:sz w:val="22"/>
          <w:szCs w:val="22"/>
        </w:rPr>
      </w:pPr>
      <w:r>
        <w:rPr>
          <w:rFonts w:ascii="Calibri" w:hAnsi="Calibri" w:cs="Calibri"/>
          <w:b/>
          <w:bCs/>
          <w:sz w:val="22"/>
          <w:szCs w:val="22"/>
        </w:rPr>
        <w:t>Differential</w:t>
      </w:r>
      <w:r w:rsidR="00684DA4" w:rsidRPr="00C319B4">
        <w:rPr>
          <w:rFonts w:ascii="Calibri" w:hAnsi="Calibri" w:cs="Calibri"/>
          <w:b/>
          <w:bCs/>
          <w:sz w:val="22"/>
          <w:szCs w:val="22"/>
        </w:rPr>
        <w:t xml:space="preserve"> impact</w:t>
      </w:r>
      <w:r>
        <w:rPr>
          <w:rFonts w:ascii="Calibri" w:hAnsi="Calibri" w:cs="Calibri"/>
          <w:b/>
          <w:bCs/>
          <w:sz w:val="22"/>
          <w:szCs w:val="22"/>
        </w:rPr>
        <w:t>s</w:t>
      </w:r>
      <w:r w:rsidR="00684DA4" w:rsidRPr="00C319B4">
        <w:rPr>
          <w:rFonts w:ascii="Calibri" w:hAnsi="Calibri" w:cs="Calibri"/>
          <w:b/>
          <w:bCs/>
          <w:sz w:val="22"/>
          <w:szCs w:val="22"/>
        </w:rPr>
        <w:t xml:space="preserve"> on industry stakeholders</w:t>
      </w:r>
    </w:p>
    <w:p w14:paraId="0F759F6B" w14:textId="04DE2048" w:rsidR="000350A8" w:rsidRPr="00F66DB4" w:rsidRDefault="00684DA4" w:rsidP="00475D3F">
      <w:pPr>
        <w:spacing w:line="360" w:lineRule="auto"/>
        <w:rPr>
          <w:rFonts w:ascii="Calibri" w:hAnsi="Calibri" w:cs="Calibri"/>
          <w:sz w:val="22"/>
          <w:szCs w:val="22"/>
        </w:rPr>
      </w:pPr>
      <w:r w:rsidRPr="00F66DB4">
        <w:rPr>
          <w:rFonts w:ascii="Calibri" w:hAnsi="Calibri" w:cs="Calibri"/>
          <w:sz w:val="22"/>
          <w:szCs w:val="22"/>
        </w:rPr>
        <w:t xml:space="preserve">Participants </w:t>
      </w:r>
      <w:r w:rsidR="004D2939">
        <w:rPr>
          <w:rFonts w:ascii="Calibri" w:hAnsi="Calibri" w:cs="Calibri"/>
          <w:sz w:val="22"/>
          <w:szCs w:val="22"/>
        </w:rPr>
        <w:t>reported</w:t>
      </w:r>
      <w:r w:rsidRPr="00F66DB4">
        <w:rPr>
          <w:rFonts w:ascii="Calibri" w:hAnsi="Calibri" w:cs="Calibri"/>
          <w:sz w:val="22"/>
          <w:szCs w:val="22"/>
        </w:rPr>
        <w:t xml:space="preserve"> that</w:t>
      </w:r>
      <w:r w:rsidR="004A3580">
        <w:rPr>
          <w:rFonts w:ascii="Calibri" w:hAnsi="Calibri" w:cs="Calibri"/>
          <w:sz w:val="22"/>
          <w:szCs w:val="22"/>
        </w:rPr>
        <w:t xml:space="preserve"> </w:t>
      </w:r>
      <w:r w:rsidRPr="00F66DB4">
        <w:rPr>
          <w:rFonts w:ascii="Calibri" w:hAnsi="Calibri" w:cs="Calibri"/>
          <w:sz w:val="22"/>
          <w:szCs w:val="22"/>
        </w:rPr>
        <w:t xml:space="preserve">alternative </w:t>
      </w:r>
      <w:r w:rsidR="004A3580">
        <w:rPr>
          <w:rFonts w:ascii="Calibri" w:hAnsi="Calibri" w:cs="Calibri"/>
          <w:sz w:val="22"/>
          <w:szCs w:val="22"/>
        </w:rPr>
        <w:t>advertising</w:t>
      </w:r>
      <w:r w:rsidR="004A3580" w:rsidRPr="00F66DB4">
        <w:rPr>
          <w:rFonts w:ascii="Calibri" w:hAnsi="Calibri" w:cs="Calibri"/>
          <w:sz w:val="22"/>
          <w:szCs w:val="22"/>
        </w:rPr>
        <w:t xml:space="preserve"> </w:t>
      </w:r>
      <w:r w:rsidRPr="00F66DB4">
        <w:rPr>
          <w:rFonts w:ascii="Calibri" w:hAnsi="Calibri" w:cs="Calibri"/>
          <w:sz w:val="22"/>
          <w:szCs w:val="22"/>
        </w:rPr>
        <w:t>options and the impact of the policy differe</w:t>
      </w:r>
      <w:r>
        <w:rPr>
          <w:rFonts w:ascii="Calibri" w:hAnsi="Calibri" w:cs="Calibri"/>
          <w:sz w:val="22"/>
          <w:szCs w:val="22"/>
        </w:rPr>
        <w:t>d</w:t>
      </w:r>
      <w:r w:rsidRPr="00F66DB4">
        <w:rPr>
          <w:rFonts w:ascii="Calibri" w:hAnsi="Calibri" w:cs="Calibri"/>
          <w:sz w:val="22"/>
          <w:szCs w:val="22"/>
        </w:rPr>
        <w:t xml:space="preserve"> </w:t>
      </w:r>
      <w:r>
        <w:rPr>
          <w:rFonts w:ascii="Calibri" w:hAnsi="Calibri" w:cs="Calibri"/>
          <w:sz w:val="22"/>
          <w:szCs w:val="22"/>
        </w:rPr>
        <w:t>for</w:t>
      </w:r>
      <w:r w:rsidRPr="00F66DB4">
        <w:rPr>
          <w:rFonts w:ascii="Calibri" w:hAnsi="Calibri" w:cs="Calibri"/>
          <w:sz w:val="22"/>
          <w:szCs w:val="22"/>
        </w:rPr>
        <w:t xml:space="preserve"> different industry actors. </w:t>
      </w:r>
      <w:r w:rsidR="000350A8">
        <w:rPr>
          <w:rFonts w:ascii="Calibri" w:hAnsi="Calibri" w:cs="Calibri"/>
          <w:sz w:val="22"/>
          <w:szCs w:val="22"/>
        </w:rPr>
        <w:t>For example, i</w:t>
      </w:r>
      <w:r w:rsidR="000350A8" w:rsidRPr="00F66DB4">
        <w:rPr>
          <w:rFonts w:ascii="Calibri" w:hAnsi="Calibri" w:cs="Calibri"/>
          <w:sz w:val="22"/>
          <w:szCs w:val="22"/>
        </w:rPr>
        <w:t xml:space="preserve">mplementation and industry stakeholders highlighted </w:t>
      </w:r>
      <w:r w:rsidR="000350A8">
        <w:rPr>
          <w:rFonts w:ascii="Calibri" w:hAnsi="Calibri" w:cs="Calibri"/>
          <w:sz w:val="22"/>
          <w:szCs w:val="22"/>
        </w:rPr>
        <w:t xml:space="preserve">that food-delivery platforms </w:t>
      </w:r>
      <w:r w:rsidR="000350A8">
        <w:rPr>
          <w:rFonts w:ascii="Calibri" w:hAnsi="Calibri" w:cs="Calibri"/>
          <w:sz w:val="22"/>
          <w:szCs w:val="22"/>
        </w:rPr>
        <w:fldChar w:fldCharType="begin"/>
      </w:r>
      <w:r w:rsidR="000F2510">
        <w:rPr>
          <w:rFonts w:ascii="Calibri" w:hAnsi="Calibri" w:cs="Calibri"/>
          <w:sz w:val="22"/>
          <w:szCs w:val="22"/>
        </w:rPr>
        <w:instrText xml:space="preserve"> ADDIN EN.CITE &lt;EndNote&gt;&lt;Cite&gt;&lt;Author&gt;Hirschberg&lt;/Author&gt;&lt;Year&gt;2016&lt;/Year&gt;&lt;RecNum&gt;3&lt;/RecNum&gt;&lt;DisplayText&gt;(Hirschberg et al., 2016)&lt;/DisplayText&gt;&lt;record&gt;&lt;rec-number&gt;3&lt;/rec-number&gt;&lt;foreign-keys&gt;&lt;key app="EN" db-id="s9vsxe023afd99ezx5qpv5vrrspsex2xrs00" timestamp="1602770095"&gt;3&lt;/key&gt;&lt;/foreign-keys&gt;&lt;ref-type name="Web Page"&gt;12&lt;/ref-type&gt;&lt;contributors&gt;&lt;authors&gt;&lt;author&gt;Hirschberg, C&lt;/author&gt;&lt;author&gt;Rajko, A&lt;/author&gt;&lt;author&gt;Schumacher, T&lt;/author&gt;&lt;author&gt;Wrulich, M&lt;/author&gt;&lt;/authors&gt;&lt;/contributors&gt;&lt;titles&gt;&lt;title&gt;The changing market for food delivery&lt;/title&gt;&lt;/titles&gt;&lt;volume&gt;2020&lt;/volume&gt;&lt;number&gt;15 October 2020&lt;/number&gt;&lt;dates&gt;&lt;year&gt;2016&lt;/year&gt;&lt;/dates&gt;&lt;publisher&gt;McKinsey &amp;amp; Company&lt;/publisher&gt;&lt;urls&gt;&lt;related-urls&gt;&lt;url&gt;https://www.mckinsey.com/industries/technology-media-and-telecommunications/our-insights/the-changing-market-for-food-delivery#&lt;/url&gt;&lt;/related-urls&gt;&lt;/urls&gt;&lt;/record&gt;&lt;/Cite&gt;&lt;/EndNote&gt;</w:instrText>
      </w:r>
      <w:r w:rsidR="000350A8">
        <w:rPr>
          <w:rFonts w:ascii="Calibri" w:hAnsi="Calibri" w:cs="Calibri"/>
          <w:sz w:val="22"/>
          <w:szCs w:val="22"/>
        </w:rPr>
        <w:fldChar w:fldCharType="separate"/>
      </w:r>
      <w:r w:rsidR="000F2510">
        <w:rPr>
          <w:rFonts w:ascii="Calibri" w:hAnsi="Calibri" w:cs="Calibri"/>
          <w:noProof/>
          <w:sz w:val="22"/>
          <w:szCs w:val="22"/>
        </w:rPr>
        <w:t>(Hirschberg et al., 2016)</w:t>
      </w:r>
      <w:r w:rsidR="000350A8">
        <w:rPr>
          <w:rFonts w:ascii="Calibri" w:hAnsi="Calibri" w:cs="Calibri"/>
          <w:sz w:val="22"/>
          <w:szCs w:val="22"/>
        </w:rPr>
        <w:fldChar w:fldCharType="end"/>
      </w:r>
      <w:r w:rsidR="000350A8">
        <w:rPr>
          <w:rFonts w:ascii="Calibri" w:hAnsi="Calibri" w:cs="Calibri"/>
          <w:sz w:val="22"/>
          <w:szCs w:val="22"/>
        </w:rPr>
        <w:t xml:space="preserve"> who often </w:t>
      </w:r>
      <w:r w:rsidR="000350A8" w:rsidRPr="00F66DB4">
        <w:rPr>
          <w:rFonts w:ascii="Calibri" w:hAnsi="Calibri" w:cs="Calibri"/>
          <w:sz w:val="22"/>
          <w:szCs w:val="22"/>
        </w:rPr>
        <w:t xml:space="preserve">advertise </w:t>
      </w:r>
      <w:r w:rsidR="000350A8">
        <w:rPr>
          <w:rFonts w:ascii="Calibri" w:hAnsi="Calibri" w:cs="Calibri"/>
          <w:sz w:val="22"/>
          <w:szCs w:val="22"/>
        </w:rPr>
        <w:t xml:space="preserve">using </w:t>
      </w:r>
      <w:r w:rsidR="000350A8" w:rsidRPr="00F66DB4">
        <w:rPr>
          <w:rFonts w:ascii="Calibri" w:hAnsi="Calibri" w:cs="Calibri"/>
          <w:sz w:val="22"/>
          <w:szCs w:val="22"/>
        </w:rPr>
        <w:t>generic examples of popular foods</w:t>
      </w:r>
      <w:r w:rsidR="000350A8">
        <w:rPr>
          <w:rFonts w:ascii="Calibri" w:hAnsi="Calibri" w:cs="Calibri"/>
          <w:sz w:val="22"/>
          <w:szCs w:val="22"/>
        </w:rPr>
        <w:t>, rather than branded products,</w:t>
      </w:r>
      <w:r w:rsidR="000350A8" w:rsidRPr="000350A8">
        <w:rPr>
          <w:rFonts w:ascii="Calibri" w:hAnsi="Calibri" w:cs="Calibri"/>
          <w:sz w:val="22"/>
          <w:szCs w:val="22"/>
        </w:rPr>
        <w:t xml:space="preserve"> </w:t>
      </w:r>
      <w:r w:rsidR="000350A8">
        <w:rPr>
          <w:rFonts w:ascii="Calibri" w:hAnsi="Calibri" w:cs="Calibri"/>
          <w:sz w:val="22"/>
          <w:szCs w:val="22"/>
        </w:rPr>
        <w:t xml:space="preserve">faced challenges others </w:t>
      </w:r>
      <w:r w:rsidR="001334E2">
        <w:rPr>
          <w:rFonts w:ascii="Calibri" w:hAnsi="Calibri" w:cs="Calibri"/>
          <w:sz w:val="22"/>
          <w:szCs w:val="22"/>
        </w:rPr>
        <w:t xml:space="preserve">did not </w:t>
      </w:r>
      <w:r w:rsidR="000350A8">
        <w:rPr>
          <w:rFonts w:ascii="Calibri" w:hAnsi="Calibri" w:cs="Calibri"/>
          <w:sz w:val="22"/>
          <w:szCs w:val="22"/>
        </w:rPr>
        <w:t>in nutritionally profiling their products</w:t>
      </w:r>
      <w:r w:rsidR="000350A8" w:rsidRPr="00F66DB4">
        <w:rPr>
          <w:rFonts w:ascii="Calibri" w:hAnsi="Calibri" w:cs="Calibri"/>
          <w:sz w:val="22"/>
          <w:szCs w:val="22"/>
        </w:rPr>
        <w:t xml:space="preserve">. </w:t>
      </w:r>
      <w:r w:rsidR="000350A8">
        <w:rPr>
          <w:rFonts w:ascii="Calibri" w:hAnsi="Calibri" w:cs="Calibri"/>
          <w:sz w:val="22"/>
          <w:szCs w:val="22"/>
        </w:rPr>
        <w:t>Policy i</w:t>
      </w:r>
      <w:r w:rsidR="000350A8" w:rsidRPr="00F66DB4">
        <w:rPr>
          <w:rFonts w:ascii="Calibri" w:hAnsi="Calibri" w:cs="Calibri"/>
          <w:sz w:val="22"/>
          <w:szCs w:val="22"/>
        </w:rPr>
        <w:t xml:space="preserve">mplementers were not satisfied with </w:t>
      </w:r>
      <w:r w:rsidR="0061141F">
        <w:rPr>
          <w:rFonts w:ascii="Calibri" w:hAnsi="Calibri" w:cs="Calibri"/>
          <w:sz w:val="22"/>
          <w:szCs w:val="22"/>
        </w:rPr>
        <w:t xml:space="preserve">the accuracy of nutritionally profiling </w:t>
      </w:r>
      <w:r w:rsidR="000350A8">
        <w:rPr>
          <w:rFonts w:ascii="Calibri" w:hAnsi="Calibri" w:cs="Calibri"/>
          <w:sz w:val="22"/>
          <w:szCs w:val="22"/>
        </w:rPr>
        <w:t>generic</w:t>
      </w:r>
      <w:r w:rsidR="000350A8" w:rsidRPr="00F66DB4">
        <w:rPr>
          <w:rFonts w:ascii="Calibri" w:hAnsi="Calibri" w:cs="Calibri"/>
          <w:sz w:val="22"/>
          <w:szCs w:val="22"/>
        </w:rPr>
        <w:t xml:space="preserve"> images. </w:t>
      </w:r>
      <w:r w:rsidR="0061141F">
        <w:rPr>
          <w:rFonts w:ascii="Calibri" w:hAnsi="Calibri" w:cs="Calibri"/>
          <w:sz w:val="22"/>
          <w:szCs w:val="22"/>
        </w:rPr>
        <w:t>However, i</w:t>
      </w:r>
      <w:r w:rsidR="000350A8">
        <w:rPr>
          <w:rFonts w:ascii="Calibri" w:hAnsi="Calibri" w:cs="Calibri"/>
          <w:sz w:val="22"/>
          <w:szCs w:val="22"/>
        </w:rPr>
        <w:t xml:space="preserve">ndustry stakeholders </w:t>
      </w:r>
      <w:r w:rsidR="000350A8" w:rsidRPr="00F66DB4">
        <w:rPr>
          <w:rFonts w:ascii="Calibri" w:hAnsi="Calibri" w:cs="Calibri"/>
          <w:sz w:val="22"/>
          <w:szCs w:val="22"/>
        </w:rPr>
        <w:t>argued that availability of specific products varied by location</w:t>
      </w:r>
      <w:r w:rsidR="0061141F">
        <w:rPr>
          <w:rFonts w:ascii="Calibri" w:hAnsi="Calibri" w:cs="Calibri"/>
          <w:sz w:val="22"/>
          <w:szCs w:val="22"/>
        </w:rPr>
        <w:t>,</w:t>
      </w:r>
      <w:r w:rsidR="000350A8">
        <w:rPr>
          <w:rFonts w:ascii="Calibri" w:hAnsi="Calibri" w:cs="Calibri"/>
          <w:sz w:val="22"/>
          <w:szCs w:val="22"/>
        </w:rPr>
        <w:t xml:space="preserve"> for example, </w:t>
      </w:r>
      <w:r w:rsidR="0061141F">
        <w:rPr>
          <w:rFonts w:ascii="Calibri" w:hAnsi="Calibri" w:cs="Calibri"/>
          <w:sz w:val="22"/>
          <w:szCs w:val="22"/>
        </w:rPr>
        <w:t xml:space="preserve">a </w:t>
      </w:r>
      <w:r w:rsidR="000350A8">
        <w:rPr>
          <w:rFonts w:ascii="Calibri" w:hAnsi="Calibri" w:cs="Calibri"/>
          <w:sz w:val="22"/>
          <w:szCs w:val="22"/>
        </w:rPr>
        <w:t>dish available from a local restaurant at one end of a</w:t>
      </w:r>
      <w:r w:rsidR="00475E23">
        <w:rPr>
          <w:rFonts w:ascii="Calibri" w:hAnsi="Calibri" w:cs="Calibri"/>
          <w:sz w:val="22"/>
          <w:szCs w:val="22"/>
        </w:rPr>
        <w:t xml:space="preserve"> public transport route</w:t>
      </w:r>
      <w:r w:rsidR="000350A8">
        <w:rPr>
          <w:rFonts w:ascii="Calibri" w:hAnsi="Calibri" w:cs="Calibri"/>
          <w:sz w:val="22"/>
          <w:szCs w:val="22"/>
        </w:rPr>
        <w:t xml:space="preserve"> might not be available at the other</w:t>
      </w:r>
      <w:r w:rsidR="0061141F">
        <w:rPr>
          <w:rFonts w:ascii="Calibri" w:hAnsi="Calibri" w:cs="Calibri"/>
          <w:sz w:val="22"/>
          <w:szCs w:val="22"/>
        </w:rPr>
        <w:t>.</w:t>
      </w:r>
      <w:r w:rsidR="000350A8">
        <w:rPr>
          <w:rFonts w:ascii="Calibri" w:hAnsi="Calibri" w:cs="Calibri"/>
          <w:sz w:val="22"/>
          <w:szCs w:val="22"/>
        </w:rPr>
        <w:t xml:space="preserve"> </w:t>
      </w:r>
      <w:r w:rsidR="0061141F">
        <w:rPr>
          <w:rFonts w:ascii="Calibri" w:hAnsi="Calibri" w:cs="Calibri"/>
          <w:sz w:val="22"/>
          <w:szCs w:val="22"/>
        </w:rPr>
        <w:t>T</w:t>
      </w:r>
      <w:r w:rsidR="000350A8" w:rsidRPr="00F66DB4">
        <w:rPr>
          <w:rFonts w:ascii="Calibri" w:hAnsi="Calibri" w:cs="Calibri"/>
          <w:sz w:val="22"/>
          <w:szCs w:val="22"/>
        </w:rPr>
        <w:t xml:space="preserve">hey </w:t>
      </w:r>
      <w:r w:rsidR="0061141F">
        <w:rPr>
          <w:rFonts w:ascii="Calibri" w:hAnsi="Calibri" w:cs="Calibri"/>
          <w:sz w:val="22"/>
          <w:szCs w:val="22"/>
        </w:rPr>
        <w:t xml:space="preserve">also </w:t>
      </w:r>
      <w:r w:rsidR="00B76A7F">
        <w:rPr>
          <w:rFonts w:ascii="Calibri" w:hAnsi="Calibri" w:cs="Calibri"/>
          <w:sz w:val="22"/>
          <w:szCs w:val="22"/>
        </w:rPr>
        <w:t xml:space="preserve">reported </w:t>
      </w:r>
      <w:r w:rsidR="000350A8" w:rsidRPr="00F66DB4">
        <w:rPr>
          <w:rFonts w:ascii="Calibri" w:hAnsi="Calibri" w:cs="Calibri"/>
          <w:sz w:val="22"/>
          <w:szCs w:val="22"/>
        </w:rPr>
        <w:t>fac</w:t>
      </w:r>
      <w:r w:rsidR="00B76A7F">
        <w:rPr>
          <w:rFonts w:ascii="Calibri" w:hAnsi="Calibri" w:cs="Calibri"/>
          <w:sz w:val="22"/>
          <w:szCs w:val="22"/>
        </w:rPr>
        <w:t>ing</w:t>
      </w:r>
      <w:r w:rsidR="000350A8" w:rsidRPr="00F66DB4">
        <w:rPr>
          <w:rFonts w:ascii="Calibri" w:hAnsi="Calibri" w:cs="Calibri"/>
          <w:sz w:val="22"/>
          <w:szCs w:val="22"/>
        </w:rPr>
        <w:t xml:space="preserve"> challenges obtaining the </w:t>
      </w:r>
      <w:r w:rsidR="000350A8">
        <w:rPr>
          <w:rFonts w:ascii="Calibri" w:hAnsi="Calibri" w:cs="Calibri"/>
          <w:sz w:val="22"/>
          <w:szCs w:val="22"/>
        </w:rPr>
        <w:t xml:space="preserve">exact </w:t>
      </w:r>
      <w:r w:rsidR="000350A8" w:rsidRPr="00F66DB4">
        <w:rPr>
          <w:rFonts w:ascii="Calibri" w:hAnsi="Calibri" w:cs="Calibri"/>
          <w:sz w:val="22"/>
          <w:szCs w:val="22"/>
        </w:rPr>
        <w:t>nutritional content of the products advertised on their platforms</w:t>
      </w:r>
      <w:r w:rsidR="00B76A7F">
        <w:rPr>
          <w:rFonts w:ascii="Calibri" w:hAnsi="Calibri" w:cs="Calibri"/>
          <w:sz w:val="22"/>
          <w:szCs w:val="22"/>
        </w:rPr>
        <w:t>,</w:t>
      </w:r>
      <w:r w:rsidR="000350A8">
        <w:rPr>
          <w:rFonts w:ascii="Calibri" w:hAnsi="Calibri" w:cs="Calibri"/>
          <w:sz w:val="22"/>
          <w:szCs w:val="22"/>
        </w:rPr>
        <w:t xml:space="preserve"> as they were often from the independent sector </w:t>
      </w:r>
      <w:r w:rsidR="0061141F">
        <w:rPr>
          <w:rFonts w:ascii="Calibri" w:hAnsi="Calibri" w:cs="Calibri"/>
          <w:sz w:val="22"/>
          <w:szCs w:val="22"/>
        </w:rPr>
        <w:t xml:space="preserve">as opposed to </w:t>
      </w:r>
      <w:r w:rsidR="004D2939">
        <w:rPr>
          <w:rFonts w:ascii="Calibri" w:hAnsi="Calibri" w:cs="Calibri"/>
          <w:sz w:val="22"/>
          <w:szCs w:val="22"/>
        </w:rPr>
        <w:t xml:space="preserve">from </w:t>
      </w:r>
      <w:r w:rsidR="000350A8">
        <w:rPr>
          <w:rFonts w:ascii="Calibri" w:hAnsi="Calibri" w:cs="Calibri"/>
          <w:sz w:val="22"/>
          <w:szCs w:val="22"/>
        </w:rPr>
        <w:t>chains</w:t>
      </w:r>
      <w:r w:rsidR="000350A8" w:rsidRPr="00F66DB4">
        <w:rPr>
          <w:rFonts w:ascii="Calibri" w:hAnsi="Calibri" w:cs="Calibri"/>
          <w:sz w:val="22"/>
          <w:szCs w:val="22"/>
        </w:rPr>
        <w:t>. Participant accounts suggest that</w:t>
      </w:r>
      <w:r w:rsidR="006022C7">
        <w:rPr>
          <w:rFonts w:ascii="Calibri" w:hAnsi="Calibri" w:cs="Calibri"/>
          <w:sz w:val="22"/>
          <w:szCs w:val="22"/>
        </w:rPr>
        <w:t>,</w:t>
      </w:r>
      <w:r w:rsidR="000350A8" w:rsidRPr="00F66DB4">
        <w:rPr>
          <w:rFonts w:ascii="Calibri" w:hAnsi="Calibri" w:cs="Calibri"/>
          <w:sz w:val="22"/>
          <w:szCs w:val="22"/>
        </w:rPr>
        <w:t xml:space="preserve"> for the moment</w:t>
      </w:r>
      <w:r w:rsidR="006022C7">
        <w:rPr>
          <w:rFonts w:ascii="Calibri" w:hAnsi="Calibri" w:cs="Calibri"/>
          <w:sz w:val="22"/>
          <w:szCs w:val="22"/>
        </w:rPr>
        <w:t>,</w:t>
      </w:r>
      <w:r w:rsidR="000350A8" w:rsidRPr="00F66DB4">
        <w:rPr>
          <w:rFonts w:ascii="Calibri" w:hAnsi="Calibri" w:cs="Calibri"/>
          <w:sz w:val="22"/>
          <w:szCs w:val="22"/>
        </w:rPr>
        <w:t xml:space="preserve"> this has been resolved by building up a database of specific, non-HFSS products which </w:t>
      </w:r>
      <w:r w:rsidR="004D2939">
        <w:rPr>
          <w:rFonts w:ascii="Calibri" w:hAnsi="Calibri" w:cs="Calibri"/>
          <w:sz w:val="22"/>
          <w:szCs w:val="22"/>
        </w:rPr>
        <w:t>could</w:t>
      </w:r>
      <w:r w:rsidR="000350A8" w:rsidRPr="00F66DB4">
        <w:rPr>
          <w:rFonts w:ascii="Calibri" w:hAnsi="Calibri" w:cs="Calibri"/>
          <w:sz w:val="22"/>
          <w:szCs w:val="22"/>
        </w:rPr>
        <w:t xml:space="preserve"> be advertised</w:t>
      </w:r>
      <w:r w:rsidR="00C910D3">
        <w:rPr>
          <w:rFonts w:ascii="Calibri" w:hAnsi="Calibri" w:cs="Calibri"/>
          <w:sz w:val="22"/>
          <w:szCs w:val="22"/>
        </w:rPr>
        <w:t>.  Al</w:t>
      </w:r>
      <w:r w:rsidR="000350A8" w:rsidRPr="00F66DB4">
        <w:rPr>
          <w:rFonts w:ascii="Calibri" w:hAnsi="Calibri" w:cs="Calibri"/>
          <w:sz w:val="22"/>
          <w:szCs w:val="22"/>
        </w:rPr>
        <w:t>though</w:t>
      </w:r>
      <w:r w:rsidR="00C910D3">
        <w:rPr>
          <w:rFonts w:ascii="Calibri" w:hAnsi="Calibri" w:cs="Calibri"/>
          <w:sz w:val="22"/>
          <w:szCs w:val="22"/>
        </w:rPr>
        <w:t>,</w:t>
      </w:r>
      <w:r w:rsidR="000350A8" w:rsidRPr="00F66DB4">
        <w:rPr>
          <w:rFonts w:ascii="Calibri" w:hAnsi="Calibri" w:cs="Calibri"/>
          <w:sz w:val="22"/>
          <w:szCs w:val="22"/>
        </w:rPr>
        <w:t xml:space="preserve"> a</w:t>
      </w:r>
      <w:r w:rsidR="000350A8">
        <w:rPr>
          <w:rFonts w:ascii="Calibri" w:hAnsi="Calibri" w:cs="Calibri"/>
          <w:sz w:val="22"/>
          <w:szCs w:val="22"/>
        </w:rPr>
        <w:t xml:space="preserve"> food</w:t>
      </w:r>
      <w:r w:rsidR="00846663" w:rsidDel="00C07228">
        <w:rPr>
          <w:rFonts w:ascii="Calibri" w:hAnsi="Calibri" w:cs="Calibri"/>
          <w:sz w:val="22"/>
          <w:szCs w:val="22"/>
        </w:rPr>
        <w:t xml:space="preserve"> </w:t>
      </w:r>
      <w:r w:rsidR="00257489">
        <w:rPr>
          <w:rFonts w:ascii="Calibri" w:hAnsi="Calibri" w:cs="Calibri"/>
          <w:sz w:val="22"/>
          <w:szCs w:val="22"/>
        </w:rPr>
        <w:t xml:space="preserve">delivery </w:t>
      </w:r>
      <w:r w:rsidR="00C07228">
        <w:rPr>
          <w:rFonts w:ascii="Calibri" w:hAnsi="Calibri" w:cs="Calibri"/>
          <w:sz w:val="22"/>
          <w:szCs w:val="22"/>
        </w:rPr>
        <w:t>brand</w:t>
      </w:r>
      <w:r w:rsidR="000350A8">
        <w:rPr>
          <w:rFonts w:ascii="Calibri" w:hAnsi="Calibri" w:cs="Calibri"/>
          <w:sz w:val="22"/>
          <w:szCs w:val="22"/>
        </w:rPr>
        <w:t xml:space="preserve"> </w:t>
      </w:r>
      <w:r w:rsidR="000350A8" w:rsidRPr="00F66DB4">
        <w:rPr>
          <w:rFonts w:ascii="Calibri" w:hAnsi="Calibri" w:cs="Calibri"/>
          <w:sz w:val="22"/>
          <w:szCs w:val="22"/>
        </w:rPr>
        <w:t>stakeholder suggest</w:t>
      </w:r>
      <w:r w:rsidR="000350A8">
        <w:rPr>
          <w:rFonts w:ascii="Calibri" w:hAnsi="Calibri" w:cs="Calibri"/>
          <w:sz w:val="22"/>
          <w:szCs w:val="22"/>
        </w:rPr>
        <w:t>ed</w:t>
      </w:r>
      <w:r w:rsidR="000350A8" w:rsidRPr="00F66DB4">
        <w:rPr>
          <w:rFonts w:ascii="Calibri" w:hAnsi="Calibri" w:cs="Calibri"/>
          <w:sz w:val="22"/>
          <w:szCs w:val="22"/>
        </w:rPr>
        <w:t xml:space="preserve"> this might not be a sustainable long-term solution</w:t>
      </w:r>
      <w:r w:rsidR="000350A8">
        <w:rPr>
          <w:rFonts w:ascii="Calibri" w:hAnsi="Calibri" w:cs="Calibri"/>
          <w:sz w:val="22"/>
          <w:szCs w:val="22"/>
        </w:rPr>
        <w:t>, particularly if the policy were to be adopted beyond London</w:t>
      </w:r>
      <w:r w:rsidR="000350A8" w:rsidRPr="00F66DB4">
        <w:rPr>
          <w:rFonts w:ascii="Calibri" w:hAnsi="Calibri" w:cs="Calibri"/>
          <w:sz w:val="22"/>
          <w:szCs w:val="22"/>
        </w:rPr>
        <w:t xml:space="preserve">: </w:t>
      </w:r>
    </w:p>
    <w:p w14:paraId="2E7196F3" w14:textId="77777777" w:rsidR="000350A8" w:rsidRPr="00F66DB4" w:rsidRDefault="000350A8" w:rsidP="00475D3F">
      <w:pPr>
        <w:spacing w:line="360" w:lineRule="auto"/>
        <w:rPr>
          <w:rFonts w:ascii="Calibri" w:hAnsi="Calibri" w:cs="Calibri"/>
          <w:sz w:val="22"/>
          <w:szCs w:val="22"/>
        </w:rPr>
      </w:pPr>
    </w:p>
    <w:p w14:paraId="56B8C244" w14:textId="751CC63F" w:rsidR="000350A8" w:rsidRPr="00F66DB4" w:rsidRDefault="000350A8" w:rsidP="00475D3F">
      <w:pPr>
        <w:spacing w:line="360" w:lineRule="auto"/>
        <w:ind w:left="720" w:right="720"/>
        <w:rPr>
          <w:rFonts w:ascii="Calibri" w:hAnsi="Calibri" w:cs="Calibri"/>
          <w:i/>
          <w:iCs/>
          <w:sz w:val="22"/>
          <w:szCs w:val="22"/>
        </w:rPr>
      </w:pPr>
      <w:r>
        <w:rPr>
          <w:rFonts w:ascii="Calibri" w:hAnsi="Calibri" w:cs="Calibri"/>
          <w:i/>
          <w:iCs/>
          <w:sz w:val="22"/>
          <w:szCs w:val="22"/>
        </w:rPr>
        <w:t>“</w:t>
      </w:r>
      <w:r w:rsidRPr="00F66DB4">
        <w:rPr>
          <w:rFonts w:ascii="Calibri" w:hAnsi="Calibri" w:cs="Calibri"/>
          <w:i/>
          <w:iCs/>
          <w:sz w:val="22"/>
          <w:szCs w:val="22"/>
        </w:rPr>
        <w:t>Well, so we might want, for example, to have an advert that has a picture of a curry on it. And that needs for us, in order that we can do it once and print it thousands of times across the T</w:t>
      </w:r>
      <w:r>
        <w:rPr>
          <w:rFonts w:ascii="Calibri" w:hAnsi="Calibri" w:cs="Calibri"/>
          <w:i/>
          <w:iCs/>
          <w:sz w:val="22"/>
          <w:szCs w:val="22"/>
        </w:rPr>
        <w:t>f</w:t>
      </w:r>
      <w:r w:rsidRPr="00F66DB4">
        <w:rPr>
          <w:rFonts w:ascii="Calibri" w:hAnsi="Calibri" w:cs="Calibri"/>
          <w:i/>
          <w:iCs/>
          <w:sz w:val="22"/>
          <w:szCs w:val="22"/>
        </w:rPr>
        <w:t xml:space="preserve">L network, that needs to be something whereby the message is universal, and isn’t, doesn’t have to be specific to a particular part of London, or specific to a particular restaurant. When we’re in the position whereby it does have to be specific to a particular restaurant, then that means two things. First of which, it means that geographically, as I said earlier on, you lose relevance. But also, if we were to have to </w:t>
      </w:r>
      <w:r w:rsidRPr="00F66DB4">
        <w:rPr>
          <w:rFonts w:ascii="Calibri" w:hAnsi="Calibri" w:cs="Calibri"/>
          <w:i/>
          <w:iCs/>
          <w:sz w:val="22"/>
          <w:szCs w:val="22"/>
        </w:rPr>
        <w:lastRenderedPageBreak/>
        <w:t>come up with multiple versions of this within London, but also, were this policy to extend out beyond London, looking to create thousands and thousands and thousands of photographs of food, and then nutritionally profile at an individual restaurant level, the overhead from us, from a resource and from a cost point of view would be huge.</w:t>
      </w:r>
      <w:r>
        <w:rPr>
          <w:rFonts w:ascii="Calibri" w:hAnsi="Calibri" w:cs="Calibri"/>
          <w:i/>
          <w:iCs/>
          <w:sz w:val="22"/>
          <w:szCs w:val="22"/>
        </w:rPr>
        <w:t>”</w:t>
      </w:r>
    </w:p>
    <w:p w14:paraId="09018A51" w14:textId="53F24115" w:rsidR="000350A8" w:rsidRPr="00C319B4" w:rsidRDefault="000350A8" w:rsidP="00475D3F">
      <w:pPr>
        <w:pStyle w:val="ListParagraph"/>
        <w:numPr>
          <w:ilvl w:val="0"/>
          <w:numId w:val="8"/>
        </w:numPr>
        <w:spacing w:line="360" w:lineRule="auto"/>
        <w:ind w:right="720" w:firstLine="0"/>
        <w:rPr>
          <w:rFonts w:ascii="Calibri" w:hAnsi="Calibri" w:cs="Calibri"/>
          <w:i/>
          <w:iCs/>
          <w:sz w:val="22"/>
          <w:szCs w:val="22"/>
        </w:rPr>
      </w:pPr>
      <w:r w:rsidRPr="00F66DB4">
        <w:rPr>
          <w:rFonts w:ascii="Calibri" w:hAnsi="Calibri" w:cs="Calibri"/>
          <w:i/>
          <w:iCs/>
          <w:sz w:val="22"/>
          <w:szCs w:val="22"/>
        </w:rPr>
        <w:t xml:space="preserve">Industry stakeholder </w:t>
      </w:r>
      <w:r>
        <w:rPr>
          <w:rFonts w:ascii="Calibri" w:hAnsi="Calibri" w:cs="Calibri"/>
          <w:i/>
          <w:iCs/>
          <w:sz w:val="22"/>
          <w:szCs w:val="22"/>
        </w:rPr>
        <w:t>(</w:t>
      </w:r>
      <w:r w:rsidR="00C07228">
        <w:rPr>
          <w:rFonts w:ascii="Calibri" w:hAnsi="Calibri" w:cs="Calibri"/>
          <w:i/>
          <w:iCs/>
          <w:sz w:val="22"/>
          <w:szCs w:val="22"/>
        </w:rPr>
        <w:t>food</w:t>
      </w:r>
      <w:r w:rsidR="00257489">
        <w:rPr>
          <w:rFonts w:ascii="Calibri" w:hAnsi="Calibri" w:cs="Calibri"/>
          <w:i/>
          <w:iCs/>
          <w:sz w:val="22"/>
          <w:szCs w:val="22"/>
        </w:rPr>
        <w:t xml:space="preserve"> delivery</w:t>
      </w:r>
      <w:r w:rsidR="00C07228">
        <w:rPr>
          <w:rFonts w:ascii="Calibri" w:hAnsi="Calibri" w:cs="Calibri"/>
          <w:i/>
          <w:iCs/>
          <w:sz w:val="22"/>
          <w:szCs w:val="22"/>
        </w:rPr>
        <w:t xml:space="preserve"> brand</w:t>
      </w:r>
      <w:r>
        <w:rPr>
          <w:rFonts w:ascii="Calibri" w:hAnsi="Calibri" w:cs="Calibri"/>
          <w:i/>
          <w:iCs/>
          <w:sz w:val="22"/>
          <w:szCs w:val="22"/>
        </w:rPr>
        <w:t>)</w:t>
      </w:r>
    </w:p>
    <w:p w14:paraId="38867926" w14:textId="77777777" w:rsidR="000350A8" w:rsidRDefault="000350A8" w:rsidP="00475D3F">
      <w:pPr>
        <w:spacing w:line="360" w:lineRule="auto"/>
        <w:rPr>
          <w:rFonts w:ascii="Calibri" w:hAnsi="Calibri" w:cs="Calibri"/>
          <w:sz w:val="22"/>
          <w:szCs w:val="22"/>
        </w:rPr>
      </w:pPr>
    </w:p>
    <w:p w14:paraId="4338FD46" w14:textId="5348F193" w:rsidR="00684DA4" w:rsidRPr="00C319B4" w:rsidRDefault="007211F5" w:rsidP="00475D3F">
      <w:pPr>
        <w:spacing w:line="360" w:lineRule="auto"/>
        <w:rPr>
          <w:rFonts w:ascii="Calibri" w:hAnsi="Calibri" w:cs="Calibri"/>
          <w:sz w:val="22"/>
          <w:szCs w:val="22"/>
        </w:rPr>
      </w:pPr>
      <w:r>
        <w:rPr>
          <w:rFonts w:ascii="Calibri" w:hAnsi="Calibri" w:cs="Calibri"/>
          <w:sz w:val="22"/>
          <w:szCs w:val="22"/>
        </w:rPr>
        <w:t>Others highlighted uneven impacts on brands and advertising stakeholders</w:t>
      </w:r>
      <w:r w:rsidR="008723C6">
        <w:rPr>
          <w:rFonts w:ascii="Calibri" w:hAnsi="Calibri" w:cs="Calibri"/>
          <w:sz w:val="22"/>
          <w:szCs w:val="22"/>
        </w:rPr>
        <w:t xml:space="preserve"> – particularly those with a narrower</w:t>
      </w:r>
      <w:r w:rsidR="0061141F">
        <w:rPr>
          <w:rFonts w:ascii="Calibri" w:hAnsi="Calibri" w:cs="Calibri"/>
          <w:sz w:val="22"/>
          <w:szCs w:val="22"/>
        </w:rPr>
        <w:t xml:space="preserve"> product</w:t>
      </w:r>
      <w:r w:rsidR="008723C6">
        <w:rPr>
          <w:rFonts w:ascii="Calibri" w:hAnsi="Calibri" w:cs="Calibri"/>
          <w:sz w:val="22"/>
          <w:szCs w:val="22"/>
        </w:rPr>
        <w:t xml:space="preserve"> </w:t>
      </w:r>
      <w:r w:rsidR="007F1D39">
        <w:rPr>
          <w:rFonts w:ascii="Calibri" w:hAnsi="Calibri" w:cs="Calibri"/>
          <w:sz w:val="22"/>
          <w:szCs w:val="22"/>
        </w:rPr>
        <w:t>portfolio</w:t>
      </w:r>
      <w:r>
        <w:rPr>
          <w:rFonts w:ascii="Calibri" w:hAnsi="Calibri" w:cs="Calibri"/>
          <w:sz w:val="22"/>
          <w:szCs w:val="22"/>
        </w:rPr>
        <w:t>. For example, b</w:t>
      </w:r>
      <w:r w:rsidR="00684DA4" w:rsidRPr="00F66DB4">
        <w:rPr>
          <w:rFonts w:ascii="Calibri" w:hAnsi="Calibri" w:cs="Calibri"/>
          <w:sz w:val="22"/>
          <w:szCs w:val="22"/>
        </w:rPr>
        <w:t xml:space="preserve">rands focused on </w:t>
      </w:r>
      <w:r>
        <w:rPr>
          <w:rFonts w:ascii="Calibri" w:hAnsi="Calibri" w:cs="Calibri"/>
          <w:sz w:val="22"/>
          <w:szCs w:val="22"/>
        </w:rPr>
        <w:t>confectionary</w:t>
      </w:r>
      <w:r w:rsidRPr="00F66DB4">
        <w:rPr>
          <w:rFonts w:ascii="Calibri" w:hAnsi="Calibri" w:cs="Calibri"/>
          <w:sz w:val="22"/>
          <w:szCs w:val="22"/>
        </w:rPr>
        <w:t xml:space="preserve"> </w:t>
      </w:r>
      <w:r w:rsidR="00684DA4" w:rsidRPr="00F66DB4">
        <w:rPr>
          <w:rFonts w:ascii="Calibri" w:hAnsi="Calibri" w:cs="Calibri"/>
          <w:sz w:val="22"/>
          <w:szCs w:val="22"/>
        </w:rPr>
        <w:t xml:space="preserve">might </w:t>
      </w:r>
      <w:r w:rsidR="00C910D3">
        <w:rPr>
          <w:rFonts w:ascii="Calibri" w:hAnsi="Calibri" w:cs="Calibri"/>
          <w:sz w:val="22"/>
          <w:szCs w:val="22"/>
        </w:rPr>
        <w:t xml:space="preserve">not have any </w:t>
      </w:r>
      <w:r w:rsidR="00FB32D2">
        <w:rPr>
          <w:rFonts w:ascii="Calibri" w:hAnsi="Calibri" w:cs="Calibri"/>
          <w:sz w:val="22"/>
          <w:szCs w:val="22"/>
        </w:rPr>
        <w:t>non-</w:t>
      </w:r>
      <w:r w:rsidR="00684DA4" w:rsidRPr="00F66DB4">
        <w:rPr>
          <w:rFonts w:ascii="Calibri" w:hAnsi="Calibri" w:cs="Calibri"/>
          <w:sz w:val="22"/>
          <w:szCs w:val="22"/>
        </w:rPr>
        <w:t>HFSS products to feature</w:t>
      </w:r>
      <w:r>
        <w:rPr>
          <w:rFonts w:ascii="Calibri" w:hAnsi="Calibri" w:cs="Calibri"/>
          <w:sz w:val="22"/>
          <w:szCs w:val="22"/>
        </w:rPr>
        <w:t xml:space="preserve"> and would</w:t>
      </w:r>
      <w:r w:rsidR="004A5876">
        <w:rPr>
          <w:rFonts w:ascii="Calibri" w:hAnsi="Calibri" w:cs="Calibri"/>
          <w:sz w:val="22"/>
          <w:szCs w:val="22"/>
        </w:rPr>
        <w:t xml:space="preserve"> therefore</w:t>
      </w:r>
      <w:r>
        <w:rPr>
          <w:rFonts w:ascii="Calibri" w:hAnsi="Calibri" w:cs="Calibri"/>
          <w:sz w:val="22"/>
          <w:szCs w:val="22"/>
        </w:rPr>
        <w:t xml:space="preserve"> be unable to advertise on the TfL estate</w:t>
      </w:r>
      <w:r w:rsidR="00684DA4" w:rsidRPr="00F66DB4">
        <w:rPr>
          <w:rFonts w:ascii="Calibri" w:hAnsi="Calibri" w:cs="Calibri"/>
          <w:sz w:val="22"/>
          <w:szCs w:val="22"/>
        </w:rPr>
        <w:t xml:space="preserve">, </w:t>
      </w:r>
      <w:r>
        <w:rPr>
          <w:rFonts w:ascii="Calibri" w:hAnsi="Calibri" w:cs="Calibri"/>
          <w:sz w:val="22"/>
          <w:szCs w:val="22"/>
        </w:rPr>
        <w:t>while those advertising a more diverse range of products would be able to replace</w:t>
      </w:r>
      <w:r w:rsidR="0061141F">
        <w:rPr>
          <w:rFonts w:ascii="Calibri" w:hAnsi="Calibri" w:cs="Calibri"/>
          <w:sz w:val="22"/>
          <w:szCs w:val="22"/>
        </w:rPr>
        <w:t xml:space="preserve"> HFSS</w:t>
      </w:r>
      <w:r>
        <w:rPr>
          <w:rFonts w:ascii="Calibri" w:hAnsi="Calibri" w:cs="Calibri"/>
          <w:sz w:val="22"/>
          <w:szCs w:val="22"/>
        </w:rPr>
        <w:t xml:space="preserve"> advertisements </w:t>
      </w:r>
      <w:r w:rsidR="0061141F">
        <w:rPr>
          <w:rFonts w:ascii="Calibri" w:hAnsi="Calibri" w:cs="Calibri"/>
          <w:sz w:val="22"/>
          <w:szCs w:val="22"/>
        </w:rPr>
        <w:t>with</w:t>
      </w:r>
      <w:r w:rsidR="008723C6">
        <w:rPr>
          <w:rFonts w:ascii="Calibri" w:hAnsi="Calibri" w:cs="Calibri"/>
          <w:sz w:val="22"/>
          <w:szCs w:val="22"/>
        </w:rPr>
        <w:t xml:space="preserve"> </w:t>
      </w:r>
      <w:r w:rsidR="004A5876">
        <w:rPr>
          <w:rFonts w:ascii="Calibri" w:hAnsi="Calibri" w:cs="Calibri"/>
          <w:sz w:val="22"/>
          <w:szCs w:val="22"/>
        </w:rPr>
        <w:t xml:space="preserve">those for </w:t>
      </w:r>
      <w:r w:rsidR="008723C6">
        <w:rPr>
          <w:rFonts w:ascii="Calibri" w:hAnsi="Calibri" w:cs="Calibri"/>
          <w:sz w:val="22"/>
          <w:szCs w:val="22"/>
        </w:rPr>
        <w:t>non-HFSS</w:t>
      </w:r>
      <w:r>
        <w:rPr>
          <w:rFonts w:ascii="Calibri" w:hAnsi="Calibri" w:cs="Calibri"/>
          <w:sz w:val="22"/>
          <w:szCs w:val="22"/>
        </w:rPr>
        <w:t xml:space="preserve"> products. Similarly,</w:t>
      </w:r>
      <w:r w:rsidR="00684DA4" w:rsidRPr="00F66DB4">
        <w:rPr>
          <w:rFonts w:ascii="Calibri" w:hAnsi="Calibri" w:cs="Calibri"/>
          <w:sz w:val="22"/>
          <w:szCs w:val="22"/>
        </w:rPr>
        <w:t xml:space="preserve"> </w:t>
      </w:r>
      <w:r w:rsidR="00A91293">
        <w:rPr>
          <w:rFonts w:ascii="Calibri" w:hAnsi="Calibri" w:cs="Calibri"/>
          <w:sz w:val="22"/>
          <w:szCs w:val="22"/>
        </w:rPr>
        <w:t xml:space="preserve">media </w:t>
      </w:r>
      <w:r w:rsidR="00B675C9">
        <w:rPr>
          <w:rFonts w:ascii="Calibri" w:hAnsi="Calibri" w:cs="Calibri"/>
          <w:sz w:val="22"/>
          <w:szCs w:val="22"/>
        </w:rPr>
        <w:t xml:space="preserve">sellers who owned or managed </w:t>
      </w:r>
      <w:r w:rsidR="00684DA4" w:rsidRPr="00F66DB4">
        <w:rPr>
          <w:rFonts w:ascii="Calibri" w:hAnsi="Calibri" w:cs="Calibri"/>
          <w:sz w:val="22"/>
          <w:szCs w:val="22"/>
        </w:rPr>
        <w:t>more non-TfL holdings in London would be better positioned than those with a narrower portfolio to</w:t>
      </w:r>
      <w:r>
        <w:rPr>
          <w:rFonts w:ascii="Calibri" w:hAnsi="Calibri" w:cs="Calibri"/>
          <w:sz w:val="22"/>
          <w:szCs w:val="22"/>
        </w:rPr>
        <w:t xml:space="preserve"> mitigate the policy’s impact</w:t>
      </w:r>
      <w:r w:rsidR="00684DA4" w:rsidRPr="00F66DB4">
        <w:rPr>
          <w:rFonts w:ascii="Calibri" w:hAnsi="Calibri" w:cs="Calibri"/>
          <w:sz w:val="22"/>
          <w:szCs w:val="22"/>
        </w:rPr>
        <w:t xml:space="preserve"> </w:t>
      </w:r>
      <w:r>
        <w:rPr>
          <w:rFonts w:ascii="Calibri" w:hAnsi="Calibri" w:cs="Calibri"/>
          <w:sz w:val="22"/>
          <w:szCs w:val="22"/>
        </w:rPr>
        <w:t xml:space="preserve">on their </w:t>
      </w:r>
      <w:r w:rsidR="00684DA4" w:rsidRPr="00F66DB4">
        <w:rPr>
          <w:rFonts w:ascii="Calibri" w:hAnsi="Calibri" w:cs="Calibri"/>
          <w:sz w:val="22"/>
          <w:szCs w:val="22"/>
        </w:rPr>
        <w:t xml:space="preserve">business by moving </w:t>
      </w:r>
      <w:r>
        <w:rPr>
          <w:rFonts w:ascii="Calibri" w:hAnsi="Calibri" w:cs="Calibri"/>
          <w:sz w:val="22"/>
          <w:szCs w:val="22"/>
        </w:rPr>
        <w:t xml:space="preserve">their clients’ HFSS </w:t>
      </w:r>
      <w:r w:rsidR="00684DA4" w:rsidRPr="00F66DB4">
        <w:rPr>
          <w:rFonts w:ascii="Calibri" w:hAnsi="Calibri" w:cs="Calibri"/>
          <w:sz w:val="22"/>
          <w:szCs w:val="22"/>
        </w:rPr>
        <w:t>ad</w:t>
      </w:r>
      <w:r>
        <w:rPr>
          <w:rFonts w:ascii="Calibri" w:hAnsi="Calibri" w:cs="Calibri"/>
          <w:sz w:val="22"/>
          <w:szCs w:val="22"/>
        </w:rPr>
        <w:t>vertisement</w:t>
      </w:r>
      <w:r w:rsidR="00684DA4" w:rsidRPr="00F66DB4">
        <w:rPr>
          <w:rFonts w:ascii="Calibri" w:hAnsi="Calibri" w:cs="Calibri"/>
          <w:sz w:val="22"/>
          <w:szCs w:val="22"/>
        </w:rPr>
        <w:t xml:space="preserve">s to other </w:t>
      </w:r>
      <w:r w:rsidR="000573D1">
        <w:rPr>
          <w:rFonts w:ascii="Calibri" w:hAnsi="Calibri" w:cs="Calibri"/>
          <w:sz w:val="22"/>
          <w:szCs w:val="22"/>
        </w:rPr>
        <w:t>locations</w:t>
      </w:r>
      <w:r w:rsidR="00684DA4" w:rsidRPr="00F66DB4">
        <w:rPr>
          <w:rFonts w:ascii="Calibri" w:hAnsi="Calibri" w:cs="Calibri"/>
          <w:sz w:val="22"/>
          <w:szCs w:val="22"/>
        </w:rPr>
        <w:t xml:space="preserve">. </w:t>
      </w:r>
    </w:p>
    <w:p w14:paraId="05B5F7BE" w14:textId="77777777" w:rsidR="00684DA4" w:rsidRPr="0091358D" w:rsidRDefault="00684DA4" w:rsidP="00475D3F">
      <w:pPr>
        <w:spacing w:line="360" w:lineRule="auto"/>
        <w:rPr>
          <w:rFonts w:ascii="Calibri" w:hAnsi="Calibri" w:cs="Calibri"/>
          <w:b/>
          <w:bCs/>
          <w:sz w:val="22"/>
          <w:szCs w:val="22"/>
          <w:lang w:eastAsia="en-US"/>
        </w:rPr>
      </w:pPr>
    </w:p>
    <w:p w14:paraId="6F496181" w14:textId="77777777" w:rsidR="00FD0287" w:rsidRDefault="00FD0287" w:rsidP="00475D3F">
      <w:pPr>
        <w:pStyle w:val="Heading4"/>
        <w:spacing w:line="360" w:lineRule="auto"/>
      </w:pPr>
    </w:p>
    <w:p w14:paraId="1871EEEC" w14:textId="22674832" w:rsidR="00F543EF" w:rsidRDefault="00F95BAC" w:rsidP="00475D3F">
      <w:pPr>
        <w:pStyle w:val="Heading4"/>
        <w:spacing w:line="360" w:lineRule="auto"/>
      </w:pPr>
      <w:r w:rsidRPr="00B41C9C">
        <w:t xml:space="preserve">Political </w:t>
      </w:r>
      <w:r w:rsidR="00C065EB">
        <w:t>factors</w:t>
      </w:r>
    </w:p>
    <w:p w14:paraId="4C35EA5C" w14:textId="571ECF27" w:rsidR="00DB3911" w:rsidRPr="00F66DB4" w:rsidRDefault="003A25C3" w:rsidP="00475D3F">
      <w:pPr>
        <w:spacing w:line="360" w:lineRule="auto"/>
        <w:rPr>
          <w:rFonts w:ascii="Calibri" w:hAnsi="Calibri" w:cs="Calibri"/>
          <w:b/>
          <w:bCs/>
          <w:sz w:val="22"/>
          <w:szCs w:val="22"/>
          <w:lang w:val="en-GB" w:eastAsia="en-US"/>
        </w:rPr>
      </w:pPr>
      <w:r w:rsidRPr="00F66DB4">
        <w:rPr>
          <w:rFonts w:ascii="Calibri" w:hAnsi="Calibri" w:cs="Calibri"/>
          <w:b/>
          <w:bCs/>
          <w:sz w:val="22"/>
          <w:szCs w:val="22"/>
          <w:lang w:val="en-GB" w:eastAsia="en-US"/>
        </w:rPr>
        <w:t>Striking a balance between health</w:t>
      </w:r>
      <w:r w:rsidR="001B7B0C">
        <w:rPr>
          <w:rFonts w:ascii="Calibri" w:hAnsi="Calibri" w:cs="Calibri"/>
          <w:b/>
          <w:bCs/>
          <w:sz w:val="22"/>
          <w:szCs w:val="22"/>
          <w:lang w:val="en-GB" w:eastAsia="en-US"/>
        </w:rPr>
        <w:t xml:space="preserve"> and </w:t>
      </w:r>
      <w:r w:rsidR="00C83843">
        <w:rPr>
          <w:rFonts w:ascii="Calibri" w:hAnsi="Calibri" w:cs="Calibri"/>
          <w:b/>
          <w:bCs/>
          <w:sz w:val="22"/>
          <w:szCs w:val="22"/>
          <w:lang w:val="en-GB" w:eastAsia="en-US"/>
        </w:rPr>
        <w:t xml:space="preserve">TfL </w:t>
      </w:r>
      <w:r w:rsidR="00720DD2">
        <w:rPr>
          <w:rFonts w:ascii="Calibri" w:hAnsi="Calibri" w:cs="Calibri"/>
          <w:b/>
          <w:bCs/>
          <w:sz w:val="22"/>
          <w:szCs w:val="22"/>
          <w:lang w:val="en-GB" w:eastAsia="en-US"/>
        </w:rPr>
        <w:t xml:space="preserve">commercial viability </w:t>
      </w:r>
      <w:r w:rsidR="000573D1">
        <w:rPr>
          <w:rFonts w:ascii="Calibri" w:hAnsi="Calibri" w:cs="Calibri"/>
          <w:b/>
          <w:bCs/>
          <w:sz w:val="22"/>
          <w:szCs w:val="22"/>
          <w:lang w:val="en-GB" w:eastAsia="en-US"/>
        </w:rPr>
        <w:t xml:space="preserve">via </w:t>
      </w:r>
      <w:r w:rsidR="00684DA4" w:rsidRPr="00F66DB4">
        <w:rPr>
          <w:rFonts w:ascii="Calibri" w:hAnsi="Calibri" w:cs="Calibri"/>
          <w:b/>
          <w:bCs/>
          <w:sz w:val="22"/>
          <w:szCs w:val="22"/>
          <w:lang w:val="en-GB" w:eastAsia="en-US"/>
        </w:rPr>
        <w:t xml:space="preserve">advertising </w:t>
      </w:r>
      <w:r w:rsidRPr="00F66DB4">
        <w:rPr>
          <w:rFonts w:ascii="Calibri" w:hAnsi="Calibri" w:cs="Calibri"/>
          <w:b/>
          <w:bCs/>
          <w:sz w:val="22"/>
          <w:szCs w:val="22"/>
          <w:lang w:val="en-GB" w:eastAsia="en-US"/>
        </w:rPr>
        <w:t>income</w:t>
      </w:r>
    </w:p>
    <w:p w14:paraId="70C7CE90" w14:textId="0627DB39" w:rsidR="00720136" w:rsidRPr="00C319B4" w:rsidRDefault="004A5876" w:rsidP="00475D3F">
      <w:pPr>
        <w:spacing w:line="360" w:lineRule="auto"/>
        <w:rPr>
          <w:rFonts w:asciiTheme="minorHAnsi" w:hAnsiTheme="minorHAnsi" w:cstheme="minorHAnsi"/>
          <w:sz w:val="22"/>
          <w:szCs w:val="22"/>
        </w:rPr>
      </w:pPr>
      <w:r>
        <w:rPr>
          <w:rFonts w:ascii="Calibri" w:hAnsi="Calibri" w:cs="Calibri"/>
          <w:sz w:val="22"/>
          <w:szCs w:val="22"/>
        </w:rPr>
        <w:t>Implementation and industry s</w:t>
      </w:r>
      <w:r w:rsidR="00950670" w:rsidRPr="00F66DB4">
        <w:rPr>
          <w:rFonts w:ascii="Calibri" w:hAnsi="Calibri" w:cs="Calibri"/>
          <w:sz w:val="22"/>
          <w:szCs w:val="22"/>
        </w:rPr>
        <w:t xml:space="preserve">takeholders </w:t>
      </w:r>
      <w:r w:rsidR="00950670" w:rsidRPr="000431F8">
        <w:rPr>
          <w:rFonts w:ascii="Calibri" w:hAnsi="Calibri" w:cs="Calibri"/>
          <w:sz w:val="22"/>
          <w:szCs w:val="22"/>
        </w:rPr>
        <w:t>voiced tension between</w:t>
      </w:r>
      <w:r w:rsidR="0061141F">
        <w:rPr>
          <w:rFonts w:ascii="Calibri" w:hAnsi="Calibri" w:cs="Calibri"/>
          <w:sz w:val="22"/>
          <w:szCs w:val="22"/>
        </w:rPr>
        <w:t xml:space="preserve"> the goals of</w:t>
      </w:r>
      <w:r w:rsidR="00950670" w:rsidRPr="000431F8">
        <w:rPr>
          <w:rFonts w:ascii="Calibri" w:hAnsi="Calibri" w:cs="Calibri"/>
          <w:sz w:val="22"/>
          <w:szCs w:val="22"/>
        </w:rPr>
        <w:t xml:space="preserve"> implementing </w:t>
      </w:r>
      <w:r w:rsidR="0061141F">
        <w:rPr>
          <w:rFonts w:ascii="Calibri" w:hAnsi="Calibri" w:cs="Calibri"/>
          <w:sz w:val="22"/>
          <w:szCs w:val="22"/>
        </w:rPr>
        <w:t>a new</w:t>
      </w:r>
      <w:r w:rsidR="0061141F" w:rsidRPr="000431F8">
        <w:rPr>
          <w:rFonts w:ascii="Calibri" w:hAnsi="Calibri" w:cs="Calibri"/>
          <w:sz w:val="22"/>
          <w:szCs w:val="22"/>
        </w:rPr>
        <w:t xml:space="preserve"> </w:t>
      </w:r>
      <w:r w:rsidR="00950670" w:rsidRPr="000431F8">
        <w:rPr>
          <w:rFonts w:ascii="Calibri" w:hAnsi="Calibri" w:cs="Calibri"/>
          <w:sz w:val="22"/>
          <w:szCs w:val="22"/>
        </w:rPr>
        <w:t xml:space="preserve">policy to </w:t>
      </w:r>
      <w:r w:rsidR="00D4519C" w:rsidRPr="000431F8">
        <w:rPr>
          <w:rFonts w:ascii="Calibri" w:hAnsi="Calibri" w:cs="Calibri"/>
          <w:sz w:val="22"/>
          <w:szCs w:val="22"/>
        </w:rPr>
        <w:t>promote health</w:t>
      </w:r>
      <w:r w:rsidR="00950670" w:rsidRPr="00C319B4">
        <w:rPr>
          <w:rFonts w:ascii="Calibri" w:hAnsi="Calibri" w:cs="Calibri"/>
          <w:sz w:val="22"/>
          <w:szCs w:val="22"/>
        </w:rPr>
        <w:t xml:space="preserve"> </w:t>
      </w:r>
      <w:r w:rsidR="00950670" w:rsidRPr="00C319B4">
        <w:rPr>
          <w:rFonts w:asciiTheme="minorHAnsi" w:hAnsiTheme="minorHAnsi" w:cstheme="minorHAnsi"/>
          <w:sz w:val="22"/>
          <w:szCs w:val="22"/>
        </w:rPr>
        <w:t>and maintaining the commercial viability of advertising with TfL</w:t>
      </w:r>
      <w:r w:rsidR="00826B67">
        <w:rPr>
          <w:rFonts w:asciiTheme="minorHAnsi" w:hAnsiTheme="minorHAnsi" w:cstheme="minorHAnsi"/>
          <w:sz w:val="22"/>
          <w:szCs w:val="22"/>
        </w:rPr>
        <w:t>,</w:t>
      </w:r>
      <w:r w:rsidR="00950670" w:rsidRPr="00C319B4">
        <w:rPr>
          <w:rFonts w:asciiTheme="minorHAnsi" w:hAnsiTheme="minorHAnsi" w:cstheme="minorHAnsi"/>
          <w:sz w:val="22"/>
          <w:szCs w:val="22"/>
        </w:rPr>
        <w:t xml:space="preserve"> </w:t>
      </w:r>
      <w:r w:rsidR="0061141F">
        <w:rPr>
          <w:rFonts w:asciiTheme="minorHAnsi" w:hAnsiTheme="minorHAnsi" w:cstheme="minorHAnsi"/>
          <w:sz w:val="22"/>
          <w:szCs w:val="22"/>
        </w:rPr>
        <w:t>considering</w:t>
      </w:r>
      <w:r w:rsidR="00950670" w:rsidRPr="00C319B4">
        <w:rPr>
          <w:rFonts w:asciiTheme="minorHAnsi" w:hAnsiTheme="minorHAnsi" w:cstheme="minorHAnsi"/>
          <w:sz w:val="22"/>
          <w:szCs w:val="22"/>
        </w:rPr>
        <w:t xml:space="preserve"> the financial position of TfL itself. </w:t>
      </w:r>
      <w:r w:rsidR="0019072A">
        <w:rPr>
          <w:rFonts w:asciiTheme="minorHAnsi" w:hAnsiTheme="minorHAnsi" w:cstheme="minorHAnsi"/>
          <w:sz w:val="22"/>
          <w:szCs w:val="22"/>
        </w:rPr>
        <w:t>While t</w:t>
      </w:r>
      <w:r w:rsidR="00EB14CD" w:rsidRPr="00C319B4">
        <w:rPr>
          <w:rFonts w:asciiTheme="minorHAnsi" w:hAnsiTheme="minorHAnsi" w:cstheme="minorHAnsi"/>
          <w:sz w:val="22"/>
          <w:szCs w:val="22"/>
        </w:rPr>
        <w:t xml:space="preserve">here was broad agreement that it would be difficult to accurately </w:t>
      </w:r>
      <w:r w:rsidR="00D80B6D" w:rsidRPr="00C319B4">
        <w:rPr>
          <w:rFonts w:asciiTheme="minorHAnsi" w:hAnsiTheme="minorHAnsi" w:cstheme="minorHAnsi"/>
          <w:sz w:val="22"/>
          <w:szCs w:val="22"/>
        </w:rPr>
        <w:t xml:space="preserve">calculate </w:t>
      </w:r>
      <w:r w:rsidR="00EB14CD" w:rsidRPr="00C319B4">
        <w:rPr>
          <w:rFonts w:asciiTheme="minorHAnsi" w:hAnsiTheme="minorHAnsi" w:cstheme="minorHAnsi"/>
          <w:sz w:val="22"/>
          <w:szCs w:val="22"/>
        </w:rPr>
        <w:t>the financial impact on TfL</w:t>
      </w:r>
      <w:r w:rsidR="0019072A">
        <w:rPr>
          <w:rFonts w:asciiTheme="minorHAnsi" w:hAnsiTheme="minorHAnsi" w:cstheme="minorHAnsi"/>
          <w:sz w:val="22"/>
          <w:szCs w:val="22"/>
        </w:rPr>
        <w:t xml:space="preserve">, </w:t>
      </w:r>
      <w:r w:rsidR="00720DD2">
        <w:rPr>
          <w:rFonts w:asciiTheme="minorHAnsi" w:hAnsiTheme="minorHAnsi" w:cstheme="minorHAnsi"/>
          <w:sz w:val="22"/>
          <w:szCs w:val="22"/>
        </w:rPr>
        <w:t>there</w:t>
      </w:r>
      <w:r w:rsidR="00786B64">
        <w:rPr>
          <w:rFonts w:asciiTheme="minorHAnsi" w:hAnsiTheme="minorHAnsi" w:cstheme="minorHAnsi"/>
          <w:sz w:val="22"/>
          <w:szCs w:val="22"/>
        </w:rPr>
        <w:t xml:space="preserve"> was still a great deal of interest </w:t>
      </w:r>
      <w:r w:rsidR="00EB14CD" w:rsidRPr="00C319B4">
        <w:rPr>
          <w:rFonts w:asciiTheme="minorHAnsi" w:hAnsiTheme="minorHAnsi" w:cstheme="minorHAnsi"/>
          <w:sz w:val="22"/>
          <w:szCs w:val="22"/>
        </w:rPr>
        <w:t>in understanding what the</w:t>
      </w:r>
      <w:r w:rsidR="00786B64">
        <w:rPr>
          <w:rFonts w:asciiTheme="minorHAnsi" w:hAnsiTheme="minorHAnsi" w:cstheme="minorHAnsi"/>
          <w:sz w:val="22"/>
          <w:szCs w:val="22"/>
        </w:rPr>
        <w:t xml:space="preserve"> nature of any</w:t>
      </w:r>
      <w:r w:rsidR="00720DD2">
        <w:rPr>
          <w:rFonts w:asciiTheme="minorHAnsi" w:hAnsiTheme="minorHAnsi" w:cstheme="minorHAnsi"/>
          <w:sz w:val="22"/>
          <w:szCs w:val="22"/>
        </w:rPr>
        <w:t xml:space="preserve"> financial</w:t>
      </w:r>
      <w:r w:rsidR="00EB14CD" w:rsidRPr="00C319B4">
        <w:rPr>
          <w:rFonts w:asciiTheme="minorHAnsi" w:hAnsiTheme="minorHAnsi" w:cstheme="minorHAnsi"/>
          <w:sz w:val="22"/>
          <w:szCs w:val="22"/>
        </w:rPr>
        <w:t xml:space="preserve"> impact</w:t>
      </w:r>
      <w:r w:rsidR="00720DD2">
        <w:rPr>
          <w:rFonts w:asciiTheme="minorHAnsi" w:hAnsiTheme="minorHAnsi" w:cstheme="minorHAnsi"/>
          <w:sz w:val="22"/>
          <w:szCs w:val="22"/>
        </w:rPr>
        <w:t xml:space="preserve"> might be</w:t>
      </w:r>
      <w:r w:rsidR="00EB14CD" w:rsidRPr="00C319B4">
        <w:rPr>
          <w:rFonts w:asciiTheme="minorHAnsi" w:hAnsiTheme="minorHAnsi" w:cstheme="minorHAnsi"/>
          <w:sz w:val="22"/>
          <w:szCs w:val="22"/>
        </w:rPr>
        <w:t>.</w:t>
      </w:r>
    </w:p>
    <w:p w14:paraId="735C58AB" w14:textId="77777777" w:rsidR="00EB14CD" w:rsidRPr="000431F8" w:rsidRDefault="00EB14CD" w:rsidP="00475D3F">
      <w:pPr>
        <w:spacing w:line="360" w:lineRule="auto"/>
        <w:ind w:right="720"/>
        <w:rPr>
          <w:rFonts w:ascii="Calibri" w:hAnsi="Calibri" w:cs="Calibri"/>
          <w:sz w:val="22"/>
          <w:szCs w:val="22"/>
        </w:rPr>
      </w:pPr>
    </w:p>
    <w:p w14:paraId="5003355B" w14:textId="4E9F2486" w:rsidR="00B60D0C" w:rsidRPr="00F66DB4" w:rsidRDefault="00B60D0C" w:rsidP="00475D3F">
      <w:pPr>
        <w:spacing w:line="360" w:lineRule="auto"/>
        <w:rPr>
          <w:rFonts w:ascii="Calibri" w:hAnsi="Calibri" w:cs="Calibri"/>
          <w:sz w:val="22"/>
          <w:szCs w:val="22"/>
        </w:rPr>
      </w:pPr>
      <w:r w:rsidRPr="00C319B4">
        <w:rPr>
          <w:rFonts w:ascii="Calibri" w:hAnsi="Calibri" w:cs="Calibri"/>
          <w:sz w:val="22"/>
          <w:szCs w:val="22"/>
        </w:rPr>
        <w:t>TfL was recognised as being in a somewhat difficult position</w:t>
      </w:r>
      <w:r w:rsidR="00720DD2">
        <w:rPr>
          <w:rFonts w:ascii="Calibri" w:hAnsi="Calibri" w:cs="Calibri"/>
          <w:sz w:val="22"/>
          <w:szCs w:val="22"/>
        </w:rPr>
        <w:t>.</w:t>
      </w:r>
      <w:r w:rsidRPr="00C319B4">
        <w:rPr>
          <w:rFonts w:ascii="Calibri" w:hAnsi="Calibri" w:cs="Calibri"/>
          <w:sz w:val="22"/>
          <w:szCs w:val="22"/>
        </w:rPr>
        <w:t xml:space="preserve"> While responsible for administering and implementing the policy</w:t>
      </w:r>
      <w:r w:rsidRPr="00F66DB4">
        <w:rPr>
          <w:rFonts w:ascii="Calibri" w:hAnsi="Calibri" w:cs="Calibri"/>
          <w:sz w:val="22"/>
          <w:szCs w:val="22"/>
        </w:rPr>
        <w:t xml:space="preserve">, </w:t>
      </w:r>
      <w:r w:rsidR="0061141F">
        <w:rPr>
          <w:rFonts w:ascii="Calibri" w:hAnsi="Calibri" w:cs="Calibri"/>
          <w:sz w:val="22"/>
          <w:szCs w:val="22"/>
        </w:rPr>
        <w:t xml:space="preserve">TfL had no control over its development </w:t>
      </w:r>
      <w:r w:rsidRPr="00F66DB4">
        <w:rPr>
          <w:rFonts w:ascii="Calibri" w:hAnsi="Calibri" w:cs="Calibri"/>
          <w:sz w:val="22"/>
          <w:szCs w:val="22"/>
        </w:rPr>
        <w:t xml:space="preserve">and </w:t>
      </w:r>
      <w:r w:rsidR="00795951">
        <w:rPr>
          <w:rFonts w:ascii="Calibri" w:hAnsi="Calibri" w:cs="Calibri"/>
          <w:sz w:val="22"/>
          <w:szCs w:val="22"/>
        </w:rPr>
        <w:t>had to</w:t>
      </w:r>
      <w:r w:rsidR="00795951" w:rsidRPr="00F66DB4">
        <w:rPr>
          <w:rFonts w:ascii="Calibri" w:hAnsi="Calibri" w:cs="Calibri"/>
          <w:sz w:val="22"/>
          <w:szCs w:val="22"/>
        </w:rPr>
        <w:t xml:space="preserve"> </w:t>
      </w:r>
      <w:r w:rsidRPr="00F66DB4">
        <w:rPr>
          <w:rFonts w:ascii="Calibri" w:hAnsi="Calibri" w:cs="Calibri"/>
          <w:sz w:val="22"/>
          <w:szCs w:val="22"/>
        </w:rPr>
        <w:t>navigate its enforcement</w:t>
      </w:r>
      <w:r w:rsidR="00F2547E">
        <w:rPr>
          <w:rFonts w:ascii="Calibri" w:hAnsi="Calibri" w:cs="Calibri"/>
          <w:sz w:val="22"/>
          <w:szCs w:val="22"/>
        </w:rPr>
        <w:t>,</w:t>
      </w:r>
      <w:r w:rsidRPr="00F66DB4">
        <w:rPr>
          <w:rFonts w:ascii="Calibri" w:hAnsi="Calibri" w:cs="Calibri"/>
          <w:sz w:val="22"/>
          <w:szCs w:val="22"/>
        </w:rPr>
        <w:t xml:space="preserve"> </w:t>
      </w:r>
      <w:r w:rsidR="00F2547E">
        <w:rPr>
          <w:rFonts w:ascii="Calibri" w:hAnsi="Calibri" w:cs="Calibri"/>
          <w:sz w:val="22"/>
          <w:szCs w:val="22"/>
        </w:rPr>
        <w:t xml:space="preserve">even </w:t>
      </w:r>
      <w:r w:rsidRPr="00F66DB4">
        <w:rPr>
          <w:rFonts w:ascii="Calibri" w:hAnsi="Calibri" w:cs="Calibri"/>
          <w:sz w:val="22"/>
          <w:szCs w:val="22"/>
        </w:rPr>
        <w:t xml:space="preserve">though this </w:t>
      </w:r>
      <w:r w:rsidR="00720DD2">
        <w:rPr>
          <w:rFonts w:ascii="Calibri" w:hAnsi="Calibri" w:cs="Calibri"/>
          <w:sz w:val="22"/>
          <w:szCs w:val="22"/>
        </w:rPr>
        <w:t>may be in</w:t>
      </w:r>
      <w:r w:rsidRPr="00F66DB4">
        <w:rPr>
          <w:rFonts w:ascii="Calibri" w:hAnsi="Calibri" w:cs="Calibri"/>
          <w:sz w:val="22"/>
          <w:szCs w:val="22"/>
        </w:rPr>
        <w:t xml:space="preserve"> conflict with their</w:t>
      </w:r>
      <w:r w:rsidR="00720DD2">
        <w:rPr>
          <w:rFonts w:ascii="Calibri" w:hAnsi="Calibri" w:cs="Calibri"/>
          <w:sz w:val="22"/>
          <w:szCs w:val="22"/>
        </w:rPr>
        <w:t xml:space="preserve"> strategic</w:t>
      </w:r>
      <w:r w:rsidRPr="00F66DB4">
        <w:rPr>
          <w:rFonts w:ascii="Calibri" w:hAnsi="Calibri" w:cs="Calibri"/>
          <w:sz w:val="22"/>
          <w:szCs w:val="22"/>
        </w:rPr>
        <w:t xml:space="preserve"> remit of maximising revenue for reinvestment into </w:t>
      </w:r>
      <w:r w:rsidR="00720DD2">
        <w:rPr>
          <w:rFonts w:ascii="Calibri" w:hAnsi="Calibri" w:cs="Calibri"/>
          <w:sz w:val="22"/>
          <w:szCs w:val="22"/>
        </w:rPr>
        <w:t xml:space="preserve">public </w:t>
      </w:r>
      <w:r w:rsidRPr="00F66DB4">
        <w:rPr>
          <w:rFonts w:ascii="Calibri" w:hAnsi="Calibri" w:cs="Calibri"/>
          <w:sz w:val="22"/>
          <w:szCs w:val="22"/>
        </w:rPr>
        <w:t xml:space="preserve">transport. </w:t>
      </w:r>
      <w:r w:rsidR="00795951" w:rsidRPr="00F66DB4">
        <w:rPr>
          <w:rFonts w:ascii="Calibri" w:hAnsi="Calibri" w:cs="Calibri"/>
          <w:sz w:val="22"/>
          <w:szCs w:val="22"/>
        </w:rPr>
        <w:t xml:space="preserve">Concerns about potential loss of revenue for TfL were </w:t>
      </w:r>
      <w:r w:rsidR="00795951">
        <w:rPr>
          <w:rFonts w:ascii="Calibri" w:hAnsi="Calibri" w:cs="Calibri"/>
          <w:sz w:val="22"/>
          <w:szCs w:val="22"/>
        </w:rPr>
        <w:t>often</w:t>
      </w:r>
      <w:r w:rsidR="00795951" w:rsidRPr="00F66DB4">
        <w:rPr>
          <w:rFonts w:ascii="Calibri" w:hAnsi="Calibri" w:cs="Calibri"/>
          <w:sz w:val="22"/>
          <w:szCs w:val="22"/>
        </w:rPr>
        <w:t xml:space="preserve"> cited</w:t>
      </w:r>
      <w:r w:rsidR="00795951">
        <w:rPr>
          <w:rFonts w:ascii="Calibri" w:hAnsi="Calibri" w:cs="Calibri"/>
          <w:sz w:val="22"/>
          <w:szCs w:val="22"/>
        </w:rPr>
        <w:t xml:space="preserve"> by GLA and TfL stakeholders</w:t>
      </w:r>
      <w:r w:rsidR="00795951" w:rsidRPr="00F66DB4">
        <w:rPr>
          <w:rFonts w:ascii="Calibri" w:hAnsi="Calibri" w:cs="Calibri"/>
          <w:sz w:val="22"/>
          <w:szCs w:val="22"/>
        </w:rPr>
        <w:t>.</w:t>
      </w:r>
      <w:r w:rsidR="00795951">
        <w:rPr>
          <w:rFonts w:ascii="Calibri" w:hAnsi="Calibri" w:cs="Calibri"/>
          <w:sz w:val="22"/>
          <w:szCs w:val="22"/>
        </w:rPr>
        <w:t xml:space="preserve"> As </w:t>
      </w:r>
      <w:r w:rsidR="004A5876">
        <w:rPr>
          <w:rFonts w:ascii="Calibri" w:hAnsi="Calibri" w:cs="Calibri"/>
          <w:sz w:val="22"/>
          <w:szCs w:val="22"/>
        </w:rPr>
        <w:t xml:space="preserve">a </w:t>
      </w:r>
      <w:r w:rsidR="00795951">
        <w:rPr>
          <w:rFonts w:ascii="Calibri" w:hAnsi="Calibri" w:cs="Calibri"/>
          <w:sz w:val="22"/>
          <w:szCs w:val="22"/>
        </w:rPr>
        <w:t>TfL stakeholder described,</w:t>
      </w:r>
    </w:p>
    <w:p w14:paraId="2622BB5A" w14:textId="77777777" w:rsidR="00B60D0C" w:rsidRPr="00F66DB4" w:rsidRDefault="00B60D0C" w:rsidP="00475D3F">
      <w:pPr>
        <w:spacing w:line="360" w:lineRule="auto"/>
        <w:rPr>
          <w:rFonts w:ascii="Calibri" w:hAnsi="Calibri" w:cs="Calibri"/>
          <w:sz w:val="22"/>
          <w:szCs w:val="22"/>
        </w:rPr>
      </w:pPr>
    </w:p>
    <w:p w14:paraId="1D7A36A0" w14:textId="0EDDD2D0" w:rsidR="00B60D0C" w:rsidRPr="00F66DB4" w:rsidRDefault="00684DA4" w:rsidP="00475D3F">
      <w:pPr>
        <w:spacing w:line="360" w:lineRule="auto"/>
        <w:ind w:left="720" w:right="720"/>
        <w:rPr>
          <w:rFonts w:ascii="Calibri" w:hAnsi="Calibri" w:cs="Calibri"/>
          <w:i/>
          <w:iCs/>
          <w:sz w:val="22"/>
          <w:szCs w:val="22"/>
        </w:rPr>
      </w:pPr>
      <w:r>
        <w:rPr>
          <w:rFonts w:ascii="Calibri" w:hAnsi="Calibri" w:cs="Calibri"/>
          <w:i/>
          <w:iCs/>
          <w:sz w:val="22"/>
          <w:szCs w:val="22"/>
        </w:rPr>
        <w:t>“</w:t>
      </w:r>
      <w:r w:rsidR="00B60D0C" w:rsidRPr="00F66DB4">
        <w:rPr>
          <w:rFonts w:ascii="Calibri" w:hAnsi="Calibri" w:cs="Calibri"/>
          <w:i/>
          <w:iCs/>
          <w:sz w:val="22"/>
          <w:szCs w:val="22"/>
        </w:rPr>
        <w:t xml:space="preserve">I think there’s a want to get behind this policy and support it, </w:t>
      </w:r>
      <w:r w:rsidR="000A1A9D">
        <w:rPr>
          <w:rFonts w:ascii="Calibri" w:hAnsi="Calibri" w:cs="Calibri"/>
          <w:i/>
          <w:iCs/>
          <w:sz w:val="22"/>
          <w:szCs w:val="22"/>
        </w:rPr>
        <w:t xml:space="preserve">[but] </w:t>
      </w:r>
      <w:r w:rsidR="00B60D0C" w:rsidRPr="00F66DB4">
        <w:rPr>
          <w:rFonts w:ascii="Calibri" w:hAnsi="Calibri" w:cs="Calibri"/>
          <w:i/>
          <w:iCs/>
          <w:sz w:val="22"/>
          <w:szCs w:val="22"/>
        </w:rPr>
        <w:t>there’s a fear about the impact on revenue and the perception of TfL advertising within the marketplace and what it’s meant to do</w:t>
      </w:r>
      <w:r w:rsidR="00F61A5A">
        <w:rPr>
          <w:rFonts w:ascii="Calibri" w:hAnsi="Calibri" w:cs="Calibri"/>
          <w:i/>
          <w:iCs/>
          <w:sz w:val="22"/>
          <w:szCs w:val="22"/>
        </w:rPr>
        <w:t xml:space="preserve"> to our brand.”</w:t>
      </w:r>
    </w:p>
    <w:p w14:paraId="748E642D" w14:textId="0402F9C9" w:rsidR="00B60D0C" w:rsidRPr="00F66DB4" w:rsidRDefault="00B60D0C" w:rsidP="00475D3F">
      <w:pPr>
        <w:pStyle w:val="ListParagraph"/>
        <w:numPr>
          <w:ilvl w:val="0"/>
          <w:numId w:val="8"/>
        </w:numPr>
        <w:spacing w:line="360" w:lineRule="auto"/>
        <w:ind w:right="720"/>
        <w:rPr>
          <w:rFonts w:ascii="Calibri" w:hAnsi="Calibri" w:cs="Calibri"/>
          <w:i/>
          <w:iCs/>
          <w:sz w:val="22"/>
          <w:szCs w:val="22"/>
        </w:rPr>
      </w:pPr>
      <w:r w:rsidRPr="00F66DB4">
        <w:rPr>
          <w:rFonts w:ascii="Calibri" w:hAnsi="Calibri" w:cs="Calibri"/>
          <w:i/>
          <w:iCs/>
          <w:sz w:val="22"/>
          <w:szCs w:val="22"/>
        </w:rPr>
        <w:lastRenderedPageBreak/>
        <w:t xml:space="preserve">Implementation stakeholder </w:t>
      </w:r>
      <w:r w:rsidR="00DB28F2">
        <w:rPr>
          <w:rFonts w:ascii="Calibri" w:hAnsi="Calibri" w:cs="Calibri"/>
          <w:i/>
          <w:iCs/>
          <w:sz w:val="22"/>
          <w:szCs w:val="22"/>
        </w:rPr>
        <w:t>(T</w:t>
      </w:r>
      <w:r w:rsidR="00F610EF">
        <w:rPr>
          <w:rFonts w:ascii="Calibri" w:hAnsi="Calibri" w:cs="Calibri"/>
          <w:i/>
          <w:iCs/>
          <w:sz w:val="22"/>
          <w:szCs w:val="22"/>
        </w:rPr>
        <w:t>f</w:t>
      </w:r>
      <w:r w:rsidR="00DB28F2">
        <w:rPr>
          <w:rFonts w:ascii="Calibri" w:hAnsi="Calibri" w:cs="Calibri"/>
          <w:i/>
          <w:iCs/>
          <w:sz w:val="22"/>
          <w:szCs w:val="22"/>
        </w:rPr>
        <w:t>L)</w:t>
      </w:r>
    </w:p>
    <w:p w14:paraId="002DCCC7" w14:textId="77777777" w:rsidR="00B60D0C" w:rsidRPr="00F66DB4" w:rsidRDefault="00B60D0C" w:rsidP="00475D3F">
      <w:pPr>
        <w:spacing w:line="360" w:lineRule="auto"/>
        <w:rPr>
          <w:rFonts w:ascii="Calibri" w:hAnsi="Calibri" w:cs="Calibri"/>
          <w:sz w:val="22"/>
          <w:szCs w:val="22"/>
        </w:rPr>
      </w:pPr>
    </w:p>
    <w:p w14:paraId="6FC66290" w14:textId="14BF7FA6" w:rsidR="00795951" w:rsidRDefault="00F61A5A" w:rsidP="00475D3F">
      <w:pPr>
        <w:spacing w:line="360" w:lineRule="auto"/>
        <w:rPr>
          <w:rFonts w:ascii="Calibri" w:hAnsi="Calibri" w:cs="Calibri"/>
          <w:sz w:val="22"/>
          <w:szCs w:val="22"/>
        </w:rPr>
      </w:pPr>
      <w:r>
        <w:rPr>
          <w:rFonts w:ascii="Calibri" w:hAnsi="Calibri" w:cs="Calibri"/>
          <w:sz w:val="22"/>
          <w:szCs w:val="22"/>
        </w:rPr>
        <w:t xml:space="preserve">Highlighting the critical role of commercial advertising in generating revenue for the network, a </w:t>
      </w:r>
      <w:r w:rsidR="00795951">
        <w:rPr>
          <w:rFonts w:ascii="Calibri" w:hAnsi="Calibri" w:cs="Calibri"/>
          <w:sz w:val="22"/>
          <w:szCs w:val="22"/>
        </w:rPr>
        <w:t>GLA stakeholder</w:t>
      </w:r>
      <w:r>
        <w:rPr>
          <w:rFonts w:ascii="Calibri" w:hAnsi="Calibri" w:cs="Calibri"/>
          <w:sz w:val="22"/>
          <w:szCs w:val="22"/>
        </w:rPr>
        <w:t xml:space="preserve"> suggested this tension played into the need for</w:t>
      </w:r>
      <w:r w:rsidR="00493036">
        <w:rPr>
          <w:rFonts w:ascii="Calibri" w:hAnsi="Calibri" w:cs="Calibri"/>
          <w:sz w:val="22"/>
          <w:szCs w:val="22"/>
        </w:rPr>
        <w:t xml:space="preserve"> the above</w:t>
      </w:r>
      <w:r w:rsidR="004A5876">
        <w:rPr>
          <w:rFonts w:ascii="Calibri" w:hAnsi="Calibri" w:cs="Calibri"/>
          <w:sz w:val="22"/>
          <w:szCs w:val="22"/>
        </w:rPr>
        <w:t>-</w:t>
      </w:r>
      <w:r w:rsidR="00493036">
        <w:rPr>
          <w:rFonts w:ascii="Calibri" w:hAnsi="Calibri" w:cs="Calibri"/>
          <w:sz w:val="22"/>
          <w:szCs w:val="22"/>
        </w:rPr>
        <w:t>mentioned</w:t>
      </w:r>
      <w:r>
        <w:rPr>
          <w:rFonts w:ascii="Calibri" w:hAnsi="Calibri" w:cs="Calibri"/>
          <w:sz w:val="22"/>
          <w:szCs w:val="22"/>
        </w:rPr>
        <w:t xml:space="preserve"> exceptions process.</w:t>
      </w:r>
    </w:p>
    <w:p w14:paraId="40CE6B20" w14:textId="77777777" w:rsidR="0016197C" w:rsidRPr="00F66DB4" w:rsidRDefault="0016197C" w:rsidP="00475D3F">
      <w:pPr>
        <w:spacing w:line="360" w:lineRule="auto"/>
        <w:ind w:right="720"/>
        <w:rPr>
          <w:rFonts w:ascii="Calibri" w:hAnsi="Calibri" w:cs="Calibri"/>
          <w:i/>
          <w:iCs/>
          <w:sz w:val="22"/>
          <w:szCs w:val="22"/>
        </w:rPr>
      </w:pPr>
    </w:p>
    <w:p w14:paraId="1F9FA9FE" w14:textId="1190C3E5" w:rsidR="00720136" w:rsidRPr="00F66DB4" w:rsidRDefault="00720136" w:rsidP="00475D3F">
      <w:pPr>
        <w:spacing w:line="360" w:lineRule="auto"/>
        <w:rPr>
          <w:rFonts w:ascii="Calibri" w:hAnsi="Calibri" w:cs="Calibri"/>
          <w:sz w:val="22"/>
          <w:szCs w:val="22"/>
        </w:rPr>
      </w:pPr>
      <w:r w:rsidRPr="00F66DB4">
        <w:rPr>
          <w:rFonts w:ascii="Calibri" w:hAnsi="Calibri" w:cs="Calibri"/>
          <w:sz w:val="22"/>
          <w:szCs w:val="22"/>
        </w:rPr>
        <w:t>B</w:t>
      </w:r>
      <w:r w:rsidR="00CD44FA" w:rsidRPr="00F66DB4">
        <w:rPr>
          <w:rFonts w:ascii="Calibri" w:hAnsi="Calibri" w:cs="Calibri"/>
          <w:sz w:val="22"/>
          <w:szCs w:val="22"/>
        </w:rPr>
        <w:t xml:space="preserve">oth implementation and industry stakeholders raised the possibility that some advertisers would </w:t>
      </w:r>
      <w:r w:rsidR="008B65FD" w:rsidRPr="00F66DB4">
        <w:rPr>
          <w:rFonts w:ascii="Calibri" w:hAnsi="Calibri" w:cs="Calibri"/>
          <w:sz w:val="22"/>
          <w:szCs w:val="22"/>
        </w:rPr>
        <w:t xml:space="preserve">opt to advertise </w:t>
      </w:r>
      <w:r w:rsidR="00E00B22">
        <w:rPr>
          <w:rFonts w:ascii="Calibri" w:hAnsi="Calibri" w:cs="Calibri"/>
          <w:sz w:val="22"/>
          <w:szCs w:val="22"/>
        </w:rPr>
        <w:t>in locations</w:t>
      </w:r>
      <w:r w:rsidR="008B65FD" w:rsidRPr="00F66DB4">
        <w:rPr>
          <w:rFonts w:ascii="Calibri" w:hAnsi="Calibri" w:cs="Calibri"/>
          <w:sz w:val="22"/>
          <w:szCs w:val="22"/>
        </w:rPr>
        <w:t xml:space="preserve"> that do not </w:t>
      </w:r>
      <w:r w:rsidR="0016197C" w:rsidRPr="00F66DB4">
        <w:rPr>
          <w:rFonts w:ascii="Calibri" w:hAnsi="Calibri" w:cs="Calibri"/>
          <w:sz w:val="22"/>
          <w:szCs w:val="22"/>
        </w:rPr>
        <w:t>operate</w:t>
      </w:r>
      <w:r w:rsidR="008B65FD" w:rsidRPr="00F66DB4">
        <w:rPr>
          <w:rFonts w:ascii="Calibri" w:hAnsi="Calibri" w:cs="Calibri"/>
          <w:sz w:val="22"/>
          <w:szCs w:val="22"/>
        </w:rPr>
        <w:t xml:space="preserve"> HFSS restrictions</w:t>
      </w:r>
      <w:r w:rsidR="007610AF">
        <w:rPr>
          <w:rFonts w:ascii="Calibri" w:hAnsi="Calibri" w:cs="Calibri"/>
          <w:sz w:val="22"/>
          <w:szCs w:val="22"/>
        </w:rPr>
        <w:t xml:space="preserve"> rather than on the TfL estate</w:t>
      </w:r>
      <w:r w:rsidR="0016197C" w:rsidRPr="00F66DB4">
        <w:rPr>
          <w:rFonts w:ascii="Calibri" w:hAnsi="Calibri" w:cs="Calibri"/>
          <w:sz w:val="22"/>
          <w:szCs w:val="22"/>
        </w:rPr>
        <w:t xml:space="preserve">. Some suggested that, comprising a relatively small proportion of available </w:t>
      </w:r>
      <w:r w:rsidR="003B641B">
        <w:rPr>
          <w:rFonts w:ascii="Calibri" w:hAnsi="Calibri" w:cs="Calibri"/>
          <w:sz w:val="22"/>
          <w:szCs w:val="22"/>
        </w:rPr>
        <w:t xml:space="preserve">UK </w:t>
      </w:r>
      <w:r w:rsidR="0016197C" w:rsidRPr="00F66DB4">
        <w:rPr>
          <w:rFonts w:ascii="Calibri" w:hAnsi="Calibri" w:cs="Calibri"/>
          <w:sz w:val="22"/>
          <w:szCs w:val="22"/>
        </w:rPr>
        <w:t>advertising space, TfL</w:t>
      </w:r>
      <w:r w:rsidR="00C5622B" w:rsidRPr="00F66DB4">
        <w:rPr>
          <w:rFonts w:ascii="Calibri" w:hAnsi="Calibri" w:cs="Calibri"/>
          <w:sz w:val="22"/>
          <w:szCs w:val="22"/>
        </w:rPr>
        <w:t>’s influence was limited</w:t>
      </w:r>
      <w:r w:rsidR="007610AF">
        <w:rPr>
          <w:rFonts w:ascii="Calibri" w:hAnsi="Calibri" w:cs="Calibri"/>
          <w:sz w:val="22"/>
          <w:szCs w:val="22"/>
        </w:rPr>
        <w:t>:</w:t>
      </w:r>
      <w:r w:rsidR="0016197C" w:rsidRPr="00F66DB4">
        <w:rPr>
          <w:rFonts w:ascii="Calibri" w:hAnsi="Calibri" w:cs="Calibri"/>
          <w:sz w:val="22"/>
          <w:szCs w:val="22"/>
        </w:rPr>
        <w:t xml:space="preserve">   </w:t>
      </w:r>
    </w:p>
    <w:p w14:paraId="2FEE7EA0" w14:textId="77777777" w:rsidR="001D0B2B" w:rsidRPr="00F66DB4" w:rsidRDefault="001D0B2B" w:rsidP="00475D3F">
      <w:pPr>
        <w:spacing w:line="360" w:lineRule="auto"/>
        <w:ind w:left="720" w:right="720"/>
        <w:rPr>
          <w:rFonts w:ascii="Calibri" w:hAnsi="Calibri" w:cs="Calibri"/>
          <w:sz w:val="22"/>
          <w:szCs w:val="22"/>
        </w:rPr>
      </w:pPr>
    </w:p>
    <w:p w14:paraId="3A3D0DB1" w14:textId="7EB705C5" w:rsidR="001D0B2B" w:rsidRPr="00F66DB4" w:rsidRDefault="00304098" w:rsidP="00475D3F">
      <w:pPr>
        <w:spacing w:line="360" w:lineRule="auto"/>
        <w:ind w:left="720" w:right="720"/>
        <w:rPr>
          <w:rFonts w:ascii="Calibri" w:hAnsi="Calibri" w:cs="Calibri"/>
          <w:i/>
          <w:iCs/>
          <w:sz w:val="22"/>
          <w:szCs w:val="22"/>
        </w:rPr>
      </w:pPr>
      <w:r>
        <w:rPr>
          <w:rFonts w:ascii="Calibri" w:hAnsi="Calibri" w:cs="Calibri"/>
          <w:i/>
          <w:iCs/>
          <w:sz w:val="22"/>
          <w:szCs w:val="22"/>
        </w:rPr>
        <w:t>“…</w:t>
      </w:r>
      <w:r w:rsidR="001D0B2B" w:rsidRPr="00F66DB4">
        <w:rPr>
          <w:rFonts w:ascii="Calibri" w:hAnsi="Calibri" w:cs="Calibri"/>
          <w:i/>
          <w:iCs/>
          <w:sz w:val="22"/>
          <w:szCs w:val="22"/>
        </w:rPr>
        <w:t xml:space="preserve">it becomes so complex for an advertiser having to, having to go to create a, a different creative TfL, a different creative for Southwark and Lambeth because they want to ban in a different way. A different creative for West Midlands Transport, er, a different creative for Manchester, a different creative for the whole of Scotland, er, you’re going to see advertising just going, advertisers just going, </w:t>
      </w:r>
      <w:r w:rsidR="00D959E4">
        <w:rPr>
          <w:rFonts w:ascii="Calibri" w:hAnsi="Calibri" w:cs="Calibri"/>
          <w:i/>
          <w:iCs/>
          <w:sz w:val="22"/>
          <w:szCs w:val="22"/>
        </w:rPr>
        <w:t>‘</w:t>
      </w:r>
      <w:r w:rsidR="001D0B2B" w:rsidRPr="00F66DB4">
        <w:rPr>
          <w:rFonts w:ascii="Calibri" w:hAnsi="Calibri" w:cs="Calibri"/>
          <w:i/>
          <w:iCs/>
          <w:sz w:val="22"/>
          <w:szCs w:val="22"/>
        </w:rPr>
        <w:t>we’ll sacrifice the TfL estate as we can’t, we can’t do it.</w:t>
      </w:r>
      <w:r w:rsidR="00D959E4">
        <w:rPr>
          <w:rFonts w:ascii="Calibri" w:hAnsi="Calibri" w:cs="Calibri"/>
          <w:i/>
          <w:iCs/>
          <w:sz w:val="22"/>
          <w:szCs w:val="22"/>
        </w:rPr>
        <w:t>’”</w:t>
      </w:r>
    </w:p>
    <w:p w14:paraId="4CC25350" w14:textId="49A44D15" w:rsidR="001B6EFB" w:rsidRPr="00F66DB4" w:rsidRDefault="001D0B2B" w:rsidP="00475D3F">
      <w:pPr>
        <w:pStyle w:val="ListParagraph"/>
        <w:numPr>
          <w:ilvl w:val="0"/>
          <w:numId w:val="8"/>
        </w:numPr>
        <w:spacing w:line="360" w:lineRule="auto"/>
        <w:ind w:right="720"/>
        <w:rPr>
          <w:rFonts w:ascii="Calibri" w:hAnsi="Calibri" w:cs="Calibri"/>
          <w:i/>
          <w:iCs/>
          <w:sz w:val="22"/>
          <w:szCs w:val="22"/>
        </w:rPr>
      </w:pPr>
      <w:r w:rsidRPr="00F66DB4">
        <w:rPr>
          <w:rFonts w:ascii="Calibri" w:hAnsi="Calibri" w:cs="Calibri"/>
          <w:i/>
          <w:iCs/>
          <w:sz w:val="22"/>
          <w:szCs w:val="22"/>
        </w:rPr>
        <w:t xml:space="preserve">Industry stakeholder </w:t>
      </w:r>
      <w:r w:rsidR="00DB28F2">
        <w:rPr>
          <w:rFonts w:ascii="Calibri" w:hAnsi="Calibri" w:cs="Calibri"/>
          <w:i/>
          <w:iCs/>
          <w:sz w:val="22"/>
          <w:szCs w:val="22"/>
        </w:rPr>
        <w:t>(</w:t>
      </w:r>
      <w:r w:rsidR="00D959E4">
        <w:rPr>
          <w:rFonts w:ascii="Calibri" w:hAnsi="Calibri" w:cs="Calibri"/>
          <w:i/>
          <w:iCs/>
          <w:sz w:val="22"/>
          <w:szCs w:val="22"/>
        </w:rPr>
        <w:t>industry body representative</w:t>
      </w:r>
      <w:r w:rsidR="00DB28F2">
        <w:rPr>
          <w:rFonts w:ascii="Calibri" w:hAnsi="Calibri" w:cs="Calibri"/>
          <w:i/>
          <w:iCs/>
          <w:sz w:val="22"/>
          <w:szCs w:val="22"/>
        </w:rPr>
        <w:t>)</w:t>
      </w:r>
    </w:p>
    <w:p w14:paraId="42FED839" w14:textId="77777777" w:rsidR="007474E9" w:rsidRPr="00F66DB4" w:rsidRDefault="007474E9" w:rsidP="00475D3F">
      <w:pPr>
        <w:spacing w:line="360" w:lineRule="auto"/>
        <w:rPr>
          <w:rFonts w:ascii="Calibri" w:hAnsi="Calibri" w:cs="Calibri"/>
          <w:sz w:val="22"/>
          <w:szCs w:val="22"/>
        </w:rPr>
      </w:pPr>
    </w:p>
    <w:p w14:paraId="1A67A8BB" w14:textId="04CFE0FF" w:rsidR="00D17C2A" w:rsidRPr="00F66DB4" w:rsidRDefault="001B6EFB" w:rsidP="00475D3F">
      <w:pPr>
        <w:spacing w:line="360" w:lineRule="auto"/>
        <w:rPr>
          <w:rFonts w:ascii="Calibri" w:hAnsi="Calibri" w:cs="Calibri"/>
          <w:sz w:val="22"/>
          <w:szCs w:val="22"/>
        </w:rPr>
      </w:pPr>
      <w:r w:rsidRPr="00F66DB4">
        <w:rPr>
          <w:rFonts w:ascii="Calibri" w:hAnsi="Calibri" w:cs="Calibri"/>
          <w:sz w:val="22"/>
          <w:szCs w:val="22"/>
        </w:rPr>
        <w:t>Participants cited examples of ad</w:t>
      </w:r>
      <w:r w:rsidR="006D65D8">
        <w:rPr>
          <w:rFonts w:ascii="Calibri" w:hAnsi="Calibri" w:cs="Calibri"/>
          <w:sz w:val="22"/>
          <w:szCs w:val="22"/>
        </w:rPr>
        <w:t>verti</w:t>
      </w:r>
      <w:r w:rsidRPr="00F66DB4">
        <w:rPr>
          <w:rFonts w:ascii="Calibri" w:hAnsi="Calibri" w:cs="Calibri"/>
          <w:sz w:val="22"/>
          <w:szCs w:val="22"/>
        </w:rPr>
        <w:t>s</w:t>
      </w:r>
      <w:r w:rsidR="006D65D8">
        <w:rPr>
          <w:rFonts w:ascii="Calibri" w:hAnsi="Calibri" w:cs="Calibri"/>
          <w:sz w:val="22"/>
          <w:szCs w:val="22"/>
        </w:rPr>
        <w:t>ement</w:t>
      </w:r>
      <w:r w:rsidR="003B641B">
        <w:rPr>
          <w:rFonts w:ascii="Calibri" w:hAnsi="Calibri" w:cs="Calibri"/>
          <w:sz w:val="22"/>
          <w:szCs w:val="22"/>
        </w:rPr>
        <w:t>s</w:t>
      </w:r>
      <w:r w:rsidRPr="00F66DB4">
        <w:rPr>
          <w:rFonts w:ascii="Calibri" w:hAnsi="Calibri" w:cs="Calibri"/>
          <w:sz w:val="22"/>
          <w:szCs w:val="22"/>
        </w:rPr>
        <w:t xml:space="preserve"> that were </w:t>
      </w:r>
      <w:r w:rsidR="00B8258E">
        <w:rPr>
          <w:rFonts w:ascii="Calibri" w:hAnsi="Calibri" w:cs="Calibri"/>
          <w:sz w:val="22"/>
          <w:szCs w:val="22"/>
        </w:rPr>
        <w:t xml:space="preserve">pulled (by advertisers) or </w:t>
      </w:r>
      <w:r w:rsidRPr="00F66DB4">
        <w:rPr>
          <w:rFonts w:ascii="Calibri" w:hAnsi="Calibri" w:cs="Calibri"/>
          <w:sz w:val="22"/>
          <w:szCs w:val="22"/>
        </w:rPr>
        <w:t>rejected</w:t>
      </w:r>
      <w:r w:rsidR="00B8258E">
        <w:rPr>
          <w:rFonts w:ascii="Calibri" w:hAnsi="Calibri" w:cs="Calibri"/>
          <w:sz w:val="22"/>
          <w:szCs w:val="22"/>
        </w:rPr>
        <w:t xml:space="preserve"> (by implementers)</w:t>
      </w:r>
      <w:r w:rsidRPr="00F66DB4">
        <w:rPr>
          <w:rFonts w:ascii="Calibri" w:hAnsi="Calibri" w:cs="Calibri"/>
          <w:sz w:val="22"/>
          <w:szCs w:val="22"/>
        </w:rPr>
        <w:t xml:space="preserve"> from the TfL estate </w:t>
      </w:r>
      <w:r w:rsidR="009B59B2" w:rsidRPr="00F66DB4">
        <w:rPr>
          <w:rFonts w:ascii="Calibri" w:hAnsi="Calibri" w:cs="Calibri"/>
          <w:sz w:val="22"/>
          <w:szCs w:val="22"/>
        </w:rPr>
        <w:t>as well as</w:t>
      </w:r>
      <w:r w:rsidRPr="00F66DB4">
        <w:rPr>
          <w:rFonts w:ascii="Calibri" w:hAnsi="Calibri" w:cs="Calibri"/>
          <w:sz w:val="22"/>
          <w:szCs w:val="22"/>
        </w:rPr>
        <w:t xml:space="preserve"> </w:t>
      </w:r>
      <w:r w:rsidR="00CD44FA" w:rsidRPr="00F66DB4">
        <w:rPr>
          <w:rFonts w:ascii="Calibri" w:hAnsi="Calibri" w:cs="Calibri"/>
          <w:sz w:val="22"/>
          <w:szCs w:val="22"/>
        </w:rPr>
        <w:t xml:space="preserve">examples of </w:t>
      </w:r>
      <w:r w:rsidR="00D17C2A" w:rsidRPr="00F66DB4">
        <w:rPr>
          <w:rFonts w:ascii="Calibri" w:hAnsi="Calibri" w:cs="Calibri"/>
          <w:sz w:val="22"/>
          <w:szCs w:val="22"/>
        </w:rPr>
        <w:t xml:space="preserve">modifications made to </w:t>
      </w:r>
      <w:r w:rsidR="0016197C" w:rsidRPr="00F66DB4">
        <w:rPr>
          <w:rFonts w:ascii="Calibri" w:hAnsi="Calibri" w:cs="Calibri"/>
          <w:sz w:val="22"/>
          <w:szCs w:val="22"/>
        </w:rPr>
        <w:t xml:space="preserve">successfully </w:t>
      </w:r>
      <w:r w:rsidR="00D17C2A" w:rsidRPr="00F66DB4">
        <w:rPr>
          <w:rFonts w:ascii="Calibri" w:hAnsi="Calibri" w:cs="Calibri"/>
          <w:sz w:val="22"/>
          <w:szCs w:val="22"/>
        </w:rPr>
        <w:t>bring advertisements into compliance</w:t>
      </w:r>
      <w:r w:rsidRPr="00F66DB4">
        <w:rPr>
          <w:rFonts w:ascii="Calibri" w:hAnsi="Calibri" w:cs="Calibri"/>
          <w:sz w:val="22"/>
          <w:szCs w:val="22"/>
        </w:rPr>
        <w:t xml:space="preserve">. </w:t>
      </w:r>
      <w:r w:rsidR="00D959E4">
        <w:rPr>
          <w:rFonts w:ascii="Calibri" w:hAnsi="Calibri" w:cs="Calibri"/>
          <w:sz w:val="22"/>
          <w:szCs w:val="22"/>
        </w:rPr>
        <w:t>A GLA</w:t>
      </w:r>
      <w:r w:rsidR="009B59B2" w:rsidRPr="00F66DB4">
        <w:rPr>
          <w:rFonts w:ascii="Calibri" w:hAnsi="Calibri" w:cs="Calibri"/>
          <w:sz w:val="22"/>
          <w:szCs w:val="22"/>
        </w:rPr>
        <w:t xml:space="preserve"> stakeholder suggested that</w:t>
      </w:r>
      <w:r w:rsidR="006D65D8">
        <w:rPr>
          <w:rFonts w:ascii="Calibri" w:hAnsi="Calibri" w:cs="Calibri"/>
          <w:sz w:val="22"/>
          <w:szCs w:val="22"/>
        </w:rPr>
        <w:t>,</w:t>
      </w:r>
      <w:r w:rsidR="009B59B2" w:rsidRPr="00F66DB4">
        <w:rPr>
          <w:rFonts w:ascii="Calibri" w:hAnsi="Calibri" w:cs="Calibri"/>
          <w:sz w:val="22"/>
          <w:szCs w:val="22"/>
        </w:rPr>
        <w:t xml:space="preserve"> </w:t>
      </w:r>
      <w:r w:rsidR="00D17C2A" w:rsidRPr="00F66DB4">
        <w:rPr>
          <w:rFonts w:ascii="Calibri" w:hAnsi="Calibri" w:cs="Calibri"/>
          <w:sz w:val="22"/>
          <w:szCs w:val="22"/>
        </w:rPr>
        <w:t>in some cases</w:t>
      </w:r>
      <w:r w:rsidR="006D65D8">
        <w:rPr>
          <w:rFonts w:ascii="Calibri" w:hAnsi="Calibri" w:cs="Calibri"/>
          <w:sz w:val="22"/>
          <w:szCs w:val="22"/>
        </w:rPr>
        <w:t>,</w:t>
      </w:r>
      <w:r w:rsidR="00D17C2A" w:rsidRPr="00F66DB4">
        <w:rPr>
          <w:rFonts w:ascii="Calibri" w:hAnsi="Calibri" w:cs="Calibri"/>
          <w:sz w:val="22"/>
          <w:szCs w:val="22"/>
        </w:rPr>
        <w:t xml:space="preserve"> </w:t>
      </w:r>
      <w:r w:rsidRPr="00F66DB4">
        <w:rPr>
          <w:rFonts w:ascii="Calibri" w:hAnsi="Calibri" w:cs="Calibri"/>
          <w:sz w:val="22"/>
          <w:szCs w:val="22"/>
        </w:rPr>
        <w:t xml:space="preserve">these changes </w:t>
      </w:r>
      <w:r w:rsidR="00D17C2A" w:rsidRPr="00F66DB4">
        <w:rPr>
          <w:rFonts w:ascii="Calibri" w:hAnsi="Calibri" w:cs="Calibri"/>
          <w:sz w:val="22"/>
          <w:szCs w:val="22"/>
        </w:rPr>
        <w:t xml:space="preserve">had a ripple effect on advertisements </w:t>
      </w:r>
      <w:r w:rsidR="00E00B22">
        <w:rPr>
          <w:rFonts w:ascii="Calibri" w:hAnsi="Calibri" w:cs="Calibri"/>
          <w:sz w:val="22"/>
          <w:szCs w:val="22"/>
        </w:rPr>
        <w:t>in</w:t>
      </w:r>
      <w:r w:rsidR="00E00B22" w:rsidRPr="00F66DB4">
        <w:rPr>
          <w:rFonts w:ascii="Calibri" w:hAnsi="Calibri" w:cs="Calibri"/>
          <w:sz w:val="22"/>
          <w:szCs w:val="22"/>
        </w:rPr>
        <w:t xml:space="preserve"> </w:t>
      </w:r>
      <w:r w:rsidR="00D17C2A" w:rsidRPr="00F66DB4">
        <w:rPr>
          <w:rFonts w:ascii="Calibri" w:hAnsi="Calibri" w:cs="Calibri"/>
          <w:sz w:val="22"/>
          <w:szCs w:val="22"/>
        </w:rPr>
        <w:t xml:space="preserve">other </w:t>
      </w:r>
      <w:r w:rsidR="00E00B22">
        <w:rPr>
          <w:rFonts w:ascii="Calibri" w:hAnsi="Calibri" w:cs="Calibri"/>
          <w:sz w:val="22"/>
          <w:szCs w:val="22"/>
        </w:rPr>
        <w:t>locations</w:t>
      </w:r>
      <w:r w:rsidR="00E00B22" w:rsidRPr="00F66DB4">
        <w:rPr>
          <w:rFonts w:ascii="Calibri" w:hAnsi="Calibri" w:cs="Calibri"/>
          <w:sz w:val="22"/>
          <w:szCs w:val="22"/>
        </w:rPr>
        <w:t xml:space="preserve"> </w:t>
      </w:r>
      <w:r w:rsidR="00D17C2A" w:rsidRPr="00F66DB4">
        <w:rPr>
          <w:rFonts w:ascii="Calibri" w:hAnsi="Calibri" w:cs="Calibri"/>
          <w:sz w:val="22"/>
          <w:szCs w:val="22"/>
        </w:rPr>
        <w:t xml:space="preserve">when these were part of a broader campaign: </w:t>
      </w:r>
    </w:p>
    <w:p w14:paraId="1F24A6AE" w14:textId="77777777" w:rsidR="00D17C2A" w:rsidRPr="00F66DB4" w:rsidRDefault="00D17C2A" w:rsidP="00475D3F">
      <w:pPr>
        <w:spacing w:line="360" w:lineRule="auto"/>
        <w:rPr>
          <w:rFonts w:ascii="Calibri" w:hAnsi="Calibri" w:cs="Calibri"/>
          <w:sz w:val="22"/>
          <w:szCs w:val="22"/>
        </w:rPr>
      </w:pPr>
    </w:p>
    <w:p w14:paraId="05EACF4E" w14:textId="35F7398E" w:rsidR="00D17C2A" w:rsidRPr="00F66DB4" w:rsidRDefault="00D959E4" w:rsidP="00475D3F">
      <w:pPr>
        <w:spacing w:line="360" w:lineRule="auto"/>
        <w:ind w:left="720" w:right="720"/>
        <w:rPr>
          <w:rFonts w:ascii="Calibri" w:hAnsi="Calibri" w:cs="Calibri"/>
          <w:i/>
          <w:iCs/>
          <w:sz w:val="22"/>
          <w:szCs w:val="22"/>
        </w:rPr>
      </w:pPr>
      <w:r>
        <w:rPr>
          <w:rFonts w:ascii="Calibri" w:hAnsi="Calibri" w:cs="Calibri"/>
          <w:i/>
          <w:iCs/>
          <w:sz w:val="22"/>
          <w:szCs w:val="22"/>
        </w:rPr>
        <w:t>“</w:t>
      </w:r>
      <w:r w:rsidR="00D17C2A" w:rsidRPr="00F66DB4">
        <w:rPr>
          <w:rFonts w:ascii="Calibri" w:hAnsi="Calibri" w:cs="Calibri"/>
          <w:i/>
          <w:iCs/>
          <w:sz w:val="22"/>
          <w:szCs w:val="22"/>
        </w:rPr>
        <w:t>They're amending their brand</w:t>
      </w:r>
      <w:r w:rsidR="004A5876">
        <w:rPr>
          <w:rFonts w:ascii="Calibri" w:hAnsi="Calibri" w:cs="Calibri"/>
          <w:i/>
          <w:iCs/>
          <w:sz w:val="22"/>
          <w:szCs w:val="22"/>
        </w:rPr>
        <w:t>-</w:t>
      </w:r>
      <w:r w:rsidR="00D17C2A" w:rsidRPr="00F66DB4">
        <w:rPr>
          <w:rFonts w:ascii="Calibri" w:hAnsi="Calibri" w:cs="Calibri"/>
          <w:i/>
          <w:iCs/>
          <w:sz w:val="22"/>
          <w:szCs w:val="22"/>
        </w:rPr>
        <w:t>only</w:t>
      </w:r>
      <w:r>
        <w:rPr>
          <w:rFonts w:ascii="Calibri" w:hAnsi="Calibri" w:cs="Calibri"/>
          <w:i/>
          <w:iCs/>
          <w:sz w:val="22"/>
          <w:szCs w:val="22"/>
        </w:rPr>
        <w:t>…</w:t>
      </w:r>
      <w:r w:rsidR="00D17C2A" w:rsidRPr="00F66DB4">
        <w:rPr>
          <w:rFonts w:ascii="Calibri" w:hAnsi="Calibri" w:cs="Calibri"/>
          <w:i/>
          <w:iCs/>
          <w:sz w:val="22"/>
          <w:szCs w:val="22"/>
        </w:rPr>
        <w:t>adverts to comply and, erm, financial services companies are not using pictures of cake anymore, they're using other pictures which, you know, as long as they know what the policy is, it's been fine and, and a lot of places I think the national, copy for their national campaigns has been amended to meet our policy because actually they don't need to use that picture of a cake, they can use something else, be a bit more creative.</w:t>
      </w:r>
      <w:r>
        <w:rPr>
          <w:rFonts w:ascii="Calibri" w:hAnsi="Calibri" w:cs="Calibri"/>
          <w:i/>
          <w:iCs/>
          <w:sz w:val="22"/>
          <w:szCs w:val="22"/>
        </w:rPr>
        <w:t>”</w:t>
      </w:r>
    </w:p>
    <w:p w14:paraId="74B84C57" w14:textId="3B6D52BD" w:rsidR="0016197C" w:rsidRPr="00F66DB4" w:rsidRDefault="00D17C2A" w:rsidP="00475D3F">
      <w:pPr>
        <w:pStyle w:val="ListParagraph"/>
        <w:numPr>
          <w:ilvl w:val="0"/>
          <w:numId w:val="8"/>
        </w:numPr>
        <w:spacing w:line="360" w:lineRule="auto"/>
        <w:ind w:right="720"/>
        <w:rPr>
          <w:rFonts w:ascii="Calibri" w:hAnsi="Calibri" w:cs="Calibri"/>
          <w:i/>
          <w:iCs/>
          <w:sz w:val="22"/>
          <w:szCs w:val="22"/>
        </w:rPr>
      </w:pPr>
      <w:r w:rsidRPr="00F66DB4">
        <w:rPr>
          <w:rFonts w:ascii="Calibri" w:hAnsi="Calibri" w:cs="Calibri"/>
          <w:i/>
          <w:iCs/>
          <w:sz w:val="22"/>
          <w:szCs w:val="22"/>
        </w:rPr>
        <w:t xml:space="preserve">Implementation stakeholder </w:t>
      </w:r>
      <w:r w:rsidR="00DB28F2">
        <w:rPr>
          <w:rFonts w:ascii="Calibri" w:hAnsi="Calibri" w:cs="Calibri"/>
          <w:i/>
          <w:iCs/>
          <w:sz w:val="22"/>
          <w:szCs w:val="22"/>
        </w:rPr>
        <w:t>(GLA)</w:t>
      </w:r>
      <w:r w:rsidRPr="00F66DB4">
        <w:rPr>
          <w:rFonts w:ascii="Calibri" w:hAnsi="Calibri" w:cs="Calibri"/>
          <w:i/>
          <w:iCs/>
          <w:sz w:val="22"/>
          <w:szCs w:val="22"/>
        </w:rPr>
        <w:t xml:space="preserve"> </w:t>
      </w:r>
      <w:r w:rsidR="00CD44FA" w:rsidRPr="00F66DB4">
        <w:rPr>
          <w:rFonts w:ascii="Calibri" w:hAnsi="Calibri" w:cs="Calibri"/>
          <w:i/>
          <w:iCs/>
          <w:sz w:val="22"/>
          <w:szCs w:val="22"/>
        </w:rPr>
        <w:t xml:space="preserve"> </w:t>
      </w:r>
    </w:p>
    <w:p w14:paraId="7A3B0696" w14:textId="77777777" w:rsidR="0036098F" w:rsidRPr="00F66DB4" w:rsidRDefault="0036098F" w:rsidP="00475D3F">
      <w:pPr>
        <w:spacing w:line="360" w:lineRule="auto"/>
        <w:rPr>
          <w:rFonts w:ascii="Calibri" w:hAnsi="Calibri" w:cs="Calibri"/>
          <w:b/>
          <w:bCs/>
          <w:sz w:val="22"/>
          <w:szCs w:val="22"/>
        </w:rPr>
      </w:pPr>
    </w:p>
    <w:p w14:paraId="4AB56532" w14:textId="77777777" w:rsidR="00740D6E" w:rsidRDefault="00740D6E" w:rsidP="00475D3F">
      <w:pPr>
        <w:spacing w:line="360" w:lineRule="auto"/>
        <w:rPr>
          <w:rFonts w:ascii="Calibri" w:hAnsi="Calibri" w:cs="Calibri"/>
          <w:b/>
          <w:bCs/>
          <w:sz w:val="22"/>
          <w:szCs w:val="22"/>
        </w:rPr>
      </w:pPr>
      <w:r w:rsidRPr="00F66DB4">
        <w:rPr>
          <w:rFonts w:ascii="Calibri" w:hAnsi="Calibri" w:cs="Calibri"/>
          <w:b/>
          <w:bCs/>
          <w:sz w:val="22"/>
          <w:szCs w:val="22"/>
        </w:rPr>
        <w:t xml:space="preserve">Public perception and political considerations </w:t>
      </w:r>
    </w:p>
    <w:p w14:paraId="1F30CB14" w14:textId="731FD90D" w:rsidR="006073BB" w:rsidRPr="00022EF5" w:rsidRDefault="00DB5944" w:rsidP="000D081F">
      <w:pPr>
        <w:spacing w:line="360" w:lineRule="auto"/>
        <w:rPr>
          <w:rFonts w:asciiTheme="minorHAnsi" w:eastAsia="SimSun" w:hAnsiTheme="minorHAnsi" w:cstheme="minorBidi"/>
          <w:sz w:val="22"/>
          <w:szCs w:val="22"/>
          <w:lang w:val="en-GB" w:eastAsia="en-US"/>
        </w:rPr>
      </w:pPr>
      <w:bookmarkStart w:id="5" w:name="_Hlk69058558"/>
      <w:r>
        <w:rPr>
          <w:rFonts w:ascii="Calibri" w:hAnsi="Calibri" w:cs="Calibri"/>
          <w:sz w:val="22"/>
          <w:szCs w:val="22"/>
        </w:rPr>
        <w:lastRenderedPageBreak/>
        <w:t xml:space="preserve">Stakeholders suggested that to be acceptable, the policy would need to be designed such that it </w:t>
      </w:r>
      <w:r w:rsidR="00D80B6D" w:rsidRPr="00F66DB4">
        <w:rPr>
          <w:rFonts w:ascii="Calibri" w:hAnsi="Calibri" w:cs="Calibri"/>
          <w:sz w:val="22"/>
          <w:szCs w:val="22"/>
        </w:rPr>
        <w:t xml:space="preserve">could be implemented consistently and in a way that </w:t>
      </w:r>
      <w:r w:rsidR="0061141F">
        <w:rPr>
          <w:rFonts w:ascii="Calibri" w:hAnsi="Calibri" w:cs="Calibri"/>
          <w:sz w:val="22"/>
          <w:szCs w:val="22"/>
        </w:rPr>
        <w:t xml:space="preserve">would </w:t>
      </w:r>
      <w:r w:rsidR="00D80B6D" w:rsidRPr="00F66DB4">
        <w:rPr>
          <w:rFonts w:ascii="Calibri" w:hAnsi="Calibri" w:cs="Calibri"/>
          <w:sz w:val="22"/>
          <w:szCs w:val="22"/>
        </w:rPr>
        <w:t>pass “the reasonable</w:t>
      </w:r>
      <w:r w:rsidR="00D80B6D">
        <w:rPr>
          <w:rFonts w:ascii="Calibri" w:hAnsi="Calibri" w:cs="Calibri"/>
          <w:sz w:val="22"/>
          <w:szCs w:val="22"/>
        </w:rPr>
        <w:t>ness</w:t>
      </w:r>
      <w:r w:rsidR="00D80B6D" w:rsidRPr="00F66DB4">
        <w:rPr>
          <w:rFonts w:ascii="Calibri" w:hAnsi="Calibri" w:cs="Calibri"/>
          <w:sz w:val="22"/>
          <w:szCs w:val="22"/>
        </w:rPr>
        <w:t xml:space="preserve"> test.” </w:t>
      </w:r>
      <w:bookmarkEnd w:id="5"/>
      <w:r w:rsidR="00D80B6D" w:rsidRPr="00F66DB4">
        <w:rPr>
          <w:rFonts w:ascii="Calibri" w:hAnsi="Calibri" w:cs="Calibri"/>
          <w:sz w:val="22"/>
          <w:szCs w:val="22"/>
        </w:rPr>
        <w:t xml:space="preserve">Implementation stakeholders emphasised the critical importance of </w:t>
      </w:r>
      <w:r w:rsidR="00814A5A">
        <w:rPr>
          <w:rFonts w:ascii="Calibri" w:hAnsi="Calibri" w:cs="Calibri"/>
          <w:sz w:val="22"/>
          <w:szCs w:val="22"/>
        </w:rPr>
        <w:t xml:space="preserve">the public perceiving </w:t>
      </w:r>
      <w:r w:rsidR="00D80B6D" w:rsidRPr="00F66DB4">
        <w:rPr>
          <w:rFonts w:ascii="Calibri" w:hAnsi="Calibri" w:cs="Calibri"/>
          <w:sz w:val="22"/>
          <w:szCs w:val="22"/>
        </w:rPr>
        <w:t>the policy as “common sense</w:t>
      </w:r>
      <w:r w:rsidR="00475E23">
        <w:rPr>
          <w:rFonts w:ascii="Calibri" w:hAnsi="Calibri" w:cs="Calibri"/>
          <w:sz w:val="22"/>
          <w:szCs w:val="22"/>
        </w:rPr>
        <w:t>,</w:t>
      </w:r>
      <w:r w:rsidR="00D80B6D" w:rsidRPr="00F66DB4">
        <w:rPr>
          <w:rFonts w:ascii="Calibri" w:hAnsi="Calibri" w:cs="Calibri"/>
          <w:sz w:val="22"/>
          <w:szCs w:val="22"/>
        </w:rPr>
        <w:t xml:space="preserve">” which presented </w:t>
      </w:r>
      <w:r w:rsidR="00D80B6D">
        <w:rPr>
          <w:rFonts w:ascii="Calibri" w:hAnsi="Calibri" w:cs="Calibri"/>
          <w:sz w:val="22"/>
          <w:szCs w:val="22"/>
        </w:rPr>
        <w:t>difficulty</w:t>
      </w:r>
      <w:r w:rsidR="00D80B6D" w:rsidRPr="00F66DB4">
        <w:rPr>
          <w:rFonts w:ascii="Calibri" w:hAnsi="Calibri" w:cs="Calibri"/>
          <w:sz w:val="22"/>
          <w:szCs w:val="22"/>
        </w:rPr>
        <w:t xml:space="preserve"> when </w:t>
      </w:r>
      <w:r w:rsidR="0061141F">
        <w:rPr>
          <w:rFonts w:ascii="Calibri" w:hAnsi="Calibri" w:cs="Calibri"/>
          <w:sz w:val="22"/>
          <w:szCs w:val="22"/>
        </w:rPr>
        <w:t>an NPM</w:t>
      </w:r>
      <w:r w:rsidR="0061141F" w:rsidRPr="00F66DB4">
        <w:rPr>
          <w:rFonts w:ascii="Calibri" w:hAnsi="Calibri" w:cs="Calibri"/>
          <w:sz w:val="22"/>
          <w:szCs w:val="22"/>
        </w:rPr>
        <w:t xml:space="preserve"> </w:t>
      </w:r>
      <w:r w:rsidR="00D80B6D" w:rsidRPr="00F66DB4">
        <w:rPr>
          <w:rFonts w:ascii="Calibri" w:hAnsi="Calibri" w:cs="Calibri"/>
          <w:sz w:val="22"/>
          <w:szCs w:val="22"/>
        </w:rPr>
        <w:t xml:space="preserve">assessment of </w:t>
      </w:r>
      <w:r w:rsidR="0061141F">
        <w:rPr>
          <w:rFonts w:ascii="Calibri" w:hAnsi="Calibri" w:cs="Calibri"/>
          <w:sz w:val="22"/>
          <w:szCs w:val="22"/>
        </w:rPr>
        <w:t>product healthiness</w:t>
      </w:r>
      <w:r w:rsidR="00D80B6D" w:rsidRPr="00F66DB4">
        <w:rPr>
          <w:rFonts w:ascii="Calibri" w:hAnsi="Calibri" w:cs="Calibri"/>
          <w:sz w:val="22"/>
          <w:szCs w:val="22"/>
        </w:rPr>
        <w:t xml:space="preserve"> conflicted with public perceptions of what </w:t>
      </w:r>
      <w:r w:rsidR="0061141F">
        <w:rPr>
          <w:rFonts w:ascii="Calibri" w:hAnsi="Calibri" w:cs="Calibri"/>
          <w:sz w:val="22"/>
          <w:szCs w:val="22"/>
        </w:rPr>
        <w:t>constitutes</w:t>
      </w:r>
      <w:r w:rsidR="00D80B6D" w:rsidRPr="00F66DB4">
        <w:rPr>
          <w:rFonts w:ascii="Calibri" w:hAnsi="Calibri" w:cs="Calibri"/>
          <w:sz w:val="22"/>
          <w:szCs w:val="22"/>
        </w:rPr>
        <w:t xml:space="preserve"> ‘junk food.’</w:t>
      </w:r>
      <w:r w:rsidR="00D80B6D">
        <w:rPr>
          <w:rFonts w:ascii="Calibri" w:hAnsi="Calibri" w:cs="Calibri"/>
          <w:sz w:val="22"/>
          <w:szCs w:val="22"/>
        </w:rPr>
        <w:t xml:space="preserve"> </w:t>
      </w:r>
      <w:r w:rsidR="00D80B6D" w:rsidRPr="000D12C4">
        <w:rPr>
          <w:rFonts w:ascii="Calibri" w:hAnsi="Calibri" w:cs="Calibri"/>
          <w:sz w:val="22"/>
          <w:szCs w:val="22"/>
        </w:rPr>
        <w:t xml:space="preserve">There was concern that the rejection of advertisements for foods that the general public perceived as </w:t>
      </w:r>
      <w:r w:rsidR="00163FD8">
        <w:rPr>
          <w:rFonts w:ascii="Calibri" w:hAnsi="Calibri" w:cs="Calibri"/>
          <w:sz w:val="22"/>
          <w:szCs w:val="22"/>
        </w:rPr>
        <w:t xml:space="preserve">not </w:t>
      </w:r>
      <w:r w:rsidR="00163FD8" w:rsidRPr="000D12C4">
        <w:rPr>
          <w:rFonts w:ascii="Calibri" w:hAnsi="Calibri" w:cs="Calibri"/>
          <w:sz w:val="22"/>
          <w:szCs w:val="22"/>
        </w:rPr>
        <w:t>harmful</w:t>
      </w:r>
      <w:r w:rsidR="00163FD8">
        <w:rPr>
          <w:rFonts w:ascii="Calibri" w:hAnsi="Calibri" w:cs="Calibri"/>
          <w:sz w:val="22"/>
          <w:szCs w:val="22"/>
        </w:rPr>
        <w:t xml:space="preserve"> </w:t>
      </w:r>
      <w:r w:rsidR="00D80B6D" w:rsidRPr="000D12C4">
        <w:rPr>
          <w:rFonts w:ascii="Calibri" w:hAnsi="Calibri" w:cs="Calibri"/>
          <w:sz w:val="22"/>
          <w:szCs w:val="22"/>
        </w:rPr>
        <w:t>would undermine the policy and result in public backlash.</w:t>
      </w:r>
      <w:r w:rsidR="00D80B6D" w:rsidRPr="00F66DB4">
        <w:rPr>
          <w:rFonts w:ascii="Calibri" w:hAnsi="Calibri" w:cs="Calibri"/>
          <w:sz w:val="22"/>
          <w:szCs w:val="22"/>
        </w:rPr>
        <w:t xml:space="preserve"> </w:t>
      </w:r>
      <w:r w:rsidR="00624D3B">
        <w:rPr>
          <w:rFonts w:ascii="Calibri" w:hAnsi="Calibri" w:cs="Calibri"/>
          <w:sz w:val="22"/>
          <w:szCs w:val="22"/>
        </w:rPr>
        <w:t xml:space="preserve">An earlier </w:t>
      </w:r>
      <w:r w:rsidR="006073BB">
        <w:rPr>
          <w:rFonts w:ascii="Calibri" w:hAnsi="Calibri" w:cs="Calibri"/>
          <w:sz w:val="22"/>
          <w:szCs w:val="22"/>
        </w:rPr>
        <w:t>analysis of media coverage of the ban revealed that focusing on specific foo</w:t>
      </w:r>
      <w:r w:rsidR="000D081F">
        <w:rPr>
          <w:rFonts w:ascii="Calibri" w:hAnsi="Calibri" w:cs="Calibri"/>
          <w:sz w:val="22"/>
          <w:szCs w:val="22"/>
        </w:rPr>
        <w:t xml:space="preserve">ds that were banned </w:t>
      </w:r>
      <w:r w:rsidR="006073BB" w:rsidRPr="00022EF5">
        <w:rPr>
          <w:rFonts w:asciiTheme="minorHAnsi" w:eastAsia="SimSun" w:hAnsiTheme="minorHAnsi" w:cstheme="minorBidi"/>
          <w:sz w:val="22"/>
          <w:szCs w:val="22"/>
          <w:lang w:val="en-GB" w:eastAsia="en-US"/>
        </w:rPr>
        <w:t>– or not banned – was the most widely reported aspect of the policy.  In some cases, HFSS foods were described affectionately as traditional</w:t>
      </w:r>
      <w:r w:rsidR="000D081F">
        <w:rPr>
          <w:rFonts w:asciiTheme="minorHAnsi" w:eastAsia="SimSun" w:hAnsiTheme="minorHAnsi" w:cstheme="minorBidi"/>
          <w:sz w:val="22"/>
          <w:szCs w:val="22"/>
          <w:lang w:val="en-GB" w:eastAsia="en-US"/>
        </w:rPr>
        <w:t xml:space="preserve"> (like jam or butter) </w:t>
      </w:r>
      <w:r w:rsidR="006073BB" w:rsidRPr="00022EF5">
        <w:rPr>
          <w:rFonts w:asciiTheme="minorHAnsi" w:eastAsia="SimSun" w:hAnsiTheme="minorHAnsi" w:cstheme="minorBidi"/>
          <w:sz w:val="22"/>
          <w:szCs w:val="22"/>
          <w:lang w:val="en-GB" w:eastAsia="en-US"/>
        </w:rPr>
        <w:t xml:space="preserve"> and the banning of them as inappropriate and unfair</w:t>
      </w:r>
      <w:r w:rsidR="000D081F">
        <w:rPr>
          <w:rFonts w:asciiTheme="minorHAnsi" w:eastAsia="SimSun" w:hAnsiTheme="minorHAnsi" w:cstheme="minorBidi"/>
          <w:sz w:val="22"/>
          <w:szCs w:val="22"/>
          <w:lang w:val="en-GB" w:eastAsia="en-US"/>
        </w:rPr>
        <w:t xml:space="preserve"> </w:t>
      </w:r>
      <w:r w:rsidR="008B7670">
        <w:rPr>
          <w:rFonts w:asciiTheme="minorHAnsi" w:eastAsia="SimSun" w:hAnsiTheme="minorHAnsi" w:cstheme="minorBidi"/>
          <w:sz w:val="22"/>
          <w:szCs w:val="22"/>
          <w:lang w:val="en-GB" w:eastAsia="en-US"/>
        </w:rPr>
        <w:fldChar w:fldCharType="begin"/>
      </w:r>
      <w:r w:rsidR="00775A6C">
        <w:rPr>
          <w:rFonts w:asciiTheme="minorHAnsi" w:eastAsia="SimSun" w:hAnsiTheme="minorHAnsi" w:cstheme="minorBidi"/>
          <w:sz w:val="22"/>
          <w:szCs w:val="22"/>
          <w:lang w:val="en-GB" w:eastAsia="en-US"/>
        </w:rPr>
        <w:instrText xml:space="preserve"> ADDIN EN.CITE &lt;EndNote&gt;&lt;Cite&gt;&lt;Author&gt;Thompson&lt;/Author&gt;&lt;Year&gt;2021&lt;/Year&gt;&lt;RecNum&gt;422&lt;/RecNum&gt;&lt;DisplayText&gt;(Thompson et al., 2021)&lt;/DisplayText&gt;&lt;record&gt;&lt;rec-number&gt;422&lt;/rec-number&gt;&lt;foreign-keys&gt;&lt;key app="EN" db-id="wz0s5vxeow0299ew9xqvdsw7t0xf9w02z5wt" timestamp="1619521164"&gt;422&lt;/key&gt;&lt;/foreign-keys&gt;&lt;ref-type name="Journal Article"&gt;17&lt;/ref-type&gt;&lt;contributors&gt;&lt;authors&gt;&lt;author&gt;Thompson, C.&lt;/author&gt;&lt;author&gt;Clary, C.&lt;/author&gt;&lt;author&gt;Er, V.&lt;/author&gt;&lt;author&gt;Adams, J.&lt;/author&gt;&lt;author&gt;Boyland, E.&lt;/author&gt;&lt;author&gt;Burgoine, T.&lt;/author&gt;&lt;author&gt;Cornelsen, L.&lt;/author&gt;&lt;author&gt;de Vocht, F.&lt;/author&gt;&lt;author&gt;Egan, M.&lt;/author&gt;&lt;author&gt;Lake, A.A.&lt;/author&gt;&lt;author&gt;Lock, K.&lt;/author&gt;&lt;author&gt;Mytton, O.&lt;/author&gt;&lt;author&gt;Petticrew, M.&lt;/author&gt;&lt;author&gt;White, M.&lt;/author&gt;&lt;author&gt;Yau, A.&lt;/author&gt;&lt;author&gt;Cummins, S.&lt;/author&gt;&lt;/authors&gt;&lt;/contributors&gt;&lt;titles&gt;&lt;title&gt;Media representations of opposition to the ‘junk food advertising ban’ on the Transport for London (TfL) network: a thematic content analysis of UK news and trade press&lt;/title&gt;&lt;secondary-title&gt;Forthcomming&lt;/secondary-title&gt;&lt;/titles&gt;&lt;periodical&gt;&lt;full-title&gt;Forthcomming&lt;/full-title&gt;&lt;/periodical&gt;&lt;dates&gt;&lt;year&gt;2021&lt;/year&gt;&lt;/dates&gt;&lt;urls&gt;&lt;/urls&gt;&lt;/record&gt;&lt;/Cite&gt;&lt;/EndNote&gt;</w:instrText>
      </w:r>
      <w:r w:rsidR="008B7670">
        <w:rPr>
          <w:rFonts w:asciiTheme="minorHAnsi" w:eastAsia="SimSun" w:hAnsiTheme="minorHAnsi" w:cstheme="minorBidi"/>
          <w:sz w:val="22"/>
          <w:szCs w:val="22"/>
          <w:lang w:val="en-GB" w:eastAsia="en-US"/>
        </w:rPr>
        <w:fldChar w:fldCharType="separate"/>
      </w:r>
      <w:r w:rsidR="00775A6C">
        <w:rPr>
          <w:rFonts w:asciiTheme="minorHAnsi" w:eastAsia="SimSun" w:hAnsiTheme="minorHAnsi" w:cstheme="minorBidi"/>
          <w:noProof/>
          <w:sz w:val="22"/>
          <w:szCs w:val="22"/>
          <w:lang w:val="en-GB" w:eastAsia="en-US"/>
        </w:rPr>
        <w:t>(Thompson et al., 2021)</w:t>
      </w:r>
      <w:r w:rsidR="008B7670">
        <w:rPr>
          <w:rFonts w:asciiTheme="minorHAnsi" w:eastAsia="SimSun" w:hAnsiTheme="minorHAnsi" w:cstheme="minorBidi"/>
          <w:sz w:val="22"/>
          <w:szCs w:val="22"/>
          <w:lang w:val="en-GB" w:eastAsia="en-US"/>
        </w:rPr>
        <w:fldChar w:fldCharType="end"/>
      </w:r>
      <w:r w:rsidR="00775A6C">
        <w:rPr>
          <w:rFonts w:asciiTheme="minorHAnsi" w:eastAsia="SimSun" w:hAnsiTheme="minorHAnsi" w:cstheme="minorBidi"/>
          <w:sz w:val="22"/>
          <w:szCs w:val="22"/>
          <w:lang w:val="en-GB" w:eastAsia="en-US"/>
        </w:rPr>
        <w:t>.</w:t>
      </w:r>
    </w:p>
    <w:p w14:paraId="51FA90BE" w14:textId="17B95D6C" w:rsidR="00D80B6D" w:rsidRPr="00C319B4" w:rsidRDefault="00D80B6D" w:rsidP="00475D3F">
      <w:pPr>
        <w:spacing w:line="360" w:lineRule="auto"/>
        <w:rPr>
          <w:rFonts w:ascii="Calibri" w:hAnsi="Calibri" w:cs="Calibri"/>
          <w:i/>
          <w:iCs/>
          <w:sz w:val="22"/>
          <w:szCs w:val="22"/>
        </w:rPr>
      </w:pPr>
    </w:p>
    <w:p w14:paraId="44049D92" w14:textId="528BF4F6" w:rsidR="00EE657F" w:rsidRPr="00F66DB4" w:rsidRDefault="003A25C3" w:rsidP="00475D3F">
      <w:pPr>
        <w:spacing w:line="360" w:lineRule="auto"/>
        <w:rPr>
          <w:rFonts w:ascii="Calibri" w:hAnsi="Calibri" w:cs="Calibri"/>
          <w:sz w:val="22"/>
          <w:szCs w:val="22"/>
        </w:rPr>
      </w:pPr>
      <w:r w:rsidRPr="00F66DB4">
        <w:rPr>
          <w:rFonts w:ascii="Calibri" w:hAnsi="Calibri" w:cs="Calibri"/>
          <w:sz w:val="22"/>
          <w:szCs w:val="22"/>
        </w:rPr>
        <w:t xml:space="preserve">Public perceptions of policy and </w:t>
      </w:r>
      <w:r w:rsidR="00126112" w:rsidRPr="00F66DB4">
        <w:rPr>
          <w:rFonts w:ascii="Calibri" w:hAnsi="Calibri" w:cs="Calibri"/>
          <w:sz w:val="22"/>
          <w:szCs w:val="22"/>
        </w:rPr>
        <w:t>communication efforts to bolster and maintain public support emerged as a prominent theme among implementation stakeholders</w:t>
      </w:r>
      <w:r w:rsidR="001257FA" w:rsidRPr="00F66DB4">
        <w:rPr>
          <w:rFonts w:ascii="Calibri" w:hAnsi="Calibri" w:cs="Calibri"/>
          <w:sz w:val="22"/>
          <w:szCs w:val="22"/>
        </w:rPr>
        <w:t xml:space="preserve">. This was </w:t>
      </w:r>
      <w:r w:rsidR="00126112" w:rsidRPr="00F66DB4">
        <w:rPr>
          <w:rFonts w:ascii="Calibri" w:hAnsi="Calibri" w:cs="Calibri"/>
          <w:sz w:val="22"/>
          <w:szCs w:val="22"/>
        </w:rPr>
        <w:t xml:space="preserve">highlighted as a </w:t>
      </w:r>
      <w:r w:rsidR="001257FA" w:rsidRPr="00F66DB4">
        <w:rPr>
          <w:rFonts w:ascii="Calibri" w:hAnsi="Calibri" w:cs="Calibri"/>
          <w:sz w:val="22"/>
          <w:szCs w:val="22"/>
        </w:rPr>
        <w:t xml:space="preserve">particularly important </w:t>
      </w:r>
      <w:r w:rsidR="00126112" w:rsidRPr="00F66DB4">
        <w:rPr>
          <w:rFonts w:ascii="Calibri" w:hAnsi="Calibri" w:cs="Calibri"/>
          <w:sz w:val="22"/>
          <w:szCs w:val="22"/>
        </w:rPr>
        <w:t>concern for the office of the Mayor of London</w:t>
      </w:r>
      <w:r w:rsidR="001257FA" w:rsidRPr="00F66DB4">
        <w:rPr>
          <w:rFonts w:ascii="Calibri" w:hAnsi="Calibri" w:cs="Calibri"/>
          <w:sz w:val="22"/>
          <w:szCs w:val="22"/>
        </w:rPr>
        <w:t xml:space="preserve">, which </w:t>
      </w:r>
      <w:r w:rsidR="003A386A" w:rsidRPr="00F66DB4">
        <w:rPr>
          <w:rFonts w:ascii="Calibri" w:hAnsi="Calibri" w:cs="Calibri"/>
          <w:sz w:val="22"/>
          <w:szCs w:val="22"/>
        </w:rPr>
        <w:t>introduced</w:t>
      </w:r>
      <w:r w:rsidR="001257FA" w:rsidRPr="00F66DB4">
        <w:rPr>
          <w:rFonts w:ascii="Calibri" w:hAnsi="Calibri" w:cs="Calibri"/>
          <w:sz w:val="22"/>
          <w:szCs w:val="22"/>
        </w:rPr>
        <w:t xml:space="preserve"> and championed the policy</w:t>
      </w:r>
      <w:r w:rsidR="00126112" w:rsidRPr="00F66DB4">
        <w:rPr>
          <w:rFonts w:ascii="Calibri" w:hAnsi="Calibri" w:cs="Calibri"/>
          <w:sz w:val="22"/>
          <w:szCs w:val="22"/>
        </w:rPr>
        <w:t>.</w:t>
      </w:r>
      <w:r w:rsidR="003A386A" w:rsidRPr="00F66DB4">
        <w:rPr>
          <w:rFonts w:ascii="Calibri" w:hAnsi="Calibri" w:cs="Calibri"/>
          <w:sz w:val="22"/>
          <w:szCs w:val="22"/>
        </w:rPr>
        <w:t xml:space="preserve"> In the formative stages</w:t>
      </w:r>
      <w:r w:rsidR="00624D3B">
        <w:rPr>
          <w:rFonts w:ascii="Calibri" w:hAnsi="Calibri" w:cs="Calibri"/>
          <w:sz w:val="22"/>
          <w:szCs w:val="22"/>
        </w:rPr>
        <w:t xml:space="preserve"> of policy development</w:t>
      </w:r>
      <w:r w:rsidR="003A386A" w:rsidRPr="00F66DB4">
        <w:rPr>
          <w:rFonts w:ascii="Calibri" w:hAnsi="Calibri" w:cs="Calibri"/>
          <w:sz w:val="22"/>
          <w:szCs w:val="22"/>
        </w:rPr>
        <w:t xml:space="preserve">, initial public </w:t>
      </w:r>
      <w:r w:rsidR="00EE657F" w:rsidRPr="00F66DB4">
        <w:rPr>
          <w:rFonts w:ascii="Calibri" w:hAnsi="Calibri" w:cs="Calibri"/>
          <w:sz w:val="22"/>
          <w:szCs w:val="22"/>
        </w:rPr>
        <w:t>consultation</w:t>
      </w:r>
      <w:r w:rsidR="003A386A" w:rsidRPr="00F66DB4">
        <w:rPr>
          <w:rFonts w:ascii="Calibri" w:hAnsi="Calibri" w:cs="Calibri"/>
          <w:sz w:val="22"/>
          <w:szCs w:val="22"/>
        </w:rPr>
        <w:t xml:space="preserve"> </w:t>
      </w:r>
      <w:r w:rsidR="004160A7">
        <w:rPr>
          <w:rFonts w:ascii="Calibri" w:hAnsi="Calibri" w:cs="Calibri"/>
          <w:sz w:val="22"/>
          <w:szCs w:val="22"/>
        </w:rPr>
        <w:t>was</w:t>
      </w:r>
      <w:r w:rsidR="004160A7" w:rsidRPr="00F66DB4">
        <w:rPr>
          <w:rFonts w:ascii="Calibri" w:hAnsi="Calibri" w:cs="Calibri"/>
          <w:sz w:val="22"/>
          <w:szCs w:val="22"/>
        </w:rPr>
        <w:t xml:space="preserve"> </w:t>
      </w:r>
      <w:r w:rsidR="00814A5A">
        <w:rPr>
          <w:rFonts w:ascii="Calibri" w:hAnsi="Calibri" w:cs="Calibri"/>
          <w:sz w:val="22"/>
          <w:szCs w:val="22"/>
        </w:rPr>
        <w:t>described</w:t>
      </w:r>
      <w:r w:rsidR="00814A5A" w:rsidRPr="00F66DB4">
        <w:rPr>
          <w:rFonts w:ascii="Calibri" w:hAnsi="Calibri" w:cs="Calibri"/>
          <w:sz w:val="22"/>
          <w:szCs w:val="22"/>
        </w:rPr>
        <w:t xml:space="preserve"> </w:t>
      </w:r>
      <w:r w:rsidR="003A386A" w:rsidRPr="00F66DB4">
        <w:rPr>
          <w:rFonts w:ascii="Calibri" w:hAnsi="Calibri" w:cs="Calibri"/>
          <w:sz w:val="22"/>
          <w:szCs w:val="22"/>
        </w:rPr>
        <w:t xml:space="preserve">as important for determining the </w:t>
      </w:r>
      <w:r w:rsidR="008965A4">
        <w:rPr>
          <w:rFonts w:ascii="Calibri" w:hAnsi="Calibri" w:cs="Calibri"/>
          <w:sz w:val="22"/>
          <w:szCs w:val="22"/>
        </w:rPr>
        <w:t>level</w:t>
      </w:r>
      <w:r w:rsidR="008965A4" w:rsidRPr="00F66DB4">
        <w:rPr>
          <w:rFonts w:ascii="Calibri" w:hAnsi="Calibri" w:cs="Calibri"/>
          <w:sz w:val="22"/>
          <w:szCs w:val="22"/>
        </w:rPr>
        <w:t xml:space="preserve"> </w:t>
      </w:r>
      <w:r w:rsidR="003A386A" w:rsidRPr="00F66DB4">
        <w:rPr>
          <w:rFonts w:ascii="Calibri" w:hAnsi="Calibri" w:cs="Calibri"/>
          <w:sz w:val="22"/>
          <w:szCs w:val="22"/>
        </w:rPr>
        <w:t xml:space="preserve">of public support for the </w:t>
      </w:r>
      <w:r w:rsidR="00444C70">
        <w:rPr>
          <w:rFonts w:ascii="Calibri" w:hAnsi="Calibri" w:cs="Calibri"/>
          <w:sz w:val="22"/>
          <w:szCs w:val="22"/>
        </w:rPr>
        <w:t>policy</w:t>
      </w:r>
      <w:r w:rsidR="008965A4">
        <w:rPr>
          <w:rFonts w:ascii="Calibri" w:hAnsi="Calibri" w:cs="Calibri"/>
          <w:sz w:val="22"/>
          <w:szCs w:val="22"/>
        </w:rPr>
        <w:t>, which was found to be high</w:t>
      </w:r>
      <w:r w:rsidR="00EE657F" w:rsidRPr="00F66DB4">
        <w:rPr>
          <w:rFonts w:ascii="Calibri" w:hAnsi="Calibri" w:cs="Calibri"/>
          <w:sz w:val="22"/>
          <w:szCs w:val="22"/>
        </w:rPr>
        <w:t xml:space="preserve">. Care was </w:t>
      </w:r>
      <w:r w:rsidR="00444C70">
        <w:rPr>
          <w:rFonts w:ascii="Calibri" w:hAnsi="Calibri" w:cs="Calibri"/>
          <w:sz w:val="22"/>
          <w:szCs w:val="22"/>
        </w:rPr>
        <w:t xml:space="preserve">also </w:t>
      </w:r>
      <w:r w:rsidR="00EE657F" w:rsidRPr="00F66DB4">
        <w:rPr>
          <w:rFonts w:ascii="Calibri" w:hAnsi="Calibri" w:cs="Calibri"/>
          <w:sz w:val="22"/>
          <w:szCs w:val="22"/>
        </w:rPr>
        <w:t>reportedly taken to ensure that the office</w:t>
      </w:r>
      <w:r w:rsidR="004160A7">
        <w:rPr>
          <w:rFonts w:ascii="Calibri" w:hAnsi="Calibri" w:cs="Calibri"/>
          <w:sz w:val="22"/>
          <w:szCs w:val="22"/>
        </w:rPr>
        <w:t xml:space="preserve"> of the Mayor</w:t>
      </w:r>
      <w:r w:rsidR="00EE657F" w:rsidRPr="00F66DB4">
        <w:rPr>
          <w:rFonts w:ascii="Calibri" w:hAnsi="Calibri" w:cs="Calibri"/>
          <w:sz w:val="22"/>
          <w:szCs w:val="22"/>
        </w:rPr>
        <w:t xml:space="preserve"> was not seen to be anti-business: </w:t>
      </w:r>
    </w:p>
    <w:p w14:paraId="26419AF8" w14:textId="77777777" w:rsidR="00EE657F" w:rsidRPr="00F66DB4" w:rsidRDefault="00EE657F" w:rsidP="00475D3F">
      <w:pPr>
        <w:spacing w:line="360" w:lineRule="auto"/>
        <w:rPr>
          <w:rFonts w:ascii="Calibri" w:hAnsi="Calibri" w:cs="Calibri"/>
          <w:i/>
          <w:iCs/>
          <w:sz w:val="22"/>
          <w:szCs w:val="22"/>
        </w:rPr>
      </w:pPr>
    </w:p>
    <w:p w14:paraId="3D40A8A5" w14:textId="7E6071DE" w:rsidR="00EE657F" w:rsidRPr="00F66DB4" w:rsidRDefault="004160A7" w:rsidP="00475D3F">
      <w:pPr>
        <w:spacing w:line="360" w:lineRule="auto"/>
        <w:ind w:left="720" w:right="720"/>
        <w:rPr>
          <w:rFonts w:ascii="Calibri" w:hAnsi="Calibri" w:cs="Calibri"/>
          <w:i/>
          <w:iCs/>
          <w:sz w:val="22"/>
          <w:szCs w:val="22"/>
        </w:rPr>
      </w:pPr>
      <w:r>
        <w:rPr>
          <w:rFonts w:ascii="Calibri" w:hAnsi="Calibri" w:cs="Calibri"/>
          <w:i/>
          <w:iCs/>
          <w:sz w:val="22"/>
          <w:szCs w:val="22"/>
        </w:rPr>
        <w:t>“</w:t>
      </w:r>
      <w:r w:rsidR="00CF007D">
        <w:rPr>
          <w:rFonts w:ascii="Calibri" w:hAnsi="Calibri" w:cs="Calibri"/>
          <w:i/>
          <w:iCs/>
          <w:sz w:val="22"/>
          <w:szCs w:val="22"/>
        </w:rPr>
        <w:t xml:space="preserve">[The Mayor] </w:t>
      </w:r>
      <w:r w:rsidR="00EE657F" w:rsidRPr="00F66DB4">
        <w:rPr>
          <w:rFonts w:ascii="Calibri" w:hAnsi="Calibri" w:cs="Calibri"/>
          <w:i/>
          <w:iCs/>
          <w:sz w:val="22"/>
          <w:szCs w:val="22"/>
        </w:rPr>
        <w:t>wants economic growth, he wants businesses to grow but in a good way. It's about good work, it's about good employment, good practices and it's not</w:t>
      </w:r>
      <w:r w:rsidR="00254B8E" w:rsidRPr="00F66DB4">
        <w:rPr>
          <w:rFonts w:ascii="Calibri" w:hAnsi="Calibri" w:cs="Calibri"/>
          <w:i/>
          <w:iCs/>
          <w:sz w:val="22"/>
          <w:szCs w:val="22"/>
        </w:rPr>
        <w:t>…</w:t>
      </w:r>
      <w:r w:rsidR="00EE657F" w:rsidRPr="00F66DB4">
        <w:rPr>
          <w:rFonts w:ascii="Calibri" w:hAnsi="Calibri" w:cs="Calibri"/>
          <w:i/>
          <w:iCs/>
          <w:sz w:val="22"/>
          <w:szCs w:val="22"/>
        </w:rPr>
        <w:t>increasing the bottom line at any cost.</w:t>
      </w:r>
      <w:r>
        <w:rPr>
          <w:rFonts w:ascii="Calibri" w:hAnsi="Calibri" w:cs="Calibri"/>
          <w:i/>
          <w:iCs/>
          <w:sz w:val="22"/>
          <w:szCs w:val="22"/>
        </w:rPr>
        <w:t>”</w:t>
      </w:r>
    </w:p>
    <w:p w14:paraId="43AEC9C7" w14:textId="624419D9" w:rsidR="00EE657F" w:rsidRPr="00F66DB4" w:rsidRDefault="00EE657F" w:rsidP="00475D3F">
      <w:pPr>
        <w:pStyle w:val="ListParagraph"/>
        <w:numPr>
          <w:ilvl w:val="0"/>
          <w:numId w:val="8"/>
        </w:numPr>
        <w:spacing w:line="360" w:lineRule="auto"/>
        <w:ind w:right="720" w:firstLine="0"/>
        <w:rPr>
          <w:rFonts w:ascii="Calibri" w:hAnsi="Calibri" w:cs="Calibri"/>
          <w:i/>
          <w:iCs/>
          <w:sz w:val="22"/>
          <w:szCs w:val="22"/>
        </w:rPr>
      </w:pPr>
      <w:r w:rsidRPr="00F66DB4">
        <w:rPr>
          <w:rFonts w:ascii="Calibri" w:hAnsi="Calibri" w:cs="Calibri"/>
          <w:i/>
          <w:iCs/>
          <w:sz w:val="22"/>
          <w:szCs w:val="22"/>
        </w:rPr>
        <w:t xml:space="preserve">Implementation stakeholder </w:t>
      </w:r>
      <w:r w:rsidR="00DB28F2">
        <w:rPr>
          <w:rFonts w:ascii="Calibri" w:hAnsi="Calibri" w:cs="Calibri"/>
          <w:i/>
          <w:iCs/>
          <w:sz w:val="22"/>
          <w:szCs w:val="22"/>
        </w:rPr>
        <w:t>(GLA)</w:t>
      </w:r>
    </w:p>
    <w:p w14:paraId="6E6FADD9" w14:textId="02FEB435" w:rsidR="00EE657F" w:rsidRPr="00F66DB4" w:rsidRDefault="00EE657F" w:rsidP="00475D3F">
      <w:pPr>
        <w:spacing w:line="360" w:lineRule="auto"/>
        <w:rPr>
          <w:rFonts w:ascii="Calibri" w:hAnsi="Calibri" w:cs="Calibri"/>
          <w:i/>
          <w:iCs/>
          <w:sz w:val="22"/>
          <w:szCs w:val="22"/>
        </w:rPr>
      </w:pPr>
    </w:p>
    <w:p w14:paraId="0053FFF8" w14:textId="5DC5F4B0" w:rsidR="00EE657F" w:rsidRPr="00F66DB4" w:rsidRDefault="0009580F" w:rsidP="00475D3F">
      <w:pPr>
        <w:spacing w:line="360" w:lineRule="auto"/>
        <w:rPr>
          <w:rFonts w:ascii="Calibri" w:hAnsi="Calibri" w:cs="Calibri"/>
          <w:sz w:val="22"/>
          <w:szCs w:val="22"/>
        </w:rPr>
      </w:pPr>
      <w:r>
        <w:rPr>
          <w:rFonts w:ascii="Calibri" w:hAnsi="Calibri" w:cs="Calibri"/>
          <w:sz w:val="22"/>
          <w:szCs w:val="22"/>
        </w:rPr>
        <w:t>I</w:t>
      </w:r>
      <w:r w:rsidR="007D0C7A" w:rsidRPr="00F66DB4">
        <w:rPr>
          <w:rFonts w:ascii="Calibri" w:hAnsi="Calibri" w:cs="Calibri"/>
          <w:sz w:val="22"/>
          <w:szCs w:val="22"/>
        </w:rPr>
        <w:t>mplementation stakeholders suggested that negative media coverage was impossible to avoid</w:t>
      </w:r>
      <w:r>
        <w:rPr>
          <w:rFonts w:ascii="Calibri" w:hAnsi="Calibri" w:cs="Calibri"/>
          <w:sz w:val="22"/>
          <w:szCs w:val="22"/>
        </w:rPr>
        <w:t xml:space="preserve">; </w:t>
      </w:r>
      <w:r w:rsidR="00254B8E" w:rsidRPr="00F66DB4">
        <w:rPr>
          <w:rFonts w:ascii="Calibri" w:hAnsi="Calibri" w:cs="Calibri"/>
          <w:sz w:val="22"/>
          <w:szCs w:val="22"/>
        </w:rPr>
        <w:t>focusing on d</w:t>
      </w:r>
      <w:r w:rsidR="00174B0B" w:rsidRPr="00F66DB4">
        <w:rPr>
          <w:rFonts w:ascii="Calibri" w:hAnsi="Calibri" w:cs="Calibri"/>
          <w:sz w:val="22"/>
          <w:szCs w:val="22"/>
        </w:rPr>
        <w:t xml:space="preserve">eveloping a robust </w:t>
      </w:r>
      <w:r w:rsidR="007D0C7A" w:rsidRPr="00F66DB4">
        <w:rPr>
          <w:rFonts w:ascii="Calibri" w:hAnsi="Calibri" w:cs="Calibri"/>
          <w:sz w:val="22"/>
          <w:szCs w:val="22"/>
        </w:rPr>
        <w:t xml:space="preserve">policy </w:t>
      </w:r>
      <w:r w:rsidR="00174B0B" w:rsidRPr="00F66DB4">
        <w:rPr>
          <w:rFonts w:ascii="Calibri" w:hAnsi="Calibri" w:cs="Calibri"/>
          <w:sz w:val="22"/>
          <w:szCs w:val="22"/>
        </w:rPr>
        <w:t xml:space="preserve">was seen as key to implementing durable transformational </w:t>
      </w:r>
      <w:r w:rsidR="007D0C7A" w:rsidRPr="00F66DB4">
        <w:rPr>
          <w:rFonts w:ascii="Calibri" w:hAnsi="Calibri" w:cs="Calibri"/>
          <w:sz w:val="22"/>
          <w:szCs w:val="22"/>
        </w:rPr>
        <w:t>initiatives</w:t>
      </w:r>
      <w:r w:rsidR="004160A7">
        <w:rPr>
          <w:rFonts w:ascii="Calibri" w:hAnsi="Calibri" w:cs="Calibri"/>
          <w:sz w:val="22"/>
          <w:szCs w:val="22"/>
        </w:rPr>
        <w:t>.</w:t>
      </w:r>
    </w:p>
    <w:p w14:paraId="4CA53D3D" w14:textId="77777777" w:rsidR="009D3C20" w:rsidRPr="00E01F9A" w:rsidRDefault="009D3C20" w:rsidP="00475D3F">
      <w:pPr>
        <w:spacing w:line="360" w:lineRule="auto"/>
        <w:ind w:right="720"/>
        <w:rPr>
          <w:rFonts w:ascii="Calibri" w:hAnsi="Calibri" w:cs="Calibri"/>
          <w:sz w:val="22"/>
          <w:szCs w:val="22"/>
        </w:rPr>
      </w:pPr>
    </w:p>
    <w:p w14:paraId="1CFE0D97" w14:textId="291D443B" w:rsidR="00CF198C" w:rsidRPr="00F66DB4" w:rsidRDefault="00254B8E" w:rsidP="00475D3F">
      <w:pPr>
        <w:spacing w:line="360" w:lineRule="auto"/>
        <w:rPr>
          <w:rFonts w:ascii="Calibri" w:hAnsi="Calibri" w:cs="Calibri"/>
          <w:sz w:val="22"/>
          <w:szCs w:val="22"/>
        </w:rPr>
      </w:pPr>
      <w:r w:rsidRPr="00F66DB4">
        <w:rPr>
          <w:rFonts w:ascii="Calibri" w:hAnsi="Calibri" w:cs="Calibri"/>
          <w:sz w:val="22"/>
          <w:szCs w:val="22"/>
        </w:rPr>
        <w:t>While some</w:t>
      </w:r>
      <w:r w:rsidR="003A67D3" w:rsidRPr="00F66DB4">
        <w:rPr>
          <w:rFonts w:ascii="Calibri" w:hAnsi="Calibri" w:cs="Calibri"/>
          <w:sz w:val="22"/>
          <w:szCs w:val="22"/>
        </w:rPr>
        <w:t xml:space="preserve"> participants </w:t>
      </w:r>
      <w:r w:rsidRPr="00F66DB4">
        <w:rPr>
          <w:rFonts w:ascii="Calibri" w:hAnsi="Calibri" w:cs="Calibri"/>
          <w:sz w:val="22"/>
          <w:szCs w:val="22"/>
        </w:rPr>
        <w:t xml:space="preserve">viewed the exceptions process </w:t>
      </w:r>
      <w:r w:rsidR="003A67D3" w:rsidRPr="00F66DB4">
        <w:rPr>
          <w:rFonts w:ascii="Calibri" w:hAnsi="Calibri" w:cs="Calibri"/>
          <w:sz w:val="22"/>
          <w:szCs w:val="22"/>
        </w:rPr>
        <w:t xml:space="preserve">as </w:t>
      </w:r>
      <w:r w:rsidR="00E51631" w:rsidRPr="00F66DB4">
        <w:rPr>
          <w:rFonts w:ascii="Calibri" w:hAnsi="Calibri" w:cs="Calibri"/>
          <w:sz w:val="22"/>
          <w:szCs w:val="22"/>
        </w:rPr>
        <w:t xml:space="preserve">driven by </w:t>
      </w:r>
      <w:r w:rsidR="00C734D3" w:rsidRPr="00F66DB4">
        <w:rPr>
          <w:rFonts w:ascii="Calibri" w:hAnsi="Calibri" w:cs="Calibri"/>
          <w:sz w:val="22"/>
          <w:szCs w:val="22"/>
        </w:rPr>
        <w:t xml:space="preserve">a combination of </w:t>
      </w:r>
      <w:r w:rsidR="00E51631" w:rsidRPr="00F66DB4">
        <w:rPr>
          <w:rFonts w:ascii="Calibri" w:hAnsi="Calibri" w:cs="Calibri"/>
          <w:sz w:val="22"/>
          <w:szCs w:val="22"/>
        </w:rPr>
        <w:t>industry interests</w:t>
      </w:r>
      <w:r w:rsidR="00C734D3" w:rsidRPr="00F66DB4">
        <w:rPr>
          <w:rFonts w:ascii="Calibri" w:hAnsi="Calibri" w:cs="Calibri"/>
          <w:sz w:val="22"/>
          <w:szCs w:val="22"/>
        </w:rPr>
        <w:t xml:space="preserve"> and concern for public perception</w:t>
      </w:r>
      <w:r w:rsidR="00E51631" w:rsidRPr="00F66DB4">
        <w:rPr>
          <w:rFonts w:ascii="Calibri" w:hAnsi="Calibri" w:cs="Calibri"/>
          <w:sz w:val="22"/>
          <w:szCs w:val="22"/>
        </w:rPr>
        <w:t xml:space="preserve">, </w:t>
      </w:r>
      <w:r w:rsidRPr="00F66DB4">
        <w:rPr>
          <w:rFonts w:ascii="Calibri" w:hAnsi="Calibri" w:cs="Calibri"/>
          <w:sz w:val="22"/>
          <w:szCs w:val="22"/>
        </w:rPr>
        <w:t xml:space="preserve">it was </w:t>
      </w:r>
      <w:r w:rsidR="00BF661E">
        <w:rPr>
          <w:rFonts w:ascii="Calibri" w:hAnsi="Calibri" w:cs="Calibri"/>
          <w:sz w:val="22"/>
          <w:szCs w:val="22"/>
        </w:rPr>
        <w:t>also</w:t>
      </w:r>
      <w:r w:rsidRPr="00F66DB4">
        <w:rPr>
          <w:rFonts w:ascii="Calibri" w:hAnsi="Calibri" w:cs="Calibri"/>
          <w:sz w:val="22"/>
          <w:szCs w:val="22"/>
        </w:rPr>
        <w:t xml:space="preserve"> framed as</w:t>
      </w:r>
      <w:r w:rsidR="00E51631" w:rsidRPr="00F66DB4">
        <w:rPr>
          <w:rFonts w:ascii="Calibri" w:hAnsi="Calibri" w:cs="Calibri"/>
          <w:sz w:val="22"/>
          <w:szCs w:val="22"/>
        </w:rPr>
        <w:t xml:space="preserve"> </w:t>
      </w:r>
      <w:r w:rsidR="003A67D3" w:rsidRPr="00F66DB4">
        <w:rPr>
          <w:rFonts w:ascii="Calibri" w:hAnsi="Calibri" w:cs="Calibri"/>
          <w:sz w:val="22"/>
          <w:szCs w:val="22"/>
        </w:rPr>
        <w:t xml:space="preserve">key </w:t>
      </w:r>
      <w:r w:rsidR="00BF661E">
        <w:rPr>
          <w:rFonts w:ascii="Calibri" w:hAnsi="Calibri" w:cs="Calibri"/>
          <w:sz w:val="22"/>
          <w:szCs w:val="22"/>
        </w:rPr>
        <w:t xml:space="preserve">tactic </w:t>
      </w:r>
      <w:r w:rsidR="003A67D3" w:rsidRPr="00F66DB4">
        <w:rPr>
          <w:rFonts w:ascii="Calibri" w:hAnsi="Calibri" w:cs="Calibri"/>
          <w:sz w:val="22"/>
          <w:szCs w:val="22"/>
        </w:rPr>
        <w:t xml:space="preserve">in </w:t>
      </w:r>
      <w:r w:rsidR="00BF661E">
        <w:rPr>
          <w:rFonts w:ascii="Calibri" w:hAnsi="Calibri" w:cs="Calibri"/>
          <w:sz w:val="22"/>
          <w:szCs w:val="22"/>
        </w:rPr>
        <w:t>pushing back against</w:t>
      </w:r>
      <w:r w:rsidR="003A67D3" w:rsidRPr="00F66DB4">
        <w:rPr>
          <w:rFonts w:ascii="Calibri" w:hAnsi="Calibri" w:cs="Calibri"/>
          <w:sz w:val="22"/>
          <w:szCs w:val="22"/>
        </w:rPr>
        <w:t xml:space="preserve"> industry opposition </w:t>
      </w:r>
      <w:r w:rsidRPr="00F66DB4">
        <w:rPr>
          <w:rFonts w:ascii="Calibri" w:hAnsi="Calibri" w:cs="Calibri"/>
          <w:sz w:val="22"/>
          <w:szCs w:val="22"/>
        </w:rPr>
        <w:t>and</w:t>
      </w:r>
      <w:r w:rsidR="00200B96" w:rsidRPr="00F66DB4">
        <w:rPr>
          <w:rFonts w:ascii="Calibri" w:hAnsi="Calibri" w:cs="Calibri"/>
          <w:sz w:val="22"/>
          <w:szCs w:val="22"/>
        </w:rPr>
        <w:t xml:space="preserve"> playing a role in </w:t>
      </w:r>
      <w:r w:rsidRPr="00F66DB4">
        <w:rPr>
          <w:rFonts w:ascii="Calibri" w:hAnsi="Calibri" w:cs="Calibri"/>
          <w:sz w:val="22"/>
          <w:szCs w:val="22"/>
        </w:rPr>
        <w:t>the policy’s</w:t>
      </w:r>
      <w:r w:rsidR="009D3C20" w:rsidRPr="00F66DB4">
        <w:rPr>
          <w:rFonts w:ascii="Calibri" w:hAnsi="Calibri" w:cs="Calibri"/>
          <w:sz w:val="22"/>
          <w:szCs w:val="22"/>
        </w:rPr>
        <w:t xml:space="preserve"> successful</w:t>
      </w:r>
      <w:r w:rsidR="00200B96" w:rsidRPr="00F66DB4">
        <w:rPr>
          <w:rFonts w:ascii="Calibri" w:hAnsi="Calibri" w:cs="Calibri"/>
          <w:sz w:val="22"/>
          <w:szCs w:val="22"/>
        </w:rPr>
        <w:t xml:space="preserve"> launch: </w:t>
      </w:r>
    </w:p>
    <w:p w14:paraId="757DF302" w14:textId="1D791EDF" w:rsidR="00200B96" w:rsidRPr="00F66DB4" w:rsidRDefault="00200B96" w:rsidP="00475D3F">
      <w:pPr>
        <w:spacing w:line="360" w:lineRule="auto"/>
        <w:rPr>
          <w:rFonts w:ascii="Calibri" w:hAnsi="Calibri" w:cs="Calibri"/>
          <w:sz w:val="22"/>
          <w:szCs w:val="22"/>
        </w:rPr>
      </w:pPr>
    </w:p>
    <w:p w14:paraId="0580FE72" w14:textId="6FA4ACD3" w:rsidR="00200B96" w:rsidRPr="00F66DB4" w:rsidRDefault="00684DA4" w:rsidP="00475D3F">
      <w:pPr>
        <w:spacing w:line="360" w:lineRule="auto"/>
        <w:ind w:left="720" w:right="720"/>
        <w:rPr>
          <w:rFonts w:ascii="Calibri" w:hAnsi="Calibri" w:cs="Calibri"/>
          <w:i/>
          <w:iCs/>
          <w:sz w:val="22"/>
          <w:szCs w:val="22"/>
        </w:rPr>
      </w:pPr>
      <w:r>
        <w:rPr>
          <w:rFonts w:ascii="Calibri" w:hAnsi="Calibri" w:cs="Calibri"/>
          <w:i/>
          <w:iCs/>
          <w:sz w:val="22"/>
          <w:szCs w:val="22"/>
        </w:rPr>
        <w:t>“</w:t>
      </w:r>
      <w:r w:rsidR="00CF007D">
        <w:rPr>
          <w:rFonts w:ascii="Calibri" w:hAnsi="Calibri" w:cs="Calibri"/>
          <w:i/>
          <w:iCs/>
          <w:sz w:val="22"/>
          <w:szCs w:val="22"/>
        </w:rPr>
        <w:t>…</w:t>
      </w:r>
      <w:r w:rsidR="00200B96" w:rsidRPr="00F66DB4">
        <w:rPr>
          <w:rFonts w:ascii="Calibri" w:hAnsi="Calibri" w:cs="Calibri"/>
          <w:i/>
          <w:iCs/>
          <w:sz w:val="22"/>
          <w:szCs w:val="22"/>
        </w:rPr>
        <w:t>and I think that it probably did have the effect of ensuring that the policy</w:t>
      </w:r>
      <w:r w:rsidR="00CF007D">
        <w:rPr>
          <w:rFonts w:ascii="Calibri" w:hAnsi="Calibri" w:cs="Calibri"/>
          <w:i/>
          <w:iCs/>
          <w:sz w:val="22"/>
          <w:szCs w:val="22"/>
        </w:rPr>
        <w:t>,</w:t>
      </w:r>
      <w:r w:rsidR="00200B96" w:rsidRPr="00F66DB4">
        <w:rPr>
          <w:rFonts w:ascii="Calibri" w:hAnsi="Calibri" w:cs="Calibri"/>
          <w:i/>
          <w:iCs/>
          <w:sz w:val="22"/>
          <w:szCs w:val="22"/>
        </w:rPr>
        <w:t xml:space="preserve"> when it launched, launched really, it landed really well</w:t>
      </w:r>
      <w:r w:rsidR="00EE1144">
        <w:rPr>
          <w:rFonts w:ascii="Calibri" w:hAnsi="Calibri" w:cs="Calibri"/>
          <w:i/>
          <w:iCs/>
          <w:sz w:val="22"/>
          <w:szCs w:val="22"/>
        </w:rPr>
        <w:t>…</w:t>
      </w:r>
      <w:r w:rsidR="00200B96" w:rsidRPr="00F66DB4">
        <w:rPr>
          <w:rFonts w:ascii="Calibri" w:hAnsi="Calibri" w:cs="Calibri"/>
          <w:i/>
          <w:iCs/>
          <w:sz w:val="22"/>
          <w:szCs w:val="22"/>
        </w:rPr>
        <w:t xml:space="preserve">by having the exemptions option within </w:t>
      </w:r>
      <w:r w:rsidR="00200B96" w:rsidRPr="00F66DB4">
        <w:rPr>
          <w:rFonts w:ascii="Calibri" w:hAnsi="Calibri" w:cs="Calibri"/>
          <w:i/>
          <w:iCs/>
          <w:sz w:val="22"/>
          <w:szCs w:val="22"/>
        </w:rPr>
        <w:lastRenderedPageBreak/>
        <w:t>the policy, took the rug out under the feet of the</w:t>
      </w:r>
      <w:r w:rsidR="004737B1">
        <w:rPr>
          <w:rFonts w:ascii="Calibri" w:hAnsi="Calibri" w:cs="Calibri"/>
          <w:i/>
          <w:iCs/>
          <w:sz w:val="22"/>
          <w:szCs w:val="22"/>
        </w:rPr>
        <w:t xml:space="preserve"> </w:t>
      </w:r>
      <w:r w:rsidR="00200B96" w:rsidRPr="00F66DB4">
        <w:rPr>
          <w:rFonts w:ascii="Calibri" w:hAnsi="Calibri" w:cs="Calibri"/>
          <w:i/>
          <w:iCs/>
          <w:sz w:val="22"/>
          <w:szCs w:val="22"/>
        </w:rPr>
        <w:t>naysayers a bit, because you know it wasn’t saying, there’s no way that any of your products will be advertised it’s, well saying well, they need to pass the nutrient profiling, but and unless you can make a really good case. So</w:t>
      </w:r>
      <w:r w:rsidR="004737B1">
        <w:rPr>
          <w:rFonts w:ascii="Calibri" w:hAnsi="Calibri" w:cs="Calibri"/>
          <w:i/>
          <w:iCs/>
          <w:sz w:val="22"/>
          <w:szCs w:val="22"/>
        </w:rPr>
        <w:t xml:space="preserve"> </w:t>
      </w:r>
      <w:r w:rsidR="00200B96" w:rsidRPr="00F66DB4">
        <w:rPr>
          <w:rFonts w:ascii="Calibri" w:hAnsi="Calibri" w:cs="Calibri"/>
          <w:i/>
          <w:iCs/>
          <w:sz w:val="22"/>
          <w:szCs w:val="22"/>
        </w:rPr>
        <w:t>it, I think tactically, it supported a good launch for the policy.</w:t>
      </w:r>
      <w:r>
        <w:rPr>
          <w:rFonts w:ascii="Calibri" w:hAnsi="Calibri" w:cs="Calibri"/>
          <w:i/>
          <w:iCs/>
          <w:sz w:val="22"/>
          <w:szCs w:val="22"/>
        </w:rPr>
        <w:t>”</w:t>
      </w:r>
      <w:r w:rsidR="00200B96" w:rsidRPr="00F66DB4">
        <w:rPr>
          <w:rFonts w:ascii="Calibri" w:hAnsi="Calibri" w:cs="Calibri"/>
          <w:i/>
          <w:iCs/>
          <w:sz w:val="22"/>
          <w:szCs w:val="22"/>
        </w:rPr>
        <w:t xml:space="preserve"> </w:t>
      </w:r>
    </w:p>
    <w:p w14:paraId="7E8BE8C9" w14:textId="334CAE4E" w:rsidR="00BC5313" w:rsidRPr="00F66DB4" w:rsidRDefault="00200B96" w:rsidP="00475D3F">
      <w:pPr>
        <w:pStyle w:val="ListParagraph"/>
        <w:numPr>
          <w:ilvl w:val="0"/>
          <w:numId w:val="8"/>
        </w:numPr>
        <w:spacing w:line="360" w:lineRule="auto"/>
        <w:ind w:right="720"/>
        <w:rPr>
          <w:rFonts w:ascii="Calibri" w:hAnsi="Calibri" w:cs="Calibri"/>
          <w:i/>
          <w:iCs/>
          <w:sz w:val="22"/>
          <w:szCs w:val="22"/>
        </w:rPr>
      </w:pPr>
      <w:r w:rsidRPr="00F66DB4">
        <w:rPr>
          <w:rFonts w:ascii="Calibri" w:hAnsi="Calibri" w:cs="Calibri"/>
          <w:i/>
          <w:iCs/>
          <w:sz w:val="22"/>
          <w:szCs w:val="22"/>
        </w:rPr>
        <w:t xml:space="preserve">Implementation stakeholder </w:t>
      </w:r>
      <w:r w:rsidR="00DB28F2">
        <w:rPr>
          <w:rFonts w:ascii="Calibri" w:hAnsi="Calibri" w:cs="Calibri"/>
          <w:i/>
          <w:iCs/>
          <w:sz w:val="22"/>
          <w:szCs w:val="22"/>
        </w:rPr>
        <w:t>(GLA)</w:t>
      </w:r>
    </w:p>
    <w:p w14:paraId="26B5776C" w14:textId="77777777" w:rsidR="008815D4" w:rsidRPr="00F66DB4" w:rsidRDefault="008815D4" w:rsidP="00475D3F">
      <w:pPr>
        <w:spacing w:line="360" w:lineRule="auto"/>
        <w:rPr>
          <w:rFonts w:ascii="Calibri" w:hAnsi="Calibri" w:cs="Calibri"/>
          <w:i/>
          <w:iCs/>
          <w:sz w:val="22"/>
          <w:szCs w:val="22"/>
        </w:rPr>
      </w:pPr>
    </w:p>
    <w:p w14:paraId="2C8C23D2" w14:textId="4AC47133" w:rsidR="006A2F5A" w:rsidRPr="00F66DB4" w:rsidRDefault="000C5AFA" w:rsidP="00475D3F">
      <w:pPr>
        <w:spacing w:line="360" w:lineRule="auto"/>
        <w:rPr>
          <w:rFonts w:ascii="Calibri" w:hAnsi="Calibri" w:cs="Calibri"/>
          <w:sz w:val="22"/>
          <w:szCs w:val="22"/>
        </w:rPr>
      </w:pPr>
      <w:r w:rsidRPr="00F66DB4">
        <w:rPr>
          <w:rFonts w:ascii="Calibri" w:hAnsi="Calibri" w:cs="Calibri"/>
          <w:sz w:val="22"/>
          <w:szCs w:val="22"/>
        </w:rPr>
        <w:t xml:space="preserve">Both industry and implementation stakeholders expressed frustration with what they perceived as </w:t>
      </w:r>
      <w:r w:rsidR="00444C70">
        <w:rPr>
          <w:rFonts w:ascii="Calibri" w:hAnsi="Calibri" w:cs="Calibri"/>
          <w:sz w:val="22"/>
          <w:szCs w:val="22"/>
        </w:rPr>
        <w:t>politically motivated</w:t>
      </w:r>
      <w:r w:rsidR="00444C70" w:rsidRPr="00F66DB4">
        <w:rPr>
          <w:rFonts w:ascii="Calibri" w:hAnsi="Calibri" w:cs="Calibri"/>
          <w:sz w:val="22"/>
          <w:szCs w:val="22"/>
        </w:rPr>
        <w:t xml:space="preserve"> </w:t>
      </w:r>
      <w:r w:rsidRPr="00F66DB4">
        <w:rPr>
          <w:rFonts w:ascii="Calibri" w:hAnsi="Calibri" w:cs="Calibri"/>
          <w:sz w:val="22"/>
          <w:szCs w:val="22"/>
        </w:rPr>
        <w:t>influence</w:t>
      </w:r>
      <w:r w:rsidR="00444C70">
        <w:rPr>
          <w:rFonts w:ascii="Calibri" w:hAnsi="Calibri" w:cs="Calibri"/>
          <w:sz w:val="22"/>
          <w:szCs w:val="22"/>
        </w:rPr>
        <w:t>s</w:t>
      </w:r>
      <w:r w:rsidRPr="00F66DB4">
        <w:rPr>
          <w:rFonts w:ascii="Calibri" w:hAnsi="Calibri" w:cs="Calibri"/>
          <w:sz w:val="22"/>
          <w:szCs w:val="22"/>
        </w:rPr>
        <w:t xml:space="preserve"> on the initiation, development and implementation of the policy.</w:t>
      </w:r>
      <w:r w:rsidR="00BD5034" w:rsidRPr="00F66DB4">
        <w:rPr>
          <w:rFonts w:ascii="Calibri" w:hAnsi="Calibri" w:cs="Calibri"/>
          <w:sz w:val="22"/>
          <w:szCs w:val="22"/>
        </w:rPr>
        <w:t xml:space="preserve"> Several industry stakeholders reported </w:t>
      </w:r>
      <w:r w:rsidR="0046618C" w:rsidRPr="00F66DB4">
        <w:rPr>
          <w:rFonts w:ascii="Calibri" w:hAnsi="Calibri" w:cs="Calibri"/>
          <w:sz w:val="22"/>
          <w:szCs w:val="22"/>
        </w:rPr>
        <w:t>s</w:t>
      </w:r>
      <w:r w:rsidR="0046618C">
        <w:rPr>
          <w:rFonts w:ascii="Calibri" w:hAnsi="Calibri" w:cs="Calibri"/>
          <w:sz w:val="22"/>
          <w:szCs w:val="22"/>
        </w:rPr>
        <w:t>k</w:t>
      </w:r>
      <w:r w:rsidR="0046618C" w:rsidRPr="00F66DB4">
        <w:rPr>
          <w:rFonts w:ascii="Calibri" w:hAnsi="Calibri" w:cs="Calibri"/>
          <w:sz w:val="22"/>
          <w:szCs w:val="22"/>
        </w:rPr>
        <w:t>epticism</w:t>
      </w:r>
      <w:r w:rsidR="00BD5034" w:rsidRPr="00F66DB4">
        <w:rPr>
          <w:rFonts w:ascii="Calibri" w:hAnsi="Calibri" w:cs="Calibri"/>
          <w:sz w:val="22"/>
          <w:szCs w:val="22"/>
        </w:rPr>
        <w:t xml:space="preserve"> about the motivation for the policy or for the speed of its implementation, with some describing it as a “legacy project” </w:t>
      </w:r>
      <w:r w:rsidR="000B5B4C">
        <w:rPr>
          <w:rFonts w:ascii="Calibri" w:hAnsi="Calibri" w:cs="Calibri"/>
          <w:sz w:val="22"/>
          <w:szCs w:val="22"/>
        </w:rPr>
        <w:t>or</w:t>
      </w:r>
      <w:r w:rsidR="00BD5034" w:rsidRPr="00F66DB4">
        <w:rPr>
          <w:rFonts w:ascii="Calibri" w:hAnsi="Calibri" w:cs="Calibri"/>
          <w:sz w:val="22"/>
          <w:szCs w:val="22"/>
        </w:rPr>
        <w:t xml:space="preserve"> “political statement” </w:t>
      </w:r>
      <w:r w:rsidR="000325D1">
        <w:rPr>
          <w:rFonts w:ascii="Calibri" w:hAnsi="Calibri" w:cs="Calibri"/>
          <w:sz w:val="22"/>
          <w:szCs w:val="22"/>
        </w:rPr>
        <w:t>that lacked a</w:t>
      </w:r>
      <w:r w:rsidR="000325D1" w:rsidRPr="00F66DB4">
        <w:rPr>
          <w:rFonts w:ascii="Calibri" w:hAnsi="Calibri" w:cs="Calibri"/>
          <w:sz w:val="22"/>
          <w:szCs w:val="22"/>
        </w:rPr>
        <w:t xml:space="preserve"> </w:t>
      </w:r>
      <w:r w:rsidR="00BD5034" w:rsidRPr="00F66DB4">
        <w:rPr>
          <w:rFonts w:ascii="Calibri" w:hAnsi="Calibri" w:cs="Calibri"/>
          <w:sz w:val="22"/>
          <w:szCs w:val="22"/>
        </w:rPr>
        <w:t xml:space="preserve">sufficient evidence base. </w:t>
      </w:r>
      <w:r w:rsidR="00517088" w:rsidRPr="00F66DB4">
        <w:rPr>
          <w:rFonts w:ascii="Calibri" w:hAnsi="Calibri" w:cs="Calibri"/>
          <w:sz w:val="22"/>
          <w:szCs w:val="22"/>
        </w:rPr>
        <w:t xml:space="preserve">As one participant </w:t>
      </w:r>
      <w:r w:rsidR="000325D1">
        <w:rPr>
          <w:rFonts w:ascii="Calibri" w:hAnsi="Calibri" w:cs="Calibri"/>
          <w:sz w:val="22"/>
          <w:szCs w:val="22"/>
        </w:rPr>
        <w:t>put it</w:t>
      </w:r>
      <w:r w:rsidR="00517088" w:rsidRPr="00F66DB4">
        <w:rPr>
          <w:rFonts w:ascii="Calibri" w:hAnsi="Calibri" w:cs="Calibri"/>
          <w:sz w:val="22"/>
          <w:szCs w:val="22"/>
        </w:rPr>
        <w:t xml:space="preserve">, </w:t>
      </w:r>
    </w:p>
    <w:p w14:paraId="4D317ED6" w14:textId="7EDBB027" w:rsidR="00517088" w:rsidRPr="00F66DB4" w:rsidRDefault="00517088" w:rsidP="00475D3F">
      <w:pPr>
        <w:spacing w:line="360" w:lineRule="auto"/>
        <w:rPr>
          <w:rFonts w:ascii="Calibri" w:hAnsi="Calibri" w:cs="Calibri"/>
          <w:sz w:val="22"/>
          <w:szCs w:val="22"/>
        </w:rPr>
      </w:pPr>
    </w:p>
    <w:p w14:paraId="6B7F26FE" w14:textId="0E726475" w:rsidR="00517088" w:rsidRPr="00F66DB4" w:rsidRDefault="000325D1" w:rsidP="00475D3F">
      <w:pPr>
        <w:spacing w:line="360" w:lineRule="auto"/>
        <w:ind w:left="720" w:right="720"/>
        <w:rPr>
          <w:rFonts w:ascii="Calibri" w:hAnsi="Calibri" w:cs="Calibri"/>
          <w:i/>
          <w:iCs/>
          <w:sz w:val="22"/>
          <w:szCs w:val="22"/>
        </w:rPr>
      </w:pPr>
      <w:r>
        <w:rPr>
          <w:rFonts w:ascii="Calibri" w:hAnsi="Calibri" w:cs="Calibri"/>
          <w:i/>
          <w:iCs/>
          <w:sz w:val="22"/>
          <w:szCs w:val="22"/>
        </w:rPr>
        <w:t>“…</w:t>
      </w:r>
      <w:r w:rsidR="00517088" w:rsidRPr="00F66DB4">
        <w:rPr>
          <w:rFonts w:ascii="Calibri" w:hAnsi="Calibri" w:cs="Calibri"/>
          <w:i/>
          <w:iCs/>
          <w:sz w:val="22"/>
          <w:szCs w:val="22"/>
        </w:rPr>
        <w:t>without being too harsh on the Mayor, it’s a political statement to say here, I can take direct action, I’ve done something, but it’s maybe not the most effective thing, but it’s an easier thing to do. I think that was probably a concern, which I think we, we have, it’s hard to write that down so explicitly, but it’s on everyone’s mind.</w:t>
      </w:r>
      <w:r w:rsidR="004F7DC0">
        <w:rPr>
          <w:rFonts w:ascii="Calibri" w:hAnsi="Calibri" w:cs="Calibri"/>
          <w:i/>
          <w:iCs/>
          <w:sz w:val="22"/>
          <w:szCs w:val="22"/>
        </w:rPr>
        <w:t>”</w:t>
      </w:r>
    </w:p>
    <w:p w14:paraId="4D01D542" w14:textId="49DBED38" w:rsidR="00517088" w:rsidRPr="00F66DB4" w:rsidRDefault="00517088" w:rsidP="00475D3F">
      <w:pPr>
        <w:pStyle w:val="ListParagraph"/>
        <w:numPr>
          <w:ilvl w:val="0"/>
          <w:numId w:val="8"/>
        </w:numPr>
        <w:spacing w:line="360" w:lineRule="auto"/>
        <w:ind w:right="720"/>
        <w:rPr>
          <w:rFonts w:ascii="Calibri" w:hAnsi="Calibri" w:cs="Calibri"/>
          <w:i/>
          <w:iCs/>
          <w:sz w:val="22"/>
          <w:szCs w:val="22"/>
        </w:rPr>
      </w:pPr>
      <w:r w:rsidRPr="00F66DB4">
        <w:rPr>
          <w:rFonts w:ascii="Calibri" w:hAnsi="Calibri" w:cs="Calibri"/>
          <w:i/>
          <w:iCs/>
          <w:sz w:val="22"/>
          <w:szCs w:val="22"/>
        </w:rPr>
        <w:t xml:space="preserve">Industry stakeholder </w:t>
      </w:r>
      <w:r w:rsidR="00DB28F2">
        <w:rPr>
          <w:rFonts w:ascii="Calibri" w:hAnsi="Calibri" w:cs="Calibri"/>
          <w:i/>
          <w:iCs/>
          <w:sz w:val="22"/>
          <w:szCs w:val="22"/>
        </w:rPr>
        <w:t>(</w:t>
      </w:r>
      <w:r w:rsidR="00241D04">
        <w:rPr>
          <w:rFonts w:ascii="Calibri" w:hAnsi="Calibri" w:cs="Calibri"/>
          <w:i/>
          <w:iCs/>
          <w:sz w:val="22"/>
          <w:szCs w:val="22"/>
        </w:rPr>
        <w:t>industry body</w:t>
      </w:r>
      <w:r w:rsidR="00DB28F2">
        <w:rPr>
          <w:rFonts w:ascii="Calibri" w:hAnsi="Calibri" w:cs="Calibri"/>
          <w:i/>
          <w:iCs/>
          <w:sz w:val="22"/>
          <w:szCs w:val="22"/>
        </w:rPr>
        <w:t>)</w:t>
      </w:r>
    </w:p>
    <w:p w14:paraId="6EB02513" w14:textId="2C8EEF36" w:rsidR="00517088" w:rsidRPr="00F66DB4" w:rsidRDefault="00517088" w:rsidP="00475D3F">
      <w:pPr>
        <w:spacing w:line="360" w:lineRule="auto"/>
        <w:rPr>
          <w:rFonts w:ascii="Calibri" w:hAnsi="Calibri" w:cs="Calibri"/>
          <w:i/>
          <w:iCs/>
          <w:sz w:val="22"/>
          <w:szCs w:val="22"/>
        </w:rPr>
      </w:pPr>
    </w:p>
    <w:p w14:paraId="4AEB5FB8" w14:textId="7865F5AC" w:rsidR="004617C6" w:rsidRPr="00F66DB4" w:rsidRDefault="00BD1A28" w:rsidP="00475D3F">
      <w:pPr>
        <w:spacing w:line="360" w:lineRule="auto"/>
        <w:rPr>
          <w:rFonts w:ascii="Calibri" w:hAnsi="Calibri" w:cs="Calibri"/>
          <w:sz w:val="22"/>
          <w:szCs w:val="22"/>
        </w:rPr>
      </w:pPr>
      <w:r>
        <w:rPr>
          <w:rFonts w:ascii="Calibri" w:hAnsi="Calibri" w:cs="Calibri"/>
          <w:sz w:val="22"/>
          <w:szCs w:val="22"/>
        </w:rPr>
        <w:t>I</w:t>
      </w:r>
      <w:r w:rsidR="004617C6" w:rsidRPr="00F66DB4">
        <w:rPr>
          <w:rFonts w:ascii="Calibri" w:hAnsi="Calibri" w:cs="Calibri"/>
          <w:sz w:val="22"/>
          <w:szCs w:val="22"/>
        </w:rPr>
        <w:t xml:space="preserve">mplementation stakeholders </w:t>
      </w:r>
      <w:r>
        <w:rPr>
          <w:rFonts w:ascii="Calibri" w:hAnsi="Calibri" w:cs="Calibri"/>
          <w:sz w:val="22"/>
          <w:szCs w:val="22"/>
        </w:rPr>
        <w:t xml:space="preserve">also acknowledged the influence of political factors, describing the policy as </w:t>
      </w:r>
      <w:r w:rsidR="004617C6" w:rsidRPr="00F66DB4">
        <w:rPr>
          <w:rFonts w:ascii="Calibri" w:hAnsi="Calibri" w:cs="Calibri"/>
          <w:sz w:val="22"/>
          <w:szCs w:val="22"/>
        </w:rPr>
        <w:t>“highly political”</w:t>
      </w:r>
      <w:r>
        <w:rPr>
          <w:rFonts w:ascii="Calibri" w:hAnsi="Calibri" w:cs="Calibri"/>
          <w:sz w:val="22"/>
          <w:szCs w:val="22"/>
        </w:rPr>
        <w:t xml:space="preserve"> and acknowledging that </w:t>
      </w:r>
      <w:r w:rsidR="000325D1">
        <w:rPr>
          <w:rFonts w:ascii="Calibri" w:hAnsi="Calibri" w:cs="Calibri"/>
          <w:sz w:val="22"/>
          <w:szCs w:val="22"/>
        </w:rPr>
        <w:t>any policy initiative</w:t>
      </w:r>
      <w:r>
        <w:rPr>
          <w:rFonts w:ascii="Calibri" w:hAnsi="Calibri" w:cs="Calibri"/>
          <w:sz w:val="22"/>
          <w:szCs w:val="22"/>
        </w:rPr>
        <w:t xml:space="preserve"> must take into account not only values and ethics, but also the potential for and cost of anticipated backlash. Still, </w:t>
      </w:r>
      <w:r w:rsidR="00171950">
        <w:rPr>
          <w:rFonts w:ascii="Calibri" w:hAnsi="Calibri" w:cs="Calibri"/>
          <w:sz w:val="22"/>
          <w:szCs w:val="22"/>
        </w:rPr>
        <w:t>they</w:t>
      </w:r>
      <w:r w:rsidR="004617C6" w:rsidRPr="00F66DB4">
        <w:rPr>
          <w:rFonts w:ascii="Calibri" w:hAnsi="Calibri" w:cs="Calibri"/>
          <w:sz w:val="22"/>
          <w:szCs w:val="22"/>
        </w:rPr>
        <w:t xml:space="preserve"> </w:t>
      </w:r>
      <w:r w:rsidR="00517088" w:rsidRPr="00F66DB4">
        <w:rPr>
          <w:rFonts w:ascii="Calibri" w:hAnsi="Calibri" w:cs="Calibri"/>
          <w:sz w:val="22"/>
          <w:szCs w:val="22"/>
        </w:rPr>
        <w:t xml:space="preserve">frequently expressed frustration with navigating the </w:t>
      </w:r>
      <w:r w:rsidR="00EE1144">
        <w:rPr>
          <w:rFonts w:ascii="Calibri" w:hAnsi="Calibri" w:cs="Calibri"/>
          <w:sz w:val="22"/>
          <w:szCs w:val="22"/>
        </w:rPr>
        <w:t>o</w:t>
      </w:r>
      <w:r w:rsidR="00517088" w:rsidRPr="00F66DB4">
        <w:rPr>
          <w:rFonts w:ascii="Calibri" w:hAnsi="Calibri" w:cs="Calibri"/>
          <w:sz w:val="22"/>
          <w:szCs w:val="22"/>
        </w:rPr>
        <w:t>ffice of the Mayor’s concerns about backlash and negative press</w:t>
      </w:r>
      <w:r>
        <w:rPr>
          <w:rFonts w:ascii="Calibri" w:hAnsi="Calibri" w:cs="Calibri"/>
          <w:sz w:val="22"/>
          <w:szCs w:val="22"/>
        </w:rPr>
        <w:t>, and</w:t>
      </w:r>
      <w:r w:rsidR="00171950">
        <w:rPr>
          <w:rFonts w:ascii="Calibri" w:hAnsi="Calibri" w:cs="Calibri"/>
          <w:sz w:val="22"/>
          <w:szCs w:val="22"/>
        </w:rPr>
        <w:t xml:space="preserve"> their worry</w:t>
      </w:r>
      <w:r w:rsidR="004955B0">
        <w:rPr>
          <w:rFonts w:ascii="Calibri" w:hAnsi="Calibri" w:cs="Calibri"/>
          <w:sz w:val="22"/>
          <w:szCs w:val="22"/>
        </w:rPr>
        <w:t xml:space="preserve"> that the Mayor </w:t>
      </w:r>
      <w:r w:rsidR="00171950">
        <w:rPr>
          <w:rFonts w:ascii="Calibri" w:hAnsi="Calibri" w:cs="Calibri"/>
          <w:sz w:val="22"/>
          <w:szCs w:val="22"/>
        </w:rPr>
        <w:t>would reconsider his commitment to the policy in the face of</w:t>
      </w:r>
      <w:r w:rsidR="00E63C63">
        <w:rPr>
          <w:rFonts w:ascii="Calibri" w:hAnsi="Calibri" w:cs="Calibri"/>
          <w:sz w:val="22"/>
          <w:szCs w:val="22"/>
        </w:rPr>
        <w:t xml:space="preserve"> </w:t>
      </w:r>
      <w:r w:rsidR="00171950">
        <w:rPr>
          <w:rFonts w:ascii="Calibri" w:hAnsi="Calibri" w:cs="Calibri"/>
          <w:sz w:val="22"/>
          <w:szCs w:val="22"/>
        </w:rPr>
        <w:t xml:space="preserve">these </w:t>
      </w:r>
      <w:r w:rsidR="00E63C63">
        <w:rPr>
          <w:rFonts w:ascii="Calibri" w:hAnsi="Calibri" w:cs="Calibri"/>
          <w:sz w:val="22"/>
          <w:szCs w:val="22"/>
        </w:rPr>
        <w:t>challenges</w:t>
      </w:r>
      <w:r>
        <w:rPr>
          <w:rFonts w:ascii="Calibri" w:hAnsi="Calibri" w:cs="Calibri"/>
          <w:sz w:val="22"/>
          <w:szCs w:val="22"/>
        </w:rPr>
        <w:t xml:space="preserve"> </w:t>
      </w:r>
      <w:r w:rsidR="00517088" w:rsidRPr="00F66DB4">
        <w:rPr>
          <w:rFonts w:ascii="Calibri" w:hAnsi="Calibri" w:cs="Calibri"/>
          <w:sz w:val="22"/>
          <w:szCs w:val="22"/>
        </w:rPr>
        <w:t>and an upcoming bid for re</w:t>
      </w:r>
      <w:r w:rsidR="00217A4A">
        <w:rPr>
          <w:rFonts w:ascii="Calibri" w:hAnsi="Calibri" w:cs="Calibri"/>
          <w:sz w:val="22"/>
          <w:szCs w:val="22"/>
        </w:rPr>
        <w:t>-</w:t>
      </w:r>
      <w:r w:rsidR="00517088" w:rsidRPr="00F66DB4">
        <w:rPr>
          <w:rFonts w:ascii="Calibri" w:hAnsi="Calibri" w:cs="Calibri"/>
          <w:sz w:val="22"/>
          <w:szCs w:val="22"/>
        </w:rPr>
        <w:t xml:space="preserve">election. </w:t>
      </w:r>
      <w:r w:rsidR="004617C6" w:rsidRPr="00F66DB4">
        <w:rPr>
          <w:rFonts w:ascii="Calibri" w:hAnsi="Calibri" w:cs="Calibri"/>
          <w:sz w:val="22"/>
          <w:szCs w:val="22"/>
        </w:rPr>
        <w:t xml:space="preserve">As one participant described, </w:t>
      </w:r>
    </w:p>
    <w:p w14:paraId="669902F6" w14:textId="17138883" w:rsidR="00457595" w:rsidRPr="00F66DB4" w:rsidRDefault="00457595" w:rsidP="00475D3F">
      <w:pPr>
        <w:spacing w:line="360" w:lineRule="auto"/>
        <w:rPr>
          <w:rFonts w:ascii="Calibri" w:hAnsi="Calibri" w:cs="Calibri"/>
          <w:sz w:val="22"/>
          <w:szCs w:val="22"/>
        </w:rPr>
      </w:pPr>
    </w:p>
    <w:p w14:paraId="3811D9E2" w14:textId="106511C6" w:rsidR="00457595" w:rsidRPr="00F66DB4" w:rsidRDefault="00684DA4" w:rsidP="00475D3F">
      <w:pPr>
        <w:spacing w:line="360" w:lineRule="auto"/>
        <w:ind w:left="720" w:right="720"/>
        <w:rPr>
          <w:rFonts w:ascii="Calibri" w:hAnsi="Calibri" w:cs="Calibri"/>
          <w:i/>
          <w:iCs/>
          <w:sz w:val="22"/>
          <w:szCs w:val="22"/>
        </w:rPr>
      </w:pPr>
      <w:r>
        <w:rPr>
          <w:rFonts w:ascii="Calibri" w:hAnsi="Calibri" w:cs="Calibri"/>
          <w:i/>
          <w:iCs/>
          <w:sz w:val="22"/>
          <w:szCs w:val="22"/>
        </w:rPr>
        <w:t>“</w:t>
      </w:r>
      <w:r w:rsidR="00457595" w:rsidRPr="00F66DB4">
        <w:rPr>
          <w:rFonts w:ascii="Calibri" w:hAnsi="Calibri" w:cs="Calibri"/>
          <w:i/>
          <w:iCs/>
          <w:sz w:val="22"/>
          <w:szCs w:val="22"/>
        </w:rPr>
        <w:t xml:space="preserve">Well, I realised that we’re in a political environment and what we didn’t want to happen was lots of items that the general public don’t see as a problem being on the front of the newspapers and almost undermining the true aim of the policy of, you know, getting rid of the really bad stuff in some ways. </w:t>
      </w:r>
      <w:r w:rsidR="00CE5E27">
        <w:rPr>
          <w:rFonts w:ascii="Calibri" w:hAnsi="Calibri" w:cs="Calibri"/>
          <w:i/>
          <w:iCs/>
          <w:sz w:val="22"/>
          <w:szCs w:val="22"/>
        </w:rPr>
        <w:t>A</w:t>
      </w:r>
      <w:r w:rsidR="00457595" w:rsidRPr="00F66DB4">
        <w:rPr>
          <w:rFonts w:ascii="Calibri" w:hAnsi="Calibri" w:cs="Calibri"/>
          <w:i/>
          <w:iCs/>
          <w:sz w:val="22"/>
          <w:szCs w:val="22"/>
        </w:rPr>
        <w:t>nd what we didn’t want to happen was the Mayor to have a really hard time in the newspapers and for him to lose complete interest in the policy and give up.</w:t>
      </w:r>
      <w:r w:rsidR="004F7DC0">
        <w:rPr>
          <w:rFonts w:ascii="Calibri" w:hAnsi="Calibri" w:cs="Calibri"/>
          <w:i/>
          <w:iCs/>
          <w:sz w:val="22"/>
          <w:szCs w:val="22"/>
        </w:rPr>
        <w:t>”</w:t>
      </w:r>
    </w:p>
    <w:p w14:paraId="6368C7B4" w14:textId="22692FBC" w:rsidR="00457595" w:rsidRPr="00F66DB4" w:rsidRDefault="00457595" w:rsidP="00475D3F">
      <w:pPr>
        <w:pStyle w:val="ListParagraph"/>
        <w:numPr>
          <w:ilvl w:val="0"/>
          <w:numId w:val="8"/>
        </w:numPr>
        <w:spacing w:line="360" w:lineRule="auto"/>
        <w:ind w:right="720"/>
        <w:rPr>
          <w:rFonts w:ascii="Calibri" w:hAnsi="Calibri" w:cs="Calibri"/>
          <w:i/>
          <w:iCs/>
          <w:sz w:val="22"/>
          <w:szCs w:val="22"/>
        </w:rPr>
      </w:pPr>
      <w:r w:rsidRPr="00F66DB4">
        <w:rPr>
          <w:rFonts w:ascii="Calibri" w:hAnsi="Calibri" w:cs="Calibri"/>
          <w:i/>
          <w:iCs/>
          <w:sz w:val="22"/>
          <w:szCs w:val="22"/>
        </w:rPr>
        <w:t xml:space="preserve">Implementation stakeholder </w:t>
      </w:r>
      <w:r w:rsidR="00DB28F2">
        <w:rPr>
          <w:rFonts w:ascii="Calibri" w:hAnsi="Calibri" w:cs="Calibri"/>
          <w:i/>
          <w:iCs/>
          <w:sz w:val="22"/>
          <w:szCs w:val="22"/>
        </w:rPr>
        <w:t>(G</w:t>
      </w:r>
      <w:r w:rsidR="00392109">
        <w:rPr>
          <w:rFonts w:ascii="Calibri" w:hAnsi="Calibri" w:cs="Calibri"/>
          <w:i/>
          <w:iCs/>
          <w:sz w:val="22"/>
          <w:szCs w:val="22"/>
        </w:rPr>
        <w:t>LA</w:t>
      </w:r>
      <w:r w:rsidR="00DB28F2">
        <w:rPr>
          <w:rFonts w:ascii="Calibri" w:hAnsi="Calibri" w:cs="Calibri"/>
          <w:i/>
          <w:iCs/>
          <w:sz w:val="22"/>
          <w:szCs w:val="22"/>
        </w:rPr>
        <w:t>)</w:t>
      </w:r>
    </w:p>
    <w:p w14:paraId="3AFCC870" w14:textId="0EA23ADF" w:rsidR="004617C6" w:rsidRPr="00F66DB4" w:rsidRDefault="004617C6" w:rsidP="00475D3F">
      <w:pPr>
        <w:spacing w:line="360" w:lineRule="auto"/>
        <w:ind w:left="720" w:right="720"/>
        <w:rPr>
          <w:rFonts w:ascii="Calibri" w:hAnsi="Calibri" w:cs="Calibri"/>
          <w:sz w:val="22"/>
          <w:szCs w:val="22"/>
        </w:rPr>
      </w:pPr>
    </w:p>
    <w:p w14:paraId="08F01F83" w14:textId="0B034267" w:rsidR="00C973BF" w:rsidRPr="00F66DB4" w:rsidRDefault="00CF7CA2" w:rsidP="00475D3F">
      <w:pPr>
        <w:spacing w:line="360" w:lineRule="auto"/>
        <w:rPr>
          <w:rFonts w:ascii="Calibri" w:hAnsi="Calibri" w:cs="Calibri"/>
          <w:sz w:val="22"/>
          <w:szCs w:val="22"/>
        </w:rPr>
      </w:pPr>
      <w:r w:rsidRPr="00F66DB4">
        <w:rPr>
          <w:rFonts w:ascii="Calibri" w:hAnsi="Calibri" w:cs="Calibri"/>
          <w:sz w:val="22"/>
          <w:szCs w:val="22"/>
        </w:rPr>
        <w:t>S</w:t>
      </w:r>
      <w:r w:rsidR="00517088" w:rsidRPr="00F66DB4">
        <w:rPr>
          <w:rFonts w:ascii="Calibri" w:hAnsi="Calibri" w:cs="Calibri"/>
          <w:sz w:val="22"/>
          <w:szCs w:val="22"/>
        </w:rPr>
        <w:t xml:space="preserve">ome </w:t>
      </w:r>
      <w:r w:rsidR="00E86003">
        <w:rPr>
          <w:rFonts w:ascii="Calibri" w:hAnsi="Calibri" w:cs="Calibri"/>
          <w:sz w:val="22"/>
          <w:szCs w:val="22"/>
        </w:rPr>
        <w:t xml:space="preserve">participants </w:t>
      </w:r>
      <w:r w:rsidR="00517088" w:rsidRPr="00F66DB4">
        <w:rPr>
          <w:rFonts w:ascii="Calibri" w:hAnsi="Calibri" w:cs="Calibri"/>
          <w:sz w:val="22"/>
          <w:szCs w:val="22"/>
        </w:rPr>
        <w:t xml:space="preserve">felt that political motivations </w:t>
      </w:r>
      <w:r w:rsidR="004617C6" w:rsidRPr="00F66DB4">
        <w:rPr>
          <w:rFonts w:ascii="Calibri" w:hAnsi="Calibri" w:cs="Calibri"/>
          <w:sz w:val="22"/>
          <w:szCs w:val="22"/>
        </w:rPr>
        <w:t>could overshadow</w:t>
      </w:r>
      <w:r w:rsidR="00517088" w:rsidRPr="00F66DB4">
        <w:rPr>
          <w:rFonts w:ascii="Calibri" w:hAnsi="Calibri" w:cs="Calibri"/>
          <w:sz w:val="22"/>
          <w:szCs w:val="22"/>
        </w:rPr>
        <w:t xml:space="preserve"> </w:t>
      </w:r>
      <w:r w:rsidRPr="00F66DB4">
        <w:rPr>
          <w:rFonts w:ascii="Calibri" w:hAnsi="Calibri" w:cs="Calibri"/>
          <w:sz w:val="22"/>
          <w:szCs w:val="22"/>
        </w:rPr>
        <w:t>the science underpinning the policy, in some cases weakening the policy in response to undue influence from industry lobbyists.</w:t>
      </w:r>
      <w:r w:rsidR="00C973BF">
        <w:rPr>
          <w:rFonts w:ascii="Calibri" w:hAnsi="Calibri" w:cs="Calibri"/>
          <w:sz w:val="22"/>
          <w:szCs w:val="22"/>
        </w:rPr>
        <w:t xml:space="preserve"> Similarly, </w:t>
      </w:r>
      <w:r w:rsidR="00C973BF" w:rsidRPr="00F66DB4">
        <w:rPr>
          <w:rFonts w:ascii="Calibri" w:hAnsi="Calibri" w:cs="Calibri"/>
          <w:sz w:val="22"/>
          <w:szCs w:val="22"/>
        </w:rPr>
        <w:t>participants</w:t>
      </w:r>
      <w:r w:rsidR="00C973BF">
        <w:rPr>
          <w:rFonts w:ascii="Calibri" w:hAnsi="Calibri" w:cs="Calibri"/>
          <w:sz w:val="22"/>
          <w:szCs w:val="22"/>
        </w:rPr>
        <w:t xml:space="preserve"> suggested that</w:t>
      </w:r>
      <w:r w:rsidR="00C973BF" w:rsidRPr="00F66DB4">
        <w:rPr>
          <w:rFonts w:ascii="Calibri" w:hAnsi="Calibri" w:cs="Calibri"/>
          <w:sz w:val="22"/>
          <w:szCs w:val="22"/>
        </w:rPr>
        <w:t xml:space="preserve"> public appearances where the Mayor was “put on the spot” with queries about specific products or campaigns could pose challenges</w:t>
      </w:r>
      <w:r w:rsidR="00C973BF">
        <w:rPr>
          <w:rFonts w:ascii="Calibri" w:hAnsi="Calibri" w:cs="Calibri"/>
          <w:sz w:val="22"/>
          <w:szCs w:val="22"/>
        </w:rPr>
        <w:t>, with o</w:t>
      </w:r>
      <w:r w:rsidR="00C973BF" w:rsidRPr="00F66DB4">
        <w:rPr>
          <w:rFonts w:ascii="Calibri" w:hAnsi="Calibri" w:cs="Calibri"/>
          <w:sz w:val="22"/>
          <w:szCs w:val="22"/>
        </w:rPr>
        <w:t>ne participant suggest</w:t>
      </w:r>
      <w:r w:rsidR="00C973BF">
        <w:rPr>
          <w:rFonts w:ascii="Calibri" w:hAnsi="Calibri" w:cs="Calibri"/>
          <w:sz w:val="22"/>
          <w:szCs w:val="22"/>
        </w:rPr>
        <w:t>ing</w:t>
      </w:r>
      <w:r w:rsidR="00C973BF" w:rsidRPr="00F66DB4">
        <w:rPr>
          <w:rFonts w:ascii="Calibri" w:hAnsi="Calibri" w:cs="Calibri"/>
          <w:sz w:val="22"/>
          <w:szCs w:val="22"/>
        </w:rPr>
        <w:t xml:space="preserve"> that “offhand” public comments from the Mayor could sometimes influence the direction of the policy</w:t>
      </w:r>
      <w:r w:rsidR="00C973BF">
        <w:rPr>
          <w:rFonts w:ascii="Calibri" w:hAnsi="Calibri" w:cs="Calibri"/>
          <w:sz w:val="22"/>
          <w:szCs w:val="22"/>
        </w:rPr>
        <w:t xml:space="preserve">, </w:t>
      </w:r>
      <w:r w:rsidR="00FE11D4">
        <w:rPr>
          <w:rFonts w:ascii="Calibri" w:hAnsi="Calibri" w:cs="Calibri"/>
          <w:sz w:val="22"/>
          <w:szCs w:val="22"/>
        </w:rPr>
        <w:t xml:space="preserve">presenting a challenge to the judgement of those with more specialist knowledge of </w:t>
      </w:r>
      <w:r w:rsidR="004A5876">
        <w:rPr>
          <w:rFonts w:ascii="Calibri" w:hAnsi="Calibri" w:cs="Calibri"/>
          <w:sz w:val="22"/>
          <w:szCs w:val="22"/>
        </w:rPr>
        <w:t>the nutrition</w:t>
      </w:r>
      <w:r w:rsidR="00FE11D4">
        <w:rPr>
          <w:rFonts w:ascii="Calibri" w:hAnsi="Calibri" w:cs="Calibri"/>
          <w:sz w:val="22"/>
          <w:szCs w:val="22"/>
        </w:rPr>
        <w:t xml:space="preserve"> field</w:t>
      </w:r>
      <w:r w:rsidR="00C973BF">
        <w:rPr>
          <w:rFonts w:ascii="Calibri" w:hAnsi="Calibri" w:cs="Calibri"/>
          <w:sz w:val="22"/>
          <w:szCs w:val="22"/>
        </w:rPr>
        <w:t>:</w:t>
      </w:r>
      <w:r w:rsidR="00C973BF" w:rsidRPr="00F66DB4">
        <w:rPr>
          <w:rFonts w:ascii="Calibri" w:hAnsi="Calibri" w:cs="Calibri"/>
          <w:sz w:val="22"/>
          <w:szCs w:val="22"/>
        </w:rPr>
        <w:t xml:space="preserve"> </w:t>
      </w:r>
    </w:p>
    <w:p w14:paraId="7EF5A5D9" w14:textId="77777777" w:rsidR="00C973BF" w:rsidRPr="00F66DB4" w:rsidRDefault="00C973BF" w:rsidP="00475D3F">
      <w:pPr>
        <w:spacing w:line="360" w:lineRule="auto"/>
        <w:rPr>
          <w:rFonts w:ascii="Calibri" w:hAnsi="Calibri" w:cs="Calibri"/>
          <w:sz w:val="22"/>
          <w:szCs w:val="22"/>
        </w:rPr>
      </w:pPr>
    </w:p>
    <w:p w14:paraId="30E87E0E" w14:textId="6EC77753" w:rsidR="00C973BF" w:rsidRPr="00F66DB4" w:rsidRDefault="00C973BF" w:rsidP="00475D3F">
      <w:pPr>
        <w:spacing w:line="360" w:lineRule="auto"/>
        <w:ind w:left="720" w:right="720"/>
        <w:rPr>
          <w:rFonts w:ascii="Calibri" w:hAnsi="Calibri" w:cs="Calibri"/>
          <w:i/>
          <w:iCs/>
          <w:sz w:val="22"/>
          <w:szCs w:val="22"/>
        </w:rPr>
      </w:pPr>
      <w:r>
        <w:rPr>
          <w:rFonts w:ascii="Calibri" w:hAnsi="Calibri" w:cs="Calibri"/>
          <w:i/>
          <w:iCs/>
          <w:sz w:val="22"/>
          <w:szCs w:val="22"/>
        </w:rPr>
        <w:t>“</w:t>
      </w:r>
      <w:r w:rsidRPr="00F66DB4">
        <w:rPr>
          <w:rFonts w:ascii="Calibri" w:hAnsi="Calibri" w:cs="Calibri"/>
          <w:i/>
          <w:iCs/>
          <w:sz w:val="22"/>
          <w:szCs w:val="22"/>
        </w:rPr>
        <w:t>We actually I mean at meetings had discussions about shifting it in different directions because the Mayor made some offhand comment in a</w:t>
      </w:r>
      <w:r>
        <w:rPr>
          <w:rFonts w:ascii="Calibri" w:hAnsi="Calibri" w:cs="Calibri"/>
          <w:i/>
          <w:iCs/>
          <w:sz w:val="22"/>
          <w:szCs w:val="22"/>
        </w:rPr>
        <w:t>[n]</w:t>
      </w:r>
      <w:r w:rsidRPr="00F66DB4">
        <w:rPr>
          <w:rFonts w:ascii="Calibri" w:hAnsi="Calibri" w:cs="Calibri"/>
          <w:i/>
          <w:iCs/>
          <w:sz w:val="22"/>
          <w:szCs w:val="22"/>
        </w:rPr>
        <w:t xml:space="preserve"> interview, you know, I mean that's crazy because, you know</w:t>
      </w:r>
      <w:r>
        <w:rPr>
          <w:rFonts w:ascii="Calibri" w:hAnsi="Calibri" w:cs="Calibri"/>
          <w:i/>
          <w:iCs/>
          <w:sz w:val="22"/>
          <w:szCs w:val="22"/>
        </w:rPr>
        <w:t>…</w:t>
      </w:r>
      <w:r w:rsidRPr="00F66DB4" w:rsidDel="00705ECC">
        <w:rPr>
          <w:rFonts w:ascii="Calibri" w:hAnsi="Calibri" w:cs="Calibri"/>
          <w:i/>
          <w:iCs/>
          <w:sz w:val="22"/>
          <w:szCs w:val="22"/>
        </w:rPr>
        <w:t xml:space="preserve"> </w:t>
      </w:r>
      <w:r w:rsidRPr="00F66DB4">
        <w:rPr>
          <w:rFonts w:ascii="Calibri" w:hAnsi="Calibri" w:cs="Calibri"/>
          <w:i/>
          <w:iCs/>
          <w:sz w:val="22"/>
          <w:szCs w:val="22"/>
        </w:rPr>
        <w:t>there's no way that you can write policy around offhand comments that someone who is not, you know, is not up on the latest in nutrition or food policy is making.</w:t>
      </w:r>
      <w:r>
        <w:rPr>
          <w:rFonts w:ascii="Calibri" w:hAnsi="Calibri" w:cs="Calibri"/>
          <w:i/>
          <w:iCs/>
          <w:sz w:val="22"/>
          <w:szCs w:val="22"/>
        </w:rPr>
        <w:t>”</w:t>
      </w:r>
    </w:p>
    <w:p w14:paraId="027BA4D7" w14:textId="63AAA083" w:rsidR="00517088" w:rsidRPr="00E32CAD" w:rsidRDefault="00C973BF" w:rsidP="00475D3F">
      <w:pPr>
        <w:pStyle w:val="ListParagraph"/>
        <w:numPr>
          <w:ilvl w:val="0"/>
          <w:numId w:val="8"/>
        </w:numPr>
        <w:spacing w:line="360" w:lineRule="auto"/>
        <w:ind w:right="720"/>
        <w:rPr>
          <w:rFonts w:ascii="Calibri" w:hAnsi="Calibri" w:cs="Calibri"/>
          <w:sz w:val="22"/>
          <w:szCs w:val="22"/>
        </w:rPr>
      </w:pPr>
      <w:r w:rsidRPr="00F66DB4">
        <w:rPr>
          <w:rFonts w:ascii="Calibri" w:hAnsi="Calibri" w:cs="Calibri"/>
          <w:i/>
          <w:iCs/>
          <w:sz w:val="22"/>
          <w:szCs w:val="22"/>
        </w:rPr>
        <w:t xml:space="preserve">Implementation stakeholder </w:t>
      </w:r>
      <w:r>
        <w:rPr>
          <w:rFonts w:ascii="Calibri" w:hAnsi="Calibri" w:cs="Calibri"/>
          <w:i/>
          <w:iCs/>
          <w:sz w:val="22"/>
          <w:szCs w:val="22"/>
        </w:rPr>
        <w:t>(GLA)</w:t>
      </w:r>
    </w:p>
    <w:p w14:paraId="4D2C156B" w14:textId="50284F1C" w:rsidR="00DC0964" w:rsidRPr="00F65C98" w:rsidRDefault="00BA2D4C" w:rsidP="00475D3F">
      <w:pPr>
        <w:pStyle w:val="Heading2"/>
        <w:spacing w:line="360" w:lineRule="auto"/>
      </w:pPr>
      <w:r w:rsidRPr="00C319B4">
        <w:t>Discussion</w:t>
      </w:r>
    </w:p>
    <w:p w14:paraId="711CA337" w14:textId="71C8CA79" w:rsidR="00422A37" w:rsidRDefault="00FE555A" w:rsidP="00475D3F">
      <w:pPr>
        <w:spacing w:line="360" w:lineRule="auto"/>
        <w:rPr>
          <w:rFonts w:asciiTheme="minorHAnsi" w:hAnsiTheme="minorHAnsi" w:cstheme="minorHAnsi"/>
          <w:sz w:val="22"/>
          <w:szCs w:val="22"/>
          <w:lang w:val="en-GB" w:eastAsia="en-US"/>
        </w:rPr>
      </w:pPr>
      <w:r w:rsidRPr="00F65C98">
        <w:rPr>
          <w:rFonts w:asciiTheme="minorHAnsi" w:hAnsiTheme="minorHAnsi" w:cstheme="minorHAnsi"/>
          <w:sz w:val="22"/>
          <w:szCs w:val="22"/>
        </w:rPr>
        <w:t>Th</w:t>
      </w:r>
      <w:r>
        <w:rPr>
          <w:rFonts w:asciiTheme="minorHAnsi" w:hAnsiTheme="minorHAnsi" w:cstheme="minorHAnsi"/>
          <w:sz w:val="22"/>
          <w:szCs w:val="22"/>
        </w:rPr>
        <w:t>is</w:t>
      </w:r>
      <w:r w:rsidRPr="00F65C98">
        <w:rPr>
          <w:rFonts w:asciiTheme="minorHAnsi" w:hAnsiTheme="minorHAnsi" w:cstheme="minorHAnsi"/>
          <w:sz w:val="22"/>
          <w:szCs w:val="22"/>
        </w:rPr>
        <w:t xml:space="preserve"> </w:t>
      </w:r>
      <w:r w:rsidR="00692949" w:rsidRPr="00F65C98">
        <w:rPr>
          <w:rFonts w:asciiTheme="minorHAnsi" w:hAnsiTheme="minorHAnsi" w:cstheme="minorHAnsi"/>
          <w:sz w:val="22"/>
          <w:szCs w:val="22"/>
        </w:rPr>
        <w:t xml:space="preserve">process evaluation aimed to explore the development and implementation of TfL’s restrictions on </w:t>
      </w:r>
      <w:r w:rsidR="00D840E9">
        <w:rPr>
          <w:rFonts w:asciiTheme="minorHAnsi" w:hAnsiTheme="minorHAnsi" w:cstheme="minorHAnsi"/>
          <w:sz w:val="22"/>
          <w:szCs w:val="22"/>
        </w:rPr>
        <w:t xml:space="preserve">the advertising of </w:t>
      </w:r>
      <w:r w:rsidR="00692949" w:rsidRPr="00F65C98">
        <w:rPr>
          <w:rFonts w:asciiTheme="minorHAnsi" w:hAnsiTheme="minorHAnsi" w:cstheme="minorHAnsi"/>
          <w:sz w:val="22"/>
          <w:szCs w:val="22"/>
        </w:rPr>
        <w:t>HFSS</w:t>
      </w:r>
      <w:r w:rsidR="00D840E9">
        <w:rPr>
          <w:rFonts w:asciiTheme="minorHAnsi" w:hAnsiTheme="minorHAnsi" w:cstheme="minorHAnsi"/>
          <w:sz w:val="22"/>
          <w:szCs w:val="22"/>
        </w:rPr>
        <w:t xml:space="preserve"> products across their network</w:t>
      </w:r>
      <w:r w:rsidR="00692949" w:rsidRPr="00F65C98">
        <w:rPr>
          <w:rFonts w:asciiTheme="minorHAnsi" w:hAnsiTheme="minorHAnsi" w:cstheme="minorHAnsi"/>
          <w:sz w:val="22"/>
          <w:szCs w:val="22"/>
        </w:rPr>
        <w:t>. Our analysis revealed that the</w:t>
      </w:r>
      <w:r w:rsidR="00624D3B">
        <w:rPr>
          <w:rFonts w:asciiTheme="minorHAnsi" w:hAnsiTheme="minorHAnsi" w:cstheme="minorHAnsi"/>
          <w:sz w:val="22"/>
          <w:szCs w:val="22"/>
        </w:rPr>
        <w:t xml:space="preserve"> </w:t>
      </w:r>
      <w:r w:rsidR="00692949" w:rsidRPr="00F65C98">
        <w:rPr>
          <w:rFonts w:asciiTheme="minorHAnsi" w:hAnsiTheme="minorHAnsi" w:cstheme="minorHAnsi"/>
          <w:sz w:val="22"/>
          <w:szCs w:val="22"/>
          <w:lang w:val="en-GB" w:eastAsia="en-US"/>
        </w:rPr>
        <w:t>development</w:t>
      </w:r>
      <w:r w:rsidR="00396F12">
        <w:rPr>
          <w:rFonts w:asciiTheme="minorHAnsi" w:hAnsiTheme="minorHAnsi" w:cstheme="minorHAnsi"/>
          <w:sz w:val="22"/>
          <w:szCs w:val="22"/>
          <w:lang w:val="en-GB" w:eastAsia="en-US"/>
        </w:rPr>
        <w:t>, design</w:t>
      </w:r>
      <w:r w:rsidR="00692949" w:rsidRPr="00F65C98">
        <w:rPr>
          <w:rFonts w:asciiTheme="minorHAnsi" w:hAnsiTheme="minorHAnsi" w:cstheme="minorHAnsi"/>
          <w:sz w:val="22"/>
          <w:szCs w:val="22"/>
          <w:lang w:val="en-GB" w:eastAsia="en-US"/>
        </w:rPr>
        <w:t xml:space="preserve"> and implementation of the </w:t>
      </w:r>
      <w:r w:rsidR="007E41A6">
        <w:rPr>
          <w:rFonts w:asciiTheme="minorHAnsi" w:hAnsiTheme="minorHAnsi" w:cstheme="minorHAnsi"/>
          <w:sz w:val="22"/>
          <w:szCs w:val="22"/>
          <w:lang w:val="en-GB" w:eastAsia="en-US"/>
        </w:rPr>
        <w:t>policy</w:t>
      </w:r>
      <w:r w:rsidR="007E41A6" w:rsidRPr="00F65C98">
        <w:rPr>
          <w:rFonts w:asciiTheme="minorHAnsi" w:hAnsiTheme="minorHAnsi" w:cstheme="minorHAnsi"/>
          <w:sz w:val="22"/>
          <w:szCs w:val="22"/>
          <w:lang w:val="en-GB" w:eastAsia="en-US"/>
        </w:rPr>
        <w:t xml:space="preserve"> </w:t>
      </w:r>
      <w:r w:rsidR="00624D3B">
        <w:rPr>
          <w:rFonts w:asciiTheme="minorHAnsi" w:hAnsiTheme="minorHAnsi" w:cstheme="minorHAnsi"/>
          <w:sz w:val="22"/>
          <w:szCs w:val="22"/>
          <w:lang w:val="en-GB" w:eastAsia="en-US"/>
        </w:rPr>
        <w:t xml:space="preserve">was </w:t>
      </w:r>
      <w:r w:rsidR="00422A37">
        <w:rPr>
          <w:rFonts w:asciiTheme="minorHAnsi" w:hAnsiTheme="minorHAnsi" w:cstheme="minorHAnsi"/>
          <w:sz w:val="22"/>
          <w:szCs w:val="22"/>
          <w:lang w:val="en-GB" w:eastAsia="en-US"/>
        </w:rPr>
        <w:t xml:space="preserve">influenced by practical and political factors. </w:t>
      </w:r>
      <w:r w:rsidR="00422A37">
        <w:rPr>
          <w:rFonts w:asciiTheme="minorHAnsi" w:hAnsiTheme="minorHAnsi" w:cstheme="minorHAnsi"/>
          <w:sz w:val="22"/>
          <w:szCs w:val="22"/>
        </w:rPr>
        <w:t>Our findings suggest that c</w:t>
      </w:r>
      <w:r w:rsidR="00422A37" w:rsidRPr="00475D3F">
        <w:rPr>
          <w:rFonts w:asciiTheme="minorHAnsi" w:hAnsiTheme="minorHAnsi" w:cstheme="minorHAnsi"/>
          <w:sz w:val="22"/>
          <w:szCs w:val="22"/>
        </w:rPr>
        <w:t xml:space="preserve">onsultation during </w:t>
      </w:r>
      <w:r w:rsidR="00422A37">
        <w:rPr>
          <w:rFonts w:asciiTheme="minorHAnsi" w:hAnsiTheme="minorHAnsi" w:cstheme="minorHAnsi"/>
          <w:sz w:val="22"/>
          <w:szCs w:val="22"/>
        </w:rPr>
        <w:t xml:space="preserve">the </w:t>
      </w:r>
      <w:r w:rsidR="00422A37" w:rsidRPr="00475D3F">
        <w:rPr>
          <w:rFonts w:asciiTheme="minorHAnsi" w:hAnsiTheme="minorHAnsi" w:cstheme="minorHAnsi"/>
          <w:sz w:val="22"/>
          <w:szCs w:val="22"/>
        </w:rPr>
        <w:t>policy development</w:t>
      </w:r>
      <w:r w:rsidR="00422A37">
        <w:rPr>
          <w:rFonts w:asciiTheme="minorHAnsi" w:hAnsiTheme="minorHAnsi" w:cstheme="minorHAnsi"/>
          <w:sz w:val="22"/>
          <w:szCs w:val="22"/>
        </w:rPr>
        <w:t xml:space="preserve"> stage,</w:t>
      </w:r>
      <w:r w:rsidR="00422A37" w:rsidRPr="00475D3F">
        <w:rPr>
          <w:rFonts w:asciiTheme="minorHAnsi" w:hAnsiTheme="minorHAnsi" w:cstheme="minorHAnsi"/>
          <w:sz w:val="22"/>
          <w:szCs w:val="22"/>
        </w:rPr>
        <w:t xml:space="preserve"> close communication with industry</w:t>
      </w:r>
      <w:r w:rsidR="00422A37">
        <w:rPr>
          <w:rFonts w:asciiTheme="minorHAnsi" w:hAnsiTheme="minorHAnsi" w:cstheme="minorHAnsi"/>
          <w:sz w:val="22"/>
          <w:szCs w:val="22"/>
        </w:rPr>
        <w:t xml:space="preserve"> stakeholders, building on existing legal frameworks and</w:t>
      </w:r>
      <w:r w:rsidR="00422A37" w:rsidRPr="00475D3F">
        <w:rPr>
          <w:rFonts w:asciiTheme="minorHAnsi" w:hAnsiTheme="minorHAnsi" w:cstheme="minorHAnsi"/>
          <w:sz w:val="22"/>
          <w:szCs w:val="22"/>
        </w:rPr>
        <w:t xml:space="preserve"> the development of an exceptions process</w:t>
      </w:r>
      <w:r w:rsidR="00422A37">
        <w:rPr>
          <w:rFonts w:asciiTheme="minorHAnsi" w:hAnsiTheme="minorHAnsi" w:cstheme="minorHAnsi"/>
          <w:sz w:val="22"/>
          <w:szCs w:val="22"/>
        </w:rPr>
        <w:t xml:space="preserve"> facilitated the process of developing and implementing the policy</w:t>
      </w:r>
      <w:r w:rsidR="00422A37" w:rsidRPr="00475D3F">
        <w:rPr>
          <w:rFonts w:asciiTheme="minorHAnsi" w:hAnsiTheme="minorHAnsi" w:cstheme="minorHAnsi"/>
          <w:sz w:val="22"/>
          <w:szCs w:val="22"/>
        </w:rPr>
        <w:t xml:space="preserve">. </w:t>
      </w:r>
      <w:r w:rsidR="00422A37">
        <w:rPr>
          <w:rFonts w:asciiTheme="minorHAnsi" w:hAnsiTheme="minorHAnsi" w:cstheme="minorHAnsi"/>
          <w:sz w:val="22"/>
          <w:szCs w:val="22"/>
        </w:rPr>
        <w:t xml:space="preserve">Implementers also </w:t>
      </w:r>
      <w:r w:rsidR="005C6B1A">
        <w:rPr>
          <w:rFonts w:asciiTheme="minorHAnsi" w:hAnsiTheme="minorHAnsi" w:cstheme="minorHAnsi"/>
          <w:sz w:val="22"/>
          <w:szCs w:val="22"/>
          <w:lang w:val="en-GB" w:eastAsia="en-US"/>
        </w:rPr>
        <w:t>faced</w:t>
      </w:r>
      <w:r w:rsidR="005C6B1A" w:rsidRPr="00F65C98">
        <w:rPr>
          <w:rFonts w:asciiTheme="minorHAnsi" w:hAnsiTheme="minorHAnsi" w:cstheme="minorHAnsi"/>
          <w:sz w:val="22"/>
          <w:szCs w:val="22"/>
          <w:lang w:val="en-GB" w:eastAsia="en-US"/>
        </w:rPr>
        <w:t xml:space="preserve"> </w:t>
      </w:r>
      <w:r w:rsidR="005C6B1A">
        <w:rPr>
          <w:rFonts w:asciiTheme="minorHAnsi" w:hAnsiTheme="minorHAnsi" w:cstheme="minorHAnsi"/>
          <w:sz w:val="22"/>
          <w:szCs w:val="22"/>
          <w:lang w:val="en-GB" w:eastAsia="en-US"/>
        </w:rPr>
        <w:t xml:space="preserve">challenges stemming from </w:t>
      </w:r>
      <w:r w:rsidR="00692949" w:rsidRPr="00F65C98">
        <w:rPr>
          <w:rFonts w:asciiTheme="minorHAnsi" w:hAnsiTheme="minorHAnsi" w:cstheme="minorHAnsi"/>
          <w:sz w:val="22"/>
          <w:szCs w:val="22"/>
          <w:lang w:val="en-GB" w:eastAsia="en-US"/>
        </w:rPr>
        <w:t>practical and political</w:t>
      </w:r>
      <w:r w:rsidR="005C6B1A">
        <w:rPr>
          <w:rFonts w:asciiTheme="minorHAnsi" w:hAnsiTheme="minorHAnsi" w:cstheme="minorHAnsi"/>
          <w:sz w:val="22"/>
          <w:szCs w:val="22"/>
          <w:lang w:val="en-GB" w:eastAsia="en-US"/>
        </w:rPr>
        <w:t xml:space="preserve"> </w:t>
      </w:r>
      <w:r w:rsidR="00E32134" w:rsidRPr="00F65C98">
        <w:rPr>
          <w:rFonts w:asciiTheme="minorHAnsi" w:hAnsiTheme="minorHAnsi" w:cstheme="minorHAnsi"/>
          <w:sz w:val="22"/>
          <w:szCs w:val="22"/>
          <w:lang w:val="en-GB" w:eastAsia="en-US"/>
        </w:rPr>
        <w:t>issues</w:t>
      </w:r>
      <w:r w:rsidR="00692949" w:rsidRPr="00F65C98">
        <w:rPr>
          <w:rFonts w:asciiTheme="minorHAnsi" w:hAnsiTheme="minorHAnsi" w:cstheme="minorHAnsi"/>
          <w:sz w:val="22"/>
          <w:szCs w:val="22"/>
          <w:lang w:val="en-GB" w:eastAsia="en-US"/>
        </w:rPr>
        <w:t xml:space="preserve">. In practical terms, </w:t>
      </w:r>
      <w:r w:rsidR="00E32134" w:rsidRPr="00F65C98">
        <w:rPr>
          <w:rFonts w:asciiTheme="minorHAnsi" w:hAnsiTheme="minorHAnsi" w:cstheme="minorHAnsi"/>
          <w:sz w:val="22"/>
          <w:szCs w:val="22"/>
          <w:lang w:val="en-GB" w:eastAsia="en-US"/>
        </w:rPr>
        <w:t xml:space="preserve">using the NPM to </w:t>
      </w:r>
      <w:r w:rsidR="00624D3B">
        <w:rPr>
          <w:rFonts w:asciiTheme="minorHAnsi" w:hAnsiTheme="minorHAnsi" w:cstheme="minorHAnsi"/>
          <w:sz w:val="22"/>
          <w:szCs w:val="22"/>
          <w:lang w:val="en-GB" w:eastAsia="en-US"/>
        </w:rPr>
        <w:t xml:space="preserve">classify </w:t>
      </w:r>
      <w:r w:rsidR="00E32134" w:rsidRPr="00F65C98">
        <w:rPr>
          <w:rFonts w:asciiTheme="minorHAnsi" w:hAnsiTheme="minorHAnsi" w:cstheme="minorHAnsi"/>
          <w:sz w:val="22"/>
          <w:szCs w:val="22"/>
          <w:lang w:val="en-GB" w:eastAsia="en-US"/>
        </w:rPr>
        <w:t xml:space="preserve">‘junk food’ </w:t>
      </w:r>
      <w:r w:rsidR="00624D3B">
        <w:rPr>
          <w:rFonts w:asciiTheme="minorHAnsi" w:hAnsiTheme="minorHAnsi" w:cstheme="minorHAnsi"/>
          <w:sz w:val="22"/>
          <w:szCs w:val="22"/>
          <w:lang w:val="en-GB" w:eastAsia="en-US"/>
        </w:rPr>
        <w:t xml:space="preserve">was seen as beneficial as it </w:t>
      </w:r>
      <w:r w:rsidR="00422A37">
        <w:rPr>
          <w:rFonts w:asciiTheme="minorHAnsi" w:hAnsiTheme="minorHAnsi" w:cstheme="minorHAnsi"/>
          <w:sz w:val="22"/>
          <w:szCs w:val="22"/>
          <w:lang w:val="en-GB" w:eastAsia="en-US"/>
        </w:rPr>
        <w:t>dr</w:t>
      </w:r>
      <w:r w:rsidR="00624D3B">
        <w:rPr>
          <w:rFonts w:asciiTheme="minorHAnsi" w:hAnsiTheme="minorHAnsi" w:cstheme="minorHAnsi"/>
          <w:sz w:val="22"/>
          <w:szCs w:val="22"/>
          <w:lang w:val="en-GB" w:eastAsia="en-US"/>
        </w:rPr>
        <w:t xml:space="preserve">ew </w:t>
      </w:r>
      <w:r w:rsidR="00422A37">
        <w:rPr>
          <w:rFonts w:asciiTheme="minorHAnsi" w:hAnsiTheme="minorHAnsi" w:cstheme="minorHAnsi"/>
          <w:sz w:val="22"/>
          <w:szCs w:val="22"/>
          <w:lang w:val="en-GB" w:eastAsia="en-US"/>
        </w:rPr>
        <w:t>on an existing, credible tool</w:t>
      </w:r>
      <w:r w:rsidR="00624D3B">
        <w:rPr>
          <w:rFonts w:asciiTheme="minorHAnsi" w:hAnsiTheme="minorHAnsi" w:cstheme="minorHAnsi"/>
          <w:sz w:val="22"/>
          <w:szCs w:val="22"/>
          <w:lang w:val="en-GB" w:eastAsia="en-US"/>
        </w:rPr>
        <w:t>.</w:t>
      </w:r>
      <w:r w:rsidR="00422A37">
        <w:rPr>
          <w:rFonts w:asciiTheme="minorHAnsi" w:hAnsiTheme="minorHAnsi" w:cstheme="minorHAnsi"/>
          <w:sz w:val="22"/>
          <w:szCs w:val="22"/>
          <w:lang w:val="en-GB" w:eastAsia="en-US"/>
        </w:rPr>
        <w:t xml:space="preserve"> </w:t>
      </w:r>
      <w:r w:rsidR="00D140AC">
        <w:rPr>
          <w:rFonts w:asciiTheme="minorHAnsi" w:hAnsiTheme="minorHAnsi" w:cstheme="minorHAnsi"/>
          <w:sz w:val="22"/>
          <w:szCs w:val="22"/>
          <w:lang w:val="en-GB" w:eastAsia="en-US"/>
        </w:rPr>
        <w:t xml:space="preserve">However, the tools available for determining what is an HFSS product can produce policy anomalies. </w:t>
      </w:r>
      <w:r w:rsidR="00E32134" w:rsidRPr="00F65C98">
        <w:rPr>
          <w:rFonts w:asciiTheme="minorHAnsi" w:hAnsiTheme="minorHAnsi" w:cstheme="minorHAnsi"/>
          <w:sz w:val="22"/>
          <w:szCs w:val="22"/>
          <w:lang w:val="en-GB" w:eastAsia="en-US"/>
        </w:rPr>
        <w:t xml:space="preserve">The NPM </w:t>
      </w:r>
      <w:r w:rsidR="00D840E9">
        <w:rPr>
          <w:rFonts w:asciiTheme="minorHAnsi" w:hAnsiTheme="minorHAnsi" w:cstheme="minorHAnsi"/>
          <w:sz w:val="22"/>
          <w:szCs w:val="22"/>
          <w:lang w:val="en-GB" w:eastAsia="en-US"/>
        </w:rPr>
        <w:t xml:space="preserve">was </w:t>
      </w:r>
      <w:r w:rsidR="004A1FC5">
        <w:rPr>
          <w:rFonts w:asciiTheme="minorHAnsi" w:hAnsiTheme="minorHAnsi" w:cstheme="minorHAnsi"/>
          <w:sz w:val="22"/>
          <w:szCs w:val="22"/>
          <w:lang w:val="en-GB" w:eastAsia="en-US"/>
        </w:rPr>
        <w:t xml:space="preserve">developed </w:t>
      </w:r>
      <w:r w:rsidR="00D840E9">
        <w:rPr>
          <w:rFonts w:asciiTheme="minorHAnsi" w:hAnsiTheme="minorHAnsi" w:cstheme="minorHAnsi"/>
          <w:sz w:val="22"/>
          <w:szCs w:val="22"/>
          <w:lang w:val="en-GB" w:eastAsia="en-US"/>
        </w:rPr>
        <w:t>and tailored to</w:t>
      </w:r>
      <w:r w:rsidR="004A1FC5">
        <w:rPr>
          <w:rFonts w:asciiTheme="minorHAnsi" w:hAnsiTheme="minorHAnsi" w:cstheme="minorHAnsi"/>
          <w:sz w:val="22"/>
          <w:szCs w:val="22"/>
          <w:lang w:val="en-GB" w:eastAsia="en-US"/>
        </w:rPr>
        <w:t xml:space="preserve"> assess</w:t>
      </w:r>
      <w:r w:rsidR="00D840E9">
        <w:rPr>
          <w:rFonts w:asciiTheme="minorHAnsi" w:hAnsiTheme="minorHAnsi" w:cstheme="minorHAnsi"/>
          <w:sz w:val="22"/>
          <w:szCs w:val="22"/>
          <w:lang w:val="en-GB" w:eastAsia="en-US"/>
        </w:rPr>
        <w:t xml:space="preserve"> foods in</w:t>
      </w:r>
      <w:r w:rsidR="004A1FC5">
        <w:rPr>
          <w:rFonts w:asciiTheme="minorHAnsi" w:hAnsiTheme="minorHAnsi" w:cstheme="minorHAnsi"/>
          <w:sz w:val="22"/>
          <w:szCs w:val="22"/>
          <w:lang w:val="en-GB" w:eastAsia="en-US"/>
        </w:rPr>
        <w:t xml:space="preserve"> television advertising</w:t>
      </w:r>
      <w:r w:rsidR="00F80468">
        <w:rPr>
          <w:rFonts w:asciiTheme="minorHAnsi" w:hAnsiTheme="minorHAnsi" w:cstheme="minorHAnsi"/>
          <w:sz w:val="22"/>
          <w:szCs w:val="22"/>
          <w:lang w:val="en-GB" w:eastAsia="en-US"/>
        </w:rPr>
        <w:t xml:space="preserve"> </w:t>
      </w:r>
      <w:r w:rsidR="00F80468">
        <w:rPr>
          <w:rFonts w:asciiTheme="minorHAnsi" w:hAnsiTheme="minorHAnsi" w:cstheme="minorHAnsi"/>
          <w:sz w:val="22"/>
          <w:szCs w:val="22"/>
          <w:lang w:val="en-GB" w:eastAsia="en-US"/>
        </w:rPr>
        <w:fldChar w:fldCharType="begin"/>
      </w:r>
      <w:r w:rsidR="000F2510">
        <w:rPr>
          <w:rFonts w:asciiTheme="minorHAnsi" w:hAnsiTheme="minorHAnsi" w:cstheme="minorHAnsi"/>
          <w:sz w:val="22"/>
          <w:szCs w:val="22"/>
          <w:lang w:val="en-GB" w:eastAsia="en-US"/>
        </w:rPr>
        <w:instrText xml:space="preserve"> ADDIN EN.CITE &lt;EndNote&gt;&lt;Cite&gt;&lt;Author&gt;Department of Health&lt;/Author&gt;&lt;Year&gt;2011&lt;/Year&gt;&lt;RecNum&gt;14&lt;/RecNum&gt;&lt;DisplayText&gt;(Department of Health, 2011)&lt;/DisplayText&gt;&lt;record&gt;&lt;rec-number&gt;14&lt;/rec-number&gt;&lt;foreign-keys&gt;&lt;key app="EN" db-id="s9vsxe023afd99ezx5qpv5vrrspsex2xrs00" timestamp="1613646968"&gt;14&lt;/key&gt;&lt;/foreign-keys&gt;&lt;ref-type name="Report"&gt;27&lt;/ref-type&gt;&lt;contributors&gt;&lt;authors&gt;&lt;author&gt;Department of Health,&lt;/author&gt;&lt;/authors&gt;&lt;tertiary-authors&gt;&lt;author&gt;Department of Health&lt;/author&gt;&lt;/tertiary-authors&gt;&lt;/contributors&gt;&lt;titles&gt;&lt;title&gt;Nutrient Profiling Technical Guidance&lt;/title&gt;&lt;/titles&gt;&lt;dates&gt;&lt;year&gt;2011&lt;/year&gt;&lt;/dates&gt;&lt;pub-location&gt;UK&lt;/pub-location&gt;&lt;publisher&gt;Department of Health&lt;/publisher&gt;&lt;urls&gt;&lt;related-urls&gt;&lt;url&gt;https://assets.publishing.service.gov.uk/government/uploads/system/uploads/attachment_data/file/216094/dh_123492.pdf&lt;/url&gt;&lt;/related-urls&gt;&lt;/urls&gt;&lt;access-date&gt;18 February 2021&lt;/access-date&gt;&lt;/record&gt;&lt;/Cite&gt;&lt;/EndNote&gt;</w:instrText>
      </w:r>
      <w:r w:rsidR="00F80468">
        <w:rPr>
          <w:rFonts w:asciiTheme="minorHAnsi" w:hAnsiTheme="minorHAnsi" w:cstheme="minorHAnsi"/>
          <w:sz w:val="22"/>
          <w:szCs w:val="22"/>
          <w:lang w:val="en-GB" w:eastAsia="en-US"/>
        </w:rPr>
        <w:fldChar w:fldCharType="separate"/>
      </w:r>
      <w:r w:rsidR="000F2510">
        <w:rPr>
          <w:rFonts w:asciiTheme="minorHAnsi" w:hAnsiTheme="minorHAnsi" w:cstheme="minorHAnsi"/>
          <w:noProof/>
          <w:sz w:val="22"/>
          <w:szCs w:val="22"/>
          <w:lang w:val="en-GB" w:eastAsia="en-US"/>
        </w:rPr>
        <w:t>(Department of Health, 2011)</w:t>
      </w:r>
      <w:r w:rsidR="00F80468">
        <w:rPr>
          <w:rFonts w:asciiTheme="minorHAnsi" w:hAnsiTheme="minorHAnsi" w:cstheme="minorHAnsi"/>
          <w:sz w:val="22"/>
          <w:szCs w:val="22"/>
          <w:lang w:val="en-GB" w:eastAsia="en-US"/>
        </w:rPr>
        <w:fldChar w:fldCharType="end"/>
      </w:r>
      <w:r w:rsidR="00F80468">
        <w:rPr>
          <w:rFonts w:asciiTheme="minorHAnsi" w:hAnsiTheme="minorHAnsi" w:cstheme="minorHAnsi"/>
          <w:sz w:val="22"/>
          <w:szCs w:val="22"/>
          <w:lang w:val="en-GB" w:eastAsia="en-US"/>
        </w:rPr>
        <w:t>.</w:t>
      </w:r>
      <w:r w:rsidR="004A1FC5">
        <w:rPr>
          <w:rFonts w:asciiTheme="minorHAnsi" w:hAnsiTheme="minorHAnsi" w:cstheme="minorHAnsi"/>
          <w:sz w:val="22"/>
          <w:szCs w:val="22"/>
          <w:lang w:val="en-GB" w:eastAsia="en-US"/>
        </w:rPr>
        <w:t xml:space="preserve"> </w:t>
      </w:r>
      <w:r w:rsidR="00D840E9">
        <w:rPr>
          <w:rFonts w:asciiTheme="minorHAnsi" w:hAnsiTheme="minorHAnsi" w:cstheme="minorHAnsi"/>
          <w:sz w:val="22"/>
          <w:szCs w:val="22"/>
          <w:lang w:val="en-GB" w:eastAsia="en-US"/>
        </w:rPr>
        <w:t>W</w:t>
      </w:r>
      <w:r w:rsidR="004A1FC5">
        <w:rPr>
          <w:rFonts w:asciiTheme="minorHAnsi" w:hAnsiTheme="minorHAnsi" w:cstheme="minorHAnsi"/>
          <w:sz w:val="22"/>
          <w:szCs w:val="22"/>
          <w:lang w:val="en-GB" w:eastAsia="en-US"/>
        </w:rPr>
        <w:t xml:space="preserve">hen utilised to </w:t>
      </w:r>
      <w:r w:rsidR="00D840E9">
        <w:rPr>
          <w:rFonts w:asciiTheme="minorHAnsi" w:hAnsiTheme="minorHAnsi" w:cstheme="minorHAnsi"/>
          <w:sz w:val="22"/>
          <w:szCs w:val="22"/>
          <w:lang w:val="en-GB" w:eastAsia="en-US"/>
        </w:rPr>
        <w:t xml:space="preserve">support </w:t>
      </w:r>
      <w:r w:rsidR="004A1FC5">
        <w:rPr>
          <w:rFonts w:asciiTheme="minorHAnsi" w:hAnsiTheme="minorHAnsi" w:cstheme="minorHAnsi"/>
          <w:sz w:val="22"/>
          <w:szCs w:val="22"/>
          <w:lang w:val="en-GB" w:eastAsia="en-US"/>
        </w:rPr>
        <w:t>TfL’s policy,</w:t>
      </w:r>
      <w:r w:rsidR="007958E4" w:rsidRPr="00F65C98">
        <w:rPr>
          <w:rFonts w:asciiTheme="minorHAnsi" w:hAnsiTheme="minorHAnsi" w:cstheme="minorHAnsi"/>
          <w:sz w:val="22"/>
          <w:szCs w:val="22"/>
          <w:lang w:val="en-GB" w:eastAsia="en-US"/>
        </w:rPr>
        <w:t xml:space="preserve"> considerations around portion size</w:t>
      </w:r>
      <w:r w:rsidR="00FF1F24">
        <w:rPr>
          <w:rFonts w:asciiTheme="minorHAnsi" w:hAnsiTheme="minorHAnsi" w:cstheme="minorHAnsi"/>
          <w:sz w:val="22"/>
          <w:szCs w:val="22"/>
          <w:lang w:val="en-GB" w:eastAsia="en-US"/>
        </w:rPr>
        <w:t>,</w:t>
      </w:r>
      <w:r w:rsidR="007958E4" w:rsidRPr="00F65C98">
        <w:rPr>
          <w:rFonts w:asciiTheme="minorHAnsi" w:hAnsiTheme="minorHAnsi" w:cstheme="minorHAnsi"/>
          <w:sz w:val="22"/>
          <w:szCs w:val="22"/>
          <w:lang w:val="en-GB" w:eastAsia="en-US"/>
        </w:rPr>
        <w:t xml:space="preserve"> identifying what products might be aimed at children</w:t>
      </w:r>
      <w:r w:rsidR="00FF1F24">
        <w:rPr>
          <w:rFonts w:asciiTheme="minorHAnsi" w:hAnsiTheme="minorHAnsi" w:cstheme="minorHAnsi"/>
          <w:sz w:val="22"/>
          <w:szCs w:val="22"/>
          <w:lang w:val="en-GB" w:eastAsia="en-US"/>
        </w:rPr>
        <w:t>,</w:t>
      </w:r>
      <w:r w:rsidR="00FF1F24" w:rsidRPr="00F65C98">
        <w:rPr>
          <w:rFonts w:asciiTheme="minorHAnsi" w:hAnsiTheme="minorHAnsi" w:cstheme="minorHAnsi"/>
          <w:sz w:val="22"/>
          <w:szCs w:val="22"/>
          <w:lang w:val="en-GB" w:eastAsia="en-US"/>
        </w:rPr>
        <w:t xml:space="preserve"> </w:t>
      </w:r>
      <w:r w:rsidR="007958E4" w:rsidRPr="00F65C98">
        <w:rPr>
          <w:rFonts w:asciiTheme="minorHAnsi" w:hAnsiTheme="minorHAnsi" w:cstheme="minorHAnsi"/>
          <w:sz w:val="22"/>
          <w:szCs w:val="22"/>
          <w:lang w:val="en-GB" w:eastAsia="en-US"/>
        </w:rPr>
        <w:t xml:space="preserve">how to treat food products that appear </w:t>
      </w:r>
      <w:r w:rsidR="00F65C98" w:rsidRPr="00F65C98">
        <w:rPr>
          <w:rFonts w:asciiTheme="minorHAnsi" w:hAnsiTheme="minorHAnsi" w:cstheme="minorHAnsi"/>
          <w:sz w:val="22"/>
          <w:szCs w:val="22"/>
          <w:lang w:val="en-GB" w:eastAsia="en-US"/>
        </w:rPr>
        <w:t>incidentally</w:t>
      </w:r>
      <w:r w:rsidR="007958E4" w:rsidRPr="00F65C98">
        <w:rPr>
          <w:rFonts w:asciiTheme="minorHAnsi" w:hAnsiTheme="minorHAnsi" w:cstheme="minorHAnsi"/>
          <w:sz w:val="22"/>
          <w:szCs w:val="22"/>
          <w:lang w:val="en-GB" w:eastAsia="en-US"/>
        </w:rPr>
        <w:t xml:space="preserve"> in </w:t>
      </w:r>
      <w:r w:rsidR="00F65C98" w:rsidRPr="00F65C98">
        <w:rPr>
          <w:rFonts w:asciiTheme="minorHAnsi" w:hAnsiTheme="minorHAnsi" w:cstheme="minorHAnsi"/>
          <w:sz w:val="22"/>
          <w:szCs w:val="22"/>
          <w:lang w:val="en-GB" w:eastAsia="en-US"/>
        </w:rPr>
        <w:t>advertisements</w:t>
      </w:r>
      <w:r w:rsidR="007958E4" w:rsidRPr="00F65C98">
        <w:rPr>
          <w:rFonts w:asciiTheme="minorHAnsi" w:hAnsiTheme="minorHAnsi" w:cstheme="minorHAnsi"/>
          <w:sz w:val="22"/>
          <w:szCs w:val="22"/>
          <w:lang w:val="en-GB" w:eastAsia="en-US"/>
        </w:rPr>
        <w:t xml:space="preserve"> for non-food products</w:t>
      </w:r>
      <w:r w:rsidR="00FF1F24">
        <w:rPr>
          <w:rFonts w:asciiTheme="minorHAnsi" w:hAnsiTheme="minorHAnsi" w:cstheme="minorHAnsi"/>
          <w:sz w:val="22"/>
          <w:szCs w:val="22"/>
          <w:lang w:val="en-GB" w:eastAsia="en-US"/>
        </w:rPr>
        <w:t xml:space="preserve">, </w:t>
      </w:r>
      <w:r w:rsidR="007958E4" w:rsidRPr="00F65C98">
        <w:rPr>
          <w:rFonts w:asciiTheme="minorHAnsi" w:hAnsiTheme="minorHAnsi" w:cstheme="minorHAnsi"/>
          <w:sz w:val="22"/>
          <w:szCs w:val="22"/>
          <w:lang w:val="en-GB" w:eastAsia="en-US"/>
        </w:rPr>
        <w:t>and how to deal with advertisements for delivery platforms</w:t>
      </w:r>
      <w:r w:rsidR="00D840E9">
        <w:rPr>
          <w:rFonts w:asciiTheme="minorHAnsi" w:hAnsiTheme="minorHAnsi" w:cstheme="minorHAnsi"/>
          <w:sz w:val="22"/>
          <w:szCs w:val="22"/>
          <w:lang w:val="en-GB" w:eastAsia="en-US"/>
        </w:rPr>
        <w:t>,</w:t>
      </w:r>
      <w:r w:rsidR="007958E4" w:rsidRPr="00F65C98">
        <w:rPr>
          <w:rFonts w:asciiTheme="minorHAnsi" w:hAnsiTheme="minorHAnsi" w:cstheme="minorHAnsi"/>
          <w:sz w:val="22"/>
          <w:szCs w:val="22"/>
          <w:lang w:val="en-GB" w:eastAsia="en-US"/>
        </w:rPr>
        <w:t xml:space="preserve"> all needed to be </w:t>
      </w:r>
      <w:r w:rsidR="00D840E9">
        <w:rPr>
          <w:rFonts w:asciiTheme="minorHAnsi" w:hAnsiTheme="minorHAnsi" w:cstheme="minorHAnsi"/>
          <w:sz w:val="22"/>
          <w:szCs w:val="22"/>
          <w:lang w:val="en-GB" w:eastAsia="en-US"/>
        </w:rPr>
        <w:t>addressed</w:t>
      </w:r>
      <w:r w:rsidR="007958E4" w:rsidRPr="00F65C98">
        <w:rPr>
          <w:rFonts w:asciiTheme="minorHAnsi" w:hAnsiTheme="minorHAnsi" w:cstheme="minorHAnsi"/>
          <w:sz w:val="22"/>
          <w:szCs w:val="22"/>
          <w:lang w:val="en-GB" w:eastAsia="en-US"/>
        </w:rPr>
        <w:t xml:space="preserve">. </w:t>
      </w:r>
    </w:p>
    <w:p w14:paraId="29B59F1E" w14:textId="77777777" w:rsidR="00422A37" w:rsidRDefault="00422A37" w:rsidP="00475D3F">
      <w:pPr>
        <w:spacing w:line="360" w:lineRule="auto"/>
        <w:rPr>
          <w:rFonts w:asciiTheme="minorHAnsi" w:hAnsiTheme="minorHAnsi" w:cstheme="minorHAnsi"/>
          <w:sz w:val="22"/>
          <w:szCs w:val="22"/>
          <w:lang w:val="en-GB" w:eastAsia="en-US"/>
        </w:rPr>
      </w:pPr>
    </w:p>
    <w:p w14:paraId="4BAFA5D2" w14:textId="23DCAD44" w:rsidR="00871FA1" w:rsidRDefault="007958E4" w:rsidP="00475D3F">
      <w:pPr>
        <w:spacing w:line="360" w:lineRule="auto"/>
        <w:rPr>
          <w:rFonts w:asciiTheme="minorHAnsi" w:hAnsiTheme="minorHAnsi" w:cstheme="minorHAnsi"/>
          <w:sz w:val="22"/>
          <w:szCs w:val="22"/>
        </w:rPr>
      </w:pPr>
      <w:r w:rsidRPr="00F65C98">
        <w:rPr>
          <w:rFonts w:asciiTheme="minorHAnsi" w:hAnsiTheme="minorHAnsi" w:cstheme="minorHAnsi"/>
          <w:sz w:val="22"/>
          <w:szCs w:val="22"/>
          <w:lang w:val="en-GB" w:eastAsia="en-US"/>
        </w:rPr>
        <w:t xml:space="preserve">The exceptions process was </w:t>
      </w:r>
      <w:r w:rsidR="00B6576C">
        <w:rPr>
          <w:rFonts w:asciiTheme="minorHAnsi" w:hAnsiTheme="minorHAnsi" w:cstheme="minorHAnsi"/>
          <w:sz w:val="22"/>
          <w:szCs w:val="22"/>
          <w:lang w:val="en-GB" w:eastAsia="en-US"/>
        </w:rPr>
        <w:t>a key</w:t>
      </w:r>
      <w:r w:rsidRPr="00F65C98">
        <w:rPr>
          <w:rFonts w:asciiTheme="minorHAnsi" w:hAnsiTheme="minorHAnsi" w:cstheme="minorHAnsi"/>
          <w:sz w:val="22"/>
          <w:szCs w:val="22"/>
          <w:lang w:val="en-GB" w:eastAsia="en-US"/>
        </w:rPr>
        <w:t xml:space="preserve"> mechanism through which </w:t>
      </w:r>
      <w:r w:rsidR="00B6576C">
        <w:rPr>
          <w:rFonts w:asciiTheme="minorHAnsi" w:hAnsiTheme="minorHAnsi" w:cstheme="minorHAnsi"/>
          <w:sz w:val="22"/>
          <w:szCs w:val="22"/>
          <w:lang w:val="en-GB" w:eastAsia="en-US"/>
        </w:rPr>
        <w:t xml:space="preserve">several of </w:t>
      </w:r>
      <w:r w:rsidRPr="00F65C98">
        <w:rPr>
          <w:rFonts w:asciiTheme="minorHAnsi" w:hAnsiTheme="minorHAnsi" w:cstheme="minorHAnsi"/>
          <w:sz w:val="22"/>
          <w:szCs w:val="22"/>
          <w:lang w:val="en-GB" w:eastAsia="en-US"/>
        </w:rPr>
        <w:t xml:space="preserve">these </w:t>
      </w:r>
      <w:r w:rsidR="002F658A">
        <w:rPr>
          <w:rFonts w:asciiTheme="minorHAnsi" w:hAnsiTheme="minorHAnsi" w:cstheme="minorHAnsi"/>
          <w:sz w:val="22"/>
          <w:szCs w:val="22"/>
          <w:lang w:val="en-GB" w:eastAsia="en-US"/>
        </w:rPr>
        <w:t xml:space="preserve">challenges </w:t>
      </w:r>
      <w:r w:rsidRPr="00F65C98">
        <w:rPr>
          <w:rFonts w:asciiTheme="minorHAnsi" w:hAnsiTheme="minorHAnsi" w:cstheme="minorHAnsi"/>
          <w:sz w:val="22"/>
          <w:szCs w:val="22"/>
          <w:lang w:val="en-GB" w:eastAsia="en-US"/>
        </w:rPr>
        <w:t>were addressed</w:t>
      </w:r>
      <w:r w:rsidR="00994AAA" w:rsidRPr="00F65C98">
        <w:rPr>
          <w:rFonts w:asciiTheme="minorHAnsi" w:hAnsiTheme="minorHAnsi" w:cstheme="minorHAnsi"/>
          <w:sz w:val="22"/>
          <w:szCs w:val="22"/>
          <w:lang w:val="en-GB" w:eastAsia="en-US"/>
        </w:rPr>
        <w:t xml:space="preserve"> and was </w:t>
      </w:r>
      <w:r w:rsidR="00B6576C">
        <w:rPr>
          <w:rFonts w:asciiTheme="minorHAnsi" w:hAnsiTheme="minorHAnsi" w:cstheme="minorHAnsi"/>
          <w:sz w:val="22"/>
          <w:szCs w:val="22"/>
          <w:lang w:val="en-GB" w:eastAsia="en-US"/>
        </w:rPr>
        <w:t>perceived</w:t>
      </w:r>
      <w:r w:rsidR="00B6576C" w:rsidRPr="00F65C98">
        <w:rPr>
          <w:rFonts w:asciiTheme="minorHAnsi" w:hAnsiTheme="minorHAnsi" w:cstheme="minorHAnsi"/>
          <w:sz w:val="22"/>
          <w:szCs w:val="22"/>
          <w:lang w:val="en-GB" w:eastAsia="en-US"/>
        </w:rPr>
        <w:t xml:space="preserve"> </w:t>
      </w:r>
      <w:r w:rsidR="002F658A">
        <w:rPr>
          <w:rFonts w:asciiTheme="minorHAnsi" w:hAnsiTheme="minorHAnsi" w:cstheme="minorHAnsi"/>
          <w:sz w:val="22"/>
          <w:szCs w:val="22"/>
          <w:lang w:val="en-GB" w:eastAsia="en-US"/>
        </w:rPr>
        <w:t>as</w:t>
      </w:r>
      <w:r w:rsidR="002F658A" w:rsidRPr="00F65C98">
        <w:rPr>
          <w:rFonts w:asciiTheme="minorHAnsi" w:hAnsiTheme="minorHAnsi" w:cstheme="minorHAnsi"/>
          <w:sz w:val="22"/>
          <w:szCs w:val="22"/>
          <w:lang w:val="en-GB" w:eastAsia="en-US"/>
        </w:rPr>
        <w:t xml:space="preserve"> </w:t>
      </w:r>
      <w:r w:rsidR="00994AAA" w:rsidRPr="00F65C98">
        <w:rPr>
          <w:rFonts w:asciiTheme="minorHAnsi" w:hAnsiTheme="minorHAnsi" w:cstheme="minorHAnsi"/>
          <w:sz w:val="22"/>
          <w:szCs w:val="22"/>
        </w:rPr>
        <w:t>help</w:t>
      </w:r>
      <w:r w:rsidR="002F658A">
        <w:rPr>
          <w:rFonts w:asciiTheme="minorHAnsi" w:hAnsiTheme="minorHAnsi" w:cstheme="minorHAnsi"/>
          <w:sz w:val="22"/>
          <w:szCs w:val="22"/>
        </w:rPr>
        <w:t>ing</w:t>
      </w:r>
      <w:r w:rsidR="00994AAA" w:rsidRPr="00F65C98">
        <w:rPr>
          <w:rFonts w:asciiTheme="minorHAnsi" w:hAnsiTheme="minorHAnsi" w:cstheme="minorHAnsi"/>
          <w:sz w:val="22"/>
          <w:szCs w:val="22"/>
        </w:rPr>
        <w:t xml:space="preserve"> industry navigate the policy </w:t>
      </w:r>
      <w:r w:rsidR="002F658A">
        <w:rPr>
          <w:rFonts w:asciiTheme="minorHAnsi" w:hAnsiTheme="minorHAnsi" w:cstheme="minorHAnsi"/>
          <w:sz w:val="22"/>
          <w:szCs w:val="22"/>
        </w:rPr>
        <w:t>as</w:t>
      </w:r>
      <w:r w:rsidR="00624D3B">
        <w:rPr>
          <w:rFonts w:asciiTheme="minorHAnsi" w:hAnsiTheme="minorHAnsi" w:cstheme="minorHAnsi"/>
          <w:sz w:val="22"/>
          <w:szCs w:val="22"/>
        </w:rPr>
        <w:t xml:space="preserve"> well as</w:t>
      </w:r>
      <w:r w:rsidR="002F658A" w:rsidRPr="00F65C98">
        <w:rPr>
          <w:rFonts w:asciiTheme="minorHAnsi" w:hAnsiTheme="minorHAnsi" w:cstheme="minorHAnsi"/>
          <w:sz w:val="22"/>
          <w:szCs w:val="22"/>
        </w:rPr>
        <w:t xml:space="preserve"> </w:t>
      </w:r>
      <w:r w:rsidR="00994AAA" w:rsidRPr="00F65C98">
        <w:rPr>
          <w:rFonts w:asciiTheme="minorHAnsi" w:hAnsiTheme="minorHAnsi" w:cstheme="minorHAnsi"/>
          <w:sz w:val="22"/>
          <w:szCs w:val="22"/>
        </w:rPr>
        <w:t>decreas</w:t>
      </w:r>
      <w:r w:rsidR="002F658A">
        <w:rPr>
          <w:rFonts w:asciiTheme="minorHAnsi" w:hAnsiTheme="minorHAnsi" w:cstheme="minorHAnsi"/>
          <w:sz w:val="22"/>
          <w:szCs w:val="22"/>
        </w:rPr>
        <w:t>ing</w:t>
      </w:r>
      <w:r w:rsidR="00994AAA" w:rsidRPr="00F65C98">
        <w:rPr>
          <w:rFonts w:asciiTheme="minorHAnsi" w:hAnsiTheme="minorHAnsi" w:cstheme="minorHAnsi"/>
          <w:sz w:val="22"/>
          <w:szCs w:val="22"/>
        </w:rPr>
        <w:t xml:space="preserve"> resistance </w:t>
      </w:r>
      <w:r w:rsidR="002F658A">
        <w:rPr>
          <w:rFonts w:asciiTheme="minorHAnsi" w:hAnsiTheme="minorHAnsi" w:cstheme="minorHAnsi"/>
          <w:sz w:val="22"/>
          <w:szCs w:val="22"/>
        </w:rPr>
        <w:t>towards it</w:t>
      </w:r>
      <w:r w:rsidR="00373221">
        <w:rPr>
          <w:rFonts w:asciiTheme="minorHAnsi" w:hAnsiTheme="minorHAnsi" w:cstheme="minorHAnsi"/>
          <w:sz w:val="22"/>
          <w:szCs w:val="22"/>
        </w:rPr>
        <w:t>.</w:t>
      </w:r>
      <w:r w:rsidR="000F644D">
        <w:rPr>
          <w:rFonts w:asciiTheme="minorHAnsi" w:hAnsiTheme="minorHAnsi" w:cstheme="minorHAnsi"/>
          <w:sz w:val="22"/>
          <w:szCs w:val="22"/>
        </w:rPr>
        <w:t xml:space="preserve"> </w:t>
      </w:r>
      <w:r w:rsidR="00FB5BA9">
        <w:rPr>
          <w:rFonts w:asciiTheme="minorHAnsi" w:hAnsiTheme="minorHAnsi" w:cstheme="minorHAnsi"/>
          <w:sz w:val="22"/>
          <w:szCs w:val="22"/>
        </w:rPr>
        <w:t xml:space="preserve">In terms of </w:t>
      </w:r>
      <w:r w:rsidR="00903690">
        <w:rPr>
          <w:rFonts w:asciiTheme="minorHAnsi" w:hAnsiTheme="minorHAnsi" w:cstheme="minorHAnsi"/>
          <w:sz w:val="22"/>
          <w:szCs w:val="22"/>
        </w:rPr>
        <w:t>its</w:t>
      </w:r>
      <w:r w:rsidR="00FB5BA9">
        <w:rPr>
          <w:rFonts w:asciiTheme="minorHAnsi" w:hAnsiTheme="minorHAnsi" w:cstheme="minorHAnsi"/>
          <w:sz w:val="22"/>
          <w:szCs w:val="22"/>
        </w:rPr>
        <w:t xml:space="preserve"> incorporation into TfL’s policy, o</w:t>
      </w:r>
      <w:r w:rsidR="00373221">
        <w:rPr>
          <w:rFonts w:asciiTheme="minorHAnsi" w:hAnsiTheme="minorHAnsi" w:cstheme="minorHAnsi"/>
          <w:sz w:val="22"/>
          <w:szCs w:val="22"/>
        </w:rPr>
        <w:t xml:space="preserve">ur findings suggest that the exceptions process was </w:t>
      </w:r>
      <w:r w:rsidR="000F2510">
        <w:rPr>
          <w:rFonts w:asciiTheme="minorHAnsi" w:hAnsiTheme="minorHAnsi" w:cstheme="minorHAnsi"/>
          <w:sz w:val="22"/>
          <w:szCs w:val="22"/>
        </w:rPr>
        <w:lastRenderedPageBreak/>
        <w:t>informed</w:t>
      </w:r>
      <w:r w:rsidR="00373221">
        <w:rPr>
          <w:rFonts w:asciiTheme="minorHAnsi" w:hAnsiTheme="minorHAnsi" w:cstheme="minorHAnsi"/>
          <w:sz w:val="22"/>
          <w:szCs w:val="22"/>
        </w:rPr>
        <w:t xml:space="preserve"> in part </w:t>
      </w:r>
      <w:r w:rsidR="000F2510">
        <w:rPr>
          <w:rFonts w:asciiTheme="minorHAnsi" w:hAnsiTheme="minorHAnsi" w:cstheme="minorHAnsi"/>
          <w:sz w:val="22"/>
          <w:szCs w:val="22"/>
        </w:rPr>
        <w:t xml:space="preserve">by </w:t>
      </w:r>
      <w:r w:rsidR="00373221">
        <w:rPr>
          <w:rFonts w:asciiTheme="minorHAnsi" w:hAnsiTheme="minorHAnsi" w:cstheme="minorHAnsi"/>
          <w:sz w:val="22"/>
          <w:szCs w:val="22"/>
        </w:rPr>
        <w:t xml:space="preserve">concerns raised by industry stakeholders, reflecting the results of a </w:t>
      </w:r>
      <w:r w:rsidR="002F658A">
        <w:rPr>
          <w:rFonts w:asciiTheme="minorHAnsi" w:hAnsiTheme="minorHAnsi" w:cstheme="minorHAnsi"/>
          <w:sz w:val="22"/>
          <w:szCs w:val="22"/>
        </w:rPr>
        <w:t xml:space="preserve">recent </w:t>
      </w:r>
      <w:r w:rsidR="00373221">
        <w:rPr>
          <w:rFonts w:asciiTheme="minorHAnsi" w:hAnsiTheme="minorHAnsi" w:cstheme="minorHAnsi"/>
          <w:sz w:val="22"/>
          <w:szCs w:val="22"/>
        </w:rPr>
        <w:t>systematic review which found that the adoption of obesity prevention policy is facilitated by political systems that provide opportunities for stakeholder input</w:t>
      </w:r>
      <w:r w:rsidR="00624D3B">
        <w:rPr>
          <w:rFonts w:asciiTheme="minorHAnsi" w:hAnsiTheme="minorHAnsi" w:cstheme="minorHAnsi"/>
          <w:sz w:val="22"/>
          <w:szCs w:val="22"/>
        </w:rPr>
        <w:t xml:space="preserve"> when making regulatory decisions</w:t>
      </w:r>
      <w:r w:rsidR="00E01F9A">
        <w:rPr>
          <w:rFonts w:asciiTheme="minorHAnsi" w:hAnsiTheme="minorHAnsi" w:cstheme="minorHAnsi"/>
          <w:sz w:val="22"/>
          <w:szCs w:val="22"/>
        </w:rPr>
        <w:t xml:space="preserve"> </w:t>
      </w:r>
      <w:r w:rsidR="00373221">
        <w:rPr>
          <w:rFonts w:asciiTheme="minorHAnsi" w:hAnsiTheme="minorHAnsi" w:cstheme="minorHAnsi"/>
          <w:sz w:val="22"/>
          <w:szCs w:val="22"/>
        </w:rPr>
        <w:fldChar w:fldCharType="begin"/>
      </w:r>
      <w:r w:rsidR="000F2510">
        <w:rPr>
          <w:rFonts w:asciiTheme="minorHAnsi" w:hAnsiTheme="minorHAnsi" w:cstheme="minorHAnsi"/>
          <w:sz w:val="22"/>
          <w:szCs w:val="22"/>
        </w:rPr>
        <w:instrText xml:space="preserve"> ADDIN EN.CITE &lt;EndNote&gt;&lt;Cite&gt;&lt;Author&gt;Clarke&lt;/Author&gt;&lt;Year&gt;2016&lt;/Year&gt;&lt;RecNum&gt;16&lt;/RecNum&gt;&lt;DisplayText&gt;(Clarke et al., 2016)&lt;/DisplayText&gt;&lt;record&gt;&lt;rec-number&gt;16&lt;/rec-number&gt;&lt;foreign-keys&gt;&lt;key app="EN" db-id="s9vsxe023afd99ezx5qpv5vrrspsex2xrs00" timestamp="1613754589"&gt;16&lt;/key&gt;&lt;/foreign-keys&gt;&lt;ref-type name="Journal Article"&gt;17&lt;/ref-type&gt;&lt;contributors&gt;&lt;authors&gt;&lt;author&gt;Clarke, B&lt;/author&gt;&lt;author&gt;Swinburn, B&lt;/author&gt;&lt;author&gt;Sacks, G&lt;/author&gt;&lt;/authors&gt;&lt;/contributors&gt;&lt;titles&gt;&lt;title&gt;The application of theories of the policy process to obesity prevention: a systematic review and meta-synthesis&lt;/title&gt;&lt;secondary-title&gt;BMC Public Health&lt;/secondary-title&gt;&lt;/titles&gt;&lt;periodical&gt;&lt;full-title&gt;BMC Public Health&lt;/full-title&gt;&lt;/periodical&gt;&lt;volume&gt;16&lt;/volume&gt;&lt;number&gt;1084&lt;/number&gt;&lt;dates&gt;&lt;year&gt;2016&lt;/year&gt;&lt;/dates&gt;&lt;urls&gt;&lt;/urls&gt;&lt;electronic-resource-num&gt;10.1186/s12889-016-3639-z&lt;/electronic-resource-num&gt;&lt;/record&gt;&lt;/Cite&gt;&lt;/EndNote&gt;</w:instrText>
      </w:r>
      <w:r w:rsidR="00373221">
        <w:rPr>
          <w:rFonts w:asciiTheme="minorHAnsi" w:hAnsiTheme="minorHAnsi" w:cstheme="minorHAnsi"/>
          <w:sz w:val="22"/>
          <w:szCs w:val="22"/>
        </w:rPr>
        <w:fldChar w:fldCharType="separate"/>
      </w:r>
      <w:r w:rsidR="000F2510">
        <w:rPr>
          <w:rFonts w:asciiTheme="minorHAnsi" w:hAnsiTheme="minorHAnsi" w:cstheme="minorHAnsi"/>
          <w:noProof/>
          <w:sz w:val="22"/>
          <w:szCs w:val="22"/>
        </w:rPr>
        <w:t>(Clarke et al., 2016)</w:t>
      </w:r>
      <w:r w:rsidR="00373221">
        <w:rPr>
          <w:rFonts w:asciiTheme="minorHAnsi" w:hAnsiTheme="minorHAnsi" w:cstheme="minorHAnsi"/>
          <w:sz w:val="22"/>
          <w:szCs w:val="22"/>
        </w:rPr>
        <w:fldChar w:fldCharType="end"/>
      </w:r>
      <w:r w:rsidR="00E01F9A">
        <w:rPr>
          <w:rFonts w:asciiTheme="minorHAnsi" w:hAnsiTheme="minorHAnsi" w:cstheme="minorHAnsi"/>
          <w:sz w:val="22"/>
          <w:szCs w:val="22"/>
        </w:rPr>
        <w:t>.</w:t>
      </w:r>
      <w:r w:rsidR="00994AAA" w:rsidRPr="00F65C98">
        <w:rPr>
          <w:rFonts w:asciiTheme="minorHAnsi" w:hAnsiTheme="minorHAnsi" w:cstheme="minorHAnsi"/>
          <w:sz w:val="22"/>
          <w:szCs w:val="22"/>
        </w:rPr>
        <w:t xml:space="preserve"> </w:t>
      </w:r>
    </w:p>
    <w:p w14:paraId="41D4E8E3" w14:textId="77777777" w:rsidR="00871FA1" w:rsidRDefault="00871FA1" w:rsidP="00475D3F">
      <w:pPr>
        <w:spacing w:line="360" w:lineRule="auto"/>
        <w:rPr>
          <w:rFonts w:asciiTheme="minorHAnsi" w:hAnsiTheme="minorHAnsi" w:cstheme="minorHAnsi"/>
          <w:sz w:val="22"/>
          <w:szCs w:val="22"/>
        </w:rPr>
      </w:pPr>
    </w:p>
    <w:p w14:paraId="70028ACC" w14:textId="7A5040C6" w:rsidR="00224735" w:rsidRPr="00CE3CCA" w:rsidRDefault="00994AAA" w:rsidP="00475D3F">
      <w:pPr>
        <w:spacing w:line="360" w:lineRule="auto"/>
        <w:rPr>
          <w:rFonts w:asciiTheme="minorHAnsi" w:hAnsiTheme="minorHAnsi" w:cstheme="minorHAnsi"/>
          <w:sz w:val="22"/>
          <w:szCs w:val="22"/>
        </w:rPr>
      </w:pPr>
      <w:r w:rsidRPr="00F65C98">
        <w:rPr>
          <w:rFonts w:asciiTheme="minorHAnsi" w:hAnsiTheme="minorHAnsi" w:cstheme="minorHAnsi"/>
          <w:sz w:val="22"/>
          <w:szCs w:val="22"/>
        </w:rPr>
        <w:t>However, there was concern among some implementers that the flexibility offered by the exceptions process risked undermining the policy and was not always consistent with the science underpinning it. From the outset, the policy was</w:t>
      </w:r>
      <w:r w:rsidR="00F65C98" w:rsidRPr="00F65C98">
        <w:rPr>
          <w:rFonts w:asciiTheme="minorHAnsi" w:hAnsiTheme="minorHAnsi" w:cstheme="minorHAnsi"/>
          <w:sz w:val="22"/>
          <w:szCs w:val="22"/>
        </w:rPr>
        <w:t xml:space="preserve"> political and</w:t>
      </w:r>
      <w:r w:rsidRPr="00F65C98">
        <w:rPr>
          <w:rFonts w:asciiTheme="minorHAnsi" w:hAnsiTheme="minorHAnsi" w:cstheme="minorHAnsi"/>
          <w:sz w:val="22"/>
          <w:szCs w:val="22"/>
        </w:rPr>
        <w:t xml:space="preserve"> controversial</w:t>
      </w:r>
      <w:r w:rsidR="00F65C98" w:rsidRPr="00F65C98">
        <w:rPr>
          <w:rFonts w:asciiTheme="minorHAnsi" w:hAnsiTheme="minorHAnsi" w:cstheme="minorHAnsi"/>
          <w:sz w:val="22"/>
          <w:szCs w:val="22"/>
        </w:rPr>
        <w:t xml:space="preserve"> </w:t>
      </w:r>
      <w:r w:rsidRPr="00F65C98">
        <w:rPr>
          <w:rFonts w:asciiTheme="minorHAnsi" w:hAnsiTheme="minorHAnsi" w:cstheme="minorHAnsi"/>
          <w:sz w:val="22"/>
          <w:szCs w:val="22"/>
        </w:rPr>
        <w:t>and attracted</w:t>
      </w:r>
      <w:r w:rsidR="006B79BF">
        <w:rPr>
          <w:rFonts w:asciiTheme="minorHAnsi" w:hAnsiTheme="minorHAnsi" w:cstheme="minorHAnsi"/>
          <w:sz w:val="22"/>
          <w:szCs w:val="22"/>
        </w:rPr>
        <w:t xml:space="preserve"> a high degree</w:t>
      </w:r>
      <w:r w:rsidRPr="00F65C98">
        <w:rPr>
          <w:rFonts w:asciiTheme="minorHAnsi" w:hAnsiTheme="minorHAnsi" w:cstheme="minorHAnsi"/>
          <w:sz w:val="22"/>
          <w:szCs w:val="22"/>
        </w:rPr>
        <w:t xml:space="preserve"> scrutiny</w:t>
      </w:r>
      <w:r w:rsidR="00D3138C">
        <w:rPr>
          <w:rFonts w:asciiTheme="minorHAnsi" w:hAnsiTheme="minorHAnsi" w:cstheme="minorHAnsi"/>
          <w:sz w:val="22"/>
          <w:szCs w:val="22"/>
        </w:rPr>
        <w:t xml:space="preserve"> from industry and the media</w:t>
      </w:r>
      <w:r w:rsidRPr="00F65C98">
        <w:rPr>
          <w:rFonts w:asciiTheme="minorHAnsi" w:hAnsiTheme="minorHAnsi" w:cstheme="minorHAnsi"/>
          <w:sz w:val="22"/>
          <w:szCs w:val="22"/>
        </w:rPr>
        <w:t>. Success of the policy hinged upon striking a balance between health</w:t>
      </w:r>
      <w:r w:rsidR="002F658A">
        <w:rPr>
          <w:rFonts w:asciiTheme="minorHAnsi" w:hAnsiTheme="minorHAnsi" w:cstheme="minorHAnsi"/>
          <w:sz w:val="22"/>
          <w:szCs w:val="22"/>
        </w:rPr>
        <w:t xml:space="preserve"> and</w:t>
      </w:r>
      <w:r w:rsidRPr="00F65C98">
        <w:rPr>
          <w:rFonts w:asciiTheme="minorHAnsi" w:hAnsiTheme="minorHAnsi" w:cstheme="minorHAnsi"/>
          <w:sz w:val="22"/>
          <w:szCs w:val="22"/>
        </w:rPr>
        <w:t xml:space="preserve"> commercial viability</w:t>
      </w:r>
      <w:r w:rsidR="002F658A">
        <w:rPr>
          <w:rFonts w:asciiTheme="minorHAnsi" w:hAnsiTheme="minorHAnsi" w:cstheme="minorHAnsi"/>
          <w:sz w:val="22"/>
          <w:szCs w:val="22"/>
        </w:rPr>
        <w:t xml:space="preserve">, specifically </w:t>
      </w:r>
      <w:r w:rsidRPr="00F65C98">
        <w:rPr>
          <w:rFonts w:asciiTheme="minorHAnsi" w:hAnsiTheme="minorHAnsi" w:cstheme="minorHAnsi"/>
          <w:sz w:val="22"/>
          <w:szCs w:val="22"/>
        </w:rPr>
        <w:t xml:space="preserve">advertising income </w:t>
      </w:r>
      <w:r w:rsidRPr="00CE3CCA">
        <w:rPr>
          <w:rFonts w:asciiTheme="minorHAnsi" w:hAnsiTheme="minorHAnsi" w:cstheme="minorHAnsi"/>
          <w:sz w:val="22"/>
          <w:szCs w:val="22"/>
        </w:rPr>
        <w:t>considerations</w:t>
      </w:r>
      <w:r w:rsidR="00945B1D" w:rsidRPr="00CE3CCA">
        <w:rPr>
          <w:rFonts w:asciiTheme="minorHAnsi" w:hAnsiTheme="minorHAnsi" w:cstheme="minorHAnsi"/>
          <w:sz w:val="22"/>
          <w:szCs w:val="22"/>
        </w:rPr>
        <w:t>, though concerns around commercial viability were later discovered to be unfounded as TfL reported that there has been no impact of the policy on advertising revenue (Sweney 2021</w:t>
      </w:r>
      <w:r w:rsidR="00D6313D" w:rsidRPr="00CE3CCA">
        <w:rPr>
          <w:rFonts w:asciiTheme="minorHAnsi" w:hAnsiTheme="minorHAnsi" w:cstheme="minorHAnsi"/>
          <w:sz w:val="22"/>
          <w:szCs w:val="22"/>
        </w:rPr>
        <w:t>).</w:t>
      </w:r>
      <w:r w:rsidR="00945B1D" w:rsidRPr="00CE3CCA">
        <w:rPr>
          <w:rFonts w:asciiTheme="minorHAnsi" w:hAnsiTheme="minorHAnsi" w:cstheme="minorHAnsi"/>
          <w:sz w:val="22"/>
          <w:szCs w:val="22"/>
        </w:rPr>
        <w:t xml:space="preserve"> </w:t>
      </w:r>
      <w:r w:rsidRPr="00CE3CCA">
        <w:rPr>
          <w:rFonts w:asciiTheme="minorHAnsi" w:hAnsiTheme="minorHAnsi" w:cstheme="minorHAnsi"/>
          <w:sz w:val="22"/>
          <w:szCs w:val="22"/>
        </w:rPr>
        <w:t xml:space="preserve"> </w:t>
      </w:r>
      <w:r w:rsidR="00945B1D" w:rsidRPr="00CE3CCA">
        <w:rPr>
          <w:rFonts w:asciiTheme="minorHAnsi" w:hAnsiTheme="minorHAnsi" w:cstheme="minorHAnsi"/>
          <w:sz w:val="22"/>
          <w:szCs w:val="22"/>
        </w:rPr>
        <w:t>P</w:t>
      </w:r>
      <w:r w:rsidR="00F65C98" w:rsidRPr="00CE3CCA">
        <w:rPr>
          <w:rFonts w:asciiTheme="minorHAnsi" w:hAnsiTheme="minorHAnsi" w:cstheme="minorHAnsi"/>
          <w:sz w:val="22"/>
          <w:szCs w:val="22"/>
        </w:rPr>
        <w:t>ublic perception, media coverage, and maintaining public support were ongoing concerns that further complicated the development and implementation processes.</w:t>
      </w:r>
      <w:r w:rsidRPr="00CE3CCA">
        <w:rPr>
          <w:rFonts w:asciiTheme="minorHAnsi" w:hAnsiTheme="minorHAnsi" w:cstheme="minorHAnsi"/>
          <w:sz w:val="22"/>
          <w:szCs w:val="22"/>
        </w:rPr>
        <w:t xml:space="preserve">  </w:t>
      </w:r>
    </w:p>
    <w:p w14:paraId="5A2A80D5" w14:textId="77777777" w:rsidR="00224735" w:rsidRPr="00CE3CCA" w:rsidRDefault="00224735" w:rsidP="00475D3F">
      <w:pPr>
        <w:spacing w:line="360" w:lineRule="auto"/>
        <w:rPr>
          <w:rFonts w:asciiTheme="minorHAnsi" w:hAnsiTheme="minorHAnsi" w:cstheme="minorHAnsi"/>
          <w:sz w:val="22"/>
          <w:szCs w:val="22"/>
        </w:rPr>
      </w:pPr>
    </w:p>
    <w:p w14:paraId="64523F4A" w14:textId="4F9799A8" w:rsidR="00133859" w:rsidRPr="00133859" w:rsidRDefault="00224735" w:rsidP="00133859">
      <w:pPr>
        <w:spacing w:line="360" w:lineRule="auto"/>
        <w:contextualSpacing/>
        <w:rPr>
          <w:rFonts w:asciiTheme="minorHAnsi" w:eastAsia="SimSun" w:hAnsiTheme="minorHAnsi" w:cstheme="minorBidi"/>
          <w:sz w:val="22"/>
          <w:szCs w:val="22"/>
          <w:lang w:val="en-GB" w:eastAsia="en-US"/>
        </w:rPr>
      </w:pPr>
      <w:r w:rsidRPr="00CE3CCA">
        <w:rPr>
          <w:rFonts w:asciiTheme="minorHAnsi" w:hAnsiTheme="minorHAnsi" w:cstheme="minorHAnsi"/>
          <w:sz w:val="22"/>
          <w:szCs w:val="22"/>
          <w:lang w:val="en-GB"/>
        </w:rPr>
        <w:t xml:space="preserve">Both implementation and industry stakeholders were critical of the influence of political considerations on the policy. For implementers, there was </w:t>
      </w:r>
      <w:r w:rsidR="00CE3A60" w:rsidRPr="00CE3CCA">
        <w:rPr>
          <w:rFonts w:asciiTheme="minorHAnsi" w:hAnsiTheme="minorHAnsi" w:cstheme="minorHAnsi"/>
          <w:sz w:val="22"/>
          <w:szCs w:val="22"/>
          <w:lang w:val="en-GB"/>
        </w:rPr>
        <w:t>concern</w:t>
      </w:r>
      <w:r w:rsidRPr="00CE3CCA">
        <w:rPr>
          <w:rFonts w:asciiTheme="minorHAnsi" w:hAnsiTheme="minorHAnsi" w:cstheme="minorHAnsi"/>
          <w:sz w:val="22"/>
          <w:szCs w:val="22"/>
          <w:lang w:val="en-GB"/>
        </w:rPr>
        <w:t xml:space="preserve"> that the policy might be watered down</w:t>
      </w:r>
      <w:r w:rsidR="006B79BF" w:rsidRPr="00CE3CCA">
        <w:rPr>
          <w:rFonts w:asciiTheme="minorHAnsi" w:hAnsiTheme="minorHAnsi" w:cstheme="minorHAnsi"/>
          <w:sz w:val="22"/>
          <w:szCs w:val="22"/>
          <w:lang w:val="en-GB"/>
        </w:rPr>
        <w:t>, comprising</w:t>
      </w:r>
      <w:r w:rsidRPr="00CE3CCA">
        <w:rPr>
          <w:rFonts w:asciiTheme="minorHAnsi" w:hAnsiTheme="minorHAnsi" w:cstheme="minorHAnsi"/>
          <w:sz w:val="22"/>
          <w:szCs w:val="22"/>
          <w:lang w:val="en-GB"/>
        </w:rPr>
        <w:t xml:space="preserve"> impact. </w:t>
      </w:r>
      <w:r w:rsidR="002F658A" w:rsidRPr="00CE3CCA">
        <w:rPr>
          <w:rFonts w:asciiTheme="minorHAnsi" w:hAnsiTheme="minorHAnsi" w:cstheme="minorHAnsi"/>
          <w:sz w:val="22"/>
          <w:szCs w:val="22"/>
          <w:lang w:val="en-GB"/>
        </w:rPr>
        <w:t xml:space="preserve">In </w:t>
      </w:r>
      <w:r w:rsidRPr="00CE3CCA">
        <w:rPr>
          <w:rFonts w:asciiTheme="minorHAnsi" w:hAnsiTheme="minorHAnsi" w:cstheme="minorHAnsi"/>
          <w:sz w:val="22"/>
          <w:szCs w:val="22"/>
          <w:lang w:val="en-GB"/>
        </w:rPr>
        <w:t xml:space="preserve">contrast, industry stakeholders were concerned </w:t>
      </w:r>
      <w:r w:rsidR="002F658A" w:rsidRPr="00CE3CCA">
        <w:rPr>
          <w:rFonts w:asciiTheme="minorHAnsi" w:hAnsiTheme="minorHAnsi" w:cstheme="minorHAnsi"/>
          <w:sz w:val="22"/>
          <w:szCs w:val="22"/>
          <w:lang w:val="en-GB"/>
        </w:rPr>
        <w:t xml:space="preserve">that </w:t>
      </w:r>
      <w:r w:rsidRPr="00CE3CCA">
        <w:rPr>
          <w:rFonts w:asciiTheme="minorHAnsi" w:hAnsiTheme="minorHAnsi" w:cstheme="minorHAnsi"/>
          <w:sz w:val="22"/>
          <w:szCs w:val="22"/>
          <w:lang w:val="en-GB"/>
        </w:rPr>
        <w:t xml:space="preserve">political pressures meant the policy was pushed through without </w:t>
      </w:r>
      <w:r w:rsidR="003B641B" w:rsidRPr="00CE3CCA">
        <w:rPr>
          <w:rFonts w:asciiTheme="minorHAnsi" w:hAnsiTheme="minorHAnsi" w:cstheme="minorHAnsi"/>
          <w:sz w:val="22"/>
          <w:szCs w:val="22"/>
          <w:lang w:val="en-GB"/>
        </w:rPr>
        <w:t xml:space="preserve">sufficient </w:t>
      </w:r>
      <w:r w:rsidRPr="00CE3CCA">
        <w:rPr>
          <w:rFonts w:asciiTheme="minorHAnsi" w:hAnsiTheme="minorHAnsi" w:cstheme="minorHAnsi"/>
          <w:sz w:val="22"/>
          <w:szCs w:val="22"/>
          <w:lang w:val="en-GB"/>
        </w:rPr>
        <w:t xml:space="preserve">evidence </w:t>
      </w:r>
      <w:r w:rsidR="002F658A" w:rsidRPr="00CE3CCA">
        <w:rPr>
          <w:rFonts w:asciiTheme="minorHAnsi" w:hAnsiTheme="minorHAnsi" w:cstheme="minorHAnsi"/>
          <w:sz w:val="22"/>
          <w:szCs w:val="22"/>
          <w:lang w:val="en-GB"/>
        </w:rPr>
        <w:t xml:space="preserve">in </w:t>
      </w:r>
      <w:r w:rsidRPr="00CE3CCA">
        <w:rPr>
          <w:rFonts w:asciiTheme="minorHAnsi" w:hAnsiTheme="minorHAnsi" w:cstheme="minorHAnsi"/>
          <w:sz w:val="22"/>
          <w:szCs w:val="22"/>
          <w:lang w:val="en-GB"/>
        </w:rPr>
        <w:t>support, result</w:t>
      </w:r>
      <w:r w:rsidR="00903690" w:rsidRPr="00CE3CCA">
        <w:rPr>
          <w:rFonts w:asciiTheme="minorHAnsi" w:hAnsiTheme="minorHAnsi" w:cstheme="minorHAnsi"/>
          <w:sz w:val="22"/>
          <w:szCs w:val="22"/>
          <w:lang w:val="en-GB"/>
        </w:rPr>
        <w:t>ing in</w:t>
      </w:r>
      <w:r w:rsidRPr="00CE3CCA">
        <w:rPr>
          <w:rFonts w:asciiTheme="minorHAnsi" w:hAnsiTheme="minorHAnsi" w:cstheme="minorHAnsi"/>
          <w:sz w:val="22"/>
          <w:szCs w:val="22"/>
          <w:lang w:val="en-GB"/>
        </w:rPr>
        <w:t xml:space="preserve"> restrictions </w:t>
      </w:r>
      <w:r w:rsidR="00903690" w:rsidRPr="00CE3CCA">
        <w:rPr>
          <w:rFonts w:asciiTheme="minorHAnsi" w:hAnsiTheme="minorHAnsi" w:cstheme="minorHAnsi"/>
          <w:sz w:val="22"/>
          <w:szCs w:val="22"/>
          <w:lang w:val="en-GB"/>
        </w:rPr>
        <w:t xml:space="preserve">that </w:t>
      </w:r>
      <w:r w:rsidRPr="00CE3CCA">
        <w:rPr>
          <w:rFonts w:asciiTheme="minorHAnsi" w:hAnsiTheme="minorHAnsi" w:cstheme="minorHAnsi"/>
          <w:sz w:val="22"/>
          <w:szCs w:val="22"/>
          <w:lang w:val="en-GB"/>
        </w:rPr>
        <w:t xml:space="preserve">were too harsh. </w:t>
      </w:r>
      <w:r w:rsidR="00B4094E" w:rsidRPr="00CE3CCA">
        <w:rPr>
          <w:rFonts w:asciiTheme="minorHAnsi" w:hAnsiTheme="minorHAnsi" w:cstheme="minorHAnsi"/>
          <w:sz w:val="22"/>
          <w:szCs w:val="22"/>
          <w:lang w:val="en-GB"/>
        </w:rPr>
        <w:t xml:space="preserve">To add context here, the political leanings of The Mayor (a Labour party candidate) traditionally supports a more interventionist approach compared to more non-interventionist conservative politicians. </w:t>
      </w:r>
      <w:r w:rsidR="004A4987" w:rsidRPr="00CE3CCA">
        <w:rPr>
          <w:rFonts w:asciiTheme="minorHAnsi" w:hAnsiTheme="minorHAnsi" w:cstheme="minorHAnsi"/>
          <w:sz w:val="22"/>
          <w:szCs w:val="22"/>
          <w:lang w:val="en-GB"/>
        </w:rPr>
        <w:t>Socio-political context often positions u</w:t>
      </w:r>
      <w:r w:rsidR="002F658A" w:rsidRPr="00CE3CCA">
        <w:rPr>
          <w:rFonts w:asciiTheme="minorHAnsi" w:hAnsiTheme="minorHAnsi" w:cstheme="minorHAnsi"/>
          <w:sz w:val="22"/>
          <w:szCs w:val="22"/>
          <w:lang w:val="en-GB"/>
        </w:rPr>
        <w:t>pstream p</w:t>
      </w:r>
      <w:r w:rsidRPr="00CE3CCA">
        <w:rPr>
          <w:rFonts w:asciiTheme="minorHAnsi" w:hAnsiTheme="minorHAnsi" w:cstheme="minorHAnsi"/>
          <w:sz w:val="22"/>
          <w:szCs w:val="22"/>
          <w:lang w:val="en-GB"/>
        </w:rPr>
        <w:t xml:space="preserve">ublic health interventions </w:t>
      </w:r>
      <w:r w:rsidR="004A4987" w:rsidRPr="00CE3CCA">
        <w:rPr>
          <w:rFonts w:asciiTheme="minorHAnsi" w:hAnsiTheme="minorHAnsi" w:cstheme="minorHAnsi"/>
          <w:sz w:val="22"/>
          <w:szCs w:val="22"/>
          <w:lang w:val="en-GB"/>
        </w:rPr>
        <w:t>and</w:t>
      </w:r>
      <w:r w:rsidRPr="00CE3CCA">
        <w:rPr>
          <w:rFonts w:asciiTheme="minorHAnsi" w:hAnsiTheme="minorHAnsi" w:cstheme="minorHAnsi"/>
          <w:sz w:val="22"/>
          <w:szCs w:val="22"/>
          <w:lang w:val="en-GB"/>
        </w:rPr>
        <w:t xml:space="preserve"> industry interests</w:t>
      </w:r>
      <w:r w:rsidR="004A4987" w:rsidRPr="00CE3CCA">
        <w:rPr>
          <w:rFonts w:asciiTheme="minorHAnsi" w:hAnsiTheme="minorHAnsi" w:cstheme="minorHAnsi"/>
          <w:sz w:val="22"/>
          <w:szCs w:val="22"/>
          <w:lang w:val="en-GB"/>
        </w:rPr>
        <w:t xml:space="preserve"> in</w:t>
      </w:r>
      <w:r w:rsidR="004A4987">
        <w:rPr>
          <w:rFonts w:asciiTheme="minorHAnsi" w:hAnsiTheme="minorHAnsi" w:cstheme="minorHAnsi"/>
          <w:sz w:val="22"/>
          <w:szCs w:val="22"/>
          <w:lang w:val="en-GB"/>
        </w:rPr>
        <w:t xml:space="preserve"> opposition to each other</w:t>
      </w:r>
      <w:r w:rsidRPr="00224735">
        <w:rPr>
          <w:rFonts w:asciiTheme="minorHAnsi" w:hAnsiTheme="minorHAnsi" w:cstheme="minorHAnsi"/>
          <w:sz w:val="22"/>
          <w:szCs w:val="22"/>
          <w:lang w:val="en-GB"/>
        </w:rPr>
        <w:t xml:space="preserve"> </w:t>
      </w:r>
      <w:r w:rsidRPr="00224735">
        <w:rPr>
          <w:rFonts w:asciiTheme="minorHAnsi" w:hAnsiTheme="minorHAnsi" w:cstheme="minorHAnsi"/>
          <w:sz w:val="22"/>
          <w:szCs w:val="22"/>
          <w:lang w:val="en-GB"/>
        </w:rPr>
        <w:fldChar w:fldCharType="begin"/>
      </w:r>
      <w:r w:rsidR="000F2510">
        <w:rPr>
          <w:rFonts w:asciiTheme="minorHAnsi" w:hAnsiTheme="minorHAnsi" w:cstheme="minorHAnsi"/>
          <w:sz w:val="22"/>
          <w:szCs w:val="22"/>
          <w:lang w:val="en-GB"/>
        </w:rPr>
        <w:instrText xml:space="preserve"> ADDIN EN.CITE &lt;EndNote&gt;&lt;Cite&gt;&lt;Author&gt;McKinlay&lt;/Author&gt;&lt;Year&gt;2000&lt;/Year&gt;&lt;RecNum&gt;27&lt;/RecNum&gt;&lt;DisplayText&gt;(McKinlay &amp;amp; Marceau, 2000)&lt;/DisplayText&gt;&lt;record&gt;&lt;rec-number&gt;27&lt;/rec-number&gt;&lt;foreign-keys&gt;&lt;key app="EN" db-id="s9vsxe023afd99ezx5qpv5vrrspsex2xrs00" timestamp="1618306780"&gt;27&lt;/key&gt;&lt;/foreign-keys&gt;&lt;ref-type name="Journal Article"&gt;17&lt;/ref-type&gt;&lt;contributors&gt;&lt;authors&gt;&lt;author&gt;McKinlay, J.B.&lt;/author&gt;&lt;author&gt;Marceau, L.D.&lt;/author&gt;&lt;/authors&gt;&lt;/contributors&gt;&lt;titles&gt;&lt;title&gt;Upstream healthy public policy: lessons from the battle of tobaco&lt;/title&gt;&lt;secondary-title&gt;International Journal of Health Services&lt;/secondary-title&gt;&lt;/titles&gt;&lt;periodical&gt;&lt;full-title&gt;International Journal of Health Services&lt;/full-title&gt;&lt;/periodical&gt;&lt;pages&gt;49-69&lt;/pages&gt;&lt;volume&gt;30&lt;/volume&gt;&lt;number&gt;1&lt;/number&gt;&lt;dates&gt;&lt;year&gt;2000&lt;/year&gt;&lt;/dates&gt;&lt;urls&gt;&lt;/urls&gt;&lt;/record&gt;&lt;/Cite&gt;&lt;/EndNote&gt;</w:instrText>
      </w:r>
      <w:r w:rsidRPr="00224735">
        <w:rPr>
          <w:rFonts w:asciiTheme="minorHAnsi" w:hAnsiTheme="minorHAnsi" w:cstheme="minorHAnsi"/>
          <w:sz w:val="22"/>
          <w:szCs w:val="22"/>
          <w:lang w:val="en-GB"/>
        </w:rPr>
        <w:fldChar w:fldCharType="separate"/>
      </w:r>
      <w:r w:rsidR="006D1623">
        <w:rPr>
          <w:rFonts w:asciiTheme="minorHAnsi" w:hAnsiTheme="minorHAnsi" w:cstheme="minorHAnsi"/>
          <w:noProof/>
          <w:sz w:val="22"/>
          <w:szCs w:val="22"/>
          <w:lang w:val="en-GB"/>
        </w:rPr>
        <w:t>(McKinlay &amp; Marceau, 2000)</w:t>
      </w:r>
      <w:r w:rsidRPr="00224735">
        <w:rPr>
          <w:rFonts w:asciiTheme="minorHAnsi" w:hAnsiTheme="minorHAnsi" w:cstheme="minorHAnsi"/>
          <w:sz w:val="22"/>
          <w:szCs w:val="22"/>
        </w:rPr>
        <w:fldChar w:fldCharType="end"/>
      </w:r>
      <w:r w:rsidRPr="00224735">
        <w:rPr>
          <w:rFonts w:asciiTheme="minorHAnsi" w:hAnsiTheme="minorHAnsi" w:cstheme="minorHAnsi"/>
          <w:sz w:val="22"/>
          <w:szCs w:val="22"/>
          <w:lang w:val="en-GB"/>
        </w:rPr>
        <w:t>. These tensions are evident in the accounts given here</w:t>
      </w:r>
      <w:r w:rsidR="00931919">
        <w:rPr>
          <w:rFonts w:asciiTheme="minorHAnsi" w:hAnsiTheme="minorHAnsi" w:cstheme="minorHAnsi"/>
          <w:sz w:val="22"/>
          <w:szCs w:val="22"/>
          <w:lang w:val="en-GB"/>
        </w:rPr>
        <w:t xml:space="preserve"> and suggest closer alignment of policy and industry goals may be useful</w:t>
      </w:r>
      <w:r w:rsidRPr="00224735">
        <w:rPr>
          <w:rFonts w:asciiTheme="minorHAnsi" w:hAnsiTheme="minorHAnsi" w:cstheme="minorHAnsi"/>
          <w:sz w:val="22"/>
          <w:szCs w:val="22"/>
          <w:lang w:val="en-GB"/>
        </w:rPr>
        <w:t>. The fact that both implement</w:t>
      </w:r>
      <w:r w:rsidR="00A54800">
        <w:rPr>
          <w:rFonts w:asciiTheme="minorHAnsi" w:hAnsiTheme="minorHAnsi" w:cstheme="minorHAnsi"/>
          <w:sz w:val="22"/>
          <w:szCs w:val="22"/>
          <w:lang w:val="en-GB"/>
        </w:rPr>
        <w:t>ation</w:t>
      </w:r>
      <w:r w:rsidRPr="00224735">
        <w:rPr>
          <w:rFonts w:asciiTheme="minorHAnsi" w:hAnsiTheme="minorHAnsi" w:cstheme="minorHAnsi"/>
          <w:sz w:val="22"/>
          <w:szCs w:val="22"/>
          <w:lang w:val="en-GB"/>
        </w:rPr>
        <w:t xml:space="preserve"> and industry stakeholders were concerned that the policy </w:t>
      </w:r>
      <w:r w:rsidR="00F40246">
        <w:rPr>
          <w:rFonts w:asciiTheme="minorHAnsi" w:hAnsiTheme="minorHAnsi" w:cstheme="minorHAnsi"/>
          <w:sz w:val="22"/>
          <w:szCs w:val="22"/>
          <w:lang w:val="en-GB"/>
        </w:rPr>
        <w:t xml:space="preserve">didn’t fully accommodate their priorities or concerns </w:t>
      </w:r>
      <w:r w:rsidRPr="00224735">
        <w:rPr>
          <w:rFonts w:asciiTheme="minorHAnsi" w:hAnsiTheme="minorHAnsi" w:cstheme="minorHAnsi"/>
          <w:sz w:val="22"/>
          <w:szCs w:val="22"/>
          <w:lang w:val="en-GB"/>
        </w:rPr>
        <w:t xml:space="preserve">could be interpreted as an indication that it struck a successful balance. However, </w:t>
      </w:r>
      <w:r w:rsidR="00CE3A60">
        <w:rPr>
          <w:rFonts w:asciiTheme="minorHAnsi" w:hAnsiTheme="minorHAnsi" w:cstheme="minorHAnsi"/>
          <w:sz w:val="22"/>
          <w:szCs w:val="22"/>
          <w:lang w:val="en-GB"/>
        </w:rPr>
        <w:t>i</w:t>
      </w:r>
      <w:r w:rsidRPr="00224735">
        <w:rPr>
          <w:rFonts w:asciiTheme="minorHAnsi" w:hAnsiTheme="minorHAnsi" w:cstheme="minorHAnsi"/>
          <w:sz w:val="22"/>
          <w:szCs w:val="22"/>
          <w:lang w:val="en-GB"/>
        </w:rPr>
        <w:t>ndustry actors are</w:t>
      </w:r>
      <w:r w:rsidR="00CE3A60">
        <w:rPr>
          <w:rFonts w:asciiTheme="minorHAnsi" w:hAnsiTheme="minorHAnsi" w:cstheme="minorHAnsi"/>
          <w:sz w:val="22"/>
          <w:szCs w:val="22"/>
          <w:lang w:val="en-GB"/>
        </w:rPr>
        <w:t xml:space="preserve"> often</w:t>
      </w:r>
      <w:r w:rsidRPr="00224735">
        <w:rPr>
          <w:rFonts w:asciiTheme="minorHAnsi" w:hAnsiTheme="minorHAnsi" w:cstheme="minorHAnsi"/>
          <w:sz w:val="22"/>
          <w:szCs w:val="22"/>
          <w:lang w:val="en-GB"/>
        </w:rPr>
        <w:t xml:space="preserve"> invested in avoiding </w:t>
      </w:r>
      <w:r w:rsidR="00CE3A60">
        <w:rPr>
          <w:rFonts w:asciiTheme="minorHAnsi" w:hAnsiTheme="minorHAnsi" w:cstheme="minorHAnsi"/>
          <w:sz w:val="22"/>
          <w:szCs w:val="22"/>
          <w:lang w:val="en-GB"/>
        </w:rPr>
        <w:t xml:space="preserve">regulation </w:t>
      </w:r>
      <w:r w:rsidRPr="00224735">
        <w:rPr>
          <w:rFonts w:asciiTheme="minorHAnsi" w:hAnsiTheme="minorHAnsi" w:cstheme="minorHAnsi"/>
          <w:sz w:val="22"/>
          <w:szCs w:val="22"/>
          <w:lang w:val="en-GB"/>
        </w:rPr>
        <w:t xml:space="preserve">and typically have substantial resources to do so </w:t>
      </w:r>
      <w:r w:rsidRPr="00224735">
        <w:rPr>
          <w:rFonts w:asciiTheme="minorHAnsi" w:hAnsiTheme="minorHAnsi" w:cstheme="minorHAnsi"/>
          <w:sz w:val="22"/>
          <w:szCs w:val="22"/>
          <w:lang w:val="en-GB"/>
        </w:rPr>
        <w:fldChar w:fldCharType="begin"/>
      </w:r>
      <w:r w:rsidR="000F2510">
        <w:rPr>
          <w:rFonts w:asciiTheme="minorHAnsi" w:hAnsiTheme="minorHAnsi" w:cstheme="minorHAnsi"/>
          <w:sz w:val="22"/>
          <w:szCs w:val="22"/>
          <w:lang w:val="en-GB"/>
        </w:rPr>
        <w:instrText xml:space="preserve"> ADDIN EN.CITE &lt;EndNote&gt;&lt;Cite&gt;&lt;Author&gt;Adams&lt;/Author&gt;&lt;Year&gt;2016&lt;/Year&gt;&lt;RecNum&gt;28&lt;/RecNum&gt;&lt;DisplayText&gt;(Adams et al., 2016)&lt;/DisplayText&gt;&lt;record&gt;&lt;rec-number&gt;28&lt;/rec-number&gt;&lt;foreign-keys&gt;&lt;key app="EN" db-id="s9vsxe023afd99ezx5qpv5vrrspsex2xrs00" timestamp="1618306780"&gt;28&lt;/key&gt;&lt;/foreign-keys&gt;&lt;ref-type name="Journal Article"&gt;17&lt;/ref-type&gt;&lt;contributors&gt;&lt;authors&gt;&lt;author&gt;Adams, J.&lt;/author&gt;&lt;author&gt;Mytton, O.&lt;/author&gt;&lt;author&gt;White, M.&lt;/author&gt;&lt;author&gt;Monsivais, P. &lt;/author&gt;&lt;/authors&gt;&lt;/contributors&gt;&lt;titles&gt;&lt;title&gt;Why Are Some Population Interventions for Diet and Obesity More Equitable and Effective Than Others? The Role of Individual Agency&lt;/title&gt;&lt;secondary-title&gt;PLoS Medicine&lt;/secondary-title&gt;&lt;/titles&gt;&lt;periodical&gt;&lt;full-title&gt;PLOS Medicine&lt;/full-title&gt;&lt;/periodical&gt;&lt;volume&gt;13&lt;/volume&gt;&lt;number&gt;5&lt;/number&gt;&lt;section&gt;e1002045&lt;/section&gt;&lt;dates&gt;&lt;year&gt;2016&lt;/year&gt;&lt;/dates&gt;&lt;urls&gt;&lt;/urls&gt;&lt;/record&gt;&lt;/Cite&gt;&lt;/EndNote&gt;</w:instrText>
      </w:r>
      <w:r w:rsidRPr="00224735">
        <w:rPr>
          <w:rFonts w:asciiTheme="minorHAnsi" w:hAnsiTheme="minorHAnsi" w:cstheme="minorHAnsi"/>
          <w:sz w:val="22"/>
          <w:szCs w:val="22"/>
          <w:lang w:val="en-GB"/>
        </w:rPr>
        <w:fldChar w:fldCharType="separate"/>
      </w:r>
      <w:r w:rsidR="000F2510">
        <w:rPr>
          <w:rFonts w:asciiTheme="minorHAnsi" w:hAnsiTheme="minorHAnsi" w:cstheme="minorHAnsi"/>
          <w:noProof/>
          <w:sz w:val="22"/>
          <w:szCs w:val="22"/>
          <w:lang w:val="en-GB"/>
        </w:rPr>
        <w:t>(Adams et al., 2016)</w:t>
      </w:r>
      <w:r w:rsidRPr="00224735">
        <w:rPr>
          <w:rFonts w:asciiTheme="minorHAnsi" w:hAnsiTheme="minorHAnsi" w:cstheme="minorHAnsi"/>
          <w:sz w:val="22"/>
          <w:szCs w:val="22"/>
        </w:rPr>
        <w:fldChar w:fldCharType="end"/>
      </w:r>
      <w:r w:rsidRPr="00224735">
        <w:rPr>
          <w:rFonts w:asciiTheme="minorHAnsi" w:hAnsiTheme="minorHAnsi" w:cstheme="minorHAnsi"/>
          <w:sz w:val="22"/>
          <w:szCs w:val="22"/>
          <w:lang w:val="en-GB"/>
        </w:rPr>
        <w:t>.</w:t>
      </w:r>
      <w:r w:rsidR="00CE3A60">
        <w:rPr>
          <w:rFonts w:asciiTheme="minorHAnsi" w:hAnsiTheme="minorHAnsi" w:cstheme="minorHAnsi"/>
          <w:sz w:val="22"/>
          <w:szCs w:val="22"/>
        </w:rPr>
        <w:t xml:space="preserve"> </w:t>
      </w:r>
      <w:r w:rsidR="003D6133">
        <w:rPr>
          <w:rFonts w:asciiTheme="minorHAnsi" w:hAnsiTheme="minorHAnsi" w:cstheme="minorHAnsi"/>
          <w:sz w:val="22"/>
          <w:szCs w:val="22"/>
        </w:rPr>
        <w:t>O</w:t>
      </w:r>
      <w:r w:rsidR="001058B7">
        <w:rPr>
          <w:rFonts w:asciiTheme="minorHAnsi" w:hAnsiTheme="minorHAnsi" w:cstheme="minorHAnsi"/>
          <w:sz w:val="22"/>
          <w:szCs w:val="22"/>
        </w:rPr>
        <w:t>verall</w:t>
      </w:r>
      <w:r w:rsidR="00CE3A60">
        <w:rPr>
          <w:rFonts w:asciiTheme="minorHAnsi" w:hAnsiTheme="minorHAnsi" w:cstheme="minorHAnsi"/>
          <w:sz w:val="22"/>
          <w:szCs w:val="22"/>
        </w:rPr>
        <w:t xml:space="preserve">, despite the </w:t>
      </w:r>
      <w:r w:rsidR="0047511B">
        <w:rPr>
          <w:rFonts w:asciiTheme="minorHAnsi" w:hAnsiTheme="minorHAnsi" w:cstheme="minorHAnsi"/>
          <w:sz w:val="22"/>
          <w:szCs w:val="22"/>
        </w:rPr>
        <w:t xml:space="preserve">identified </w:t>
      </w:r>
      <w:r w:rsidR="00CE3A60">
        <w:rPr>
          <w:rFonts w:asciiTheme="minorHAnsi" w:hAnsiTheme="minorHAnsi" w:cstheme="minorHAnsi"/>
          <w:sz w:val="22"/>
          <w:szCs w:val="22"/>
        </w:rPr>
        <w:t>challenges,</w:t>
      </w:r>
      <w:r w:rsidR="001058B7">
        <w:rPr>
          <w:rFonts w:asciiTheme="minorHAnsi" w:hAnsiTheme="minorHAnsi" w:cstheme="minorHAnsi"/>
          <w:sz w:val="22"/>
          <w:szCs w:val="22"/>
        </w:rPr>
        <w:t xml:space="preserve"> the policy </w:t>
      </w:r>
      <w:r w:rsidR="00CE3A60">
        <w:rPr>
          <w:rFonts w:asciiTheme="minorHAnsi" w:hAnsiTheme="minorHAnsi" w:cstheme="minorHAnsi"/>
          <w:sz w:val="22"/>
          <w:szCs w:val="22"/>
        </w:rPr>
        <w:t>appears to have been</w:t>
      </w:r>
      <w:r w:rsidR="001058B7">
        <w:rPr>
          <w:rFonts w:asciiTheme="minorHAnsi" w:hAnsiTheme="minorHAnsi" w:cstheme="minorHAnsi"/>
          <w:sz w:val="22"/>
          <w:szCs w:val="22"/>
        </w:rPr>
        <w:t xml:space="preserve"> implemented </w:t>
      </w:r>
      <w:r w:rsidR="00931919">
        <w:rPr>
          <w:rFonts w:asciiTheme="minorHAnsi" w:hAnsiTheme="minorHAnsi" w:cstheme="minorHAnsi"/>
          <w:sz w:val="22"/>
          <w:szCs w:val="22"/>
        </w:rPr>
        <w:t xml:space="preserve">effectively </w:t>
      </w:r>
      <w:r w:rsidR="001058B7">
        <w:rPr>
          <w:rFonts w:asciiTheme="minorHAnsi" w:hAnsiTheme="minorHAnsi" w:cstheme="minorHAnsi"/>
          <w:sz w:val="22"/>
          <w:szCs w:val="22"/>
        </w:rPr>
        <w:t xml:space="preserve">and industry stakeholders were </w:t>
      </w:r>
      <w:r w:rsidR="00A54800">
        <w:rPr>
          <w:rFonts w:asciiTheme="minorHAnsi" w:hAnsiTheme="minorHAnsi" w:cstheme="minorHAnsi"/>
          <w:sz w:val="22"/>
          <w:szCs w:val="22"/>
        </w:rPr>
        <w:t xml:space="preserve">able </w:t>
      </w:r>
      <w:r w:rsidR="001058B7">
        <w:rPr>
          <w:rFonts w:asciiTheme="minorHAnsi" w:hAnsiTheme="minorHAnsi" w:cstheme="minorHAnsi"/>
          <w:sz w:val="22"/>
          <w:szCs w:val="22"/>
        </w:rPr>
        <w:t>to comply with the new restrictions.</w:t>
      </w:r>
      <w:r w:rsidR="00133859">
        <w:rPr>
          <w:rFonts w:asciiTheme="minorHAnsi" w:hAnsiTheme="minorHAnsi" w:cstheme="minorHAnsi"/>
          <w:sz w:val="22"/>
          <w:szCs w:val="22"/>
        </w:rPr>
        <w:t xml:space="preserve"> </w:t>
      </w:r>
      <w:r w:rsidR="00133859">
        <w:rPr>
          <w:rFonts w:asciiTheme="minorHAnsi" w:eastAsia="SimSun" w:hAnsiTheme="minorHAnsi" w:cstheme="minorBidi"/>
          <w:sz w:val="22"/>
          <w:szCs w:val="22"/>
          <w:lang w:val="en-GB" w:eastAsia="en-US"/>
        </w:rPr>
        <w:t xml:space="preserve">Added to which, </w:t>
      </w:r>
      <w:r w:rsidR="00133859" w:rsidRPr="00133859">
        <w:rPr>
          <w:rFonts w:asciiTheme="minorHAnsi" w:eastAsia="SimSun" w:hAnsiTheme="minorHAnsi" w:cstheme="minorBidi"/>
          <w:sz w:val="22"/>
          <w:szCs w:val="22"/>
          <w:lang w:val="en-GB" w:eastAsia="en-US"/>
        </w:rPr>
        <w:t xml:space="preserve">public health interventions that target industry tend not to result in long-term negative impacts for industry </w:t>
      </w:r>
      <w:r w:rsidR="00133859" w:rsidRPr="00133859">
        <w:rPr>
          <w:rFonts w:asciiTheme="minorHAnsi" w:eastAsia="SimSun" w:hAnsiTheme="minorHAnsi" w:cstheme="minorBidi"/>
          <w:sz w:val="22"/>
          <w:szCs w:val="22"/>
          <w:lang w:val="en-GB" w:eastAsia="en-US"/>
        </w:rPr>
        <w:fldChar w:fldCharType="begin"/>
      </w:r>
      <w:r w:rsidR="000F2510">
        <w:rPr>
          <w:rFonts w:asciiTheme="minorHAnsi" w:eastAsia="SimSun" w:hAnsiTheme="minorHAnsi" w:cstheme="minorBidi"/>
          <w:sz w:val="22"/>
          <w:szCs w:val="22"/>
          <w:lang w:val="en-GB" w:eastAsia="en-US"/>
        </w:rPr>
        <w:instrText xml:space="preserve"> ADDIN EN.CITE &lt;EndNote&gt;&lt;Cite&gt;&lt;Author&gt;Law&lt;/Author&gt;&lt;Year&gt;2020&lt;/Year&gt;&lt;RecNum&gt;333&lt;/RecNum&gt;&lt;DisplayText&gt;(Larcker et al., 2011; Law et al., 2020)&lt;/DisplayText&gt;&lt;record&gt;&lt;rec-number&gt;333&lt;/rec-number&gt;&lt;foreign-keys&gt;&lt;key app="EN" db-id="wz0s5vxeow0299ew9xqvdsw7t0xf9w02z5wt" timestamp="1606412111"&gt;333&lt;/key&gt;&lt;/foreign-keys&gt;&lt;ref-type name="Journal Article"&gt;17&lt;/ref-type&gt;&lt;contributors&gt;&lt;authors&gt;&lt;author&gt;Law, C.&lt;/author&gt;&lt;author&gt;Cornelsen, L.&lt;/author&gt;&lt;author&gt;Adams, J.&lt;/author&gt;&lt;author&gt;Penney, T.&lt;/author&gt;&lt;author&gt;Rutter, H.&lt;/author&gt;&lt;author&gt;White, M.&lt;/author&gt;&lt;author&gt;Smith, R.&lt;/author&gt;&lt;/authors&gt;&lt;/contributors&gt;&lt;titles&gt;&lt;title&gt;An analysis of the stock market reaction to the announcements of the UK Soft Drinks Industry Levy&lt;/title&gt;&lt;secondary-title&gt;Economics &amp;amp; Human Biology&lt;/secondary-title&gt;&lt;/titles&gt;&lt;periodical&gt;&lt;full-title&gt;Economics &amp;amp; Human Biology&lt;/full-title&gt;&lt;/periodical&gt;&lt;volume&gt;38&lt;/volume&gt;&lt;section&gt;100834&lt;/section&gt;&lt;dates&gt;&lt;year&gt;2020&lt;/year&gt;&lt;/dates&gt;&lt;urls&gt;&lt;/urls&gt;&lt;/record&gt;&lt;/Cite&gt;&lt;Cite&gt;&lt;Author&gt;Larcker&lt;/Author&gt;&lt;Year&gt;2011&lt;/Year&gt;&lt;RecNum&gt;334&lt;/RecNum&gt;&lt;record&gt;&lt;rec-number&gt;334&lt;/rec-number&gt;&lt;foreign-keys&gt;&lt;key app="EN" db-id="wz0s5vxeow0299ew9xqvdsw7t0xf9w02z5wt" timestamp="1606412379"&gt;334&lt;/key&gt;&lt;/foreign-keys&gt;&lt;ref-type name="Journal Article"&gt;17&lt;/ref-type&gt;&lt;contributors&gt;&lt;authors&gt;&lt;author&gt;Larcker, D.F.&lt;/author&gt;&lt;author&gt;Ormazabala, G.&lt;/author&gt;&lt;author&gt;Taylor, D.L.&lt;/author&gt;&lt;/authors&gt;&lt;/contributors&gt;&lt;titles&gt;&lt;title&gt;The market reaction to corporate governance regulation&lt;/title&gt;&lt;secondary-title&gt;Journal of Financial Economics&lt;/secondary-title&gt;&lt;/titles&gt;&lt;periodical&gt;&lt;full-title&gt;Journal of Financial Economics&lt;/full-title&gt;&lt;/periodical&gt;&lt;pages&gt;431-448&lt;/pages&gt;&lt;volume&gt;101&lt;/volume&gt;&lt;number&gt;2&lt;/number&gt;&lt;dates&gt;&lt;year&gt;2011&lt;/year&gt;&lt;/dates&gt;&lt;urls&gt;&lt;/urls&gt;&lt;/record&gt;&lt;/Cite&gt;&lt;/EndNote&gt;</w:instrText>
      </w:r>
      <w:r w:rsidR="00133859" w:rsidRPr="00133859">
        <w:rPr>
          <w:rFonts w:asciiTheme="minorHAnsi" w:eastAsia="SimSun" w:hAnsiTheme="minorHAnsi" w:cstheme="minorBidi"/>
          <w:sz w:val="22"/>
          <w:szCs w:val="22"/>
          <w:lang w:val="en-GB" w:eastAsia="en-US"/>
        </w:rPr>
        <w:fldChar w:fldCharType="separate"/>
      </w:r>
      <w:r w:rsidR="000F2510">
        <w:rPr>
          <w:rFonts w:asciiTheme="minorHAnsi" w:eastAsia="SimSun" w:hAnsiTheme="minorHAnsi" w:cstheme="minorBidi"/>
          <w:noProof/>
          <w:sz w:val="22"/>
          <w:szCs w:val="22"/>
          <w:lang w:val="en-GB" w:eastAsia="en-US"/>
        </w:rPr>
        <w:t>(Larcker et al., 2011; Law et al., 2020)</w:t>
      </w:r>
      <w:r w:rsidR="00133859" w:rsidRPr="00133859">
        <w:rPr>
          <w:rFonts w:asciiTheme="minorHAnsi" w:eastAsia="SimSun" w:hAnsiTheme="minorHAnsi" w:cstheme="minorBidi"/>
          <w:sz w:val="22"/>
          <w:szCs w:val="22"/>
          <w:lang w:val="en-GB" w:eastAsia="en-US"/>
        </w:rPr>
        <w:fldChar w:fldCharType="end"/>
      </w:r>
      <w:r w:rsidR="00133859" w:rsidRPr="00133859">
        <w:rPr>
          <w:rFonts w:asciiTheme="minorHAnsi" w:eastAsia="SimSun" w:hAnsiTheme="minorHAnsi" w:cstheme="minorBidi"/>
          <w:sz w:val="22"/>
          <w:szCs w:val="22"/>
          <w:lang w:val="en-GB" w:eastAsia="en-US"/>
        </w:rPr>
        <w:t>.</w:t>
      </w:r>
    </w:p>
    <w:p w14:paraId="3A339AF6" w14:textId="77777777" w:rsidR="00994AAA" w:rsidRDefault="00994AAA" w:rsidP="00475D3F">
      <w:pPr>
        <w:spacing w:line="360" w:lineRule="auto"/>
        <w:rPr>
          <w:lang w:val="en-GB" w:eastAsia="en-US"/>
        </w:rPr>
      </w:pPr>
    </w:p>
    <w:p w14:paraId="03CE0A8C" w14:textId="0AF9A202" w:rsidR="00B31B79" w:rsidRPr="008C40E3" w:rsidRDefault="00B31B79" w:rsidP="00475D3F">
      <w:pPr>
        <w:spacing w:line="360" w:lineRule="auto"/>
        <w:rPr>
          <w:rFonts w:asciiTheme="minorHAnsi" w:hAnsiTheme="minorHAnsi" w:cstheme="minorHAnsi"/>
          <w:sz w:val="22"/>
          <w:szCs w:val="22"/>
        </w:rPr>
      </w:pPr>
      <w:r>
        <w:rPr>
          <w:rFonts w:ascii="Calibri" w:hAnsi="Calibri" w:cs="Calibri"/>
          <w:sz w:val="22"/>
          <w:szCs w:val="22"/>
        </w:rPr>
        <w:lastRenderedPageBreak/>
        <w:t xml:space="preserve">Childhood obesity </w:t>
      </w:r>
      <w:r w:rsidR="00404380">
        <w:rPr>
          <w:rFonts w:ascii="Calibri" w:hAnsi="Calibri" w:cs="Calibri"/>
          <w:sz w:val="22"/>
          <w:szCs w:val="22"/>
        </w:rPr>
        <w:t xml:space="preserve">is </w:t>
      </w:r>
      <w:r w:rsidR="00E02183">
        <w:rPr>
          <w:rFonts w:ascii="Calibri" w:hAnsi="Calibri" w:cs="Calibri"/>
          <w:sz w:val="22"/>
          <w:szCs w:val="22"/>
        </w:rPr>
        <w:t>the product of</w:t>
      </w:r>
      <w:r>
        <w:rPr>
          <w:rFonts w:ascii="Calibri" w:hAnsi="Calibri" w:cs="Calibri"/>
          <w:sz w:val="22"/>
          <w:szCs w:val="22"/>
        </w:rPr>
        <w:t xml:space="preserve"> </w:t>
      </w:r>
      <w:r w:rsidR="00404380">
        <w:rPr>
          <w:rFonts w:ascii="Calibri" w:hAnsi="Calibri" w:cs="Calibri"/>
          <w:sz w:val="22"/>
          <w:szCs w:val="22"/>
        </w:rPr>
        <w:t xml:space="preserve">a </w:t>
      </w:r>
      <w:r w:rsidR="00677D51">
        <w:rPr>
          <w:rFonts w:ascii="Calibri" w:hAnsi="Calibri" w:cs="Calibri"/>
          <w:sz w:val="22"/>
          <w:szCs w:val="22"/>
        </w:rPr>
        <w:t xml:space="preserve">wide range of </w:t>
      </w:r>
      <w:r>
        <w:rPr>
          <w:rFonts w:ascii="Calibri" w:hAnsi="Calibri" w:cs="Calibri"/>
          <w:sz w:val="22"/>
          <w:szCs w:val="22"/>
        </w:rPr>
        <w:t xml:space="preserve">complex causal </w:t>
      </w:r>
      <w:r w:rsidR="00677D51">
        <w:rPr>
          <w:rFonts w:ascii="Calibri" w:hAnsi="Calibri" w:cs="Calibri"/>
          <w:sz w:val="22"/>
          <w:szCs w:val="22"/>
        </w:rPr>
        <w:t>mechanisms</w:t>
      </w:r>
      <w:r w:rsidR="00404380">
        <w:rPr>
          <w:rFonts w:ascii="Calibri" w:hAnsi="Calibri" w:cs="Calibri"/>
          <w:sz w:val="22"/>
          <w:szCs w:val="22"/>
        </w:rPr>
        <w:t xml:space="preserve"> operating at a variety of levels</w:t>
      </w:r>
      <w:r w:rsidR="0048342C">
        <w:rPr>
          <w:rFonts w:ascii="Calibri" w:hAnsi="Calibri" w:cs="Calibri"/>
          <w:sz w:val="22"/>
          <w:szCs w:val="22"/>
        </w:rPr>
        <w:t xml:space="preserve"> </w:t>
      </w:r>
      <w:r w:rsidR="0048342C">
        <w:rPr>
          <w:rFonts w:ascii="Calibri" w:hAnsi="Calibri" w:cs="Calibri"/>
          <w:sz w:val="22"/>
          <w:szCs w:val="22"/>
        </w:rPr>
        <w:fldChar w:fldCharType="begin"/>
      </w:r>
      <w:r w:rsidR="0048342C">
        <w:rPr>
          <w:rFonts w:ascii="Calibri" w:hAnsi="Calibri" w:cs="Calibri"/>
          <w:sz w:val="22"/>
          <w:szCs w:val="22"/>
        </w:rPr>
        <w:instrText xml:space="preserve"> ADDIN EN.CITE &lt;EndNote&gt;&lt;Cite&gt;&lt;Author&gt;Swinburn&lt;/Author&gt;&lt;Year&gt;2011&lt;/Year&gt;&lt;RecNum&gt;39&lt;/RecNum&gt;&lt;DisplayText&gt;(Swinburn et al., 2011)&lt;/DisplayText&gt;&lt;record&gt;&lt;rec-number&gt;39&lt;/rec-number&gt;&lt;foreign-keys&gt;&lt;key app="EN" db-id="s9vsxe023afd99ezx5qpv5vrrspsex2xrs00" timestamp="1623407655"&gt;39&lt;/key&gt;&lt;/foreign-keys&gt;&lt;ref-type name="Journal Article"&gt;17&lt;/ref-type&gt;&lt;contributors&gt;&lt;authors&gt;&lt;author&gt;Swinburn, BA&lt;/author&gt;&lt;author&gt;Sacks, G&lt;/author&gt;&lt;author&gt;Hall, KD&lt;/author&gt;&lt;author&gt;McPherson, K&lt;/author&gt;&lt;author&gt;Finegood, DT&lt;/author&gt;&lt;author&gt;Moodie, ML&lt;/author&gt;&lt;author&gt;Gortmaker, SL&lt;/author&gt;&lt;/authors&gt;&lt;/contributors&gt;&lt;titles&gt;&lt;title&gt;The global obesity pandemic: shaped by global drivers and local environments&lt;/title&gt;&lt;secondary-title&gt;The Lancet&lt;/secondary-title&gt;&lt;/titles&gt;&lt;periodical&gt;&lt;full-title&gt;The Lancet&lt;/full-title&gt;&lt;/periodical&gt;&lt;pages&gt;804-814&lt;/pages&gt;&lt;volume&gt;378&lt;/volume&gt;&lt;number&gt;9793&lt;/number&gt;&lt;dates&gt;&lt;year&gt;2011&lt;/year&gt;&lt;/dates&gt;&lt;urls&gt;&lt;/urls&gt;&lt;electronic-resource-num&gt;10.1016/S0140-6736(11)60813-1&lt;/electronic-resource-num&gt;&lt;/record&gt;&lt;/Cite&gt;&lt;/EndNote&gt;</w:instrText>
      </w:r>
      <w:r w:rsidR="0048342C">
        <w:rPr>
          <w:rFonts w:ascii="Calibri" w:hAnsi="Calibri" w:cs="Calibri"/>
          <w:sz w:val="22"/>
          <w:szCs w:val="22"/>
        </w:rPr>
        <w:fldChar w:fldCharType="separate"/>
      </w:r>
      <w:r w:rsidR="0048342C">
        <w:rPr>
          <w:rFonts w:ascii="Calibri" w:hAnsi="Calibri" w:cs="Calibri"/>
          <w:noProof/>
          <w:sz w:val="22"/>
          <w:szCs w:val="22"/>
        </w:rPr>
        <w:t>(Swinburn et al., 2011)</w:t>
      </w:r>
      <w:r w:rsidR="0048342C">
        <w:rPr>
          <w:rFonts w:ascii="Calibri" w:hAnsi="Calibri" w:cs="Calibri"/>
          <w:sz w:val="22"/>
          <w:szCs w:val="22"/>
        </w:rPr>
        <w:fldChar w:fldCharType="end"/>
      </w:r>
      <w:r w:rsidR="00404380">
        <w:rPr>
          <w:rFonts w:ascii="Calibri" w:hAnsi="Calibri" w:cs="Calibri"/>
          <w:sz w:val="22"/>
          <w:szCs w:val="22"/>
        </w:rPr>
        <w:t>.</w:t>
      </w:r>
      <w:r w:rsidR="00677D51">
        <w:rPr>
          <w:rFonts w:ascii="Calibri" w:hAnsi="Calibri" w:cs="Calibri"/>
          <w:sz w:val="22"/>
          <w:szCs w:val="22"/>
        </w:rPr>
        <w:t xml:space="preserve"> </w:t>
      </w:r>
      <w:r w:rsidR="00404380">
        <w:rPr>
          <w:rFonts w:ascii="Calibri" w:hAnsi="Calibri" w:cs="Calibri"/>
          <w:sz w:val="22"/>
          <w:szCs w:val="22"/>
        </w:rPr>
        <w:t>M</w:t>
      </w:r>
      <w:r w:rsidR="00677D51">
        <w:rPr>
          <w:rFonts w:ascii="Calibri" w:hAnsi="Calibri" w:cs="Calibri"/>
          <w:sz w:val="22"/>
          <w:szCs w:val="22"/>
        </w:rPr>
        <w:t xml:space="preserve">any of </w:t>
      </w:r>
      <w:r w:rsidR="00404380">
        <w:rPr>
          <w:rFonts w:ascii="Calibri" w:hAnsi="Calibri" w:cs="Calibri"/>
          <w:sz w:val="22"/>
          <w:szCs w:val="22"/>
        </w:rPr>
        <w:t>these</w:t>
      </w:r>
      <w:r w:rsidR="00677D51">
        <w:rPr>
          <w:rFonts w:ascii="Calibri" w:hAnsi="Calibri" w:cs="Calibri"/>
          <w:sz w:val="22"/>
          <w:szCs w:val="22"/>
        </w:rPr>
        <w:t xml:space="preserve"> o</w:t>
      </w:r>
      <w:r w:rsidR="00404380">
        <w:rPr>
          <w:rFonts w:ascii="Calibri" w:hAnsi="Calibri" w:cs="Calibri"/>
          <w:sz w:val="22"/>
          <w:szCs w:val="22"/>
        </w:rPr>
        <w:t>riginate upstream, and as such require</w:t>
      </w:r>
      <w:r>
        <w:rPr>
          <w:rFonts w:ascii="Calibri" w:hAnsi="Calibri" w:cs="Calibri"/>
          <w:sz w:val="22"/>
          <w:szCs w:val="22"/>
        </w:rPr>
        <w:t xml:space="preserve"> </w:t>
      </w:r>
      <w:r w:rsidR="00404380">
        <w:rPr>
          <w:rFonts w:ascii="Calibri" w:hAnsi="Calibri" w:cs="Calibri"/>
          <w:sz w:val="22"/>
          <w:szCs w:val="22"/>
        </w:rPr>
        <w:t xml:space="preserve">population-level </w:t>
      </w:r>
      <w:r>
        <w:rPr>
          <w:rFonts w:ascii="Calibri" w:hAnsi="Calibri" w:cs="Calibri"/>
          <w:sz w:val="22"/>
          <w:szCs w:val="22"/>
        </w:rPr>
        <w:t xml:space="preserve">interventions </w:t>
      </w:r>
      <w:r w:rsidR="00404380">
        <w:rPr>
          <w:rFonts w:ascii="Calibri" w:hAnsi="Calibri" w:cs="Calibri"/>
          <w:sz w:val="22"/>
          <w:szCs w:val="22"/>
        </w:rPr>
        <w:t>in order to tackle them</w:t>
      </w:r>
      <w:r w:rsidR="0048342C">
        <w:rPr>
          <w:rFonts w:ascii="Calibri" w:hAnsi="Calibri" w:cs="Calibri"/>
          <w:sz w:val="22"/>
          <w:szCs w:val="22"/>
        </w:rPr>
        <w:t xml:space="preserve"> </w:t>
      </w:r>
      <w:r w:rsidR="0048342C">
        <w:rPr>
          <w:rFonts w:ascii="Calibri" w:hAnsi="Calibri" w:cs="Calibri"/>
          <w:sz w:val="22"/>
          <w:szCs w:val="22"/>
        </w:rPr>
        <w:fldChar w:fldCharType="begin"/>
      </w:r>
      <w:r w:rsidR="0048342C">
        <w:rPr>
          <w:rFonts w:ascii="Calibri" w:hAnsi="Calibri" w:cs="Calibri"/>
          <w:sz w:val="22"/>
          <w:szCs w:val="22"/>
        </w:rPr>
        <w:instrText xml:space="preserve"> ADDIN EN.CITE &lt;EndNote&gt;&lt;Cite&gt;&lt;Author&gt;Swinburn&lt;/Author&gt;&lt;Year&gt;2011&lt;/Year&gt;&lt;RecNum&gt;39&lt;/RecNum&gt;&lt;DisplayText&gt;(Swinburn et al., 2011)&lt;/DisplayText&gt;&lt;record&gt;&lt;rec-number&gt;39&lt;/rec-number&gt;&lt;foreign-keys&gt;&lt;key app="EN" db-id="s9vsxe023afd99ezx5qpv5vrrspsex2xrs00" timestamp="1623407655"&gt;39&lt;/key&gt;&lt;/foreign-keys&gt;&lt;ref-type name="Journal Article"&gt;17&lt;/ref-type&gt;&lt;contributors&gt;&lt;authors&gt;&lt;author&gt;Swinburn, BA&lt;/author&gt;&lt;author&gt;Sacks, G&lt;/author&gt;&lt;author&gt;Hall, KD&lt;/author&gt;&lt;author&gt;McPherson, K&lt;/author&gt;&lt;author&gt;Finegood, DT&lt;/author&gt;&lt;author&gt;Moodie, ML&lt;/author&gt;&lt;author&gt;Gortmaker, SL&lt;/author&gt;&lt;/authors&gt;&lt;/contributors&gt;&lt;titles&gt;&lt;title&gt;The global obesity pandemic: shaped by global drivers and local environments&lt;/title&gt;&lt;secondary-title&gt;The Lancet&lt;/secondary-title&gt;&lt;/titles&gt;&lt;periodical&gt;&lt;full-title&gt;The Lancet&lt;/full-title&gt;&lt;/periodical&gt;&lt;pages&gt;804-814&lt;/pages&gt;&lt;volume&gt;378&lt;/volume&gt;&lt;number&gt;9793&lt;/number&gt;&lt;dates&gt;&lt;year&gt;2011&lt;/year&gt;&lt;/dates&gt;&lt;urls&gt;&lt;/urls&gt;&lt;electronic-resource-num&gt;10.1016/S0140-6736(11)60813-1&lt;/electronic-resource-num&gt;&lt;/record&gt;&lt;/Cite&gt;&lt;/EndNote&gt;</w:instrText>
      </w:r>
      <w:r w:rsidR="0048342C">
        <w:rPr>
          <w:rFonts w:ascii="Calibri" w:hAnsi="Calibri" w:cs="Calibri"/>
          <w:sz w:val="22"/>
          <w:szCs w:val="22"/>
        </w:rPr>
        <w:fldChar w:fldCharType="separate"/>
      </w:r>
      <w:r w:rsidR="0048342C">
        <w:rPr>
          <w:rFonts w:ascii="Calibri" w:hAnsi="Calibri" w:cs="Calibri"/>
          <w:noProof/>
          <w:sz w:val="22"/>
          <w:szCs w:val="22"/>
        </w:rPr>
        <w:t>(Swinburn et al., 2011)</w:t>
      </w:r>
      <w:r w:rsidR="0048342C">
        <w:rPr>
          <w:rFonts w:ascii="Calibri" w:hAnsi="Calibri" w:cs="Calibri"/>
          <w:sz w:val="22"/>
          <w:szCs w:val="22"/>
        </w:rPr>
        <w:fldChar w:fldCharType="end"/>
      </w:r>
      <w:r>
        <w:rPr>
          <w:rFonts w:ascii="Calibri" w:hAnsi="Calibri" w:cs="Calibri"/>
          <w:sz w:val="22"/>
          <w:szCs w:val="22"/>
        </w:rPr>
        <w:t>. At present</w:t>
      </w:r>
      <w:r w:rsidR="00404380">
        <w:rPr>
          <w:rFonts w:ascii="Calibri" w:hAnsi="Calibri" w:cs="Calibri"/>
          <w:sz w:val="22"/>
          <w:szCs w:val="22"/>
        </w:rPr>
        <w:t>,</w:t>
      </w:r>
      <w:r>
        <w:rPr>
          <w:rFonts w:ascii="Calibri" w:hAnsi="Calibri" w:cs="Calibri"/>
          <w:sz w:val="22"/>
          <w:szCs w:val="22"/>
        </w:rPr>
        <w:t xml:space="preserve"> public health evidence tends to focus on “downstream” individual-level behaviour change interventions, which are easier to study but </w:t>
      </w:r>
      <w:r w:rsidR="007E41A6">
        <w:rPr>
          <w:rFonts w:ascii="Calibri" w:hAnsi="Calibri" w:cs="Calibri"/>
          <w:sz w:val="22"/>
          <w:szCs w:val="22"/>
        </w:rPr>
        <w:t>t</w:t>
      </w:r>
      <w:r>
        <w:rPr>
          <w:rFonts w:ascii="Calibri" w:hAnsi="Calibri" w:cs="Calibri"/>
          <w:sz w:val="22"/>
          <w:szCs w:val="22"/>
        </w:rPr>
        <w:t xml:space="preserve">end to produce only short-term </w:t>
      </w:r>
      <w:r w:rsidR="002F658A">
        <w:rPr>
          <w:rFonts w:ascii="Calibri" w:hAnsi="Calibri" w:cs="Calibri"/>
          <w:sz w:val="22"/>
          <w:szCs w:val="22"/>
        </w:rPr>
        <w:t xml:space="preserve">benefits </w:t>
      </w:r>
      <w:r>
        <w:rPr>
          <w:rFonts w:ascii="Calibri" w:hAnsi="Calibri" w:cs="Calibri"/>
          <w:sz w:val="22"/>
          <w:szCs w:val="22"/>
        </w:rPr>
        <w:fldChar w:fldCharType="begin"/>
      </w:r>
      <w:r w:rsidR="000F2510">
        <w:rPr>
          <w:rFonts w:ascii="Calibri" w:hAnsi="Calibri" w:cs="Calibri"/>
          <w:sz w:val="22"/>
          <w:szCs w:val="22"/>
        </w:rPr>
        <w:instrText xml:space="preserve"> ADDIN EN.CITE &lt;EndNote&gt;&lt;Cite&gt;&lt;Author&gt;Knai&lt;/Author&gt;&lt;Year&gt;2018&lt;/Year&gt;&lt;RecNum&gt;8&lt;/RecNum&gt;&lt;DisplayText&gt;(Cairns et al., 2013; Knai et al., 2018)&lt;/DisplayText&gt;&lt;record&gt;&lt;rec-number&gt;8&lt;/rec-number&gt;&lt;foreign-keys&gt;&lt;key app="EN" db-id="s9vsxe023afd99ezx5qpv5vrrspsex2xrs00" timestamp="1602953756"&gt;8&lt;/key&gt;&lt;/foreign-keys&gt;&lt;ref-type name="Journal Article"&gt;17&lt;/ref-type&gt;&lt;contributors&gt;&lt;authors&gt;&lt;author&gt;Knai, C&lt;/author&gt;&lt;author&gt;Petticrew, M&lt;/author&gt;&lt;author&gt;Mays, N&lt;/author&gt;&lt;author&gt;Capewell, S&lt;/author&gt;&lt;author&gt;Cassidy, R&lt;/author&gt;&lt;author&gt;Cummins, S&lt;/author&gt;&lt;author&gt;Eastmure, E&lt;/author&gt;&lt;author&gt;Fafard, P&lt;/author&gt;&lt;author&gt;Hawkins, B&lt;/author&gt;&lt;author&gt;Jensen, JD&lt;/author&gt;&lt;author&gt;Katikireddi, SV&lt;/author&gt;&lt;author&gt;Mwatsama, M&lt;/author&gt;&lt;author&gt;Orford, J&lt;/author&gt;&lt;author&gt;Weishaar, H&lt;/author&gt;&lt;/authors&gt;&lt;/contributors&gt;&lt;titles&gt;&lt;title&gt;Systems Thinking as a Framework for Analyzing Commercial Determinants of Health&lt;/title&gt;&lt;secondary-title&gt;The Milbank Quarterly&lt;/secondary-title&gt;&lt;/titles&gt;&lt;periodical&gt;&lt;full-title&gt;The Milbank Quarterly&lt;/full-title&gt;&lt;/periodical&gt;&lt;dates&gt;&lt;year&gt;2018&lt;/year&gt;&lt;/dates&gt;&lt;urls&gt;&lt;/urls&gt;&lt;/record&gt;&lt;/Cite&gt;&lt;Cite&gt;&lt;Author&gt;Cairns&lt;/Author&gt;&lt;Year&gt;2013&lt;/Year&gt;&lt;RecNum&gt;20&lt;/RecNum&gt;&lt;record&gt;&lt;rec-number&gt;20&lt;/rec-number&gt;&lt;foreign-keys&gt;&lt;key app="EN" db-id="s9vsxe023afd99ezx5qpv5vrrspsex2xrs00" timestamp="1618306780"&gt;20&lt;/key&gt;&lt;/foreign-keys&gt;&lt;ref-type name="Journal Article"&gt;17&lt;/ref-type&gt;&lt;contributors&gt;&lt;authors&gt;&lt;author&gt;Cairns, G.&lt;/author&gt;&lt;author&gt;Angus, K.&lt;/author&gt;&lt;author&gt;Hastings, G.&lt;/author&gt;&lt;author&gt;Caraher, M.&lt;/author&gt;&lt;/authors&gt;&lt;/contributors&gt;&lt;titles&gt;&lt;title&gt;Systematic reviews of the evidence on the nature, extent and effects of food marketing to children. A retrospective summary&lt;/title&gt;&lt;secondary-title&gt;Appetite&lt;/secondary-title&gt;&lt;/titles&gt;&lt;periodical&gt;&lt;full-title&gt;Appetite&lt;/full-title&gt;&lt;/periodical&gt;&lt;pages&gt;209-15&lt;/pages&gt;&lt;volume&gt;62&lt;/volume&gt;&lt;dates&gt;&lt;year&gt;2013&lt;/year&gt;&lt;/dates&gt;&lt;urls&gt;&lt;/urls&gt;&lt;/record&gt;&lt;/Cite&gt;&lt;/EndNote&gt;</w:instrText>
      </w:r>
      <w:r>
        <w:rPr>
          <w:rFonts w:ascii="Calibri" w:hAnsi="Calibri" w:cs="Calibri"/>
          <w:sz w:val="22"/>
          <w:szCs w:val="22"/>
        </w:rPr>
        <w:fldChar w:fldCharType="separate"/>
      </w:r>
      <w:r w:rsidR="006D1623">
        <w:rPr>
          <w:rFonts w:ascii="Calibri" w:hAnsi="Calibri" w:cs="Calibri"/>
          <w:noProof/>
          <w:sz w:val="22"/>
          <w:szCs w:val="22"/>
        </w:rPr>
        <w:t>(Cairns et al., 2013; Knai et al., 2018)</w:t>
      </w:r>
      <w:r>
        <w:rPr>
          <w:rFonts w:ascii="Calibri" w:hAnsi="Calibri" w:cs="Calibri"/>
          <w:sz w:val="22"/>
          <w:szCs w:val="22"/>
        </w:rPr>
        <w:fldChar w:fldCharType="end"/>
      </w:r>
      <w:r>
        <w:rPr>
          <w:rFonts w:ascii="Calibri" w:hAnsi="Calibri" w:cs="Calibri"/>
          <w:sz w:val="22"/>
          <w:szCs w:val="22"/>
        </w:rPr>
        <w:t xml:space="preserve">. </w:t>
      </w:r>
      <w:r w:rsidR="004F6E21">
        <w:rPr>
          <w:rFonts w:ascii="Calibri" w:hAnsi="Calibri" w:cs="Calibri"/>
          <w:sz w:val="22"/>
          <w:szCs w:val="22"/>
        </w:rPr>
        <w:t>Population</w:t>
      </w:r>
      <w:r w:rsidR="00BC2A09">
        <w:rPr>
          <w:rFonts w:ascii="Calibri" w:hAnsi="Calibri" w:cs="Calibri"/>
          <w:sz w:val="22"/>
          <w:szCs w:val="22"/>
        </w:rPr>
        <w:t xml:space="preserve">-level interventions are </w:t>
      </w:r>
      <w:r w:rsidR="00E02183">
        <w:rPr>
          <w:rFonts w:ascii="Calibri" w:hAnsi="Calibri" w:cs="Calibri"/>
          <w:sz w:val="22"/>
          <w:szCs w:val="22"/>
        </w:rPr>
        <w:t xml:space="preserve">also </w:t>
      </w:r>
      <w:r w:rsidR="00BC2A09">
        <w:rPr>
          <w:rFonts w:ascii="Calibri" w:hAnsi="Calibri" w:cs="Calibri"/>
          <w:sz w:val="22"/>
          <w:szCs w:val="22"/>
        </w:rPr>
        <w:t>considered</w:t>
      </w:r>
      <w:r w:rsidR="00E02183">
        <w:rPr>
          <w:rFonts w:ascii="Calibri" w:hAnsi="Calibri" w:cs="Calibri"/>
          <w:sz w:val="22"/>
          <w:szCs w:val="22"/>
        </w:rPr>
        <w:t xml:space="preserve"> by some</w:t>
      </w:r>
      <w:r w:rsidR="00BC2A09">
        <w:rPr>
          <w:rFonts w:ascii="Calibri" w:hAnsi="Calibri" w:cs="Calibri"/>
          <w:sz w:val="22"/>
          <w:szCs w:val="22"/>
        </w:rPr>
        <w:t xml:space="preserve"> to be synonymous with limiting free choice </w:t>
      </w:r>
      <w:r w:rsidR="00BC2A09">
        <w:rPr>
          <w:rFonts w:ascii="Calibri" w:hAnsi="Calibri" w:cs="Calibri"/>
          <w:sz w:val="22"/>
          <w:szCs w:val="22"/>
        </w:rPr>
        <w:fldChar w:fldCharType="begin"/>
      </w:r>
      <w:r w:rsidR="000F2510">
        <w:rPr>
          <w:rFonts w:ascii="Calibri" w:hAnsi="Calibri" w:cs="Calibri"/>
          <w:sz w:val="22"/>
          <w:szCs w:val="22"/>
        </w:rPr>
        <w:instrText xml:space="preserve"> ADDIN EN.CITE &lt;EndNote&gt;&lt;Cite&gt;&lt;Author&gt;Frieden&lt;/Author&gt;&lt;Year&gt;2010&lt;/Year&gt;&lt;RecNum&gt;29&lt;/RecNum&gt;&lt;DisplayText&gt;(Frieden, 2010)&lt;/DisplayText&gt;&lt;record&gt;&lt;rec-number&gt;29&lt;/rec-number&gt;&lt;foreign-keys&gt;&lt;key app="EN" db-id="s9vsxe023afd99ezx5qpv5vrrspsex2xrs00" timestamp="1618306780"&gt;29&lt;/key&gt;&lt;/foreign-keys&gt;&lt;ref-type name="Journal Article"&gt;17&lt;/ref-type&gt;&lt;contributors&gt;&lt;authors&gt;&lt;author&gt;Frieden, T.R.&lt;/author&gt;&lt;/authors&gt;&lt;/contributors&gt;&lt;titles&gt;&lt;title&gt;A Framework for Public Health Action: The Health Impact Pyramid&lt;/title&gt;&lt;secondary-title&gt;American Journal of Public Health&lt;/secondary-title&gt;&lt;/titles&gt;&lt;periodical&gt;&lt;full-title&gt;American Journal of Public Health&lt;/full-title&gt;&lt;/periodical&gt;&lt;pages&gt;590-5&lt;/pages&gt;&lt;volume&gt;100&lt;/volume&gt;&lt;number&gt;4&lt;/number&gt;&lt;dates&gt;&lt;year&gt;2010&lt;/year&gt;&lt;/dates&gt;&lt;urls&gt;&lt;/urls&gt;&lt;/record&gt;&lt;/Cite&gt;&lt;/EndNote&gt;</w:instrText>
      </w:r>
      <w:r w:rsidR="00BC2A09">
        <w:rPr>
          <w:rFonts w:ascii="Calibri" w:hAnsi="Calibri" w:cs="Calibri"/>
          <w:sz w:val="22"/>
          <w:szCs w:val="22"/>
        </w:rPr>
        <w:fldChar w:fldCharType="separate"/>
      </w:r>
      <w:r w:rsidR="006D1623">
        <w:rPr>
          <w:rFonts w:ascii="Calibri" w:hAnsi="Calibri" w:cs="Calibri"/>
          <w:noProof/>
          <w:sz w:val="22"/>
          <w:szCs w:val="22"/>
        </w:rPr>
        <w:t>(Frieden, 2010)</w:t>
      </w:r>
      <w:r w:rsidR="00BC2A09">
        <w:rPr>
          <w:rFonts w:ascii="Calibri" w:hAnsi="Calibri" w:cs="Calibri"/>
          <w:sz w:val="22"/>
          <w:szCs w:val="22"/>
        </w:rPr>
        <w:fldChar w:fldCharType="end"/>
      </w:r>
      <w:r w:rsidR="00BC2A09">
        <w:rPr>
          <w:rFonts w:ascii="Calibri" w:hAnsi="Calibri" w:cs="Calibri"/>
          <w:sz w:val="22"/>
          <w:szCs w:val="22"/>
        </w:rPr>
        <w:t xml:space="preserve"> and </w:t>
      </w:r>
      <w:r w:rsidR="00E02183">
        <w:rPr>
          <w:rFonts w:ascii="Calibri" w:hAnsi="Calibri" w:cs="Calibri"/>
          <w:sz w:val="22"/>
          <w:szCs w:val="22"/>
        </w:rPr>
        <w:t xml:space="preserve">as such </w:t>
      </w:r>
      <w:r w:rsidR="00BC2A09">
        <w:rPr>
          <w:rFonts w:ascii="Calibri" w:hAnsi="Calibri" w:cs="Calibri"/>
          <w:sz w:val="22"/>
          <w:szCs w:val="22"/>
        </w:rPr>
        <w:t xml:space="preserve">there is a perception that they are less acceptable to </w:t>
      </w:r>
      <w:r w:rsidR="00E02183">
        <w:rPr>
          <w:rFonts w:ascii="Calibri" w:hAnsi="Calibri" w:cs="Calibri"/>
          <w:sz w:val="22"/>
          <w:szCs w:val="22"/>
        </w:rPr>
        <w:t>some stakeholders,</w:t>
      </w:r>
      <w:r w:rsidR="00BC2A09">
        <w:rPr>
          <w:rFonts w:ascii="Calibri" w:hAnsi="Calibri" w:cs="Calibri"/>
          <w:sz w:val="22"/>
          <w:szCs w:val="22"/>
        </w:rPr>
        <w:t xml:space="preserve"> </w:t>
      </w:r>
      <w:r w:rsidR="00E02183">
        <w:rPr>
          <w:rFonts w:ascii="Calibri" w:hAnsi="Calibri" w:cs="Calibri"/>
          <w:sz w:val="22"/>
          <w:szCs w:val="22"/>
        </w:rPr>
        <w:t xml:space="preserve"> notably</w:t>
      </w:r>
      <w:r w:rsidR="00BC2A09">
        <w:rPr>
          <w:rFonts w:ascii="Calibri" w:hAnsi="Calibri" w:cs="Calibri"/>
          <w:sz w:val="22"/>
          <w:szCs w:val="22"/>
        </w:rPr>
        <w:t xml:space="preserve"> politicians, the public, and the food industry </w:t>
      </w:r>
      <w:r w:rsidR="00BC2A09">
        <w:rPr>
          <w:rFonts w:ascii="Calibri" w:hAnsi="Calibri" w:cs="Calibri"/>
          <w:sz w:val="22"/>
          <w:szCs w:val="22"/>
        </w:rPr>
        <w:fldChar w:fldCharType="begin"/>
      </w:r>
      <w:r w:rsidR="000F2510">
        <w:rPr>
          <w:rFonts w:ascii="Calibri" w:hAnsi="Calibri" w:cs="Calibri"/>
          <w:sz w:val="22"/>
          <w:szCs w:val="22"/>
        </w:rPr>
        <w:instrText xml:space="preserve"> ADDIN EN.CITE &lt;EndNote&gt;&lt;Cite&gt;&lt;Author&gt;Adams&lt;/Author&gt;&lt;Year&gt;2016&lt;/Year&gt;&lt;RecNum&gt;28&lt;/RecNum&gt;&lt;DisplayText&gt;(Adams et al., 2016)&lt;/DisplayText&gt;&lt;record&gt;&lt;rec-number&gt;28&lt;/rec-number&gt;&lt;foreign-keys&gt;&lt;key app="EN" db-id="s9vsxe023afd99ezx5qpv5vrrspsex2xrs00" timestamp="1618306780"&gt;28&lt;/key&gt;&lt;/foreign-keys&gt;&lt;ref-type name="Journal Article"&gt;17&lt;/ref-type&gt;&lt;contributors&gt;&lt;authors&gt;&lt;author&gt;Adams, J.&lt;/author&gt;&lt;author&gt;Mytton, O.&lt;/author&gt;&lt;author&gt;White, M.&lt;/author&gt;&lt;author&gt;Monsivais, P. &lt;/author&gt;&lt;/authors&gt;&lt;/contributors&gt;&lt;titles&gt;&lt;title&gt;Why Are Some Population Interventions for Diet and Obesity More Equitable and Effective Than Others? The Role of Individual Agency&lt;/title&gt;&lt;secondary-title&gt;PLoS Medicine&lt;/secondary-title&gt;&lt;/titles&gt;&lt;periodical&gt;&lt;full-title&gt;PLOS Medicine&lt;/full-title&gt;&lt;/periodical&gt;&lt;volume&gt;13&lt;/volume&gt;&lt;number&gt;5&lt;/number&gt;&lt;section&gt;e1002045&lt;/section&gt;&lt;dates&gt;&lt;year&gt;2016&lt;/year&gt;&lt;/dates&gt;&lt;urls&gt;&lt;/urls&gt;&lt;/record&gt;&lt;/Cite&gt;&lt;/EndNote&gt;</w:instrText>
      </w:r>
      <w:r w:rsidR="00BC2A09">
        <w:rPr>
          <w:rFonts w:ascii="Calibri" w:hAnsi="Calibri" w:cs="Calibri"/>
          <w:sz w:val="22"/>
          <w:szCs w:val="22"/>
        </w:rPr>
        <w:fldChar w:fldCharType="separate"/>
      </w:r>
      <w:r w:rsidR="006D1623">
        <w:rPr>
          <w:rFonts w:ascii="Calibri" w:hAnsi="Calibri" w:cs="Calibri"/>
          <w:noProof/>
          <w:sz w:val="22"/>
          <w:szCs w:val="22"/>
        </w:rPr>
        <w:t>(Adams et al., 2016)</w:t>
      </w:r>
      <w:r w:rsidR="00BC2A09">
        <w:rPr>
          <w:rFonts w:ascii="Calibri" w:hAnsi="Calibri" w:cs="Calibri"/>
          <w:sz w:val="22"/>
          <w:szCs w:val="22"/>
        </w:rPr>
        <w:fldChar w:fldCharType="end"/>
      </w:r>
      <w:r w:rsidR="00F02082">
        <w:rPr>
          <w:rFonts w:ascii="Calibri" w:hAnsi="Calibri" w:cs="Calibri"/>
          <w:sz w:val="22"/>
          <w:szCs w:val="22"/>
        </w:rPr>
        <w:t xml:space="preserve">. </w:t>
      </w:r>
      <w:r w:rsidR="00837A16">
        <w:rPr>
          <w:rFonts w:ascii="Calibri" w:hAnsi="Calibri" w:cs="Calibri"/>
          <w:sz w:val="22"/>
          <w:szCs w:val="22"/>
        </w:rPr>
        <w:t>I</w:t>
      </w:r>
      <w:r w:rsidR="00E02183">
        <w:rPr>
          <w:rFonts w:ascii="Calibri" w:hAnsi="Calibri" w:cs="Calibri"/>
          <w:sz w:val="22"/>
          <w:szCs w:val="22"/>
        </w:rPr>
        <w:t>n this study</w:t>
      </w:r>
      <w:r w:rsidR="00837A16">
        <w:rPr>
          <w:rFonts w:ascii="Calibri" w:hAnsi="Calibri" w:cs="Calibri"/>
          <w:sz w:val="22"/>
          <w:szCs w:val="22"/>
        </w:rPr>
        <w:t>, participants</w:t>
      </w:r>
      <w:r w:rsidR="00E02183">
        <w:rPr>
          <w:rFonts w:ascii="Calibri" w:hAnsi="Calibri" w:cs="Calibri"/>
          <w:sz w:val="22"/>
          <w:szCs w:val="22"/>
        </w:rPr>
        <w:t xml:space="preserve"> </w:t>
      </w:r>
      <w:r w:rsidR="00837A16">
        <w:rPr>
          <w:rFonts w:ascii="Calibri" w:hAnsi="Calibri" w:cs="Calibri"/>
          <w:sz w:val="22"/>
          <w:szCs w:val="22"/>
        </w:rPr>
        <w:t xml:space="preserve">initially </w:t>
      </w:r>
      <w:r w:rsidR="00C55EF5">
        <w:rPr>
          <w:rFonts w:ascii="Calibri" w:hAnsi="Calibri" w:cs="Calibri"/>
          <w:sz w:val="22"/>
          <w:szCs w:val="22"/>
        </w:rPr>
        <w:t xml:space="preserve">had </w:t>
      </w:r>
      <w:r w:rsidR="00E02183">
        <w:rPr>
          <w:rFonts w:ascii="Calibri" w:hAnsi="Calibri" w:cs="Calibri"/>
          <w:sz w:val="22"/>
          <w:szCs w:val="22"/>
        </w:rPr>
        <w:t>concerns about securing and managing public acceptance of the policy. However</w:t>
      </w:r>
      <w:r w:rsidR="00F02082">
        <w:rPr>
          <w:rFonts w:ascii="Calibri" w:hAnsi="Calibri" w:cs="Calibri"/>
          <w:sz w:val="22"/>
          <w:szCs w:val="22"/>
        </w:rPr>
        <w:t xml:space="preserve">, </w:t>
      </w:r>
      <w:r w:rsidR="00CB4CE0">
        <w:rPr>
          <w:rFonts w:ascii="Calibri" w:hAnsi="Calibri" w:cs="Calibri"/>
          <w:sz w:val="22"/>
          <w:szCs w:val="22"/>
        </w:rPr>
        <w:t>public consultation in the formative stages</w:t>
      </w:r>
      <w:r w:rsidR="00837A16">
        <w:rPr>
          <w:rFonts w:ascii="Calibri" w:hAnsi="Calibri" w:cs="Calibri"/>
          <w:sz w:val="22"/>
          <w:szCs w:val="22"/>
        </w:rPr>
        <w:t xml:space="preserve"> of policy design</w:t>
      </w:r>
      <w:r w:rsidR="00CB4CE0">
        <w:rPr>
          <w:rFonts w:ascii="Calibri" w:hAnsi="Calibri" w:cs="Calibri"/>
          <w:sz w:val="22"/>
          <w:szCs w:val="22"/>
        </w:rPr>
        <w:t xml:space="preserve"> found that </w:t>
      </w:r>
      <w:r w:rsidR="00837A16">
        <w:rPr>
          <w:rFonts w:ascii="Calibri" w:hAnsi="Calibri" w:cs="Calibri"/>
          <w:sz w:val="22"/>
          <w:szCs w:val="22"/>
        </w:rPr>
        <w:t xml:space="preserve">it </w:t>
      </w:r>
      <w:r w:rsidR="00F02082" w:rsidRPr="008C40E3">
        <w:rPr>
          <w:rFonts w:asciiTheme="minorHAnsi" w:hAnsiTheme="minorHAnsi" w:cstheme="minorHAnsi"/>
          <w:sz w:val="22"/>
          <w:szCs w:val="22"/>
        </w:rPr>
        <w:t>was popular with the public</w:t>
      </w:r>
      <w:r w:rsidR="00CB4CE0">
        <w:rPr>
          <w:rFonts w:asciiTheme="minorHAnsi" w:hAnsiTheme="minorHAnsi" w:cstheme="minorHAnsi"/>
          <w:sz w:val="22"/>
          <w:szCs w:val="22"/>
        </w:rPr>
        <w:t>,</w:t>
      </w:r>
      <w:r w:rsidR="00F02082" w:rsidRPr="008C40E3">
        <w:rPr>
          <w:rFonts w:asciiTheme="minorHAnsi" w:hAnsiTheme="minorHAnsi" w:cstheme="minorHAnsi"/>
          <w:sz w:val="22"/>
          <w:szCs w:val="22"/>
        </w:rPr>
        <w:t xml:space="preserve"> and </w:t>
      </w:r>
      <w:r w:rsidR="00DF765B" w:rsidRPr="008C40E3">
        <w:rPr>
          <w:rFonts w:asciiTheme="minorHAnsi" w:hAnsiTheme="minorHAnsi" w:cstheme="minorHAnsi"/>
          <w:sz w:val="22"/>
          <w:szCs w:val="22"/>
        </w:rPr>
        <w:t>implement</w:t>
      </w:r>
      <w:r w:rsidR="00DF765B">
        <w:rPr>
          <w:rFonts w:asciiTheme="minorHAnsi" w:hAnsiTheme="minorHAnsi" w:cstheme="minorHAnsi"/>
          <w:sz w:val="22"/>
          <w:szCs w:val="22"/>
        </w:rPr>
        <w:t>e</w:t>
      </w:r>
      <w:r w:rsidR="00DF765B" w:rsidRPr="008C40E3">
        <w:rPr>
          <w:rFonts w:asciiTheme="minorHAnsi" w:hAnsiTheme="minorHAnsi" w:cstheme="minorHAnsi"/>
          <w:sz w:val="22"/>
          <w:szCs w:val="22"/>
        </w:rPr>
        <w:t xml:space="preserve">rs </w:t>
      </w:r>
      <w:r w:rsidR="00F02082" w:rsidRPr="008C40E3">
        <w:rPr>
          <w:rFonts w:asciiTheme="minorHAnsi" w:hAnsiTheme="minorHAnsi" w:cstheme="minorHAnsi"/>
          <w:sz w:val="22"/>
          <w:szCs w:val="22"/>
        </w:rPr>
        <w:t xml:space="preserve">were mindful of maintaining </w:t>
      </w:r>
      <w:r w:rsidR="0091358D">
        <w:rPr>
          <w:rFonts w:asciiTheme="minorHAnsi" w:hAnsiTheme="minorHAnsi" w:cstheme="minorHAnsi"/>
          <w:sz w:val="22"/>
          <w:szCs w:val="22"/>
        </w:rPr>
        <w:t xml:space="preserve">public support </w:t>
      </w:r>
      <w:r w:rsidR="00F02082" w:rsidRPr="008C40E3">
        <w:rPr>
          <w:rFonts w:asciiTheme="minorHAnsi" w:hAnsiTheme="minorHAnsi" w:cstheme="minorHAnsi"/>
          <w:sz w:val="22"/>
          <w:szCs w:val="22"/>
        </w:rPr>
        <w:t>in the face of criticism</w:t>
      </w:r>
      <w:r w:rsidR="00837A16">
        <w:rPr>
          <w:rFonts w:asciiTheme="minorHAnsi" w:hAnsiTheme="minorHAnsi" w:cstheme="minorHAnsi"/>
          <w:sz w:val="22"/>
          <w:szCs w:val="22"/>
        </w:rPr>
        <w:t xml:space="preserve"> by industry and the media</w:t>
      </w:r>
      <w:r w:rsidR="0048342C">
        <w:rPr>
          <w:rFonts w:asciiTheme="minorHAnsi" w:hAnsiTheme="minorHAnsi" w:cstheme="minorHAnsi"/>
          <w:sz w:val="22"/>
          <w:szCs w:val="22"/>
        </w:rPr>
        <w:t xml:space="preserve"> </w:t>
      </w:r>
      <w:r w:rsidR="0048342C">
        <w:rPr>
          <w:rFonts w:asciiTheme="minorHAnsi" w:hAnsiTheme="minorHAnsi" w:cstheme="minorHAnsi"/>
          <w:sz w:val="22"/>
          <w:szCs w:val="22"/>
        </w:rPr>
        <w:fldChar w:fldCharType="begin"/>
      </w:r>
      <w:r w:rsidR="0048342C">
        <w:rPr>
          <w:rFonts w:asciiTheme="minorHAnsi" w:hAnsiTheme="minorHAnsi" w:cstheme="minorHAnsi"/>
          <w:sz w:val="22"/>
          <w:szCs w:val="22"/>
        </w:rPr>
        <w:instrText xml:space="preserve"> ADDIN EN.CITE &lt;EndNote&gt;&lt;Cite&gt;&lt;Author&gt;Thompson&lt;/Author&gt;&lt;Year&gt;2021&lt;/Year&gt;&lt;RecNum&gt;5&lt;/RecNum&gt;&lt;DisplayText&gt;(Thompson et al., 2021)&lt;/DisplayText&gt;&lt;record&gt;&lt;rec-number&gt;5&lt;/rec-number&gt;&lt;foreign-keys&gt;&lt;key app="EN" db-id="sss5fawwwvare6ezfa7vt50n9ssaptxaa02w" timestamp="1623398955"&gt;5&lt;/key&gt;&lt;/foreign-keys&gt;&lt;ref-type name="Journal Article"&gt;17&lt;/ref-type&gt;&lt;contributors&gt;&lt;authors&gt;&lt;author&gt;Thompson, C.&lt;/author&gt;&lt;author&gt;Clary, C.&lt;/author&gt;&lt;author&gt;Er, V.&lt;/author&gt;&lt;author&gt;Adams, J.&lt;/author&gt;&lt;author&gt;Boyland, E.&lt;/author&gt;&lt;author&gt;Burgoine, T.&lt;/author&gt;&lt;author&gt;Cornelsen, L.&lt;/author&gt;&lt;author&gt;de Vocht, F.&lt;/author&gt;&lt;author&gt;Egan, M.&lt;/author&gt;&lt;author&gt;Lake, A.A.&lt;/author&gt;&lt;author&gt;Lock, K.&lt;/author&gt;&lt;author&gt;Mytton, O.&lt;/author&gt;&lt;author&gt;Petticrew, M.&lt;/author&gt;&lt;author&gt;White, M.&lt;/author&gt;&lt;author&gt;Yau, A.&lt;/author&gt;&lt;author&gt;Cummins, S.&lt;/author&gt;&lt;/authors&gt;&lt;/contributors&gt;&lt;titles&gt;&lt;title&gt;Media representations of opposition to the ‘junk food advertising ban’ on the Transport for London (TfL) network: a thematic content analysis of UK news and trade press&lt;/title&gt;&lt;secondary-title&gt;Forthcomming&lt;/secondary-title&gt;&lt;/titles&gt;&lt;dates&gt;&lt;year&gt;2021&lt;/year&gt;&lt;/dates&gt;&lt;urls&gt;&lt;/urls&gt;&lt;/record&gt;&lt;/Cite&gt;&lt;/EndNote&gt;</w:instrText>
      </w:r>
      <w:r w:rsidR="0048342C">
        <w:rPr>
          <w:rFonts w:asciiTheme="minorHAnsi" w:hAnsiTheme="minorHAnsi" w:cstheme="minorHAnsi"/>
          <w:sz w:val="22"/>
          <w:szCs w:val="22"/>
        </w:rPr>
        <w:fldChar w:fldCharType="separate"/>
      </w:r>
      <w:r w:rsidR="0048342C">
        <w:rPr>
          <w:rFonts w:asciiTheme="minorHAnsi" w:hAnsiTheme="minorHAnsi" w:cstheme="minorHAnsi"/>
          <w:noProof/>
          <w:sz w:val="22"/>
          <w:szCs w:val="22"/>
        </w:rPr>
        <w:t>(Thompson et al., 2021)</w:t>
      </w:r>
      <w:r w:rsidR="0048342C">
        <w:rPr>
          <w:rFonts w:asciiTheme="minorHAnsi" w:hAnsiTheme="minorHAnsi" w:cstheme="minorHAnsi"/>
          <w:sz w:val="22"/>
          <w:szCs w:val="22"/>
        </w:rPr>
        <w:fldChar w:fldCharType="end"/>
      </w:r>
      <w:r w:rsidR="00F02082" w:rsidRPr="008C40E3">
        <w:rPr>
          <w:rFonts w:asciiTheme="minorHAnsi" w:hAnsiTheme="minorHAnsi" w:cstheme="minorHAnsi"/>
          <w:sz w:val="22"/>
          <w:szCs w:val="22"/>
        </w:rPr>
        <w:t xml:space="preserve">. </w:t>
      </w:r>
      <w:r w:rsidR="00C55EF5">
        <w:rPr>
          <w:rFonts w:asciiTheme="minorHAnsi" w:hAnsiTheme="minorHAnsi" w:cstheme="minorHAnsi"/>
          <w:sz w:val="22"/>
          <w:szCs w:val="22"/>
        </w:rPr>
        <w:t>T</w:t>
      </w:r>
      <w:r w:rsidR="00837A16">
        <w:rPr>
          <w:rFonts w:asciiTheme="minorHAnsi" w:hAnsiTheme="minorHAnsi" w:cstheme="minorHAnsi"/>
          <w:sz w:val="22"/>
          <w:szCs w:val="22"/>
        </w:rPr>
        <w:t xml:space="preserve">hat the intervention targeted children was the main </w:t>
      </w:r>
      <w:r w:rsidR="00837A16" w:rsidRPr="008C40E3">
        <w:rPr>
          <w:rFonts w:asciiTheme="minorHAnsi" w:hAnsiTheme="minorHAnsi" w:cstheme="minorHAnsi"/>
          <w:sz w:val="22"/>
          <w:szCs w:val="22"/>
        </w:rPr>
        <w:t>selling point of the policy</w:t>
      </w:r>
      <w:r w:rsidR="00837A16">
        <w:rPr>
          <w:rFonts w:asciiTheme="minorHAnsi" w:hAnsiTheme="minorHAnsi" w:cstheme="minorHAnsi"/>
          <w:sz w:val="22"/>
          <w:szCs w:val="22"/>
        </w:rPr>
        <w:t xml:space="preserve"> to the public</w:t>
      </w:r>
      <w:r w:rsidR="00C55EF5">
        <w:rPr>
          <w:rFonts w:asciiTheme="minorHAnsi" w:hAnsiTheme="minorHAnsi" w:cstheme="minorHAnsi"/>
          <w:sz w:val="22"/>
          <w:szCs w:val="22"/>
        </w:rPr>
        <w:t>,</w:t>
      </w:r>
      <w:r w:rsidR="00837A16">
        <w:rPr>
          <w:rFonts w:asciiTheme="minorHAnsi" w:hAnsiTheme="minorHAnsi" w:cstheme="minorHAnsi"/>
          <w:sz w:val="22"/>
          <w:szCs w:val="22"/>
        </w:rPr>
        <w:t xml:space="preserve"> both in terms of the rationale for the policy and how the </w:t>
      </w:r>
      <w:r w:rsidR="00837A16" w:rsidRPr="008C40E3">
        <w:rPr>
          <w:rFonts w:asciiTheme="minorHAnsi" w:hAnsiTheme="minorHAnsi" w:cstheme="minorHAnsi"/>
          <w:sz w:val="22"/>
          <w:szCs w:val="22"/>
        </w:rPr>
        <w:t>exceptions process</w:t>
      </w:r>
      <w:r w:rsidR="00837A16">
        <w:rPr>
          <w:rFonts w:asciiTheme="minorHAnsi" w:hAnsiTheme="minorHAnsi" w:cstheme="minorHAnsi"/>
          <w:sz w:val="22"/>
          <w:szCs w:val="22"/>
        </w:rPr>
        <w:t xml:space="preserve"> was designed</w:t>
      </w:r>
      <w:r w:rsidR="00C55EF5">
        <w:rPr>
          <w:rFonts w:asciiTheme="minorHAnsi" w:hAnsiTheme="minorHAnsi" w:cstheme="minorHAnsi"/>
          <w:sz w:val="22"/>
          <w:szCs w:val="22"/>
        </w:rPr>
        <w:t xml:space="preserve"> and managed</w:t>
      </w:r>
      <w:r w:rsidR="00837A16" w:rsidRPr="008C40E3">
        <w:rPr>
          <w:rFonts w:asciiTheme="minorHAnsi" w:hAnsiTheme="minorHAnsi" w:cstheme="minorHAnsi"/>
          <w:sz w:val="22"/>
          <w:szCs w:val="22"/>
        </w:rPr>
        <w:t>.</w:t>
      </w:r>
      <w:r w:rsidR="00837A16">
        <w:rPr>
          <w:rFonts w:asciiTheme="minorHAnsi" w:hAnsiTheme="minorHAnsi" w:cstheme="minorHAnsi"/>
          <w:sz w:val="22"/>
          <w:szCs w:val="22"/>
        </w:rPr>
        <w:t xml:space="preserve"> This</w:t>
      </w:r>
      <w:r w:rsidR="00C55EF5">
        <w:rPr>
          <w:rFonts w:asciiTheme="minorHAnsi" w:hAnsiTheme="minorHAnsi" w:cstheme="minorHAnsi"/>
          <w:sz w:val="22"/>
          <w:szCs w:val="22"/>
        </w:rPr>
        <w:t xml:space="preserve"> finding</w:t>
      </w:r>
      <w:r w:rsidR="00837A16">
        <w:rPr>
          <w:rFonts w:asciiTheme="minorHAnsi" w:hAnsiTheme="minorHAnsi" w:cstheme="minorHAnsi"/>
          <w:sz w:val="22"/>
          <w:szCs w:val="22"/>
        </w:rPr>
        <w:t xml:space="preserve"> supports work that suggests i</w:t>
      </w:r>
      <w:r w:rsidR="00F02082" w:rsidRPr="008C40E3">
        <w:rPr>
          <w:rFonts w:asciiTheme="minorHAnsi" w:hAnsiTheme="minorHAnsi" w:cstheme="minorHAnsi"/>
          <w:sz w:val="22"/>
          <w:szCs w:val="22"/>
        </w:rPr>
        <w:t>nterventions targeting children and young people typically attract the most public support</w:t>
      </w:r>
      <w:r w:rsidR="008C40E3" w:rsidRPr="008C40E3">
        <w:rPr>
          <w:rFonts w:asciiTheme="minorHAnsi" w:hAnsiTheme="minorHAnsi" w:cstheme="minorHAnsi"/>
          <w:color w:val="000000" w:themeColor="text1"/>
          <w:sz w:val="22"/>
          <w:szCs w:val="22"/>
          <w:shd w:val="clear" w:color="auto" w:fill="FFFFFF"/>
        </w:rPr>
        <w:t xml:space="preserve"> </w:t>
      </w:r>
      <w:r w:rsidR="008C40E3" w:rsidRPr="008C40E3">
        <w:rPr>
          <w:rFonts w:asciiTheme="minorHAnsi" w:hAnsiTheme="minorHAnsi" w:cstheme="minorHAnsi"/>
          <w:color w:val="000000" w:themeColor="text1"/>
          <w:sz w:val="22"/>
          <w:szCs w:val="22"/>
          <w:shd w:val="clear" w:color="auto" w:fill="FFFFFF"/>
        </w:rPr>
        <w:fldChar w:fldCharType="begin"/>
      </w:r>
      <w:r w:rsidR="000F2510">
        <w:rPr>
          <w:rFonts w:asciiTheme="minorHAnsi" w:hAnsiTheme="minorHAnsi" w:cstheme="minorHAnsi"/>
          <w:color w:val="000000" w:themeColor="text1"/>
          <w:sz w:val="22"/>
          <w:szCs w:val="22"/>
          <w:shd w:val="clear" w:color="auto" w:fill="FFFFFF"/>
        </w:rPr>
        <w:instrText xml:space="preserve"> ADDIN EN.CITE &lt;EndNote&gt;&lt;Cite&gt;&lt;Author&gt;Diepeveen&lt;/Author&gt;&lt;Year&gt;2013&lt;/Year&gt;&lt;RecNum&gt;30&lt;/RecNum&gt;&lt;DisplayText&gt;(Diepeveen et al., 2013)&lt;/DisplayText&gt;&lt;record&gt;&lt;rec-number&gt;30&lt;/rec-number&gt;&lt;foreign-keys&gt;&lt;key app="EN" db-id="s9vsxe023afd99ezx5qpv5vrrspsex2xrs00" timestamp="1618306780"&gt;30&lt;/key&gt;&lt;/foreign-keys&gt;&lt;ref-type name="Journal Article"&gt;17&lt;/ref-type&gt;&lt;contributors&gt;&lt;authors&gt;&lt;author&gt;Diepeveen, S.&lt;/author&gt;&lt;author&gt;Ling, T.&lt;/author&gt;&lt;author&gt;Suhrcke, M.&lt;/author&gt;&lt;author&gt;Roland, M.&lt;/author&gt;&lt;author&gt;Marteau, T.M.&lt;/author&gt;&lt;/authors&gt;&lt;/contributors&gt;&lt;titles&gt;&lt;title&gt;Public acceptability of government intervention to change health-related behaviours: a systematic review and narrative synthesis&lt;/title&gt;&lt;secondary-title&gt;BMC Public Health&lt;/secondary-title&gt;&lt;/titles&gt;&lt;periodical&gt;&lt;full-title&gt;BMC Public Health&lt;/full-title&gt;&lt;/periodical&gt;&lt;pages&gt;756&lt;/pages&gt;&lt;volume&gt;13&lt;/volume&gt;&lt;dates&gt;&lt;year&gt;2013&lt;/year&gt;&lt;/dates&gt;&lt;urls&gt;&lt;/urls&gt;&lt;/record&gt;&lt;/Cite&gt;&lt;/EndNote&gt;</w:instrText>
      </w:r>
      <w:r w:rsidR="008C40E3" w:rsidRPr="008C40E3">
        <w:rPr>
          <w:rFonts w:asciiTheme="minorHAnsi" w:hAnsiTheme="minorHAnsi" w:cstheme="minorHAnsi"/>
          <w:color w:val="000000" w:themeColor="text1"/>
          <w:sz w:val="22"/>
          <w:szCs w:val="22"/>
          <w:shd w:val="clear" w:color="auto" w:fill="FFFFFF"/>
        </w:rPr>
        <w:fldChar w:fldCharType="separate"/>
      </w:r>
      <w:r w:rsidR="000F2510">
        <w:rPr>
          <w:rFonts w:asciiTheme="minorHAnsi" w:hAnsiTheme="minorHAnsi" w:cstheme="minorHAnsi"/>
          <w:noProof/>
          <w:color w:val="000000" w:themeColor="text1"/>
          <w:sz w:val="22"/>
          <w:szCs w:val="22"/>
          <w:shd w:val="clear" w:color="auto" w:fill="FFFFFF"/>
        </w:rPr>
        <w:t>(Diepeveen et al., 2013)</w:t>
      </w:r>
      <w:r w:rsidR="008C40E3" w:rsidRPr="008C40E3">
        <w:rPr>
          <w:rFonts w:asciiTheme="minorHAnsi" w:hAnsiTheme="minorHAnsi" w:cstheme="minorHAnsi"/>
          <w:color w:val="000000" w:themeColor="text1"/>
          <w:sz w:val="22"/>
          <w:szCs w:val="22"/>
          <w:shd w:val="clear" w:color="auto" w:fill="FFFFFF"/>
        </w:rPr>
        <w:fldChar w:fldCharType="end"/>
      </w:r>
      <w:r w:rsidR="00C55EF5">
        <w:rPr>
          <w:rFonts w:asciiTheme="minorHAnsi" w:hAnsiTheme="minorHAnsi" w:cstheme="minorHAnsi"/>
          <w:color w:val="000000" w:themeColor="text1"/>
          <w:sz w:val="22"/>
          <w:szCs w:val="22"/>
          <w:shd w:val="clear" w:color="auto" w:fill="FFFFFF"/>
        </w:rPr>
        <w:t xml:space="preserve"> and is therefore an important policy consideration</w:t>
      </w:r>
      <w:r w:rsidR="003731CC">
        <w:rPr>
          <w:rFonts w:asciiTheme="minorHAnsi" w:hAnsiTheme="minorHAnsi" w:cstheme="minorHAnsi"/>
          <w:color w:val="000000" w:themeColor="text1"/>
          <w:sz w:val="22"/>
          <w:szCs w:val="22"/>
          <w:shd w:val="clear" w:color="auto" w:fill="FFFFFF"/>
        </w:rPr>
        <w:t>.</w:t>
      </w:r>
      <w:r w:rsidR="008C40E3" w:rsidRPr="008C40E3">
        <w:rPr>
          <w:rFonts w:asciiTheme="minorHAnsi" w:hAnsiTheme="minorHAnsi" w:cstheme="minorHAnsi"/>
          <w:color w:val="000000" w:themeColor="text1"/>
          <w:sz w:val="22"/>
          <w:szCs w:val="22"/>
          <w:shd w:val="clear" w:color="auto" w:fill="FFFFFF"/>
        </w:rPr>
        <w:t xml:space="preserve"> </w:t>
      </w:r>
    </w:p>
    <w:p w14:paraId="199D0114" w14:textId="302D6049" w:rsidR="00BC2A09" w:rsidRDefault="00BC2A09" w:rsidP="00475D3F">
      <w:pPr>
        <w:spacing w:line="360" w:lineRule="auto"/>
        <w:rPr>
          <w:rFonts w:ascii="Calibri" w:hAnsi="Calibri" w:cs="Calibri"/>
          <w:sz w:val="22"/>
          <w:szCs w:val="22"/>
        </w:rPr>
      </w:pPr>
    </w:p>
    <w:p w14:paraId="39219D1D" w14:textId="61CD1523" w:rsidR="009076BF" w:rsidRDefault="00500C90" w:rsidP="00475D3F">
      <w:pPr>
        <w:spacing w:line="360" w:lineRule="auto"/>
        <w:rPr>
          <w:rFonts w:ascii="Calibri" w:hAnsi="Calibri" w:cs="Calibri"/>
          <w:sz w:val="22"/>
          <w:szCs w:val="22"/>
        </w:rPr>
      </w:pPr>
      <w:r>
        <w:rPr>
          <w:rFonts w:ascii="Calibri" w:hAnsi="Calibri" w:cs="Calibri"/>
          <w:sz w:val="22"/>
          <w:szCs w:val="22"/>
        </w:rPr>
        <w:t>Practical issues with using the NPM to operationali</w:t>
      </w:r>
      <w:r w:rsidR="007E41A6">
        <w:rPr>
          <w:rFonts w:ascii="Calibri" w:hAnsi="Calibri" w:cs="Calibri"/>
          <w:sz w:val="22"/>
          <w:szCs w:val="22"/>
        </w:rPr>
        <w:t>s</w:t>
      </w:r>
      <w:r>
        <w:rPr>
          <w:rFonts w:ascii="Calibri" w:hAnsi="Calibri" w:cs="Calibri"/>
          <w:sz w:val="22"/>
          <w:szCs w:val="22"/>
        </w:rPr>
        <w:t xml:space="preserve">e </w:t>
      </w:r>
      <w:r w:rsidR="00200C8F">
        <w:rPr>
          <w:rFonts w:ascii="Calibri" w:hAnsi="Calibri" w:cs="Calibri"/>
          <w:sz w:val="22"/>
          <w:szCs w:val="22"/>
        </w:rPr>
        <w:t>the TfL</w:t>
      </w:r>
      <w:r w:rsidR="00CB4CE0">
        <w:rPr>
          <w:rFonts w:ascii="Calibri" w:hAnsi="Calibri" w:cs="Calibri"/>
          <w:sz w:val="22"/>
          <w:szCs w:val="22"/>
        </w:rPr>
        <w:t xml:space="preserve"> </w:t>
      </w:r>
      <w:r w:rsidR="00677D51">
        <w:rPr>
          <w:rFonts w:ascii="Calibri" w:hAnsi="Calibri" w:cs="Calibri"/>
          <w:sz w:val="22"/>
          <w:szCs w:val="22"/>
        </w:rPr>
        <w:t>policy</w:t>
      </w:r>
      <w:r>
        <w:rPr>
          <w:rFonts w:ascii="Calibri" w:hAnsi="Calibri" w:cs="Calibri"/>
          <w:sz w:val="22"/>
          <w:szCs w:val="22"/>
        </w:rPr>
        <w:t xml:space="preserve"> have been encountered elsewhere. Jenkin</w:t>
      </w:r>
      <w:r w:rsidR="007E41A6">
        <w:rPr>
          <w:rFonts w:ascii="Calibri" w:hAnsi="Calibri" w:cs="Calibri"/>
          <w:sz w:val="22"/>
          <w:szCs w:val="22"/>
        </w:rPr>
        <w:t>,</w:t>
      </w:r>
      <w:r>
        <w:rPr>
          <w:rFonts w:ascii="Calibri" w:hAnsi="Calibri" w:cs="Calibri"/>
          <w:sz w:val="22"/>
          <w:szCs w:val="22"/>
        </w:rPr>
        <w:t xml:space="preserve"> et al</w:t>
      </w:r>
      <w:r w:rsidR="007E41A6">
        <w:rPr>
          <w:rFonts w:ascii="Calibri" w:hAnsi="Calibri" w:cs="Calibri"/>
          <w:sz w:val="22"/>
          <w:szCs w:val="22"/>
        </w:rPr>
        <w:t>.</w:t>
      </w:r>
      <w:r>
        <w:rPr>
          <w:rFonts w:ascii="Calibri" w:hAnsi="Calibri" w:cs="Calibri"/>
          <w:sz w:val="22"/>
          <w:szCs w:val="22"/>
        </w:rPr>
        <w:t xml:space="preserve"> suggest that consideration should be given to the categori</w:t>
      </w:r>
      <w:r w:rsidR="007E41A6">
        <w:rPr>
          <w:rFonts w:ascii="Calibri" w:hAnsi="Calibri" w:cs="Calibri"/>
          <w:sz w:val="22"/>
          <w:szCs w:val="22"/>
        </w:rPr>
        <w:t>s</w:t>
      </w:r>
      <w:r>
        <w:rPr>
          <w:rFonts w:ascii="Calibri" w:hAnsi="Calibri" w:cs="Calibri"/>
          <w:sz w:val="22"/>
          <w:szCs w:val="22"/>
        </w:rPr>
        <w:t>ation of condiments and ingredients in order to either exempt them altogether or make them subject to different rules</w:t>
      </w:r>
      <w:r w:rsidR="003F0F91">
        <w:rPr>
          <w:rFonts w:ascii="Calibri" w:hAnsi="Calibri" w:cs="Calibri"/>
          <w:sz w:val="22"/>
          <w:szCs w:val="22"/>
        </w:rPr>
        <w:t>, thereby avoid</w:t>
      </w:r>
      <w:r w:rsidR="00677D51">
        <w:rPr>
          <w:rFonts w:ascii="Calibri" w:hAnsi="Calibri" w:cs="Calibri"/>
          <w:sz w:val="22"/>
          <w:szCs w:val="22"/>
        </w:rPr>
        <w:t>ing</w:t>
      </w:r>
      <w:r w:rsidR="003F0F91">
        <w:rPr>
          <w:rFonts w:ascii="Calibri" w:hAnsi="Calibri" w:cs="Calibri"/>
          <w:sz w:val="22"/>
          <w:szCs w:val="22"/>
        </w:rPr>
        <w:t xml:space="preserve"> controversies over ‘banning’ them </w:t>
      </w:r>
      <w:r w:rsidR="003F0F91">
        <w:rPr>
          <w:rFonts w:ascii="Calibri" w:hAnsi="Calibri" w:cs="Calibri"/>
          <w:sz w:val="22"/>
          <w:szCs w:val="22"/>
        </w:rPr>
        <w:fldChar w:fldCharType="begin"/>
      </w:r>
      <w:r w:rsidR="000F2510">
        <w:rPr>
          <w:rFonts w:ascii="Calibri" w:hAnsi="Calibri" w:cs="Calibri"/>
          <w:sz w:val="22"/>
          <w:szCs w:val="22"/>
        </w:rPr>
        <w:instrText xml:space="preserve"> ADDIN EN.CITE &lt;EndNote&gt;&lt;Cite&gt;&lt;Author&gt;Jenkin&lt;/Author&gt;&lt;Year&gt;2008&lt;/Year&gt;&lt;RecNum&gt;31&lt;/RecNum&gt;&lt;DisplayText&gt;(Jenkin et al., 2008)&lt;/DisplayText&gt;&lt;record&gt;&lt;rec-number&gt;31&lt;/rec-number&gt;&lt;foreign-keys&gt;&lt;key app="EN" db-id="s9vsxe023afd99ezx5qpv5vrrspsex2xrs00" timestamp="1618306780"&gt;31&lt;/key&gt;&lt;/foreign-keys&gt;&lt;ref-type name="Journal Article"&gt;17&lt;/ref-type&gt;&lt;contributors&gt;&lt;authors&gt;&lt;author&gt;Jenkin, G.&lt;/author&gt;&lt;author&gt;Wilson, N.&lt;/author&gt;&lt;author&gt;Hermanson, N.&lt;/author&gt;&lt;/authors&gt;&lt;/contributors&gt;&lt;titles&gt;&lt;title&gt;Identifying ‘unhealthy’ food advertising on television: a case study applying the UK Nutrient Profile model&lt;/title&gt;&lt;secondary-title&gt;Public Health Nutrition&lt;/secondary-title&gt;&lt;/titles&gt;&lt;periodical&gt;&lt;full-title&gt;Public Health Nutrition&lt;/full-title&gt;&lt;/periodical&gt;&lt;pages&gt;614-623&lt;/pages&gt;&lt;volume&gt;12&lt;/volume&gt;&lt;number&gt;5&lt;/number&gt;&lt;dates&gt;&lt;year&gt;2008&lt;/year&gt;&lt;/dates&gt;&lt;urls&gt;&lt;/urls&gt;&lt;/record&gt;&lt;/Cite&gt;&lt;/EndNote&gt;</w:instrText>
      </w:r>
      <w:r w:rsidR="003F0F91">
        <w:rPr>
          <w:rFonts w:ascii="Calibri" w:hAnsi="Calibri" w:cs="Calibri"/>
          <w:sz w:val="22"/>
          <w:szCs w:val="22"/>
        </w:rPr>
        <w:fldChar w:fldCharType="separate"/>
      </w:r>
      <w:r w:rsidR="000F2510">
        <w:rPr>
          <w:rFonts w:ascii="Calibri" w:hAnsi="Calibri" w:cs="Calibri"/>
          <w:noProof/>
          <w:sz w:val="22"/>
          <w:szCs w:val="22"/>
        </w:rPr>
        <w:t>(Jenkin et al., 2008)</w:t>
      </w:r>
      <w:r w:rsidR="003F0F91">
        <w:rPr>
          <w:rFonts w:ascii="Calibri" w:hAnsi="Calibri" w:cs="Calibri"/>
          <w:sz w:val="22"/>
          <w:szCs w:val="22"/>
        </w:rPr>
        <w:fldChar w:fldCharType="end"/>
      </w:r>
      <w:r w:rsidR="003F0F91">
        <w:rPr>
          <w:rFonts w:ascii="Calibri" w:hAnsi="Calibri" w:cs="Calibri"/>
          <w:sz w:val="22"/>
          <w:szCs w:val="22"/>
        </w:rPr>
        <w:t xml:space="preserve">. Nutrient </w:t>
      </w:r>
      <w:r w:rsidR="00DF765B">
        <w:rPr>
          <w:rFonts w:ascii="Calibri" w:hAnsi="Calibri" w:cs="Calibri"/>
          <w:sz w:val="22"/>
          <w:szCs w:val="22"/>
        </w:rPr>
        <w:t xml:space="preserve">profiling </w:t>
      </w:r>
      <w:r w:rsidR="003F0F91">
        <w:rPr>
          <w:rFonts w:ascii="Calibri" w:hAnsi="Calibri" w:cs="Calibri"/>
          <w:sz w:val="22"/>
          <w:szCs w:val="22"/>
        </w:rPr>
        <w:t xml:space="preserve">models do not come with </w:t>
      </w:r>
      <w:r w:rsidR="00094004">
        <w:rPr>
          <w:rFonts w:ascii="Calibri" w:hAnsi="Calibri" w:cs="Calibri"/>
          <w:sz w:val="22"/>
          <w:szCs w:val="22"/>
        </w:rPr>
        <w:t>recommendations</w:t>
      </w:r>
      <w:r w:rsidR="003F0F91">
        <w:rPr>
          <w:rFonts w:ascii="Calibri" w:hAnsi="Calibri" w:cs="Calibri"/>
          <w:sz w:val="22"/>
          <w:szCs w:val="22"/>
        </w:rPr>
        <w:t xml:space="preserve"> </w:t>
      </w:r>
      <w:r w:rsidR="00094004">
        <w:rPr>
          <w:rFonts w:ascii="Calibri" w:hAnsi="Calibri" w:cs="Calibri"/>
          <w:sz w:val="22"/>
          <w:szCs w:val="22"/>
        </w:rPr>
        <w:t xml:space="preserve">about how to </w:t>
      </w:r>
      <w:r w:rsidR="003F0F91">
        <w:rPr>
          <w:rFonts w:ascii="Calibri" w:hAnsi="Calibri" w:cs="Calibri"/>
          <w:sz w:val="22"/>
          <w:szCs w:val="22"/>
        </w:rPr>
        <w:t xml:space="preserve">apply </w:t>
      </w:r>
      <w:r w:rsidR="00433BF7">
        <w:rPr>
          <w:rFonts w:ascii="Calibri" w:hAnsi="Calibri" w:cs="Calibri"/>
          <w:sz w:val="22"/>
          <w:szCs w:val="22"/>
        </w:rPr>
        <w:t xml:space="preserve">them </w:t>
      </w:r>
      <w:r w:rsidR="003F0F91">
        <w:rPr>
          <w:rFonts w:ascii="Calibri" w:hAnsi="Calibri" w:cs="Calibri"/>
          <w:sz w:val="22"/>
          <w:szCs w:val="22"/>
        </w:rPr>
        <w:t>to real-world adverti</w:t>
      </w:r>
      <w:r w:rsidR="00094004">
        <w:rPr>
          <w:rFonts w:ascii="Calibri" w:hAnsi="Calibri" w:cs="Calibri"/>
          <w:sz w:val="22"/>
          <w:szCs w:val="22"/>
        </w:rPr>
        <w:t>sing policies</w:t>
      </w:r>
      <w:r w:rsidR="003F0F91">
        <w:rPr>
          <w:rFonts w:ascii="Calibri" w:hAnsi="Calibri" w:cs="Calibri"/>
          <w:sz w:val="22"/>
          <w:szCs w:val="22"/>
        </w:rPr>
        <w:t xml:space="preserve"> and so implementers have to make </w:t>
      </w:r>
      <w:r w:rsidR="00094004">
        <w:rPr>
          <w:rFonts w:ascii="Calibri" w:hAnsi="Calibri" w:cs="Calibri"/>
          <w:sz w:val="22"/>
          <w:szCs w:val="22"/>
        </w:rPr>
        <w:t xml:space="preserve">their own </w:t>
      </w:r>
      <w:r w:rsidR="003F0F91">
        <w:rPr>
          <w:rFonts w:ascii="Calibri" w:hAnsi="Calibri" w:cs="Calibri"/>
          <w:sz w:val="22"/>
          <w:szCs w:val="22"/>
        </w:rPr>
        <w:t xml:space="preserve">judgments on </w:t>
      </w:r>
      <w:r w:rsidR="000C09AF">
        <w:rPr>
          <w:rFonts w:ascii="Calibri" w:hAnsi="Calibri" w:cs="Calibri"/>
          <w:sz w:val="22"/>
          <w:szCs w:val="22"/>
        </w:rPr>
        <w:t xml:space="preserve">whether and </w:t>
      </w:r>
      <w:r w:rsidR="003F0F91">
        <w:rPr>
          <w:rFonts w:ascii="Calibri" w:hAnsi="Calibri" w:cs="Calibri"/>
          <w:sz w:val="22"/>
          <w:szCs w:val="22"/>
        </w:rPr>
        <w:t xml:space="preserve">how </w:t>
      </w:r>
      <w:r w:rsidR="007524FB">
        <w:rPr>
          <w:rFonts w:ascii="Calibri" w:hAnsi="Calibri" w:cs="Calibri"/>
          <w:sz w:val="22"/>
          <w:szCs w:val="22"/>
        </w:rPr>
        <w:t xml:space="preserve">to </w:t>
      </w:r>
      <w:r w:rsidR="003F0F91">
        <w:rPr>
          <w:rFonts w:ascii="Calibri" w:hAnsi="Calibri" w:cs="Calibri"/>
          <w:sz w:val="22"/>
          <w:szCs w:val="22"/>
        </w:rPr>
        <w:t xml:space="preserve">adapt </w:t>
      </w:r>
      <w:r w:rsidR="007E41A6">
        <w:rPr>
          <w:rFonts w:ascii="Calibri" w:hAnsi="Calibri" w:cs="Calibri"/>
          <w:sz w:val="22"/>
          <w:szCs w:val="22"/>
        </w:rPr>
        <w:t>them</w:t>
      </w:r>
      <w:r w:rsidR="003F0F91">
        <w:rPr>
          <w:rFonts w:ascii="Calibri" w:hAnsi="Calibri" w:cs="Calibri"/>
          <w:sz w:val="22"/>
          <w:szCs w:val="22"/>
        </w:rPr>
        <w:t>. Additional contextual decisions have to be made on how strict the regulation should be and which food categories are broadly ‘healthy’ or ‘unhealthy</w:t>
      </w:r>
      <w:r w:rsidR="003F0F91" w:rsidRPr="005B2A50">
        <w:rPr>
          <w:rFonts w:ascii="Calibri" w:hAnsi="Calibri" w:cs="Calibri"/>
          <w:sz w:val="22"/>
          <w:szCs w:val="22"/>
        </w:rPr>
        <w:t xml:space="preserve">’ </w:t>
      </w:r>
      <w:r w:rsidR="003F0F91" w:rsidRPr="00CE3CCA">
        <w:rPr>
          <w:rFonts w:ascii="Calibri" w:hAnsi="Calibri" w:cs="Calibri"/>
          <w:sz w:val="22"/>
          <w:szCs w:val="22"/>
        </w:rPr>
        <w:fldChar w:fldCharType="begin"/>
      </w:r>
      <w:r w:rsidR="000F2510" w:rsidRPr="00CE3CCA">
        <w:rPr>
          <w:rFonts w:ascii="Calibri" w:hAnsi="Calibri" w:cs="Calibri"/>
          <w:sz w:val="22"/>
          <w:szCs w:val="22"/>
        </w:rPr>
        <w:instrText xml:space="preserve"> ADDIN EN.CITE &lt;EndNote&gt;&lt;Cite&gt;&lt;Author&gt;Scarborough&lt;/Author&gt;&lt;Year&gt;2013&lt;/Year&gt;&lt;RecNum&gt;32&lt;/RecNum&gt;&lt;DisplayText&gt;(Scarborough et al., 2013)&lt;/DisplayText&gt;&lt;record&gt;&lt;rec-number&gt;32&lt;/rec-number&gt;&lt;foreign-keys&gt;&lt;key app="EN" db-id="s9vsxe023afd99ezx5qpv5vrrspsex2xrs00" timestamp="1618306780"&gt;32&lt;/key&gt;&lt;/foreign-keys&gt;&lt;ref-type name="Journal Article"&gt;17&lt;/ref-type&gt;&lt;contributors&gt;&lt;authors&gt;&lt;author&gt;Scarborough, P.&lt;/author&gt;&lt;author&gt;Payne, C.&lt;/author&gt;&lt;author&gt;Agu, C.G.&lt;/author&gt;&lt;author&gt;Kaur, A.&lt;/author&gt;&lt;author&gt;Mizdrak, A. &lt;/author&gt;&lt;author&gt;Rayner, M.&lt;/author&gt;&lt;/authors&gt;&lt;/contributors&gt;&lt;titles&gt;&lt;title&gt;How important is the choice of the nutrient profile model used to regulate broadcast advertising of foods to children? A comparison using a targeted data set&lt;/title&gt;&lt;secondary-title&gt;European Journal of Clinical Nutrition&lt;/secondary-title&gt;&lt;/titles&gt;&lt;periodical&gt;&lt;full-title&gt;European Journal of Clinical Nutrition&lt;/full-title&gt;&lt;/periodical&gt;&lt;pages&gt;815-820&lt;/pages&gt;&lt;volume&gt;67&lt;/volume&gt;&lt;dates&gt;&lt;year&gt;2013&lt;/year&gt;&lt;/dates&gt;&lt;urls&gt;&lt;/urls&gt;&lt;/record&gt;&lt;/Cite&gt;&lt;/EndNote&gt;</w:instrText>
      </w:r>
      <w:r w:rsidR="003F0F91" w:rsidRPr="00CE3CCA">
        <w:rPr>
          <w:rFonts w:ascii="Calibri" w:hAnsi="Calibri" w:cs="Calibri"/>
          <w:sz w:val="22"/>
          <w:szCs w:val="22"/>
        </w:rPr>
        <w:fldChar w:fldCharType="separate"/>
      </w:r>
      <w:r w:rsidR="006D1623" w:rsidRPr="00CE3CCA">
        <w:rPr>
          <w:rFonts w:ascii="Calibri" w:hAnsi="Calibri" w:cs="Calibri"/>
          <w:noProof/>
          <w:sz w:val="22"/>
          <w:szCs w:val="22"/>
        </w:rPr>
        <w:t>(Scarborough et al., 2013)</w:t>
      </w:r>
      <w:r w:rsidR="003F0F91" w:rsidRPr="00CE3CCA">
        <w:rPr>
          <w:rFonts w:ascii="Calibri" w:hAnsi="Calibri" w:cs="Calibri"/>
          <w:sz w:val="22"/>
          <w:szCs w:val="22"/>
        </w:rPr>
        <w:fldChar w:fldCharType="end"/>
      </w:r>
      <w:r w:rsidR="003F0F91" w:rsidRPr="00CE3CCA">
        <w:rPr>
          <w:rFonts w:ascii="Calibri" w:hAnsi="Calibri" w:cs="Calibri"/>
          <w:sz w:val="22"/>
          <w:szCs w:val="22"/>
        </w:rPr>
        <w:t>.</w:t>
      </w:r>
      <w:r w:rsidR="00094004" w:rsidRPr="00CE3CCA">
        <w:rPr>
          <w:rFonts w:ascii="Calibri" w:hAnsi="Calibri" w:cs="Calibri"/>
          <w:sz w:val="22"/>
          <w:szCs w:val="22"/>
        </w:rPr>
        <w:t xml:space="preserve"> </w:t>
      </w:r>
      <w:r w:rsidR="00200CE5" w:rsidRPr="00CE3CCA">
        <w:rPr>
          <w:rFonts w:ascii="Calibri" w:hAnsi="Calibri" w:cs="Calibri"/>
          <w:sz w:val="22"/>
          <w:szCs w:val="22"/>
        </w:rPr>
        <w:t>In addition, use of the NPM does not allow consideration of brand-only marketing within the design of the policy. Brand-only marketing has shown to be associated with brand awareness and brand loyalty and may be a driver of product purchases from these brands, irrespective of whether products themselves are advertised (</w:t>
      </w:r>
      <w:r w:rsidR="00FE7048" w:rsidRPr="00CE3CCA">
        <w:rPr>
          <w:rFonts w:ascii="Calibri" w:hAnsi="Calibri" w:cs="Calibri"/>
          <w:sz w:val="22"/>
          <w:szCs w:val="22"/>
        </w:rPr>
        <w:t xml:space="preserve">Gabrielli et al 2021; </w:t>
      </w:r>
      <w:r w:rsidR="00200CE5" w:rsidRPr="00CE3CCA">
        <w:rPr>
          <w:rFonts w:ascii="Calibri" w:hAnsi="Calibri" w:cs="Calibri"/>
          <w:sz w:val="22"/>
          <w:szCs w:val="22"/>
        </w:rPr>
        <w:t>Fischer et al</w:t>
      </w:r>
      <w:r w:rsidR="00FE7048" w:rsidRPr="00CE3CCA">
        <w:rPr>
          <w:rFonts w:ascii="Calibri" w:hAnsi="Calibri" w:cs="Calibri"/>
          <w:sz w:val="22"/>
          <w:szCs w:val="22"/>
        </w:rPr>
        <w:t>, 1991).</w:t>
      </w:r>
      <w:r w:rsidR="00FE7048">
        <w:rPr>
          <w:rFonts w:ascii="Calibri" w:hAnsi="Calibri" w:cs="Calibri"/>
          <w:sz w:val="22"/>
          <w:szCs w:val="22"/>
        </w:rPr>
        <w:t xml:space="preserve"> </w:t>
      </w:r>
      <w:r w:rsidR="00094004">
        <w:rPr>
          <w:rFonts w:asciiTheme="minorHAnsi" w:eastAsia="SimSun" w:hAnsiTheme="minorHAnsi" w:cstheme="minorBidi"/>
          <w:sz w:val="22"/>
          <w:szCs w:val="22"/>
          <w:lang w:val="en-GB" w:eastAsia="en-US"/>
        </w:rPr>
        <w:t xml:space="preserve">As we have discussed elsewhere </w:t>
      </w:r>
      <w:r w:rsidR="00872594">
        <w:rPr>
          <w:rFonts w:asciiTheme="minorHAnsi" w:eastAsia="SimSun" w:hAnsiTheme="minorHAnsi" w:cstheme="minorBidi"/>
          <w:sz w:val="22"/>
          <w:szCs w:val="22"/>
          <w:lang w:val="en-GB" w:eastAsia="en-US"/>
        </w:rPr>
        <w:fldChar w:fldCharType="begin"/>
      </w:r>
      <w:r w:rsidR="00872594">
        <w:rPr>
          <w:rFonts w:asciiTheme="minorHAnsi" w:eastAsia="SimSun" w:hAnsiTheme="minorHAnsi" w:cstheme="minorBidi"/>
          <w:sz w:val="22"/>
          <w:szCs w:val="22"/>
          <w:lang w:val="en-GB" w:eastAsia="en-US"/>
        </w:rPr>
        <w:instrText xml:space="preserve"> ADDIN EN.CITE &lt;EndNote&gt;&lt;Cite&gt;&lt;Author&gt;Thompson&lt;/Author&gt;&lt;Year&gt;2021&lt;/Year&gt;&lt;RecNum&gt;5&lt;/RecNum&gt;&lt;DisplayText&gt;(Thompson et al., 2021)&lt;/DisplayText&gt;&lt;record&gt;&lt;rec-number&gt;5&lt;/rec-number&gt;&lt;foreign-keys&gt;&lt;key app="EN" db-id="sss5fawwwvare6ezfa7vt50n9ssaptxaa02w" timestamp="1623398955"&gt;5&lt;/key&gt;&lt;/foreign-keys&gt;&lt;ref-type name="Journal Article"&gt;17&lt;/ref-type&gt;&lt;contributors&gt;&lt;authors&gt;&lt;author&gt;Thompson, C.&lt;/author&gt;&lt;author&gt;Clary, C.&lt;/author&gt;&lt;author&gt;Er, V.&lt;/author&gt;&lt;author&gt;Adams, J.&lt;/author&gt;&lt;author&gt;Boyland, E.&lt;/author&gt;&lt;author&gt;Burgoine, T.&lt;/author&gt;&lt;author&gt;Cornelsen, L.&lt;/author&gt;&lt;author&gt;de Vocht, F.&lt;/author&gt;&lt;author&gt;Egan, M.&lt;/author&gt;&lt;author&gt;Lake, A.A.&lt;/author&gt;&lt;author&gt;Lock, K.&lt;/author&gt;&lt;author&gt;Mytton, O.&lt;/author&gt;&lt;author&gt;Petticrew, M.&lt;/author&gt;&lt;author&gt;White, M.&lt;/author&gt;&lt;author&gt;Yau, A.&lt;/author&gt;&lt;author&gt;Cummins, S.&lt;/author&gt;&lt;/authors&gt;&lt;/contributors&gt;&lt;titles&gt;&lt;title&gt;Media representations of opposition to the ‘junk food advertising ban’ on the Transport for London (TfL) network: a thematic content analysis of UK news and trade press&lt;/title&gt;&lt;secondary-title&gt;Forthcomming&lt;/secondary-title&gt;&lt;/titles&gt;&lt;dates&gt;&lt;year&gt;2021&lt;/year&gt;&lt;/dates&gt;&lt;urls&gt;&lt;/urls&gt;&lt;/record&gt;&lt;/Cite&gt;&lt;/EndNote&gt;</w:instrText>
      </w:r>
      <w:r w:rsidR="00872594">
        <w:rPr>
          <w:rFonts w:asciiTheme="minorHAnsi" w:eastAsia="SimSun" w:hAnsiTheme="minorHAnsi" w:cstheme="minorBidi"/>
          <w:sz w:val="22"/>
          <w:szCs w:val="22"/>
          <w:lang w:val="en-GB" w:eastAsia="en-US"/>
        </w:rPr>
        <w:fldChar w:fldCharType="separate"/>
      </w:r>
      <w:r w:rsidR="00872594">
        <w:rPr>
          <w:rFonts w:asciiTheme="minorHAnsi" w:eastAsia="SimSun" w:hAnsiTheme="minorHAnsi" w:cstheme="minorBidi"/>
          <w:noProof/>
          <w:sz w:val="22"/>
          <w:szCs w:val="22"/>
          <w:lang w:val="en-GB" w:eastAsia="en-US"/>
        </w:rPr>
        <w:t>(Thompson et al., 2021)</w:t>
      </w:r>
      <w:r w:rsidR="00872594">
        <w:rPr>
          <w:rFonts w:asciiTheme="minorHAnsi" w:eastAsia="SimSun" w:hAnsiTheme="minorHAnsi" w:cstheme="minorBidi"/>
          <w:sz w:val="22"/>
          <w:szCs w:val="22"/>
          <w:lang w:val="en-GB" w:eastAsia="en-US"/>
        </w:rPr>
        <w:fldChar w:fldCharType="end"/>
      </w:r>
      <w:r w:rsidR="00872594">
        <w:rPr>
          <w:rFonts w:asciiTheme="minorHAnsi" w:eastAsia="SimSun" w:hAnsiTheme="minorHAnsi" w:cstheme="minorBidi"/>
          <w:sz w:val="22"/>
          <w:szCs w:val="22"/>
          <w:lang w:val="en-GB" w:eastAsia="en-US"/>
        </w:rPr>
        <w:t xml:space="preserve">, </w:t>
      </w:r>
      <w:r w:rsidR="00094004">
        <w:rPr>
          <w:rFonts w:asciiTheme="minorHAnsi" w:eastAsia="SimSun" w:hAnsiTheme="minorHAnsi" w:cstheme="minorBidi"/>
          <w:sz w:val="22"/>
          <w:szCs w:val="22"/>
          <w:lang w:val="en-GB" w:eastAsia="en-US"/>
        </w:rPr>
        <w:t>t</w:t>
      </w:r>
      <w:r w:rsidR="00094004" w:rsidRPr="002605C7">
        <w:rPr>
          <w:rFonts w:asciiTheme="minorHAnsi" w:eastAsia="SimSun" w:hAnsiTheme="minorHAnsi" w:cstheme="minorBidi"/>
          <w:sz w:val="22"/>
          <w:szCs w:val="22"/>
          <w:lang w:val="en-GB" w:eastAsia="en-US"/>
        </w:rPr>
        <w:t xml:space="preserve">ools, such as the NPM, are works in progress that need to be updated and modified for specific uses and contexts. </w:t>
      </w:r>
      <w:r w:rsidR="00094004">
        <w:rPr>
          <w:rFonts w:ascii="Calibri" w:hAnsi="Calibri" w:cs="Calibri"/>
          <w:sz w:val="22"/>
          <w:szCs w:val="22"/>
        </w:rPr>
        <w:t xml:space="preserve">Previous research has suggested that the NPM is not always a consistent discriminator of what constitutes a less healthy product </w:t>
      </w:r>
      <w:r w:rsidR="00BC4091">
        <w:rPr>
          <w:rFonts w:ascii="Calibri" w:hAnsi="Calibri" w:cs="Calibri"/>
          <w:sz w:val="22"/>
          <w:szCs w:val="22"/>
        </w:rPr>
        <w:fldChar w:fldCharType="begin"/>
      </w:r>
      <w:r w:rsidR="00BC4091">
        <w:rPr>
          <w:rFonts w:ascii="Calibri" w:hAnsi="Calibri" w:cs="Calibri"/>
          <w:sz w:val="22"/>
          <w:szCs w:val="22"/>
        </w:rPr>
        <w:instrText xml:space="preserve"> ADDIN EN.CITE &lt;EndNote&gt;&lt;Cite&gt;&lt;Author&gt;Mytton&lt;/Author&gt;&lt;Year&gt;2018&lt;/Year&gt;&lt;RecNum&gt;40&lt;/RecNum&gt;&lt;DisplayText&gt;(Mytton et al., 2018)&lt;/DisplayText&gt;&lt;record&gt;&lt;rec-number&gt;40&lt;/rec-number&gt;&lt;foreign-keys&gt;&lt;key app="EN" db-id="s9vsxe023afd99ezx5qpv5vrrspsex2xrs00" timestamp="1623409028"&gt;40&lt;/key&gt;&lt;/foreign-keys&gt;&lt;ref-type name="Journal Article"&gt;17&lt;/ref-type&gt;&lt;contributors&gt;&lt;authors&gt;&lt;author&gt;Mytton, OT&lt;/author&gt;&lt;author&gt;Forouhi, NG&lt;/author&gt;&lt;author&gt;Scarborough, P.&lt;/author&gt;&lt;author&gt;Lentjes, M&lt;/author&gt;&lt;author&gt;Luben, R&lt;/author&gt;&lt;author&gt;Rayner, M.&lt;/author&gt;&lt;author&gt;Khaw, KT&lt;/author&gt;&lt;author&gt;Wareham, NJ&lt;/author&gt;&lt;author&gt;Monsivais, P.&lt;/author&gt;&lt;/authors&gt;&lt;/contributors&gt;&lt;titles&gt;&lt;title&gt;Association between intake of less-healthy foods defined by the United Kingdom&amp;apos;s nutrient profile model and cardiovascular disease: A population-based cohort study&lt;/title&gt;&lt;secondary-title&gt;PLOS Medicine&lt;/secondary-title&gt;&lt;/titles&gt;&lt;periodical&gt;&lt;full-title&gt;PLOS Medicine&lt;/full-title&gt;&lt;/periodical&gt;&lt;pages&gt;e1002484&lt;/pages&gt;&lt;volume&gt;15&lt;/volume&gt;&lt;number&gt;1&lt;/number&gt;&lt;dates&gt;&lt;year&gt;2018&lt;/year&gt;&lt;pub-dates&gt;&lt;date&gt;2018&lt;/date&gt;&lt;/pub-dates&gt;&lt;/dates&gt;&lt;urls&gt;&lt;/urls&gt;&lt;electronic-resource-num&gt;10.1371/journal.pmed.1002484&lt;/electronic-resource-num&gt;&lt;/record&gt;&lt;/Cite&gt;&lt;/EndNote&gt;</w:instrText>
      </w:r>
      <w:r w:rsidR="00BC4091">
        <w:rPr>
          <w:rFonts w:ascii="Calibri" w:hAnsi="Calibri" w:cs="Calibri"/>
          <w:sz w:val="22"/>
          <w:szCs w:val="22"/>
        </w:rPr>
        <w:fldChar w:fldCharType="separate"/>
      </w:r>
      <w:r w:rsidR="00BC4091">
        <w:rPr>
          <w:rFonts w:ascii="Calibri" w:hAnsi="Calibri" w:cs="Calibri"/>
          <w:noProof/>
          <w:sz w:val="22"/>
          <w:szCs w:val="22"/>
        </w:rPr>
        <w:t>(Mytton et al., 2018)</w:t>
      </w:r>
      <w:r w:rsidR="00BC4091">
        <w:rPr>
          <w:rFonts w:ascii="Calibri" w:hAnsi="Calibri" w:cs="Calibri"/>
          <w:sz w:val="22"/>
          <w:szCs w:val="22"/>
        </w:rPr>
        <w:fldChar w:fldCharType="end"/>
      </w:r>
      <w:r w:rsidR="00094004">
        <w:rPr>
          <w:rFonts w:ascii="Calibri" w:hAnsi="Calibri" w:cs="Calibri"/>
          <w:sz w:val="22"/>
          <w:szCs w:val="22"/>
        </w:rPr>
        <w:t xml:space="preserve">. A key lesson for policy is that, in the short-term, there is a need to </w:t>
      </w:r>
      <w:r w:rsidR="00094004">
        <w:rPr>
          <w:rFonts w:asciiTheme="minorHAnsi" w:eastAsia="SimSun" w:hAnsiTheme="minorHAnsi" w:cstheme="minorBidi"/>
          <w:sz w:val="22"/>
          <w:szCs w:val="22"/>
          <w:lang w:val="en-GB" w:eastAsia="en-US"/>
        </w:rPr>
        <w:t>develop</w:t>
      </w:r>
      <w:r w:rsidR="00094004" w:rsidRPr="002605C7">
        <w:rPr>
          <w:rFonts w:asciiTheme="minorHAnsi" w:eastAsia="SimSun" w:hAnsiTheme="minorHAnsi" w:cstheme="minorBidi"/>
          <w:sz w:val="22"/>
          <w:szCs w:val="22"/>
          <w:lang w:val="en-GB" w:eastAsia="en-US"/>
        </w:rPr>
        <w:t xml:space="preserve"> processes to </w:t>
      </w:r>
      <w:r w:rsidR="00094004">
        <w:rPr>
          <w:rFonts w:asciiTheme="minorHAnsi" w:eastAsia="SimSun" w:hAnsiTheme="minorHAnsi" w:cstheme="minorBidi"/>
          <w:sz w:val="22"/>
          <w:szCs w:val="22"/>
          <w:lang w:val="en-GB" w:eastAsia="en-US"/>
        </w:rPr>
        <w:lastRenderedPageBreak/>
        <w:t xml:space="preserve">better </w:t>
      </w:r>
      <w:r w:rsidR="00094004" w:rsidRPr="002605C7">
        <w:rPr>
          <w:rFonts w:asciiTheme="minorHAnsi" w:eastAsia="SimSun" w:hAnsiTheme="minorHAnsi" w:cstheme="minorBidi"/>
          <w:sz w:val="22"/>
          <w:szCs w:val="22"/>
          <w:lang w:val="en-GB" w:eastAsia="en-US"/>
        </w:rPr>
        <w:t xml:space="preserve">accommodate </w:t>
      </w:r>
      <w:r w:rsidR="00094004">
        <w:rPr>
          <w:rFonts w:asciiTheme="minorHAnsi" w:eastAsia="SimSun" w:hAnsiTheme="minorHAnsi" w:cstheme="minorBidi"/>
          <w:sz w:val="22"/>
          <w:szCs w:val="22"/>
          <w:lang w:val="en-GB" w:eastAsia="en-US"/>
        </w:rPr>
        <w:t>the nuances surrounding the implementation</w:t>
      </w:r>
      <w:r w:rsidR="00094004" w:rsidRPr="002605C7">
        <w:rPr>
          <w:rFonts w:asciiTheme="minorHAnsi" w:eastAsia="SimSun" w:hAnsiTheme="minorHAnsi" w:cstheme="minorBidi"/>
          <w:sz w:val="22"/>
          <w:szCs w:val="22"/>
          <w:lang w:val="en-GB" w:eastAsia="en-US"/>
        </w:rPr>
        <w:t xml:space="preserve"> </w:t>
      </w:r>
      <w:r w:rsidR="00094004">
        <w:rPr>
          <w:rFonts w:asciiTheme="minorHAnsi" w:eastAsia="SimSun" w:hAnsiTheme="minorHAnsi" w:cstheme="minorBidi"/>
          <w:sz w:val="22"/>
          <w:szCs w:val="22"/>
          <w:lang w:val="en-GB" w:eastAsia="en-US"/>
        </w:rPr>
        <w:t xml:space="preserve">of specific policies </w:t>
      </w:r>
      <w:r w:rsidR="00094004" w:rsidRPr="002605C7">
        <w:rPr>
          <w:rFonts w:asciiTheme="minorHAnsi" w:eastAsia="SimSun" w:hAnsiTheme="minorHAnsi" w:cstheme="minorBidi"/>
          <w:sz w:val="22"/>
          <w:szCs w:val="22"/>
          <w:lang w:val="en-GB" w:eastAsia="en-US"/>
        </w:rPr>
        <w:t>(i.e.</w:t>
      </w:r>
      <w:r w:rsidR="00094004">
        <w:rPr>
          <w:rFonts w:asciiTheme="minorHAnsi" w:eastAsia="SimSun" w:hAnsiTheme="minorHAnsi" w:cstheme="minorBidi"/>
          <w:sz w:val="22"/>
          <w:szCs w:val="22"/>
          <w:lang w:val="en-GB" w:eastAsia="en-US"/>
        </w:rPr>
        <w:t xml:space="preserve"> in the case of Tf</w:t>
      </w:r>
      <w:r w:rsidR="00872594">
        <w:rPr>
          <w:rFonts w:asciiTheme="minorHAnsi" w:eastAsia="SimSun" w:hAnsiTheme="minorHAnsi" w:cstheme="minorBidi"/>
          <w:sz w:val="22"/>
          <w:szCs w:val="22"/>
          <w:lang w:val="en-GB" w:eastAsia="en-US"/>
        </w:rPr>
        <w:t>L</w:t>
      </w:r>
      <w:r w:rsidR="00094004">
        <w:rPr>
          <w:rFonts w:asciiTheme="minorHAnsi" w:eastAsia="SimSun" w:hAnsiTheme="minorHAnsi" w:cstheme="minorBidi"/>
          <w:sz w:val="22"/>
          <w:szCs w:val="22"/>
          <w:lang w:val="en-GB" w:eastAsia="en-US"/>
        </w:rPr>
        <w:t xml:space="preserve">, </w:t>
      </w:r>
      <w:r w:rsidR="00094004" w:rsidRPr="002605C7">
        <w:rPr>
          <w:rFonts w:asciiTheme="minorHAnsi" w:eastAsia="SimSun" w:hAnsiTheme="minorHAnsi" w:cstheme="minorBidi"/>
          <w:sz w:val="22"/>
          <w:szCs w:val="22"/>
          <w:lang w:val="en-GB" w:eastAsia="en-US"/>
        </w:rPr>
        <w:t>the exceptions process)</w:t>
      </w:r>
      <w:r w:rsidR="00094004">
        <w:rPr>
          <w:rFonts w:asciiTheme="minorHAnsi" w:eastAsia="SimSun" w:hAnsiTheme="minorHAnsi" w:cstheme="minorBidi"/>
          <w:sz w:val="22"/>
          <w:szCs w:val="22"/>
          <w:lang w:val="en-GB" w:eastAsia="en-US"/>
        </w:rPr>
        <w:t xml:space="preserve"> and longer term,</w:t>
      </w:r>
      <w:r w:rsidR="00094004">
        <w:rPr>
          <w:rFonts w:ascii="Calibri" w:hAnsi="Calibri" w:cs="Calibri"/>
          <w:sz w:val="22"/>
          <w:szCs w:val="22"/>
        </w:rPr>
        <w:t xml:space="preserve"> develop better tools that allow for a better and more consistent categorization of HFSS and other less healthy products.</w:t>
      </w:r>
    </w:p>
    <w:p w14:paraId="3690CF78" w14:textId="01D7CF90" w:rsidR="002D32F9" w:rsidRDefault="002D32F9" w:rsidP="00475D3F">
      <w:pPr>
        <w:spacing w:line="360" w:lineRule="auto"/>
        <w:rPr>
          <w:lang w:val="en-GB" w:eastAsia="en-US"/>
        </w:rPr>
      </w:pPr>
    </w:p>
    <w:p w14:paraId="4F426F40" w14:textId="739E1075" w:rsidR="001260C8" w:rsidRPr="002A53B7" w:rsidRDefault="001260C8" w:rsidP="00475D3F">
      <w:pPr>
        <w:spacing w:line="360" w:lineRule="auto"/>
        <w:rPr>
          <w:rFonts w:asciiTheme="majorHAnsi" w:hAnsiTheme="majorHAnsi" w:cstheme="majorHAnsi"/>
          <w:color w:val="1F3864" w:themeColor="accent1" w:themeShade="80"/>
          <w:sz w:val="22"/>
          <w:szCs w:val="22"/>
          <w:lang w:val="en-GB" w:eastAsia="en-US"/>
        </w:rPr>
      </w:pPr>
      <w:r w:rsidRPr="002A53B7">
        <w:rPr>
          <w:rFonts w:asciiTheme="majorHAnsi" w:hAnsiTheme="majorHAnsi" w:cstheme="majorHAnsi"/>
          <w:color w:val="1F3864" w:themeColor="accent1" w:themeShade="80"/>
          <w:sz w:val="22"/>
          <w:szCs w:val="22"/>
          <w:lang w:val="en-GB" w:eastAsia="en-US"/>
        </w:rPr>
        <w:t>Lessons for implementation</w:t>
      </w:r>
    </w:p>
    <w:p w14:paraId="11EA5650" w14:textId="66F8FFD7" w:rsidR="001260C8" w:rsidRDefault="008E604B" w:rsidP="00475D3F">
      <w:pPr>
        <w:spacing w:line="360" w:lineRule="auto"/>
        <w:rPr>
          <w:rFonts w:asciiTheme="minorHAnsi" w:hAnsiTheme="minorHAnsi" w:cstheme="minorHAnsi"/>
          <w:sz w:val="22"/>
          <w:szCs w:val="22"/>
          <w:lang w:val="en-GB" w:eastAsia="en-US"/>
        </w:rPr>
      </w:pPr>
      <w:r>
        <w:rPr>
          <w:rFonts w:asciiTheme="minorHAnsi" w:hAnsiTheme="minorHAnsi" w:cstheme="minorHAnsi"/>
          <w:sz w:val="22"/>
          <w:szCs w:val="22"/>
          <w:lang w:val="en-GB" w:eastAsia="en-US"/>
        </w:rPr>
        <w:t>O</w:t>
      </w:r>
      <w:r w:rsidR="000C354B">
        <w:rPr>
          <w:rFonts w:asciiTheme="minorHAnsi" w:hAnsiTheme="minorHAnsi" w:cstheme="minorHAnsi"/>
          <w:sz w:val="22"/>
          <w:szCs w:val="22"/>
          <w:lang w:val="en-GB" w:eastAsia="en-US"/>
        </w:rPr>
        <w:t xml:space="preserve">ur findings suggest that </w:t>
      </w:r>
      <w:r w:rsidR="003D6133">
        <w:rPr>
          <w:rFonts w:asciiTheme="minorHAnsi" w:hAnsiTheme="minorHAnsi" w:cstheme="minorHAnsi"/>
          <w:sz w:val="22"/>
          <w:szCs w:val="22"/>
          <w:lang w:val="en-GB" w:eastAsia="en-US"/>
        </w:rPr>
        <w:t xml:space="preserve">the policy was </w:t>
      </w:r>
      <w:r w:rsidR="006B79BF">
        <w:rPr>
          <w:rFonts w:asciiTheme="minorHAnsi" w:hAnsiTheme="minorHAnsi" w:cstheme="minorHAnsi"/>
          <w:sz w:val="22"/>
          <w:szCs w:val="22"/>
          <w:lang w:val="en-GB" w:eastAsia="en-US"/>
        </w:rPr>
        <w:t xml:space="preserve">effectively </w:t>
      </w:r>
      <w:r w:rsidR="003D6133">
        <w:rPr>
          <w:rFonts w:asciiTheme="minorHAnsi" w:hAnsiTheme="minorHAnsi" w:cstheme="minorHAnsi"/>
          <w:sz w:val="22"/>
          <w:szCs w:val="22"/>
          <w:lang w:val="en-GB" w:eastAsia="en-US"/>
        </w:rPr>
        <w:t xml:space="preserve">implemented and commercial stakeholders quickly accepted and adapted to </w:t>
      </w:r>
      <w:r w:rsidR="000C354B">
        <w:rPr>
          <w:rFonts w:asciiTheme="minorHAnsi" w:hAnsiTheme="minorHAnsi" w:cstheme="minorHAnsi"/>
          <w:sz w:val="22"/>
          <w:szCs w:val="22"/>
          <w:lang w:val="en-GB" w:eastAsia="en-US"/>
        </w:rPr>
        <w:t>its requirements</w:t>
      </w:r>
      <w:r w:rsidR="003D6133">
        <w:rPr>
          <w:rFonts w:asciiTheme="minorHAnsi" w:hAnsiTheme="minorHAnsi" w:cstheme="minorHAnsi"/>
          <w:sz w:val="22"/>
          <w:szCs w:val="22"/>
          <w:lang w:val="en-GB" w:eastAsia="en-US"/>
        </w:rPr>
        <w:t xml:space="preserve">. </w:t>
      </w:r>
      <w:r w:rsidR="002C004D">
        <w:rPr>
          <w:rFonts w:asciiTheme="minorHAnsi" w:hAnsiTheme="minorHAnsi" w:cstheme="minorHAnsi"/>
          <w:sz w:val="22"/>
          <w:szCs w:val="22"/>
          <w:lang w:val="en-GB" w:eastAsia="en-US"/>
        </w:rPr>
        <w:t xml:space="preserve">As similar policies are </w:t>
      </w:r>
      <w:r>
        <w:rPr>
          <w:rFonts w:asciiTheme="minorHAnsi" w:hAnsiTheme="minorHAnsi" w:cstheme="minorHAnsi"/>
          <w:sz w:val="22"/>
          <w:szCs w:val="22"/>
          <w:lang w:val="en-GB" w:eastAsia="en-US"/>
        </w:rPr>
        <w:t xml:space="preserve">currently </w:t>
      </w:r>
      <w:r w:rsidR="002C004D">
        <w:rPr>
          <w:rFonts w:asciiTheme="minorHAnsi" w:hAnsiTheme="minorHAnsi" w:cstheme="minorHAnsi"/>
          <w:sz w:val="22"/>
          <w:szCs w:val="22"/>
          <w:lang w:val="en-GB" w:eastAsia="en-US"/>
        </w:rPr>
        <w:t>being considered or implemented</w:t>
      </w:r>
      <w:r>
        <w:rPr>
          <w:rFonts w:asciiTheme="minorHAnsi" w:hAnsiTheme="minorHAnsi" w:cstheme="minorHAnsi"/>
          <w:sz w:val="22"/>
          <w:szCs w:val="22"/>
          <w:lang w:val="en-GB" w:eastAsia="en-US"/>
        </w:rPr>
        <w:t xml:space="preserve"> e</w:t>
      </w:r>
      <w:r w:rsidR="002C004D">
        <w:rPr>
          <w:rFonts w:asciiTheme="minorHAnsi" w:hAnsiTheme="minorHAnsi" w:cstheme="minorHAnsi"/>
          <w:sz w:val="22"/>
          <w:szCs w:val="22"/>
          <w:lang w:val="en-GB" w:eastAsia="en-US"/>
        </w:rPr>
        <w:t>lsewhere</w:t>
      </w:r>
      <w:r>
        <w:rPr>
          <w:rFonts w:asciiTheme="minorHAnsi" w:hAnsiTheme="minorHAnsi" w:cstheme="minorHAnsi"/>
          <w:sz w:val="22"/>
          <w:szCs w:val="22"/>
          <w:lang w:val="en-GB" w:eastAsia="en-US"/>
        </w:rPr>
        <w:t xml:space="preserve"> </w:t>
      </w:r>
      <w:r w:rsidR="00BC4091">
        <w:rPr>
          <w:rFonts w:asciiTheme="minorHAnsi" w:hAnsiTheme="minorHAnsi" w:cstheme="minorHAnsi"/>
          <w:sz w:val="22"/>
          <w:szCs w:val="22"/>
          <w:lang w:val="en-GB" w:eastAsia="en-US"/>
        </w:rPr>
        <w:fldChar w:fldCharType="begin"/>
      </w:r>
      <w:r w:rsidR="00BC4091">
        <w:rPr>
          <w:rFonts w:asciiTheme="minorHAnsi" w:hAnsiTheme="minorHAnsi" w:cstheme="minorHAnsi"/>
          <w:sz w:val="22"/>
          <w:szCs w:val="22"/>
          <w:lang w:val="en-GB" w:eastAsia="en-US"/>
        </w:rPr>
        <w:instrText xml:space="preserve"> ADDIN EN.CITE &lt;EndNote&gt;&lt;Cite&gt;&lt;Author&gt;Postans&lt;/Author&gt;&lt;Year&gt;2021&lt;/Year&gt;&lt;RecNum&gt;35&lt;/RecNum&gt;&lt;DisplayText&gt;(Postans, 2021)&lt;/DisplayText&gt;&lt;record&gt;&lt;rec-number&gt;35&lt;/rec-number&gt;&lt;foreign-keys&gt;&lt;key app="EN" db-id="s9vsxe023afd99ezx5qpv5vrrspsex2xrs00" timestamp="1618313286"&gt;35&lt;/key&gt;&lt;/foreign-keys&gt;&lt;ref-type name="Web Page"&gt;12&lt;/ref-type&gt;&lt;contributors&gt;&lt;authors&gt;&lt;author&gt;Postans, A&lt;/author&gt;&lt;/authors&gt;&lt;/contributors&gt;&lt;titles&gt;&lt;title&gt;Bristol City Council bans adverts for junk food, alcohol, and gambling&lt;/title&gt;&lt;/titles&gt;&lt;volume&gt;2021&lt;/volume&gt;&lt;number&gt;13 April 2021&lt;/number&gt;&lt;dates&gt;&lt;year&gt;2021&lt;/year&gt;&lt;/dates&gt;&lt;publisher&gt;BristolLive&lt;/publisher&gt;&lt;urls&gt;&lt;related-urls&gt;&lt;url&gt;https://www.bristolpost.co.uk/news/bristol-news/bristol-city-council-bans-adverts-5138679&lt;/url&gt;&lt;/related-urls&gt;&lt;/urls&gt;&lt;/record&gt;&lt;/Cite&gt;&lt;/EndNote&gt;</w:instrText>
      </w:r>
      <w:r w:rsidR="00BC4091">
        <w:rPr>
          <w:rFonts w:asciiTheme="minorHAnsi" w:hAnsiTheme="minorHAnsi" w:cstheme="minorHAnsi"/>
          <w:sz w:val="22"/>
          <w:szCs w:val="22"/>
          <w:lang w:val="en-GB" w:eastAsia="en-US"/>
        </w:rPr>
        <w:fldChar w:fldCharType="separate"/>
      </w:r>
      <w:r w:rsidR="00BC4091">
        <w:rPr>
          <w:rFonts w:asciiTheme="minorHAnsi" w:hAnsiTheme="minorHAnsi" w:cstheme="minorHAnsi"/>
          <w:noProof/>
          <w:sz w:val="22"/>
          <w:szCs w:val="22"/>
          <w:lang w:val="en-GB" w:eastAsia="en-US"/>
        </w:rPr>
        <w:t>(Postans, 2021)</w:t>
      </w:r>
      <w:r w:rsidR="00BC4091">
        <w:rPr>
          <w:rFonts w:asciiTheme="minorHAnsi" w:hAnsiTheme="minorHAnsi" w:cstheme="minorHAnsi"/>
          <w:sz w:val="22"/>
          <w:szCs w:val="22"/>
          <w:lang w:val="en-GB" w:eastAsia="en-US"/>
        </w:rPr>
        <w:fldChar w:fldCharType="end"/>
      </w:r>
      <w:r w:rsidR="00BC4091">
        <w:rPr>
          <w:rFonts w:asciiTheme="minorHAnsi" w:hAnsiTheme="minorHAnsi" w:cstheme="minorHAnsi"/>
          <w:sz w:val="22"/>
          <w:szCs w:val="22"/>
          <w:lang w:val="en-GB" w:eastAsia="en-US"/>
        </w:rPr>
        <w:t xml:space="preserve">, </w:t>
      </w:r>
      <w:r w:rsidR="003D6133">
        <w:rPr>
          <w:rFonts w:asciiTheme="minorHAnsi" w:hAnsiTheme="minorHAnsi" w:cstheme="minorHAnsi"/>
          <w:sz w:val="22"/>
          <w:szCs w:val="22"/>
          <w:lang w:val="en-GB" w:eastAsia="en-US"/>
        </w:rPr>
        <w:t>there are several lessons for successful implementation that may help navigate practical problems</w:t>
      </w:r>
      <w:r w:rsidR="00CA2628">
        <w:rPr>
          <w:rFonts w:asciiTheme="minorHAnsi" w:hAnsiTheme="minorHAnsi" w:cstheme="minorHAnsi"/>
          <w:sz w:val="22"/>
          <w:szCs w:val="22"/>
          <w:lang w:val="en-GB" w:eastAsia="en-US"/>
        </w:rPr>
        <w:t>,</w:t>
      </w:r>
      <w:r w:rsidR="003D6133">
        <w:rPr>
          <w:rFonts w:asciiTheme="minorHAnsi" w:hAnsiTheme="minorHAnsi" w:cstheme="minorHAnsi"/>
          <w:sz w:val="22"/>
          <w:szCs w:val="22"/>
          <w:lang w:val="en-GB" w:eastAsia="en-US"/>
        </w:rPr>
        <w:t xml:space="preserve"> allay </w:t>
      </w:r>
      <w:r w:rsidR="00C03C13">
        <w:rPr>
          <w:rFonts w:asciiTheme="minorHAnsi" w:hAnsiTheme="minorHAnsi" w:cstheme="minorHAnsi"/>
          <w:sz w:val="22"/>
          <w:szCs w:val="22"/>
          <w:lang w:val="en-GB" w:eastAsia="en-US"/>
        </w:rPr>
        <w:t xml:space="preserve">political and </w:t>
      </w:r>
      <w:r w:rsidR="003D6133">
        <w:rPr>
          <w:rFonts w:asciiTheme="minorHAnsi" w:hAnsiTheme="minorHAnsi" w:cstheme="minorHAnsi"/>
          <w:sz w:val="22"/>
          <w:szCs w:val="22"/>
          <w:lang w:val="en-GB" w:eastAsia="en-US"/>
        </w:rPr>
        <w:t>industry concerns</w:t>
      </w:r>
      <w:r w:rsidR="00CA2628">
        <w:rPr>
          <w:rFonts w:asciiTheme="minorHAnsi" w:hAnsiTheme="minorHAnsi" w:cstheme="minorHAnsi"/>
          <w:sz w:val="22"/>
          <w:szCs w:val="22"/>
          <w:lang w:val="en-GB" w:eastAsia="en-US"/>
        </w:rPr>
        <w:t xml:space="preserve"> and maximise potential public health gain</w:t>
      </w:r>
      <w:r w:rsidR="00953574">
        <w:rPr>
          <w:rFonts w:asciiTheme="minorHAnsi" w:hAnsiTheme="minorHAnsi" w:cstheme="minorHAnsi"/>
          <w:sz w:val="22"/>
          <w:szCs w:val="22"/>
          <w:lang w:val="en-GB" w:eastAsia="en-US"/>
        </w:rPr>
        <w:t xml:space="preserve"> (</w:t>
      </w:r>
      <w:r w:rsidR="00312E12" w:rsidRPr="00BC4091">
        <w:rPr>
          <w:rFonts w:asciiTheme="minorHAnsi" w:hAnsiTheme="minorHAnsi" w:cstheme="minorHAnsi"/>
          <w:b/>
          <w:bCs/>
          <w:sz w:val="22"/>
          <w:szCs w:val="22"/>
          <w:lang w:val="en-GB" w:eastAsia="en-US"/>
        </w:rPr>
        <w:t xml:space="preserve">see </w:t>
      </w:r>
      <w:r w:rsidR="00953574" w:rsidRPr="00C953B9">
        <w:rPr>
          <w:rFonts w:asciiTheme="minorHAnsi" w:hAnsiTheme="minorHAnsi" w:cstheme="minorHAnsi"/>
          <w:b/>
          <w:bCs/>
          <w:sz w:val="22"/>
          <w:szCs w:val="22"/>
          <w:lang w:val="en-GB" w:eastAsia="en-US"/>
        </w:rPr>
        <w:t>Box 2</w:t>
      </w:r>
      <w:r w:rsidR="00953574">
        <w:rPr>
          <w:rFonts w:asciiTheme="minorHAnsi" w:hAnsiTheme="minorHAnsi" w:cstheme="minorHAnsi"/>
          <w:sz w:val="22"/>
          <w:szCs w:val="22"/>
          <w:lang w:val="en-GB" w:eastAsia="en-US"/>
        </w:rPr>
        <w:t>)</w:t>
      </w:r>
      <w:r w:rsidR="003D6133">
        <w:rPr>
          <w:rFonts w:asciiTheme="minorHAnsi" w:hAnsiTheme="minorHAnsi" w:cstheme="minorHAnsi"/>
          <w:sz w:val="22"/>
          <w:szCs w:val="22"/>
          <w:lang w:val="en-GB" w:eastAsia="en-US"/>
        </w:rPr>
        <w:t xml:space="preserve">. </w:t>
      </w:r>
      <w:r w:rsidR="00D33273">
        <w:rPr>
          <w:rFonts w:asciiTheme="minorHAnsi" w:hAnsiTheme="minorHAnsi" w:cstheme="minorHAnsi"/>
          <w:sz w:val="22"/>
          <w:szCs w:val="22"/>
          <w:lang w:val="en-GB" w:eastAsia="en-US"/>
        </w:rPr>
        <w:t xml:space="preserve">Many of these lessons outlined below </w:t>
      </w:r>
      <w:r w:rsidR="00312E12">
        <w:rPr>
          <w:rFonts w:asciiTheme="minorHAnsi" w:hAnsiTheme="minorHAnsi" w:cstheme="minorHAnsi"/>
          <w:sz w:val="22"/>
          <w:szCs w:val="22"/>
          <w:lang w:val="en-GB" w:eastAsia="en-US"/>
        </w:rPr>
        <w:t>may</w:t>
      </w:r>
      <w:r w:rsidR="00D33273">
        <w:rPr>
          <w:rFonts w:asciiTheme="minorHAnsi" w:hAnsiTheme="minorHAnsi" w:cstheme="minorHAnsi"/>
          <w:sz w:val="22"/>
          <w:szCs w:val="22"/>
          <w:lang w:val="en-GB" w:eastAsia="en-US"/>
        </w:rPr>
        <w:t xml:space="preserve"> also </w:t>
      </w:r>
      <w:r w:rsidR="00312E12">
        <w:rPr>
          <w:rFonts w:asciiTheme="minorHAnsi" w:hAnsiTheme="minorHAnsi" w:cstheme="minorHAnsi"/>
          <w:sz w:val="22"/>
          <w:szCs w:val="22"/>
          <w:lang w:val="en-GB" w:eastAsia="en-US"/>
        </w:rPr>
        <w:t>have utility</w:t>
      </w:r>
      <w:r w:rsidR="00D33273">
        <w:rPr>
          <w:rFonts w:asciiTheme="minorHAnsi" w:hAnsiTheme="minorHAnsi" w:cstheme="minorHAnsi"/>
          <w:sz w:val="22"/>
          <w:szCs w:val="22"/>
          <w:lang w:val="en-GB" w:eastAsia="en-US"/>
        </w:rPr>
        <w:t xml:space="preserve"> as generalisable strategies that could be applied across a wider range of population-level interventions, especially for policies that involve regulation and involve public and industry stakeholders.</w:t>
      </w:r>
      <w:r w:rsidR="00312E12">
        <w:rPr>
          <w:rFonts w:asciiTheme="minorHAnsi" w:hAnsiTheme="minorHAnsi" w:cstheme="minorHAnsi"/>
          <w:sz w:val="22"/>
          <w:szCs w:val="22"/>
          <w:lang w:val="en-GB" w:eastAsia="en-US"/>
        </w:rPr>
        <w:t xml:space="preserve"> Legal considerations, public engagement</w:t>
      </w:r>
      <w:r w:rsidR="00BC4091">
        <w:rPr>
          <w:rFonts w:asciiTheme="minorHAnsi" w:hAnsiTheme="minorHAnsi" w:cstheme="minorHAnsi"/>
          <w:sz w:val="22"/>
          <w:szCs w:val="22"/>
          <w:lang w:val="en-GB" w:eastAsia="en-US"/>
        </w:rPr>
        <w:t xml:space="preserve"> and</w:t>
      </w:r>
      <w:r w:rsidR="00312E12">
        <w:rPr>
          <w:rFonts w:asciiTheme="minorHAnsi" w:hAnsiTheme="minorHAnsi" w:cstheme="minorHAnsi"/>
          <w:sz w:val="22"/>
          <w:szCs w:val="22"/>
          <w:lang w:val="en-GB" w:eastAsia="en-US"/>
        </w:rPr>
        <w:t xml:space="preserve"> consultation with industry were seen as central. In addition,</w:t>
      </w:r>
      <w:r w:rsidR="00C03C13">
        <w:rPr>
          <w:rFonts w:asciiTheme="minorHAnsi" w:hAnsiTheme="minorHAnsi" w:cstheme="minorHAnsi"/>
          <w:sz w:val="22"/>
          <w:szCs w:val="22"/>
          <w:lang w:val="en-GB" w:eastAsia="en-US"/>
        </w:rPr>
        <w:t xml:space="preserve"> crafting a policy that can be implemented in a transparent and consistent way that is perceived as </w:t>
      </w:r>
      <w:r w:rsidR="00312E12">
        <w:rPr>
          <w:rFonts w:asciiTheme="minorHAnsi" w:hAnsiTheme="minorHAnsi" w:cstheme="minorHAnsi"/>
          <w:sz w:val="22"/>
          <w:szCs w:val="22"/>
          <w:lang w:val="en-GB" w:eastAsia="en-US"/>
        </w:rPr>
        <w:t>‘</w:t>
      </w:r>
      <w:r w:rsidR="00C03C13">
        <w:rPr>
          <w:rFonts w:asciiTheme="minorHAnsi" w:hAnsiTheme="minorHAnsi" w:cstheme="minorHAnsi"/>
          <w:sz w:val="22"/>
          <w:szCs w:val="22"/>
          <w:lang w:val="en-GB" w:eastAsia="en-US"/>
        </w:rPr>
        <w:t>fair</w:t>
      </w:r>
      <w:r w:rsidR="00312E12">
        <w:rPr>
          <w:rFonts w:asciiTheme="minorHAnsi" w:hAnsiTheme="minorHAnsi" w:cstheme="minorHAnsi"/>
          <w:sz w:val="22"/>
          <w:szCs w:val="22"/>
          <w:lang w:val="en-GB" w:eastAsia="en-US"/>
        </w:rPr>
        <w:t>’</w:t>
      </w:r>
      <w:r w:rsidR="00C03C13">
        <w:rPr>
          <w:rFonts w:asciiTheme="minorHAnsi" w:hAnsiTheme="minorHAnsi" w:cstheme="minorHAnsi"/>
          <w:sz w:val="22"/>
          <w:szCs w:val="22"/>
          <w:lang w:val="en-GB" w:eastAsia="en-US"/>
        </w:rPr>
        <w:t xml:space="preserve"> </w:t>
      </w:r>
      <w:r w:rsidR="00D948D1">
        <w:rPr>
          <w:rFonts w:asciiTheme="minorHAnsi" w:hAnsiTheme="minorHAnsi" w:cstheme="minorHAnsi"/>
          <w:sz w:val="22"/>
          <w:szCs w:val="22"/>
          <w:lang w:val="en-GB" w:eastAsia="en-US"/>
        </w:rPr>
        <w:t>by</w:t>
      </w:r>
      <w:r w:rsidR="00C03C13">
        <w:rPr>
          <w:rFonts w:asciiTheme="minorHAnsi" w:hAnsiTheme="minorHAnsi" w:cstheme="minorHAnsi"/>
          <w:sz w:val="22"/>
          <w:szCs w:val="22"/>
          <w:lang w:val="en-GB" w:eastAsia="en-US"/>
        </w:rPr>
        <w:t xml:space="preserve"> industry stakeholders</w:t>
      </w:r>
      <w:r w:rsidR="00D948D1">
        <w:rPr>
          <w:rFonts w:asciiTheme="minorHAnsi" w:hAnsiTheme="minorHAnsi" w:cstheme="minorHAnsi"/>
          <w:sz w:val="22"/>
          <w:szCs w:val="22"/>
          <w:lang w:val="en-GB" w:eastAsia="en-US"/>
        </w:rPr>
        <w:t>,</w:t>
      </w:r>
      <w:r w:rsidR="00C03C13">
        <w:rPr>
          <w:rFonts w:asciiTheme="minorHAnsi" w:hAnsiTheme="minorHAnsi" w:cstheme="minorHAnsi"/>
          <w:sz w:val="22"/>
          <w:szCs w:val="22"/>
          <w:lang w:val="en-GB" w:eastAsia="en-US"/>
        </w:rPr>
        <w:t xml:space="preserve"> and as ‘reasonable’ by the public – while allowing for adaptations in response to </w:t>
      </w:r>
      <w:r w:rsidR="00312E12">
        <w:rPr>
          <w:rFonts w:asciiTheme="minorHAnsi" w:hAnsiTheme="minorHAnsi" w:cstheme="minorHAnsi"/>
          <w:sz w:val="22"/>
          <w:szCs w:val="22"/>
          <w:lang w:val="en-GB" w:eastAsia="en-US"/>
        </w:rPr>
        <w:t xml:space="preserve">implementation </w:t>
      </w:r>
      <w:r w:rsidR="00C03C13">
        <w:rPr>
          <w:rFonts w:asciiTheme="minorHAnsi" w:hAnsiTheme="minorHAnsi" w:cstheme="minorHAnsi"/>
          <w:sz w:val="22"/>
          <w:szCs w:val="22"/>
          <w:lang w:val="en-GB" w:eastAsia="en-US"/>
        </w:rPr>
        <w:t>challenges</w:t>
      </w:r>
      <w:r w:rsidR="00312E12">
        <w:rPr>
          <w:rFonts w:asciiTheme="minorHAnsi" w:hAnsiTheme="minorHAnsi" w:cstheme="minorHAnsi"/>
          <w:sz w:val="22"/>
          <w:szCs w:val="22"/>
          <w:lang w:val="en-GB" w:eastAsia="en-US"/>
        </w:rPr>
        <w:t xml:space="preserve"> – was essential</w:t>
      </w:r>
      <w:r w:rsidR="00C03C13">
        <w:rPr>
          <w:rFonts w:asciiTheme="minorHAnsi" w:hAnsiTheme="minorHAnsi" w:cstheme="minorHAnsi"/>
          <w:sz w:val="22"/>
          <w:szCs w:val="22"/>
          <w:lang w:val="en-GB" w:eastAsia="en-US"/>
        </w:rPr>
        <w:t>.</w:t>
      </w:r>
    </w:p>
    <w:p w14:paraId="7DEAF4B0" w14:textId="212163E3" w:rsidR="003D6133" w:rsidRDefault="003D6133" w:rsidP="004A4C1B">
      <w:pPr>
        <w:rPr>
          <w:rFonts w:asciiTheme="minorHAnsi" w:hAnsiTheme="minorHAnsi" w:cstheme="minorHAnsi"/>
          <w:sz w:val="22"/>
          <w:szCs w:val="22"/>
          <w:lang w:val="en-GB" w:eastAsia="en-US"/>
        </w:rPr>
      </w:pPr>
    </w:p>
    <w:p w14:paraId="1901C233" w14:textId="3188B95B" w:rsidR="00C83774" w:rsidRDefault="00C83774" w:rsidP="004A4C1B">
      <w:pPr>
        <w:rPr>
          <w:rFonts w:asciiTheme="minorHAnsi" w:hAnsiTheme="minorHAnsi" w:cstheme="minorHAnsi"/>
          <w:sz w:val="22"/>
          <w:szCs w:val="22"/>
          <w:lang w:val="en-GB" w:eastAsia="en-US"/>
        </w:rPr>
      </w:pPr>
    </w:p>
    <w:p w14:paraId="653B97E6" w14:textId="3A3F3A1B" w:rsidR="00FD0287" w:rsidRDefault="00FD0287" w:rsidP="004A4C1B">
      <w:pPr>
        <w:rPr>
          <w:rFonts w:asciiTheme="minorHAnsi" w:hAnsiTheme="minorHAnsi" w:cstheme="minorHAnsi"/>
          <w:sz w:val="22"/>
          <w:szCs w:val="22"/>
          <w:lang w:val="en-GB" w:eastAsia="en-US"/>
        </w:rPr>
      </w:pPr>
    </w:p>
    <w:p w14:paraId="26A4F8B3" w14:textId="21E5AB2B" w:rsidR="00FD0287" w:rsidRDefault="00FD0287" w:rsidP="004A4C1B">
      <w:pPr>
        <w:rPr>
          <w:rFonts w:asciiTheme="minorHAnsi" w:hAnsiTheme="minorHAnsi" w:cstheme="minorHAnsi"/>
          <w:sz w:val="22"/>
          <w:szCs w:val="22"/>
          <w:lang w:val="en-GB" w:eastAsia="en-US"/>
        </w:rPr>
      </w:pPr>
    </w:p>
    <w:p w14:paraId="02E456AF" w14:textId="77777777" w:rsidR="00FD0287" w:rsidRPr="00E01F9A" w:rsidRDefault="00FD0287" w:rsidP="004A4C1B">
      <w:pPr>
        <w:rPr>
          <w:rFonts w:asciiTheme="minorHAnsi" w:hAnsiTheme="minorHAnsi" w:cstheme="minorHAnsi"/>
          <w:sz w:val="22"/>
          <w:szCs w:val="22"/>
          <w:lang w:val="en-GB" w:eastAsia="en-US"/>
        </w:rPr>
      </w:pPr>
    </w:p>
    <w:p w14:paraId="5122C22B" w14:textId="3C155661" w:rsidR="00953574" w:rsidRDefault="00953574" w:rsidP="00C953B9">
      <w:pPr>
        <w:pBdr>
          <w:top w:val="single" w:sz="4" w:space="1" w:color="auto"/>
          <w:left w:val="single" w:sz="4" w:space="1" w:color="auto"/>
          <w:bottom w:val="single" w:sz="4" w:space="1" w:color="auto"/>
          <w:right w:val="single" w:sz="4" w:space="1" w:color="auto"/>
        </w:pBdr>
        <w:ind w:left="360"/>
        <w:rPr>
          <w:rFonts w:asciiTheme="minorHAnsi" w:hAnsiTheme="minorHAnsi" w:cstheme="minorHAnsi"/>
          <w:b/>
          <w:bCs/>
          <w:sz w:val="22"/>
          <w:szCs w:val="22"/>
        </w:rPr>
      </w:pPr>
      <w:r w:rsidRPr="00C953B9">
        <w:rPr>
          <w:rFonts w:asciiTheme="minorHAnsi" w:hAnsiTheme="minorHAnsi" w:cstheme="minorHAnsi"/>
          <w:b/>
          <w:bCs/>
          <w:sz w:val="22"/>
          <w:szCs w:val="22"/>
        </w:rPr>
        <w:t>Box 2</w:t>
      </w:r>
      <w:r>
        <w:rPr>
          <w:rFonts w:asciiTheme="minorHAnsi" w:hAnsiTheme="minorHAnsi" w:cstheme="minorHAnsi"/>
          <w:b/>
          <w:bCs/>
          <w:sz w:val="22"/>
          <w:szCs w:val="22"/>
        </w:rPr>
        <w:t xml:space="preserve">. </w:t>
      </w:r>
      <w:r w:rsidR="00C03C13">
        <w:rPr>
          <w:rFonts w:asciiTheme="minorHAnsi" w:hAnsiTheme="minorHAnsi" w:cstheme="minorHAnsi"/>
          <w:b/>
          <w:bCs/>
          <w:sz w:val="22"/>
          <w:szCs w:val="22"/>
        </w:rPr>
        <w:t>Lessons to inform</w:t>
      </w:r>
      <w:r>
        <w:rPr>
          <w:rFonts w:asciiTheme="minorHAnsi" w:hAnsiTheme="minorHAnsi" w:cstheme="minorHAnsi"/>
          <w:b/>
          <w:bCs/>
          <w:sz w:val="22"/>
          <w:szCs w:val="22"/>
        </w:rPr>
        <w:t xml:space="preserve"> </w:t>
      </w:r>
      <w:r w:rsidR="006B79BF">
        <w:rPr>
          <w:rFonts w:asciiTheme="minorHAnsi" w:hAnsiTheme="minorHAnsi" w:cstheme="minorHAnsi"/>
          <w:b/>
          <w:bCs/>
          <w:sz w:val="22"/>
          <w:szCs w:val="22"/>
        </w:rPr>
        <w:t xml:space="preserve">stakeholders when </w:t>
      </w:r>
      <w:r>
        <w:rPr>
          <w:rFonts w:asciiTheme="minorHAnsi" w:hAnsiTheme="minorHAnsi" w:cstheme="minorHAnsi"/>
          <w:b/>
          <w:bCs/>
          <w:sz w:val="22"/>
          <w:szCs w:val="22"/>
        </w:rPr>
        <w:t>implementing policies restricting the advertisement of HFSS foods and beverages</w:t>
      </w:r>
    </w:p>
    <w:p w14:paraId="74471FD3" w14:textId="77777777" w:rsidR="00BC6CCB" w:rsidRPr="00C953B9" w:rsidRDefault="00BC6CCB" w:rsidP="00C953B9">
      <w:pPr>
        <w:pBdr>
          <w:top w:val="single" w:sz="4" w:space="1" w:color="auto"/>
          <w:left w:val="single" w:sz="4" w:space="1" w:color="auto"/>
          <w:bottom w:val="single" w:sz="4" w:space="1" w:color="auto"/>
          <w:right w:val="single" w:sz="4" w:space="1" w:color="auto"/>
        </w:pBdr>
        <w:ind w:left="360"/>
        <w:rPr>
          <w:rFonts w:cstheme="minorHAnsi"/>
          <w:b/>
          <w:bCs/>
          <w:sz w:val="22"/>
          <w:szCs w:val="22"/>
        </w:rPr>
      </w:pPr>
    </w:p>
    <w:p w14:paraId="21AB1DD2" w14:textId="4468E756" w:rsidR="00597610" w:rsidRDefault="00597610" w:rsidP="00C953B9">
      <w:pPr>
        <w:pStyle w:val="ListParagraph"/>
        <w:numPr>
          <w:ilvl w:val="0"/>
          <w:numId w:val="20"/>
        </w:numPr>
        <w:pBdr>
          <w:top w:val="single" w:sz="4" w:space="1" w:color="auto"/>
          <w:left w:val="single" w:sz="4" w:space="1" w:color="auto"/>
          <w:bottom w:val="single" w:sz="4" w:space="1" w:color="auto"/>
          <w:right w:val="single" w:sz="4" w:space="1" w:color="auto"/>
        </w:pBdr>
        <w:rPr>
          <w:rFonts w:cstheme="minorHAnsi"/>
          <w:sz w:val="22"/>
          <w:szCs w:val="22"/>
        </w:rPr>
      </w:pPr>
      <w:r w:rsidRPr="00953574">
        <w:rPr>
          <w:rFonts w:cstheme="minorHAnsi"/>
          <w:sz w:val="22"/>
          <w:szCs w:val="22"/>
        </w:rPr>
        <w:t>Ensure that the policy complies with existing legal frameworks and contracts</w:t>
      </w:r>
      <w:r w:rsidR="005242CC">
        <w:rPr>
          <w:rFonts w:cstheme="minorHAnsi"/>
          <w:sz w:val="22"/>
          <w:szCs w:val="22"/>
        </w:rPr>
        <w:t xml:space="preserve"> </w:t>
      </w:r>
      <w:r w:rsidR="005242CC" w:rsidRPr="00953574">
        <w:rPr>
          <w:rFonts w:cstheme="minorHAnsi"/>
          <w:sz w:val="22"/>
          <w:szCs w:val="22"/>
        </w:rPr>
        <w:t>early in the policy development process</w:t>
      </w:r>
    </w:p>
    <w:p w14:paraId="0677D86B" w14:textId="77777777" w:rsidR="00BC6CCB" w:rsidRPr="000B47EC" w:rsidRDefault="00BC6CCB" w:rsidP="000B47EC">
      <w:pPr>
        <w:pBdr>
          <w:top w:val="single" w:sz="4" w:space="1" w:color="auto"/>
          <w:left w:val="single" w:sz="4" w:space="1" w:color="auto"/>
          <w:bottom w:val="single" w:sz="4" w:space="1" w:color="auto"/>
          <w:right w:val="single" w:sz="4" w:space="1" w:color="auto"/>
        </w:pBdr>
        <w:ind w:left="360"/>
        <w:rPr>
          <w:rFonts w:cstheme="minorHAnsi"/>
          <w:sz w:val="22"/>
          <w:szCs w:val="22"/>
        </w:rPr>
      </w:pPr>
    </w:p>
    <w:p w14:paraId="129D1EDC" w14:textId="6F8DF8BF" w:rsidR="0028650B" w:rsidRDefault="00597610" w:rsidP="00C953B9">
      <w:pPr>
        <w:pStyle w:val="ListParagraph"/>
        <w:numPr>
          <w:ilvl w:val="0"/>
          <w:numId w:val="20"/>
        </w:numPr>
        <w:pBdr>
          <w:top w:val="single" w:sz="4" w:space="1" w:color="auto"/>
          <w:left w:val="single" w:sz="4" w:space="1" w:color="auto"/>
          <w:bottom w:val="single" w:sz="4" w:space="1" w:color="auto"/>
          <w:right w:val="single" w:sz="4" w:space="1" w:color="auto"/>
        </w:pBdr>
        <w:rPr>
          <w:sz w:val="22"/>
          <w:szCs w:val="22"/>
        </w:rPr>
      </w:pPr>
      <w:r w:rsidRPr="00953574">
        <w:rPr>
          <w:rFonts w:cstheme="minorHAnsi"/>
          <w:sz w:val="22"/>
          <w:szCs w:val="22"/>
        </w:rPr>
        <w:t xml:space="preserve">Conduct a </w:t>
      </w:r>
      <w:r w:rsidRPr="002C4A9C">
        <w:rPr>
          <w:rFonts w:cstheme="minorHAnsi"/>
          <w:sz w:val="22"/>
          <w:szCs w:val="22"/>
        </w:rPr>
        <w:t>p</w:t>
      </w:r>
      <w:r w:rsidR="0028650B" w:rsidRPr="00EB79AF">
        <w:rPr>
          <w:rFonts w:cstheme="minorHAnsi"/>
          <w:sz w:val="22"/>
          <w:szCs w:val="22"/>
        </w:rPr>
        <w:t>ublic consultation of the policy and publi</w:t>
      </w:r>
      <w:r w:rsidRPr="00EB79AF">
        <w:rPr>
          <w:rFonts w:cstheme="minorHAnsi"/>
          <w:sz w:val="22"/>
          <w:szCs w:val="22"/>
        </w:rPr>
        <w:t>sh</w:t>
      </w:r>
      <w:r w:rsidR="0028650B" w:rsidRPr="00EB79AF">
        <w:rPr>
          <w:rFonts w:cstheme="minorHAnsi"/>
          <w:sz w:val="22"/>
          <w:szCs w:val="22"/>
        </w:rPr>
        <w:t xml:space="preserve"> </w:t>
      </w:r>
      <w:r w:rsidRPr="00EB79AF">
        <w:rPr>
          <w:rFonts w:cstheme="minorHAnsi"/>
          <w:sz w:val="22"/>
          <w:szCs w:val="22"/>
        </w:rPr>
        <w:t xml:space="preserve">the </w:t>
      </w:r>
      <w:r w:rsidR="0028650B" w:rsidRPr="00EB79AF">
        <w:rPr>
          <w:rFonts w:cstheme="minorHAnsi"/>
          <w:sz w:val="22"/>
          <w:szCs w:val="22"/>
        </w:rPr>
        <w:t>response to submissions to ensure transparency</w:t>
      </w:r>
      <w:r w:rsidR="0028650B">
        <w:rPr>
          <w:sz w:val="22"/>
          <w:szCs w:val="22"/>
        </w:rPr>
        <w:t xml:space="preserve"> and accountability to policy-making process.</w:t>
      </w:r>
    </w:p>
    <w:p w14:paraId="348CBAF6" w14:textId="77777777" w:rsidR="00BC6CCB" w:rsidRPr="000B47EC" w:rsidRDefault="00BC6CCB" w:rsidP="000B47EC">
      <w:pPr>
        <w:pBdr>
          <w:top w:val="single" w:sz="4" w:space="1" w:color="auto"/>
          <w:left w:val="single" w:sz="4" w:space="1" w:color="auto"/>
          <w:bottom w:val="single" w:sz="4" w:space="1" w:color="auto"/>
          <w:right w:val="single" w:sz="4" w:space="1" w:color="auto"/>
        </w:pBdr>
        <w:ind w:left="360"/>
        <w:rPr>
          <w:sz w:val="22"/>
          <w:szCs w:val="22"/>
        </w:rPr>
      </w:pPr>
    </w:p>
    <w:p w14:paraId="1C5845FD" w14:textId="6DB89F9B" w:rsidR="001260C8" w:rsidRDefault="00597610" w:rsidP="00C953B9">
      <w:pPr>
        <w:pStyle w:val="ListParagraph"/>
        <w:numPr>
          <w:ilvl w:val="0"/>
          <w:numId w:val="20"/>
        </w:numPr>
        <w:pBdr>
          <w:top w:val="single" w:sz="4" w:space="1" w:color="auto"/>
          <w:left w:val="single" w:sz="4" w:space="1" w:color="auto"/>
          <w:bottom w:val="single" w:sz="4" w:space="1" w:color="auto"/>
          <w:right w:val="single" w:sz="4" w:space="1" w:color="auto"/>
        </w:pBdr>
        <w:rPr>
          <w:sz w:val="22"/>
          <w:szCs w:val="22"/>
        </w:rPr>
      </w:pPr>
      <w:r>
        <w:rPr>
          <w:sz w:val="22"/>
          <w:szCs w:val="22"/>
        </w:rPr>
        <w:t>E</w:t>
      </w:r>
      <w:r w:rsidR="001260C8" w:rsidRPr="00E01F9A">
        <w:rPr>
          <w:sz w:val="22"/>
          <w:szCs w:val="22"/>
        </w:rPr>
        <w:t>ngage</w:t>
      </w:r>
      <w:r>
        <w:rPr>
          <w:sz w:val="22"/>
          <w:szCs w:val="22"/>
        </w:rPr>
        <w:t xml:space="preserve"> early</w:t>
      </w:r>
      <w:r w:rsidR="001260C8" w:rsidRPr="00E01F9A">
        <w:rPr>
          <w:sz w:val="22"/>
          <w:szCs w:val="22"/>
        </w:rPr>
        <w:t xml:space="preserve"> </w:t>
      </w:r>
      <w:r w:rsidR="001260C8" w:rsidRPr="002A53B7">
        <w:rPr>
          <w:sz w:val="22"/>
          <w:szCs w:val="22"/>
        </w:rPr>
        <w:t>with industry to understand practical concerns around implementation (</w:t>
      </w:r>
      <w:r w:rsidR="003D6133">
        <w:rPr>
          <w:sz w:val="22"/>
          <w:szCs w:val="22"/>
        </w:rPr>
        <w:t xml:space="preserve">e.g., </w:t>
      </w:r>
      <w:r w:rsidR="001260C8" w:rsidRPr="002A53B7">
        <w:rPr>
          <w:sz w:val="22"/>
          <w:szCs w:val="22"/>
        </w:rPr>
        <w:t>timing</w:t>
      </w:r>
      <w:r w:rsidR="003D6133">
        <w:rPr>
          <w:sz w:val="22"/>
          <w:szCs w:val="22"/>
        </w:rPr>
        <w:t xml:space="preserve"> of advertising</w:t>
      </w:r>
      <w:r w:rsidR="001260C8" w:rsidRPr="002A53B7">
        <w:rPr>
          <w:sz w:val="22"/>
          <w:szCs w:val="22"/>
        </w:rPr>
        <w:t xml:space="preserve">, </w:t>
      </w:r>
      <w:r w:rsidR="003D6133">
        <w:rPr>
          <w:sz w:val="22"/>
          <w:szCs w:val="22"/>
        </w:rPr>
        <w:t xml:space="preserve">advertising </w:t>
      </w:r>
      <w:r w:rsidR="001260C8" w:rsidRPr="002A53B7">
        <w:rPr>
          <w:sz w:val="22"/>
          <w:szCs w:val="22"/>
        </w:rPr>
        <w:t>content</w:t>
      </w:r>
      <w:r w:rsidR="003D6133">
        <w:rPr>
          <w:sz w:val="22"/>
          <w:szCs w:val="22"/>
        </w:rPr>
        <w:t>)</w:t>
      </w:r>
      <w:r w:rsidR="0091358D">
        <w:rPr>
          <w:sz w:val="22"/>
          <w:szCs w:val="22"/>
        </w:rPr>
        <w:t>.</w:t>
      </w:r>
    </w:p>
    <w:p w14:paraId="5ECFF21F" w14:textId="77777777" w:rsidR="00BC6CCB" w:rsidRPr="000B47EC" w:rsidRDefault="00BC6CCB" w:rsidP="000B47EC">
      <w:pPr>
        <w:pBdr>
          <w:top w:val="single" w:sz="4" w:space="1" w:color="auto"/>
          <w:left w:val="single" w:sz="4" w:space="1" w:color="auto"/>
          <w:bottom w:val="single" w:sz="4" w:space="1" w:color="auto"/>
          <w:right w:val="single" w:sz="4" w:space="1" w:color="auto"/>
        </w:pBdr>
        <w:ind w:left="360"/>
        <w:rPr>
          <w:sz w:val="22"/>
          <w:szCs w:val="22"/>
        </w:rPr>
      </w:pPr>
    </w:p>
    <w:p w14:paraId="4CEC42FE" w14:textId="044E33F0" w:rsidR="001058B7" w:rsidRDefault="001058B7" w:rsidP="00C953B9">
      <w:pPr>
        <w:pStyle w:val="ListParagraph"/>
        <w:numPr>
          <w:ilvl w:val="0"/>
          <w:numId w:val="20"/>
        </w:numPr>
        <w:pBdr>
          <w:top w:val="single" w:sz="4" w:space="1" w:color="auto"/>
          <w:left w:val="single" w:sz="4" w:space="1" w:color="auto"/>
          <w:bottom w:val="single" w:sz="4" w:space="1" w:color="auto"/>
          <w:right w:val="single" w:sz="4" w:space="1" w:color="auto"/>
        </w:pBdr>
        <w:rPr>
          <w:sz w:val="22"/>
          <w:szCs w:val="22"/>
        </w:rPr>
      </w:pPr>
      <w:r>
        <w:rPr>
          <w:sz w:val="22"/>
          <w:szCs w:val="22"/>
        </w:rPr>
        <w:t xml:space="preserve">Ensure the policy maintains a level playing field for </w:t>
      </w:r>
      <w:r w:rsidR="0091358D">
        <w:rPr>
          <w:sz w:val="22"/>
          <w:szCs w:val="22"/>
        </w:rPr>
        <w:t xml:space="preserve">different </w:t>
      </w:r>
      <w:r>
        <w:rPr>
          <w:sz w:val="22"/>
          <w:szCs w:val="22"/>
        </w:rPr>
        <w:t>industry</w:t>
      </w:r>
      <w:r w:rsidR="0091358D">
        <w:rPr>
          <w:sz w:val="22"/>
          <w:szCs w:val="22"/>
        </w:rPr>
        <w:t xml:space="preserve"> stakeholders</w:t>
      </w:r>
      <w:r>
        <w:rPr>
          <w:sz w:val="22"/>
          <w:szCs w:val="22"/>
        </w:rPr>
        <w:t>.</w:t>
      </w:r>
    </w:p>
    <w:p w14:paraId="472B41D9" w14:textId="77777777" w:rsidR="00BC6CCB" w:rsidRPr="000B47EC" w:rsidRDefault="00BC6CCB" w:rsidP="000B47EC">
      <w:pPr>
        <w:pBdr>
          <w:top w:val="single" w:sz="4" w:space="1" w:color="auto"/>
          <w:left w:val="single" w:sz="4" w:space="1" w:color="auto"/>
          <w:bottom w:val="single" w:sz="4" w:space="1" w:color="auto"/>
          <w:right w:val="single" w:sz="4" w:space="1" w:color="auto"/>
        </w:pBdr>
        <w:ind w:left="360"/>
        <w:rPr>
          <w:sz w:val="22"/>
          <w:szCs w:val="22"/>
        </w:rPr>
      </w:pPr>
    </w:p>
    <w:p w14:paraId="378D955B" w14:textId="1FFD662D" w:rsidR="002256D4" w:rsidRPr="00E01F9A" w:rsidRDefault="00A41BAA" w:rsidP="00C953B9">
      <w:pPr>
        <w:pStyle w:val="ListParagraph"/>
        <w:numPr>
          <w:ilvl w:val="0"/>
          <w:numId w:val="20"/>
        </w:numPr>
        <w:pBdr>
          <w:top w:val="single" w:sz="4" w:space="1" w:color="auto"/>
          <w:left w:val="single" w:sz="4" w:space="1" w:color="auto"/>
          <w:bottom w:val="single" w:sz="4" w:space="1" w:color="auto"/>
          <w:right w:val="single" w:sz="4" w:space="1" w:color="auto"/>
        </w:pBdr>
        <w:rPr>
          <w:sz w:val="22"/>
          <w:szCs w:val="22"/>
        </w:rPr>
      </w:pPr>
      <w:r>
        <w:rPr>
          <w:sz w:val="22"/>
          <w:szCs w:val="22"/>
        </w:rPr>
        <w:t>Consider a</w:t>
      </w:r>
      <w:r w:rsidR="001260C8" w:rsidRPr="002A53B7">
        <w:rPr>
          <w:sz w:val="22"/>
          <w:szCs w:val="22"/>
        </w:rPr>
        <w:t>dapt</w:t>
      </w:r>
      <w:r>
        <w:rPr>
          <w:sz w:val="22"/>
          <w:szCs w:val="22"/>
        </w:rPr>
        <w:t>ion of processes that use</w:t>
      </w:r>
      <w:r w:rsidR="00D01FB7" w:rsidRPr="002A53B7">
        <w:rPr>
          <w:sz w:val="22"/>
          <w:szCs w:val="22"/>
        </w:rPr>
        <w:t xml:space="preserve"> </w:t>
      </w:r>
      <w:r w:rsidR="001260C8" w:rsidRPr="002A53B7">
        <w:rPr>
          <w:sz w:val="22"/>
          <w:szCs w:val="22"/>
        </w:rPr>
        <w:t xml:space="preserve">existing </w:t>
      </w:r>
      <w:r w:rsidR="00D01FB7" w:rsidRPr="002A53B7">
        <w:rPr>
          <w:sz w:val="22"/>
          <w:szCs w:val="22"/>
        </w:rPr>
        <w:t>tools</w:t>
      </w:r>
      <w:r w:rsidR="003D6133">
        <w:rPr>
          <w:sz w:val="22"/>
          <w:szCs w:val="22"/>
        </w:rPr>
        <w:t xml:space="preserve"> to</w:t>
      </w:r>
      <w:r w:rsidR="00D01FB7" w:rsidRPr="002A53B7">
        <w:rPr>
          <w:sz w:val="22"/>
          <w:szCs w:val="22"/>
        </w:rPr>
        <w:t xml:space="preserve"> define </w:t>
      </w:r>
      <w:r w:rsidR="001260C8" w:rsidRPr="002A53B7">
        <w:rPr>
          <w:sz w:val="22"/>
          <w:szCs w:val="22"/>
        </w:rPr>
        <w:t xml:space="preserve">HFSS </w:t>
      </w:r>
      <w:r w:rsidR="00B0430E">
        <w:rPr>
          <w:sz w:val="22"/>
          <w:szCs w:val="22"/>
        </w:rPr>
        <w:t>products</w:t>
      </w:r>
      <w:r w:rsidR="00B0430E" w:rsidRPr="002A53B7">
        <w:rPr>
          <w:sz w:val="22"/>
          <w:szCs w:val="22"/>
        </w:rPr>
        <w:t xml:space="preserve"> </w:t>
      </w:r>
      <w:r w:rsidR="001260C8" w:rsidRPr="002A53B7">
        <w:rPr>
          <w:sz w:val="22"/>
          <w:szCs w:val="22"/>
        </w:rPr>
        <w:t>(such as the NPM)</w:t>
      </w:r>
      <w:r w:rsidR="00D01FB7" w:rsidRPr="002A53B7">
        <w:rPr>
          <w:sz w:val="22"/>
          <w:szCs w:val="22"/>
        </w:rPr>
        <w:t xml:space="preserve"> by having </w:t>
      </w:r>
      <w:r>
        <w:rPr>
          <w:sz w:val="22"/>
          <w:szCs w:val="22"/>
        </w:rPr>
        <w:t>supplementary</w:t>
      </w:r>
      <w:r w:rsidR="00D01FB7" w:rsidRPr="002A53B7">
        <w:rPr>
          <w:sz w:val="22"/>
          <w:szCs w:val="22"/>
        </w:rPr>
        <w:t xml:space="preserve"> </w:t>
      </w:r>
      <w:r w:rsidR="003D6133">
        <w:rPr>
          <w:sz w:val="22"/>
          <w:szCs w:val="22"/>
        </w:rPr>
        <w:t xml:space="preserve">evidence-based </w:t>
      </w:r>
      <w:r w:rsidR="00D01FB7" w:rsidRPr="002A53B7">
        <w:rPr>
          <w:sz w:val="22"/>
          <w:szCs w:val="22"/>
        </w:rPr>
        <w:t>criteria</w:t>
      </w:r>
      <w:r w:rsidR="001260C8" w:rsidRPr="002A53B7">
        <w:rPr>
          <w:sz w:val="22"/>
          <w:szCs w:val="22"/>
        </w:rPr>
        <w:t xml:space="preserve"> to help achieve policy goals (e</w:t>
      </w:r>
      <w:r w:rsidR="0091358D">
        <w:rPr>
          <w:sz w:val="22"/>
          <w:szCs w:val="22"/>
        </w:rPr>
        <w:t>.</w:t>
      </w:r>
      <w:r w:rsidR="001260C8" w:rsidRPr="002A53B7">
        <w:rPr>
          <w:sz w:val="22"/>
          <w:szCs w:val="22"/>
        </w:rPr>
        <w:t>g</w:t>
      </w:r>
      <w:r w:rsidR="0091358D">
        <w:rPr>
          <w:sz w:val="22"/>
          <w:szCs w:val="22"/>
        </w:rPr>
        <w:t>.</w:t>
      </w:r>
      <w:r w:rsidR="001260C8" w:rsidRPr="002A53B7">
        <w:rPr>
          <w:sz w:val="22"/>
          <w:szCs w:val="22"/>
        </w:rPr>
        <w:t>,</w:t>
      </w:r>
      <w:r w:rsidR="003D6133">
        <w:rPr>
          <w:sz w:val="22"/>
          <w:szCs w:val="22"/>
        </w:rPr>
        <w:t xml:space="preserve"> recommended</w:t>
      </w:r>
      <w:r w:rsidR="001260C8" w:rsidRPr="002A53B7">
        <w:rPr>
          <w:sz w:val="22"/>
          <w:szCs w:val="22"/>
        </w:rPr>
        <w:t xml:space="preserve"> portion size, </w:t>
      </w:r>
      <w:r w:rsidR="003D6133">
        <w:rPr>
          <w:sz w:val="22"/>
          <w:szCs w:val="22"/>
        </w:rPr>
        <w:t xml:space="preserve">recommended </w:t>
      </w:r>
      <w:r w:rsidR="001260C8" w:rsidRPr="002A53B7">
        <w:rPr>
          <w:sz w:val="22"/>
          <w:szCs w:val="22"/>
        </w:rPr>
        <w:t>calories</w:t>
      </w:r>
      <w:r w:rsidR="00D01FB7" w:rsidRPr="002A53B7">
        <w:rPr>
          <w:sz w:val="22"/>
          <w:szCs w:val="22"/>
        </w:rPr>
        <w:t xml:space="preserve"> per meal</w:t>
      </w:r>
      <w:r w:rsidR="001260C8" w:rsidRPr="002A53B7">
        <w:rPr>
          <w:sz w:val="22"/>
          <w:szCs w:val="22"/>
        </w:rPr>
        <w:t>)</w:t>
      </w:r>
      <w:r>
        <w:rPr>
          <w:sz w:val="22"/>
          <w:szCs w:val="22"/>
        </w:rPr>
        <w:t xml:space="preserve"> or by having a decision-making body to consider specific products (e.g</w:t>
      </w:r>
      <w:r w:rsidR="003D6133">
        <w:rPr>
          <w:sz w:val="22"/>
          <w:szCs w:val="22"/>
        </w:rPr>
        <w:t>.</w:t>
      </w:r>
      <w:r>
        <w:rPr>
          <w:sz w:val="22"/>
          <w:szCs w:val="22"/>
        </w:rPr>
        <w:t xml:space="preserve"> the exceptions process).</w:t>
      </w:r>
    </w:p>
    <w:p w14:paraId="6C93903C" w14:textId="77777777" w:rsidR="00BC6CCB" w:rsidRPr="000B47EC" w:rsidRDefault="00BC6CCB" w:rsidP="000B47EC">
      <w:pPr>
        <w:pBdr>
          <w:top w:val="single" w:sz="4" w:space="1" w:color="auto"/>
          <w:left w:val="single" w:sz="4" w:space="1" w:color="auto"/>
          <w:bottom w:val="single" w:sz="4" w:space="1" w:color="auto"/>
          <w:right w:val="single" w:sz="4" w:space="1" w:color="auto"/>
        </w:pBdr>
        <w:ind w:left="360"/>
        <w:rPr>
          <w:sz w:val="22"/>
          <w:szCs w:val="22"/>
        </w:rPr>
      </w:pPr>
    </w:p>
    <w:p w14:paraId="07879D48" w14:textId="7F0E8F12" w:rsidR="001260C8" w:rsidRDefault="001260C8" w:rsidP="00C953B9">
      <w:pPr>
        <w:pStyle w:val="ListParagraph"/>
        <w:numPr>
          <w:ilvl w:val="0"/>
          <w:numId w:val="20"/>
        </w:numPr>
        <w:pBdr>
          <w:top w:val="single" w:sz="4" w:space="1" w:color="auto"/>
          <w:left w:val="single" w:sz="4" w:space="1" w:color="auto"/>
          <w:bottom w:val="single" w:sz="4" w:space="1" w:color="auto"/>
          <w:right w:val="single" w:sz="4" w:space="1" w:color="auto"/>
        </w:pBdr>
        <w:rPr>
          <w:sz w:val="22"/>
          <w:szCs w:val="22"/>
        </w:rPr>
      </w:pPr>
      <w:r w:rsidRPr="002A53B7">
        <w:rPr>
          <w:sz w:val="22"/>
          <w:szCs w:val="22"/>
        </w:rPr>
        <w:lastRenderedPageBreak/>
        <w:t xml:space="preserve">Establish a transparent and consistent process </w:t>
      </w:r>
      <w:r w:rsidR="00D01FB7" w:rsidRPr="002A53B7">
        <w:rPr>
          <w:sz w:val="22"/>
          <w:szCs w:val="22"/>
        </w:rPr>
        <w:t xml:space="preserve">for making </w:t>
      </w:r>
      <w:r w:rsidR="001E4162">
        <w:rPr>
          <w:sz w:val="22"/>
          <w:szCs w:val="22"/>
        </w:rPr>
        <w:t xml:space="preserve">compliance </w:t>
      </w:r>
      <w:r w:rsidR="00D01FB7" w:rsidRPr="002A53B7">
        <w:rPr>
          <w:sz w:val="22"/>
          <w:szCs w:val="22"/>
        </w:rPr>
        <w:t xml:space="preserve">decisions on </w:t>
      </w:r>
      <w:r w:rsidRPr="002A53B7">
        <w:rPr>
          <w:sz w:val="22"/>
          <w:szCs w:val="22"/>
        </w:rPr>
        <w:t>specific products</w:t>
      </w:r>
      <w:r w:rsidR="00D01FB7" w:rsidRPr="002A53B7">
        <w:rPr>
          <w:sz w:val="22"/>
          <w:szCs w:val="22"/>
        </w:rPr>
        <w:t xml:space="preserve"> that may or may not fall within the aims of the policy</w:t>
      </w:r>
      <w:r w:rsidR="00597610">
        <w:rPr>
          <w:sz w:val="22"/>
          <w:szCs w:val="22"/>
        </w:rPr>
        <w:t xml:space="preserve">, dedicating the </w:t>
      </w:r>
      <w:r w:rsidRPr="00E01F9A">
        <w:rPr>
          <w:sz w:val="22"/>
          <w:szCs w:val="22"/>
        </w:rPr>
        <w:t>time and resource</w:t>
      </w:r>
      <w:r w:rsidR="001E4162">
        <w:rPr>
          <w:sz w:val="22"/>
          <w:szCs w:val="22"/>
        </w:rPr>
        <w:t xml:space="preserve"> </w:t>
      </w:r>
      <w:r w:rsidR="00597610">
        <w:rPr>
          <w:sz w:val="22"/>
          <w:szCs w:val="22"/>
        </w:rPr>
        <w:t>required for this</w:t>
      </w:r>
      <w:r w:rsidR="001E4162">
        <w:rPr>
          <w:sz w:val="22"/>
          <w:szCs w:val="22"/>
        </w:rPr>
        <w:t xml:space="preserve"> to be sustainable.</w:t>
      </w:r>
    </w:p>
    <w:p w14:paraId="47A6A556" w14:textId="77777777" w:rsidR="00BC6CCB" w:rsidRPr="000B47EC" w:rsidRDefault="00BC6CCB" w:rsidP="000B47EC">
      <w:pPr>
        <w:pBdr>
          <w:top w:val="single" w:sz="4" w:space="1" w:color="auto"/>
          <w:left w:val="single" w:sz="4" w:space="1" w:color="auto"/>
          <w:bottom w:val="single" w:sz="4" w:space="1" w:color="auto"/>
          <w:right w:val="single" w:sz="4" w:space="1" w:color="auto"/>
        </w:pBdr>
        <w:ind w:left="360"/>
        <w:rPr>
          <w:sz w:val="22"/>
          <w:szCs w:val="22"/>
        </w:rPr>
      </w:pPr>
    </w:p>
    <w:p w14:paraId="05FEA7A2" w14:textId="4E48530B" w:rsidR="00DC1795" w:rsidRDefault="00DC1795" w:rsidP="00C953B9">
      <w:pPr>
        <w:pStyle w:val="ListParagraph"/>
        <w:numPr>
          <w:ilvl w:val="0"/>
          <w:numId w:val="20"/>
        </w:numPr>
        <w:pBdr>
          <w:top w:val="single" w:sz="4" w:space="1" w:color="auto"/>
          <w:left w:val="single" w:sz="4" w:space="1" w:color="auto"/>
          <w:bottom w:val="single" w:sz="4" w:space="1" w:color="auto"/>
          <w:right w:val="single" w:sz="4" w:space="1" w:color="auto"/>
        </w:pBdr>
        <w:rPr>
          <w:sz w:val="22"/>
          <w:szCs w:val="22"/>
        </w:rPr>
      </w:pPr>
      <w:r>
        <w:rPr>
          <w:sz w:val="22"/>
          <w:szCs w:val="22"/>
        </w:rPr>
        <w:t xml:space="preserve">Consider </w:t>
      </w:r>
      <w:r w:rsidR="001E4162">
        <w:rPr>
          <w:sz w:val="22"/>
          <w:szCs w:val="22"/>
        </w:rPr>
        <w:t xml:space="preserve">a consistent process </w:t>
      </w:r>
      <w:r w:rsidR="00597610">
        <w:rPr>
          <w:sz w:val="22"/>
          <w:szCs w:val="22"/>
        </w:rPr>
        <w:t>for addressing</w:t>
      </w:r>
      <w:r>
        <w:rPr>
          <w:sz w:val="22"/>
          <w:szCs w:val="22"/>
        </w:rPr>
        <w:t xml:space="preserve"> </w:t>
      </w:r>
      <w:r w:rsidR="001E4162">
        <w:rPr>
          <w:sz w:val="22"/>
          <w:szCs w:val="22"/>
        </w:rPr>
        <w:t>non-standard products. For example</w:t>
      </w:r>
      <w:r w:rsidR="00224735">
        <w:rPr>
          <w:sz w:val="22"/>
          <w:szCs w:val="22"/>
        </w:rPr>
        <w:t>,</w:t>
      </w:r>
      <w:r w:rsidR="001E4162">
        <w:rPr>
          <w:sz w:val="22"/>
          <w:szCs w:val="22"/>
        </w:rPr>
        <w:t xml:space="preserve"> </w:t>
      </w:r>
      <w:r>
        <w:rPr>
          <w:sz w:val="22"/>
          <w:szCs w:val="22"/>
        </w:rPr>
        <w:t xml:space="preserve">‘generic’ </w:t>
      </w:r>
      <w:r w:rsidR="001E4162">
        <w:rPr>
          <w:sz w:val="22"/>
          <w:szCs w:val="22"/>
        </w:rPr>
        <w:t>or ‘</w:t>
      </w:r>
      <w:r w:rsidR="00325799">
        <w:rPr>
          <w:sz w:val="22"/>
          <w:szCs w:val="22"/>
        </w:rPr>
        <w:t>model</w:t>
      </w:r>
      <w:r w:rsidR="001E4162">
        <w:rPr>
          <w:sz w:val="22"/>
          <w:szCs w:val="22"/>
        </w:rPr>
        <w:t xml:space="preserve">’ representations of </w:t>
      </w:r>
      <w:r>
        <w:rPr>
          <w:sz w:val="22"/>
          <w:szCs w:val="22"/>
        </w:rPr>
        <w:t>foods and beverages</w:t>
      </w:r>
      <w:r w:rsidR="001E4162">
        <w:rPr>
          <w:sz w:val="22"/>
          <w:szCs w:val="22"/>
        </w:rPr>
        <w:t>;</w:t>
      </w:r>
      <w:r>
        <w:rPr>
          <w:sz w:val="22"/>
          <w:szCs w:val="22"/>
        </w:rPr>
        <w:t xml:space="preserve"> or products</w:t>
      </w:r>
      <w:r w:rsidR="001E4162">
        <w:rPr>
          <w:sz w:val="22"/>
          <w:szCs w:val="22"/>
        </w:rPr>
        <w:t>/meals</w:t>
      </w:r>
      <w:r>
        <w:rPr>
          <w:sz w:val="22"/>
          <w:szCs w:val="22"/>
        </w:rPr>
        <w:t xml:space="preserve"> that are produced in non-standard</w:t>
      </w:r>
      <w:r w:rsidR="001E4162">
        <w:rPr>
          <w:sz w:val="22"/>
          <w:szCs w:val="22"/>
        </w:rPr>
        <w:t>ised</w:t>
      </w:r>
      <w:r>
        <w:rPr>
          <w:sz w:val="22"/>
          <w:szCs w:val="22"/>
        </w:rPr>
        <w:t xml:space="preserve"> way</w:t>
      </w:r>
      <w:r w:rsidR="00597610">
        <w:rPr>
          <w:sz w:val="22"/>
          <w:szCs w:val="22"/>
        </w:rPr>
        <w:t>s</w:t>
      </w:r>
      <w:r w:rsidR="001E4162">
        <w:rPr>
          <w:sz w:val="22"/>
          <w:szCs w:val="22"/>
        </w:rPr>
        <w:t xml:space="preserve"> by small businesses</w:t>
      </w:r>
      <w:r>
        <w:rPr>
          <w:sz w:val="22"/>
          <w:szCs w:val="22"/>
        </w:rPr>
        <w:t xml:space="preserve"> </w:t>
      </w:r>
      <w:r w:rsidR="00597610">
        <w:rPr>
          <w:sz w:val="22"/>
          <w:szCs w:val="22"/>
        </w:rPr>
        <w:t>that</w:t>
      </w:r>
      <w:r w:rsidR="001E4162">
        <w:rPr>
          <w:sz w:val="22"/>
          <w:szCs w:val="22"/>
        </w:rPr>
        <w:t xml:space="preserve"> do not have the </w:t>
      </w:r>
      <w:r w:rsidR="00224735">
        <w:rPr>
          <w:sz w:val="22"/>
          <w:szCs w:val="22"/>
        </w:rPr>
        <w:t>resource</w:t>
      </w:r>
      <w:r w:rsidR="001E4162">
        <w:rPr>
          <w:sz w:val="22"/>
          <w:szCs w:val="22"/>
        </w:rPr>
        <w:t xml:space="preserve"> to undertake nutritional profiling.</w:t>
      </w:r>
    </w:p>
    <w:p w14:paraId="7BE4243D" w14:textId="77777777" w:rsidR="00BC6CCB" w:rsidRPr="000B47EC" w:rsidRDefault="00BC6CCB" w:rsidP="000B47EC">
      <w:pPr>
        <w:pBdr>
          <w:top w:val="single" w:sz="4" w:space="1" w:color="auto"/>
          <w:left w:val="single" w:sz="4" w:space="1" w:color="auto"/>
          <w:bottom w:val="single" w:sz="4" w:space="1" w:color="auto"/>
          <w:right w:val="single" w:sz="4" w:space="1" w:color="auto"/>
        </w:pBdr>
        <w:ind w:left="360"/>
        <w:rPr>
          <w:sz w:val="22"/>
          <w:szCs w:val="22"/>
        </w:rPr>
      </w:pPr>
    </w:p>
    <w:p w14:paraId="04F56C45" w14:textId="2A363035" w:rsidR="00780D7F" w:rsidRPr="00E01F9A" w:rsidRDefault="00780D7F" w:rsidP="00C953B9">
      <w:pPr>
        <w:pStyle w:val="ListParagraph"/>
        <w:numPr>
          <w:ilvl w:val="0"/>
          <w:numId w:val="20"/>
        </w:numPr>
        <w:pBdr>
          <w:top w:val="single" w:sz="4" w:space="1" w:color="auto"/>
          <w:left w:val="single" w:sz="4" w:space="1" w:color="auto"/>
          <w:bottom w:val="single" w:sz="4" w:space="1" w:color="auto"/>
          <w:right w:val="single" w:sz="4" w:space="1" w:color="auto"/>
        </w:pBdr>
        <w:rPr>
          <w:sz w:val="22"/>
          <w:szCs w:val="22"/>
        </w:rPr>
      </w:pPr>
      <w:r w:rsidRPr="00780D7F">
        <w:rPr>
          <w:sz w:val="22"/>
          <w:szCs w:val="22"/>
        </w:rPr>
        <w:t>Ensure the policy passes a ‘reasonableness’ test in order to maintain support from policymakers, industry and the public</w:t>
      </w:r>
      <w:r w:rsidR="00597610">
        <w:rPr>
          <w:sz w:val="22"/>
          <w:szCs w:val="22"/>
        </w:rPr>
        <w:t>. Develop and maintain</w:t>
      </w:r>
      <w:r w:rsidR="00625A11">
        <w:rPr>
          <w:sz w:val="22"/>
          <w:szCs w:val="22"/>
        </w:rPr>
        <w:t xml:space="preserve"> consistent messaging and </w:t>
      </w:r>
      <w:r w:rsidR="00597610">
        <w:rPr>
          <w:sz w:val="22"/>
          <w:szCs w:val="22"/>
        </w:rPr>
        <w:t xml:space="preserve">take steps to </w:t>
      </w:r>
      <w:r w:rsidR="00625A11">
        <w:rPr>
          <w:sz w:val="22"/>
          <w:szCs w:val="22"/>
        </w:rPr>
        <w:t xml:space="preserve">pre-empt media </w:t>
      </w:r>
      <w:r w:rsidR="00325799">
        <w:rPr>
          <w:sz w:val="22"/>
          <w:szCs w:val="22"/>
        </w:rPr>
        <w:t>critiques</w:t>
      </w:r>
      <w:r w:rsidR="009C537C">
        <w:rPr>
          <w:sz w:val="22"/>
          <w:szCs w:val="22"/>
        </w:rPr>
        <w:t>.</w:t>
      </w:r>
    </w:p>
    <w:p w14:paraId="373F831B" w14:textId="77777777" w:rsidR="00BC6CCB" w:rsidRPr="000B47EC" w:rsidRDefault="00BC6CCB" w:rsidP="000B47EC">
      <w:pPr>
        <w:pBdr>
          <w:top w:val="single" w:sz="4" w:space="1" w:color="auto"/>
          <w:left w:val="single" w:sz="4" w:space="1" w:color="auto"/>
          <w:bottom w:val="single" w:sz="4" w:space="1" w:color="auto"/>
          <w:right w:val="single" w:sz="4" w:space="1" w:color="auto"/>
        </w:pBdr>
        <w:ind w:left="360"/>
      </w:pPr>
    </w:p>
    <w:p w14:paraId="6F1653B8" w14:textId="17553EB7" w:rsidR="001260C8" w:rsidRPr="000B47EC" w:rsidRDefault="001260C8" w:rsidP="00C953B9">
      <w:pPr>
        <w:pStyle w:val="ListParagraph"/>
        <w:numPr>
          <w:ilvl w:val="0"/>
          <w:numId w:val="20"/>
        </w:numPr>
        <w:pBdr>
          <w:top w:val="single" w:sz="4" w:space="1" w:color="auto"/>
          <w:left w:val="single" w:sz="4" w:space="1" w:color="auto"/>
          <w:bottom w:val="single" w:sz="4" w:space="1" w:color="auto"/>
          <w:right w:val="single" w:sz="4" w:space="1" w:color="auto"/>
        </w:pBdr>
      </w:pPr>
      <w:r w:rsidRPr="00E01F9A">
        <w:rPr>
          <w:sz w:val="22"/>
          <w:szCs w:val="22"/>
        </w:rPr>
        <w:t>Allow flexibility to change and adapt the policy over time</w:t>
      </w:r>
      <w:r w:rsidR="001E4162">
        <w:rPr>
          <w:sz w:val="22"/>
          <w:szCs w:val="22"/>
        </w:rPr>
        <w:t xml:space="preserve"> in response to emergent challenges.</w:t>
      </w:r>
    </w:p>
    <w:p w14:paraId="3C53BCCF" w14:textId="77777777" w:rsidR="00BC6CCB" w:rsidRPr="00821FB3" w:rsidRDefault="00BC6CCB" w:rsidP="000B47EC">
      <w:pPr>
        <w:pBdr>
          <w:top w:val="single" w:sz="4" w:space="1" w:color="auto"/>
          <w:left w:val="single" w:sz="4" w:space="1" w:color="auto"/>
          <w:bottom w:val="single" w:sz="4" w:space="1" w:color="auto"/>
          <w:right w:val="single" w:sz="4" w:space="1" w:color="auto"/>
        </w:pBdr>
        <w:ind w:left="360"/>
      </w:pPr>
    </w:p>
    <w:p w14:paraId="5D860630" w14:textId="77777777" w:rsidR="001260C8" w:rsidRDefault="001260C8" w:rsidP="004A4C1B">
      <w:pPr>
        <w:rPr>
          <w:lang w:val="en-GB" w:eastAsia="en-US"/>
        </w:rPr>
      </w:pPr>
    </w:p>
    <w:p w14:paraId="6A76010C" w14:textId="77777777" w:rsidR="00FD0287" w:rsidRDefault="00FD0287" w:rsidP="00475D3F">
      <w:pPr>
        <w:spacing w:line="360" w:lineRule="auto"/>
        <w:rPr>
          <w:rFonts w:asciiTheme="majorHAnsi" w:hAnsiTheme="majorHAnsi" w:cstheme="majorHAnsi"/>
          <w:color w:val="1F3864" w:themeColor="accent1" w:themeShade="80"/>
          <w:lang w:val="en-GB" w:eastAsia="en-US"/>
        </w:rPr>
      </w:pPr>
    </w:p>
    <w:p w14:paraId="04D486A1" w14:textId="77148D19" w:rsidR="002A6F40" w:rsidRPr="00E01F9A" w:rsidRDefault="002A6F40" w:rsidP="00475D3F">
      <w:pPr>
        <w:spacing w:line="360" w:lineRule="auto"/>
        <w:rPr>
          <w:rFonts w:asciiTheme="majorHAnsi" w:hAnsiTheme="majorHAnsi" w:cstheme="majorHAnsi"/>
          <w:color w:val="1F3864" w:themeColor="accent1" w:themeShade="80"/>
          <w:lang w:val="en-GB" w:eastAsia="en-US"/>
        </w:rPr>
      </w:pPr>
      <w:r w:rsidRPr="00E01F9A">
        <w:rPr>
          <w:rFonts w:asciiTheme="majorHAnsi" w:hAnsiTheme="majorHAnsi" w:cstheme="majorHAnsi"/>
          <w:color w:val="1F3864" w:themeColor="accent1" w:themeShade="80"/>
          <w:lang w:val="en-GB" w:eastAsia="en-US"/>
        </w:rPr>
        <w:t>Strengths and limitations</w:t>
      </w:r>
    </w:p>
    <w:p w14:paraId="4730212C" w14:textId="077F98E0" w:rsidR="00A463C9" w:rsidRDefault="002A6F40" w:rsidP="00475D3F">
      <w:pPr>
        <w:spacing w:line="360" w:lineRule="auto"/>
        <w:rPr>
          <w:rFonts w:asciiTheme="minorHAnsi" w:hAnsiTheme="minorHAnsi" w:cstheme="minorHAnsi"/>
          <w:sz w:val="22"/>
          <w:szCs w:val="22"/>
          <w:lang w:val="en-GB" w:eastAsia="en-US"/>
        </w:rPr>
      </w:pPr>
      <w:r w:rsidRPr="00E01F9A">
        <w:rPr>
          <w:rFonts w:asciiTheme="minorHAnsi" w:hAnsiTheme="minorHAnsi" w:cstheme="minorHAnsi"/>
          <w:sz w:val="22"/>
          <w:szCs w:val="22"/>
          <w:lang w:val="en-GB" w:eastAsia="en-US"/>
        </w:rPr>
        <w:t>This paper adds to the evidence base on the implementation of complex interventions and policies to address childhood obesity</w:t>
      </w:r>
      <w:r w:rsidRPr="00E01F9A">
        <w:rPr>
          <w:rFonts w:asciiTheme="minorHAnsi" w:hAnsiTheme="minorHAnsi" w:cstheme="minorHAnsi"/>
          <w:sz w:val="22"/>
          <w:szCs w:val="22"/>
          <w:lang w:eastAsia="en-US"/>
        </w:rPr>
        <w:t xml:space="preserve"> </w:t>
      </w:r>
      <w:r w:rsidRPr="00E01F9A">
        <w:rPr>
          <w:rFonts w:asciiTheme="minorHAnsi" w:hAnsiTheme="minorHAnsi" w:cstheme="minorHAnsi"/>
          <w:sz w:val="22"/>
          <w:szCs w:val="22"/>
          <w:lang w:eastAsia="en-US"/>
        </w:rPr>
        <w:fldChar w:fldCharType="begin">
          <w:fldData xml:space="preserve">PEVuZE5vdGU+PENpdGU+PEF1dGhvcj5LbmFpPC9BdXRob3I+PFllYXI+MjAxODwvWWVhcj48UmVj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</w:fldData>
        </w:fldChar>
      </w:r>
      <w:r w:rsidR="006D1623">
        <w:rPr>
          <w:rFonts w:asciiTheme="minorHAnsi" w:hAnsiTheme="minorHAnsi" w:cstheme="minorHAnsi"/>
          <w:sz w:val="22"/>
          <w:szCs w:val="22"/>
          <w:lang w:eastAsia="en-US"/>
        </w:rPr>
        <w:instrText xml:space="preserve"> ADDIN EN.CITE </w:instrText>
      </w:r>
      <w:r w:rsidR="006D1623">
        <w:rPr>
          <w:rFonts w:asciiTheme="minorHAnsi" w:hAnsiTheme="minorHAnsi" w:cstheme="minorHAnsi"/>
          <w:sz w:val="22"/>
          <w:szCs w:val="22"/>
          <w:lang w:eastAsia="en-US"/>
        </w:rPr>
        <w:fldChar w:fldCharType="begin">
          <w:fldData xml:space="preserve">PEVuZE5vdGU+PENpdGU+PEF1dGhvcj5LbmFpPC9BdXRob3I+PFllYXI+MjAxODwvWWVhcj48UmVj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</w:fldData>
        </w:fldChar>
      </w:r>
      <w:r w:rsidR="006D1623">
        <w:rPr>
          <w:rFonts w:asciiTheme="minorHAnsi" w:hAnsiTheme="minorHAnsi" w:cstheme="minorHAnsi"/>
          <w:sz w:val="22"/>
          <w:szCs w:val="22"/>
          <w:lang w:eastAsia="en-US"/>
        </w:rPr>
        <w:instrText xml:space="preserve"> ADDIN EN.CITE.DATA </w:instrText>
      </w:r>
      <w:r w:rsidR="006D1623">
        <w:rPr>
          <w:rFonts w:asciiTheme="minorHAnsi" w:hAnsiTheme="minorHAnsi" w:cstheme="minorHAnsi"/>
          <w:sz w:val="22"/>
          <w:szCs w:val="22"/>
          <w:lang w:eastAsia="en-US"/>
        </w:rPr>
      </w:r>
      <w:r w:rsidR="006D1623">
        <w:rPr>
          <w:rFonts w:asciiTheme="minorHAnsi" w:hAnsiTheme="minorHAnsi" w:cstheme="minorHAnsi"/>
          <w:sz w:val="22"/>
          <w:szCs w:val="22"/>
          <w:lang w:eastAsia="en-US"/>
        </w:rPr>
        <w:fldChar w:fldCharType="end"/>
      </w:r>
      <w:r w:rsidRPr="00E01F9A">
        <w:rPr>
          <w:rFonts w:asciiTheme="minorHAnsi" w:hAnsiTheme="minorHAnsi" w:cstheme="minorHAnsi"/>
          <w:sz w:val="22"/>
          <w:szCs w:val="22"/>
          <w:lang w:eastAsia="en-US"/>
        </w:rPr>
      </w:r>
      <w:r w:rsidRPr="00E01F9A">
        <w:rPr>
          <w:rFonts w:asciiTheme="minorHAnsi" w:hAnsiTheme="minorHAnsi" w:cstheme="minorHAnsi"/>
          <w:sz w:val="22"/>
          <w:szCs w:val="22"/>
          <w:lang w:eastAsia="en-US"/>
        </w:rPr>
        <w:fldChar w:fldCharType="separate"/>
      </w:r>
      <w:r w:rsidR="006D1623">
        <w:rPr>
          <w:rFonts w:asciiTheme="minorHAnsi" w:hAnsiTheme="minorHAnsi" w:cstheme="minorHAnsi"/>
          <w:noProof/>
          <w:sz w:val="22"/>
          <w:szCs w:val="22"/>
          <w:lang w:eastAsia="en-US"/>
        </w:rPr>
        <w:t>(Knai et al., 2018; Rutter et al., 2017)</w:t>
      </w:r>
      <w:r w:rsidRPr="00E01F9A">
        <w:rPr>
          <w:rFonts w:asciiTheme="minorHAnsi" w:hAnsiTheme="minorHAnsi" w:cstheme="minorHAnsi"/>
          <w:sz w:val="22"/>
          <w:szCs w:val="22"/>
          <w:lang w:val="en-GB" w:eastAsia="en-US"/>
        </w:rPr>
        <w:fldChar w:fldCharType="end"/>
      </w:r>
      <w:r w:rsidRPr="00E01F9A">
        <w:rPr>
          <w:rFonts w:asciiTheme="minorHAnsi" w:hAnsiTheme="minorHAnsi" w:cstheme="minorHAnsi"/>
          <w:sz w:val="22"/>
          <w:szCs w:val="22"/>
          <w:lang w:eastAsia="en-US"/>
        </w:rPr>
        <w:t xml:space="preserve">. The intervention involved a wide range of actors </w:t>
      </w:r>
      <w:r w:rsidR="002F658A">
        <w:rPr>
          <w:rFonts w:asciiTheme="minorHAnsi" w:hAnsiTheme="minorHAnsi" w:cstheme="minorHAnsi"/>
          <w:sz w:val="22"/>
          <w:szCs w:val="22"/>
          <w:lang w:eastAsia="en-US"/>
        </w:rPr>
        <w:t>from across multiple</w:t>
      </w:r>
      <w:r w:rsidR="002F658A" w:rsidRPr="00E01F9A">
        <w:rPr>
          <w:rFonts w:asciiTheme="minorHAnsi" w:hAnsiTheme="minorHAnsi" w:cstheme="minorHAnsi"/>
          <w:sz w:val="22"/>
          <w:szCs w:val="22"/>
          <w:lang w:eastAsia="en-US"/>
        </w:rPr>
        <w:t xml:space="preserve"> </w:t>
      </w:r>
      <w:r w:rsidRPr="00E01F9A">
        <w:rPr>
          <w:rFonts w:asciiTheme="minorHAnsi" w:hAnsiTheme="minorHAnsi" w:cstheme="minorHAnsi"/>
          <w:sz w:val="22"/>
          <w:szCs w:val="22"/>
          <w:lang w:eastAsia="en-US"/>
        </w:rPr>
        <w:t>sectors</w:t>
      </w:r>
      <w:r w:rsidR="002F658A">
        <w:rPr>
          <w:rFonts w:asciiTheme="minorHAnsi" w:hAnsiTheme="minorHAnsi" w:cstheme="minorHAnsi"/>
          <w:sz w:val="22"/>
          <w:szCs w:val="22"/>
          <w:lang w:eastAsia="en-US"/>
        </w:rPr>
        <w:t>,</w:t>
      </w:r>
      <w:r w:rsidRPr="00E01F9A">
        <w:rPr>
          <w:rFonts w:asciiTheme="minorHAnsi" w:hAnsiTheme="minorHAnsi" w:cstheme="minorHAnsi"/>
          <w:sz w:val="22"/>
          <w:szCs w:val="22"/>
          <w:lang w:eastAsia="en-US"/>
        </w:rPr>
        <w:t xml:space="preserve"> and we recruited from a diverse pool of stakeholders to generate a robust account of the policy process.</w:t>
      </w:r>
      <w:r w:rsidR="00A463C9">
        <w:rPr>
          <w:rFonts w:asciiTheme="minorHAnsi" w:hAnsiTheme="minorHAnsi" w:cstheme="minorHAnsi"/>
          <w:sz w:val="22"/>
          <w:szCs w:val="22"/>
          <w:lang w:eastAsia="en-US"/>
        </w:rPr>
        <w:t xml:space="preserve"> </w:t>
      </w:r>
      <w:r w:rsidR="00A463C9" w:rsidRPr="00E01F9A">
        <w:rPr>
          <w:rFonts w:asciiTheme="minorHAnsi" w:hAnsiTheme="minorHAnsi" w:cstheme="minorHAnsi"/>
          <w:sz w:val="22"/>
          <w:szCs w:val="22"/>
          <w:lang w:eastAsia="en-US"/>
        </w:rPr>
        <w:t>However, limitations on fieldwork capabilities due to the COVID-19 pandemic prevented us from</w:t>
      </w:r>
      <w:r w:rsidR="002F658A">
        <w:rPr>
          <w:rFonts w:asciiTheme="minorHAnsi" w:hAnsiTheme="minorHAnsi" w:cstheme="minorHAnsi"/>
          <w:sz w:val="22"/>
          <w:szCs w:val="22"/>
          <w:lang w:eastAsia="en-US"/>
        </w:rPr>
        <w:t xml:space="preserve"> direct</w:t>
      </w:r>
      <w:r w:rsidR="00571EBB">
        <w:rPr>
          <w:rFonts w:asciiTheme="minorHAnsi" w:hAnsiTheme="minorHAnsi" w:cstheme="minorHAnsi"/>
          <w:sz w:val="22"/>
          <w:szCs w:val="22"/>
          <w:lang w:eastAsia="en-US"/>
        </w:rPr>
        <w:t>l</w:t>
      </w:r>
      <w:r w:rsidR="002F658A">
        <w:rPr>
          <w:rFonts w:asciiTheme="minorHAnsi" w:hAnsiTheme="minorHAnsi" w:cstheme="minorHAnsi"/>
          <w:sz w:val="22"/>
          <w:szCs w:val="22"/>
          <w:lang w:eastAsia="en-US"/>
        </w:rPr>
        <w:t>y</w:t>
      </w:r>
      <w:r w:rsidR="00A463C9" w:rsidRPr="00E01F9A">
        <w:rPr>
          <w:rFonts w:asciiTheme="minorHAnsi" w:hAnsiTheme="minorHAnsi" w:cstheme="minorHAnsi"/>
          <w:sz w:val="22"/>
          <w:szCs w:val="22"/>
          <w:lang w:eastAsia="en-US"/>
        </w:rPr>
        <w:t xml:space="preserve"> exploring public perception of and views on the policy.</w:t>
      </w:r>
      <w:r w:rsidRPr="00E01F9A">
        <w:rPr>
          <w:rFonts w:asciiTheme="minorHAnsi" w:hAnsiTheme="minorHAnsi" w:cstheme="minorHAnsi"/>
          <w:sz w:val="22"/>
          <w:szCs w:val="22"/>
          <w:lang w:val="en-GB" w:eastAsia="en-US"/>
        </w:rPr>
        <w:t xml:space="preserve"> </w:t>
      </w:r>
      <w:r w:rsidR="008B0D17">
        <w:rPr>
          <w:rFonts w:asciiTheme="minorHAnsi" w:hAnsiTheme="minorHAnsi" w:cstheme="minorHAnsi"/>
          <w:sz w:val="22"/>
          <w:szCs w:val="22"/>
          <w:lang w:val="en-GB" w:eastAsia="en-US"/>
        </w:rPr>
        <w:t xml:space="preserve">Additionally, it is possible that participants’ responses could be influenced by the interviewer’s identity as a public health researcher. However, participants shared both positive and negative reflections and findings were often similar across industry and implementation stakeholders, suggesting that participants were candid in their responses.  </w:t>
      </w:r>
    </w:p>
    <w:p w14:paraId="62822B4B" w14:textId="77777777" w:rsidR="00A463C9" w:rsidRDefault="00A463C9" w:rsidP="00475D3F">
      <w:pPr>
        <w:spacing w:line="360" w:lineRule="auto"/>
        <w:rPr>
          <w:rFonts w:asciiTheme="minorHAnsi" w:hAnsiTheme="minorHAnsi" w:cstheme="minorHAnsi"/>
          <w:sz w:val="22"/>
          <w:szCs w:val="22"/>
          <w:lang w:val="en-GB" w:eastAsia="en-US"/>
        </w:rPr>
      </w:pPr>
    </w:p>
    <w:p w14:paraId="683D82DC" w14:textId="1C757E7C" w:rsidR="002A6F40" w:rsidRPr="00E01F9A" w:rsidRDefault="002A6F40" w:rsidP="00475D3F">
      <w:pPr>
        <w:spacing w:line="360" w:lineRule="auto"/>
        <w:rPr>
          <w:rFonts w:asciiTheme="minorHAnsi" w:hAnsiTheme="minorHAnsi" w:cstheme="minorHAnsi"/>
          <w:sz w:val="22"/>
          <w:szCs w:val="22"/>
          <w:lang w:val="en-GB" w:eastAsia="en-US"/>
        </w:rPr>
      </w:pPr>
      <w:r w:rsidRPr="00E01F9A">
        <w:rPr>
          <w:rFonts w:asciiTheme="minorHAnsi" w:hAnsiTheme="minorHAnsi" w:cstheme="minorHAnsi"/>
          <w:sz w:val="22"/>
          <w:szCs w:val="22"/>
          <w:lang w:val="en-GB" w:eastAsia="en-US"/>
        </w:rPr>
        <w:t xml:space="preserve">Though our analysis of the implementation of advertising restrictions on a transport network was in one city, thus limiting generalisability, the policy has attracted interest from local and national government elsewhere in the UK and internationally, and potentially provides insight into the optimisation of policy in other jurisdictions.  </w:t>
      </w:r>
    </w:p>
    <w:p w14:paraId="2E2954A0" w14:textId="77777777" w:rsidR="002A6F40" w:rsidRDefault="002A6F40" w:rsidP="00475D3F">
      <w:pPr>
        <w:spacing w:line="360" w:lineRule="auto"/>
        <w:rPr>
          <w:lang w:val="en-GB" w:eastAsia="en-US"/>
        </w:rPr>
      </w:pPr>
    </w:p>
    <w:p w14:paraId="4B481DEF" w14:textId="5106CF10" w:rsidR="004A4C1B" w:rsidRPr="00C10FF9" w:rsidRDefault="005C5677" w:rsidP="00475D3F">
      <w:pPr>
        <w:pStyle w:val="Heading3"/>
        <w:spacing w:line="360" w:lineRule="auto"/>
      </w:pPr>
      <w:r>
        <w:t>Conclusions</w:t>
      </w:r>
    </w:p>
    <w:p w14:paraId="020FA204" w14:textId="744640F9" w:rsidR="00D52E32" w:rsidRDefault="009C537C" w:rsidP="00475D3F">
      <w:pPr>
        <w:spacing w:line="360" w:lineRule="auto"/>
        <w:rPr>
          <w:rFonts w:asciiTheme="minorHAnsi" w:hAnsiTheme="minorHAnsi" w:cstheme="minorHAnsi"/>
          <w:sz w:val="22"/>
          <w:szCs w:val="22"/>
          <w:lang w:val="en-GB" w:eastAsia="en-US"/>
        </w:rPr>
      </w:pPr>
      <w:r>
        <w:rPr>
          <w:rFonts w:asciiTheme="minorHAnsi" w:hAnsiTheme="minorHAnsi" w:cstheme="minorHAnsi"/>
          <w:sz w:val="22"/>
          <w:szCs w:val="22"/>
          <w:lang w:val="en-GB" w:eastAsia="en-US"/>
        </w:rPr>
        <w:t>Designing and implementing r</w:t>
      </w:r>
      <w:r w:rsidR="00CE3A60">
        <w:rPr>
          <w:rFonts w:asciiTheme="minorHAnsi" w:hAnsiTheme="minorHAnsi" w:cstheme="minorHAnsi"/>
          <w:sz w:val="22"/>
          <w:szCs w:val="22"/>
          <w:lang w:val="en-GB" w:eastAsia="en-US"/>
        </w:rPr>
        <w:t>estricti</w:t>
      </w:r>
      <w:r>
        <w:rPr>
          <w:rFonts w:asciiTheme="minorHAnsi" w:hAnsiTheme="minorHAnsi" w:cstheme="minorHAnsi"/>
          <w:sz w:val="22"/>
          <w:szCs w:val="22"/>
          <w:lang w:val="en-GB" w:eastAsia="en-US"/>
        </w:rPr>
        <w:t xml:space="preserve">ons on </w:t>
      </w:r>
      <w:r w:rsidR="00CE3A60">
        <w:rPr>
          <w:rFonts w:asciiTheme="minorHAnsi" w:hAnsiTheme="minorHAnsi" w:cstheme="minorHAnsi"/>
          <w:sz w:val="22"/>
          <w:szCs w:val="22"/>
          <w:lang w:val="en-GB" w:eastAsia="en-US"/>
        </w:rPr>
        <w:t xml:space="preserve">the advertisement of HFSS foods, especially to children, is </w:t>
      </w:r>
      <w:r w:rsidR="00831475">
        <w:rPr>
          <w:rFonts w:asciiTheme="minorHAnsi" w:hAnsiTheme="minorHAnsi" w:cstheme="minorHAnsi"/>
          <w:sz w:val="22"/>
          <w:szCs w:val="22"/>
          <w:lang w:val="en-GB" w:eastAsia="en-US"/>
        </w:rPr>
        <w:t xml:space="preserve">high on </w:t>
      </w:r>
      <w:r w:rsidR="00CB550E">
        <w:rPr>
          <w:rFonts w:asciiTheme="minorHAnsi" w:hAnsiTheme="minorHAnsi" w:cstheme="minorHAnsi"/>
          <w:sz w:val="22"/>
          <w:szCs w:val="22"/>
          <w:lang w:val="en-GB" w:eastAsia="en-US"/>
        </w:rPr>
        <w:t xml:space="preserve">the public </w:t>
      </w:r>
      <w:r w:rsidR="00A96020">
        <w:rPr>
          <w:rFonts w:asciiTheme="minorHAnsi" w:hAnsiTheme="minorHAnsi" w:cstheme="minorHAnsi"/>
          <w:sz w:val="22"/>
          <w:szCs w:val="22"/>
          <w:lang w:val="en-GB" w:eastAsia="en-US"/>
        </w:rPr>
        <w:t xml:space="preserve">health </w:t>
      </w:r>
      <w:r w:rsidR="00CB550E">
        <w:rPr>
          <w:rFonts w:asciiTheme="minorHAnsi" w:hAnsiTheme="minorHAnsi" w:cstheme="minorHAnsi"/>
          <w:sz w:val="22"/>
          <w:szCs w:val="22"/>
          <w:lang w:val="en-GB" w:eastAsia="en-US"/>
        </w:rPr>
        <w:t>policy agenda</w:t>
      </w:r>
      <w:r w:rsidR="002F658A">
        <w:rPr>
          <w:rFonts w:asciiTheme="minorHAnsi" w:hAnsiTheme="minorHAnsi" w:cstheme="minorHAnsi"/>
          <w:sz w:val="22"/>
          <w:szCs w:val="22"/>
          <w:lang w:val="en-GB" w:eastAsia="en-US"/>
        </w:rPr>
        <w:t xml:space="preserve"> both</w:t>
      </w:r>
      <w:r>
        <w:rPr>
          <w:rFonts w:asciiTheme="minorHAnsi" w:hAnsiTheme="minorHAnsi" w:cstheme="minorHAnsi"/>
          <w:sz w:val="22"/>
          <w:szCs w:val="22"/>
          <w:lang w:val="en-GB" w:eastAsia="en-US"/>
        </w:rPr>
        <w:t xml:space="preserve"> locally and nationally but is not without challenge.</w:t>
      </w:r>
      <w:r w:rsidR="00D52E32">
        <w:rPr>
          <w:rFonts w:asciiTheme="minorHAnsi" w:hAnsiTheme="minorHAnsi" w:cstheme="minorHAnsi"/>
          <w:sz w:val="22"/>
          <w:szCs w:val="22"/>
          <w:lang w:val="en-GB" w:eastAsia="en-US"/>
        </w:rPr>
        <w:t xml:space="preserve"> These challenges may be political as well as practical and require careful thought at the design and planning </w:t>
      </w:r>
      <w:r w:rsidR="00D52E32">
        <w:rPr>
          <w:rFonts w:asciiTheme="minorHAnsi" w:hAnsiTheme="minorHAnsi" w:cstheme="minorHAnsi"/>
          <w:sz w:val="22"/>
          <w:szCs w:val="22"/>
          <w:lang w:val="en-GB" w:eastAsia="en-US"/>
        </w:rPr>
        <w:lastRenderedPageBreak/>
        <w:t>stage in order to pre-empt criticism and allow for the smooth implementation of policy.</w:t>
      </w:r>
      <w:r w:rsidR="00A96020">
        <w:rPr>
          <w:rFonts w:asciiTheme="minorHAnsi" w:hAnsiTheme="minorHAnsi" w:cstheme="minorHAnsi"/>
          <w:sz w:val="22"/>
          <w:szCs w:val="22"/>
          <w:lang w:val="en-GB" w:eastAsia="en-US"/>
        </w:rPr>
        <w:t xml:space="preserve"> </w:t>
      </w:r>
      <w:r w:rsidR="00F55840">
        <w:rPr>
          <w:rFonts w:asciiTheme="minorHAnsi" w:hAnsiTheme="minorHAnsi" w:cstheme="minorHAnsi"/>
          <w:sz w:val="22"/>
          <w:szCs w:val="22"/>
          <w:lang w:val="en-GB" w:eastAsia="en-US"/>
        </w:rPr>
        <w:t xml:space="preserve">Key to </w:t>
      </w:r>
      <w:r w:rsidR="00CA2628">
        <w:rPr>
          <w:rFonts w:asciiTheme="minorHAnsi" w:hAnsiTheme="minorHAnsi" w:cstheme="minorHAnsi"/>
          <w:sz w:val="22"/>
          <w:szCs w:val="22"/>
          <w:lang w:val="en-GB" w:eastAsia="en-US"/>
        </w:rPr>
        <w:t>policy</w:t>
      </w:r>
      <w:r w:rsidR="00F55840">
        <w:rPr>
          <w:rFonts w:asciiTheme="minorHAnsi" w:hAnsiTheme="minorHAnsi" w:cstheme="minorHAnsi"/>
          <w:sz w:val="22"/>
          <w:szCs w:val="22"/>
          <w:lang w:val="en-GB" w:eastAsia="en-US"/>
        </w:rPr>
        <w:t xml:space="preserve"> success was the ability of </w:t>
      </w:r>
      <w:r w:rsidR="00D52E32">
        <w:rPr>
          <w:rFonts w:asciiTheme="minorHAnsi" w:hAnsiTheme="minorHAnsi" w:cstheme="minorHAnsi"/>
          <w:sz w:val="22"/>
          <w:szCs w:val="22"/>
          <w:lang w:val="en-GB" w:eastAsia="en-US"/>
        </w:rPr>
        <w:t>commercial stakeholders</w:t>
      </w:r>
      <w:r w:rsidR="00F55840">
        <w:rPr>
          <w:rFonts w:asciiTheme="minorHAnsi" w:hAnsiTheme="minorHAnsi" w:cstheme="minorHAnsi"/>
          <w:sz w:val="22"/>
          <w:szCs w:val="22"/>
          <w:lang w:val="en-GB" w:eastAsia="en-US"/>
        </w:rPr>
        <w:t xml:space="preserve"> to</w:t>
      </w:r>
      <w:r w:rsidR="00D52E32">
        <w:rPr>
          <w:rFonts w:asciiTheme="minorHAnsi" w:hAnsiTheme="minorHAnsi" w:cstheme="minorHAnsi"/>
          <w:sz w:val="22"/>
          <w:szCs w:val="22"/>
          <w:lang w:val="en-GB" w:eastAsia="en-US"/>
        </w:rPr>
        <w:t xml:space="preserve"> quickly adapt to the </w:t>
      </w:r>
      <w:r w:rsidR="00CA2628">
        <w:rPr>
          <w:rFonts w:asciiTheme="minorHAnsi" w:hAnsiTheme="minorHAnsi" w:cstheme="minorHAnsi"/>
          <w:sz w:val="22"/>
          <w:szCs w:val="22"/>
          <w:lang w:val="en-GB" w:eastAsia="en-US"/>
        </w:rPr>
        <w:t>restrictions</w:t>
      </w:r>
      <w:r w:rsidR="00D52E32">
        <w:rPr>
          <w:rFonts w:asciiTheme="minorHAnsi" w:hAnsiTheme="minorHAnsi" w:cstheme="minorHAnsi"/>
          <w:sz w:val="22"/>
          <w:szCs w:val="22"/>
          <w:lang w:val="en-GB" w:eastAsia="en-US"/>
        </w:rPr>
        <w:t xml:space="preserve"> and this was facilitated by the existence of a process where specific products on the boundary of the policy could be assessed for compliance.</w:t>
      </w:r>
      <w:r w:rsidR="00D52E32" w:rsidRPr="00D52E32">
        <w:rPr>
          <w:rFonts w:asciiTheme="minorHAnsi" w:hAnsiTheme="minorHAnsi" w:cstheme="minorHAnsi"/>
          <w:sz w:val="22"/>
          <w:szCs w:val="22"/>
          <w:lang w:val="en-GB" w:eastAsia="en-US"/>
        </w:rPr>
        <w:t xml:space="preserve"> </w:t>
      </w:r>
      <w:r w:rsidR="0086434A">
        <w:rPr>
          <w:rFonts w:asciiTheme="minorHAnsi" w:hAnsiTheme="minorHAnsi" w:cstheme="minorHAnsi"/>
          <w:sz w:val="22"/>
          <w:szCs w:val="22"/>
          <w:lang w:val="en-GB" w:eastAsia="en-US"/>
        </w:rPr>
        <w:t xml:space="preserve">Overall, </w:t>
      </w:r>
      <w:r w:rsidR="00CA2628">
        <w:rPr>
          <w:rFonts w:asciiTheme="minorHAnsi" w:hAnsiTheme="minorHAnsi" w:cstheme="minorHAnsi"/>
          <w:sz w:val="22"/>
          <w:szCs w:val="22"/>
          <w:lang w:val="en-GB" w:eastAsia="en-US"/>
        </w:rPr>
        <w:t xml:space="preserve">this paper demonstrates that </w:t>
      </w:r>
      <w:r w:rsidR="0086434A">
        <w:rPr>
          <w:rFonts w:asciiTheme="minorHAnsi" w:hAnsiTheme="minorHAnsi" w:cstheme="minorHAnsi"/>
          <w:sz w:val="22"/>
          <w:szCs w:val="22"/>
          <w:lang w:val="en-GB" w:eastAsia="en-US"/>
        </w:rPr>
        <w:t xml:space="preserve">policies and interventions aimed at restricting the </w:t>
      </w:r>
      <w:r w:rsidR="0086434A" w:rsidRPr="0086434A">
        <w:rPr>
          <w:rFonts w:asciiTheme="minorHAnsi" w:hAnsiTheme="minorHAnsi" w:cstheme="minorHAnsi"/>
          <w:sz w:val="22"/>
          <w:szCs w:val="22"/>
          <w:lang w:val="en-GB" w:eastAsia="en-US"/>
        </w:rPr>
        <w:t xml:space="preserve">outdoor advertisement of HFSS foods and beverages at scale </w:t>
      </w:r>
      <w:r w:rsidR="0086434A">
        <w:rPr>
          <w:rFonts w:asciiTheme="minorHAnsi" w:hAnsiTheme="minorHAnsi" w:cstheme="minorHAnsi"/>
          <w:sz w:val="22"/>
          <w:szCs w:val="22"/>
          <w:lang w:val="en-GB" w:eastAsia="en-US"/>
        </w:rPr>
        <w:t xml:space="preserve">are highly </w:t>
      </w:r>
      <w:r w:rsidR="0086434A" w:rsidRPr="0086434A">
        <w:rPr>
          <w:rFonts w:asciiTheme="minorHAnsi" w:hAnsiTheme="minorHAnsi" w:cstheme="minorHAnsi"/>
          <w:sz w:val="22"/>
          <w:szCs w:val="22"/>
          <w:lang w:val="en-GB" w:eastAsia="en-US"/>
        </w:rPr>
        <w:t>feasible</w:t>
      </w:r>
      <w:r w:rsidR="0086434A">
        <w:rPr>
          <w:rFonts w:asciiTheme="minorHAnsi" w:hAnsiTheme="minorHAnsi" w:cstheme="minorHAnsi"/>
          <w:sz w:val="22"/>
          <w:szCs w:val="22"/>
          <w:lang w:val="en-GB" w:eastAsia="en-US"/>
        </w:rPr>
        <w:t>. For optimal i</w:t>
      </w:r>
      <w:r w:rsidR="00D52E32">
        <w:rPr>
          <w:rFonts w:asciiTheme="minorHAnsi" w:hAnsiTheme="minorHAnsi" w:cstheme="minorHAnsi"/>
          <w:sz w:val="22"/>
          <w:szCs w:val="22"/>
          <w:lang w:val="en-GB" w:eastAsia="en-US"/>
        </w:rPr>
        <w:t>mplementation</w:t>
      </w:r>
      <w:r w:rsidR="0086434A">
        <w:rPr>
          <w:rFonts w:asciiTheme="minorHAnsi" w:hAnsiTheme="minorHAnsi" w:cstheme="minorHAnsi"/>
          <w:sz w:val="22"/>
          <w:szCs w:val="22"/>
          <w:lang w:val="en-GB" w:eastAsia="en-US"/>
        </w:rPr>
        <w:t xml:space="preserve"> of similar future policies</w:t>
      </w:r>
      <w:r w:rsidR="00CA2628">
        <w:rPr>
          <w:rFonts w:asciiTheme="minorHAnsi" w:hAnsiTheme="minorHAnsi" w:cstheme="minorHAnsi"/>
          <w:sz w:val="22"/>
          <w:szCs w:val="22"/>
          <w:lang w:val="en-GB" w:eastAsia="en-US"/>
        </w:rPr>
        <w:t>,</w:t>
      </w:r>
      <w:r w:rsidR="0086434A">
        <w:rPr>
          <w:rFonts w:asciiTheme="minorHAnsi" w:hAnsiTheme="minorHAnsi" w:cstheme="minorHAnsi"/>
          <w:sz w:val="22"/>
          <w:szCs w:val="22"/>
          <w:lang w:val="en-GB" w:eastAsia="en-US"/>
        </w:rPr>
        <w:t xml:space="preserve"> </w:t>
      </w:r>
      <w:r w:rsidR="00F55840">
        <w:rPr>
          <w:rFonts w:asciiTheme="minorHAnsi" w:hAnsiTheme="minorHAnsi" w:cstheme="minorHAnsi"/>
          <w:sz w:val="22"/>
          <w:szCs w:val="22"/>
          <w:lang w:val="en-GB" w:eastAsia="en-US"/>
        </w:rPr>
        <w:t xml:space="preserve">and to maximise potential public health gain, implementers should consider </w:t>
      </w:r>
      <w:r w:rsidR="002256D4">
        <w:rPr>
          <w:rFonts w:asciiTheme="minorHAnsi" w:hAnsiTheme="minorHAnsi" w:cstheme="minorHAnsi"/>
          <w:sz w:val="22"/>
          <w:szCs w:val="22"/>
          <w:lang w:val="en-GB" w:eastAsia="en-US"/>
        </w:rPr>
        <w:t>the recom</w:t>
      </w:r>
      <w:r w:rsidR="00CA2628">
        <w:rPr>
          <w:rFonts w:asciiTheme="minorHAnsi" w:hAnsiTheme="minorHAnsi" w:cstheme="minorHAnsi"/>
          <w:sz w:val="22"/>
          <w:szCs w:val="22"/>
          <w:lang w:val="en-GB" w:eastAsia="en-US"/>
        </w:rPr>
        <w:t>m</w:t>
      </w:r>
      <w:r w:rsidR="002256D4">
        <w:rPr>
          <w:rFonts w:asciiTheme="minorHAnsi" w:hAnsiTheme="minorHAnsi" w:cstheme="minorHAnsi"/>
          <w:sz w:val="22"/>
          <w:szCs w:val="22"/>
          <w:lang w:val="en-GB" w:eastAsia="en-US"/>
        </w:rPr>
        <w:t>endations outlined</w:t>
      </w:r>
      <w:r w:rsidR="00B901BF">
        <w:rPr>
          <w:rFonts w:asciiTheme="minorHAnsi" w:hAnsiTheme="minorHAnsi" w:cstheme="minorHAnsi"/>
          <w:sz w:val="22"/>
          <w:szCs w:val="22"/>
          <w:lang w:val="en-GB" w:eastAsia="en-US"/>
        </w:rPr>
        <w:t xml:space="preserve"> </w:t>
      </w:r>
      <w:r w:rsidR="00931919">
        <w:rPr>
          <w:rFonts w:asciiTheme="minorHAnsi" w:hAnsiTheme="minorHAnsi" w:cstheme="minorHAnsi"/>
          <w:sz w:val="22"/>
          <w:szCs w:val="22"/>
          <w:lang w:val="en-GB" w:eastAsia="en-US"/>
        </w:rPr>
        <w:t>above</w:t>
      </w:r>
      <w:r w:rsidR="00B901BF">
        <w:rPr>
          <w:rFonts w:asciiTheme="minorHAnsi" w:hAnsiTheme="minorHAnsi" w:cstheme="minorHAnsi"/>
          <w:sz w:val="22"/>
          <w:szCs w:val="22"/>
          <w:lang w:val="en-GB" w:eastAsia="en-US"/>
        </w:rPr>
        <w:t>.</w:t>
      </w:r>
      <w:r w:rsidR="002256D4">
        <w:rPr>
          <w:rFonts w:asciiTheme="minorHAnsi" w:hAnsiTheme="minorHAnsi" w:cstheme="minorHAnsi"/>
          <w:sz w:val="22"/>
          <w:szCs w:val="22"/>
          <w:lang w:val="en-GB" w:eastAsia="en-US"/>
        </w:rPr>
        <w:t xml:space="preserve"> </w:t>
      </w:r>
      <w:r w:rsidR="00CA2628">
        <w:rPr>
          <w:rFonts w:asciiTheme="minorHAnsi" w:hAnsiTheme="minorHAnsi" w:cstheme="minorHAnsi"/>
          <w:sz w:val="22"/>
          <w:szCs w:val="22"/>
          <w:lang w:val="en-GB" w:eastAsia="en-US"/>
        </w:rPr>
        <w:t xml:space="preserve">This might include a </w:t>
      </w:r>
      <w:r w:rsidR="002256D4">
        <w:rPr>
          <w:rFonts w:asciiTheme="minorHAnsi" w:hAnsiTheme="minorHAnsi" w:cstheme="minorHAnsi"/>
          <w:sz w:val="22"/>
          <w:szCs w:val="22"/>
          <w:lang w:val="en-GB" w:eastAsia="en-US"/>
        </w:rPr>
        <w:t xml:space="preserve">particular focus on adapting existing tools to </w:t>
      </w:r>
      <w:r w:rsidR="00CA2628">
        <w:rPr>
          <w:rFonts w:asciiTheme="minorHAnsi" w:hAnsiTheme="minorHAnsi" w:cstheme="minorHAnsi"/>
          <w:sz w:val="22"/>
          <w:szCs w:val="22"/>
          <w:lang w:val="en-GB" w:eastAsia="en-US"/>
        </w:rPr>
        <w:t xml:space="preserve">better </w:t>
      </w:r>
      <w:r w:rsidR="002256D4">
        <w:rPr>
          <w:rFonts w:asciiTheme="minorHAnsi" w:hAnsiTheme="minorHAnsi" w:cstheme="minorHAnsi"/>
          <w:sz w:val="22"/>
          <w:szCs w:val="22"/>
          <w:lang w:val="en-GB" w:eastAsia="en-US"/>
        </w:rPr>
        <w:t>define HFSS products</w:t>
      </w:r>
      <w:r w:rsidR="005242CC">
        <w:rPr>
          <w:rFonts w:asciiTheme="minorHAnsi" w:hAnsiTheme="minorHAnsi" w:cstheme="minorHAnsi"/>
          <w:sz w:val="22"/>
          <w:szCs w:val="22"/>
          <w:lang w:val="en-GB" w:eastAsia="en-US"/>
        </w:rPr>
        <w:t xml:space="preserve"> by</w:t>
      </w:r>
      <w:r w:rsidR="00CA2628">
        <w:rPr>
          <w:rFonts w:asciiTheme="minorHAnsi" w:hAnsiTheme="minorHAnsi" w:cstheme="minorHAnsi"/>
          <w:sz w:val="22"/>
          <w:szCs w:val="22"/>
          <w:lang w:val="en-GB" w:eastAsia="en-US"/>
        </w:rPr>
        <w:t xml:space="preserve"> </w:t>
      </w:r>
      <w:r w:rsidR="003B3ACD">
        <w:rPr>
          <w:rFonts w:asciiTheme="minorHAnsi" w:hAnsiTheme="minorHAnsi" w:cstheme="minorHAnsi"/>
          <w:sz w:val="22"/>
          <w:szCs w:val="22"/>
          <w:lang w:val="en-GB" w:eastAsia="en-US"/>
        </w:rPr>
        <w:t>considering</w:t>
      </w:r>
      <w:r w:rsidR="00CA2628">
        <w:rPr>
          <w:rFonts w:asciiTheme="minorHAnsi" w:hAnsiTheme="minorHAnsi" w:cstheme="minorHAnsi"/>
          <w:sz w:val="22"/>
          <w:szCs w:val="22"/>
          <w:lang w:val="en-GB" w:eastAsia="en-US"/>
        </w:rPr>
        <w:t xml:space="preserve"> portion size, total calories of advertised product and the</w:t>
      </w:r>
      <w:r w:rsidR="00D140AC">
        <w:rPr>
          <w:rFonts w:asciiTheme="minorHAnsi" w:hAnsiTheme="minorHAnsi" w:cstheme="minorHAnsi"/>
          <w:sz w:val="22"/>
          <w:szCs w:val="22"/>
          <w:lang w:val="en-GB" w:eastAsia="en-US"/>
        </w:rPr>
        <w:t xml:space="preserve"> salience</w:t>
      </w:r>
      <w:r w:rsidR="005242CC">
        <w:rPr>
          <w:rFonts w:asciiTheme="minorHAnsi" w:hAnsiTheme="minorHAnsi" w:cstheme="minorHAnsi"/>
          <w:sz w:val="22"/>
          <w:szCs w:val="22"/>
          <w:lang w:val="en-GB" w:eastAsia="en-US"/>
        </w:rPr>
        <w:t xml:space="preserve"> of products</w:t>
      </w:r>
      <w:r w:rsidR="00D140AC">
        <w:rPr>
          <w:rFonts w:asciiTheme="minorHAnsi" w:hAnsiTheme="minorHAnsi" w:cstheme="minorHAnsi"/>
          <w:sz w:val="22"/>
          <w:szCs w:val="22"/>
          <w:lang w:val="en-GB" w:eastAsia="en-US"/>
        </w:rPr>
        <w:t xml:space="preserve"> to children</w:t>
      </w:r>
      <w:r w:rsidR="00CA2628">
        <w:rPr>
          <w:rFonts w:asciiTheme="minorHAnsi" w:hAnsiTheme="minorHAnsi" w:cstheme="minorHAnsi"/>
          <w:sz w:val="22"/>
          <w:szCs w:val="22"/>
          <w:lang w:val="en-GB" w:eastAsia="en-US"/>
        </w:rPr>
        <w:t xml:space="preserve">. </w:t>
      </w:r>
    </w:p>
    <w:p w14:paraId="5757EF03" w14:textId="751A4926" w:rsidR="009076BF" w:rsidRPr="00E12707" w:rsidRDefault="00475D3F" w:rsidP="007A3286">
      <w:r>
        <w:br w:type="page"/>
      </w:r>
    </w:p>
    <w:p w14:paraId="345AC8FC" w14:textId="59952917" w:rsidR="00436627" w:rsidRPr="00185B21" w:rsidRDefault="00882281" w:rsidP="00185B21">
      <w:pPr>
        <w:pStyle w:val="Heading2"/>
        <w:spacing w:before="0" w:line="360" w:lineRule="auto"/>
        <w:contextualSpacing/>
        <w:rPr>
          <w:rFonts w:asciiTheme="minorHAnsi" w:hAnsiTheme="minorHAnsi" w:cstheme="minorHAnsi"/>
          <w:sz w:val="22"/>
          <w:szCs w:val="22"/>
        </w:rPr>
      </w:pPr>
      <w:r w:rsidRPr="00185B21">
        <w:rPr>
          <w:rFonts w:asciiTheme="minorHAnsi" w:hAnsiTheme="minorHAnsi" w:cstheme="minorHAnsi"/>
          <w:sz w:val="22"/>
          <w:szCs w:val="22"/>
        </w:rPr>
        <w:lastRenderedPageBreak/>
        <w:t>References</w:t>
      </w:r>
    </w:p>
    <w:p w14:paraId="626ECF7A" w14:textId="77777777" w:rsidR="00760F31" w:rsidRPr="00185B21" w:rsidRDefault="00436627"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fldChar w:fldCharType="begin"/>
      </w:r>
      <w:r w:rsidRPr="00185B21">
        <w:rPr>
          <w:rFonts w:asciiTheme="minorHAnsi" w:hAnsiTheme="minorHAnsi" w:cstheme="minorHAnsi"/>
          <w:sz w:val="22"/>
          <w:szCs w:val="22"/>
        </w:rPr>
        <w:instrText xml:space="preserve"> ADDIN EN.REFLIST </w:instrText>
      </w:r>
      <w:r w:rsidRPr="00185B21">
        <w:rPr>
          <w:rFonts w:asciiTheme="minorHAnsi" w:hAnsiTheme="minorHAnsi" w:cstheme="minorHAnsi"/>
          <w:sz w:val="22"/>
          <w:szCs w:val="22"/>
        </w:rPr>
        <w:fldChar w:fldCharType="separate"/>
      </w:r>
      <w:r w:rsidR="00760F31" w:rsidRPr="00185B21">
        <w:rPr>
          <w:rFonts w:asciiTheme="minorHAnsi" w:hAnsiTheme="minorHAnsi" w:cstheme="minorHAnsi"/>
          <w:sz w:val="22"/>
          <w:szCs w:val="22"/>
        </w:rPr>
        <w:t xml:space="preserve">Adams, J., Mytton, O., White, M., &amp; Monsivais, P. (2016). Why Are Some Population Interventions for Diet and Obesity More Equitable and Effective Than Others? The Role of Individual Agency. </w:t>
      </w:r>
      <w:r w:rsidR="00760F31" w:rsidRPr="00185B21">
        <w:rPr>
          <w:rFonts w:asciiTheme="minorHAnsi" w:hAnsiTheme="minorHAnsi" w:cstheme="minorHAnsi"/>
          <w:i/>
          <w:sz w:val="22"/>
          <w:szCs w:val="22"/>
        </w:rPr>
        <w:t xml:space="preserve">PLOS Medicine, </w:t>
      </w:r>
      <w:r w:rsidR="00760F31" w:rsidRPr="00185B21">
        <w:rPr>
          <w:rFonts w:asciiTheme="minorHAnsi" w:hAnsiTheme="minorHAnsi" w:cstheme="minorHAnsi"/>
          <w:sz w:val="22"/>
          <w:szCs w:val="22"/>
        </w:rPr>
        <w:t>13.</w:t>
      </w:r>
    </w:p>
    <w:p w14:paraId="0935E801"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 xml:space="preserve">Adams, J., Tyrrell, R., Adamson, A.J., &amp; White, M. (2012). Socio-economic differences in exposure to television food advertisements in the UK: a cross-sectional study of advertisements broadcast in one television region. </w:t>
      </w:r>
      <w:r w:rsidRPr="00185B21">
        <w:rPr>
          <w:rFonts w:asciiTheme="minorHAnsi" w:hAnsiTheme="minorHAnsi" w:cstheme="minorHAnsi"/>
          <w:i/>
          <w:sz w:val="22"/>
          <w:szCs w:val="22"/>
        </w:rPr>
        <w:t xml:space="preserve">Public Health Nutrition, </w:t>
      </w:r>
      <w:r w:rsidRPr="00185B21">
        <w:rPr>
          <w:rFonts w:asciiTheme="minorHAnsi" w:hAnsiTheme="minorHAnsi" w:cstheme="minorHAnsi"/>
          <w:sz w:val="22"/>
          <w:szCs w:val="22"/>
        </w:rPr>
        <w:t>15, 487-494.</w:t>
      </w:r>
    </w:p>
    <w:p w14:paraId="4A63DD6D" w14:textId="173C0E5C"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 xml:space="preserve">Backholer, K., Gupta, A., Zorbas, C., Bennett, R., Huse, O., Chung, A., et al. (2020). Differential exposure to, and potential impact of, unhealthy advertising to children by socio‐economic and ethnic groups: A systematic review of the evidence. </w:t>
      </w:r>
      <w:r w:rsidRPr="00185B21">
        <w:rPr>
          <w:rFonts w:asciiTheme="minorHAnsi" w:hAnsiTheme="minorHAnsi" w:cstheme="minorHAnsi"/>
          <w:i/>
          <w:sz w:val="22"/>
          <w:szCs w:val="22"/>
        </w:rPr>
        <w:t xml:space="preserve">Obesity Reviews, </w:t>
      </w:r>
      <w:hyperlink r:id="rId11" w:history="1">
        <w:r w:rsidRPr="00185B21">
          <w:rPr>
            <w:rStyle w:val="Hyperlink"/>
            <w:rFonts w:asciiTheme="minorHAnsi" w:hAnsiTheme="minorHAnsi" w:cstheme="minorHAnsi"/>
            <w:sz w:val="22"/>
            <w:szCs w:val="22"/>
          </w:rPr>
          <w:t>https://doi.org/10.1111/obr.13144</w:t>
        </w:r>
      </w:hyperlink>
      <w:r w:rsidRPr="00185B21">
        <w:rPr>
          <w:rFonts w:asciiTheme="minorHAnsi" w:hAnsiTheme="minorHAnsi" w:cstheme="minorHAnsi"/>
          <w:sz w:val="22"/>
          <w:szCs w:val="22"/>
        </w:rPr>
        <w:t>, 1-20.</w:t>
      </w:r>
    </w:p>
    <w:p w14:paraId="509942F8"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 xml:space="preserve">Cairns, G., Angus, K., Hastings, G., &amp; Caraher, M. (2013). Systematic reviews of the evidence on the nature, extent and effects of food marketing to children. A retrospective summary. </w:t>
      </w:r>
      <w:r w:rsidRPr="00185B21">
        <w:rPr>
          <w:rFonts w:asciiTheme="minorHAnsi" w:hAnsiTheme="minorHAnsi" w:cstheme="minorHAnsi"/>
          <w:i/>
          <w:sz w:val="22"/>
          <w:szCs w:val="22"/>
        </w:rPr>
        <w:t xml:space="preserve">Appetite, </w:t>
      </w:r>
      <w:r w:rsidRPr="00185B21">
        <w:rPr>
          <w:rFonts w:asciiTheme="minorHAnsi" w:hAnsiTheme="minorHAnsi" w:cstheme="minorHAnsi"/>
          <w:sz w:val="22"/>
          <w:szCs w:val="22"/>
        </w:rPr>
        <w:t>62, 209-215.</w:t>
      </w:r>
    </w:p>
    <w:p w14:paraId="150838F0"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 xml:space="preserve">Clarke, B., Swinburn, B., &amp; Sacks, G. (2016). The application of theories of the policy process to obesity prevention: a systematic review and meta-synthesis. </w:t>
      </w:r>
      <w:r w:rsidRPr="00185B21">
        <w:rPr>
          <w:rFonts w:asciiTheme="minorHAnsi" w:hAnsiTheme="minorHAnsi" w:cstheme="minorHAnsi"/>
          <w:i/>
          <w:sz w:val="22"/>
          <w:szCs w:val="22"/>
        </w:rPr>
        <w:t xml:space="preserve">BMC Public Health, </w:t>
      </w:r>
      <w:r w:rsidRPr="00185B21">
        <w:rPr>
          <w:rFonts w:asciiTheme="minorHAnsi" w:hAnsiTheme="minorHAnsi" w:cstheme="minorHAnsi"/>
          <w:sz w:val="22"/>
          <w:szCs w:val="22"/>
        </w:rPr>
        <w:t>16.</w:t>
      </w:r>
    </w:p>
    <w:p w14:paraId="49EE436C"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DEFRA. (2013). Food Statistics Pocketbook 2013.  National Statistics: Department for Environment Food and Rural Affairs.</w:t>
      </w:r>
    </w:p>
    <w:p w14:paraId="3797C6C0"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Department of Health. (2011). Nutrient Profiling Technical Guidance. UK: Department of Health.</w:t>
      </w:r>
    </w:p>
    <w:p w14:paraId="06606C6D"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 xml:space="preserve">Diepeveen, S., Ling, T., Suhrcke, M., Roland, M., &amp; Marteau, T.M. (2013). Public acceptability of government intervention to change health-related behaviours: a systematic review and narrative synthesis. </w:t>
      </w:r>
      <w:r w:rsidRPr="00185B21">
        <w:rPr>
          <w:rFonts w:asciiTheme="minorHAnsi" w:hAnsiTheme="minorHAnsi" w:cstheme="minorHAnsi"/>
          <w:i/>
          <w:sz w:val="22"/>
          <w:szCs w:val="22"/>
        </w:rPr>
        <w:t xml:space="preserve">BMC Public Health, </w:t>
      </w:r>
      <w:r w:rsidRPr="00185B21">
        <w:rPr>
          <w:rFonts w:asciiTheme="minorHAnsi" w:hAnsiTheme="minorHAnsi" w:cstheme="minorHAnsi"/>
          <w:sz w:val="22"/>
          <w:szCs w:val="22"/>
        </w:rPr>
        <w:t>13, 756.</w:t>
      </w:r>
    </w:p>
    <w:p w14:paraId="0893C4E4" w14:textId="48287666" w:rsidR="00760F3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FareShare. (2013). Stepping up to the plate.  FareShare: fighting hunger, tackling food waste. London: Sodexo.</w:t>
      </w:r>
    </w:p>
    <w:p w14:paraId="5352F880" w14:textId="6B32D82E" w:rsidR="006E15B6" w:rsidRPr="00CE3CCA" w:rsidRDefault="006E15B6" w:rsidP="006E15B6">
      <w:pPr>
        <w:pStyle w:val="EndNoteBibliography"/>
        <w:spacing w:line="360" w:lineRule="auto"/>
        <w:ind w:left="720" w:hanging="720"/>
        <w:contextualSpacing/>
        <w:rPr>
          <w:rFonts w:asciiTheme="minorHAnsi" w:hAnsiTheme="minorHAnsi" w:cstheme="minorHAnsi"/>
          <w:sz w:val="22"/>
          <w:szCs w:val="22"/>
        </w:rPr>
      </w:pPr>
      <w:r w:rsidRPr="00CE3CCA">
        <w:rPr>
          <w:rFonts w:asciiTheme="minorHAnsi" w:hAnsiTheme="minorHAnsi" w:cstheme="minorHAnsi"/>
          <w:b/>
          <w:bCs/>
          <w:sz w:val="22"/>
          <w:szCs w:val="22"/>
          <w:lang w:val="en-US"/>
        </w:rPr>
        <w:t>Fischer M</w:t>
      </w:r>
      <w:r w:rsidRPr="00CE3CCA">
        <w:rPr>
          <w:rFonts w:asciiTheme="minorHAnsi" w:hAnsiTheme="minorHAnsi" w:cstheme="minorHAnsi"/>
          <w:sz w:val="22"/>
          <w:szCs w:val="22"/>
          <w:lang w:val="en-US"/>
        </w:rPr>
        <w:t>, Meyer P, Schwartz MD, </w:t>
      </w:r>
      <w:r w:rsidRPr="00CE3CCA">
        <w:rPr>
          <w:rFonts w:asciiTheme="minorHAnsi" w:hAnsiTheme="minorHAnsi" w:cstheme="minorHAnsi"/>
          <w:i/>
          <w:iCs/>
          <w:sz w:val="22"/>
          <w:szCs w:val="22"/>
          <w:lang w:val="en-US"/>
        </w:rPr>
        <w:t>et al</w:t>
      </w:r>
      <w:r w:rsidRPr="00CE3CCA">
        <w:rPr>
          <w:rFonts w:asciiTheme="minorHAnsi" w:hAnsiTheme="minorHAnsi" w:cstheme="minorHAnsi"/>
          <w:sz w:val="22"/>
          <w:szCs w:val="22"/>
          <w:lang w:val="en-US"/>
        </w:rPr>
        <w:t>. Brand logo recognition by children aged 3 to 6 years. </w:t>
      </w:r>
      <w:r w:rsidRPr="00CE3CCA">
        <w:rPr>
          <w:rFonts w:asciiTheme="minorHAnsi" w:hAnsiTheme="minorHAnsi" w:cstheme="minorHAnsi"/>
          <w:i/>
          <w:iCs/>
          <w:sz w:val="22"/>
          <w:szCs w:val="22"/>
          <w:lang w:val="en-US"/>
        </w:rPr>
        <w:t>JAMA</w:t>
      </w:r>
      <w:r w:rsidRPr="00CE3CCA">
        <w:rPr>
          <w:rFonts w:asciiTheme="minorHAnsi" w:hAnsiTheme="minorHAnsi" w:cstheme="minorHAnsi"/>
          <w:sz w:val="22"/>
          <w:szCs w:val="22"/>
          <w:lang w:val="en-US"/>
        </w:rPr>
        <w:t>1991;</w:t>
      </w:r>
      <w:r w:rsidRPr="00CE3CCA">
        <w:rPr>
          <w:rFonts w:asciiTheme="minorHAnsi" w:hAnsiTheme="minorHAnsi" w:cstheme="minorHAnsi"/>
          <w:b/>
          <w:bCs/>
          <w:sz w:val="22"/>
          <w:szCs w:val="22"/>
          <w:lang w:val="en-US"/>
        </w:rPr>
        <w:t>266</w:t>
      </w:r>
      <w:r w:rsidRPr="00CE3CCA">
        <w:rPr>
          <w:rFonts w:asciiTheme="minorHAnsi" w:hAnsiTheme="minorHAnsi" w:cstheme="minorHAnsi"/>
          <w:sz w:val="22"/>
          <w:szCs w:val="22"/>
          <w:lang w:val="en-US"/>
        </w:rPr>
        <w:t>:3145–8</w:t>
      </w:r>
    </w:p>
    <w:p w14:paraId="26E6C5A5" w14:textId="5CF5EBFC" w:rsidR="00760F31" w:rsidRPr="00CE3CCA" w:rsidRDefault="00760F31" w:rsidP="00185B21">
      <w:pPr>
        <w:pStyle w:val="EndNoteBibliography"/>
        <w:spacing w:line="360" w:lineRule="auto"/>
        <w:ind w:left="720" w:hanging="720"/>
        <w:contextualSpacing/>
        <w:rPr>
          <w:rFonts w:asciiTheme="minorHAnsi" w:hAnsiTheme="minorHAnsi" w:cstheme="minorHAnsi"/>
          <w:sz w:val="22"/>
          <w:szCs w:val="22"/>
        </w:rPr>
      </w:pPr>
      <w:r w:rsidRPr="00CE3CCA">
        <w:rPr>
          <w:rFonts w:asciiTheme="minorHAnsi" w:hAnsiTheme="minorHAnsi" w:cstheme="minorHAnsi"/>
          <w:sz w:val="22"/>
          <w:szCs w:val="22"/>
        </w:rPr>
        <w:t xml:space="preserve">Frieden, T.R. (2010). A Framework for Public Health Action: The Health Impact Pyramid. </w:t>
      </w:r>
      <w:r w:rsidRPr="00CE3CCA">
        <w:rPr>
          <w:rFonts w:asciiTheme="minorHAnsi" w:hAnsiTheme="minorHAnsi" w:cstheme="minorHAnsi"/>
          <w:i/>
          <w:sz w:val="22"/>
          <w:szCs w:val="22"/>
        </w:rPr>
        <w:t xml:space="preserve">American Journal of Public Health, </w:t>
      </w:r>
      <w:r w:rsidRPr="00CE3CCA">
        <w:rPr>
          <w:rFonts w:asciiTheme="minorHAnsi" w:hAnsiTheme="minorHAnsi" w:cstheme="minorHAnsi"/>
          <w:sz w:val="22"/>
          <w:szCs w:val="22"/>
        </w:rPr>
        <w:t>100, 590-595.</w:t>
      </w:r>
    </w:p>
    <w:p w14:paraId="62C857F6" w14:textId="77777777" w:rsidR="006E15B6" w:rsidRPr="00CE3CCA" w:rsidRDefault="006E15B6" w:rsidP="006E15B6">
      <w:pPr>
        <w:pStyle w:val="EndNoteBibliography"/>
        <w:spacing w:line="360" w:lineRule="auto"/>
        <w:ind w:left="720" w:hanging="720"/>
        <w:contextualSpacing/>
        <w:rPr>
          <w:rFonts w:asciiTheme="minorHAnsi" w:hAnsiTheme="minorHAnsi" w:cstheme="minorHAnsi"/>
          <w:sz w:val="22"/>
          <w:szCs w:val="22"/>
        </w:rPr>
      </w:pPr>
      <w:r w:rsidRPr="00CE3CCA">
        <w:rPr>
          <w:rFonts w:asciiTheme="minorHAnsi" w:hAnsiTheme="minorHAnsi" w:cstheme="minorHAnsi"/>
          <w:sz w:val="22"/>
          <w:szCs w:val="22"/>
        </w:rPr>
        <w:t>Gabrielli, J., Corcoran, E., Genis, S. </w:t>
      </w:r>
      <w:r w:rsidRPr="00CE3CCA">
        <w:rPr>
          <w:rFonts w:asciiTheme="minorHAnsi" w:hAnsiTheme="minorHAnsi" w:cstheme="minorHAnsi"/>
          <w:i/>
          <w:iCs/>
          <w:sz w:val="22"/>
          <w:szCs w:val="22"/>
        </w:rPr>
        <w:t>et al.</w:t>
      </w:r>
      <w:r w:rsidRPr="00CE3CCA">
        <w:rPr>
          <w:rFonts w:asciiTheme="minorHAnsi" w:hAnsiTheme="minorHAnsi" w:cstheme="minorHAnsi"/>
          <w:sz w:val="22"/>
          <w:szCs w:val="22"/>
        </w:rPr>
        <w:t> Exposure to Television Alcohol Brand Appearances as Predictor of Adolescent Brand Affiliation and Drinking Behaviors. </w:t>
      </w:r>
      <w:r w:rsidRPr="00CE3CCA">
        <w:rPr>
          <w:rFonts w:asciiTheme="minorHAnsi" w:hAnsiTheme="minorHAnsi" w:cstheme="minorHAnsi"/>
          <w:i/>
          <w:iCs/>
          <w:sz w:val="22"/>
          <w:szCs w:val="22"/>
        </w:rPr>
        <w:t>J Youth Adolescence</w:t>
      </w:r>
      <w:r w:rsidRPr="00CE3CCA">
        <w:rPr>
          <w:rFonts w:asciiTheme="minorHAnsi" w:hAnsiTheme="minorHAnsi" w:cstheme="minorHAnsi"/>
          <w:sz w:val="22"/>
          <w:szCs w:val="22"/>
        </w:rPr>
        <w:t> (2021). https://doi.org/10.1007/s10964-021-01397-0</w:t>
      </w:r>
    </w:p>
    <w:p w14:paraId="3AE35235" w14:textId="77777777" w:rsidR="006E15B6" w:rsidRPr="006E15B6" w:rsidRDefault="006E15B6" w:rsidP="006E15B6">
      <w:pPr>
        <w:pStyle w:val="EndNoteBibliography"/>
        <w:spacing w:line="360" w:lineRule="auto"/>
        <w:ind w:left="720" w:hanging="720"/>
        <w:contextualSpacing/>
        <w:rPr>
          <w:rFonts w:asciiTheme="minorHAnsi" w:hAnsiTheme="minorHAnsi" w:cstheme="minorHAnsi"/>
          <w:b/>
          <w:bCs/>
          <w:sz w:val="22"/>
          <w:szCs w:val="22"/>
        </w:rPr>
      </w:pPr>
    </w:p>
    <w:p w14:paraId="3DD58CED" w14:textId="77777777" w:rsidR="006E15B6" w:rsidRPr="006E15B6" w:rsidRDefault="006E15B6" w:rsidP="006E15B6">
      <w:pPr>
        <w:pStyle w:val="EndNoteBibliography"/>
        <w:spacing w:line="360" w:lineRule="auto"/>
        <w:ind w:left="720" w:hanging="720"/>
        <w:contextualSpacing/>
        <w:rPr>
          <w:rFonts w:asciiTheme="minorHAnsi" w:hAnsiTheme="minorHAnsi" w:cstheme="minorHAnsi"/>
          <w:b/>
          <w:bCs/>
          <w:sz w:val="22"/>
          <w:szCs w:val="22"/>
        </w:rPr>
      </w:pPr>
    </w:p>
    <w:p w14:paraId="59407C8A"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 xml:space="preserve">Galbraith‐Emami, S., &amp; Lobstein, T. (2013). The impact of initiatives to limit the advertising of food and beverage products to children: a systematic review. </w:t>
      </w:r>
      <w:r w:rsidRPr="00185B21">
        <w:rPr>
          <w:rFonts w:asciiTheme="minorHAnsi" w:hAnsiTheme="minorHAnsi" w:cstheme="minorHAnsi"/>
          <w:i/>
          <w:sz w:val="22"/>
          <w:szCs w:val="22"/>
        </w:rPr>
        <w:t xml:space="preserve">Obesity Reviews, </w:t>
      </w:r>
      <w:r w:rsidRPr="00185B21">
        <w:rPr>
          <w:rFonts w:asciiTheme="minorHAnsi" w:hAnsiTheme="minorHAnsi" w:cstheme="minorHAnsi"/>
          <w:sz w:val="22"/>
          <w:szCs w:val="22"/>
        </w:rPr>
        <w:t>14, 960-974.</w:t>
      </w:r>
    </w:p>
    <w:p w14:paraId="272F5FBF"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Greater London Authority. (2018). The London Food Strategy: Healthy and sustainable food for London. London, UK: Greater London Authority.</w:t>
      </w:r>
    </w:p>
    <w:p w14:paraId="3D37E859"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GroupM. (2020). This Year Next Year U.K. End-of-Year Forecast This Year Next Year: GroupM Worldwide, Inc.</w:t>
      </w:r>
    </w:p>
    <w:p w14:paraId="336EFCFD"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 xml:space="preserve">Hawkes, C., &amp; Webster, J. (2000). </w:t>
      </w:r>
      <w:r w:rsidRPr="00185B21">
        <w:rPr>
          <w:rFonts w:asciiTheme="minorHAnsi" w:hAnsiTheme="minorHAnsi" w:cstheme="minorHAnsi"/>
          <w:i/>
          <w:sz w:val="22"/>
          <w:szCs w:val="22"/>
        </w:rPr>
        <w:t>Too much and too little?  Debates on surplus food redistribution</w:t>
      </w:r>
      <w:r w:rsidRPr="00185B21">
        <w:rPr>
          <w:rFonts w:asciiTheme="minorHAnsi" w:hAnsiTheme="minorHAnsi" w:cstheme="minorHAnsi"/>
          <w:sz w:val="22"/>
          <w:szCs w:val="22"/>
        </w:rPr>
        <w:t>. London: Sustain.</w:t>
      </w:r>
    </w:p>
    <w:p w14:paraId="5BA82B53"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Hirschberg, C., Rajko, A., Schumacher, T., &amp; Wrulich, M. (2016). The changing market for food delivery. McKinsey &amp; Company.</w:t>
      </w:r>
    </w:p>
    <w:p w14:paraId="51F1C6DD"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HM Revenue &amp; Customs. (2018). Guidance: Check if your drink is liable for the Soft Drinks Industry Levy. HM Revenue &amp; Customs.</w:t>
      </w:r>
    </w:p>
    <w:p w14:paraId="6B813DB1"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 xml:space="preserve">Jenkin, G., Wilson, N., &amp; Hermanson, N. (2008). Identifying ‘unhealthy’ food advertising on television: a case study applying the UK Nutrient Profile model. </w:t>
      </w:r>
      <w:r w:rsidRPr="00185B21">
        <w:rPr>
          <w:rFonts w:asciiTheme="minorHAnsi" w:hAnsiTheme="minorHAnsi" w:cstheme="minorHAnsi"/>
          <w:i/>
          <w:sz w:val="22"/>
          <w:szCs w:val="22"/>
        </w:rPr>
        <w:t xml:space="preserve">Public Health Nutrition, </w:t>
      </w:r>
      <w:r w:rsidRPr="00185B21">
        <w:rPr>
          <w:rFonts w:asciiTheme="minorHAnsi" w:hAnsiTheme="minorHAnsi" w:cstheme="minorHAnsi"/>
          <w:sz w:val="22"/>
          <w:szCs w:val="22"/>
        </w:rPr>
        <w:t>12, 614-623.</w:t>
      </w:r>
    </w:p>
    <w:p w14:paraId="2A18AE19"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 xml:space="preserve">Knai, C., Petticrew, M., Mays, N., Capewell, S., Cassidy, R., Cummins, S., et al. (2018). Systems Thinking as a Framework for Analyzing Commercial Determinants of Health. </w:t>
      </w:r>
      <w:r w:rsidRPr="00185B21">
        <w:rPr>
          <w:rFonts w:asciiTheme="minorHAnsi" w:hAnsiTheme="minorHAnsi" w:cstheme="minorHAnsi"/>
          <w:i/>
          <w:sz w:val="22"/>
          <w:szCs w:val="22"/>
        </w:rPr>
        <w:t>The Milbank Quarterly</w:t>
      </w:r>
      <w:r w:rsidRPr="00185B21">
        <w:rPr>
          <w:rFonts w:asciiTheme="minorHAnsi" w:hAnsiTheme="minorHAnsi" w:cstheme="minorHAnsi"/>
          <w:sz w:val="22"/>
          <w:szCs w:val="22"/>
        </w:rPr>
        <w:t>.</w:t>
      </w:r>
    </w:p>
    <w:p w14:paraId="22E2BA59"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Lambie, H. (2011). The Trussell Trust Foodbank Network: Exploring the Growth of Foodbanks Across the UK.</w:t>
      </w:r>
    </w:p>
    <w:p w14:paraId="5E86A348"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 xml:space="preserve">Larcker, D.F., Ormazabala, G., &amp; Taylor, D.L. (2011). The market reaction to corporate governance regulation. </w:t>
      </w:r>
      <w:r w:rsidRPr="00185B21">
        <w:rPr>
          <w:rFonts w:asciiTheme="minorHAnsi" w:hAnsiTheme="minorHAnsi" w:cstheme="minorHAnsi"/>
          <w:i/>
          <w:sz w:val="22"/>
          <w:szCs w:val="22"/>
        </w:rPr>
        <w:t xml:space="preserve">Journal of Financial Economics, </w:t>
      </w:r>
      <w:r w:rsidRPr="00185B21">
        <w:rPr>
          <w:rFonts w:asciiTheme="minorHAnsi" w:hAnsiTheme="minorHAnsi" w:cstheme="minorHAnsi"/>
          <w:sz w:val="22"/>
          <w:szCs w:val="22"/>
        </w:rPr>
        <w:t>101, 431-448.</w:t>
      </w:r>
    </w:p>
    <w:p w14:paraId="5D847301"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 xml:space="preserve">Law, C., Cornelsen, L., Adams, J., Penney, T., Rutter, H., White, M., et al. (2020). An analysis of the stock market reaction to the announcements of the UK Soft Drinks Industry Levy. </w:t>
      </w:r>
      <w:r w:rsidRPr="00185B21">
        <w:rPr>
          <w:rFonts w:asciiTheme="minorHAnsi" w:hAnsiTheme="minorHAnsi" w:cstheme="minorHAnsi"/>
          <w:i/>
          <w:sz w:val="22"/>
          <w:szCs w:val="22"/>
        </w:rPr>
        <w:t xml:space="preserve">Economics &amp; Human Biology, </w:t>
      </w:r>
      <w:r w:rsidRPr="00185B21">
        <w:rPr>
          <w:rFonts w:asciiTheme="minorHAnsi" w:hAnsiTheme="minorHAnsi" w:cstheme="minorHAnsi"/>
          <w:sz w:val="22"/>
          <w:szCs w:val="22"/>
        </w:rPr>
        <w:t>38.</w:t>
      </w:r>
    </w:p>
    <w:p w14:paraId="06BF7F12"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 xml:space="preserve">McKinlay, J.B., &amp; Marceau, L.D. (2000). Upstream healthy public policy: lessons from the battle of tobaco. </w:t>
      </w:r>
      <w:r w:rsidRPr="00185B21">
        <w:rPr>
          <w:rFonts w:asciiTheme="minorHAnsi" w:hAnsiTheme="minorHAnsi" w:cstheme="minorHAnsi"/>
          <w:i/>
          <w:sz w:val="22"/>
          <w:szCs w:val="22"/>
        </w:rPr>
        <w:t xml:space="preserve">International Journal of Health Services, </w:t>
      </w:r>
      <w:r w:rsidRPr="00185B21">
        <w:rPr>
          <w:rFonts w:asciiTheme="minorHAnsi" w:hAnsiTheme="minorHAnsi" w:cstheme="minorHAnsi"/>
          <w:sz w:val="22"/>
          <w:szCs w:val="22"/>
        </w:rPr>
        <w:t>30, 49-69.</w:t>
      </w:r>
    </w:p>
    <w:p w14:paraId="3B61EFEB"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 xml:space="preserve">Mytton, O., Forouhi, N., Scarborough, P., Lentjes, M., Luben, R., Rayner, M., et al. (2018). Association between intake of less-healthy foods defined by the United Kingdom's nutrient profile model and cardiovascular disease: A population-based cohort study. </w:t>
      </w:r>
      <w:r w:rsidRPr="00185B21">
        <w:rPr>
          <w:rFonts w:asciiTheme="minorHAnsi" w:hAnsiTheme="minorHAnsi" w:cstheme="minorHAnsi"/>
          <w:i/>
          <w:sz w:val="22"/>
          <w:szCs w:val="22"/>
        </w:rPr>
        <w:t xml:space="preserve">PLOS Medicine, </w:t>
      </w:r>
      <w:r w:rsidRPr="00185B21">
        <w:rPr>
          <w:rFonts w:asciiTheme="minorHAnsi" w:hAnsiTheme="minorHAnsi" w:cstheme="minorHAnsi"/>
          <w:sz w:val="22"/>
          <w:szCs w:val="22"/>
        </w:rPr>
        <w:t>15, e1002484.</w:t>
      </w:r>
    </w:p>
    <w:p w14:paraId="59B3FC75"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NHS Digital. (2020). National Child Measurement Programme, England 2019/20 School Year.</w:t>
      </w:r>
    </w:p>
    <w:p w14:paraId="150298DC"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Nvivo (Version 12 Plus). (2020). QSR International Pty Ltd.</w:t>
      </w:r>
    </w:p>
    <w:p w14:paraId="13CF4C4C"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Postans, A. (2021). Bristol City Council bans adverts for junk food, alcohol, and gambling. BristolLive.</w:t>
      </w:r>
    </w:p>
    <w:p w14:paraId="21BD5479"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lastRenderedPageBreak/>
        <w:t>Pyne, V., Montel, S., Targett, V., Little, E., Owtram, G., Tedstone, A., et al. (2020). Calorie reduction. Technical report: guidelines for industry, 2017 baseline calorie levels and the next steps. London, England: Public Health England.</w:t>
      </w:r>
    </w:p>
    <w:p w14:paraId="4507AD9E"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 xml:space="preserve">Rutter, H., Savona, N., Glonti, K., Bibbly, J., Cummins, S., Finebood, D., et al. (2017). The need for a complex systems model of evidence for public health. </w:t>
      </w:r>
      <w:r w:rsidRPr="00185B21">
        <w:rPr>
          <w:rFonts w:asciiTheme="minorHAnsi" w:hAnsiTheme="minorHAnsi" w:cstheme="minorHAnsi"/>
          <w:i/>
          <w:sz w:val="22"/>
          <w:szCs w:val="22"/>
        </w:rPr>
        <w:t xml:space="preserve">The Lancet, </w:t>
      </w:r>
      <w:r w:rsidRPr="00185B21">
        <w:rPr>
          <w:rFonts w:asciiTheme="minorHAnsi" w:hAnsiTheme="minorHAnsi" w:cstheme="minorHAnsi"/>
          <w:sz w:val="22"/>
          <w:szCs w:val="22"/>
        </w:rPr>
        <w:t>390, 2602-2604.</w:t>
      </w:r>
    </w:p>
    <w:p w14:paraId="55C2C335"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 xml:space="preserve">Sahoo K, S.B., Choudhury AK, Sofi NY, Kumar R, Bhadoria AS (2015). Childhood obesity: causes and consequences. </w:t>
      </w:r>
      <w:r w:rsidRPr="00185B21">
        <w:rPr>
          <w:rFonts w:asciiTheme="minorHAnsi" w:hAnsiTheme="minorHAnsi" w:cstheme="minorHAnsi"/>
          <w:i/>
          <w:sz w:val="22"/>
          <w:szCs w:val="22"/>
        </w:rPr>
        <w:t xml:space="preserve">Journal of Family Medicine and Primary Care, </w:t>
      </w:r>
      <w:r w:rsidRPr="00185B21">
        <w:rPr>
          <w:rFonts w:asciiTheme="minorHAnsi" w:hAnsiTheme="minorHAnsi" w:cstheme="minorHAnsi"/>
          <w:sz w:val="22"/>
          <w:szCs w:val="22"/>
        </w:rPr>
        <w:t>4, 187-192.</w:t>
      </w:r>
    </w:p>
    <w:p w14:paraId="4EC97C01" w14:textId="1656B851" w:rsidR="00760F3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 xml:space="preserve">Scarborough, P., Payne, C., Agu, C.G., Kaur, A., Mizdrak, A., &amp; Rayner, M. (2013). How important is the choice of the nutrient profile model used to regulate broadcast advertising of foods to children? A comparison using a targeted data set. </w:t>
      </w:r>
      <w:r w:rsidRPr="00185B21">
        <w:rPr>
          <w:rFonts w:asciiTheme="minorHAnsi" w:hAnsiTheme="minorHAnsi" w:cstheme="minorHAnsi"/>
          <w:i/>
          <w:sz w:val="22"/>
          <w:szCs w:val="22"/>
        </w:rPr>
        <w:t xml:space="preserve">European Journal of Clinical Nutrition, </w:t>
      </w:r>
      <w:r w:rsidRPr="00185B21">
        <w:rPr>
          <w:rFonts w:asciiTheme="minorHAnsi" w:hAnsiTheme="minorHAnsi" w:cstheme="minorHAnsi"/>
          <w:sz w:val="22"/>
          <w:szCs w:val="22"/>
        </w:rPr>
        <w:t>67, 815-820.</w:t>
      </w:r>
    </w:p>
    <w:p w14:paraId="7BA55D0D" w14:textId="77777777" w:rsidR="006E15B6" w:rsidRPr="00CE3CCA" w:rsidRDefault="006E15B6" w:rsidP="006E15B6">
      <w:pPr>
        <w:pStyle w:val="EndNoteBibliography"/>
        <w:spacing w:line="360" w:lineRule="auto"/>
        <w:ind w:left="720" w:hanging="720"/>
        <w:contextualSpacing/>
        <w:rPr>
          <w:rFonts w:asciiTheme="minorHAnsi" w:hAnsiTheme="minorHAnsi" w:cstheme="minorHAnsi"/>
          <w:sz w:val="22"/>
          <w:szCs w:val="22"/>
        </w:rPr>
      </w:pPr>
      <w:r w:rsidRPr="00CE3CCA">
        <w:rPr>
          <w:rFonts w:asciiTheme="minorHAnsi" w:hAnsiTheme="minorHAnsi" w:cstheme="minorHAnsi"/>
          <w:sz w:val="22"/>
          <w:szCs w:val="22"/>
        </w:rPr>
        <w:t>Sweney M (2021) TfL hit by £100m fall in ad revenue across tube, rail and bus network. The Guardian</w:t>
      </w:r>
    </w:p>
    <w:p w14:paraId="17E9B3D9" w14:textId="3DCA2E94" w:rsidR="006E15B6" w:rsidRPr="00185B21" w:rsidRDefault="001F2D0C" w:rsidP="006E15B6">
      <w:pPr>
        <w:pStyle w:val="EndNoteBibliography"/>
        <w:spacing w:line="360" w:lineRule="auto"/>
        <w:ind w:left="720" w:hanging="720"/>
        <w:contextualSpacing/>
        <w:rPr>
          <w:rFonts w:asciiTheme="minorHAnsi" w:hAnsiTheme="minorHAnsi" w:cstheme="minorHAnsi"/>
          <w:sz w:val="22"/>
          <w:szCs w:val="22"/>
        </w:rPr>
      </w:pPr>
      <w:hyperlink r:id="rId12" w:history="1">
        <w:r w:rsidR="006E15B6" w:rsidRPr="00CE3CCA">
          <w:rPr>
            <w:rStyle w:val="Hyperlink"/>
            <w:rFonts w:asciiTheme="minorHAnsi" w:hAnsiTheme="minorHAnsi" w:cstheme="minorHAnsi"/>
            <w:sz w:val="22"/>
            <w:szCs w:val="22"/>
          </w:rPr>
          <w:t>https://www.theguardian.com/uk-news/2021/jul/05/tfl-hit-by-100m-fall-in-ad-revenue-across-tube-rail-and-bus-network</w:t>
        </w:r>
      </w:hyperlink>
      <w:r w:rsidR="006E15B6" w:rsidRPr="00CE3CCA">
        <w:rPr>
          <w:rFonts w:asciiTheme="minorHAnsi" w:hAnsiTheme="minorHAnsi" w:cstheme="minorHAnsi"/>
          <w:sz w:val="22"/>
          <w:szCs w:val="22"/>
        </w:rPr>
        <w:t xml:space="preserve"> Accessed: 06/09/2021</w:t>
      </w:r>
    </w:p>
    <w:p w14:paraId="7EC82A55"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 xml:space="preserve">Swinburn, B., Sacks, G., Hall, K., McPherson, K., Finegood, D., Moodie, M., et al. (2011). The global obesity pandemic: shaped by global drivers and local environments. </w:t>
      </w:r>
      <w:r w:rsidRPr="00185B21">
        <w:rPr>
          <w:rFonts w:asciiTheme="minorHAnsi" w:hAnsiTheme="minorHAnsi" w:cstheme="minorHAnsi"/>
          <w:i/>
          <w:sz w:val="22"/>
          <w:szCs w:val="22"/>
        </w:rPr>
        <w:t xml:space="preserve">The Lancet, </w:t>
      </w:r>
      <w:r w:rsidRPr="00185B21">
        <w:rPr>
          <w:rFonts w:asciiTheme="minorHAnsi" w:hAnsiTheme="minorHAnsi" w:cstheme="minorHAnsi"/>
          <w:sz w:val="22"/>
          <w:szCs w:val="22"/>
        </w:rPr>
        <w:t>378, 804-814.</w:t>
      </w:r>
    </w:p>
    <w:p w14:paraId="7A3D9B9C"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 xml:space="preserve">Thomas, D. (2006). A General Inductive Approach for Analyzing Qualitative Evaluation Data. </w:t>
      </w:r>
      <w:r w:rsidRPr="00185B21">
        <w:rPr>
          <w:rFonts w:asciiTheme="minorHAnsi" w:hAnsiTheme="minorHAnsi" w:cstheme="minorHAnsi"/>
          <w:i/>
          <w:sz w:val="22"/>
          <w:szCs w:val="22"/>
        </w:rPr>
        <w:t xml:space="preserve">American Journal of Evaluation, </w:t>
      </w:r>
      <w:r w:rsidRPr="00185B21">
        <w:rPr>
          <w:rFonts w:asciiTheme="minorHAnsi" w:hAnsiTheme="minorHAnsi" w:cstheme="minorHAnsi"/>
          <w:sz w:val="22"/>
          <w:szCs w:val="22"/>
        </w:rPr>
        <w:t>27, 237-246.</w:t>
      </w:r>
    </w:p>
    <w:p w14:paraId="5055123C"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 xml:space="preserve">Thompson, C., Clary, C., Er, V., Adams, J., Boyland, E., Burgoine, T., et al. (2021). Media representations of opposition to the ‘junk food advertising ban’ on the Transport for London (TfL) network: a thematic content analysis of UK news and trade press. </w:t>
      </w:r>
      <w:r w:rsidRPr="00185B21">
        <w:rPr>
          <w:rFonts w:asciiTheme="minorHAnsi" w:hAnsiTheme="minorHAnsi" w:cstheme="minorHAnsi"/>
          <w:i/>
          <w:sz w:val="22"/>
          <w:szCs w:val="22"/>
        </w:rPr>
        <w:t>Forthcomming</w:t>
      </w:r>
      <w:r w:rsidRPr="00185B21">
        <w:rPr>
          <w:rFonts w:asciiTheme="minorHAnsi" w:hAnsiTheme="minorHAnsi" w:cstheme="minorHAnsi"/>
          <w:sz w:val="22"/>
          <w:szCs w:val="22"/>
        </w:rPr>
        <w:t>.</w:t>
      </w:r>
    </w:p>
    <w:p w14:paraId="25B6C4BA"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Thompson, C., Cummins, S., Kyle, R., &amp; Brown, T. (2011). The go-along interview:  conducting interviews and observations on accompanied food shopping trips.  British Sociological Association Annual Conference, 60 years of Sociology. London School of Economics.</w:t>
      </w:r>
    </w:p>
    <w:p w14:paraId="4B8BE713" w14:textId="77777777" w:rsidR="00760F31" w:rsidRPr="00185B2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Transport for London. (2019a). Annual Report and Statement of Accounts 2018/19. Mayor of London and Transport for London.</w:t>
      </w:r>
    </w:p>
    <w:p w14:paraId="35AEB1AF" w14:textId="36F13758" w:rsidR="00760F31" w:rsidRDefault="00760F31" w:rsidP="00185B21">
      <w:pPr>
        <w:pStyle w:val="EndNoteBibliography"/>
        <w:spacing w:line="360" w:lineRule="auto"/>
        <w:ind w:left="720" w:hanging="720"/>
        <w:contextualSpacing/>
        <w:rPr>
          <w:rFonts w:asciiTheme="minorHAnsi" w:hAnsiTheme="minorHAnsi" w:cstheme="minorHAnsi"/>
          <w:sz w:val="22"/>
          <w:szCs w:val="22"/>
        </w:rPr>
      </w:pPr>
      <w:r w:rsidRPr="00185B21">
        <w:rPr>
          <w:rFonts w:asciiTheme="minorHAnsi" w:hAnsiTheme="minorHAnsi" w:cstheme="minorHAnsi"/>
          <w:sz w:val="22"/>
          <w:szCs w:val="22"/>
        </w:rPr>
        <w:t>Transport for London. (2019b). Transport for London's advertising revenue increases as innovative advertising platforms are introduced. Transport for London.</w:t>
      </w:r>
    </w:p>
    <w:p w14:paraId="5EE4FEF6" w14:textId="229AE610" w:rsidR="0025484B" w:rsidRPr="00185B21" w:rsidRDefault="0025484B" w:rsidP="00185B21">
      <w:pPr>
        <w:pStyle w:val="EndNoteBibliography"/>
        <w:spacing w:line="360" w:lineRule="auto"/>
        <w:ind w:left="720" w:hanging="720"/>
        <w:contextualSpacing/>
        <w:rPr>
          <w:rFonts w:asciiTheme="minorHAnsi" w:hAnsiTheme="minorHAnsi" w:cstheme="minorHAnsi"/>
          <w:sz w:val="22"/>
          <w:szCs w:val="22"/>
        </w:rPr>
      </w:pPr>
      <w:r w:rsidRPr="00CE3CCA">
        <w:rPr>
          <w:rFonts w:asciiTheme="minorHAnsi" w:hAnsiTheme="minorHAnsi" w:cstheme="minorHAnsi"/>
          <w:sz w:val="22"/>
          <w:szCs w:val="22"/>
          <w:lang w:val="en-US"/>
        </w:rPr>
        <w:t xml:space="preserve">Transport for London (2019c) Travel in London Report 12 </w:t>
      </w:r>
      <w:hyperlink r:id="rId13" w:history="1">
        <w:r w:rsidRPr="00CE3CCA">
          <w:rPr>
            <w:rStyle w:val="Hyperlink"/>
            <w:rFonts w:asciiTheme="minorHAnsi" w:hAnsiTheme="minorHAnsi" w:cstheme="minorHAnsi"/>
            <w:sz w:val="22"/>
            <w:szCs w:val="22"/>
            <w:lang w:val="en-US"/>
          </w:rPr>
          <w:t>https://content.tfl.gov.uk/travel-in-london-report-12.pdf</w:t>
        </w:r>
      </w:hyperlink>
      <w:r w:rsidRPr="00CE3CCA">
        <w:rPr>
          <w:rFonts w:asciiTheme="minorHAnsi" w:hAnsiTheme="minorHAnsi" w:cstheme="minorHAnsi"/>
          <w:sz w:val="22"/>
          <w:szCs w:val="22"/>
          <w:lang w:val="en-US"/>
        </w:rPr>
        <w:t xml:space="preserve"> Accessed 06/09/2021</w:t>
      </w:r>
    </w:p>
    <w:p w14:paraId="7FC0727E" w14:textId="38D7463F" w:rsidR="00BA2D4C" w:rsidRPr="00BF4E48" w:rsidRDefault="00436627" w:rsidP="00185B21">
      <w:pPr>
        <w:spacing w:line="360" w:lineRule="auto"/>
        <w:contextualSpacing/>
        <w:rPr>
          <w:rFonts w:asciiTheme="minorHAnsi" w:hAnsiTheme="minorHAnsi" w:cstheme="minorHAnsi"/>
          <w:sz w:val="22"/>
          <w:szCs w:val="22"/>
        </w:rPr>
      </w:pPr>
      <w:r w:rsidRPr="00185B21">
        <w:rPr>
          <w:rFonts w:asciiTheme="minorHAnsi" w:hAnsiTheme="minorHAnsi" w:cstheme="minorHAnsi"/>
          <w:sz w:val="22"/>
          <w:szCs w:val="22"/>
        </w:rPr>
        <w:fldChar w:fldCharType="end"/>
      </w:r>
    </w:p>
    <w:p w14:paraId="284CFCE2" w14:textId="77777777" w:rsidR="00686446" w:rsidRDefault="00686446" w:rsidP="00686446">
      <w:pPr>
        <w:spacing w:after="160" w:line="259" w:lineRule="auto"/>
        <w:rPr>
          <w:rFonts w:asciiTheme="minorHAnsi" w:eastAsia="SimSun" w:hAnsiTheme="minorHAnsi" w:cstheme="minorBidi"/>
          <w:b/>
          <w:sz w:val="22"/>
          <w:szCs w:val="22"/>
          <w:lang w:val="en-GB" w:eastAsia="en-US"/>
        </w:rPr>
      </w:pPr>
    </w:p>
    <w:p w14:paraId="6755D74B" w14:textId="77777777" w:rsidR="00686446" w:rsidRDefault="00686446" w:rsidP="00686446">
      <w:pPr>
        <w:spacing w:after="160" w:line="259" w:lineRule="auto"/>
        <w:rPr>
          <w:rFonts w:asciiTheme="minorHAnsi" w:eastAsia="SimSun" w:hAnsiTheme="minorHAnsi" w:cstheme="minorBidi"/>
          <w:b/>
          <w:sz w:val="22"/>
          <w:szCs w:val="22"/>
          <w:lang w:val="en-GB" w:eastAsia="en-US"/>
        </w:rPr>
      </w:pPr>
    </w:p>
    <w:p w14:paraId="5CB3C660" w14:textId="77777777" w:rsidR="002E3C8B" w:rsidRPr="00686446" w:rsidRDefault="002E3C8B" w:rsidP="002E3C8B">
      <w:pPr>
        <w:spacing w:after="160" w:line="259" w:lineRule="auto"/>
        <w:rPr>
          <w:rFonts w:asciiTheme="minorHAnsi" w:eastAsia="SimSun" w:hAnsiTheme="minorHAnsi" w:cstheme="minorBidi"/>
          <w:b/>
          <w:sz w:val="22"/>
          <w:szCs w:val="22"/>
          <w:lang w:val="en-GB" w:eastAsia="en-US"/>
        </w:rPr>
      </w:pPr>
      <w:r w:rsidRPr="00686446">
        <w:rPr>
          <w:rFonts w:asciiTheme="minorHAnsi" w:eastAsia="SimSun" w:hAnsiTheme="minorHAnsi" w:cstheme="minorBidi"/>
          <w:b/>
          <w:sz w:val="22"/>
          <w:szCs w:val="22"/>
          <w:lang w:val="en-GB" w:eastAsia="en-US"/>
        </w:rPr>
        <w:lastRenderedPageBreak/>
        <w:t>Appendix 1</w:t>
      </w:r>
    </w:p>
    <w:p w14:paraId="5EF89FE6" w14:textId="4B208627" w:rsidR="00C512BF" w:rsidRPr="00E01F9A" w:rsidRDefault="00C512BF" w:rsidP="00D16CC7">
      <w:pPr>
        <w:spacing w:line="360" w:lineRule="auto"/>
        <w:contextualSpacing/>
        <w:rPr>
          <w:rFonts w:asciiTheme="minorHAnsi" w:eastAsia="SimSun" w:hAnsiTheme="minorHAnsi" w:cstheme="minorHAnsi"/>
          <w:b/>
          <w:bCs/>
          <w:sz w:val="22"/>
          <w:szCs w:val="22"/>
          <w:lang w:val="en-GB" w:eastAsia="en-US"/>
        </w:rPr>
      </w:pPr>
    </w:p>
    <w:p w14:paraId="428C6C5F" w14:textId="0F312969" w:rsidR="00D16CC7" w:rsidRPr="00C319B4" w:rsidRDefault="00D16CC7" w:rsidP="00BA2D4C">
      <w:pPr>
        <w:rPr>
          <w:rFonts w:asciiTheme="minorHAnsi" w:hAnsiTheme="minorHAnsi" w:cstheme="minorHAnsi"/>
          <w:sz w:val="22"/>
          <w:szCs w:val="22"/>
        </w:rPr>
      </w:pPr>
    </w:p>
    <w:sectPr w:rsidR="00D16CC7" w:rsidRPr="00C319B4" w:rsidSect="005A335C">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8014D" w14:textId="77777777" w:rsidR="001F2D0C" w:rsidRDefault="001F2D0C" w:rsidP="00A21502">
      <w:r>
        <w:separator/>
      </w:r>
    </w:p>
  </w:endnote>
  <w:endnote w:type="continuationSeparator" w:id="0">
    <w:p w14:paraId="5128B3DE" w14:textId="77777777" w:rsidR="001F2D0C" w:rsidRDefault="001F2D0C" w:rsidP="00A2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9943692"/>
      <w:docPartObj>
        <w:docPartGallery w:val="Page Numbers (Bottom of Page)"/>
        <w:docPartUnique/>
      </w:docPartObj>
    </w:sdtPr>
    <w:sdtEndPr>
      <w:rPr>
        <w:rStyle w:val="PageNumber"/>
      </w:rPr>
    </w:sdtEndPr>
    <w:sdtContent>
      <w:p w14:paraId="2FD9E1EA" w14:textId="62411B5E" w:rsidR="00686446" w:rsidRDefault="00686446" w:rsidP="007A63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FB7C3C" w14:textId="77777777" w:rsidR="00686446" w:rsidRDefault="00686446" w:rsidP="00A215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4804293"/>
      <w:docPartObj>
        <w:docPartGallery w:val="Page Numbers (Bottom of Page)"/>
        <w:docPartUnique/>
      </w:docPartObj>
    </w:sdtPr>
    <w:sdtEndPr>
      <w:rPr>
        <w:rStyle w:val="PageNumber"/>
        <w:sz w:val="22"/>
        <w:szCs w:val="22"/>
      </w:rPr>
    </w:sdtEndPr>
    <w:sdtContent>
      <w:p w14:paraId="32269D8C" w14:textId="6F7DA1F2" w:rsidR="00686446" w:rsidRPr="00C319B4" w:rsidRDefault="00686446" w:rsidP="007A6355">
        <w:pPr>
          <w:pStyle w:val="Footer"/>
          <w:framePr w:wrap="none" w:vAnchor="text" w:hAnchor="margin" w:xAlign="right" w:y="1"/>
          <w:rPr>
            <w:rStyle w:val="PageNumber"/>
            <w:sz w:val="22"/>
            <w:szCs w:val="22"/>
          </w:rPr>
        </w:pPr>
        <w:r w:rsidRPr="00C319B4">
          <w:rPr>
            <w:rStyle w:val="PageNumber"/>
            <w:sz w:val="22"/>
            <w:szCs w:val="22"/>
          </w:rPr>
          <w:fldChar w:fldCharType="begin"/>
        </w:r>
        <w:r w:rsidRPr="00C319B4">
          <w:rPr>
            <w:rStyle w:val="PageNumber"/>
            <w:sz w:val="22"/>
            <w:szCs w:val="22"/>
          </w:rPr>
          <w:instrText xml:space="preserve"> PAGE </w:instrText>
        </w:r>
        <w:r w:rsidRPr="00C319B4">
          <w:rPr>
            <w:rStyle w:val="PageNumber"/>
            <w:sz w:val="22"/>
            <w:szCs w:val="22"/>
          </w:rPr>
          <w:fldChar w:fldCharType="separate"/>
        </w:r>
        <w:r>
          <w:rPr>
            <w:rStyle w:val="PageNumber"/>
            <w:noProof/>
            <w:sz w:val="22"/>
            <w:szCs w:val="22"/>
          </w:rPr>
          <w:t>24</w:t>
        </w:r>
        <w:r w:rsidRPr="00C319B4">
          <w:rPr>
            <w:rStyle w:val="PageNumber"/>
            <w:sz w:val="22"/>
            <w:szCs w:val="22"/>
          </w:rPr>
          <w:fldChar w:fldCharType="end"/>
        </w:r>
      </w:p>
    </w:sdtContent>
  </w:sdt>
  <w:p w14:paraId="79E06F9C" w14:textId="77777777" w:rsidR="00686446" w:rsidRDefault="00686446" w:rsidP="00A215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71831" w14:textId="77777777" w:rsidR="001F2D0C" w:rsidRDefault="001F2D0C" w:rsidP="00A21502">
      <w:r>
        <w:separator/>
      </w:r>
    </w:p>
  </w:footnote>
  <w:footnote w:type="continuationSeparator" w:id="0">
    <w:p w14:paraId="1D517649" w14:textId="77777777" w:rsidR="001F2D0C" w:rsidRDefault="001F2D0C" w:rsidP="00A21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CD"/>
    <w:multiLevelType w:val="hybridMultilevel"/>
    <w:tmpl w:val="856A9D68"/>
    <w:lvl w:ilvl="0" w:tplc="04904B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818F3"/>
    <w:multiLevelType w:val="hybridMultilevel"/>
    <w:tmpl w:val="B9A43674"/>
    <w:lvl w:ilvl="0" w:tplc="5844C3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35FE3"/>
    <w:multiLevelType w:val="hybridMultilevel"/>
    <w:tmpl w:val="9BC0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1B0"/>
    <w:multiLevelType w:val="hybridMultilevel"/>
    <w:tmpl w:val="8EF01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F59CD"/>
    <w:multiLevelType w:val="hybridMultilevel"/>
    <w:tmpl w:val="2C7CD9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42B89"/>
    <w:multiLevelType w:val="hybridMultilevel"/>
    <w:tmpl w:val="C7B2A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308C8"/>
    <w:multiLevelType w:val="hybridMultilevel"/>
    <w:tmpl w:val="1160FFC8"/>
    <w:lvl w:ilvl="0" w:tplc="36EC6BFC">
      <w:start w:val="3"/>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68C74EB"/>
    <w:multiLevelType w:val="hybridMultilevel"/>
    <w:tmpl w:val="2D5CA4D0"/>
    <w:lvl w:ilvl="0" w:tplc="04904B74">
      <w:start w:val="3"/>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964BEE"/>
    <w:multiLevelType w:val="hybridMultilevel"/>
    <w:tmpl w:val="F69C596C"/>
    <w:lvl w:ilvl="0" w:tplc="6BECBB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1401A"/>
    <w:multiLevelType w:val="hybridMultilevel"/>
    <w:tmpl w:val="3A7859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FE3171"/>
    <w:multiLevelType w:val="hybridMultilevel"/>
    <w:tmpl w:val="DADA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57374"/>
    <w:multiLevelType w:val="hybridMultilevel"/>
    <w:tmpl w:val="3A7859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480236"/>
    <w:multiLevelType w:val="hybridMultilevel"/>
    <w:tmpl w:val="D4CC1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FD066E"/>
    <w:multiLevelType w:val="hybridMultilevel"/>
    <w:tmpl w:val="68F63446"/>
    <w:lvl w:ilvl="0" w:tplc="C8B68D20">
      <w:start w:val="88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06D04"/>
    <w:multiLevelType w:val="hybridMultilevel"/>
    <w:tmpl w:val="BFF47BAE"/>
    <w:lvl w:ilvl="0" w:tplc="04904B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60312"/>
    <w:multiLevelType w:val="hybridMultilevel"/>
    <w:tmpl w:val="095AFE3E"/>
    <w:lvl w:ilvl="0" w:tplc="04904B7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60FA1"/>
    <w:multiLevelType w:val="hybridMultilevel"/>
    <w:tmpl w:val="A036C6CA"/>
    <w:lvl w:ilvl="0" w:tplc="04904B7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43B4B"/>
    <w:multiLevelType w:val="hybridMultilevel"/>
    <w:tmpl w:val="78BE8644"/>
    <w:lvl w:ilvl="0" w:tplc="5384483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143FA"/>
    <w:multiLevelType w:val="hybridMultilevel"/>
    <w:tmpl w:val="4C64EB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DC2841"/>
    <w:multiLevelType w:val="hybridMultilevel"/>
    <w:tmpl w:val="2DC2DB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9664CB"/>
    <w:multiLevelType w:val="hybridMultilevel"/>
    <w:tmpl w:val="F2B2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EB0D66"/>
    <w:multiLevelType w:val="hybridMultilevel"/>
    <w:tmpl w:val="3EB88F2E"/>
    <w:lvl w:ilvl="0" w:tplc="9E6E873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221AD"/>
    <w:multiLevelType w:val="hybridMultilevel"/>
    <w:tmpl w:val="2DD0D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21"/>
  </w:num>
  <w:num w:numId="5">
    <w:abstractNumId w:val="10"/>
  </w:num>
  <w:num w:numId="6">
    <w:abstractNumId w:val="18"/>
  </w:num>
  <w:num w:numId="7">
    <w:abstractNumId w:val="1"/>
  </w:num>
  <w:num w:numId="8">
    <w:abstractNumId w:val="7"/>
  </w:num>
  <w:num w:numId="9">
    <w:abstractNumId w:val="6"/>
  </w:num>
  <w:num w:numId="10">
    <w:abstractNumId w:val="11"/>
  </w:num>
  <w:num w:numId="11">
    <w:abstractNumId w:val="9"/>
  </w:num>
  <w:num w:numId="12">
    <w:abstractNumId w:val="8"/>
  </w:num>
  <w:num w:numId="13">
    <w:abstractNumId w:val="19"/>
  </w:num>
  <w:num w:numId="14">
    <w:abstractNumId w:val="15"/>
  </w:num>
  <w:num w:numId="15">
    <w:abstractNumId w:val="22"/>
  </w:num>
  <w:num w:numId="16">
    <w:abstractNumId w:val="0"/>
  </w:num>
  <w:num w:numId="17">
    <w:abstractNumId w:val="14"/>
  </w:num>
  <w:num w:numId="18">
    <w:abstractNumId w:val="16"/>
  </w:num>
  <w:num w:numId="19">
    <w:abstractNumId w:val="2"/>
  </w:num>
  <w:num w:numId="20">
    <w:abstractNumId w:val="17"/>
  </w:num>
  <w:num w:numId="21">
    <w:abstractNumId w:val="13"/>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ocial Science and Medicin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vsxe023afd99ezx5qpv5vrrspsex2xrs00&quot;&gt;TFL process evaluation_EndNote Library&lt;record-ids&gt;&lt;item&gt;1&lt;/item&gt;&lt;item&gt;2&lt;/item&gt;&lt;item&gt;3&lt;/item&gt;&lt;item&gt;6&lt;/item&gt;&lt;item&gt;7&lt;/item&gt;&lt;item&gt;8&lt;/item&gt;&lt;item&gt;9&lt;/item&gt;&lt;item&gt;13&lt;/item&gt;&lt;item&gt;14&lt;/item&gt;&lt;item&gt;15&lt;/item&gt;&lt;item&gt;16&lt;/item&gt;&lt;item&gt;17&lt;/item&gt;&lt;item&gt;19&lt;/item&gt;&lt;item&gt;20&lt;/item&gt;&lt;item&gt;21&lt;/item&gt;&lt;item&gt;22&lt;/item&gt;&lt;item&gt;23&lt;/item&gt;&lt;item&gt;26&lt;/item&gt;&lt;item&gt;27&lt;/item&gt;&lt;item&gt;28&lt;/item&gt;&lt;item&gt;29&lt;/item&gt;&lt;item&gt;30&lt;/item&gt;&lt;item&gt;31&lt;/item&gt;&lt;item&gt;32&lt;/item&gt;&lt;item&gt;33&lt;/item&gt;&lt;item&gt;34&lt;/item&gt;&lt;item&gt;35&lt;/item&gt;&lt;item&gt;39&lt;/item&gt;&lt;item&gt;40&lt;/item&gt;&lt;item&gt;41&lt;/item&gt;&lt;/record-ids&gt;&lt;/item&gt;&lt;/Libraries&gt;"/>
  </w:docVars>
  <w:rsids>
    <w:rsidRoot w:val="00FD56F0"/>
    <w:rsid w:val="00002FDC"/>
    <w:rsid w:val="00005B17"/>
    <w:rsid w:val="000062BC"/>
    <w:rsid w:val="0000640F"/>
    <w:rsid w:val="00011D00"/>
    <w:rsid w:val="000132A9"/>
    <w:rsid w:val="0001470F"/>
    <w:rsid w:val="00014A0A"/>
    <w:rsid w:val="00015195"/>
    <w:rsid w:val="000162F3"/>
    <w:rsid w:val="00016938"/>
    <w:rsid w:val="00017AB6"/>
    <w:rsid w:val="00020BED"/>
    <w:rsid w:val="00021777"/>
    <w:rsid w:val="0002270B"/>
    <w:rsid w:val="00022EF5"/>
    <w:rsid w:val="000237EF"/>
    <w:rsid w:val="00023939"/>
    <w:rsid w:val="00023B4E"/>
    <w:rsid w:val="00024CB8"/>
    <w:rsid w:val="0002632A"/>
    <w:rsid w:val="00026DF3"/>
    <w:rsid w:val="0003198C"/>
    <w:rsid w:val="000325D1"/>
    <w:rsid w:val="000331FD"/>
    <w:rsid w:val="0003396E"/>
    <w:rsid w:val="00034219"/>
    <w:rsid w:val="000350A8"/>
    <w:rsid w:val="00035C28"/>
    <w:rsid w:val="00036533"/>
    <w:rsid w:val="0003719C"/>
    <w:rsid w:val="000372B5"/>
    <w:rsid w:val="00037614"/>
    <w:rsid w:val="00037838"/>
    <w:rsid w:val="000408AE"/>
    <w:rsid w:val="00041C18"/>
    <w:rsid w:val="000431F8"/>
    <w:rsid w:val="00043251"/>
    <w:rsid w:val="000511CC"/>
    <w:rsid w:val="000548C6"/>
    <w:rsid w:val="000573D1"/>
    <w:rsid w:val="00061107"/>
    <w:rsid w:val="000624B1"/>
    <w:rsid w:val="0006269F"/>
    <w:rsid w:val="00064A7A"/>
    <w:rsid w:val="00065784"/>
    <w:rsid w:val="0006655B"/>
    <w:rsid w:val="000672D9"/>
    <w:rsid w:val="000838C5"/>
    <w:rsid w:val="00085144"/>
    <w:rsid w:val="0008567C"/>
    <w:rsid w:val="0009019D"/>
    <w:rsid w:val="00094004"/>
    <w:rsid w:val="0009580F"/>
    <w:rsid w:val="000A1A9D"/>
    <w:rsid w:val="000A556A"/>
    <w:rsid w:val="000A62B4"/>
    <w:rsid w:val="000A6F7C"/>
    <w:rsid w:val="000A7C6B"/>
    <w:rsid w:val="000A7F76"/>
    <w:rsid w:val="000B266E"/>
    <w:rsid w:val="000B35F3"/>
    <w:rsid w:val="000B39E0"/>
    <w:rsid w:val="000B47EC"/>
    <w:rsid w:val="000B5B4C"/>
    <w:rsid w:val="000C09AF"/>
    <w:rsid w:val="000C354B"/>
    <w:rsid w:val="000C36E8"/>
    <w:rsid w:val="000C3E77"/>
    <w:rsid w:val="000C4196"/>
    <w:rsid w:val="000C42BD"/>
    <w:rsid w:val="000C5AFA"/>
    <w:rsid w:val="000D081F"/>
    <w:rsid w:val="000D0CE0"/>
    <w:rsid w:val="000D18E6"/>
    <w:rsid w:val="000D407B"/>
    <w:rsid w:val="000D4911"/>
    <w:rsid w:val="000E19B9"/>
    <w:rsid w:val="000E2C96"/>
    <w:rsid w:val="000E3E4E"/>
    <w:rsid w:val="000E644A"/>
    <w:rsid w:val="000E7DBE"/>
    <w:rsid w:val="000F098B"/>
    <w:rsid w:val="000F124F"/>
    <w:rsid w:val="000F191F"/>
    <w:rsid w:val="000F1E7E"/>
    <w:rsid w:val="000F22E2"/>
    <w:rsid w:val="000F2510"/>
    <w:rsid w:val="000F644D"/>
    <w:rsid w:val="000F6918"/>
    <w:rsid w:val="000F7AAD"/>
    <w:rsid w:val="00100B04"/>
    <w:rsid w:val="00101A67"/>
    <w:rsid w:val="001054EC"/>
    <w:rsid w:val="001058B7"/>
    <w:rsid w:val="001118FE"/>
    <w:rsid w:val="00113BE5"/>
    <w:rsid w:val="001160A5"/>
    <w:rsid w:val="001164E8"/>
    <w:rsid w:val="00116988"/>
    <w:rsid w:val="00121465"/>
    <w:rsid w:val="00121A17"/>
    <w:rsid w:val="00122749"/>
    <w:rsid w:val="00124189"/>
    <w:rsid w:val="001257FA"/>
    <w:rsid w:val="001260C8"/>
    <w:rsid w:val="00126112"/>
    <w:rsid w:val="0012632D"/>
    <w:rsid w:val="00127ACE"/>
    <w:rsid w:val="001303FF"/>
    <w:rsid w:val="0013301C"/>
    <w:rsid w:val="0013348C"/>
    <w:rsid w:val="001334E2"/>
    <w:rsid w:val="00133859"/>
    <w:rsid w:val="00133E10"/>
    <w:rsid w:val="001340A8"/>
    <w:rsid w:val="0014093B"/>
    <w:rsid w:val="001464DD"/>
    <w:rsid w:val="00150114"/>
    <w:rsid w:val="00152BE6"/>
    <w:rsid w:val="0015388F"/>
    <w:rsid w:val="00153CA1"/>
    <w:rsid w:val="00160571"/>
    <w:rsid w:val="0016197C"/>
    <w:rsid w:val="001628F4"/>
    <w:rsid w:val="00163FD8"/>
    <w:rsid w:val="00166450"/>
    <w:rsid w:val="00170A87"/>
    <w:rsid w:val="00171950"/>
    <w:rsid w:val="00172685"/>
    <w:rsid w:val="00173FFF"/>
    <w:rsid w:val="00174316"/>
    <w:rsid w:val="00174B0B"/>
    <w:rsid w:val="00174C77"/>
    <w:rsid w:val="00177089"/>
    <w:rsid w:val="00180950"/>
    <w:rsid w:val="00182584"/>
    <w:rsid w:val="001842BF"/>
    <w:rsid w:val="0018563B"/>
    <w:rsid w:val="00185B21"/>
    <w:rsid w:val="00185EB6"/>
    <w:rsid w:val="001868C9"/>
    <w:rsid w:val="0019072A"/>
    <w:rsid w:val="00190CFB"/>
    <w:rsid w:val="00194585"/>
    <w:rsid w:val="001953EE"/>
    <w:rsid w:val="001956D0"/>
    <w:rsid w:val="0019600D"/>
    <w:rsid w:val="00196FA6"/>
    <w:rsid w:val="00197902"/>
    <w:rsid w:val="00197F08"/>
    <w:rsid w:val="001A3382"/>
    <w:rsid w:val="001A4CDF"/>
    <w:rsid w:val="001A50A4"/>
    <w:rsid w:val="001A63E8"/>
    <w:rsid w:val="001A7684"/>
    <w:rsid w:val="001B017F"/>
    <w:rsid w:val="001B028C"/>
    <w:rsid w:val="001B266C"/>
    <w:rsid w:val="001B2E27"/>
    <w:rsid w:val="001B3099"/>
    <w:rsid w:val="001B3FDA"/>
    <w:rsid w:val="001B6262"/>
    <w:rsid w:val="001B6EFB"/>
    <w:rsid w:val="001B7B0C"/>
    <w:rsid w:val="001C05F0"/>
    <w:rsid w:val="001C2951"/>
    <w:rsid w:val="001C295D"/>
    <w:rsid w:val="001C4BDA"/>
    <w:rsid w:val="001C75CC"/>
    <w:rsid w:val="001C76F6"/>
    <w:rsid w:val="001D0B2B"/>
    <w:rsid w:val="001D0CF1"/>
    <w:rsid w:val="001D2CDF"/>
    <w:rsid w:val="001D3FD0"/>
    <w:rsid w:val="001D7A60"/>
    <w:rsid w:val="001E29B3"/>
    <w:rsid w:val="001E4162"/>
    <w:rsid w:val="001E6AF5"/>
    <w:rsid w:val="001F02E5"/>
    <w:rsid w:val="001F0EAD"/>
    <w:rsid w:val="001F153B"/>
    <w:rsid w:val="001F2D0C"/>
    <w:rsid w:val="001F3606"/>
    <w:rsid w:val="001F4554"/>
    <w:rsid w:val="001F4B02"/>
    <w:rsid w:val="001F63F3"/>
    <w:rsid w:val="001F6DB3"/>
    <w:rsid w:val="00200278"/>
    <w:rsid w:val="002004F5"/>
    <w:rsid w:val="00200B96"/>
    <w:rsid w:val="00200C8F"/>
    <w:rsid w:val="00200CE5"/>
    <w:rsid w:val="00203BA3"/>
    <w:rsid w:val="002057F4"/>
    <w:rsid w:val="00205CA6"/>
    <w:rsid w:val="00205E19"/>
    <w:rsid w:val="0021099C"/>
    <w:rsid w:val="0021111D"/>
    <w:rsid w:val="002122F9"/>
    <w:rsid w:val="00212696"/>
    <w:rsid w:val="00213491"/>
    <w:rsid w:val="002136ED"/>
    <w:rsid w:val="002142EA"/>
    <w:rsid w:val="00214803"/>
    <w:rsid w:val="00214AE6"/>
    <w:rsid w:val="00214C33"/>
    <w:rsid w:val="002174AF"/>
    <w:rsid w:val="00217A4A"/>
    <w:rsid w:val="00217C14"/>
    <w:rsid w:val="00217DE9"/>
    <w:rsid w:val="00220805"/>
    <w:rsid w:val="0022322C"/>
    <w:rsid w:val="00224448"/>
    <w:rsid w:val="00224735"/>
    <w:rsid w:val="0022530C"/>
    <w:rsid w:val="002256D4"/>
    <w:rsid w:val="0022631C"/>
    <w:rsid w:val="00230A61"/>
    <w:rsid w:val="00231103"/>
    <w:rsid w:val="00233E6C"/>
    <w:rsid w:val="00234F6C"/>
    <w:rsid w:val="0023794C"/>
    <w:rsid w:val="00237B9D"/>
    <w:rsid w:val="00237DFE"/>
    <w:rsid w:val="0024066D"/>
    <w:rsid w:val="00240D78"/>
    <w:rsid w:val="00241D04"/>
    <w:rsid w:val="00243A41"/>
    <w:rsid w:val="002445F5"/>
    <w:rsid w:val="00244D8F"/>
    <w:rsid w:val="00244DB4"/>
    <w:rsid w:val="00247E6A"/>
    <w:rsid w:val="00250025"/>
    <w:rsid w:val="00250F88"/>
    <w:rsid w:val="00251042"/>
    <w:rsid w:val="00252957"/>
    <w:rsid w:val="0025484B"/>
    <w:rsid w:val="00254B8E"/>
    <w:rsid w:val="00257489"/>
    <w:rsid w:val="002605C7"/>
    <w:rsid w:val="00260B3F"/>
    <w:rsid w:val="002614DF"/>
    <w:rsid w:val="00261589"/>
    <w:rsid w:val="00262682"/>
    <w:rsid w:val="00262718"/>
    <w:rsid w:val="00262B04"/>
    <w:rsid w:val="00264A94"/>
    <w:rsid w:val="002654C3"/>
    <w:rsid w:val="0027025F"/>
    <w:rsid w:val="00273F40"/>
    <w:rsid w:val="00280E8B"/>
    <w:rsid w:val="00281A83"/>
    <w:rsid w:val="00282302"/>
    <w:rsid w:val="002825E1"/>
    <w:rsid w:val="00283450"/>
    <w:rsid w:val="0028650B"/>
    <w:rsid w:val="002870D4"/>
    <w:rsid w:val="002922F3"/>
    <w:rsid w:val="00296BFF"/>
    <w:rsid w:val="00297653"/>
    <w:rsid w:val="002978BC"/>
    <w:rsid w:val="002A1D70"/>
    <w:rsid w:val="002A49FA"/>
    <w:rsid w:val="002A4FD9"/>
    <w:rsid w:val="002A502F"/>
    <w:rsid w:val="002A53B7"/>
    <w:rsid w:val="002A5A9B"/>
    <w:rsid w:val="002A6F40"/>
    <w:rsid w:val="002B0C50"/>
    <w:rsid w:val="002B0E4F"/>
    <w:rsid w:val="002B3158"/>
    <w:rsid w:val="002B325F"/>
    <w:rsid w:val="002B6E66"/>
    <w:rsid w:val="002B740E"/>
    <w:rsid w:val="002C004D"/>
    <w:rsid w:val="002C1A58"/>
    <w:rsid w:val="002C3241"/>
    <w:rsid w:val="002C4971"/>
    <w:rsid w:val="002C4A9C"/>
    <w:rsid w:val="002C5674"/>
    <w:rsid w:val="002D1BA7"/>
    <w:rsid w:val="002D32F9"/>
    <w:rsid w:val="002D3C80"/>
    <w:rsid w:val="002D4878"/>
    <w:rsid w:val="002D53BE"/>
    <w:rsid w:val="002D575D"/>
    <w:rsid w:val="002D758B"/>
    <w:rsid w:val="002E060E"/>
    <w:rsid w:val="002E0CC2"/>
    <w:rsid w:val="002E3C8B"/>
    <w:rsid w:val="002E6A72"/>
    <w:rsid w:val="002E7DA4"/>
    <w:rsid w:val="002F0367"/>
    <w:rsid w:val="002F2C1C"/>
    <w:rsid w:val="002F5ABB"/>
    <w:rsid w:val="002F658A"/>
    <w:rsid w:val="002F7DEC"/>
    <w:rsid w:val="003015F1"/>
    <w:rsid w:val="00302210"/>
    <w:rsid w:val="00304098"/>
    <w:rsid w:val="00306E60"/>
    <w:rsid w:val="00310249"/>
    <w:rsid w:val="00310B65"/>
    <w:rsid w:val="0031217A"/>
    <w:rsid w:val="00312E12"/>
    <w:rsid w:val="003140E8"/>
    <w:rsid w:val="00314553"/>
    <w:rsid w:val="00315364"/>
    <w:rsid w:val="00316F8A"/>
    <w:rsid w:val="003176DB"/>
    <w:rsid w:val="00320B06"/>
    <w:rsid w:val="00321005"/>
    <w:rsid w:val="0032414F"/>
    <w:rsid w:val="00325799"/>
    <w:rsid w:val="00325F99"/>
    <w:rsid w:val="003261C0"/>
    <w:rsid w:val="00330962"/>
    <w:rsid w:val="003338CF"/>
    <w:rsid w:val="00333C6E"/>
    <w:rsid w:val="003340D8"/>
    <w:rsid w:val="00340454"/>
    <w:rsid w:val="00341261"/>
    <w:rsid w:val="00345A93"/>
    <w:rsid w:val="0034668A"/>
    <w:rsid w:val="00346ADF"/>
    <w:rsid w:val="003504DA"/>
    <w:rsid w:val="003527E5"/>
    <w:rsid w:val="003542BF"/>
    <w:rsid w:val="0035438C"/>
    <w:rsid w:val="00355F90"/>
    <w:rsid w:val="003602C6"/>
    <w:rsid w:val="0036098F"/>
    <w:rsid w:val="00362830"/>
    <w:rsid w:val="0036406B"/>
    <w:rsid w:val="00364B90"/>
    <w:rsid w:val="0036579B"/>
    <w:rsid w:val="00365E3E"/>
    <w:rsid w:val="00367472"/>
    <w:rsid w:val="00371884"/>
    <w:rsid w:val="003731CC"/>
    <w:rsid w:val="00373221"/>
    <w:rsid w:val="003740B8"/>
    <w:rsid w:val="00375514"/>
    <w:rsid w:val="00377AF8"/>
    <w:rsid w:val="00377E08"/>
    <w:rsid w:val="00377FB7"/>
    <w:rsid w:val="003803CA"/>
    <w:rsid w:val="0038445A"/>
    <w:rsid w:val="00384F43"/>
    <w:rsid w:val="00386935"/>
    <w:rsid w:val="00387A55"/>
    <w:rsid w:val="00392109"/>
    <w:rsid w:val="00393758"/>
    <w:rsid w:val="00396F12"/>
    <w:rsid w:val="003A0A5F"/>
    <w:rsid w:val="003A25C3"/>
    <w:rsid w:val="003A2EF9"/>
    <w:rsid w:val="003A3052"/>
    <w:rsid w:val="003A386A"/>
    <w:rsid w:val="003A3C32"/>
    <w:rsid w:val="003A4DF9"/>
    <w:rsid w:val="003A6472"/>
    <w:rsid w:val="003A67D3"/>
    <w:rsid w:val="003A7EE1"/>
    <w:rsid w:val="003B1DC0"/>
    <w:rsid w:val="003B2B37"/>
    <w:rsid w:val="003B3ACD"/>
    <w:rsid w:val="003B641B"/>
    <w:rsid w:val="003B71E8"/>
    <w:rsid w:val="003B7690"/>
    <w:rsid w:val="003C189E"/>
    <w:rsid w:val="003C1DA3"/>
    <w:rsid w:val="003C36F3"/>
    <w:rsid w:val="003C54AE"/>
    <w:rsid w:val="003C72EF"/>
    <w:rsid w:val="003C74B0"/>
    <w:rsid w:val="003D16D6"/>
    <w:rsid w:val="003D1719"/>
    <w:rsid w:val="003D3FCC"/>
    <w:rsid w:val="003D5AB7"/>
    <w:rsid w:val="003D6133"/>
    <w:rsid w:val="003D7065"/>
    <w:rsid w:val="003D79AE"/>
    <w:rsid w:val="003E028D"/>
    <w:rsid w:val="003E074C"/>
    <w:rsid w:val="003E5A5F"/>
    <w:rsid w:val="003F0F91"/>
    <w:rsid w:val="003F2C86"/>
    <w:rsid w:val="003F6A0A"/>
    <w:rsid w:val="004002F6"/>
    <w:rsid w:val="00401350"/>
    <w:rsid w:val="00402592"/>
    <w:rsid w:val="00402FD8"/>
    <w:rsid w:val="00403B49"/>
    <w:rsid w:val="00403BAD"/>
    <w:rsid w:val="00404380"/>
    <w:rsid w:val="00407F7F"/>
    <w:rsid w:val="004160A7"/>
    <w:rsid w:val="0042149C"/>
    <w:rsid w:val="00422A37"/>
    <w:rsid w:val="00424429"/>
    <w:rsid w:val="00425176"/>
    <w:rsid w:val="00425611"/>
    <w:rsid w:val="00432EC8"/>
    <w:rsid w:val="00433BF7"/>
    <w:rsid w:val="0043654B"/>
    <w:rsid w:val="00436627"/>
    <w:rsid w:val="00436BAF"/>
    <w:rsid w:val="00440E22"/>
    <w:rsid w:val="004436B4"/>
    <w:rsid w:val="00444C70"/>
    <w:rsid w:val="00446267"/>
    <w:rsid w:val="0044695B"/>
    <w:rsid w:val="004470FC"/>
    <w:rsid w:val="0044739F"/>
    <w:rsid w:val="0045219A"/>
    <w:rsid w:val="004529AE"/>
    <w:rsid w:val="00455768"/>
    <w:rsid w:val="00455FE9"/>
    <w:rsid w:val="00456C47"/>
    <w:rsid w:val="00457595"/>
    <w:rsid w:val="004577ED"/>
    <w:rsid w:val="00460C38"/>
    <w:rsid w:val="004617C6"/>
    <w:rsid w:val="00463EFE"/>
    <w:rsid w:val="0046618C"/>
    <w:rsid w:val="00466C06"/>
    <w:rsid w:val="00470DE3"/>
    <w:rsid w:val="004728F0"/>
    <w:rsid w:val="004737B1"/>
    <w:rsid w:val="0047449D"/>
    <w:rsid w:val="0047511B"/>
    <w:rsid w:val="00475CF4"/>
    <w:rsid w:val="00475D3F"/>
    <w:rsid w:val="00475E23"/>
    <w:rsid w:val="00476050"/>
    <w:rsid w:val="00481A5B"/>
    <w:rsid w:val="0048342C"/>
    <w:rsid w:val="004839C4"/>
    <w:rsid w:val="0048421A"/>
    <w:rsid w:val="0048604F"/>
    <w:rsid w:val="004871FA"/>
    <w:rsid w:val="00487BF2"/>
    <w:rsid w:val="0049084D"/>
    <w:rsid w:val="00493036"/>
    <w:rsid w:val="00493A4F"/>
    <w:rsid w:val="004955B0"/>
    <w:rsid w:val="0049577F"/>
    <w:rsid w:val="004974A0"/>
    <w:rsid w:val="0049784C"/>
    <w:rsid w:val="004A09B2"/>
    <w:rsid w:val="004A1FC5"/>
    <w:rsid w:val="004A22F8"/>
    <w:rsid w:val="004A3580"/>
    <w:rsid w:val="004A4987"/>
    <w:rsid w:val="004A4C1B"/>
    <w:rsid w:val="004A4FFA"/>
    <w:rsid w:val="004A56BA"/>
    <w:rsid w:val="004A5876"/>
    <w:rsid w:val="004B0372"/>
    <w:rsid w:val="004B34D1"/>
    <w:rsid w:val="004B3F37"/>
    <w:rsid w:val="004B490E"/>
    <w:rsid w:val="004B5038"/>
    <w:rsid w:val="004B6107"/>
    <w:rsid w:val="004B6735"/>
    <w:rsid w:val="004B6880"/>
    <w:rsid w:val="004B7E9D"/>
    <w:rsid w:val="004C31E9"/>
    <w:rsid w:val="004C41EA"/>
    <w:rsid w:val="004C4EA1"/>
    <w:rsid w:val="004C5E2F"/>
    <w:rsid w:val="004C6173"/>
    <w:rsid w:val="004C6204"/>
    <w:rsid w:val="004C6C02"/>
    <w:rsid w:val="004C7ACB"/>
    <w:rsid w:val="004D08F4"/>
    <w:rsid w:val="004D1BDF"/>
    <w:rsid w:val="004D2939"/>
    <w:rsid w:val="004D3018"/>
    <w:rsid w:val="004D48EA"/>
    <w:rsid w:val="004D4901"/>
    <w:rsid w:val="004D5401"/>
    <w:rsid w:val="004D65F9"/>
    <w:rsid w:val="004D7342"/>
    <w:rsid w:val="004D7899"/>
    <w:rsid w:val="004D7DBC"/>
    <w:rsid w:val="004E0F1C"/>
    <w:rsid w:val="004E1616"/>
    <w:rsid w:val="004E166B"/>
    <w:rsid w:val="004E1CA1"/>
    <w:rsid w:val="004E5DDC"/>
    <w:rsid w:val="004F0792"/>
    <w:rsid w:val="004F250C"/>
    <w:rsid w:val="004F31B6"/>
    <w:rsid w:val="004F39BC"/>
    <w:rsid w:val="004F6E21"/>
    <w:rsid w:val="004F7240"/>
    <w:rsid w:val="004F7295"/>
    <w:rsid w:val="004F7DC0"/>
    <w:rsid w:val="0050025E"/>
    <w:rsid w:val="00500C90"/>
    <w:rsid w:val="00503165"/>
    <w:rsid w:val="00503B83"/>
    <w:rsid w:val="0050555C"/>
    <w:rsid w:val="0050659C"/>
    <w:rsid w:val="00506C24"/>
    <w:rsid w:val="00510279"/>
    <w:rsid w:val="005105EA"/>
    <w:rsid w:val="00515DED"/>
    <w:rsid w:val="00516769"/>
    <w:rsid w:val="00517088"/>
    <w:rsid w:val="00521200"/>
    <w:rsid w:val="00522012"/>
    <w:rsid w:val="00522728"/>
    <w:rsid w:val="00522A89"/>
    <w:rsid w:val="00522FC5"/>
    <w:rsid w:val="005242CC"/>
    <w:rsid w:val="00525D20"/>
    <w:rsid w:val="0053167F"/>
    <w:rsid w:val="00532C13"/>
    <w:rsid w:val="00534442"/>
    <w:rsid w:val="00535CE5"/>
    <w:rsid w:val="005366B5"/>
    <w:rsid w:val="005379CB"/>
    <w:rsid w:val="005404F5"/>
    <w:rsid w:val="00541A24"/>
    <w:rsid w:val="00552672"/>
    <w:rsid w:val="00552B70"/>
    <w:rsid w:val="00557E0F"/>
    <w:rsid w:val="005605DC"/>
    <w:rsid w:val="005614A4"/>
    <w:rsid w:val="0056637D"/>
    <w:rsid w:val="00567E2D"/>
    <w:rsid w:val="00571EBB"/>
    <w:rsid w:val="00573E3C"/>
    <w:rsid w:val="00574319"/>
    <w:rsid w:val="0057472C"/>
    <w:rsid w:val="00577E49"/>
    <w:rsid w:val="0058188E"/>
    <w:rsid w:val="005820F3"/>
    <w:rsid w:val="00583FAF"/>
    <w:rsid w:val="00585866"/>
    <w:rsid w:val="00587F4A"/>
    <w:rsid w:val="00595339"/>
    <w:rsid w:val="005953E7"/>
    <w:rsid w:val="00597610"/>
    <w:rsid w:val="005A335C"/>
    <w:rsid w:val="005A3CE9"/>
    <w:rsid w:val="005A3EBF"/>
    <w:rsid w:val="005A4BB0"/>
    <w:rsid w:val="005A592F"/>
    <w:rsid w:val="005A61AC"/>
    <w:rsid w:val="005B2A50"/>
    <w:rsid w:val="005B2CE2"/>
    <w:rsid w:val="005B3399"/>
    <w:rsid w:val="005B52D2"/>
    <w:rsid w:val="005B5BD0"/>
    <w:rsid w:val="005B695A"/>
    <w:rsid w:val="005B7580"/>
    <w:rsid w:val="005C08BD"/>
    <w:rsid w:val="005C194F"/>
    <w:rsid w:val="005C29DD"/>
    <w:rsid w:val="005C34EF"/>
    <w:rsid w:val="005C4F64"/>
    <w:rsid w:val="005C5677"/>
    <w:rsid w:val="005C6B1A"/>
    <w:rsid w:val="005D00CA"/>
    <w:rsid w:val="005D0C6C"/>
    <w:rsid w:val="005D33D0"/>
    <w:rsid w:val="005D487D"/>
    <w:rsid w:val="005D526B"/>
    <w:rsid w:val="005D52A5"/>
    <w:rsid w:val="005D690F"/>
    <w:rsid w:val="005E0391"/>
    <w:rsid w:val="005E27C9"/>
    <w:rsid w:val="005E3372"/>
    <w:rsid w:val="005E5233"/>
    <w:rsid w:val="005E5C51"/>
    <w:rsid w:val="005E5F9F"/>
    <w:rsid w:val="005E63D5"/>
    <w:rsid w:val="005F1F85"/>
    <w:rsid w:val="005F2FEE"/>
    <w:rsid w:val="005F319A"/>
    <w:rsid w:val="005F38B8"/>
    <w:rsid w:val="005F4406"/>
    <w:rsid w:val="00601396"/>
    <w:rsid w:val="00601433"/>
    <w:rsid w:val="006022C7"/>
    <w:rsid w:val="00604D7B"/>
    <w:rsid w:val="00604DCD"/>
    <w:rsid w:val="00605683"/>
    <w:rsid w:val="00606F2B"/>
    <w:rsid w:val="006073BB"/>
    <w:rsid w:val="0061141F"/>
    <w:rsid w:val="006123A9"/>
    <w:rsid w:val="0061393B"/>
    <w:rsid w:val="006148BA"/>
    <w:rsid w:val="0061610C"/>
    <w:rsid w:val="0061628E"/>
    <w:rsid w:val="0061788B"/>
    <w:rsid w:val="0062212C"/>
    <w:rsid w:val="00623482"/>
    <w:rsid w:val="00624D3B"/>
    <w:rsid w:val="00625A11"/>
    <w:rsid w:val="00625F23"/>
    <w:rsid w:val="00626970"/>
    <w:rsid w:val="00632A8E"/>
    <w:rsid w:val="00636DE1"/>
    <w:rsid w:val="006372B0"/>
    <w:rsid w:val="006379E0"/>
    <w:rsid w:val="006424B1"/>
    <w:rsid w:val="0064272D"/>
    <w:rsid w:val="00643565"/>
    <w:rsid w:val="0064384D"/>
    <w:rsid w:val="006472CB"/>
    <w:rsid w:val="006477DE"/>
    <w:rsid w:val="00656BCD"/>
    <w:rsid w:val="00665527"/>
    <w:rsid w:val="00665E85"/>
    <w:rsid w:val="0066662C"/>
    <w:rsid w:val="00666B57"/>
    <w:rsid w:val="0066787E"/>
    <w:rsid w:val="00672E64"/>
    <w:rsid w:val="0067491B"/>
    <w:rsid w:val="00677D51"/>
    <w:rsid w:val="0068121A"/>
    <w:rsid w:val="00684DA4"/>
    <w:rsid w:val="00685063"/>
    <w:rsid w:val="00685233"/>
    <w:rsid w:val="00686446"/>
    <w:rsid w:val="006865BC"/>
    <w:rsid w:val="00686A92"/>
    <w:rsid w:val="00690358"/>
    <w:rsid w:val="00692949"/>
    <w:rsid w:val="00694625"/>
    <w:rsid w:val="00695A14"/>
    <w:rsid w:val="0069615B"/>
    <w:rsid w:val="00697777"/>
    <w:rsid w:val="006A0BDB"/>
    <w:rsid w:val="006A0EAF"/>
    <w:rsid w:val="006A2141"/>
    <w:rsid w:val="006A2F5A"/>
    <w:rsid w:val="006A4F30"/>
    <w:rsid w:val="006A4FE9"/>
    <w:rsid w:val="006A5465"/>
    <w:rsid w:val="006A55F5"/>
    <w:rsid w:val="006A5C8D"/>
    <w:rsid w:val="006A76E0"/>
    <w:rsid w:val="006B47CA"/>
    <w:rsid w:val="006B5992"/>
    <w:rsid w:val="006B79BF"/>
    <w:rsid w:val="006B7A4A"/>
    <w:rsid w:val="006C19D3"/>
    <w:rsid w:val="006C3449"/>
    <w:rsid w:val="006C7FF2"/>
    <w:rsid w:val="006D1623"/>
    <w:rsid w:val="006D1821"/>
    <w:rsid w:val="006D1A61"/>
    <w:rsid w:val="006D2D38"/>
    <w:rsid w:val="006D65D8"/>
    <w:rsid w:val="006D6B14"/>
    <w:rsid w:val="006D76DC"/>
    <w:rsid w:val="006D78F0"/>
    <w:rsid w:val="006E128B"/>
    <w:rsid w:val="006E15B6"/>
    <w:rsid w:val="006E4D24"/>
    <w:rsid w:val="006E5C3D"/>
    <w:rsid w:val="006E62F9"/>
    <w:rsid w:val="006E66A7"/>
    <w:rsid w:val="006E78E0"/>
    <w:rsid w:val="006E7C32"/>
    <w:rsid w:val="006F0490"/>
    <w:rsid w:val="006F061E"/>
    <w:rsid w:val="006F273E"/>
    <w:rsid w:val="006F2D18"/>
    <w:rsid w:val="006F3663"/>
    <w:rsid w:val="006F40FD"/>
    <w:rsid w:val="006F55FA"/>
    <w:rsid w:val="00700E7F"/>
    <w:rsid w:val="00702029"/>
    <w:rsid w:val="0070290A"/>
    <w:rsid w:val="00702B7D"/>
    <w:rsid w:val="00703358"/>
    <w:rsid w:val="007035C0"/>
    <w:rsid w:val="0070554B"/>
    <w:rsid w:val="00705ECC"/>
    <w:rsid w:val="00707243"/>
    <w:rsid w:val="0070770E"/>
    <w:rsid w:val="00710FE2"/>
    <w:rsid w:val="007111E2"/>
    <w:rsid w:val="0071123E"/>
    <w:rsid w:val="0071295E"/>
    <w:rsid w:val="00712EBE"/>
    <w:rsid w:val="00716A6F"/>
    <w:rsid w:val="00720136"/>
    <w:rsid w:val="00720DD2"/>
    <w:rsid w:val="007211F5"/>
    <w:rsid w:val="00721FE8"/>
    <w:rsid w:val="00725C92"/>
    <w:rsid w:val="00731D3A"/>
    <w:rsid w:val="00731D84"/>
    <w:rsid w:val="00732143"/>
    <w:rsid w:val="007332B3"/>
    <w:rsid w:val="00733AC9"/>
    <w:rsid w:val="00735FE2"/>
    <w:rsid w:val="00736E26"/>
    <w:rsid w:val="00737B9B"/>
    <w:rsid w:val="00740D6E"/>
    <w:rsid w:val="00741EAF"/>
    <w:rsid w:val="00742FBD"/>
    <w:rsid w:val="00745627"/>
    <w:rsid w:val="00745FA1"/>
    <w:rsid w:val="0074640C"/>
    <w:rsid w:val="007474E9"/>
    <w:rsid w:val="0074790C"/>
    <w:rsid w:val="007524FB"/>
    <w:rsid w:val="007525FC"/>
    <w:rsid w:val="00753919"/>
    <w:rsid w:val="00754C22"/>
    <w:rsid w:val="00754CEE"/>
    <w:rsid w:val="00760CD3"/>
    <w:rsid w:val="00760F31"/>
    <w:rsid w:val="007610AF"/>
    <w:rsid w:val="007614AB"/>
    <w:rsid w:val="00761A1F"/>
    <w:rsid w:val="00762F61"/>
    <w:rsid w:val="00764CD2"/>
    <w:rsid w:val="00765520"/>
    <w:rsid w:val="00765EC0"/>
    <w:rsid w:val="00767D7B"/>
    <w:rsid w:val="00771712"/>
    <w:rsid w:val="00773453"/>
    <w:rsid w:val="00775A6C"/>
    <w:rsid w:val="007764A4"/>
    <w:rsid w:val="00780D7F"/>
    <w:rsid w:val="00783435"/>
    <w:rsid w:val="007835FD"/>
    <w:rsid w:val="007856B1"/>
    <w:rsid w:val="00785D4B"/>
    <w:rsid w:val="00786B64"/>
    <w:rsid w:val="00792A9A"/>
    <w:rsid w:val="0079384A"/>
    <w:rsid w:val="00793B37"/>
    <w:rsid w:val="0079488F"/>
    <w:rsid w:val="007958E4"/>
    <w:rsid w:val="00795951"/>
    <w:rsid w:val="0079738C"/>
    <w:rsid w:val="007979B8"/>
    <w:rsid w:val="007A0E30"/>
    <w:rsid w:val="007A1C1D"/>
    <w:rsid w:val="007A312D"/>
    <w:rsid w:val="007A3286"/>
    <w:rsid w:val="007A4294"/>
    <w:rsid w:val="007A5224"/>
    <w:rsid w:val="007A5D11"/>
    <w:rsid w:val="007A5D41"/>
    <w:rsid w:val="007A6355"/>
    <w:rsid w:val="007A6D7D"/>
    <w:rsid w:val="007B0F3A"/>
    <w:rsid w:val="007B10F6"/>
    <w:rsid w:val="007B1F76"/>
    <w:rsid w:val="007B42B4"/>
    <w:rsid w:val="007B5992"/>
    <w:rsid w:val="007B5E40"/>
    <w:rsid w:val="007B63B8"/>
    <w:rsid w:val="007B7D56"/>
    <w:rsid w:val="007C16B5"/>
    <w:rsid w:val="007C218A"/>
    <w:rsid w:val="007C59BC"/>
    <w:rsid w:val="007C7AA2"/>
    <w:rsid w:val="007D0C7A"/>
    <w:rsid w:val="007D18CC"/>
    <w:rsid w:val="007D261A"/>
    <w:rsid w:val="007D3921"/>
    <w:rsid w:val="007D6A04"/>
    <w:rsid w:val="007E0279"/>
    <w:rsid w:val="007E41A6"/>
    <w:rsid w:val="007E6E59"/>
    <w:rsid w:val="007F1D39"/>
    <w:rsid w:val="007F26D5"/>
    <w:rsid w:val="007F3084"/>
    <w:rsid w:val="007F47BA"/>
    <w:rsid w:val="007F64E0"/>
    <w:rsid w:val="008013D1"/>
    <w:rsid w:val="00805CFD"/>
    <w:rsid w:val="0080756F"/>
    <w:rsid w:val="008124C9"/>
    <w:rsid w:val="00813D23"/>
    <w:rsid w:val="00814129"/>
    <w:rsid w:val="00814A5A"/>
    <w:rsid w:val="008152FF"/>
    <w:rsid w:val="008165AF"/>
    <w:rsid w:val="008166BC"/>
    <w:rsid w:val="0082009C"/>
    <w:rsid w:val="00821FB3"/>
    <w:rsid w:val="0082495F"/>
    <w:rsid w:val="00826B67"/>
    <w:rsid w:val="008275EF"/>
    <w:rsid w:val="00830C08"/>
    <w:rsid w:val="00831072"/>
    <w:rsid w:val="00831475"/>
    <w:rsid w:val="00833F69"/>
    <w:rsid w:val="008357EE"/>
    <w:rsid w:val="008369A9"/>
    <w:rsid w:val="00836A09"/>
    <w:rsid w:val="00836A74"/>
    <w:rsid w:val="00837065"/>
    <w:rsid w:val="0083773E"/>
    <w:rsid w:val="00837A16"/>
    <w:rsid w:val="00837D3D"/>
    <w:rsid w:val="0084064B"/>
    <w:rsid w:val="00841D54"/>
    <w:rsid w:val="00845DB4"/>
    <w:rsid w:val="00846663"/>
    <w:rsid w:val="00847105"/>
    <w:rsid w:val="008475B8"/>
    <w:rsid w:val="00847D49"/>
    <w:rsid w:val="008506B9"/>
    <w:rsid w:val="00851DC8"/>
    <w:rsid w:val="0085323E"/>
    <w:rsid w:val="008577C4"/>
    <w:rsid w:val="00860E54"/>
    <w:rsid w:val="0086434A"/>
    <w:rsid w:val="0086465F"/>
    <w:rsid w:val="0087044E"/>
    <w:rsid w:val="00870F8E"/>
    <w:rsid w:val="008719CC"/>
    <w:rsid w:val="00871FA1"/>
    <w:rsid w:val="008723C6"/>
    <w:rsid w:val="00872594"/>
    <w:rsid w:val="00873867"/>
    <w:rsid w:val="00874763"/>
    <w:rsid w:val="00876448"/>
    <w:rsid w:val="00876C1D"/>
    <w:rsid w:val="00877762"/>
    <w:rsid w:val="008815D4"/>
    <w:rsid w:val="0088171E"/>
    <w:rsid w:val="00882281"/>
    <w:rsid w:val="00882984"/>
    <w:rsid w:val="0088393A"/>
    <w:rsid w:val="0088410B"/>
    <w:rsid w:val="008841C6"/>
    <w:rsid w:val="00884B24"/>
    <w:rsid w:val="00885FB7"/>
    <w:rsid w:val="00886884"/>
    <w:rsid w:val="008868C2"/>
    <w:rsid w:val="00886971"/>
    <w:rsid w:val="008922FD"/>
    <w:rsid w:val="00893B5C"/>
    <w:rsid w:val="008965A4"/>
    <w:rsid w:val="008A19E2"/>
    <w:rsid w:val="008A19ED"/>
    <w:rsid w:val="008A5C21"/>
    <w:rsid w:val="008B0D17"/>
    <w:rsid w:val="008B56B7"/>
    <w:rsid w:val="008B61FC"/>
    <w:rsid w:val="008B65FD"/>
    <w:rsid w:val="008B7670"/>
    <w:rsid w:val="008B7807"/>
    <w:rsid w:val="008C3969"/>
    <w:rsid w:val="008C40E3"/>
    <w:rsid w:val="008D0321"/>
    <w:rsid w:val="008D106D"/>
    <w:rsid w:val="008D17DE"/>
    <w:rsid w:val="008D2DB7"/>
    <w:rsid w:val="008D35FD"/>
    <w:rsid w:val="008D383A"/>
    <w:rsid w:val="008D3F56"/>
    <w:rsid w:val="008D4EBF"/>
    <w:rsid w:val="008D62B8"/>
    <w:rsid w:val="008D70C6"/>
    <w:rsid w:val="008D7C32"/>
    <w:rsid w:val="008E1F8B"/>
    <w:rsid w:val="008E3FE0"/>
    <w:rsid w:val="008E604B"/>
    <w:rsid w:val="008E7C10"/>
    <w:rsid w:val="008E7E43"/>
    <w:rsid w:val="008F0A0D"/>
    <w:rsid w:val="008F2B94"/>
    <w:rsid w:val="008F3596"/>
    <w:rsid w:val="008F7B06"/>
    <w:rsid w:val="009001AC"/>
    <w:rsid w:val="009006FE"/>
    <w:rsid w:val="009028B4"/>
    <w:rsid w:val="00903434"/>
    <w:rsid w:val="00903690"/>
    <w:rsid w:val="009076BF"/>
    <w:rsid w:val="00910167"/>
    <w:rsid w:val="00911936"/>
    <w:rsid w:val="0091323D"/>
    <w:rsid w:val="0091358D"/>
    <w:rsid w:val="009140E9"/>
    <w:rsid w:val="00915062"/>
    <w:rsid w:val="00921EFF"/>
    <w:rsid w:val="009222A2"/>
    <w:rsid w:val="00924D5B"/>
    <w:rsid w:val="00926081"/>
    <w:rsid w:val="00927755"/>
    <w:rsid w:val="00931919"/>
    <w:rsid w:val="00936167"/>
    <w:rsid w:val="00940E7A"/>
    <w:rsid w:val="0094245B"/>
    <w:rsid w:val="00942764"/>
    <w:rsid w:val="00943501"/>
    <w:rsid w:val="00944B58"/>
    <w:rsid w:val="00945B1D"/>
    <w:rsid w:val="00946092"/>
    <w:rsid w:val="00946CBC"/>
    <w:rsid w:val="009470E8"/>
    <w:rsid w:val="00950670"/>
    <w:rsid w:val="009508CA"/>
    <w:rsid w:val="00951021"/>
    <w:rsid w:val="0095250D"/>
    <w:rsid w:val="00953574"/>
    <w:rsid w:val="00957D35"/>
    <w:rsid w:val="0096227E"/>
    <w:rsid w:val="0096429B"/>
    <w:rsid w:val="0096533C"/>
    <w:rsid w:val="00966ECC"/>
    <w:rsid w:val="00970A20"/>
    <w:rsid w:val="00970F1D"/>
    <w:rsid w:val="0097123C"/>
    <w:rsid w:val="00973A77"/>
    <w:rsid w:val="009756E0"/>
    <w:rsid w:val="0097577A"/>
    <w:rsid w:val="00977622"/>
    <w:rsid w:val="00980FD1"/>
    <w:rsid w:val="0098334A"/>
    <w:rsid w:val="00983814"/>
    <w:rsid w:val="009842F2"/>
    <w:rsid w:val="00987A76"/>
    <w:rsid w:val="00987CE9"/>
    <w:rsid w:val="00990A52"/>
    <w:rsid w:val="009913F1"/>
    <w:rsid w:val="009919EC"/>
    <w:rsid w:val="00992BFE"/>
    <w:rsid w:val="00994AAA"/>
    <w:rsid w:val="00995273"/>
    <w:rsid w:val="009954D5"/>
    <w:rsid w:val="00995A79"/>
    <w:rsid w:val="00996579"/>
    <w:rsid w:val="00997175"/>
    <w:rsid w:val="009A0176"/>
    <w:rsid w:val="009A1D9A"/>
    <w:rsid w:val="009A309F"/>
    <w:rsid w:val="009A403C"/>
    <w:rsid w:val="009A40C0"/>
    <w:rsid w:val="009A4B2E"/>
    <w:rsid w:val="009A640C"/>
    <w:rsid w:val="009B07DE"/>
    <w:rsid w:val="009B088D"/>
    <w:rsid w:val="009B2672"/>
    <w:rsid w:val="009B28FF"/>
    <w:rsid w:val="009B2C01"/>
    <w:rsid w:val="009B43EA"/>
    <w:rsid w:val="009B457D"/>
    <w:rsid w:val="009B5520"/>
    <w:rsid w:val="009B59B2"/>
    <w:rsid w:val="009C074C"/>
    <w:rsid w:val="009C27BB"/>
    <w:rsid w:val="009C29FD"/>
    <w:rsid w:val="009C382F"/>
    <w:rsid w:val="009C537C"/>
    <w:rsid w:val="009D2CDF"/>
    <w:rsid w:val="009D3C20"/>
    <w:rsid w:val="009D44BB"/>
    <w:rsid w:val="009D4A10"/>
    <w:rsid w:val="009D4DDD"/>
    <w:rsid w:val="009D5307"/>
    <w:rsid w:val="009D552E"/>
    <w:rsid w:val="009D705C"/>
    <w:rsid w:val="009D7E32"/>
    <w:rsid w:val="009D7F20"/>
    <w:rsid w:val="009E046A"/>
    <w:rsid w:val="009E3602"/>
    <w:rsid w:val="009E4A79"/>
    <w:rsid w:val="009E5242"/>
    <w:rsid w:val="009E6123"/>
    <w:rsid w:val="009E6916"/>
    <w:rsid w:val="009E6B85"/>
    <w:rsid w:val="009F09E5"/>
    <w:rsid w:val="009F1F87"/>
    <w:rsid w:val="009F2E0E"/>
    <w:rsid w:val="009F3AED"/>
    <w:rsid w:val="009F67BA"/>
    <w:rsid w:val="009F6AF6"/>
    <w:rsid w:val="00A02474"/>
    <w:rsid w:val="00A04F75"/>
    <w:rsid w:val="00A05471"/>
    <w:rsid w:val="00A10515"/>
    <w:rsid w:val="00A13159"/>
    <w:rsid w:val="00A1325A"/>
    <w:rsid w:val="00A134E6"/>
    <w:rsid w:val="00A147EB"/>
    <w:rsid w:val="00A1606D"/>
    <w:rsid w:val="00A21502"/>
    <w:rsid w:val="00A21CBA"/>
    <w:rsid w:val="00A226ED"/>
    <w:rsid w:val="00A23FF8"/>
    <w:rsid w:val="00A24C27"/>
    <w:rsid w:val="00A27D74"/>
    <w:rsid w:val="00A30FCA"/>
    <w:rsid w:val="00A32708"/>
    <w:rsid w:val="00A32DB4"/>
    <w:rsid w:val="00A33C73"/>
    <w:rsid w:val="00A34685"/>
    <w:rsid w:val="00A350B9"/>
    <w:rsid w:val="00A36964"/>
    <w:rsid w:val="00A37837"/>
    <w:rsid w:val="00A37CF6"/>
    <w:rsid w:val="00A41BAA"/>
    <w:rsid w:val="00A42457"/>
    <w:rsid w:val="00A42544"/>
    <w:rsid w:val="00A434F6"/>
    <w:rsid w:val="00A44858"/>
    <w:rsid w:val="00A463C9"/>
    <w:rsid w:val="00A50D11"/>
    <w:rsid w:val="00A54800"/>
    <w:rsid w:val="00A55002"/>
    <w:rsid w:val="00A615C0"/>
    <w:rsid w:val="00A61955"/>
    <w:rsid w:val="00A62092"/>
    <w:rsid w:val="00A62209"/>
    <w:rsid w:val="00A63D63"/>
    <w:rsid w:val="00A6690C"/>
    <w:rsid w:val="00A74064"/>
    <w:rsid w:val="00A74F2F"/>
    <w:rsid w:val="00A753BE"/>
    <w:rsid w:val="00A81C66"/>
    <w:rsid w:val="00A8540D"/>
    <w:rsid w:val="00A86A00"/>
    <w:rsid w:val="00A86A6E"/>
    <w:rsid w:val="00A86CE7"/>
    <w:rsid w:val="00A91293"/>
    <w:rsid w:val="00A91F0C"/>
    <w:rsid w:val="00A936AA"/>
    <w:rsid w:val="00A948CA"/>
    <w:rsid w:val="00A95DF4"/>
    <w:rsid w:val="00A96020"/>
    <w:rsid w:val="00A963BD"/>
    <w:rsid w:val="00A97A76"/>
    <w:rsid w:val="00A97C86"/>
    <w:rsid w:val="00A97FE4"/>
    <w:rsid w:val="00AA0BC4"/>
    <w:rsid w:val="00AA1220"/>
    <w:rsid w:val="00AA2ABE"/>
    <w:rsid w:val="00AA2E4A"/>
    <w:rsid w:val="00AA31C5"/>
    <w:rsid w:val="00AB09DF"/>
    <w:rsid w:val="00AB11B2"/>
    <w:rsid w:val="00AB50E9"/>
    <w:rsid w:val="00AB6870"/>
    <w:rsid w:val="00AC05D2"/>
    <w:rsid w:val="00AC68D7"/>
    <w:rsid w:val="00AC7A0E"/>
    <w:rsid w:val="00AC7DC9"/>
    <w:rsid w:val="00AC7FC7"/>
    <w:rsid w:val="00AD1ACD"/>
    <w:rsid w:val="00AD5535"/>
    <w:rsid w:val="00AD6CC1"/>
    <w:rsid w:val="00AD735A"/>
    <w:rsid w:val="00AD78D9"/>
    <w:rsid w:val="00AE01DB"/>
    <w:rsid w:val="00AE0DBF"/>
    <w:rsid w:val="00AE109D"/>
    <w:rsid w:val="00AE13C1"/>
    <w:rsid w:val="00AF0DA3"/>
    <w:rsid w:val="00B0010D"/>
    <w:rsid w:val="00B024A2"/>
    <w:rsid w:val="00B02F80"/>
    <w:rsid w:val="00B03A18"/>
    <w:rsid w:val="00B03EA7"/>
    <w:rsid w:val="00B03F6B"/>
    <w:rsid w:val="00B0419D"/>
    <w:rsid w:val="00B0430E"/>
    <w:rsid w:val="00B05499"/>
    <w:rsid w:val="00B05A8F"/>
    <w:rsid w:val="00B05E03"/>
    <w:rsid w:val="00B068AB"/>
    <w:rsid w:val="00B0779F"/>
    <w:rsid w:val="00B10597"/>
    <w:rsid w:val="00B116F4"/>
    <w:rsid w:val="00B1508D"/>
    <w:rsid w:val="00B203CA"/>
    <w:rsid w:val="00B20B72"/>
    <w:rsid w:val="00B22194"/>
    <w:rsid w:val="00B2418A"/>
    <w:rsid w:val="00B256B1"/>
    <w:rsid w:val="00B25FCA"/>
    <w:rsid w:val="00B31B79"/>
    <w:rsid w:val="00B31E5D"/>
    <w:rsid w:val="00B33A41"/>
    <w:rsid w:val="00B35546"/>
    <w:rsid w:val="00B35D0E"/>
    <w:rsid w:val="00B3658F"/>
    <w:rsid w:val="00B40725"/>
    <w:rsid w:val="00B4094E"/>
    <w:rsid w:val="00B41C9C"/>
    <w:rsid w:val="00B44669"/>
    <w:rsid w:val="00B44CE6"/>
    <w:rsid w:val="00B450A0"/>
    <w:rsid w:val="00B473D0"/>
    <w:rsid w:val="00B5055B"/>
    <w:rsid w:val="00B525A6"/>
    <w:rsid w:val="00B525BF"/>
    <w:rsid w:val="00B53726"/>
    <w:rsid w:val="00B53ED5"/>
    <w:rsid w:val="00B53F94"/>
    <w:rsid w:val="00B54DF0"/>
    <w:rsid w:val="00B60D0C"/>
    <w:rsid w:val="00B61E03"/>
    <w:rsid w:val="00B6257E"/>
    <w:rsid w:val="00B62832"/>
    <w:rsid w:val="00B640A7"/>
    <w:rsid w:val="00B6576C"/>
    <w:rsid w:val="00B675C9"/>
    <w:rsid w:val="00B704CB"/>
    <w:rsid w:val="00B715EF"/>
    <w:rsid w:val="00B719A9"/>
    <w:rsid w:val="00B72D4C"/>
    <w:rsid w:val="00B72D7D"/>
    <w:rsid w:val="00B7405B"/>
    <w:rsid w:val="00B76218"/>
    <w:rsid w:val="00B76A7F"/>
    <w:rsid w:val="00B81CB3"/>
    <w:rsid w:val="00B8258E"/>
    <w:rsid w:val="00B839B0"/>
    <w:rsid w:val="00B83DB5"/>
    <w:rsid w:val="00B8479C"/>
    <w:rsid w:val="00B86C1D"/>
    <w:rsid w:val="00B86E3E"/>
    <w:rsid w:val="00B86F2B"/>
    <w:rsid w:val="00B901BF"/>
    <w:rsid w:val="00B96821"/>
    <w:rsid w:val="00B969DD"/>
    <w:rsid w:val="00B97CFD"/>
    <w:rsid w:val="00BA1C1F"/>
    <w:rsid w:val="00BA1CCE"/>
    <w:rsid w:val="00BA25BB"/>
    <w:rsid w:val="00BA2C79"/>
    <w:rsid w:val="00BA2D4C"/>
    <w:rsid w:val="00BA5235"/>
    <w:rsid w:val="00BA5CC0"/>
    <w:rsid w:val="00BA6AEE"/>
    <w:rsid w:val="00BA7404"/>
    <w:rsid w:val="00BA7A55"/>
    <w:rsid w:val="00BA7E56"/>
    <w:rsid w:val="00BB0669"/>
    <w:rsid w:val="00BB2023"/>
    <w:rsid w:val="00BB41FC"/>
    <w:rsid w:val="00BB4E2D"/>
    <w:rsid w:val="00BC1688"/>
    <w:rsid w:val="00BC2A09"/>
    <w:rsid w:val="00BC4091"/>
    <w:rsid w:val="00BC5313"/>
    <w:rsid w:val="00BC6CCB"/>
    <w:rsid w:val="00BD08CB"/>
    <w:rsid w:val="00BD1A28"/>
    <w:rsid w:val="00BD338E"/>
    <w:rsid w:val="00BD5034"/>
    <w:rsid w:val="00BD75DB"/>
    <w:rsid w:val="00BD7A80"/>
    <w:rsid w:val="00BE046C"/>
    <w:rsid w:val="00BE10F4"/>
    <w:rsid w:val="00BE159D"/>
    <w:rsid w:val="00BE1FE5"/>
    <w:rsid w:val="00BE58C6"/>
    <w:rsid w:val="00BE6F24"/>
    <w:rsid w:val="00BF0982"/>
    <w:rsid w:val="00BF0F63"/>
    <w:rsid w:val="00BF1F84"/>
    <w:rsid w:val="00BF44CF"/>
    <w:rsid w:val="00BF4E48"/>
    <w:rsid w:val="00BF63A3"/>
    <w:rsid w:val="00BF661E"/>
    <w:rsid w:val="00BF719F"/>
    <w:rsid w:val="00BF7386"/>
    <w:rsid w:val="00BF7DCB"/>
    <w:rsid w:val="00C03AB2"/>
    <w:rsid w:val="00C03C13"/>
    <w:rsid w:val="00C065EB"/>
    <w:rsid w:val="00C07228"/>
    <w:rsid w:val="00C10BFF"/>
    <w:rsid w:val="00C10FF9"/>
    <w:rsid w:val="00C13102"/>
    <w:rsid w:val="00C13D6F"/>
    <w:rsid w:val="00C15357"/>
    <w:rsid w:val="00C16664"/>
    <w:rsid w:val="00C21E88"/>
    <w:rsid w:val="00C22781"/>
    <w:rsid w:val="00C22AE4"/>
    <w:rsid w:val="00C23798"/>
    <w:rsid w:val="00C24EFB"/>
    <w:rsid w:val="00C27018"/>
    <w:rsid w:val="00C270E0"/>
    <w:rsid w:val="00C30BB9"/>
    <w:rsid w:val="00C31732"/>
    <w:rsid w:val="00C319B4"/>
    <w:rsid w:val="00C32EE9"/>
    <w:rsid w:val="00C3354E"/>
    <w:rsid w:val="00C34007"/>
    <w:rsid w:val="00C361D2"/>
    <w:rsid w:val="00C364DE"/>
    <w:rsid w:val="00C372AF"/>
    <w:rsid w:val="00C42545"/>
    <w:rsid w:val="00C42D02"/>
    <w:rsid w:val="00C472C1"/>
    <w:rsid w:val="00C5031B"/>
    <w:rsid w:val="00C512BF"/>
    <w:rsid w:val="00C514AE"/>
    <w:rsid w:val="00C5499A"/>
    <w:rsid w:val="00C55125"/>
    <w:rsid w:val="00C55EF5"/>
    <w:rsid w:val="00C5622B"/>
    <w:rsid w:val="00C60B66"/>
    <w:rsid w:val="00C618A9"/>
    <w:rsid w:val="00C6222F"/>
    <w:rsid w:val="00C62BEF"/>
    <w:rsid w:val="00C63A35"/>
    <w:rsid w:val="00C63C9C"/>
    <w:rsid w:val="00C65E38"/>
    <w:rsid w:val="00C65E86"/>
    <w:rsid w:val="00C67B40"/>
    <w:rsid w:val="00C73422"/>
    <w:rsid w:val="00C734D3"/>
    <w:rsid w:val="00C73807"/>
    <w:rsid w:val="00C7483D"/>
    <w:rsid w:val="00C75D40"/>
    <w:rsid w:val="00C76A9B"/>
    <w:rsid w:val="00C774BF"/>
    <w:rsid w:val="00C81839"/>
    <w:rsid w:val="00C82638"/>
    <w:rsid w:val="00C82D1D"/>
    <w:rsid w:val="00C83774"/>
    <w:rsid w:val="00C83843"/>
    <w:rsid w:val="00C910D3"/>
    <w:rsid w:val="00C923DC"/>
    <w:rsid w:val="00C924C4"/>
    <w:rsid w:val="00C93A78"/>
    <w:rsid w:val="00C94241"/>
    <w:rsid w:val="00C953B9"/>
    <w:rsid w:val="00C95D7E"/>
    <w:rsid w:val="00C968D1"/>
    <w:rsid w:val="00C97239"/>
    <w:rsid w:val="00C973BF"/>
    <w:rsid w:val="00C97688"/>
    <w:rsid w:val="00C97D74"/>
    <w:rsid w:val="00CA0659"/>
    <w:rsid w:val="00CA138D"/>
    <w:rsid w:val="00CA1C1C"/>
    <w:rsid w:val="00CA2601"/>
    <w:rsid w:val="00CA2628"/>
    <w:rsid w:val="00CB1AD0"/>
    <w:rsid w:val="00CB48F2"/>
    <w:rsid w:val="00CB4CE0"/>
    <w:rsid w:val="00CB550E"/>
    <w:rsid w:val="00CB5F44"/>
    <w:rsid w:val="00CB66E2"/>
    <w:rsid w:val="00CB6DC9"/>
    <w:rsid w:val="00CB770E"/>
    <w:rsid w:val="00CC2239"/>
    <w:rsid w:val="00CC3466"/>
    <w:rsid w:val="00CC4331"/>
    <w:rsid w:val="00CC54C1"/>
    <w:rsid w:val="00CC6577"/>
    <w:rsid w:val="00CC7197"/>
    <w:rsid w:val="00CD16C5"/>
    <w:rsid w:val="00CD21F0"/>
    <w:rsid w:val="00CD44FA"/>
    <w:rsid w:val="00CD5C3A"/>
    <w:rsid w:val="00CD5F57"/>
    <w:rsid w:val="00CD688F"/>
    <w:rsid w:val="00CD7EF8"/>
    <w:rsid w:val="00CE0B53"/>
    <w:rsid w:val="00CE139C"/>
    <w:rsid w:val="00CE2F6B"/>
    <w:rsid w:val="00CE3A60"/>
    <w:rsid w:val="00CE3C27"/>
    <w:rsid w:val="00CE3CCA"/>
    <w:rsid w:val="00CE5AE3"/>
    <w:rsid w:val="00CE5E27"/>
    <w:rsid w:val="00CE619E"/>
    <w:rsid w:val="00CE6B50"/>
    <w:rsid w:val="00CF007D"/>
    <w:rsid w:val="00CF198C"/>
    <w:rsid w:val="00CF1BBD"/>
    <w:rsid w:val="00CF2048"/>
    <w:rsid w:val="00CF3F74"/>
    <w:rsid w:val="00CF58A4"/>
    <w:rsid w:val="00CF7CA2"/>
    <w:rsid w:val="00D0019F"/>
    <w:rsid w:val="00D01FB7"/>
    <w:rsid w:val="00D02583"/>
    <w:rsid w:val="00D02F54"/>
    <w:rsid w:val="00D032A5"/>
    <w:rsid w:val="00D03C35"/>
    <w:rsid w:val="00D10C91"/>
    <w:rsid w:val="00D140AC"/>
    <w:rsid w:val="00D140C9"/>
    <w:rsid w:val="00D1485C"/>
    <w:rsid w:val="00D16CC7"/>
    <w:rsid w:val="00D17C2A"/>
    <w:rsid w:val="00D24A73"/>
    <w:rsid w:val="00D25F4C"/>
    <w:rsid w:val="00D261C6"/>
    <w:rsid w:val="00D26C37"/>
    <w:rsid w:val="00D273E7"/>
    <w:rsid w:val="00D3138C"/>
    <w:rsid w:val="00D31511"/>
    <w:rsid w:val="00D33273"/>
    <w:rsid w:val="00D3407E"/>
    <w:rsid w:val="00D3472A"/>
    <w:rsid w:val="00D34FE8"/>
    <w:rsid w:val="00D355A5"/>
    <w:rsid w:val="00D359FF"/>
    <w:rsid w:val="00D36073"/>
    <w:rsid w:val="00D36431"/>
    <w:rsid w:val="00D376BD"/>
    <w:rsid w:val="00D410AB"/>
    <w:rsid w:val="00D4249D"/>
    <w:rsid w:val="00D4519C"/>
    <w:rsid w:val="00D45700"/>
    <w:rsid w:val="00D47D40"/>
    <w:rsid w:val="00D51165"/>
    <w:rsid w:val="00D511D4"/>
    <w:rsid w:val="00D519C3"/>
    <w:rsid w:val="00D51F19"/>
    <w:rsid w:val="00D52E32"/>
    <w:rsid w:val="00D531A9"/>
    <w:rsid w:val="00D60470"/>
    <w:rsid w:val="00D6313D"/>
    <w:rsid w:val="00D678C3"/>
    <w:rsid w:val="00D70662"/>
    <w:rsid w:val="00D72EE9"/>
    <w:rsid w:val="00D767B4"/>
    <w:rsid w:val="00D77384"/>
    <w:rsid w:val="00D80598"/>
    <w:rsid w:val="00D80B6D"/>
    <w:rsid w:val="00D82E91"/>
    <w:rsid w:val="00D834F6"/>
    <w:rsid w:val="00D840E9"/>
    <w:rsid w:val="00D84D9A"/>
    <w:rsid w:val="00D85951"/>
    <w:rsid w:val="00D85E84"/>
    <w:rsid w:val="00D85FD8"/>
    <w:rsid w:val="00D867A5"/>
    <w:rsid w:val="00D8690A"/>
    <w:rsid w:val="00D8706D"/>
    <w:rsid w:val="00D9245C"/>
    <w:rsid w:val="00D948D1"/>
    <w:rsid w:val="00D959E4"/>
    <w:rsid w:val="00DA37FD"/>
    <w:rsid w:val="00DA6234"/>
    <w:rsid w:val="00DA6B53"/>
    <w:rsid w:val="00DA7030"/>
    <w:rsid w:val="00DA7BB1"/>
    <w:rsid w:val="00DB1617"/>
    <w:rsid w:val="00DB1A55"/>
    <w:rsid w:val="00DB28F2"/>
    <w:rsid w:val="00DB2DD2"/>
    <w:rsid w:val="00DB3911"/>
    <w:rsid w:val="00DB3D30"/>
    <w:rsid w:val="00DB5944"/>
    <w:rsid w:val="00DB72C1"/>
    <w:rsid w:val="00DC014C"/>
    <w:rsid w:val="00DC0224"/>
    <w:rsid w:val="00DC0964"/>
    <w:rsid w:val="00DC1795"/>
    <w:rsid w:val="00DC259B"/>
    <w:rsid w:val="00DC4972"/>
    <w:rsid w:val="00DC70C5"/>
    <w:rsid w:val="00DD50AA"/>
    <w:rsid w:val="00DD5B45"/>
    <w:rsid w:val="00DE09C3"/>
    <w:rsid w:val="00DE0EA7"/>
    <w:rsid w:val="00DE2D55"/>
    <w:rsid w:val="00DE4A2D"/>
    <w:rsid w:val="00DE5218"/>
    <w:rsid w:val="00DE75E3"/>
    <w:rsid w:val="00DF016D"/>
    <w:rsid w:val="00DF3A53"/>
    <w:rsid w:val="00DF3B27"/>
    <w:rsid w:val="00DF41B2"/>
    <w:rsid w:val="00DF42D8"/>
    <w:rsid w:val="00DF69AE"/>
    <w:rsid w:val="00DF765B"/>
    <w:rsid w:val="00E00B22"/>
    <w:rsid w:val="00E01341"/>
    <w:rsid w:val="00E01F9A"/>
    <w:rsid w:val="00E02183"/>
    <w:rsid w:val="00E04027"/>
    <w:rsid w:val="00E05722"/>
    <w:rsid w:val="00E05C45"/>
    <w:rsid w:val="00E05DE6"/>
    <w:rsid w:val="00E10C75"/>
    <w:rsid w:val="00E12707"/>
    <w:rsid w:val="00E12C0B"/>
    <w:rsid w:val="00E15029"/>
    <w:rsid w:val="00E16D70"/>
    <w:rsid w:val="00E20526"/>
    <w:rsid w:val="00E21187"/>
    <w:rsid w:val="00E22254"/>
    <w:rsid w:val="00E23217"/>
    <w:rsid w:val="00E24C6E"/>
    <w:rsid w:val="00E26960"/>
    <w:rsid w:val="00E307B9"/>
    <w:rsid w:val="00E30D1F"/>
    <w:rsid w:val="00E32134"/>
    <w:rsid w:val="00E32792"/>
    <w:rsid w:val="00E32CAD"/>
    <w:rsid w:val="00E334E4"/>
    <w:rsid w:val="00E3545B"/>
    <w:rsid w:val="00E36072"/>
    <w:rsid w:val="00E36990"/>
    <w:rsid w:val="00E3757D"/>
    <w:rsid w:val="00E412F9"/>
    <w:rsid w:val="00E418E5"/>
    <w:rsid w:val="00E41972"/>
    <w:rsid w:val="00E439F0"/>
    <w:rsid w:val="00E478C0"/>
    <w:rsid w:val="00E5129F"/>
    <w:rsid w:val="00E51631"/>
    <w:rsid w:val="00E51976"/>
    <w:rsid w:val="00E51BDF"/>
    <w:rsid w:val="00E526AB"/>
    <w:rsid w:val="00E53500"/>
    <w:rsid w:val="00E53839"/>
    <w:rsid w:val="00E6069D"/>
    <w:rsid w:val="00E607D0"/>
    <w:rsid w:val="00E61CA6"/>
    <w:rsid w:val="00E63C63"/>
    <w:rsid w:val="00E659F8"/>
    <w:rsid w:val="00E65C24"/>
    <w:rsid w:val="00E66FEE"/>
    <w:rsid w:val="00E72CD1"/>
    <w:rsid w:val="00E742B5"/>
    <w:rsid w:val="00E76161"/>
    <w:rsid w:val="00E764C1"/>
    <w:rsid w:val="00E809C8"/>
    <w:rsid w:val="00E815EA"/>
    <w:rsid w:val="00E81CCE"/>
    <w:rsid w:val="00E8440A"/>
    <w:rsid w:val="00E86003"/>
    <w:rsid w:val="00E90FDB"/>
    <w:rsid w:val="00E91518"/>
    <w:rsid w:val="00E92146"/>
    <w:rsid w:val="00E93AB9"/>
    <w:rsid w:val="00E94742"/>
    <w:rsid w:val="00E97DA1"/>
    <w:rsid w:val="00EA19E4"/>
    <w:rsid w:val="00EA21A5"/>
    <w:rsid w:val="00EA2DAA"/>
    <w:rsid w:val="00EA45DF"/>
    <w:rsid w:val="00EA5D60"/>
    <w:rsid w:val="00EB0318"/>
    <w:rsid w:val="00EB125F"/>
    <w:rsid w:val="00EB14CD"/>
    <w:rsid w:val="00EB17E4"/>
    <w:rsid w:val="00EB1DC7"/>
    <w:rsid w:val="00EB3E4E"/>
    <w:rsid w:val="00EB5CE6"/>
    <w:rsid w:val="00EB79AF"/>
    <w:rsid w:val="00EC2284"/>
    <w:rsid w:val="00EC2850"/>
    <w:rsid w:val="00ED07B9"/>
    <w:rsid w:val="00ED1DEC"/>
    <w:rsid w:val="00ED208D"/>
    <w:rsid w:val="00ED3F6C"/>
    <w:rsid w:val="00ED40B4"/>
    <w:rsid w:val="00ED6526"/>
    <w:rsid w:val="00ED66EB"/>
    <w:rsid w:val="00ED6A63"/>
    <w:rsid w:val="00EE0A81"/>
    <w:rsid w:val="00EE1144"/>
    <w:rsid w:val="00EE149A"/>
    <w:rsid w:val="00EE33DA"/>
    <w:rsid w:val="00EE394C"/>
    <w:rsid w:val="00EE4B5C"/>
    <w:rsid w:val="00EE5C70"/>
    <w:rsid w:val="00EE636A"/>
    <w:rsid w:val="00EE657F"/>
    <w:rsid w:val="00EF017B"/>
    <w:rsid w:val="00EF0ADC"/>
    <w:rsid w:val="00EF115E"/>
    <w:rsid w:val="00EF2A0F"/>
    <w:rsid w:val="00EF30FF"/>
    <w:rsid w:val="00EF345A"/>
    <w:rsid w:val="00EF67AA"/>
    <w:rsid w:val="00EF7A11"/>
    <w:rsid w:val="00EF7E7C"/>
    <w:rsid w:val="00F02051"/>
    <w:rsid w:val="00F02082"/>
    <w:rsid w:val="00F03314"/>
    <w:rsid w:val="00F03DBD"/>
    <w:rsid w:val="00F0672A"/>
    <w:rsid w:val="00F07255"/>
    <w:rsid w:val="00F10DA6"/>
    <w:rsid w:val="00F11BAA"/>
    <w:rsid w:val="00F11F54"/>
    <w:rsid w:val="00F124A2"/>
    <w:rsid w:val="00F13329"/>
    <w:rsid w:val="00F1531C"/>
    <w:rsid w:val="00F209CF"/>
    <w:rsid w:val="00F21198"/>
    <w:rsid w:val="00F21273"/>
    <w:rsid w:val="00F212DA"/>
    <w:rsid w:val="00F21AEB"/>
    <w:rsid w:val="00F21C37"/>
    <w:rsid w:val="00F240E7"/>
    <w:rsid w:val="00F2547E"/>
    <w:rsid w:val="00F25755"/>
    <w:rsid w:val="00F25930"/>
    <w:rsid w:val="00F308EA"/>
    <w:rsid w:val="00F3091A"/>
    <w:rsid w:val="00F30B31"/>
    <w:rsid w:val="00F3180D"/>
    <w:rsid w:val="00F31951"/>
    <w:rsid w:val="00F34CC6"/>
    <w:rsid w:val="00F40246"/>
    <w:rsid w:val="00F42982"/>
    <w:rsid w:val="00F429FC"/>
    <w:rsid w:val="00F42C04"/>
    <w:rsid w:val="00F45562"/>
    <w:rsid w:val="00F459C5"/>
    <w:rsid w:val="00F45D5A"/>
    <w:rsid w:val="00F50E7D"/>
    <w:rsid w:val="00F5139F"/>
    <w:rsid w:val="00F52FF6"/>
    <w:rsid w:val="00F53987"/>
    <w:rsid w:val="00F53CA5"/>
    <w:rsid w:val="00F543EF"/>
    <w:rsid w:val="00F54F9E"/>
    <w:rsid w:val="00F55840"/>
    <w:rsid w:val="00F55AD7"/>
    <w:rsid w:val="00F569E0"/>
    <w:rsid w:val="00F57CB1"/>
    <w:rsid w:val="00F610EF"/>
    <w:rsid w:val="00F61174"/>
    <w:rsid w:val="00F61A5A"/>
    <w:rsid w:val="00F62979"/>
    <w:rsid w:val="00F646D0"/>
    <w:rsid w:val="00F65C98"/>
    <w:rsid w:val="00F66ABB"/>
    <w:rsid w:val="00F66DB4"/>
    <w:rsid w:val="00F7383E"/>
    <w:rsid w:val="00F73F06"/>
    <w:rsid w:val="00F7439C"/>
    <w:rsid w:val="00F75343"/>
    <w:rsid w:val="00F769AF"/>
    <w:rsid w:val="00F76D86"/>
    <w:rsid w:val="00F80468"/>
    <w:rsid w:val="00F8431E"/>
    <w:rsid w:val="00F856A9"/>
    <w:rsid w:val="00F87CF8"/>
    <w:rsid w:val="00F937E4"/>
    <w:rsid w:val="00F93D59"/>
    <w:rsid w:val="00F94175"/>
    <w:rsid w:val="00F948E9"/>
    <w:rsid w:val="00F94E8F"/>
    <w:rsid w:val="00F95BAC"/>
    <w:rsid w:val="00F962EB"/>
    <w:rsid w:val="00F977C1"/>
    <w:rsid w:val="00FA07BA"/>
    <w:rsid w:val="00FA1B5C"/>
    <w:rsid w:val="00FA3273"/>
    <w:rsid w:val="00FA3D81"/>
    <w:rsid w:val="00FA437D"/>
    <w:rsid w:val="00FA4ECD"/>
    <w:rsid w:val="00FA63E7"/>
    <w:rsid w:val="00FA7979"/>
    <w:rsid w:val="00FB0BA4"/>
    <w:rsid w:val="00FB32D2"/>
    <w:rsid w:val="00FB5BA9"/>
    <w:rsid w:val="00FB73A8"/>
    <w:rsid w:val="00FC00AE"/>
    <w:rsid w:val="00FC1421"/>
    <w:rsid w:val="00FC231D"/>
    <w:rsid w:val="00FC34EA"/>
    <w:rsid w:val="00FC3DF2"/>
    <w:rsid w:val="00FC5EF9"/>
    <w:rsid w:val="00FC6308"/>
    <w:rsid w:val="00FC6E16"/>
    <w:rsid w:val="00FC7FE7"/>
    <w:rsid w:val="00FD0287"/>
    <w:rsid w:val="00FD0C8F"/>
    <w:rsid w:val="00FD111B"/>
    <w:rsid w:val="00FD3BE2"/>
    <w:rsid w:val="00FD53B8"/>
    <w:rsid w:val="00FD56F0"/>
    <w:rsid w:val="00FD5EE0"/>
    <w:rsid w:val="00FD5FF1"/>
    <w:rsid w:val="00FD6361"/>
    <w:rsid w:val="00FD654D"/>
    <w:rsid w:val="00FD6E55"/>
    <w:rsid w:val="00FE11D4"/>
    <w:rsid w:val="00FE2E97"/>
    <w:rsid w:val="00FE3233"/>
    <w:rsid w:val="00FE36CE"/>
    <w:rsid w:val="00FE4E87"/>
    <w:rsid w:val="00FE5321"/>
    <w:rsid w:val="00FE555A"/>
    <w:rsid w:val="00FE7048"/>
    <w:rsid w:val="00FE77DC"/>
    <w:rsid w:val="00FF1250"/>
    <w:rsid w:val="00FF1EC9"/>
    <w:rsid w:val="00FF1F24"/>
    <w:rsid w:val="00FF4257"/>
    <w:rsid w:val="00FF5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C2B0D"/>
  <w15:chartTrackingRefBased/>
  <w15:docId w15:val="{B21BACB4-8084-E647-917C-275F5609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3C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22FC5"/>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unhideWhenUsed/>
    <w:qFormat/>
    <w:rsid w:val="00522FC5"/>
    <w:pPr>
      <w:keepNext/>
      <w:keepLines/>
      <w:spacing w:before="40"/>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next w:val="Normal"/>
    <w:link w:val="Heading3Char"/>
    <w:uiPriority w:val="9"/>
    <w:unhideWhenUsed/>
    <w:qFormat/>
    <w:rsid w:val="00995273"/>
    <w:pPr>
      <w:keepNext/>
      <w:keepLines/>
      <w:spacing w:before="40"/>
      <w:outlineLvl w:val="2"/>
    </w:pPr>
    <w:rPr>
      <w:rFonts w:asciiTheme="majorHAnsi" w:eastAsiaTheme="majorEastAsia" w:hAnsiTheme="majorHAnsi" w:cstheme="majorBidi"/>
      <w:color w:val="1F3763" w:themeColor="accent1" w:themeShade="7F"/>
      <w:lang w:val="en-GB" w:eastAsia="en-US"/>
    </w:rPr>
  </w:style>
  <w:style w:type="paragraph" w:styleId="Heading4">
    <w:name w:val="heading 4"/>
    <w:basedOn w:val="Normal"/>
    <w:next w:val="Normal"/>
    <w:link w:val="Heading4Char"/>
    <w:uiPriority w:val="9"/>
    <w:unhideWhenUsed/>
    <w:qFormat/>
    <w:rsid w:val="0061788B"/>
    <w:pPr>
      <w:keepNext/>
      <w:keepLines/>
      <w:spacing w:before="40"/>
      <w:outlineLvl w:val="3"/>
    </w:pPr>
    <w:rPr>
      <w:rFonts w:asciiTheme="majorHAnsi" w:eastAsiaTheme="majorEastAsia" w:hAnsiTheme="majorHAnsi" w:cstheme="majorBidi"/>
      <w:i/>
      <w:iCs/>
      <w:color w:val="2F5496" w:themeColor="accent1" w:themeShade="BF"/>
      <w:lang w:val="en-GB" w:eastAsia="en-US"/>
    </w:rPr>
  </w:style>
  <w:style w:type="paragraph" w:styleId="Heading5">
    <w:name w:val="heading 5"/>
    <w:basedOn w:val="Normal"/>
    <w:next w:val="Normal"/>
    <w:link w:val="Heading5Char"/>
    <w:uiPriority w:val="9"/>
    <w:unhideWhenUsed/>
    <w:qFormat/>
    <w:rsid w:val="0061788B"/>
    <w:pPr>
      <w:keepNext/>
      <w:keepLines/>
      <w:spacing w:before="40"/>
      <w:outlineLvl w:val="4"/>
    </w:pPr>
    <w:rPr>
      <w:rFonts w:asciiTheme="majorHAnsi" w:eastAsiaTheme="majorEastAsia" w:hAnsiTheme="majorHAnsi" w:cstheme="majorBidi"/>
      <w:color w:val="2F5496" w:themeColor="accent1" w:themeShade="B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90A"/>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70290A"/>
    <w:rPr>
      <w:rFonts w:ascii="Times New Roman" w:hAnsi="Times New Roman" w:cs="Times New Roman"/>
      <w:sz w:val="18"/>
      <w:szCs w:val="18"/>
      <w:lang w:val="en-GB"/>
    </w:rPr>
  </w:style>
  <w:style w:type="character" w:customStyle="1" w:styleId="Heading1Char">
    <w:name w:val="Heading 1 Char"/>
    <w:basedOn w:val="DefaultParagraphFont"/>
    <w:link w:val="Heading1"/>
    <w:uiPriority w:val="9"/>
    <w:rsid w:val="00522FC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522FC5"/>
    <w:rPr>
      <w:rFonts w:asciiTheme="majorHAnsi" w:eastAsiaTheme="majorEastAsia" w:hAnsiTheme="majorHAnsi" w:cstheme="majorBidi"/>
      <w:color w:val="2F5496" w:themeColor="accent1" w:themeShade="BF"/>
      <w:sz w:val="26"/>
      <w:szCs w:val="26"/>
      <w:lang w:val="en-GB"/>
    </w:rPr>
  </w:style>
  <w:style w:type="character" w:styleId="CommentReference">
    <w:name w:val="annotation reference"/>
    <w:basedOn w:val="DefaultParagraphFont"/>
    <w:uiPriority w:val="99"/>
    <w:semiHidden/>
    <w:unhideWhenUsed/>
    <w:rsid w:val="00522FC5"/>
    <w:rPr>
      <w:sz w:val="16"/>
      <w:szCs w:val="16"/>
    </w:rPr>
  </w:style>
  <w:style w:type="paragraph" w:styleId="CommentText">
    <w:name w:val="annotation text"/>
    <w:basedOn w:val="Normal"/>
    <w:link w:val="CommentTextChar"/>
    <w:uiPriority w:val="99"/>
    <w:unhideWhenUsed/>
    <w:rsid w:val="00522FC5"/>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522FC5"/>
    <w:rPr>
      <w:sz w:val="20"/>
      <w:szCs w:val="20"/>
      <w:lang w:val="en-GB"/>
    </w:rPr>
  </w:style>
  <w:style w:type="paragraph" w:styleId="CommentSubject">
    <w:name w:val="annotation subject"/>
    <w:basedOn w:val="CommentText"/>
    <w:next w:val="CommentText"/>
    <w:link w:val="CommentSubjectChar"/>
    <w:uiPriority w:val="99"/>
    <w:semiHidden/>
    <w:unhideWhenUsed/>
    <w:rsid w:val="00522FC5"/>
    <w:rPr>
      <w:b/>
      <w:bCs/>
    </w:rPr>
  </w:style>
  <w:style w:type="character" w:customStyle="1" w:styleId="CommentSubjectChar">
    <w:name w:val="Comment Subject Char"/>
    <w:basedOn w:val="CommentTextChar"/>
    <w:link w:val="CommentSubject"/>
    <w:uiPriority w:val="99"/>
    <w:semiHidden/>
    <w:rsid w:val="00522FC5"/>
    <w:rPr>
      <w:b/>
      <w:bCs/>
      <w:sz w:val="20"/>
      <w:szCs w:val="20"/>
      <w:lang w:val="en-GB"/>
    </w:rPr>
  </w:style>
  <w:style w:type="paragraph" w:styleId="ListParagraph">
    <w:name w:val="List Paragraph"/>
    <w:basedOn w:val="Normal"/>
    <w:uiPriority w:val="34"/>
    <w:qFormat/>
    <w:rsid w:val="00522FC5"/>
    <w:pPr>
      <w:ind w:left="720"/>
      <w:contextualSpacing/>
    </w:pPr>
    <w:rPr>
      <w:rFonts w:asciiTheme="minorHAnsi" w:eastAsiaTheme="minorHAnsi" w:hAnsiTheme="minorHAnsi" w:cstheme="minorBidi"/>
      <w:lang w:val="en-GB" w:eastAsia="en-US"/>
    </w:rPr>
  </w:style>
  <w:style w:type="paragraph" w:styleId="Footer">
    <w:name w:val="footer"/>
    <w:basedOn w:val="Normal"/>
    <w:link w:val="FooterChar"/>
    <w:uiPriority w:val="99"/>
    <w:unhideWhenUsed/>
    <w:rsid w:val="00A21502"/>
    <w:pPr>
      <w:tabs>
        <w:tab w:val="center" w:pos="4680"/>
        <w:tab w:val="right" w:pos="9360"/>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A21502"/>
    <w:rPr>
      <w:lang w:val="en-GB"/>
    </w:rPr>
  </w:style>
  <w:style w:type="character" w:styleId="PageNumber">
    <w:name w:val="page number"/>
    <w:basedOn w:val="DefaultParagraphFont"/>
    <w:uiPriority w:val="99"/>
    <w:semiHidden/>
    <w:unhideWhenUsed/>
    <w:rsid w:val="00A21502"/>
  </w:style>
  <w:style w:type="character" w:customStyle="1" w:styleId="Heading3Char">
    <w:name w:val="Heading 3 Char"/>
    <w:basedOn w:val="DefaultParagraphFont"/>
    <w:link w:val="Heading3"/>
    <w:uiPriority w:val="9"/>
    <w:rsid w:val="00995273"/>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rsid w:val="0061788B"/>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0061788B"/>
    <w:rPr>
      <w:rFonts w:asciiTheme="majorHAnsi" w:eastAsiaTheme="majorEastAsia" w:hAnsiTheme="majorHAnsi" w:cstheme="majorBidi"/>
      <w:color w:val="2F5496" w:themeColor="accent1" w:themeShade="BF"/>
      <w:lang w:val="en-GB"/>
    </w:rPr>
  </w:style>
  <w:style w:type="character" w:styleId="Hyperlink">
    <w:name w:val="Hyperlink"/>
    <w:basedOn w:val="DefaultParagraphFont"/>
    <w:uiPriority w:val="99"/>
    <w:unhideWhenUsed/>
    <w:rsid w:val="00577E49"/>
    <w:rPr>
      <w:color w:val="0000FF"/>
      <w:u w:val="single"/>
    </w:rPr>
  </w:style>
  <w:style w:type="paragraph" w:styleId="Revision">
    <w:name w:val="Revision"/>
    <w:hidden/>
    <w:uiPriority w:val="99"/>
    <w:semiHidden/>
    <w:rsid w:val="00CE139C"/>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AE0DBF"/>
    <w:rPr>
      <w:color w:val="605E5C"/>
      <w:shd w:val="clear" w:color="auto" w:fill="E1DFDD"/>
    </w:rPr>
  </w:style>
  <w:style w:type="paragraph" w:styleId="Header">
    <w:name w:val="header"/>
    <w:basedOn w:val="Normal"/>
    <w:link w:val="HeaderChar"/>
    <w:uiPriority w:val="99"/>
    <w:unhideWhenUsed/>
    <w:rsid w:val="00F61A5A"/>
    <w:pPr>
      <w:tabs>
        <w:tab w:val="center" w:pos="4513"/>
        <w:tab w:val="right" w:pos="9026"/>
      </w:tabs>
    </w:pPr>
  </w:style>
  <w:style w:type="character" w:customStyle="1" w:styleId="HeaderChar">
    <w:name w:val="Header Char"/>
    <w:basedOn w:val="DefaultParagraphFont"/>
    <w:link w:val="Header"/>
    <w:uiPriority w:val="99"/>
    <w:rsid w:val="00F61A5A"/>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436627"/>
    <w:pPr>
      <w:jc w:val="center"/>
    </w:pPr>
    <w:rPr>
      <w:noProof/>
      <w:lang w:val="en-GB"/>
    </w:rPr>
  </w:style>
  <w:style w:type="character" w:customStyle="1" w:styleId="EndNoteBibliographyTitleChar">
    <w:name w:val="EndNote Bibliography Title Char"/>
    <w:basedOn w:val="DefaultParagraphFont"/>
    <w:link w:val="EndNoteBibliographyTitle"/>
    <w:rsid w:val="00436627"/>
    <w:rPr>
      <w:rFonts w:ascii="Times New Roman" w:eastAsia="Times New Roman" w:hAnsi="Times New Roman" w:cs="Times New Roman"/>
      <w:noProof/>
      <w:lang w:val="en-GB" w:eastAsia="en-GB"/>
    </w:rPr>
  </w:style>
  <w:style w:type="paragraph" w:customStyle="1" w:styleId="EndNoteBibliography">
    <w:name w:val="EndNote Bibliography"/>
    <w:basedOn w:val="Normal"/>
    <w:link w:val="EndNoteBibliographyChar"/>
    <w:rsid w:val="00436627"/>
    <w:rPr>
      <w:noProof/>
      <w:lang w:val="en-GB"/>
    </w:rPr>
  </w:style>
  <w:style w:type="character" w:customStyle="1" w:styleId="EndNoteBibliographyChar">
    <w:name w:val="EndNote Bibliography Char"/>
    <w:basedOn w:val="DefaultParagraphFont"/>
    <w:link w:val="EndNoteBibliography"/>
    <w:rsid w:val="00436627"/>
    <w:rPr>
      <w:rFonts w:ascii="Times New Roman" w:eastAsia="Times New Roman" w:hAnsi="Times New Roman" w:cs="Times New Roman"/>
      <w:noProof/>
      <w:lang w:val="en-GB" w:eastAsia="en-GB"/>
    </w:rPr>
  </w:style>
  <w:style w:type="table" w:styleId="TableGrid">
    <w:name w:val="Table Grid"/>
    <w:basedOn w:val="TableNormal"/>
    <w:uiPriority w:val="39"/>
    <w:rsid w:val="00BF6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16CC7"/>
    <w:rPr>
      <w:rFonts w:eastAsia="SimSu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0F1D"/>
    <w:rPr>
      <w:color w:val="954F72" w:themeColor="followedHyperlink"/>
      <w:u w:val="single"/>
    </w:rPr>
  </w:style>
  <w:style w:type="paragraph" w:customStyle="1" w:styleId="Normal0">
    <w:name w:val="[Normal]"/>
    <w:uiPriority w:val="99"/>
    <w:rsid w:val="004955B0"/>
    <w:pPr>
      <w:widowControl w:val="0"/>
      <w:autoSpaceDE w:val="0"/>
      <w:autoSpaceDN w:val="0"/>
      <w:adjustRightInd w:val="0"/>
    </w:pPr>
    <w:rPr>
      <w:rFonts w:ascii="Arial" w:hAnsi="Arial" w:cs="Arial"/>
      <w:lang w:val="en-GB"/>
    </w:rPr>
  </w:style>
  <w:style w:type="character" w:styleId="UnresolvedMention">
    <w:name w:val="Unresolved Mention"/>
    <w:basedOn w:val="DefaultParagraphFont"/>
    <w:uiPriority w:val="99"/>
    <w:semiHidden/>
    <w:unhideWhenUsed/>
    <w:rsid w:val="00F80468"/>
    <w:rPr>
      <w:color w:val="605E5C"/>
      <w:shd w:val="clear" w:color="auto" w:fill="E1DFDD"/>
    </w:rPr>
  </w:style>
  <w:style w:type="character" w:styleId="Strong">
    <w:name w:val="Strong"/>
    <w:basedOn w:val="DefaultParagraphFont"/>
    <w:uiPriority w:val="22"/>
    <w:qFormat/>
    <w:rsid w:val="00FE7048"/>
    <w:rPr>
      <w:b/>
      <w:bCs/>
    </w:rPr>
  </w:style>
  <w:style w:type="character" w:customStyle="1" w:styleId="apple-converted-space">
    <w:name w:val="apple-converted-space"/>
    <w:basedOn w:val="DefaultParagraphFont"/>
    <w:rsid w:val="00FE7048"/>
  </w:style>
  <w:style w:type="character" w:styleId="Emphasis">
    <w:name w:val="Emphasis"/>
    <w:basedOn w:val="DefaultParagraphFont"/>
    <w:uiPriority w:val="20"/>
    <w:qFormat/>
    <w:rsid w:val="00FE7048"/>
    <w:rPr>
      <w:i/>
      <w:iCs/>
    </w:rPr>
  </w:style>
  <w:style w:type="character" w:customStyle="1" w:styleId="cit-source">
    <w:name w:val="cit-source"/>
    <w:basedOn w:val="DefaultParagraphFont"/>
    <w:rsid w:val="00FE7048"/>
  </w:style>
  <w:style w:type="character" w:customStyle="1" w:styleId="cit-pub-date">
    <w:name w:val="cit-pub-date"/>
    <w:basedOn w:val="DefaultParagraphFont"/>
    <w:rsid w:val="00FE7048"/>
  </w:style>
  <w:style w:type="character" w:customStyle="1" w:styleId="cit-vol">
    <w:name w:val="cit-vol"/>
    <w:basedOn w:val="DefaultParagraphFont"/>
    <w:rsid w:val="00FE7048"/>
  </w:style>
  <w:style w:type="character" w:customStyle="1" w:styleId="cit-fpage">
    <w:name w:val="cit-fpage"/>
    <w:basedOn w:val="DefaultParagraphFont"/>
    <w:rsid w:val="00FE7048"/>
  </w:style>
  <w:style w:type="table" w:customStyle="1" w:styleId="TableGrid2">
    <w:name w:val="Table Grid2"/>
    <w:basedOn w:val="TableNormal"/>
    <w:next w:val="TableGrid"/>
    <w:uiPriority w:val="39"/>
    <w:rsid w:val="00686446"/>
    <w:rPr>
      <w:rFonts w:eastAsia="SimSu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830">
      <w:bodyDiv w:val="1"/>
      <w:marLeft w:val="0"/>
      <w:marRight w:val="0"/>
      <w:marTop w:val="0"/>
      <w:marBottom w:val="0"/>
      <w:divBdr>
        <w:top w:val="none" w:sz="0" w:space="0" w:color="auto"/>
        <w:left w:val="none" w:sz="0" w:space="0" w:color="auto"/>
        <w:bottom w:val="none" w:sz="0" w:space="0" w:color="auto"/>
        <w:right w:val="none" w:sz="0" w:space="0" w:color="auto"/>
      </w:divBdr>
    </w:div>
    <w:div w:id="35663347">
      <w:bodyDiv w:val="1"/>
      <w:marLeft w:val="0"/>
      <w:marRight w:val="0"/>
      <w:marTop w:val="0"/>
      <w:marBottom w:val="0"/>
      <w:divBdr>
        <w:top w:val="none" w:sz="0" w:space="0" w:color="auto"/>
        <w:left w:val="none" w:sz="0" w:space="0" w:color="auto"/>
        <w:bottom w:val="none" w:sz="0" w:space="0" w:color="auto"/>
        <w:right w:val="none" w:sz="0" w:space="0" w:color="auto"/>
      </w:divBdr>
    </w:div>
    <w:div w:id="40443198">
      <w:bodyDiv w:val="1"/>
      <w:marLeft w:val="0"/>
      <w:marRight w:val="0"/>
      <w:marTop w:val="0"/>
      <w:marBottom w:val="0"/>
      <w:divBdr>
        <w:top w:val="none" w:sz="0" w:space="0" w:color="auto"/>
        <w:left w:val="none" w:sz="0" w:space="0" w:color="auto"/>
        <w:bottom w:val="none" w:sz="0" w:space="0" w:color="auto"/>
        <w:right w:val="none" w:sz="0" w:space="0" w:color="auto"/>
      </w:divBdr>
    </w:div>
    <w:div w:id="67920871">
      <w:bodyDiv w:val="1"/>
      <w:marLeft w:val="0"/>
      <w:marRight w:val="0"/>
      <w:marTop w:val="0"/>
      <w:marBottom w:val="0"/>
      <w:divBdr>
        <w:top w:val="none" w:sz="0" w:space="0" w:color="auto"/>
        <w:left w:val="none" w:sz="0" w:space="0" w:color="auto"/>
        <w:bottom w:val="none" w:sz="0" w:space="0" w:color="auto"/>
        <w:right w:val="none" w:sz="0" w:space="0" w:color="auto"/>
      </w:divBdr>
    </w:div>
    <w:div w:id="85470325">
      <w:bodyDiv w:val="1"/>
      <w:marLeft w:val="0"/>
      <w:marRight w:val="0"/>
      <w:marTop w:val="0"/>
      <w:marBottom w:val="0"/>
      <w:divBdr>
        <w:top w:val="none" w:sz="0" w:space="0" w:color="auto"/>
        <w:left w:val="none" w:sz="0" w:space="0" w:color="auto"/>
        <w:bottom w:val="none" w:sz="0" w:space="0" w:color="auto"/>
        <w:right w:val="none" w:sz="0" w:space="0" w:color="auto"/>
      </w:divBdr>
    </w:div>
    <w:div w:id="88553361">
      <w:bodyDiv w:val="1"/>
      <w:marLeft w:val="0"/>
      <w:marRight w:val="0"/>
      <w:marTop w:val="0"/>
      <w:marBottom w:val="0"/>
      <w:divBdr>
        <w:top w:val="none" w:sz="0" w:space="0" w:color="auto"/>
        <w:left w:val="none" w:sz="0" w:space="0" w:color="auto"/>
        <w:bottom w:val="none" w:sz="0" w:space="0" w:color="auto"/>
        <w:right w:val="none" w:sz="0" w:space="0" w:color="auto"/>
      </w:divBdr>
    </w:div>
    <w:div w:id="97144178">
      <w:bodyDiv w:val="1"/>
      <w:marLeft w:val="0"/>
      <w:marRight w:val="0"/>
      <w:marTop w:val="0"/>
      <w:marBottom w:val="0"/>
      <w:divBdr>
        <w:top w:val="none" w:sz="0" w:space="0" w:color="auto"/>
        <w:left w:val="none" w:sz="0" w:space="0" w:color="auto"/>
        <w:bottom w:val="none" w:sz="0" w:space="0" w:color="auto"/>
        <w:right w:val="none" w:sz="0" w:space="0" w:color="auto"/>
      </w:divBdr>
    </w:div>
    <w:div w:id="101993920">
      <w:bodyDiv w:val="1"/>
      <w:marLeft w:val="0"/>
      <w:marRight w:val="0"/>
      <w:marTop w:val="0"/>
      <w:marBottom w:val="0"/>
      <w:divBdr>
        <w:top w:val="none" w:sz="0" w:space="0" w:color="auto"/>
        <w:left w:val="none" w:sz="0" w:space="0" w:color="auto"/>
        <w:bottom w:val="none" w:sz="0" w:space="0" w:color="auto"/>
        <w:right w:val="none" w:sz="0" w:space="0" w:color="auto"/>
      </w:divBdr>
    </w:div>
    <w:div w:id="134179272">
      <w:bodyDiv w:val="1"/>
      <w:marLeft w:val="0"/>
      <w:marRight w:val="0"/>
      <w:marTop w:val="0"/>
      <w:marBottom w:val="0"/>
      <w:divBdr>
        <w:top w:val="none" w:sz="0" w:space="0" w:color="auto"/>
        <w:left w:val="none" w:sz="0" w:space="0" w:color="auto"/>
        <w:bottom w:val="none" w:sz="0" w:space="0" w:color="auto"/>
        <w:right w:val="none" w:sz="0" w:space="0" w:color="auto"/>
      </w:divBdr>
    </w:div>
    <w:div w:id="142041671">
      <w:bodyDiv w:val="1"/>
      <w:marLeft w:val="0"/>
      <w:marRight w:val="0"/>
      <w:marTop w:val="0"/>
      <w:marBottom w:val="0"/>
      <w:divBdr>
        <w:top w:val="none" w:sz="0" w:space="0" w:color="auto"/>
        <w:left w:val="none" w:sz="0" w:space="0" w:color="auto"/>
        <w:bottom w:val="none" w:sz="0" w:space="0" w:color="auto"/>
        <w:right w:val="none" w:sz="0" w:space="0" w:color="auto"/>
      </w:divBdr>
    </w:div>
    <w:div w:id="145243838">
      <w:bodyDiv w:val="1"/>
      <w:marLeft w:val="0"/>
      <w:marRight w:val="0"/>
      <w:marTop w:val="0"/>
      <w:marBottom w:val="0"/>
      <w:divBdr>
        <w:top w:val="none" w:sz="0" w:space="0" w:color="auto"/>
        <w:left w:val="none" w:sz="0" w:space="0" w:color="auto"/>
        <w:bottom w:val="none" w:sz="0" w:space="0" w:color="auto"/>
        <w:right w:val="none" w:sz="0" w:space="0" w:color="auto"/>
      </w:divBdr>
    </w:div>
    <w:div w:id="145361563">
      <w:bodyDiv w:val="1"/>
      <w:marLeft w:val="0"/>
      <w:marRight w:val="0"/>
      <w:marTop w:val="0"/>
      <w:marBottom w:val="0"/>
      <w:divBdr>
        <w:top w:val="none" w:sz="0" w:space="0" w:color="auto"/>
        <w:left w:val="none" w:sz="0" w:space="0" w:color="auto"/>
        <w:bottom w:val="none" w:sz="0" w:space="0" w:color="auto"/>
        <w:right w:val="none" w:sz="0" w:space="0" w:color="auto"/>
      </w:divBdr>
    </w:div>
    <w:div w:id="152305729">
      <w:bodyDiv w:val="1"/>
      <w:marLeft w:val="0"/>
      <w:marRight w:val="0"/>
      <w:marTop w:val="0"/>
      <w:marBottom w:val="0"/>
      <w:divBdr>
        <w:top w:val="none" w:sz="0" w:space="0" w:color="auto"/>
        <w:left w:val="none" w:sz="0" w:space="0" w:color="auto"/>
        <w:bottom w:val="none" w:sz="0" w:space="0" w:color="auto"/>
        <w:right w:val="none" w:sz="0" w:space="0" w:color="auto"/>
      </w:divBdr>
    </w:div>
    <w:div w:id="202913307">
      <w:bodyDiv w:val="1"/>
      <w:marLeft w:val="0"/>
      <w:marRight w:val="0"/>
      <w:marTop w:val="0"/>
      <w:marBottom w:val="0"/>
      <w:divBdr>
        <w:top w:val="none" w:sz="0" w:space="0" w:color="auto"/>
        <w:left w:val="none" w:sz="0" w:space="0" w:color="auto"/>
        <w:bottom w:val="none" w:sz="0" w:space="0" w:color="auto"/>
        <w:right w:val="none" w:sz="0" w:space="0" w:color="auto"/>
      </w:divBdr>
    </w:div>
    <w:div w:id="204873467">
      <w:bodyDiv w:val="1"/>
      <w:marLeft w:val="0"/>
      <w:marRight w:val="0"/>
      <w:marTop w:val="0"/>
      <w:marBottom w:val="0"/>
      <w:divBdr>
        <w:top w:val="none" w:sz="0" w:space="0" w:color="auto"/>
        <w:left w:val="none" w:sz="0" w:space="0" w:color="auto"/>
        <w:bottom w:val="none" w:sz="0" w:space="0" w:color="auto"/>
        <w:right w:val="none" w:sz="0" w:space="0" w:color="auto"/>
      </w:divBdr>
    </w:div>
    <w:div w:id="227114662">
      <w:bodyDiv w:val="1"/>
      <w:marLeft w:val="0"/>
      <w:marRight w:val="0"/>
      <w:marTop w:val="0"/>
      <w:marBottom w:val="0"/>
      <w:divBdr>
        <w:top w:val="none" w:sz="0" w:space="0" w:color="auto"/>
        <w:left w:val="none" w:sz="0" w:space="0" w:color="auto"/>
        <w:bottom w:val="none" w:sz="0" w:space="0" w:color="auto"/>
        <w:right w:val="none" w:sz="0" w:space="0" w:color="auto"/>
      </w:divBdr>
    </w:div>
    <w:div w:id="272981184">
      <w:bodyDiv w:val="1"/>
      <w:marLeft w:val="0"/>
      <w:marRight w:val="0"/>
      <w:marTop w:val="0"/>
      <w:marBottom w:val="0"/>
      <w:divBdr>
        <w:top w:val="none" w:sz="0" w:space="0" w:color="auto"/>
        <w:left w:val="none" w:sz="0" w:space="0" w:color="auto"/>
        <w:bottom w:val="none" w:sz="0" w:space="0" w:color="auto"/>
        <w:right w:val="none" w:sz="0" w:space="0" w:color="auto"/>
      </w:divBdr>
    </w:div>
    <w:div w:id="285738160">
      <w:bodyDiv w:val="1"/>
      <w:marLeft w:val="0"/>
      <w:marRight w:val="0"/>
      <w:marTop w:val="0"/>
      <w:marBottom w:val="0"/>
      <w:divBdr>
        <w:top w:val="none" w:sz="0" w:space="0" w:color="auto"/>
        <w:left w:val="none" w:sz="0" w:space="0" w:color="auto"/>
        <w:bottom w:val="none" w:sz="0" w:space="0" w:color="auto"/>
        <w:right w:val="none" w:sz="0" w:space="0" w:color="auto"/>
      </w:divBdr>
    </w:div>
    <w:div w:id="329523339">
      <w:bodyDiv w:val="1"/>
      <w:marLeft w:val="0"/>
      <w:marRight w:val="0"/>
      <w:marTop w:val="0"/>
      <w:marBottom w:val="0"/>
      <w:divBdr>
        <w:top w:val="none" w:sz="0" w:space="0" w:color="auto"/>
        <w:left w:val="none" w:sz="0" w:space="0" w:color="auto"/>
        <w:bottom w:val="none" w:sz="0" w:space="0" w:color="auto"/>
        <w:right w:val="none" w:sz="0" w:space="0" w:color="auto"/>
      </w:divBdr>
    </w:div>
    <w:div w:id="344140205">
      <w:bodyDiv w:val="1"/>
      <w:marLeft w:val="0"/>
      <w:marRight w:val="0"/>
      <w:marTop w:val="0"/>
      <w:marBottom w:val="0"/>
      <w:divBdr>
        <w:top w:val="none" w:sz="0" w:space="0" w:color="auto"/>
        <w:left w:val="none" w:sz="0" w:space="0" w:color="auto"/>
        <w:bottom w:val="none" w:sz="0" w:space="0" w:color="auto"/>
        <w:right w:val="none" w:sz="0" w:space="0" w:color="auto"/>
      </w:divBdr>
    </w:div>
    <w:div w:id="364672049">
      <w:bodyDiv w:val="1"/>
      <w:marLeft w:val="0"/>
      <w:marRight w:val="0"/>
      <w:marTop w:val="0"/>
      <w:marBottom w:val="0"/>
      <w:divBdr>
        <w:top w:val="none" w:sz="0" w:space="0" w:color="auto"/>
        <w:left w:val="none" w:sz="0" w:space="0" w:color="auto"/>
        <w:bottom w:val="none" w:sz="0" w:space="0" w:color="auto"/>
        <w:right w:val="none" w:sz="0" w:space="0" w:color="auto"/>
      </w:divBdr>
    </w:div>
    <w:div w:id="439566661">
      <w:bodyDiv w:val="1"/>
      <w:marLeft w:val="0"/>
      <w:marRight w:val="0"/>
      <w:marTop w:val="0"/>
      <w:marBottom w:val="0"/>
      <w:divBdr>
        <w:top w:val="none" w:sz="0" w:space="0" w:color="auto"/>
        <w:left w:val="none" w:sz="0" w:space="0" w:color="auto"/>
        <w:bottom w:val="none" w:sz="0" w:space="0" w:color="auto"/>
        <w:right w:val="none" w:sz="0" w:space="0" w:color="auto"/>
      </w:divBdr>
    </w:div>
    <w:div w:id="451175948">
      <w:bodyDiv w:val="1"/>
      <w:marLeft w:val="0"/>
      <w:marRight w:val="0"/>
      <w:marTop w:val="0"/>
      <w:marBottom w:val="0"/>
      <w:divBdr>
        <w:top w:val="none" w:sz="0" w:space="0" w:color="auto"/>
        <w:left w:val="none" w:sz="0" w:space="0" w:color="auto"/>
        <w:bottom w:val="none" w:sz="0" w:space="0" w:color="auto"/>
        <w:right w:val="none" w:sz="0" w:space="0" w:color="auto"/>
      </w:divBdr>
    </w:div>
    <w:div w:id="509565706">
      <w:bodyDiv w:val="1"/>
      <w:marLeft w:val="0"/>
      <w:marRight w:val="0"/>
      <w:marTop w:val="0"/>
      <w:marBottom w:val="0"/>
      <w:divBdr>
        <w:top w:val="none" w:sz="0" w:space="0" w:color="auto"/>
        <w:left w:val="none" w:sz="0" w:space="0" w:color="auto"/>
        <w:bottom w:val="none" w:sz="0" w:space="0" w:color="auto"/>
        <w:right w:val="none" w:sz="0" w:space="0" w:color="auto"/>
      </w:divBdr>
    </w:div>
    <w:div w:id="546525829">
      <w:bodyDiv w:val="1"/>
      <w:marLeft w:val="0"/>
      <w:marRight w:val="0"/>
      <w:marTop w:val="0"/>
      <w:marBottom w:val="0"/>
      <w:divBdr>
        <w:top w:val="none" w:sz="0" w:space="0" w:color="auto"/>
        <w:left w:val="none" w:sz="0" w:space="0" w:color="auto"/>
        <w:bottom w:val="none" w:sz="0" w:space="0" w:color="auto"/>
        <w:right w:val="none" w:sz="0" w:space="0" w:color="auto"/>
      </w:divBdr>
    </w:div>
    <w:div w:id="560674021">
      <w:bodyDiv w:val="1"/>
      <w:marLeft w:val="0"/>
      <w:marRight w:val="0"/>
      <w:marTop w:val="0"/>
      <w:marBottom w:val="0"/>
      <w:divBdr>
        <w:top w:val="none" w:sz="0" w:space="0" w:color="auto"/>
        <w:left w:val="none" w:sz="0" w:space="0" w:color="auto"/>
        <w:bottom w:val="none" w:sz="0" w:space="0" w:color="auto"/>
        <w:right w:val="none" w:sz="0" w:space="0" w:color="auto"/>
      </w:divBdr>
    </w:div>
    <w:div w:id="577397439">
      <w:bodyDiv w:val="1"/>
      <w:marLeft w:val="0"/>
      <w:marRight w:val="0"/>
      <w:marTop w:val="0"/>
      <w:marBottom w:val="0"/>
      <w:divBdr>
        <w:top w:val="none" w:sz="0" w:space="0" w:color="auto"/>
        <w:left w:val="none" w:sz="0" w:space="0" w:color="auto"/>
        <w:bottom w:val="none" w:sz="0" w:space="0" w:color="auto"/>
        <w:right w:val="none" w:sz="0" w:space="0" w:color="auto"/>
      </w:divBdr>
    </w:div>
    <w:div w:id="589898831">
      <w:bodyDiv w:val="1"/>
      <w:marLeft w:val="0"/>
      <w:marRight w:val="0"/>
      <w:marTop w:val="0"/>
      <w:marBottom w:val="0"/>
      <w:divBdr>
        <w:top w:val="none" w:sz="0" w:space="0" w:color="auto"/>
        <w:left w:val="none" w:sz="0" w:space="0" w:color="auto"/>
        <w:bottom w:val="none" w:sz="0" w:space="0" w:color="auto"/>
        <w:right w:val="none" w:sz="0" w:space="0" w:color="auto"/>
      </w:divBdr>
    </w:div>
    <w:div w:id="591007860">
      <w:bodyDiv w:val="1"/>
      <w:marLeft w:val="0"/>
      <w:marRight w:val="0"/>
      <w:marTop w:val="0"/>
      <w:marBottom w:val="0"/>
      <w:divBdr>
        <w:top w:val="none" w:sz="0" w:space="0" w:color="auto"/>
        <w:left w:val="none" w:sz="0" w:space="0" w:color="auto"/>
        <w:bottom w:val="none" w:sz="0" w:space="0" w:color="auto"/>
        <w:right w:val="none" w:sz="0" w:space="0" w:color="auto"/>
      </w:divBdr>
      <w:divsChild>
        <w:div w:id="1593321085">
          <w:marLeft w:val="0"/>
          <w:marRight w:val="0"/>
          <w:marTop w:val="0"/>
          <w:marBottom w:val="0"/>
          <w:divBdr>
            <w:top w:val="none" w:sz="0" w:space="0" w:color="auto"/>
            <w:left w:val="none" w:sz="0" w:space="0" w:color="auto"/>
            <w:bottom w:val="none" w:sz="0" w:space="0" w:color="auto"/>
            <w:right w:val="none" w:sz="0" w:space="0" w:color="auto"/>
          </w:divBdr>
          <w:divsChild>
            <w:div w:id="19242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8535">
      <w:bodyDiv w:val="1"/>
      <w:marLeft w:val="0"/>
      <w:marRight w:val="0"/>
      <w:marTop w:val="0"/>
      <w:marBottom w:val="0"/>
      <w:divBdr>
        <w:top w:val="none" w:sz="0" w:space="0" w:color="auto"/>
        <w:left w:val="none" w:sz="0" w:space="0" w:color="auto"/>
        <w:bottom w:val="none" w:sz="0" w:space="0" w:color="auto"/>
        <w:right w:val="none" w:sz="0" w:space="0" w:color="auto"/>
      </w:divBdr>
    </w:div>
    <w:div w:id="743647050">
      <w:bodyDiv w:val="1"/>
      <w:marLeft w:val="0"/>
      <w:marRight w:val="0"/>
      <w:marTop w:val="0"/>
      <w:marBottom w:val="0"/>
      <w:divBdr>
        <w:top w:val="none" w:sz="0" w:space="0" w:color="auto"/>
        <w:left w:val="none" w:sz="0" w:space="0" w:color="auto"/>
        <w:bottom w:val="none" w:sz="0" w:space="0" w:color="auto"/>
        <w:right w:val="none" w:sz="0" w:space="0" w:color="auto"/>
      </w:divBdr>
    </w:div>
    <w:div w:id="747118233">
      <w:bodyDiv w:val="1"/>
      <w:marLeft w:val="0"/>
      <w:marRight w:val="0"/>
      <w:marTop w:val="0"/>
      <w:marBottom w:val="0"/>
      <w:divBdr>
        <w:top w:val="none" w:sz="0" w:space="0" w:color="auto"/>
        <w:left w:val="none" w:sz="0" w:space="0" w:color="auto"/>
        <w:bottom w:val="none" w:sz="0" w:space="0" w:color="auto"/>
        <w:right w:val="none" w:sz="0" w:space="0" w:color="auto"/>
      </w:divBdr>
    </w:div>
    <w:div w:id="825901796">
      <w:bodyDiv w:val="1"/>
      <w:marLeft w:val="0"/>
      <w:marRight w:val="0"/>
      <w:marTop w:val="0"/>
      <w:marBottom w:val="0"/>
      <w:divBdr>
        <w:top w:val="none" w:sz="0" w:space="0" w:color="auto"/>
        <w:left w:val="none" w:sz="0" w:space="0" w:color="auto"/>
        <w:bottom w:val="none" w:sz="0" w:space="0" w:color="auto"/>
        <w:right w:val="none" w:sz="0" w:space="0" w:color="auto"/>
      </w:divBdr>
    </w:div>
    <w:div w:id="836699631">
      <w:bodyDiv w:val="1"/>
      <w:marLeft w:val="0"/>
      <w:marRight w:val="0"/>
      <w:marTop w:val="0"/>
      <w:marBottom w:val="0"/>
      <w:divBdr>
        <w:top w:val="none" w:sz="0" w:space="0" w:color="auto"/>
        <w:left w:val="none" w:sz="0" w:space="0" w:color="auto"/>
        <w:bottom w:val="none" w:sz="0" w:space="0" w:color="auto"/>
        <w:right w:val="none" w:sz="0" w:space="0" w:color="auto"/>
      </w:divBdr>
    </w:div>
    <w:div w:id="860170193">
      <w:bodyDiv w:val="1"/>
      <w:marLeft w:val="0"/>
      <w:marRight w:val="0"/>
      <w:marTop w:val="0"/>
      <w:marBottom w:val="0"/>
      <w:divBdr>
        <w:top w:val="none" w:sz="0" w:space="0" w:color="auto"/>
        <w:left w:val="none" w:sz="0" w:space="0" w:color="auto"/>
        <w:bottom w:val="none" w:sz="0" w:space="0" w:color="auto"/>
        <w:right w:val="none" w:sz="0" w:space="0" w:color="auto"/>
      </w:divBdr>
    </w:div>
    <w:div w:id="917398175">
      <w:bodyDiv w:val="1"/>
      <w:marLeft w:val="0"/>
      <w:marRight w:val="0"/>
      <w:marTop w:val="0"/>
      <w:marBottom w:val="0"/>
      <w:divBdr>
        <w:top w:val="none" w:sz="0" w:space="0" w:color="auto"/>
        <w:left w:val="none" w:sz="0" w:space="0" w:color="auto"/>
        <w:bottom w:val="none" w:sz="0" w:space="0" w:color="auto"/>
        <w:right w:val="none" w:sz="0" w:space="0" w:color="auto"/>
      </w:divBdr>
    </w:div>
    <w:div w:id="955211777">
      <w:bodyDiv w:val="1"/>
      <w:marLeft w:val="0"/>
      <w:marRight w:val="0"/>
      <w:marTop w:val="0"/>
      <w:marBottom w:val="0"/>
      <w:divBdr>
        <w:top w:val="none" w:sz="0" w:space="0" w:color="auto"/>
        <w:left w:val="none" w:sz="0" w:space="0" w:color="auto"/>
        <w:bottom w:val="none" w:sz="0" w:space="0" w:color="auto"/>
        <w:right w:val="none" w:sz="0" w:space="0" w:color="auto"/>
      </w:divBdr>
    </w:div>
    <w:div w:id="969213732">
      <w:bodyDiv w:val="1"/>
      <w:marLeft w:val="0"/>
      <w:marRight w:val="0"/>
      <w:marTop w:val="0"/>
      <w:marBottom w:val="0"/>
      <w:divBdr>
        <w:top w:val="none" w:sz="0" w:space="0" w:color="auto"/>
        <w:left w:val="none" w:sz="0" w:space="0" w:color="auto"/>
        <w:bottom w:val="none" w:sz="0" w:space="0" w:color="auto"/>
        <w:right w:val="none" w:sz="0" w:space="0" w:color="auto"/>
      </w:divBdr>
    </w:div>
    <w:div w:id="980621573">
      <w:bodyDiv w:val="1"/>
      <w:marLeft w:val="0"/>
      <w:marRight w:val="0"/>
      <w:marTop w:val="0"/>
      <w:marBottom w:val="0"/>
      <w:divBdr>
        <w:top w:val="none" w:sz="0" w:space="0" w:color="auto"/>
        <w:left w:val="none" w:sz="0" w:space="0" w:color="auto"/>
        <w:bottom w:val="none" w:sz="0" w:space="0" w:color="auto"/>
        <w:right w:val="none" w:sz="0" w:space="0" w:color="auto"/>
      </w:divBdr>
    </w:div>
    <w:div w:id="981807352">
      <w:bodyDiv w:val="1"/>
      <w:marLeft w:val="0"/>
      <w:marRight w:val="0"/>
      <w:marTop w:val="0"/>
      <w:marBottom w:val="0"/>
      <w:divBdr>
        <w:top w:val="none" w:sz="0" w:space="0" w:color="auto"/>
        <w:left w:val="none" w:sz="0" w:space="0" w:color="auto"/>
        <w:bottom w:val="none" w:sz="0" w:space="0" w:color="auto"/>
        <w:right w:val="none" w:sz="0" w:space="0" w:color="auto"/>
      </w:divBdr>
      <w:divsChild>
        <w:div w:id="1218586511">
          <w:marLeft w:val="0"/>
          <w:marRight w:val="0"/>
          <w:marTop w:val="0"/>
          <w:marBottom w:val="0"/>
          <w:divBdr>
            <w:top w:val="none" w:sz="0" w:space="0" w:color="auto"/>
            <w:left w:val="none" w:sz="0" w:space="0" w:color="auto"/>
            <w:bottom w:val="none" w:sz="0" w:space="0" w:color="auto"/>
            <w:right w:val="none" w:sz="0" w:space="0" w:color="auto"/>
          </w:divBdr>
          <w:divsChild>
            <w:div w:id="162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1467">
      <w:bodyDiv w:val="1"/>
      <w:marLeft w:val="0"/>
      <w:marRight w:val="0"/>
      <w:marTop w:val="0"/>
      <w:marBottom w:val="0"/>
      <w:divBdr>
        <w:top w:val="none" w:sz="0" w:space="0" w:color="auto"/>
        <w:left w:val="none" w:sz="0" w:space="0" w:color="auto"/>
        <w:bottom w:val="none" w:sz="0" w:space="0" w:color="auto"/>
        <w:right w:val="none" w:sz="0" w:space="0" w:color="auto"/>
      </w:divBdr>
    </w:div>
    <w:div w:id="996029216">
      <w:bodyDiv w:val="1"/>
      <w:marLeft w:val="0"/>
      <w:marRight w:val="0"/>
      <w:marTop w:val="0"/>
      <w:marBottom w:val="0"/>
      <w:divBdr>
        <w:top w:val="none" w:sz="0" w:space="0" w:color="auto"/>
        <w:left w:val="none" w:sz="0" w:space="0" w:color="auto"/>
        <w:bottom w:val="none" w:sz="0" w:space="0" w:color="auto"/>
        <w:right w:val="none" w:sz="0" w:space="0" w:color="auto"/>
      </w:divBdr>
    </w:div>
    <w:div w:id="1005865397">
      <w:bodyDiv w:val="1"/>
      <w:marLeft w:val="0"/>
      <w:marRight w:val="0"/>
      <w:marTop w:val="0"/>
      <w:marBottom w:val="0"/>
      <w:divBdr>
        <w:top w:val="none" w:sz="0" w:space="0" w:color="auto"/>
        <w:left w:val="none" w:sz="0" w:space="0" w:color="auto"/>
        <w:bottom w:val="none" w:sz="0" w:space="0" w:color="auto"/>
        <w:right w:val="none" w:sz="0" w:space="0" w:color="auto"/>
      </w:divBdr>
    </w:div>
    <w:div w:id="1015424299">
      <w:bodyDiv w:val="1"/>
      <w:marLeft w:val="0"/>
      <w:marRight w:val="0"/>
      <w:marTop w:val="0"/>
      <w:marBottom w:val="0"/>
      <w:divBdr>
        <w:top w:val="none" w:sz="0" w:space="0" w:color="auto"/>
        <w:left w:val="none" w:sz="0" w:space="0" w:color="auto"/>
        <w:bottom w:val="none" w:sz="0" w:space="0" w:color="auto"/>
        <w:right w:val="none" w:sz="0" w:space="0" w:color="auto"/>
      </w:divBdr>
    </w:div>
    <w:div w:id="1054623695">
      <w:bodyDiv w:val="1"/>
      <w:marLeft w:val="0"/>
      <w:marRight w:val="0"/>
      <w:marTop w:val="0"/>
      <w:marBottom w:val="0"/>
      <w:divBdr>
        <w:top w:val="none" w:sz="0" w:space="0" w:color="auto"/>
        <w:left w:val="none" w:sz="0" w:space="0" w:color="auto"/>
        <w:bottom w:val="none" w:sz="0" w:space="0" w:color="auto"/>
        <w:right w:val="none" w:sz="0" w:space="0" w:color="auto"/>
      </w:divBdr>
    </w:div>
    <w:div w:id="1065571739">
      <w:bodyDiv w:val="1"/>
      <w:marLeft w:val="0"/>
      <w:marRight w:val="0"/>
      <w:marTop w:val="0"/>
      <w:marBottom w:val="0"/>
      <w:divBdr>
        <w:top w:val="none" w:sz="0" w:space="0" w:color="auto"/>
        <w:left w:val="none" w:sz="0" w:space="0" w:color="auto"/>
        <w:bottom w:val="none" w:sz="0" w:space="0" w:color="auto"/>
        <w:right w:val="none" w:sz="0" w:space="0" w:color="auto"/>
      </w:divBdr>
    </w:div>
    <w:div w:id="1122698838">
      <w:bodyDiv w:val="1"/>
      <w:marLeft w:val="0"/>
      <w:marRight w:val="0"/>
      <w:marTop w:val="0"/>
      <w:marBottom w:val="0"/>
      <w:divBdr>
        <w:top w:val="none" w:sz="0" w:space="0" w:color="auto"/>
        <w:left w:val="none" w:sz="0" w:space="0" w:color="auto"/>
        <w:bottom w:val="none" w:sz="0" w:space="0" w:color="auto"/>
        <w:right w:val="none" w:sz="0" w:space="0" w:color="auto"/>
      </w:divBdr>
    </w:div>
    <w:div w:id="1147746031">
      <w:bodyDiv w:val="1"/>
      <w:marLeft w:val="0"/>
      <w:marRight w:val="0"/>
      <w:marTop w:val="0"/>
      <w:marBottom w:val="0"/>
      <w:divBdr>
        <w:top w:val="none" w:sz="0" w:space="0" w:color="auto"/>
        <w:left w:val="none" w:sz="0" w:space="0" w:color="auto"/>
        <w:bottom w:val="none" w:sz="0" w:space="0" w:color="auto"/>
        <w:right w:val="none" w:sz="0" w:space="0" w:color="auto"/>
      </w:divBdr>
    </w:div>
    <w:div w:id="1167787591">
      <w:bodyDiv w:val="1"/>
      <w:marLeft w:val="0"/>
      <w:marRight w:val="0"/>
      <w:marTop w:val="0"/>
      <w:marBottom w:val="0"/>
      <w:divBdr>
        <w:top w:val="none" w:sz="0" w:space="0" w:color="auto"/>
        <w:left w:val="none" w:sz="0" w:space="0" w:color="auto"/>
        <w:bottom w:val="none" w:sz="0" w:space="0" w:color="auto"/>
        <w:right w:val="none" w:sz="0" w:space="0" w:color="auto"/>
      </w:divBdr>
    </w:div>
    <w:div w:id="1318267945">
      <w:bodyDiv w:val="1"/>
      <w:marLeft w:val="0"/>
      <w:marRight w:val="0"/>
      <w:marTop w:val="0"/>
      <w:marBottom w:val="0"/>
      <w:divBdr>
        <w:top w:val="none" w:sz="0" w:space="0" w:color="auto"/>
        <w:left w:val="none" w:sz="0" w:space="0" w:color="auto"/>
        <w:bottom w:val="none" w:sz="0" w:space="0" w:color="auto"/>
        <w:right w:val="none" w:sz="0" w:space="0" w:color="auto"/>
      </w:divBdr>
    </w:div>
    <w:div w:id="1331710598">
      <w:bodyDiv w:val="1"/>
      <w:marLeft w:val="0"/>
      <w:marRight w:val="0"/>
      <w:marTop w:val="0"/>
      <w:marBottom w:val="0"/>
      <w:divBdr>
        <w:top w:val="none" w:sz="0" w:space="0" w:color="auto"/>
        <w:left w:val="none" w:sz="0" w:space="0" w:color="auto"/>
        <w:bottom w:val="none" w:sz="0" w:space="0" w:color="auto"/>
        <w:right w:val="none" w:sz="0" w:space="0" w:color="auto"/>
      </w:divBdr>
    </w:div>
    <w:div w:id="1336030489">
      <w:bodyDiv w:val="1"/>
      <w:marLeft w:val="0"/>
      <w:marRight w:val="0"/>
      <w:marTop w:val="0"/>
      <w:marBottom w:val="0"/>
      <w:divBdr>
        <w:top w:val="none" w:sz="0" w:space="0" w:color="auto"/>
        <w:left w:val="none" w:sz="0" w:space="0" w:color="auto"/>
        <w:bottom w:val="none" w:sz="0" w:space="0" w:color="auto"/>
        <w:right w:val="none" w:sz="0" w:space="0" w:color="auto"/>
      </w:divBdr>
    </w:div>
    <w:div w:id="1384714503">
      <w:bodyDiv w:val="1"/>
      <w:marLeft w:val="0"/>
      <w:marRight w:val="0"/>
      <w:marTop w:val="0"/>
      <w:marBottom w:val="0"/>
      <w:divBdr>
        <w:top w:val="none" w:sz="0" w:space="0" w:color="auto"/>
        <w:left w:val="none" w:sz="0" w:space="0" w:color="auto"/>
        <w:bottom w:val="none" w:sz="0" w:space="0" w:color="auto"/>
        <w:right w:val="none" w:sz="0" w:space="0" w:color="auto"/>
      </w:divBdr>
    </w:div>
    <w:div w:id="1396659405">
      <w:bodyDiv w:val="1"/>
      <w:marLeft w:val="0"/>
      <w:marRight w:val="0"/>
      <w:marTop w:val="0"/>
      <w:marBottom w:val="0"/>
      <w:divBdr>
        <w:top w:val="none" w:sz="0" w:space="0" w:color="auto"/>
        <w:left w:val="none" w:sz="0" w:space="0" w:color="auto"/>
        <w:bottom w:val="none" w:sz="0" w:space="0" w:color="auto"/>
        <w:right w:val="none" w:sz="0" w:space="0" w:color="auto"/>
      </w:divBdr>
    </w:div>
    <w:div w:id="1430080253">
      <w:bodyDiv w:val="1"/>
      <w:marLeft w:val="0"/>
      <w:marRight w:val="0"/>
      <w:marTop w:val="0"/>
      <w:marBottom w:val="0"/>
      <w:divBdr>
        <w:top w:val="none" w:sz="0" w:space="0" w:color="auto"/>
        <w:left w:val="none" w:sz="0" w:space="0" w:color="auto"/>
        <w:bottom w:val="none" w:sz="0" w:space="0" w:color="auto"/>
        <w:right w:val="none" w:sz="0" w:space="0" w:color="auto"/>
      </w:divBdr>
    </w:div>
    <w:div w:id="1454009617">
      <w:bodyDiv w:val="1"/>
      <w:marLeft w:val="0"/>
      <w:marRight w:val="0"/>
      <w:marTop w:val="0"/>
      <w:marBottom w:val="0"/>
      <w:divBdr>
        <w:top w:val="none" w:sz="0" w:space="0" w:color="auto"/>
        <w:left w:val="none" w:sz="0" w:space="0" w:color="auto"/>
        <w:bottom w:val="none" w:sz="0" w:space="0" w:color="auto"/>
        <w:right w:val="none" w:sz="0" w:space="0" w:color="auto"/>
      </w:divBdr>
    </w:div>
    <w:div w:id="1474980697">
      <w:bodyDiv w:val="1"/>
      <w:marLeft w:val="0"/>
      <w:marRight w:val="0"/>
      <w:marTop w:val="0"/>
      <w:marBottom w:val="0"/>
      <w:divBdr>
        <w:top w:val="none" w:sz="0" w:space="0" w:color="auto"/>
        <w:left w:val="none" w:sz="0" w:space="0" w:color="auto"/>
        <w:bottom w:val="none" w:sz="0" w:space="0" w:color="auto"/>
        <w:right w:val="none" w:sz="0" w:space="0" w:color="auto"/>
      </w:divBdr>
    </w:div>
    <w:div w:id="1478182501">
      <w:bodyDiv w:val="1"/>
      <w:marLeft w:val="0"/>
      <w:marRight w:val="0"/>
      <w:marTop w:val="0"/>
      <w:marBottom w:val="0"/>
      <w:divBdr>
        <w:top w:val="none" w:sz="0" w:space="0" w:color="auto"/>
        <w:left w:val="none" w:sz="0" w:space="0" w:color="auto"/>
        <w:bottom w:val="none" w:sz="0" w:space="0" w:color="auto"/>
        <w:right w:val="none" w:sz="0" w:space="0" w:color="auto"/>
      </w:divBdr>
    </w:div>
    <w:div w:id="1485583157">
      <w:bodyDiv w:val="1"/>
      <w:marLeft w:val="0"/>
      <w:marRight w:val="0"/>
      <w:marTop w:val="0"/>
      <w:marBottom w:val="0"/>
      <w:divBdr>
        <w:top w:val="none" w:sz="0" w:space="0" w:color="auto"/>
        <w:left w:val="none" w:sz="0" w:space="0" w:color="auto"/>
        <w:bottom w:val="none" w:sz="0" w:space="0" w:color="auto"/>
        <w:right w:val="none" w:sz="0" w:space="0" w:color="auto"/>
      </w:divBdr>
      <w:divsChild>
        <w:div w:id="1490250825">
          <w:marLeft w:val="0"/>
          <w:marRight w:val="0"/>
          <w:marTop w:val="0"/>
          <w:marBottom w:val="0"/>
          <w:divBdr>
            <w:top w:val="none" w:sz="0" w:space="0" w:color="auto"/>
            <w:left w:val="none" w:sz="0" w:space="0" w:color="auto"/>
            <w:bottom w:val="none" w:sz="0" w:space="0" w:color="auto"/>
            <w:right w:val="none" w:sz="0" w:space="0" w:color="auto"/>
          </w:divBdr>
          <w:divsChild>
            <w:div w:id="2726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7710">
      <w:bodyDiv w:val="1"/>
      <w:marLeft w:val="0"/>
      <w:marRight w:val="0"/>
      <w:marTop w:val="0"/>
      <w:marBottom w:val="0"/>
      <w:divBdr>
        <w:top w:val="none" w:sz="0" w:space="0" w:color="auto"/>
        <w:left w:val="none" w:sz="0" w:space="0" w:color="auto"/>
        <w:bottom w:val="none" w:sz="0" w:space="0" w:color="auto"/>
        <w:right w:val="none" w:sz="0" w:space="0" w:color="auto"/>
      </w:divBdr>
    </w:div>
    <w:div w:id="1501233389">
      <w:bodyDiv w:val="1"/>
      <w:marLeft w:val="0"/>
      <w:marRight w:val="0"/>
      <w:marTop w:val="0"/>
      <w:marBottom w:val="0"/>
      <w:divBdr>
        <w:top w:val="none" w:sz="0" w:space="0" w:color="auto"/>
        <w:left w:val="none" w:sz="0" w:space="0" w:color="auto"/>
        <w:bottom w:val="none" w:sz="0" w:space="0" w:color="auto"/>
        <w:right w:val="none" w:sz="0" w:space="0" w:color="auto"/>
      </w:divBdr>
    </w:div>
    <w:div w:id="1577469932">
      <w:bodyDiv w:val="1"/>
      <w:marLeft w:val="0"/>
      <w:marRight w:val="0"/>
      <w:marTop w:val="0"/>
      <w:marBottom w:val="0"/>
      <w:divBdr>
        <w:top w:val="none" w:sz="0" w:space="0" w:color="auto"/>
        <w:left w:val="none" w:sz="0" w:space="0" w:color="auto"/>
        <w:bottom w:val="none" w:sz="0" w:space="0" w:color="auto"/>
        <w:right w:val="none" w:sz="0" w:space="0" w:color="auto"/>
      </w:divBdr>
    </w:div>
    <w:div w:id="1581207216">
      <w:bodyDiv w:val="1"/>
      <w:marLeft w:val="0"/>
      <w:marRight w:val="0"/>
      <w:marTop w:val="0"/>
      <w:marBottom w:val="0"/>
      <w:divBdr>
        <w:top w:val="none" w:sz="0" w:space="0" w:color="auto"/>
        <w:left w:val="none" w:sz="0" w:space="0" w:color="auto"/>
        <w:bottom w:val="none" w:sz="0" w:space="0" w:color="auto"/>
        <w:right w:val="none" w:sz="0" w:space="0" w:color="auto"/>
      </w:divBdr>
    </w:div>
    <w:div w:id="1593472418">
      <w:bodyDiv w:val="1"/>
      <w:marLeft w:val="0"/>
      <w:marRight w:val="0"/>
      <w:marTop w:val="0"/>
      <w:marBottom w:val="0"/>
      <w:divBdr>
        <w:top w:val="none" w:sz="0" w:space="0" w:color="auto"/>
        <w:left w:val="none" w:sz="0" w:space="0" w:color="auto"/>
        <w:bottom w:val="none" w:sz="0" w:space="0" w:color="auto"/>
        <w:right w:val="none" w:sz="0" w:space="0" w:color="auto"/>
      </w:divBdr>
      <w:divsChild>
        <w:div w:id="1331712899">
          <w:marLeft w:val="0"/>
          <w:marRight w:val="0"/>
          <w:marTop w:val="0"/>
          <w:marBottom w:val="0"/>
          <w:divBdr>
            <w:top w:val="none" w:sz="0" w:space="0" w:color="auto"/>
            <w:left w:val="none" w:sz="0" w:space="0" w:color="auto"/>
            <w:bottom w:val="none" w:sz="0" w:space="0" w:color="auto"/>
            <w:right w:val="none" w:sz="0" w:space="0" w:color="auto"/>
          </w:divBdr>
          <w:divsChild>
            <w:div w:id="15869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57971">
      <w:bodyDiv w:val="1"/>
      <w:marLeft w:val="0"/>
      <w:marRight w:val="0"/>
      <w:marTop w:val="0"/>
      <w:marBottom w:val="0"/>
      <w:divBdr>
        <w:top w:val="none" w:sz="0" w:space="0" w:color="auto"/>
        <w:left w:val="none" w:sz="0" w:space="0" w:color="auto"/>
        <w:bottom w:val="none" w:sz="0" w:space="0" w:color="auto"/>
        <w:right w:val="none" w:sz="0" w:space="0" w:color="auto"/>
      </w:divBdr>
    </w:div>
    <w:div w:id="1597326279">
      <w:bodyDiv w:val="1"/>
      <w:marLeft w:val="0"/>
      <w:marRight w:val="0"/>
      <w:marTop w:val="0"/>
      <w:marBottom w:val="0"/>
      <w:divBdr>
        <w:top w:val="none" w:sz="0" w:space="0" w:color="auto"/>
        <w:left w:val="none" w:sz="0" w:space="0" w:color="auto"/>
        <w:bottom w:val="none" w:sz="0" w:space="0" w:color="auto"/>
        <w:right w:val="none" w:sz="0" w:space="0" w:color="auto"/>
      </w:divBdr>
    </w:div>
    <w:div w:id="1650402363">
      <w:bodyDiv w:val="1"/>
      <w:marLeft w:val="0"/>
      <w:marRight w:val="0"/>
      <w:marTop w:val="0"/>
      <w:marBottom w:val="0"/>
      <w:divBdr>
        <w:top w:val="none" w:sz="0" w:space="0" w:color="auto"/>
        <w:left w:val="none" w:sz="0" w:space="0" w:color="auto"/>
        <w:bottom w:val="none" w:sz="0" w:space="0" w:color="auto"/>
        <w:right w:val="none" w:sz="0" w:space="0" w:color="auto"/>
      </w:divBdr>
    </w:div>
    <w:div w:id="1672029314">
      <w:bodyDiv w:val="1"/>
      <w:marLeft w:val="0"/>
      <w:marRight w:val="0"/>
      <w:marTop w:val="0"/>
      <w:marBottom w:val="0"/>
      <w:divBdr>
        <w:top w:val="none" w:sz="0" w:space="0" w:color="auto"/>
        <w:left w:val="none" w:sz="0" w:space="0" w:color="auto"/>
        <w:bottom w:val="none" w:sz="0" w:space="0" w:color="auto"/>
        <w:right w:val="none" w:sz="0" w:space="0" w:color="auto"/>
      </w:divBdr>
    </w:div>
    <w:div w:id="1700857353">
      <w:bodyDiv w:val="1"/>
      <w:marLeft w:val="0"/>
      <w:marRight w:val="0"/>
      <w:marTop w:val="0"/>
      <w:marBottom w:val="0"/>
      <w:divBdr>
        <w:top w:val="none" w:sz="0" w:space="0" w:color="auto"/>
        <w:left w:val="none" w:sz="0" w:space="0" w:color="auto"/>
        <w:bottom w:val="none" w:sz="0" w:space="0" w:color="auto"/>
        <w:right w:val="none" w:sz="0" w:space="0" w:color="auto"/>
      </w:divBdr>
    </w:div>
    <w:div w:id="1730374269">
      <w:bodyDiv w:val="1"/>
      <w:marLeft w:val="0"/>
      <w:marRight w:val="0"/>
      <w:marTop w:val="0"/>
      <w:marBottom w:val="0"/>
      <w:divBdr>
        <w:top w:val="none" w:sz="0" w:space="0" w:color="auto"/>
        <w:left w:val="none" w:sz="0" w:space="0" w:color="auto"/>
        <w:bottom w:val="none" w:sz="0" w:space="0" w:color="auto"/>
        <w:right w:val="none" w:sz="0" w:space="0" w:color="auto"/>
      </w:divBdr>
    </w:div>
    <w:div w:id="1768190763">
      <w:bodyDiv w:val="1"/>
      <w:marLeft w:val="0"/>
      <w:marRight w:val="0"/>
      <w:marTop w:val="0"/>
      <w:marBottom w:val="0"/>
      <w:divBdr>
        <w:top w:val="none" w:sz="0" w:space="0" w:color="auto"/>
        <w:left w:val="none" w:sz="0" w:space="0" w:color="auto"/>
        <w:bottom w:val="none" w:sz="0" w:space="0" w:color="auto"/>
        <w:right w:val="none" w:sz="0" w:space="0" w:color="auto"/>
      </w:divBdr>
    </w:div>
    <w:div w:id="1787772748">
      <w:bodyDiv w:val="1"/>
      <w:marLeft w:val="0"/>
      <w:marRight w:val="0"/>
      <w:marTop w:val="0"/>
      <w:marBottom w:val="0"/>
      <w:divBdr>
        <w:top w:val="none" w:sz="0" w:space="0" w:color="auto"/>
        <w:left w:val="none" w:sz="0" w:space="0" w:color="auto"/>
        <w:bottom w:val="none" w:sz="0" w:space="0" w:color="auto"/>
        <w:right w:val="none" w:sz="0" w:space="0" w:color="auto"/>
      </w:divBdr>
    </w:div>
    <w:div w:id="1805463064">
      <w:bodyDiv w:val="1"/>
      <w:marLeft w:val="0"/>
      <w:marRight w:val="0"/>
      <w:marTop w:val="0"/>
      <w:marBottom w:val="0"/>
      <w:divBdr>
        <w:top w:val="none" w:sz="0" w:space="0" w:color="auto"/>
        <w:left w:val="none" w:sz="0" w:space="0" w:color="auto"/>
        <w:bottom w:val="none" w:sz="0" w:space="0" w:color="auto"/>
        <w:right w:val="none" w:sz="0" w:space="0" w:color="auto"/>
      </w:divBdr>
    </w:div>
    <w:div w:id="1809467316">
      <w:bodyDiv w:val="1"/>
      <w:marLeft w:val="0"/>
      <w:marRight w:val="0"/>
      <w:marTop w:val="0"/>
      <w:marBottom w:val="0"/>
      <w:divBdr>
        <w:top w:val="none" w:sz="0" w:space="0" w:color="auto"/>
        <w:left w:val="none" w:sz="0" w:space="0" w:color="auto"/>
        <w:bottom w:val="none" w:sz="0" w:space="0" w:color="auto"/>
        <w:right w:val="none" w:sz="0" w:space="0" w:color="auto"/>
      </w:divBdr>
    </w:div>
    <w:div w:id="1849321587">
      <w:bodyDiv w:val="1"/>
      <w:marLeft w:val="0"/>
      <w:marRight w:val="0"/>
      <w:marTop w:val="0"/>
      <w:marBottom w:val="0"/>
      <w:divBdr>
        <w:top w:val="none" w:sz="0" w:space="0" w:color="auto"/>
        <w:left w:val="none" w:sz="0" w:space="0" w:color="auto"/>
        <w:bottom w:val="none" w:sz="0" w:space="0" w:color="auto"/>
        <w:right w:val="none" w:sz="0" w:space="0" w:color="auto"/>
      </w:divBdr>
    </w:div>
    <w:div w:id="1896504131">
      <w:bodyDiv w:val="1"/>
      <w:marLeft w:val="0"/>
      <w:marRight w:val="0"/>
      <w:marTop w:val="0"/>
      <w:marBottom w:val="0"/>
      <w:divBdr>
        <w:top w:val="none" w:sz="0" w:space="0" w:color="auto"/>
        <w:left w:val="none" w:sz="0" w:space="0" w:color="auto"/>
        <w:bottom w:val="none" w:sz="0" w:space="0" w:color="auto"/>
        <w:right w:val="none" w:sz="0" w:space="0" w:color="auto"/>
      </w:divBdr>
    </w:div>
    <w:div w:id="1921795401">
      <w:bodyDiv w:val="1"/>
      <w:marLeft w:val="0"/>
      <w:marRight w:val="0"/>
      <w:marTop w:val="0"/>
      <w:marBottom w:val="0"/>
      <w:divBdr>
        <w:top w:val="none" w:sz="0" w:space="0" w:color="auto"/>
        <w:left w:val="none" w:sz="0" w:space="0" w:color="auto"/>
        <w:bottom w:val="none" w:sz="0" w:space="0" w:color="auto"/>
        <w:right w:val="none" w:sz="0" w:space="0" w:color="auto"/>
      </w:divBdr>
    </w:div>
    <w:div w:id="1950620507">
      <w:bodyDiv w:val="1"/>
      <w:marLeft w:val="0"/>
      <w:marRight w:val="0"/>
      <w:marTop w:val="0"/>
      <w:marBottom w:val="0"/>
      <w:divBdr>
        <w:top w:val="none" w:sz="0" w:space="0" w:color="auto"/>
        <w:left w:val="none" w:sz="0" w:space="0" w:color="auto"/>
        <w:bottom w:val="none" w:sz="0" w:space="0" w:color="auto"/>
        <w:right w:val="none" w:sz="0" w:space="0" w:color="auto"/>
      </w:divBdr>
    </w:div>
    <w:div w:id="1981961784">
      <w:bodyDiv w:val="1"/>
      <w:marLeft w:val="0"/>
      <w:marRight w:val="0"/>
      <w:marTop w:val="0"/>
      <w:marBottom w:val="0"/>
      <w:divBdr>
        <w:top w:val="none" w:sz="0" w:space="0" w:color="auto"/>
        <w:left w:val="none" w:sz="0" w:space="0" w:color="auto"/>
        <w:bottom w:val="none" w:sz="0" w:space="0" w:color="auto"/>
        <w:right w:val="none" w:sz="0" w:space="0" w:color="auto"/>
      </w:divBdr>
    </w:div>
    <w:div w:id="2004433297">
      <w:bodyDiv w:val="1"/>
      <w:marLeft w:val="0"/>
      <w:marRight w:val="0"/>
      <w:marTop w:val="0"/>
      <w:marBottom w:val="0"/>
      <w:divBdr>
        <w:top w:val="none" w:sz="0" w:space="0" w:color="auto"/>
        <w:left w:val="none" w:sz="0" w:space="0" w:color="auto"/>
        <w:bottom w:val="none" w:sz="0" w:space="0" w:color="auto"/>
        <w:right w:val="none" w:sz="0" w:space="0" w:color="auto"/>
      </w:divBdr>
    </w:div>
    <w:div w:id="2036611289">
      <w:bodyDiv w:val="1"/>
      <w:marLeft w:val="0"/>
      <w:marRight w:val="0"/>
      <w:marTop w:val="0"/>
      <w:marBottom w:val="0"/>
      <w:divBdr>
        <w:top w:val="none" w:sz="0" w:space="0" w:color="auto"/>
        <w:left w:val="none" w:sz="0" w:space="0" w:color="auto"/>
        <w:bottom w:val="none" w:sz="0" w:space="0" w:color="auto"/>
        <w:right w:val="none" w:sz="0" w:space="0" w:color="auto"/>
      </w:divBdr>
    </w:div>
    <w:div w:id="2057119675">
      <w:bodyDiv w:val="1"/>
      <w:marLeft w:val="0"/>
      <w:marRight w:val="0"/>
      <w:marTop w:val="0"/>
      <w:marBottom w:val="0"/>
      <w:divBdr>
        <w:top w:val="none" w:sz="0" w:space="0" w:color="auto"/>
        <w:left w:val="none" w:sz="0" w:space="0" w:color="auto"/>
        <w:bottom w:val="none" w:sz="0" w:space="0" w:color="auto"/>
        <w:right w:val="none" w:sz="0" w:space="0" w:color="auto"/>
      </w:divBdr>
    </w:div>
    <w:div w:id="2066446973">
      <w:bodyDiv w:val="1"/>
      <w:marLeft w:val="0"/>
      <w:marRight w:val="0"/>
      <w:marTop w:val="0"/>
      <w:marBottom w:val="0"/>
      <w:divBdr>
        <w:top w:val="none" w:sz="0" w:space="0" w:color="auto"/>
        <w:left w:val="none" w:sz="0" w:space="0" w:color="auto"/>
        <w:bottom w:val="none" w:sz="0" w:space="0" w:color="auto"/>
        <w:right w:val="none" w:sz="0" w:space="0" w:color="auto"/>
      </w:divBdr>
    </w:div>
    <w:div w:id="2073579812">
      <w:bodyDiv w:val="1"/>
      <w:marLeft w:val="0"/>
      <w:marRight w:val="0"/>
      <w:marTop w:val="0"/>
      <w:marBottom w:val="0"/>
      <w:divBdr>
        <w:top w:val="none" w:sz="0" w:space="0" w:color="auto"/>
        <w:left w:val="none" w:sz="0" w:space="0" w:color="auto"/>
        <w:bottom w:val="none" w:sz="0" w:space="0" w:color="auto"/>
        <w:right w:val="none" w:sz="0" w:space="0" w:color="auto"/>
      </w:divBdr>
    </w:div>
    <w:div w:id="2117941759">
      <w:bodyDiv w:val="1"/>
      <w:marLeft w:val="0"/>
      <w:marRight w:val="0"/>
      <w:marTop w:val="0"/>
      <w:marBottom w:val="0"/>
      <w:divBdr>
        <w:top w:val="none" w:sz="0" w:space="0" w:color="auto"/>
        <w:left w:val="none" w:sz="0" w:space="0" w:color="auto"/>
        <w:bottom w:val="none" w:sz="0" w:space="0" w:color="auto"/>
        <w:right w:val="none" w:sz="0" w:space="0" w:color="auto"/>
      </w:divBdr>
    </w:div>
    <w:div w:id="2120373644">
      <w:bodyDiv w:val="1"/>
      <w:marLeft w:val="0"/>
      <w:marRight w:val="0"/>
      <w:marTop w:val="0"/>
      <w:marBottom w:val="0"/>
      <w:divBdr>
        <w:top w:val="none" w:sz="0" w:space="0" w:color="auto"/>
        <w:left w:val="none" w:sz="0" w:space="0" w:color="auto"/>
        <w:bottom w:val="none" w:sz="0" w:space="0" w:color="auto"/>
        <w:right w:val="none" w:sz="0" w:space="0" w:color="auto"/>
      </w:divBdr>
    </w:div>
    <w:div w:id="2123767795">
      <w:bodyDiv w:val="1"/>
      <w:marLeft w:val="0"/>
      <w:marRight w:val="0"/>
      <w:marTop w:val="0"/>
      <w:marBottom w:val="0"/>
      <w:divBdr>
        <w:top w:val="none" w:sz="0" w:space="0" w:color="auto"/>
        <w:left w:val="none" w:sz="0" w:space="0" w:color="auto"/>
        <w:bottom w:val="none" w:sz="0" w:space="0" w:color="auto"/>
        <w:right w:val="none" w:sz="0" w:space="0" w:color="auto"/>
      </w:divBdr>
    </w:div>
    <w:div w:id="2128547274">
      <w:bodyDiv w:val="1"/>
      <w:marLeft w:val="0"/>
      <w:marRight w:val="0"/>
      <w:marTop w:val="0"/>
      <w:marBottom w:val="0"/>
      <w:divBdr>
        <w:top w:val="none" w:sz="0" w:space="0" w:color="auto"/>
        <w:left w:val="none" w:sz="0" w:space="0" w:color="auto"/>
        <w:bottom w:val="none" w:sz="0" w:space="0" w:color="auto"/>
        <w:right w:val="none" w:sz="0" w:space="0" w:color="auto"/>
      </w:divBdr>
    </w:div>
    <w:div w:id="21416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tent.tfl.gov.uk/travel-in-london-report-1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guardian.com/uk-news/2021/jul/05/tfl-hit-by-100m-fall-in-ad-revenue-across-tube-rail-and-bus-networ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11/obr.1314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2658C09E409B4A88D3857D9AE33E6D" ma:contentTypeVersion="13" ma:contentTypeDescription="Create a new document." ma:contentTypeScope="" ma:versionID="53e3b9d991b8ae08aacbcf8ff3263646">
  <xsd:schema xmlns:xsd="http://www.w3.org/2001/XMLSchema" xmlns:xs="http://www.w3.org/2001/XMLSchema" xmlns:p="http://schemas.microsoft.com/office/2006/metadata/properties" xmlns:ns3="e23cad41-b631-4c76-81ff-5c9767003a18" xmlns:ns4="da7a1796-449e-4369-b06e-51ec35933961" targetNamespace="http://schemas.microsoft.com/office/2006/metadata/properties" ma:root="true" ma:fieldsID="72abc441df5e8d22266bb8bed0433c56" ns3:_="" ns4:_="">
    <xsd:import namespace="e23cad41-b631-4c76-81ff-5c9767003a18"/>
    <xsd:import namespace="da7a1796-449e-4369-b06e-51ec359339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cad41-b631-4c76-81ff-5c9767003a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a1796-449e-4369-b06e-51ec359339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90A2D-66A6-4B55-AE43-E7238CF167C8}">
  <ds:schemaRefs>
    <ds:schemaRef ds:uri="http://schemas.microsoft.com/sharepoint/v3/contenttype/forms"/>
  </ds:schemaRefs>
</ds:datastoreItem>
</file>

<file path=customXml/itemProps2.xml><?xml version="1.0" encoding="utf-8"?>
<ds:datastoreItem xmlns:ds="http://schemas.openxmlformats.org/officeDocument/2006/customXml" ds:itemID="{C5AE45F0-DB5B-47BA-B2A1-28A4ACD4AD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9FA1C6-E6BD-4828-A018-8814E48A3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cad41-b631-4c76-81ff-5c9767003a18"/>
    <ds:schemaRef ds:uri="da7a1796-449e-4369-b06e-51ec35933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5AD0A-9562-487C-9193-BAD0DE2E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16052</Words>
  <Characters>91502</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Meiksin</dc:creator>
  <cp:keywords/>
  <dc:description/>
  <cp:lastModifiedBy>Claire Thompson</cp:lastModifiedBy>
  <cp:revision>2</cp:revision>
  <dcterms:created xsi:type="dcterms:W3CDTF">2021-11-05T15:07:00Z</dcterms:created>
  <dcterms:modified xsi:type="dcterms:W3CDTF">2021-11-05T15:07:00Z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0x010100782658C09E409B4A88D3857D9AE33E6D</vt:lpwstr>
  </property>
</Properties>
</file>