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35189A" w14:textId="77777777" w:rsidR="003B2643" w:rsidRPr="00106626" w:rsidRDefault="003B2643" w:rsidP="00BD37FF">
      <w:pPr>
        <w:pStyle w:val="MDPI11articletype"/>
        <w:rPr>
          <w:lang w:val="en-GB"/>
        </w:rPr>
      </w:pPr>
      <w:bookmarkStart w:id="0" w:name="_GoBack"/>
      <w:bookmarkEnd w:id="0"/>
      <w:r w:rsidRPr="00106626">
        <w:rPr>
          <w:lang w:val="en-GB"/>
        </w:rPr>
        <w:t>Article</w:t>
      </w:r>
    </w:p>
    <w:p w14:paraId="4BFDB837" w14:textId="47663A51" w:rsidR="003B2643" w:rsidRPr="00106626" w:rsidRDefault="003B2643" w:rsidP="00BD37FF">
      <w:pPr>
        <w:pStyle w:val="MDPI12title"/>
        <w:rPr>
          <w:lang w:val="en-GB"/>
        </w:rPr>
      </w:pPr>
      <w:r w:rsidRPr="00106626">
        <w:rPr>
          <w:lang w:val="en-GB"/>
        </w:rPr>
        <w:t xml:space="preserve">Beach </w:t>
      </w:r>
      <w:r w:rsidR="003B3D06" w:rsidRPr="00106626">
        <w:rPr>
          <w:lang w:val="en-GB"/>
        </w:rPr>
        <w:t xml:space="preserve">Deployment </w:t>
      </w:r>
      <w:r w:rsidRPr="00106626">
        <w:rPr>
          <w:lang w:val="en-GB"/>
        </w:rPr>
        <w:t xml:space="preserve">of </w:t>
      </w:r>
      <w:r w:rsidR="00D5060B" w:rsidRPr="00106626">
        <w:rPr>
          <w:lang w:val="en-GB"/>
        </w:rPr>
        <w:t>a</w:t>
      </w:r>
      <w:r w:rsidR="003B3D06" w:rsidRPr="00106626">
        <w:rPr>
          <w:lang w:val="en-GB"/>
        </w:rPr>
        <w:t xml:space="preserve"> Low</w:t>
      </w:r>
      <w:r w:rsidRPr="00106626">
        <w:rPr>
          <w:lang w:val="en-GB"/>
        </w:rPr>
        <w:t>-</w:t>
      </w:r>
      <w:r w:rsidR="003B3D06" w:rsidRPr="00106626">
        <w:rPr>
          <w:lang w:val="en-GB"/>
        </w:rPr>
        <w:t xml:space="preserve">Cost </w:t>
      </w:r>
      <w:r w:rsidRPr="00106626">
        <w:rPr>
          <w:lang w:val="en-GB"/>
        </w:rPr>
        <w:t xml:space="preserve">GNSS </w:t>
      </w:r>
      <w:r w:rsidR="003B3D06" w:rsidRPr="00106626">
        <w:rPr>
          <w:lang w:val="en-GB"/>
        </w:rPr>
        <w:t xml:space="preserve">Buoy </w:t>
      </w:r>
      <w:r w:rsidRPr="00106626">
        <w:rPr>
          <w:lang w:val="en-GB"/>
        </w:rPr>
        <w:t xml:space="preserve">for </w:t>
      </w:r>
      <w:r w:rsidR="003B3D06" w:rsidRPr="00106626">
        <w:rPr>
          <w:lang w:val="en-GB"/>
        </w:rPr>
        <w:t>Determining Sea</w:t>
      </w:r>
      <w:r w:rsidRPr="00106626">
        <w:rPr>
          <w:lang w:val="en-GB"/>
        </w:rPr>
        <w:t>-</w:t>
      </w:r>
      <w:r w:rsidR="003B3D06" w:rsidRPr="00106626">
        <w:rPr>
          <w:lang w:val="en-GB"/>
        </w:rPr>
        <w:t xml:space="preserve">Level </w:t>
      </w:r>
      <w:r w:rsidRPr="00106626">
        <w:rPr>
          <w:lang w:val="en-GB"/>
        </w:rPr>
        <w:t xml:space="preserve">and </w:t>
      </w:r>
      <w:r w:rsidR="003B3D06" w:rsidRPr="00106626">
        <w:rPr>
          <w:lang w:val="en-GB"/>
        </w:rPr>
        <w:t>Wave Characteristics</w:t>
      </w:r>
    </w:p>
    <w:tbl>
      <w:tblPr>
        <w:tblStyle w:val="MDPITable"/>
        <w:tblpPr w:leftFromText="198" w:rightFromText="198" w:vertAnchor="page" w:horzAnchor="margin" w:tblpY="8607"/>
        <w:tblW w:w="2409" w:type="dxa"/>
        <w:tblLayout w:type="fixed"/>
        <w:tblLook w:val="04A0" w:firstRow="1" w:lastRow="0" w:firstColumn="1" w:lastColumn="0" w:noHBand="0" w:noVBand="1"/>
      </w:tblPr>
      <w:tblGrid>
        <w:gridCol w:w="2409"/>
      </w:tblGrid>
      <w:tr w:rsidR="008E6BF2" w:rsidRPr="00AB2294" w14:paraId="623CEBF6" w14:textId="77777777" w:rsidTr="008E6BF2">
        <w:trPr>
          <w:cantSplit/>
        </w:trPr>
        <w:tc>
          <w:tcPr>
            <w:tcW w:w="2409" w:type="dxa"/>
          </w:tcPr>
          <w:p w14:paraId="785EA85A" w14:textId="3199DEAE" w:rsidR="008E6BF2" w:rsidRPr="00AB2294" w:rsidRDefault="008E6BF2" w:rsidP="008E6BF2">
            <w:pPr>
              <w:pStyle w:val="MDPI61Citation"/>
              <w:rPr>
                <w:lang w:val="en-GB"/>
              </w:rPr>
            </w:pPr>
            <w:r w:rsidRPr="00AB2294">
              <w:rPr>
                <w:b/>
                <w:lang w:val="en-GB"/>
              </w:rPr>
              <w:t>Citation:</w:t>
            </w:r>
            <w:r w:rsidR="00AB2294" w:rsidRPr="00AB2294">
              <w:rPr>
                <w:lang w:val="en-GB"/>
              </w:rPr>
              <w:t xml:space="preserve"> </w:t>
            </w:r>
            <w:r w:rsidRPr="00AB2294">
              <w:rPr>
                <w:lang w:val="en-GB"/>
              </w:rPr>
              <w:t>S</w:t>
            </w:r>
            <w:r w:rsidR="00AB2294" w:rsidRPr="00AB2294">
              <w:rPr>
                <w:lang w:val="en-GB"/>
              </w:rPr>
              <w:t xml:space="preserve"> Knight, P.J.; Bird, C.O.; </w:t>
            </w:r>
            <w:r w:rsidR="00AB2294" w:rsidRPr="00AB2294">
              <w:rPr>
                <w:lang w:val="en-GB"/>
              </w:rPr>
              <w:br/>
            </w:r>
            <w:proofErr w:type="spellStart"/>
            <w:r w:rsidRPr="00AB2294">
              <w:rPr>
                <w:lang w:val="en-GB"/>
              </w:rPr>
              <w:t>inclair</w:t>
            </w:r>
            <w:proofErr w:type="spellEnd"/>
            <w:r w:rsidRPr="00AB2294">
              <w:rPr>
                <w:lang w:val="en-GB"/>
              </w:rPr>
              <w:t xml:space="preserve">, A.; Higham, J.; Plater, A.J. Beach Deployment of a Low-Cost GNSS Buoy for Determining </w:t>
            </w:r>
            <w:r w:rsidRPr="00AB2294">
              <w:rPr>
                <w:lang w:val="en-GB"/>
              </w:rPr>
              <w:br/>
              <w:t xml:space="preserve">Sea-Level and Wave Characteristics. </w:t>
            </w:r>
            <w:r w:rsidRPr="00AB2294">
              <w:rPr>
                <w:i/>
                <w:lang w:val="en-GB"/>
              </w:rPr>
              <w:t xml:space="preserve">Geosciences </w:t>
            </w:r>
            <w:r w:rsidRPr="00AB2294">
              <w:rPr>
                <w:b/>
                <w:lang w:val="en-GB"/>
              </w:rPr>
              <w:t>2021</w:t>
            </w:r>
            <w:r w:rsidRPr="00AB2294">
              <w:rPr>
                <w:lang w:val="en-GB"/>
              </w:rPr>
              <w:t xml:space="preserve">, </w:t>
            </w:r>
            <w:r w:rsidRPr="00AB2294">
              <w:rPr>
                <w:i/>
                <w:lang w:val="en-GB"/>
              </w:rPr>
              <w:t>11</w:t>
            </w:r>
            <w:r w:rsidRPr="00AB2294">
              <w:rPr>
                <w:lang w:val="en-GB"/>
              </w:rPr>
              <w:t>, x. https://doi.org/10.3390/xxxxx</w:t>
            </w:r>
          </w:p>
          <w:p w14:paraId="626D77B5" w14:textId="4795FDEA" w:rsidR="008E6BF2" w:rsidRPr="00AB2294" w:rsidRDefault="008E6BF2" w:rsidP="008E6BF2">
            <w:pPr>
              <w:pStyle w:val="MDPI15academiceditor"/>
              <w:spacing w:after="240"/>
              <w:rPr>
                <w:lang w:val="en-GB"/>
              </w:rPr>
            </w:pPr>
            <w:r w:rsidRPr="00AB2294">
              <w:rPr>
                <w:lang w:val="en-GB"/>
              </w:rPr>
              <w:t xml:space="preserve">Academic Editors: Giuseppe </w:t>
            </w:r>
            <w:proofErr w:type="spellStart"/>
            <w:r w:rsidRPr="00AB2294">
              <w:rPr>
                <w:lang w:val="en-GB"/>
              </w:rPr>
              <w:t>Za</w:t>
            </w:r>
            <w:r w:rsidRPr="00AB2294">
              <w:rPr>
                <w:lang w:val="en-GB"/>
              </w:rPr>
              <w:t>p</w:t>
            </w:r>
            <w:r w:rsidRPr="00AB2294">
              <w:rPr>
                <w:lang w:val="en-GB"/>
              </w:rPr>
              <w:t>palà</w:t>
            </w:r>
            <w:proofErr w:type="spellEnd"/>
            <w:r w:rsidRPr="00AB2294">
              <w:rPr>
                <w:lang w:val="en-GB"/>
              </w:rPr>
              <w:t>; Jesus Martinez-</w:t>
            </w:r>
            <w:proofErr w:type="spellStart"/>
            <w:r w:rsidRPr="00AB2294">
              <w:rPr>
                <w:lang w:val="en-GB"/>
              </w:rPr>
              <w:t>Frias</w:t>
            </w:r>
            <w:proofErr w:type="spellEnd"/>
          </w:p>
          <w:p w14:paraId="1C965411" w14:textId="65C86726" w:rsidR="008E6BF2" w:rsidRPr="00AB2294" w:rsidRDefault="008E6BF2" w:rsidP="008E6BF2">
            <w:pPr>
              <w:pStyle w:val="MDPI14history"/>
              <w:rPr>
                <w:lang w:val="en-GB"/>
              </w:rPr>
            </w:pPr>
            <w:r w:rsidRPr="00AB2294">
              <w:rPr>
                <w:lang w:val="en-GB"/>
              </w:rPr>
              <w:t xml:space="preserve">Received: </w:t>
            </w:r>
            <w:r w:rsidRPr="00AB2294">
              <w:t>28 September 2021</w:t>
            </w:r>
          </w:p>
          <w:p w14:paraId="4E23C693" w14:textId="1DB3A626" w:rsidR="008E6BF2" w:rsidRPr="00AB2294" w:rsidRDefault="008E6BF2" w:rsidP="008E6BF2">
            <w:pPr>
              <w:pStyle w:val="MDPI14history"/>
              <w:rPr>
                <w:lang w:val="en-GB"/>
              </w:rPr>
            </w:pPr>
            <w:r w:rsidRPr="00AB2294">
              <w:rPr>
                <w:lang w:val="en-GB"/>
              </w:rPr>
              <w:t xml:space="preserve">Accepted: </w:t>
            </w:r>
            <w:r w:rsidRPr="00AB2294">
              <w:t>26 November 2021</w:t>
            </w:r>
          </w:p>
          <w:p w14:paraId="4D85CA4C" w14:textId="77777777" w:rsidR="008E6BF2" w:rsidRPr="00AB2294" w:rsidRDefault="008E6BF2" w:rsidP="008E6BF2">
            <w:pPr>
              <w:pStyle w:val="MDPI14history"/>
              <w:spacing w:after="240"/>
              <w:rPr>
                <w:lang w:val="en-GB"/>
              </w:rPr>
            </w:pPr>
            <w:r w:rsidRPr="00AB2294">
              <w:rPr>
                <w:lang w:val="en-GB"/>
              </w:rPr>
              <w:t>Published: date</w:t>
            </w:r>
          </w:p>
          <w:p w14:paraId="20AE97BC" w14:textId="77777777" w:rsidR="008E6BF2" w:rsidRPr="00AB2294" w:rsidRDefault="008E6BF2" w:rsidP="008E6BF2">
            <w:pPr>
              <w:pStyle w:val="MDPI63Notes"/>
              <w:spacing w:after="0"/>
              <w:jc w:val="both"/>
              <w:rPr>
                <w:lang w:val="en-GB"/>
              </w:rPr>
            </w:pPr>
            <w:r w:rsidRPr="00AB2294">
              <w:rPr>
                <w:b/>
                <w:lang w:val="en-GB"/>
              </w:rPr>
              <w:t>Publisher’s Note:</w:t>
            </w:r>
            <w:r w:rsidRPr="00AB2294">
              <w:rPr>
                <w:lang w:val="en-GB"/>
              </w:rPr>
              <w:t xml:space="preserve"> MDPI stays ne</w:t>
            </w:r>
            <w:r w:rsidRPr="00AB2294">
              <w:rPr>
                <w:lang w:val="en-GB"/>
              </w:rPr>
              <w:t>u</w:t>
            </w:r>
            <w:r w:rsidRPr="00AB2294">
              <w:rPr>
                <w:lang w:val="en-GB"/>
              </w:rPr>
              <w:t>tral with regard to jurisdictional claims in published maps and inst</w:t>
            </w:r>
            <w:r w:rsidRPr="00AB2294">
              <w:rPr>
                <w:lang w:val="en-GB"/>
              </w:rPr>
              <w:t>i</w:t>
            </w:r>
            <w:r w:rsidRPr="00AB2294">
              <w:rPr>
                <w:lang w:val="en-GB"/>
              </w:rPr>
              <w:t>tutional affiliations.</w:t>
            </w:r>
          </w:p>
          <w:p w14:paraId="64FFBDC5" w14:textId="77777777" w:rsidR="008E6BF2" w:rsidRPr="00AB2294" w:rsidRDefault="008E6BF2" w:rsidP="008E6BF2">
            <w:pPr>
              <w:pStyle w:val="MDPI63Notes"/>
              <w:spacing w:before="240" w:after="0"/>
              <w:jc w:val="both"/>
              <w:rPr>
                <w:lang w:val="en-GB"/>
              </w:rPr>
            </w:pPr>
            <w:r w:rsidRPr="00AB2294">
              <w:rPr>
                <w:noProof/>
                <w:snapToGrid/>
                <w:lang w:val="en-GB" w:eastAsia="en-GB" w:bidi="ar-SA"/>
              </w:rPr>
              <w:drawing>
                <wp:inline distT="0" distB="0" distL="0" distR="0" wp14:anchorId="56351994" wp14:editId="4E231B1B">
                  <wp:extent cx="694800" cy="2484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4800" cy="248400"/>
                          </a:xfrm>
                          <a:prstGeom prst="rect">
                            <a:avLst/>
                          </a:prstGeom>
                        </pic:spPr>
                      </pic:pic>
                    </a:graphicData>
                  </a:graphic>
                </wp:inline>
              </w:drawing>
            </w:r>
          </w:p>
          <w:p w14:paraId="42200A6E" w14:textId="77777777" w:rsidR="008E6BF2" w:rsidRPr="00AB2294" w:rsidRDefault="008E6BF2" w:rsidP="008E6BF2">
            <w:pPr>
              <w:pStyle w:val="MDPI63Notes"/>
              <w:spacing w:before="60" w:after="0"/>
              <w:jc w:val="both"/>
              <w:rPr>
                <w:lang w:val="en-GB"/>
              </w:rPr>
            </w:pPr>
            <w:r w:rsidRPr="00AB2294">
              <w:rPr>
                <w:b/>
                <w:lang w:val="en-GB"/>
              </w:rPr>
              <w:t>Copyright:</w:t>
            </w:r>
            <w:r w:rsidRPr="00AB2294">
              <w:rPr>
                <w:lang w:val="en-GB"/>
              </w:rPr>
              <w:t xml:space="preserve"> © 2021 by the authors. Submitted for possible open access publication under the terms and conditions of the Creative Commons Attribution (CC BY) license (https://creativecommons.org/licenses/by/4.0/).</w:t>
            </w:r>
          </w:p>
        </w:tc>
      </w:tr>
    </w:tbl>
    <w:p w14:paraId="37380FBF" w14:textId="77777777" w:rsidR="0052378C" w:rsidRPr="00106626" w:rsidRDefault="003B2643" w:rsidP="00BD37FF">
      <w:pPr>
        <w:pStyle w:val="MDPI13authornames"/>
        <w:rPr>
          <w:lang w:val="en-GB"/>
        </w:rPr>
      </w:pPr>
      <w:r w:rsidRPr="00AB2294">
        <w:rPr>
          <w:lang w:val="en-GB"/>
        </w:rPr>
        <w:t xml:space="preserve">Philip J. Knight </w:t>
      </w:r>
      <w:r w:rsidRPr="00AB2294">
        <w:rPr>
          <w:vertAlign w:val="superscript"/>
          <w:lang w:val="en-GB"/>
        </w:rPr>
        <w:t>1,</w:t>
      </w:r>
      <w:r w:rsidRPr="00AB2294">
        <w:rPr>
          <w:lang w:val="en-GB"/>
        </w:rPr>
        <w:t>*,</w:t>
      </w:r>
      <w:r w:rsidRPr="00106626">
        <w:rPr>
          <w:lang w:val="en-GB"/>
        </w:rPr>
        <w:t xml:space="preserve"> </w:t>
      </w:r>
      <w:proofErr w:type="gramStart"/>
      <w:r w:rsidRPr="008E6BF2">
        <w:rPr>
          <w:lang w:val="en-GB"/>
        </w:rPr>
        <w:t>Cai</w:t>
      </w:r>
      <w:proofErr w:type="gramEnd"/>
      <w:r w:rsidRPr="008E6BF2">
        <w:rPr>
          <w:lang w:val="en-GB"/>
        </w:rPr>
        <w:t xml:space="preserve"> O. Bird</w:t>
      </w:r>
      <w:r w:rsidRPr="00106626">
        <w:rPr>
          <w:lang w:val="en-GB"/>
        </w:rPr>
        <w:t xml:space="preserve"> </w:t>
      </w:r>
      <w:r w:rsidRPr="00106626">
        <w:rPr>
          <w:vertAlign w:val="superscript"/>
          <w:lang w:val="en-GB"/>
        </w:rPr>
        <w:t>2</w:t>
      </w:r>
      <w:r w:rsidRPr="00106626">
        <w:rPr>
          <w:lang w:val="en-GB"/>
        </w:rPr>
        <w:t xml:space="preserve">, Alex Sinclair </w:t>
      </w:r>
      <w:r w:rsidRPr="00106626">
        <w:rPr>
          <w:vertAlign w:val="superscript"/>
          <w:lang w:val="en-GB"/>
        </w:rPr>
        <w:t>2</w:t>
      </w:r>
      <w:r w:rsidRPr="00106626">
        <w:rPr>
          <w:lang w:val="en-GB"/>
        </w:rPr>
        <w:t xml:space="preserve">, Jonathan Higham </w:t>
      </w:r>
      <w:r w:rsidRPr="00106626">
        <w:rPr>
          <w:vertAlign w:val="superscript"/>
          <w:lang w:val="en-GB"/>
        </w:rPr>
        <w:t>1</w:t>
      </w:r>
      <w:r w:rsidRPr="00106626">
        <w:rPr>
          <w:lang w:val="en-GB"/>
        </w:rPr>
        <w:t xml:space="preserve"> and Andrew J. Plater </w:t>
      </w:r>
      <w:r w:rsidRPr="00106626">
        <w:rPr>
          <w:vertAlign w:val="superscript"/>
          <w:lang w:val="en-GB"/>
        </w:rPr>
        <w:t>1</w:t>
      </w:r>
    </w:p>
    <w:p w14:paraId="5904BDAA" w14:textId="6D0C2E60" w:rsidR="003B2643" w:rsidRPr="00106626" w:rsidRDefault="003B2643" w:rsidP="00BD37FF">
      <w:pPr>
        <w:pStyle w:val="MDPI16affiliation"/>
        <w:rPr>
          <w:color w:val="auto"/>
          <w:szCs w:val="16"/>
          <w:lang w:val="en-GB"/>
        </w:rPr>
      </w:pPr>
      <w:r w:rsidRPr="00106626">
        <w:rPr>
          <w:vertAlign w:val="superscript"/>
          <w:lang w:val="en-GB"/>
        </w:rPr>
        <w:t>1</w:t>
      </w:r>
      <w:r w:rsidRPr="00106626">
        <w:rPr>
          <w:lang w:val="en-GB"/>
        </w:rPr>
        <w:tab/>
        <w:t xml:space="preserve">Department of Geography and Planning, </w:t>
      </w:r>
      <w:r w:rsidRPr="00106626">
        <w:rPr>
          <w:color w:val="auto"/>
          <w:lang w:val="en-GB"/>
        </w:rPr>
        <w:t xml:space="preserve">School of Environmental Sciences, Roxby Building, </w:t>
      </w:r>
      <w:r w:rsidR="003B3D06" w:rsidRPr="00106626">
        <w:rPr>
          <w:color w:val="auto"/>
          <w:lang w:val="en-GB"/>
        </w:rPr>
        <w:br/>
      </w:r>
      <w:bookmarkStart w:id="1" w:name="OLE_LINK1"/>
      <w:r w:rsidRPr="00106626">
        <w:rPr>
          <w:color w:val="auto"/>
          <w:lang w:val="en-GB"/>
        </w:rPr>
        <w:t xml:space="preserve">University of </w:t>
      </w:r>
      <w:bookmarkStart w:id="2" w:name="OLE_LINK2"/>
      <w:r w:rsidRPr="00106626">
        <w:rPr>
          <w:color w:val="auto"/>
          <w:lang w:val="en-GB"/>
        </w:rPr>
        <w:t>Liverpool</w:t>
      </w:r>
      <w:bookmarkEnd w:id="1"/>
      <w:bookmarkEnd w:id="2"/>
      <w:r w:rsidRPr="00106626">
        <w:rPr>
          <w:color w:val="auto"/>
          <w:lang w:val="en-GB"/>
        </w:rPr>
        <w:t xml:space="preserve">, </w:t>
      </w:r>
      <w:r w:rsidR="00370850" w:rsidRPr="00106626">
        <w:rPr>
          <w:color w:val="auto"/>
          <w:lang w:val="en-GB"/>
        </w:rPr>
        <w:t xml:space="preserve">Liverpool L69 </w:t>
      </w:r>
      <w:r w:rsidR="00370850" w:rsidRPr="00106626">
        <w:rPr>
          <w:color w:val="auto"/>
          <w:szCs w:val="16"/>
          <w:lang w:val="en-GB"/>
        </w:rPr>
        <w:t xml:space="preserve">7ZT, </w:t>
      </w:r>
      <w:r w:rsidRPr="00106626">
        <w:rPr>
          <w:color w:val="auto"/>
          <w:szCs w:val="16"/>
          <w:lang w:val="en-GB"/>
        </w:rPr>
        <w:t>UK</w:t>
      </w:r>
      <w:r w:rsidR="00370850" w:rsidRPr="00106626">
        <w:rPr>
          <w:color w:val="auto"/>
          <w:szCs w:val="16"/>
          <w:lang w:val="en-GB"/>
        </w:rPr>
        <w:t xml:space="preserve">; </w:t>
      </w:r>
      <w:hyperlink r:id="rId10" w:history="1">
        <w:r w:rsidR="00AA4D99" w:rsidRPr="00106626">
          <w:rPr>
            <w:rStyle w:val="Hyperlink"/>
            <w:rFonts w:eastAsia="SimSun"/>
            <w:noProof/>
            <w:color w:val="auto"/>
            <w:szCs w:val="16"/>
            <w:u w:val="none"/>
            <w:lang w:val="en-GB" w:eastAsia="zh-CN" w:bidi="ar-SA"/>
          </w:rPr>
          <w:t>J.E.Higham@liverpool.ac.uk</w:t>
        </w:r>
      </w:hyperlink>
      <w:r w:rsidR="00AA4D99" w:rsidRPr="00106626">
        <w:rPr>
          <w:rFonts w:eastAsia="SimSun"/>
          <w:noProof/>
          <w:color w:val="auto"/>
          <w:szCs w:val="16"/>
          <w:lang w:val="en-GB" w:eastAsia="zh-CN" w:bidi="ar-SA"/>
        </w:rPr>
        <w:t xml:space="preserve"> (J.H.); </w:t>
      </w:r>
      <w:r w:rsidR="00AA4D99" w:rsidRPr="00106626">
        <w:rPr>
          <w:rFonts w:eastAsia="SimSun"/>
          <w:noProof/>
          <w:color w:val="auto"/>
          <w:szCs w:val="16"/>
          <w:lang w:val="en-GB" w:eastAsia="zh-CN" w:bidi="ar-SA"/>
        </w:rPr>
        <w:br/>
      </w:r>
      <w:hyperlink r:id="rId11" w:history="1">
        <w:r w:rsidR="00FD6AAB" w:rsidRPr="00106626">
          <w:rPr>
            <w:rStyle w:val="Hyperlink"/>
            <w:rFonts w:eastAsia="SimSun"/>
            <w:noProof/>
            <w:color w:val="auto"/>
            <w:szCs w:val="16"/>
            <w:u w:val="none"/>
            <w:lang w:val="en-GB" w:eastAsia="zh-CN" w:bidi="ar-SA"/>
          </w:rPr>
          <w:t>gg07@liverpool.ac.uk</w:t>
        </w:r>
      </w:hyperlink>
      <w:r w:rsidR="00AA4D99" w:rsidRPr="00106626">
        <w:rPr>
          <w:rFonts w:eastAsia="SimSun"/>
          <w:noProof/>
          <w:color w:val="auto"/>
          <w:szCs w:val="16"/>
          <w:lang w:val="en-GB" w:eastAsia="zh-CN" w:bidi="ar-SA"/>
        </w:rPr>
        <w:t xml:space="preserve"> (A.J.P.)</w:t>
      </w:r>
    </w:p>
    <w:p w14:paraId="25ECFC4D" w14:textId="32DFB97F" w:rsidR="003B2643" w:rsidRPr="00106626" w:rsidRDefault="003B2643" w:rsidP="00BD37FF">
      <w:pPr>
        <w:pStyle w:val="MDPI16affiliation"/>
        <w:rPr>
          <w:color w:val="auto"/>
          <w:szCs w:val="16"/>
          <w:lang w:val="en-GB"/>
        </w:rPr>
      </w:pPr>
      <w:r w:rsidRPr="00106626">
        <w:rPr>
          <w:vertAlign w:val="superscript"/>
          <w:lang w:val="en-GB"/>
        </w:rPr>
        <w:t>2</w:t>
      </w:r>
      <w:r w:rsidRPr="00106626">
        <w:rPr>
          <w:lang w:val="en-GB"/>
        </w:rPr>
        <w:tab/>
      </w:r>
      <w:r w:rsidRPr="00AB2294">
        <w:rPr>
          <w:lang w:val="en-GB"/>
        </w:rPr>
        <w:t>MM Sensors Ltd</w:t>
      </w:r>
      <w:r w:rsidR="006F63A8" w:rsidRPr="00AB2294">
        <w:rPr>
          <w:lang w:val="en-GB"/>
        </w:rPr>
        <w:t>.</w:t>
      </w:r>
      <w:r w:rsidRPr="00AB2294">
        <w:rPr>
          <w:lang w:val="en-GB"/>
        </w:rPr>
        <w:t>, 320 Mariners House, Queens Dock Business Centre</w:t>
      </w:r>
      <w:r w:rsidRPr="00106626">
        <w:rPr>
          <w:lang w:val="en-GB"/>
        </w:rPr>
        <w:t xml:space="preserve">, Norfolk Street, </w:t>
      </w:r>
      <w:r w:rsidR="00847A11" w:rsidRPr="00106626">
        <w:rPr>
          <w:lang w:val="en-GB"/>
        </w:rPr>
        <w:br/>
      </w:r>
      <w:r w:rsidRPr="00106626">
        <w:rPr>
          <w:lang w:val="en-GB"/>
        </w:rPr>
        <w:t>Liverpool</w:t>
      </w:r>
      <w:r w:rsidR="002210E4" w:rsidRPr="00106626">
        <w:rPr>
          <w:lang w:val="en-GB"/>
        </w:rPr>
        <w:t xml:space="preserve"> L1 0BG</w:t>
      </w:r>
      <w:r w:rsidRPr="00106626">
        <w:rPr>
          <w:color w:val="auto"/>
          <w:szCs w:val="16"/>
          <w:lang w:val="en-GB"/>
        </w:rPr>
        <w:t xml:space="preserve">, </w:t>
      </w:r>
      <w:r w:rsidR="00A33949" w:rsidRPr="00106626">
        <w:rPr>
          <w:color w:val="auto"/>
          <w:szCs w:val="16"/>
          <w:lang w:val="en-GB"/>
        </w:rPr>
        <w:t>UK</w:t>
      </w:r>
      <w:r w:rsidR="002210E4" w:rsidRPr="00106626">
        <w:rPr>
          <w:color w:val="auto"/>
          <w:szCs w:val="16"/>
          <w:lang w:val="en-GB"/>
        </w:rPr>
        <w:t xml:space="preserve">; </w:t>
      </w:r>
      <w:hyperlink r:id="rId12" w:history="1">
        <w:r w:rsidR="00847A11" w:rsidRPr="00106626">
          <w:rPr>
            <w:rStyle w:val="Hyperlink"/>
            <w:rFonts w:eastAsia="SimSun"/>
            <w:noProof/>
            <w:color w:val="auto"/>
            <w:szCs w:val="16"/>
            <w:u w:val="none"/>
            <w:lang w:val="en-GB" w:eastAsia="zh-CN" w:bidi="ar-SA"/>
          </w:rPr>
          <w:t>caib@marlan-tech.co.uk</w:t>
        </w:r>
      </w:hyperlink>
      <w:r w:rsidR="00847A11" w:rsidRPr="00106626">
        <w:rPr>
          <w:rFonts w:eastAsia="SimSun"/>
          <w:noProof/>
          <w:color w:val="auto"/>
          <w:szCs w:val="16"/>
          <w:lang w:val="en-GB" w:eastAsia="zh-CN" w:bidi="ar-SA"/>
        </w:rPr>
        <w:t xml:space="preserve"> (C.O.B.); </w:t>
      </w:r>
      <w:hyperlink r:id="rId13" w:history="1">
        <w:r w:rsidR="00847A11" w:rsidRPr="00106626">
          <w:rPr>
            <w:rStyle w:val="Hyperlink"/>
            <w:rFonts w:eastAsia="SimSun"/>
            <w:noProof/>
            <w:color w:val="auto"/>
            <w:szCs w:val="16"/>
            <w:u w:val="none"/>
            <w:lang w:val="en-GB" w:eastAsia="zh-CN" w:bidi="ar-SA"/>
          </w:rPr>
          <w:t>alexs@marlan-tech.co.uk</w:t>
        </w:r>
      </w:hyperlink>
      <w:r w:rsidR="00847A11" w:rsidRPr="00106626">
        <w:rPr>
          <w:rFonts w:eastAsia="SimSun"/>
          <w:noProof/>
          <w:color w:val="auto"/>
          <w:szCs w:val="16"/>
          <w:lang w:val="en-GB" w:eastAsia="zh-CN" w:bidi="ar-SA"/>
        </w:rPr>
        <w:t xml:space="preserve"> (A.S.)</w:t>
      </w:r>
    </w:p>
    <w:p w14:paraId="0F97CBC6" w14:textId="77777777" w:rsidR="003B2643" w:rsidRPr="00106626" w:rsidRDefault="00BD37FF" w:rsidP="00BD37FF">
      <w:pPr>
        <w:pStyle w:val="MDPI16affiliation"/>
        <w:rPr>
          <w:lang w:val="en-GB"/>
        </w:rPr>
      </w:pPr>
      <w:r w:rsidRPr="00106626">
        <w:rPr>
          <w:b/>
          <w:lang w:val="en-GB"/>
        </w:rPr>
        <w:t>*</w:t>
      </w:r>
      <w:r w:rsidRPr="00106626">
        <w:rPr>
          <w:lang w:val="en-GB"/>
        </w:rPr>
        <w:tab/>
        <w:t xml:space="preserve">Correspondence: </w:t>
      </w:r>
      <w:r w:rsidR="003B2643" w:rsidRPr="00106626">
        <w:rPr>
          <w:lang w:val="en-GB"/>
        </w:rPr>
        <w:t>Philip.Knight@liverpool.ac.uk</w:t>
      </w:r>
    </w:p>
    <w:p w14:paraId="4D712E71" w14:textId="484B210F" w:rsidR="003B2643" w:rsidRPr="00106626" w:rsidRDefault="003B2643" w:rsidP="00BD37FF">
      <w:pPr>
        <w:pStyle w:val="MDPI17abstract"/>
        <w:rPr>
          <w:lang w:val="en-GB"/>
        </w:rPr>
      </w:pPr>
      <w:r w:rsidRPr="00106626">
        <w:rPr>
          <w:b/>
          <w:lang w:val="en-GB"/>
        </w:rPr>
        <w:t xml:space="preserve">Abstract: </w:t>
      </w:r>
      <w:r w:rsidRPr="00106626">
        <w:rPr>
          <w:lang w:val="en-GB"/>
        </w:rPr>
        <w:t>Spatially explicit data on tidal and waves are required as part of coastal monitoring a</w:t>
      </w:r>
      <w:r w:rsidRPr="00106626">
        <w:rPr>
          <w:lang w:val="en-GB"/>
        </w:rPr>
        <w:t>p</w:t>
      </w:r>
      <w:r w:rsidRPr="00106626">
        <w:rPr>
          <w:lang w:val="en-GB"/>
        </w:rPr>
        <w:t xml:space="preserve">plications (e.g., radar monitoring of coastal change) for the design of interventions to mitigate the impacts of climate change. A deployment over two tidal cycles of a low-cost Global Navigation Satellite System (GNSS) buoy at Rossall (near Fleetwood), UK demonstrated the potential to record good quality sea level and wave data within the intertidal zone. </w:t>
      </w:r>
      <w:r w:rsidRPr="00106626">
        <w:rPr>
          <w:szCs w:val="18"/>
          <w:lang w:val="en-GB"/>
        </w:rPr>
        <w:t xml:space="preserve">During each slack water and the following ebb tide, the sea level data were of good quality and comparable with data from nearby tide gauges on the national tide gauge network. </w:t>
      </w:r>
      <w:r w:rsidR="00106626">
        <w:rPr>
          <w:szCs w:val="18"/>
          <w:lang w:val="en-GB"/>
        </w:rPr>
        <w:t>Moreover</w:t>
      </w:r>
      <w:r w:rsidRPr="00106626">
        <w:rPr>
          <w:szCs w:val="18"/>
          <w:lang w:val="en-GB"/>
        </w:rPr>
        <w:t>, the GNSS receiver was able to capture wave information and these compared well with data from a commercial wave buoy situated 9.</w:t>
      </w:r>
      <w:r w:rsidR="007A5E5E" w:rsidRPr="00106626">
        <w:rPr>
          <w:szCs w:val="18"/>
          <w:lang w:val="en-GB"/>
        </w:rPr>
        <w:t>5 k</w:t>
      </w:r>
      <w:r w:rsidRPr="00106626">
        <w:rPr>
          <w:szCs w:val="18"/>
          <w:lang w:val="en-GB"/>
        </w:rPr>
        <w:t>m offshore. Discontinuities were observed in the elevation data during flood tide, coincident with high accelerations and losing satellite signal lock. These were probably due to strong tidal currents, which, combined with spilling waves, would put the mooring line under tension and allow white water to spill over the antenna resulting in the periodic loss of GNSS signals, hence degrading the vertical solutions.</w:t>
      </w:r>
    </w:p>
    <w:p w14:paraId="0A0F71C8" w14:textId="77777777" w:rsidR="003B2643" w:rsidRPr="00106626" w:rsidRDefault="00BD37FF" w:rsidP="00BD37FF">
      <w:pPr>
        <w:pStyle w:val="MDPI18keywords"/>
        <w:rPr>
          <w:lang w:val="en-GB"/>
        </w:rPr>
      </w:pPr>
      <w:r w:rsidRPr="00106626">
        <w:rPr>
          <w:b/>
          <w:lang w:val="en-GB"/>
        </w:rPr>
        <w:t>Keywords:</w:t>
      </w:r>
      <w:r w:rsidR="003B2643" w:rsidRPr="00106626">
        <w:rPr>
          <w:b/>
          <w:lang w:val="en-GB"/>
        </w:rPr>
        <w:t xml:space="preserve"> </w:t>
      </w:r>
      <w:r w:rsidR="003B2643" w:rsidRPr="00106626">
        <w:rPr>
          <w:lang w:val="en-GB"/>
        </w:rPr>
        <w:t>sea-level; waves; intertidal zone</w:t>
      </w:r>
    </w:p>
    <w:p w14:paraId="0D8CB923" w14:textId="77777777" w:rsidR="003B2643" w:rsidRPr="00106626" w:rsidRDefault="003B2643" w:rsidP="00BD37FF">
      <w:pPr>
        <w:pStyle w:val="MDPI19line"/>
        <w:pBdr>
          <w:bottom w:val="single" w:sz="4" w:space="1" w:color="000000"/>
        </w:pBdr>
        <w:rPr>
          <w:lang w:val="en-GB"/>
        </w:rPr>
      </w:pPr>
    </w:p>
    <w:p w14:paraId="6AA71F05" w14:textId="77777777" w:rsidR="003B2643" w:rsidRPr="00106626" w:rsidRDefault="00BD37FF" w:rsidP="00BD37FF">
      <w:pPr>
        <w:pStyle w:val="MDPI21heading1"/>
        <w:rPr>
          <w:lang w:val="en-GB"/>
        </w:rPr>
      </w:pPr>
      <w:r w:rsidRPr="00106626">
        <w:rPr>
          <w:lang w:val="en-GB"/>
        </w:rPr>
        <w:t xml:space="preserve">1. </w:t>
      </w:r>
      <w:r w:rsidR="003B2643" w:rsidRPr="00106626">
        <w:rPr>
          <w:lang w:val="en-GB"/>
        </w:rPr>
        <w:t>Introduction</w:t>
      </w:r>
    </w:p>
    <w:p w14:paraId="285E0292" w14:textId="054029A0" w:rsidR="003B2643" w:rsidRPr="00106626" w:rsidRDefault="003B2643" w:rsidP="00BD37FF">
      <w:pPr>
        <w:pStyle w:val="MDPI31text"/>
        <w:rPr>
          <w:lang w:val="en-GB"/>
        </w:rPr>
      </w:pPr>
      <w:r w:rsidRPr="00106626">
        <w:rPr>
          <w:lang w:val="en-GB"/>
        </w:rPr>
        <w:t xml:space="preserve">Measuring coastal sea levels and waves is an important part of any observation programme, such as radar monitoring of coastal change </w:t>
      </w:r>
      <w:r w:rsidRPr="00106626">
        <w:rPr>
          <w:lang w:val="en-GB"/>
        </w:rPr>
        <w:fldChar w:fldCharType="begin"/>
      </w:r>
      <w:r w:rsidRPr="00106626">
        <w:rPr>
          <w:lang w:val="en-GB"/>
        </w:rPr>
        <w:instrText xml:space="preserve"> ADDIN EN.CITE &lt;EndNote&gt;&lt;Cite&gt;&lt;Author&gt;Bird&lt;/Author&gt;&lt;Year&gt;2017&lt;/Year&gt;&lt;RecNum&gt;37&lt;/RecNum&gt;&lt;DisplayText&gt;&lt;style size="10"&gt;[1]&lt;/style&gt;&lt;/DisplayText&gt;&lt;record&gt;&lt;rec-number&gt;37&lt;/rec-number&gt;&lt;foreign-keys&gt;&lt;key app="EN" db-id="sd9w9tfd2arwx9e9sf8pdtz6fttd0rp5r5p5" timestamp="1628970102"&gt;37&lt;/key&gt;&lt;/foreign-keys&gt;&lt;ref-type name="Journal Article"&gt;17&lt;/ref-type&gt;&lt;contributors&gt;&lt;authors&gt;&lt;author&gt;Bird, Cai O&lt;/author&gt;&lt;author&gt;Bell, Paul S&lt;/author&gt;&lt;author&gt;Plater, Andrew J&lt;/author&gt;&lt;/authors&gt;&lt;/contributors&gt;&lt;titles&gt;&lt;title&gt;Application of marine radar to monitoring seasonal and event-based changes in intertidal morphology&lt;/title&gt;&lt;secondary-title&gt;Geomorphology&lt;/secondary-title&gt;&lt;/titles&gt;&lt;periodical&gt;&lt;full-title&gt;Geomorphology&lt;/full-title&gt;&lt;/periodical&gt;&lt;pages&gt;1-15&lt;/pages&gt;&lt;volume&gt;285&lt;/volume&gt;&lt;dates&gt;&lt;year&gt;2017&lt;/year&gt;&lt;/dates&gt;&lt;isbn&gt;0169-555X&lt;/isbn&gt;&lt;urls&gt;&lt;/urls&gt;&lt;/record&gt;&lt;/Cite&gt;&lt;/EndNote&gt;</w:instrText>
      </w:r>
      <w:r w:rsidRPr="00106626">
        <w:rPr>
          <w:lang w:val="en-GB"/>
        </w:rPr>
        <w:fldChar w:fldCharType="separate"/>
      </w:r>
      <w:r w:rsidRPr="00106626">
        <w:rPr>
          <w:noProof/>
          <w:lang w:val="en-GB"/>
        </w:rPr>
        <w:t>[1]</w:t>
      </w:r>
      <w:r w:rsidRPr="00106626">
        <w:rPr>
          <w:lang w:val="en-GB"/>
        </w:rPr>
        <w:fldChar w:fldCharType="end"/>
      </w:r>
      <w:r w:rsidRPr="00106626">
        <w:rPr>
          <w:lang w:val="en-GB"/>
        </w:rPr>
        <w:t>, in order to assess the risks of projected climate change, storms and sea level rise to increasing populations, infr</w:t>
      </w:r>
      <w:r w:rsidRPr="00106626">
        <w:rPr>
          <w:lang w:val="en-GB"/>
        </w:rPr>
        <w:t>a</w:t>
      </w:r>
      <w:r w:rsidRPr="00106626">
        <w:rPr>
          <w:lang w:val="en-GB"/>
        </w:rPr>
        <w:t xml:space="preserve">structure, economies and ecosystems </w:t>
      </w:r>
      <w:r w:rsidRPr="00106626">
        <w:rPr>
          <w:lang w:val="en-GB"/>
        </w:rPr>
        <w:fldChar w:fldCharType="begin"/>
      </w:r>
      <w:r w:rsidRPr="00106626">
        <w:rPr>
          <w:lang w:val="en-GB"/>
        </w:rPr>
        <w:instrText xml:space="preserve"> ADDIN EN.CITE &lt;EndNote&gt;&lt;Cite&gt;&lt;Author&gt;Nicholls&lt;/Author&gt;&lt;Year&gt;2007&lt;/Year&gt;&lt;RecNum&gt;50&lt;/RecNum&gt;&lt;DisplayText&gt;&lt;style size="10"&gt;[2]&lt;/style&gt;&lt;/DisplayText&gt;&lt;record&gt;&lt;rec-number&gt;50&lt;/rec-number&gt;&lt;foreign-keys&gt;&lt;key app="EN" db-id="sd9w9tfd2arwx9e9sf8pdtz6fttd0rp5r5p5" timestamp="1628971926"&gt;50&lt;/key&gt;&lt;/foreign-keys&gt;&lt;ref-type name="Journal Article"&gt;17&lt;/ref-type&gt;&lt;contributors&gt;&lt;authors&gt;&lt;author&gt;Nicholls, Robert J&lt;/author&gt;&lt;author&gt;Wong, Poh Poh&lt;/author&gt;&lt;author&gt;Burkett, Virginia&lt;/author&gt;&lt;author&gt;Codignotto, Jorge&lt;/author&gt;&lt;author&gt;Hay, John&lt;/author&gt;&lt;author&gt;McLean, Roger&lt;/author&gt;&lt;author&gt;Ragoonaden, Sachooda&lt;/author&gt;&lt;author&gt;Woodroffe, Colin D&lt;/author&gt;&lt;author&gt;Abuodha, PAO&lt;/author&gt;&lt;author&gt;Arblaster, J&lt;/author&gt;&lt;/authors&gt;&lt;/contributors&gt;&lt;titles&gt;&lt;title&gt;Coastal systems and low-lying areas&lt;/title&gt;&lt;/titles&gt;&lt;dates&gt;&lt;year&gt;2007&lt;/year&gt;&lt;/dates&gt;&lt;urls&gt;&lt;/urls&gt;&lt;/record&gt;&lt;/Cite&gt;&lt;/EndNote&gt;</w:instrText>
      </w:r>
      <w:r w:rsidRPr="00106626">
        <w:rPr>
          <w:lang w:val="en-GB"/>
        </w:rPr>
        <w:fldChar w:fldCharType="separate"/>
      </w:r>
      <w:r w:rsidRPr="00106626">
        <w:rPr>
          <w:noProof/>
          <w:lang w:val="en-GB"/>
        </w:rPr>
        <w:t>[2]</w:t>
      </w:r>
      <w:r w:rsidRPr="00106626">
        <w:rPr>
          <w:lang w:val="en-GB"/>
        </w:rPr>
        <w:fldChar w:fldCharType="end"/>
      </w:r>
      <w:r w:rsidRPr="00106626">
        <w:rPr>
          <w:lang w:val="en-GB"/>
        </w:rPr>
        <w:t xml:space="preserve">. Engineers routinely survey the coastal zone in front of sea defences to evaluate impacts of long-term erosion/deposition, </w:t>
      </w:r>
      <w:r w:rsidR="00106626">
        <w:rPr>
          <w:lang w:val="en-GB"/>
        </w:rPr>
        <w:t xml:space="preserve">in addition to </w:t>
      </w:r>
      <w:r w:rsidRPr="00106626">
        <w:rPr>
          <w:lang w:val="en-GB"/>
        </w:rPr>
        <w:t>episodic erosion/deposition that can occur during large storms. They can review mo</w:t>
      </w:r>
      <w:r w:rsidRPr="00106626">
        <w:rPr>
          <w:lang w:val="en-GB"/>
        </w:rPr>
        <w:t>r</w:t>
      </w:r>
      <w:r w:rsidRPr="00106626">
        <w:rPr>
          <w:lang w:val="en-GB"/>
        </w:rPr>
        <w:t xml:space="preserve">phology changes and take action to decrease the flood risk </w:t>
      </w:r>
      <w:r w:rsidRPr="00106626">
        <w:rPr>
          <w:lang w:val="en-GB"/>
        </w:rPr>
        <w:fldChar w:fldCharType="begin"/>
      </w:r>
      <w:r w:rsidRPr="00106626">
        <w:rPr>
          <w:lang w:val="en-GB"/>
        </w:rPr>
        <w:instrText xml:space="preserve"> ADDIN EN.CITE &lt;EndNote&gt;&lt;Cite&gt;&lt;Author&gt;Spodar&lt;/Author&gt;&lt;Year&gt;2018&lt;/Year&gt;&lt;RecNum&gt;46&lt;/RecNum&gt;&lt;DisplayText&gt;&lt;style size="10"&gt;[3]&lt;/style&gt;&lt;/DisplayText&gt;&lt;record&gt;&lt;rec-number&gt;46&lt;/rec-number&gt;&lt;foreign-keys&gt;&lt;key app="EN" db-id="sd9w9tfd2arwx9e9sf8pdtz6fttd0rp5r5p5" timestamp="1628970600"&gt;46&lt;/key&gt;&lt;/foreign-keys&gt;&lt;ref-type name="Journal Article"&gt;17&lt;/ref-type&gt;&lt;contributors&gt;&lt;authors&gt;&lt;author&gt;Spodar, Alexandra&lt;/author&gt;&lt;author&gt;Héquette, Arnaud&lt;/author&gt;&lt;author&gt;Ruz, Marie-Hélène&lt;/author&gt;&lt;author&gt;Cartier, Adrien&lt;/author&gt;&lt;author&gt;Grégoire, Pascal&lt;/author&gt;&lt;author&gt;Sipka, Vincent&lt;/author&gt;&lt;author&gt;Forain, Nicolas&lt;/author&gt;&lt;/authors&gt;&lt;/contributors&gt;&lt;titles&gt;&lt;title&gt;Evolution of a beach nourishment project using dredged sand from navigation channel, Dunkirk, northern France&lt;/title&gt;&lt;secondary-title&gt;Journal of Coastal Conservation&lt;/secondary-title&gt;&lt;/titles&gt;&lt;periodical&gt;&lt;full-title&gt;Journal of Coastal Conservation&lt;/full-title&gt;&lt;/periodical&gt;&lt;pages&gt;457-474&lt;/pages&gt;&lt;volume&gt;22&lt;/volume&gt;&lt;number&gt;3&lt;/number&gt;&lt;dates&gt;&lt;year&gt;2018&lt;/year&gt;&lt;/dates&gt;&lt;isbn&gt;1874-7841&lt;/isbn&gt;&lt;urls&gt;&lt;/urls&gt;&lt;/record&gt;&lt;/Cite&gt;&lt;/EndNote&gt;</w:instrText>
      </w:r>
      <w:r w:rsidRPr="00106626">
        <w:rPr>
          <w:lang w:val="en-GB"/>
        </w:rPr>
        <w:fldChar w:fldCharType="separate"/>
      </w:r>
      <w:r w:rsidRPr="00106626">
        <w:rPr>
          <w:noProof/>
          <w:lang w:val="en-GB"/>
        </w:rPr>
        <w:t>[3]</w:t>
      </w:r>
      <w:r w:rsidRPr="00106626">
        <w:rPr>
          <w:lang w:val="en-GB"/>
        </w:rPr>
        <w:fldChar w:fldCharType="end"/>
      </w:r>
      <w:r w:rsidRPr="00106626">
        <w:rPr>
          <w:lang w:val="en-GB"/>
        </w:rPr>
        <w:t>; beach replenishment, for example, can reduce the impact of storms on the main sea defences. Understanding sediment movement combined with frequent monitoring allows the scheduled redistr</w:t>
      </w:r>
      <w:r w:rsidRPr="00106626">
        <w:rPr>
          <w:lang w:val="en-GB"/>
        </w:rPr>
        <w:t>i</w:t>
      </w:r>
      <w:r w:rsidRPr="00106626">
        <w:rPr>
          <w:lang w:val="en-GB"/>
        </w:rPr>
        <w:t xml:space="preserve">bution of sand on popular recreational beaches which have tendencies to erode </w:t>
      </w:r>
      <w:r w:rsidRPr="00106626">
        <w:rPr>
          <w:lang w:val="en-GB"/>
        </w:rPr>
        <w:fldChar w:fldCharType="begin"/>
      </w:r>
      <w:r w:rsidRPr="00106626">
        <w:rPr>
          <w:lang w:val="en-GB"/>
        </w:rPr>
        <w:instrText xml:space="preserve"> ADDIN EN.CITE &lt;EndNote&gt;&lt;Cite&gt;&lt;Author&gt;Habel&lt;/Author&gt;&lt;Year&gt;2016&lt;/Year&gt;&lt;RecNum&gt;40&lt;/RecNum&gt;&lt;DisplayText&gt;&lt;style size="10"&gt;[4]&lt;/style&gt;&lt;/DisplayText&gt;&lt;record&gt;&lt;rec-number&gt;40&lt;/rec-number&gt;&lt;foreign-keys&gt;&lt;key app="EN" db-id="sd9w9tfd2arwx9e9sf8pdtz6fttd0rp5r5p5" timestamp="1628970310"&gt;40&lt;/key&gt;&lt;/foreign-keys&gt;&lt;ref-type name="Journal Article"&gt;17&lt;/ref-type&gt;&lt;contributors&gt;&lt;authors&gt;&lt;author&gt;Habel, Shellie&lt;/author&gt;&lt;author&gt;Fletcher, Charles H&lt;/author&gt;&lt;author&gt;Barbee, Matthew&lt;/author&gt;&lt;author&gt;Anderson, Tiffany R&lt;/author&gt;&lt;/authors&gt;&lt;/contributors&gt;&lt;titles&gt;&lt;title&gt;The influence of seasonal patterns on a beach nourishment project in a complex reef environment&lt;/title&gt;&lt;secondary-title&gt;Coastal Engineering&lt;/secondary-title&gt;&lt;/titles&gt;&lt;periodical&gt;&lt;full-title&gt;Coastal Engineering&lt;/full-title&gt;&lt;/periodical&gt;&lt;pages&gt;67-76&lt;/pages&gt;&lt;volume&gt;116&lt;/volume&gt;&lt;dates&gt;&lt;year&gt;2016&lt;/year&gt;&lt;/dates&gt;&lt;isbn&gt;0378-3839&lt;/isbn&gt;&lt;urls&gt;&lt;/urls&gt;&lt;/record&gt;&lt;/Cite&gt;&lt;/EndNote&gt;</w:instrText>
      </w:r>
      <w:r w:rsidRPr="00106626">
        <w:rPr>
          <w:lang w:val="en-GB"/>
        </w:rPr>
        <w:fldChar w:fldCharType="separate"/>
      </w:r>
      <w:r w:rsidRPr="00106626">
        <w:rPr>
          <w:noProof/>
          <w:lang w:val="en-GB"/>
        </w:rPr>
        <w:t>[4]</w:t>
      </w:r>
      <w:r w:rsidRPr="00106626">
        <w:rPr>
          <w:lang w:val="en-GB"/>
        </w:rPr>
        <w:fldChar w:fldCharType="end"/>
      </w:r>
      <w:r w:rsidRPr="00106626">
        <w:rPr>
          <w:lang w:val="en-GB"/>
        </w:rPr>
        <w:t>. Fu</w:t>
      </w:r>
      <w:r w:rsidRPr="00106626">
        <w:rPr>
          <w:lang w:val="en-GB"/>
        </w:rPr>
        <w:t>r</w:t>
      </w:r>
      <w:r w:rsidRPr="00106626">
        <w:rPr>
          <w:lang w:val="en-GB"/>
        </w:rPr>
        <w:t>thermore, the design of coastal defences (whether soft or hard) requires local and timely data, often absent due to the limited distribution of instruments in established monito</w:t>
      </w:r>
      <w:r w:rsidRPr="00106626">
        <w:rPr>
          <w:lang w:val="en-GB"/>
        </w:rPr>
        <w:t>r</w:t>
      </w:r>
      <w:r w:rsidRPr="00106626">
        <w:rPr>
          <w:lang w:val="en-GB"/>
        </w:rPr>
        <w:t>ing networks, and difficulty in measuring within dynamic intertidal zones.</w:t>
      </w:r>
    </w:p>
    <w:p w14:paraId="39956944" w14:textId="09898531" w:rsidR="003B2643" w:rsidRPr="00106626" w:rsidRDefault="003B2643" w:rsidP="00BD37FF">
      <w:pPr>
        <w:pStyle w:val="MDPI31text"/>
        <w:rPr>
          <w:lang w:val="en-GB"/>
        </w:rPr>
      </w:pPr>
      <w:r w:rsidRPr="00106626">
        <w:rPr>
          <w:lang w:val="en-GB"/>
        </w:rPr>
        <w:t xml:space="preserve">This paper assesses the performance of an inexpensive GNSS buoy to derive both sea-level and wave data from a deployment within the intertidal zone. The resulting positional data to a local vertical datum were derived using RTKLIB software </w:t>
      </w:r>
      <w:r w:rsidRPr="00106626">
        <w:rPr>
          <w:lang w:val="en-GB"/>
        </w:rPr>
        <w:fldChar w:fldCharType="begin"/>
      </w:r>
      <w:r w:rsidRPr="00106626">
        <w:rPr>
          <w:lang w:val="en-GB"/>
        </w:rPr>
        <w:instrText xml:space="preserve"> ADDIN EN.CITE &lt;EndNote&gt;&lt;Cite&gt;&lt;Year&gt;2019&lt;/Year&gt;&lt;RecNum&gt;62&lt;/RecNum&gt;&lt;DisplayText&gt;&lt;style size="10"&gt;[5]&lt;/style&gt;&lt;/DisplayText&gt;&lt;record&gt;&lt;rec-number&gt;62&lt;/rec-number&gt;&lt;foreign-keys&gt;&lt;key app="EN" db-id="sd9w9tfd2arwx9e9sf8pdtz6fttd0rp5r5p5" timestamp="1629231391"&gt;62&lt;/key&gt;&lt;/foreign-keys&gt;&lt;ref-type name="Web Page"&gt;12&lt;/ref-type&gt;&lt;contributors&gt;&lt;/contributors&gt;&lt;titles&gt;&lt;title&gt;RTKLIB: An Open Source Program Package for GNSS Positioning&lt;/title&gt;&lt;/titles&gt;&lt;volume&gt;2019&lt;/volume&gt;&lt;number&gt;10 Jan 2019&lt;/number&gt;&lt;dates&gt;&lt;year&gt;2019&lt;/year&gt;&lt;/dates&gt;&lt;urls&gt;&lt;related-urls&gt;&lt;url&gt;http://www.rtklib.com/&lt;/url&gt;&lt;/related-urls&gt;&lt;/urls&gt;&lt;/record&gt;&lt;/Cite&gt;&lt;/EndNote&gt;</w:instrText>
      </w:r>
      <w:r w:rsidRPr="00106626">
        <w:rPr>
          <w:lang w:val="en-GB"/>
        </w:rPr>
        <w:fldChar w:fldCharType="separate"/>
      </w:r>
      <w:r w:rsidRPr="00106626">
        <w:rPr>
          <w:noProof/>
          <w:lang w:val="en-GB"/>
        </w:rPr>
        <w:t>[5]</w:t>
      </w:r>
      <w:r w:rsidRPr="00106626">
        <w:rPr>
          <w:lang w:val="en-GB"/>
        </w:rPr>
        <w:fldChar w:fldCharType="end"/>
      </w:r>
      <w:r w:rsidRPr="00106626">
        <w:rPr>
          <w:lang w:val="en-GB"/>
        </w:rPr>
        <w:t>, pa</w:t>
      </w:r>
      <w:r w:rsidRPr="00106626">
        <w:rPr>
          <w:lang w:val="en-GB"/>
        </w:rPr>
        <w:t>r</w:t>
      </w:r>
      <w:r w:rsidRPr="00106626">
        <w:rPr>
          <w:lang w:val="en-GB"/>
        </w:rPr>
        <w:t>ticularly the post-processed kinematic (PPK) method with a fixed geodetic GNSS base station on the shoreline. The advantage of this technique is that</w:t>
      </w:r>
      <w:r w:rsidR="00106626">
        <w:rPr>
          <w:lang w:val="en-GB"/>
        </w:rPr>
        <w:t xml:space="preserve">, in addition to </w:t>
      </w:r>
      <w:r w:rsidRPr="00106626">
        <w:rPr>
          <w:lang w:val="en-GB"/>
        </w:rPr>
        <w:t>producing results to a local datum, it also uses the derived dynamics from the Doppler shift to i</w:t>
      </w:r>
      <w:r w:rsidRPr="00106626">
        <w:rPr>
          <w:lang w:val="en-GB"/>
        </w:rPr>
        <w:t>n</w:t>
      </w:r>
      <w:r w:rsidRPr="00106626">
        <w:rPr>
          <w:lang w:val="en-GB"/>
        </w:rPr>
        <w:lastRenderedPageBreak/>
        <w:t>crease the accuracy of the positional solutions. Using the set-up with enabled Wi-Fi also allows transferring data in a timely manner without having to recover the GNSS buoy.</w:t>
      </w:r>
    </w:p>
    <w:p w14:paraId="33F42175" w14:textId="06A96521" w:rsidR="003B2643" w:rsidRPr="00106626" w:rsidRDefault="00BD37FF" w:rsidP="00BD37FF">
      <w:pPr>
        <w:pStyle w:val="MDPI22heading2"/>
        <w:spacing w:before="240"/>
        <w:rPr>
          <w:lang w:val="en-GB"/>
        </w:rPr>
      </w:pPr>
      <w:r w:rsidRPr="00106626">
        <w:rPr>
          <w:lang w:val="en-GB"/>
        </w:rPr>
        <w:t xml:space="preserve">1.1. </w:t>
      </w:r>
      <w:r w:rsidR="003B2643" w:rsidRPr="00106626">
        <w:rPr>
          <w:lang w:val="en-GB"/>
        </w:rPr>
        <w:t xml:space="preserve">Measuring </w:t>
      </w:r>
      <w:r w:rsidR="00653E94" w:rsidRPr="00106626">
        <w:rPr>
          <w:lang w:val="en-GB"/>
        </w:rPr>
        <w:t>Sea Level</w:t>
      </w:r>
    </w:p>
    <w:p w14:paraId="37B4517B" w14:textId="2BBE4F5C" w:rsidR="003B2643" w:rsidRPr="00106626" w:rsidRDefault="003B2643" w:rsidP="00BD37FF">
      <w:pPr>
        <w:pStyle w:val="MDPI31text"/>
        <w:rPr>
          <w:lang w:val="en-GB"/>
        </w:rPr>
      </w:pPr>
      <w:r w:rsidRPr="00106626">
        <w:rPr>
          <w:lang w:val="en-GB"/>
        </w:rPr>
        <w:t xml:space="preserve">Methods for measuring sea level can be categorised into three types </w:t>
      </w:r>
      <w:r w:rsidRPr="00106626">
        <w:rPr>
          <w:i/>
          <w:lang w:val="en-GB"/>
        </w:rPr>
        <w:fldChar w:fldCharType="begin"/>
      </w:r>
      <w:r w:rsidRPr="00106626">
        <w:rPr>
          <w:lang w:val="en-GB"/>
        </w:rPr>
        <w:instrText xml:space="preserve"> ADDIN EN.CITE &lt;EndNote&gt;&lt;Cite&gt;&lt;Author&gt;Pugh&lt;/Author&gt;&lt;Year&gt;2014&lt;/Year&gt;&lt;RecNum&gt;7&lt;/RecNum&gt;&lt;DisplayText&gt;&lt;style size="10"&gt;[6]&lt;/style&gt;&lt;/DisplayText&gt;&lt;record&gt;&lt;rec-number&gt;7&lt;/rec-number&gt;&lt;foreign-keys&gt;&lt;key app="EN" db-id="sd9w9tfd2arwx9e9sf8pdtz6fttd0rp5r5p5" timestamp="1604608322"&gt;7&lt;/key&gt;&lt;/foreign-keys&gt;&lt;ref-type name="Book"&gt;6&lt;/ref-type&gt;&lt;contributors&gt;&lt;authors&gt;&lt;author&gt;Pugh, David&lt;/author&gt;&lt;author&gt;Woodworth, Philip&lt;/author&gt;&lt;/authors&gt;&lt;/contributors&gt;&lt;titles&gt;&lt;title&gt;Sea-level science: understanding tides, surges, tsunamis and mean sea-level changes&lt;/title&gt;&lt;/titles&gt;&lt;dates&gt;&lt;year&gt;2014&lt;/year&gt;&lt;/dates&gt;&lt;publisher&gt;Cambridge University Press&lt;/publisher&gt;&lt;isbn&gt;1107028191&lt;/isbn&gt;&lt;urls&gt;&lt;/urls&gt;&lt;/record&gt;&lt;/Cite&gt;&lt;/EndNote&gt;</w:instrText>
      </w:r>
      <w:r w:rsidRPr="00106626">
        <w:rPr>
          <w:i/>
          <w:lang w:val="en-GB"/>
        </w:rPr>
        <w:fldChar w:fldCharType="separate"/>
      </w:r>
      <w:r w:rsidRPr="00106626">
        <w:rPr>
          <w:lang w:val="en-GB"/>
        </w:rPr>
        <w:t>[6]</w:t>
      </w:r>
      <w:r w:rsidRPr="00106626">
        <w:rPr>
          <w:i/>
          <w:lang w:val="en-GB"/>
        </w:rPr>
        <w:fldChar w:fldCharType="end"/>
      </w:r>
      <w:r w:rsidRPr="00106626">
        <w:rPr>
          <w:lang w:val="en-GB"/>
        </w:rPr>
        <w:t>: su</w:t>
      </w:r>
      <w:r w:rsidRPr="00106626">
        <w:rPr>
          <w:lang w:val="en-GB"/>
        </w:rPr>
        <w:t>r</w:t>
      </w:r>
      <w:r w:rsidRPr="00106626">
        <w:rPr>
          <w:lang w:val="en-GB"/>
        </w:rPr>
        <w:t>face-following devices, fixed sensors, and remote or mobile sensors. Some established methods are not really suitable for the intertidal zone: surface following devices such as tide poles and float gauges in still wells, although robust, require attachment to signif</w:t>
      </w:r>
      <w:r w:rsidRPr="00106626">
        <w:rPr>
          <w:lang w:val="en-GB"/>
        </w:rPr>
        <w:t>i</w:t>
      </w:r>
      <w:r w:rsidRPr="00106626">
        <w:rPr>
          <w:lang w:val="en-GB"/>
        </w:rPr>
        <w:t xml:space="preserve">cant vertical structures to function. Fixed sensors such as acoustic reflection and radar reflection, </w:t>
      </w:r>
      <w:r w:rsidR="00106626">
        <w:rPr>
          <w:lang w:val="en-GB"/>
        </w:rPr>
        <w:t xml:space="preserve">although </w:t>
      </w:r>
      <w:r w:rsidRPr="00106626">
        <w:rPr>
          <w:lang w:val="en-GB"/>
        </w:rPr>
        <w:t>low cost</w:t>
      </w:r>
      <w:r w:rsidR="00106626">
        <w:rPr>
          <w:lang w:val="en-GB"/>
        </w:rPr>
        <w:t>,</w:t>
      </w:r>
      <w:r w:rsidRPr="00106626">
        <w:rPr>
          <w:lang w:val="en-GB"/>
        </w:rPr>
        <w:t xml:space="preserve"> also require substantial vertical infrastructure. Another fixed sensor method, GPS reflectometry </w:t>
      </w:r>
      <w:r w:rsidRPr="00106626">
        <w:rPr>
          <w:i/>
          <w:lang w:val="en-GB"/>
        </w:rPr>
        <w:fldChar w:fldCharType="begin"/>
      </w:r>
      <w:r w:rsidRPr="00106626">
        <w:rPr>
          <w:lang w:val="en-GB"/>
        </w:rPr>
        <w:instrText xml:space="preserve"> ADDIN EN.CITE &lt;EndNote&gt;&lt;Cite&gt;&lt;Author&gt;Williams&lt;/Author&gt;&lt;Year&gt;2020&lt;/Year&gt;&lt;RecNum&gt;48&lt;/RecNum&gt;&lt;DisplayText&gt;&lt;style size="10"&gt;[7]&lt;/style&gt;&lt;/DisplayText&gt;&lt;record&gt;&lt;rec-number&gt;48&lt;/rec-number&gt;&lt;foreign-keys&gt;&lt;key app="EN" db-id="sd9w9tfd2arwx9e9sf8pdtz6fttd0rp5r5p5" timestamp="1628970681"&gt;48&lt;/key&gt;&lt;/foreign-keys&gt;&lt;ref-type name="Journal Article"&gt;17&lt;/ref-type&gt;&lt;contributors&gt;&lt;authors&gt;&lt;author&gt;Williams, Simon DP&lt;/author&gt;&lt;author&gt;Bell, Paul S&lt;/author&gt;&lt;author&gt;McCann, David L&lt;/author&gt;&lt;author&gt;Cooke, Richard&lt;/author&gt;&lt;author&gt;Sams, Christine&lt;/author&gt;&lt;/authors&gt;&lt;/contributors&gt;&lt;titles&gt;&lt;title&gt;Demonstrating the potential of low-cost GPS units for the remote measurement of tides and water levels using interferometric reflectometry&lt;/title&gt;&lt;secondary-title&gt;Journal of Atmospheric and Oceanic Technology&lt;/secondary-title&gt;&lt;/titles&gt;&lt;periodical&gt;&lt;full-title&gt;Journal of Atmospheric and Oceanic Technology&lt;/full-title&gt;&lt;/periodical&gt;&lt;pages&gt;1925-1935&lt;/pages&gt;&lt;volume&gt;37&lt;/volume&gt;&lt;number&gt;10&lt;/number&gt;&lt;dates&gt;&lt;year&gt;2020&lt;/year&gt;&lt;/dates&gt;&lt;isbn&gt;0739-0572&lt;/isbn&gt;&lt;urls&gt;&lt;/urls&gt;&lt;/record&gt;&lt;/Cite&gt;&lt;/EndNote&gt;</w:instrText>
      </w:r>
      <w:r w:rsidRPr="00106626">
        <w:rPr>
          <w:i/>
          <w:lang w:val="en-GB"/>
        </w:rPr>
        <w:fldChar w:fldCharType="separate"/>
      </w:r>
      <w:r w:rsidRPr="00106626">
        <w:rPr>
          <w:lang w:val="en-GB"/>
        </w:rPr>
        <w:t>[7]</w:t>
      </w:r>
      <w:r w:rsidRPr="00106626">
        <w:rPr>
          <w:i/>
          <w:lang w:val="en-GB"/>
        </w:rPr>
        <w:fldChar w:fldCharType="end"/>
      </w:r>
      <w:r w:rsidRPr="00106626">
        <w:rPr>
          <w:lang w:val="en-GB"/>
        </w:rPr>
        <w:t>, uses the ratio of ‘signal’ (directly received satellite signal) to ‘noise’ (caused by satellite signals reflecting off the sea surface);this works best where water is present at all states of the tide, and is not as effective in wide intertidal zones (limiting the number of satellites used at low water). A more appropriate method for intertidal beaches is to use a pressure sensor mounted on the sea bed or a</w:t>
      </w:r>
      <w:r w:rsidRPr="00106626">
        <w:rPr>
          <w:lang w:val="en-GB"/>
        </w:rPr>
        <w:t>t</w:t>
      </w:r>
      <w:r w:rsidRPr="00106626">
        <w:rPr>
          <w:lang w:val="en-GB"/>
        </w:rPr>
        <w:t xml:space="preserve">tached to a structure </w:t>
      </w:r>
      <w:r w:rsidRPr="00106626">
        <w:rPr>
          <w:i/>
          <w:lang w:val="en-GB"/>
        </w:rPr>
        <w:fldChar w:fldCharType="begin"/>
      </w:r>
      <w:r w:rsidRPr="00106626">
        <w:rPr>
          <w:lang w:val="en-GB"/>
        </w:rPr>
        <w:instrText xml:space="preserve"> ADDIN EN.CITE &lt;EndNote&gt;&lt;Cite&gt;&lt;Author&gt;Knight&lt;/Author&gt;&lt;Year&gt;2020&lt;/Year&gt;&lt;RecNum&gt;9&lt;/RecNum&gt;&lt;DisplayText&gt;&lt;style size="10"&gt;[8]&lt;/style&gt;&lt;/DisplayText&gt;&lt;record&gt;&lt;rec-number&gt;9&lt;/rec-number&gt;&lt;foreign-keys&gt;&lt;key app="EN" db-id="sd9w9tfd2arwx9e9sf8pdtz6fttd0rp5r5p5" timestamp="1604608468"&gt;9&lt;/key&gt;&lt;/foreign-keys&gt;&lt;ref-type name="Journal Article"&gt;17&lt;/ref-type&gt;&lt;contributors&gt;&lt;authors&gt;&lt;author&gt;Knight, Philip J&lt;/author&gt;&lt;author&gt;Bird, Cai O&lt;/author&gt;&lt;author&gt;Sinclair, Alex&lt;/author&gt;&lt;author&gt;Plater, Andrew J&lt;/author&gt;&lt;/authors&gt;&lt;/contributors&gt;&lt;titles&gt;&lt;title&gt;A low-cost GNSS buoy platform for measuring coastal sea levels&lt;/title&gt;&lt;secondary-title&gt;Ocean Engineering&lt;/secondary-title&gt;&lt;/titles&gt;&lt;periodical&gt;&lt;full-title&gt;Ocean Engineering&lt;/full-title&gt;&lt;/periodical&gt;&lt;pages&gt;107198&lt;/pages&gt;&lt;volume&gt;203&lt;/volume&gt;&lt;dates&gt;&lt;year&gt;2020&lt;/year&gt;&lt;/dates&gt;&lt;isbn&gt;0029-8018&lt;/isbn&gt;&lt;urls&gt;&lt;/urls&gt;&lt;electronic-resource-num&gt;10.1016/j.oceaneng.2020.107198&lt;/electronic-resource-num&gt;&lt;/record&gt;&lt;/Cite&gt;&lt;/EndNote&gt;</w:instrText>
      </w:r>
      <w:r w:rsidRPr="00106626">
        <w:rPr>
          <w:i/>
          <w:lang w:val="en-GB"/>
        </w:rPr>
        <w:fldChar w:fldCharType="separate"/>
      </w:r>
      <w:r w:rsidRPr="00106626">
        <w:rPr>
          <w:lang w:val="en-GB"/>
        </w:rPr>
        <w:t>[8]</w:t>
      </w:r>
      <w:r w:rsidRPr="00106626">
        <w:rPr>
          <w:i/>
          <w:lang w:val="en-GB"/>
        </w:rPr>
        <w:fldChar w:fldCharType="end"/>
      </w:r>
      <w:r w:rsidRPr="00106626">
        <w:rPr>
          <w:lang w:val="en-GB"/>
        </w:rPr>
        <w:t xml:space="preserve">. </w:t>
      </w:r>
      <w:r w:rsidR="00106626">
        <w:rPr>
          <w:lang w:val="en-GB"/>
        </w:rPr>
        <w:t xml:space="preserve">In addition to </w:t>
      </w:r>
      <w:r w:rsidRPr="00106626">
        <w:rPr>
          <w:lang w:val="en-GB"/>
        </w:rPr>
        <w:t>sea-level data, pressure sensors can also record high frequency data for analysis of waves.</w:t>
      </w:r>
    </w:p>
    <w:p w14:paraId="1BA6BC92" w14:textId="31701D1E" w:rsidR="003B2643" w:rsidRPr="00106626" w:rsidRDefault="003B2643" w:rsidP="00BD37FF">
      <w:pPr>
        <w:pStyle w:val="MDPI31text"/>
        <w:rPr>
          <w:lang w:val="en-GB"/>
        </w:rPr>
      </w:pPr>
      <w:r w:rsidRPr="00106626">
        <w:rPr>
          <w:lang w:val="en-GB"/>
        </w:rPr>
        <w:t xml:space="preserve">A remote/mobile sensor such as the GNSS buoy has been shown to work well in sheltered, shallow water locations and a number of different GNSS buoys with high-end expensive GPS receivers were tested </w:t>
      </w:r>
      <w:r w:rsidRPr="00106626">
        <w:rPr>
          <w:i/>
          <w:lang w:val="en-GB"/>
        </w:rPr>
        <w:fldChar w:fldCharType="begin"/>
      </w:r>
      <w:r w:rsidRPr="00106626">
        <w:rPr>
          <w:lang w:val="en-GB"/>
        </w:rPr>
        <w:instrText xml:space="preserve"> ADDIN EN.CITE &lt;EndNote&gt;&lt;Cite&gt;&lt;Author&gt;André&lt;/Author&gt;&lt;Year&gt;November 2013&lt;/Year&gt;&lt;RecNum&gt;18&lt;/RecNum&gt;&lt;DisplayText&gt;&lt;style size="10"&gt;[9]&lt;/style&gt;&lt;/DisplayText&gt;&lt;record&gt;&lt;rec-number&gt;18&lt;/rec-number&gt;&lt;foreign-keys&gt;&lt;key app="EN" db-id="sd9w9tfd2arwx9e9sf8pdtz6fttd0rp5r5p5" timestamp="1604838485"&gt;18&lt;/key&gt;&lt;/foreign-keys&gt;&lt;ref-type name="Journal Article"&gt;17&lt;/ref-type&gt;&lt;contributors&gt;&lt;authors&gt;&lt;author&gt;André, Gaël&lt;/author&gt;&lt;author&gt;Míguez, Belén Martín&lt;/author&gt;&lt;author&gt;Ballu, Valérie&lt;/author&gt;&lt;author&gt;Testut, Laurent&lt;/author&gt;&lt;author&gt;Wöppelmann, Guy&lt;/author&gt;&lt;/authors&gt;&lt;/contributors&gt;&lt;titles&gt;&lt;title&gt;Measuring sea level with GPS-equipped buoys: a multi-instruments experiment at Aix Island&lt;/title&gt;&lt;secondary-title&gt;The International Hydrographic Review&lt;/secondary-title&gt;&lt;/titles&gt;&lt;periodical&gt;&lt;full-title&gt;The International Hydrographic Review&lt;/full-title&gt;&lt;/periodical&gt;&lt;edition&gt;November 2013&lt;/edition&gt;&lt;dates&gt;&lt;year&gt;November 2013&lt;/year&gt;&lt;pub-dates&gt;&lt;date&gt;November 2013&lt;/date&gt;&lt;/pub-dates&gt;&lt;/dates&gt;&lt;isbn&gt;0020-6946&lt;/isbn&gt;&lt;urls&gt;&lt;/urls&gt;&lt;/record&gt;&lt;/Cite&gt;&lt;/EndNote&gt;</w:instrText>
      </w:r>
      <w:r w:rsidRPr="00106626">
        <w:rPr>
          <w:i/>
          <w:lang w:val="en-GB"/>
        </w:rPr>
        <w:fldChar w:fldCharType="separate"/>
      </w:r>
      <w:r w:rsidRPr="00106626">
        <w:rPr>
          <w:lang w:val="en-GB"/>
        </w:rPr>
        <w:t>[9]</w:t>
      </w:r>
      <w:r w:rsidRPr="00106626">
        <w:rPr>
          <w:i/>
          <w:lang w:val="en-GB"/>
        </w:rPr>
        <w:fldChar w:fldCharType="end"/>
      </w:r>
      <w:r w:rsidRPr="00106626">
        <w:rPr>
          <w:lang w:val="en-GB"/>
        </w:rPr>
        <w:t xml:space="preserve">. We have previously used a GNSS buoy equipped with a low-cost receiver that was capable of measuring accurate sea-level data and wave data within a semi-enclosed harbour </w:t>
      </w:r>
      <w:r w:rsidRPr="00106626">
        <w:rPr>
          <w:i/>
          <w:lang w:val="en-GB"/>
        </w:rPr>
        <w:fldChar w:fldCharType="begin"/>
      </w:r>
      <w:r w:rsidRPr="00106626">
        <w:rPr>
          <w:lang w:val="en-GB"/>
        </w:rPr>
        <w:instrText xml:space="preserve"> ADDIN EN.CITE &lt;EndNote&gt;&lt;Cite&gt;&lt;Author&gt;Knight&lt;/Author&gt;&lt;Year&gt;2020&lt;/Year&gt;&lt;RecNum&gt;9&lt;/RecNum&gt;&lt;DisplayText&gt;&lt;style size="10"&gt;[8]&lt;/style&gt;&lt;/DisplayText&gt;&lt;record&gt;&lt;rec-number&gt;9&lt;/rec-number&gt;&lt;foreign-keys&gt;&lt;key app="EN" db-id="sd9w9tfd2arwx9e9sf8pdtz6fttd0rp5r5p5" timestamp="1604608468"&gt;9&lt;/key&gt;&lt;/foreign-keys&gt;&lt;ref-type name="Journal Article"&gt;17&lt;/ref-type&gt;&lt;contributors&gt;&lt;authors&gt;&lt;author&gt;Knight, Philip J&lt;/author&gt;&lt;author&gt;Bird, Cai O&lt;/author&gt;&lt;author&gt;Sinclair, Alex&lt;/author&gt;&lt;author&gt;Plater, Andrew J&lt;/author&gt;&lt;/authors&gt;&lt;/contributors&gt;&lt;titles&gt;&lt;title&gt;A low-cost GNSS buoy platform for measuring coastal sea levels&lt;/title&gt;&lt;secondary-title&gt;Ocean Engineering&lt;/secondary-title&gt;&lt;/titles&gt;&lt;periodical&gt;&lt;full-title&gt;Ocean Engineering&lt;/full-title&gt;&lt;/periodical&gt;&lt;pages&gt;107198&lt;/pages&gt;&lt;volume&gt;203&lt;/volume&gt;&lt;dates&gt;&lt;year&gt;2020&lt;/year&gt;&lt;/dates&gt;&lt;isbn&gt;0029-8018&lt;/isbn&gt;&lt;urls&gt;&lt;/urls&gt;&lt;electronic-resource-num&gt;10.1016/j.oceaneng.2020.107198&lt;/electronic-resource-num&gt;&lt;/record&gt;&lt;/Cite&gt;&lt;/EndNote&gt;</w:instrText>
      </w:r>
      <w:r w:rsidRPr="00106626">
        <w:rPr>
          <w:i/>
          <w:lang w:val="en-GB"/>
        </w:rPr>
        <w:fldChar w:fldCharType="separate"/>
      </w:r>
      <w:r w:rsidRPr="00106626">
        <w:rPr>
          <w:lang w:val="en-GB"/>
        </w:rPr>
        <w:t>[8]</w:t>
      </w:r>
      <w:r w:rsidRPr="00106626">
        <w:rPr>
          <w:i/>
          <w:lang w:val="en-GB"/>
        </w:rPr>
        <w:fldChar w:fldCharType="end"/>
      </w:r>
      <w:r w:rsidRPr="00106626">
        <w:rPr>
          <w:lang w:val="en-GB"/>
        </w:rPr>
        <w:t xml:space="preserve">. However, analysis of sea-level from a GNSS buoy deployment in the North Sea </w:t>
      </w:r>
      <w:r w:rsidRPr="00106626">
        <w:rPr>
          <w:i/>
          <w:lang w:val="en-GB"/>
        </w:rPr>
        <w:fldChar w:fldCharType="begin"/>
      </w:r>
      <w:r w:rsidRPr="00106626">
        <w:rPr>
          <w:lang w:val="en-GB"/>
        </w:rPr>
        <w:instrText xml:space="preserve"> ADDIN EN.CITE &lt;EndNote&gt;&lt;Cite&gt;&lt;Author&gt;Stal&lt;/Author&gt;&lt;Year&gt;2016&lt;/Year&gt;&lt;RecNum&gt;47&lt;/RecNum&gt;&lt;DisplayText&gt;&lt;style size="10"&gt;[10]&lt;/style&gt;&lt;/DisplayText&gt;&lt;record&gt;&lt;rec-number&gt;47&lt;/rec-number&gt;&lt;foreign-keys&gt;&lt;key app="EN" db-id="sd9w9tfd2arwx9e9sf8pdtz6fttd0rp5r5p5" timestamp="1628970642"&gt;47&lt;/key&gt;&lt;/foreign-keys&gt;&lt;ref-type name="Journal Article"&gt;17&lt;/ref-type&gt;&lt;contributors&gt;&lt;authors&gt;&lt;author&gt;Stal, Cornelis&lt;/author&gt;&lt;author&gt;Poppe, Hans&lt;/author&gt;&lt;author&gt;Vandenbulcke, Annelies&lt;/author&gt;&lt;author&gt;De Wulf, Alain&lt;/author&gt;&lt;/authors&gt;&lt;/contributors&gt;&lt;titles&gt;&lt;title&gt;Study of post-processed GNSS measurements for tidal analysis in the Belgian North Sea&lt;/title&gt;&lt;secondary-title&gt;Ocean Engineering&lt;/secondary-title&gt;&lt;/titles&gt;&lt;periodical&gt;&lt;full-title&gt;Ocean Engineering&lt;/full-title&gt;&lt;/periodical&gt;&lt;pages&gt;165-172&lt;/pages&gt;&lt;volume&gt;118&lt;/volume&gt;&lt;dates&gt;&lt;year&gt;2016&lt;/year&gt;&lt;/dates&gt;&lt;isbn&gt;0029-8018&lt;/isbn&gt;&lt;urls&gt;&lt;/urls&gt;&lt;/record&gt;&lt;/Cite&gt;&lt;/EndNote&gt;</w:instrText>
      </w:r>
      <w:r w:rsidRPr="00106626">
        <w:rPr>
          <w:i/>
          <w:lang w:val="en-GB"/>
        </w:rPr>
        <w:fldChar w:fldCharType="separate"/>
      </w:r>
      <w:r w:rsidRPr="00106626">
        <w:rPr>
          <w:lang w:val="en-GB"/>
        </w:rPr>
        <w:t>[10]</w:t>
      </w:r>
      <w:r w:rsidRPr="00106626">
        <w:rPr>
          <w:i/>
          <w:lang w:val="en-GB"/>
        </w:rPr>
        <w:fldChar w:fldCharType="end"/>
      </w:r>
      <w:r w:rsidRPr="00106626">
        <w:rPr>
          <w:lang w:val="en-GB"/>
        </w:rPr>
        <w:t xml:space="preserve"> concluded that in the presence of large waves the received GNSS signal contained </w:t>
      </w:r>
      <w:r w:rsidR="00BA6709" w:rsidRPr="00106626">
        <w:rPr>
          <w:lang w:val="en-GB"/>
        </w:rPr>
        <w:t>significant</w:t>
      </w:r>
      <w:r w:rsidRPr="00106626">
        <w:rPr>
          <w:lang w:val="en-GB"/>
        </w:rPr>
        <w:t xml:space="preserve"> noise.</w:t>
      </w:r>
    </w:p>
    <w:p w14:paraId="669CDB31" w14:textId="32102200" w:rsidR="003B2643" w:rsidRPr="00106626" w:rsidRDefault="00BD37FF" w:rsidP="00BD37FF">
      <w:pPr>
        <w:pStyle w:val="MDPI22heading2"/>
        <w:spacing w:before="240"/>
        <w:rPr>
          <w:lang w:val="en-GB"/>
        </w:rPr>
      </w:pPr>
      <w:r w:rsidRPr="00106626">
        <w:rPr>
          <w:lang w:val="en-GB"/>
        </w:rPr>
        <w:t xml:space="preserve">1.2. </w:t>
      </w:r>
      <w:r w:rsidR="003B2643" w:rsidRPr="00106626">
        <w:rPr>
          <w:lang w:val="en-GB"/>
        </w:rPr>
        <w:t xml:space="preserve">Measuring </w:t>
      </w:r>
      <w:r w:rsidR="00653E94" w:rsidRPr="00106626">
        <w:rPr>
          <w:lang w:val="en-GB"/>
        </w:rPr>
        <w:t>Waves</w:t>
      </w:r>
    </w:p>
    <w:p w14:paraId="2A91E2CF" w14:textId="1DE90B9C" w:rsidR="003B2643" w:rsidRPr="00106626" w:rsidRDefault="003B2643" w:rsidP="00BD37FF">
      <w:pPr>
        <w:pStyle w:val="MDPI31text"/>
        <w:rPr>
          <w:lang w:val="en-GB"/>
        </w:rPr>
      </w:pPr>
      <w:r w:rsidRPr="00106626">
        <w:rPr>
          <w:lang w:val="en-GB"/>
        </w:rPr>
        <w:t>As with sea-level measurements, waves can be measured by fixed sensors, remote sensors and surface-following devices. Acoustic Doppler Current Profilers with pressure sensors can be deployed either on the sea bed, and/or within the intertidal zone to measure waves by combining information on water velocity and pressure data to derive wave information, but they are expensive (~USD</w:t>
      </w:r>
      <w:r w:rsidR="00BA6709">
        <w:rPr>
          <w:lang w:val="en-GB"/>
        </w:rPr>
        <w:t xml:space="preserve"> </w:t>
      </w:r>
      <w:r w:rsidRPr="00106626">
        <w:rPr>
          <w:lang w:val="en-GB"/>
        </w:rPr>
        <w:t xml:space="preserve">20,000–30,000). Radar reflection </w:t>
      </w:r>
      <w:r w:rsidRPr="00106626">
        <w:rPr>
          <w:lang w:val="en-GB"/>
        </w:rPr>
        <w:fldChar w:fldCharType="begin"/>
      </w:r>
      <w:r w:rsidRPr="00106626">
        <w:rPr>
          <w:lang w:val="en-GB"/>
        </w:rPr>
        <w:instrText xml:space="preserve"> ADDIN EN.CITE &lt;EndNote&gt;&lt;Cite&gt;&lt;Author&gt;Fiorentino&lt;/Author&gt;&lt;Year&gt;2019&lt;/Year&gt;&lt;RecNum&gt;39&lt;/RecNum&gt;&lt;DisplayText&gt;&lt;style size="10"&gt;[11]&lt;/style&gt;&lt;/DisplayText&gt;&lt;record&gt;&lt;rec-number&gt;39&lt;/rec-number&gt;&lt;foreign-keys&gt;&lt;key app="EN" db-id="sd9w9tfd2arwx9e9sf8pdtz6fttd0rp5r5p5" timestamp="1628970257"&gt;39&lt;/key&gt;&lt;/foreign-keys&gt;&lt;ref-type name="Journal Article"&gt;17&lt;/ref-type&gt;&lt;contributors&gt;&lt;authors&gt;&lt;author&gt;Fiorentino, Laura A&lt;/author&gt;&lt;author&gt;Heitsenrether, Robert&lt;/author&gt;&lt;author&gt;Krug, Warren&lt;/author&gt;&lt;/authors&gt;&lt;/contributors&gt;&lt;titles&gt;&lt;title&gt;Wave Measurements From Radar Tide Gauges&lt;/title&gt;&lt;secondary-title&gt;Frontiers in Marine Science&lt;/secondary-title&gt;&lt;/titles&gt;&lt;periodical&gt;&lt;full-title&gt;Frontiers in Marine Science&lt;/full-title&gt;&lt;/periodical&gt;&lt;pages&gt;586&lt;/pages&gt;&lt;volume&gt;6&lt;/volume&gt;&lt;dates&gt;&lt;year&gt;2019&lt;/year&gt;&lt;/dates&gt;&lt;isbn&gt;2296-7745&lt;/isbn&gt;&lt;urls&gt;&lt;/urls&gt;&lt;/record&gt;&lt;/Cite&gt;&lt;/EndNote&gt;</w:instrText>
      </w:r>
      <w:r w:rsidRPr="00106626">
        <w:rPr>
          <w:lang w:val="en-GB"/>
        </w:rPr>
        <w:fldChar w:fldCharType="separate"/>
      </w:r>
      <w:r w:rsidRPr="00106626">
        <w:rPr>
          <w:noProof/>
          <w:lang w:val="en-GB"/>
        </w:rPr>
        <w:t>[11]</w:t>
      </w:r>
      <w:r w:rsidRPr="00106626">
        <w:rPr>
          <w:lang w:val="en-GB"/>
        </w:rPr>
        <w:fldChar w:fldCharType="end"/>
      </w:r>
      <w:r w:rsidRPr="00106626">
        <w:rPr>
          <w:lang w:val="en-GB"/>
        </w:rPr>
        <w:t xml:space="preserve"> and terrestrial LiDAR </w:t>
      </w:r>
      <w:r w:rsidRPr="00106626">
        <w:rPr>
          <w:lang w:val="en-GB"/>
        </w:rPr>
        <w:fldChar w:fldCharType="begin"/>
      </w:r>
      <w:r w:rsidRPr="00106626">
        <w:rPr>
          <w:lang w:val="en-GB"/>
        </w:rPr>
        <w:instrText xml:space="preserve"> ADDIN EN.CITE &lt;EndNote&gt;&lt;Cite&gt;&lt;Author&gt;Martins&lt;/Author&gt;&lt;Year&gt;2017&lt;/Year&gt;&lt;RecNum&gt;43&lt;/RecNum&gt;&lt;DisplayText&gt;&lt;style size="10"&gt;[12]&lt;/style&gt;&lt;/DisplayText&gt;&lt;record&gt;&lt;rec-number&gt;43&lt;/rec-number&gt;&lt;foreign-keys&gt;&lt;key app="EN" db-id="sd9w9tfd2arwx9e9sf8pdtz6fttd0rp5r5p5" timestamp="1628970462"&gt;43&lt;/key&gt;&lt;/foreign-keys&gt;&lt;ref-type name="Journal Article"&gt;17&lt;/ref-type&gt;&lt;contributors&gt;&lt;authors&gt;&lt;author&gt;Martins, Kévin&lt;/author&gt;&lt;author&gt;Blenkinsopp, Chris E&lt;/author&gt;&lt;author&gt;Power, Hannah E&lt;/author&gt;&lt;author&gt;Bruder, Brittany&lt;/author&gt;&lt;author&gt;Puleo, Jack A&lt;/author&gt;&lt;author&gt;Bergsma, Erwin WJ&lt;/author&gt;&lt;/authors&gt;&lt;/contributors&gt;&lt;titles&gt;&lt;title&gt;High-resolution monitoring of wave transformation in the surf zone using a LiDAR scanner array&lt;/title&gt;&lt;secondary-title&gt;Coastal Engineering&lt;/secondary-title&gt;&lt;/titles&gt;&lt;periodical&gt;&lt;full-title&gt;Coastal Engineering&lt;/full-title&gt;&lt;/periodical&gt;&lt;pages&gt;37-43&lt;/pages&gt;&lt;volume&gt;128&lt;/volume&gt;&lt;dates&gt;&lt;year&gt;2017&lt;/year&gt;&lt;/dates&gt;&lt;isbn&gt;0378-3839&lt;/isbn&gt;&lt;urls&gt;&lt;/urls&gt;&lt;/record&gt;&lt;/Cite&gt;&lt;/EndNote&gt;</w:instrText>
      </w:r>
      <w:r w:rsidRPr="00106626">
        <w:rPr>
          <w:lang w:val="en-GB"/>
        </w:rPr>
        <w:fldChar w:fldCharType="separate"/>
      </w:r>
      <w:r w:rsidRPr="00106626">
        <w:rPr>
          <w:noProof/>
          <w:lang w:val="en-GB"/>
        </w:rPr>
        <w:t>[12]</w:t>
      </w:r>
      <w:r w:rsidRPr="00106626">
        <w:rPr>
          <w:lang w:val="en-GB"/>
        </w:rPr>
        <w:fldChar w:fldCharType="end"/>
      </w:r>
      <w:r w:rsidRPr="00106626">
        <w:rPr>
          <w:lang w:val="en-GB"/>
        </w:rPr>
        <w:t xml:space="preserve"> can also be used to derive wave data, although they need to be mounted on suitable vertical structures at the shoreline or to existing infrastructure, e.g.</w:t>
      </w:r>
      <w:r w:rsidR="006F63A8" w:rsidRPr="00106626">
        <w:rPr>
          <w:lang w:val="en-GB"/>
        </w:rPr>
        <w:t>,</w:t>
      </w:r>
      <w:r w:rsidRPr="00106626">
        <w:rPr>
          <w:lang w:val="en-GB"/>
        </w:rPr>
        <w:t xml:space="preserve"> piers.</w:t>
      </w:r>
    </w:p>
    <w:p w14:paraId="39B6EA47" w14:textId="77777777" w:rsidR="003B2643" w:rsidRPr="00106626" w:rsidRDefault="003B2643" w:rsidP="00BD37FF">
      <w:pPr>
        <w:pStyle w:val="MDPI31text"/>
        <w:rPr>
          <w:lang w:val="en-GB"/>
        </w:rPr>
      </w:pPr>
      <w:r w:rsidRPr="00106626">
        <w:rPr>
          <w:lang w:val="en-GB"/>
        </w:rPr>
        <w:t xml:space="preserve">There are two main types of wave buoy: systems using inertia-based sensors, and those using GNSS receivers. Since the early 1960s, wave buoys have been built using multiple inertia-based sensors. These are robust, reliable, and therefore commonly used in national wave buoy networks. Examples include the Datawell Directional Waverider Mk III </w:t>
      </w:r>
      <w:r w:rsidRPr="00106626">
        <w:rPr>
          <w:lang w:val="en-GB"/>
        </w:rPr>
        <w:fldChar w:fldCharType="begin"/>
      </w:r>
      <w:r w:rsidRPr="00106626">
        <w:rPr>
          <w:lang w:val="en-GB"/>
        </w:rPr>
        <w:instrText xml:space="preserve"> ADDIN EN.CITE &lt;EndNote&gt;&lt;Cite&gt;&lt;Year&gt;2021&lt;/Year&gt;&lt;RecNum&gt;57&lt;/RecNum&gt;&lt;DisplayText&gt;&lt;style size="10"&gt;[13]&lt;/style&gt;&lt;/DisplayText&gt;&lt;record&gt;&lt;rec-number&gt;57&lt;/rec-number&gt;&lt;foreign-keys&gt;&lt;key app="EN" db-id="sd9w9tfd2arwx9e9sf8pdtz6fttd0rp5r5p5" timestamp="1629230190"&gt;57&lt;/key&gt;&lt;/foreign-keys&gt;&lt;ref-type name="Web Page"&gt;12&lt;/ref-type&gt;&lt;contributors&gt;&lt;/contributors&gt;&lt;titles&gt;&lt;title&gt;Datawell, Directional Waverider MkIII, brochure&lt;/title&gt;&lt;/titles&gt;&lt;volume&gt;2021&lt;/volume&gt;&lt;number&gt;05 Jul 2021&lt;/number&gt;&lt;dates&gt;&lt;year&gt;2021&lt;/year&gt;&lt;/dates&gt;&lt;urls&gt;&lt;related-urls&gt;&lt;url&gt;https://www.datawell.nl/Portals/0/Documents/Brochures/datawell_brochure_dwr-mk3_b-09-09.pdf &lt;/url&gt;&lt;/related-urls&gt;&lt;/urls&gt;&lt;/record&gt;&lt;/Cite&gt;&lt;/EndNote&gt;</w:instrText>
      </w:r>
      <w:r w:rsidRPr="00106626">
        <w:rPr>
          <w:lang w:val="en-GB"/>
        </w:rPr>
        <w:fldChar w:fldCharType="separate"/>
      </w:r>
      <w:r w:rsidRPr="00106626">
        <w:rPr>
          <w:noProof/>
          <w:lang w:val="en-GB"/>
        </w:rPr>
        <w:t>[13]</w:t>
      </w:r>
      <w:r w:rsidRPr="00106626">
        <w:rPr>
          <w:lang w:val="en-GB"/>
        </w:rPr>
        <w:fldChar w:fldCharType="end"/>
      </w:r>
      <w:r w:rsidRPr="00106626">
        <w:rPr>
          <w:lang w:val="en-GB"/>
        </w:rPr>
        <w:t xml:space="preserve"> and the TRIAXYS Direction Wave Buoy </w:t>
      </w:r>
      <w:r w:rsidRPr="00106626">
        <w:rPr>
          <w:lang w:val="en-GB"/>
        </w:rPr>
        <w:fldChar w:fldCharType="begin"/>
      </w:r>
      <w:r w:rsidRPr="00106626">
        <w:rPr>
          <w:lang w:val="en-GB"/>
        </w:rPr>
        <w:instrText xml:space="preserve"> ADDIN EN.CITE &lt;EndNote&gt;&lt;Cite&gt;&lt;Author&gt;MacIsaac&lt;/Author&gt;&lt;Year&gt;2013&lt;/Year&gt;&lt;RecNum&gt;42&lt;/RecNum&gt;&lt;DisplayText&gt;&lt;style size="10"&gt;[14]&lt;/style&gt;&lt;/DisplayText&gt;&lt;record&gt;&lt;rec-number&gt;42&lt;/rec-number&gt;&lt;foreign-keys&gt;&lt;key app="EN" db-id="sd9w9tfd2arwx9e9sf8pdtz6fttd0rp5r5p5" timestamp="1628970422"&gt;42&lt;/key&gt;&lt;/foreign-keys&gt;&lt;ref-type name="Conference Proceedings"&gt;10&lt;/ref-type&gt;&lt;contributors&gt;&lt;authors&gt;&lt;author&gt;MacIsaac, Chad&lt;/author&gt;&lt;author&gt;Naeth, Stephen&lt;/author&gt;&lt;/authors&gt;&lt;/contributors&gt;&lt;titles&gt;&lt;title&gt;TRIAXYS next wave II directional wave sensor the evolution of wave measurements&lt;/title&gt;&lt;secondary-title&gt;2013 OCEANS-San Diego&lt;/secondary-title&gt;&lt;/titles&gt;&lt;pages&gt;1-8&lt;/pages&gt;&lt;dates&gt;&lt;year&gt;2013&lt;/year&gt;&lt;/dates&gt;&lt;publisher&gt;IEEE&lt;/publisher&gt;&lt;isbn&gt;0933957408&lt;/isbn&gt;&lt;urls&gt;&lt;/urls&gt;&lt;/record&gt;&lt;/Cite&gt;&lt;/EndNote&gt;</w:instrText>
      </w:r>
      <w:r w:rsidRPr="00106626">
        <w:rPr>
          <w:lang w:val="en-GB"/>
        </w:rPr>
        <w:fldChar w:fldCharType="separate"/>
      </w:r>
      <w:r w:rsidRPr="00106626">
        <w:rPr>
          <w:noProof/>
          <w:lang w:val="en-GB"/>
        </w:rPr>
        <w:t>[14]</w:t>
      </w:r>
      <w:r w:rsidRPr="00106626">
        <w:rPr>
          <w:lang w:val="en-GB"/>
        </w:rPr>
        <w:fldChar w:fldCharType="end"/>
      </w:r>
      <w:r w:rsidRPr="00106626">
        <w:rPr>
          <w:lang w:val="en-GB"/>
        </w:rPr>
        <w:t xml:space="preserve">; both incorporate accelerometers, gyros, and flux gate compass sensors to derive wave data. These are expensive, require calibration </w:t>
      </w:r>
      <w:r w:rsidRPr="00106626">
        <w:rPr>
          <w:lang w:val="en-GB"/>
        </w:rPr>
        <w:fldChar w:fldCharType="begin"/>
      </w:r>
      <w:r w:rsidRPr="00106626">
        <w:rPr>
          <w:lang w:val="en-GB"/>
        </w:rPr>
        <w:instrText xml:space="preserve"> ADDIN EN.CITE &lt;EndNote&gt;&lt;Cite&gt;&lt;Author&gt;Andrews&lt;/Author&gt;&lt;Year&gt;2019&lt;/Year&gt;&lt;RecNum&gt;36&lt;/RecNum&gt;&lt;DisplayText&gt;&lt;style size="10"&gt;[15]&lt;/style&gt;&lt;/DisplayText&gt;&lt;record&gt;&lt;rec-number&gt;36&lt;/rec-number&gt;&lt;foreign-keys&gt;&lt;key app="EN" db-id="sd9w9tfd2arwx9e9sf8pdtz6fttd0rp5r5p5" timestamp="1628970023"&gt;36&lt;/key&gt;&lt;/foreign-keys&gt;&lt;ref-type name="Conference Proceedings"&gt;10&lt;/ref-type&gt;&lt;contributors&gt;&lt;authors&gt;&lt;author&gt;Andrews, Elysia&lt;/author&gt;&lt;author&gt;Peach, Leo&lt;/author&gt;&lt;/authors&gt;&lt;/contributors&gt;&lt;titles&gt;&lt;title&gt;An evaluation of current and emerging in-situ ocean wave monitoring technology&lt;/title&gt;&lt;secondary-title&gt;Australasian Coasts and Ports 2019 Conference: Future directions from 40 [degrees] S and beyond, Hobart, 10-13 September 2019&lt;/secondary-title&gt;&lt;/titles&gt;&lt;pages&gt;34&lt;/pages&gt;&lt;dates&gt;&lt;year&gt;2019&lt;/year&gt;&lt;/dates&gt;&lt;publisher&gt;Engineers Australia&lt;/publisher&gt;&lt;urls&gt;&lt;/urls&gt;&lt;/record&gt;&lt;/Cite&gt;&lt;/EndNote&gt;</w:instrText>
      </w:r>
      <w:r w:rsidRPr="00106626">
        <w:rPr>
          <w:lang w:val="en-GB"/>
        </w:rPr>
        <w:fldChar w:fldCharType="separate"/>
      </w:r>
      <w:r w:rsidRPr="00106626">
        <w:rPr>
          <w:noProof/>
          <w:lang w:val="en-GB"/>
        </w:rPr>
        <w:t>[15]</w:t>
      </w:r>
      <w:r w:rsidRPr="00106626">
        <w:rPr>
          <w:lang w:val="en-GB"/>
        </w:rPr>
        <w:fldChar w:fldCharType="end"/>
      </w:r>
      <w:r w:rsidRPr="00106626">
        <w:rPr>
          <w:lang w:val="en-GB"/>
        </w:rPr>
        <w:t>, and in the larger sizes are difficult to deploy with small boats.</w:t>
      </w:r>
    </w:p>
    <w:p w14:paraId="39467FC8" w14:textId="3A77BE0B" w:rsidR="003B2643" w:rsidRPr="00106626" w:rsidRDefault="003B2643" w:rsidP="00BD37FF">
      <w:pPr>
        <w:pStyle w:val="MDPI31text"/>
        <w:rPr>
          <w:lang w:val="en-GB"/>
        </w:rPr>
      </w:pPr>
      <w:r w:rsidRPr="00106626">
        <w:rPr>
          <w:lang w:val="en-GB"/>
        </w:rPr>
        <w:t>Over the past twenty years GNSS receivers have been installed on buoys and d</w:t>
      </w:r>
      <w:r w:rsidRPr="00106626">
        <w:rPr>
          <w:lang w:val="en-GB"/>
        </w:rPr>
        <w:t>e</w:t>
      </w:r>
      <w:r w:rsidRPr="00106626">
        <w:rPr>
          <w:lang w:val="en-GB"/>
        </w:rPr>
        <w:t>veloped especially for measuring waves using data from a single GNSS receiver. Exa</w:t>
      </w:r>
      <w:r w:rsidRPr="00106626">
        <w:rPr>
          <w:lang w:val="en-GB"/>
        </w:rPr>
        <w:t>m</w:t>
      </w:r>
      <w:r w:rsidRPr="00106626">
        <w:rPr>
          <w:lang w:val="en-GB"/>
        </w:rPr>
        <w:t xml:space="preserve">ples include the Datawell Mini Direction Waverider GPS </w:t>
      </w:r>
      <w:r w:rsidRPr="00106626">
        <w:rPr>
          <w:lang w:val="en-GB"/>
        </w:rPr>
        <w:fldChar w:fldCharType="begin"/>
      </w:r>
      <w:r w:rsidRPr="00106626">
        <w:rPr>
          <w:lang w:val="en-GB"/>
        </w:rPr>
        <w:instrText xml:space="preserve"> ADDIN EN.CITE &lt;EndNote&gt;&lt;Cite&gt;&lt;Year&gt;2021&lt;/Year&gt;&lt;RecNum&gt;58&lt;/RecNum&gt;&lt;DisplayText&gt;&lt;style size="10"&gt;[16]&lt;/style&gt;&lt;/DisplayText&gt;&lt;record&gt;&lt;rec-number&gt;58&lt;/rec-number&gt;&lt;foreign-keys&gt;&lt;key app="EN" db-id="sd9w9tfd2arwx9e9sf8pdtz6fttd0rp5r5p5" timestamp="1629230299"&gt;58&lt;/key&gt;&lt;/foreign-keys&gt;&lt;ref-type name="Web Page"&gt;12&lt;/ref-type&gt;&lt;contributors&gt;&lt;/contributors&gt;&lt;titles&gt;&lt;title&gt;Datawell, Mini Directional Waverider GPS&lt;/title&gt;&lt;/titles&gt;&lt;volume&gt;2021&lt;/volume&gt;&lt;number&gt;05 Jul 2021&lt;/number&gt;&lt;dates&gt;&lt;year&gt;2021&lt;/year&gt;&lt;/dates&gt;&lt;urls&gt;&lt;related-urls&gt;&lt;url&gt;https://www.datawell.nl/Portals/0/Documents/Brochures/datawell_brochure_dwr-g4_b-06-10.pdf&lt;/url&gt;&lt;/related-urls&gt;&lt;/urls&gt;&lt;/record&gt;&lt;/Cite&gt;&lt;/EndNote&gt;</w:instrText>
      </w:r>
      <w:r w:rsidRPr="00106626">
        <w:rPr>
          <w:lang w:val="en-GB"/>
        </w:rPr>
        <w:fldChar w:fldCharType="separate"/>
      </w:r>
      <w:r w:rsidRPr="00106626">
        <w:rPr>
          <w:noProof/>
          <w:lang w:val="en-GB"/>
        </w:rPr>
        <w:t>[16]</w:t>
      </w:r>
      <w:r w:rsidRPr="00106626">
        <w:rPr>
          <w:lang w:val="en-GB"/>
        </w:rPr>
        <w:fldChar w:fldCharType="end"/>
      </w:r>
      <w:r w:rsidRPr="00106626">
        <w:rPr>
          <w:lang w:val="en-GB"/>
        </w:rPr>
        <w:t xml:space="preserve"> and the Sofar Spotter Wave Buoy </w:t>
      </w:r>
      <w:r w:rsidRPr="00106626">
        <w:rPr>
          <w:lang w:val="en-GB"/>
        </w:rPr>
        <w:fldChar w:fldCharType="begin"/>
      </w:r>
      <w:r w:rsidRPr="00106626">
        <w:rPr>
          <w:lang w:val="en-GB"/>
        </w:rPr>
        <w:instrText xml:space="preserve"> ADDIN EN.CITE &lt;EndNote&gt;&lt;Cite&gt;&lt;Year&gt;2021&lt;/Year&gt;&lt;RecNum&gt;55&lt;/RecNum&gt;&lt;DisplayText&gt;&lt;style size="10"&gt;[17]&lt;/style&gt;&lt;/DisplayText&gt;&lt;record&gt;&lt;rec-number&gt;55&lt;/rec-number&gt;&lt;foreign-keys&gt;&lt;key app="EN" db-id="sd9w9tfd2arwx9e9sf8pdtz6fttd0rp5r5p5" timestamp="1629229732"&gt;55&lt;/key&gt;&lt;/foreign-keys&gt;&lt;ref-type name="Web Page"&gt;12&lt;/ref-type&gt;&lt;contributors&gt;&lt;/contributors&gt;&lt;titles&gt;&lt;title&gt;Spotter: the agile metocean buoy&lt;/title&gt;&lt;/titles&gt;&lt;volume&gt;2021&lt;/volume&gt;&lt;number&gt;05 July 2021&lt;/number&gt;&lt;dates&gt;&lt;year&gt;2021&lt;/year&gt;&lt;/dates&gt;&lt;urls&gt;&lt;related-urls&gt;&lt;url&gt;https://www.sofarocean.com/products/spotter&lt;/url&gt;&lt;/related-urls&gt;&lt;/urls&gt;&lt;/record&gt;&lt;/Cite&gt;&lt;/EndNote&gt;</w:instrText>
      </w:r>
      <w:r w:rsidRPr="00106626">
        <w:rPr>
          <w:lang w:val="en-GB"/>
        </w:rPr>
        <w:fldChar w:fldCharType="separate"/>
      </w:r>
      <w:r w:rsidRPr="00106626">
        <w:rPr>
          <w:noProof/>
          <w:lang w:val="en-GB"/>
        </w:rPr>
        <w:t>[17]</w:t>
      </w:r>
      <w:r w:rsidRPr="00106626">
        <w:rPr>
          <w:lang w:val="en-GB"/>
        </w:rPr>
        <w:fldChar w:fldCharType="end"/>
      </w:r>
      <w:r w:rsidRPr="00106626">
        <w:rPr>
          <w:lang w:val="en-GB"/>
        </w:rPr>
        <w:t xml:space="preserve">, which can be easily deployed from a small boat. Wave statistics from signal receiver set-ups can be calculated using three velocity components derived from the Doppler shift of </w:t>
      </w:r>
      <w:r w:rsidR="00BA6709">
        <w:rPr>
          <w:lang w:val="en-GB"/>
        </w:rPr>
        <w:t xml:space="preserve">the </w:t>
      </w:r>
      <w:r w:rsidRPr="00106626">
        <w:rPr>
          <w:lang w:val="en-GB"/>
        </w:rPr>
        <w:t xml:space="preserve">satellite signal frequency. The advantages of using GNSS buoys as wave buoys are that the resulting wave data already have a reference frame, are lower in cost than inertial-based wave buoys and are smaller, (e.g., the Sofar Spotter </w:t>
      </w:r>
      <w:r w:rsidR="00BA6709">
        <w:rPr>
          <w:lang w:val="en-GB"/>
        </w:rPr>
        <w:t xml:space="preserve">has a </w:t>
      </w:r>
      <w:r w:rsidRPr="00106626">
        <w:rPr>
          <w:lang w:val="en-GB"/>
        </w:rPr>
        <w:t>USD</w:t>
      </w:r>
      <w:r w:rsidR="00BA6709">
        <w:rPr>
          <w:lang w:val="en-GB"/>
        </w:rPr>
        <w:t xml:space="preserve"> </w:t>
      </w:r>
      <w:r w:rsidRPr="00106626">
        <w:rPr>
          <w:lang w:val="en-GB"/>
        </w:rPr>
        <w:t>5000 list price in July 2021, weighs 5.</w:t>
      </w:r>
      <w:r w:rsidR="007A5E5E" w:rsidRPr="00106626">
        <w:rPr>
          <w:lang w:val="en-GB"/>
        </w:rPr>
        <w:t>4 k</w:t>
      </w:r>
      <w:r w:rsidRPr="00106626">
        <w:rPr>
          <w:lang w:val="en-GB"/>
        </w:rPr>
        <w:t>g and has size of 0.4</w:t>
      </w:r>
      <w:r w:rsidR="007A5E5E" w:rsidRPr="00106626">
        <w:rPr>
          <w:lang w:val="en-GB"/>
        </w:rPr>
        <w:t>2 m</w:t>
      </w:r>
      <w:r w:rsidRPr="00106626">
        <w:rPr>
          <w:lang w:val="en-GB"/>
        </w:rPr>
        <w:t xml:space="preserve"> × 0.3</w:t>
      </w:r>
      <w:r w:rsidR="007A5E5E" w:rsidRPr="00106626">
        <w:rPr>
          <w:lang w:val="en-GB"/>
        </w:rPr>
        <w:t>1 m</w:t>
      </w:r>
      <w:r w:rsidRPr="00106626">
        <w:rPr>
          <w:lang w:val="en-GB"/>
        </w:rPr>
        <w:t>). However, the main disadvantage is that GNSS receivers can suffer from satellite drop outs during e</w:t>
      </w:r>
      <w:r w:rsidRPr="00106626">
        <w:rPr>
          <w:lang w:val="en-GB"/>
        </w:rPr>
        <w:t>x</w:t>
      </w:r>
      <w:r w:rsidRPr="00106626">
        <w:rPr>
          <w:lang w:val="en-GB"/>
        </w:rPr>
        <w:t xml:space="preserve">treme conditions </w:t>
      </w:r>
      <w:r w:rsidR="00BA6709">
        <w:rPr>
          <w:lang w:val="en-GB"/>
        </w:rPr>
        <w:t xml:space="preserve">such as </w:t>
      </w:r>
      <w:r w:rsidRPr="00106626">
        <w:rPr>
          <w:lang w:val="en-GB"/>
        </w:rPr>
        <w:t>spilling or breaking waves covering the antenna.</w:t>
      </w:r>
    </w:p>
    <w:p w14:paraId="60A0FB43" w14:textId="1EC27F8B" w:rsidR="003B2643" w:rsidRPr="00106626" w:rsidRDefault="003B2643" w:rsidP="00BD37FF">
      <w:pPr>
        <w:pStyle w:val="MDPI31text"/>
        <w:rPr>
          <w:lang w:val="en-GB"/>
        </w:rPr>
      </w:pPr>
      <w:r w:rsidRPr="00106626">
        <w:rPr>
          <w:lang w:val="en-GB"/>
        </w:rPr>
        <w:lastRenderedPageBreak/>
        <w:t>Wave buoys are not routinely deployed within the inertial zone; coastal deplo</w:t>
      </w:r>
      <w:r w:rsidRPr="00106626">
        <w:rPr>
          <w:lang w:val="en-GB"/>
        </w:rPr>
        <w:t>y</w:t>
      </w:r>
      <w:r w:rsidRPr="00106626">
        <w:rPr>
          <w:lang w:val="en-GB"/>
        </w:rPr>
        <w:t>ments are often in deeper offshore water. However, a low-cost wave buoy using an ele</w:t>
      </w:r>
      <w:r w:rsidRPr="00106626">
        <w:rPr>
          <w:lang w:val="en-GB"/>
        </w:rPr>
        <w:t>c</w:t>
      </w:r>
      <w:r w:rsidRPr="00106626">
        <w:rPr>
          <w:lang w:val="en-GB"/>
        </w:rPr>
        <w:t xml:space="preserve">tronic inertial measurement unit (IMU) sensor, deployed in the surf zone, was capable of detecting breaking waves </w:t>
      </w:r>
      <w:r w:rsidRPr="00106626">
        <w:rPr>
          <w:lang w:val="en-GB"/>
        </w:rPr>
        <w:fldChar w:fldCharType="begin"/>
      </w:r>
      <w:r w:rsidRPr="00106626">
        <w:rPr>
          <w:lang w:val="en-GB"/>
        </w:rPr>
        <w:instrText xml:space="preserve"> ADDIN EN.CITE &lt;EndNote&gt;&lt;Cite&gt;&lt;Author&gt;Brown&lt;/Author&gt;&lt;Year&gt;2021&lt;/Year&gt;&lt;RecNum&gt;38&lt;/RecNum&gt;&lt;DisplayText&gt;&lt;style size="10"&gt;[18]&lt;/style&gt;&lt;/DisplayText&gt;&lt;record&gt;&lt;rec-number&gt;38&lt;/rec-number&gt;&lt;foreign-keys&gt;&lt;key app="EN" db-id="sd9w9tfd2arwx9e9sf8pdtz6fttd0rp5r5p5" timestamp="1628970190"&gt;38&lt;/key&gt;&lt;/foreign-keys&gt;&lt;ref-type name="Journal Article"&gt;17&lt;/ref-type&gt;&lt;contributors&gt;&lt;authors&gt;&lt;author&gt;Brown, Adam C&lt;/author&gt;&lt;author&gt;Paasch, Robert K&lt;/author&gt;&lt;/authors&gt;&lt;/contributors&gt;&lt;titles&gt;&lt;title&gt;The Accelerations of a Wave Measurement Buoy Impacted by Breaking Waves in the Surf Zone&lt;/title&gt;&lt;secondary-title&gt;Journal of Marine Science and Engineering&lt;/secondary-title&gt;&lt;/titles&gt;&lt;periodical&gt;&lt;full-title&gt;Journal of Marine Science and Engineering&lt;/full-title&gt;&lt;/periodical&gt;&lt;pages&gt;214&lt;/pages&gt;&lt;volume&gt;9&lt;/volume&gt;&lt;number&gt;2&lt;/number&gt;&lt;dates&gt;&lt;year&gt;2021&lt;/year&gt;&lt;/dates&gt;&lt;urls&gt;&lt;/urls&gt;&lt;/record&gt;&lt;/Cite&gt;&lt;/EndNote&gt;</w:instrText>
      </w:r>
      <w:r w:rsidRPr="00106626">
        <w:rPr>
          <w:lang w:val="en-GB"/>
        </w:rPr>
        <w:fldChar w:fldCharType="separate"/>
      </w:r>
      <w:r w:rsidRPr="00106626">
        <w:rPr>
          <w:noProof/>
          <w:lang w:val="en-GB"/>
        </w:rPr>
        <w:t>[18]</w:t>
      </w:r>
      <w:r w:rsidRPr="00106626">
        <w:rPr>
          <w:lang w:val="en-GB"/>
        </w:rPr>
        <w:fldChar w:fldCharType="end"/>
      </w:r>
      <w:r w:rsidRPr="00106626">
        <w:rPr>
          <w:lang w:val="en-GB"/>
        </w:rPr>
        <w:t>. A small buoy was deployed for short periods at different water depths within the surf zone from 1.0 to 9.0 m; the mooring was secured to the sea-bed with a drag anchor.</w:t>
      </w:r>
    </w:p>
    <w:p w14:paraId="1AD430DA" w14:textId="2FD19760" w:rsidR="003B2643" w:rsidRPr="00106626" w:rsidRDefault="00BD37FF" w:rsidP="00BD37FF">
      <w:pPr>
        <w:pStyle w:val="MDPI21heading1"/>
        <w:rPr>
          <w:lang w:val="en-GB"/>
        </w:rPr>
      </w:pPr>
      <w:r w:rsidRPr="00AB2294">
        <w:rPr>
          <w:lang w:val="en-GB" w:eastAsia="zh-CN"/>
        </w:rPr>
        <w:t xml:space="preserve">2. </w:t>
      </w:r>
      <w:r w:rsidR="003B2643" w:rsidRPr="00AB2294">
        <w:rPr>
          <w:lang w:val="en-GB"/>
        </w:rPr>
        <w:t xml:space="preserve">Materials and </w:t>
      </w:r>
      <w:r w:rsidR="00653E94" w:rsidRPr="00AB2294">
        <w:rPr>
          <w:lang w:val="en-GB"/>
        </w:rPr>
        <w:t>Method</w:t>
      </w:r>
    </w:p>
    <w:p w14:paraId="5962EA2B" w14:textId="2DB1DA11" w:rsidR="003B2643" w:rsidRPr="00106626" w:rsidRDefault="00BD37FF" w:rsidP="00BD37FF">
      <w:pPr>
        <w:pStyle w:val="MDPI22heading2"/>
        <w:rPr>
          <w:lang w:val="en-GB"/>
        </w:rPr>
      </w:pPr>
      <w:r w:rsidRPr="00106626">
        <w:rPr>
          <w:lang w:val="en-GB"/>
        </w:rPr>
        <w:t xml:space="preserve">2.1. </w:t>
      </w:r>
      <w:r w:rsidR="003B2643" w:rsidRPr="00106626">
        <w:rPr>
          <w:lang w:val="en-GB"/>
        </w:rPr>
        <w:t xml:space="preserve">GNSS </w:t>
      </w:r>
      <w:r w:rsidR="00653E94" w:rsidRPr="00106626">
        <w:rPr>
          <w:lang w:val="en-GB"/>
        </w:rPr>
        <w:t>Buoy Set</w:t>
      </w:r>
      <w:r w:rsidR="003B2643" w:rsidRPr="00106626">
        <w:rPr>
          <w:lang w:val="en-GB"/>
        </w:rPr>
        <w:t>-</w:t>
      </w:r>
      <w:r w:rsidR="00653E94" w:rsidRPr="00106626">
        <w:rPr>
          <w:lang w:val="en-GB"/>
        </w:rPr>
        <w:t xml:space="preserve">Up </w:t>
      </w:r>
      <w:r w:rsidR="003B2643" w:rsidRPr="00106626">
        <w:rPr>
          <w:lang w:val="en-GB"/>
        </w:rPr>
        <w:t xml:space="preserve">and </w:t>
      </w:r>
      <w:r w:rsidR="00653E94" w:rsidRPr="00106626">
        <w:rPr>
          <w:lang w:val="en-GB"/>
        </w:rPr>
        <w:t>Mooring Design</w:t>
      </w:r>
    </w:p>
    <w:p w14:paraId="42BE5EB2" w14:textId="594DF8DE" w:rsidR="003B2643" w:rsidRPr="00106626" w:rsidRDefault="003B2643" w:rsidP="00EE6584">
      <w:pPr>
        <w:pStyle w:val="MDPI31text"/>
        <w:spacing w:after="240"/>
        <w:rPr>
          <w:lang w:val="en-GB"/>
        </w:rPr>
      </w:pPr>
      <w:r w:rsidRPr="00106626">
        <w:rPr>
          <w:lang w:val="en-GB"/>
        </w:rPr>
        <w:t xml:space="preserve">Our GNSS buoy configuration was the same as that used at Holyhead harbour </w:t>
      </w:r>
      <w:r w:rsidRPr="00106626">
        <w:rPr>
          <w:i/>
          <w:lang w:val="en-GB"/>
        </w:rPr>
        <w:fldChar w:fldCharType="begin"/>
      </w:r>
      <w:r w:rsidRPr="00106626">
        <w:rPr>
          <w:lang w:val="en-GB"/>
        </w:rPr>
        <w:instrText xml:space="preserve"> ADDIN EN.CITE &lt;EndNote&gt;&lt;Cite&gt;&lt;Author&gt;Knight&lt;/Author&gt;&lt;Year&gt;2020&lt;/Year&gt;&lt;RecNum&gt;9&lt;/RecNum&gt;&lt;DisplayText&gt;&lt;style size="10"&gt;[8]&lt;/style&gt;&lt;/DisplayText&gt;&lt;record&gt;&lt;rec-number&gt;9&lt;/rec-number&gt;&lt;foreign-keys&gt;&lt;key app="EN" db-id="sd9w9tfd2arwx9e9sf8pdtz6fttd0rp5r5p5" timestamp="1604608468"&gt;9&lt;/key&gt;&lt;/foreign-keys&gt;&lt;ref-type name="Journal Article"&gt;17&lt;/ref-type&gt;&lt;contributors&gt;&lt;authors&gt;&lt;author&gt;Knight, Philip J&lt;/author&gt;&lt;author&gt;Bird, Cai O&lt;/author&gt;&lt;author&gt;Sinclair, Alex&lt;/author&gt;&lt;author&gt;Plater, Andrew J&lt;/author&gt;&lt;/authors&gt;&lt;/contributors&gt;&lt;titles&gt;&lt;title&gt;A low-cost GNSS buoy platform for measuring coastal sea levels&lt;/title&gt;&lt;secondary-title&gt;Ocean Engineering&lt;/secondary-title&gt;&lt;/titles&gt;&lt;periodical&gt;&lt;full-title&gt;Ocean Engineering&lt;/full-title&gt;&lt;/periodical&gt;&lt;pages&gt;107198&lt;/pages&gt;&lt;volume&gt;203&lt;/volume&gt;&lt;dates&gt;&lt;year&gt;2020&lt;/year&gt;&lt;/dates&gt;&lt;isbn&gt;0029-8018&lt;/isbn&gt;&lt;urls&gt;&lt;/urls&gt;&lt;electronic-resource-num&gt;10.1016/j.oceaneng.2020.107198&lt;/electronic-resource-num&gt;&lt;/record&gt;&lt;/Cite&gt;&lt;/EndNote&gt;</w:instrText>
      </w:r>
      <w:r w:rsidRPr="00106626">
        <w:rPr>
          <w:i/>
          <w:lang w:val="en-GB"/>
        </w:rPr>
        <w:fldChar w:fldCharType="separate"/>
      </w:r>
      <w:r w:rsidRPr="00106626">
        <w:rPr>
          <w:lang w:val="en-GB"/>
        </w:rPr>
        <w:t>[8]</w:t>
      </w:r>
      <w:r w:rsidRPr="00106626">
        <w:rPr>
          <w:i/>
          <w:lang w:val="en-GB"/>
        </w:rPr>
        <w:fldChar w:fldCharType="end"/>
      </w:r>
      <w:r w:rsidRPr="00106626">
        <w:rPr>
          <w:lang w:val="en-GB"/>
        </w:rPr>
        <w:t>, with the GNSS antenna, receiver and battery attached to the top of the platform and s</w:t>
      </w:r>
      <w:r w:rsidRPr="00106626">
        <w:rPr>
          <w:lang w:val="en-GB"/>
        </w:rPr>
        <w:t>e</w:t>
      </w:r>
      <w:r w:rsidRPr="00106626">
        <w:rPr>
          <w:lang w:val="en-GB"/>
        </w:rPr>
        <w:t>cured between the yellow trawl floats (Figure 1a). The overall cost was around USD</w:t>
      </w:r>
      <w:r w:rsidR="00BA6709">
        <w:rPr>
          <w:lang w:val="en-GB"/>
        </w:rPr>
        <w:t xml:space="preserve"> </w:t>
      </w:r>
      <w:r w:rsidRPr="00106626">
        <w:rPr>
          <w:lang w:val="en-GB"/>
        </w:rPr>
        <w:t xml:space="preserve">400 (buoy parts </w:t>
      </w:r>
      <w:r w:rsidR="006B6ACF">
        <w:rPr>
          <w:lang w:val="en-GB"/>
        </w:rPr>
        <w:t>USD</w:t>
      </w:r>
      <w:r w:rsidR="00BA6709">
        <w:rPr>
          <w:lang w:val="en-GB"/>
        </w:rPr>
        <w:t xml:space="preserve"> </w:t>
      </w:r>
      <w:r w:rsidRPr="00106626">
        <w:rPr>
          <w:lang w:val="en-GB"/>
        </w:rPr>
        <w:t>140, GPS/logger USD</w:t>
      </w:r>
      <w:r w:rsidR="00BA6709">
        <w:rPr>
          <w:lang w:val="en-GB"/>
        </w:rPr>
        <w:t xml:space="preserve"> </w:t>
      </w:r>
      <w:r w:rsidRPr="00106626">
        <w:rPr>
          <w:lang w:val="en-GB"/>
        </w:rPr>
        <w:t>260</w:t>
      </w:r>
      <w:r w:rsidR="006B6ACF">
        <w:rPr>
          <w:lang w:val="en-GB"/>
        </w:rPr>
        <w:t xml:space="preserve">; all buoy parts sourced </w:t>
      </w:r>
      <w:r w:rsidR="00EC3A86">
        <w:rPr>
          <w:lang w:val="en-GB"/>
        </w:rPr>
        <w:t xml:space="preserve">from suppliers </w:t>
      </w:r>
      <w:r w:rsidR="006B6ACF">
        <w:rPr>
          <w:lang w:val="en-GB"/>
        </w:rPr>
        <w:t xml:space="preserve">in </w:t>
      </w:r>
      <w:r w:rsidR="00EC3A86">
        <w:rPr>
          <w:lang w:val="en-GB"/>
        </w:rPr>
        <w:t xml:space="preserve">the </w:t>
      </w:r>
      <w:r w:rsidR="006B6ACF">
        <w:rPr>
          <w:lang w:val="en-GB"/>
        </w:rPr>
        <w:t xml:space="preserve">UK, GPS/logger sourced from </w:t>
      </w:r>
      <w:proofErr w:type="spellStart"/>
      <w:r w:rsidR="006B6ACF">
        <w:rPr>
          <w:lang w:val="en-GB"/>
        </w:rPr>
        <w:t>Emlid</w:t>
      </w:r>
      <w:proofErr w:type="spellEnd"/>
      <w:r w:rsidR="006B6ACF">
        <w:rPr>
          <w:lang w:val="en-GB"/>
        </w:rPr>
        <w:t xml:space="preserve"> Reach [20]</w:t>
      </w:r>
      <w:r w:rsidRPr="00106626">
        <w:rPr>
          <w:lang w:val="en-GB"/>
        </w:rPr>
        <w:t xml:space="preserve">). The GNSS system consisted of a U-blox M8T </w:t>
      </w:r>
      <w:r w:rsidRPr="00106626">
        <w:rPr>
          <w:i/>
          <w:lang w:val="en-GB"/>
        </w:rPr>
        <w:fldChar w:fldCharType="begin"/>
      </w:r>
      <w:r w:rsidRPr="00106626">
        <w:rPr>
          <w:lang w:val="en-GB"/>
        </w:rPr>
        <w:instrText xml:space="preserve"> ADDIN EN.CITE &lt;EndNote&gt;&lt;Cite&gt;&lt;Year&gt;2019&lt;/Year&gt;&lt;RecNum&gt;64&lt;/RecNum&gt;&lt;DisplayText&gt;&lt;style size="10"&gt;[19]&lt;/style&gt;&lt;/DisplayText&gt;&lt;record&gt;&lt;rec-number&gt;64&lt;/rec-number&gt;&lt;foreign-keys&gt;&lt;key app="EN" db-id="sd9w9tfd2arwx9e9sf8pdtz6fttd0rp5r5p5" timestamp="1629231700"&gt;64&lt;/key&gt;&lt;/foreign-keys&gt;&lt;ref-type name="Web Page"&gt;12&lt;/ref-type&gt;&lt;contributors&gt;&lt;/contributors&gt;&lt;titles&gt;&lt;title&gt;U-blox, Product details for M8T series GNSS receivers&lt;/title&gt;&lt;/titles&gt;&lt;volume&gt;2019&lt;/volume&gt;&lt;number&gt;16 Apr 2019&lt;/number&gt;&lt;dates&gt;&lt;year&gt;2019&lt;/year&gt;&lt;/dates&gt;&lt;urls&gt;&lt;related-urls&gt;&lt;url&gt;https://www.u-blox.com/en/product/neolea-m8t-series &lt;/url&gt;&lt;/related-urls&gt;&lt;/urls&gt;&lt;/record&gt;&lt;/Cite&gt;&lt;/EndNote&gt;</w:instrText>
      </w:r>
      <w:r w:rsidRPr="00106626">
        <w:rPr>
          <w:i/>
          <w:lang w:val="en-GB"/>
        </w:rPr>
        <w:fldChar w:fldCharType="separate"/>
      </w:r>
      <w:r w:rsidRPr="00106626">
        <w:rPr>
          <w:lang w:val="en-GB"/>
        </w:rPr>
        <w:t>[19]</w:t>
      </w:r>
      <w:r w:rsidRPr="00106626">
        <w:rPr>
          <w:i/>
          <w:lang w:val="en-GB"/>
        </w:rPr>
        <w:fldChar w:fldCharType="end"/>
      </w:r>
      <w:r w:rsidRPr="00106626">
        <w:rPr>
          <w:lang w:val="en-GB"/>
        </w:rPr>
        <w:t xml:space="preserve"> single frequency receiver (embedded on the Emlid Reach </w:t>
      </w:r>
      <w:r w:rsidRPr="00106626">
        <w:rPr>
          <w:i/>
          <w:lang w:val="en-GB"/>
        </w:rPr>
        <w:fldChar w:fldCharType="begin"/>
      </w:r>
      <w:r w:rsidRPr="00106626">
        <w:rPr>
          <w:lang w:val="en-GB"/>
        </w:rPr>
        <w:instrText xml:space="preserve"> ADDIN EN.CITE &lt;EndNote&gt;&lt;Cite&gt;&lt;Year&gt;2019&lt;/Year&gt;&lt;RecNum&gt;63&lt;/RecNum&gt;&lt;DisplayText&gt;&lt;style size="10"&gt;[20]&lt;/style&gt;&lt;/DisplayText&gt;&lt;record&gt;&lt;rec-number&gt;63&lt;/rec-number&gt;&lt;foreign-keys&gt;&lt;key app="EN" db-id="sd9w9tfd2arwx9e9sf8pdtz6fttd0rp5r5p5" timestamp="1629231560"&gt;63&lt;/key&gt;&lt;/foreign-keys&gt;&lt;ref-type name="Web Page"&gt;12&lt;/ref-type&gt;&lt;contributors&gt;&lt;/contributors&gt;&lt;titles&gt;&lt;title&gt;Emlid Reach M+ RTK GNSS module for precise navigation and UAV mapping&lt;/title&gt;&lt;/titles&gt;&lt;volume&gt;2019&lt;/volume&gt;&lt;number&gt;16 Apr 2019&lt;/number&gt;&lt;dates&gt;&lt;year&gt;2019&lt;/year&gt;&lt;/dates&gt;&lt;urls&gt;&lt;/urls&gt;&lt;/record&gt;&lt;/Cite&gt;&lt;/EndNote&gt;</w:instrText>
      </w:r>
      <w:r w:rsidRPr="00106626">
        <w:rPr>
          <w:i/>
          <w:lang w:val="en-GB"/>
        </w:rPr>
        <w:fldChar w:fldCharType="separate"/>
      </w:r>
      <w:r w:rsidRPr="00106626">
        <w:rPr>
          <w:lang w:val="en-GB"/>
        </w:rPr>
        <w:t>[20]</w:t>
      </w:r>
      <w:r w:rsidRPr="00106626">
        <w:rPr>
          <w:i/>
          <w:lang w:val="en-GB"/>
        </w:rPr>
        <w:fldChar w:fldCharType="end"/>
      </w:r>
      <w:r w:rsidRPr="00106626">
        <w:rPr>
          <w:lang w:val="en-GB"/>
        </w:rPr>
        <w:t>) using a Ta</w:t>
      </w:r>
      <w:r w:rsidRPr="00106626">
        <w:rPr>
          <w:lang w:val="en-GB"/>
        </w:rPr>
        <w:t>l</w:t>
      </w:r>
      <w:r w:rsidRPr="00106626">
        <w:rPr>
          <w:lang w:val="en-GB"/>
        </w:rPr>
        <w:t>lysman patch antenna, with a 10</w:t>
      </w:r>
      <w:r w:rsidR="00BA6709">
        <w:rPr>
          <w:lang w:val="en-GB"/>
        </w:rPr>
        <w:t xml:space="preserve"> </w:t>
      </w:r>
      <w:r w:rsidRPr="00106626">
        <w:rPr>
          <w:lang w:val="en-GB"/>
        </w:rPr>
        <w:t xml:space="preserve">cm square aluminium ground plane. The ground plane is essential to reduce multi-path reflections and increase the antenna gain </w:t>
      </w:r>
      <w:r w:rsidRPr="00106626">
        <w:rPr>
          <w:i/>
          <w:lang w:val="en-GB"/>
        </w:rPr>
        <w:fldChar w:fldCharType="begin"/>
      </w:r>
      <w:r w:rsidRPr="00106626">
        <w:rPr>
          <w:lang w:val="en-GB"/>
        </w:rPr>
        <w:instrText xml:space="preserve"> ADDIN EN.CITE &lt;EndNote&gt;&lt;Cite&gt;&lt;Year&gt;2019&lt;/Year&gt;&lt;RecNum&gt;65&lt;/RecNum&gt;&lt;DisplayText&gt;&lt;style size="10"&gt;[21]&lt;/style&gt;&lt;/DisplayText&gt;&lt;record&gt;&lt;rec-number&gt;65&lt;/rec-number&gt;&lt;foreign-keys&gt;&lt;key app="EN" db-id="sd9w9tfd2arwx9e9sf8pdtz6fttd0rp5r5p5" timestamp="1629231779"&gt;65&lt;/key&gt;&lt;/foreign-keys&gt;&lt;ref-type name="Web Page"&gt;12&lt;/ref-type&gt;&lt;contributors&gt;&lt;/contributors&gt;&lt;titles&gt;&lt;title&gt;Ublox, Application Note: GPS Antennas, RF design considerations for U-blox GPS Receivers&lt;/title&gt;&lt;/titles&gt;&lt;volume&gt;2019&lt;/volume&gt;&lt;number&gt;24 May 2019&lt;/number&gt;&lt;dates&gt;&lt;year&gt;2019&lt;/year&gt;&lt;/dates&gt;&lt;urls&gt;&lt;related-urls&gt;&lt;url&gt;https://www.u-blox.com/sites/default/files/products/documents/GPS-Antenna_AppNote_(GPS-X-08014).pdf &lt;/url&gt;&lt;/related-urls&gt;&lt;/urls&gt;&lt;/record&gt;&lt;/Cite&gt;&lt;/EndNote&gt;</w:instrText>
      </w:r>
      <w:r w:rsidRPr="00106626">
        <w:rPr>
          <w:i/>
          <w:lang w:val="en-GB"/>
        </w:rPr>
        <w:fldChar w:fldCharType="separate"/>
      </w:r>
      <w:r w:rsidRPr="00106626">
        <w:rPr>
          <w:lang w:val="en-GB"/>
        </w:rPr>
        <w:t>[21]</w:t>
      </w:r>
      <w:r w:rsidRPr="00106626">
        <w:rPr>
          <w:i/>
          <w:lang w:val="en-GB"/>
        </w:rPr>
        <w:fldChar w:fldCharType="end"/>
      </w:r>
      <w:r w:rsidRPr="00106626">
        <w:rPr>
          <w:lang w:val="en-GB"/>
        </w:rPr>
        <w:t>; its opt</w:t>
      </w:r>
      <w:r w:rsidRPr="00106626">
        <w:rPr>
          <w:lang w:val="en-GB"/>
        </w:rPr>
        <w:t>i</w:t>
      </w:r>
      <w:r w:rsidRPr="00106626">
        <w:rPr>
          <w:lang w:val="en-GB"/>
        </w:rPr>
        <w:t>mum dimensions (often supplied with antenna manufacturer’s specifications) are d</w:t>
      </w:r>
      <w:r w:rsidRPr="00106626">
        <w:rPr>
          <w:lang w:val="en-GB"/>
        </w:rPr>
        <w:t>e</w:t>
      </w:r>
      <w:r w:rsidRPr="00106626">
        <w:rPr>
          <w:lang w:val="en-GB"/>
        </w:rPr>
        <w:t>termined by the antenna size. An EasyAcc 20,000 mAh battery pack was used with the Emlid Reach, which provided enough power to cover the period of the experiment; the expected endurance based on the power requirements is up to 4 days. The Emlid Reach was also Wi-Fi-enabled, and this is the method used for downloading data to a laptop after the deployment (typically ~10</w:t>
      </w:r>
      <w:r w:rsidR="007A5E5E" w:rsidRPr="00106626">
        <w:rPr>
          <w:lang w:val="en-GB"/>
        </w:rPr>
        <w:t>0 M</w:t>
      </w:r>
      <w:r w:rsidRPr="00106626">
        <w:rPr>
          <w:lang w:val="en-GB"/>
        </w:rPr>
        <w:t>b of zipped raw U-blox format data per day). In trials with an Alpha network antenna (AC1200 USB Wireless Adapter) connected to a laptop, a distance of up to 50</w:t>
      </w:r>
      <w:r w:rsidR="007A5E5E" w:rsidRPr="00106626">
        <w:rPr>
          <w:lang w:val="en-GB"/>
        </w:rPr>
        <w:t>0 m</w:t>
      </w:r>
      <w:r w:rsidRPr="00106626">
        <w:rPr>
          <w:lang w:val="en-GB"/>
        </w:rPr>
        <w:t xml:space="preserve"> was achieved for successful downloads with the moo</w:t>
      </w:r>
      <w:r w:rsidRPr="00106626">
        <w:rPr>
          <w:lang w:val="en-GB"/>
        </w:rPr>
        <w:t>r</w:t>
      </w:r>
      <w:r w:rsidRPr="00106626">
        <w:rPr>
          <w:lang w:val="en-GB"/>
        </w:rPr>
        <w:t>ing still floating in the water (without needing to recover, and open the electronics e</w:t>
      </w:r>
      <w:r w:rsidRPr="00106626">
        <w:rPr>
          <w:lang w:val="en-GB"/>
        </w:rPr>
        <w:t>n</w:t>
      </w:r>
      <w:r w:rsidRPr="00106626">
        <w:rPr>
          <w:lang w:val="en-GB"/>
        </w:rPr>
        <w:t>closure).</w:t>
      </w:r>
    </w:p>
    <w:tbl>
      <w:tblPr>
        <w:tblW w:w="10465" w:type="dxa"/>
        <w:jc w:val="center"/>
        <w:tblLayout w:type="fixed"/>
        <w:tblCellMar>
          <w:left w:w="0" w:type="dxa"/>
          <w:right w:w="0" w:type="dxa"/>
        </w:tblCellMar>
        <w:tblLook w:val="0000" w:firstRow="0" w:lastRow="0" w:firstColumn="0" w:lastColumn="0" w:noHBand="0" w:noVBand="0"/>
      </w:tblPr>
      <w:tblGrid>
        <w:gridCol w:w="5267"/>
        <w:gridCol w:w="5198"/>
      </w:tblGrid>
      <w:tr w:rsidR="00EE6584" w:rsidRPr="00106626" w14:paraId="11E30B5A" w14:textId="77777777" w:rsidTr="00EE6584">
        <w:trPr>
          <w:jc w:val="center"/>
        </w:trPr>
        <w:tc>
          <w:tcPr>
            <w:tcW w:w="4688" w:type="dxa"/>
            <w:shd w:val="clear" w:color="auto" w:fill="auto"/>
            <w:vAlign w:val="center"/>
          </w:tcPr>
          <w:p w14:paraId="618F2B95" w14:textId="77777777" w:rsidR="00EE6584" w:rsidRPr="00106626" w:rsidRDefault="00EE6584" w:rsidP="00EE6584">
            <w:pPr>
              <w:pStyle w:val="MDPI52figure"/>
              <w:autoSpaceDE w:val="0"/>
              <w:autoSpaceDN w:val="0"/>
              <w:spacing w:before="0" w:after="0"/>
              <w:rPr>
                <w:b/>
                <w:lang w:val="en-GB"/>
              </w:rPr>
            </w:pPr>
            <w:r w:rsidRPr="00106626">
              <w:rPr>
                <w:b/>
                <w:noProof/>
                <w:lang w:val="en-GB" w:eastAsia="en-GB" w:bidi="ar-SA"/>
              </w:rPr>
              <w:drawing>
                <wp:inline distT="0" distB="0" distL="0" distR="0" wp14:anchorId="56672525" wp14:editId="4E08D9A7">
                  <wp:extent cx="2792095" cy="209740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2095" cy="2097405"/>
                          </a:xfrm>
                          <a:prstGeom prst="rect">
                            <a:avLst/>
                          </a:prstGeom>
                          <a:noFill/>
                        </pic:spPr>
                      </pic:pic>
                    </a:graphicData>
                  </a:graphic>
                </wp:inline>
              </w:drawing>
            </w:r>
          </w:p>
        </w:tc>
        <w:tc>
          <w:tcPr>
            <w:tcW w:w="4627" w:type="dxa"/>
            <w:shd w:val="clear" w:color="auto" w:fill="auto"/>
            <w:vAlign w:val="center"/>
          </w:tcPr>
          <w:p w14:paraId="4C87D429" w14:textId="77777777" w:rsidR="00EE6584" w:rsidRPr="00106626" w:rsidRDefault="00EE6584" w:rsidP="00EE6584">
            <w:pPr>
              <w:pStyle w:val="MDPI22heading2"/>
              <w:autoSpaceDE w:val="0"/>
              <w:autoSpaceDN w:val="0"/>
              <w:spacing w:before="0" w:after="0" w:line="240" w:lineRule="auto"/>
              <w:ind w:left="0"/>
              <w:jc w:val="center"/>
              <w:outlineLvl w:val="9"/>
              <w:rPr>
                <w:b/>
                <w:i w:val="0"/>
                <w:iCs/>
                <w:lang w:val="en-GB"/>
              </w:rPr>
            </w:pPr>
            <w:r w:rsidRPr="00106626">
              <w:rPr>
                <w:rFonts w:ascii="Times New Roman" w:hAnsi="Times New Roman"/>
                <w:b/>
                <w:lang w:val="en-GB" w:eastAsia="en-GB" w:bidi="ar-SA"/>
              </w:rPr>
              <w:drawing>
                <wp:inline distT="0" distB="0" distL="0" distR="0" wp14:anchorId="4492B402" wp14:editId="4B10907C">
                  <wp:extent cx="2762250" cy="2072132"/>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0405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3351" cy="2072958"/>
                          </a:xfrm>
                          <a:prstGeom prst="rect">
                            <a:avLst/>
                          </a:prstGeom>
                        </pic:spPr>
                      </pic:pic>
                    </a:graphicData>
                  </a:graphic>
                </wp:inline>
              </w:drawing>
            </w:r>
          </w:p>
        </w:tc>
      </w:tr>
      <w:tr w:rsidR="00EE6584" w:rsidRPr="00106626" w14:paraId="15FB3098" w14:textId="77777777" w:rsidTr="00EE6584">
        <w:trPr>
          <w:jc w:val="center"/>
        </w:trPr>
        <w:tc>
          <w:tcPr>
            <w:tcW w:w="4688" w:type="dxa"/>
            <w:shd w:val="clear" w:color="auto" w:fill="auto"/>
            <w:vAlign w:val="center"/>
          </w:tcPr>
          <w:p w14:paraId="4E374918" w14:textId="77777777" w:rsidR="00EE6584" w:rsidRPr="00106626" w:rsidRDefault="00EE6584" w:rsidP="00EE6584">
            <w:pPr>
              <w:pStyle w:val="MDPI22heading2"/>
              <w:autoSpaceDE w:val="0"/>
              <w:autoSpaceDN w:val="0"/>
              <w:spacing w:before="0" w:after="0" w:line="240" w:lineRule="auto"/>
              <w:ind w:left="0"/>
              <w:jc w:val="center"/>
              <w:outlineLvl w:val="9"/>
              <w:rPr>
                <w:i w:val="0"/>
                <w:lang w:val="en-GB"/>
              </w:rPr>
            </w:pPr>
            <w:r w:rsidRPr="00106626">
              <w:rPr>
                <w:i w:val="0"/>
                <w:lang w:val="en-GB"/>
              </w:rPr>
              <w:t>(</w:t>
            </w:r>
            <w:r w:rsidRPr="00106626">
              <w:rPr>
                <w:b/>
                <w:i w:val="0"/>
                <w:lang w:val="en-GB"/>
              </w:rPr>
              <w:t>a</w:t>
            </w:r>
            <w:r w:rsidRPr="00106626">
              <w:rPr>
                <w:i w:val="0"/>
                <w:lang w:val="en-GB"/>
              </w:rPr>
              <w:t>)</w:t>
            </w:r>
          </w:p>
        </w:tc>
        <w:tc>
          <w:tcPr>
            <w:tcW w:w="4627" w:type="dxa"/>
            <w:shd w:val="clear" w:color="auto" w:fill="auto"/>
            <w:vAlign w:val="center"/>
          </w:tcPr>
          <w:p w14:paraId="39FC0FE9" w14:textId="77777777" w:rsidR="00EE6584" w:rsidRPr="00106626" w:rsidRDefault="00EE6584" w:rsidP="00EE6584">
            <w:pPr>
              <w:pStyle w:val="MDPI22heading2"/>
              <w:autoSpaceDE w:val="0"/>
              <w:autoSpaceDN w:val="0"/>
              <w:spacing w:before="0" w:after="0" w:line="240" w:lineRule="auto"/>
              <w:ind w:left="0"/>
              <w:jc w:val="center"/>
              <w:outlineLvl w:val="9"/>
              <w:rPr>
                <w:i w:val="0"/>
                <w:lang w:val="en-GB"/>
              </w:rPr>
            </w:pPr>
            <w:r w:rsidRPr="00106626">
              <w:rPr>
                <w:i w:val="0"/>
                <w:lang w:val="en-GB"/>
              </w:rPr>
              <w:t>(</w:t>
            </w:r>
            <w:r w:rsidRPr="00106626">
              <w:rPr>
                <w:b/>
                <w:i w:val="0"/>
                <w:lang w:val="en-GB"/>
              </w:rPr>
              <w:t>b</w:t>
            </w:r>
            <w:r w:rsidRPr="00106626">
              <w:rPr>
                <w:i w:val="0"/>
                <w:lang w:val="en-GB"/>
              </w:rPr>
              <w:t>)</w:t>
            </w:r>
          </w:p>
        </w:tc>
      </w:tr>
      <w:tr w:rsidR="00EE6584" w:rsidRPr="00106626" w14:paraId="403F9B4B" w14:textId="77777777" w:rsidTr="00EE6584">
        <w:trPr>
          <w:jc w:val="center"/>
        </w:trPr>
        <w:tc>
          <w:tcPr>
            <w:tcW w:w="9315" w:type="dxa"/>
            <w:gridSpan w:val="2"/>
            <w:shd w:val="clear" w:color="auto" w:fill="auto"/>
            <w:vAlign w:val="center"/>
          </w:tcPr>
          <w:p w14:paraId="6083ED9D" w14:textId="77777777" w:rsidR="00EE6584" w:rsidRPr="00106626" w:rsidRDefault="00EE6584" w:rsidP="00EE6584">
            <w:pPr>
              <w:pStyle w:val="MDPI22heading2"/>
              <w:autoSpaceDE w:val="0"/>
              <w:autoSpaceDN w:val="0"/>
              <w:spacing w:before="0" w:after="0" w:line="240" w:lineRule="auto"/>
              <w:ind w:left="0"/>
              <w:jc w:val="center"/>
              <w:outlineLvl w:val="9"/>
              <w:rPr>
                <w:i w:val="0"/>
                <w:lang w:val="en-GB"/>
              </w:rPr>
            </w:pPr>
            <w:r w:rsidRPr="00106626">
              <w:rPr>
                <w:i w:val="0"/>
                <w:lang w:val="en-GB" w:eastAsia="en-GB" w:bidi="ar-SA"/>
              </w:rPr>
              <w:lastRenderedPageBreak/>
              <w:drawing>
                <wp:inline distT="0" distB="0" distL="0" distR="0" wp14:anchorId="5583C421" wp14:editId="3B081316">
                  <wp:extent cx="3900805" cy="5195570"/>
                  <wp:effectExtent l="0" t="0" r="444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0805" cy="5195570"/>
                          </a:xfrm>
                          <a:prstGeom prst="rect">
                            <a:avLst/>
                          </a:prstGeom>
                          <a:noFill/>
                        </pic:spPr>
                      </pic:pic>
                    </a:graphicData>
                  </a:graphic>
                </wp:inline>
              </w:drawing>
            </w:r>
          </w:p>
        </w:tc>
      </w:tr>
      <w:tr w:rsidR="00EE6584" w:rsidRPr="00106626" w14:paraId="117218FD" w14:textId="77777777" w:rsidTr="00EE6584">
        <w:trPr>
          <w:jc w:val="center"/>
        </w:trPr>
        <w:tc>
          <w:tcPr>
            <w:tcW w:w="9315" w:type="dxa"/>
            <w:gridSpan w:val="2"/>
            <w:shd w:val="clear" w:color="auto" w:fill="auto"/>
            <w:vAlign w:val="center"/>
          </w:tcPr>
          <w:p w14:paraId="63355E5E" w14:textId="77777777" w:rsidR="00EE6584" w:rsidRPr="00106626" w:rsidRDefault="00EE6584" w:rsidP="00EE6584">
            <w:pPr>
              <w:pStyle w:val="MDPI22heading2"/>
              <w:autoSpaceDE w:val="0"/>
              <w:autoSpaceDN w:val="0"/>
              <w:spacing w:before="0" w:after="0" w:line="240" w:lineRule="auto"/>
              <w:ind w:left="0"/>
              <w:jc w:val="center"/>
              <w:outlineLvl w:val="9"/>
              <w:rPr>
                <w:i w:val="0"/>
                <w:lang w:val="en-GB"/>
              </w:rPr>
            </w:pPr>
            <w:r w:rsidRPr="00106626">
              <w:rPr>
                <w:i w:val="0"/>
                <w:lang w:val="en-GB"/>
              </w:rPr>
              <w:t>(</w:t>
            </w:r>
            <w:r w:rsidRPr="00106626">
              <w:rPr>
                <w:b/>
                <w:i w:val="0"/>
                <w:lang w:val="en-GB"/>
              </w:rPr>
              <w:t>c</w:t>
            </w:r>
            <w:r w:rsidRPr="00106626">
              <w:rPr>
                <w:i w:val="0"/>
                <w:lang w:val="en-GB"/>
              </w:rPr>
              <w:t>)</w:t>
            </w:r>
          </w:p>
        </w:tc>
      </w:tr>
    </w:tbl>
    <w:p w14:paraId="61355768" w14:textId="77777777" w:rsidR="00EE6584" w:rsidRPr="00106626" w:rsidRDefault="00EE6584" w:rsidP="00EE6584">
      <w:pPr>
        <w:pStyle w:val="MDPI51figurecaption"/>
        <w:ind w:left="425" w:right="425"/>
        <w:jc w:val="both"/>
        <w:rPr>
          <w:lang w:val="en-GB"/>
        </w:rPr>
      </w:pPr>
      <w:r w:rsidRPr="00106626">
        <w:rPr>
          <w:b/>
          <w:lang w:val="en-GB"/>
        </w:rPr>
        <w:t xml:space="preserve">Figure 1. </w:t>
      </w:r>
      <w:r w:rsidRPr="00106626">
        <w:rPr>
          <w:lang w:val="en-GB"/>
        </w:rPr>
        <w:t>(</w:t>
      </w:r>
      <w:r w:rsidRPr="00106626">
        <w:rPr>
          <w:b/>
          <w:lang w:val="en-GB"/>
        </w:rPr>
        <w:t>a</w:t>
      </w:r>
      <w:r w:rsidRPr="00106626">
        <w:rPr>
          <w:lang w:val="en-GB"/>
        </w:rPr>
        <w:t>) Top part of mooring together with the GNSS buoy, (</w:t>
      </w:r>
      <w:r w:rsidRPr="00106626">
        <w:rPr>
          <w:b/>
          <w:lang w:val="en-GB"/>
        </w:rPr>
        <w:t>b</w:t>
      </w:r>
      <w:r w:rsidRPr="00106626">
        <w:rPr>
          <w:lang w:val="en-GB"/>
        </w:rPr>
        <w:t>) ground anchor with swivel, (</w:t>
      </w:r>
      <w:r w:rsidRPr="00106626">
        <w:rPr>
          <w:b/>
          <w:lang w:val="en-GB"/>
        </w:rPr>
        <w:t>c</w:t>
      </w:r>
      <w:r w:rsidRPr="00106626">
        <w:rPr>
          <w:lang w:val="en-GB"/>
        </w:rPr>
        <w:t>)</w:t>
      </w:r>
      <w:r w:rsidRPr="00106626">
        <w:rPr>
          <w:b/>
          <w:lang w:val="en-GB"/>
        </w:rPr>
        <w:t xml:space="preserve"> </w:t>
      </w:r>
      <w:r w:rsidRPr="00106626">
        <w:rPr>
          <w:lang w:val="en-GB"/>
        </w:rPr>
        <w:t>complete mooring installed and laid out on the beach at low water.</w:t>
      </w:r>
    </w:p>
    <w:p w14:paraId="1C439BCC" w14:textId="53A9D3E4" w:rsidR="003B2643" w:rsidRPr="00106626" w:rsidRDefault="003B2643" w:rsidP="00EE6584">
      <w:pPr>
        <w:pStyle w:val="MDPI31text"/>
        <w:rPr>
          <w:lang w:val="en-GB"/>
        </w:rPr>
      </w:pPr>
      <w:r w:rsidRPr="00106626">
        <w:rPr>
          <w:lang w:val="en-GB"/>
        </w:rPr>
        <w:t xml:space="preserve">GPS and GLONASS raw satellite data were recorded at </w:t>
      </w:r>
      <w:r w:rsidR="007A5E5E" w:rsidRPr="00106626">
        <w:rPr>
          <w:lang w:val="en-GB"/>
        </w:rPr>
        <w:t>5 H</w:t>
      </w:r>
      <w:r w:rsidRPr="00106626">
        <w:rPr>
          <w:lang w:val="en-GB"/>
        </w:rPr>
        <w:t>z, including the carrier phase information in the U-blox binary format (ubx). To reduce the chance of water i</w:t>
      </w:r>
      <w:r w:rsidRPr="00106626">
        <w:rPr>
          <w:lang w:val="en-GB"/>
        </w:rPr>
        <w:t>n</w:t>
      </w:r>
      <w:r w:rsidRPr="00106626">
        <w:rPr>
          <w:lang w:val="en-GB"/>
        </w:rPr>
        <w:t>gress into the electronics box, cable ties were applied around the lid to provide additional support to the clamped lid-closure catch.</w:t>
      </w:r>
    </w:p>
    <w:p w14:paraId="68BC9F5F" w14:textId="2701C828" w:rsidR="003B2643" w:rsidRPr="00106626" w:rsidRDefault="003B2643" w:rsidP="00BD37FF">
      <w:pPr>
        <w:pStyle w:val="MDPI31text"/>
        <w:rPr>
          <w:lang w:val="en-GB"/>
        </w:rPr>
      </w:pPr>
      <w:r w:rsidRPr="00106626">
        <w:rPr>
          <w:lang w:val="en-GB"/>
        </w:rPr>
        <w:t>To allow for more free movement of the buoy, the mooring used two additional surface floats (Figure 1a), with the GNSS buoy attached directly to a small Gael Force trawl float and then to a larger yellow polyform A3 buoy. This mooring set-up allows the GNSS buoy to float on the horizonal water level and reduces any angled inclination t</w:t>
      </w:r>
      <w:r w:rsidRPr="00106626">
        <w:rPr>
          <w:lang w:val="en-GB"/>
        </w:rPr>
        <w:t>o</w:t>
      </w:r>
      <w:r w:rsidRPr="00106626">
        <w:rPr>
          <w:lang w:val="en-GB"/>
        </w:rPr>
        <w:t>wards the anchor point. Figure 1a shows the top part of the mooring with the GNSS buoy, trawl float and polyform buoy (~</w:t>
      </w:r>
      <w:r w:rsidR="007A5E5E" w:rsidRPr="00106626">
        <w:rPr>
          <w:lang w:val="en-GB"/>
        </w:rPr>
        <w:t>5 m</w:t>
      </w:r>
      <w:r w:rsidRPr="00106626">
        <w:rPr>
          <w:lang w:val="en-GB"/>
        </w:rPr>
        <w:t xml:space="preserve"> of rope between the GNSS buoy and the polyform buoy). Small 20</w:t>
      </w:r>
      <w:r w:rsidR="007A5E5E" w:rsidRPr="00106626">
        <w:rPr>
          <w:lang w:val="en-GB"/>
        </w:rPr>
        <w:t>0 g</w:t>
      </w:r>
      <w:r w:rsidRPr="00106626">
        <w:rPr>
          <w:lang w:val="en-GB"/>
        </w:rPr>
        <w:t xml:space="preserve"> weights were attached to the middle sections of each rope segment to keep the connections under water and to reduce the chance of tangling with the GNSS buoy float arms. Figure 1b shows the 1</w:t>
      </w:r>
      <w:r w:rsidR="007A5E5E" w:rsidRPr="00106626">
        <w:rPr>
          <w:lang w:val="en-GB"/>
        </w:rPr>
        <w:t>5 m</w:t>
      </w:r>
      <w:r w:rsidRPr="00106626">
        <w:rPr>
          <w:lang w:val="en-GB"/>
        </w:rPr>
        <w:t xml:space="preserve"> of rope connected to the ground anchor (</w:t>
      </w:r>
      <w:r w:rsidR="007A5E5E" w:rsidRPr="00106626">
        <w:rPr>
          <w:lang w:val="en-GB"/>
        </w:rPr>
        <w:t>1 m</w:t>
      </w:r>
      <w:r w:rsidRPr="00106626">
        <w:rPr>
          <w:lang w:val="en-GB"/>
        </w:rPr>
        <w:t xml:space="preserve"> in length) which was screwed into the sand (the swivel helps to prevent the main mooring line from twisting). Figure 1c shows the two different parts of the mooring connected together on the beach at low water.</w:t>
      </w:r>
    </w:p>
    <w:p w14:paraId="582F031C" w14:textId="77777777" w:rsidR="00743848" w:rsidRPr="00106626" w:rsidRDefault="00743848">
      <w:pPr>
        <w:spacing w:line="240" w:lineRule="auto"/>
        <w:jc w:val="left"/>
        <w:rPr>
          <w:rFonts w:eastAsia="Times New Roman"/>
          <w:i/>
          <w:snapToGrid w:val="0"/>
          <w:szCs w:val="22"/>
          <w:lang w:val="en-GB" w:eastAsia="de-DE" w:bidi="en-US"/>
        </w:rPr>
      </w:pPr>
      <w:bookmarkStart w:id="3" w:name="_Hlk81942909"/>
      <w:r w:rsidRPr="00106626">
        <w:rPr>
          <w:lang w:val="en-GB"/>
        </w:rPr>
        <w:br w:type="page"/>
      </w:r>
    </w:p>
    <w:p w14:paraId="5502B123" w14:textId="723E3974" w:rsidR="003B2643" w:rsidRPr="00106626" w:rsidRDefault="00295391" w:rsidP="00295391">
      <w:pPr>
        <w:pStyle w:val="MDPI22heading2"/>
        <w:spacing w:before="240"/>
        <w:rPr>
          <w:lang w:val="en-GB"/>
        </w:rPr>
      </w:pPr>
      <w:r w:rsidRPr="00106626">
        <w:rPr>
          <w:lang w:val="en-GB"/>
        </w:rPr>
        <w:lastRenderedPageBreak/>
        <w:t xml:space="preserve">2.2. </w:t>
      </w:r>
      <w:r w:rsidR="003B2643" w:rsidRPr="00106626">
        <w:rPr>
          <w:lang w:val="en-GB"/>
        </w:rPr>
        <w:t xml:space="preserve">Buoy </w:t>
      </w:r>
      <w:r w:rsidR="00653E94" w:rsidRPr="00106626">
        <w:rPr>
          <w:lang w:val="en-GB"/>
        </w:rPr>
        <w:t xml:space="preserve">Testing </w:t>
      </w:r>
      <w:r w:rsidR="003B2643" w:rsidRPr="00106626">
        <w:rPr>
          <w:lang w:val="en-GB"/>
        </w:rPr>
        <w:t xml:space="preserve">at </w:t>
      </w:r>
      <w:r w:rsidR="00653E94" w:rsidRPr="00106626">
        <w:rPr>
          <w:lang w:val="en-GB"/>
        </w:rPr>
        <w:t>Rossall</w:t>
      </w:r>
    </w:p>
    <w:bookmarkEnd w:id="3"/>
    <w:p w14:paraId="635270F1" w14:textId="72EDE114" w:rsidR="003B2643" w:rsidRPr="00106626" w:rsidRDefault="003B2643" w:rsidP="00295391">
      <w:pPr>
        <w:pStyle w:val="MDPI31text"/>
        <w:rPr>
          <w:lang w:val="en-GB"/>
        </w:rPr>
      </w:pPr>
      <w:r w:rsidRPr="00106626">
        <w:rPr>
          <w:lang w:val="en-GB"/>
        </w:rPr>
        <w:t>Rossall, near Fleetwood in NW England, (Figure 2) was chosen for the beach d</w:t>
      </w:r>
      <w:r w:rsidRPr="00106626">
        <w:rPr>
          <w:lang w:val="en-GB"/>
        </w:rPr>
        <w:t>e</w:t>
      </w:r>
      <w:r w:rsidRPr="00106626">
        <w:rPr>
          <w:lang w:val="en-GB"/>
        </w:rPr>
        <w:t xml:space="preserve">ployment. This location is macro-tidal and has dissipative beach characteristics </w:t>
      </w:r>
      <w:r w:rsidRPr="00106626">
        <w:rPr>
          <w:lang w:val="en-GB"/>
        </w:rPr>
        <w:fldChar w:fldCharType="begin"/>
      </w:r>
      <w:r w:rsidRPr="00106626">
        <w:rPr>
          <w:lang w:val="en-GB"/>
        </w:rPr>
        <w:instrText xml:space="preserve"> ADDIN EN.CITE &lt;EndNote&gt;&lt;Cite&gt;&lt;Author&gt;Scott&lt;/Author&gt;&lt;Year&gt;2011&lt;/Year&gt;&lt;RecNum&gt;53&lt;/RecNum&gt;&lt;DisplayText&gt;&lt;style size="10"&gt;[22,23]&lt;/style&gt;&lt;/DisplayText&gt;&lt;record&gt;&lt;rec-number&gt;53&lt;/rec-number&gt;&lt;foreign-keys&gt;&lt;key app="EN" db-id="sd9w9tfd2arwx9e9sf8pdtz6fttd0rp5r5p5" timestamp="1628973029"&gt;53&lt;/key&gt;&lt;/foreign-keys&gt;&lt;ref-type name="Journal Article"&gt;17&lt;/ref-type&gt;&lt;contributors&gt;&lt;authors&gt;&lt;author&gt;Scott, Tim&lt;/author&gt;&lt;author&gt;Masselink, Gerhard&lt;/author&gt;&lt;author&gt;Russell, Paul&lt;/author&gt;&lt;/authors&gt;&lt;/contributors&gt;&lt;titles&gt;&lt;title&gt;Morphodynamic characteristics and classification of beaches in England and Wales&lt;/title&gt;&lt;secondary-title&gt;Marine Geology&lt;/secondary-title&gt;&lt;/titles&gt;&lt;periodical&gt;&lt;full-title&gt;Marine Geology&lt;/full-title&gt;&lt;/periodical&gt;&lt;pages&gt;1-20&lt;/pages&gt;&lt;volume&gt;286&lt;/volume&gt;&lt;number&gt;1-4&lt;/number&gt;&lt;dates&gt;&lt;year&gt;2011&lt;/year&gt;&lt;/dates&gt;&lt;isbn&gt;0025-3227&lt;/isbn&gt;&lt;urls&gt;&lt;/urls&gt;&lt;/record&gt;&lt;/Cite&gt;&lt;Cite&gt;&lt;Author&gt;Wright&lt;/Author&gt;&lt;Year&gt;1984&lt;/Year&gt;&lt;RecNum&gt;51&lt;/RecNum&gt;&lt;record&gt;&lt;rec-number&gt;51&lt;/rec-number&gt;&lt;foreign-keys&gt;&lt;key app="EN" db-id="sd9w9tfd2arwx9e9sf8pdtz6fttd0rp5r5p5" timestamp="1628972763"&gt;51&lt;/key&gt;&lt;/foreign-keys&gt;&lt;ref-type name="Journal Article"&gt;17&lt;/ref-type&gt;&lt;contributors&gt;&lt;authors&gt;&lt;author&gt;Wright, Lynn D&lt;/author&gt;&lt;author&gt;Short, Andrew D&lt;/author&gt;&lt;/authors&gt;&lt;/contributors&gt;&lt;titles&gt;&lt;title&gt;Morphodynamic variability of surf zones and beaches: a synthesis&lt;/title&gt;&lt;secondary-title&gt;Marine geology&lt;/secondary-title&gt;&lt;/titles&gt;&lt;periodical&gt;&lt;full-title&gt;Marine Geology&lt;/full-title&gt;&lt;/periodical&gt;&lt;pages&gt;93-118&lt;/pages&gt;&lt;volume&gt;56&lt;/volume&gt;&lt;number&gt;1-4&lt;/number&gt;&lt;dates&gt;&lt;year&gt;1984&lt;/year&gt;&lt;/dates&gt;&lt;isbn&gt;0025-3227&lt;/isbn&gt;&lt;urls&gt;&lt;/urls&gt;&lt;/record&gt;&lt;/Cite&gt;&lt;/EndNote&gt;</w:instrText>
      </w:r>
      <w:r w:rsidRPr="00106626">
        <w:rPr>
          <w:lang w:val="en-GB"/>
        </w:rPr>
        <w:fldChar w:fldCharType="separate"/>
      </w:r>
      <w:r w:rsidRPr="00106626">
        <w:rPr>
          <w:noProof/>
          <w:lang w:val="en-GB"/>
        </w:rPr>
        <w:t>[22,23]</w:t>
      </w:r>
      <w:r w:rsidRPr="00106626">
        <w:rPr>
          <w:lang w:val="en-GB"/>
        </w:rPr>
        <w:fldChar w:fldCharType="end"/>
      </w:r>
      <w:r w:rsidRPr="00106626">
        <w:rPr>
          <w:lang w:val="en-GB"/>
        </w:rPr>
        <w:t xml:space="preserve"> </w:t>
      </w:r>
      <w:r w:rsidR="00BA6709">
        <w:rPr>
          <w:lang w:val="en-GB"/>
        </w:rPr>
        <w:t xml:space="preserve">because </w:t>
      </w:r>
      <w:r w:rsidRPr="00106626">
        <w:rPr>
          <w:lang w:val="en-GB"/>
        </w:rPr>
        <w:t>it consists of fine sand, has a gentle profile gradient (e.g., 1:50)</w:t>
      </w:r>
      <w:r w:rsidR="00BA6709">
        <w:rPr>
          <w:lang w:val="en-GB"/>
        </w:rPr>
        <w:t>,</w:t>
      </w:r>
      <w:r w:rsidRPr="00106626">
        <w:rPr>
          <w:lang w:val="en-GB"/>
        </w:rPr>
        <w:t xml:space="preserve"> and has a m</w:t>
      </w:r>
      <w:r w:rsidRPr="00106626">
        <w:rPr>
          <w:lang w:val="en-GB"/>
        </w:rPr>
        <w:t>e</w:t>
      </w:r>
      <w:r w:rsidRPr="00106626">
        <w:rPr>
          <w:lang w:val="en-GB"/>
        </w:rPr>
        <w:t>dium intertidal zone (~30</w:t>
      </w:r>
      <w:r w:rsidR="007A5E5E" w:rsidRPr="00106626">
        <w:rPr>
          <w:lang w:val="en-GB"/>
        </w:rPr>
        <w:t>0 m</w:t>
      </w:r>
      <w:r w:rsidRPr="00106626">
        <w:rPr>
          <w:lang w:val="en-GB"/>
        </w:rPr>
        <w:t>). It is likely that spilling waves would be present, which typically dissipate their energy gradually over a wide surf zone. The location of the GNSS buoy was adjacent to an existing coastal monitoring system (consisting of a deployed X-band radar), and would provide a realistic ‘typical’ setting for an assessment of its c</w:t>
      </w:r>
      <w:r w:rsidRPr="00106626">
        <w:rPr>
          <w:lang w:val="en-GB"/>
        </w:rPr>
        <w:t>a</w:t>
      </w:r>
      <w:r w:rsidRPr="00106626">
        <w:rPr>
          <w:lang w:val="en-GB"/>
        </w:rPr>
        <w:t>pability.</w:t>
      </w:r>
    </w:p>
    <w:p w14:paraId="54FD7A65" w14:textId="77777777" w:rsidR="00743848" w:rsidRPr="00106626" w:rsidRDefault="00743848" w:rsidP="00743848">
      <w:pPr>
        <w:pStyle w:val="MDPI52figure"/>
        <w:ind w:left="2608"/>
        <w:jc w:val="left"/>
        <w:rPr>
          <w:lang w:val="en-GB"/>
        </w:rPr>
      </w:pPr>
      <w:r w:rsidRPr="00106626">
        <w:rPr>
          <w:noProof/>
          <w:snapToGrid/>
          <w:lang w:val="en-GB" w:eastAsia="en-GB" w:bidi="ar-SA"/>
        </w:rPr>
        <w:drawing>
          <wp:inline distT="0" distB="0" distL="0" distR="0" wp14:anchorId="7F322FEE" wp14:editId="4365B173">
            <wp:extent cx="4241491" cy="5685633"/>
            <wp:effectExtent l="0" t="0" r="6985" b="0"/>
            <wp:docPr id="33" name="Picture 3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49241" cy="5696022"/>
                    </a:xfrm>
                    <a:prstGeom prst="rect">
                      <a:avLst/>
                    </a:prstGeom>
                  </pic:spPr>
                </pic:pic>
              </a:graphicData>
            </a:graphic>
          </wp:inline>
        </w:drawing>
      </w:r>
    </w:p>
    <w:p w14:paraId="1B4D4A90" w14:textId="27E748CA" w:rsidR="00743848" w:rsidRPr="00106626" w:rsidRDefault="00743848" w:rsidP="00743848">
      <w:pPr>
        <w:pStyle w:val="MDPI51figurecaption"/>
        <w:jc w:val="both"/>
        <w:rPr>
          <w:lang w:val="en-GB"/>
        </w:rPr>
      </w:pPr>
      <w:r w:rsidRPr="00106626">
        <w:rPr>
          <w:b/>
          <w:lang w:val="en-GB"/>
        </w:rPr>
        <w:t xml:space="preserve">Figure 2. </w:t>
      </w:r>
      <w:r w:rsidRPr="00106626">
        <w:rPr>
          <w:lang w:val="en-GB"/>
        </w:rPr>
        <w:t>Location of Rossall experiment (Lancashire, UK); GNSS buoy, Ordnance Survey GNSS station, Cleveleys wave buoy. Base map source: EDINA Marine Digimap Service (</w:t>
      </w:r>
      <w:hyperlink r:id="rId18" w:history="1">
        <w:r w:rsidRPr="00106626">
          <w:rPr>
            <w:rStyle w:val="Hyperlink"/>
            <w:color w:val="auto"/>
            <w:u w:val="none"/>
            <w:lang w:val="en-GB"/>
          </w:rPr>
          <w:t>http://edina.ac.uk/digimap</w:t>
        </w:r>
      </w:hyperlink>
      <w:r w:rsidRPr="00AB2294">
        <w:rPr>
          <w:color w:val="auto"/>
          <w:lang w:val="en-GB"/>
        </w:rPr>
        <w:t xml:space="preserve">) </w:t>
      </w:r>
      <w:r w:rsidRPr="00AB2294">
        <w:rPr>
          <w:lang w:val="en-GB"/>
        </w:rPr>
        <w:t>(accessed on</w:t>
      </w:r>
      <w:r w:rsidR="00EC3A86" w:rsidRPr="00AB2294">
        <w:rPr>
          <w:lang w:val="en-GB"/>
        </w:rPr>
        <w:t xml:space="preserve"> 1</w:t>
      </w:r>
      <w:r w:rsidR="00EC3A86" w:rsidRPr="00AB2294">
        <w:rPr>
          <w:vertAlign w:val="superscript"/>
          <w:lang w:val="en-GB"/>
        </w:rPr>
        <w:t>st</w:t>
      </w:r>
      <w:r w:rsidR="00EC3A86" w:rsidRPr="00AB2294">
        <w:rPr>
          <w:lang w:val="en-GB"/>
        </w:rPr>
        <w:t xml:space="preserve"> June 2021</w:t>
      </w:r>
      <w:r w:rsidRPr="00AB2294">
        <w:rPr>
          <w:lang w:val="en-GB"/>
        </w:rPr>
        <w:t>).</w:t>
      </w:r>
    </w:p>
    <w:p w14:paraId="6CC3B699" w14:textId="2D0B9783" w:rsidR="003B2643" w:rsidRPr="00106626" w:rsidRDefault="003B2643" w:rsidP="00743848">
      <w:pPr>
        <w:pStyle w:val="MDPI31text"/>
        <w:rPr>
          <w:lang w:val="en-GB"/>
        </w:rPr>
      </w:pPr>
      <w:r w:rsidRPr="00106626">
        <w:rPr>
          <w:lang w:val="en-GB"/>
        </w:rPr>
        <w:t>The buoy was attached to the ground anchor (Figure 1b) and laid flat on the beach (deployed position: WGS: 53°54′48.6″</w:t>
      </w:r>
      <w:r w:rsidR="005468FA" w:rsidRPr="00106626">
        <w:rPr>
          <w:lang w:val="en-GB"/>
        </w:rPr>
        <w:t xml:space="preserve"> </w:t>
      </w:r>
      <w:r w:rsidRPr="00106626">
        <w:rPr>
          <w:lang w:val="en-GB"/>
        </w:rPr>
        <w:t>N, 03°03′14.3″</w:t>
      </w:r>
      <w:r w:rsidR="005468FA" w:rsidRPr="00106626">
        <w:rPr>
          <w:lang w:val="en-GB"/>
        </w:rPr>
        <w:t xml:space="preserve"> </w:t>
      </w:r>
      <w:r w:rsidRPr="00106626">
        <w:rPr>
          <w:lang w:val="en-GB"/>
        </w:rPr>
        <w:t>W). It was approximately 25</w:t>
      </w:r>
      <w:r w:rsidR="007A5E5E" w:rsidRPr="00106626">
        <w:rPr>
          <w:lang w:val="en-GB"/>
        </w:rPr>
        <w:t>0 m</w:t>
      </w:r>
      <w:r w:rsidRPr="00106626">
        <w:rPr>
          <w:lang w:val="en-GB"/>
        </w:rPr>
        <w:t xml:space="preserve"> from the foot of the concrete sea defences, and between two rock armour groynes that are perpendicular to the sea defences and around 10</w:t>
      </w:r>
      <w:r w:rsidR="007A5E5E" w:rsidRPr="00106626">
        <w:rPr>
          <w:lang w:val="en-GB"/>
        </w:rPr>
        <w:t>0 m</w:t>
      </w:r>
      <w:r w:rsidRPr="00106626">
        <w:rPr>
          <w:lang w:val="en-GB"/>
        </w:rPr>
        <w:t xml:space="preserve"> in length. The returned sea level and wave data indicate that a semi-permanent deployment of this GNSS buoy would provide </w:t>
      </w:r>
      <w:r w:rsidRPr="00106626">
        <w:rPr>
          <w:lang w:val="en-GB"/>
        </w:rPr>
        <w:lastRenderedPageBreak/>
        <w:t xml:space="preserve">the necessary data for analysis of X-band radar data, which would in turn improve the accuracy of the derived spatial and temporal beach morphology </w:t>
      </w:r>
      <w:r w:rsidRPr="00106626">
        <w:rPr>
          <w:lang w:val="en-GB"/>
        </w:rPr>
        <w:fldChar w:fldCharType="begin"/>
      </w:r>
      <w:r w:rsidRPr="00106626">
        <w:rPr>
          <w:lang w:val="en-GB"/>
        </w:rPr>
        <w:instrText xml:space="preserve"> ADDIN EN.CITE &lt;EndNote&gt;&lt;Cite&gt;&lt;Author&gt;Bird&lt;/Author&gt;&lt;Year&gt;2017&lt;/Year&gt;&lt;RecNum&gt;37&lt;/RecNum&gt;&lt;DisplayText&gt;&lt;style size="10"&gt;[1]&lt;/style&gt;&lt;/DisplayText&gt;&lt;record&gt;&lt;rec-number&gt;37&lt;/rec-number&gt;&lt;foreign-keys&gt;&lt;key app="EN" db-id="sd9w9tfd2arwx9e9sf8pdtz6fttd0rp5r5p5" timestamp="1628970102"&gt;37&lt;/key&gt;&lt;/foreign-keys&gt;&lt;ref-type name="Journal Article"&gt;17&lt;/ref-type&gt;&lt;contributors&gt;&lt;authors&gt;&lt;author&gt;Bird, Cai O&lt;/author&gt;&lt;author&gt;Bell, Paul S&lt;/author&gt;&lt;author&gt;Plater, Andrew J&lt;/author&gt;&lt;/authors&gt;&lt;/contributors&gt;&lt;titles&gt;&lt;title&gt;Application of marine radar to monitoring seasonal and event-based changes in intertidal morphology&lt;/title&gt;&lt;secondary-title&gt;Geomorphology&lt;/secondary-title&gt;&lt;/titles&gt;&lt;periodical&gt;&lt;full-title&gt;Geomorphology&lt;/full-title&gt;&lt;/periodical&gt;&lt;pages&gt;1-15&lt;/pages&gt;&lt;volume&gt;285&lt;/volume&gt;&lt;dates&gt;&lt;year&gt;2017&lt;/year&gt;&lt;/dates&gt;&lt;isbn&gt;0169-555X&lt;/isbn&gt;&lt;urls&gt;&lt;/urls&gt;&lt;/record&gt;&lt;/Cite&gt;&lt;/EndNote&gt;</w:instrText>
      </w:r>
      <w:r w:rsidRPr="00106626">
        <w:rPr>
          <w:lang w:val="en-GB"/>
        </w:rPr>
        <w:fldChar w:fldCharType="separate"/>
      </w:r>
      <w:r w:rsidRPr="00106626">
        <w:rPr>
          <w:noProof/>
          <w:lang w:val="en-GB"/>
        </w:rPr>
        <w:t>[1]</w:t>
      </w:r>
      <w:r w:rsidRPr="00106626">
        <w:rPr>
          <w:lang w:val="en-GB"/>
        </w:rPr>
        <w:fldChar w:fldCharType="end"/>
      </w:r>
      <w:r w:rsidRPr="00106626">
        <w:rPr>
          <w:lang w:val="en-GB"/>
        </w:rPr>
        <w:t>.</w:t>
      </w:r>
    </w:p>
    <w:p w14:paraId="15B81997" w14:textId="4E3E20EE" w:rsidR="003B2643" w:rsidRPr="00106626" w:rsidRDefault="0011493F" w:rsidP="0011493F">
      <w:pPr>
        <w:pStyle w:val="MDPI22heading2"/>
        <w:spacing w:before="240"/>
        <w:rPr>
          <w:lang w:val="en-GB"/>
        </w:rPr>
      </w:pPr>
      <w:bookmarkStart w:id="4" w:name="_Hlk82199502"/>
      <w:r w:rsidRPr="00106626">
        <w:rPr>
          <w:lang w:val="en-GB"/>
        </w:rPr>
        <w:t xml:space="preserve">2.3. </w:t>
      </w:r>
      <w:r w:rsidR="003B2643" w:rsidRPr="00106626">
        <w:rPr>
          <w:lang w:val="en-GB"/>
        </w:rPr>
        <w:t xml:space="preserve">Local </w:t>
      </w:r>
      <w:r w:rsidR="00653E94" w:rsidRPr="00106626">
        <w:rPr>
          <w:lang w:val="en-GB"/>
        </w:rPr>
        <w:t xml:space="preserve">Tide </w:t>
      </w:r>
      <w:r w:rsidR="003B2643" w:rsidRPr="00106626">
        <w:rPr>
          <w:lang w:val="en-GB"/>
        </w:rPr>
        <w:t xml:space="preserve">and </w:t>
      </w:r>
      <w:r w:rsidR="00653E94" w:rsidRPr="00106626">
        <w:rPr>
          <w:lang w:val="en-GB"/>
        </w:rPr>
        <w:t>Storm Surge Data</w:t>
      </w:r>
    </w:p>
    <w:bookmarkEnd w:id="4"/>
    <w:p w14:paraId="52BA6522" w14:textId="147E3089" w:rsidR="003B2643" w:rsidRPr="00106626" w:rsidRDefault="003B2643" w:rsidP="0011493F">
      <w:pPr>
        <w:pStyle w:val="MDPI31text"/>
        <w:rPr>
          <w:b/>
          <w:lang w:val="en-GB"/>
        </w:rPr>
      </w:pPr>
      <w:r w:rsidRPr="00106626">
        <w:rPr>
          <w:lang w:val="en-GB"/>
        </w:rPr>
        <w:t>Tidal data for comparison with the GNSS buoy results were obtained from the UK Environment Agency (EA) tide gauges at Liverpool (WGS: 53°26′58.9</w:t>
      </w:r>
      <w:r w:rsidR="005468FA" w:rsidRPr="00106626">
        <w:rPr>
          <w:lang w:val="en-GB"/>
        </w:rPr>
        <w:t xml:space="preserve"> </w:t>
      </w:r>
      <w:r w:rsidRPr="00106626">
        <w:rPr>
          <w:lang w:val="en-GB"/>
        </w:rPr>
        <w:t>″N, 03°01′5.2″</w:t>
      </w:r>
      <w:r w:rsidR="005468FA" w:rsidRPr="00106626">
        <w:rPr>
          <w:lang w:val="en-GB"/>
        </w:rPr>
        <w:t xml:space="preserve"> </w:t>
      </w:r>
      <w:r w:rsidRPr="00106626">
        <w:rPr>
          <w:lang w:val="en-GB"/>
        </w:rPr>
        <w:t>W, British National Grid: SJ 3248 9525) 50 km to the south, and Heysham (WGS: 54°01′54.5″</w:t>
      </w:r>
      <w:r w:rsidR="005468FA" w:rsidRPr="00106626">
        <w:rPr>
          <w:lang w:val="en-GB"/>
        </w:rPr>
        <w:t xml:space="preserve"> </w:t>
      </w:r>
      <w:r w:rsidRPr="00106626">
        <w:rPr>
          <w:lang w:val="en-GB"/>
        </w:rPr>
        <w:t>N, 02°55′13.4″</w:t>
      </w:r>
      <w:r w:rsidR="005468FA" w:rsidRPr="00106626">
        <w:rPr>
          <w:lang w:val="en-GB"/>
        </w:rPr>
        <w:t xml:space="preserve"> </w:t>
      </w:r>
      <w:r w:rsidRPr="00106626">
        <w:rPr>
          <w:lang w:val="en-GB"/>
        </w:rPr>
        <w:t>W, British National Grid: SD 3982 5993) 1</w:t>
      </w:r>
      <w:r w:rsidR="007A5E5E" w:rsidRPr="00106626">
        <w:rPr>
          <w:lang w:val="en-GB"/>
        </w:rPr>
        <w:t>5 k</w:t>
      </w:r>
      <w:r w:rsidRPr="00106626">
        <w:rPr>
          <w:lang w:val="en-GB"/>
        </w:rPr>
        <w:t>m to the north-east, dow</w:t>
      </w:r>
      <w:r w:rsidRPr="00106626">
        <w:rPr>
          <w:lang w:val="en-GB"/>
        </w:rPr>
        <w:t>n</w:t>
      </w:r>
      <w:r w:rsidRPr="00106626">
        <w:rPr>
          <w:lang w:val="en-GB"/>
        </w:rPr>
        <w:t>loaded from British Oceanographic Data Centre (BODC) website www.bodc.ac</w:t>
      </w:r>
      <w:r w:rsidRPr="00AB2294">
        <w:rPr>
          <w:lang w:val="en-GB"/>
        </w:rPr>
        <w:t xml:space="preserve">.uk </w:t>
      </w:r>
      <w:r w:rsidR="00CF52A8" w:rsidRPr="00AB2294">
        <w:rPr>
          <w:lang w:val="en-GB"/>
        </w:rPr>
        <w:t>(a</w:t>
      </w:r>
      <w:r w:rsidR="00CF52A8" w:rsidRPr="00AB2294">
        <w:rPr>
          <w:lang w:val="en-GB"/>
        </w:rPr>
        <w:t>c</w:t>
      </w:r>
      <w:r w:rsidR="00CF52A8" w:rsidRPr="00AB2294">
        <w:rPr>
          <w:lang w:val="en-GB"/>
        </w:rPr>
        <w:t>cessed on</w:t>
      </w:r>
      <w:r w:rsidR="00EC3A86" w:rsidRPr="00AB2294">
        <w:rPr>
          <w:lang w:val="en-GB"/>
        </w:rPr>
        <w:t xml:space="preserve"> 4</w:t>
      </w:r>
      <w:r w:rsidR="00EC3A86" w:rsidRPr="00AB2294">
        <w:rPr>
          <w:vertAlign w:val="superscript"/>
          <w:lang w:val="en-GB"/>
        </w:rPr>
        <w:t>th</w:t>
      </w:r>
      <w:r w:rsidR="00EC3A86" w:rsidRPr="00AB2294">
        <w:rPr>
          <w:lang w:val="en-GB"/>
        </w:rPr>
        <w:t xml:space="preserve"> June 2021</w:t>
      </w:r>
      <w:r w:rsidR="00CF52A8" w:rsidRPr="00AB2294">
        <w:rPr>
          <w:lang w:val="en-GB"/>
        </w:rPr>
        <w:t xml:space="preserve">). </w:t>
      </w:r>
      <w:r w:rsidRPr="00AB2294">
        <w:rPr>
          <w:lang w:val="en-GB"/>
        </w:rPr>
        <w:t>The EA tidal data were recorded as 15</w:t>
      </w:r>
      <w:r w:rsidR="00BA6709" w:rsidRPr="00AB2294">
        <w:rPr>
          <w:lang w:val="en-GB"/>
        </w:rPr>
        <w:t xml:space="preserve"> </w:t>
      </w:r>
      <w:r w:rsidR="00B73459" w:rsidRPr="00AB2294">
        <w:rPr>
          <w:lang w:val="en-GB"/>
        </w:rPr>
        <w:t>min</w:t>
      </w:r>
      <w:r w:rsidRPr="00AB2294">
        <w:rPr>
          <w:lang w:val="en-GB"/>
        </w:rPr>
        <w:t xml:space="preserve"> averages; the EA gauges are part of the UK National Tide Gauge Network </w:t>
      </w:r>
      <w:r w:rsidRPr="00AB2294">
        <w:rPr>
          <w:b/>
          <w:lang w:val="en-GB"/>
        </w:rPr>
        <w:fldChar w:fldCharType="begin"/>
      </w:r>
      <w:r w:rsidRPr="00AB2294">
        <w:rPr>
          <w:lang w:val="en-GB"/>
        </w:rPr>
        <w:instrText xml:space="preserve"> ADDIN EN.CITE &lt;EndNote&gt;&lt;Cite&gt;&lt;Year&gt;2019&lt;/Year&gt;&lt;RecNum&gt;66&lt;/RecNum&gt;&lt;DisplayText&gt;&lt;style size="10"&gt;[24]&lt;/style&gt;&lt;/DisplayText&gt;&lt;record&gt;&lt;rec-number&gt;66&lt;/rec-number&gt;&lt;foreign-keys&gt;&lt;key app="EN" db-id="sd9w9tfd2arwx9e9sf8pdtz6fttd0rp5r5p5" timestamp="1629232411"&gt;66&lt;/key&gt;&lt;/foreign-keys&gt;&lt;ref-type name="Web Page"&gt;12&lt;/ref-type&gt;&lt;contributors&gt;&lt;/contributors&gt;&lt;titles&gt;&lt;title&gt;UK National Tide Gauge Network&lt;/title&gt;&lt;/titles&gt;&lt;volume&gt;2019&lt;/volume&gt;&lt;number&gt;01 Oct 2019&lt;/number&gt;&lt;dates&gt;&lt;year&gt;2019&lt;/year&gt;&lt;/dates&gt;&lt;urls&gt;&lt;related-urls&gt;&lt;url&gt;https://www.bodc.ac.uk/data/hosted_data_systems/sea_level/uk_tide_gauge_network/&lt;/url&gt;&lt;/related-urls&gt;&lt;/urls&gt;&lt;/record&gt;&lt;/Cite&gt;&lt;/EndNote&gt;</w:instrText>
      </w:r>
      <w:r w:rsidRPr="00AB2294">
        <w:rPr>
          <w:b/>
          <w:lang w:val="en-GB"/>
        </w:rPr>
        <w:fldChar w:fldCharType="separate"/>
      </w:r>
      <w:r w:rsidRPr="00AB2294">
        <w:rPr>
          <w:noProof/>
          <w:lang w:val="en-GB"/>
        </w:rPr>
        <w:t>[24]</w:t>
      </w:r>
      <w:r w:rsidRPr="00AB2294">
        <w:rPr>
          <w:b/>
          <w:lang w:val="en-GB"/>
        </w:rPr>
        <w:fldChar w:fldCharType="end"/>
      </w:r>
      <w:r w:rsidRPr="00AB2294">
        <w:rPr>
          <w:lang w:val="en-GB"/>
        </w:rPr>
        <w:t>. Both of these</w:t>
      </w:r>
      <w:r w:rsidRPr="00106626">
        <w:rPr>
          <w:lang w:val="en-GB"/>
        </w:rPr>
        <w:t xml:space="preserve"> tide gauges are full-tide bubbler tide gauge systems </w:t>
      </w:r>
      <w:r w:rsidRPr="00106626">
        <w:rPr>
          <w:b/>
          <w:lang w:val="en-GB"/>
        </w:rPr>
        <w:fldChar w:fldCharType="begin"/>
      </w:r>
      <w:r w:rsidRPr="00106626">
        <w:rPr>
          <w:lang w:val="en-GB"/>
        </w:rPr>
        <w:instrText xml:space="preserve"> ADDIN EN.CITE &lt;EndNote&gt;&lt;Cite&gt;&lt;Author&gt;Woodworth&lt;/Author&gt;&lt;Year&gt;2003&lt;/Year&gt;&lt;RecNum&gt;27&lt;/RecNum&gt;&lt;DisplayText&gt;&lt;style size="10"&gt;[25]&lt;/style&gt;&lt;/DisplayText&gt;&lt;record&gt;&lt;rec-number&gt;27&lt;/rec-number&gt;&lt;foreign-keys&gt;&lt;key app="EN" db-id="sd9w9tfd2arwx9e9sf8pdtz6fttd0rp5r5p5" timestamp="1605819492"&gt;27&lt;/key&gt;&lt;/foreign-keys&gt;&lt;ref-type name="Journal Article"&gt;17&lt;/ref-type&gt;&lt;contributors&gt;&lt;authors&gt;&lt;author&gt;Woodworth, Philip L&lt;/author&gt;&lt;author&gt;Smith, David E&lt;/author&gt;&lt;/authors&gt;&lt;/contributors&gt;&lt;titles&gt;&lt;title&gt;A one year comparison of radar and bubbler tide gauges at Liverpool&lt;/title&gt;&lt;secondary-title&gt;The International hydrographic review&lt;/secondary-title&gt;&lt;/titles&gt;&lt;periodical&gt;&lt;full-title&gt;The International Hydrographic Review&lt;/full-title&gt;&lt;/periodical&gt;&lt;dates&gt;&lt;year&gt;2003&lt;/year&gt;&lt;/dates&gt;&lt;isbn&gt;0020-6946&lt;/isbn&gt;&lt;urls&gt;&lt;/urls&gt;&lt;/record&gt;&lt;/Cite&gt;&lt;/EndNote&gt;</w:instrText>
      </w:r>
      <w:r w:rsidRPr="00106626">
        <w:rPr>
          <w:b/>
          <w:lang w:val="en-GB"/>
        </w:rPr>
        <w:fldChar w:fldCharType="separate"/>
      </w:r>
      <w:r w:rsidRPr="00106626">
        <w:rPr>
          <w:noProof/>
          <w:lang w:val="en-GB"/>
        </w:rPr>
        <w:t>[25]</w:t>
      </w:r>
      <w:r w:rsidRPr="00106626">
        <w:rPr>
          <w:b/>
          <w:lang w:val="en-GB"/>
        </w:rPr>
        <w:fldChar w:fldCharType="end"/>
      </w:r>
      <w:r w:rsidRPr="00106626">
        <w:rPr>
          <w:lang w:val="en-GB"/>
        </w:rPr>
        <w:t>. The datum used throughout is local chart datum (CD), which at Rossall is 4.90 m below Ordnance Datum Newlyn (ODN).</w:t>
      </w:r>
    </w:p>
    <w:p w14:paraId="53C6BACB" w14:textId="66EEED2B" w:rsidR="003B2643" w:rsidRPr="00106626" w:rsidRDefault="003B2643" w:rsidP="0011493F">
      <w:pPr>
        <w:pStyle w:val="MDPI31text"/>
        <w:rPr>
          <w:b/>
          <w:lang w:val="en-GB"/>
        </w:rPr>
      </w:pPr>
      <w:r w:rsidRPr="00106626">
        <w:rPr>
          <w:lang w:val="en-GB"/>
        </w:rPr>
        <w:t xml:space="preserve">Tidal predictions of high water (HW) and low water (LW) </w:t>
      </w:r>
      <w:r w:rsidRPr="00106626">
        <w:rPr>
          <w:b/>
          <w:lang w:val="en-GB"/>
        </w:rPr>
        <w:fldChar w:fldCharType="begin"/>
      </w:r>
      <w:r w:rsidRPr="00106626">
        <w:rPr>
          <w:lang w:val="en-GB"/>
        </w:rPr>
        <w:instrText xml:space="preserve"> ADDIN EN.CITE &lt;EndNote&gt;&lt;Cite&gt;&lt;Author&gt;National Oceanography Centre &lt;/Author&gt;&lt;Year&gt;2019&lt;/Year&gt;&lt;RecNum&gt;14&lt;/RecNum&gt;&lt;DisplayText&gt;&lt;style size="10"&gt;[26]&lt;/style&gt;&lt;/DisplayText&gt;&lt;record&gt;&lt;rec-number&gt;14&lt;/rec-number&gt;&lt;foreign-keys&gt;&lt;key app="EN" db-id="sd9w9tfd2arwx9e9sf8pdtz6fttd0rp5r5p5" timestamp="1604609628"&gt;14&lt;/key&gt;&lt;/foreign-keys&gt;&lt;ref-type name="Web Page"&gt;12&lt;/ref-type&gt;&lt;contributors&gt;&lt;authors&gt;&lt;author&gt;National Oceanography Centre ,&lt;/author&gt;&lt;/authors&gt;&lt;/contributors&gt;&lt;titles&gt;&lt;title&gt;POLTIPS-3: Coastal Tidal Software&lt;/title&gt;&lt;/titles&gt;&lt;volume&gt;2019&lt;/volume&gt;&lt;number&gt;29 March 2020&lt;/number&gt;&lt;dates&gt;&lt;year&gt;2019&lt;/year&gt;&lt;/dates&gt;&lt;urls&gt;&lt;related-urls&gt;&lt;url&gt;http://noc.ac.uk/business/marine-data-products/coastal&lt;/url&gt;&lt;/related-urls&gt;&lt;/urls&gt;&lt;/record&gt;&lt;/Cite&gt;&lt;/EndNote&gt;</w:instrText>
      </w:r>
      <w:r w:rsidRPr="00106626">
        <w:rPr>
          <w:b/>
          <w:lang w:val="en-GB"/>
        </w:rPr>
        <w:fldChar w:fldCharType="separate"/>
      </w:r>
      <w:r w:rsidRPr="00106626">
        <w:rPr>
          <w:noProof/>
          <w:lang w:val="en-GB"/>
        </w:rPr>
        <w:t>[26]</w:t>
      </w:r>
      <w:r w:rsidRPr="00106626">
        <w:rPr>
          <w:b/>
          <w:lang w:val="en-GB"/>
        </w:rPr>
        <w:fldChar w:fldCharType="end"/>
      </w:r>
      <w:r w:rsidRPr="00106626">
        <w:rPr>
          <w:lang w:val="en-GB"/>
        </w:rPr>
        <w:t xml:space="preserve"> are shown in Table 1. At Blackpool, high water was predicted to be 8.8</w:t>
      </w:r>
      <w:r w:rsidR="007A5E5E" w:rsidRPr="00106626">
        <w:rPr>
          <w:lang w:val="en-GB"/>
        </w:rPr>
        <w:t>7 m</w:t>
      </w:r>
      <w:r w:rsidRPr="00106626">
        <w:rPr>
          <w:lang w:val="en-GB"/>
        </w:rPr>
        <w:t xml:space="preserve"> at 21:23 on 28 August 2019 and 9.0</w:t>
      </w:r>
      <w:r w:rsidR="007A5E5E" w:rsidRPr="00106626">
        <w:rPr>
          <w:lang w:val="en-GB"/>
        </w:rPr>
        <w:t>1 m</w:t>
      </w:r>
      <w:r w:rsidRPr="00106626">
        <w:rPr>
          <w:lang w:val="en-GB"/>
        </w:rPr>
        <w:t xml:space="preserve"> at 10:42 on 29 August. The highest predicted tide of the spring cycle was 10.27 m on 2 September at 12:64</w:t>
      </w:r>
      <w:r w:rsidR="00BA6709">
        <w:rPr>
          <w:lang w:val="en-GB"/>
        </w:rPr>
        <w:t>;</w:t>
      </w:r>
      <w:r w:rsidRPr="00106626">
        <w:rPr>
          <w:lang w:val="en-GB"/>
        </w:rPr>
        <w:t xml:space="preserve"> hence</w:t>
      </w:r>
      <w:r w:rsidR="00BA6709">
        <w:rPr>
          <w:lang w:val="en-GB"/>
        </w:rPr>
        <w:t>,</w:t>
      </w:r>
      <w:r w:rsidRPr="00106626">
        <w:rPr>
          <w:lang w:val="en-GB"/>
        </w:rPr>
        <w:t xml:space="preserve"> the tides during the experiment were close to the peak springs. Tide gauge data at Liverpool and Heysham show that leading up to these high waters, the storm surge heights were relatively small</w:t>
      </w:r>
      <w:r w:rsidR="00BA6709">
        <w:rPr>
          <w:lang w:val="en-GB"/>
        </w:rPr>
        <w:t>:</w:t>
      </w:r>
      <w:r w:rsidRPr="00106626">
        <w:rPr>
          <w:lang w:val="en-GB"/>
        </w:rPr>
        <w:t xml:space="preserve"> ~0.</w:t>
      </w:r>
      <w:r w:rsidR="007A5E5E" w:rsidRPr="00106626">
        <w:rPr>
          <w:lang w:val="en-GB"/>
        </w:rPr>
        <w:t>1 m</w:t>
      </w:r>
      <w:r w:rsidRPr="00106626">
        <w:rPr>
          <w:lang w:val="en-GB"/>
        </w:rPr>
        <w:t xml:space="preserve"> for the first tidal cycle and ~0.</w:t>
      </w:r>
      <w:r w:rsidR="007A5E5E" w:rsidRPr="00106626">
        <w:rPr>
          <w:lang w:val="en-GB"/>
        </w:rPr>
        <w:t>3 m</w:t>
      </w:r>
      <w:r w:rsidRPr="00106626">
        <w:rPr>
          <w:lang w:val="en-GB"/>
        </w:rPr>
        <w:t xml:space="preserve"> for the second tidal cycle </w:t>
      </w:r>
      <w:r w:rsidRPr="00106626">
        <w:rPr>
          <w:b/>
          <w:lang w:val="en-GB"/>
        </w:rPr>
        <w:fldChar w:fldCharType="begin"/>
      </w:r>
      <w:r w:rsidRPr="00106626">
        <w:rPr>
          <w:lang w:val="en-GB"/>
        </w:rPr>
        <w:instrText xml:space="preserve"> ADDIN EN.CITE &lt;EndNote&gt;&lt;Cite&gt;&lt;Year&gt;2021&lt;/Year&gt;&lt;RecNum&gt;67&lt;/RecNum&gt;&lt;DisplayText&gt;&lt;style size="10"&gt;[27]&lt;/style&gt;&lt;/DisplayText&gt;&lt;record&gt;&lt;rec-number&gt;67&lt;/rec-number&gt;&lt;foreign-keys&gt;&lt;key app="EN" db-id="sd9w9tfd2arwx9e9sf8pdtz6fttd0rp5r5p5" timestamp="1629232708"&gt;67&lt;/key&gt;&lt;/foreign-keys&gt;&lt;ref-type name="Web Page"&gt;12&lt;/ref-type&gt;&lt;contributors&gt;&lt;/contributors&gt;&lt;titles&gt;&lt;title&gt;Archived model surge outputs&lt;/title&gt;&lt;/titles&gt;&lt;volume&gt;2021&lt;/volume&gt;&lt;number&gt;19 Apr 2021&lt;/number&gt;&lt;dates&gt;&lt;year&gt;2021&lt;/year&gt;&lt;/dates&gt;&lt;urls&gt;&lt;related-urls&gt;&lt;url&gt;https://www.ntslf.org/storm-surges&lt;/url&gt;&lt;/related-urls&gt;&lt;/urls&gt;&lt;/record&gt;&lt;/Cite&gt;&lt;/EndNote&gt;</w:instrText>
      </w:r>
      <w:r w:rsidRPr="00106626">
        <w:rPr>
          <w:b/>
          <w:lang w:val="en-GB"/>
        </w:rPr>
        <w:fldChar w:fldCharType="separate"/>
      </w:r>
      <w:r w:rsidRPr="00106626">
        <w:rPr>
          <w:noProof/>
          <w:lang w:val="en-GB"/>
        </w:rPr>
        <w:t>[27]</w:t>
      </w:r>
      <w:r w:rsidRPr="00106626">
        <w:rPr>
          <w:b/>
          <w:lang w:val="en-GB"/>
        </w:rPr>
        <w:fldChar w:fldCharType="end"/>
      </w:r>
      <w:r w:rsidRPr="00106626">
        <w:rPr>
          <w:lang w:val="en-GB"/>
        </w:rPr>
        <w:t>.</w:t>
      </w:r>
    </w:p>
    <w:p w14:paraId="09F8D7BD" w14:textId="37148C06" w:rsidR="003B2643" w:rsidRPr="00106626" w:rsidRDefault="0011493F" w:rsidP="0011493F">
      <w:pPr>
        <w:pStyle w:val="MDPI41tablecaption"/>
        <w:jc w:val="both"/>
        <w:rPr>
          <w:b/>
          <w:lang w:val="en-GB"/>
        </w:rPr>
      </w:pPr>
      <w:r w:rsidRPr="00106626">
        <w:rPr>
          <w:b/>
          <w:lang w:val="en-GB"/>
        </w:rPr>
        <w:t xml:space="preserve">Table 1. </w:t>
      </w:r>
      <w:r w:rsidR="003B2643" w:rsidRPr="00106626">
        <w:rPr>
          <w:lang w:val="en-GB"/>
        </w:rPr>
        <w:t>Tidal predictions for Liverpool (Gladstone Lock), Blackpool and Heysham (from POLTIPS 2009) for 28–29 August 2019.</w:t>
      </w:r>
    </w:p>
    <w:tbl>
      <w:tblPr>
        <w:tblStyle w:val="TableGrid1"/>
        <w:tblW w:w="7857" w:type="dxa"/>
        <w:tblInd w:w="2608" w:type="dxa"/>
        <w:tblBorders>
          <w:left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679"/>
        <w:gridCol w:w="982"/>
        <w:gridCol w:w="983"/>
        <w:gridCol w:w="984"/>
        <w:gridCol w:w="1123"/>
        <w:gridCol w:w="842"/>
        <w:gridCol w:w="1264"/>
      </w:tblGrid>
      <w:tr w:rsidR="003B2643" w:rsidRPr="00106626" w14:paraId="05CE38B0" w14:textId="77777777" w:rsidTr="0011493F">
        <w:tc>
          <w:tcPr>
            <w:tcW w:w="1696" w:type="dxa"/>
            <w:tcBorders>
              <w:top w:val="single" w:sz="8" w:space="0" w:color="auto"/>
            </w:tcBorders>
            <w:shd w:val="clear" w:color="auto" w:fill="auto"/>
            <w:vAlign w:val="center"/>
          </w:tcPr>
          <w:p w14:paraId="2A7926E8" w14:textId="77777777" w:rsidR="003B2643" w:rsidRPr="00106626" w:rsidRDefault="003B2643" w:rsidP="0011493F">
            <w:pPr>
              <w:autoSpaceDE w:val="0"/>
              <w:autoSpaceDN w:val="0"/>
              <w:adjustRightInd w:val="0"/>
              <w:snapToGrid w:val="0"/>
              <w:spacing w:line="240" w:lineRule="auto"/>
              <w:jc w:val="center"/>
              <w:rPr>
                <w:noProof w:val="0"/>
                <w:color w:val="auto"/>
                <w:sz w:val="20"/>
                <w:szCs w:val="20"/>
              </w:rPr>
            </w:pPr>
          </w:p>
        </w:tc>
        <w:tc>
          <w:tcPr>
            <w:tcW w:w="1984" w:type="dxa"/>
            <w:gridSpan w:val="2"/>
            <w:tcBorders>
              <w:top w:val="single" w:sz="8" w:space="0" w:color="auto"/>
            </w:tcBorders>
            <w:shd w:val="clear" w:color="auto" w:fill="auto"/>
            <w:vAlign w:val="center"/>
          </w:tcPr>
          <w:p w14:paraId="04D6636F" w14:textId="77777777" w:rsidR="003B2643" w:rsidRPr="00106626" w:rsidRDefault="003B2643" w:rsidP="0011493F">
            <w:pPr>
              <w:autoSpaceDE w:val="0"/>
              <w:autoSpaceDN w:val="0"/>
              <w:adjustRightInd w:val="0"/>
              <w:snapToGrid w:val="0"/>
              <w:spacing w:line="240" w:lineRule="auto"/>
              <w:jc w:val="center"/>
              <w:rPr>
                <w:b/>
                <w:noProof w:val="0"/>
                <w:color w:val="auto"/>
                <w:sz w:val="20"/>
                <w:szCs w:val="20"/>
              </w:rPr>
            </w:pPr>
            <w:r w:rsidRPr="00106626">
              <w:rPr>
                <w:b/>
                <w:noProof w:val="0"/>
                <w:color w:val="auto"/>
                <w:sz w:val="20"/>
                <w:szCs w:val="20"/>
              </w:rPr>
              <w:t>Liverpool</w:t>
            </w:r>
          </w:p>
        </w:tc>
        <w:tc>
          <w:tcPr>
            <w:tcW w:w="2127" w:type="dxa"/>
            <w:gridSpan w:val="2"/>
            <w:tcBorders>
              <w:top w:val="single" w:sz="8" w:space="0" w:color="auto"/>
            </w:tcBorders>
            <w:shd w:val="clear" w:color="auto" w:fill="auto"/>
            <w:vAlign w:val="center"/>
          </w:tcPr>
          <w:p w14:paraId="2FB141F0" w14:textId="77777777" w:rsidR="003B2643" w:rsidRPr="00106626" w:rsidRDefault="003B2643" w:rsidP="0011493F">
            <w:pPr>
              <w:autoSpaceDE w:val="0"/>
              <w:autoSpaceDN w:val="0"/>
              <w:adjustRightInd w:val="0"/>
              <w:snapToGrid w:val="0"/>
              <w:spacing w:line="240" w:lineRule="auto"/>
              <w:jc w:val="center"/>
              <w:rPr>
                <w:b/>
                <w:noProof w:val="0"/>
                <w:color w:val="auto"/>
                <w:sz w:val="20"/>
                <w:szCs w:val="20"/>
              </w:rPr>
            </w:pPr>
            <w:r w:rsidRPr="00106626">
              <w:rPr>
                <w:b/>
                <w:noProof w:val="0"/>
                <w:color w:val="auto"/>
                <w:sz w:val="20"/>
                <w:szCs w:val="20"/>
              </w:rPr>
              <w:t>Blackpool</w:t>
            </w:r>
          </w:p>
        </w:tc>
        <w:tc>
          <w:tcPr>
            <w:tcW w:w="2126" w:type="dxa"/>
            <w:gridSpan w:val="2"/>
            <w:tcBorders>
              <w:top w:val="single" w:sz="8" w:space="0" w:color="auto"/>
            </w:tcBorders>
            <w:shd w:val="clear" w:color="auto" w:fill="auto"/>
            <w:vAlign w:val="center"/>
          </w:tcPr>
          <w:p w14:paraId="3E3B58E6" w14:textId="77777777" w:rsidR="003B2643" w:rsidRPr="00106626" w:rsidRDefault="003B2643" w:rsidP="0011493F">
            <w:pPr>
              <w:autoSpaceDE w:val="0"/>
              <w:autoSpaceDN w:val="0"/>
              <w:adjustRightInd w:val="0"/>
              <w:snapToGrid w:val="0"/>
              <w:spacing w:line="240" w:lineRule="auto"/>
              <w:jc w:val="center"/>
              <w:rPr>
                <w:b/>
                <w:noProof w:val="0"/>
                <w:color w:val="auto"/>
                <w:sz w:val="20"/>
                <w:szCs w:val="20"/>
              </w:rPr>
            </w:pPr>
            <w:r w:rsidRPr="00106626">
              <w:rPr>
                <w:b/>
                <w:noProof w:val="0"/>
                <w:color w:val="auto"/>
                <w:sz w:val="20"/>
                <w:szCs w:val="20"/>
              </w:rPr>
              <w:t>Heysham</w:t>
            </w:r>
          </w:p>
        </w:tc>
      </w:tr>
      <w:tr w:rsidR="003B2643" w:rsidRPr="00106626" w14:paraId="172B61EC" w14:textId="77777777" w:rsidTr="0011493F">
        <w:tc>
          <w:tcPr>
            <w:tcW w:w="1696" w:type="dxa"/>
            <w:shd w:val="clear" w:color="auto" w:fill="auto"/>
            <w:vAlign w:val="center"/>
          </w:tcPr>
          <w:p w14:paraId="53617634" w14:textId="77777777" w:rsidR="003B2643" w:rsidRPr="00106626" w:rsidRDefault="003B2643" w:rsidP="0011493F">
            <w:pPr>
              <w:autoSpaceDE w:val="0"/>
              <w:autoSpaceDN w:val="0"/>
              <w:adjustRightInd w:val="0"/>
              <w:snapToGrid w:val="0"/>
              <w:spacing w:line="240" w:lineRule="auto"/>
              <w:jc w:val="center"/>
              <w:rPr>
                <w:noProof w:val="0"/>
                <w:color w:val="auto"/>
                <w:sz w:val="20"/>
                <w:szCs w:val="20"/>
              </w:rPr>
            </w:pPr>
          </w:p>
        </w:tc>
        <w:tc>
          <w:tcPr>
            <w:tcW w:w="992" w:type="dxa"/>
            <w:shd w:val="clear" w:color="auto" w:fill="auto"/>
            <w:vAlign w:val="center"/>
          </w:tcPr>
          <w:p w14:paraId="5D00808E" w14:textId="77777777" w:rsidR="003B2643" w:rsidRPr="00106626" w:rsidRDefault="003B2643" w:rsidP="0011493F">
            <w:pPr>
              <w:autoSpaceDE w:val="0"/>
              <w:autoSpaceDN w:val="0"/>
              <w:adjustRightInd w:val="0"/>
              <w:snapToGrid w:val="0"/>
              <w:spacing w:line="240" w:lineRule="auto"/>
              <w:jc w:val="center"/>
              <w:rPr>
                <w:b/>
                <w:noProof w:val="0"/>
                <w:color w:val="auto"/>
                <w:sz w:val="20"/>
                <w:szCs w:val="20"/>
              </w:rPr>
            </w:pPr>
            <w:r w:rsidRPr="00106626">
              <w:rPr>
                <w:b/>
                <w:noProof w:val="0"/>
                <w:color w:val="auto"/>
                <w:sz w:val="20"/>
                <w:szCs w:val="20"/>
              </w:rPr>
              <w:t>Time</w:t>
            </w:r>
          </w:p>
        </w:tc>
        <w:tc>
          <w:tcPr>
            <w:tcW w:w="992" w:type="dxa"/>
            <w:shd w:val="clear" w:color="auto" w:fill="auto"/>
            <w:vAlign w:val="center"/>
          </w:tcPr>
          <w:p w14:paraId="7750B55A" w14:textId="77777777" w:rsidR="003B2643" w:rsidRPr="00106626" w:rsidRDefault="003B2643" w:rsidP="0011493F">
            <w:pPr>
              <w:autoSpaceDE w:val="0"/>
              <w:autoSpaceDN w:val="0"/>
              <w:adjustRightInd w:val="0"/>
              <w:snapToGrid w:val="0"/>
              <w:spacing w:line="240" w:lineRule="auto"/>
              <w:jc w:val="center"/>
              <w:rPr>
                <w:b/>
                <w:noProof w:val="0"/>
                <w:color w:val="auto"/>
                <w:sz w:val="20"/>
                <w:szCs w:val="20"/>
              </w:rPr>
            </w:pPr>
            <w:r w:rsidRPr="00106626">
              <w:rPr>
                <w:b/>
                <w:noProof w:val="0"/>
                <w:color w:val="auto"/>
                <w:sz w:val="20"/>
                <w:szCs w:val="20"/>
              </w:rPr>
              <w:t>Ht (m)</w:t>
            </w:r>
          </w:p>
        </w:tc>
        <w:tc>
          <w:tcPr>
            <w:tcW w:w="993" w:type="dxa"/>
            <w:shd w:val="clear" w:color="auto" w:fill="auto"/>
            <w:vAlign w:val="center"/>
          </w:tcPr>
          <w:p w14:paraId="6E4A41DE" w14:textId="77777777" w:rsidR="003B2643" w:rsidRPr="00106626" w:rsidRDefault="003B2643" w:rsidP="0011493F">
            <w:pPr>
              <w:autoSpaceDE w:val="0"/>
              <w:autoSpaceDN w:val="0"/>
              <w:adjustRightInd w:val="0"/>
              <w:snapToGrid w:val="0"/>
              <w:spacing w:line="240" w:lineRule="auto"/>
              <w:jc w:val="center"/>
              <w:rPr>
                <w:b/>
                <w:noProof w:val="0"/>
                <w:color w:val="auto"/>
                <w:sz w:val="20"/>
                <w:szCs w:val="20"/>
              </w:rPr>
            </w:pPr>
            <w:r w:rsidRPr="00106626">
              <w:rPr>
                <w:b/>
                <w:noProof w:val="0"/>
                <w:color w:val="auto"/>
                <w:sz w:val="20"/>
                <w:szCs w:val="20"/>
              </w:rPr>
              <w:t>Time</w:t>
            </w:r>
          </w:p>
        </w:tc>
        <w:tc>
          <w:tcPr>
            <w:tcW w:w="1134" w:type="dxa"/>
            <w:shd w:val="clear" w:color="auto" w:fill="auto"/>
            <w:vAlign w:val="center"/>
          </w:tcPr>
          <w:p w14:paraId="31CDCB60" w14:textId="77777777" w:rsidR="003B2643" w:rsidRPr="00106626" w:rsidRDefault="003B2643" w:rsidP="0011493F">
            <w:pPr>
              <w:autoSpaceDE w:val="0"/>
              <w:autoSpaceDN w:val="0"/>
              <w:adjustRightInd w:val="0"/>
              <w:snapToGrid w:val="0"/>
              <w:spacing w:line="240" w:lineRule="auto"/>
              <w:jc w:val="center"/>
              <w:rPr>
                <w:b/>
                <w:noProof w:val="0"/>
                <w:color w:val="auto"/>
                <w:sz w:val="20"/>
                <w:szCs w:val="20"/>
              </w:rPr>
            </w:pPr>
            <w:r w:rsidRPr="00106626">
              <w:rPr>
                <w:b/>
                <w:noProof w:val="0"/>
                <w:color w:val="auto"/>
                <w:sz w:val="20"/>
                <w:szCs w:val="20"/>
              </w:rPr>
              <w:t>Ht (m)</w:t>
            </w:r>
          </w:p>
        </w:tc>
        <w:tc>
          <w:tcPr>
            <w:tcW w:w="850" w:type="dxa"/>
            <w:shd w:val="clear" w:color="auto" w:fill="auto"/>
            <w:vAlign w:val="center"/>
          </w:tcPr>
          <w:p w14:paraId="3EFFE0BD" w14:textId="77777777" w:rsidR="003B2643" w:rsidRPr="00106626" w:rsidRDefault="003B2643" w:rsidP="0011493F">
            <w:pPr>
              <w:autoSpaceDE w:val="0"/>
              <w:autoSpaceDN w:val="0"/>
              <w:adjustRightInd w:val="0"/>
              <w:snapToGrid w:val="0"/>
              <w:spacing w:line="240" w:lineRule="auto"/>
              <w:jc w:val="center"/>
              <w:rPr>
                <w:b/>
                <w:noProof w:val="0"/>
                <w:color w:val="auto"/>
                <w:sz w:val="20"/>
                <w:szCs w:val="20"/>
              </w:rPr>
            </w:pPr>
            <w:r w:rsidRPr="00106626">
              <w:rPr>
                <w:b/>
                <w:noProof w:val="0"/>
                <w:color w:val="auto"/>
                <w:sz w:val="20"/>
                <w:szCs w:val="20"/>
              </w:rPr>
              <w:t>Time</w:t>
            </w:r>
          </w:p>
        </w:tc>
        <w:tc>
          <w:tcPr>
            <w:tcW w:w="1276" w:type="dxa"/>
            <w:shd w:val="clear" w:color="auto" w:fill="auto"/>
            <w:vAlign w:val="center"/>
          </w:tcPr>
          <w:p w14:paraId="795D9BB5" w14:textId="77777777" w:rsidR="003B2643" w:rsidRPr="00106626" w:rsidRDefault="003B2643" w:rsidP="0011493F">
            <w:pPr>
              <w:autoSpaceDE w:val="0"/>
              <w:autoSpaceDN w:val="0"/>
              <w:adjustRightInd w:val="0"/>
              <w:snapToGrid w:val="0"/>
              <w:spacing w:line="240" w:lineRule="auto"/>
              <w:jc w:val="center"/>
              <w:rPr>
                <w:b/>
                <w:noProof w:val="0"/>
                <w:color w:val="auto"/>
                <w:sz w:val="20"/>
                <w:szCs w:val="20"/>
              </w:rPr>
            </w:pPr>
            <w:r w:rsidRPr="00106626">
              <w:rPr>
                <w:b/>
                <w:noProof w:val="0"/>
                <w:color w:val="auto"/>
                <w:sz w:val="20"/>
                <w:szCs w:val="20"/>
              </w:rPr>
              <w:t>Ht (m)</w:t>
            </w:r>
          </w:p>
        </w:tc>
      </w:tr>
      <w:tr w:rsidR="003B2643" w:rsidRPr="00106626" w14:paraId="2012C09C" w14:textId="77777777" w:rsidTr="0011493F">
        <w:tc>
          <w:tcPr>
            <w:tcW w:w="1696" w:type="dxa"/>
            <w:vMerge w:val="restart"/>
            <w:shd w:val="clear" w:color="auto" w:fill="auto"/>
            <w:vAlign w:val="center"/>
          </w:tcPr>
          <w:p w14:paraId="76585540" w14:textId="77777777" w:rsidR="003B2643" w:rsidRPr="00106626" w:rsidRDefault="003B2643" w:rsidP="0011493F">
            <w:pPr>
              <w:autoSpaceDE w:val="0"/>
              <w:autoSpaceDN w:val="0"/>
              <w:adjustRightInd w:val="0"/>
              <w:snapToGrid w:val="0"/>
              <w:spacing w:line="240" w:lineRule="auto"/>
              <w:jc w:val="center"/>
              <w:rPr>
                <w:noProof w:val="0"/>
                <w:color w:val="auto"/>
                <w:sz w:val="20"/>
                <w:szCs w:val="20"/>
              </w:rPr>
            </w:pPr>
            <w:r w:rsidRPr="00106626">
              <w:rPr>
                <w:noProof w:val="0"/>
                <w:color w:val="auto"/>
                <w:sz w:val="20"/>
                <w:szCs w:val="20"/>
              </w:rPr>
              <w:t>Wed 28 August</w:t>
            </w:r>
          </w:p>
        </w:tc>
        <w:tc>
          <w:tcPr>
            <w:tcW w:w="992" w:type="dxa"/>
            <w:tcBorders>
              <w:bottom w:val="nil"/>
            </w:tcBorders>
            <w:shd w:val="clear" w:color="auto" w:fill="FFFFFF" w:themeFill="background1"/>
            <w:vAlign w:val="center"/>
          </w:tcPr>
          <w:p w14:paraId="35CB7322" w14:textId="77777777" w:rsidR="003B2643" w:rsidRPr="00106626" w:rsidRDefault="003B2643" w:rsidP="0011493F">
            <w:pPr>
              <w:autoSpaceDE w:val="0"/>
              <w:autoSpaceDN w:val="0"/>
              <w:adjustRightInd w:val="0"/>
              <w:snapToGrid w:val="0"/>
              <w:spacing w:line="240" w:lineRule="auto"/>
              <w:jc w:val="center"/>
              <w:rPr>
                <w:noProof w:val="0"/>
                <w:color w:val="auto"/>
                <w:sz w:val="20"/>
                <w:szCs w:val="20"/>
              </w:rPr>
            </w:pPr>
            <w:r w:rsidRPr="00106626">
              <w:rPr>
                <w:noProof w:val="0"/>
                <w:color w:val="auto"/>
                <w:sz w:val="20"/>
                <w:szCs w:val="20"/>
              </w:rPr>
              <w:t>15:52</w:t>
            </w:r>
          </w:p>
        </w:tc>
        <w:tc>
          <w:tcPr>
            <w:tcW w:w="992" w:type="dxa"/>
            <w:tcBorders>
              <w:bottom w:val="nil"/>
            </w:tcBorders>
            <w:shd w:val="clear" w:color="auto" w:fill="FFFFFF" w:themeFill="background1"/>
            <w:vAlign w:val="center"/>
          </w:tcPr>
          <w:p w14:paraId="590CB4FE" w14:textId="77777777" w:rsidR="003B2643" w:rsidRPr="00106626" w:rsidRDefault="003B2643" w:rsidP="0011493F">
            <w:pPr>
              <w:autoSpaceDE w:val="0"/>
              <w:autoSpaceDN w:val="0"/>
              <w:adjustRightInd w:val="0"/>
              <w:snapToGrid w:val="0"/>
              <w:spacing w:line="240" w:lineRule="auto"/>
              <w:jc w:val="center"/>
              <w:rPr>
                <w:noProof w:val="0"/>
                <w:color w:val="auto"/>
                <w:sz w:val="20"/>
                <w:szCs w:val="20"/>
              </w:rPr>
            </w:pPr>
            <w:r w:rsidRPr="00106626">
              <w:rPr>
                <w:noProof w:val="0"/>
                <w:color w:val="auto"/>
                <w:sz w:val="20"/>
                <w:szCs w:val="20"/>
              </w:rPr>
              <w:t>2.00 LW</w:t>
            </w:r>
          </w:p>
        </w:tc>
        <w:tc>
          <w:tcPr>
            <w:tcW w:w="993" w:type="dxa"/>
            <w:tcBorders>
              <w:bottom w:val="nil"/>
            </w:tcBorders>
            <w:shd w:val="clear" w:color="auto" w:fill="FFFFFF" w:themeFill="background1"/>
            <w:vAlign w:val="center"/>
          </w:tcPr>
          <w:p w14:paraId="578865B7" w14:textId="77777777" w:rsidR="003B2643" w:rsidRPr="00106626" w:rsidRDefault="003B2643" w:rsidP="0011493F">
            <w:pPr>
              <w:autoSpaceDE w:val="0"/>
              <w:autoSpaceDN w:val="0"/>
              <w:adjustRightInd w:val="0"/>
              <w:snapToGrid w:val="0"/>
              <w:spacing w:line="240" w:lineRule="auto"/>
              <w:jc w:val="center"/>
              <w:rPr>
                <w:noProof w:val="0"/>
                <w:color w:val="auto"/>
                <w:sz w:val="20"/>
                <w:szCs w:val="20"/>
              </w:rPr>
            </w:pPr>
            <w:r w:rsidRPr="00106626">
              <w:rPr>
                <w:noProof w:val="0"/>
                <w:color w:val="auto"/>
                <w:sz w:val="20"/>
                <w:szCs w:val="20"/>
              </w:rPr>
              <w:t>15:38</w:t>
            </w:r>
          </w:p>
        </w:tc>
        <w:tc>
          <w:tcPr>
            <w:tcW w:w="1134" w:type="dxa"/>
            <w:tcBorders>
              <w:bottom w:val="nil"/>
            </w:tcBorders>
            <w:shd w:val="clear" w:color="auto" w:fill="FFFFFF" w:themeFill="background1"/>
            <w:vAlign w:val="center"/>
          </w:tcPr>
          <w:p w14:paraId="26B2F779" w14:textId="77777777" w:rsidR="003B2643" w:rsidRPr="00106626" w:rsidRDefault="003B2643" w:rsidP="0011493F">
            <w:pPr>
              <w:autoSpaceDE w:val="0"/>
              <w:autoSpaceDN w:val="0"/>
              <w:adjustRightInd w:val="0"/>
              <w:snapToGrid w:val="0"/>
              <w:spacing w:line="240" w:lineRule="auto"/>
              <w:jc w:val="center"/>
              <w:rPr>
                <w:noProof w:val="0"/>
                <w:color w:val="auto"/>
                <w:sz w:val="20"/>
                <w:szCs w:val="20"/>
              </w:rPr>
            </w:pPr>
            <w:r w:rsidRPr="00106626">
              <w:rPr>
                <w:noProof w:val="0"/>
                <w:color w:val="auto"/>
                <w:sz w:val="20"/>
                <w:szCs w:val="20"/>
              </w:rPr>
              <w:t>2.17 LW</w:t>
            </w:r>
          </w:p>
        </w:tc>
        <w:tc>
          <w:tcPr>
            <w:tcW w:w="850" w:type="dxa"/>
            <w:tcBorders>
              <w:bottom w:val="nil"/>
            </w:tcBorders>
            <w:shd w:val="clear" w:color="auto" w:fill="FFFFFF" w:themeFill="background1"/>
            <w:vAlign w:val="center"/>
          </w:tcPr>
          <w:p w14:paraId="3ACC9634" w14:textId="77777777" w:rsidR="003B2643" w:rsidRPr="00106626" w:rsidRDefault="003B2643" w:rsidP="0011493F">
            <w:pPr>
              <w:autoSpaceDE w:val="0"/>
              <w:autoSpaceDN w:val="0"/>
              <w:adjustRightInd w:val="0"/>
              <w:snapToGrid w:val="0"/>
              <w:spacing w:line="240" w:lineRule="auto"/>
              <w:jc w:val="center"/>
              <w:rPr>
                <w:noProof w:val="0"/>
                <w:color w:val="auto"/>
                <w:sz w:val="20"/>
                <w:szCs w:val="20"/>
              </w:rPr>
            </w:pPr>
            <w:r w:rsidRPr="00106626">
              <w:rPr>
                <w:noProof w:val="0"/>
                <w:color w:val="auto"/>
                <w:sz w:val="20"/>
                <w:szCs w:val="20"/>
              </w:rPr>
              <w:t>15:51</w:t>
            </w:r>
          </w:p>
        </w:tc>
        <w:tc>
          <w:tcPr>
            <w:tcW w:w="1276" w:type="dxa"/>
            <w:tcBorders>
              <w:bottom w:val="nil"/>
            </w:tcBorders>
            <w:shd w:val="clear" w:color="auto" w:fill="FFFFFF" w:themeFill="background1"/>
            <w:vAlign w:val="center"/>
          </w:tcPr>
          <w:p w14:paraId="55AB1A09" w14:textId="77777777" w:rsidR="003B2643" w:rsidRPr="00106626" w:rsidRDefault="003B2643" w:rsidP="0011493F">
            <w:pPr>
              <w:autoSpaceDE w:val="0"/>
              <w:autoSpaceDN w:val="0"/>
              <w:adjustRightInd w:val="0"/>
              <w:snapToGrid w:val="0"/>
              <w:spacing w:line="240" w:lineRule="auto"/>
              <w:jc w:val="center"/>
              <w:rPr>
                <w:noProof w:val="0"/>
                <w:color w:val="auto"/>
                <w:sz w:val="20"/>
                <w:szCs w:val="20"/>
              </w:rPr>
            </w:pPr>
            <w:r w:rsidRPr="00106626">
              <w:rPr>
                <w:noProof w:val="0"/>
                <w:color w:val="auto"/>
                <w:sz w:val="20"/>
                <w:szCs w:val="20"/>
              </w:rPr>
              <w:t>1.97 LW</w:t>
            </w:r>
          </w:p>
        </w:tc>
      </w:tr>
      <w:tr w:rsidR="003B2643" w:rsidRPr="00AB2294" w14:paraId="0CFDAAEA" w14:textId="77777777" w:rsidTr="00AB2294">
        <w:tc>
          <w:tcPr>
            <w:tcW w:w="1696" w:type="dxa"/>
            <w:vMerge/>
            <w:tcBorders>
              <w:bottom w:val="single" w:sz="4" w:space="0" w:color="auto"/>
            </w:tcBorders>
            <w:shd w:val="clear" w:color="auto" w:fill="auto"/>
            <w:vAlign w:val="center"/>
          </w:tcPr>
          <w:p w14:paraId="0A73E562" w14:textId="77777777" w:rsidR="003B2643" w:rsidRPr="00106626" w:rsidRDefault="003B2643" w:rsidP="0011493F">
            <w:pPr>
              <w:autoSpaceDE w:val="0"/>
              <w:autoSpaceDN w:val="0"/>
              <w:adjustRightInd w:val="0"/>
              <w:snapToGrid w:val="0"/>
              <w:spacing w:line="240" w:lineRule="auto"/>
              <w:jc w:val="center"/>
              <w:rPr>
                <w:noProof w:val="0"/>
                <w:color w:val="auto"/>
                <w:sz w:val="20"/>
                <w:szCs w:val="20"/>
              </w:rPr>
            </w:pPr>
          </w:p>
        </w:tc>
        <w:tc>
          <w:tcPr>
            <w:tcW w:w="992" w:type="dxa"/>
            <w:tcBorders>
              <w:top w:val="nil"/>
              <w:bottom w:val="single" w:sz="4" w:space="0" w:color="auto"/>
            </w:tcBorders>
            <w:shd w:val="clear" w:color="auto" w:fill="auto"/>
            <w:vAlign w:val="center"/>
          </w:tcPr>
          <w:p w14:paraId="1B33A9BC" w14:textId="77777777" w:rsidR="003B2643" w:rsidRPr="00AB2294" w:rsidRDefault="003B2643" w:rsidP="0011493F">
            <w:pPr>
              <w:autoSpaceDE w:val="0"/>
              <w:autoSpaceDN w:val="0"/>
              <w:adjustRightInd w:val="0"/>
              <w:snapToGrid w:val="0"/>
              <w:spacing w:line="240" w:lineRule="auto"/>
              <w:jc w:val="center"/>
              <w:rPr>
                <w:noProof w:val="0"/>
                <w:color w:val="auto"/>
                <w:sz w:val="20"/>
                <w:szCs w:val="20"/>
              </w:rPr>
            </w:pPr>
            <w:r w:rsidRPr="00AB2294">
              <w:rPr>
                <w:noProof w:val="0"/>
                <w:color w:val="auto"/>
                <w:sz w:val="20"/>
                <w:szCs w:val="20"/>
              </w:rPr>
              <w:t>21:32</w:t>
            </w:r>
          </w:p>
        </w:tc>
        <w:tc>
          <w:tcPr>
            <w:tcW w:w="992" w:type="dxa"/>
            <w:tcBorders>
              <w:top w:val="nil"/>
              <w:bottom w:val="single" w:sz="4" w:space="0" w:color="auto"/>
            </w:tcBorders>
            <w:shd w:val="clear" w:color="auto" w:fill="auto"/>
            <w:vAlign w:val="center"/>
          </w:tcPr>
          <w:p w14:paraId="28034F90" w14:textId="77777777" w:rsidR="003B2643" w:rsidRPr="00AB2294" w:rsidRDefault="003B2643" w:rsidP="0011493F">
            <w:pPr>
              <w:autoSpaceDE w:val="0"/>
              <w:autoSpaceDN w:val="0"/>
              <w:adjustRightInd w:val="0"/>
              <w:snapToGrid w:val="0"/>
              <w:spacing w:line="240" w:lineRule="auto"/>
              <w:jc w:val="center"/>
              <w:rPr>
                <w:noProof w:val="0"/>
                <w:color w:val="auto"/>
                <w:sz w:val="20"/>
                <w:szCs w:val="20"/>
              </w:rPr>
            </w:pPr>
            <w:r w:rsidRPr="00AB2294">
              <w:rPr>
                <w:noProof w:val="0"/>
                <w:color w:val="auto"/>
                <w:sz w:val="20"/>
                <w:szCs w:val="20"/>
              </w:rPr>
              <w:t>8.92 HW</w:t>
            </w:r>
          </w:p>
        </w:tc>
        <w:tc>
          <w:tcPr>
            <w:tcW w:w="993" w:type="dxa"/>
            <w:tcBorders>
              <w:top w:val="nil"/>
              <w:bottom w:val="single" w:sz="4" w:space="0" w:color="auto"/>
            </w:tcBorders>
            <w:shd w:val="clear" w:color="auto" w:fill="auto"/>
            <w:vAlign w:val="center"/>
          </w:tcPr>
          <w:p w14:paraId="22101EFB" w14:textId="77777777" w:rsidR="003B2643" w:rsidRPr="00AB2294" w:rsidRDefault="003B2643" w:rsidP="0011493F">
            <w:pPr>
              <w:autoSpaceDE w:val="0"/>
              <w:autoSpaceDN w:val="0"/>
              <w:adjustRightInd w:val="0"/>
              <w:snapToGrid w:val="0"/>
              <w:spacing w:line="240" w:lineRule="auto"/>
              <w:jc w:val="center"/>
              <w:rPr>
                <w:noProof w:val="0"/>
                <w:color w:val="auto"/>
                <w:sz w:val="20"/>
                <w:szCs w:val="20"/>
              </w:rPr>
            </w:pPr>
            <w:r w:rsidRPr="00AB2294">
              <w:rPr>
                <w:noProof w:val="0"/>
                <w:color w:val="auto"/>
                <w:sz w:val="20"/>
                <w:szCs w:val="20"/>
              </w:rPr>
              <w:t>21:23</w:t>
            </w:r>
          </w:p>
        </w:tc>
        <w:tc>
          <w:tcPr>
            <w:tcW w:w="1134" w:type="dxa"/>
            <w:tcBorders>
              <w:top w:val="nil"/>
              <w:bottom w:val="single" w:sz="4" w:space="0" w:color="auto"/>
            </w:tcBorders>
            <w:shd w:val="clear" w:color="auto" w:fill="auto"/>
            <w:vAlign w:val="center"/>
          </w:tcPr>
          <w:p w14:paraId="5F814A97" w14:textId="77777777" w:rsidR="003B2643" w:rsidRPr="00AB2294" w:rsidRDefault="003B2643" w:rsidP="0011493F">
            <w:pPr>
              <w:autoSpaceDE w:val="0"/>
              <w:autoSpaceDN w:val="0"/>
              <w:adjustRightInd w:val="0"/>
              <w:snapToGrid w:val="0"/>
              <w:spacing w:line="240" w:lineRule="auto"/>
              <w:jc w:val="center"/>
              <w:rPr>
                <w:noProof w:val="0"/>
                <w:color w:val="auto"/>
                <w:sz w:val="20"/>
                <w:szCs w:val="20"/>
              </w:rPr>
            </w:pPr>
            <w:r w:rsidRPr="00AB2294">
              <w:rPr>
                <w:noProof w:val="0"/>
                <w:color w:val="auto"/>
                <w:sz w:val="20"/>
                <w:szCs w:val="20"/>
              </w:rPr>
              <w:t>8.87 HW</w:t>
            </w:r>
          </w:p>
        </w:tc>
        <w:tc>
          <w:tcPr>
            <w:tcW w:w="850" w:type="dxa"/>
            <w:tcBorders>
              <w:top w:val="nil"/>
              <w:bottom w:val="single" w:sz="4" w:space="0" w:color="auto"/>
            </w:tcBorders>
            <w:shd w:val="clear" w:color="auto" w:fill="auto"/>
            <w:vAlign w:val="center"/>
          </w:tcPr>
          <w:p w14:paraId="7E1760AA" w14:textId="77777777" w:rsidR="003B2643" w:rsidRPr="00AB2294" w:rsidRDefault="003B2643" w:rsidP="0011493F">
            <w:pPr>
              <w:autoSpaceDE w:val="0"/>
              <w:autoSpaceDN w:val="0"/>
              <w:adjustRightInd w:val="0"/>
              <w:snapToGrid w:val="0"/>
              <w:spacing w:line="240" w:lineRule="auto"/>
              <w:jc w:val="center"/>
              <w:rPr>
                <w:noProof w:val="0"/>
                <w:color w:val="auto"/>
                <w:sz w:val="20"/>
                <w:szCs w:val="20"/>
              </w:rPr>
            </w:pPr>
            <w:r w:rsidRPr="00AB2294">
              <w:rPr>
                <w:noProof w:val="0"/>
                <w:color w:val="auto"/>
                <w:sz w:val="20"/>
                <w:szCs w:val="20"/>
              </w:rPr>
              <w:t>21:42</w:t>
            </w:r>
          </w:p>
        </w:tc>
        <w:tc>
          <w:tcPr>
            <w:tcW w:w="1276" w:type="dxa"/>
            <w:tcBorders>
              <w:top w:val="nil"/>
              <w:bottom w:val="single" w:sz="4" w:space="0" w:color="auto"/>
            </w:tcBorders>
            <w:shd w:val="clear" w:color="auto" w:fill="auto"/>
            <w:vAlign w:val="center"/>
          </w:tcPr>
          <w:p w14:paraId="61E4437B" w14:textId="5764708C" w:rsidR="003B2643" w:rsidRPr="00AB2294" w:rsidRDefault="003B2643" w:rsidP="0011493F">
            <w:pPr>
              <w:autoSpaceDE w:val="0"/>
              <w:autoSpaceDN w:val="0"/>
              <w:adjustRightInd w:val="0"/>
              <w:snapToGrid w:val="0"/>
              <w:spacing w:line="240" w:lineRule="auto"/>
              <w:jc w:val="center"/>
              <w:rPr>
                <w:noProof w:val="0"/>
                <w:color w:val="auto"/>
                <w:sz w:val="20"/>
                <w:szCs w:val="20"/>
              </w:rPr>
            </w:pPr>
            <w:r w:rsidRPr="00AB2294">
              <w:rPr>
                <w:noProof w:val="0"/>
                <w:color w:val="auto"/>
                <w:sz w:val="20"/>
                <w:szCs w:val="20"/>
              </w:rPr>
              <w:t xml:space="preserve">9.10 </w:t>
            </w:r>
            <w:r w:rsidR="00EC3A86" w:rsidRPr="00AB2294">
              <w:rPr>
                <w:noProof w:val="0"/>
                <w:color w:val="auto"/>
                <w:sz w:val="20"/>
                <w:szCs w:val="20"/>
              </w:rPr>
              <w:t>H</w:t>
            </w:r>
            <w:r w:rsidRPr="00AB2294">
              <w:rPr>
                <w:noProof w:val="0"/>
                <w:color w:val="auto"/>
                <w:sz w:val="20"/>
                <w:szCs w:val="20"/>
              </w:rPr>
              <w:t>W</w:t>
            </w:r>
          </w:p>
        </w:tc>
      </w:tr>
      <w:tr w:rsidR="003B2643" w:rsidRPr="00AB2294" w14:paraId="759045C3" w14:textId="77777777" w:rsidTr="00AB2294">
        <w:tc>
          <w:tcPr>
            <w:tcW w:w="1696" w:type="dxa"/>
            <w:vMerge w:val="restart"/>
            <w:tcBorders>
              <w:top w:val="single" w:sz="4" w:space="0" w:color="auto"/>
            </w:tcBorders>
            <w:shd w:val="clear" w:color="auto" w:fill="auto"/>
            <w:vAlign w:val="center"/>
          </w:tcPr>
          <w:p w14:paraId="7A9295B1" w14:textId="77777777" w:rsidR="003B2643" w:rsidRPr="00106626" w:rsidRDefault="003B2643" w:rsidP="0011493F">
            <w:pPr>
              <w:autoSpaceDE w:val="0"/>
              <w:autoSpaceDN w:val="0"/>
              <w:adjustRightInd w:val="0"/>
              <w:snapToGrid w:val="0"/>
              <w:spacing w:line="240" w:lineRule="auto"/>
              <w:jc w:val="center"/>
              <w:rPr>
                <w:noProof w:val="0"/>
                <w:color w:val="auto"/>
                <w:sz w:val="20"/>
                <w:szCs w:val="20"/>
              </w:rPr>
            </w:pPr>
            <w:r w:rsidRPr="00106626">
              <w:rPr>
                <w:noProof w:val="0"/>
                <w:color w:val="auto"/>
                <w:sz w:val="20"/>
                <w:szCs w:val="20"/>
              </w:rPr>
              <w:t>Thu 29 August</w:t>
            </w:r>
          </w:p>
        </w:tc>
        <w:tc>
          <w:tcPr>
            <w:tcW w:w="992" w:type="dxa"/>
            <w:tcBorders>
              <w:top w:val="single" w:sz="4" w:space="0" w:color="auto"/>
              <w:bottom w:val="nil"/>
            </w:tcBorders>
            <w:shd w:val="clear" w:color="auto" w:fill="auto"/>
            <w:vAlign w:val="center"/>
          </w:tcPr>
          <w:p w14:paraId="64859A77" w14:textId="77777777" w:rsidR="003B2643" w:rsidRPr="00AB2294" w:rsidRDefault="003B2643" w:rsidP="0011493F">
            <w:pPr>
              <w:autoSpaceDE w:val="0"/>
              <w:autoSpaceDN w:val="0"/>
              <w:adjustRightInd w:val="0"/>
              <w:snapToGrid w:val="0"/>
              <w:spacing w:line="240" w:lineRule="auto"/>
              <w:jc w:val="center"/>
              <w:rPr>
                <w:noProof w:val="0"/>
                <w:color w:val="auto"/>
                <w:sz w:val="20"/>
                <w:szCs w:val="20"/>
              </w:rPr>
            </w:pPr>
            <w:r w:rsidRPr="00AB2294">
              <w:rPr>
                <w:noProof w:val="0"/>
                <w:color w:val="auto"/>
                <w:sz w:val="20"/>
                <w:szCs w:val="20"/>
              </w:rPr>
              <w:t>04:30</w:t>
            </w:r>
          </w:p>
        </w:tc>
        <w:tc>
          <w:tcPr>
            <w:tcW w:w="992" w:type="dxa"/>
            <w:tcBorders>
              <w:top w:val="single" w:sz="4" w:space="0" w:color="auto"/>
              <w:bottom w:val="nil"/>
            </w:tcBorders>
            <w:shd w:val="clear" w:color="auto" w:fill="auto"/>
            <w:vAlign w:val="center"/>
          </w:tcPr>
          <w:p w14:paraId="7483A81C" w14:textId="77777777" w:rsidR="003B2643" w:rsidRPr="00AB2294" w:rsidRDefault="003B2643" w:rsidP="0011493F">
            <w:pPr>
              <w:autoSpaceDE w:val="0"/>
              <w:autoSpaceDN w:val="0"/>
              <w:adjustRightInd w:val="0"/>
              <w:snapToGrid w:val="0"/>
              <w:spacing w:line="240" w:lineRule="auto"/>
              <w:jc w:val="center"/>
              <w:rPr>
                <w:noProof w:val="0"/>
                <w:color w:val="auto"/>
                <w:sz w:val="20"/>
                <w:szCs w:val="20"/>
              </w:rPr>
            </w:pPr>
            <w:r w:rsidRPr="00AB2294">
              <w:rPr>
                <w:noProof w:val="0"/>
                <w:color w:val="auto"/>
                <w:sz w:val="20"/>
                <w:szCs w:val="20"/>
              </w:rPr>
              <w:t>1.49 LW</w:t>
            </w:r>
          </w:p>
        </w:tc>
        <w:tc>
          <w:tcPr>
            <w:tcW w:w="993" w:type="dxa"/>
            <w:tcBorders>
              <w:top w:val="single" w:sz="4" w:space="0" w:color="auto"/>
              <w:bottom w:val="nil"/>
            </w:tcBorders>
            <w:shd w:val="clear" w:color="auto" w:fill="auto"/>
            <w:vAlign w:val="center"/>
          </w:tcPr>
          <w:p w14:paraId="79D5350D" w14:textId="77777777" w:rsidR="003B2643" w:rsidRPr="00AB2294" w:rsidRDefault="003B2643" w:rsidP="0011493F">
            <w:pPr>
              <w:autoSpaceDE w:val="0"/>
              <w:autoSpaceDN w:val="0"/>
              <w:adjustRightInd w:val="0"/>
              <w:snapToGrid w:val="0"/>
              <w:spacing w:line="240" w:lineRule="auto"/>
              <w:jc w:val="center"/>
              <w:rPr>
                <w:noProof w:val="0"/>
                <w:color w:val="auto"/>
                <w:sz w:val="20"/>
                <w:szCs w:val="20"/>
              </w:rPr>
            </w:pPr>
            <w:r w:rsidRPr="00AB2294">
              <w:rPr>
                <w:noProof w:val="0"/>
                <w:color w:val="auto"/>
                <w:sz w:val="20"/>
                <w:szCs w:val="20"/>
              </w:rPr>
              <w:t>04:14</w:t>
            </w:r>
          </w:p>
        </w:tc>
        <w:tc>
          <w:tcPr>
            <w:tcW w:w="1134" w:type="dxa"/>
            <w:tcBorders>
              <w:top w:val="single" w:sz="4" w:space="0" w:color="auto"/>
              <w:bottom w:val="nil"/>
            </w:tcBorders>
            <w:shd w:val="clear" w:color="auto" w:fill="auto"/>
            <w:vAlign w:val="center"/>
          </w:tcPr>
          <w:p w14:paraId="03612FBC" w14:textId="77777777" w:rsidR="003B2643" w:rsidRPr="00AB2294" w:rsidRDefault="003B2643" w:rsidP="0011493F">
            <w:pPr>
              <w:autoSpaceDE w:val="0"/>
              <w:autoSpaceDN w:val="0"/>
              <w:adjustRightInd w:val="0"/>
              <w:snapToGrid w:val="0"/>
              <w:spacing w:line="240" w:lineRule="auto"/>
              <w:jc w:val="center"/>
              <w:rPr>
                <w:noProof w:val="0"/>
                <w:color w:val="auto"/>
                <w:sz w:val="20"/>
                <w:szCs w:val="20"/>
              </w:rPr>
            </w:pPr>
            <w:r w:rsidRPr="00AB2294">
              <w:rPr>
                <w:noProof w:val="0"/>
                <w:color w:val="auto"/>
                <w:sz w:val="20"/>
                <w:szCs w:val="20"/>
              </w:rPr>
              <w:t>1.60 LW</w:t>
            </w:r>
          </w:p>
        </w:tc>
        <w:tc>
          <w:tcPr>
            <w:tcW w:w="850" w:type="dxa"/>
            <w:tcBorders>
              <w:top w:val="single" w:sz="4" w:space="0" w:color="auto"/>
              <w:bottom w:val="nil"/>
            </w:tcBorders>
            <w:shd w:val="clear" w:color="auto" w:fill="auto"/>
            <w:vAlign w:val="center"/>
          </w:tcPr>
          <w:p w14:paraId="4270E416" w14:textId="77777777" w:rsidR="003B2643" w:rsidRPr="00AB2294" w:rsidRDefault="003B2643" w:rsidP="0011493F">
            <w:pPr>
              <w:autoSpaceDE w:val="0"/>
              <w:autoSpaceDN w:val="0"/>
              <w:adjustRightInd w:val="0"/>
              <w:snapToGrid w:val="0"/>
              <w:spacing w:line="240" w:lineRule="auto"/>
              <w:jc w:val="center"/>
              <w:rPr>
                <w:noProof w:val="0"/>
                <w:color w:val="auto"/>
                <w:sz w:val="20"/>
                <w:szCs w:val="20"/>
              </w:rPr>
            </w:pPr>
            <w:r w:rsidRPr="00AB2294">
              <w:rPr>
                <w:noProof w:val="0"/>
                <w:color w:val="auto"/>
                <w:sz w:val="20"/>
                <w:szCs w:val="20"/>
              </w:rPr>
              <w:t>04:29</w:t>
            </w:r>
          </w:p>
        </w:tc>
        <w:tc>
          <w:tcPr>
            <w:tcW w:w="1276" w:type="dxa"/>
            <w:tcBorders>
              <w:top w:val="single" w:sz="4" w:space="0" w:color="auto"/>
              <w:bottom w:val="nil"/>
            </w:tcBorders>
            <w:shd w:val="clear" w:color="auto" w:fill="auto"/>
            <w:vAlign w:val="center"/>
          </w:tcPr>
          <w:p w14:paraId="7FEB00F2" w14:textId="77777777" w:rsidR="003B2643" w:rsidRPr="00AB2294" w:rsidRDefault="003B2643" w:rsidP="0011493F">
            <w:pPr>
              <w:autoSpaceDE w:val="0"/>
              <w:autoSpaceDN w:val="0"/>
              <w:adjustRightInd w:val="0"/>
              <w:snapToGrid w:val="0"/>
              <w:spacing w:line="240" w:lineRule="auto"/>
              <w:jc w:val="center"/>
              <w:rPr>
                <w:noProof w:val="0"/>
                <w:color w:val="auto"/>
                <w:sz w:val="20"/>
                <w:szCs w:val="20"/>
              </w:rPr>
            </w:pPr>
            <w:r w:rsidRPr="00AB2294">
              <w:rPr>
                <w:noProof w:val="0"/>
                <w:color w:val="auto"/>
                <w:sz w:val="20"/>
                <w:szCs w:val="20"/>
              </w:rPr>
              <w:t>1.49 LW</w:t>
            </w:r>
          </w:p>
        </w:tc>
      </w:tr>
      <w:tr w:rsidR="003B2643" w:rsidRPr="00AB2294" w14:paraId="45CD17EC" w14:textId="77777777" w:rsidTr="00AB2294">
        <w:tc>
          <w:tcPr>
            <w:tcW w:w="1696" w:type="dxa"/>
            <w:vMerge/>
            <w:shd w:val="clear" w:color="auto" w:fill="auto"/>
            <w:vAlign w:val="center"/>
          </w:tcPr>
          <w:p w14:paraId="3AD141CD" w14:textId="77777777" w:rsidR="003B2643" w:rsidRPr="00106626" w:rsidRDefault="003B2643" w:rsidP="0011493F">
            <w:pPr>
              <w:autoSpaceDE w:val="0"/>
              <w:autoSpaceDN w:val="0"/>
              <w:adjustRightInd w:val="0"/>
              <w:snapToGrid w:val="0"/>
              <w:spacing w:line="240" w:lineRule="auto"/>
              <w:jc w:val="center"/>
              <w:rPr>
                <w:noProof w:val="0"/>
                <w:color w:val="auto"/>
                <w:sz w:val="20"/>
                <w:szCs w:val="20"/>
              </w:rPr>
            </w:pPr>
          </w:p>
        </w:tc>
        <w:tc>
          <w:tcPr>
            <w:tcW w:w="992" w:type="dxa"/>
            <w:tcBorders>
              <w:top w:val="nil"/>
              <w:bottom w:val="nil"/>
            </w:tcBorders>
            <w:shd w:val="clear" w:color="auto" w:fill="auto"/>
            <w:vAlign w:val="center"/>
          </w:tcPr>
          <w:p w14:paraId="08D627F9" w14:textId="77777777" w:rsidR="003B2643" w:rsidRPr="00AB2294" w:rsidRDefault="003B2643" w:rsidP="0011493F">
            <w:pPr>
              <w:autoSpaceDE w:val="0"/>
              <w:autoSpaceDN w:val="0"/>
              <w:adjustRightInd w:val="0"/>
              <w:snapToGrid w:val="0"/>
              <w:spacing w:line="240" w:lineRule="auto"/>
              <w:jc w:val="center"/>
              <w:rPr>
                <w:noProof w:val="0"/>
                <w:color w:val="auto"/>
                <w:sz w:val="20"/>
                <w:szCs w:val="20"/>
              </w:rPr>
            </w:pPr>
            <w:r w:rsidRPr="00AB2294">
              <w:rPr>
                <w:noProof w:val="0"/>
                <w:color w:val="auto"/>
                <w:sz w:val="20"/>
                <w:szCs w:val="20"/>
              </w:rPr>
              <w:t>10:00</w:t>
            </w:r>
          </w:p>
        </w:tc>
        <w:tc>
          <w:tcPr>
            <w:tcW w:w="992" w:type="dxa"/>
            <w:tcBorders>
              <w:top w:val="nil"/>
              <w:bottom w:val="nil"/>
            </w:tcBorders>
            <w:shd w:val="clear" w:color="auto" w:fill="auto"/>
            <w:vAlign w:val="center"/>
          </w:tcPr>
          <w:p w14:paraId="1AC82E69" w14:textId="77777777" w:rsidR="003B2643" w:rsidRPr="00AB2294" w:rsidRDefault="003B2643" w:rsidP="0011493F">
            <w:pPr>
              <w:autoSpaceDE w:val="0"/>
              <w:autoSpaceDN w:val="0"/>
              <w:adjustRightInd w:val="0"/>
              <w:snapToGrid w:val="0"/>
              <w:spacing w:line="240" w:lineRule="auto"/>
              <w:jc w:val="center"/>
              <w:rPr>
                <w:noProof w:val="0"/>
                <w:color w:val="auto"/>
                <w:sz w:val="20"/>
                <w:szCs w:val="20"/>
              </w:rPr>
            </w:pPr>
            <w:r w:rsidRPr="00AB2294">
              <w:rPr>
                <w:noProof w:val="0"/>
                <w:color w:val="auto"/>
                <w:sz w:val="20"/>
                <w:szCs w:val="20"/>
              </w:rPr>
              <w:t>9.12 HW</w:t>
            </w:r>
          </w:p>
        </w:tc>
        <w:tc>
          <w:tcPr>
            <w:tcW w:w="993" w:type="dxa"/>
            <w:tcBorders>
              <w:top w:val="nil"/>
              <w:bottom w:val="nil"/>
            </w:tcBorders>
            <w:shd w:val="clear" w:color="auto" w:fill="auto"/>
            <w:vAlign w:val="center"/>
          </w:tcPr>
          <w:p w14:paraId="0CA93968" w14:textId="77777777" w:rsidR="003B2643" w:rsidRPr="00AB2294" w:rsidRDefault="003B2643" w:rsidP="0011493F">
            <w:pPr>
              <w:autoSpaceDE w:val="0"/>
              <w:autoSpaceDN w:val="0"/>
              <w:adjustRightInd w:val="0"/>
              <w:snapToGrid w:val="0"/>
              <w:spacing w:line="240" w:lineRule="auto"/>
              <w:jc w:val="center"/>
              <w:rPr>
                <w:noProof w:val="0"/>
                <w:color w:val="auto"/>
                <w:sz w:val="20"/>
                <w:szCs w:val="20"/>
              </w:rPr>
            </w:pPr>
            <w:r w:rsidRPr="00AB2294">
              <w:rPr>
                <w:noProof w:val="0"/>
                <w:color w:val="auto"/>
                <w:sz w:val="20"/>
                <w:szCs w:val="20"/>
              </w:rPr>
              <w:t>09:55</w:t>
            </w:r>
          </w:p>
        </w:tc>
        <w:tc>
          <w:tcPr>
            <w:tcW w:w="1134" w:type="dxa"/>
            <w:tcBorders>
              <w:top w:val="nil"/>
              <w:bottom w:val="nil"/>
            </w:tcBorders>
            <w:shd w:val="clear" w:color="auto" w:fill="auto"/>
            <w:vAlign w:val="center"/>
          </w:tcPr>
          <w:p w14:paraId="530BF44A" w14:textId="77777777" w:rsidR="003B2643" w:rsidRPr="00AB2294" w:rsidRDefault="003B2643" w:rsidP="0011493F">
            <w:pPr>
              <w:autoSpaceDE w:val="0"/>
              <w:autoSpaceDN w:val="0"/>
              <w:adjustRightInd w:val="0"/>
              <w:snapToGrid w:val="0"/>
              <w:spacing w:line="240" w:lineRule="auto"/>
              <w:jc w:val="center"/>
              <w:rPr>
                <w:noProof w:val="0"/>
                <w:color w:val="auto"/>
                <w:sz w:val="20"/>
                <w:szCs w:val="20"/>
              </w:rPr>
            </w:pPr>
            <w:r w:rsidRPr="00AB2294">
              <w:rPr>
                <w:noProof w:val="0"/>
                <w:color w:val="auto"/>
                <w:sz w:val="20"/>
                <w:szCs w:val="20"/>
              </w:rPr>
              <w:t>9.01 HW</w:t>
            </w:r>
          </w:p>
        </w:tc>
        <w:tc>
          <w:tcPr>
            <w:tcW w:w="850" w:type="dxa"/>
            <w:tcBorders>
              <w:top w:val="nil"/>
              <w:bottom w:val="nil"/>
            </w:tcBorders>
            <w:shd w:val="clear" w:color="auto" w:fill="auto"/>
            <w:vAlign w:val="center"/>
          </w:tcPr>
          <w:p w14:paraId="0CA7ACDA" w14:textId="77777777" w:rsidR="003B2643" w:rsidRPr="00AB2294" w:rsidRDefault="003B2643" w:rsidP="0011493F">
            <w:pPr>
              <w:autoSpaceDE w:val="0"/>
              <w:autoSpaceDN w:val="0"/>
              <w:adjustRightInd w:val="0"/>
              <w:snapToGrid w:val="0"/>
              <w:spacing w:line="240" w:lineRule="auto"/>
              <w:jc w:val="center"/>
              <w:rPr>
                <w:noProof w:val="0"/>
                <w:color w:val="auto"/>
                <w:sz w:val="20"/>
                <w:szCs w:val="20"/>
              </w:rPr>
            </w:pPr>
            <w:r w:rsidRPr="00AB2294">
              <w:rPr>
                <w:noProof w:val="0"/>
                <w:color w:val="auto"/>
                <w:sz w:val="20"/>
                <w:szCs w:val="20"/>
              </w:rPr>
              <w:t>10:11</w:t>
            </w:r>
          </w:p>
        </w:tc>
        <w:tc>
          <w:tcPr>
            <w:tcW w:w="1276" w:type="dxa"/>
            <w:tcBorders>
              <w:top w:val="nil"/>
              <w:bottom w:val="nil"/>
            </w:tcBorders>
            <w:shd w:val="clear" w:color="auto" w:fill="auto"/>
            <w:vAlign w:val="center"/>
          </w:tcPr>
          <w:p w14:paraId="179EE53D" w14:textId="77777777" w:rsidR="003B2643" w:rsidRPr="00AB2294" w:rsidRDefault="003B2643" w:rsidP="0011493F">
            <w:pPr>
              <w:autoSpaceDE w:val="0"/>
              <w:autoSpaceDN w:val="0"/>
              <w:adjustRightInd w:val="0"/>
              <w:snapToGrid w:val="0"/>
              <w:spacing w:line="240" w:lineRule="auto"/>
              <w:jc w:val="center"/>
              <w:rPr>
                <w:noProof w:val="0"/>
                <w:color w:val="auto"/>
                <w:sz w:val="20"/>
                <w:szCs w:val="20"/>
              </w:rPr>
            </w:pPr>
            <w:r w:rsidRPr="00AB2294">
              <w:rPr>
                <w:noProof w:val="0"/>
                <w:color w:val="auto"/>
                <w:sz w:val="20"/>
                <w:szCs w:val="20"/>
              </w:rPr>
              <w:t>9.33 HW</w:t>
            </w:r>
          </w:p>
        </w:tc>
      </w:tr>
      <w:tr w:rsidR="003B2643" w:rsidRPr="00106626" w14:paraId="7AF8F0AF" w14:textId="77777777" w:rsidTr="0011493F">
        <w:tc>
          <w:tcPr>
            <w:tcW w:w="1696" w:type="dxa"/>
            <w:vMerge/>
            <w:tcBorders>
              <w:bottom w:val="single" w:sz="8" w:space="0" w:color="auto"/>
            </w:tcBorders>
            <w:shd w:val="clear" w:color="auto" w:fill="auto"/>
            <w:vAlign w:val="center"/>
          </w:tcPr>
          <w:p w14:paraId="681B8C81" w14:textId="77777777" w:rsidR="003B2643" w:rsidRPr="00106626" w:rsidRDefault="003B2643" w:rsidP="0011493F">
            <w:pPr>
              <w:autoSpaceDE w:val="0"/>
              <w:autoSpaceDN w:val="0"/>
              <w:adjustRightInd w:val="0"/>
              <w:snapToGrid w:val="0"/>
              <w:spacing w:line="240" w:lineRule="auto"/>
              <w:jc w:val="center"/>
              <w:rPr>
                <w:noProof w:val="0"/>
                <w:color w:val="auto"/>
                <w:sz w:val="20"/>
                <w:szCs w:val="20"/>
              </w:rPr>
            </w:pPr>
          </w:p>
        </w:tc>
        <w:tc>
          <w:tcPr>
            <w:tcW w:w="992" w:type="dxa"/>
            <w:tcBorders>
              <w:top w:val="nil"/>
              <w:bottom w:val="single" w:sz="8" w:space="0" w:color="auto"/>
            </w:tcBorders>
            <w:shd w:val="clear" w:color="auto" w:fill="FFFFFF" w:themeFill="background1"/>
            <w:vAlign w:val="center"/>
          </w:tcPr>
          <w:p w14:paraId="03EA0D8E" w14:textId="77777777" w:rsidR="003B2643" w:rsidRPr="00106626" w:rsidRDefault="003B2643" w:rsidP="0011493F">
            <w:pPr>
              <w:autoSpaceDE w:val="0"/>
              <w:autoSpaceDN w:val="0"/>
              <w:adjustRightInd w:val="0"/>
              <w:snapToGrid w:val="0"/>
              <w:spacing w:line="240" w:lineRule="auto"/>
              <w:jc w:val="center"/>
              <w:rPr>
                <w:noProof w:val="0"/>
                <w:color w:val="auto"/>
                <w:sz w:val="20"/>
                <w:szCs w:val="20"/>
              </w:rPr>
            </w:pPr>
            <w:r w:rsidRPr="00106626">
              <w:rPr>
                <w:noProof w:val="0"/>
                <w:color w:val="auto"/>
                <w:sz w:val="20"/>
                <w:szCs w:val="20"/>
              </w:rPr>
              <w:t>16:48</w:t>
            </w:r>
          </w:p>
        </w:tc>
        <w:tc>
          <w:tcPr>
            <w:tcW w:w="992" w:type="dxa"/>
            <w:tcBorders>
              <w:top w:val="nil"/>
              <w:bottom w:val="single" w:sz="8" w:space="0" w:color="auto"/>
            </w:tcBorders>
            <w:shd w:val="clear" w:color="auto" w:fill="FFFFFF" w:themeFill="background1"/>
            <w:vAlign w:val="center"/>
          </w:tcPr>
          <w:p w14:paraId="4516A826" w14:textId="77777777" w:rsidR="003B2643" w:rsidRPr="00106626" w:rsidRDefault="003B2643" w:rsidP="0011493F">
            <w:pPr>
              <w:autoSpaceDE w:val="0"/>
              <w:autoSpaceDN w:val="0"/>
              <w:adjustRightInd w:val="0"/>
              <w:snapToGrid w:val="0"/>
              <w:spacing w:line="240" w:lineRule="auto"/>
              <w:jc w:val="center"/>
              <w:rPr>
                <w:noProof w:val="0"/>
                <w:color w:val="auto"/>
                <w:sz w:val="20"/>
                <w:szCs w:val="20"/>
              </w:rPr>
            </w:pPr>
            <w:r w:rsidRPr="00106626">
              <w:rPr>
                <w:noProof w:val="0"/>
                <w:color w:val="auto"/>
                <w:sz w:val="20"/>
                <w:szCs w:val="20"/>
              </w:rPr>
              <w:t>1.49 LW</w:t>
            </w:r>
          </w:p>
        </w:tc>
        <w:tc>
          <w:tcPr>
            <w:tcW w:w="993" w:type="dxa"/>
            <w:tcBorders>
              <w:top w:val="nil"/>
              <w:bottom w:val="single" w:sz="8" w:space="0" w:color="auto"/>
            </w:tcBorders>
            <w:shd w:val="clear" w:color="auto" w:fill="FFFFFF" w:themeFill="background1"/>
            <w:vAlign w:val="center"/>
          </w:tcPr>
          <w:p w14:paraId="113D900D" w14:textId="77777777" w:rsidR="003B2643" w:rsidRPr="00106626" w:rsidRDefault="003B2643" w:rsidP="0011493F">
            <w:pPr>
              <w:autoSpaceDE w:val="0"/>
              <w:autoSpaceDN w:val="0"/>
              <w:adjustRightInd w:val="0"/>
              <w:snapToGrid w:val="0"/>
              <w:spacing w:line="240" w:lineRule="auto"/>
              <w:jc w:val="center"/>
              <w:rPr>
                <w:noProof w:val="0"/>
                <w:color w:val="auto"/>
                <w:sz w:val="20"/>
                <w:szCs w:val="20"/>
              </w:rPr>
            </w:pPr>
            <w:r w:rsidRPr="00106626">
              <w:rPr>
                <w:noProof w:val="0"/>
                <w:color w:val="auto"/>
                <w:sz w:val="20"/>
                <w:szCs w:val="20"/>
              </w:rPr>
              <w:t>16:32</w:t>
            </w:r>
          </w:p>
        </w:tc>
        <w:tc>
          <w:tcPr>
            <w:tcW w:w="1134" w:type="dxa"/>
            <w:tcBorders>
              <w:top w:val="nil"/>
              <w:bottom w:val="single" w:sz="8" w:space="0" w:color="auto"/>
            </w:tcBorders>
            <w:shd w:val="clear" w:color="auto" w:fill="FFFFFF" w:themeFill="background1"/>
            <w:vAlign w:val="center"/>
          </w:tcPr>
          <w:p w14:paraId="01CBF8D3" w14:textId="77777777" w:rsidR="003B2643" w:rsidRPr="00106626" w:rsidRDefault="003B2643" w:rsidP="0011493F">
            <w:pPr>
              <w:autoSpaceDE w:val="0"/>
              <w:autoSpaceDN w:val="0"/>
              <w:adjustRightInd w:val="0"/>
              <w:snapToGrid w:val="0"/>
              <w:spacing w:line="240" w:lineRule="auto"/>
              <w:jc w:val="center"/>
              <w:rPr>
                <w:noProof w:val="0"/>
                <w:color w:val="auto"/>
                <w:sz w:val="20"/>
                <w:szCs w:val="20"/>
              </w:rPr>
            </w:pPr>
            <w:r w:rsidRPr="00106626">
              <w:rPr>
                <w:noProof w:val="0"/>
                <w:color w:val="auto"/>
                <w:sz w:val="20"/>
                <w:szCs w:val="20"/>
              </w:rPr>
              <w:t>1.61 LW</w:t>
            </w:r>
          </w:p>
        </w:tc>
        <w:tc>
          <w:tcPr>
            <w:tcW w:w="850" w:type="dxa"/>
            <w:tcBorders>
              <w:top w:val="nil"/>
              <w:bottom w:val="single" w:sz="8" w:space="0" w:color="auto"/>
            </w:tcBorders>
            <w:shd w:val="clear" w:color="auto" w:fill="FFFFFF" w:themeFill="background1"/>
            <w:vAlign w:val="center"/>
          </w:tcPr>
          <w:p w14:paraId="09156FAD" w14:textId="77777777" w:rsidR="003B2643" w:rsidRPr="00106626" w:rsidRDefault="003B2643" w:rsidP="0011493F">
            <w:pPr>
              <w:autoSpaceDE w:val="0"/>
              <w:autoSpaceDN w:val="0"/>
              <w:adjustRightInd w:val="0"/>
              <w:snapToGrid w:val="0"/>
              <w:spacing w:line="240" w:lineRule="auto"/>
              <w:jc w:val="center"/>
              <w:rPr>
                <w:noProof w:val="0"/>
                <w:color w:val="auto"/>
                <w:sz w:val="20"/>
                <w:szCs w:val="20"/>
              </w:rPr>
            </w:pPr>
            <w:r w:rsidRPr="00106626">
              <w:rPr>
                <w:noProof w:val="0"/>
                <w:color w:val="auto"/>
                <w:sz w:val="20"/>
                <w:szCs w:val="20"/>
              </w:rPr>
              <w:t>16:45</w:t>
            </w:r>
          </w:p>
        </w:tc>
        <w:tc>
          <w:tcPr>
            <w:tcW w:w="1276" w:type="dxa"/>
            <w:tcBorders>
              <w:top w:val="nil"/>
              <w:bottom w:val="single" w:sz="8" w:space="0" w:color="auto"/>
            </w:tcBorders>
            <w:shd w:val="clear" w:color="auto" w:fill="FFFFFF" w:themeFill="background1"/>
            <w:vAlign w:val="center"/>
          </w:tcPr>
          <w:p w14:paraId="1669FC18" w14:textId="77777777" w:rsidR="003B2643" w:rsidRPr="00106626" w:rsidRDefault="003B2643" w:rsidP="0011493F">
            <w:pPr>
              <w:autoSpaceDE w:val="0"/>
              <w:autoSpaceDN w:val="0"/>
              <w:adjustRightInd w:val="0"/>
              <w:snapToGrid w:val="0"/>
              <w:spacing w:line="240" w:lineRule="auto"/>
              <w:jc w:val="center"/>
              <w:rPr>
                <w:noProof w:val="0"/>
                <w:color w:val="auto"/>
                <w:sz w:val="20"/>
                <w:szCs w:val="20"/>
              </w:rPr>
            </w:pPr>
            <w:r w:rsidRPr="00106626">
              <w:rPr>
                <w:noProof w:val="0"/>
                <w:color w:val="auto"/>
                <w:sz w:val="20"/>
                <w:szCs w:val="20"/>
              </w:rPr>
              <w:t>1.49 LW</w:t>
            </w:r>
          </w:p>
        </w:tc>
      </w:tr>
    </w:tbl>
    <w:p w14:paraId="3B366193" w14:textId="4689A086" w:rsidR="003B2643" w:rsidRPr="00106626" w:rsidRDefault="001F48F4" w:rsidP="001F48F4">
      <w:pPr>
        <w:pStyle w:val="MDPI22heading2"/>
        <w:spacing w:before="240"/>
        <w:rPr>
          <w:lang w:val="en-GB"/>
        </w:rPr>
      </w:pPr>
      <w:bookmarkStart w:id="5" w:name="_Hlk82199563"/>
      <w:r w:rsidRPr="00106626">
        <w:rPr>
          <w:lang w:val="en-GB"/>
        </w:rPr>
        <w:t xml:space="preserve">2.4. </w:t>
      </w:r>
      <w:r w:rsidR="003B2643" w:rsidRPr="00106626">
        <w:rPr>
          <w:lang w:val="en-GB"/>
        </w:rPr>
        <w:t xml:space="preserve">Offshore Wave </w:t>
      </w:r>
      <w:r w:rsidR="00653E94" w:rsidRPr="00106626">
        <w:rPr>
          <w:lang w:val="en-GB"/>
        </w:rPr>
        <w:t>Data</w:t>
      </w:r>
      <w:bookmarkEnd w:id="5"/>
    </w:p>
    <w:p w14:paraId="304A072A" w14:textId="7A3D448F" w:rsidR="003B2643" w:rsidRPr="00106626" w:rsidRDefault="003B2643" w:rsidP="001F48F4">
      <w:pPr>
        <w:pStyle w:val="MDPI31text"/>
        <w:rPr>
          <w:b/>
          <w:lang w:val="en-GB"/>
        </w:rPr>
      </w:pPr>
      <w:r w:rsidRPr="00106626">
        <w:rPr>
          <w:lang w:val="en-GB"/>
        </w:rPr>
        <w:t xml:space="preserve">Wave data, for comparison with the GNSS buoy data, were obtained (via the Channel </w:t>
      </w:r>
      <w:r w:rsidR="00BF39B0">
        <w:rPr>
          <w:lang w:val="en-GB"/>
        </w:rPr>
        <w:t xml:space="preserve">Coastal </w:t>
      </w:r>
      <w:r w:rsidRPr="00106626">
        <w:rPr>
          <w:lang w:val="en-GB"/>
        </w:rPr>
        <w:t>Observatory</w:t>
      </w:r>
      <w:r w:rsidR="00BF39B0">
        <w:rPr>
          <w:lang w:val="en-GB"/>
        </w:rPr>
        <w:t xml:space="preserve"> website </w:t>
      </w:r>
      <w:hyperlink r:id="rId19" w:history="1">
        <w:r w:rsidR="00BF39B0" w:rsidRPr="007C559A">
          <w:rPr>
            <w:rStyle w:val="Hyperlink"/>
            <w:lang w:val="en-GB"/>
          </w:rPr>
          <w:t>https://coastalmonitoring.org/</w:t>
        </w:r>
      </w:hyperlink>
      <w:r w:rsidR="00BF39B0">
        <w:rPr>
          <w:lang w:val="en-GB"/>
        </w:rPr>
        <w:t xml:space="preserve"> (accessed on 4</w:t>
      </w:r>
      <w:r w:rsidR="00BF39B0" w:rsidRPr="00BF39B0">
        <w:rPr>
          <w:vertAlign w:val="superscript"/>
          <w:lang w:val="en-GB"/>
        </w:rPr>
        <w:t>th</w:t>
      </w:r>
      <w:r w:rsidR="00BF39B0">
        <w:rPr>
          <w:lang w:val="en-GB"/>
        </w:rPr>
        <w:t xml:space="preserve"> June 2021)</w:t>
      </w:r>
      <w:r w:rsidRPr="00106626">
        <w:rPr>
          <w:lang w:val="en-GB"/>
        </w:rPr>
        <w:t>), from the Cleveleys wave buoy (WGS: 53°53.7</w:t>
      </w:r>
      <w:r w:rsidR="009E4BF9" w:rsidRPr="00106626">
        <w:rPr>
          <w:lang w:val="en-GB"/>
        </w:rPr>
        <w:t>0′</w:t>
      </w:r>
      <w:r w:rsidR="00795012" w:rsidRPr="00106626">
        <w:rPr>
          <w:lang w:val="en-GB"/>
        </w:rPr>
        <w:t xml:space="preserve"> </w:t>
      </w:r>
      <w:r w:rsidRPr="00106626">
        <w:rPr>
          <w:lang w:val="en-GB"/>
        </w:rPr>
        <w:t>N</w:t>
      </w:r>
      <w:r w:rsidR="00795012" w:rsidRPr="00106626">
        <w:rPr>
          <w:lang w:val="en-GB"/>
        </w:rPr>
        <w:t>,</w:t>
      </w:r>
      <w:r w:rsidRPr="00106626">
        <w:rPr>
          <w:lang w:val="en-GB"/>
        </w:rPr>
        <w:t xml:space="preserve"> 03°11.7</w:t>
      </w:r>
      <w:r w:rsidR="009E4BF9" w:rsidRPr="00106626">
        <w:rPr>
          <w:lang w:val="en-GB"/>
        </w:rPr>
        <w:t>8′</w:t>
      </w:r>
      <w:r w:rsidR="00795012" w:rsidRPr="00106626">
        <w:rPr>
          <w:lang w:val="en-GB"/>
        </w:rPr>
        <w:t xml:space="preserve"> </w:t>
      </w:r>
      <w:r w:rsidRPr="00106626">
        <w:rPr>
          <w:lang w:val="en-GB"/>
        </w:rPr>
        <w:t>W) owned by Sefton Council and situated 9.</w:t>
      </w:r>
      <w:r w:rsidR="007A5E5E" w:rsidRPr="00106626">
        <w:rPr>
          <w:lang w:val="en-GB"/>
        </w:rPr>
        <w:t>5 k</w:t>
      </w:r>
      <w:r w:rsidRPr="00106626">
        <w:rPr>
          <w:lang w:val="en-GB"/>
        </w:rPr>
        <w:t>m to the west (Figure 2) of the GNSS deployment site at Ro</w:t>
      </w:r>
      <w:r w:rsidRPr="00106626">
        <w:rPr>
          <w:lang w:val="en-GB"/>
        </w:rPr>
        <w:t>s</w:t>
      </w:r>
      <w:r w:rsidRPr="00106626">
        <w:rPr>
          <w:lang w:val="en-GB"/>
        </w:rPr>
        <w:t>sall. The wave data were recorded as thirty-minute values by the Datawell Directional Waverider Mk III buoy deployed in approximately 10 m of water depth. For reference, and to contrast with the wave heights encountered during the experiment in August 2019, the mean significant wave height (Hs) was 1.</w:t>
      </w:r>
      <w:r w:rsidR="007A5E5E" w:rsidRPr="00106626">
        <w:rPr>
          <w:lang w:val="en-GB"/>
        </w:rPr>
        <w:t>0 m</w:t>
      </w:r>
      <w:r w:rsidRPr="00106626">
        <w:rPr>
          <w:lang w:val="en-GB"/>
        </w:rPr>
        <w:t xml:space="preserve">, </w:t>
      </w:r>
      <w:r w:rsidR="00BA6709">
        <w:rPr>
          <w:lang w:val="en-GB"/>
        </w:rPr>
        <w:t xml:space="preserve">and </w:t>
      </w:r>
      <w:r w:rsidRPr="00106626">
        <w:rPr>
          <w:lang w:val="en-GB"/>
        </w:rPr>
        <w:t>standard deviation was 0.6</w:t>
      </w:r>
      <w:r w:rsidR="007A5E5E" w:rsidRPr="00106626">
        <w:rPr>
          <w:lang w:val="en-GB"/>
        </w:rPr>
        <w:t>0 m</w:t>
      </w:r>
      <w:r w:rsidRPr="00106626">
        <w:rPr>
          <w:lang w:val="en-GB"/>
        </w:rPr>
        <w:t>, with minimum value of 0.0</w:t>
      </w:r>
      <w:r w:rsidR="007A5E5E" w:rsidRPr="00106626">
        <w:rPr>
          <w:lang w:val="en-GB"/>
        </w:rPr>
        <w:t>9 m</w:t>
      </w:r>
      <w:r w:rsidRPr="00106626">
        <w:rPr>
          <w:lang w:val="en-GB"/>
        </w:rPr>
        <w:t xml:space="preserve"> and maximum value of 2.6</w:t>
      </w:r>
      <w:r w:rsidR="007A5E5E" w:rsidRPr="00106626">
        <w:rPr>
          <w:lang w:val="en-GB"/>
        </w:rPr>
        <w:t>7 m</w:t>
      </w:r>
      <w:r w:rsidRPr="00106626">
        <w:rPr>
          <w:lang w:val="en-GB"/>
        </w:rPr>
        <w:t>.</w:t>
      </w:r>
    </w:p>
    <w:p w14:paraId="2301AA08" w14:textId="217C5FA0" w:rsidR="003B2643" w:rsidRPr="00106626" w:rsidRDefault="001F48F4" w:rsidP="001F48F4">
      <w:pPr>
        <w:pStyle w:val="MDPI22heading2"/>
        <w:spacing w:before="240"/>
        <w:rPr>
          <w:lang w:val="en-GB"/>
        </w:rPr>
      </w:pPr>
      <w:r w:rsidRPr="00106626">
        <w:rPr>
          <w:lang w:val="en-GB"/>
        </w:rPr>
        <w:t xml:space="preserve">2.5. </w:t>
      </w:r>
      <w:r w:rsidR="003B2643" w:rsidRPr="00106626">
        <w:rPr>
          <w:lang w:val="en-GB"/>
        </w:rPr>
        <w:t xml:space="preserve">GNSS </w:t>
      </w:r>
      <w:r w:rsidR="00653E94" w:rsidRPr="00106626">
        <w:rPr>
          <w:lang w:val="en-GB"/>
        </w:rPr>
        <w:t xml:space="preserve">Base Station </w:t>
      </w:r>
      <w:r w:rsidR="003B2643" w:rsidRPr="00106626">
        <w:rPr>
          <w:lang w:val="en-GB"/>
        </w:rPr>
        <w:t xml:space="preserve">and </w:t>
      </w:r>
      <w:r w:rsidR="00653E94" w:rsidRPr="00106626">
        <w:rPr>
          <w:lang w:val="en-GB"/>
        </w:rPr>
        <w:t>Satellite Ephemerides Data</w:t>
      </w:r>
    </w:p>
    <w:p w14:paraId="11E4AB3B" w14:textId="3523A64F" w:rsidR="003B2643" w:rsidRPr="00106626" w:rsidRDefault="003B2643" w:rsidP="001F48F4">
      <w:pPr>
        <w:pStyle w:val="MDPI31text"/>
        <w:rPr>
          <w:b/>
          <w:lang w:val="en-GB"/>
        </w:rPr>
      </w:pPr>
      <w:r w:rsidRPr="00106626">
        <w:rPr>
          <w:lang w:val="en-GB"/>
        </w:rPr>
        <w:t>There is a UK Ordnance Survey (OS) geodetic GNSS site located at Blackpool airport (WGS: 53°46′36.9″</w:t>
      </w:r>
      <w:r w:rsidR="005914CB" w:rsidRPr="00106626">
        <w:rPr>
          <w:lang w:val="en-GB"/>
        </w:rPr>
        <w:t xml:space="preserve"> </w:t>
      </w:r>
      <w:r w:rsidRPr="00106626">
        <w:rPr>
          <w:lang w:val="en-GB"/>
        </w:rPr>
        <w:t>N, 03°02′05.9″</w:t>
      </w:r>
      <w:r w:rsidR="005914CB" w:rsidRPr="00106626">
        <w:rPr>
          <w:lang w:val="en-GB"/>
        </w:rPr>
        <w:t xml:space="preserve"> </w:t>
      </w:r>
      <w:r w:rsidRPr="00106626">
        <w:rPr>
          <w:lang w:val="en-GB"/>
        </w:rPr>
        <w:t>W, British National Grid: SD 31891 31673), 14.5 km to the south of the deployment site; a source of research-quality GNSS data which can be applied to the post-processed kinematic (PPK) solution. Initial processing used base st</w:t>
      </w:r>
      <w:r w:rsidRPr="00106626">
        <w:rPr>
          <w:lang w:val="en-GB"/>
        </w:rPr>
        <w:t>a</w:t>
      </w:r>
      <w:r w:rsidRPr="00106626">
        <w:rPr>
          <w:lang w:val="en-GB"/>
        </w:rPr>
        <w:t>tion data at 30</w:t>
      </w:r>
      <w:r w:rsidR="00BA6709">
        <w:rPr>
          <w:lang w:val="en-GB"/>
        </w:rPr>
        <w:t xml:space="preserve"> </w:t>
      </w:r>
      <w:r w:rsidR="00B73459" w:rsidRPr="00106626">
        <w:rPr>
          <w:lang w:val="en-GB"/>
        </w:rPr>
        <w:t>s</w:t>
      </w:r>
      <w:r w:rsidRPr="00106626">
        <w:rPr>
          <w:lang w:val="en-GB"/>
        </w:rPr>
        <w:t xml:space="preserve"> intervals from the Ordnance Survey. Once the 1 Hz</w:t>
      </w:r>
      <w:r w:rsidR="00BA6709">
        <w:rPr>
          <w:lang w:val="en-GB"/>
        </w:rPr>
        <w:t xml:space="preserve"> </w:t>
      </w:r>
      <w:r w:rsidRPr="00106626">
        <w:rPr>
          <w:lang w:val="en-GB"/>
        </w:rPr>
        <w:t>data became avail</w:t>
      </w:r>
      <w:r w:rsidRPr="00106626">
        <w:rPr>
          <w:lang w:val="en-GB"/>
        </w:rPr>
        <w:t>a</w:t>
      </w:r>
      <w:r w:rsidRPr="00106626">
        <w:rPr>
          <w:lang w:val="en-GB"/>
        </w:rPr>
        <w:t>ble (after a delay of 45 days) these were used in the final positioning solution instead. The archived 1</w:t>
      </w:r>
      <w:r w:rsidR="00BA6709">
        <w:rPr>
          <w:lang w:val="en-GB"/>
        </w:rPr>
        <w:t xml:space="preserve"> </w:t>
      </w:r>
      <w:r w:rsidRPr="00106626">
        <w:rPr>
          <w:lang w:val="en-GB"/>
        </w:rPr>
        <w:t xml:space="preserve">Hz GNSS data were obtained from the British Isles continuous GNSS facility (BIGF) </w:t>
      </w:r>
      <w:r w:rsidRPr="00106626">
        <w:rPr>
          <w:b/>
          <w:lang w:val="en-GB"/>
        </w:rPr>
        <w:fldChar w:fldCharType="begin"/>
      </w:r>
      <w:r w:rsidRPr="00106626">
        <w:rPr>
          <w:lang w:val="en-GB"/>
        </w:rPr>
        <w:instrText xml:space="preserve"> ADDIN EN.CITE &lt;EndNote&gt;&lt;Cite&gt;&lt;Year&gt;2021&lt;/Year&gt;&lt;RecNum&gt;54&lt;/RecNum&gt;&lt;DisplayText&gt;&lt;style size="10"&gt;[28]&lt;/style&gt;&lt;/DisplayText&gt;&lt;record&gt;&lt;rec-number&gt;54&lt;/rec-number&gt;&lt;foreign-keys&gt;&lt;key app="EN" db-id="sd9w9tfd2arwx9e9sf8pdtz6fttd0rp5r5p5" timestamp="1629229341"&gt;54&lt;/key&gt;&lt;/foreign-keys&gt;&lt;ref-type name="Web Page"&gt;12&lt;/ref-type&gt;&lt;contributors&gt;&lt;/contributors&gt;&lt;titles&gt;&lt;title&gt;NERC, British Isles continuous GNSS facility (BIGF)&lt;/title&gt;&lt;/titles&gt;&lt;volume&gt;2021&lt;/volume&gt;&lt;number&gt;03 May 2021&lt;/number&gt;&lt;dates&gt;&lt;year&gt;2021&lt;/year&gt;&lt;/dates&gt;&lt;urls&gt;&lt;related-urls&gt;&lt;url&gt;http://www.bigf.ac.uk/ &lt;/url&gt;&lt;/related-urls&gt;&lt;/urls&gt;&lt;/record&gt;&lt;/Cite&gt;&lt;/EndNote&gt;</w:instrText>
      </w:r>
      <w:r w:rsidRPr="00106626">
        <w:rPr>
          <w:b/>
          <w:lang w:val="en-GB"/>
        </w:rPr>
        <w:fldChar w:fldCharType="separate"/>
      </w:r>
      <w:r w:rsidRPr="00106626">
        <w:rPr>
          <w:noProof/>
          <w:lang w:val="en-GB"/>
        </w:rPr>
        <w:t>[28]</w:t>
      </w:r>
      <w:r w:rsidRPr="00106626">
        <w:rPr>
          <w:b/>
          <w:lang w:val="en-GB"/>
        </w:rPr>
        <w:fldChar w:fldCharType="end"/>
      </w:r>
      <w:r w:rsidRPr="00106626">
        <w:rPr>
          <w:lang w:val="en-GB"/>
        </w:rPr>
        <w:t>.</w:t>
      </w:r>
    </w:p>
    <w:p w14:paraId="0C89C45D" w14:textId="0AC73F01" w:rsidR="003B2643" w:rsidRPr="00106626" w:rsidRDefault="003B2643" w:rsidP="001F48F4">
      <w:pPr>
        <w:pStyle w:val="MDPI31text"/>
        <w:rPr>
          <w:b/>
          <w:lang w:val="en-GB"/>
        </w:rPr>
      </w:pPr>
      <w:r w:rsidRPr="00106626">
        <w:rPr>
          <w:lang w:val="en-GB"/>
        </w:rPr>
        <w:lastRenderedPageBreak/>
        <w:t xml:space="preserve">To improve the overall solution, satellite ephemerides for precise orbit corrections and satellite and station clock error corrections were applied. These were obtained from the Crustal Dynamics Data Information System </w:t>
      </w:r>
      <w:r w:rsidRPr="00106626">
        <w:rPr>
          <w:b/>
          <w:lang w:val="en-GB"/>
        </w:rPr>
        <w:fldChar w:fldCharType="begin"/>
      </w:r>
      <w:r w:rsidRPr="00106626">
        <w:rPr>
          <w:lang w:val="en-GB"/>
        </w:rPr>
        <w:instrText xml:space="preserve"> ADDIN EN.CITE &lt;EndNote&gt;&lt;Cite&gt;&lt;Year&gt;2021&lt;/Year&gt;&lt;RecNum&gt;60&lt;/RecNum&gt;&lt;DisplayText&gt;&lt;style size="10"&gt;[29,30]&lt;/style&gt;&lt;/DisplayText&gt;&lt;record&gt;&lt;rec-number&gt;60&lt;/rec-number&gt;&lt;foreign-keys&gt;&lt;key app="EN" db-id="sd9w9tfd2arwx9e9sf8pdtz6fttd0rp5r5p5" timestamp="1629230599"&gt;60&lt;/key&gt;&lt;/foreign-keys&gt;&lt;ref-type name="Web Page"&gt;12&lt;/ref-type&gt;&lt;contributors&gt;&lt;/contributors&gt;&lt;titles&gt;&lt;title&gt;CDDIS, NASA’s Archive of Space Geodesy Data. &lt;/title&gt;&lt;/titles&gt;&lt;volume&gt;2021&lt;/volume&gt;&lt;number&gt;18 Apr 2021&lt;/number&gt;&lt;dates&gt;&lt;year&gt;2021&lt;/year&gt;&lt;/dates&gt;&lt;urls&gt;&lt;related-urls&gt;&lt;url&gt;https://cddis.nasa.gov/Data_and_Derived_Products/GNSS/orbit_products.html &lt;/url&gt;&lt;/related-urls&gt;&lt;/urls&gt;&lt;/record&gt;&lt;/Cite&gt;&lt;Cite&gt;&lt;Author&gt;Noll&lt;/Author&gt;&lt;Year&gt;2010&lt;/Year&gt;&lt;RecNum&gt;45&lt;/RecNum&gt;&lt;record&gt;&lt;rec-number&gt;45&lt;/rec-number&gt;&lt;foreign-keys&gt;&lt;key app="EN" db-id="sd9w9tfd2arwx9e9sf8pdtz6fttd0rp5r5p5" timestamp="1628970550"&gt;45&lt;/key&gt;&lt;/foreign-keys&gt;&lt;ref-type name="Journal Article"&gt;17&lt;/ref-type&gt;&lt;contributors&gt;&lt;authors&gt;&lt;author&gt;Noll, Carey E&lt;/author&gt;&lt;/authors&gt;&lt;/contributors&gt;&lt;titles&gt;&lt;title&gt;The Crustal Dynamics Data Information System: A resource to support scientific analysis using space geodesy&lt;/title&gt;&lt;secondary-title&gt;Advances in Space Research&lt;/secondary-title&gt;&lt;/titles&gt;&lt;periodical&gt;&lt;full-title&gt;Advances in Space Research&lt;/full-title&gt;&lt;/periodical&gt;&lt;pages&gt;1421-1440&lt;/pages&gt;&lt;volume&gt;45&lt;/volume&gt;&lt;number&gt;12&lt;/number&gt;&lt;dates&gt;&lt;year&gt;2010&lt;/year&gt;&lt;/dates&gt;&lt;isbn&gt;0273-1177&lt;/isbn&gt;&lt;urls&gt;&lt;/urls&gt;&lt;/record&gt;&lt;/Cite&gt;&lt;/EndNote&gt;</w:instrText>
      </w:r>
      <w:r w:rsidRPr="00106626">
        <w:rPr>
          <w:b/>
          <w:lang w:val="en-GB"/>
        </w:rPr>
        <w:fldChar w:fldCharType="separate"/>
      </w:r>
      <w:r w:rsidRPr="00106626">
        <w:rPr>
          <w:noProof/>
          <w:lang w:val="en-GB"/>
        </w:rPr>
        <w:t>[29,30]</w:t>
      </w:r>
      <w:r w:rsidRPr="00106626">
        <w:rPr>
          <w:b/>
          <w:lang w:val="en-GB"/>
        </w:rPr>
        <w:fldChar w:fldCharType="end"/>
      </w:r>
      <w:r w:rsidRPr="00106626">
        <w:rPr>
          <w:lang w:val="en-GB"/>
        </w:rPr>
        <w:t xml:space="preserve">. The corrections are delivered with increasing accuracy in the form of ‘ultra’, ‘rapid’ and ‘final’ correction files; available between 3–9 </w:t>
      </w:r>
      <w:r w:rsidR="00B73459" w:rsidRPr="00106626">
        <w:rPr>
          <w:lang w:val="en-GB"/>
        </w:rPr>
        <w:t>h</w:t>
      </w:r>
      <w:r w:rsidRPr="00106626">
        <w:rPr>
          <w:lang w:val="en-GB"/>
        </w:rPr>
        <w:t xml:space="preserve">, 17–41 </w:t>
      </w:r>
      <w:r w:rsidR="00B73459" w:rsidRPr="00106626">
        <w:rPr>
          <w:lang w:val="en-GB"/>
        </w:rPr>
        <w:t>h</w:t>
      </w:r>
      <w:r w:rsidRPr="00106626">
        <w:rPr>
          <w:lang w:val="en-GB"/>
        </w:rPr>
        <w:t xml:space="preserve"> and 11–17 days, respectively. The results in this paper use the f</w:t>
      </w:r>
      <w:r w:rsidRPr="00106626">
        <w:rPr>
          <w:lang w:val="en-GB"/>
        </w:rPr>
        <w:t>i</w:t>
      </w:r>
      <w:r w:rsidRPr="00106626">
        <w:rPr>
          <w:lang w:val="en-GB"/>
        </w:rPr>
        <w:t>nal products.</w:t>
      </w:r>
    </w:p>
    <w:p w14:paraId="1C3ED3AB" w14:textId="6B49A370" w:rsidR="003B2643" w:rsidRPr="00106626" w:rsidRDefault="001F48F4" w:rsidP="001F48F4">
      <w:pPr>
        <w:pStyle w:val="MDPI21heading1"/>
        <w:rPr>
          <w:lang w:val="en-GB"/>
        </w:rPr>
      </w:pPr>
      <w:bookmarkStart w:id="6" w:name="_Hlk82349179"/>
      <w:r w:rsidRPr="00106626">
        <w:rPr>
          <w:lang w:val="en-GB"/>
        </w:rPr>
        <w:t xml:space="preserve">3. </w:t>
      </w:r>
      <w:r w:rsidR="003B2643" w:rsidRPr="00106626">
        <w:rPr>
          <w:lang w:val="en-GB"/>
        </w:rPr>
        <w:t xml:space="preserve">Results and </w:t>
      </w:r>
      <w:r w:rsidR="00653E94" w:rsidRPr="00106626">
        <w:rPr>
          <w:lang w:val="en-GB"/>
        </w:rPr>
        <w:t>Interpretation</w:t>
      </w:r>
    </w:p>
    <w:p w14:paraId="314AFD38" w14:textId="33AFFCF7" w:rsidR="003B2643" w:rsidRPr="00106626" w:rsidRDefault="003B2643" w:rsidP="001F48F4">
      <w:pPr>
        <w:pStyle w:val="MDPI31text"/>
        <w:rPr>
          <w:lang w:val="en-GB"/>
        </w:rPr>
      </w:pPr>
      <w:r w:rsidRPr="00106626">
        <w:rPr>
          <w:lang w:val="en-GB"/>
        </w:rPr>
        <w:t xml:space="preserve">The raw data were downloaded via Wi-Fi using the set-up mentioned in </w:t>
      </w:r>
      <w:r w:rsidR="00BA6709">
        <w:rPr>
          <w:lang w:val="en-GB"/>
        </w:rPr>
        <w:t>S</w:t>
      </w:r>
      <w:r w:rsidR="00BC04B9" w:rsidRPr="00106626">
        <w:rPr>
          <w:lang w:val="en-GB"/>
        </w:rPr>
        <w:t>ection 2</w:t>
      </w:r>
      <w:r w:rsidRPr="00106626">
        <w:rPr>
          <w:lang w:val="en-GB"/>
        </w:rPr>
        <w:t>.1; this was tested at around 25</w:t>
      </w:r>
      <w:r w:rsidR="007A5E5E" w:rsidRPr="00106626">
        <w:rPr>
          <w:lang w:val="en-GB"/>
        </w:rPr>
        <w:t>0 m</w:t>
      </w:r>
      <w:r w:rsidRPr="00106626">
        <w:rPr>
          <w:lang w:val="en-GB"/>
        </w:rPr>
        <w:t xml:space="preserve"> range to demonstrate that data could be downloaded with the buoy in the water. If deployed further out towards the low water mark it could be free-floating at times during the spring-neap tidal cycle (e.g., during neap tidal cycles). Data were recorded from 14:10 on 28 August until 15:25 on 29 August over two tidal c</w:t>
      </w:r>
      <w:r w:rsidRPr="00106626">
        <w:rPr>
          <w:lang w:val="en-GB"/>
        </w:rPr>
        <w:t>y</w:t>
      </w:r>
      <w:r w:rsidRPr="00106626">
        <w:rPr>
          <w:lang w:val="en-GB"/>
        </w:rPr>
        <w:t>cles. The data were subdivided according to when the buoy was free-floating during the tidal cycle such that:</w:t>
      </w:r>
    </w:p>
    <w:p w14:paraId="24E12CBB" w14:textId="7370E74C" w:rsidR="003B2643" w:rsidRPr="00106626" w:rsidRDefault="003B2643" w:rsidP="00DE2735">
      <w:pPr>
        <w:pStyle w:val="MDPI31text"/>
        <w:numPr>
          <w:ilvl w:val="0"/>
          <w:numId w:val="21"/>
        </w:numPr>
        <w:spacing w:before="60"/>
        <w:ind w:left="3033" w:hanging="425"/>
        <w:rPr>
          <w:lang w:val="en-GB"/>
        </w:rPr>
      </w:pPr>
      <w:r w:rsidRPr="00106626">
        <w:rPr>
          <w:lang w:val="en-GB"/>
        </w:rPr>
        <w:t>tidal cycle A refers to data between 18:00 on the 28 August 02:00 on the 29 August</w:t>
      </w:r>
      <w:r w:rsidR="002A6834" w:rsidRPr="00106626">
        <w:rPr>
          <w:lang w:val="en-GB"/>
        </w:rPr>
        <w:t>.</w:t>
      </w:r>
    </w:p>
    <w:p w14:paraId="6D7DBE2C" w14:textId="6688EEB9" w:rsidR="003B2643" w:rsidRPr="00106626" w:rsidRDefault="003B2643" w:rsidP="00DE2735">
      <w:pPr>
        <w:pStyle w:val="MDPI31text"/>
        <w:numPr>
          <w:ilvl w:val="0"/>
          <w:numId w:val="21"/>
        </w:numPr>
        <w:spacing w:after="60"/>
        <w:ind w:left="3033" w:hanging="425"/>
        <w:rPr>
          <w:lang w:val="en-GB"/>
        </w:rPr>
      </w:pPr>
      <w:r w:rsidRPr="00106626">
        <w:rPr>
          <w:lang w:val="en-GB"/>
        </w:rPr>
        <w:t>tidal cycle B refers to data between 06:00</w:t>
      </w:r>
      <w:r w:rsidR="002A6834" w:rsidRPr="00106626">
        <w:rPr>
          <w:lang w:val="en-GB"/>
        </w:rPr>
        <w:t>–</w:t>
      </w:r>
      <w:r w:rsidRPr="00106626">
        <w:rPr>
          <w:lang w:val="en-GB"/>
        </w:rPr>
        <w:t>14:30 on the 29 August.</w:t>
      </w:r>
    </w:p>
    <w:p w14:paraId="0BF59FB0" w14:textId="6BBE59BF" w:rsidR="003B2643" w:rsidRPr="00106626" w:rsidRDefault="001F48F4" w:rsidP="001F48F4">
      <w:pPr>
        <w:pStyle w:val="MDPI22heading2"/>
        <w:spacing w:before="240"/>
        <w:rPr>
          <w:lang w:val="en-GB"/>
        </w:rPr>
      </w:pPr>
      <w:bookmarkStart w:id="7" w:name="_Hlk82347711"/>
      <w:bookmarkStart w:id="8" w:name="_Hlk81855799"/>
      <w:r w:rsidRPr="00106626">
        <w:rPr>
          <w:lang w:val="en-GB"/>
        </w:rPr>
        <w:t xml:space="preserve">3.1. </w:t>
      </w:r>
      <w:r w:rsidR="003B2643" w:rsidRPr="00106626">
        <w:rPr>
          <w:lang w:val="en-GB"/>
        </w:rPr>
        <w:t>GNSS-</w:t>
      </w:r>
      <w:r w:rsidR="00653E94" w:rsidRPr="00106626">
        <w:rPr>
          <w:lang w:val="en-GB"/>
        </w:rPr>
        <w:t>Derived Tidal Heights</w:t>
      </w:r>
    </w:p>
    <w:bookmarkEnd w:id="6"/>
    <w:bookmarkEnd w:id="7"/>
    <w:p w14:paraId="68FBE698" w14:textId="01886886" w:rsidR="003B2643" w:rsidRPr="00106626" w:rsidRDefault="003B2643" w:rsidP="00F554B5">
      <w:pPr>
        <w:pStyle w:val="MDPI31text"/>
        <w:rPr>
          <w:lang w:val="en-GB"/>
        </w:rPr>
      </w:pPr>
      <w:r w:rsidRPr="00106626">
        <w:rPr>
          <w:lang w:val="en-GB"/>
        </w:rPr>
        <w:t xml:space="preserve">The RTKLIB software </w:t>
      </w:r>
      <w:r w:rsidRPr="00106626">
        <w:rPr>
          <w:i/>
          <w:lang w:val="en-GB"/>
        </w:rPr>
        <w:fldChar w:fldCharType="begin"/>
      </w:r>
      <w:r w:rsidRPr="00106626">
        <w:rPr>
          <w:lang w:val="en-GB"/>
        </w:rPr>
        <w:instrText xml:space="preserve"> ADDIN EN.CITE &lt;EndNote&gt;&lt;Cite&gt;&lt;Year&gt;2019&lt;/Year&gt;&lt;RecNum&gt;62&lt;/RecNum&gt;&lt;DisplayText&gt;&lt;style size="10"&gt;[5]&lt;/style&gt;&lt;/DisplayText&gt;&lt;record&gt;&lt;rec-number&gt;62&lt;/rec-number&gt;&lt;foreign-keys&gt;&lt;key app="EN" db-id="sd9w9tfd2arwx9e9sf8pdtz6fttd0rp5r5p5" timestamp="1629231391"&gt;62&lt;/key&gt;&lt;/foreign-keys&gt;&lt;ref-type name="Web Page"&gt;12&lt;/ref-type&gt;&lt;contributors&gt;&lt;/contributors&gt;&lt;titles&gt;&lt;title&gt;RTKLIB: An Open Source Program Package for GNSS Positioning&lt;/title&gt;&lt;/titles&gt;&lt;volume&gt;2019&lt;/volume&gt;&lt;number&gt;10 Jan 2019&lt;/number&gt;&lt;dates&gt;&lt;year&gt;2019&lt;/year&gt;&lt;/dates&gt;&lt;urls&gt;&lt;related-urls&gt;&lt;url&gt;http://www.rtklib.com/&lt;/url&gt;&lt;/related-urls&gt;&lt;/urls&gt;&lt;/record&gt;&lt;/Cite&gt;&lt;/EndNote&gt;</w:instrText>
      </w:r>
      <w:r w:rsidRPr="00106626">
        <w:rPr>
          <w:i/>
          <w:lang w:val="en-GB"/>
        </w:rPr>
        <w:fldChar w:fldCharType="separate"/>
      </w:r>
      <w:r w:rsidRPr="00106626">
        <w:rPr>
          <w:lang w:val="en-GB"/>
        </w:rPr>
        <w:t>[5]</w:t>
      </w:r>
      <w:r w:rsidRPr="00106626">
        <w:rPr>
          <w:i/>
          <w:lang w:val="en-GB"/>
        </w:rPr>
        <w:fldChar w:fldCharType="end"/>
      </w:r>
      <w:r w:rsidRPr="00106626">
        <w:rPr>
          <w:lang w:val="en-GB"/>
        </w:rPr>
        <w:t xml:space="preserve"> has a number of options for post-processing GNSS data. Table 2 shows the general settings that produced the best overall solutions. GNSS data from GPS and global navigation satellite system (GLONASS) satellites were post-processed in ‘kinematic mode’ with respect to a land-based reference station</w:t>
      </w:r>
      <w:r w:rsidR="00585567">
        <w:rPr>
          <w:lang w:val="en-GB"/>
        </w:rPr>
        <w:t>.</w:t>
      </w:r>
      <w:r w:rsidRPr="00106626">
        <w:rPr>
          <w:lang w:val="en-GB"/>
        </w:rPr>
        <w:t xml:space="preserve"> Post-processed kinematic (PPK) mode is an alternative technique to real-time kinematic (RTK) and differs in that the solution algorithms can be applied both forward and backward (to increase the accuracy of the overall solution) and more accurate timing corrections can be applied later. </w:t>
      </w:r>
      <w:r w:rsidR="00585567">
        <w:rPr>
          <w:lang w:val="en-GB"/>
        </w:rPr>
        <w:t>In addition</w:t>
      </w:r>
      <w:r w:rsidRPr="00106626">
        <w:rPr>
          <w:lang w:val="en-GB"/>
        </w:rPr>
        <w:t xml:space="preserve">, the elevation mask was set to 15° above the horizon (i.e., only using satellite data with angles from horizon greater or equal to 15°). The difference to a previous set-up </w:t>
      </w:r>
      <w:r w:rsidRPr="00106626">
        <w:rPr>
          <w:i/>
          <w:lang w:val="en-GB"/>
        </w:rPr>
        <w:fldChar w:fldCharType="begin"/>
      </w:r>
      <w:r w:rsidRPr="00106626">
        <w:rPr>
          <w:lang w:val="en-GB"/>
        </w:rPr>
        <w:instrText xml:space="preserve"> ADDIN EN.CITE &lt;EndNote&gt;&lt;Cite&gt;&lt;Author&gt;Knight&lt;/Author&gt;&lt;Year&gt;2020&lt;/Year&gt;&lt;RecNum&gt;9&lt;/RecNum&gt;&lt;DisplayText&gt;&lt;style size="10"&gt;[8]&lt;/style&gt;&lt;/DisplayText&gt;&lt;record&gt;&lt;rec-number&gt;9&lt;/rec-number&gt;&lt;foreign-keys&gt;&lt;key app="EN" db-id="sd9w9tfd2arwx9e9sf8pdtz6fttd0rp5r5p5" timestamp="1604608468"&gt;9&lt;/key&gt;&lt;/foreign-keys&gt;&lt;ref-type name="Journal Article"&gt;17&lt;/ref-type&gt;&lt;contributors&gt;&lt;authors&gt;&lt;author&gt;Knight, Philip J&lt;/author&gt;&lt;author&gt;Bird, Cai O&lt;/author&gt;&lt;author&gt;Sinclair, Alex&lt;/author&gt;&lt;author&gt;Plater, Andrew J&lt;/author&gt;&lt;/authors&gt;&lt;/contributors&gt;&lt;titles&gt;&lt;title&gt;A low-cost GNSS buoy platform for measuring coastal sea levels&lt;/title&gt;&lt;secondary-title&gt;Ocean Engineering&lt;/secondary-title&gt;&lt;/titles&gt;&lt;periodical&gt;&lt;full-title&gt;Ocean Engineering&lt;/full-title&gt;&lt;/periodical&gt;&lt;pages&gt;107198&lt;/pages&gt;&lt;volume&gt;203&lt;/volume&gt;&lt;dates&gt;&lt;year&gt;2020&lt;/year&gt;&lt;/dates&gt;&lt;isbn&gt;0029-8018&lt;/isbn&gt;&lt;urls&gt;&lt;/urls&gt;&lt;electronic-resource-num&gt;10.1016/j.oceaneng.2020.107198&lt;/electronic-resource-num&gt;&lt;/record&gt;&lt;/Cite&gt;&lt;/EndNote&gt;</w:instrText>
      </w:r>
      <w:r w:rsidRPr="00106626">
        <w:rPr>
          <w:i/>
          <w:lang w:val="en-GB"/>
        </w:rPr>
        <w:fldChar w:fldCharType="separate"/>
      </w:r>
      <w:r w:rsidRPr="00106626">
        <w:rPr>
          <w:lang w:val="en-GB"/>
        </w:rPr>
        <w:t>[8]</w:t>
      </w:r>
      <w:r w:rsidRPr="00106626">
        <w:rPr>
          <w:i/>
          <w:lang w:val="en-GB"/>
        </w:rPr>
        <w:fldChar w:fldCharType="end"/>
      </w:r>
      <w:r w:rsidRPr="00106626">
        <w:rPr>
          <w:lang w:val="en-GB"/>
        </w:rPr>
        <w:t xml:space="preserve"> was to allow the RTKLIB software to use the GLONASS data to resolve ambiguities; this did slightly improve the results with ~5% more fixed solutions.</w:t>
      </w:r>
    </w:p>
    <w:p w14:paraId="22CA563F" w14:textId="6E9FE011" w:rsidR="003B2643" w:rsidRPr="00106626" w:rsidRDefault="00F554B5" w:rsidP="00F554B5">
      <w:pPr>
        <w:pStyle w:val="MDPI41tablecaption"/>
        <w:rPr>
          <w:lang w:val="en-GB"/>
        </w:rPr>
      </w:pPr>
      <w:bookmarkStart w:id="9" w:name="_Hlk82347483"/>
      <w:r w:rsidRPr="00106626">
        <w:rPr>
          <w:b/>
          <w:lang w:val="en-GB"/>
        </w:rPr>
        <w:t xml:space="preserve">Table 2. </w:t>
      </w:r>
      <w:r w:rsidR="003B2643" w:rsidRPr="00106626">
        <w:rPr>
          <w:lang w:val="en-GB"/>
        </w:rPr>
        <w:t>Parameter settings for the post-processing using RTKLIB.</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3913"/>
        <w:gridCol w:w="3944"/>
      </w:tblGrid>
      <w:tr w:rsidR="003B2643" w:rsidRPr="00106626" w14:paraId="3328B8F1" w14:textId="77777777" w:rsidTr="00F554B5">
        <w:tc>
          <w:tcPr>
            <w:tcW w:w="3913" w:type="dxa"/>
            <w:tcBorders>
              <w:top w:val="single" w:sz="8" w:space="0" w:color="auto"/>
              <w:bottom w:val="single" w:sz="4" w:space="0" w:color="auto"/>
            </w:tcBorders>
            <w:shd w:val="clear" w:color="auto" w:fill="auto"/>
            <w:vAlign w:val="center"/>
          </w:tcPr>
          <w:p w14:paraId="475B807C" w14:textId="77777777" w:rsidR="003B2643" w:rsidRPr="00106626" w:rsidRDefault="003B2643" w:rsidP="00F554B5">
            <w:pPr>
              <w:pStyle w:val="MDPI42tablebody"/>
              <w:autoSpaceDE w:val="0"/>
              <w:autoSpaceDN w:val="0"/>
              <w:rPr>
                <w:b/>
                <w:snapToGrid/>
                <w:lang w:val="en-GB"/>
              </w:rPr>
            </w:pPr>
            <w:r w:rsidRPr="00106626">
              <w:rPr>
                <w:b/>
                <w:snapToGrid/>
                <w:lang w:val="en-GB"/>
              </w:rPr>
              <w:t>Parameter</w:t>
            </w:r>
          </w:p>
        </w:tc>
        <w:tc>
          <w:tcPr>
            <w:tcW w:w="3944" w:type="dxa"/>
            <w:tcBorders>
              <w:top w:val="single" w:sz="8" w:space="0" w:color="auto"/>
              <w:bottom w:val="single" w:sz="4" w:space="0" w:color="auto"/>
            </w:tcBorders>
            <w:shd w:val="clear" w:color="auto" w:fill="auto"/>
            <w:vAlign w:val="center"/>
          </w:tcPr>
          <w:p w14:paraId="1C5CE778" w14:textId="77777777" w:rsidR="003B2643" w:rsidRPr="00106626" w:rsidRDefault="003B2643" w:rsidP="00F554B5">
            <w:pPr>
              <w:pStyle w:val="MDPI42tablebody"/>
              <w:autoSpaceDE w:val="0"/>
              <w:autoSpaceDN w:val="0"/>
              <w:rPr>
                <w:b/>
                <w:snapToGrid/>
                <w:lang w:val="en-GB"/>
              </w:rPr>
            </w:pPr>
            <w:r w:rsidRPr="00106626">
              <w:rPr>
                <w:b/>
                <w:snapToGrid/>
                <w:lang w:val="en-GB"/>
              </w:rPr>
              <w:t>Value</w:t>
            </w:r>
          </w:p>
        </w:tc>
      </w:tr>
      <w:tr w:rsidR="003B2643" w:rsidRPr="00106626" w14:paraId="31FD617E" w14:textId="77777777" w:rsidTr="00F554B5">
        <w:tc>
          <w:tcPr>
            <w:tcW w:w="3913" w:type="dxa"/>
            <w:shd w:val="clear" w:color="auto" w:fill="auto"/>
            <w:vAlign w:val="center"/>
          </w:tcPr>
          <w:p w14:paraId="3C4BC0EE" w14:textId="77777777" w:rsidR="003B2643" w:rsidRPr="00106626" w:rsidRDefault="003B2643" w:rsidP="00F554B5">
            <w:pPr>
              <w:pStyle w:val="MDPI42tablebody"/>
              <w:autoSpaceDE w:val="0"/>
              <w:autoSpaceDN w:val="0"/>
              <w:rPr>
                <w:lang w:val="en-GB"/>
              </w:rPr>
            </w:pPr>
            <w:r w:rsidRPr="00106626">
              <w:rPr>
                <w:lang w:val="en-GB"/>
              </w:rPr>
              <w:t>Solution</w:t>
            </w:r>
          </w:p>
        </w:tc>
        <w:tc>
          <w:tcPr>
            <w:tcW w:w="3944" w:type="dxa"/>
            <w:shd w:val="clear" w:color="auto" w:fill="auto"/>
            <w:vAlign w:val="center"/>
          </w:tcPr>
          <w:p w14:paraId="413539F6" w14:textId="77777777" w:rsidR="003B2643" w:rsidRPr="00106626" w:rsidRDefault="003B2643" w:rsidP="00F554B5">
            <w:pPr>
              <w:pStyle w:val="MDPI42tablebody"/>
              <w:autoSpaceDE w:val="0"/>
              <w:autoSpaceDN w:val="0"/>
              <w:rPr>
                <w:lang w:val="en-GB"/>
              </w:rPr>
            </w:pPr>
            <w:r w:rsidRPr="00106626">
              <w:rPr>
                <w:lang w:val="en-GB"/>
              </w:rPr>
              <w:t>Kinematic</w:t>
            </w:r>
          </w:p>
        </w:tc>
      </w:tr>
      <w:tr w:rsidR="003B2643" w:rsidRPr="00106626" w14:paraId="20B7F3A4" w14:textId="77777777" w:rsidTr="00F554B5">
        <w:tc>
          <w:tcPr>
            <w:tcW w:w="3913" w:type="dxa"/>
            <w:shd w:val="clear" w:color="auto" w:fill="auto"/>
            <w:vAlign w:val="center"/>
          </w:tcPr>
          <w:p w14:paraId="6091F16B" w14:textId="77777777" w:rsidR="003B2643" w:rsidRPr="00106626" w:rsidRDefault="003B2643" w:rsidP="00F554B5">
            <w:pPr>
              <w:pStyle w:val="MDPI42tablebody"/>
              <w:autoSpaceDE w:val="0"/>
              <w:autoSpaceDN w:val="0"/>
              <w:rPr>
                <w:lang w:val="en-GB"/>
              </w:rPr>
            </w:pPr>
            <w:r w:rsidRPr="00106626">
              <w:rPr>
                <w:lang w:val="en-GB"/>
              </w:rPr>
              <w:t>Frequency</w:t>
            </w:r>
          </w:p>
        </w:tc>
        <w:tc>
          <w:tcPr>
            <w:tcW w:w="3944" w:type="dxa"/>
            <w:shd w:val="clear" w:color="auto" w:fill="auto"/>
            <w:vAlign w:val="center"/>
          </w:tcPr>
          <w:p w14:paraId="59E77D1F" w14:textId="77777777" w:rsidR="003B2643" w:rsidRPr="00106626" w:rsidRDefault="003B2643" w:rsidP="00F554B5">
            <w:pPr>
              <w:pStyle w:val="MDPI42tablebody"/>
              <w:autoSpaceDE w:val="0"/>
              <w:autoSpaceDN w:val="0"/>
              <w:rPr>
                <w:lang w:val="en-GB"/>
              </w:rPr>
            </w:pPr>
            <w:r w:rsidRPr="00106626">
              <w:rPr>
                <w:lang w:val="en-GB"/>
              </w:rPr>
              <w:t>L1</w:t>
            </w:r>
          </w:p>
        </w:tc>
      </w:tr>
      <w:tr w:rsidR="003B2643" w:rsidRPr="00106626" w14:paraId="286F5356" w14:textId="77777777" w:rsidTr="00F554B5">
        <w:tc>
          <w:tcPr>
            <w:tcW w:w="3913" w:type="dxa"/>
            <w:shd w:val="clear" w:color="auto" w:fill="auto"/>
            <w:vAlign w:val="center"/>
          </w:tcPr>
          <w:p w14:paraId="4C0AAB33" w14:textId="77777777" w:rsidR="003B2643" w:rsidRPr="00106626" w:rsidRDefault="003B2643" w:rsidP="00F554B5">
            <w:pPr>
              <w:pStyle w:val="MDPI42tablebody"/>
              <w:autoSpaceDE w:val="0"/>
              <w:autoSpaceDN w:val="0"/>
              <w:rPr>
                <w:lang w:val="en-GB"/>
              </w:rPr>
            </w:pPr>
            <w:r w:rsidRPr="00106626">
              <w:rPr>
                <w:lang w:val="en-GB"/>
              </w:rPr>
              <w:t>Sensor dynamics</w:t>
            </w:r>
          </w:p>
        </w:tc>
        <w:tc>
          <w:tcPr>
            <w:tcW w:w="3944" w:type="dxa"/>
            <w:shd w:val="clear" w:color="auto" w:fill="auto"/>
            <w:vAlign w:val="center"/>
          </w:tcPr>
          <w:p w14:paraId="5056AE73" w14:textId="77777777" w:rsidR="003B2643" w:rsidRPr="00106626" w:rsidRDefault="003B2643" w:rsidP="00F554B5">
            <w:pPr>
              <w:pStyle w:val="MDPI42tablebody"/>
              <w:autoSpaceDE w:val="0"/>
              <w:autoSpaceDN w:val="0"/>
              <w:rPr>
                <w:lang w:val="en-GB"/>
              </w:rPr>
            </w:pPr>
            <w:r w:rsidRPr="00106626">
              <w:rPr>
                <w:lang w:val="en-GB"/>
              </w:rPr>
              <w:t>On</w:t>
            </w:r>
          </w:p>
        </w:tc>
      </w:tr>
      <w:tr w:rsidR="003B2643" w:rsidRPr="00106626" w14:paraId="225B6A93" w14:textId="77777777" w:rsidTr="00F554B5">
        <w:tc>
          <w:tcPr>
            <w:tcW w:w="3913" w:type="dxa"/>
            <w:shd w:val="clear" w:color="auto" w:fill="auto"/>
            <w:vAlign w:val="center"/>
          </w:tcPr>
          <w:p w14:paraId="51DCD0C0" w14:textId="77777777" w:rsidR="003B2643" w:rsidRPr="00106626" w:rsidRDefault="003B2643" w:rsidP="00F554B5">
            <w:pPr>
              <w:pStyle w:val="MDPI42tablebody"/>
              <w:autoSpaceDE w:val="0"/>
              <w:autoSpaceDN w:val="0"/>
              <w:rPr>
                <w:lang w:val="en-GB"/>
              </w:rPr>
            </w:pPr>
            <w:r w:rsidRPr="00106626">
              <w:rPr>
                <w:lang w:val="en-GB"/>
              </w:rPr>
              <w:t>Earth tides</w:t>
            </w:r>
          </w:p>
        </w:tc>
        <w:tc>
          <w:tcPr>
            <w:tcW w:w="3944" w:type="dxa"/>
            <w:shd w:val="clear" w:color="auto" w:fill="auto"/>
            <w:vAlign w:val="center"/>
          </w:tcPr>
          <w:p w14:paraId="1F412CAB" w14:textId="77777777" w:rsidR="003B2643" w:rsidRPr="00106626" w:rsidRDefault="003B2643" w:rsidP="00F554B5">
            <w:pPr>
              <w:pStyle w:val="MDPI42tablebody"/>
              <w:autoSpaceDE w:val="0"/>
              <w:autoSpaceDN w:val="0"/>
              <w:rPr>
                <w:lang w:val="en-GB"/>
              </w:rPr>
            </w:pPr>
            <w:r w:rsidRPr="00106626">
              <w:rPr>
                <w:lang w:val="en-GB"/>
              </w:rPr>
              <w:t>Off</w:t>
            </w:r>
          </w:p>
        </w:tc>
      </w:tr>
      <w:tr w:rsidR="003B2643" w:rsidRPr="00106626" w14:paraId="42911A96" w14:textId="77777777" w:rsidTr="00F554B5">
        <w:tc>
          <w:tcPr>
            <w:tcW w:w="3913" w:type="dxa"/>
            <w:shd w:val="clear" w:color="auto" w:fill="auto"/>
            <w:vAlign w:val="center"/>
          </w:tcPr>
          <w:p w14:paraId="281443B3" w14:textId="77777777" w:rsidR="003B2643" w:rsidRPr="00106626" w:rsidRDefault="003B2643" w:rsidP="00F554B5">
            <w:pPr>
              <w:pStyle w:val="MDPI42tablebody"/>
              <w:autoSpaceDE w:val="0"/>
              <w:autoSpaceDN w:val="0"/>
              <w:rPr>
                <w:lang w:val="en-GB"/>
              </w:rPr>
            </w:pPr>
            <w:r w:rsidRPr="00106626">
              <w:rPr>
                <w:lang w:val="en-GB"/>
              </w:rPr>
              <w:t>Ionosphere</w:t>
            </w:r>
          </w:p>
        </w:tc>
        <w:tc>
          <w:tcPr>
            <w:tcW w:w="3944" w:type="dxa"/>
            <w:shd w:val="clear" w:color="auto" w:fill="auto"/>
            <w:vAlign w:val="center"/>
          </w:tcPr>
          <w:p w14:paraId="2C75E9A5" w14:textId="77777777" w:rsidR="003B2643" w:rsidRPr="00106626" w:rsidRDefault="003B2643" w:rsidP="00F554B5">
            <w:pPr>
              <w:pStyle w:val="MDPI42tablebody"/>
              <w:autoSpaceDE w:val="0"/>
              <w:autoSpaceDN w:val="0"/>
              <w:rPr>
                <w:lang w:val="en-GB"/>
              </w:rPr>
            </w:pPr>
            <w:r w:rsidRPr="00106626">
              <w:rPr>
                <w:lang w:val="en-GB"/>
              </w:rPr>
              <w:t>Broadcast</w:t>
            </w:r>
          </w:p>
        </w:tc>
      </w:tr>
      <w:tr w:rsidR="003B2643" w:rsidRPr="00106626" w14:paraId="131555CB" w14:textId="77777777" w:rsidTr="00F554B5">
        <w:tc>
          <w:tcPr>
            <w:tcW w:w="3913" w:type="dxa"/>
            <w:shd w:val="clear" w:color="auto" w:fill="auto"/>
            <w:vAlign w:val="center"/>
          </w:tcPr>
          <w:p w14:paraId="53B5B672" w14:textId="77777777" w:rsidR="003B2643" w:rsidRPr="00106626" w:rsidRDefault="003B2643" w:rsidP="00F554B5">
            <w:pPr>
              <w:pStyle w:val="MDPI42tablebody"/>
              <w:autoSpaceDE w:val="0"/>
              <w:autoSpaceDN w:val="0"/>
              <w:rPr>
                <w:lang w:val="en-GB"/>
              </w:rPr>
            </w:pPr>
            <w:r w:rsidRPr="00106626">
              <w:rPr>
                <w:lang w:val="en-GB"/>
              </w:rPr>
              <w:t>Troposphere</w:t>
            </w:r>
          </w:p>
        </w:tc>
        <w:tc>
          <w:tcPr>
            <w:tcW w:w="3944" w:type="dxa"/>
            <w:shd w:val="clear" w:color="auto" w:fill="auto"/>
            <w:vAlign w:val="center"/>
          </w:tcPr>
          <w:p w14:paraId="7D2517F7" w14:textId="77777777" w:rsidR="003B2643" w:rsidRPr="00106626" w:rsidRDefault="003B2643" w:rsidP="00F554B5">
            <w:pPr>
              <w:pStyle w:val="MDPI42tablebody"/>
              <w:autoSpaceDE w:val="0"/>
              <w:autoSpaceDN w:val="0"/>
              <w:rPr>
                <w:lang w:val="en-GB"/>
              </w:rPr>
            </w:pPr>
            <w:r w:rsidRPr="00106626">
              <w:rPr>
                <w:lang w:val="en-GB"/>
              </w:rPr>
              <w:t>Saastamoinen</w:t>
            </w:r>
          </w:p>
        </w:tc>
      </w:tr>
      <w:tr w:rsidR="003B2643" w:rsidRPr="00106626" w14:paraId="36A7FF6C" w14:textId="77777777" w:rsidTr="00F554B5">
        <w:tc>
          <w:tcPr>
            <w:tcW w:w="3913" w:type="dxa"/>
            <w:shd w:val="clear" w:color="auto" w:fill="auto"/>
            <w:vAlign w:val="center"/>
          </w:tcPr>
          <w:p w14:paraId="3489185A" w14:textId="77777777" w:rsidR="003B2643" w:rsidRPr="00106626" w:rsidRDefault="003B2643" w:rsidP="00F554B5">
            <w:pPr>
              <w:pStyle w:val="MDPI42tablebody"/>
              <w:autoSpaceDE w:val="0"/>
              <w:autoSpaceDN w:val="0"/>
              <w:rPr>
                <w:lang w:val="en-GB"/>
              </w:rPr>
            </w:pPr>
            <w:r w:rsidRPr="00106626">
              <w:rPr>
                <w:lang w:val="en-GB"/>
              </w:rPr>
              <w:t>Ephemerides</w:t>
            </w:r>
          </w:p>
        </w:tc>
        <w:tc>
          <w:tcPr>
            <w:tcW w:w="3944" w:type="dxa"/>
            <w:shd w:val="clear" w:color="auto" w:fill="auto"/>
            <w:vAlign w:val="center"/>
          </w:tcPr>
          <w:p w14:paraId="0A77F2BD" w14:textId="77777777" w:rsidR="003B2643" w:rsidRPr="00106626" w:rsidRDefault="003B2643" w:rsidP="00F554B5">
            <w:pPr>
              <w:pStyle w:val="MDPI42tablebody"/>
              <w:autoSpaceDE w:val="0"/>
              <w:autoSpaceDN w:val="0"/>
              <w:rPr>
                <w:lang w:val="en-GB"/>
              </w:rPr>
            </w:pPr>
            <w:r w:rsidRPr="00106626">
              <w:rPr>
                <w:lang w:val="en-GB"/>
              </w:rPr>
              <w:t>Precise</w:t>
            </w:r>
          </w:p>
        </w:tc>
      </w:tr>
      <w:tr w:rsidR="003B2643" w:rsidRPr="00106626" w14:paraId="4CB92DA6" w14:textId="77777777" w:rsidTr="00F554B5">
        <w:tc>
          <w:tcPr>
            <w:tcW w:w="3913" w:type="dxa"/>
            <w:shd w:val="clear" w:color="auto" w:fill="auto"/>
            <w:vAlign w:val="center"/>
          </w:tcPr>
          <w:p w14:paraId="65FEA601" w14:textId="77777777" w:rsidR="003B2643" w:rsidRPr="00106626" w:rsidRDefault="003B2643" w:rsidP="00F554B5">
            <w:pPr>
              <w:pStyle w:val="MDPI42tablebody"/>
              <w:autoSpaceDE w:val="0"/>
              <w:autoSpaceDN w:val="0"/>
              <w:rPr>
                <w:lang w:val="en-GB"/>
              </w:rPr>
            </w:pPr>
            <w:r w:rsidRPr="00106626">
              <w:rPr>
                <w:lang w:val="en-GB"/>
              </w:rPr>
              <w:t>Satellite system</w:t>
            </w:r>
          </w:p>
        </w:tc>
        <w:tc>
          <w:tcPr>
            <w:tcW w:w="3944" w:type="dxa"/>
            <w:shd w:val="clear" w:color="auto" w:fill="auto"/>
            <w:vAlign w:val="center"/>
          </w:tcPr>
          <w:p w14:paraId="7533510C" w14:textId="77777777" w:rsidR="003B2643" w:rsidRPr="00106626" w:rsidRDefault="003B2643" w:rsidP="00F554B5">
            <w:pPr>
              <w:pStyle w:val="MDPI42tablebody"/>
              <w:autoSpaceDE w:val="0"/>
              <w:autoSpaceDN w:val="0"/>
              <w:rPr>
                <w:lang w:val="en-GB"/>
              </w:rPr>
            </w:pPr>
            <w:r w:rsidRPr="00106626">
              <w:rPr>
                <w:lang w:val="en-GB"/>
              </w:rPr>
              <w:t>GPS + GLONASS</w:t>
            </w:r>
          </w:p>
        </w:tc>
      </w:tr>
      <w:tr w:rsidR="003B2643" w:rsidRPr="00106626" w14:paraId="300E0B53" w14:textId="77777777" w:rsidTr="00F554B5">
        <w:tc>
          <w:tcPr>
            <w:tcW w:w="3913" w:type="dxa"/>
            <w:shd w:val="clear" w:color="auto" w:fill="auto"/>
            <w:vAlign w:val="center"/>
          </w:tcPr>
          <w:p w14:paraId="77190F8B" w14:textId="77777777" w:rsidR="003B2643" w:rsidRPr="00106626" w:rsidRDefault="003B2643" w:rsidP="00F554B5">
            <w:pPr>
              <w:pStyle w:val="MDPI42tablebody"/>
              <w:autoSpaceDE w:val="0"/>
              <w:autoSpaceDN w:val="0"/>
              <w:rPr>
                <w:lang w:val="en-GB"/>
              </w:rPr>
            </w:pPr>
            <w:r w:rsidRPr="00106626">
              <w:rPr>
                <w:lang w:val="en-GB"/>
              </w:rPr>
              <w:t>Ambiguities GPS</w:t>
            </w:r>
          </w:p>
        </w:tc>
        <w:tc>
          <w:tcPr>
            <w:tcW w:w="3944" w:type="dxa"/>
            <w:shd w:val="clear" w:color="auto" w:fill="auto"/>
            <w:vAlign w:val="center"/>
          </w:tcPr>
          <w:p w14:paraId="17764A53" w14:textId="77777777" w:rsidR="003B2643" w:rsidRPr="00106626" w:rsidRDefault="003B2643" w:rsidP="00F554B5">
            <w:pPr>
              <w:pStyle w:val="MDPI42tablebody"/>
              <w:autoSpaceDE w:val="0"/>
              <w:autoSpaceDN w:val="0"/>
              <w:rPr>
                <w:lang w:val="en-GB"/>
              </w:rPr>
            </w:pPr>
            <w:r w:rsidRPr="00106626">
              <w:rPr>
                <w:lang w:val="en-GB"/>
              </w:rPr>
              <w:t>Fix &amp; Hold</w:t>
            </w:r>
          </w:p>
        </w:tc>
      </w:tr>
      <w:tr w:rsidR="003B2643" w:rsidRPr="00106626" w14:paraId="6533EF27" w14:textId="77777777" w:rsidTr="00F554B5">
        <w:tc>
          <w:tcPr>
            <w:tcW w:w="3913" w:type="dxa"/>
            <w:tcBorders>
              <w:bottom w:val="single" w:sz="8" w:space="0" w:color="auto"/>
            </w:tcBorders>
            <w:shd w:val="clear" w:color="auto" w:fill="auto"/>
            <w:vAlign w:val="center"/>
          </w:tcPr>
          <w:p w14:paraId="25D53955" w14:textId="77777777" w:rsidR="003B2643" w:rsidRPr="00106626" w:rsidRDefault="003B2643" w:rsidP="00F554B5">
            <w:pPr>
              <w:pStyle w:val="MDPI42tablebody"/>
              <w:autoSpaceDE w:val="0"/>
              <w:autoSpaceDN w:val="0"/>
              <w:rPr>
                <w:lang w:val="en-GB"/>
              </w:rPr>
            </w:pPr>
            <w:r w:rsidRPr="00106626">
              <w:rPr>
                <w:lang w:val="en-GB"/>
              </w:rPr>
              <w:t>Ambiguities GLONASS</w:t>
            </w:r>
          </w:p>
        </w:tc>
        <w:tc>
          <w:tcPr>
            <w:tcW w:w="3944" w:type="dxa"/>
            <w:tcBorders>
              <w:bottom w:val="single" w:sz="8" w:space="0" w:color="auto"/>
            </w:tcBorders>
            <w:shd w:val="clear" w:color="auto" w:fill="auto"/>
            <w:vAlign w:val="center"/>
          </w:tcPr>
          <w:p w14:paraId="000544FB" w14:textId="77777777" w:rsidR="003B2643" w:rsidRPr="00106626" w:rsidRDefault="003B2643" w:rsidP="00F554B5">
            <w:pPr>
              <w:pStyle w:val="MDPI42tablebody"/>
              <w:autoSpaceDE w:val="0"/>
              <w:autoSpaceDN w:val="0"/>
              <w:rPr>
                <w:lang w:val="en-GB"/>
              </w:rPr>
            </w:pPr>
            <w:r w:rsidRPr="00106626">
              <w:rPr>
                <w:lang w:val="en-GB"/>
              </w:rPr>
              <w:t>On</w:t>
            </w:r>
          </w:p>
        </w:tc>
      </w:tr>
    </w:tbl>
    <w:bookmarkEnd w:id="9"/>
    <w:p w14:paraId="146A9E30" w14:textId="1457A2AB" w:rsidR="003B2643" w:rsidRPr="00106626" w:rsidRDefault="003B2643" w:rsidP="00F554B5">
      <w:pPr>
        <w:pStyle w:val="MDPI31text"/>
        <w:spacing w:before="240"/>
        <w:rPr>
          <w:lang w:val="en-GB"/>
        </w:rPr>
      </w:pPr>
      <w:r w:rsidRPr="00106626">
        <w:rPr>
          <w:lang w:val="en-GB"/>
        </w:rPr>
        <w:t xml:space="preserve">To produce centimetre-accurate solutions, the RTKLIB software uses both the code phase and, in particular, the carrier phase satellite data recorded by the base (static GNSS site at Blackpool) and rover (GNSS buoy) receivers. The software processes the data with an algorithm to determine the exact number of radio wavelengths between the satellites and the base station antenna (a method known as ‘ambiguity resolution’) and yield either a fixed or float solution. In a fixed solution (referred to as </w:t>
      </w:r>
      <w:r w:rsidR="0064303C" w:rsidRPr="00106626">
        <w:rPr>
          <w:lang w:val="en-GB"/>
        </w:rPr>
        <w:t>Q = 1</w:t>
      </w:r>
      <w:r w:rsidRPr="00106626">
        <w:rPr>
          <w:lang w:val="en-GB"/>
        </w:rPr>
        <w:t>, this is generally an i</w:t>
      </w:r>
      <w:r w:rsidRPr="00106626">
        <w:rPr>
          <w:lang w:val="en-GB"/>
        </w:rPr>
        <w:t>n</w:t>
      </w:r>
      <w:r w:rsidRPr="00106626">
        <w:rPr>
          <w:lang w:val="en-GB"/>
        </w:rPr>
        <w:t xml:space="preserve">dicator of a more accurate positional result), the number of wavelengths is a whole </w:t>
      </w:r>
      <w:r w:rsidRPr="00106626">
        <w:rPr>
          <w:lang w:val="en-GB"/>
        </w:rPr>
        <w:lastRenderedPageBreak/>
        <w:t>number, or integer, and the algorithm is constrained to yield a whole number. A low number of visible satellites, poor satellite constellation geometry, and distance between the rover and the base station is likely to prevent a fixed solution. If the algorithm does not yield an acceptable fixed solution, then the ambiguity is allowed to be a decimal or floating-point number and the solution is known as a float solution (</w:t>
      </w:r>
      <w:r w:rsidR="0064303C" w:rsidRPr="00106626">
        <w:rPr>
          <w:lang w:val="en-GB"/>
        </w:rPr>
        <w:t>Q = 2</w:t>
      </w:r>
      <w:r w:rsidRPr="00106626">
        <w:rPr>
          <w:lang w:val="en-GB"/>
        </w:rPr>
        <w:t>). Generally, results with Q1 solutions should indicate more accurate positional data than Q2 sol</w:t>
      </w:r>
      <w:r w:rsidRPr="00106626">
        <w:rPr>
          <w:lang w:val="en-GB"/>
        </w:rPr>
        <w:t>u</w:t>
      </w:r>
      <w:r w:rsidRPr="00106626">
        <w:rPr>
          <w:lang w:val="en-GB"/>
        </w:rPr>
        <w:t>tions.</w:t>
      </w:r>
    </w:p>
    <w:p w14:paraId="594351CE" w14:textId="77777777" w:rsidR="003B2643" w:rsidRPr="00106626" w:rsidRDefault="003B2643" w:rsidP="00F554B5">
      <w:pPr>
        <w:pStyle w:val="MDPI31text"/>
        <w:rPr>
          <w:lang w:val="en-GB"/>
        </w:rPr>
      </w:pPr>
      <w:r w:rsidRPr="00106626">
        <w:rPr>
          <w:lang w:val="en-GB"/>
        </w:rPr>
        <w:t>Poorer solutions are often due to cycle slips which occur when the GNSS receiver loses its lock with a satellite; this results in a miss count of carrier phase cycles. These are more likely to occur when the receiver is moving, such as on the GNSS buoy with its horizontal and vertical movements. Cycle slips can be caused by obstructions, high a</w:t>
      </w:r>
      <w:r w:rsidRPr="00106626">
        <w:rPr>
          <w:lang w:val="en-GB"/>
        </w:rPr>
        <w:t>c</w:t>
      </w:r>
      <w:r w:rsidRPr="00106626">
        <w:rPr>
          <w:lang w:val="en-GB"/>
        </w:rPr>
        <w:t>celerations, reflections, vibration or lack of a suitable antenna ground plane. Once the cycle count is lost the phase-bias estimate (within the RTKLIB software) must be reset and re-converged and this can take up to a minute or longer to recover.</w:t>
      </w:r>
    </w:p>
    <w:p w14:paraId="06A638C9" w14:textId="18FA26EB" w:rsidR="003B2643" w:rsidRPr="00106626" w:rsidRDefault="003B2643" w:rsidP="00F554B5">
      <w:pPr>
        <w:pStyle w:val="MDPI31text"/>
        <w:rPr>
          <w:lang w:val="en-GB"/>
        </w:rPr>
      </w:pPr>
      <w:r w:rsidRPr="00106626">
        <w:rPr>
          <w:lang w:val="en-GB"/>
        </w:rPr>
        <w:t>The satellite data recorded in Rinex format from both the rover and base stations were processed in two parts</w:t>
      </w:r>
      <w:r w:rsidR="00585567">
        <w:rPr>
          <w:lang w:val="en-GB"/>
        </w:rPr>
        <w:t>,</w:t>
      </w:r>
      <w:r w:rsidRPr="00106626">
        <w:rPr>
          <w:lang w:val="en-GB"/>
        </w:rPr>
        <w:t xml:space="preserve"> covering tidal cycle A and tidal cycle B</w:t>
      </w:r>
      <w:r w:rsidR="00585567">
        <w:rPr>
          <w:lang w:val="en-GB"/>
        </w:rPr>
        <w:t>,</w:t>
      </w:r>
      <w:r w:rsidRPr="00106626">
        <w:rPr>
          <w:lang w:val="en-GB"/>
        </w:rPr>
        <w:t xml:space="preserve"> respectively. Table 3 shows the percentage of fixed to float solutions. Q1 percentages shown in Table 3, ran</w:t>
      </w:r>
      <w:r w:rsidRPr="00106626">
        <w:rPr>
          <w:lang w:val="en-GB"/>
        </w:rPr>
        <w:t>g</w:t>
      </w:r>
      <w:r w:rsidRPr="00106626">
        <w:rPr>
          <w:lang w:val="en-GB"/>
        </w:rPr>
        <w:t>ing from 48.4% to 57.0%</w:t>
      </w:r>
      <w:r w:rsidR="00585567">
        <w:rPr>
          <w:lang w:val="en-GB"/>
        </w:rPr>
        <w:t>,</w:t>
      </w:r>
      <w:r w:rsidRPr="00106626">
        <w:rPr>
          <w:lang w:val="en-GB"/>
        </w:rPr>
        <w:t xml:space="preserve"> indicate that at times during the deployment the GNSS receiver on the buoy was being affected by one or more of the conditions mentioned above. In contrast, the same GNSS buoy was used in a previous deployment in a relatively she</w:t>
      </w:r>
      <w:r w:rsidRPr="00106626">
        <w:rPr>
          <w:lang w:val="en-GB"/>
        </w:rPr>
        <w:t>l</w:t>
      </w:r>
      <w:r w:rsidRPr="00106626">
        <w:rPr>
          <w:lang w:val="en-GB"/>
        </w:rPr>
        <w:t>tered part of the harbour at Holyhead [8] and obtained almost 100% of Q1 solutions. Therefore, to further explore the cause of these lower Q1 percentages, the track (East</w:t>
      </w:r>
      <w:r w:rsidR="00585567">
        <w:rPr>
          <w:lang w:val="en-GB"/>
        </w:rPr>
        <w:t>–</w:t>
      </w:r>
      <w:r w:rsidRPr="00106626">
        <w:rPr>
          <w:lang w:val="en-GB"/>
        </w:rPr>
        <w:t>West versus North</w:t>
      </w:r>
      <w:r w:rsidR="00585567">
        <w:rPr>
          <w:lang w:val="en-GB"/>
        </w:rPr>
        <w:t>–</w:t>
      </w:r>
      <w:r w:rsidRPr="00106626">
        <w:rPr>
          <w:lang w:val="en-GB"/>
        </w:rPr>
        <w:t>South), individual positional components (North</w:t>
      </w:r>
      <w:r w:rsidR="00585567">
        <w:rPr>
          <w:lang w:val="en-GB"/>
        </w:rPr>
        <w:t>–</w:t>
      </w:r>
      <w:r w:rsidRPr="00106626">
        <w:rPr>
          <w:lang w:val="en-GB"/>
        </w:rPr>
        <w:t>South, East</w:t>
      </w:r>
      <w:r w:rsidR="00585567">
        <w:rPr>
          <w:lang w:val="en-GB"/>
        </w:rPr>
        <w:t>–</w:t>
      </w:r>
      <w:r w:rsidRPr="00106626">
        <w:rPr>
          <w:lang w:val="en-GB"/>
        </w:rPr>
        <w:t>West and Up</w:t>
      </w:r>
      <w:r w:rsidR="00585567">
        <w:rPr>
          <w:lang w:val="en-GB"/>
        </w:rPr>
        <w:t>–</w:t>
      </w:r>
      <w:r w:rsidRPr="00106626">
        <w:rPr>
          <w:lang w:val="en-GB"/>
        </w:rPr>
        <w:t xml:space="preserve">Down) and vertical accelerations for tidal cycle A and tidal cycle B </w:t>
      </w:r>
      <w:r w:rsidR="00585567">
        <w:rPr>
          <w:lang w:val="en-GB"/>
        </w:rPr>
        <w:t xml:space="preserve">are </w:t>
      </w:r>
      <w:r w:rsidRPr="00106626">
        <w:rPr>
          <w:lang w:val="en-GB"/>
        </w:rPr>
        <w:t>plotted in Figures 3</w:t>
      </w:r>
      <w:r w:rsidR="002A6834" w:rsidRPr="00106626">
        <w:rPr>
          <w:lang w:val="en-GB"/>
        </w:rPr>
        <w:t>–</w:t>
      </w:r>
      <w:r w:rsidRPr="00106626">
        <w:rPr>
          <w:lang w:val="en-GB"/>
        </w:rPr>
        <w:t>8 respectively (Q1 solutions are shown in green, and Q2 solutions shown in orange).</w:t>
      </w:r>
    </w:p>
    <w:p w14:paraId="31DD2E8B" w14:textId="3E9039F1" w:rsidR="003B2643" w:rsidRPr="00106626" w:rsidRDefault="00610BE8" w:rsidP="00610BE8">
      <w:pPr>
        <w:pStyle w:val="MDPI41tablecaption"/>
        <w:rPr>
          <w:lang w:val="en-GB"/>
        </w:rPr>
      </w:pPr>
      <w:r w:rsidRPr="00106626">
        <w:rPr>
          <w:b/>
          <w:lang w:val="en-GB"/>
        </w:rPr>
        <w:t xml:space="preserve">Table 3. </w:t>
      </w:r>
      <w:r w:rsidR="003B2643" w:rsidRPr="00106626">
        <w:rPr>
          <w:lang w:val="en-GB"/>
        </w:rPr>
        <w:t xml:space="preserve">Percentage of </w:t>
      </w:r>
      <w:r w:rsidR="00585567">
        <w:rPr>
          <w:lang w:val="en-GB"/>
        </w:rPr>
        <w:t>f</w:t>
      </w:r>
      <w:r w:rsidR="003B2643" w:rsidRPr="00106626">
        <w:rPr>
          <w:lang w:val="en-GB"/>
        </w:rPr>
        <w:t xml:space="preserve">ixed and </w:t>
      </w:r>
      <w:r w:rsidR="00585567">
        <w:rPr>
          <w:lang w:val="en-GB"/>
        </w:rPr>
        <w:t>f</w:t>
      </w:r>
      <w:r w:rsidR="003B2643" w:rsidRPr="00106626">
        <w:rPr>
          <w:lang w:val="en-GB"/>
        </w:rPr>
        <w:t>loat solutions.</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619"/>
        <w:gridCol w:w="2619"/>
      </w:tblGrid>
      <w:tr w:rsidR="003B2643" w:rsidRPr="00106626" w14:paraId="2F4A874F" w14:textId="77777777" w:rsidTr="00610BE8">
        <w:tc>
          <w:tcPr>
            <w:tcW w:w="2619" w:type="dxa"/>
            <w:tcBorders>
              <w:top w:val="single" w:sz="8" w:space="0" w:color="auto"/>
              <w:bottom w:val="single" w:sz="4" w:space="0" w:color="auto"/>
            </w:tcBorders>
            <w:shd w:val="clear" w:color="auto" w:fill="auto"/>
            <w:vAlign w:val="center"/>
          </w:tcPr>
          <w:p w14:paraId="0D4F54D4" w14:textId="77777777" w:rsidR="003B2643" w:rsidRPr="00106626" w:rsidRDefault="003B2643" w:rsidP="00610BE8">
            <w:pPr>
              <w:pStyle w:val="MDPI42tablebody"/>
              <w:autoSpaceDE w:val="0"/>
              <w:autoSpaceDN w:val="0"/>
              <w:rPr>
                <w:b/>
                <w:snapToGrid/>
                <w:lang w:val="en-GB"/>
              </w:rPr>
            </w:pPr>
          </w:p>
        </w:tc>
        <w:tc>
          <w:tcPr>
            <w:tcW w:w="2619" w:type="dxa"/>
            <w:tcBorders>
              <w:top w:val="single" w:sz="8" w:space="0" w:color="auto"/>
              <w:bottom w:val="single" w:sz="4" w:space="0" w:color="auto"/>
            </w:tcBorders>
            <w:shd w:val="clear" w:color="auto" w:fill="auto"/>
            <w:vAlign w:val="center"/>
          </w:tcPr>
          <w:p w14:paraId="377603AF" w14:textId="10EAE8AF" w:rsidR="003B2643" w:rsidRPr="00106626" w:rsidRDefault="003B2643" w:rsidP="00610BE8">
            <w:pPr>
              <w:pStyle w:val="MDPI42tablebody"/>
              <w:autoSpaceDE w:val="0"/>
              <w:autoSpaceDN w:val="0"/>
              <w:rPr>
                <w:b/>
                <w:snapToGrid/>
                <w:lang w:val="en-GB"/>
              </w:rPr>
            </w:pPr>
            <w:r w:rsidRPr="00106626">
              <w:rPr>
                <w:b/>
                <w:snapToGrid/>
                <w:lang w:val="en-GB"/>
              </w:rPr>
              <w:t>Fixed Q1%</w:t>
            </w:r>
          </w:p>
        </w:tc>
        <w:tc>
          <w:tcPr>
            <w:tcW w:w="2619" w:type="dxa"/>
            <w:tcBorders>
              <w:top w:val="single" w:sz="8" w:space="0" w:color="auto"/>
              <w:bottom w:val="single" w:sz="4" w:space="0" w:color="auto"/>
            </w:tcBorders>
            <w:shd w:val="clear" w:color="auto" w:fill="auto"/>
            <w:vAlign w:val="center"/>
          </w:tcPr>
          <w:p w14:paraId="45783308" w14:textId="1EED4157" w:rsidR="003B2643" w:rsidRPr="00106626" w:rsidRDefault="003B2643" w:rsidP="00610BE8">
            <w:pPr>
              <w:pStyle w:val="MDPI42tablebody"/>
              <w:autoSpaceDE w:val="0"/>
              <w:autoSpaceDN w:val="0"/>
              <w:rPr>
                <w:b/>
                <w:snapToGrid/>
                <w:lang w:val="en-GB"/>
              </w:rPr>
            </w:pPr>
            <w:r w:rsidRPr="00106626">
              <w:rPr>
                <w:b/>
                <w:snapToGrid/>
                <w:lang w:val="en-GB"/>
              </w:rPr>
              <w:t>Float Q2%</w:t>
            </w:r>
          </w:p>
        </w:tc>
      </w:tr>
      <w:tr w:rsidR="003B2643" w:rsidRPr="00106626" w14:paraId="30BD1F87" w14:textId="77777777" w:rsidTr="00610BE8">
        <w:tc>
          <w:tcPr>
            <w:tcW w:w="2619" w:type="dxa"/>
            <w:shd w:val="clear" w:color="auto" w:fill="auto"/>
            <w:vAlign w:val="center"/>
          </w:tcPr>
          <w:p w14:paraId="5935AD87" w14:textId="77777777" w:rsidR="003B2643" w:rsidRPr="00106626" w:rsidRDefault="003B2643" w:rsidP="00610BE8">
            <w:pPr>
              <w:pStyle w:val="MDPI42tablebody"/>
              <w:autoSpaceDE w:val="0"/>
              <w:autoSpaceDN w:val="0"/>
              <w:rPr>
                <w:lang w:val="en-GB"/>
              </w:rPr>
            </w:pPr>
            <w:r w:rsidRPr="00106626">
              <w:rPr>
                <w:lang w:val="en-GB"/>
              </w:rPr>
              <w:t>Tidal cycle A</w:t>
            </w:r>
          </w:p>
        </w:tc>
        <w:tc>
          <w:tcPr>
            <w:tcW w:w="2619" w:type="dxa"/>
            <w:shd w:val="clear" w:color="auto" w:fill="auto"/>
            <w:vAlign w:val="center"/>
          </w:tcPr>
          <w:p w14:paraId="7B4EE6FC" w14:textId="77777777" w:rsidR="003B2643" w:rsidRPr="00106626" w:rsidRDefault="003B2643" w:rsidP="00610BE8">
            <w:pPr>
              <w:pStyle w:val="MDPI42tablebody"/>
              <w:autoSpaceDE w:val="0"/>
              <w:autoSpaceDN w:val="0"/>
              <w:rPr>
                <w:lang w:val="en-GB"/>
              </w:rPr>
            </w:pPr>
            <w:r w:rsidRPr="00106626">
              <w:rPr>
                <w:lang w:val="en-GB"/>
              </w:rPr>
              <w:t>57.0</w:t>
            </w:r>
          </w:p>
        </w:tc>
        <w:tc>
          <w:tcPr>
            <w:tcW w:w="2619" w:type="dxa"/>
            <w:shd w:val="clear" w:color="auto" w:fill="auto"/>
            <w:vAlign w:val="center"/>
          </w:tcPr>
          <w:p w14:paraId="1D0054AD" w14:textId="77777777" w:rsidR="003B2643" w:rsidRPr="00106626" w:rsidRDefault="003B2643" w:rsidP="00610BE8">
            <w:pPr>
              <w:pStyle w:val="MDPI42tablebody"/>
              <w:autoSpaceDE w:val="0"/>
              <w:autoSpaceDN w:val="0"/>
              <w:rPr>
                <w:lang w:val="en-GB"/>
              </w:rPr>
            </w:pPr>
            <w:r w:rsidRPr="00106626">
              <w:rPr>
                <w:lang w:val="en-GB"/>
              </w:rPr>
              <w:t>43.0</w:t>
            </w:r>
          </w:p>
        </w:tc>
      </w:tr>
      <w:tr w:rsidR="003B2643" w:rsidRPr="00106626" w14:paraId="580683D8" w14:textId="77777777" w:rsidTr="00610BE8">
        <w:tc>
          <w:tcPr>
            <w:tcW w:w="2619" w:type="dxa"/>
            <w:tcBorders>
              <w:bottom w:val="single" w:sz="8" w:space="0" w:color="auto"/>
            </w:tcBorders>
            <w:shd w:val="clear" w:color="auto" w:fill="auto"/>
            <w:vAlign w:val="center"/>
          </w:tcPr>
          <w:p w14:paraId="626F5E19" w14:textId="77777777" w:rsidR="003B2643" w:rsidRPr="00106626" w:rsidRDefault="003B2643" w:rsidP="00610BE8">
            <w:pPr>
              <w:pStyle w:val="MDPI42tablebody"/>
              <w:autoSpaceDE w:val="0"/>
              <w:autoSpaceDN w:val="0"/>
              <w:rPr>
                <w:lang w:val="en-GB"/>
              </w:rPr>
            </w:pPr>
            <w:r w:rsidRPr="00106626">
              <w:rPr>
                <w:lang w:val="en-GB"/>
              </w:rPr>
              <w:t>Tidal cycle B</w:t>
            </w:r>
          </w:p>
        </w:tc>
        <w:tc>
          <w:tcPr>
            <w:tcW w:w="2619" w:type="dxa"/>
            <w:tcBorders>
              <w:bottom w:val="single" w:sz="8" w:space="0" w:color="auto"/>
            </w:tcBorders>
            <w:shd w:val="clear" w:color="auto" w:fill="auto"/>
            <w:vAlign w:val="center"/>
          </w:tcPr>
          <w:p w14:paraId="6579E00A" w14:textId="77777777" w:rsidR="003B2643" w:rsidRPr="00106626" w:rsidRDefault="003B2643" w:rsidP="00610BE8">
            <w:pPr>
              <w:pStyle w:val="MDPI42tablebody"/>
              <w:autoSpaceDE w:val="0"/>
              <w:autoSpaceDN w:val="0"/>
              <w:rPr>
                <w:lang w:val="en-GB"/>
              </w:rPr>
            </w:pPr>
            <w:r w:rsidRPr="00106626">
              <w:rPr>
                <w:lang w:val="en-GB"/>
              </w:rPr>
              <w:t>48.4</w:t>
            </w:r>
          </w:p>
        </w:tc>
        <w:tc>
          <w:tcPr>
            <w:tcW w:w="2619" w:type="dxa"/>
            <w:tcBorders>
              <w:bottom w:val="single" w:sz="8" w:space="0" w:color="auto"/>
            </w:tcBorders>
            <w:shd w:val="clear" w:color="auto" w:fill="auto"/>
            <w:vAlign w:val="center"/>
          </w:tcPr>
          <w:p w14:paraId="0F94BC3F" w14:textId="77777777" w:rsidR="003B2643" w:rsidRPr="00106626" w:rsidRDefault="003B2643" w:rsidP="00610BE8">
            <w:pPr>
              <w:pStyle w:val="MDPI42tablebody"/>
              <w:autoSpaceDE w:val="0"/>
              <w:autoSpaceDN w:val="0"/>
              <w:rPr>
                <w:lang w:val="en-GB"/>
              </w:rPr>
            </w:pPr>
            <w:r w:rsidRPr="00106626">
              <w:rPr>
                <w:lang w:val="en-GB"/>
              </w:rPr>
              <w:t>51.6</w:t>
            </w:r>
          </w:p>
        </w:tc>
      </w:tr>
    </w:tbl>
    <w:p w14:paraId="297B29B6" w14:textId="74FBE542" w:rsidR="00F96EB6" w:rsidRPr="00106626" w:rsidRDefault="00F96EB6" w:rsidP="00F96EB6">
      <w:pPr>
        <w:pStyle w:val="MDPI31text"/>
        <w:rPr>
          <w:lang w:val="en-GB"/>
        </w:rPr>
      </w:pPr>
      <w:bookmarkStart w:id="10" w:name="_Hlk82348314"/>
    </w:p>
    <w:p w14:paraId="21C71311" w14:textId="77777777" w:rsidR="006565FD" w:rsidRPr="00106626" w:rsidRDefault="006565FD" w:rsidP="006565FD">
      <w:pPr>
        <w:pStyle w:val="MDPI52figure"/>
        <w:rPr>
          <w:lang w:val="en-GB"/>
        </w:rPr>
      </w:pPr>
      <w:r w:rsidRPr="00106626">
        <w:rPr>
          <w:noProof/>
          <w:snapToGrid/>
          <w:lang w:val="en-GB" w:eastAsia="en-GB" w:bidi="ar-SA"/>
        </w:rPr>
        <w:lastRenderedPageBreak/>
        <w:drawing>
          <wp:inline distT="0" distB="0" distL="0" distR="0" wp14:anchorId="41B16EED" wp14:editId="4EF9537D">
            <wp:extent cx="5975886" cy="3981450"/>
            <wp:effectExtent l="0" t="0" r="635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5886" cy="3981450"/>
                    </a:xfrm>
                    <a:prstGeom prst="rect">
                      <a:avLst/>
                    </a:prstGeom>
                  </pic:spPr>
                </pic:pic>
              </a:graphicData>
            </a:graphic>
          </wp:inline>
        </w:drawing>
      </w:r>
    </w:p>
    <w:p w14:paraId="6D33248D" w14:textId="38E2596C" w:rsidR="006565FD" w:rsidRPr="00106626" w:rsidRDefault="006565FD" w:rsidP="006565FD">
      <w:pPr>
        <w:pStyle w:val="MDPI51figurecaption"/>
        <w:ind w:left="425" w:right="425"/>
        <w:jc w:val="both"/>
        <w:rPr>
          <w:lang w:val="en-GB"/>
        </w:rPr>
      </w:pPr>
      <w:r w:rsidRPr="00AB2294">
        <w:rPr>
          <w:b/>
          <w:iCs/>
          <w:lang w:val="en-GB"/>
        </w:rPr>
        <w:t>Figure 3.</w:t>
      </w:r>
      <w:r w:rsidRPr="00106626">
        <w:rPr>
          <w:b/>
          <w:iCs/>
          <w:lang w:val="en-GB"/>
        </w:rPr>
        <w:t xml:space="preserve"> </w:t>
      </w:r>
      <w:r w:rsidRPr="00106626">
        <w:rPr>
          <w:lang w:val="en-GB"/>
        </w:rPr>
        <w:t>Buoy track during tidal cycle A, 18:00 28 August–02:00 29 August. Fixed solutions (Q1) are shown in green, and float solutions (Q2) are shown in orange.</w:t>
      </w:r>
    </w:p>
    <w:p w14:paraId="5E0E29F6" w14:textId="77777777" w:rsidR="006565FD" w:rsidRPr="00106626" w:rsidRDefault="006565FD" w:rsidP="006565FD">
      <w:pPr>
        <w:pStyle w:val="MDPI52figure"/>
        <w:rPr>
          <w:lang w:val="en-GB"/>
        </w:rPr>
      </w:pPr>
      <w:bookmarkStart w:id="11" w:name="_Hlk82348545"/>
      <w:r w:rsidRPr="00106626">
        <w:rPr>
          <w:noProof/>
          <w:snapToGrid/>
          <w:lang w:val="en-GB" w:eastAsia="en-GB" w:bidi="ar-SA"/>
        </w:rPr>
        <w:drawing>
          <wp:inline distT="0" distB="0" distL="0" distR="0" wp14:anchorId="4E04B0A2" wp14:editId="24F928F8">
            <wp:extent cx="5932657" cy="3952648"/>
            <wp:effectExtent l="0" t="0" r="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6399" cy="3961804"/>
                    </a:xfrm>
                    <a:prstGeom prst="rect">
                      <a:avLst/>
                    </a:prstGeom>
                  </pic:spPr>
                </pic:pic>
              </a:graphicData>
            </a:graphic>
          </wp:inline>
        </w:drawing>
      </w:r>
    </w:p>
    <w:p w14:paraId="606C9C34" w14:textId="6F92B9C1" w:rsidR="006565FD" w:rsidRPr="00106626" w:rsidRDefault="006565FD" w:rsidP="006565FD">
      <w:pPr>
        <w:pStyle w:val="MDPI51figurecaption"/>
        <w:ind w:left="425" w:right="425"/>
        <w:jc w:val="both"/>
        <w:rPr>
          <w:lang w:val="en-GB"/>
        </w:rPr>
      </w:pPr>
      <w:r w:rsidRPr="00AB2294">
        <w:rPr>
          <w:b/>
          <w:iCs/>
          <w:lang w:val="en-GB"/>
        </w:rPr>
        <w:t xml:space="preserve">Figure 4. </w:t>
      </w:r>
      <w:r w:rsidRPr="00AB2294">
        <w:rPr>
          <w:lang w:val="en-GB"/>
        </w:rPr>
        <w:t>Buoy</w:t>
      </w:r>
      <w:r w:rsidRPr="00106626">
        <w:rPr>
          <w:lang w:val="en-GB"/>
        </w:rPr>
        <w:t xml:space="preserve"> track during tidal cycle B, 29 August 2019 06:00–14:30. Fixed solutions (Q1) are shown in green, and float solutions (Q2) are shown in orange.</w:t>
      </w:r>
    </w:p>
    <w:bookmarkEnd w:id="11"/>
    <w:p w14:paraId="1CDC9E3D" w14:textId="77777777" w:rsidR="00357264" w:rsidRPr="00106626" w:rsidRDefault="00357264" w:rsidP="00357264">
      <w:pPr>
        <w:pStyle w:val="MDPI52figure"/>
        <w:rPr>
          <w:lang w:val="en-GB"/>
        </w:rPr>
      </w:pPr>
      <w:r w:rsidRPr="00106626">
        <w:rPr>
          <w:noProof/>
          <w:snapToGrid/>
          <w:lang w:val="en-GB" w:eastAsia="en-GB" w:bidi="ar-SA"/>
        </w:rPr>
        <w:lastRenderedPageBreak/>
        <w:drawing>
          <wp:inline distT="0" distB="0" distL="0" distR="0" wp14:anchorId="1DF3E314" wp14:editId="305B307C">
            <wp:extent cx="6305500" cy="4201056"/>
            <wp:effectExtent l="0" t="0" r="635" b="9525"/>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313596" cy="4206450"/>
                    </a:xfrm>
                    <a:prstGeom prst="rect">
                      <a:avLst/>
                    </a:prstGeom>
                  </pic:spPr>
                </pic:pic>
              </a:graphicData>
            </a:graphic>
          </wp:inline>
        </w:drawing>
      </w:r>
    </w:p>
    <w:p w14:paraId="56AF54DD" w14:textId="7EF34A86" w:rsidR="00357264" w:rsidRPr="00106626" w:rsidRDefault="00357264" w:rsidP="00357264">
      <w:pPr>
        <w:pStyle w:val="MDPI51figurecaption"/>
        <w:ind w:left="425" w:right="425"/>
        <w:jc w:val="both"/>
        <w:rPr>
          <w:lang w:val="en-GB"/>
        </w:rPr>
      </w:pPr>
      <w:r w:rsidRPr="00AB2294">
        <w:rPr>
          <w:b/>
          <w:iCs/>
          <w:lang w:val="en-GB"/>
        </w:rPr>
        <w:t xml:space="preserve">Figure 5. </w:t>
      </w:r>
      <w:r w:rsidRPr="00AB2294">
        <w:rPr>
          <w:lang w:val="en-GB"/>
        </w:rPr>
        <w:t>Buoy</w:t>
      </w:r>
      <w:r w:rsidRPr="00106626">
        <w:rPr>
          <w:lang w:val="en-GB"/>
        </w:rPr>
        <w:t xml:space="preserve"> positional components during tidal cycle A; East</w:t>
      </w:r>
      <w:r w:rsidR="009846ED">
        <w:rPr>
          <w:lang w:val="en-GB"/>
        </w:rPr>
        <w:t>–</w:t>
      </w:r>
      <w:r w:rsidRPr="00106626">
        <w:rPr>
          <w:lang w:val="en-GB"/>
        </w:rPr>
        <w:t>West (E-W), North</w:t>
      </w:r>
      <w:r w:rsidR="009846ED">
        <w:rPr>
          <w:lang w:val="en-GB"/>
        </w:rPr>
        <w:t>–</w:t>
      </w:r>
      <w:r w:rsidRPr="00106626">
        <w:rPr>
          <w:lang w:val="en-GB"/>
        </w:rPr>
        <w:t>South (N-S) and Up</w:t>
      </w:r>
      <w:r w:rsidR="009846ED">
        <w:rPr>
          <w:lang w:val="en-GB"/>
        </w:rPr>
        <w:t>–</w:t>
      </w:r>
      <w:r w:rsidRPr="00106626">
        <w:rPr>
          <w:lang w:val="en-GB"/>
        </w:rPr>
        <w:t>Down (U-D), 18:00 28 August–02:00 29 August. Fixed solutions (Q1) are shown in green, and float solutions (Q2) are shown in orange.</w:t>
      </w:r>
    </w:p>
    <w:p w14:paraId="1F5796CD" w14:textId="77777777" w:rsidR="00357264" w:rsidRPr="00106626" w:rsidRDefault="00357264" w:rsidP="00357264">
      <w:pPr>
        <w:pStyle w:val="MDPI52figure"/>
        <w:rPr>
          <w:lang w:val="en-GB"/>
        </w:rPr>
      </w:pPr>
      <w:r w:rsidRPr="00106626">
        <w:rPr>
          <w:noProof/>
          <w:snapToGrid/>
          <w:lang w:val="en-GB" w:eastAsia="en-GB" w:bidi="ar-SA"/>
        </w:rPr>
        <w:drawing>
          <wp:inline distT="0" distB="0" distL="0" distR="0" wp14:anchorId="355FE40F" wp14:editId="3ABCD337">
            <wp:extent cx="6148225" cy="4096271"/>
            <wp:effectExtent l="0" t="0" r="508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54498" cy="4100451"/>
                    </a:xfrm>
                    <a:prstGeom prst="rect">
                      <a:avLst/>
                    </a:prstGeom>
                  </pic:spPr>
                </pic:pic>
              </a:graphicData>
            </a:graphic>
          </wp:inline>
        </w:drawing>
      </w:r>
    </w:p>
    <w:p w14:paraId="7E40FB41" w14:textId="25F894DA" w:rsidR="00357264" w:rsidRPr="00106626" w:rsidRDefault="00357264" w:rsidP="00357264">
      <w:pPr>
        <w:pStyle w:val="MDPI51figurecaption"/>
        <w:ind w:left="425" w:right="425"/>
        <w:jc w:val="both"/>
        <w:rPr>
          <w:lang w:val="en-GB"/>
        </w:rPr>
      </w:pPr>
      <w:bookmarkStart w:id="12" w:name="_Hlk82348901"/>
      <w:r w:rsidRPr="00AB2294">
        <w:rPr>
          <w:b/>
          <w:iCs/>
          <w:lang w:val="en-GB"/>
        </w:rPr>
        <w:lastRenderedPageBreak/>
        <w:t xml:space="preserve">Figure 6. </w:t>
      </w:r>
      <w:r w:rsidRPr="00106626">
        <w:rPr>
          <w:lang w:val="en-GB"/>
        </w:rPr>
        <w:t>Buoy positional components during tidal cycle B; East</w:t>
      </w:r>
      <w:r w:rsidR="009846ED">
        <w:rPr>
          <w:lang w:val="en-GB"/>
        </w:rPr>
        <w:t>–</w:t>
      </w:r>
      <w:r w:rsidRPr="00106626">
        <w:rPr>
          <w:lang w:val="en-GB"/>
        </w:rPr>
        <w:t>West (E-W), North</w:t>
      </w:r>
      <w:r w:rsidR="009846ED">
        <w:rPr>
          <w:lang w:val="en-GB"/>
        </w:rPr>
        <w:t>–</w:t>
      </w:r>
      <w:r w:rsidRPr="00106626">
        <w:rPr>
          <w:lang w:val="en-GB"/>
        </w:rPr>
        <w:t>South (N-S) and Up</w:t>
      </w:r>
      <w:r w:rsidR="009846ED">
        <w:rPr>
          <w:lang w:val="en-GB"/>
        </w:rPr>
        <w:t>–</w:t>
      </w:r>
      <w:r w:rsidRPr="00106626">
        <w:rPr>
          <w:lang w:val="en-GB"/>
        </w:rPr>
        <w:t>Down (U-D), August 29 2019 06:00–14:00. Fixed solutions (Q1) are shown in green, and float solutions (Q2) are shown in orange.</w:t>
      </w:r>
    </w:p>
    <w:bookmarkEnd w:id="12"/>
    <w:p w14:paraId="0263C4E6" w14:textId="77777777" w:rsidR="00357264" w:rsidRPr="00106626" w:rsidRDefault="00357264" w:rsidP="00357264">
      <w:pPr>
        <w:pStyle w:val="MDPI52figure"/>
        <w:rPr>
          <w:lang w:val="en-GB"/>
        </w:rPr>
      </w:pPr>
      <w:r w:rsidRPr="00106626">
        <w:rPr>
          <w:noProof/>
          <w:snapToGrid/>
          <w:lang w:val="en-GB" w:eastAsia="en-GB" w:bidi="ar-SA"/>
        </w:rPr>
        <w:drawing>
          <wp:inline distT="0" distB="0" distL="0" distR="0" wp14:anchorId="5270020F" wp14:editId="2E0BCAE6">
            <wp:extent cx="5962365" cy="3971925"/>
            <wp:effectExtent l="0" t="0" r="635"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74056" cy="3979713"/>
                    </a:xfrm>
                    <a:prstGeom prst="rect">
                      <a:avLst/>
                    </a:prstGeom>
                  </pic:spPr>
                </pic:pic>
              </a:graphicData>
            </a:graphic>
          </wp:inline>
        </w:drawing>
      </w:r>
    </w:p>
    <w:p w14:paraId="48855451" w14:textId="065D0904" w:rsidR="00357264" w:rsidRPr="00106626" w:rsidRDefault="00357264" w:rsidP="00357264">
      <w:pPr>
        <w:pStyle w:val="MDPI51figurecaption"/>
        <w:ind w:left="425" w:right="425"/>
        <w:jc w:val="both"/>
        <w:rPr>
          <w:lang w:val="en-GB"/>
        </w:rPr>
      </w:pPr>
      <w:r w:rsidRPr="00AB2294">
        <w:rPr>
          <w:b/>
          <w:iCs/>
          <w:lang w:val="en-GB"/>
        </w:rPr>
        <w:t xml:space="preserve">Figure 7. </w:t>
      </w:r>
      <w:r w:rsidRPr="00AB2294">
        <w:rPr>
          <w:lang w:val="en-GB"/>
        </w:rPr>
        <w:t>Buoy</w:t>
      </w:r>
      <w:r w:rsidRPr="00106626">
        <w:rPr>
          <w:lang w:val="en-GB"/>
        </w:rPr>
        <w:t xml:space="preserve"> vertical accelerations during tidal cycle A; 18:00 28 August</w:t>
      </w:r>
      <w:r w:rsidR="00A81AFE" w:rsidRPr="00106626">
        <w:rPr>
          <w:lang w:val="en-GB"/>
        </w:rPr>
        <w:t>–</w:t>
      </w:r>
      <w:r w:rsidRPr="00106626">
        <w:rPr>
          <w:lang w:val="en-GB"/>
        </w:rPr>
        <w:t>02:00 29 August. Fixed solutions (Q1) are shown in green, and float solutions (Q2) are shown in orange.</w:t>
      </w:r>
    </w:p>
    <w:p w14:paraId="3E007A13" w14:textId="77777777" w:rsidR="00357264" w:rsidRPr="00106626" w:rsidRDefault="00357264" w:rsidP="00357264">
      <w:pPr>
        <w:pStyle w:val="MDPI52figure"/>
        <w:rPr>
          <w:lang w:val="en-GB"/>
        </w:rPr>
      </w:pPr>
      <w:r w:rsidRPr="00106626">
        <w:rPr>
          <w:noProof/>
          <w:snapToGrid/>
          <w:lang w:val="en-GB" w:eastAsia="en-GB" w:bidi="ar-SA"/>
        </w:rPr>
        <w:lastRenderedPageBreak/>
        <w:drawing>
          <wp:inline distT="0" distB="0" distL="0" distR="0" wp14:anchorId="15739E0B" wp14:editId="0F82C039">
            <wp:extent cx="5943113" cy="3959145"/>
            <wp:effectExtent l="0" t="0" r="635" b="381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64331" cy="3973280"/>
                    </a:xfrm>
                    <a:prstGeom prst="rect">
                      <a:avLst/>
                    </a:prstGeom>
                  </pic:spPr>
                </pic:pic>
              </a:graphicData>
            </a:graphic>
          </wp:inline>
        </w:drawing>
      </w:r>
    </w:p>
    <w:p w14:paraId="335802CB" w14:textId="6464F416" w:rsidR="00357264" w:rsidRPr="00106626" w:rsidRDefault="00357264" w:rsidP="00357264">
      <w:pPr>
        <w:pStyle w:val="MDPI51figurecaption"/>
        <w:ind w:left="425" w:right="425"/>
        <w:jc w:val="both"/>
        <w:rPr>
          <w:lang w:val="en-GB"/>
        </w:rPr>
      </w:pPr>
      <w:bookmarkStart w:id="13" w:name="_Hlk82349032"/>
      <w:r w:rsidRPr="00AB2294">
        <w:rPr>
          <w:b/>
          <w:iCs/>
          <w:lang w:val="en-GB"/>
        </w:rPr>
        <w:t xml:space="preserve">Figure 8. </w:t>
      </w:r>
      <w:r w:rsidRPr="00106626">
        <w:rPr>
          <w:lang w:val="en-GB"/>
        </w:rPr>
        <w:t>Buoy vertical accelerations during tidal cycle B; Up</w:t>
      </w:r>
      <w:r w:rsidR="009846ED">
        <w:rPr>
          <w:lang w:val="en-GB"/>
        </w:rPr>
        <w:t>–</w:t>
      </w:r>
      <w:r w:rsidRPr="00106626">
        <w:rPr>
          <w:lang w:val="en-GB"/>
        </w:rPr>
        <w:t>Down (U</w:t>
      </w:r>
      <w:r w:rsidR="00713AFA">
        <w:rPr>
          <w:lang w:val="en-GB"/>
        </w:rPr>
        <w:t>-</w:t>
      </w:r>
      <w:r w:rsidRPr="00106626">
        <w:rPr>
          <w:lang w:val="en-GB"/>
        </w:rPr>
        <w:t>D), 29 August 06:00</w:t>
      </w:r>
      <w:r w:rsidR="00A81AFE" w:rsidRPr="00106626">
        <w:rPr>
          <w:lang w:val="en-GB"/>
        </w:rPr>
        <w:t>–</w:t>
      </w:r>
      <w:r w:rsidRPr="00106626">
        <w:rPr>
          <w:lang w:val="en-GB"/>
        </w:rPr>
        <w:t>14:30. Fixed solutions (Q1) are shown in green, and float solutions (Q2) are shown in orange.</w:t>
      </w:r>
      <w:bookmarkEnd w:id="13"/>
    </w:p>
    <w:p w14:paraId="0CFCCFD6" w14:textId="04DCFAA4" w:rsidR="003B2643" w:rsidRPr="00106626" w:rsidRDefault="00357264" w:rsidP="00357264">
      <w:pPr>
        <w:pStyle w:val="MDPI22heading2"/>
        <w:spacing w:before="240"/>
        <w:rPr>
          <w:lang w:val="en-GB"/>
        </w:rPr>
      </w:pPr>
      <w:r w:rsidRPr="00106626">
        <w:rPr>
          <w:lang w:val="en-GB"/>
        </w:rPr>
        <w:t xml:space="preserve">3.2. </w:t>
      </w:r>
      <w:r w:rsidR="003B2643" w:rsidRPr="00106626">
        <w:rPr>
          <w:lang w:val="en-GB"/>
        </w:rPr>
        <w:t xml:space="preserve">GNSS </w:t>
      </w:r>
      <w:r w:rsidR="00653E94" w:rsidRPr="00106626">
        <w:rPr>
          <w:lang w:val="en-GB"/>
        </w:rPr>
        <w:t>Buoy Track</w:t>
      </w:r>
    </w:p>
    <w:bookmarkEnd w:id="10"/>
    <w:p w14:paraId="59BDFA77" w14:textId="77777777" w:rsidR="003B2643" w:rsidRPr="00106626" w:rsidRDefault="003B2643" w:rsidP="001F52E0">
      <w:pPr>
        <w:pStyle w:val="MDPI31text"/>
        <w:rPr>
          <w:lang w:val="en-GB"/>
        </w:rPr>
      </w:pPr>
      <w:r w:rsidRPr="00106626">
        <w:rPr>
          <w:lang w:val="en-GB"/>
        </w:rPr>
        <w:t>The buoy tracks during tidal cycles A and B (Figures 3 and 4, respectively) each display a rotational movement around the anchor point. There is a consistent northerly component during both flood tides (tidal cycle A 18:00–21:30, tidal cycle B 06:30–10:30) with a small increasing component towards the shore suggesting strong alongshore currents during the flood tide. During tidal cycle A, there was a consistent moderate breeze (11–15 knots) from the west; during tidal cycle B, there was an increasing fresh breeze (17–21 knots) from the south-west. The weather conditions also would have co</w:t>
      </w:r>
      <w:r w:rsidRPr="00106626">
        <w:rPr>
          <w:lang w:val="en-GB"/>
        </w:rPr>
        <w:t>n</w:t>
      </w:r>
      <w:r w:rsidRPr="00106626">
        <w:rPr>
          <w:lang w:val="en-GB"/>
        </w:rPr>
        <w:t>tributed to the dominant northerly orientation during the flood tide.</w:t>
      </w:r>
    </w:p>
    <w:p w14:paraId="683E8A22" w14:textId="60F962E6" w:rsidR="003B2643" w:rsidRPr="00106626" w:rsidRDefault="003B2643" w:rsidP="001F52E0">
      <w:pPr>
        <w:pStyle w:val="MDPI31text"/>
        <w:rPr>
          <w:lang w:val="en-GB"/>
        </w:rPr>
      </w:pPr>
      <w:r w:rsidRPr="00106626">
        <w:rPr>
          <w:lang w:val="en-GB"/>
        </w:rPr>
        <w:t xml:space="preserve">Shortly after high water in tidal cycle A, the rotation increases clockwise towards the shoreline, with its closest position to the shore being around 22:00, around 90 </w:t>
      </w:r>
      <w:r w:rsidR="00B73459" w:rsidRPr="00106626">
        <w:rPr>
          <w:lang w:val="en-GB"/>
        </w:rPr>
        <w:t>min</w:t>
      </w:r>
      <w:r w:rsidRPr="00106626">
        <w:rPr>
          <w:lang w:val="en-GB"/>
        </w:rPr>
        <w:t xml:space="preserve"> after high water. It then continues to rotate clockwise until 23:00 when it then begins an a</w:t>
      </w:r>
      <w:r w:rsidRPr="00106626">
        <w:rPr>
          <w:lang w:val="en-GB"/>
        </w:rPr>
        <w:t>n</w:t>
      </w:r>
      <w:r w:rsidRPr="00106626">
        <w:rPr>
          <w:lang w:val="en-GB"/>
        </w:rPr>
        <w:t>ti-clockwise rotation passing the same position around 00:30. A similar pattern can also be seen with tidal cycle B. This could indicate water recirculation as tidal currents d</w:t>
      </w:r>
      <w:r w:rsidRPr="00106626">
        <w:rPr>
          <w:lang w:val="en-GB"/>
        </w:rPr>
        <w:t>e</w:t>
      </w:r>
      <w:r w:rsidRPr="00106626">
        <w:rPr>
          <w:lang w:val="en-GB"/>
        </w:rPr>
        <w:t>crease, and being constrained by the short length (~10</w:t>
      </w:r>
      <w:r w:rsidR="007A5E5E" w:rsidRPr="00106626">
        <w:rPr>
          <w:lang w:val="en-GB"/>
        </w:rPr>
        <w:t>0 m</w:t>
      </w:r>
      <w:r w:rsidRPr="00106626">
        <w:rPr>
          <w:lang w:val="en-GB"/>
        </w:rPr>
        <w:t>) rock groynes both to the north and south of the site. It is interesting to note that the majority of good consistent solutions (Q1) occurred shortly after high water and during the ebb tide, while the poorer solutions (Q2) occurred during the flood tide.</w:t>
      </w:r>
    </w:p>
    <w:p w14:paraId="4A944A59" w14:textId="535ADB8A" w:rsidR="003B2643" w:rsidRPr="00106626" w:rsidRDefault="002E47E5" w:rsidP="002E47E5">
      <w:pPr>
        <w:pStyle w:val="MDPI22heading2"/>
        <w:spacing w:before="240"/>
        <w:rPr>
          <w:lang w:val="en-GB"/>
        </w:rPr>
      </w:pPr>
      <w:bookmarkStart w:id="14" w:name="_Hlk82348698"/>
      <w:r w:rsidRPr="00106626">
        <w:rPr>
          <w:lang w:val="en-GB"/>
        </w:rPr>
        <w:t xml:space="preserve">3.3. </w:t>
      </w:r>
      <w:r w:rsidR="003B2643" w:rsidRPr="00106626">
        <w:rPr>
          <w:lang w:val="en-GB"/>
        </w:rPr>
        <w:t xml:space="preserve">GNSS </w:t>
      </w:r>
      <w:r w:rsidR="00653E94" w:rsidRPr="00106626">
        <w:rPr>
          <w:lang w:val="en-GB"/>
        </w:rPr>
        <w:t>Buoy Positional Components</w:t>
      </w:r>
      <w:bookmarkEnd w:id="14"/>
    </w:p>
    <w:p w14:paraId="35F515B2" w14:textId="041A3498" w:rsidR="003B2643" w:rsidRPr="00106626" w:rsidRDefault="003B2643" w:rsidP="002E47E5">
      <w:pPr>
        <w:pStyle w:val="MDPI31text"/>
        <w:rPr>
          <w:lang w:val="en-GB"/>
        </w:rPr>
      </w:pPr>
      <w:r w:rsidRPr="00106626">
        <w:rPr>
          <w:lang w:val="en-GB"/>
        </w:rPr>
        <w:t xml:space="preserve">The buoy’s positional components during tidal cycles A and B are </w:t>
      </w:r>
      <w:r w:rsidR="009846ED">
        <w:rPr>
          <w:lang w:val="en-GB"/>
        </w:rPr>
        <w:t xml:space="preserve">shown </w:t>
      </w:r>
      <w:r w:rsidRPr="00106626">
        <w:rPr>
          <w:lang w:val="en-GB"/>
        </w:rPr>
        <w:t>in Figures 5 and 6, with East</w:t>
      </w:r>
      <w:r w:rsidR="009846ED">
        <w:rPr>
          <w:lang w:val="en-GB"/>
        </w:rPr>
        <w:t>–</w:t>
      </w:r>
      <w:r w:rsidRPr="00106626">
        <w:rPr>
          <w:lang w:val="en-GB"/>
        </w:rPr>
        <w:t>West (E-W), North</w:t>
      </w:r>
      <w:r w:rsidR="009846ED">
        <w:rPr>
          <w:lang w:val="en-GB"/>
        </w:rPr>
        <w:t>–</w:t>
      </w:r>
      <w:r w:rsidRPr="00106626">
        <w:rPr>
          <w:lang w:val="en-GB"/>
        </w:rPr>
        <w:t>South (N-S) and Up</w:t>
      </w:r>
      <w:r w:rsidR="009846ED">
        <w:rPr>
          <w:lang w:val="en-GB"/>
        </w:rPr>
        <w:t>–</w:t>
      </w:r>
      <w:r w:rsidRPr="00106626">
        <w:rPr>
          <w:lang w:val="en-GB"/>
        </w:rPr>
        <w:t xml:space="preserve">Down (U-D) components. The poorest (Q2) solutions occurred more frequently during each flood tide: at maximum tidal current and on the approach towards high water. </w:t>
      </w:r>
      <w:r w:rsidR="009846ED">
        <w:rPr>
          <w:lang w:val="en-GB"/>
        </w:rPr>
        <w:t>In addition</w:t>
      </w:r>
      <w:r w:rsidRPr="00106626">
        <w:rPr>
          <w:lang w:val="en-GB"/>
        </w:rPr>
        <w:t xml:space="preserve">, it is likely that the poor solutions at the start and end of both tidal cycles A and B were caused by the buoy </w:t>
      </w:r>
      <w:r w:rsidRPr="00106626">
        <w:rPr>
          <w:lang w:val="en-GB"/>
        </w:rPr>
        <w:lastRenderedPageBreak/>
        <w:t>being buffeted by small waves before becoming free-floating, i.e., with the central vertical bar catching the sand as the buoy moved with the small breaking waves.</w:t>
      </w:r>
    </w:p>
    <w:p w14:paraId="164E0D95" w14:textId="77777777" w:rsidR="003B2643" w:rsidRPr="00106626" w:rsidRDefault="003B2643" w:rsidP="002E47E5">
      <w:pPr>
        <w:pStyle w:val="MDPI31text"/>
        <w:rPr>
          <w:lang w:val="en-GB"/>
        </w:rPr>
      </w:pPr>
      <w:r w:rsidRPr="00106626">
        <w:rPr>
          <w:lang w:val="en-GB"/>
        </w:rPr>
        <w:t>The poorest Q2 solutions occurred during each flood tide and when the buoy was within the surf zone, and being affected by spilling waves. The buoy tracks (Figures 3 and 4) suggest that the mooring line was under tension during the peak tidal flows on the flood tide, which may indicate the presence of relatively strong alongshore currents. When coincident with spilling waves this would briefly allow water to cover the antenna, resulting in loss of satellite lock; this type of effect can be seen clearly within the sea-level data.</w:t>
      </w:r>
    </w:p>
    <w:p w14:paraId="4B6BBE48" w14:textId="1410D2C3" w:rsidR="003B2643" w:rsidRPr="00106626" w:rsidRDefault="003B2643" w:rsidP="002E47E5">
      <w:pPr>
        <w:pStyle w:val="MDPI31text"/>
        <w:rPr>
          <w:lang w:val="en-GB"/>
        </w:rPr>
      </w:pPr>
      <w:r w:rsidRPr="00106626">
        <w:rPr>
          <w:lang w:val="en-GB"/>
        </w:rPr>
        <w:t>Some Q1 solutions were obviously erroneous with large jumps (e.g., Figure 5, U-D~00:45 29 August). This was likely due to the processing software not recovering from poor and limited satellite data, and the subsequent offset feeding into the following positional solutions; therefore</w:t>
      </w:r>
      <w:r w:rsidR="009846ED">
        <w:rPr>
          <w:lang w:val="en-GB"/>
        </w:rPr>
        <w:t>,</w:t>
      </w:r>
      <w:r w:rsidRPr="00106626">
        <w:rPr>
          <w:lang w:val="en-GB"/>
        </w:rPr>
        <w:t xml:space="preserve"> Q1 solutions are not always an indication of good sea-level data.</w:t>
      </w:r>
    </w:p>
    <w:p w14:paraId="2E16B20E" w14:textId="7AFCA029" w:rsidR="003B2643" w:rsidRPr="00106626" w:rsidRDefault="001774AE" w:rsidP="001774AE">
      <w:pPr>
        <w:pStyle w:val="MDPI22heading2"/>
        <w:spacing w:before="240"/>
        <w:rPr>
          <w:lang w:val="en-GB"/>
        </w:rPr>
      </w:pPr>
      <w:r w:rsidRPr="00106626">
        <w:rPr>
          <w:lang w:val="en-GB"/>
        </w:rPr>
        <w:t xml:space="preserve">3.4. </w:t>
      </w:r>
      <w:r w:rsidR="003B2643" w:rsidRPr="00106626">
        <w:rPr>
          <w:lang w:val="en-GB"/>
        </w:rPr>
        <w:t xml:space="preserve">GNSS </w:t>
      </w:r>
      <w:r w:rsidR="00653E94" w:rsidRPr="00106626">
        <w:rPr>
          <w:lang w:val="en-GB"/>
        </w:rPr>
        <w:t>Buoy Vertical Accelerations</w:t>
      </w:r>
    </w:p>
    <w:p w14:paraId="37B98CE4" w14:textId="1DC9272C" w:rsidR="003B2643" w:rsidRPr="00106626" w:rsidRDefault="003B2643" w:rsidP="001774AE">
      <w:pPr>
        <w:pStyle w:val="MDPI31text"/>
        <w:rPr>
          <w:lang w:val="en-GB"/>
        </w:rPr>
      </w:pPr>
      <w:r w:rsidRPr="00106626">
        <w:rPr>
          <w:lang w:val="en-GB"/>
        </w:rPr>
        <w:t>Most of the poor solutions, with the greatest vertical differences, coincide with very large accelerations (Figures 7</w:t>
      </w:r>
      <w:r w:rsidR="00314BF9" w:rsidRPr="00106626">
        <w:rPr>
          <w:lang w:val="en-GB"/>
        </w:rPr>
        <w:t xml:space="preserve"> and</w:t>
      </w:r>
      <w:r w:rsidRPr="00106626">
        <w:rPr>
          <w:lang w:val="en-GB"/>
        </w:rPr>
        <w:t xml:space="preserve"> 8), mainly during the flood tides and when the buoy is in shallower water. When large accelerations occurred, the GNSS receiver Rinex data also indicated loss of satellite lock for the majority of visible satellites. Normal practice to improve the analysis when this happens is to experiment with increasing the satellite angle cut off, e.g., 16°, 17°, 18°</w:t>
      </w:r>
      <w:r w:rsidR="009846ED">
        <w:rPr>
          <w:lang w:val="en-GB"/>
        </w:rPr>
        <w:t>,</w:t>
      </w:r>
      <w:r w:rsidRPr="00106626">
        <w:rPr>
          <w:lang w:val="en-GB"/>
        </w:rPr>
        <w:t xml:space="preserve"> etc., ignoring any data with lower satellite angles. U</w:t>
      </w:r>
      <w:r w:rsidRPr="00106626">
        <w:rPr>
          <w:lang w:val="en-GB"/>
        </w:rPr>
        <w:t>n</w:t>
      </w:r>
      <w:r w:rsidRPr="00106626">
        <w:rPr>
          <w:lang w:val="en-GB"/>
        </w:rPr>
        <w:t xml:space="preserve">fortunately, this did not improve the solutions </w:t>
      </w:r>
      <w:r w:rsidR="009846ED">
        <w:rPr>
          <w:lang w:val="en-GB"/>
        </w:rPr>
        <w:t xml:space="preserve">because </w:t>
      </w:r>
      <w:r w:rsidRPr="00106626">
        <w:rPr>
          <w:lang w:val="en-GB"/>
        </w:rPr>
        <w:t>the lock problem occurr</w:t>
      </w:r>
      <w:r w:rsidR="009846ED">
        <w:rPr>
          <w:lang w:val="en-GB"/>
        </w:rPr>
        <w:t>ed</w:t>
      </w:r>
      <w:r w:rsidRPr="00106626">
        <w:rPr>
          <w:lang w:val="en-GB"/>
        </w:rPr>
        <w:t xml:space="preserve"> si</w:t>
      </w:r>
      <w:r w:rsidRPr="00106626">
        <w:rPr>
          <w:lang w:val="en-GB"/>
        </w:rPr>
        <w:t>m</w:t>
      </w:r>
      <w:r w:rsidRPr="00106626">
        <w:rPr>
          <w:lang w:val="en-GB"/>
        </w:rPr>
        <w:t>ultaneously on all the satellites. In fact, it produced progressively poorer solutions due to smaller numbers of useable satellites for the RTKLIB software. It is likely that these poor solutions occur when the antenna is becoming covered in water from spilling waves, which were observed on a number of occasions from the shore; the mooring could be seen to be physically jerked backwards as the wave passed through. For example, the GNSS buoy (photograph in Figure 9) prior to recovery on the 29 August at 13:24: large accelerations were observed in the satellite data (Figure 8). In this case, white water was seen behind the buoy and it eventually washed over it and this coincided with the high recorded accelerations and loss of satellite lock, and thus a poor positional solution.</w:t>
      </w:r>
    </w:p>
    <w:p w14:paraId="140A5A71" w14:textId="77777777" w:rsidR="003B2643" w:rsidRPr="00106626" w:rsidRDefault="003B2643" w:rsidP="001774AE">
      <w:pPr>
        <w:pStyle w:val="MDPI52figure"/>
        <w:rPr>
          <w:lang w:val="en-GB"/>
        </w:rPr>
      </w:pPr>
      <w:bookmarkStart w:id="15" w:name="_Hlk82349485"/>
      <w:r w:rsidRPr="00106626">
        <w:rPr>
          <w:noProof/>
          <w:snapToGrid/>
          <w:lang w:val="en-GB" w:eastAsia="en-GB" w:bidi="ar-SA"/>
        </w:rPr>
        <w:lastRenderedPageBreak/>
        <w:drawing>
          <wp:inline distT="0" distB="0" distL="0" distR="0" wp14:anchorId="752C7120" wp14:editId="44FCCEC9">
            <wp:extent cx="5899790" cy="4820285"/>
            <wp:effectExtent l="0" t="0" r="5715" b="0"/>
            <wp:docPr id="12" name="Picture 12" descr="A picture containing outdoor, water, beach,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water, beach, ocea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99790" cy="4820285"/>
                    </a:xfrm>
                    <a:prstGeom prst="rect">
                      <a:avLst/>
                    </a:prstGeom>
                  </pic:spPr>
                </pic:pic>
              </a:graphicData>
            </a:graphic>
          </wp:inline>
        </w:drawing>
      </w:r>
    </w:p>
    <w:p w14:paraId="6C3C4A55" w14:textId="6BF9B79C" w:rsidR="003B2643" w:rsidRPr="00106626" w:rsidRDefault="001774AE" w:rsidP="001774AE">
      <w:pPr>
        <w:pStyle w:val="MDPI51figurecaption"/>
        <w:ind w:left="425" w:right="425"/>
        <w:jc w:val="center"/>
        <w:rPr>
          <w:lang w:val="en-GB"/>
        </w:rPr>
      </w:pPr>
      <w:r w:rsidRPr="00106626">
        <w:rPr>
          <w:b/>
          <w:lang w:val="en-GB"/>
        </w:rPr>
        <w:t xml:space="preserve">Figure 9. </w:t>
      </w:r>
      <w:r w:rsidR="003B2643" w:rsidRPr="00106626">
        <w:rPr>
          <w:lang w:val="en-GB"/>
        </w:rPr>
        <w:t>GNSS buoy at 13:24 on 29 August, prior to recovery; spilling waves can be seen in the background.</w:t>
      </w:r>
    </w:p>
    <w:p w14:paraId="5FFCA24D" w14:textId="38C93B2D" w:rsidR="003B2643" w:rsidRPr="00106626" w:rsidRDefault="00B16414" w:rsidP="00B16414">
      <w:pPr>
        <w:pStyle w:val="MDPI21heading1"/>
        <w:rPr>
          <w:lang w:val="en-GB"/>
        </w:rPr>
      </w:pPr>
      <w:bookmarkStart w:id="16" w:name="_Hlk82352448"/>
      <w:bookmarkEnd w:id="15"/>
      <w:r w:rsidRPr="00106626">
        <w:rPr>
          <w:lang w:val="en-GB"/>
        </w:rPr>
        <w:t xml:space="preserve">4. </w:t>
      </w:r>
      <w:r w:rsidR="003B2643" w:rsidRPr="00106626">
        <w:rPr>
          <w:lang w:val="en-GB"/>
        </w:rPr>
        <w:t xml:space="preserve">Analysis and </w:t>
      </w:r>
      <w:r w:rsidR="00653E94" w:rsidRPr="00106626">
        <w:rPr>
          <w:lang w:val="en-GB"/>
        </w:rPr>
        <w:t>Discussion</w:t>
      </w:r>
    </w:p>
    <w:p w14:paraId="79EB54E3" w14:textId="069B1F3E" w:rsidR="003B2643" w:rsidRPr="00106626" w:rsidRDefault="00B16414" w:rsidP="00B16414">
      <w:pPr>
        <w:pStyle w:val="MDPI22heading2"/>
        <w:rPr>
          <w:lang w:val="en-GB"/>
        </w:rPr>
      </w:pPr>
      <w:bookmarkStart w:id="17" w:name="_Hlk82349312"/>
      <w:r w:rsidRPr="00106626">
        <w:rPr>
          <w:lang w:val="en-GB"/>
        </w:rPr>
        <w:t xml:space="preserve">4.1. </w:t>
      </w:r>
      <w:r w:rsidR="003B2643" w:rsidRPr="00106626">
        <w:rPr>
          <w:lang w:val="en-GB"/>
        </w:rPr>
        <w:t xml:space="preserve">Buoy </w:t>
      </w:r>
      <w:r w:rsidR="00653E94" w:rsidRPr="00106626">
        <w:rPr>
          <w:lang w:val="en-GB"/>
        </w:rPr>
        <w:t>Performance</w:t>
      </w:r>
    </w:p>
    <w:p w14:paraId="54247E67" w14:textId="4D115220" w:rsidR="003B2643" w:rsidRPr="00106626" w:rsidRDefault="003B2643" w:rsidP="00B16414">
      <w:pPr>
        <w:pStyle w:val="MDPI31text"/>
        <w:rPr>
          <w:lang w:val="en-GB"/>
        </w:rPr>
      </w:pPr>
      <w:r w:rsidRPr="00106626">
        <w:rPr>
          <w:lang w:val="en-GB"/>
        </w:rPr>
        <w:t>On recovery</w:t>
      </w:r>
      <w:bookmarkEnd w:id="17"/>
      <w:r w:rsidRPr="00106626">
        <w:rPr>
          <w:lang w:val="en-GB"/>
        </w:rPr>
        <w:t xml:space="preserve">, there </w:t>
      </w:r>
      <w:bookmarkEnd w:id="16"/>
      <w:r w:rsidRPr="00106626">
        <w:rPr>
          <w:lang w:val="en-GB"/>
        </w:rPr>
        <w:t>were a number of twists in the rope connection between the GNSS buoy and the trawl float. An additional swivel on the end of the GNSS buoy co</w:t>
      </w:r>
      <w:r w:rsidRPr="00106626">
        <w:rPr>
          <w:lang w:val="en-GB"/>
        </w:rPr>
        <w:t>n</w:t>
      </w:r>
      <w:r w:rsidRPr="00106626">
        <w:rPr>
          <w:lang w:val="en-GB"/>
        </w:rPr>
        <w:t xml:space="preserve">nection would probably have reduced this and may lead to a more stable and free-floating platform. The use of a rubber bungee directly below the wave buoy mooring </w:t>
      </w:r>
      <w:r w:rsidRPr="00106626">
        <w:rPr>
          <w:i/>
          <w:lang w:val="en-GB"/>
        </w:rPr>
        <w:fldChar w:fldCharType="begin"/>
      </w:r>
      <w:r w:rsidRPr="00106626">
        <w:rPr>
          <w:lang w:val="en-GB"/>
        </w:rPr>
        <w:instrText xml:space="preserve"> ADDIN EN.CITE &lt;EndNote&gt;&lt;Cite&gt;&lt;Author&gt;Brown&lt;/Author&gt;&lt;Year&gt;2021&lt;/Year&gt;&lt;RecNum&gt;38&lt;/RecNum&gt;&lt;DisplayText&gt;&lt;style size="10"&gt;[18]&lt;/style&gt;&lt;/DisplayText&gt;&lt;record&gt;&lt;rec-number&gt;38&lt;/rec-number&gt;&lt;foreign-keys&gt;&lt;key app="EN" db-id="sd9w9tfd2arwx9e9sf8pdtz6fttd0rp5r5p5" timestamp="1628970190"&gt;38&lt;/key&gt;&lt;/foreign-keys&gt;&lt;ref-type name="Journal Article"&gt;17&lt;/ref-type&gt;&lt;contributors&gt;&lt;authors&gt;&lt;author&gt;Brown, Adam C&lt;/author&gt;&lt;author&gt;Paasch, Robert K&lt;/author&gt;&lt;/authors&gt;&lt;/contributors&gt;&lt;titles&gt;&lt;title&gt;The Accelerations of a Wave Measurement Buoy Impacted by Breaking Waves in the Surf Zone&lt;/title&gt;&lt;secondary-title&gt;Journal of Marine Science and Engineering&lt;/secondary-title&gt;&lt;/titles&gt;&lt;periodical&gt;&lt;full-title&gt;Journal of Marine Science and Engineering&lt;/full-title&gt;&lt;/periodical&gt;&lt;pages&gt;214&lt;/pages&gt;&lt;volume&gt;9&lt;/volume&gt;&lt;number&gt;2&lt;/number&gt;&lt;dates&gt;&lt;year&gt;2021&lt;/year&gt;&lt;/dates&gt;&lt;urls&gt;&lt;/urls&gt;&lt;/record&gt;&lt;/Cite&gt;&lt;/EndNote&gt;</w:instrText>
      </w:r>
      <w:r w:rsidRPr="00106626">
        <w:rPr>
          <w:i/>
          <w:lang w:val="en-GB"/>
        </w:rPr>
        <w:fldChar w:fldCharType="separate"/>
      </w:r>
      <w:r w:rsidRPr="00106626">
        <w:rPr>
          <w:lang w:val="en-GB"/>
        </w:rPr>
        <w:t>[18]</w:t>
      </w:r>
      <w:r w:rsidRPr="00106626">
        <w:rPr>
          <w:i/>
          <w:lang w:val="en-GB"/>
        </w:rPr>
        <w:fldChar w:fldCharType="end"/>
      </w:r>
      <w:r w:rsidRPr="00106626">
        <w:rPr>
          <w:lang w:val="en-GB"/>
        </w:rPr>
        <w:t xml:space="preserve"> </w:t>
      </w:r>
      <w:r w:rsidR="00F101D7">
        <w:rPr>
          <w:lang w:val="en-GB"/>
        </w:rPr>
        <w:t xml:space="preserve">may </w:t>
      </w:r>
      <w:r w:rsidRPr="00106626">
        <w:rPr>
          <w:lang w:val="en-GB"/>
        </w:rPr>
        <w:t xml:space="preserve">be worth incorporating in this mooring in future. Both these suggestions may allow more free movement in the strong alongshore currents during the flood tide and thus improve data quality. </w:t>
      </w:r>
      <w:r w:rsidR="00F101D7">
        <w:rPr>
          <w:lang w:val="en-GB"/>
        </w:rPr>
        <w:t>In addition</w:t>
      </w:r>
      <w:r w:rsidRPr="00106626">
        <w:rPr>
          <w:lang w:val="en-GB"/>
        </w:rPr>
        <w:t>, the anchor point was completely covered with about 0.2</w:t>
      </w:r>
      <w:r w:rsidR="007A5E5E" w:rsidRPr="00106626">
        <w:rPr>
          <w:lang w:val="en-GB"/>
        </w:rPr>
        <w:t>5 m</w:t>
      </w:r>
      <w:r w:rsidRPr="00106626">
        <w:rPr>
          <w:lang w:val="en-GB"/>
        </w:rPr>
        <w:t xml:space="preserve"> of sand over just a couple of tidal cycles, so the bottom swivel was probably not working as intended by the end of this period. Overall, the mooring arrangement appears to have worked well and coped without being damaged in a very dynamic part of the intertidal beach. If the deployment was further away from the sea defences and nearer the low water mark, then spilling waves may have less impact on the results due to spending less time in the surf zone. Other authors observed the reverse </w:t>
      </w:r>
      <w:r w:rsidRPr="00106626">
        <w:rPr>
          <w:i/>
          <w:lang w:val="en-GB"/>
        </w:rPr>
        <w:fldChar w:fldCharType="begin"/>
      </w:r>
      <w:r w:rsidRPr="00106626">
        <w:rPr>
          <w:lang w:val="en-GB"/>
        </w:rPr>
        <w:instrText xml:space="preserve"> ADDIN EN.CITE &lt;EndNote&gt;&lt;Cite&gt;&lt;Author&gt;Brown&lt;/Author&gt;&lt;Year&gt;2021&lt;/Year&gt;&lt;RecNum&gt;38&lt;/RecNum&gt;&lt;DisplayText&gt;&lt;style size="10"&gt;[18]&lt;/style&gt;&lt;/DisplayText&gt;&lt;record&gt;&lt;rec-number&gt;38&lt;/rec-number&gt;&lt;foreign-keys&gt;&lt;key app="EN" db-id="sd9w9tfd2arwx9e9sf8pdtz6fttd0rp5r5p5" timestamp="1628970190"&gt;38&lt;/key&gt;&lt;/foreign-keys&gt;&lt;ref-type name="Journal Article"&gt;17&lt;/ref-type&gt;&lt;contributors&gt;&lt;authors&gt;&lt;author&gt;Brown, Adam C&lt;/author&gt;&lt;author&gt;Paasch, Robert K&lt;/author&gt;&lt;/authors&gt;&lt;/contributors&gt;&lt;titles&gt;&lt;title&gt;The Accelerations of a Wave Measurement Buoy Impacted by Breaking Waves in the Surf Zone&lt;/title&gt;&lt;secondary-title&gt;Journal of Marine Science and Engineering&lt;/secondary-title&gt;&lt;/titles&gt;&lt;periodical&gt;&lt;full-title&gt;Journal of Marine Science and Engineering&lt;/full-title&gt;&lt;/periodical&gt;&lt;pages&gt;214&lt;/pages&gt;&lt;volume&gt;9&lt;/volume&gt;&lt;number&gt;2&lt;/number&gt;&lt;dates&gt;&lt;year&gt;2021&lt;/year&gt;&lt;/dates&gt;&lt;urls&gt;&lt;/urls&gt;&lt;/record&gt;&lt;/Cite&gt;&lt;/EndNote&gt;</w:instrText>
      </w:r>
      <w:r w:rsidRPr="00106626">
        <w:rPr>
          <w:i/>
          <w:lang w:val="en-GB"/>
        </w:rPr>
        <w:fldChar w:fldCharType="separate"/>
      </w:r>
      <w:r w:rsidRPr="00106626">
        <w:rPr>
          <w:lang w:val="en-GB"/>
        </w:rPr>
        <w:t>[18]</w:t>
      </w:r>
      <w:r w:rsidRPr="00106626">
        <w:rPr>
          <w:i/>
          <w:lang w:val="en-GB"/>
        </w:rPr>
        <w:fldChar w:fldCharType="end"/>
      </w:r>
      <w:r w:rsidRPr="00106626">
        <w:rPr>
          <w:lang w:val="en-GB"/>
        </w:rPr>
        <w:t xml:space="preserve"> since they had to site their mooring closer to shore so as to pick up the breaking/spilling waves.</w:t>
      </w:r>
    </w:p>
    <w:p w14:paraId="17120BAA" w14:textId="2B69EAAF" w:rsidR="003B2643" w:rsidRPr="00106626" w:rsidRDefault="00B16414" w:rsidP="00B16414">
      <w:pPr>
        <w:pStyle w:val="MDPI22heading2"/>
        <w:spacing w:before="240"/>
        <w:rPr>
          <w:lang w:val="en-GB"/>
        </w:rPr>
      </w:pPr>
      <w:bookmarkStart w:id="18" w:name="_Hlk82349382"/>
      <w:r w:rsidRPr="00106626">
        <w:rPr>
          <w:lang w:val="en-GB"/>
        </w:rPr>
        <w:t xml:space="preserve">4.2. </w:t>
      </w:r>
      <w:r w:rsidR="003B2643" w:rsidRPr="00106626">
        <w:rPr>
          <w:lang w:val="en-GB"/>
        </w:rPr>
        <w:t xml:space="preserve">GNSS </w:t>
      </w:r>
      <w:r w:rsidR="00653E94" w:rsidRPr="00106626">
        <w:rPr>
          <w:lang w:val="en-GB"/>
        </w:rPr>
        <w:t>Receiver Performance</w:t>
      </w:r>
    </w:p>
    <w:p w14:paraId="2A562EDC" w14:textId="074BCF60" w:rsidR="003B2643" w:rsidRPr="00106626" w:rsidRDefault="003B2643" w:rsidP="00B16414">
      <w:pPr>
        <w:pStyle w:val="MDPI31text"/>
        <w:rPr>
          <w:lang w:val="en-GB"/>
        </w:rPr>
      </w:pPr>
      <w:r w:rsidRPr="00106626">
        <w:rPr>
          <w:lang w:val="en-GB"/>
        </w:rPr>
        <w:t xml:space="preserve">Instead </w:t>
      </w:r>
      <w:bookmarkEnd w:id="18"/>
      <w:r w:rsidRPr="00106626">
        <w:rPr>
          <w:lang w:val="en-GB"/>
        </w:rPr>
        <w:t>of a single frequency (L1) receiver, a dual frequency (L1, L2) receiver could be substituted and this would improve accuracy by providing more data (i.e., signals from twice as many satellite) for processing by the RTKLIB software. Since this exper</w:t>
      </w:r>
      <w:r w:rsidRPr="00106626">
        <w:rPr>
          <w:lang w:val="en-GB"/>
        </w:rPr>
        <w:t>i</w:t>
      </w:r>
      <w:r w:rsidRPr="00106626">
        <w:rPr>
          <w:lang w:val="en-GB"/>
        </w:rPr>
        <w:lastRenderedPageBreak/>
        <w:t>ment was conducted, Emlid Reach have produced an upgrade to the receiver for a similar cost (e.g., using a F9 Ublox dual frequency GNSS receiver). It also supplies a helix a</w:t>
      </w:r>
      <w:r w:rsidRPr="00106626">
        <w:rPr>
          <w:lang w:val="en-GB"/>
        </w:rPr>
        <w:t>n</w:t>
      </w:r>
      <w:r w:rsidRPr="00106626">
        <w:rPr>
          <w:lang w:val="en-GB"/>
        </w:rPr>
        <w:t xml:space="preserve">tenna, an improvement on the patch antenna; its larger design would reduce the problem with spilling waves, and be less susceptible to reflections (which increase the </w:t>
      </w:r>
      <w:r w:rsidR="00F101D7">
        <w:rPr>
          <w:lang w:val="en-GB"/>
        </w:rPr>
        <w:t>s</w:t>
      </w:r>
      <w:r w:rsidRPr="00106626">
        <w:rPr>
          <w:lang w:val="en-GB"/>
        </w:rPr>
        <w:t xml:space="preserve">ignal to </w:t>
      </w:r>
      <w:r w:rsidR="00F101D7">
        <w:rPr>
          <w:lang w:val="en-GB"/>
        </w:rPr>
        <w:t>n</w:t>
      </w:r>
      <w:r w:rsidRPr="00106626">
        <w:rPr>
          <w:lang w:val="en-GB"/>
        </w:rPr>
        <w:t xml:space="preserve">oise ratio). Use of a duplicate set-up for both rover and base station, both recording at </w:t>
      </w:r>
      <w:r w:rsidR="007A5E5E" w:rsidRPr="00106626">
        <w:rPr>
          <w:lang w:val="en-GB"/>
        </w:rPr>
        <w:t>5 H</w:t>
      </w:r>
      <w:r w:rsidRPr="00106626">
        <w:rPr>
          <w:lang w:val="en-GB"/>
        </w:rPr>
        <w:t xml:space="preserve">z (in this experiment, the base station was recording at </w:t>
      </w:r>
      <w:r w:rsidR="007A5E5E" w:rsidRPr="00106626">
        <w:rPr>
          <w:lang w:val="en-GB"/>
        </w:rPr>
        <w:t>1 H</w:t>
      </w:r>
      <w:r w:rsidRPr="00106626">
        <w:rPr>
          <w:lang w:val="en-GB"/>
        </w:rPr>
        <w:t xml:space="preserve">z) would eliminate problems associated with unknown antenna bias (with the patch antenna) </w:t>
      </w:r>
      <w:r w:rsidRPr="00106626">
        <w:rPr>
          <w:i/>
          <w:lang w:val="en-GB"/>
        </w:rPr>
        <w:fldChar w:fldCharType="begin"/>
      </w:r>
      <w:r w:rsidRPr="00106626">
        <w:rPr>
          <w:lang w:val="en-GB"/>
        </w:rPr>
        <w:instrText xml:space="preserve"> ADDIN EN.CITE &lt;EndNote&gt;&lt;Cite&gt;&lt;Author&gt;Knight&lt;/Author&gt;&lt;Year&gt;2020&lt;/Year&gt;&lt;RecNum&gt;9&lt;/RecNum&gt;&lt;DisplayText&gt;&lt;style size="10"&gt;[8]&lt;/style&gt;&lt;/DisplayText&gt;&lt;record&gt;&lt;rec-number&gt;9&lt;/rec-number&gt;&lt;foreign-keys&gt;&lt;key app="EN" db-id="sd9w9tfd2arwx9e9sf8pdtz6fttd0rp5r5p5" timestamp="1604608468"&gt;9&lt;/key&gt;&lt;/foreign-keys&gt;&lt;ref-type name="Journal Article"&gt;17&lt;/ref-type&gt;&lt;contributors&gt;&lt;authors&gt;&lt;author&gt;Knight, Philip J&lt;/author&gt;&lt;author&gt;Bird, Cai O&lt;/author&gt;&lt;author&gt;Sinclair, Alex&lt;/author&gt;&lt;author&gt;Plater, Andrew J&lt;/author&gt;&lt;/authors&gt;&lt;/contributors&gt;&lt;titles&gt;&lt;title&gt;A low-cost GNSS buoy platform for measuring coastal sea levels&lt;/title&gt;&lt;secondary-title&gt;Ocean Engineering&lt;/secondary-title&gt;&lt;/titles&gt;&lt;periodical&gt;&lt;full-title&gt;Ocean Engineering&lt;/full-title&gt;&lt;/periodical&gt;&lt;pages&gt;107198&lt;/pages&gt;&lt;volume&gt;203&lt;/volume&gt;&lt;dates&gt;&lt;year&gt;2020&lt;/year&gt;&lt;/dates&gt;&lt;isbn&gt;0029-8018&lt;/isbn&gt;&lt;urls&gt;&lt;/urls&gt;&lt;electronic-resource-num&gt;10.1016/j.oceaneng.2020.107198&lt;/electronic-resource-num&gt;&lt;/record&gt;&lt;/Cite&gt;&lt;/EndNote&gt;</w:instrText>
      </w:r>
      <w:r w:rsidRPr="00106626">
        <w:rPr>
          <w:i/>
          <w:lang w:val="en-GB"/>
        </w:rPr>
        <w:fldChar w:fldCharType="separate"/>
      </w:r>
      <w:r w:rsidRPr="00106626">
        <w:rPr>
          <w:lang w:val="en-GB"/>
        </w:rPr>
        <w:t>[8]</w:t>
      </w:r>
      <w:r w:rsidRPr="00106626">
        <w:rPr>
          <w:i/>
          <w:lang w:val="en-GB"/>
        </w:rPr>
        <w:fldChar w:fldCharType="end"/>
      </w:r>
      <w:r w:rsidRPr="00106626">
        <w:rPr>
          <w:lang w:val="en-GB"/>
        </w:rPr>
        <w:t>, and would allow additional options in the RTLKLIB software to be used, which would then likely improve the position solutions.</w:t>
      </w:r>
    </w:p>
    <w:p w14:paraId="475066F1" w14:textId="21E34281" w:rsidR="003B2643" w:rsidRPr="00106626" w:rsidRDefault="00B16414" w:rsidP="00B16414">
      <w:pPr>
        <w:pStyle w:val="MDPI22heading2"/>
        <w:spacing w:before="240"/>
        <w:rPr>
          <w:lang w:val="en-GB"/>
        </w:rPr>
      </w:pPr>
      <w:r w:rsidRPr="00106626">
        <w:rPr>
          <w:lang w:val="en-GB"/>
        </w:rPr>
        <w:t xml:space="preserve">4.3. </w:t>
      </w:r>
      <w:r w:rsidR="003B2643" w:rsidRPr="00106626">
        <w:rPr>
          <w:lang w:val="en-GB"/>
        </w:rPr>
        <w:t xml:space="preserve">Sea </w:t>
      </w:r>
      <w:r w:rsidR="00653E94" w:rsidRPr="00106626">
        <w:rPr>
          <w:lang w:val="en-GB"/>
        </w:rPr>
        <w:t>Levels</w:t>
      </w:r>
    </w:p>
    <w:p w14:paraId="728A0E27" w14:textId="03A41926" w:rsidR="003B2643" w:rsidRPr="00106626" w:rsidRDefault="003B2643" w:rsidP="00B16414">
      <w:pPr>
        <w:pStyle w:val="MDPI31text"/>
        <w:rPr>
          <w:lang w:val="en-GB"/>
        </w:rPr>
      </w:pPr>
      <w:r w:rsidRPr="00106626">
        <w:rPr>
          <w:lang w:val="en-GB"/>
        </w:rPr>
        <w:t xml:space="preserve">Derived tidal heights relative to chart datum for tidal cycle A are </w:t>
      </w:r>
      <w:r w:rsidR="00F101D7">
        <w:rPr>
          <w:lang w:val="en-GB"/>
        </w:rPr>
        <w:t xml:space="preserve">shown </w:t>
      </w:r>
      <w:r w:rsidRPr="00106626">
        <w:rPr>
          <w:lang w:val="en-GB"/>
        </w:rPr>
        <w:t xml:space="preserve">in Figure 10, </w:t>
      </w:r>
      <w:r w:rsidR="00F101D7">
        <w:rPr>
          <w:lang w:val="en-GB"/>
        </w:rPr>
        <w:t xml:space="preserve">whereas </w:t>
      </w:r>
      <w:r w:rsidRPr="00106626">
        <w:rPr>
          <w:lang w:val="en-GB"/>
        </w:rPr>
        <w:t xml:space="preserve">Figure 11 shows the corresponding results for tidal cycle B. Tide gauge data from Liverpool and Heysham </w:t>
      </w:r>
      <w:r w:rsidR="00F101D7">
        <w:rPr>
          <w:lang w:val="en-GB"/>
        </w:rPr>
        <w:t xml:space="preserve">are </w:t>
      </w:r>
      <w:r w:rsidRPr="00106626">
        <w:rPr>
          <w:lang w:val="en-GB"/>
        </w:rPr>
        <w:t>added for comparison with those obtained from the GNSS buoy. A 15</w:t>
      </w:r>
      <w:r w:rsidR="00F101D7">
        <w:rPr>
          <w:lang w:val="en-GB"/>
        </w:rPr>
        <w:t xml:space="preserve"> </w:t>
      </w:r>
      <w:r w:rsidR="00B73459" w:rsidRPr="00106626">
        <w:rPr>
          <w:lang w:val="en-GB"/>
        </w:rPr>
        <w:t>min</w:t>
      </w:r>
      <w:r w:rsidRPr="00106626">
        <w:rPr>
          <w:lang w:val="en-GB"/>
        </w:rPr>
        <w:t xml:space="preserve"> (900</w:t>
      </w:r>
      <w:r w:rsidR="00F101D7">
        <w:rPr>
          <w:lang w:val="en-GB"/>
        </w:rPr>
        <w:t xml:space="preserve"> </w:t>
      </w:r>
      <w:r w:rsidR="00B73459" w:rsidRPr="00106626">
        <w:rPr>
          <w:lang w:val="en-GB"/>
        </w:rPr>
        <w:t>s</w:t>
      </w:r>
      <w:r w:rsidRPr="00106626">
        <w:rPr>
          <w:lang w:val="en-GB"/>
        </w:rPr>
        <w:t xml:space="preserve"> ‘boxcar’) moving average was applied to the buoy data b</w:t>
      </w:r>
      <w:r w:rsidRPr="00106626">
        <w:rPr>
          <w:lang w:val="en-GB"/>
        </w:rPr>
        <w:t>e</w:t>
      </w:r>
      <w:r w:rsidRPr="00106626">
        <w:rPr>
          <w:lang w:val="en-GB"/>
        </w:rPr>
        <w:t>fore comparison with the 15</w:t>
      </w:r>
      <w:r w:rsidR="00F101D7">
        <w:rPr>
          <w:lang w:val="en-GB"/>
        </w:rPr>
        <w:t xml:space="preserve"> </w:t>
      </w:r>
      <w:r w:rsidR="00B73459" w:rsidRPr="00106626">
        <w:rPr>
          <w:lang w:val="en-GB"/>
        </w:rPr>
        <w:t>min</w:t>
      </w:r>
      <w:r w:rsidRPr="00106626">
        <w:rPr>
          <w:lang w:val="en-GB"/>
        </w:rPr>
        <w:t xml:space="preserve"> Liverpool and Heysham tide gauge data. Both Figures</w:t>
      </w:r>
      <w:r w:rsidR="00F101D7">
        <w:rPr>
          <w:lang w:val="en-GB"/>
        </w:rPr>
        <w:t xml:space="preserve"> </w:t>
      </w:r>
      <w:r w:rsidRPr="00106626">
        <w:rPr>
          <w:lang w:val="en-GB"/>
        </w:rPr>
        <w:t>10 and 11 emphasise the periods of good data during the ebb tide (e.g., comparison with GNSS 90</w:t>
      </w:r>
      <w:r w:rsidR="0064303C" w:rsidRPr="00106626">
        <w:rPr>
          <w:lang w:val="en-GB"/>
        </w:rPr>
        <w:t>0 s</w:t>
      </w:r>
      <w:r w:rsidRPr="00106626">
        <w:rPr>
          <w:lang w:val="en-GB"/>
        </w:rPr>
        <w:t xml:space="preserve"> average and Liverpool 15</w:t>
      </w:r>
      <w:r w:rsidR="00F101D7">
        <w:rPr>
          <w:lang w:val="en-GB"/>
        </w:rPr>
        <w:t xml:space="preserve"> </w:t>
      </w:r>
      <w:r w:rsidR="00B73459" w:rsidRPr="00106626">
        <w:rPr>
          <w:lang w:val="en-GB"/>
        </w:rPr>
        <w:t>min</w:t>
      </w:r>
      <w:r w:rsidRPr="00106626">
        <w:rPr>
          <w:lang w:val="en-GB"/>
        </w:rPr>
        <w:t xml:space="preserve"> data; mean difference </w:t>
      </w:r>
      <w:r w:rsidR="00596BB8" w:rsidRPr="00106626">
        <w:rPr>
          <w:lang w:val="en-GB"/>
        </w:rPr>
        <w:t>−0</w:t>
      </w:r>
      <w:r w:rsidRPr="00106626">
        <w:rPr>
          <w:lang w:val="en-GB"/>
        </w:rPr>
        <w:t>.0</w:t>
      </w:r>
      <w:r w:rsidR="007A5E5E" w:rsidRPr="00106626">
        <w:rPr>
          <w:lang w:val="en-GB"/>
        </w:rPr>
        <w:t>2 m</w:t>
      </w:r>
      <w:r w:rsidRPr="00106626">
        <w:rPr>
          <w:lang w:val="en-GB"/>
        </w:rPr>
        <w:t>, standard dev</w:t>
      </w:r>
      <w:r w:rsidRPr="00106626">
        <w:rPr>
          <w:lang w:val="en-GB"/>
        </w:rPr>
        <w:t>i</w:t>
      </w:r>
      <w:r w:rsidRPr="00106626">
        <w:rPr>
          <w:lang w:val="en-GB"/>
        </w:rPr>
        <w:t>ation difference 0.0</w:t>
      </w:r>
      <w:r w:rsidR="007A5E5E" w:rsidRPr="00106626">
        <w:rPr>
          <w:lang w:val="en-GB"/>
        </w:rPr>
        <w:t>3 m</w:t>
      </w:r>
      <w:r w:rsidRPr="00106626">
        <w:rPr>
          <w:lang w:val="en-GB"/>
        </w:rPr>
        <w:t xml:space="preserve"> and RMSE difference 0.0</w:t>
      </w:r>
      <w:r w:rsidR="007A5E5E" w:rsidRPr="00106626">
        <w:rPr>
          <w:lang w:val="en-GB"/>
        </w:rPr>
        <w:t>4 m</w:t>
      </w:r>
      <w:r w:rsidRPr="00106626">
        <w:rPr>
          <w:lang w:val="en-GB"/>
        </w:rPr>
        <w:t xml:space="preserve">) and poorer data during the flood tide. </w:t>
      </w:r>
      <w:r w:rsidR="00F101D7">
        <w:rPr>
          <w:lang w:val="en-GB"/>
        </w:rPr>
        <w:t xml:space="preserve">Although </w:t>
      </w:r>
      <w:r w:rsidRPr="00106626">
        <w:rPr>
          <w:lang w:val="en-GB"/>
        </w:rPr>
        <w:t>the tidal characteristics between Liverpool, Heysham and Rossall are similar, there are small but significant differences in the tidal elevations and times of LW and HW (Table 1)</w:t>
      </w:r>
      <w:r w:rsidR="00F101D7">
        <w:rPr>
          <w:lang w:val="en-GB"/>
        </w:rPr>
        <w:t>;</w:t>
      </w:r>
      <w:r w:rsidRPr="00106626">
        <w:rPr>
          <w:lang w:val="en-GB"/>
        </w:rPr>
        <w:t xml:space="preserve"> thus</w:t>
      </w:r>
      <w:r w:rsidR="00F101D7">
        <w:rPr>
          <w:lang w:val="en-GB"/>
        </w:rPr>
        <w:t>,</w:t>
      </w:r>
      <w:r w:rsidRPr="00106626">
        <w:rPr>
          <w:lang w:val="en-GB"/>
        </w:rPr>
        <w:t xml:space="preserve"> these comparisons are considered indicative of data quality, i.e., good data quality during the ebb periods.</w:t>
      </w:r>
    </w:p>
    <w:p w14:paraId="28FB769E" w14:textId="77777777" w:rsidR="00D236FC" w:rsidRPr="00106626" w:rsidRDefault="00D236FC" w:rsidP="00D236FC">
      <w:pPr>
        <w:pStyle w:val="MDPI52figure"/>
        <w:ind w:left="2608"/>
        <w:jc w:val="left"/>
        <w:rPr>
          <w:lang w:val="en-GB"/>
        </w:rPr>
      </w:pPr>
      <w:r w:rsidRPr="00106626">
        <w:rPr>
          <w:noProof/>
          <w:snapToGrid/>
          <w:lang w:val="en-GB" w:eastAsia="en-GB" w:bidi="ar-SA"/>
        </w:rPr>
        <w:drawing>
          <wp:inline distT="0" distB="0" distL="0" distR="0" wp14:anchorId="20FA4B14" wp14:editId="3D1F0CA4">
            <wp:extent cx="4895012" cy="3862317"/>
            <wp:effectExtent l="0" t="0" r="1270" b="5080"/>
            <wp:docPr id="13" name="Picture 13"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 histo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30558" cy="3890364"/>
                    </a:xfrm>
                    <a:prstGeom prst="rect">
                      <a:avLst/>
                    </a:prstGeom>
                  </pic:spPr>
                </pic:pic>
              </a:graphicData>
            </a:graphic>
          </wp:inline>
        </w:drawing>
      </w:r>
    </w:p>
    <w:p w14:paraId="5202532E" w14:textId="5575894D" w:rsidR="00D236FC" w:rsidRPr="00106626" w:rsidRDefault="00D236FC" w:rsidP="00D236FC">
      <w:pPr>
        <w:pStyle w:val="MDPI51figurecaption"/>
        <w:ind w:left="425" w:right="425"/>
        <w:jc w:val="both"/>
        <w:rPr>
          <w:rFonts w:eastAsiaTheme="minorHAnsi"/>
          <w:lang w:val="en-GB"/>
        </w:rPr>
      </w:pPr>
      <w:r w:rsidRPr="00106626">
        <w:rPr>
          <w:b/>
          <w:lang w:val="en-GB"/>
        </w:rPr>
        <w:t xml:space="preserve">Figure 10. </w:t>
      </w:r>
      <w:r w:rsidRPr="00106626">
        <w:rPr>
          <w:rFonts w:eastAsiaTheme="minorHAnsi"/>
          <w:lang w:val="en-GB"/>
        </w:rPr>
        <w:t xml:space="preserve">Comparison of the GNSS buoy derived sea levels </w:t>
      </w:r>
      <w:r w:rsidRPr="00AB2294">
        <w:rPr>
          <w:rFonts w:eastAsiaTheme="minorHAnsi"/>
          <w:lang w:val="en-GB"/>
        </w:rPr>
        <w:t>for tidal cycle A and</w:t>
      </w:r>
      <w:r w:rsidRPr="00106626">
        <w:rPr>
          <w:rFonts w:eastAsiaTheme="minorHAnsi"/>
          <w:lang w:val="en-GB"/>
        </w:rPr>
        <w:t xml:space="preserve"> established tide gauges at Liverpool and Heysham.</w:t>
      </w:r>
      <w:r w:rsidRPr="00106626">
        <w:rPr>
          <w:rFonts w:eastAsiaTheme="minorHAnsi" w:cstheme="minorBidi"/>
          <w:lang w:val="en-GB"/>
        </w:rPr>
        <w:t xml:space="preserve"> </w:t>
      </w:r>
      <w:r w:rsidRPr="00106626">
        <w:rPr>
          <w:rFonts w:eastAsiaTheme="minorHAnsi"/>
          <w:lang w:val="en-GB"/>
        </w:rPr>
        <w:t>Note: after high water the 900</w:t>
      </w:r>
      <w:r w:rsidR="00F101D7">
        <w:rPr>
          <w:rFonts w:eastAsiaTheme="minorHAnsi"/>
          <w:lang w:val="en-GB"/>
        </w:rPr>
        <w:t xml:space="preserve"> </w:t>
      </w:r>
      <w:r w:rsidRPr="00106626">
        <w:rPr>
          <w:rFonts w:eastAsiaTheme="minorHAnsi"/>
          <w:lang w:val="en-GB"/>
        </w:rPr>
        <w:t>s boxcar moving average can be seen to match the 15</w:t>
      </w:r>
      <w:r w:rsidR="00F101D7">
        <w:rPr>
          <w:rFonts w:eastAsiaTheme="minorHAnsi"/>
          <w:lang w:val="en-GB"/>
        </w:rPr>
        <w:t xml:space="preserve"> </w:t>
      </w:r>
      <w:r w:rsidRPr="00106626">
        <w:rPr>
          <w:rFonts w:eastAsiaTheme="minorHAnsi"/>
          <w:lang w:val="en-GB"/>
        </w:rPr>
        <w:t>min Liverpool tidal data.</w:t>
      </w:r>
    </w:p>
    <w:p w14:paraId="3E3DF180" w14:textId="77777777" w:rsidR="00D236FC" w:rsidRPr="00106626" w:rsidRDefault="00D236FC" w:rsidP="00D236FC">
      <w:pPr>
        <w:pStyle w:val="MDPI52figure"/>
        <w:ind w:left="2608"/>
        <w:jc w:val="left"/>
        <w:rPr>
          <w:rFonts w:eastAsiaTheme="minorHAnsi"/>
          <w:lang w:val="en-GB"/>
        </w:rPr>
      </w:pPr>
      <w:r w:rsidRPr="00106626">
        <w:rPr>
          <w:noProof/>
          <w:lang w:val="en-GB" w:eastAsia="en-GB" w:bidi="ar-SA"/>
        </w:rPr>
        <w:lastRenderedPageBreak/>
        <w:drawing>
          <wp:inline distT="0" distB="0" distL="0" distR="0" wp14:anchorId="6B34C944" wp14:editId="631A1FCD">
            <wp:extent cx="4692942" cy="3823945"/>
            <wp:effectExtent l="0" t="0" r="0" b="5715"/>
            <wp:docPr id="14" name="Picture 14"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 histo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08080" cy="3836280"/>
                    </a:xfrm>
                    <a:prstGeom prst="rect">
                      <a:avLst/>
                    </a:prstGeom>
                  </pic:spPr>
                </pic:pic>
              </a:graphicData>
            </a:graphic>
          </wp:inline>
        </w:drawing>
      </w:r>
      <w:bookmarkStart w:id="19" w:name="_Hlk82349697"/>
    </w:p>
    <w:p w14:paraId="69669F4D" w14:textId="2977D61B" w:rsidR="00D236FC" w:rsidRPr="00106626" w:rsidRDefault="00D236FC" w:rsidP="00D236FC">
      <w:pPr>
        <w:pStyle w:val="MDPI51figurecaption"/>
        <w:ind w:left="425" w:right="425"/>
        <w:jc w:val="both"/>
        <w:rPr>
          <w:rFonts w:eastAsiaTheme="minorHAnsi"/>
          <w:b/>
          <w:lang w:val="en-GB"/>
        </w:rPr>
      </w:pPr>
      <w:r w:rsidRPr="00106626">
        <w:rPr>
          <w:rFonts w:eastAsiaTheme="minorHAnsi"/>
          <w:b/>
          <w:lang w:val="en-GB"/>
        </w:rPr>
        <w:t xml:space="preserve">Figure 11. </w:t>
      </w:r>
      <w:r w:rsidRPr="00106626">
        <w:rPr>
          <w:rFonts w:eastAsiaTheme="minorHAnsi"/>
          <w:lang w:val="en-GB"/>
        </w:rPr>
        <w:t xml:space="preserve">Comparison of the GNSS buoy derived sea levels </w:t>
      </w:r>
      <w:r w:rsidRPr="00AB2294">
        <w:rPr>
          <w:rFonts w:eastAsiaTheme="minorHAnsi"/>
          <w:lang w:val="en-GB"/>
        </w:rPr>
        <w:t>for tidal cycle B and</w:t>
      </w:r>
      <w:r w:rsidRPr="00106626">
        <w:rPr>
          <w:rFonts w:eastAsiaTheme="minorHAnsi"/>
          <w:lang w:val="en-GB"/>
        </w:rPr>
        <w:t xml:space="preserve"> established tide gauges at Liverpool and Heysham. Note: after high water the 900</w:t>
      </w:r>
      <w:r w:rsidR="00F101D7">
        <w:rPr>
          <w:rFonts w:eastAsiaTheme="minorHAnsi"/>
          <w:lang w:val="en-GB"/>
        </w:rPr>
        <w:t xml:space="preserve"> </w:t>
      </w:r>
      <w:r w:rsidRPr="00106626">
        <w:rPr>
          <w:rFonts w:eastAsiaTheme="minorHAnsi"/>
          <w:lang w:val="en-GB"/>
        </w:rPr>
        <w:t>s boxcar moving average can be seen to match the 15</w:t>
      </w:r>
      <w:r w:rsidR="00F101D7">
        <w:rPr>
          <w:rFonts w:eastAsiaTheme="minorHAnsi"/>
          <w:lang w:val="en-GB"/>
        </w:rPr>
        <w:t xml:space="preserve"> </w:t>
      </w:r>
      <w:r w:rsidRPr="00106626">
        <w:rPr>
          <w:rFonts w:eastAsiaTheme="minorHAnsi"/>
          <w:lang w:val="en-GB"/>
        </w:rPr>
        <w:t>min Liverpool tidal data.</w:t>
      </w:r>
    </w:p>
    <w:bookmarkEnd w:id="19"/>
    <w:p w14:paraId="354DEFDF" w14:textId="21062F63" w:rsidR="003B2643" w:rsidRPr="00106626" w:rsidRDefault="003B2643" w:rsidP="00D236FC">
      <w:pPr>
        <w:pStyle w:val="MDPI31text"/>
        <w:rPr>
          <w:lang w:val="en-GB"/>
        </w:rPr>
      </w:pPr>
      <w:r w:rsidRPr="00106626">
        <w:rPr>
          <w:lang w:val="en-GB"/>
        </w:rPr>
        <w:t>During the ebb tide the 15</w:t>
      </w:r>
      <w:r w:rsidR="00F101D7">
        <w:rPr>
          <w:lang w:val="en-GB"/>
        </w:rPr>
        <w:t xml:space="preserve"> </w:t>
      </w:r>
      <w:r w:rsidR="00B73459" w:rsidRPr="00106626">
        <w:rPr>
          <w:lang w:val="en-GB"/>
        </w:rPr>
        <w:t>min</w:t>
      </w:r>
      <w:r w:rsidRPr="00106626">
        <w:rPr>
          <w:lang w:val="en-GB"/>
        </w:rPr>
        <w:t xml:space="preserve"> GNSS buoy data matches the Liverpool tide gauge data more closely in both timing and elevation, even though the Heysham tide gauge is nearer. The larger differences between the GNSS buoy and the Heysham tide gauge data are probably due to Heysham being at the edge of Morecambe Bay (with the accomp</w:t>
      </w:r>
      <w:r w:rsidRPr="00106626">
        <w:rPr>
          <w:lang w:val="en-GB"/>
        </w:rPr>
        <w:t>a</w:t>
      </w:r>
      <w:r w:rsidRPr="00106626">
        <w:rPr>
          <w:lang w:val="en-GB"/>
        </w:rPr>
        <w:t>nying dynamics of a larger intertidal zone, and the water being initially directed along the Lune Deep channel at low water). However, on the ebb tide there are some good data between 18:30</w:t>
      </w:r>
      <w:r w:rsidR="00F101D7">
        <w:rPr>
          <w:lang w:val="en-GB"/>
        </w:rPr>
        <w:t xml:space="preserve"> and </w:t>
      </w:r>
      <w:r w:rsidRPr="00106626">
        <w:rPr>
          <w:lang w:val="en-GB"/>
        </w:rPr>
        <w:t>19:30 on 28 August (Figure 10)</w:t>
      </w:r>
      <w:r w:rsidR="00F101D7">
        <w:rPr>
          <w:lang w:val="en-GB"/>
        </w:rPr>
        <w:t>,</w:t>
      </w:r>
      <w:r w:rsidRPr="00106626">
        <w:rPr>
          <w:lang w:val="en-GB"/>
        </w:rPr>
        <w:t xml:space="preserve"> which indicate timing differences compared with the Liverpool tidal data. Again, both Figures 10 and 11 show there are poorer data as the water at the buoy approaches ‘drying out’.</w:t>
      </w:r>
      <w:bookmarkStart w:id="20" w:name="_Hlk82349575"/>
    </w:p>
    <w:p w14:paraId="09F801AD" w14:textId="0554BEC3" w:rsidR="003B2643" w:rsidRPr="00106626" w:rsidRDefault="003B2643" w:rsidP="00B16414">
      <w:pPr>
        <w:pStyle w:val="MDPI31text"/>
        <w:rPr>
          <w:lang w:val="en-GB"/>
        </w:rPr>
      </w:pPr>
      <w:r w:rsidRPr="00106626">
        <w:rPr>
          <w:lang w:val="en-GB"/>
        </w:rPr>
        <w:t>This low cost GNSS buoy is suitable for providing sea-level (and wave) data to support X-band radar monitoring systems of coastal morphology changes over time</w:t>
      </w:r>
      <w:r w:rsidR="00F101D7">
        <w:rPr>
          <w:lang w:val="en-GB"/>
        </w:rPr>
        <w:t xml:space="preserve"> </w:t>
      </w:r>
      <w:r w:rsidRPr="00106626">
        <w:rPr>
          <w:lang w:val="en-GB"/>
        </w:rPr>
        <w:t xml:space="preserve">scales from days to years. During the tidal cycle, the radar system records the advancing and retreating shorelines (using the water-line method </w:t>
      </w:r>
      <w:r w:rsidRPr="00106626">
        <w:rPr>
          <w:lang w:val="en-GB"/>
        </w:rPr>
        <w:fldChar w:fldCharType="begin"/>
      </w:r>
      <w:r w:rsidRPr="00106626">
        <w:rPr>
          <w:lang w:val="en-GB"/>
        </w:rPr>
        <w:instrText xml:space="preserve"> ADDIN EN.CITE &lt;EndNote&gt;&lt;Cite&gt;&lt;Author&gt;Bird&lt;/Author&gt;&lt;Year&gt;2017&lt;/Year&gt;&lt;RecNum&gt;37&lt;/RecNum&gt;&lt;DisplayText&gt;&lt;style size="10"&gt;[1]&lt;/style&gt;&lt;/DisplayText&gt;&lt;record&gt;&lt;rec-number&gt;37&lt;/rec-number&gt;&lt;foreign-keys&gt;&lt;key app="EN" db-id="sd9w9tfd2arwx9e9sf8pdtz6fttd0rp5r5p5" timestamp="1628970102"&gt;37&lt;/key&gt;&lt;/foreign-keys&gt;&lt;ref-type name="Journal Article"&gt;17&lt;/ref-type&gt;&lt;contributors&gt;&lt;authors&gt;&lt;author&gt;Bird, Cai O&lt;/author&gt;&lt;author&gt;Bell, Paul S&lt;/author&gt;&lt;author&gt;Plater, Andrew J&lt;/author&gt;&lt;/authors&gt;&lt;/contributors&gt;&lt;titles&gt;&lt;title&gt;Application of marine radar to monitoring seasonal and event-based changes in intertidal morphology&lt;/title&gt;&lt;secondary-title&gt;Geomorphology&lt;/secondary-title&gt;&lt;/titles&gt;&lt;periodical&gt;&lt;full-title&gt;Geomorphology&lt;/full-title&gt;&lt;/periodical&gt;&lt;pages&gt;1-15&lt;/pages&gt;&lt;volume&gt;285&lt;/volume&gt;&lt;dates&gt;&lt;year&gt;2017&lt;/year&gt;&lt;/dates&gt;&lt;isbn&gt;0169-555X&lt;/isbn&gt;&lt;urls&gt;&lt;/urls&gt;&lt;/record&gt;&lt;/Cite&gt;&lt;/EndNote&gt;</w:instrText>
      </w:r>
      <w:r w:rsidRPr="00106626">
        <w:rPr>
          <w:lang w:val="en-GB"/>
        </w:rPr>
        <w:fldChar w:fldCharType="separate"/>
      </w:r>
      <w:r w:rsidRPr="00106626">
        <w:rPr>
          <w:noProof/>
          <w:lang w:val="en-GB"/>
        </w:rPr>
        <w:t>[1]</w:t>
      </w:r>
      <w:r w:rsidRPr="00106626">
        <w:rPr>
          <w:lang w:val="en-GB"/>
        </w:rPr>
        <w:fldChar w:fldCharType="end"/>
      </w:r>
      <w:r w:rsidRPr="00106626">
        <w:rPr>
          <w:lang w:val="en-GB"/>
        </w:rPr>
        <w:t>) which are then assigned alt</w:t>
      </w:r>
      <w:r w:rsidRPr="00106626">
        <w:rPr>
          <w:lang w:val="en-GB"/>
        </w:rPr>
        <w:t>i</w:t>
      </w:r>
      <w:r w:rsidRPr="00106626">
        <w:rPr>
          <w:lang w:val="en-GB"/>
        </w:rPr>
        <w:t xml:space="preserve">tudes based on corresponding water-levels from a local tide gauge. Previous research </w:t>
      </w:r>
      <w:r w:rsidRPr="00106626">
        <w:rPr>
          <w:lang w:val="en-GB"/>
        </w:rPr>
        <w:fldChar w:fldCharType="begin"/>
      </w:r>
      <w:r w:rsidRPr="00106626">
        <w:rPr>
          <w:lang w:val="en-GB"/>
        </w:rPr>
        <w:instrText xml:space="preserve"> ADDIN EN.CITE &lt;EndNote&gt;&lt;Cite&gt;&lt;Author&gt;Bird&lt;/Author&gt;&lt;Year&gt;2017&lt;/Year&gt;&lt;RecNum&gt;37&lt;/RecNum&gt;&lt;DisplayText&gt;&lt;style size="10"&gt;[1]&lt;/style&gt;&lt;/DisplayText&gt;&lt;record&gt;&lt;rec-number&gt;37&lt;/rec-number&gt;&lt;foreign-keys&gt;&lt;key app="EN" db-id="sd9w9tfd2arwx9e9sf8pdtz6fttd0rp5r5p5" timestamp="1628970102"&gt;37&lt;/key&gt;&lt;/foreign-keys&gt;&lt;ref-type name="Journal Article"&gt;17&lt;/ref-type&gt;&lt;contributors&gt;&lt;authors&gt;&lt;author&gt;Bird, Cai O&lt;/author&gt;&lt;author&gt;Bell, Paul S&lt;/author&gt;&lt;author&gt;Plater, Andrew J&lt;/author&gt;&lt;/authors&gt;&lt;/contributors&gt;&lt;titles&gt;&lt;title&gt;Application of marine radar to monitoring seasonal and event-based changes in intertidal morphology&lt;/title&gt;&lt;secondary-title&gt;Geomorphology&lt;/secondary-title&gt;&lt;/titles&gt;&lt;periodical&gt;&lt;full-title&gt;Geomorphology&lt;/full-title&gt;&lt;/periodical&gt;&lt;pages&gt;1-15&lt;/pages&gt;&lt;volume&gt;285&lt;/volume&gt;&lt;dates&gt;&lt;year&gt;2017&lt;/year&gt;&lt;/dates&gt;&lt;isbn&gt;0169-555X&lt;/isbn&gt;&lt;urls&gt;&lt;/urls&gt;&lt;/record&gt;&lt;/Cite&gt;&lt;/EndNote&gt;</w:instrText>
      </w:r>
      <w:r w:rsidRPr="00106626">
        <w:rPr>
          <w:lang w:val="en-GB"/>
        </w:rPr>
        <w:fldChar w:fldCharType="separate"/>
      </w:r>
      <w:r w:rsidRPr="00106626">
        <w:rPr>
          <w:noProof/>
          <w:lang w:val="en-GB"/>
        </w:rPr>
        <w:t>[1]</w:t>
      </w:r>
      <w:r w:rsidRPr="00106626">
        <w:rPr>
          <w:lang w:val="en-GB"/>
        </w:rPr>
        <w:fldChar w:fldCharType="end"/>
      </w:r>
      <w:r w:rsidRPr="00106626">
        <w:rPr>
          <w:lang w:val="en-GB"/>
        </w:rPr>
        <w:t xml:space="preserve"> indicates that the accuracy of the beach-derived morphology maps is greatly improved if tidal measurements are available within the radar footprint.</w:t>
      </w:r>
    </w:p>
    <w:bookmarkEnd w:id="20"/>
    <w:p w14:paraId="43BF7874" w14:textId="586331C9" w:rsidR="003B2643" w:rsidRPr="00106626" w:rsidRDefault="00B16414" w:rsidP="00B16414">
      <w:pPr>
        <w:pStyle w:val="MDPI22heading2"/>
        <w:spacing w:before="240"/>
        <w:rPr>
          <w:lang w:val="en-GB"/>
        </w:rPr>
      </w:pPr>
      <w:r w:rsidRPr="00106626">
        <w:rPr>
          <w:lang w:val="en-GB"/>
        </w:rPr>
        <w:t xml:space="preserve">4.4. </w:t>
      </w:r>
      <w:r w:rsidR="003B2643" w:rsidRPr="00106626">
        <w:rPr>
          <w:lang w:val="en-GB"/>
        </w:rPr>
        <w:t xml:space="preserve">Wave </w:t>
      </w:r>
      <w:r w:rsidR="00653E94" w:rsidRPr="00106626">
        <w:rPr>
          <w:lang w:val="en-GB"/>
        </w:rPr>
        <w:t>Characteristics</w:t>
      </w:r>
    </w:p>
    <w:p w14:paraId="237CC598" w14:textId="367735E8" w:rsidR="003B2643" w:rsidRPr="00106626" w:rsidRDefault="003B2643" w:rsidP="00B16414">
      <w:pPr>
        <w:pStyle w:val="MDPI31text"/>
        <w:rPr>
          <w:lang w:val="en-GB"/>
        </w:rPr>
      </w:pPr>
      <w:r w:rsidRPr="00106626">
        <w:rPr>
          <w:lang w:val="en-GB"/>
        </w:rPr>
        <w:t xml:space="preserve">The power spectral density of GNSS buoy tidal elevations (Figure 12) show that for tidal cycle A, the resultant peak frequency corresponds to a wave period of 5.3 </w:t>
      </w:r>
      <w:r w:rsidR="00B73459" w:rsidRPr="00106626">
        <w:rPr>
          <w:lang w:val="en-GB"/>
        </w:rPr>
        <w:t>s</w:t>
      </w:r>
      <w:r w:rsidRPr="00106626">
        <w:rPr>
          <w:lang w:val="en-GB"/>
        </w:rPr>
        <w:t xml:space="preserve">, whereas tidal cycle B has a peak frequency corresponding to a wave period of 5.1 </w:t>
      </w:r>
      <w:r w:rsidR="00B73459" w:rsidRPr="00106626">
        <w:rPr>
          <w:lang w:val="en-GB"/>
        </w:rPr>
        <w:t>s</w:t>
      </w:r>
      <w:r w:rsidRPr="00106626">
        <w:rPr>
          <w:lang w:val="en-GB"/>
        </w:rPr>
        <w:t>.</w:t>
      </w:r>
    </w:p>
    <w:p w14:paraId="04B52EB1" w14:textId="77777777" w:rsidR="003B2643" w:rsidRPr="00106626" w:rsidRDefault="003B2643" w:rsidP="00B16414">
      <w:pPr>
        <w:pStyle w:val="MDPI52figure"/>
        <w:rPr>
          <w:lang w:val="en-GB"/>
        </w:rPr>
      </w:pPr>
      <w:bookmarkStart w:id="21" w:name="_Hlk82349820"/>
      <w:r w:rsidRPr="00106626">
        <w:rPr>
          <w:noProof/>
          <w:snapToGrid/>
          <w:lang w:val="en-GB" w:eastAsia="en-GB" w:bidi="ar-SA"/>
        </w:rPr>
        <w:lastRenderedPageBreak/>
        <w:drawing>
          <wp:inline distT="0" distB="0" distL="0" distR="0" wp14:anchorId="3FDE332D" wp14:editId="4A5E2328">
            <wp:extent cx="6488987" cy="4332605"/>
            <wp:effectExtent l="0" t="0" r="7620" b="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88987" cy="4332605"/>
                    </a:xfrm>
                    <a:prstGeom prst="rect">
                      <a:avLst/>
                    </a:prstGeom>
                  </pic:spPr>
                </pic:pic>
              </a:graphicData>
            </a:graphic>
          </wp:inline>
        </w:drawing>
      </w:r>
    </w:p>
    <w:p w14:paraId="35CCE0F1" w14:textId="11FE7DF0" w:rsidR="003B2643" w:rsidRPr="00106626" w:rsidRDefault="00B16414" w:rsidP="00B16414">
      <w:pPr>
        <w:pStyle w:val="MDPI51figurecaption"/>
        <w:ind w:left="425" w:right="425"/>
        <w:jc w:val="center"/>
        <w:rPr>
          <w:rFonts w:eastAsiaTheme="minorHAnsi"/>
          <w:lang w:val="en-GB"/>
        </w:rPr>
      </w:pPr>
      <w:r w:rsidRPr="00106626">
        <w:rPr>
          <w:rFonts w:eastAsiaTheme="minorHAnsi"/>
          <w:b/>
          <w:lang w:val="en-GB"/>
        </w:rPr>
        <w:t xml:space="preserve">Figure 12. </w:t>
      </w:r>
      <w:r w:rsidR="003B2643" w:rsidRPr="00106626">
        <w:rPr>
          <w:rFonts w:eastAsiaTheme="minorHAnsi"/>
          <w:lang w:val="en-GB"/>
        </w:rPr>
        <w:t>Spectral density for tidal cycle A (cyan) and tidal cycle B (red).</w:t>
      </w:r>
    </w:p>
    <w:bookmarkEnd w:id="21"/>
    <w:p w14:paraId="0FDE5093" w14:textId="1F26F17E" w:rsidR="003B2643" w:rsidRPr="00106626" w:rsidRDefault="003B2643" w:rsidP="00B16414">
      <w:pPr>
        <w:pStyle w:val="MDPI31text"/>
        <w:rPr>
          <w:lang w:val="en-GB"/>
        </w:rPr>
      </w:pPr>
      <w:r w:rsidRPr="00106626">
        <w:rPr>
          <w:lang w:val="en-GB"/>
        </w:rPr>
        <w:t>Figure 13 a</w:t>
      </w:r>
      <w:r w:rsidR="007A6AF1" w:rsidRPr="00106626">
        <w:rPr>
          <w:lang w:val="en-GB"/>
        </w:rPr>
        <w:t>–</w:t>
      </w:r>
      <w:r w:rsidRPr="00106626">
        <w:rPr>
          <w:lang w:val="en-GB"/>
        </w:rPr>
        <w:t xml:space="preserve">d shows the power spectral density results from the Cleveleys wave buoy over two-hour periods before and after high water for comparison with the GNSS buoy (see Table 4). The significant wave heights were estimated by calculating four times the square root of the area from under the peak of spectral density </w:t>
      </w:r>
      <w:r w:rsidRPr="00106626">
        <w:rPr>
          <w:i/>
          <w:lang w:val="en-GB"/>
        </w:rPr>
        <w:fldChar w:fldCharType="begin"/>
      </w:r>
      <w:r w:rsidRPr="00106626">
        <w:rPr>
          <w:lang w:val="en-GB"/>
        </w:rPr>
        <w:instrText xml:space="preserve"> ADDIN EN.CITE &lt;EndNote&gt;&lt;Cite&gt;&lt;Author&gt;Fiorentino&lt;/Author&gt;&lt;Year&gt;2019&lt;/Year&gt;&lt;RecNum&gt;39&lt;/RecNum&gt;&lt;DisplayText&gt;&lt;style size="10"&gt;[11]&lt;/style&gt;&lt;/DisplayText&gt;&lt;record&gt;&lt;rec-number&gt;39&lt;/rec-number&gt;&lt;foreign-keys&gt;&lt;key app="EN" db-id="sd9w9tfd2arwx9e9sf8pdtz6fttd0rp5r5p5" timestamp="1628970257"&gt;39&lt;/key&gt;&lt;/foreign-keys&gt;&lt;ref-type name="Journal Article"&gt;17&lt;/ref-type&gt;&lt;contributors&gt;&lt;authors&gt;&lt;author&gt;Fiorentino, Laura A&lt;/author&gt;&lt;author&gt;Heitsenrether, Robert&lt;/author&gt;&lt;author&gt;Krug, Warren&lt;/author&gt;&lt;/authors&gt;&lt;/contributors&gt;&lt;titles&gt;&lt;title&gt;Wave Measurements From Radar Tide Gauges&lt;/title&gt;&lt;secondary-title&gt;Frontiers in Marine Science&lt;/secondary-title&gt;&lt;/titles&gt;&lt;periodical&gt;&lt;full-title&gt;Frontiers in Marine Science&lt;/full-title&gt;&lt;/periodical&gt;&lt;pages&gt;586&lt;/pages&gt;&lt;volume&gt;6&lt;/volume&gt;&lt;dates&gt;&lt;year&gt;2019&lt;/year&gt;&lt;/dates&gt;&lt;isbn&gt;2296-7745&lt;/isbn&gt;&lt;urls&gt;&lt;/urls&gt;&lt;/record&gt;&lt;/Cite&gt;&lt;/EndNote&gt;</w:instrText>
      </w:r>
      <w:r w:rsidRPr="00106626">
        <w:rPr>
          <w:i/>
          <w:lang w:val="en-GB"/>
        </w:rPr>
        <w:fldChar w:fldCharType="separate"/>
      </w:r>
      <w:r w:rsidRPr="00106626">
        <w:rPr>
          <w:lang w:val="en-GB"/>
        </w:rPr>
        <w:t>[11]</w:t>
      </w:r>
      <w:r w:rsidRPr="00106626">
        <w:rPr>
          <w:i/>
          <w:lang w:val="en-GB"/>
        </w:rPr>
        <w:fldChar w:fldCharType="end"/>
      </w:r>
      <w:r w:rsidRPr="00106626">
        <w:rPr>
          <w:lang w:val="en-GB"/>
        </w:rPr>
        <w:t xml:space="preserve"> between the fr</w:t>
      </w:r>
      <w:r w:rsidRPr="00106626">
        <w:rPr>
          <w:lang w:val="en-GB"/>
        </w:rPr>
        <w:t>e</w:t>
      </w:r>
      <w:r w:rsidRPr="00106626">
        <w:rPr>
          <w:lang w:val="en-GB"/>
        </w:rPr>
        <w:t>quency bands 0.5 and 0.125 Hz.</w:t>
      </w:r>
    </w:p>
    <w:p w14:paraId="5EC5D4C4" w14:textId="6D2AB6AE" w:rsidR="003B2643" w:rsidRPr="00106626" w:rsidRDefault="00874A4C" w:rsidP="00874A4C">
      <w:pPr>
        <w:pStyle w:val="MDPI52figure"/>
        <w:rPr>
          <w:lang w:val="en-GB"/>
        </w:rPr>
      </w:pPr>
      <w:r w:rsidRPr="00106626">
        <w:rPr>
          <w:noProof/>
          <w:lang w:val="en-GB" w:eastAsia="en-GB" w:bidi="ar-SA"/>
        </w:rPr>
        <w:lastRenderedPageBreak/>
        <w:drawing>
          <wp:inline distT="0" distB="0" distL="0" distR="0" wp14:anchorId="270E3F80" wp14:editId="1962B8D6">
            <wp:extent cx="6645910" cy="437134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4371340"/>
                    </a:xfrm>
                    <a:prstGeom prst="rect">
                      <a:avLst/>
                    </a:prstGeom>
                  </pic:spPr>
                </pic:pic>
              </a:graphicData>
            </a:graphic>
          </wp:inline>
        </w:drawing>
      </w:r>
    </w:p>
    <w:p w14:paraId="66805A56" w14:textId="2D6480C4" w:rsidR="003B2643" w:rsidRPr="00106626" w:rsidRDefault="00B16414" w:rsidP="00B16414">
      <w:pPr>
        <w:pStyle w:val="MDPI51figurecaption"/>
        <w:ind w:left="425" w:right="425"/>
        <w:jc w:val="both"/>
        <w:rPr>
          <w:rFonts w:eastAsiaTheme="minorHAnsi"/>
          <w:color w:val="auto"/>
          <w:szCs w:val="18"/>
          <w:lang w:val="en-GB" w:eastAsia="en-US"/>
        </w:rPr>
      </w:pPr>
      <w:r w:rsidRPr="00106626">
        <w:rPr>
          <w:rFonts w:eastAsiaTheme="minorHAnsi"/>
          <w:b/>
          <w:color w:val="auto"/>
          <w:szCs w:val="18"/>
          <w:lang w:val="en-GB" w:eastAsia="en-US"/>
        </w:rPr>
        <w:t xml:space="preserve">Figure 13. </w:t>
      </w:r>
      <w:r w:rsidR="003B2643" w:rsidRPr="00106626">
        <w:rPr>
          <w:lang w:val="en-GB"/>
        </w:rPr>
        <w:t>Spectral density for tidal cycle A</w:t>
      </w:r>
      <w:r w:rsidR="00683A8F" w:rsidRPr="00106626">
        <w:rPr>
          <w:lang w:val="en-GB"/>
        </w:rPr>
        <w:t>–</w:t>
      </w:r>
      <w:r w:rsidR="003B2643" w:rsidRPr="00106626">
        <w:rPr>
          <w:lang w:val="en-GB"/>
        </w:rPr>
        <w:t>(</w:t>
      </w:r>
      <w:r w:rsidR="003B2643" w:rsidRPr="00106626">
        <w:rPr>
          <w:b/>
          <w:lang w:val="en-GB"/>
        </w:rPr>
        <w:t>a</w:t>
      </w:r>
      <w:r w:rsidR="003B2643" w:rsidRPr="00106626">
        <w:rPr>
          <w:lang w:val="en-GB"/>
        </w:rPr>
        <w:t>) 2 hr period before HW, (</w:t>
      </w:r>
      <w:r w:rsidR="003B2643" w:rsidRPr="00106626">
        <w:rPr>
          <w:b/>
          <w:lang w:val="en-GB"/>
        </w:rPr>
        <w:t>b</w:t>
      </w:r>
      <w:r w:rsidR="003B2643" w:rsidRPr="00106626">
        <w:rPr>
          <w:lang w:val="en-GB"/>
        </w:rPr>
        <w:t>) 2 hr period after HW, and tidal cycle B</w:t>
      </w:r>
      <w:r w:rsidR="00683A8F" w:rsidRPr="00106626">
        <w:rPr>
          <w:lang w:val="en-GB"/>
        </w:rPr>
        <w:t>–</w:t>
      </w:r>
      <w:r w:rsidR="003B2643" w:rsidRPr="00106626">
        <w:rPr>
          <w:lang w:val="en-GB"/>
        </w:rPr>
        <w:t>(</w:t>
      </w:r>
      <w:r w:rsidR="003B2643" w:rsidRPr="00106626">
        <w:rPr>
          <w:b/>
          <w:lang w:val="en-GB"/>
        </w:rPr>
        <w:t>c</w:t>
      </w:r>
      <w:r w:rsidR="003B2643" w:rsidRPr="00106626">
        <w:rPr>
          <w:lang w:val="en-GB"/>
        </w:rPr>
        <w:t>) 2 hr period before HW, (</w:t>
      </w:r>
      <w:r w:rsidR="003B2643" w:rsidRPr="00106626">
        <w:rPr>
          <w:b/>
          <w:lang w:val="en-GB"/>
        </w:rPr>
        <w:t>d</w:t>
      </w:r>
      <w:r w:rsidR="003B2643" w:rsidRPr="00106626">
        <w:rPr>
          <w:lang w:val="en-GB"/>
        </w:rPr>
        <w:t>) 2 hr period after HW</w:t>
      </w:r>
      <w:r w:rsidR="003B2643" w:rsidRPr="00106626">
        <w:rPr>
          <w:rFonts w:eastAsiaTheme="minorHAnsi"/>
          <w:color w:val="auto"/>
          <w:szCs w:val="18"/>
          <w:lang w:val="en-GB" w:eastAsia="en-US"/>
        </w:rPr>
        <w:t>.</w:t>
      </w:r>
    </w:p>
    <w:p w14:paraId="65168E19" w14:textId="2EB70EAD" w:rsidR="003B2643" w:rsidRPr="00106626" w:rsidRDefault="00441A6C" w:rsidP="00441A6C">
      <w:pPr>
        <w:pStyle w:val="MDPI41tablecaption"/>
        <w:ind w:left="425" w:right="425"/>
        <w:jc w:val="both"/>
        <w:rPr>
          <w:rFonts w:eastAsiaTheme="minorHAnsi"/>
          <w:lang w:val="en-GB"/>
        </w:rPr>
      </w:pPr>
      <w:r w:rsidRPr="00106626">
        <w:rPr>
          <w:rFonts w:eastAsiaTheme="minorHAnsi"/>
          <w:b/>
          <w:lang w:val="en-GB"/>
        </w:rPr>
        <w:t xml:space="preserve">Table 4. </w:t>
      </w:r>
      <w:r w:rsidR="003B2643" w:rsidRPr="00106626">
        <w:rPr>
          <w:rFonts w:eastAsiaTheme="minorHAnsi"/>
          <w:lang w:val="en-GB"/>
        </w:rPr>
        <w:t xml:space="preserve">Wave parameter comparisons between the GNSS buoy and the Cleveleys wave buoy for two-hour periods either side of </w:t>
      </w:r>
      <w:r w:rsidR="00F101D7">
        <w:rPr>
          <w:rFonts w:eastAsiaTheme="minorHAnsi"/>
          <w:lang w:val="en-GB"/>
        </w:rPr>
        <w:t>h</w:t>
      </w:r>
      <w:r w:rsidR="003B2643" w:rsidRPr="00106626">
        <w:rPr>
          <w:rFonts w:eastAsiaTheme="minorHAnsi"/>
          <w:lang w:val="en-GB"/>
        </w:rPr>
        <w:t xml:space="preserve">igh </w:t>
      </w:r>
      <w:r w:rsidR="00F101D7">
        <w:rPr>
          <w:rFonts w:eastAsiaTheme="minorHAnsi"/>
          <w:lang w:val="en-GB"/>
        </w:rPr>
        <w:t>w</w:t>
      </w:r>
      <w:r w:rsidR="003B2643" w:rsidRPr="00106626">
        <w:rPr>
          <w:rFonts w:eastAsiaTheme="minorHAnsi"/>
          <w:lang w:val="en-GB"/>
        </w:rPr>
        <w:t>ater (HW).</w:t>
      </w:r>
    </w:p>
    <w:tbl>
      <w:tblPr>
        <w:tblStyle w:val="TableGrid"/>
        <w:tblW w:w="10465" w:type="dxa"/>
        <w:jc w:val="center"/>
        <w:tblBorders>
          <w:left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4"/>
        <w:gridCol w:w="2270"/>
        <w:gridCol w:w="1560"/>
        <w:gridCol w:w="1845"/>
        <w:gridCol w:w="1631"/>
        <w:gridCol w:w="1745"/>
      </w:tblGrid>
      <w:tr w:rsidR="003B2643" w:rsidRPr="00106626" w14:paraId="575A6AB6" w14:textId="77777777" w:rsidTr="00C11449">
        <w:trPr>
          <w:jc w:val="center"/>
        </w:trPr>
        <w:tc>
          <w:tcPr>
            <w:tcW w:w="1414" w:type="dxa"/>
            <w:tcBorders>
              <w:top w:val="single" w:sz="8" w:space="0" w:color="auto"/>
              <w:bottom w:val="nil"/>
            </w:tcBorders>
            <w:shd w:val="clear" w:color="auto" w:fill="auto"/>
            <w:vAlign w:val="center"/>
          </w:tcPr>
          <w:p w14:paraId="2D5654C3" w14:textId="77777777" w:rsidR="003B2643" w:rsidRPr="00106626" w:rsidRDefault="003B2643" w:rsidP="00441A6C">
            <w:pPr>
              <w:autoSpaceDE w:val="0"/>
              <w:autoSpaceDN w:val="0"/>
              <w:adjustRightInd w:val="0"/>
              <w:snapToGrid w:val="0"/>
              <w:spacing w:line="240" w:lineRule="auto"/>
              <w:jc w:val="center"/>
              <w:rPr>
                <w:rFonts w:eastAsiaTheme="minorHAnsi"/>
                <w:noProof w:val="0"/>
                <w:color w:val="auto"/>
                <w:szCs w:val="18"/>
                <w:lang w:val="en-GB" w:eastAsia="en-US"/>
              </w:rPr>
            </w:pPr>
          </w:p>
        </w:tc>
        <w:tc>
          <w:tcPr>
            <w:tcW w:w="2270" w:type="dxa"/>
            <w:tcBorders>
              <w:top w:val="single" w:sz="8" w:space="0" w:color="auto"/>
              <w:bottom w:val="nil"/>
            </w:tcBorders>
            <w:shd w:val="clear" w:color="auto" w:fill="auto"/>
            <w:vAlign w:val="center"/>
          </w:tcPr>
          <w:p w14:paraId="63FE8418" w14:textId="77777777" w:rsidR="003B2643" w:rsidRPr="00106626" w:rsidRDefault="003B2643" w:rsidP="00441A6C">
            <w:pPr>
              <w:autoSpaceDE w:val="0"/>
              <w:autoSpaceDN w:val="0"/>
              <w:adjustRightInd w:val="0"/>
              <w:snapToGrid w:val="0"/>
              <w:spacing w:line="240" w:lineRule="auto"/>
              <w:jc w:val="center"/>
              <w:rPr>
                <w:rFonts w:eastAsiaTheme="minorHAnsi"/>
                <w:noProof w:val="0"/>
                <w:color w:val="auto"/>
                <w:szCs w:val="18"/>
                <w:lang w:val="en-GB" w:eastAsia="en-US"/>
              </w:rPr>
            </w:pPr>
          </w:p>
        </w:tc>
        <w:tc>
          <w:tcPr>
            <w:tcW w:w="3405" w:type="dxa"/>
            <w:gridSpan w:val="2"/>
            <w:tcBorders>
              <w:top w:val="single" w:sz="8" w:space="0" w:color="auto"/>
              <w:bottom w:val="nil"/>
            </w:tcBorders>
            <w:shd w:val="clear" w:color="auto" w:fill="auto"/>
            <w:vAlign w:val="center"/>
          </w:tcPr>
          <w:p w14:paraId="361E82F5" w14:textId="537B668C" w:rsidR="003B2643" w:rsidRPr="00106626" w:rsidRDefault="003B2643" w:rsidP="00441A6C">
            <w:pPr>
              <w:autoSpaceDE w:val="0"/>
              <w:autoSpaceDN w:val="0"/>
              <w:adjustRightInd w:val="0"/>
              <w:snapToGrid w:val="0"/>
              <w:spacing w:line="240" w:lineRule="auto"/>
              <w:jc w:val="center"/>
              <w:rPr>
                <w:rFonts w:eastAsiaTheme="minorHAnsi"/>
                <w:b/>
                <w:noProof w:val="0"/>
                <w:color w:val="auto"/>
                <w:lang w:val="en-GB" w:eastAsia="en-US"/>
              </w:rPr>
            </w:pPr>
            <w:r w:rsidRPr="00106626">
              <w:rPr>
                <w:rFonts w:eastAsiaTheme="minorHAnsi"/>
                <w:b/>
                <w:noProof w:val="0"/>
                <w:color w:val="auto"/>
                <w:lang w:val="en-GB" w:eastAsia="en-US"/>
              </w:rPr>
              <w:t xml:space="preserve">Significant </w:t>
            </w:r>
            <w:r w:rsidR="00441A6C" w:rsidRPr="00106626">
              <w:rPr>
                <w:rFonts w:eastAsiaTheme="minorHAnsi"/>
                <w:b/>
                <w:noProof w:val="0"/>
                <w:color w:val="auto"/>
                <w:lang w:val="en-GB" w:eastAsia="en-US"/>
              </w:rPr>
              <w:t>Wave Height</w:t>
            </w:r>
          </w:p>
        </w:tc>
        <w:tc>
          <w:tcPr>
            <w:tcW w:w="3376" w:type="dxa"/>
            <w:gridSpan w:val="2"/>
            <w:tcBorders>
              <w:top w:val="single" w:sz="8" w:space="0" w:color="auto"/>
              <w:bottom w:val="nil"/>
            </w:tcBorders>
            <w:shd w:val="clear" w:color="auto" w:fill="auto"/>
            <w:vAlign w:val="center"/>
          </w:tcPr>
          <w:p w14:paraId="4B92BC9B" w14:textId="6313A65E" w:rsidR="003B2643" w:rsidRPr="00106626" w:rsidRDefault="003B2643" w:rsidP="00441A6C">
            <w:pPr>
              <w:autoSpaceDE w:val="0"/>
              <w:autoSpaceDN w:val="0"/>
              <w:adjustRightInd w:val="0"/>
              <w:snapToGrid w:val="0"/>
              <w:spacing w:line="240" w:lineRule="auto"/>
              <w:jc w:val="center"/>
              <w:rPr>
                <w:rFonts w:eastAsiaTheme="minorHAnsi"/>
                <w:b/>
                <w:noProof w:val="0"/>
                <w:color w:val="auto"/>
                <w:lang w:val="en-GB" w:eastAsia="en-US"/>
              </w:rPr>
            </w:pPr>
            <w:r w:rsidRPr="00106626">
              <w:rPr>
                <w:rFonts w:eastAsiaTheme="minorHAnsi"/>
                <w:b/>
                <w:noProof w:val="0"/>
                <w:color w:val="auto"/>
                <w:lang w:val="en-GB" w:eastAsia="en-US"/>
              </w:rPr>
              <w:t xml:space="preserve">Spectral </w:t>
            </w:r>
            <w:r w:rsidR="00441A6C" w:rsidRPr="00106626">
              <w:rPr>
                <w:rFonts w:eastAsiaTheme="minorHAnsi"/>
                <w:b/>
                <w:noProof w:val="0"/>
                <w:color w:val="auto"/>
                <w:lang w:val="en-GB" w:eastAsia="en-US"/>
              </w:rPr>
              <w:t>Peak Period</w:t>
            </w:r>
          </w:p>
        </w:tc>
      </w:tr>
      <w:tr w:rsidR="003B2643" w:rsidRPr="00106626" w14:paraId="68A808D4" w14:textId="77777777" w:rsidTr="00C11449">
        <w:trPr>
          <w:jc w:val="center"/>
        </w:trPr>
        <w:tc>
          <w:tcPr>
            <w:tcW w:w="1414" w:type="dxa"/>
            <w:tcBorders>
              <w:top w:val="nil"/>
            </w:tcBorders>
            <w:shd w:val="clear" w:color="auto" w:fill="auto"/>
            <w:vAlign w:val="center"/>
          </w:tcPr>
          <w:p w14:paraId="42BCB13E" w14:textId="77777777" w:rsidR="003B2643" w:rsidRPr="00106626" w:rsidRDefault="003B2643" w:rsidP="00441A6C">
            <w:pPr>
              <w:autoSpaceDE w:val="0"/>
              <w:autoSpaceDN w:val="0"/>
              <w:adjustRightInd w:val="0"/>
              <w:snapToGrid w:val="0"/>
              <w:spacing w:line="240" w:lineRule="auto"/>
              <w:jc w:val="center"/>
              <w:rPr>
                <w:rFonts w:eastAsiaTheme="minorHAnsi"/>
                <w:noProof w:val="0"/>
                <w:color w:val="auto"/>
                <w:lang w:val="en-GB" w:eastAsia="en-US"/>
              </w:rPr>
            </w:pPr>
          </w:p>
        </w:tc>
        <w:tc>
          <w:tcPr>
            <w:tcW w:w="2270" w:type="dxa"/>
            <w:tcBorders>
              <w:top w:val="nil"/>
            </w:tcBorders>
            <w:shd w:val="clear" w:color="auto" w:fill="auto"/>
            <w:vAlign w:val="center"/>
          </w:tcPr>
          <w:p w14:paraId="5BE86B4B" w14:textId="77777777" w:rsidR="003B2643" w:rsidRPr="00106626" w:rsidRDefault="003B2643" w:rsidP="00441A6C">
            <w:pPr>
              <w:autoSpaceDE w:val="0"/>
              <w:autoSpaceDN w:val="0"/>
              <w:adjustRightInd w:val="0"/>
              <w:snapToGrid w:val="0"/>
              <w:spacing w:line="240" w:lineRule="auto"/>
              <w:jc w:val="center"/>
              <w:rPr>
                <w:rFonts w:eastAsiaTheme="minorHAnsi"/>
                <w:noProof w:val="0"/>
                <w:color w:val="auto"/>
                <w:lang w:val="en-GB" w:eastAsia="en-US"/>
              </w:rPr>
            </w:pPr>
          </w:p>
        </w:tc>
        <w:tc>
          <w:tcPr>
            <w:tcW w:w="1560" w:type="dxa"/>
            <w:tcBorders>
              <w:top w:val="nil"/>
            </w:tcBorders>
            <w:shd w:val="clear" w:color="auto" w:fill="auto"/>
            <w:vAlign w:val="center"/>
          </w:tcPr>
          <w:p w14:paraId="7E68F8EE" w14:textId="1ADB144A" w:rsidR="003B2643" w:rsidRPr="00106626" w:rsidRDefault="003B2643" w:rsidP="00441A6C">
            <w:pPr>
              <w:autoSpaceDE w:val="0"/>
              <w:autoSpaceDN w:val="0"/>
              <w:adjustRightInd w:val="0"/>
              <w:snapToGrid w:val="0"/>
              <w:spacing w:line="240" w:lineRule="auto"/>
              <w:jc w:val="center"/>
              <w:rPr>
                <w:rFonts w:eastAsiaTheme="minorHAnsi"/>
                <w:b/>
                <w:noProof w:val="0"/>
                <w:color w:val="auto"/>
                <w:lang w:val="en-GB" w:eastAsia="en-US"/>
              </w:rPr>
            </w:pPr>
            <w:r w:rsidRPr="00106626">
              <w:rPr>
                <w:rFonts w:eastAsiaTheme="minorHAnsi"/>
                <w:b/>
                <w:noProof w:val="0"/>
                <w:color w:val="auto"/>
                <w:lang w:val="en-GB" w:eastAsia="en-US"/>
              </w:rPr>
              <w:t xml:space="preserve">GNSS </w:t>
            </w:r>
            <w:r w:rsidR="00441A6C" w:rsidRPr="00106626">
              <w:rPr>
                <w:rFonts w:eastAsiaTheme="minorHAnsi"/>
                <w:b/>
                <w:noProof w:val="0"/>
                <w:color w:val="auto"/>
                <w:lang w:val="en-GB" w:eastAsia="en-US"/>
              </w:rPr>
              <w:t>Buoy</w:t>
            </w:r>
          </w:p>
        </w:tc>
        <w:tc>
          <w:tcPr>
            <w:tcW w:w="1845" w:type="dxa"/>
            <w:tcBorders>
              <w:top w:val="nil"/>
            </w:tcBorders>
            <w:shd w:val="clear" w:color="auto" w:fill="auto"/>
            <w:vAlign w:val="center"/>
          </w:tcPr>
          <w:p w14:paraId="1C22B6C1" w14:textId="3D1C9317" w:rsidR="003B2643" w:rsidRPr="00106626" w:rsidRDefault="003B2643" w:rsidP="00441A6C">
            <w:pPr>
              <w:autoSpaceDE w:val="0"/>
              <w:autoSpaceDN w:val="0"/>
              <w:adjustRightInd w:val="0"/>
              <w:snapToGrid w:val="0"/>
              <w:spacing w:line="240" w:lineRule="auto"/>
              <w:jc w:val="center"/>
              <w:rPr>
                <w:rFonts w:eastAsiaTheme="minorHAnsi"/>
                <w:b/>
                <w:noProof w:val="0"/>
                <w:color w:val="auto"/>
                <w:lang w:val="en-GB" w:eastAsia="en-US"/>
              </w:rPr>
            </w:pPr>
            <w:r w:rsidRPr="00106626">
              <w:rPr>
                <w:rFonts w:eastAsiaTheme="minorHAnsi"/>
                <w:b/>
                <w:noProof w:val="0"/>
                <w:color w:val="auto"/>
                <w:lang w:val="en-GB" w:eastAsia="en-US"/>
              </w:rPr>
              <w:t xml:space="preserve">Cleveleys </w:t>
            </w:r>
            <w:r w:rsidR="00441A6C" w:rsidRPr="00106626">
              <w:rPr>
                <w:rFonts w:eastAsiaTheme="minorHAnsi"/>
                <w:b/>
                <w:noProof w:val="0"/>
                <w:color w:val="auto"/>
                <w:lang w:val="en-GB" w:eastAsia="en-US"/>
              </w:rPr>
              <w:t>Buoy</w:t>
            </w:r>
          </w:p>
        </w:tc>
        <w:tc>
          <w:tcPr>
            <w:tcW w:w="1631" w:type="dxa"/>
            <w:tcBorders>
              <w:top w:val="nil"/>
            </w:tcBorders>
            <w:shd w:val="clear" w:color="auto" w:fill="auto"/>
            <w:vAlign w:val="center"/>
          </w:tcPr>
          <w:p w14:paraId="7AC9B9FD" w14:textId="1CA01271" w:rsidR="003B2643" w:rsidRPr="00106626" w:rsidRDefault="003B2643" w:rsidP="00441A6C">
            <w:pPr>
              <w:autoSpaceDE w:val="0"/>
              <w:autoSpaceDN w:val="0"/>
              <w:adjustRightInd w:val="0"/>
              <w:snapToGrid w:val="0"/>
              <w:spacing w:line="240" w:lineRule="auto"/>
              <w:jc w:val="center"/>
              <w:rPr>
                <w:rFonts w:eastAsiaTheme="minorHAnsi"/>
                <w:b/>
                <w:noProof w:val="0"/>
                <w:color w:val="auto"/>
                <w:lang w:val="en-GB" w:eastAsia="en-US"/>
              </w:rPr>
            </w:pPr>
            <w:r w:rsidRPr="00106626">
              <w:rPr>
                <w:rFonts w:eastAsiaTheme="minorHAnsi"/>
                <w:b/>
                <w:noProof w:val="0"/>
                <w:color w:val="auto"/>
                <w:lang w:val="en-GB" w:eastAsia="en-US"/>
              </w:rPr>
              <w:t xml:space="preserve">GNSS </w:t>
            </w:r>
            <w:r w:rsidR="00441A6C" w:rsidRPr="00106626">
              <w:rPr>
                <w:rFonts w:eastAsiaTheme="minorHAnsi"/>
                <w:b/>
                <w:noProof w:val="0"/>
                <w:color w:val="auto"/>
                <w:lang w:val="en-GB" w:eastAsia="en-US"/>
              </w:rPr>
              <w:t>Buoy</w:t>
            </w:r>
          </w:p>
        </w:tc>
        <w:tc>
          <w:tcPr>
            <w:tcW w:w="1745" w:type="dxa"/>
            <w:tcBorders>
              <w:top w:val="nil"/>
            </w:tcBorders>
            <w:shd w:val="clear" w:color="auto" w:fill="auto"/>
            <w:vAlign w:val="center"/>
          </w:tcPr>
          <w:p w14:paraId="27F121BD" w14:textId="71D77278" w:rsidR="003B2643" w:rsidRPr="00106626" w:rsidRDefault="003B2643" w:rsidP="00441A6C">
            <w:pPr>
              <w:autoSpaceDE w:val="0"/>
              <w:autoSpaceDN w:val="0"/>
              <w:adjustRightInd w:val="0"/>
              <w:snapToGrid w:val="0"/>
              <w:spacing w:line="240" w:lineRule="auto"/>
              <w:jc w:val="center"/>
              <w:rPr>
                <w:rFonts w:eastAsiaTheme="minorHAnsi"/>
                <w:b/>
                <w:noProof w:val="0"/>
                <w:color w:val="auto"/>
                <w:lang w:val="en-GB" w:eastAsia="en-US"/>
              </w:rPr>
            </w:pPr>
            <w:r w:rsidRPr="00106626">
              <w:rPr>
                <w:rFonts w:eastAsiaTheme="minorHAnsi"/>
                <w:b/>
                <w:noProof w:val="0"/>
                <w:color w:val="auto"/>
                <w:lang w:val="en-GB" w:eastAsia="en-US"/>
              </w:rPr>
              <w:t xml:space="preserve">Cleveleys </w:t>
            </w:r>
            <w:r w:rsidR="00441A6C" w:rsidRPr="00106626">
              <w:rPr>
                <w:rFonts w:eastAsiaTheme="minorHAnsi"/>
                <w:b/>
                <w:noProof w:val="0"/>
                <w:color w:val="auto"/>
                <w:lang w:val="en-GB" w:eastAsia="en-US"/>
              </w:rPr>
              <w:t>Buoy</w:t>
            </w:r>
          </w:p>
        </w:tc>
      </w:tr>
      <w:tr w:rsidR="00C11449" w:rsidRPr="00106626" w14:paraId="3DD7926F" w14:textId="77777777" w:rsidTr="00C11449">
        <w:trPr>
          <w:jc w:val="center"/>
        </w:trPr>
        <w:tc>
          <w:tcPr>
            <w:tcW w:w="1414" w:type="dxa"/>
            <w:vMerge w:val="restart"/>
            <w:shd w:val="clear" w:color="auto" w:fill="auto"/>
            <w:vAlign w:val="center"/>
          </w:tcPr>
          <w:p w14:paraId="11679D90" w14:textId="77777777" w:rsidR="00C11449" w:rsidRPr="00106626" w:rsidRDefault="00C11449" w:rsidP="00441A6C">
            <w:pPr>
              <w:autoSpaceDE w:val="0"/>
              <w:autoSpaceDN w:val="0"/>
              <w:adjustRightInd w:val="0"/>
              <w:snapToGrid w:val="0"/>
              <w:spacing w:line="240" w:lineRule="auto"/>
              <w:jc w:val="center"/>
              <w:rPr>
                <w:rFonts w:eastAsiaTheme="minorHAnsi"/>
                <w:noProof w:val="0"/>
                <w:color w:val="auto"/>
                <w:lang w:val="en-GB" w:eastAsia="en-US"/>
              </w:rPr>
            </w:pPr>
            <w:r w:rsidRPr="00106626">
              <w:rPr>
                <w:rFonts w:eastAsiaTheme="minorHAnsi"/>
                <w:noProof w:val="0"/>
                <w:color w:val="auto"/>
                <w:lang w:val="en-GB" w:eastAsia="en-US"/>
              </w:rPr>
              <w:t>Tidal cycle A</w:t>
            </w:r>
          </w:p>
        </w:tc>
        <w:tc>
          <w:tcPr>
            <w:tcW w:w="2270" w:type="dxa"/>
            <w:tcBorders>
              <w:bottom w:val="nil"/>
            </w:tcBorders>
            <w:shd w:val="clear" w:color="auto" w:fill="auto"/>
            <w:vAlign w:val="center"/>
          </w:tcPr>
          <w:p w14:paraId="4F144A0B" w14:textId="77777777" w:rsidR="00C11449" w:rsidRPr="00106626" w:rsidRDefault="00C11449" w:rsidP="00441A6C">
            <w:pPr>
              <w:autoSpaceDE w:val="0"/>
              <w:autoSpaceDN w:val="0"/>
              <w:adjustRightInd w:val="0"/>
              <w:snapToGrid w:val="0"/>
              <w:spacing w:line="240" w:lineRule="auto"/>
              <w:jc w:val="center"/>
              <w:rPr>
                <w:rFonts w:eastAsiaTheme="minorHAnsi"/>
                <w:noProof w:val="0"/>
                <w:color w:val="auto"/>
                <w:lang w:val="en-GB" w:eastAsia="en-US"/>
              </w:rPr>
            </w:pPr>
            <w:r w:rsidRPr="00106626">
              <w:rPr>
                <w:rFonts w:eastAsiaTheme="minorHAnsi"/>
                <w:noProof w:val="0"/>
                <w:color w:val="auto"/>
                <w:lang w:val="en-GB" w:eastAsia="en-US"/>
              </w:rPr>
              <w:t>2 hr period before HW</w:t>
            </w:r>
          </w:p>
        </w:tc>
        <w:tc>
          <w:tcPr>
            <w:tcW w:w="1560" w:type="dxa"/>
            <w:tcBorders>
              <w:bottom w:val="nil"/>
            </w:tcBorders>
            <w:shd w:val="clear" w:color="auto" w:fill="auto"/>
            <w:vAlign w:val="center"/>
          </w:tcPr>
          <w:p w14:paraId="586972B1" w14:textId="0A716676" w:rsidR="00C11449" w:rsidRPr="00106626" w:rsidRDefault="00C11449" w:rsidP="00441A6C">
            <w:pPr>
              <w:autoSpaceDE w:val="0"/>
              <w:autoSpaceDN w:val="0"/>
              <w:adjustRightInd w:val="0"/>
              <w:snapToGrid w:val="0"/>
              <w:spacing w:line="240" w:lineRule="auto"/>
              <w:jc w:val="center"/>
              <w:rPr>
                <w:rFonts w:eastAsiaTheme="minorHAnsi"/>
                <w:noProof w:val="0"/>
                <w:color w:val="auto"/>
                <w:lang w:val="en-GB" w:eastAsia="en-US"/>
              </w:rPr>
            </w:pPr>
            <w:r w:rsidRPr="00106626">
              <w:rPr>
                <w:rFonts w:eastAsiaTheme="minorHAnsi"/>
                <w:noProof w:val="0"/>
                <w:color w:val="auto"/>
                <w:lang w:val="en-GB" w:eastAsia="en-US"/>
              </w:rPr>
              <w:t>1.</w:t>
            </w:r>
            <w:r w:rsidR="007A5E5E" w:rsidRPr="00106626">
              <w:rPr>
                <w:rFonts w:eastAsiaTheme="minorHAnsi"/>
                <w:noProof w:val="0"/>
                <w:color w:val="auto"/>
                <w:lang w:val="en-GB" w:eastAsia="en-US"/>
              </w:rPr>
              <w:t>1 m</w:t>
            </w:r>
          </w:p>
        </w:tc>
        <w:tc>
          <w:tcPr>
            <w:tcW w:w="1845" w:type="dxa"/>
            <w:tcBorders>
              <w:bottom w:val="nil"/>
            </w:tcBorders>
            <w:shd w:val="clear" w:color="auto" w:fill="auto"/>
            <w:vAlign w:val="center"/>
          </w:tcPr>
          <w:p w14:paraId="6061E350" w14:textId="6C9DB9E8" w:rsidR="00C11449" w:rsidRPr="00106626" w:rsidRDefault="00C11449" w:rsidP="00441A6C">
            <w:pPr>
              <w:autoSpaceDE w:val="0"/>
              <w:autoSpaceDN w:val="0"/>
              <w:adjustRightInd w:val="0"/>
              <w:snapToGrid w:val="0"/>
              <w:spacing w:line="240" w:lineRule="auto"/>
              <w:jc w:val="center"/>
              <w:rPr>
                <w:rFonts w:eastAsiaTheme="minorHAnsi"/>
                <w:noProof w:val="0"/>
                <w:color w:val="auto"/>
                <w:lang w:val="en-GB" w:eastAsia="en-US"/>
              </w:rPr>
            </w:pPr>
            <w:r w:rsidRPr="00106626">
              <w:rPr>
                <w:rFonts w:eastAsiaTheme="minorHAnsi"/>
                <w:noProof w:val="0"/>
                <w:color w:val="auto"/>
                <w:lang w:val="en-GB" w:eastAsia="en-US"/>
              </w:rPr>
              <w:t>0.</w:t>
            </w:r>
            <w:r w:rsidR="007A5E5E" w:rsidRPr="00106626">
              <w:rPr>
                <w:rFonts w:eastAsiaTheme="minorHAnsi"/>
                <w:noProof w:val="0"/>
                <w:color w:val="auto"/>
                <w:lang w:val="en-GB" w:eastAsia="en-US"/>
              </w:rPr>
              <w:t>9 m</w:t>
            </w:r>
          </w:p>
        </w:tc>
        <w:tc>
          <w:tcPr>
            <w:tcW w:w="1631" w:type="dxa"/>
            <w:tcBorders>
              <w:bottom w:val="nil"/>
            </w:tcBorders>
            <w:shd w:val="clear" w:color="auto" w:fill="auto"/>
            <w:vAlign w:val="center"/>
          </w:tcPr>
          <w:p w14:paraId="265A6D4C" w14:textId="5A733907" w:rsidR="00C11449" w:rsidRPr="00106626" w:rsidRDefault="00C11449" w:rsidP="00441A6C">
            <w:pPr>
              <w:autoSpaceDE w:val="0"/>
              <w:autoSpaceDN w:val="0"/>
              <w:adjustRightInd w:val="0"/>
              <w:snapToGrid w:val="0"/>
              <w:spacing w:line="240" w:lineRule="auto"/>
              <w:jc w:val="center"/>
              <w:rPr>
                <w:rFonts w:eastAsiaTheme="minorHAnsi"/>
                <w:noProof w:val="0"/>
                <w:color w:val="auto"/>
                <w:lang w:val="en-GB" w:eastAsia="en-US"/>
              </w:rPr>
            </w:pPr>
            <w:r w:rsidRPr="00106626">
              <w:rPr>
                <w:rFonts w:eastAsiaTheme="minorHAnsi"/>
                <w:noProof w:val="0"/>
                <w:color w:val="auto"/>
                <w:lang w:val="en-GB" w:eastAsia="en-US"/>
              </w:rPr>
              <w:t>4.</w:t>
            </w:r>
            <w:r w:rsidR="007A5E5E" w:rsidRPr="00106626">
              <w:rPr>
                <w:rFonts w:eastAsiaTheme="minorHAnsi"/>
                <w:noProof w:val="0"/>
                <w:color w:val="auto"/>
                <w:lang w:val="en-GB" w:eastAsia="en-US"/>
              </w:rPr>
              <w:t>8 s</w:t>
            </w:r>
          </w:p>
        </w:tc>
        <w:tc>
          <w:tcPr>
            <w:tcW w:w="1745" w:type="dxa"/>
            <w:tcBorders>
              <w:bottom w:val="nil"/>
            </w:tcBorders>
            <w:shd w:val="clear" w:color="auto" w:fill="auto"/>
            <w:vAlign w:val="center"/>
          </w:tcPr>
          <w:p w14:paraId="761FD266" w14:textId="6FFD09A3" w:rsidR="00C11449" w:rsidRPr="00106626" w:rsidRDefault="00C11449" w:rsidP="00441A6C">
            <w:pPr>
              <w:autoSpaceDE w:val="0"/>
              <w:autoSpaceDN w:val="0"/>
              <w:adjustRightInd w:val="0"/>
              <w:snapToGrid w:val="0"/>
              <w:spacing w:line="240" w:lineRule="auto"/>
              <w:jc w:val="center"/>
              <w:rPr>
                <w:rFonts w:eastAsiaTheme="minorHAnsi"/>
                <w:noProof w:val="0"/>
                <w:color w:val="auto"/>
                <w:lang w:val="en-GB" w:eastAsia="en-US"/>
              </w:rPr>
            </w:pPr>
            <w:r w:rsidRPr="00106626">
              <w:rPr>
                <w:rFonts w:eastAsiaTheme="minorHAnsi"/>
                <w:noProof w:val="0"/>
                <w:color w:val="auto"/>
                <w:lang w:val="en-GB" w:eastAsia="en-US"/>
              </w:rPr>
              <w:t>5.</w:t>
            </w:r>
            <w:r w:rsidR="007A5E5E" w:rsidRPr="00106626">
              <w:rPr>
                <w:rFonts w:eastAsiaTheme="minorHAnsi"/>
                <w:noProof w:val="0"/>
                <w:color w:val="auto"/>
                <w:lang w:val="en-GB" w:eastAsia="en-US"/>
              </w:rPr>
              <w:t>0 s</w:t>
            </w:r>
          </w:p>
        </w:tc>
      </w:tr>
      <w:tr w:rsidR="00C11449" w:rsidRPr="00106626" w14:paraId="6FB081DE" w14:textId="77777777" w:rsidTr="00C11449">
        <w:trPr>
          <w:jc w:val="center"/>
        </w:trPr>
        <w:tc>
          <w:tcPr>
            <w:tcW w:w="1414" w:type="dxa"/>
            <w:vMerge/>
            <w:tcBorders>
              <w:bottom w:val="single" w:sz="4" w:space="0" w:color="auto"/>
            </w:tcBorders>
            <w:shd w:val="clear" w:color="auto" w:fill="auto"/>
            <w:vAlign w:val="center"/>
          </w:tcPr>
          <w:p w14:paraId="12197E13" w14:textId="77777777" w:rsidR="00C11449" w:rsidRPr="00106626" w:rsidRDefault="00C11449" w:rsidP="00441A6C">
            <w:pPr>
              <w:autoSpaceDE w:val="0"/>
              <w:autoSpaceDN w:val="0"/>
              <w:adjustRightInd w:val="0"/>
              <w:snapToGrid w:val="0"/>
              <w:spacing w:line="240" w:lineRule="auto"/>
              <w:jc w:val="center"/>
              <w:rPr>
                <w:rFonts w:eastAsiaTheme="minorHAnsi"/>
                <w:noProof w:val="0"/>
                <w:color w:val="auto"/>
                <w:lang w:val="en-GB" w:eastAsia="en-US"/>
              </w:rPr>
            </w:pPr>
          </w:p>
        </w:tc>
        <w:tc>
          <w:tcPr>
            <w:tcW w:w="2270" w:type="dxa"/>
            <w:tcBorders>
              <w:top w:val="nil"/>
              <w:bottom w:val="single" w:sz="4" w:space="0" w:color="auto"/>
            </w:tcBorders>
            <w:shd w:val="clear" w:color="auto" w:fill="auto"/>
            <w:vAlign w:val="center"/>
          </w:tcPr>
          <w:p w14:paraId="770658E5" w14:textId="77777777" w:rsidR="00C11449" w:rsidRPr="00106626" w:rsidRDefault="00C11449" w:rsidP="00441A6C">
            <w:pPr>
              <w:autoSpaceDE w:val="0"/>
              <w:autoSpaceDN w:val="0"/>
              <w:adjustRightInd w:val="0"/>
              <w:snapToGrid w:val="0"/>
              <w:spacing w:line="240" w:lineRule="auto"/>
              <w:jc w:val="center"/>
              <w:rPr>
                <w:rFonts w:eastAsiaTheme="minorHAnsi"/>
                <w:noProof w:val="0"/>
                <w:color w:val="auto"/>
                <w:lang w:val="en-GB" w:eastAsia="en-US"/>
              </w:rPr>
            </w:pPr>
            <w:r w:rsidRPr="00106626">
              <w:rPr>
                <w:rFonts w:eastAsiaTheme="minorHAnsi"/>
                <w:noProof w:val="0"/>
                <w:color w:val="auto"/>
                <w:lang w:val="en-GB" w:eastAsia="en-US"/>
              </w:rPr>
              <w:t>2 hr period after HW</w:t>
            </w:r>
          </w:p>
        </w:tc>
        <w:tc>
          <w:tcPr>
            <w:tcW w:w="1560" w:type="dxa"/>
            <w:tcBorders>
              <w:top w:val="nil"/>
              <w:bottom w:val="single" w:sz="4" w:space="0" w:color="auto"/>
            </w:tcBorders>
            <w:shd w:val="clear" w:color="auto" w:fill="auto"/>
            <w:vAlign w:val="center"/>
          </w:tcPr>
          <w:p w14:paraId="498D39A9" w14:textId="7DEE996D" w:rsidR="00C11449" w:rsidRPr="00106626" w:rsidRDefault="00C11449" w:rsidP="00441A6C">
            <w:pPr>
              <w:autoSpaceDE w:val="0"/>
              <w:autoSpaceDN w:val="0"/>
              <w:adjustRightInd w:val="0"/>
              <w:snapToGrid w:val="0"/>
              <w:spacing w:line="240" w:lineRule="auto"/>
              <w:jc w:val="center"/>
              <w:rPr>
                <w:rFonts w:eastAsiaTheme="minorHAnsi"/>
                <w:noProof w:val="0"/>
                <w:color w:val="auto"/>
                <w:lang w:val="en-GB" w:eastAsia="en-US"/>
              </w:rPr>
            </w:pPr>
            <w:r w:rsidRPr="00106626">
              <w:rPr>
                <w:rFonts w:eastAsiaTheme="minorHAnsi"/>
                <w:noProof w:val="0"/>
                <w:color w:val="auto"/>
                <w:lang w:val="en-GB" w:eastAsia="en-US"/>
              </w:rPr>
              <w:t>1.</w:t>
            </w:r>
            <w:r w:rsidR="007A5E5E" w:rsidRPr="00106626">
              <w:rPr>
                <w:rFonts w:eastAsiaTheme="minorHAnsi"/>
                <w:noProof w:val="0"/>
                <w:color w:val="auto"/>
                <w:lang w:val="en-GB" w:eastAsia="en-US"/>
              </w:rPr>
              <w:t>0 m</w:t>
            </w:r>
          </w:p>
        </w:tc>
        <w:tc>
          <w:tcPr>
            <w:tcW w:w="1845" w:type="dxa"/>
            <w:tcBorders>
              <w:top w:val="nil"/>
              <w:bottom w:val="single" w:sz="4" w:space="0" w:color="auto"/>
            </w:tcBorders>
            <w:shd w:val="clear" w:color="auto" w:fill="auto"/>
            <w:vAlign w:val="center"/>
          </w:tcPr>
          <w:p w14:paraId="49E9D499" w14:textId="33754918" w:rsidR="00C11449" w:rsidRPr="00106626" w:rsidRDefault="00C11449" w:rsidP="00441A6C">
            <w:pPr>
              <w:autoSpaceDE w:val="0"/>
              <w:autoSpaceDN w:val="0"/>
              <w:adjustRightInd w:val="0"/>
              <w:snapToGrid w:val="0"/>
              <w:spacing w:line="240" w:lineRule="auto"/>
              <w:jc w:val="center"/>
              <w:rPr>
                <w:rFonts w:eastAsiaTheme="minorHAnsi"/>
                <w:noProof w:val="0"/>
                <w:color w:val="auto"/>
                <w:lang w:val="en-GB" w:eastAsia="en-US"/>
              </w:rPr>
            </w:pPr>
            <w:r w:rsidRPr="00106626">
              <w:rPr>
                <w:rFonts w:eastAsiaTheme="minorHAnsi"/>
                <w:noProof w:val="0"/>
                <w:color w:val="auto"/>
                <w:lang w:val="en-GB" w:eastAsia="en-US"/>
              </w:rPr>
              <w:t>1.</w:t>
            </w:r>
            <w:r w:rsidR="007A5E5E" w:rsidRPr="00106626">
              <w:rPr>
                <w:rFonts w:eastAsiaTheme="minorHAnsi"/>
                <w:noProof w:val="0"/>
                <w:color w:val="auto"/>
                <w:lang w:val="en-GB" w:eastAsia="en-US"/>
              </w:rPr>
              <w:t>0 m</w:t>
            </w:r>
          </w:p>
        </w:tc>
        <w:tc>
          <w:tcPr>
            <w:tcW w:w="1631" w:type="dxa"/>
            <w:tcBorders>
              <w:top w:val="nil"/>
              <w:bottom w:val="single" w:sz="4" w:space="0" w:color="auto"/>
            </w:tcBorders>
            <w:shd w:val="clear" w:color="auto" w:fill="auto"/>
            <w:vAlign w:val="center"/>
          </w:tcPr>
          <w:p w14:paraId="2A8DC102" w14:textId="481077DB" w:rsidR="00C11449" w:rsidRPr="00106626" w:rsidRDefault="00C11449" w:rsidP="00441A6C">
            <w:pPr>
              <w:autoSpaceDE w:val="0"/>
              <w:autoSpaceDN w:val="0"/>
              <w:adjustRightInd w:val="0"/>
              <w:snapToGrid w:val="0"/>
              <w:spacing w:line="240" w:lineRule="auto"/>
              <w:jc w:val="center"/>
              <w:rPr>
                <w:rFonts w:eastAsiaTheme="minorHAnsi"/>
                <w:noProof w:val="0"/>
                <w:color w:val="auto"/>
                <w:lang w:val="en-GB" w:eastAsia="en-US"/>
              </w:rPr>
            </w:pPr>
            <w:r w:rsidRPr="00106626">
              <w:rPr>
                <w:rFonts w:eastAsiaTheme="minorHAnsi"/>
                <w:noProof w:val="0"/>
                <w:color w:val="auto"/>
                <w:lang w:val="en-GB" w:eastAsia="en-US"/>
              </w:rPr>
              <w:t>5.</w:t>
            </w:r>
            <w:r w:rsidR="007A5E5E" w:rsidRPr="00106626">
              <w:rPr>
                <w:rFonts w:eastAsiaTheme="minorHAnsi"/>
                <w:noProof w:val="0"/>
                <w:color w:val="auto"/>
                <w:lang w:val="en-GB" w:eastAsia="en-US"/>
              </w:rPr>
              <w:t>0 s</w:t>
            </w:r>
          </w:p>
        </w:tc>
        <w:tc>
          <w:tcPr>
            <w:tcW w:w="1745" w:type="dxa"/>
            <w:tcBorders>
              <w:top w:val="nil"/>
              <w:bottom w:val="single" w:sz="4" w:space="0" w:color="auto"/>
            </w:tcBorders>
            <w:shd w:val="clear" w:color="auto" w:fill="auto"/>
            <w:vAlign w:val="center"/>
          </w:tcPr>
          <w:p w14:paraId="1B3231E3" w14:textId="7C444EEC" w:rsidR="00C11449" w:rsidRPr="00106626" w:rsidRDefault="00C11449" w:rsidP="00441A6C">
            <w:pPr>
              <w:autoSpaceDE w:val="0"/>
              <w:autoSpaceDN w:val="0"/>
              <w:adjustRightInd w:val="0"/>
              <w:snapToGrid w:val="0"/>
              <w:spacing w:line="240" w:lineRule="auto"/>
              <w:jc w:val="center"/>
              <w:rPr>
                <w:rFonts w:eastAsiaTheme="minorHAnsi"/>
                <w:noProof w:val="0"/>
                <w:color w:val="auto"/>
                <w:lang w:val="en-GB" w:eastAsia="en-US"/>
              </w:rPr>
            </w:pPr>
            <w:r w:rsidRPr="00106626">
              <w:rPr>
                <w:rFonts w:eastAsiaTheme="minorHAnsi"/>
                <w:noProof w:val="0"/>
                <w:color w:val="auto"/>
                <w:lang w:val="en-GB" w:eastAsia="en-US"/>
              </w:rPr>
              <w:t>4.</w:t>
            </w:r>
            <w:r w:rsidR="007A5E5E" w:rsidRPr="00106626">
              <w:rPr>
                <w:rFonts w:eastAsiaTheme="minorHAnsi"/>
                <w:noProof w:val="0"/>
                <w:color w:val="auto"/>
                <w:lang w:val="en-GB" w:eastAsia="en-US"/>
              </w:rPr>
              <w:t>8 s</w:t>
            </w:r>
          </w:p>
        </w:tc>
      </w:tr>
      <w:tr w:rsidR="00C11449" w:rsidRPr="00106626" w14:paraId="50D5053C" w14:textId="77777777" w:rsidTr="00A33949">
        <w:trPr>
          <w:jc w:val="center"/>
        </w:trPr>
        <w:tc>
          <w:tcPr>
            <w:tcW w:w="1414" w:type="dxa"/>
            <w:vMerge w:val="restart"/>
            <w:tcBorders>
              <w:top w:val="single" w:sz="4" w:space="0" w:color="auto"/>
            </w:tcBorders>
            <w:shd w:val="clear" w:color="auto" w:fill="auto"/>
            <w:vAlign w:val="center"/>
          </w:tcPr>
          <w:p w14:paraId="61730886" w14:textId="77777777" w:rsidR="00C11449" w:rsidRPr="00106626" w:rsidRDefault="00C11449" w:rsidP="00441A6C">
            <w:pPr>
              <w:autoSpaceDE w:val="0"/>
              <w:autoSpaceDN w:val="0"/>
              <w:adjustRightInd w:val="0"/>
              <w:snapToGrid w:val="0"/>
              <w:spacing w:line="240" w:lineRule="auto"/>
              <w:jc w:val="center"/>
              <w:rPr>
                <w:rFonts w:eastAsiaTheme="minorHAnsi"/>
                <w:noProof w:val="0"/>
                <w:color w:val="auto"/>
                <w:lang w:val="en-GB" w:eastAsia="en-US"/>
              </w:rPr>
            </w:pPr>
            <w:r w:rsidRPr="00106626">
              <w:rPr>
                <w:rFonts w:eastAsiaTheme="minorHAnsi"/>
                <w:noProof w:val="0"/>
                <w:color w:val="auto"/>
                <w:lang w:val="en-GB" w:eastAsia="en-US"/>
              </w:rPr>
              <w:t>Tidal cycle B</w:t>
            </w:r>
          </w:p>
        </w:tc>
        <w:tc>
          <w:tcPr>
            <w:tcW w:w="2270" w:type="dxa"/>
            <w:tcBorders>
              <w:top w:val="single" w:sz="4" w:space="0" w:color="auto"/>
              <w:bottom w:val="nil"/>
            </w:tcBorders>
            <w:shd w:val="clear" w:color="auto" w:fill="auto"/>
            <w:vAlign w:val="center"/>
          </w:tcPr>
          <w:p w14:paraId="151AE5A8" w14:textId="77777777" w:rsidR="00C11449" w:rsidRPr="00106626" w:rsidRDefault="00C11449" w:rsidP="00441A6C">
            <w:pPr>
              <w:autoSpaceDE w:val="0"/>
              <w:autoSpaceDN w:val="0"/>
              <w:adjustRightInd w:val="0"/>
              <w:snapToGrid w:val="0"/>
              <w:spacing w:line="240" w:lineRule="auto"/>
              <w:jc w:val="center"/>
              <w:rPr>
                <w:rFonts w:eastAsiaTheme="minorHAnsi"/>
                <w:noProof w:val="0"/>
                <w:color w:val="auto"/>
                <w:lang w:val="en-GB" w:eastAsia="en-US"/>
              </w:rPr>
            </w:pPr>
            <w:r w:rsidRPr="00106626">
              <w:rPr>
                <w:rFonts w:eastAsiaTheme="minorHAnsi"/>
                <w:noProof w:val="0"/>
                <w:color w:val="auto"/>
                <w:lang w:val="en-GB" w:eastAsia="en-US"/>
              </w:rPr>
              <w:t>2 hr period before HW</w:t>
            </w:r>
          </w:p>
        </w:tc>
        <w:tc>
          <w:tcPr>
            <w:tcW w:w="1560" w:type="dxa"/>
            <w:tcBorders>
              <w:top w:val="single" w:sz="4" w:space="0" w:color="auto"/>
              <w:bottom w:val="nil"/>
            </w:tcBorders>
            <w:shd w:val="clear" w:color="auto" w:fill="auto"/>
            <w:vAlign w:val="center"/>
          </w:tcPr>
          <w:p w14:paraId="43E923DD" w14:textId="6E0A241D" w:rsidR="00C11449" w:rsidRPr="00106626" w:rsidRDefault="00C11449" w:rsidP="00441A6C">
            <w:pPr>
              <w:autoSpaceDE w:val="0"/>
              <w:autoSpaceDN w:val="0"/>
              <w:adjustRightInd w:val="0"/>
              <w:snapToGrid w:val="0"/>
              <w:spacing w:line="240" w:lineRule="auto"/>
              <w:jc w:val="center"/>
              <w:rPr>
                <w:rFonts w:eastAsiaTheme="minorHAnsi"/>
                <w:noProof w:val="0"/>
                <w:color w:val="auto"/>
                <w:lang w:val="en-GB" w:eastAsia="en-US"/>
              </w:rPr>
            </w:pPr>
            <w:r w:rsidRPr="00106626">
              <w:rPr>
                <w:rFonts w:eastAsiaTheme="minorHAnsi"/>
                <w:noProof w:val="0"/>
                <w:color w:val="auto"/>
                <w:lang w:val="en-GB" w:eastAsia="en-US"/>
              </w:rPr>
              <w:t>1.</w:t>
            </w:r>
            <w:r w:rsidR="007A5E5E" w:rsidRPr="00106626">
              <w:rPr>
                <w:rFonts w:eastAsiaTheme="minorHAnsi"/>
                <w:noProof w:val="0"/>
                <w:color w:val="auto"/>
                <w:lang w:val="en-GB" w:eastAsia="en-US"/>
              </w:rPr>
              <w:t>5 m</w:t>
            </w:r>
          </w:p>
        </w:tc>
        <w:tc>
          <w:tcPr>
            <w:tcW w:w="1845" w:type="dxa"/>
            <w:tcBorders>
              <w:top w:val="single" w:sz="4" w:space="0" w:color="auto"/>
              <w:bottom w:val="nil"/>
            </w:tcBorders>
            <w:shd w:val="clear" w:color="auto" w:fill="auto"/>
            <w:vAlign w:val="center"/>
          </w:tcPr>
          <w:p w14:paraId="6211BA36" w14:textId="1C2A638E" w:rsidR="00C11449" w:rsidRPr="00106626" w:rsidRDefault="00C11449" w:rsidP="00441A6C">
            <w:pPr>
              <w:autoSpaceDE w:val="0"/>
              <w:autoSpaceDN w:val="0"/>
              <w:adjustRightInd w:val="0"/>
              <w:snapToGrid w:val="0"/>
              <w:spacing w:line="240" w:lineRule="auto"/>
              <w:jc w:val="center"/>
              <w:rPr>
                <w:rFonts w:eastAsiaTheme="minorHAnsi"/>
                <w:noProof w:val="0"/>
                <w:color w:val="auto"/>
                <w:lang w:val="en-GB" w:eastAsia="en-US"/>
              </w:rPr>
            </w:pPr>
            <w:r w:rsidRPr="00106626">
              <w:rPr>
                <w:rFonts w:eastAsiaTheme="minorHAnsi"/>
                <w:noProof w:val="0"/>
                <w:color w:val="auto"/>
                <w:lang w:val="en-GB" w:eastAsia="en-US"/>
              </w:rPr>
              <w:t>1.</w:t>
            </w:r>
            <w:r w:rsidR="007A5E5E" w:rsidRPr="00106626">
              <w:rPr>
                <w:rFonts w:eastAsiaTheme="minorHAnsi"/>
                <w:noProof w:val="0"/>
                <w:color w:val="auto"/>
                <w:lang w:val="en-GB" w:eastAsia="en-US"/>
              </w:rPr>
              <w:t>5 m</w:t>
            </w:r>
          </w:p>
        </w:tc>
        <w:tc>
          <w:tcPr>
            <w:tcW w:w="1631" w:type="dxa"/>
            <w:tcBorders>
              <w:top w:val="single" w:sz="4" w:space="0" w:color="auto"/>
              <w:bottom w:val="nil"/>
            </w:tcBorders>
            <w:shd w:val="clear" w:color="auto" w:fill="auto"/>
            <w:vAlign w:val="center"/>
          </w:tcPr>
          <w:p w14:paraId="5D219D28" w14:textId="07B17AAC" w:rsidR="00C11449" w:rsidRPr="00106626" w:rsidRDefault="00C11449" w:rsidP="00441A6C">
            <w:pPr>
              <w:autoSpaceDE w:val="0"/>
              <w:autoSpaceDN w:val="0"/>
              <w:adjustRightInd w:val="0"/>
              <w:snapToGrid w:val="0"/>
              <w:spacing w:line="240" w:lineRule="auto"/>
              <w:jc w:val="center"/>
              <w:rPr>
                <w:rFonts w:eastAsiaTheme="minorHAnsi"/>
                <w:noProof w:val="0"/>
                <w:color w:val="auto"/>
                <w:lang w:val="en-GB" w:eastAsia="en-US"/>
              </w:rPr>
            </w:pPr>
            <w:r w:rsidRPr="00106626">
              <w:rPr>
                <w:rFonts w:eastAsiaTheme="minorHAnsi"/>
                <w:noProof w:val="0"/>
                <w:color w:val="auto"/>
                <w:lang w:val="en-GB" w:eastAsia="en-US"/>
              </w:rPr>
              <w:t>4.</w:t>
            </w:r>
            <w:r w:rsidR="007A5E5E" w:rsidRPr="00106626">
              <w:rPr>
                <w:rFonts w:eastAsiaTheme="minorHAnsi"/>
                <w:noProof w:val="0"/>
                <w:color w:val="auto"/>
                <w:lang w:val="en-GB" w:eastAsia="en-US"/>
              </w:rPr>
              <w:t xml:space="preserve">7 </w:t>
            </w:r>
            <w:r w:rsidR="004F5B79">
              <w:rPr>
                <w:rFonts w:eastAsiaTheme="minorHAnsi"/>
                <w:noProof w:val="0"/>
                <w:color w:val="auto"/>
                <w:lang w:val="en-GB" w:eastAsia="en-US"/>
              </w:rPr>
              <w:t>s</w:t>
            </w:r>
          </w:p>
        </w:tc>
        <w:tc>
          <w:tcPr>
            <w:tcW w:w="1745" w:type="dxa"/>
            <w:tcBorders>
              <w:top w:val="single" w:sz="4" w:space="0" w:color="auto"/>
              <w:bottom w:val="nil"/>
            </w:tcBorders>
            <w:shd w:val="clear" w:color="auto" w:fill="auto"/>
            <w:vAlign w:val="center"/>
          </w:tcPr>
          <w:p w14:paraId="6D96E4D1" w14:textId="20B78851" w:rsidR="00C11449" w:rsidRPr="00106626" w:rsidRDefault="00C11449" w:rsidP="00441A6C">
            <w:pPr>
              <w:autoSpaceDE w:val="0"/>
              <w:autoSpaceDN w:val="0"/>
              <w:adjustRightInd w:val="0"/>
              <w:snapToGrid w:val="0"/>
              <w:spacing w:line="240" w:lineRule="auto"/>
              <w:jc w:val="center"/>
              <w:rPr>
                <w:rFonts w:eastAsiaTheme="minorHAnsi"/>
                <w:noProof w:val="0"/>
                <w:color w:val="auto"/>
                <w:lang w:val="en-GB" w:eastAsia="en-US"/>
              </w:rPr>
            </w:pPr>
            <w:r w:rsidRPr="00106626">
              <w:rPr>
                <w:rFonts w:eastAsiaTheme="minorHAnsi"/>
                <w:noProof w:val="0"/>
                <w:color w:val="auto"/>
                <w:lang w:val="en-GB" w:eastAsia="en-US"/>
              </w:rPr>
              <w:t>4.</w:t>
            </w:r>
            <w:r w:rsidR="007A5E5E" w:rsidRPr="00106626">
              <w:rPr>
                <w:rFonts w:eastAsiaTheme="minorHAnsi"/>
                <w:noProof w:val="0"/>
                <w:color w:val="auto"/>
                <w:lang w:val="en-GB" w:eastAsia="en-US"/>
              </w:rPr>
              <w:t>8 s</w:t>
            </w:r>
          </w:p>
        </w:tc>
      </w:tr>
      <w:tr w:rsidR="00C11449" w:rsidRPr="00106626" w14:paraId="63D1D3BD" w14:textId="77777777" w:rsidTr="00A33949">
        <w:trPr>
          <w:jc w:val="center"/>
        </w:trPr>
        <w:tc>
          <w:tcPr>
            <w:tcW w:w="1414" w:type="dxa"/>
            <w:vMerge/>
            <w:tcBorders>
              <w:bottom w:val="single" w:sz="8" w:space="0" w:color="auto"/>
            </w:tcBorders>
            <w:shd w:val="clear" w:color="auto" w:fill="auto"/>
            <w:vAlign w:val="center"/>
          </w:tcPr>
          <w:p w14:paraId="1736AA70" w14:textId="77777777" w:rsidR="00C11449" w:rsidRPr="00106626" w:rsidRDefault="00C11449" w:rsidP="00441A6C">
            <w:pPr>
              <w:autoSpaceDE w:val="0"/>
              <w:autoSpaceDN w:val="0"/>
              <w:adjustRightInd w:val="0"/>
              <w:snapToGrid w:val="0"/>
              <w:spacing w:line="240" w:lineRule="auto"/>
              <w:jc w:val="center"/>
              <w:rPr>
                <w:rFonts w:eastAsiaTheme="minorHAnsi"/>
                <w:noProof w:val="0"/>
                <w:color w:val="auto"/>
                <w:lang w:val="en-GB" w:eastAsia="en-US"/>
              </w:rPr>
            </w:pPr>
          </w:p>
        </w:tc>
        <w:tc>
          <w:tcPr>
            <w:tcW w:w="2270" w:type="dxa"/>
            <w:tcBorders>
              <w:top w:val="nil"/>
              <w:bottom w:val="single" w:sz="8" w:space="0" w:color="auto"/>
            </w:tcBorders>
            <w:shd w:val="clear" w:color="auto" w:fill="auto"/>
            <w:vAlign w:val="center"/>
          </w:tcPr>
          <w:p w14:paraId="273543C9" w14:textId="77777777" w:rsidR="00C11449" w:rsidRPr="00106626" w:rsidRDefault="00C11449" w:rsidP="00441A6C">
            <w:pPr>
              <w:autoSpaceDE w:val="0"/>
              <w:autoSpaceDN w:val="0"/>
              <w:adjustRightInd w:val="0"/>
              <w:snapToGrid w:val="0"/>
              <w:spacing w:line="240" w:lineRule="auto"/>
              <w:jc w:val="center"/>
              <w:rPr>
                <w:rFonts w:eastAsiaTheme="minorHAnsi"/>
                <w:noProof w:val="0"/>
                <w:color w:val="auto"/>
                <w:lang w:val="en-GB" w:eastAsia="en-US"/>
              </w:rPr>
            </w:pPr>
            <w:r w:rsidRPr="00106626">
              <w:rPr>
                <w:rFonts w:eastAsiaTheme="minorHAnsi"/>
                <w:noProof w:val="0"/>
                <w:color w:val="auto"/>
                <w:lang w:val="en-GB" w:eastAsia="en-US"/>
              </w:rPr>
              <w:t>2 hr period after HW</w:t>
            </w:r>
          </w:p>
        </w:tc>
        <w:tc>
          <w:tcPr>
            <w:tcW w:w="1560" w:type="dxa"/>
            <w:tcBorders>
              <w:top w:val="nil"/>
              <w:bottom w:val="single" w:sz="8" w:space="0" w:color="auto"/>
            </w:tcBorders>
            <w:shd w:val="clear" w:color="auto" w:fill="auto"/>
            <w:vAlign w:val="center"/>
          </w:tcPr>
          <w:p w14:paraId="4176393B" w14:textId="1C42E000" w:rsidR="00C11449" w:rsidRPr="00106626" w:rsidRDefault="00C11449" w:rsidP="00441A6C">
            <w:pPr>
              <w:autoSpaceDE w:val="0"/>
              <w:autoSpaceDN w:val="0"/>
              <w:adjustRightInd w:val="0"/>
              <w:snapToGrid w:val="0"/>
              <w:spacing w:line="240" w:lineRule="auto"/>
              <w:jc w:val="center"/>
              <w:rPr>
                <w:rFonts w:eastAsiaTheme="minorHAnsi"/>
                <w:noProof w:val="0"/>
                <w:color w:val="auto"/>
                <w:lang w:val="en-GB" w:eastAsia="en-US"/>
              </w:rPr>
            </w:pPr>
            <w:r w:rsidRPr="00106626">
              <w:rPr>
                <w:rFonts w:eastAsiaTheme="minorHAnsi"/>
                <w:noProof w:val="0"/>
                <w:color w:val="auto"/>
                <w:lang w:val="en-GB" w:eastAsia="en-US"/>
              </w:rPr>
              <w:t>1.</w:t>
            </w:r>
            <w:r w:rsidR="007A5E5E" w:rsidRPr="00106626">
              <w:rPr>
                <w:rFonts w:eastAsiaTheme="minorHAnsi"/>
                <w:noProof w:val="0"/>
                <w:color w:val="auto"/>
                <w:lang w:val="en-GB" w:eastAsia="en-US"/>
              </w:rPr>
              <w:t>3 m</w:t>
            </w:r>
          </w:p>
        </w:tc>
        <w:tc>
          <w:tcPr>
            <w:tcW w:w="1845" w:type="dxa"/>
            <w:tcBorders>
              <w:top w:val="nil"/>
              <w:bottom w:val="single" w:sz="8" w:space="0" w:color="auto"/>
            </w:tcBorders>
            <w:shd w:val="clear" w:color="auto" w:fill="auto"/>
            <w:vAlign w:val="center"/>
          </w:tcPr>
          <w:p w14:paraId="6F7E63A6" w14:textId="27F9BE8F" w:rsidR="00C11449" w:rsidRPr="00106626" w:rsidRDefault="00C11449" w:rsidP="00441A6C">
            <w:pPr>
              <w:autoSpaceDE w:val="0"/>
              <w:autoSpaceDN w:val="0"/>
              <w:adjustRightInd w:val="0"/>
              <w:snapToGrid w:val="0"/>
              <w:spacing w:line="240" w:lineRule="auto"/>
              <w:jc w:val="center"/>
              <w:rPr>
                <w:rFonts w:eastAsiaTheme="minorHAnsi"/>
                <w:noProof w:val="0"/>
                <w:color w:val="auto"/>
                <w:lang w:val="en-GB" w:eastAsia="en-US"/>
              </w:rPr>
            </w:pPr>
            <w:r w:rsidRPr="00106626">
              <w:rPr>
                <w:rFonts w:eastAsiaTheme="minorHAnsi"/>
                <w:noProof w:val="0"/>
                <w:color w:val="auto"/>
                <w:lang w:val="en-GB" w:eastAsia="en-US"/>
              </w:rPr>
              <w:t>1.</w:t>
            </w:r>
            <w:r w:rsidR="007A5E5E" w:rsidRPr="00106626">
              <w:rPr>
                <w:rFonts w:eastAsiaTheme="minorHAnsi"/>
                <w:noProof w:val="0"/>
                <w:color w:val="auto"/>
                <w:lang w:val="en-GB" w:eastAsia="en-US"/>
              </w:rPr>
              <w:t>6 m</w:t>
            </w:r>
          </w:p>
        </w:tc>
        <w:tc>
          <w:tcPr>
            <w:tcW w:w="1631" w:type="dxa"/>
            <w:tcBorders>
              <w:top w:val="nil"/>
              <w:bottom w:val="single" w:sz="8" w:space="0" w:color="auto"/>
            </w:tcBorders>
            <w:shd w:val="clear" w:color="auto" w:fill="auto"/>
            <w:vAlign w:val="center"/>
          </w:tcPr>
          <w:p w14:paraId="5EC1C1A0" w14:textId="449AF8E7" w:rsidR="00C11449" w:rsidRPr="00106626" w:rsidRDefault="00C11449" w:rsidP="00441A6C">
            <w:pPr>
              <w:autoSpaceDE w:val="0"/>
              <w:autoSpaceDN w:val="0"/>
              <w:adjustRightInd w:val="0"/>
              <w:snapToGrid w:val="0"/>
              <w:spacing w:line="240" w:lineRule="auto"/>
              <w:jc w:val="center"/>
              <w:rPr>
                <w:rFonts w:eastAsiaTheme="minorHAnsi"/>
                <w:noProof w:val="0"/>
                <w:color w:val="auto"/>
                <w:lang w:val="en-GB" w:eastAsia="en-US"/>
              </w:rPr>
            </w:pPr>
            <w:r w:rsidRPr="00106626">
              <w:rPr>
                <w:rFonts w:eastAsiaTheme="minorHAnsi"/>
                <w:noProof w:val="0"/>
                <w:color w:val="auto"/>
                <w:lang w:val="en-GB" w:eastAsia="en-US"/>
              </w:rPr>
              <w:t>5.</w:t>
            </w:r>
            <w:r w:rsidR="007A5E5E" w:rsidRPr="00106626">
              <w:rPr>
                <w:rFonts w:eastAsiaTheme="minorHAnsi"/>
                <w:noProof w:val="0"/>
                <w:color w:val="auto"/>
                <w:lang w:val="en-GB" w:eastAsia="en-US"/>
              </w:rPr>
              <w:t xml:space="preserve">4 </w:t>
            </w:r>
            <w:r w:rsidR="004F5B79">
              <w:rPr>
                <w:rFonts w:eastAsiaTheme="minorHAnsi"/>
                <w:noProof w:val="0"/>
                <w:color w:val="auto"/>
                <w:lang w:val="en-GB" w:eastAsia="en-US"/>
              </w:rPr>
              <w:t>s</w:t>
            </w:r>
          </w:p>
        </w:tc>
        <w:tc>
          <w:tcPr>
            <w:tcW w:w="1745" w:type="dxa"/>
            <w:tcBorders>
              <w:top w:val="nil"/>
              <w:bottom w:val="single" w:sz="8" w:space="0" w:color="auto"/>
            </w:tcBorders>
            <w:shd w:val="clear" w:color="auto" w:fill="auto"/>
            <w:vAlign w:val="center"/>
          </w:tcPr>
          <w:p w14:paraId="4A2E0DBC" w14:textId="5033C865" w:rsidR="00C11449" w:rsidRPr="00106626" w:rsidRDefault="00C11449" w:rsidP="00441A6C">
            <w:pPr>
              <w:autoSpaceDE w:val="0"/>
              <w:autoSpaceDN w:val="0"/>
              <w:adjustRightInd w:val="0"/>
              <w:snapToGrid w:val="0"/>
              <w:spacing w:line="240" w:lineRule="auto"/>
              <w:jc w:val="center"/>
              <w:rPr>
                <w:rFonts w:eastAsiaTheme="minorHAnsi"/>
                <w:noProof w:val="0"/>
                <w:color w:val="auto"/>
                <w:lang w:val="en-GB" w:eastAsia="en-US"/>
              </w:rPr>
            </w:pPr>
            <w:r w:rsidRPr="00106626">
              <w:rPr>
                <w:rFonts w:eastAsiaTheme="minorHAnsi"/>
                <w:noProof w:val="0"/>
                <w:color w:val="auto"/>
                <w:lang w:val="en-GB" w:eastAsia="en-US"/>
              </w:rPr>
              <w:t>5.</w:t>
            </w:r>
            <w:r w:rsidR="007A5E5E" w:rsidRPr="00106626">
              <w:rPr>
                <w:rFonts w:eastAsiaTheme="minorHAnsi"/>
                <w:noProof w:val="0"/>
                <w:color w:val="auto"/>
                <w:lang w:val="en-GB" w:eastAsia="en-US"/>
              </w:rPr>
              <w:t>3 s</w:t>
            </w:r>
          </w:p>
        </w:tc>
      </w:tr>
    </w:tbl>
    <w:p w14:paraId="4F613649" w14:textId="3FBACCF4" w:rsidR="003B2643" w:rsidRPr="00106626" w:rsidRDefault="003B2643" w:rsidP="00C11449">
      <w:pPr>
        <w:pStyle w:val="MDPI31text"/>
        <w:spacing w:before="240"/>
        <w:rPr>
          <w:lang w:val="en-GB"/>
        </w:rPr>
      </w:pPr>
      <w:r w:rsidRPr="00106626">
        <w:rPr>
          <w:lang w:val="en-GB"/>
        </w:rPr>
        <w:t>The GNSS buoy results compare well with the Cleveleys wave buoy data, giving similar significant wave heights and spectral peak periods. Significant wave height di</w:t>
      </w:r>
      <w:r w:rsidRPr="00106626">
        <w:rPr>
          <w:lang w:val="en-GB"/>
        </w:rPr>
        <w:t>f</w:t>
      </w:r>
      <w:r w:rsidRPr="00106626">
        <w:rPr>
          <w:lang w:val="en-GB"/>
        </w:rPr>
        <w:t>ferences vary between 0.0 and 0.</w:t>
      </w:r>
      <w:r w:rsidR="007A5E5E" w:rsidRPr="00106626">
        <w:rPr>
          <w:lang w:val="en-GB"/>
        </w:rPr>
        <w:t>3 m</w:t>
      </w:r>
      <w:r w:rsidR="00F101D7">
        <w:rPr>
          <w:lang w:val="en-GB"/>
        </w:rPr>
        <w:t>;</w:t>
      </w:r>
      <w:r w:rsidRPr="00106626">
        <w:rPr>
          <w:lang w:val="en-GB"/>
        </w:rPr>
        <w:t xml:space="preserve"> however</w:t>
      </w:r>
      <w:r w:rsidR="00F101D7">
        <w:rPr>
          <w:lang w:val="en-GB"/>
        </w:rPr>
        <w:t>,</w:t>
      </w:r>
      <w:r w:rsidRPr="00106626">
        <w:rPr>
          <w:lang w:val="en-GB"/>
        </w:rPr>
        <w:t xml:space="preserve"> in general they are a very close match and indicate that the GNSS buoy is capable of measuring waves as well as a commercial wave buoy. Differences in spectral peak periods within 0.1 </w:t>
      </w:r>
      <w:r w:rsidR="00B73459" w:rsidRPr="00106626">
        <w:rPr>
          <w:lang w:val="en-GB"/>
        </w:rPr>
        <w:t>s</w:t>
      </w:r>
      <w:r w:rsidRPr="00106626">
        <w:rPr>
          <w:lang w:val="en-GB"/>
        </w:rPr>
        <w:t xml:space="preserve"> are also very similar. The results here also indicate that wave heights and wave periods increased over the two tidal c</w:t>
      </w:r>
      <w:r w:rsidRPr="00106626">
        <w:rPr>
          <w:lang w:val="en-GB"/>
        </w:rPr>
        <w:t>y</w:t>
      </w:r>
      <w:r w:rsidRPr="00106626">
        <w:rPr>
          <w:lang w:val="en-GB"/>
        </w:rPr>
        <w:t>cles, and this can also be seen in the sea level data variations (Figures 10 and 11).</w:t>
      </w:r>
    </w:p>
    <w:p w14:paraId="5F6C770B" w14:textId="7079C93A" w:rsidR="003B2643" w:rsidRPr="00106626" w:rsidRDefault="00342B0D" w:rsidP="00342B0D">
      <w:pPr>
        <w:pStyle w:val="MDPI21heading1"/>
        <w:rPr>
          <w:lang w:val="en-GB"/>
        </w:rPr>
      </w:pPr>
      <w:r w:rsidRPr="00106626">
        <w:rPr>
          <w:lang w:val="en-GB"/>
        </w:rPr>
        <w:t xml:space="preserve">5. </w:t>
      </w:r>
      <w:r w:rsidR="003B2643" w:rsidRPr="00106626">
        <w:rPr>
          <w:lang w:val="en-GB"/>
        </w:rPr>
        <w:t>Conclusion</w:t>
      </w:r>
      <w:r w:rsidR="00653E94" w:rsidRPr="00106626">
        <w:rPr>
          <w:lang w:val="en-GB"/>
        </w:rPr>
        <w:t>s</w:t>
      </w:r>
    </w:p>
    <w:p w14:paraId="5F1FC9BF" w14:textId="1A5EC619" w:rsidR="003B2643" w:rsidRPr="00106626" w:rsidRDefault="003B2643" w:rsidP="00C96CFD">
      <w:pPr>
        <w:pStyle w:val="MDPI31text"/>
        <w:rPr>
          <w:lang w:val="en-GB"/>
        </w:rPr>
      </w:pPr>
      <w:r w:rsidRPr="00106626">
        <w:rPr>
          <w:lang w:val="en-GB"/>
        </w:rPr>
        <w:t>The GNSS buoy recorded data in very challenging conditions and provided both sea-level and wave data. These GNSS data show that the tidal elevations are a closer match to tide gauge data at Liverpool than at Heysham, although there may be subtle differences especially during the flood tide</w:t>
      </w:r>
      <w:r w:rsidR="00F101D7">
        <w:rPr>
          <w:lang w:val="en-GB"/>
        </w:rPr>
        <w:t>;</w:t>
      </w:r>
      <w:r w:rsidRPr="00106626">
        <w:rPr>
          <w:lang w:val="en-GB"/>
        </w:rPr>
        <w:t xml:space="preserve"> however</w:t>
      </w:r>
      <w:r w:rsidR="00F101D7">
        <w:rPr>
          <w:lang w:val="en-GB"/>
        </w:rPr>
        <w:t>,</w:t>
      </w:r>
      <w:r w:rsidRPr="00106626">
        <w:rPr>
          <w:lang w:val="en-GB"/>
        </w:rPr>
        <w:t xml:space="preserve"> during the ebb periods the co</w:t>
      </w:r>
      <w:r w:rsidRPr="00106626">
        <w:rPr>
          <w:lang w:val="en-GB"/>
        </w:rPr>
        <w:t>m</w:t>
      </w:r>
      <w:r w:rsidRPr="00106626">
        <w:rPr>
          <w:lang w:val="en-GB"/>
        </w:rPr>
        <w:t>parison with GNSS 900</w:t>
      </w:r>
      <w:r w:rsidR="00164CD6">
        <w:rPr>
          <w:lang w:val="en-GB"/>
        </w:rPr>
        <w:t xml:space="preserve"> </w:t>
      </w:r>
      <w:r w:rsidRPr="00106626">
        <w:rPr>
          <w:lang w:val="en-GB"/>
        </w:rPr>
        <w:t>s average and Liverpool 15</w:t>
      </w:r>
      <w:r w:rsidR="00164CD6">
        <w:rPr>
          <w:lang w:val="en-GB"/>
        </w:rPr>
        <w:t xml:space="preserve"> </w:t>
      </w:r>
      <w:r w:rsidR="00B73459" w:rsidRPr="00106626">
        <w:rPr>
          <w:lang w:val="en-GB"/>
        </w:rPr>
        <w:t>min</w:t>
      </w:r>
      <w:r w:rsidRPr="00106626">
        <w:rPr>
          <w:lang w:val="en-GB"/>
        </w:rPr>
        <w:t xml:space="preserve"> data produced a mean difference </w:t>
      </w:r>
      <w:r w:rsidR="00F62E8E" w:rsidRPr="00106626">
        <w:rPr>
          <w:lang w:val="en-GB"/>
        </w:rPr>
        <w:lastRenderedPageBreak/>
        <w:t>−</w:t>
      </w:r>
      <w:r w:rsidRPr="00106626">
        <w:rPr>
          <w:lang w:val="en-GB"/>
        </w:rPr>
        <w:t>0.0</w:t>
      </w:r>
      <w:r w:rsidR="007A5E5E" w:rsidRPr="00106626">
        <w:rPr>
          <w:lang w:val="en-GB"/>
        </w:rPr>
        <w:t>2 m</w:t>
      </w:r>
      <w:r w:rsidRPr="00106626">
        <w:rPr>
          <w:lang w:val="en-GB"/>
        </w:rPr>
        <w:t>, standard deviation difference 0.0</w:t>
      </w:r>
      <w:r w:rsidR="007A5E5E" w:rsidRPr="00106626">
        <w:rPr>
          <w:lang w:val="en-GB"/>
        </w:rPr>
        <w:t>3 m</w:t>
      </w:r>
      <w:r w:rsidRPr="00106626">
        <w:rPr>
          <w:lang w:val="en-GB"/>
        </w:rPr>
        <w:t xml:space="preserve"> and RMSE difference 0.0</w:t>
      </w:r>
      <w:r w:rsidR="007A5E5E" w:rsidRPr="00106626">
        <w:rPr>
          <w:lang w:val="en-GB"/>
        </w:rPr>
        <w:t>4 m</w:t>
      </w:r>
      <w:r w:rsidRPr="00106626">
        <w:rPr>
          <w:lang w:val="en-GB"/>
        </w:rPr>
        <w:t xml:space="preserve">. </w:t>
      </w:r>
      <w:r w:rsidR="00136CF7">
        <w:rPr>
          <w:lang w:val="en-GB"/>
        </w:rPr>
        <w:t>In addition</w:t>
      </w:r>
      <w:r w:rsidRPr="00106626">
        <w:rPr>
          <w:lang w:val="en-GB"/>
        </w:rPr>
        <w:t>, the GNSS buoy recorded almost indistinguishable significant wave heights (differences between 0.0 and 0.</w:t>
      </w:r>
      <w:r w:rsidR="007A5E5E" w:rsidRPr="00106626">
        <w:rPr>
          <w:lang w:val="en-GB"/>
        </w:rPr>
        <w:t>3 m</w:t>
      </w:r>
      <w:r w:rsidRPr="00106626">
        <w:rPr>
          <w:lang w:val="en-GB"/>
        </w:rPr>
        <w:t xml:space="preserve">; </w:t>
      </w:r>
      <w:r w:rsidR="009E4BF9" w:rsidRPr="00106626">
        <w:rPr>
          <w:lang w:val="en-GB"/>
        </w:rPr>
        <w:t>Table 4</w:t>
      </w:r>
      <w:r w:rsidRPr="00106626">
        <w:rPr>
          <w:lang w:val="en-GB"/>
        </w:rPr>
        <w:t xml:space="preserve">) and wave periods (differences between 0.1 and 0.2 </w:t>
      </w:r>
      <w:r w:rsidR="00B73459" w:rsidRPr="00106626">
        <w:rPr>
          <w:lang w:val="en-GB"/>
        </w:rPr>
        <w:t>s</w:t>
      </w:r>
      <w:r w:rsidRPr="00106626">
        <w:rPr>
          <w:lang w:val="en-GB"/>
        </w:rPr>
        <w:t>; T</w:t>
      </w:r>
      <w:r w:rsidRPr="00106626">
        <w:rPr>
          <w:lang w:val="en-GB"/>
        </w:rPr>
        <w:t>a</w:t>
      </w:r>
      <w:r w:rsidRPr="00106626">
        <w:rPr>
          <w:lang w:val="en-GB"/>
        </w:rPr>
        <w:t xml:space="preserve">ble 4) to </w:t>
      </w:r>
      <w:r w:rsidR="00136CF7">
        <w:rPr>
          <w:lang w:val="en-GB"/>
        </w:rPr>
        <w:t xml:space="preserve">those </w:t>
      </w:r>
      <w:r w:rsidRPr="00106626">
        <w:rPr>
          <w:lang w:val="en-GB"/>
        </w:rPr>
        <w:t>measured by the Cleveleys wave buoy. It was possible to extract wave data from the poorer positional solutions during the flood tide and when there were large accelerations in the GNSS buoy.</w:t>
      </w:r>
    </w:p>
    <w:p w14:paraId="618B7BAD" w14:textId="4737A447" w:rsidR="003B2643" w:rsidRPr="00106626" w:rsidRDefault="003B2643" w:rsidP="00342B0D">
      <w:pPr>
        <w:pStyle w:val="MDPI31text"/>
        <w:rPr>
          <w:lang w:val="en-GB"/>
        </w:rPr>
      </w:pPr>
      <w:r w:rsidRPr="00106626">
        <w:rPr>
          <w:lang w:val="en-GB"/>
        </w:rPr>
        <w:t>Overall, the deployment over two tidal cycles show</w:t>
      </w:r>
      <w:r w:rsidR="00D528A0">
        <w:rPr>
          <w:lang w:val="en-GB"/>
        </w:rPr>
        <w:t>ed</w:t>
      </w:r>
      <w:r w:rsidRPr="00106626">
        <w:rPr>
          <w:lang w:val="en-GB"/>
        </w:rPr>
        <w:t xml:space="preserve"> that the GNSS buoy can pe</w:t>
      </w:r>
      <w:r w:rsidRPr="00106626">
        <w:rPr>
          <w:lang w:val="en-GB"/>
        </w:rPr>
        <w:t>r</w:t>
      </w:r>
      <w:r w:rsidRPr="00106626">
        <w:rPr>
          <w:lang w:val="en-GB"/>
        </w:rPr>
        <w:t>form within the intertidal zone, and provide acceptable sea-level and good quality wave data. In addition, it was demonstrated that these data can also be downloaded remotely which would allow for timely analysis. This approach offers considerable efficacy for determining local hydrodynamics in support of coastal monitoring or defence scheme implementation.</w:t>
      </w:r>
    </w:p>
    <w:bookmarkEnd w:id="8"/>
    <w:p w14:paraId="12776A22" w14:textId="57835FF7" w:rsidR="003B2643" w:rsidRPr="00106626" w:rsidRDefault="00342B0D" w:rsidP="00342B0D">
      <w:pPr>
        <w:pStyle w:val="MDPI62BackMatter"/>
        <w:spacing w:before="240"/>
        <w:rPr>
          <w:lang w:val="en-GB"/>
        </w:rPr>
      </w:pPr>
      <w:r w:rsidRPr="00106626">
        <w:rPr>
          <w:b/>
          <w:lang w:val="en-GB"/>
        </w:rPr>
        <w:t>Author Contribution</w:t>
      </w:r>
      <w:r w:rsidR="003B2643" w:rsidRPr="00106626">
        <w:rPr>
          <w:b/>
          <w:lang w:val="en-GB"/>
        </w:rPr>
        <w:t xml:space="preserve">s: </w:t>
      </w:r>
      <w:r w:rsidR="003B2643" w:rsidRPr="00106626">
        <w:rPr>
          <w:lang w:val="en-GB"/>
        </w:rPr>
        <w:t>P.</w:t>
      </w:r>
      <w:r w:rsidR="004236CB" w:rsidRPr="00106626">
        <w:rPr>
          <w:lang w:val="en-GB"/>
        </w:rPr>
        <w:t>J.</w:t>
      </w:r>
      <w:r w:rsidR="003B2643" w:rsidRPr="00106626">
        <w:rPr>
          <w:lang w:val="en-GB"/>
        </w:rPr>
        <w:t>K. conceived, designed and built the GNSS buoy, developed software, performed the experiments, analysed the data and wrote the original draft. A.</w:t>
      </w:r>
      <w:r w:rsidR="004236CB" w:rsidRPr="00106626">
        <w:rPr>
          <w:lang w:val="en-GB"/>
        </w:rPr>
        <w:t>J.</w:t>
      </w:r>
      <w:r w:rsidR="003B2643" w:rsidRPr="00106626">
        <w:rPr>
          <w:lang w:val="en-GB"/>
        </w:rPr>
        <w:t>P. reviewed and edited the final draft. A.</w:t>
      </w:r>
      <w:r w:rsidR="004236CB" w:rsidRPr="00106626">
        <w:rPr>
          <w:lang w:val="en-GB"/>
        </w:rPr>
        <w:t>J.</w:t>
      </w:r>
      <w:r w:rsidR="003B2643" w:rsidRPr="00106626">
        <w:rPr>
          <w:lang w:val="en-GB"/>
        </w:rPr>
        <w:t>P. and J.H. provided supervision. C.</w:t>
      </w:r>
      <w:r w:rsidR="004236CB" w:rsidRPr="00106626">
        <w:rPr>
          <w:lang w:val="en-GB"/>
        </w:rPr>
        <w:t>O.</w:t>
      </w:r>
      <w:r w:rsidR="003B2643" w:rsidRPr="00106626">
        <w:rPr>
          <w:lang w:val="en-GB"/>
        </w:rPr>
        <w:t>B. and A.S. provided project a</w:t>
      </w:r>
      <w:r w:rsidR="003B2643" w:rsidRPr="00106626">
        <w:rPr>
          <w:lang w:val="en-GB"/>
        </w:rPr>
        <w:t>d</w:t>
      </w:r>
      <w:r w:rsidR="003B2643" w:rsidRPr="00106626">
        <w:rPr>
          <w:lang w:val="en-GB"/>
        </w:rPr>
        <w:t>ministration and resources. All authors have read and agreed to the published version of the manuscript.</w:t>
      </w:r>
    </w:p>
    <w:p w14:paraId="0A2F5BD8" w14:textId="395F7648" w:rsidR="003B2643" w:rsidRPr="00AB2294" w:rsidRDefault="003B2643" w:rsidP="00342B0D">
      <w:pPr>
        <w:pStyle w:val="MDPI62BackMatter"/>
        <w:rPr>
          <w:lang w:val="en-GB"/>
        </w:rPr>
      </w:pPr>
      <w:r w:rsidRPr="00106626">
        <w:rPr>
          <w:b/>
          <w:lang w:val="en-GB"/>
        </w:rPr>
        <w:t>Funding:</w:t>
      </w:r>
      <w:r w:rsidRPr="00106626">
        <w:rPr>
          <w:lang w:val="en-GB"/>
        </w:rPr>
        <w:t xml:space="preserve"> The research is part of a PhD study funded by the “Low Carbon Eco-Innovatory (LCEI)—</w:t>
      </w:r>
      <w:r w:rsidRPr="00AB2294">
        <w:rPr>
          <w:lang w:val="en-GB"/>
        </w:rPr>
        <w:t xml:space="preserve">Liverpool University” </w:t>
      </w:r>
      <w:r w:rsidRPr="00AB2294">
        <w:rPr>
          <w:color w:val="auto"/>
          <w:lang w:val="en-GB"/>
        </w:rPr>
        <w:t>(</w:t>
      </w:r>
      <w:hyperlink r:id="rId31" w:history="1">
        <w:r w:rsidR="00D40770" w:rsidRPr="00AB2294">
          <w:rPr>
            <w:rStyle w:val="Hyperlink"/>
            <w:color w:val="auto"/>
            <w:u w:val="none"/>
            <w:lang w:val="en-GB"/>
          </w:rPr>
          <w:t>www.liverpool.ac.uk/environmental-sciences/working-with-business</w:t>
        </w:r>
      </w:hyperlink>
      <w:r w:rsidRPr="00AB2294">
        <w:rPr>
          <w:color w:val="auto"/>
          <w:lang w:val="en-GB"/>
        </w:rPr>
        <w:t>)</w:t>
      </w:r>
      <w:r w:rsidR="00D40770" w:rsidRPr="00AB2294">
        <w:rPr>
          <w:lang w:val="en-GB"/>
        </w:rPr>
        <w:t xml:space="preserve"> (accessed on</w:t>
      </w:r>
      <w:r w:rsidR="00A02FD9" w:rsidRPr="00AB2294">
        <w:rPr>
          <w:lang w:val="en-GB"/>
        </w:rPr>
        <w:t xml:space="preserve"> 1</w:t>
      </w:r>
      <w:r w:rsidR="00A02FD9" w:rsidRPr="00AB2294">
        <w:rPr>
          <w:vertAlign w:val="superscript"/>
          <w:lang w:val="en-GB"/>
        </w:rPr>
        <w:t>st</w:t>
      </w:r>
      <w:r w:rsidR="00A02FD9" w:rsidRPr="00AB2294">
        <w:rPr>
          <w:lang w:val="en-GB"/>
        </w:rPr>
        <w:t xml:space="preserve"> May 2021</w:t>
      </w:r>
      <w:r w:rsidR="00D40770" w:rsidRPr="00AB2294">
        <w:rPr>
          <w:lang w:val="en-GB"/>
        </w:rPr>
        <w:t>)</w:t>
      </w:r>
      <w:r w:rsidRPr="00AB2294">
        <w:rPr>
          <w:lang w:val="en-GB"/>
        </w:rPr>
        <w:t xml:space="preserve">, with industrial partner </w:t>
      </w:r>
      <w:bookmarkStart w:id="22" w:name="OLE_LINK3"/>
      <w:r w:rsidRPr="00AB2294">
        <w:rPr>
          <w:lang w:val="en-GB"/>
        </w:rPr>
        <w:t>MM Sensors Ltd.</w:t>
      </w:r>
      <w:bookmarkEnd w:id="22"/>
      <w:r w:rsidR="00A02FD9" w:rsidRPr="00AB2294">
        <w:rPr>
          <w:lang w:val="en-GB"/>
        </w:rPr>
        <w:t>, Liverpool, UK.</w:t>
      </w:r>
    </w:p>
    <w:p w14:paraId="7F899F05" w14:textId="63253681" w:rsidR="00342B0D" w:rsidRPr="00AB2294" w:rsidRDefault="00342B0D" w:rsidP="00342B0D">
      <w:pPr>
        <w:pStyle w:val="MDPI62BackMatter"/>
        <w:rPr>
          <w:lang w:val="en-GB"/>
        </w:rPr>
      </w:pPr>
      <w:r w:rsidRPr="00AB2294">
        <w:rPr>
          <w:b/>
          <w:lang w:val="en-GB"/>
        </w:rPr>
        <w:t xml:space="preserve">Institutional Review Board Statement: </w:t>
      </w:r>
      <w:r w:rsidR="00F10651" w:rsidRPr="00AB2294">
        <w:rPr>
          <w:lang w:val="en-GB"/>
        </w:rPr>
        <w:t>Not applicable</w:t>
      </w:r>
      <w:r w:rsidR="00A02FD9" w:rsidRPr="00AB2294">
        <w:rPr>
          <w:lang w:val="en-GB"/>
        </w:rPr>
        <w:t>.</w:t>
      </w:r>
    </w:p>
    <w:p w14:paraId="016A9122" w14:textId="6097EF51" w:rsidR="00342B0D" w:rsidRPr="00AB2294" w:rsidRDefault="00342B0D" w:rsidP="00342B0D">
      <w:pPr>
        <w:pStyle w:val="MDPI62BackMatter"/>
        <w:rPr>
          <w:lang w:val="en-GB"/>
        </w:rPr>
      </w:pPr>
      <w:r w:rsidRPr="00AB2294">
        <w:rPr>
          <w:b/>
          <w:lang w:val="en-GB"/>
        </w:rPr>
        <w:t xml:space="preserve">Informed Consent Statement: </w:t>
      </w:r>
      <w:r w:rsidR="00A02FD9" w:rsidRPr="00AB2294">
        <w:rPr>
          <w:lang w:val="en-GB"/>
        </w:rPr>
        <w:t>Not applicable.</w:t>
      </w:r>
    </w:p>
    <w:p w14:paraId="4E79F0D2" w14:textId="348B001C" w:rsidR="00342B0D" w:rsidRPr="00AB2294" w:rsidRDefault="00342B0D" w:rsidP="00342B0D">
      <w:pPr>
        <w:pStyle w:val="MDPI62BackMatter"/>
        <w:rPr>
          <w:lang w:val="en-GB"/>
        </w:rPr>
      </w:pPr>
      <w:r w:rsidRPr="00AB2294">
        <w:rPr>
          <w:b/>
          <w:lang w:val="en-GB"/>
        </w:rPr>
        <w:t xml:space="preserve">Data Availability Statement: </w:t>
      </w:r>
      <w:r w:rsidR="00A02FD9" w:rsidRPr="00AB2294">
        <w:t xml:space="preserve"> </w:t>
      </w:r>
      <w:r w:rsidR="00A02FD9" w:rsidRPr="00AB2294">
        <w:rPr>
          <w:lang w:val="en-GB"/>
        </w:rPr>
        <w:t>The data presented in this study are available on request from the author.</w:t>
      </w:r>
    </w:p>
    <w:p w14:paraId="55E31781" w14:textId="602F17EE" w:rsidR="003B2643" w:rsidRPr="00106626" w:rsidRDefault="003B2643" w:rsidP="00342B0D">
      <w:pPr>
        <w:pStyle w:val="MDPI62BackMatter"/>
        <w:rPr>
          <w:lang w:val="en-GB"/>
        </w:rPr>
      </w:pPr>
      <w:r w:rsidRPr="00106626">
        <w:rPr>
          <w:b/>
          <w:lang w:val="en-GB"/>
        </w:rPr>
        <w:t xml:space="preserve">Acknowledgments: </w:t>
      </w:r>
      <w:r w:rsidRPr="00106626">
        <w:rPr>
          <w:lang w:val="en-GB"/>
        </w:rPr>
        <w:t xml:space="preserve">The authors would like to thank Wyre Council for general support, and </w:t>
      </w:r>
      <w:r w:rsidR="00E1226C">
        <w:rPr>
          <w:lang w:val="en-GB"/>
        </w:rPr>
        <w:t xml:space="preserve">the Applications Team </w:t>
      </w:r>
      <w:r w:rsidRPr="00106626">
        <w:rPr>
          <w:lang w:val="en-GB"/>
        </w:rPr>
        <w:t>at the National Oceanography Centre for access to the POLTIPS-3 coastal tidal prediction software. The research is part of a PhD study funded by the “Low Carbon Eco-Innovatory (LCEI)—</w:t>
      </w:r>
      <w:r w:rsidRPr="00AB2294">
        <w:rPr>
          <w:lang w:val="en-GB"/>
        </w:rPr>
        <w:t xml:space="preserve">Liverpool University” </w:t>
      </w:r>
      <w:r w:rsidRPr="00AB2294">
        <w:rPr>
          <w:color w:val="auto"/>
          <w:lang w:val="en-GB"/>
        </w:rPr>
        <w:t>(</w:t>
      </w:r>
      <w:hyperlink r:id="rId32" w:history="1">
        <w:r w:rsidR="00991392" w:rsidRPr="00AB2294">
          <w:rPr>
            <w:rStyle w:val="Hyperlink"/>
            <w:color w:val="auto"/>
            <w:u w:val="none"/>
            <w:lang w:val="en-GB"/>
          </w:rPr>
          <w:t>www.liverpool.ac.uk/environmental-sciences/working-with-business</w:t>
        </w:r>
      </w:hyperlink>
      <w:r w:rsidRPr="00AB2294">
        <w:rPr>
          <w:color w:val="auto"/>
          <w:lang w:val="en-GB"/>
        </w:rPr>
        <w:t>)</w:t>
      </w:r>
      <w:r w:rsidR="00991392" w:rsidRPr="00AB2294">
        <w:rPr>
          <w:color w:val="auto"/>
          <w:lang w:val="en-GB"/>
        </w:rPr>
        <w:t xml:space="preserve"> </w:t>
      </w:r>
      <w:r w:rsidR="00991392" w:rsidRPr="00AB2294">
        <w:rPr>
          <w:lang w:val="en-GB"/>
        </w:rPr>
        <w:t>(accessed on</w:t>
      </w:r>
      <w:r w:rsidR="000C1084" w:rsidRPr="00AB2294">
        <w:rPr>
          <w:lang w:val="en-GB"/>
        </w:rPr>
        <w:t xml:space="preserve"> 1</w:t>
      </w:r>
      <w:r w:rsidR="000C1084" w:rsidRPr="00AB2294">
        <w:rPr>
          <w:vertAlign w:val="superscript"/>
          <w:lang w:val="en-GB"/>
        </w:rPr>
        <w:t>st</w:t>
      </w:r>
      <w:r w:rsidR="000C1084" w:rsidRPr="00AB2294">
        <w:rPr>
          <w:lang w:val="en-GB"/>
        </w:rPr>
        <w:t xml:space="preserve"> May 2021</w:t>
      </w:r>
      <w:r w:rsidR="00991392" w:rsidRPr="00AB2294">
        <w:rPr>
          <w:lang w:val="en-GB"/>
        </w:rPr>
        <w:t>)</w:t>
      </w:r>
      <w:r w:rsidRPr="00AB2294">
        <w:rPr>
          <w:lang w:val="en-GB"/>
        </w:rPr>
        <w:t>, with industrial</w:t>
      </w:r>
      <w:r w:rsidRPr="00106626">
        <w:rPr>
          <w:lang w:val="en-GB"/>
        </w:rPr>
        <w:t xml:space="preserve"> partner MM Sensors Ltd</w:t>
      </w:r>
      <w:r w:rsidR="000C1084">
        <w:rPr>
          <w:lang w:val="en-GB"/>
        </w:rPr>
        <w:t>., Liverpool, UK</w:t>
      </w:r>
      <w:r w:rsidRPr="00106626">
        <w:rPr>
          <w:lang w:val="en-GB"/>
        </w:rPr>
        <w:t xml:space="preserve">. This paper contributes to Work Package 4 of the UK NERC-funded </w:t>
      </w:r>
      <w:proofErr w:type="spellStart"/>
      <w:r w:rsidRPr="00106626">
        <w:rPr>
          <w:lang w:val="en-GB"/>
        </w:rPr>
        <w:t>BLUEcoast</w:t>
      </w:r>
      <w:proofErr w:type="spellEnd"/>
      <w:r w:rsidRPr="00106626">
        <w:rPr>
          <w:lang w:val="en-GB"/>
        </w:rPr>
        <w:t xml:space="preserve"> project (NE/N015614/1).</w:t>
      </w:r>
    </w:p>
    <w:p w14:paraId="040985E3" w14:textId="77777777" w:rsidR="003B2643" w:rsidRPr="00106626" w:rsidRDefault="003B2643" w:rsidP="00342B0D">
      <w:pPr>
        <w:pStyle w:val="MDPI62BackMatter"/>
        <w:rPr>
          <w:lang w:val="en-GB"/>
        </w:rPr>
      </w:pPr>
      <w:r w:rsidRPr="00106626">
        <w:rPr>
          <w:b/>
          <w:lang w:val="en-GB"/>
        </w:rPr>
        <w:t xml:space="preserve">Conflicts of Interest: </w:t>
      </w:r>
      <w:r w:rsidRPr="00106626">
        <w:rPr>
          <w:lang w:val="en-GB"/>
        </w:rPr>
        <w:t>The authors declare no conflict of interest.</w:t>
      </w:r>
    </w:p>
    <w:p w14:paraId="2D1FA217" w14:textId="77777777" w:rsidR="008E6BF2" w:rsidRPr="007B1F28" w:rsidRDefault="008E6BF2" w:rsidP="008E6BF2">
      <w:pPr>
        <w:pStyle w:val="MDPI21heading1"/>
        <w:ind w:left="0"/>
        <w:rPr>
          <w:highlight w:val="yellow"/>
        </w:rPr>
      </w:pPr>
      <w:r w:rsidRPr="007C272D">
        <w:t>References</w:t>
      </w:r>
    </w:p>
    <w:p w14:paraId="319A2898" w14:textId="77777777" w:rsidR="008E6BF2" w:rsidRPr="001169B9" w:rsidRDefault="008E6BF2" w:rsidP="008E6BF2">
      <w:pPr>
        <w:pStyle w:val="EndNoteBibliography"/>
        <w:numPr>
          <w:ilvl w:val="0"/>
          <w:numId w:val="23"/>
        </w:numPr>
        <w:adjustRightInd w:val="0"/>
        <w:snapToGrid w:val="0"/>
        <w:spacing w:line="228" w:lineRule="auto"/>
        <w:ind w:left="425" w:hanging="425"/>
        <w:rPr>
          <w:color w:val="auto"/>
        </w:rPr>
      </w:pPr>
      <w:r w:rsidRPr="001169B9">
        <w:rPr>
          <w:color w:val="auto"/>
        </w:rPr>
        <w:t xml:space="preserve">Bird, C.O.; Bell, P.S.; Plater, A.J. Application of marine radar to monitoring seasonal and event-based changes in intertidal morphology. </w:t>
      </w:r>
      <w:r w:rsidRPr="001169B9">
        <w:rPr>
          <w:i/>
          <w:color w:val="auto"/>
        </w:rPr>
        <w:t xml:space="preserve">Geomorphology </w:t>
      </w:r>
      <w:r w:rsidRPr="001169B9">
        <w:rPr>
          <w:b/>
          <w:color w:val="auto"/>
        </w:rPr>
        <w:t>2017</w:t>
      </w:r>
      <w:r w:rsidRPr="001169B9">
        <w:rPr>
          <w:color w:val="auto"/>
        </w:rPr>
        <w:t xml:space="preserve">, </w:t>
      </w:r>
      <w:r w:rsidRPr="001169B9">
        <w:rPr>
          <w:i/>
          <w:color w:val="auto"/>
        </w:rPr>
        <w:t>285</w:t>
      </w:r>
      <w:r w:rsidRPr="001169B9">
        <w:rPr>
          <w:color w:val="auto"/>
        </w:rPr>
        <w:t>, 1–15.</w:t>
      </w:r>
    </w:p>
    <w:p w14:paraId="021419B4" w14:textId="689290E1" w:rsidR="008E6BF2" w:rsidRPr="00AB2294" w:rsidRDefault="008E6BF2" w:rsidP="008E6BF2">
      <w:pPr>
        <w:pStyle w:val="EndNoteBibliography"/>
        <w:numPr>
          <w:ilvl w:val="0"/>
          <w:numId w:val="23"/>
        </w:numPr>
        <w:adjustRightInd w:val="0"/>
        <w:snapToGrid w:val="0"/>
        <w:spacing w:line="228" w:lineRule="auto"/>
        <w:ind w:left="425" w:hanging="425"/>
        <w:rPr>
          <w:color w:val="auto"/>
        </w:rPr>
      </w:pPr>
      <w:r w:rsidRPr="00AB2294">
        <w:rPr>
          <w:color w:val="auto"/>
        </w:rPr>
        <w:t>Nicholls, R.J.; Wong, P.P.; Burkett, V.; Codignotto, J.; Hay, J.; McLean, R.; Ragoonaden, S.; Woodroffe, C.D.; Abuodha, P.; Arblaster, J. Coastal Systems and Low-Lying Areas. 2007. Available online:</w:t>
      </w:r>
      <w:r w:rsidR="00EA201F" w:rsidRPr="00AB2294">
        <w:rPr>
          <w:color w:val="auto"/>
        </w:rPr>
        <w:t xml:space="preserve"> https://ro.uow.edu.au/scipapers/164</w:t>
      </w:r>
      <w:r w:rsidRPr="00AB2294">
        <w:rPr>
          <w:color w:val="auto"/>
        </w:rPr>
        <w:t xml:space="preserve"> (accessed on</w:t>
      </w:r>
      <w:r w:rsidR="00EA201F" w:rsidRPr="00AB2294">
        <w:rPr>
          <w:color w:val="auto"/>
        </w:rPr>
        <w:t xml:space="preserve"> 5th July 2021</w:t>
      </w:r>
      <w:r w:rsidRPr="00AB2294">
        <w:rPr>
          <w:color w:val="auto"/>
        </w:rPr>
        <w:t>).</w:t>
      </w:r>
    </w:p>
    <w:p w14:paraId="582AB0A2" w14:textId="77777777" w:rsidR="008E6BF2" w:rsidRPr="00AB2294" w:rsidRDefault="008E6BF2" w:rsidP="008E6BF2">
      <w:pPr>
        <w:pStyle w:val="EndNoteBibliography"/>
        <w:numPr>
          <w:ilvl w:val="0"/>
          <w:numId w:val="23"/>
        </w:numPr>
        <w:adjustRightInd w:val="0"/>
        <w:snapToGrid w:val="0"/>
        <w:spacing w:line="228" w:lineRule="auto"/>
        <w:ind w:left="425" w:hanging="425"/>
        <w:rPr>
          <w:color w:val="auto"/>
        </w:rPr>
      </w:pPr>
      <w:r w:rsidRPr="00AB2294">
        <w:rPr>
          <w:color w:val="auto"/>
        </w:rPr>
        <w:t xml:space="preserve">Spodar, A.; Héquette, A.; Ruz, M.-H.; Cartier, A.; Grégoire, P.; Sipka, V.; Forain, N. Evolution of a beach nourishment project using dredged sand from navigation channel, Dunkirk, northern France. </w:t>
      </w:r>
      <w:r w:rsidRPr="00AB2294">
        <w:rPr>
          <w:i/>
          <w:color w:val="auto"/>
        </w:rPr>
        <w:t xml:space="preserve">J. Coast. Conserv. </w:t>
      </w:r>
      <w:r w:rsidRPr="00AB2294">
        <w:rPr>
          <w:b/>
          <w:color w:val="auto"/>
        </w:rPr>
        <w:t>2018</w:t>
      </w:r>
      <w:r w:rsidRPr="00AB2294">
        <w:rPr>
          <w:color w:val="auto"/>
        </w:rPr>
        <w:t xml:space="preserve">, </w:t>
      </w:r>
      <w:r w:rsidRPr="00AB2294">
        <w:rPr>
          <w:i/>
          <w:color w:val="auto"/>
        </w:rPr>
        <w:t>22</w:t>
      </w:r>
      <w:r w:rsidRPr="00AB2294">
        <w:rPr>
          <w:color w:val="auto"/>
        </w:rPr>
        <w:t>, 457–474.</w:t>
      </w:r>
    </w:p>
    <w:p w14:paraId="78C71110" w14:textId="77777777" w:rsidR="008E6BF2" w:rsidRPr="00AB2294" w:rsidRDefault="008E6BF2" w:rsidP="008E6BF2">
      <w:pPr>
        <w:pStyle w:val="EndNoteBibliography"/>
        <w:numPr>
          <w:ilvl w:val="0"/>
          <w:numId w:val="23"/>
        </w:numPr>
        <w:adjustRightInd w:val="0"/>
        <w:snapToGrid w:val="0"/>
        <w:spacing w:line="228" w:lineRule="auto"/>
        <w:ind w:left="425" w:hanging="425"/>
        <w:rPr>
          <w:color w:val="auto"/>
        </w:rPr>
      </w:pPr>
      <w:r w:rsidRPr="00AB2294">
        <w:rPr>
          <w:color w:val="auto"/>
        </w:rPr>
        <w:t xml:space="preserve">Habel, S.; Fletcher, C.H.; Barbee, M.; Anderson, T.R. The influence of seasonal patterns on a beach nourishment project in a complex reef environment. </w:t>
      </w:r>
      <w:r w:rsidRPr="00AB2294">
        <w:rPr>
          <w:i/>
          <w:color w:val="auto"/>
        </w:rPr>
        <w:t xml:space="preserve">Coast. Eng. </w:t>
      </w:r>
      <w:r w:rsidRPr="00AB2294">
        <w:rPr>
          <w:b/>
          <w:color w:val="auto"/>
        </w:rPr>
        <w:t>2016</w:t>
      </w:r>
      <w:r w:rsidRPr="00AB2294">
        <w:rPr>
          <w:color w:val="auto"/>
        </w:rPr>
        <w:t xml:space="preserve">, </w:t>
      </w:r>
      <w:r w:rsidRPr="00AB2294">
        <w:rPr>
          <w:i/>
          <w:color w:val="auto"/>
        </w:rPr>
        <w:t>116</w:t>
      </w:r>
      <w:r w:rsidRPr="00AB2294">
        <w:rPr>
          <w:color w:val="auto"/>
        </w:rPr>
        <w:t>, 67–76.</w:t>
      </w:r>
    </w:p>
    <w:p w14:paraId="07E69E55" w14:textId="65ECEBA0" w:rsidR="008E6BF2" w:rsidRPr="00AB2294" w:rsidRDefault="008E6BF2" w:rsidP="008E6BF2">
      <w:pPr>
        <w:pStyle w:val="EndNoteBibliography"/>
        <w:numPr>
          <w:ilvl w:val="0"/>
          <w:numId w:val="23"/>
        </w:numPr>
        <w:adjustRightInd w:val="0"/>
        <w:snapToGrid w:val="0"/>
        <w:spacing w:line="228" w:lineRule="auto"/>
        <w:ind w:left="425" w:hanging="425"/>
        <w:rPr>
          <w:color w:val="auto"/>
        </w:rPr>
      </w:pPr>
      <w:r w:rsidRPr="00AB2294">
        <w:rPr>
          <w:color w:val="auto"/>
        </w:rPr>
        <w:t>RTKLIB: An Open Source Program Package for GNSS Positioning. Availab</w:t>
      </w:r>
      <w:r w:rsidR="009A6E34" w:rsidRPr="00AB2294">
        <w:rPr>
          <w:color w:val="auto"/>
        </w:rPr>
        <w:t>l</w:t>
      </w:r>
      <w:r w:rsidRPr="00AB2294">
        <w:rPr>
          <w:color w:val="auto"/>
        </w:rPr>
        <w:t xml:space="preserve">e online: </w:t>
      </w:r>
      <w:r w:rsidRPr="00AB2294">
        <w:rPr>
          <w:rStyle w:val="Hyperlink"/>
          <w:color w:val="auto"/>
          <w:u w:val="none"/>
        </w:rPr>
        <w:t>http://www.rtklib.com/</w:t>
      </w:r>
      <w:r w:rsidRPr="00AB2294">
        <w:rPr>
          <w:color w:val="auto"/>
        </w:rPr>
        <w:t xml:space="preserve"> (accessed on 10 January 2019).</w:t>
      </w:r>
    </w:p>
    <w:p w14:paraId="3554DEBF" w14:textId="449AA57C" w:rsidR="008E6BF2" w:rsidRPr="00AB2294" w:rsidRDefault="008E6BF2" w:rsidP="008E6BF2">
      <w:pPr>
        <w:pStyle w:val="EndNoteBibliography"/>
        <w:numPr>
          <w:ilvl w:val="0"/>
          <w:numId w:val="23"/>
        </w:numPr>
        <w:adjustRightInd w:val="0"/>
        <w:snapToGrid w:val="0"/>
        <w:spacing w:line="228" w:lineRule="auto"/>
        <w:ind w:left="425" w:hanging="425"/>
        <w:rPr>
          <w:color w:val="auto"/>
        </w:rPr>
      </w:pPr>
      <w:r w:rsidRPr="00AB2294">
        <w:rPr>
          <w:color w:val="auto"/>
        </w:rPr>
        <w:t xml:space="preserve">Pugh, D.; Woodworth, P. </w:t>
      </w:r>
      <w:r w:rsidRPr="00AB2294">
        <w:rPr>
          <w:i/>
          <w:color w:val="auto"/>
        </w:rPr>
        <w:t>Sea-Level Science: Understanding Tides, Surges, Tsunamis and Mean Sea-Level Changes</w:t>
      </w:r>
      <w:r w:rsidRPr="00AB2294">
        <w:rPr>
          <w:color w:val="auto"/>
        </w:rPr>
        <w:t>; Cambridge University Press</w:t>
      </w:r>
      <w:r w:rsidR="009A6E34" w:rsidRPr="00AB2294">
        <w:rPr>
          <w:color w:val="auto"/>
        </w:rPr>
        <w:t>, Cambridge, UK</w:t>
      </w:r>
      <w:r w:rsidRPr="00AB2294">
        <w:rPr>
          <w:color w:val="auto"/>
        </w:rPr>
        <w:t>: 2014.</w:t>
      </w:r>
    </w:p>
    <w:p w14:paraId="13F22440" w14:textId="77777777" w:rsidR="008E6BF2" w:rsidRPr="00AB2294" w:rsidRDefault="008E6BF2" w:rsidP="008E6BF2">
      <w:pPr>
        <w:pStyle w:val="EndNoteBibliography"/>
        <w:numPr>
          <w:ilvl w:val="0"/>
          <w:numId w:val="23"/>
        </w:numPr>
        <w:adjustRightInd w:val="0"/>
        <w:snapToGrid w:val="0"/>
        <w:spacing w:line="228" w:lineRule="auto"/>
        <w:ind w:left="425" w:hanging="425"/>
        <w:rPr>
          <w:color w:val="auto"/>
        </w:rPr>
      </w:pPr>
      <w:r w:rsidRPr="00AB2294">
        <w:rPr>
          <w:color w:val="auto"/>
        </w:rPr>
        <w:t xml:space="preserve">Williams, S.D.; Bell, P.S.; McCann, D.L.; Cooke, R.; Sams, C. Demonstrating the potential of low-cost GPS units for the remote measurement of tides and water levels using interferometric reflectometry. </w:t>
      </w:r>
      <w:r w:rsidRPr="00AB2294">
        <w:rPr>
          <w:i/>
          <w:color w:val="auto"/>
        </w:rPr>
        <w:t xml:space="preserve">J. Atmos. Ocean. Technol. </w:t>
      </w:r>
      <w:r w:rsidRPr="00AB2294">
        <w:rPr>
          <w:b/>
          <w:color w:val="auto"/>
        </w:rPr>
        <w:t>2020</w:t>
      </w:r>
      <w:r w:rsidRPr="00AB2294">
        <w:rPr>
          <w:color w:val="auto"/>
        </w:rPr>
        <w:t xml:space="preserve">, </w:t>
      </w:r>
      <w:r w:rsidRPr="00AB2294">
        <w:rPr>
          <w:i/>
          <w:color w:val="auto"/>
        </w:rPr>
        <w:t>37</w:t>
      </w:r>
      <w:r w:rsidRPr="00AB2294">
        <w:rPr>
          <w:color w:val="auto"/>
        </w:rPr>
        <w:t>, 1925–1935.</w:t>
      </w:r>
    </w:p>
    <w:p w14:paraId="4B655D14" w14:textId="77777777" w:rsidR="008E6BF2" w:rsidRPr="00AB2294" w:rsidRDefault="008E6BF2" w:rsidP="008E6BF2">
      <w:pPr>
        <w:pStyle w:val="EndNoteBibliography"/>
        <w:numPr>
          <w:ilvl w:val="0"/>
          <w:numId w:val="23"/>
        </w:numPr>
        <w:adjustRightInd w:val="0"/>
        <w:snapToGrid w:val="0"/>
        <w:spacing w:line="228" w:lineRule="auto"/>
        <w:ind w:left="425" w:hanging="425"/>
        <w:rPr>
          <w:color w:val="auto"/>
        </w:rPr>
      </w:pPr>
      <w:r w:rsidRPr="00AB2294">
        <w:rPr>
          <w:color w:val="auto"/>
        </w:rPr>
        <w:t xml:space="preserve">Knight, P.J.; Bird, C.O.; Sinclair, A.; Plater, A.J. A low-cost GNSS buoy platform for measuring coastal sea levels. </w:t>
      </w:r>
      <w:r w:rsidRPr="00AB2294">
        <w:rPr>
          <w:i/>
          <w:color w:val="auto"/>
        </w:rPr>
        <w:t xml:space="preserve">Ocean. Eng. </w:t>
      </w:r>
      <w:r w:rsidRPr="00AB2294">
        <w:rPr>
          <w:b/>
          <w:color w:val="auto"/>
        </w:rPr>
        <w:t>2020</w:t>
      </w:r>
      <w:r w:rsidRPr="00AB2294">
        <w:rPr>
          <w:color w:val="auto"/>
        </w:rPr>
        <w:t xml:space="preserve">, </w:t>
      </w:r>
      <w:r w:rsidRPr="00AB2294">
        <w:rPr>
          <w:i/>
          <w:color w:val="auto"/>
        </w:rPr>
        <w:t>203</w:t>
      </w:r>
      <w:r w:rsidRPr="00AB2294">
        <w:rPr>
          <w:color w:val="auto"/>
        </w:rPr>
        <w:t>, 107198. https://doi.org/10.1016/j.oceaneng.2020.107198.</w:t>
      </w:r>
    </w:p>
    <w:p w14:paraId="0AB09A17" w14:textId="6750700A" w:rsidR="008E6BF2" w:rsidRPr="00AB2294" w:rsidRDefault="008E6BF2" w:rsidP="008E6BF2">
      <w:pPr>
        <w:pStyle w:val="EndNoteBibliography"/>
        <w:numPr>
          <w:ilvl w:val="0"/>
          <w:numId w:val="23"/>
        </w:numPr>
        <w:adjustRightInd w:val="0"/>
        <w:snapToGrid w:val="0"/>
        <w:spacing w:line="228" w:lineRule="auto"/>
        <w:ind w:left="425" w:hanging="425"/>
        <w:rPr>
          <w:color w:val="auto"/>
        </w:rPr>
      </w:pPr>
      <w:r w:rsidRPr="00AB2294">
        <w:rPr>
          <w:color w:val="auto"/>
        </w:rPr>
        <w:t xml:space="preserve">André, G.; Míguez, B.M.; Ballu, V.; Testut, L.; Wöppelmann, G. Measuring sea level with GPS-equipped buoys: A multi-instruments experiment at Aix Island. </w:t>
      </w:r>
      <w:r w:rsidRPr="00AB2294">
        <w:rPr>
          <w:i/>
          <w:color w:val="auto"/>
        </w:rPr>
        <w:t>Int. Hydrogr. Rev.</w:t>
      </w:r>
      <w:r w:rsidR="00EA201F" w:rsidRPr="00AB2294">
        <w:rPr>
          <w:color w:val="auto"/>
        </w:rPr>
        <w:t>,</w:t>
      </w:r>
      <w:r w:rsidRPr="00AB2294">
        <w:rPr>
          <w:i/>
          <w:color w:val="auto"/>
        </w:rPr>
        <w:t xml:space="preserve"> </w:t>
      </w:r>
      <w:r w:rsidRPr="00AB2294">
        <w:rPr>
          <w:b/>
          <w:color w:val="auto"/>
        </w:rPr>
        <w:t>2013</w:t>
      </w:r>
      <w:r w:rsidR="00C16FD0" w:rsidRPr="00AB2294">
        <w:rPr>
          <w:color w:val="auto"/>
        </w:rPr>
        <w:t>,10, 27-38.</w:t>
      </w:r>
    </w:p>
    <w:p w14:paraId="34142552" w14:textId="77777777" w:rsidR="008E6BF2" w:rsidRPr="00AB2294" w:rsidRDefault="008E6BF2" w:rsidP="008E6BF2">
      <w:pPr>
        <w:pStyle w:val="EndNoteBibliography"/>
        <w:numPr>
          <w:ilvl w:val="0"/>
          <w:numId w:val="23"/>
        </w:numPr>
        <w:adjustRightInd w:val="0"/>
        <w:snapToGrid w:val="0"/>
        <w:spacing w:line="228" w:lineRule="auto"/>
        <w:ind w:left="425" w:hanging="425"/>
        <w:rPr>
          <w:color w:val="auto"/>
        </w:rPr>
      </w:pPr>
      <w:r w:rsidRPr="00AB2294">
        <w:rPr>
          <w:color w:val="auto"/>
        </w:rPr>
        <w:lastRenderedPageBreak/>
        <w:t xml:space="preserve">Stal, C.; Poppe, H.; Vandenbulcke, A.; De Wulf, A. Study of post-processed GNSS measurements for tidal analysis in the Belgian North Sea. </w:t>
      </w:r>
      <w:r w:rsidRPr="00AB2294">
        <w:rPr>
          <w:i/>
          <w:color w:val="auto"/>
        </w:rPr>
        <w:t xml:space="preserve">Ocean. Eng. </w:t>
      </w:r>
      <w:r w:rsidRPr="00AB2294">
        <w:rPr>
          <w:b/>
          <w:color w:val="auto"/>
        </w:rPr>
        <w:t>2016</w:t>
      </w:r>
      <w:r w:rsidRPr="00AB2294">
        <w:rPr>
          <w:color w:val="auto"/>
        </w:rPr>
        <w:t xml:space="preserve">, </w:t>
      </w:r>
      <w:r w:rsidRPr="00AB2294">
        <w:rPr>
          <w:i/>
          <w:color w:val="auto"/>
        </w:rPr>
        <w:t>118</w:t>
      </w:r>
      <w:r w:rsidRPr="00AB2294">
        <w:rPr>
          <w:color w:val="auto"/>
        </w:rPr>
        <w:t>, 165–172.</w:t>
      </w:r>
    </w:p>
    <w:p w14:paraId="03E880C7" w14:textId="77777777" w:rsidR="008E6BF2" w:rsidRPr="00AB2294" w:rsidRDefault="008E6BF2" w:rsidP="008E6BF2">
      <w:pPr>
        <w:pStyle w:val="EndNoteBibliography"/>
        <w:numPr>
          <w:ilvl w:val="0"/>
          <w:numId w:val="23"/>
        </w:numPr>
        <w:adjustRightInd w:val="0"/>
        <w:snapToGrid w:val="0"/>
        <w:spacing w:line="228" w:lineRule="auto"/>
        <w:ind w:left="425" w:hanging="425"/>
        <w:rPr>
          <w:color w:val="auto"/>
        </w:rPr>
      </w:pPr>
      <w:r w:rsidRPr="00AB2294">
        <w:rPr>
          <w:color w:val="auto"/>
        </w:rPr>
        <w:t xml:space="preserve">Fiorentino, L.A.; Heitsenrether, R.; Krug, W. Wave Measurements From Radar Tide Gauges. </w:t>
      </w:r>
      <w:r w:rsidRPr="00AB2294">
        <w:rPr>
          <w:i/>
          <w:color w:val="auto"/>
        </w:rPr>
        <w:t xml:space="preserve">Front. Mar. Sci. </w:t>
      </w:r>
      <w:r w:rsidRPr="00AB2294">
        <w:rPr>
          <w:b/>
          <w:color w:val="auto"/>
        </w:rPr>
        <w:t>2019</w:t>
      </w:r>
      <w:r w:rsidRPr="00AB2294">
        <w:rPr>
          <w:color w:val="auto"/>
        </w:rPr>
        <w:t xml:space="preserve">, </w:t>
      </w:r>
      <w:r w:rsidRPr="00AB2294">
        <w:rPr>
          <w:i/>
          <w:color w:val="auto"/>
        </w:rPr>
        <w:t>6</w:t>
      </w:r>
      <w:r w:rsidRPr="00AB2294">
        <w:rPr>
          <w:color w:val="auto"/>
        </w:rPr>
        <w:t>, 586.</w:t>
      </w:r>
    </w:p>
    <w:p w14:paraId="09A0F86F" w14:textId="77777777" w:rsidR="008E6BF2" w:rsidRPr="00AB2294" w:rsidRDefault="008E6BF2" w:rsidP="008E6BF2">
      <w:pPr>
        <w:pStyle w:val="EndNoteBibliography"/>
        <w:numPr>
          <w:ilvl w:val="0"/>
          <w:numId w:val="23"/>
        </w:numPr>
        <w:adjustRightInd w:val="0"/>
        <w:snapToGrid w:val="0"/>
        <w:spacing w:line="228" w:lineRule="auto"/>
        <w:ind w:left="425" w:hanging="425"/>
        <w:rPr>
          <w:color w:val="auto"/>
        </w:rPr>
      </w:pPr>
      <w:r w:rsidRPr="00AB2294">
        <w:rPr>
          <w:color w:val="auto"/>
        </w:rPr>
        <w:t xml:space="preserve">Martins, K.; Blenkinsopp, C.E.; Power, H.E.; Bruder, B.; Puleo, J.A.; Bergsma, E.W. High-resolution monitoring of wave transformation in the surf zone using a LiDAR scanner array. </w:t>
      </w:r>
      <w:r w:rsidRPr="00AB2294">
        <w:rPr>
          <w:i/>
          <w:color w:val="auto"/>
        </w:rPr>
        <w:t xml:space="preserve">Coast. Eng. </w:t>
      </w:r>
      <w:r w:rsidRPr="00AB2294">
        <w:rPr>
          <w:b/>
          <w:color w:val="auto"/>
        </w:rPr>
        <w:t>2017</w:t>
      </w:r>
      <w:r w:rsidRPr="00AB2294">
        <w:rPr>
          <w:color w:val="auto"/>
        </w:rPr>
        <w:t xml:space="preserve">, </w:t>
      </w:r>
      <w:r w:rsidRPr="00AB2294">
        <w:rPr>
          <w:i/>
          <w:color w:val="auto"/>
        </w:rPr>
        <w:t>128</w:t>
      </w:r>
      <w:r w:rsidRPr="00AB2294">
        <w:rPr>
          <w:color w:val="auto"/>
        </w:rPr>
        <w:t>, 37–43.</w:t>
      </w:r>
    </w:p>
    <w:p w14:paraId="7F677F41" w14:textId="42482CD6" w:rsidR="008E6BF2" w:rsidRPr="00AB2294" w:rsidRDefault="008E6BF2" w:rsidP="008E6BF2">
      <w:pPr>
        <w:pStyle w:val="EndNoteBibliography"/>
        <w:numPr>
          <w:ilvl w:val="0"/>
          <w:numId w:val="23"/>
        </w:numPr>
        <w:adjustRightInd w:val="0"/>
        <w:snapToGrid w:val="0"/>
        <w:spacing w:line="228" w:lineRule="auto"/>
        <w:ind w:left="425" w:hanging="425"/>
        <w:rPr>
          <w:color w:val="auto"/>
        </w:rPr>
      </w:pPr>
      <w:r w:rsidRPr="00AB2294">
        <w:rPr>
          <w:color w:val="auto"/>
        </w:rPr>
        <w:t>Datawell, Directional Waverider MkIII, Brochure. Availab</w:t>
      </w:r>
      <w:r w:rsidR="009A6E34" w:rsidRPr="00AB2294">
        <w:rPr>
          <w:color w:val="auto"/>
        </w:rPr>
        <w:t>l</w:t>
      </w:r>
      <w:r w:rsidRPr="00AB2294">
        <w:rPr>
          <w:color w:val="auto"/>
        </w:rPr>
        <w:t xml:space="preserve">e online: </w:t>
      </w:r>
      <w:r w:rsidRPr="00AB2294">
        <w:rPr>
          <w:rStyle w:val="Hyperlink"/>
          <w:color w:val="auto"/>
          <w:u w:val="none"/>
        </w:rPr>
        <w:t>https://www.datawell.nl/Portals/0/Documents/Brochures/datawell_brochure_dwr-mk3_b-09-09.pdf</w:t>
      </w:r>
      <w:r w:rsidRPr="00AB2294">
        <w:rPr>
          <w:color w:val="auto"/>
        </w:rPr>
        <w:t xml:space="preserve"> (accessed on 5 July 2021).</w:t>
      </w:r>
    </w:p>
    <w:p w14:paraId="4089E503" w14:textId="77777777" w:rsidR="008E6BF2" w:rsidRPr="00AB2294" w:rsidRDefault="008E6BF2" w:rsidP="008E6BF2">
      <w:pPr>
        <w:pStyle w:val="EndNoteBibliography"/>
        <w:numPr>
          <w:ilvl w:val="0"/>
          <w:numId w:val="23"/>
        </w:numPr>
        <w:adjustRightInd w:val="0"/>
        <w:snapToGrid w:val="0"/>
        <w:spacing w:line="228" w:lineRule="auto"/>
        <w:ind w:left="425" w:hanging="425"/>
        <w:rPr>
          <w:color w:val="auto"/>
        </w:rPr>
      </w:pPr>
      <w:r w:rsidRPr="00AB2294">
        <w:rPr>
          <w:color w:val="auto"/>
        </w:rPr>
        <w:t>MacIsaac, C.; Naeth, S. TRIAXYS next wave II directional wave sensor the evolution of wave measurements. In Proceedings of the 2013 OCEANS-San Diego, San Diego, CA, USA, 23–27 September 2013 ; pp. 1–8.</w:t>
      </w:r>
    </w:p>
    <w:p w14:paraId="05237C6F" w14:textId="77777777" w:rsidR="008E6BF2" w:rsidRPr="00AB2294" w:rsidRDefault="008E6BF2" w:rsidP="008E6BF2">
      <w:pPr>
        <w:pStyle w:val="EndNoteBibliography"/>
        <w:numPr>
          <w:ilvl w:val="0"/>
          <w:numId w:val="23"/>
        </w:numPr>
        <w:adjustRightInd w:val="0"/>
        <w:snapToGrid w:val="0"/>
        <w:spacing w:line="228" w:lineRule="auto"/>
        <w:ind w:left="425" w:hanging="425"/>
        <w:rPr>
          <w:color w:val="auto"/>
        </w:rPr>
      </w:pPr>
      <w:r w:rsidRPr="00AB2294">
        <w:rPr>
          <w:color w:val="auto"/>
        </w:rPr>
        <w:t>Andrews, E.; Peach, L. An evaluation of current and emerging in-situ ocean wave monitoring technology. In Proceedings of the Australasian Coasts and Ports 2019 Conference: Future Directions from 40 [Degrees] S and Beyond, Hobart, Australia, 10–13 September 2019; p. 34.</w:t>
      </w:r>
    </w:p>
    <w:p w14:paraId="3D6967B8" w14:textId="453FF935" w:rsidR="008E6BF2" w:rsidRPr="00AB2294" w:rsidRDefault="008E6BF2" w:rsidP="008E6BF2">
      <w:pPr>
        <w:pStyle w:val="EndNoteBibliography"/>
        <w:numPr>
          <w:ilvl w:val="0"/>
          <w:numId w:val="23"/>
        </w:numPr>
        <w:adjustRightInd w:val="0"/>
        <w:snapToGrid w:val="0"/>
        <w:spacing w:line="228" w:lineRule="auto"/>
        <w:ind w:left="425" w:hanging="425"/>
        <w:rPr>
          <w:color w:val="auto"/>
        </w:rPr>
      </w:pPr>
      <w:r w:rsidRPr="00AB2294">
        <w:rPr>
          <w:color w:val="auto"/>
        </w:rPr>
        <w:t>Datawell, Mini Directional Waverider GPS. Availab</w:t>
      </w:r>
      <w:r w:rsidR="009A6E34" w:rsidRPr="00AB2294">
        <w:rPr>
          <w:color w:val="auto"/>
        </w:rPr>
        <w:t>l</w:t>
      </w:r>
      <w:r w:rsidRPr="00AB2294">
        <w:rPr>
          <w:color w:val="auto"/>
        </w:rPr>
        <w:t xml:space="preserve">e online: </w:t>
      </w:r>
      <w:r w:rsidRPr="00AB2294">
        <w:rPr>
          <w:rStyle w:val="Hyperlink"/>
          <w:color w:val="auto"/>
          <w:u w:val="none"/>
        </w:rPr>
        <w:t>https://www.datawell.nl/Portals/0/Documents/Brochures/datawell_brochure_dwr-g4_b-06-10.pdf</w:t>
      </w:r>
      <w:r w:rsidRPr="00AB2294">
        <w:rPr>
          <w:color w:val="auto"/>
        </w:rPr>
        <w:t xml:space="preserve"> (accessed on 5 July 2021).</w:t>
      </w:r>
    </w:p>
    <w:p w14:paraId="0FBCDCEE" w14:textId="3C5FE0CD" w:rsidR="008E6BF2" w:rsidRPr="00AB2294" w:rsidRDefault="008E6BF2" w:rsidP="008E6BF2">
      <w:pPr>
        <w:pStyle w:val="EndNoteBibliography"/>
        <w:numPr>
          <w:ilvl w:val="0"/>
          <w:numId w:val="23"/>
        </w:numPr>
        <w:adjustRightInd w:val="0"/>
        <w:snapToGrid w:val="0"/>
        <w:spacing w:line="228" w:lineRule="auto"/>
        <w:ind w:left="425" w:hanging="425"/>
        <w:rPr>
          <w:color w:val="auto"/>
        </w:rPr>
      </w:pPr>
      <w:r w:rsidRPr="00AB2294">
        <w:rPr>
          <w:color w:val="auto"/>
        </w:rPr>
        <w:t>Spotter: The Agile Metocean Buoy. Availab</w:t>
      </w:r>
      <w:r w:rsidR="009A6E34" w:rsidRPr="00AB2294">
        <w:rPr>
          <w:color w:val="auto"/>
        </w:rPr>
        <w:t>l</w:t>
      </w:r>
      <w:r w:rsidRPr="00AB2294">
        <w:rPr>
          <w:color w:val="auto"/>
        </w:rPr>
        <w:t xml:space="preserve">e online: </w:t>
      </w:r>
      <w:r w:rsidRPr="00AB2294">
        <w:rPr>
          <w:rStyle w:val="Hyperlink"/>
          <w:color w:val="auto"/>
          <w:u w:val="none"/>
        </w:rPr>
        <w:t>https://www.sofarocean.com/products/spotter</w:t>
      </w:r>
      <w:r w:rsidRPr="00AB2294">
        <w:rPr>
          <w:color w:val="auto"/>
        </w:rPr>
        <w:t xml:space="preserve"> (accessed on 5 July 2021).</w:t>
      </w:r>
    </w:p>
    <w:p w14:paraId="5B745D31" w14:textId="77777777" w:rsidR="008E6BF2" w:rsidRPr="00AB2294" w:rsidRDefault="008E6BF2" w:rsidP="008E6BF2">
      <w:pPr>
        <w:pStyle w:val="EndNoteBibliography"/>
        <w:numPr>
          <w:ilvl w:val="0"/>
          <w:numId w:val="23"/>
        </w:numPr>
        <w:adjustRightInd w:val="0"/>
        <w:snapToGrid w:val="0"/>
        <w:spacing w:line="228" w:lineRule="auto"/>
        <w:ind w:left="425" w:hanging="425"/>
        <w:rPr>
          <w:color w:val="auto"/>
        </w:rPr>
      </w:pPr>
      <w:r w:rsidRPr="00AB2294">
        <w:rPr>
          <w:color w:val="auto"/>
        </w:rPr>
        <w:t xml:space="preserve">Brown, A.C.; Paasch, R.K. The Accelerations of a Wave Measurement Buoy Impacted by Breaking Waves in the Surf Zone. </w:t>
      </w:r>
      <w:r w:rsidRPr="00AB2294">
        <w:rPr>
          <w:i/>
          <w:color w:val="auto"/>
        </w:rPr>
        <w:t xml:space="preserve">J. Mar. Sci. Eng. </w:t>
      </w:r>
      <w:r w:rsidRPr="00AB2294">
        <w:rPr>
          <w:b/>
          <w:color w:val="auto"/>
        </w:rPr>
        <w:t>2021</w:t>
      </w:r>
      <w:r w:rsidRPr="00AB2294">
        <w:rPr>
          <w:color w:val="auto"/>
        </w:rPr>
        <w:t xml:space="preserve">, </w:t>
      </w:r>
      <w:r w:rsidRPr="00AB2294">
        <w:rPr>
          <w:i/>
          <w:color w:val="auto"/>
        </w:rPr>
        <w:t>9</w:t>
      </w:r>
      <w:r w:rsidRPr="00AB2294">
        <w:rPr>
          <w:color w:val="auto"/>
        </w:rPr>
        <w:t>, 214.</w:t>
      </w:r>
    </w:p>
    <w:p w14:paraId="1A280CA0" w14:textId="6212D95C" w:rsidR="008E6BF2" w:rsidRPr="00AB2294" w:rsidRDefault="008E6BF2" w:rsidP="008E6BF2">
      <w:pPr>
        <w:pStyle w:val="EndNoteBibliography"/>
        <w:numPr>
          <w:ilvl w:val="0"/>
          <w:numId w:val="23"/>
        </w:numPr>
        <w:adjustRightInd w:val="0"/>
        <w:snapToGrid w:val="0"/>
        <w:spacing w:line="228" w:lineRule="auto"/>
        <w:ind w:left="425" w:hanging="425"/>
        <w:rPr>
          <w:color w:val="auto"/>
        </w:rPr>
      </w:pPr>
      <w:r w:rsidRPr="00AB2294">
        <w:rPr>
          <w:color w:val="auto"/>
        </w:rPr>
        <w:t>U-blox, Product Details for M8T Series GNSS Receivers. Availab</w:t>
      </w:r>
      <w:r w:rsidR="009A6E34" w:rsidRPr="00AB2294">
        <w:rPr>
          <w:color w:val="auto"/>
        </w:rPr>
        <w:t>l</w:t>
      </w:r>
      <w:r w:rsidRPr="00AB2294">
        <w:rPr>
          <w:color w:val="auto"/>
        </w:rPr>
        <w:t xml:space="preserve">e online: </w:t>
      </w:r>
      <w:r w:rsidRPr="00AB2294">
        <w:rPr>
          <w:rStyle w:val="Hyperlink"/>
          <w:color w:val="auto"/>
          <w:u w:val="none"/>
        </w:rPr>
        <w:t>https://www.u-blox.com/en/product/neolea-m8t-series</w:t>
      </w:r>
      <w:r w:rsidRPr="00AB2294">
        <w:rPr>
          <w:color w:val="auto"/>
        </w:rPr>
        <w:t xml:space="preserve"> (accessed on 16 April 2019).</w:t>
      </w:r>
    </w:p>
    <w:p w14:paraId="0D791837" w14:textId="6286A272" w:rsidR="008E6BF2" w:rsidRPr="00AB2294" w:rsidRDefault="008E6BF2" w:rsidP="008E6BF2">
      <w:pPr>
        <w:pStyle w:val="EndNoteBibliography"/>
        <w:numPr>
          <w:ilvl w:val="0"/>
          <w:numId w:val="23"/>
        </w:numPr>
        <w:adjustRightInd w:val="0"/>
        <w:snapToGrid w:val="0"/>
        <w:spacing w:line="228" w:lineRule="auto"/>
        <w:ind w:left="425" w:hanging="425"/>
        <w:rPr>
          <w:color w:val="auto"/>
        </w:rPr>
      </w:pPr>
      <w:r w:rsidRPr="00AB2294">
        <w:rPr>
          <w:color w:val="auto"/>
        </w:rPr>
        <w:t>Emlid Reach M+ RTK GNSS Module for Precise Navigation and UAV Mapping. Availab</w:t>
      </w:r>
      <w:r w:rsidR="009A6E34" w:rsidRPr="00AB2294">
        <w:rPr>
          <w:color w:val="auto"/>
        </w:rPr>
        <w:t>l</w:t>
      </w:r>
      <w:r w:rsidRPr="00AB2294">
        <w:rPr>
          <w:color w:val="auto"/>
        </w:rPr>
        <w:t>e online:</w:t>
      </w:r>
      <w:r w:rsidR="009A6E34" w:rsidRPr="00AB2294">
        <w:rPr>
          <w:color w:val="auto"/>
        </w:rPr>
        <w:t xml:space="preserve"> https://emlid.com/</w:t>
      </w:r>
      <w:r w:rsidRPr="00AB2294">
        <w:rPr>
          <w:color w:val="auto"/>
        </w:rPr>
        <w:t xml:space="preserve"> (accessed on 16 April 2019).</w:t>
      </w:r>
    </w:p>
    <w:p w14:paraId="79A2B165" w14:textId="0829987C" w:rsidR="008E6BF2" w:rsidRPr="00AB2294" w:rsidRDefault="008E6BF2" w:rsidP="008E6BF2">
      <w:pPr>
        <w:pStyle w:val="EndNoteBibliography"/>
        <w:numPr>
          <w:ilvl w:val="0"/>
          <w:numId w:val="23"/>
        </w:numPr>
        <w:adjustRightInd w:val="0"/>
        <w:snapToGrid w:val="0"/>
        <w:spacing w:line="228" w:lineRule="auto"/>
        <w:ind w:left="425" w:hanging="425"/>
        <w:rPr>
          <w:color w:val="auto"/>
        </w:rPr>
      </w:pPr>
      <w:r w:rsidRPr="00AB2294">
        <w:rPr>
          <w:color w:val="auto"/>
        </w:rPr>
        <w:t>Ublox, Application Note: GPS Antennas, RF Design Considerations for U-blox GPS Receivers. Availab</w:t>
      </w:r>
      <w:r w:rsidR="009A6E34" w:rsidRPr="00AB2294">
        <w:rPr>
          <w:color w:val="auto"/>
        </w:rPr>
        <w:t>l</w:t>
      </w:r>
      <w:r w:rsidRPr="00AB2294">
        <w:rPr>
          <w:color w:val="auto"/>
        </w:rPr>
        <w:t xml:space="preserve">e online: </w:t>
      </w:r>
      <w:r w:rsidRPr="00AB2294">
        <w:rPr>
          <w:rStyle w:val="Hyperlink"/>
          <w:color w:val="auto"/>
          <w:u w:val="none"/>
        </w:rPr>
        <w:t>https://www.u-blox.com/sites/default/files/products/documents/GPS-Antenna_AppNote_(GPS-X-08014).pdf</w:t>
      </w:r>
      <w:r w:rsidRPr="00AB2294">
        <w:rPr>
          <w:color w:val="auto"/>
        </w:rPr>
        <w:t xml:space="preserve"> (accessed on 24 May 2019).</w:t>
      </w:r>
    </w:p>
    <w:p w14:paraId="717C7177" w14:textId="77777777" w:rsidR="008E6BF2" w:rsidRPr="00AB2294" w:rsidRDefault="008E6BF2" w:rsidP="008E6BF2">
      <w:pPr>
        <w:pStyle w:val="EndNoteBibliography"/>
        <w:numPr>
          <w:ilvl w:val="0"/>
          <w:numId w:val="23"/>
        </w:numPr>
        <w:adjustRightInd w:val="0"/>
        <w:snapToGrid w:val="0"/>
        <w:spacing w:line="228" w:lineRule="auto"/>
        <w:ind w:left="425" w:hanging="425"/>
        <w:rPr>
          <w:color w:val="auto"/>
        </w:rPr>
      </w:pPr>
      <w:r w:rsidRPr="00AB2294">
        <w:rPr>
          <w:color w:val="auto"/>
        </w:rPr>
        <w:t xml:space="preserve">Scott, T.; Masselink, G.; Russell, P. Morphodynamic characteristics and classification of beaches in England and Wales. </w:t>
      </w:r>
      <w:r w:rsidRPr="00AB2294">
        <w:rPr>
          <w:i/>
          <w:color w:val="auto"/>
        </w:rPr>
        <w:t xml:space="preserve">Mar. Geol. </w:t>
      </w:r>
      <w:r w:rsidRPr="00AB2294">
        <w:rPr>
          <w:b/>
          <w:color w:val="auto"/>
        </w:rPr>
        <w:t>2011</w:t>
      </w:r>
      <w:r w:rsidRPr="00AB2294">
        <w:rPr>
          <w:color w:val="auto"/>
        </w:rPr>
        <w:t xml:space="preserve">, </w:t>
      </w:r>
      <w:r w:rsidRPr="00AB2294">
        <w:rPr>
          <w:i/>
          <w:color w:val="auto"/>
        </w:rPr>
        <w:t>286</w:t>
      </w:r>
      <w:r w:rsidRPr="00AB2294">
        <w:rPr>
          <w:color w:val="auto"/>
        </w:rPr>
        <w:t>, 1–20.</w:t>
      </w:r>
    </w:p>
    <w:p w14:paraId="4E19D326" w14:textId="77777777" w:rsidR="008E6BF2" w:rsidRPr="00AB2294" w:rsidRDefault="008E6BF2" w:rsidP="008E6BF2">
      <w:pPr>
        <w:pStyle w:val="EndNoteBibliography"/>
        <w:numPr>
          <w:ilvl w:val="0"/>
          <w:numId w:val="23"/>
        </w:numPr>
        <w:adjustRightInd w:val="0"/>
        <w:snapToGrid w:val="0"/>
        <w:spacing w:line="228" w:lineRule="auto"/>
        <w:ind w:left="425" w:hanging="425"/>
        <w:rPr>
          <w:color w:val="auto"/>
        </w:rPr>
      </w:pPr>
      <w:r w:rsidRPr="00AB2294">
        <w:rPr>
          <w:color w:val="auto"/>
        </w:rPr>
        <w:t xml:space="preserve">Wright, L.D.; Short, A.D. Morphodynamic variability of surf zones and beaches: A synthesis. </w:t>
      </w:r>
      <w:r w:rsidRPr="00AB2294">
        <w:rPr>
          <w:i/>
          <w:color w:val="auto"/>
        </w:rPr>
        <w:t xml:space="preserve">Mar. Geol. </w:t>
      </w:r>
      <w:r w:rsidRPr="00AB2294">
        <w:rPr>
          <w:b/>
          <w:color w:val="auto"/>
        </w:rPr>
        <w:t>1984</w:t>
      </w:r>
      <w:r w:rsidRPr="00AB2294">
        <w:rPr>
          <w:color w:val="auto"/>
        </w:rPr>
        <w:t xml:space="preserve">, </w:t>
      </w:r>
      <w:r w:rsidRPr="00AB2294">
        <w:rPr>
          <w:i/>
          <w:color w:val="auto"/>
        </w:rPr>
        <w:t>56</w:t>
      </w:r>
      <w:r w:rsidRPr="00AB2294">
        <w:rPr>
          <w:color w:val="auto"/>
        </w:rPr>
        <w:t>, 93–118.</w:t>
      </w:r>
    </w:p>
    <w:p w14:paraId="4FC62874" w14:textId="3ECB7C67" w:rsidR="008E6BF2" w:rsidRPr="00AB2294" w:rsidRDefault="008E6BF2" w:rsidP="008E6BF2">
      <w:pPr>
        <w:pStyle w:val="EndNoteBibliography"/>
        <w:numPr>
          <w:ilvl w:val="0"/>
          <w:numId w:val="23"/>
        </w:numPr>
        <w:adjustRightInd w:val="0"/>
        <w:snapToGrid w:val="0"/>
        <w:spacing w:line="228" w:lineRule="auto"/>
        <w:ind w:left="425" w:hanging="425"/>
        <w:rPr>
          <w:color w:val="auto"/>
        </w:rPr>
      </w:pPr>
      <w:r w:rsidRPr="00AB2294">
        <w:rPr>
          <w:color w:val="auto"/>
        </w:rPr>
        <w:t>UK National Tide Gauge Network. Availab</w:t>
      </w:r>
      <w:r w:rsidR="009A6E34" w:rsidRPr="00AB2294">
        <w:rPr>
          <w:color w:val="auto"/>
        </w:rPr>
        <w:t>l</w:t>
      </w:r>
      <w:r w:rsidRPr="00AB2294">
        <w:rPr>
          <w:color w:val="auto"/>
        </w:rPr>
        <w:t xml:space="preserve">e online: </w:t>
      </w:r>
      <w:r w:rsidRPr="00AB2294">
        <w:rPr>
          <w:rStyle w:val="Hyperlink"/>
          <w:color w:val="auto"/>
          <w:u w:val="none"/>
        </w:rPr>
        <w:t>https://www.bodc.ac.uk/data/hosted_data_systems/sea_level/uk_tide_gauge_network/</w:t>
      </w:r>
      <w:r w:rsidRPr="00AB2294">
        <w:rPr>
          <w:color w:val="auto"/>
        </w:rPr>
        <w:t xml:space="preserve"> (accessed on 1 October 2019).</w:t>
      </w:r>
    </w:p>
    <w:p w14:paraId="000AC735" w14:textId="676F23AB" w:rsidR="008E6BF2" w:rsidRPr="00AB2294" w:rsidRDefault="008E6BF2" w:rsidP="008E6BF2">
      <w:pPr>
        <w:pStyle w:val="EndNoteBibliography"/>
        <w:numPr>
          <w:ilvl w:val="0"/>
          <w:numId w:val="23"/>
        </w:numPr>
        <w:adjustRightInd w:val="0"/>
        <w:snapToGrid w:val="0"/>
        <w:spacing w:line="228" w:lineRule="auto"/>
        <w:ind w:left="425" w:hanging="425"/>
        <w:rPr>
          <w:color w:val="auto"/>
        </w:rPr>
      </w:pPr>
      <w:r w:rsidRPr="00AB2294">
        <w:rPr>
          <w:color w:val="auto"/>
        </w:rPr>
        <w:t xml:space="preserve">Woodworth, P.L.; Smith, D.E. A one year comparison of radar and bubbler tide gauges at Liverpool. </w:t>
      </w:r>
      <w:r w:rsidRPr="00AB2294">
        <w:rPr>
          <w:i/>
          <w:color w:val="auto"/>
        </w:rPr>
        <w:t xml:space="preserve">Int. Hydrogr. Rev. </w:t>
      </w:r>
      <w:r w:rsidRPr="00AB2294">
        <w:rPr>
          <w:b/>
          <w:color w:val="auto"/>
        </w:rPr>
        <w:t>2003</w:t>
      </w:r>
      <w:r w:rsidRPr="00AB2294">
        <w:rPr>
          <w:color w:val="auto"/>
        </w:rPr>
        <w:t xml:space="preserve">, </w:t>
      </w:r>
      <w:r w:rsidRPr="00AB2294">
        <w:rPr>
          <w:i/>
          <w:color w:val="auto"/>
        </w:rPr>
        <w:t>4</w:t>
      </w:r>
      <w:r w:rsidR="0090512D" w:rsidRPr="00AB2294">
        <w:rPr>
          <w:i/>
          <w:color w:val="auto"/>
        </w:rPr>
        <w:t>, (3), 42-49</w:t>
      </w:r>
      <w:r w:rsidRPr="00AB2294">
        <w:rPr>
          <w:color w:val="auto"/>
        </w:rPr>
        <w:t>.</w:t>
      </w:r>
    </w:p>
    <w:p w14:paraId="3888E04C" w14:textId="0D9C3312" w:rsidR="008E6BF2" w:rsidRPr="00AB2294" w:rsidRDefault="008E6BF2" w:rsidP="008E6BF2">
      <w:pPr>
        <w:pStyle w:val="EndNoteBibliography"/>
        <w:numPr>
          <w:ilvl w:val="0"/>
          <w:numId w:val="23"/>
        </w:numPr>
        <w:adjustRightInd w:val="0"/>
        <w:snapToGrid w:val="0"/>
        <w:spacing w:line="228" w:lineRule="auto"/>
        <w:ind w:left="425" w:hanging="425"/>
        <w:rPr>
          <w:color w:val="auto"/>
        </w:rPr>
      </w:pPr>
      <w:r w:rsidRPr="00AB2294">
        <w:rPr>
          <w:color w:val="auto"/>
        </w:rPr>
        <w:t>National Oceanography Centre POLTIPS-3: Coastal Tidal Software. Availab</w:t>
      </w:r>
      <w:r w:rsidR="009A6E34" w:rsidRPr="00AB2294">
        <w:rPr>
          <w:color w:val="auto"/>
        </w:rPr>
        <w:t>l</w:t>
      </w:r>
      <w:r w:rsidRPr="00AB2294">
        <w:rPr>
          <w:color w:val="auto"/>
        </w:rPr>
        <w:t xml:space="preserve">e online: </w:t>
      </w:r>
      <w:r w:rsidRPr="00AB2294">
        <w:rPr>
          <w:rStyle w:val="Hyperlink"/>
          <w:color w:val="auto"/>
          <w:u w:val="none"/>
        </w:rPr>
        <w:t>http://noc.ac.uk/business/marine-data-products/coastal</w:t>
      </w:r>
      <w:r w:rsidRPr="00AB2294">
        <w:rPr>
          <w:color w:val="auto"/>
        </w:rPr>
        <w:t xml:space="preserve"> (accessed on 29 March 2020).</w:t>
      </w:r>
    </w:p>
    <w:p w14:paraId="7611853F" w14:textId="1F704D77" w:rsidR="008E6BF2" w:rsidRPr="00AB2294" w:rsidRDefault="008E6BF2" w:rsidP="008E6BF2">
      <w:pPr>
        <w:pStyle w:val="EndNoteBibliography"/>
        <w:numPr>
          <w:ilvl w:val="0"/>
          <w:numId w:val="23"/>
        </w:numPr>
        <w:adjustRightInd w:val="0"/>
        <w:snapToGrid w:val="0"/>
        <w:spacing w:line="228" w:lineRule="auto"/>
        <w:ind w:left="425" w:hanging="425"/>
        <w:rPr>
          <w:color w:val="auto"/>
        </w:rPr>
      </w:pPr>
      <w:r w:rsidRPr="00AB2294">
        <w:rPr>
          <w:color w:val="auto"/>
        </w:rPr>
        <w:t>Archived Model Surge Outputs. Availab</w:t>
      </w:r>
      <w:r w:rsidR="009A6E34" w:rsidRPr="00AB2294">
        <w:rPr>
          <w:color w:val="auto"/>
        </w:rPr>
        <w:t>l</w:t>
      </w:r>
      <w:r w:rsidRPr="00AB2294">
        <w:rPr>
          <w:color w:val="auto"/>
        </w:rPr>
        <w:t xml:space="preserve">e online: </w:t>
      </w:r>
      <w:r w:rsidRPr="00AB2294">
        <w:rPr>
          <w:rStyle w:val="Hyperlink"/>
          <w:color w:val="auto"/>
          <w:u w:val="none"/>
        </w:rPr>
        <w:t>https://www.ntslf.org/storm-surges</w:t>
      </w:r>
      <w:r w:rsidRPr="00AB2294">
        <w:rPr>
          <w:color w:val="auto"/>
        </w:rPr>
        <w:t xml:space="preserve"> (accessed on 19 April 2021).</w:t>
      </w:r>
    </w:p>
    <w:p w14:paraId="1931ADDC" w14:textId="3258A419" w:rsidR="008E6BF2" w:rsidRPr="00AB2294" w:rsidRDefault="008E6BF2" w:rsidP="008E6BF2">
      <w:pPr>
        <w:pStyle w:val="EndNoteBibliography"/>
        <w:numPr>
          <w:ilvl w:val="0"/>
          <w:numId w:val="23"/>
        </w:numPr>
        <w:adjustRightInd w:val="0"/>
        <w:snapToGrid w:val="0"/>
        <w:spacing w:line="228" w:lineRule="auto"/>
        <w:ind w:left="425" w:hanging="425"/>
        <w:rPr>
          <w:color w:val="auto"/>
        </w:rPr>
      </w:pPr>
      <w:r w:rsidRPr="00AB2294">
        <w:rPr>
          <w:color w:val="auto"/>
        </w:rPr>
        <w:t>NERC, British Isles Continuous GNSS Facility (BIGF). Availab</w:t>
      </w:r>
      <w:r w:rsidR="009A6E34" w:rsidRPr="00AB2294">
        <w:rPr>
          <w:color w:val="auto"/>
        </w:rPr>
        <w:t>l</w:t>
      </w:r>
      <w:r w:rsidRPr="00AB2294">
        <w:rPr>
          <w:color w:val="auto"/>
        </w:rPr>
        <w:t xml:space="preserve">e online: </w:t>
      </w:r>
      <w:r w:rsidRPr="00AB2294">
        <w:rPr>
          <w:rStyle w:val="Hyperlink"/>
          <w:color w:val="auto"/>
          <w:u w:val="none"/>
        </w:rPr>
        <w:t>http://www.bigf.ac.uk/</w:t>
      </w:r>
      <w:r w:rsidRPr="00AB2294">
        <w:rPr>
          <w:color w:val="auto"/>
        </w:rPr>
        <w:t xml:space="preserve"> (accessed on 3 May 2021).</w:t>
      </w:r>
    </w:p>
    <w:p w14:paraId="21E7A106" w14:textId="77777777" w:rsidR="008E6BF2" w:rsidRPr="00AB2294" w:rsidRDefault="008E6BF2" w:rsidP="008E6BF2">
      <w:pPr>
        <w:pStyle w:val="EndNoteBibliography"/>
        <w:numPr>
          <w:ilvl w:val="0"/>
          <w:numId w:val="23"/>
        </w:numPr>
        <w:adjustRightInd w:val="0"/>
        <w:snapToGrid w:val="0"/>
        <w:spacing w:line="228" w:lineRule="auto"/>
        <w:ind w:left="425" w:hanging="425"/>
        <w:rPr>
          <w:color w:val="auto"/>
        </w:rPr>
      </w:pPr>
      <w:r w:rsidRPr="00AB2294">
        <w:rPr>
          <w:color w:val="auto"/>
        </w:rPr>
        <w:t xml:space="preserve">CDDIS, NASA’s Archive of Space Geodesy Data. Availabe online: </w:t>
      </w:r>
      <w:r w:rsidRPr="00AB2294">
        <w:rPr>
          <w:rStyle w:val="Hyperlink"/>
          <w:color w:val="auto"/>
          <w:u w:val="none"/>
        </w:rPr>
        <w:t>https://cddis.nasa.gov/Data_and_Derived_Products/GNSS/orbit_products.html</w:t>
      </w:r>
      <w:r w:rsidRPr="00AB2294">
        <w:rPr>
          <w:color w:val="auto"/>
        </w:rPr>
        <w:t xml:space="preserve"> (accessed on 18 April 2021).</w:t>
      </w:r>
    </w:p>
    <w:p w14:paraId="48F186F3" w14:textId="7135BCB7" w:rsidR="006B19FC" w:rsidRPr="00AB2294" w:rsidRDefault="008E6BF2" w:rsidP="008E6BF2">
      <w:pPr>
        <w:pStyle w:val="EndNoteBibliography"/>
        <w:numPr>
          <w:ilvl w:val="0"/>
          <w:numId w:val="23"/>
        </w:numPr>
        <w:adjustRightInd w:val="0"/>
        <w:snapToGrid w:val="0"/>
        <w:spacing w:line="228" w:lineRule="auto"/>
        <w:ind w:left="425" w:hanging="425"/>
        <w:rPr>
          <w:color w:val="auto"/>
        </w:rPr>
      </w:pPr>
      <w:r w:rsidRPr="00AB2294">
        <w:rPr>
          <w:color w:val="auto"/>
        </w:rPr>
        <w:t xml:space="preserve">Noll, C.E. The Crustal Dynamics Data Information System: A resource to support scientific analysis using space geodesy. </w:t>
      </w:r>
      <w:r w:rsidRPr="00AB2294">
        <w:rPr>
          <w:i/>
          <w:color w:val="auto"/>
        </w:rPr>
        <w:t xml:space="preserve">Adv. Space Res. </w:t>
      </w:r>
      <w:r w:rsidRPr="00AB2294">
        <w:rPr>
          <w:b/>
          <w:color w:val="auto"/>
        </w:rPr>
        <w:t>2010</w:t>
      </w:r>
      <w:r w:rsidRPr="00AB2294">
        <w:rPr>
          <w:color w:val="auto"/>
        </w:rPr>
        <w:t xml:space="preserve">, </w:t>
      </w:r>
      <w:r w:rsidRPr="00AB2294">
        <w:rPr>
          <w:i/>
          <w:color w:val="auto"/>
        </w:rPr>
        <w:t>45</w:t>
      </w:r>
      <w:r w:rsidRPr="00AB2294">
        <w:rPr>
          <w:color w:val="auto"/>
        </w:rPr>
        <w:t>, 1421–1440.</w:t>
      </w:r>
    </w:p>
    <w:sectPr w:rsidR="006B19FC" w:rsidRPr="00AB2294" w:rsidSect="00BD37FF">
      <w:headerReference w:type="even" r:id="rId33"/>
      <w:headerReference w:type="default" r:id="rId34"/>
      <w:footerReference w:type="default" r:id="rId35"/>
      <w:headerReference w:type="first" r:id="rId36"/>
      <w:footerReference w:type="first" r:id="rId37"/>
      <w:type w:val="continuous"/>
      <w:pgSz w:w="11906" w:h="16838" w:code="9"/>
      <w:pgMar w:top="1417" w:right="720" w:bottom="1077" w:left="720" w:header="1020" w:footer="340" w:gutter="0"/>
      <w:pgNumType w:start="1"/>
      <w:cols w:space="425"/>
      <w:titlePg/>
      <w:bidi/>
      <w:docGrid w:type="lines"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B46A9" w16cex:dateUtc="2021-11-25T22:42:00Z"/>
  <w16cex:commentExtensible w16cex:durableId="254B3836" w16cex:dateUtc="2021-11-25T21:40:00Z"/>
  <w16cex:commentExtensible w16cex:durableId="254B46B4" w16cex:dateUtc="2021-11-25T22:42:00Z"/>
  <w16cex:commentExtensible w16cex:durableId="254B3E2E" w16cex:dateUtc="2021-11-25T22:06:00Z"/>
  <w16cex:commentExtensible w16cex:durableId="254B3E2F" w16cex:dateUtc="2021-11-25T22:06:00Z"/>
  <w16cex:commentExtensible w16cex:durableId="254B3E4B" w16cex:dateUtc="2021-11-25T22:06:00Z"/>
  <w16cex:commentExtensible w16cex:durableId="254B6D54" w16cex:dateUtc="2021-11-26T01:27:00Z"/>
  <w16cex:commentExtensible w16cex:durableId="254B38DD" w16cex:dateUtc="2021-11-25T21:43:00Z"/>
  <w16cex:commentExtensible w16cex:durableId="254B404F" w16cex:dateUtc="2021-11-25T22:15:00Z"/>
  <w16cex:commentExtensible w16cex:durableId="254B3907" w16cex:dateUtc="2021-11-25T21:44:00Z"/>
  <w16cex:commentExtensible w16cex:durableId="254B42CA" w16cex:dateUtc="2021-11-25T22:26:00Z"/>
  <w16cex:commentExtensible w16cex:durableId="254B42D9" w16cex:dateUtc="2021-11-25T22:26:00Z"/>
  <w16cex:commentExtensible w16cex:durableId="254B42FF" w16cex:dateUtc="2021-11-25T22:26:00Z"/>
  <w16cex:commentExtensible w16cex:durableId="254B4309" w16cex:dateUtc="2021-11-25T22:27:00Z"/>
  <w16cex:commentExtensible w16cex:durableId="254B4342" w16cex:dateUtc="2021-11-25T22:28:00Z"/>
  <w16cex:commentExtensible w16cex:durableId="254B434B" w16cex:dateUtc="2021-11-25T22:28:00Z"/>
  <w16cex:commentExtensible w16cex:durableId="254B43DE" w16cex:dateUtc="2021-11-25T22:30:00Z"/>
  <w16cex:commentExtensible w16cex:durableId="254B43E8" w16cex:dateUtc="2021-11-25T22:30:00Z"/>
  <w16cex:commentExtensible w16cex:durableId="254B3AF8" w16cex:dateUtc="2021-11-25T21:52:00Z"/>
  <w16cex:commentExtensible w16cex:durableId="254B3B42" w16cex:dateUtc="2021-11-25T21:53:00Z"/>
  <w16cex:commentExtensible w16cex:durableId="254B3B81" w16cex:dateUtc="2021-11-25T21:54:00Z"/>
  <w16cex:commentExtensible w16cex:durableId="254B45D8" w16cex:dateUtc="2021-11-25T22:39:00Z"/>
  <w16cex:commentExtensible w16cex:durableId="254B3B50" w16cex:dateUtc="2021-11-25T21:54:00Z"/>
  <w16cex:commentExtensible w16cex:durableId="254B3B4D" w16cex:dateUtc="2021-11-25T21:54:00Z"/>
  <w16cex:commentExtensible w16cex:durableId="254B3B4A" w16cex:dateUtc="2021-11-25T21:54:00Z"/>
  <w16cex:commentExtensible w16cex:durableId="254B3B43" w16cex:dateUtc="2021-11-25T21:53:00Z"/>
  <w16cex:commentExtensible w16cex:durableId="254B457D" w16cex:dateUtc="2021-11-25T22:37: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500C3B" w14:textId="77777777" w:rsidR="005677D0" w:rsidRDefault="005677D0">
      <w:pPr>
        <w:spacing w:line="240" w:lineRule="auto"/>
      </w:pPr>
      <w:r>
        <w:separator/>
      </w:r>
    </w:p>
  </w:endnote>
  <w:endnote w:type="continuationSeparator" w:id="0">
    <w:p w14:paraId="1564D11A" w14:textId="77777777" w:rsidR="005677D0" w:rsidRDefault="005677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MS Gothic"/>
    <w:panose1 w:val="00000000000000000000"/>
    <w:charset w:val="80"/>
    <w:family w:val="roman"/>
    <w:notTrueType/>
    <w:pitch w:val="default"/>
  </w:font>
  <w:font w:name="DengXian">
    <w:altName w:val="Arial Unicode MS"/>
    <w:charset w:val="86"/>
    <w:family w:val="auto"/>
    <w:pitch w:val="variable"/>
    <w:sig w:usb0="00000000" w:usb1="38CF7CFA" w:usb2="00000016" w:usb3="00000000" w:csb0="0004000F" w:csb1="00000000"/>
  </w:font>
  <w:font w:name="等线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42BC9" w14:textId="77777777" w:rsidR="009A6E34" w:rsidRPr="005A3DDA" w:rsidRDefault="009A6E34" w:rsidP="00EC0A49">
    <w:pPr>
      <w:pStyle w:val="Footer"/>
      <w:spacing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5EBB2" w14:textId="77777777" w:rsidR="009A6E34" w:rsidRDefault="009A6E34" w:rsidP="00B91ADB">
    <w:pPr>
      <w:pBdr>
        <w:top w:val="single" w:sz="4" w:space="0" w:color="000000"/>
      </w:pBdr>
      <w:tabs>
        <w:tab w:val="right" w:pos="8844"/>
      </w:tabs>
      <w:adjustRightInd w:val="0"/>
      <w:snapToGrid w:val="0"/>
      <w:spacing w:before="480" w:line="100" w:lineRule="exact"/>
      <w:jc w:val="left"/>
      <w:rPr>
        <w:i/>
        <w:sz w:val="16"/>
        <w:szCs w:val="16"/>
      </w:rPr>
    </w:pPr>
  </w:p>
  <w:p w14:paraId="24FFEC1A" w14:textId="77777777" w:rsidR="009A6E34" w:rsidRPr="00372FCD" w:rsidRDefault="009A6E34" w:rsidP="00E47435">
    <w:pPr>
      <w:tabs>
        <w:tab w:val="right" w:pos="10466"/>
      </w:tabs>
      <w:adjustRightInd w:val="0"/>
      <w:snapToGrid w:val="0"/>
      <w:spacing w:line="240" w:lineRule="auto"/>
      <w:rPr>
        <w:sz w:val="16"/>
        <w:szCs w:val="16"/>
        <w:lang w:val="fr-CH"/>
      </w:rPr>
    </w:pPr>
    <w:r w:rsidRPr="000A2C53">
      <w:rPr>
        <w:i/>
        <w:sz w:val="16"/>
        <w:szCs w:val="16"/>
      </w:rPr>
      <w:t>Geosciences</w:t>
    </w:r>
    <w:r>
      <w:rPr>
        <w:i/>
        <w:sz w:val="16"/>
        <w:szCs w:val="16"/>
      </w:rPr>
      <w:t xml:space="preserve"> </w:t>
    </w:r>
    <w:r w:rsidRPr="00D31460">
      <w:rPr>
        <w:b/>
        <w:bCs/>
        <w:iCs/>
        <w:sz w:val="16"/>
        <w:szCs w:val="16"/>
      </w:rPr>
      <w:t>2021</w:t>
    </w:r>
    <w:r w:rsidRPr="00522BF7">
      <w:rPr>
        <w:bCs/>
        <w:iCs/>
        <w:sz w:val="16"/>
        <w:szCs w:val="16"/>
      </w:rPr>
      <w:t xml:space="preserve">, </w:t>
    </w:r>
    <w:r w:rsidRPr="00D31460">
      <w:rPr>
        <w:bCs/>
        <w:i/>
        <w:iCs/>
        <w:sz w:val="16"/>
        <w:szCs w:val="16"/>
      </w:rPr>
      <w:t>11</w:t>
    </w:r>
    <w:r w:rsidRPr="00522BF7">
      <w:rPr>
        <w:bCs/>
        <w:iCs/>
        <w:sz w:val="16"/>
        <w:szCs w:val="16"/>
      </w:rPr>
      <w:t xml:space="preserve">, </w:t>
    </w:r>
    <w:r>
      <w:rPr>
        <w:bCs/>
        <w:iCs/>
        <w:sz w:val="16"/>
        <w:szCs w:val="16"/>
      </w:rPr>
      <w:t>x. https://doi.org/10.3390/xxxxx</w:t>
    </w:r>
    <w:r w:rsidRPr="00372FCD">
      <w:rPr>
        <w:sz w:val="16"/>
        <w:szCs w:val="16"/>
        <w:lang w:val="fr-CH"/>
      </w:rPr>
      <w:tab/>
      <w:t>www.mdpi.com/journal/</w:t>
    </w:r>
    <w:r w:rsidRPr="000A2C53">
      <w:rPr>
        <w:sz w:val="16"/>
        <w:szCs w:val="16"/>
      </w:rPr>
      <w:t>geosciences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2ACCCA" w14:textId="77777777" w:rsidR="005677D0" w:rsidRDefault="005677D0">
      <w:pPr>
        <w:spacing w:line="240" w:lineRule="auto"/>
      </w:pPr>
      <w:r>
        <w:separator/>
      </w:r>
    </w:p>
  </w:footnote>
  <w:footnote w:type="continuationSeparator" w:id="0">
    <w:p w14:paraId="59F4925C" w14:textId="77777777" w:rsidR="005677D0" w:rsidRDefault="005677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1EC84" w14:textId="77777777" w:rsidR="009A6E34" w:rsidRDefault="009A6E34" w:rsidP="00EC0A49">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A5309" w14:textId="77777777" w:rsidR="009A6E34" w:rsidRDefault="009A6E34" w:rsidP="00E47435">
    <w:pPr>
      <w:tabs>
        <w:tab w:val="right" w:pos="10466"/>
      </w:tabs>
      <w:adjustRightInd w:val="0"/>
      <w:snapToGrid w:val="0"/>
      <w:spacing w:line="240" w:lineRule="auto"/>
      <w:rPr>
        <w:sz w:val="16"/>
      </w:rPr>
    </w:pPr>
    <w:r>
      <w:rPr>
        <w:i/>
        <w:sz w:val="16"/>
      </w:rPr>
      <w:t xml:space="preserve">Geosciences </w:t>
    </w:r>
    <w:r w:rsidRPr="00FC6E12">
      <w:rPr>
        <w:b/>
        <w:sz w:val="16"/>
      </w:rPr>
      <w:t>2021</w:t>
    </w:r>
    <w:r w:rsidRPr="00522BF7">
      <w:rPr>
        <w:sz w:val="16"/>
      </w:rPr>
      <w:t xml:space="preserve">, </w:t>
    </w:r>
    <w:r w:rsidRPr="00FC6E12">
      <w:rPr>
        <w:i/>
        <w:sz w:val="16"/>
      </w:rPr>
      <w:t>11</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sidR="00D13601">
      <w:rPr>
        <w:sz w:val="16"/>
      </w:rPr>
      <w:t>7</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D13601">
      <w:rPr>
        <w:sz w:val="16"/>
      </w:rPr>
      <w:t>20</w:t>
    </w:r>
    <w:r>
      <w:rPr>
        <w:sz w:val="16"/>
      </w:rPr>
      <w:fldChar w:fldCharType="end"/>
    </w:r>
  </w:p>
  <w:p w14:paraId="0C405BFC" w14:textId="77777777" w:rsidR="009A6E34" w:rsidRPr="003B3707" w:rsidRDefault="009A6E34" w:rsidP="00B91ADB">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87" w:type="dxa"/>
      <w:tblCellMar>
        <w:left w:w="0" w:type="dxa"/>
        <w:right w:w="0" w:type="dxa"/>
      </w:tblCellMar>
      <w:tblLook w:val="04A0" w:firstRow="1" w:lastRow="0" w:firstColumn="1" w:lastColumn="0" w:noHBand="0" w:noVBand="1"/>
    </w:tblPr>
    <w:tblGrid>
      <w:gridCol w:w="3679"/>
      <w:gridCol w:w="4535"/>
      <w:gridCol w:w="2273"/>
    </w:tblGrid>
    <w:tr w:rsidR="009A6E34" w:rsidRPr="00E47435" w14:paraId="02983285" w14:textId="77777777" w:rsidTr="00E47435">
      <w:trPr>
        <w:trHeight w:val="686"/>
      </w:trPr>
      <w:tc>
        <w:tcPr>
          <w:tcW w:w="3679" w:type="dxa"/>
          <w:shd w:val="clear" w:color="auto" w:fill="auto"/>
          <w:vAlign w:val="center"/>
        </w:tcPr>
        <w:p w14:paraId="5057D123" w14:textId="77777777" w:rsidR="009A6E34" w:rsidRPr="00672E53" w:rsidRDefault="009A6E34" w:rsidP="00E47435">
          <w:pPr>
            <w:pStyle w:val="Header"/>
            <w:pBdr>
              <w:bottom w:val="none" w:sz="0" w:space="0" w:color="auto"/>
            </w:pBdr>
            <w:jc w:val="left"/>
            <w:rPr>
              <w:rFonts w:eastAsia="DengXian"/>
              <w:b/>
              <w:bCs/>
            </w:rPr>
          </w:pPr>
          <w:r w:rsidRPr="00672E53">
            <w:rPr>
              <w:rFonts w:eastAsia="DengXian"/>
              <w:b/>
              <w:bCs/>
              <w:lang w:val="en-GB" w:eastAsia="en-GB"/>
            </w:rPr>
            <w:drawing>
              <wp:inline distT="0" distB="0" distL="0" distR="0" wp14:anchorId="075F11FB" wp14:editId="65418081">
                <wp:extent cx="1724660" cy="436245"/>
                <wp:effectExtent l="0" t="0" r="0" b="0"/>
                <wp:docPr id="1" name="Picture 3" descr="C:\Users\home\AppData\Local\Temp\HZ$D.082.3315\geoscience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082.3315\geoscience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660" cy="436245"/>
                        </a:xfrm>
                        <a:prstGeom prst="rect">
                          <a:avLst/>
                        </a:prstGeom>
                        <a:noFill/>
                        <a:ln>
                          <a:noFill/>
                        </a:ln>
                      </pic:spPr>
                    </pic:pic>
                  </a:graphicData>
                </a:graphic>
              </wp:inline>
            </w:drawing>
          </w:r>
        </w:p>
      </w:tc>
      <w:tc>
        <w:tcPr>
          <w:tcW w:w="4535" w:type="dxa"/>
          <w:shd w:val="clear" w:color="auto" w:fill="auto"/>
          <w:vAlign w:val="center"/>
        </w:tcPr>
        <w:p w14:paraId="53FF1537" w14:textId="77777777" w:rsidR="009A6E34" w:rsidRPr="00672E53" w:rsidRDefault="009A6E34" w:rsidP="00E47435">
          <w:pPr>
            <w:pStyle w:val="Header"/>
            <w:pBdr>
              <w:bottom w:val="none" w:sz="0" w:space="0" w:color="auto"/>
            </w:pBdr>
            <w:rPr>
              <w:rFonts w:eastAsia="DengXian"/>
              <w:b/>
              <w:bCs/>
            </w:rPr>
          </w:pPr>
        </w:p>
      </w:tc>
      <w:tc>
        <w:tcPr>
          <w:tcW w:w="2273" w:type="dxa"/>
          <w:shd w:val="clear" w:color="auto" w:fill="auto"/>
          <w:vAlign w:val="center"/>
        </w:tcPr>
        <w:p w14:paraId="7BDDAF3A" w14:textId="77777777" w:rsidR="009A6E34" w:rsidRPr="00672E53" w:rsidRDefault="009A6E34" w:rsidP="00E47435">
          <w:pPr>
            <w:pStyle w:val="Header"/>
            <w:pBdr>
              <w:bottom w:val="none" w:sz="0" w:space="0" w:color="auto"/>
            </w:pBdr>
            <w:jc w:val="right"/>
            <w:rPr>
              <w:rFonts w:eastAsia="DengXian"/>
              <w:b/>
              <w:bCs/>
            </w:rPr>
          </w:pPr>
          <w:r w:rsidRPr="00672E53">
            <w:rPr>
              <w:rFonts w:eastAsia="DengXian"/>
              <w:b/>
              <w:bCs/>
              <w:lang w:val="en-GB" w:eastAsia="en-GB"/>
            </w:rPr>
            <w:drawing>
              <wp:inline distT="0" distB="0" distL="0" distR="0" wp14:anchorId="1CEBC928" wp14:editId="1C90B36A">
                <wp:extent cx="540385" cy="353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3060"/>
                        </a:xfrm>
                        <a:prstGeom prst="rect">
                          <a:avLst/>
                        </a:prstGeom>
                        <a:noFill/>
                        <a:ln>
                          <a:noFill/>
                        </a:ln>
                      </pic:spPr>
                    </pic:pic>
                  </a:graphicData>
                </a:graphic>
              </wp:inline>
            </w:drawing>
          </w:r>
        </w:p>
      </w:tc>
    </w:tr>
  </w:tbl>
  <w:p w14:paraId="23D6C1E7" w14:textId="77777777" w:rsidR="009A6E34" w:rsidRPr="009A1BC7" w:rsidRDefault="009A6E34" w:rsidP="00B91ADB">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6CEC"/>
    <w:multiLevelType w:val="hybridMultilevel"/>
    <w:tmpl w:val="E32EFB56"/>
    <w:lvl w:ilvl="0" w:tplc="F7066688">
      <w:numFmt w:val="bullet"/>
      <w:lvlText w:val="•"/>
      <w:lvlJc w:val="left"/>
      <w:pPr>
        <w:ind w:left="3393" w:hanging="360"/>
      </w:pPr>
      <w:rPr>
        <w:rFonts w:ascii="Palatino Linotype" w:eastAsia="Times New Roman" w:hAnsi="Palatino Linotype" w:cs="Times New Roman" w:hint="default"/>
      </w:rPr>
    </w:lvl>
    <w:lvl w:ilvl="1" w:tplc="04090003" w:tentative="1">
      <w:start w:val="1"/>
      <w:numFmt w:val="bullet"/>
      <w:lvlText w:val="o"/>
      <w:lvlJc w:val="left"/>
      <w:pPr>
        <w:ind w:left="4113" w:hanging="360"/>
      </w:pPr>
      <w:rPr>
        <w:rFonts w:ascii="Courier New" w:hAnsi="Courier New" w:cs="Courier New" w:hint="default"/>
      </w:rPr>
    </w:lvl>
    <w:lvl w:ilvl="2" w:tplc="04090005" w:tentative="1">
      <w:start w:val="1"/>
      <w:numFmt w:val="bullet"/>
      <w:lvlText w:val=""/>
      <w:lvlJc w:val="left"/>
      <w:pPr>
        <w:ind w:left="4833" w:hanging="360"/>
      </w:pPr>
      <w:rPr>
        <w:rFonts w:ascii="Wingdings" w:hAnsi="Wingdings" w:hint="default"/>
      </w:rPr>
    </w:lvl>
    <w:lvl w:ilvl="3" w:tplc="04090001" w:tentative="1">
      <w:start w:val="1"/>
      <w:numFmt w:val="bullet"/>
      <w:lvlText w:val=""/>
      <w:lvlJc w:val="left"/>
      <w:pPr>
        <w:ind w:left="5553" w:hanging="360"/>
      </w:pPr>
      <w:rPr>
        <w:rFonts w:ascii="Symbol" w:hAnsi="Symbol" w:hint="default"/>
      </w:rPr>
    </w:lvl>
    <w:lvl w:ilvl="4" w:tplc="04090003" w:tentative="1">
      <w:start w:val="1"/>
      <w:numFmt w:val="bullet"/>
      <w:lvlText w:val="o"/>
      <w:lvlJc w:val="left"/>
      <w:pPr>
        <w:ind w:left="6273" w:hanging="360"/>
      </w:pPr>
      <w:rPr>
        <w:rFonts w:ascii="Courier New" w:hAnsi="Courier New" w:cs="Courier New" w:hint="default"/>
      </w:rPr>
    </w:lvl>
    <w:lvl w:ilvl="5" w:tplc="04090005" w:tentative="1">
      <w:start w:val="1"/>
      <w:numFmt w:val="bullet"/>
      <w:lvlText w:val=""/>
      <w:lvlJc w:val="left"/>
      <w:pPr>
        <w:ind w:left="6993" w:hanging="360"/>
      </w:pPr>
      <w:rPr>
        <w:rFonts w:ascii="Wingdings" w:hAnsi="Wingdings" w:hint="default"/>
      </w:rPr>
    </w:lvl>
    <w:lvl w:ilvl="6" w:tplc="04090001" w:tentative="1">
      <w:start w:val="1"/>
      <w:numFmt w:val="bullet"/>
      <w:lvlText w:val=""/>
      <w:lvlJc w:val="left"/>
      <w:pPr>
        <w:ind w:left="7713" w:hanging="360"/>
      </w:pPr>
      <w:rPr>
        <w:rFonts w:ascii="Symbol" w:hAnsi="Symbol" w:hint="default"/>
      </w:rPr>
    </w:lvl>
    <w:lvl w:ilvl="7" w:tplc="04090003" w:tentative="1">
      <w:start w:val="1"/>
      <w:numFmt w:val="bullet"/>
      <w:lvlText w:val="o"/>
      <w:lvlJc w:val="left"/>
      <w:pPr>
        <w:ind w:left="8433" w:hanging="360"/>
      </w:pPr>
      <w:rPr>
        <w:rFonts w:ascii="Courier New" w:hAnsi="Courier New" w:cs="Courier New" w:hint="default"/>
      </w:rPr>
    </w:lvl>
    <w:lvl w:ilvl="8" w:tplc="04090005" w:tentative="1">
      <w:start w:val="1"/>
      <w:numFmt w:val="bullet"/>
      <w:lvlText w:val=""/>
      <w:lvlJc w:val="left"/>
      <w:pPr>
        <w:ind w:left="9153" w:hanging="360"/>
      </w:pPr>
      <w:rPr>
        <w:rFonts w:ascii="Wingdings" w:hAnsi="Wingdings" w:hint="default"/>
      </w:rPr>
    </w:lvl>
  </w:abstractNum>
  <w:abstractNum w:abstractNumId="1">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9E4CD7"/>
    <w:multiLevelType w:val="hybridMultilevel"/>
    <w:tmpl w:val="1616BC82"/>
    <w:lvl w:ilvl="0" w:tplc="04090001">
      <w:start w:val="1"/>
      <w:numFmt w:val="bullet"/>
      <w:lvlText w:val=""/>
      <w:lvlJc w:val="left"/>
      <w:pPr>
        <w:ind w:left="3753" w:hanging="360"/>
      </w:pPr>
      <w:rPr>
        <w:rFonts w:ascii="Symbol" w:hAnsi="Symbol" w:hint="default"/>
      </w:rPr>
    </w:lvl>
    <w:lvl w:ilvl="1" w:tplc="04090003" w:tentative="1">
      <w:start w:val="1"/>
      <w:numFmt w:val="bullet"/>
      <w:lvlText w:val="o"/>
      <w:lvlJc w:val="left"/>
      <w:pPr>
        <w:ind w:left="4473" w:hanging="360"/>
      </w:pPr>
      <w:rPr>
        <w:rFonts w:ascii="Courier New" w:hAnsi="Courier New" w:cs="Courier New" w:hint="default"/>
      </w:rPr>
    </w:lvl>
    <w:lvl w:ilvl="2" w:tplc="04090005" w:tentative="1">
      <w:start w:val="1"/>
      <w:numFmt w:val="bullet"/>
      <w:lvlText w:val=""/>
      <w:lvlJc w:val="left"/>
      <w:pPr>
        <w:ind w:left="5193" w:hanging="360"/>
      </w:pPr>
      <w:rPr>
        <w:rFonts w:ascii="Wingdings" w:hAnsi="Wingdings" w:hint="default"/>
      </w:rPr>
    </w:lvl>
    <w:lvl w:ilvl="3" w:tplc="04090001" w:tentative="1">
      <w:start w:val="1"/>
      <w:numFmt w:val="bullet"/>
      <w:lvlText w:val=""/>
      <w:lvlJc w:val="left"/>
      <w:pPr>
        <w:ind w:left="5913" w:hanging="360"/>
      </w:pPr>
      <w:rPr>
        <w:rFonts w:ascii="Symbol" w:hAnsi="Symbol" w:hint="default"/>
      </w:rPr>
    </w:lvl>
    <w:lvl w:ilvl="4" w:tplc="04090003" w:tentative="1">
      <w:start w:val="1"/>
      <w:numFmt w:val="bullet"/>
      <w:lvlText w:val="o"/>
      <w:lvlJc w:val="left"/>
      <w:pPr>
        <w:ind w:left="6633" w:hanging="360"/>
      </w:pPr>
      <w:rPr>
        <w:rFonts w:ascii="Courier New" w:hAnsi="Courier New" w:cs="Courier New" w:hint="default"/>
      </w:rPr>
    </w:lvl>
    <w:lvl w:ilvl="5" w:tplc="04090005" w:tentative="1">
      <w:start w:val="1"/>
      <w:numFmt w:val="bullet"/>
      <w:lvlText w:val=""/>
      <w:lvlJc w:val="left"/>
      <w:pPr>
        <w:ind w:left="7353" w:hanging="360"/>
      </w:pPr>
      <w:rPr>
        <w:rFonts w:ascii="Wingdings" w:hAnsi="Wingdings" w:hint="default"/>
      </w:rPr>
    </w:lvl>
    <w:lvl w:ilvl="6" w:tplc="04090001" w:tentative="1">
      <w:start w:val="1"/>
      <w:numFmt w:val="bullet"/>
      <w:lvlText w:val=""/>
      <w:lvlJc w:val="left"/>
      <w:pPr>
        <w:ind w:left="8073" w:hanging="360"/>
      </w:pPr>
      <w:rPr>
        <w:rFonts w:ascii="Symbol" w:hAnsi="Symbol" w:hint="default"/>
      </w:rPr>
    </w:lvl>
    <w:lvl w:ilvl="7" w:tplc="04090003" w:tentative="1">
      <w:start w:val="1"/>
      <w:numFmt w:val="bullet"/>
      <w:lvlText w:val="o"/>
      <w:lvlJc w:val="left"/>
      <w:pPr>
        <w:ind w:left="8793" w:hanging="360"/>
      </w:pPr>
      <w:rPr>
        <w:rFonts w:ascii="Courier New" w:hAnsi="Courier New" w:cs="Courier New" w:hint="default"/>
      </w:rPr>
    </w:lvl>
    <w:lvl w:ilvl="8" w:tplc="04090005" w:tentative="1">
      <w:start w:val="1"/>
      <w:numFmt w:val="bullet"/>
      <w:lvlText w:val=""/>
      <w:lvlJc w:val="left"/>
      <w:pPr>
        <w:ind w:left="9513" w:hanging="360"/>
      </w:pPr>
      <w:rPr>
        <w:rFonts w:ascii="Wingdings" w:hAnsi="Wingdings" w:hint="default"/>
      </w:rPr>
    </w:lvl>
  </w:abstractNum>
  <w:abstractNum w:abstractNumId="7">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1">
    <w:nsid w:val="7DB97121"/>
    <w:multiLevelType w:val="hybridMultilevel"/>
    <w:tmpl w:val="87F09704"/>
    <w:lvl w:ilvl="0" w:tplc="C51EC30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9"/>
  </w:num>
  <w:num w:numId="7">
    <w:abstractNumId w:val="2"/>
  </w:num>
  <w:num w:numId="8">
    <w:abstractNumId w:val="9"/>
  </w:num>
  <w:num w:numId="9">
    <w:abstractNumId w:val="2"/>
  </w:num>
  <w:num w:numId="10">
    <w:abstractNumId w:val="9"/>
  </w:num>
  <w:num w:numId="11">
    <w:abstractNumId w:val="2"/>
  </w:num>
  <w:num w:numId="12">
    <w:abstractNumId w:val="10"/>
  </w:num>
  <w:num w:numId="13">
    <w:abstractNumId w:val="9"/>
  </w:num>
  <w:num w:numId="14">
    <w:abstractNumId w:val="2"/>
  </w:num>
  <w:num w:numId="15">
    <w:abstractNumId w:val="1"/>
  </w:num>
  <w:num w:numId="16">
    <w:abstractNumId w:val="8"/>
  </w:num>
  <w:num w:numId="17">
    <w:abstractNumId w:val="9"/>
  </w:num>
  <w:num w:numId="18">
    <w:abstractNumId w:val="2"/>
  </w:num>
  <w:num w:numId="19">
    <w:abstractNumId w:val="8"/>
  </w:num>
  <w:num w:numId="20">
    <w:abstractNumId w:val="1"/>
  </w:num>
  <w:num w:numId="21">
    <w:abstractNumId w:val="6"/>
  </w:num>
  <w:num w:numId="22">
    <w:abstractNumId w:val="0"/>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643"/>
    <w:rsid w:val="000161EA"/>
    <w:rsid w:val="000204E8"/>
    <w:rsid w:val="00027D4E"/>
    <w:rsid w:val="00032AF5"/>
    <w:rsid w:val="000353AE"/>
    <w:rsid w:val="0004010F"/>
    <w:rsid w:val="00046D22"/>
    <w:rsid w:val="00051924"/>
    <w:rsid w:val="00052A1B"/>
    <w:rsid w:val="00057E14"/>
    <w:rsid w:val="00076BCD"/>
    <w:rsid w:val="0008580A"/>
    <w:rsid w:val="000A68E3"/>
    <w:rsid w:val="000B10FA"/>
    <w:rsid w:val="000C0310"/>
    <w:rsid w:val="000C1084"/>
    <w:rsid w:val="000C44D9"/>
    <w:rsid w:val="000D3AF0"/>
    <w:rsid w:val="000E62AE"/>
    <w:rsid w:val="000E7C82"/>
    <w:rsid w:val="00106626"/>
    <w:rsid w:val="00111AB2"/>
    <w:rsid w:val="00111FA3"/>
    <w:rsid w:val="0011493F"/>
    <w:rsid w:val="00114A87"/>
    <w:rsid w:val="001225A4"/>
    <w:rsid w:val="00136CF7"/>
    <w:rsid w:val="00164CD6"/>
    <w:rsid w:val="00167FD7"/>
    <w:rsid w:val="001774AE"/>
    <w:rsid w:val="001818D5"/>
    <w:rsid w:val="001E2AEB"/>
    <w:rsid w:val="001F4584"/>
    <w:rsid w:val="001F48F4"/>
    <w:rsid w:val="001F52E0"/>
    <w:rsid w:val="002210E4"/>
    <w:rsid w:val="00223403"/>
    <w:rsid w:val="00230DA4"/>
    <w:rsid w:val="0024434A"/>
    <w:rsid w:val="0026445F"/>
    <w:rsid w:val="00266052"/>
    <w:rsid w:val="0027220C"/>
    <w:rsid w:val="00283FBE"/>
    <w:rsid w:val="00291CB6"/>
    <w:rsid w:val="00293622"/>
    <w:rsid w:val="00295391"/>
    <w:rsid w:val="002A6834"/>
    <w:rsid w:val="002D1243"/>
    <w:rsid w:val="002E47E5"/>
    <w:rsid w:val="002F5A06"/>
    <w:rsid w:val="003126F8"/>
    <w:rsid w:val="00314BF9"/>
    <w:rsid w:val="00320B7C"/>
    <w:rsid w:val="00326141"/>
    <w:rsid w:val="00335524"/>
    <w:rsid w:val="00342B0D"/>
    <w:rsid w:val="00357264"/>
    <w:rsid w:val="00370850"/>
    <w:rsid w:val="00373C68"/>
    <w:rsid w:val="00377092"/>
    <w:rsid w:val="003771B5"/>
    <w:rsid w:val="00381F0D"/>
    <w:rsid w:val="00386217"/>
    <w:rsid w:val="003A326A"/>
    <w:rsid w:val="003B2643"/>
    <w:rsid w:val="003B3D06"/>
    <w:rsid w:val="003D065F"/>
    <w:rsid w:val="003D2F2F"/>
    <w:rsid w:val="00401D30"/>
    <w:rsid w:val="0040201C"/>
    <w:rsid w:val="004038D4"/>
    <w:rsid w:val="004236CB"/>
    <w:rsid w:val="00426ABC"/>
    <w:rsid w:val="00441A6C"/>
    <w:rsid w:val="00444954"/>
    <w:rsid w:val="00445800"/>
    <w:rsid w:val="00454BD2"/>
    <w:rsid w:val="004718D5"/>
    <w:rsid w:val="00490B76"/>
    <w:rsid w:val="004D4E7D"/>
    <w:rsid w:val="004E0989"/>
    <w:rsid w:val="004E6C9D"/>
    <w:rsid w:val="004F15A5"/>
    <w:rsid w:val="004F5B79"/>
    <w:rsid w:val="00513CBD"/>
    <w:rsid w:val="00522BF7"/>
    <w:rsid w:val="0052378C"/>
    <w:rsid w:val="00526DA1"/>
    <w:rsid w:val="005468FA"/>
    <w:rsid w:val="005677D0"/>
    <w:rsid w:val="005775C6"/>
    <w:rsid w:val="00580264"/>
    <w:rsid w:val="00585567"/>
    <w:rsid w:val="005914CB"/>
    <w:rsid w:val="00596BB8"/>
    <w:rsid w:val="005F2092"/>
    <w:rsid w:val="00610BE8"/>
    <w:rsid w:val="0063058E"/>
    <w:rsid w:val="00633004"/>
    <w:rsid w:val="0064303C"/>
    <w:rsid w:val="0065039C"/>
    <w:rsid w:val="00653E94"/>
    <w:rsid w:val="006565FD"/>
    <w:rsid w:val="00672E53"/>
    <w:rsid w:val="00677A6F"/>
    <w:rsid w:val="00683A8F"/>
    <w:rsid w:val="0068752D"/>
    <w:rsid w:val="00692393"/>
    <w:rsid w:val="006B19FC"/>
    <w:rsid w:val="006B6ACF"/>
    <w:rsid w:val="006B6D5A"/>
    <w:rsid w:val="006E3F01"/>
    <w:rsid w:val="006F63A8"/>
    <w:rsid w:val="00705E90"/>
    <w:rsid w:val="00712B4C"/>
    <w:rsid w:val="0071362A"/>
    <w:rsid w:val="00713AFA"/>
    <w:rsid w:val="00730E5B"/>
    <w:rsid w:val="00737593"/>
    <w:rsid w:val="00743848"/>
    <w:rsid w:val="00751AB2"/>
    <w:rsid w:val="00762E49"/>
    <w:rsid w:val="00765AEA"/>
    <w:rsid w:val="007757B0"/>
    <w:rsid w:val="00795012"/>
    <w:rsid w:val="007A5E5E"/>
    <w:rsid w:val="007A6AF1"/>
    <w:rsid w:val="007B5259"/>
    <w:rsid w:val="007C159F"/>
    <w:rsid w:val="007C272D"/>
    <w:rsid w:val="007E2365"/>
    <w:rsid w:val="007E2997"/>
    <w:rsid w:val="007E4D9F"/>
    <w:rsid w:val="00814998"/>
    <w:rsid w:val="00830C6B"/>
    <w:rsid w:val="00846400"/>
    <w:rsid w:val="00847A11"/>
    <w:rsid w:val="00854E68"/>
    <w:rsid w:val="00856DCD"/>
    <w:rsid w:val="00872D71"/>
    <w:rsid w:val="00874A4C"/>
    <w:rsid w:val="00895FCA"/>
    <w:rsid w:val="008B0BC7"/>
    <w:rsid w:val="008B57DE"/>
    <w:rsid w:val="008C39F7"/>
    <w:rsid w:val="008C7B73"/>
    <w:rsid w:val="008D1855"/>
    <w:rsid w:val="008D4917"/>
    <w:rsid w:val="008E23EE"/>
    <w:rsid w:val="008E6BF2"/>
    <w:rsid w:val="008E7FC1"/>
    <w:rsid w:val="008F0993"/>
    <w:rsid w:val="008F1B0F"/>
    <w:rsid w:val="00903910"/>
    <w:rsid w:val="0090512D"/>
    <w:rsid w:val="0092471E"/>
    <w:rsid w:val="00927124"/>
    <w:rsid w:val="009356FF"/>
    <w:rsid w:val="00955814"/>
    <w:rsid w:val="009567AF"/>
    <w:rsid w:val="00977F95"/>
    <w:rsid w:val="009846ED"/>
    <w:rsid w:val="00991392"/>
    <w:rsid w:val="00996D4D"/>
    <w:rsid w:val="00996E10"/>
    <w:rsid w:val="009A007D"/>
    <w:rsid w:val="009A1BC7"/>
    <w:rsid w:val="009A6D4E"/>
    <w:rsid w:val="009A6E34"/>
    <w:rsid w:val="009B4328"/>
    <w:rsid w:val="009D66A5"/>
    <w:rsid w:val="009E4BF9"/>
    <w:rsid w:val="009F193F"/>
    <w:rsid w:val="009F70E6"/>
    <w:rsid w:val="00A02B5B"/>
    <w:rsid w:val="00A02FD9"/>
    <w:rsid w:val="00A03D11"/>
    <w:rsid w:val="00A33949"/>
    <w:rsid w:val="00A3467F"/>
    <w:rsid w:val="00A4167D"/>
    <w:rsid w:val="00A81AFE"/>
    <w:rsid w:val="00A907A7"/>
    <w:rsid w:val="00A95A6E"/>
    <w:rsid w:val="00AA184C"/>
    <w:rsid w:val="00AA242A"/>
    <w:rsid w:val="00AA4D99"/>
    <w:rsid w:val="00AB2294"/>
    <w:rsid w:val="00AC09C5"/>
    <w:rsid w:val="00AC6A1B"/>
    <w:rsid w:val="00B11043"/>
    <w:rsid w:val="00B16414"/>
    <w:rsid w:val="00B57039"/>
    <w:rsid w:val="00B72FEC"/>
    <w:rsid w:val="00B73459"/>
    <w:rsid w:val="00B75164"/>
    <w:rsid w:val="00B82A32"/>
    <w:rsid w:val="00B91ADB"/>
    <w:rsid w:val="00BA6709"/>
    <w:rsid w:val="00BB1E6F"/>
    <w:rsid w:val="00BB33A4"/>
    <w:rsid w:val="00BC04B9"/>
    <w:rsid w:val="00BD37FF"/>
    <w:rsid w:val="00BE2E13"/>
    <w:rsid w:val="00BF39B0"/>
    <w:rsid w:val="00C11449"/>
    <w:rsid w:val="00C16FD0"/>
    <w:rsid w:val="00C33F9B"/>
    <w:rsid w:val="00C42233"/>
    <w:rsid w:val="00C52F2B"/>
    <w:rsid w:val="00C53745"/>
    <w:rsid w:val="00C56658"/>
    <w:rsid w:val="00C66D8E"/>
    <w:rsid w:val="00C94D6A"/>
    <w:rsid w:val="00C96CFD"/>
    <w:rsid w:val="00CA45BD"/>
    <w:rsid w:val="00CB58F8"/>
    <w:rsid w:val="00CB6437"/>
    <w:rsid w:val="00CC08E2"/>
    <w:rsid w:val="00CC1889"/>
    <w:rsid w:val="00CC78A3"/>
    <w:rsid w:val="00CD36EB"/>
    <w:rsid w:val="00CD391C"/>
    <w:rsid w:val="00CF52A8"/>
    <w:rsid w:val="00D07E13"/>
    <w:rsid w:val="00D13601"/>
    <w:rsid w:val="00D167E7"/>
    <w:rsid w:val="00D20CC0"/>
    <w:rsid w:val="00D236FC"/>
    <w:rsid w:val="00D31460"/>
    <w:rsid w:val="00D363E0"/>
    <w:rsid w:val="00D40770"/>
    <w:rsid w:val="00D44D06"/>
    <w:rsid w:val="00D5060B"/>
    <w:rsid w:val="00D528A0"/>
    <w:rsid w:val="00D81B8F"/>
    <w:rsid w:val="00D82F2F"/>
    <w:rsid w:val="00DB2BA9"/>
    <w:rsid w:val="00DC05EF"/>
    <w:rsid w:val="00DC481A"/>
    <w:rsid w:val="00DE128D"/>
    <w:rsid w:val="00DE25F4"/>
    <w:rsid w:val="00DE2735"/>
    <w:rsid w:val="00DE7D05"/>
    <w:rsid w:val="00E00B5D"/>
    <w:rsid w:val="00E07424"/>
    <w:rsid w:val="00E11986"/>
    <w:rsid w:val="00E1226C"/>
    <w:rsid w:val="00E47435"/>
    <w:rsid w:val="00E53B55"/>
    <w:rsid w:val="00E6222E"/>
    <w:rsid w:val="00E853CF"/>
    <w:rsid w:val="00E957D5"/>
    <w:rsid w:val="00EA201F"/>
    <w:rsid w:val="00EA724C"/>
    <w:rsid w:val="00EB7285"/>
    <w:rsid w:val="00EC0A49"/>
    <w:rsid w:val="00EC3A86"/>
    <w:rsid w:val="00ED7C83"/>
    <w:rsid w:val="00EE6584"/>
    <w:rsid w:val="00F101D7"/>
    <w:rsid w:val="00F10651"/>
    <w:rsid w:val="00F11CC3"/>
    <w:rsid w:val="00F12EC6"/>
    <w:rsid w:val="00F554B5"/>
    <w:rsid w:val="00F614B2"/>
    <w:rsid w:val="00F62E8E"/>
    <w:rsid w:val="00F716AE"/>
    <w:rsid w:val="00F8641E"/>
    <w:rsid w:val="00F90DEC"/>
    <w:rsid w:val="00F96EB6"/>
    <w:rsid w:val="00FA2B22"/>
    <w:rsid w:val="00FA31B4"/>
    <w:rsid w:val="00FA784A"/>
    <w:rsid w:val="00FB1D73"/>
    <w:rsid w:val="00FB7EBB"/>
    <w:rsid w:val="00FC343A"/>
    <w:rsid w:val="00FC61E4"/>
    <w:rsid w:val="00FC6E12"/>
    <w:rsid w:val="00FD069B"/>
    <w:rsid w:val="00FD2B1D"/>
    <w:rsid w:val="00FD430F"/>
    <w:rsid w:val="00FD6A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382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9FC"/>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BD37F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BD37F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BD37F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BD37FF"/>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BD37F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BD37F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BD37F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BD37FF"/>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9356FF"/>
    <w:pPr>
      <w:adjustRightInd w:val="0"/>
      <w:snapToGrid w:val="0"/>
      <w:spacing w:line="300" w:lineRule="exact"/>
      <w:jc w:val="center"/>
    </w:pPr>
    <w:rPr>
      <w:rFonts w:ascii="Times New Roman" w:hAnsi="Times New Roman"/>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6B19FC"/>
    <w:pPr>
      <w:spacing w:line="260" w:lineRule="atLeast"/>
      <w:jc w:val="both"/>
    </w:pPr>
    <w:rPr>
      <w:rFonts w:ascii="Palatino Linotype" w:hAnsi="Palatino Linotype"/>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6B19FC"/>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6B19FC"/>
    <w:rPr>
      <w:rFonts w:ascii="Palatino Linotype" w:hAnsi="Palatino Linotype"/>
      <w:noProof/>
      <w:color w:val="000000"/>
      <w:szCs w:val="18"/>
    </w:rPr>
  </w:style>
  <w:style w:type="paragraph" w:styleId="Header">
    <w:name w:val="header"/>
    <w:basedOn w:val="Normal"/>
    <w:link w:val="HeaderChar"/>
    <w:uiPriority w:val="99"/>
    <w:rsid w:val="006B19FC"/>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6B19FC"/>
    <w:rPr>
      <w:rFonts w:ascii="Palatino Linotype" w:hAnsi="Palatino Linotype"/>
      <w:noProof/>
      <w:color w:val="000000"/>
      <w:szCs w:val="18"/>
    </w:rPr>
  </w:style>
  <w:style w:type="paragraph" w:customStyle="1" w:styleId="MDPIheaderjournallogo">
    <w:name w:val="MDPI_header_journal_logo"/>
    <w:qFormat/>
    <w:rsid w:val="00BD37F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BD37FF"/>
    <w:pPr>
      <w:ind w:firstLine="0"/>
    </w:pPr>
  </w:style>
  <w:style w:type="paragraph" w:customStyle="1" w:styleId="MDPI31text">
    <w:name w:val="MDPI_3.1_text"/>
    <w:link w:val="MDPI31textChar"/>
    <w:qFormat/>
    <w:rsid w:val="00BD37F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BD37F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BD37F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BD37F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BD37FF"/>
    <w:pPr>
      <w:numPr>
        <w:numId w:val="17"/>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BD37FF"/>
    <w:pPr>
      <w:numPr>
        <w:numId w:val="18"/>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BD37F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BD37F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BD37FF"/>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BD37FF"/>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BD37FF"/>
    <w:pPr>
      <w:adjustRightInd w:val="0"/>
      <w:snapToGrid w:val="0"/>
      <w:spacing w:after="240"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BD37FF"/>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BD37F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BD37F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BD37F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BD37F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BD37FF"/>
    <w:pPr>
      <w:numPr>
        <w:numId w:val="20"/>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6B19FC"/>
    <w:rPr>
      <w:rFonts w:cs="Tahoma"/>
      <w:szCs w:val="18"/>
    </w:rPr>
  </w:style>
  <w:style w:type="character" w:customStyle="1" w:styleId="BalloonTextChar">
    <w:name w:val="Balloon Text Char"/>
    <w:link w:val="BalloonText"/>
    <w:uiPriority w:val="99"/>
    <w:rsid w:val="006B19FC"/>
    <w:rPr>
      <w:rFonts w:ascii="Palatino Linotype" w:hAnsi="Palatino Linotype" w:cs="Tahoma"/>
      <w:noProof/>
      <w:color w:val="000000"/>
      <w:szCs w:val="18"/>
    </w:rPr>
  </w:style>
  <w:style w:type="character" w:styleId="LineNumber">
    <w:name w:val="line number"/>
    <w:uiPriority w:val="99"/>
    <w:rsid w:val="0071362A"/>
    <w:rPr>
      <w:rFonts w:ascii="Palatino Linotype" w:hAnsi="Palatino Linotype"/>
      <w:sz w:val="16"/>
    </w:rPr>
  </w:style>
  <w:style w:type="table" w:customStyle="1" w:styleId="MDPI41threelinetable">
    <w:name w:val="MDPI_4.1_three_line_table"/>
    <w:basedOn w:val="TableNormal"/>
    <w:uiPriority w:val="99"/>
    <w:rsid w:val="00BD37FF"/>
    <w:pPr>
      <w:adjustRightInd w:val="0"/>
      <w:snapToGrid w:val="0"/>
      <w:jc w:val="center"/>
    </w:pPr>
    <w:rPr>
      <w:rFonts w:ascii="Palatino Linotype" w:eastAsiaTheme="minorEastAsia" w:hAnsi="Palatino Linotype"/>
      <w:color w:val="000000"/>
    </w:rPr>
    <w:tblPr>
      <w:jc w:val="center"/>
      <w:tblInd w:w="0" w:type="dxa"/>
      <w:tblBorders>
        <w:top w:val="single" w:sz="8" w:space="0" w:color="auto"/>
        <w:bottom w:val="single" w:sz="8" w:space="0" w:color="auto"/>
      </w:tblBorders>
      <w:tblCellMar>
        <w:top w:w="0" w:type="dxa"/>
        <w:left w:w="108" w:type="dxa"/>
        <w:bottom w:w="0" w:type="dxa"/>
        <w:right w:w="108" w:type="dxa"/>
      </w:tblCellMar>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6B19FC"/>
    <w:rPr>
      <w:color w:val="0000FF"/>
      <w:u w:val="single"/>
    </w:rPr>
  </w:style>
  <w:style w:type="character" w:customStyle="1" w:styleId="UnresolvedMention1">
    <w:name w:val="Unresolved Mention1"/>
    <w:uiPriority w:val="99"/>
    <w:semiHidden/>
    <w:unhideWhenUsed/>
    <w:rsid w:val="00CC08E2"/>
    <w:rPr>
      <w:color w:val="605E5C"/>
      <w:shd w:val="clear" w:color="auto" w:fill="E1DFDD"/>
    </w:rPr>
  </w:style>
  <w:style w:type="table" w:customStyle="1" w:styleId="PlainTable4">
    <w:name w:val="Plain Table 4"/>
    <w:basedOn w:val="TableNormal"/>
    <w:uiPriority w:val="44"/>
    <w:rsid w:val="00522BF7"/>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BD37F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BD37F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BD37F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BD37FF"/>
    <w:pPr>
      <w:adjustRightInd w:val="0"/>
      <w:snapToGrid w:val="0"/>
      <w:spacing w:line="240" w:lineRule="atLeast"/>
      <w:ind w:right="113"/>
    </w:pPr>
    <w:rPr>
      <w:rFonts w:ascii="Palatino Linotype" w:eastAsiaTheme="minorEastAsia" w:hAnsi="Palatino Linotype" w:cstheme="minorBidi"/>
      <w:sz w:val="14"/>
      <w:szCs w:val="22"/>
    </w:rPr>
  </w:style>
  <w:style w:type="paragraph" w:customStyle="1" w:styleId="MDPI62BackMatter">
    <w:name w:val="MDPI_6.2_BackMatter"/>
    <w:qFormat/>
    <w:rsid w:val="00BD37F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BD37FF"/>
    <w:pPr>
      <w:adjustRightInd w:val="0"/>
      <w:snapToGrid w:val="0"/>
      <w:spacing w:after="120" w:line="240" w:lineRule="atLeast"/>
      <w:ind w:right="113"/>
    </w:pPr>
    <w:rPr>
      <w:rFonts w:ascii="Palatino Linotype" w:hAnsi="Palatino Linotype"/>
      <w:snapToGrid w:val="0"/>
      <w:color w:val="000000" w:themeColor="text1"/>
      <w:sz w:val="14"/>
      <w:lang w:eastAsia="en-US" w:bidi="en-US"/>
    </w:rPr>
  </w:style>
  <w:style w:type="paragraph" w:customStyle="1" w:styleId="MDPI15academiceditor">
    <w:name w:val="MDPI_1.5_academic_editor"/>
    <w:qFormat/>
    <w:rsid w:val="00BD37FF"/>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BD37F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BD37FF"/>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bidi="en-US"/>
    </w:rPr>
  </w:style>
  <w:style w:type="paragraph" w:customStyle="1" w:styleId="MDPI511onefigurecaption">
    <w:name w:val="MDPI_5.1.1_one_figure_caption"/>
    <w:qFormat/>
    <w:rsid w:val="00BD37FF"/>
    <w:pPr>
      <w:adjustRightInd w:val="0"/>
      <w:snapToGrid w:val="0"/>
      <w:spacing w:before="240" w:after="120" w:line="260" w:lineRule="atLeast"/>
      <w:jc w:val="center"/>
    </w:pPr>
    <w:rPr>
      <w:rFonts w:ascii="Palatino Linotype" w:eastAsiaTheme="minorEastAsia" w:hAnsi="Palatino Linotype"/>
      <w:noProof/>
      <w:color w:val="000000"/>
      <w:sz w:val="18"/>
      <w:lang w:bidi="en-US"/>
    </w:rPr>
  </w:style>
  <w:style w:type="paragraph" w:customStyle="1" w:styleId="MDPI72Copyright">
    <w:name w:val="MDPI_7.2_Copyright"/>
    <w:qFormat/>
    <w:rsid w:val="00BD37F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BD37F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BD37F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BD37F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BD37FF"/>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BD37F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BD37F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BD37F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BD37FF"/>
    <w:rPr>
      <w:rFonts w:ascii="Palatino Linotype" w:hAnsi="Palatino Linotype"/>
      <w:color w:val="000000" w:themeColor="text1"/>
      <w:lang w:val="en-CA" w:eastAsia="en-US"/>
    </w:rPr>
    <w:tblPr>
      <w:tblInd w:w="0" w:type="dxa"/>
      <w:tblCellMar>
        <w:top w:w="0" w:type="dxa"/>
        <w:left w:w="0" w:type="dxa"/>
        <w:bottom w:w="0" w:type="dxa"/>
        <w:right w:w="0" w:type="dxa"/>
      </w:tblCellMar>
    </w:tblPr>
  </w:style>
  <w:style w:type="paragraph" w:customStyle="1" w:styleId="MDPItext">
    <w:name w:val="MDPI_text"/>
    <w:qFormat/>
    <w:rsid w:val="00BD37F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BD37F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6B19FC"/>
  </w:style>
  <w:style w:type="paragraph" w:styleId="Bibliography">
    <w:name w:val="Bibliography"/>
    <w:basedOn w:val="Normal"/>
    <w:next w:val="Normal"/>
    <w:uiPriority w:val="37"/>
    <w:semiHidden/>
    <w:unhideWhenUsed/>
    <w:rsid w:val="006B19FC"/>
  </w:style>
  <w:style w:type="paragraph" w:styleId="BodyText">
    <w:name w:val="Body Text"/>
    <w:link w:val="BodyTextChar"/>
    <w:rsid w:val="006B19FC"/>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6B19FC"/>
    <w:rPr>
      <w:rFonts w:ascii="Palatino Linotype" w:hAnsi="Palatino Linotype"/>
      <w:color w:val="000000"/>
      <w:sz w:val="24"/>
      <w:lang w:eastAsia="de-DE"/>
    </w:rPr>
  </w:style>
  <w:style w:type="character" w:styleId="CommentReference">
    <w:name w:val="annotation reference"/>
    <w:rsid w:val="006B19FC"/>
    <w:rPr>
      <w:sz w:val="21"/>
      <w:szCs w:val="21"/>
    </w:rPr>
  </w:style>
  <w:style w:type="paragraph" w:styleId="CommentText">
    <w:name w:val="annotation text"/>
    <w:basedOn w:val="Normal"/>
    <w:link w:val="CommentTextChar"/>
    <w:rsid w:val="006B19FC"/>
  </w:style>
  <w:style w:type="character" w:customStyle="1" w:styleId="CommentTextChar">
    <w:name w:val="Comment Text Char"/>
    <w:link w:val="CommentText"/>
    <w:rsid w:val="006B19FC"/>
    <w:rPr>
      <w:rFonts w:ascii="Palatino Linotype" w:hAnsi="Palatino Linotype"/>
      <w:noProof/>
      <w:color w:val="000000"/>
    </w:rPr>
  </w:style>
  <w:style w:type="paragraph" w:styleId="CommentSubject">
    <w:name w:val="annotation subject"/>
    <w:basedOn w:val="CommentText"/>
    <w:next w:val="CommentText"/>
    <w:link w:val="CommentSubjectChar"/>
    <w:rsid w:val="006B19FC"/>
    <w:rPr>
      <w:b/>
      <w:bCs/>
    </w:rPr>
  </w:style>
  <w:style w:type="character" w:customStyle="1" w:styleId="CommentSubjectChar">
    <w:name w:val="Comment Subject Char"/>
    <w:link w:val="CommentSubject"/>
    <w:rsid w:val="006B19FC"/>
    <w:rPr>
      <w:rFonts w:ascii="Palatino Linotype" w:hAnsi="Palatino Linotype"/>
      <w:b/>
      <w:bCs/>
      <w:noProof/>
      <w:color w:val="000000"/>
    </w:rPr>
  </w:style>
  <w:style w:type="character" w:styleId="EndnoteReference">
    <w:name w:val="endnote reference"/>
    <w:rsid w:val="006B19FC"/>
    <w:rPr>
      <w:vertAlign w:val="superscript"/>
    </w:rPr>
  </w:style>
  <w:style w:type="paragraph" w:styleId="EndnoteText">
    <w:name w:val="endnote text"/>
    <w:basedOn w:val="Normal"/>
    <w:link w:val="EndnoteTextChar"/>
    <w:semiHidden/>
    <w:unhideWhenUsed/>
    <w:rsid w:val="006B19FC"/>
    <w:pPr>
      <w:spacing w:line="240" w:lineRule="auto"/>
    </w:pPr>
  </w:style>
  <w:style w:type="character" w:customStyle="1" w:styleId="EndnoteTextChar">
    <w:name w:val="Endnote Text Char"/>
    <w:link w:val="EndnoteText"/>
    <w:semiHidden/>
    <w:rsid w:val="006B19FC"/>
    <w:rPr>
      <w:rFonts w:ascii="Palatino Linotype" w:hAnsi="Palatino Linotype"/>
      <w:noProof/>
      <w:color w:val="000000"/>
    </w:rPr>
  </w:style>
  <w:style w:type="character" w:styleId="FollowedHyperlink">
    <w:name w:val="FollowedHyperlink"/>
    <w:rsid w:val="006B19FC"/>
    <w:rPr>
      <w:color w:val="954F72"/>
      <w:u w:val="single"/>
    </w:rPr>
  </w:style>
  <w:style w:type="paragraph" w:styleId="FootnoteText">
    <w:name w:val="footnote text"/>
    <w:basedOn w:val="Normal"/>
    <w:link w:val="FootnoteTextChar"/>
    <w:semiHidden/>
    <w:unhideWhenUsed/>
    <w:rsid w:val="006B19FC"/>
    <w:pPr>
      <w:spacing w:line="240" w:lineRule="auto"/>
    </w:pPr>
  </w:style>
  <w:style w:type="character" w:customStyle="1" w:styleId="FootnoteTextChar">
    <w:name w:val="Footnote Text Char"/>
    <w:link w:val="FootnoteText"/>
    <w:semiHidden/>
    <w:rsid w:val="006B19FC"/>
    <w:rPr>
      <w:rFonts w:ascii="Palatino Linotype" w:hAnsi="Palatino Linotype"/>
      <w:noProof/>
      <w:color w:val="000000"/>
    </w:rPr>
  </w:style>
  <w:style w:type="paragraph" w:styleId="NormalWeb">
    <w:name w:val="Normal (Web)"/>
    <w:basedOn w:val="Normal"/>
    <w:uiPriority w:val="99"/>
    <w:rsid w:val="006B19FC"/>
    <w:rPr>
      <w:szCs w:val="24"/>
    </w:rPr>
  </w:style>
  <w:style w:type="paragraph" w:customStyle="1" w:styleId="MsoFootnoteText0">
    <w:name w:val="MsoFootnoteText"/>
    <w:basedOn w:val="NormalWeb"/>
    <w:qFormat/>
    <w:rsid w:val="006B19FC"/>
    <w:rPr>
      <w:rFonts w:ascii="Times New Roman" w:hAnsi="Times New Roman"/>
    </w:rPr>
  </w:style>
  <w:style w:type="character" w:styleId="PageNumber">
    <w:name w:val="page number"/>
    <w:rsid w:val="006B19FC"/>
  </w:style>
  <w:style w:type="character" w:styleId="PlaceholderText">
    <w:name w:val="Placeholder Text"/>
    <w:uiPriority w:val="99"/>
    <w:semiHidden/>
    <w:rsid w:val="006B19FC"/>
    <w:rPr>
      <w:color w:val="808080"/>
    </w:rPr>
  </w:style>
  <w:style w:type="paragraph" w:customStyle="1" w:styleId="MDPI71FootNotes">
    <w:name w:val="MDPI_7.1_FootNotes"/>
    <w:qFormat/>
    <w:rsid w:val="00BD37FF"/>
    <w:pPr>
      <w:numPr>
        <w:numId w:val="19"/>
      </w:numPr>
      <w:adjustRightInd w:val="0"/>
      <w:snapToGrid w:val="0"/>
      <w:spacing w:line="228" w:lineRule="auto"/>
      <w:jc w:val="both"/>
    </w:pPr>
    <w:rPr>
      <w:rFonts w:ascii="Palatino Linotype" w:eastAsiaTheme="minorEastAsia" w:hAnsi="Palatino Linotype"/>
      <w:noProof/>
      <w:color w:val="000000"/>
      <w:sz w:val="18"/>
    </w:rPr>
  </w:style>
  <w:style w:type="table" w:customStyle="1" w:styleId="TableGrid1">
    <w:name w:val="Table Grid1"/>
    <w:basedOn w:val="TableNormal"/>
    <w:next w:val="TableGrid"/>
    <w:uiPriority w:val="39"/>
    <w:rsid w:val="003B2643"/>
    <w:rPr>
      <w:rFonts w:asciiTheme="minorHAnsi" w:eastAsiaTheme="minorHAnsi" w:hAnsiTheme="minorHAnsi" w:cstheme="minorBid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DPI31textChar">
    <w:name w:val="MDPI_3.1_text Char"/>
    <w:basedOn w:val="DefaultParagraphFont"/>
    <w:link w:val="MDPI31text"/>
    <w:rsid w:val="003B2643"/>
    <w:rPr>
      <w:rFonts w:ascii="Palatino Linotype" w:eastAsia="Times New Roman" w:hAnsi="Palatino Linotype"/>
      <w:snapToGrid w:val="0"/>
      <w:color w:val="000000"/>
      <w:szCs w:val="22"/>
      <w:lang w:eastAsia="de-DE" w:bidi="en-US"/>
    </w:rPr>
  </w:style>
  <w:style w:type="paragraph" w:customStyle="1" w:styleId="EndNoteBibliography">
    <w:name w:val="EndNote Bibliography"/>
    <w:basedOn w:val="Normal"/>
    <w:link w:val="EndNoteBibliographyChar"/>
    <w:rsid w:val="003B2643"/>
    <w:pPr>
      <w:spacing w:line="240" w:lineRule="atLeast"/>
    </w:pPr>
    <w:rPr>
      <w:rFonts w:eastAsia="Times New Roman"/>
      <w:sz w:val="18"/>
      <w:szCs w:val="22"/>
      <w:lang w:eastAsia="de-DE" w:bidi="en-US"/>
    </w:rPr>
  </w:style>
  <w:style w:type="character" w:customStyle="1" w:styleId="EndNoteBibliographyChar">
    <w:name w:val="EndNote Bibliography Char"/>
    <w:basedOn w:val="MDPI31textChar"/>
    <w:link w:val="EndNoteBibliography"/>
    <w:rsid w:val="003B2643"/>
    <w:rPr>
      <w:rFonts w:ascii="Palatino Linotype" w:eastAsia="Times New Roman" w:hAnsi="Palatino Linotype"/>
      <w:noProof/>
      <w:snapToGrid/>
      <w:color w:val="000000"/>
      <w:sz w:val="18"/>
      <w:szCs w:val="22"/>
      <w:lang w:eastAsia="de-DE" w:bidi="en-US"/>
    </w:rPr>
  </w:style>
  <w:style w:type="character" w:styleId="Strong">
    <w:name w:val="Strong"/>
    <w:basedOn w:val="DefaultParagraphFont"/>
    <w:uiPriority w:val="22"/>
    <w:qFormat/>
    <w:rsid w:val="00AA4D99"/>
    <w:rPr>
      <w:b/>
      <w:bCs/>
    </w:rPr>
  </w:style>
  <w:style w:type="character" w:customStyle="1" w:styleId="UnresolvedMention">
    <w:name w:val="Unresolved Mention"/>
    <w:basedOn w:val="DefaultParagraphFont"/>
    <w:uiPriority w:val="99"/>
    <w:semiHidden/>
    <w:unhideWhenUsed/>
    <w:rsid w:val="00BF39B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9FC"/>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BD37F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BD37F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BD37F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BD37FF"/>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BD37F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BD37F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BD37F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BD37FF"/>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9356FF"/>
    <w:pPr>
      <w:adjustRightInd w:val="0"/>
      <w:snapToGrid w:val="0"/>
      <w:spacing w:line="300" w:lineRule="exact"/>
      <w:jc w:val="center"/>
    </w:pPr>
    <w:rPr>
      <w:rFonts w:ascii="Times New Roman" w:hAnsi="Times New Roman"/>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6B19FC"/>
    <w:pPr>
      <w:spacing w:line="260" w:lineRule="atLeast"/>
      <w:jc w:val="both"/>
    </w:pPr>
    <w:rPr>
      <w:rFonts w:ascii="Palatino Linotype" w:hAnsi="Palatino Linotype"/>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6B19FC"/>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6B19FC"/>
    <w:rPr>
      <w:rFonts w:ascii="Palatino Linotype" w:hAnsi="Palatino Linotype"/>
      <w:noProof/>
      <w:color w:val="000000"/>
      <w:szCs w:val="18"/>
    </w:rPr>
  </w:style>
  <w:style w:type="paragraph" w:styleId="Header">
    <w:name w:val="header"/>
    <w:basedOn w:val="Normal"/>
    <w:link w:val="HeaderChar"/>
    <w:uiPriority w:val="99"/>
    <w:rsid w:val="006B19FC"/>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6B19FC"/>
    <w:rPr>
      <w:rFonts w:ascii="Palatino Linotype" w:hAnsi="Palatino Linotype"/>
      <w:noProof/>
      <w:color w:val="000000"/>
      <w:szCs w:val="18"/>
    </w:rPr>
  </w:style>
  <w:style w:type="paragraph" w:customStyle="1" w:styleId="MDPIheaderjournallogo">
    <w:name w:val="MDPI_header_journal_logo"/>
    <w:qFormat/>
    <w:rsid w:val="00BD37F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BD37FF"/>
    <w:pPr>
      <w:ind w:firstLine="0"/>
    </w:pPr>
  </w:style>
  <w:style w:type="paragraph" w:customStyle="1" w:styleId="MDPI31text">
    <w:name w:val="MDPI_3.1_text"/>
    <w:link w:val="MDPI31textChar"/>
    <w:qFormat/>
    <w:rsid w:val="00BD37F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BD37F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BD37F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BD37F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BD37FF"/>
    <w:pPr>
      <w:numPr>
        <w:numId w:val="17"/>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BD37FF"/>
    <w:pPr>
      <w:numPr>
        <w:numId w:val="18"/>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BD37F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BD37F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BD37FF"/>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BD37FF"/>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BD37FF"/>
    <w:pPr>
      <w:adjustRightInd w:val="0"/>
      <w:snapToGrid w:val="0"/>
      <w:spacing w:after="240"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BD37FF"/>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BD37F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BD37F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BD37F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BD37F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BD37FF"/>
    <w:pPr>
      <w:numPr>
        <w:numId w:val="20"/>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6B19FC"/>
    <w:rPr>
      <w:rFonts w:cs="Tahoma"/>
      <w:szCs w:val="18"/>
    </w:rPr>
  </w:style>
  <w:style w:type="character" w:customStyle="1" w:styleId="BalloonTextChar">
    <w:name w:val="Balloon Text Char"/>
    <w:link w:val="BalloonText"/>
    <w:uiPriority w:val="99"/>
    <w:rsid w:val="006B19FC"/>
    <w:rPr>
      <w:rFonts w:ascii="Palatino Linotype" w:hAnsi="Palatino Linotype" w:cs="Tahoma"/>
      <w:noProof/>
      <w:color w:val="000000"/>
      <w:szCs w:val="18"/>
    </w:rPr>
  </w:style>
  <w:style w:type="character" w:styleId="LineNumber">
    <w:name w:val="line number"/>
    <w:uiPriority w:val="99"/>
    <w:rsid w:val="0071362A"/>
    <w:rPr>
      <w:rFonts w:ascii="Palatino Linotype" w:hAnsi="Palatino Linotype"/>
      <w:sz w:val="16"/>
    </w:rPr>
  </w:style>
  <w:style w:type="table" w:customStyle="1" w:styleId="MDPI41threelinetable">
    <w:name w:val="MDPI_4.1_three_line_table"/>
    <w:basedOn w:val="TableNormal"/>
    <w:uiPriority w:val="99"/>
    <w:rsid w:val="00BD37FF"/>
    <w:pPr>
      <w:adjustRightInd w:val="0"/>
      <w:snapToGrid w:val="0"/>
      <w:jc w:val="center"/>
    </w:pPr>
    <w:rPr>
      <w:rFonts w:ascii="Palatino Linotype" w:eastAsiaTheme="minorEastAsia" w:hAnsi="Palatino Linotype"/>
      <w:color w:val="000000"/>
    </w:rPr>
    <w:tblPr>
      <w:jc w:val="center"/>
      <w:tblInd w:w="0" w:type="dxa"/>
      <w:tblBorders>
        <w:top w:val="single" w:sz="8" w:space="0" w:color="auto"/>
        <w:bottom w:val="single" w:sz="8" w:space="0" w:color="auto"/>
      </w:tblBorders>
      <w:tblCellMar>
        <w:top w:w="0" w:type="dxa"/>
        <w:left w:w="108" w:type="dxa"/>
        <w:bottom w:w="0" w:type="dxa"/>
        <w:right w:w="108" w:type="dxa"/>
      </w:tblCellMar>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6B19FC"/>
    <w:rPr>
      <w:color w:val="0000FF"/>
      <w:u w:val="single"/>
    </w:rPr>
  </w:style>
  <w:style w:type="character" w:customStyle="1" w:styleId="UnresolvedMention1">
    <w:name w:val="Unresolved Mention1"/>
    <w:uiPriority w:val="99"/>
    <w:semiHidden/>
    <w:unhideWhenUsed/>
    <w:rsid w:val="00CC08E2"/>
    <w:rPr>
      <w:color w:val="605E5C"/>
      <w:shd w:val="clear" w:color="auto" w:fill="E1DFDD"/>
    </w:rPr>
  </w:style>
  <w:style w:type="table" w:customStyle="1" w:styleId="PlainTable4">
    <w:name w:val="Plain Table 4"/>
    <w:basedOn w:val="TableNormal"/>
    <w:uiPriority w:val="44"/>
    <w:rsid w:val="00522BF7"/>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BD37F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BD37F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BD37F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BD37FF"/>
    <w:pPr>
      <w:adjustRightInd w:val="0"/>
      <w:snapToGrid w:val="0"/>
      <w:spacing w:line="240" w:lineRule="atLeast"/>
      <w:ind w:right="113"/>
    </w:pPr>
    <w:rPr>
      <w:rFonts w:ascii="Palatino Linotype" w:eastAsiaTheme="minorEastAsia" w:hAnsi="Palatino Linotype" w:cstheme="minorBidi"/>
      <w:sz w:val="14"/>
      <w:szCs w:val="22"/>
    </w:rPr>
  </w:style>
  <w:style w:type="paragraph" w:customStyle="1" w:styleId="MDPI62BackMatter">
    <w:name w:val="MDPI_6.2_BackMatter"/>
    <w:qFormat/>
    <w:rsid w:val="00BD37F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BD37FF"/>
    <w:pPr>
      <w:adjustRightInd w:val="0"/>
      <w:snapToGrid w:val="0"/>
      <w:spacing w:after="120" w:line="240" w:lineRule="atLeast"/>
      <w:ind w:right="113"/>
    </w:pPr>
    <w:rPr>
      <w:rFonts w:ascii="Palatino Linotype" w:hAnsi="Palatino Linotype"/>
      <w:snapToGrid w:val="0"/>
      <w:color w:val="000000" w:themeColor="text1"/>
      <w:sz w:val="14"/>
      <w:lang w:eastAsia="en-US" w:bidi="en-US"/>
    </w:rPr>
  </w:style>
  <w:style w:type="paragraph" w:customStyle="1" w:styleId="MDPI15academiceditor">
    <w:name w:val="MDPI_1.5_academic_editor"/>
    <w:qFormat/>
    <w:rsid w:val="00BD37FF"/>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BD37F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BD37FF"/>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bidi="en-US"/>
    </w:rPr>
  </w:style>
  <w:style w:type="paragraph" w:customStyle="1" w:styleId="MDPI511onefigurecaption">
    <w:name w:val="MDPI_5.1.1_one_figure_caption"/>
    <w:qFormat/>
    <w:rsid w:val="00BD37FF"/>
    <w:pPr>
      <w:adjustRightInd w:val="0"/>
      <w:snapToGrid w:val="0"/>
      <w:spacing w:before="240" w:after="120" w:line="260" w:lineRule="atLeast"/>
      <w:jc w:val="center"/>
    </w:pPr>
    <w:rPr>
      <w:rFonts w:ascii="Palatino Linotype" w:eastAsiaTheme="minorEastAsia" w:hAnsi="Palatino Linotype"/>
      <w:noProof/>
      <w:color w:val="000000"/>
      <w:sz w:val="18"/>
      <w:lang w:bidi="en-US"/>
    </w:rPr>
  </w:style>
  <w:style w:type="paragraph" w:customStyle="1" w:styleId="MDPI72Copyright">
    <w:name w:val="MDPI_7.2_Copyright"/>
    <w:qFormat/>
    <w:rsid w:val="00BD37F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BD37F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BD37F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BD37F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BD37FF"/>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BD37F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BD37F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BD37F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BD37FF"/>
    <w:rPr>
      <w:rFonts w:ascii="Palatino Linotype" w:hAnsi="Palatino Linotype"/>
      <w:color w:val="000000" w:themeColor="text1"/>
      <w:lang w:val="en-CA" w:eastAsia="en-US"/>
    </w:rPr>
    <w:tblPr>
      <w:tblInd w:w="0" w:type="dxa"/>
      <w:tblCellMar>
        <w:top w:w="0" w:type="dxa"/>
        <w:left w:w="0" w:type="dxa"/>
        <w:bottom w:w="0" w:type="dxa"/>
        <w:right w:w="0" w:type="dxa"/>
      </w:tblCellMar>
    </w:tblPr>
  </w:style>
  <w:style w:type="paragraph" w:customStyle="1" w:styleId="MDPItext">
    <w:name w:val="MDPI_text"/>
    <w:qFormat/>
    <w:rsid w:val="00BD37F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BD37F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6B19FC"/>
  </w:style>
  <w:style w:type="paragraph" w:styleId="Bibliography">
    <w:name w:val="Bibliography"/>
    <w:basedOn w:val="Normal"/>
    <w:next w:val="Normal"/>
    <w:uiPriority w:val="37"/>
    <w:semiHidden/>
    <w:unhideWhenUsed/>
    <w:rsid w:val="006B19FC"/>
  </w:style>
  <w:style w:type="paragraph" w:styleId="BodyText">
    <w:name w:val="Body Text"/>
    <w:link w:val="BodyTextChar"/>
    <w:rsid w:val="006B19FC"/>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6B19FC"/>
    <w:rPr>
      <w:rFonts w:ascii="Palatino Linotype" w:hAnsi="Palatino Linotype"/>
      <w:color w:val="000000"/>
      <w:sz w:val="24"/>
      <w:lang w:eastAsia="de-DE"/>
    </w:rPr>
  </w:style>
  <w:style w:type="character" w:styleId="CommentReference">
    <w:name w:val="annotation reference"/>
    <w:rsid w:val="006B19FC"/>
    <w:rPr>
      <w:sz w:val="21"/>
      <w:szCs w:val="21"/>
    </w:rPr>
  </w:style>
  <w:style w:type="paragraph" w:styleId="CommentText">
    <w:name w:val="annotation text"/>
    <w:basedOn w:val="Normal"/>
    <w:link w:val="CommentTextChar"/>
    <w:rsid w:val="006B19FC"/>
  </w:style>
  <w:style w:type="character" w:customStyle="1" w:styleId="CommentTextChar">
    <w:name w:val="Comment Text Char"/>
    <w:link w:val="CommentText"/>
    <w:rsid w:val="006B19FC"/>
    <w:rPr>
      <w:rFonts w:ascii="Palatino Linotype" w:hAnsi="Palatino Linotype"/>
      <w:noProof/>
      <w:color w:val="000000"/>
    </w:rPr>
  </w:style>
  <w:style w:type="paragraph" w:styleId="CommentSubject">
    <w:name w:val="annotation subject"/>
    <w:basedOn w:val="CommentText"/>
    <w:next w:val="CommentText"/>
    <w:link w:val="CommentSubjectChar"/>
    <w:rsid w:val="006B19FC"/>
    <w:rPr>
      <w:b/>
      <w:bCs/>
    </w:rPr>
  </w:style>
  <w:style w:type="character" w:customStyle="1" w:styleId="CommentSubjectChar">
    <w:name w:val="Comment Subject Char"/>
    <w:link w:val="CommentSubject"/>
    <w:rsid w:val="006B19FC"/>
    <w:rPr>
      <w:rFonts w:ascii="Palatino Linotype" w:hAnsi="Palatino Linotype"/>
      <w:b/>
      <w:bCs/>
      <w:noProof/>
      <w:color w:val="000000"/>
    </w:rPr>
  </w:style>
  <w:style w:type="character" w:styleId="EndnoteReference">
    <w:name w:val="endnote reference"/>
    <w:rsid w:val="006B19FC"/>
    <w:rPr>
      <w:vertAlign w:val="superscript"/>
    </w:rPr>
  </w:style>
  <w:style w:type="paragraph" w:styleId="EndnoteText">
    <w:name w:val="endnote text"/>
    <w:basedOn w:val="Normal"/>
    <w:link w:val="EndnoteTextChar"/>
    <w:semiHidden/>
    <w:unhideWhenUsed/>
    <w:rsid w:val="006B19FC"/>
    <w:pPr>
      <w:spacing w:line="240" w:lineRule="auto"/>
    </w:pPr>
  </w:style>
  <w:style w:type="character" w:customStyle="1" w:styleId="EndnoteTextChar">
    <w:name w:val="Endnote Text Char"/>
    <w:link w:val="EndnoteText"/>
    <w:semiHidden/>
    <w:rsid w:val="006B19FC"/>
    <w:rPr>
      <w:rFonts w:ascii="Palatino Linotype" w:hAnsi="Palatino Linotype"/>
      <w:noProof/>
      <w:color w:val="000000"/>
    </w:rPr>
  </w:style>
  <w:style w:type="character" w:styleId="FollowedHyperlink">
    <w:name w:val="FollowedHyperlink"/>
    <w:rsid w:val="006B19FC"/>
    <w:rPr>
      <w:color w:val="954F72"/>
      <w:u w:val="single"/>
    </w:rPr>
  </w:style>
  <w:style w:type="paragraph" w:styleId="FootnoteText">
    <w:name w:val="footnote text"/>
    <w:basedOn w:val="Normal"/>
    <w:link w:val="FootnoteTextChar"/>
    <w:semiHidden/>
    <w:unhideWhenUsed/>
    <w:rsid w:val="006B19FC"/>
    <w:pPr>
      <w:spacing w:line="240" w:lineRule="auto"/>
    </w:pPr>
  </w:style>
  <w:style w:type="character" w:customStyle="1" w:styleId="FootnoteTextChar">
    <w:name w:val="Footnote Text Char"/>
    <w:link w:val="FootnoteText"/>
    <w:semiHidden/>
    <w:rsid w:val="006B19FC"/>
    <w:rPr>
      <w:rFonts w:ascii="Palatino Linotype" w:hAnsi="Palatino Linotype"/>
      <w:noProof/>
      <w:color w:val="000000"/>
    </w:rPr>
  </w:style>
  <w:style w:type="paragraph" w:styleId="NormalWeb">
    <w:name w:val="Normal (Web)"/>
    <w:basedOn w:val="Normal"/>
    <w:uiPriority w:val="99"/>
    <w:rsid w:val="006B19FC"/>
    <w:rPr>
      <w:szCs w:val="24"/>
    </w:rPr>
  </w:style>
  <w:style w:type="paragraph" w:customStyle="1" w:styleId="MsoFootnoteText0">
    <w:name w:val="MsoFootnoteText"/>
    <w:basedOn w:val="NormalWeb"/>
    <w:qFormat/>
    <w:rsid w:val="006B19FC"/>
    <w:rPr>
      <w:rFonts w:ascii="Times New Roman" w:hAnsi="Times New Roman"/>
    </w:rPr>
  </w:style>
  <w:style w:type="character" w:styleId="PageNumber">
    <w:name w:val="page number"/>
    <w:rsid w:val="006B19FC"/>
  </w:style>
  <w:style w:type="character" w:styleId="PlaceholderText">
    <w:name w:val="Placeholder Text"/>
    <w:uiPriority w:val="99"/>
    <w:semiHidden/>
    <w:rsid w:val="006B19FC"/>
    <w:rPr>
      <w:color w:val="808080"/>
    </w:rPr>
  </w:style>
  <w:style w:type="paragraph" w:customStyle="1" w:styleId="MDPI71FootNotes">
    <w:name w:val="MDPI_7.1_FootNotes"/>
    <w:qFormat/>
    <w:rsid w:val="00BD37FF"/>
    <w:pPr>
      <w:numPr>
        <w:numId w:val="19"/>
      </w:numPr>
      <w:adjustRightInd w:val="0"/>
      <w:snapToGrid w:val="0"/>
      <w:spacing w:line="228" w:lineRule="auto"/>
      <w:jc w:val="both"/>
    </w:pPr>
    <w:rPr>
      <w:rFonts w:ascii="Palatino Linotype" w:eastAsiaTheme="minorEastAsia" w:hAnsi="Palatino Linotype"/>
      <w:noProof/>
      <w:color w:val="000000"/>
      <w:sz w:val="18"/>
    </w:rPr>
  </w:style>
  <w:style w:type="table" w:customStyle="1" w:styleId="TableGrid1">
    <w:name w:val="Table Grid1"/>
    <w:basedOn w:val="TableNormal"/>
    <w:next w:val="TableGrid"/>
    <w:uiPriority w:val="39"/>
    <w:rsid w:val="003B2643"/>
    <w:rPr>
      <w:rFonts w:asciiTheme="minorHAnsi" w:eastAsiaTheme="minorHAnsi" w:hAnsiTheme="minorHAnsi" w:cstheme="minorBid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DPI31textChar">
    <w:name w:val="MDPI_3.1_text Char"/>
    <w:basedOn w:val="DefaultParagraphFont"/>
    <w:link w:val="MDPI31text"/>
    <w:rsid w:val="003B2643"/>
    <w:rPr>
      <w:rFonts w:ascii="Palatino Linotype" w:eastAsia="Times New Roman" w:hAnsi="Palatino Linotype"/>
      <w:snapToGrid w:val="0"/>
      <w:color w:val="000000"/>
      <w:szCs w:val="22"/>
      <w:lang w:eastAsia="de-DE" w:bidi="en-US"/>
    </w:rPr>
  </w:style>
  <w:style w:type="paragraph" w:customStyle="1" w:styleId="EndNoteBibliography">
    <w:name w:val="EndNote Bibliography"/>
    <w:basedOn w:val="Normal"/>
    <w:link w:val="EndNoteBibliographyChar"/>
    <w:rsid w:val="003B2643"/>
    <w:pPr>
      <w:spacing w:line="240" w:lineRule="atLeast"/>
    </w:pPr>
    <w:rPr>
      <w:rFonts w:eastAsia="Times New Roman"/>
      <w:sz w:val="18"/>
      <w:szCs w:val="22"/>
      <w:lang w:eastAsia="de-DE" w:bidi="en-US"/>
    </w:rPr>
  </w:style>
  <w:style w:type="character" w:customStyle="1" w:styleId="EndNoteBibliographyChar">
    <w:name w:val="EndNote Bibliography Char"/>
    <w:basedOn w:val="MDPI31textChar"/>
    <w:link w:val="EndNoteBibliography"/>
    <w:rsid w:val="003B2643"/>
    <w:rPr>
      <w:rFonts w:ascii="Palatino Linotype" w:eastAsia="Times New Roman" w:hAnsi="Palatino Linotype"/>
      <w:noProof/>
      <w:snapToGrid/>
      <w:color w:val="000000"/>
      <w:sz w:val="18"/>
      <w:szCs w:val="22"/>
      <w:lang w:eastAsia="de-DE" w:bidi="en-US"/>
    </w:rPr>
  </w:style>
  <w:style w:type="character" w:styleId="Strong">
    <w:name w:val="Strong"/>
    <w:basedOn w:val="DefaultParagraphFont"/>
    <w:uiPriority w:val="22"/>
    <w:qFormat/>
    <w:rsid w:val="00AA4D99"/>
    <w:rPr>
      <w:b/>
      <w:bCs/>
    </w:rPr>
  </w:style>
  <w:style w:type="character" w:customStyle="1" w:styleId="UnresolvedMention">
    <w:name w:val="Unresolved Mention"/>
    <w:basedOn w:val="DefaultParagraphFont"/>
    <w:uiPriority w:val="99"/>
    <w:semiHidden/>
    <w:unhideWhenUsed/>
    <w:rsid w:val="00BF39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iso-8859-6"/>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alexs@marlan-tech.co.uk" TargetMode="External"/><Relationship Id="rId18" Type="http://schemas.openxmlformats.org/officeDocument/2006/relationships/hyperlink" Target="http://edina.ac.uk/digimap" TargetMode="External"/><Relationship Id="rId26" Type="http://schemas.openxmlformats.org/officeDocument/2006/relationships/image" Target="media/image12.jpg"/><Relationship Id="rId39" Type="http://schemas.openxmlformats.org/officeDocument/2006/relationships/theme" Target="theme/theme1.xml"/><Relationship Id="rId21" Type="http://schemas.openxmlformats.org/officeDocument/2006/relationships/image" Target="media/image7.jp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caib@marlan-tech.co.uk" TargetMode="External"/><Relationship Id="rId17" Type="http://schemas.openxmlformats.org/officeDocument/2006/relationships/image" Target="media/image5.png"/><Relationship Id="rId25" Type="http://schemas.openxmlformats.org/officeDocument/2006/relationships/image" Target="media/image11.jp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g07@liverpool.ac.uk" TargetMode="External"/><Relationship Id="rId24" Type="http://schemas.openxmlformats.org/officeDocument/2006/relationships/image" Target="media/image10.jpg"/><Relationship Id="rId32" Type="http://schemas.openxmlformats.org/officeDocument/2006/relationships/hyperlink" Target="http://www.liverpool.ac.uk/environmental-sciences/working-with-business" TargetMode="Externa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jpg"/><Relationship Id="rId28" Type="http://schemas.openxmlformats.org/officeDocument/2006/relationships/image" Target="media/image14.png"/><Relationship Id="rId36" Type="http://schemas.openxmlformats.org/officeDocument/2006/relationships/header" Target="header3.xml"/><Relationship Id="rId10" Type="http://schemas.openxmlformats.org/officeDocument/2006/relationships/hyperlink" Target="mailto:J.E.Higham@liverpool.ac.uk" TargetMode="External"/><Relationship Id="rId19" Type="http://schemas.openxmlformats.org/officeDocument/2006/relationships/hyperlink" Target="https://coastalmonitoring.org/" TargetMode="External"/><Relationship Id="rId31" Type="http://schemas.openxmlformats.org/officeDocument/2006/relationships/hyperlink" Target="http://www.liverpool.ac.uk/environmental-sciences/working-with-busines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1.xml"/><Relationship Id="rId43" Type="http://schemas.microsoft.com/office/2018/08/relationships/commentsExtensible" Target="commentsExtensible.xml"/><Relationship Id="rId8" Type="http://schemas.openxmlformats.org/officeDocument/2006/relationships/endnotes" Target="endnotes.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Word%20templates\geoscience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062847-905D-4973-9EE8-A1676AF5C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geosciences-template</Template>
  <TotalTime>0</TotalTime>
  <Pages>20</Pages>
  <Words>11330</Words>
  <Characters>64584</Characters>
  <Application>Microsoft Office Word</Application>
  <DocSecurity>4</DocSecurity>
  <Lines>538</Lines>
  <Paragraphs>151</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75763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Reviewer</cp:lastModifiedBy>
  <cp:revision>2</cp:revision>
  <dcterms:created xsi:type="dcterms:W3CDTF">2021-12-01T13:23:00Z</dcterms:created>
  <dcterms:modified xsi:type="dcterms:W3CDTF">2021-12-01T13:23:00Z</dcterms:modified>
</cp:coreProperties>
</file>