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CF7" w14:textId="53F7A988" w:rsidR="00AB0DF0" w:rsidRPr="00BD2B94" w:rsidRDefault="00E00734" w:rsidP="00BD2B94">
      <w:pPr>
        <w:rPr>
          <w:rFonts w:ascii="Avenir Next" w:hAnsi="Avenir Next"/>
          <w:sz w:val="24"/>
          <w:szCs w:val="24"/>
        </w:rPr>
      </w:pPr>
      <w:r>
        <w:rPr>
          <w:rFonts w:ascii="Avenir Next" w:hAnsi="Avenir Next"/>
          <w:sz w:val="24"/>
          <w:szCs w:val="24"/>
        </w:rPr>
        <w:t xml:space="preserve">The use of </w:t>
      </w:r>
      <w:r w:rsidR="006127F5" w:rsidRPr="00BD2B94">
        <w:rPr>
          <w:rFonts w:ascii="Avenir Next" w:hAnsi="Avenir Next"/>
          <w:sz w:val="24"/>
          <w:szCs w:val="24"/>
        </w:rPr>
        <w:t>public</w:t>
      </w:r>
      <w:r w:rsidR="00AB0DF0" w:rsidRPr="00BD2B94">
        <w:rPr>
          <w:rFonts w:ascii="Avenir Next" w:hAnsi="Avenir Next"/>
          <w:sz w:val="24"/>
          <w:szCs w:val="24"/>
        </w:rPr>
        <w:t xml:space="preserve"> </w:t>
      </w:r>
      <w:r w:rsidR="001E2DE9" w:rsidRPr="00BD2B94">
        <w:rPr>
          <w:rFonts w:ascii="Avenir Next" w:hAnsi="Avenir Next"/>
          <w:sz w:val="24"/>
          <w:szCs w:val="24"/>
        </w:rPr>
        <w:t>l</w:t>
      </w:r>
      <w:r w:rsidR="00AB0DF0" w:rsidRPr="00BD2B94">
        <w:rPr>
          <w:rFonts w:ascii="Avenir Next" w:hAnsi="Avenir Next"/>
          <w:sz w:val="24"/>
          <w:szCs w:val="24"/>
        </w:rPr>
        <w:t>and</w:t>
      </w:r>
      <w:r w:rsidR="00406C08" w:rsidRPr="00BD2B94">
        <w:rPr>
          <w:rFonts w:ascii="Avenir Next" w:hAnsi="Avenir Next"/>
          <w:sz w:val="24"/>
          <w:szCs w:val="24"/>
        </w:rPr>
        <w:t xml:space="preserve"> </w:t>
      </w:r>
      <w:r w:rsidR="004A1265" w:rsidRPr="00BD2B94">
        <w:rPr>
          <w:rFonts w:ascii="Avenir Next" w:hAnsi="Avenir Next"/>
          <w:sz w:val="24"/>
          <w:szCs w:val="24"/>
        </w:rPr>
        <w:t>for</w:t>
      </w:r>
      <w:r w:rsidR="001E2DE9" w:rsidRPr="00BD2B94">
        <w:rPr>
          <w:rFonts w:ascii="Avenir Next" w:hAnsi="Avenir Next"/>
          <w:sz w:val="24"/>
          <w:szCs w:val="24"/>
        </w:rPr>
        <w:t xml:space="preserve"> house building</w:t>
      </w:r>
      <w:r w:rsidR="00BE64B3" w:rsidRPr="00BD2B94">
        <w:rPr>
          <w:rFonts w:ascii="Avenir Next" w:hAnsi="Avenir Next"/>
          <w:sz w:val="24"/>
          <w:szCs w:val="24"/>
        </w:rPr>
        <w:t xml:space="preserve"> in England</w:t>
      </w:r>
      <w:r>
        <w:rPr>
          <w:rFonts w:ascii="Avenir Next" w:hAnsi="Avenir Next"/>
          <w:sz w:val="24"/>
          <w:szCs w:val="24"/>
        </w:rPr>
        <w:t>: understanding the challenges and policy implications</w:t>
      </w:r>
    </w:p>
    <w:p w14:paraId="5D549422" w14:textId="77777777" w:rsidR="00AB0DF0" w:rsidRPr="00BD2B94" w:rsidRDefault="00AB0DF0" w:rsidP="00BD2B94">
      <w:pPr>
        <w:rPr>
          <w:rFonts w:ascii="Avenir Next" w:hAnsi="Avenir Next"/>
          <w:sz w:val="24"/>
          <w:szCs w:val="24"/>
        </w:rPr>
      </w:pPr>
    </w:p>
    <w:p w14:paraId="10C3C57B" w14:textId="15D4D7BD" w:rsidR="00AB0DF0" w:rsidRPr="00BD2B94" w:rsidRDefault="00AB0DF0" w:rsidP="00BD2B94">
      <w:pPr>
        <w:rPr>
          <w:rFonts w:ascii="Avenir Next" w:hAnsi="Avenir Next"/>
          <w:sz w:val="24"/>
          <w:szCs w:val="24"/>
        </w:rPr>
      </w:pPr>
      <w:r w:rsidRPr="00BD2B94">
        <w:rPr>
          <w:rFonts w:ascii="Avenir Next" w:hAnsi="Avenir Next"/>
          <w:sz w:val="24"/>
          <w:szCs w:val="24"/>
        </w:rPr>
        <w:t>Richard Dunning</w:t>
      </w:r>
      <w:r w:rsidR="008B14F7" w:rsidRPr="00BD2B94">
        <w:rPr>
          <w:rFonts w:ascii="Avenir Next" w:hAnsi="Avenir Next"/>
          <w:sz w:val="24"/>
          <w:szCs w:val="24"/>
          <w:vertAlign w:val="superscript"/>
        </w:rPr>
        <w:t>1</w:t>
      </w:r>
      <w:r w:rsidR="00CC502D" w:rsidRPr="00BD2B94">
        <w:rPr>
          <w:rFonts w:ascii="Avenir Next" w:hAnsi="Avenir Next"/>
          <w:sz w:val="24"/>
          <w:szCs w:val="24"/>
        </w:rPr>
        <w:t>, Tom Moore</w:t>
      </w:r>
      <w:r w:rsidR="009A498F" w:rsidRPr="00BD2B94">
        <w:rPr>
          <w:rFonts w:ascii="Avenir Next" w:hAnsi="Avenir Next"/>
          <w:sz w:val="24"/>
          <w:szCs w:val="24"/>
          <w:vertAlign w:val="superscript"/>
        </w:rPr>
        <w:t>1</w:t>
      </w:r>
      <w:r w:rsidR="00AB1EB2" w:rsidRPr="00BD2B94">
        <w:rPr>
          <w:rFonts w:ascii="Avenir Next" w:hAnsi="Avenir Next"/>
          <w:sz w:val="24"/>
          <w:szCs w:val="24"/>
        </w:rPr>
        <w:t xml:space="preserve"> &amp; Craig Watkins</w:t>
      </w:r>
      <w:r w:rsidR="008B14F7" w:rsidRPr="00BD2B94">
        <w:rPr>
          <w:rFonts w:ascii="Avenir Next" w:hAnsi="Avenir Next"/>
          <w:sz w:val="24"/>
          <w:szCs w:val="24"/>
          <w:vertAlign w:val="superscript"/>
        </w:rPr>
        <w:t>2</w:t>
      </w:r>
    </w:p>
    <w:p w14:paraId="417BAD17" w14:textId="77777777" w:rsidR="008B14F7" w:rsidRPr="00BD2B94" w:rsidRDefault="008B14F7" w:rsidP="00BD2B94">
      <w:pPr>
        <w:rPr>
          <w:rFonts w:ascii="Avenir Next" w:hAnsi="Avenir Next"/>
          <w:sz w:val="24"/>
          <w:szCs w:val="24"/>
        </w:rPr>
      </w:pPr>
    </w:p>
    <w:p w14:paraId="40AC280B" w14:textId="77777777" w:rsidR="008B14F7" w:rsidRPr="00BD2B94" w:rsidRDefault="008B14F7" w:rsidP="00BD2B94">
      <w:pPr>
        <w:rPr>
          <w:rFonts w:ascii="Avenir Next" w:hAnsi="Avenir Next"/>
          <w:sz w:val="24"/>
          <w:szCs w:val="24"/>
        </w:rPr>
      </w:pPr>
      <w:r w:rsidRPr="00BD2B94">
        <w:rPr>
          <w:rFonts w:ascii="Avenir Next" w:hAnsi="Avenir Next"/>
          <w:sz w:val="24"/>
          <w:szCs w:val="24"/>
          <w:vertAlign w:val="superscript"/>
        </w:rPr>
        <w:t>1</w:t>
      </w:r>
      <w:r w:rsidRPr="00BD2B94">
        <w:rPr>
          <w:rFonts w:ascii="Avenir Next" w:hAnsi="Avenir Next"/>
          <w:sz w:val="24"/>
          <w:szCs w:val="24"/>
        </w:rPr>
        <w:t xml:space="preserve"> Geography and Planning, University of Liverpool</w:t>
      </w:r>
    </w:p>
    <w:p w14:paraId="2788FBEC" w14:textId="77777777" w:rsidR="00AB0DF0" w:rsidRPr="00BD2B94" w:rsidRDefault="008B14F7" w:rsidP="00BD2B94">
      <w:pPr>
        <w:rPr>
          <w:rFonts w:ascii="Avenir Next" w:hAnsi="Avenir Next"/>
          <w:sz w:val="24"/>
          <w:szCs w:val="24"/>
        </w:rPr>
      </w:pPr>
      <w:r w:rsidRPr="00BD2B94">
        <w:rPr>
          <w:rFonts w:ascii="Avenir Next" w:hAnsi="Avenir Next"/>
          <w:sz w:val="24"/>
          <w:szCs w:val="24"/>
          <w:vertAlign w:val="superscript"/>
        </w:rPr>
        <w:t>2</w:t>
      </w:r>
      <w:r w:rsidRPr="00BD2B94">
        <w:rPr>
          <w:rFonts w:ascii="Avenir Next" w:hAnsi="Avenir Next"/>
          <w:sz w:val="24"/>
          <w:szCs w:val="24"/>
        </w:rPr>
        <w:t xml:space="preserve"> </w:t>
      </w:r>
      <w:r w:rsidR="00AB0DF0" w:rsidRPr="00BD2B94">
        <w:rPr>
          <w:rFonts w:ascii="Avenir Next" w:hAnsi="Avenir Next"/>
          <w:sz w:val="24"/>
          <w:szCs w:val="24"/>
        </w:rPr>
        <w:t>Urban Studies and Planning, University of Sheffield</w:t>
      </w:r>
    </w:p>
    <w:p w14:paraId="4D3562FA" w14:textId="77777777" w:rsidR="00AB0DF0" w:rsidRPr="00BD2B94" w:rsidRDefault="00AB0DF0" w:rsidP="00BD2B94">
      <w:pPr>
        <w:rPr>
          <w:rFonts w:ascii="Avenir Next" w:hAnsi="Avenir Next"/>
          <w:sz w:val="24"/>
          <w:szCs w:val="24"/>
        </w:rPr>
      </w:pPr>
    </w:p>
    <w:p w14:paraId="1AF5C28B" w14:textId="663FEB5D" w:rsidR="00AB0DF0" w:rsidRPr="00BD2B94" w:rsidRDefault="00AB0DF0" w:rsidP="00BD2B94">
      <w:pPr>
        <w:rPr>
          <w:rFonts w:ascii="Avenir Next" w:hAnsi="Avenir Next"/>
          <w:sz w:val="24"/>
          <w:szCs w:val="24"/>
          <w:highlight w:val="yellow"/>
        </w:rPr>
      </w:pPr>
      <w:r w:rsidRPr="00BD2B94">
        <w:rPr>
          <w:rFonts w:ascii="Avenir Next" w:hAnsi="Avenir Next"/>
          <w:sz w:val="24"/>
          <w:szCs w:val="24"/>
          <w:highlight w:val="yellow"/>
        </w:rPr>
        <w:br w:type="page"/>
      </w:r>
    </w:p>
    <w:p w14:paraId="61350ABD" w14:textId="77777777" w:rsidR="00AB0DF0" w:rsidRPr="00BD2B94" w:rsidRDefault="00AB0DF0" w:rsidP="00BD2B94">
      <w:pPr>
        <w:rPr>
          <w:rFonts w:ascii="Avenir Next" w:hAnsi="Avenir Next"/>
          <w:sz w:val="24"/>
          <w:szCs w:val="24"/>
        </w:rPr>
      </w:pPr>
      <w:r w:rsidRPr="00BD2B94">
        <w:rPr>
          <w:rFonts w:ascii="Avenir Next" w:hAnsi="Avenir Next"/>
          <w:sz w:val="24"/>
          <w:szCs w:val="24"/>
        </w:rPr>
        <w:lastRenderedPageBreak/>
        <w:t>Abstract</w:t>
      </w:r>
    </w:p>
    <w:p w14:paraId="4AE9CFFF" w14:textId="246F0699" w:rsidR="004A1265" w:rsidRPr="00BD2B94" w:rsidRDefault="004A1265" w:rsidP="00BD2B94">
      <w:pPr>
        <w:rPr>
          <w:rFonts w:ascii="Avenir Next" w:hAnsi="Avenir Next"/>
          <w:sz w:val="24"/>
          <w:szCs w:val="24"/>
        </w:rPr>
      </w:pPr>
      <w:r w:rsidRPr="00BD2B94">
        <w:rPr>
          <w:rFonts w:ascii="Avenir Next" w:hAnsi="Avenir Next"/>
          <w:sz w:val="24"/>
          <w:szCs w:val="24"/>
        </w:rPr>
        <w:t xml:space="preserve">Local authority land is viewed as part of the supply solution </w:t>
      </w:r>
      <w:r w:rsidR="006D284C" w:rsidRPr="00BD2B94">
        <w:rPr>
          <w:rFonts w:ascii="Avenir Next" w:hAnsi="Avenir Next"/>
          <w:sz w:val="24"/>
          <w:szCs w:val="24"/>
        </w:rPr>
        <w:t>to inflating</w:t>
      </w:r>
      <w:r w:rsidRPr="00BD2B94">
        <w:rPr>
          <w:rFonts w:ascii="Avenir Next" w:hAnsi="Avenir Next"/>
          <w:sz w:val="24"/>
          <w:szCs w:val="24"/>
        </w:rPr>
        <w:t xml:space="preserve"> national housebuilding targets</w:t>
      </w:r>
      <w:r w:rsidR="007265D6" w:rsidRPr="00BD2B94">
        <w:rPr>
          <w:rFonts w:ascii="Avenir Next" w:hAnsi="Avenir Next"/>
          <w:sz w:val="24"/>
          <w:szCs w:val="24"/>
        </w:rPr>
        <w:t xml:space="preserve"> in </w:t>
      </w:r>
      <w:r w:rsidR="00FF558E" w:rsidRPr="00BD2B94">
        <w:rPr>
          <w:rFonts w:ascii="Avenir Next" w:hAnsi="Avenir Next"/>
          <w:sz w:val="24"/>
          <w:szCs w:val="24"/>
        </w:rPr>
        <w:t>England</w:t>
      </w:r>
      <w:r w:rsidRPr="00BD2B94">
        <w:rPr>
          <w:rFonts w:ascii="Avenir Next" w:hAnsi="Avenir Next"/>
          <w:sz w:val="24"/>
          <w:szCs w:val="24"/>
        </w:rPr>
        <w:t xml:space="preserve">. The shift from local authorities as development control </w:t>
      </w:r>
      <w:r w:rsidR="00B50144" w:rsidRPr="00BD2B94">
        <w:rPr>
          <w:rFonts w:ascii="Avenir Next" w:hAnsi="Avenir Next"/>
          <w:sz w:val="24"/>
          <w:szCs w:val="24"/>
        </w:rPr>
        <w:t xml:space="preserve">agents </w:t>
      </w:r>
      <w:r w:rsidRPr="00BD2B94">
        <w:rPr>
          <w:rFonts w:ascii="Avenir Next" w:hAnsi="Avenir Next"/>
          <w:sz w:val="24"/>
          <w:szCs w:val="24"/>
        </w:rPr>
        <w:t xml:space="preserve">to housing enablers has drawn political and public attention, </w:t>
      </w:r>
      <w:r w:rsidR="007731C6" w:rsidRPr="00BD2B94">
        <w:rPr>
          <w:rFonts w:ascii="Avenir Next" w:hAnsi="Avenir Next"/>
          <w:sz w:val="24"/>
          <w:szCs w:val="24"/>
        </w:rPr>
        <w:t xml:space="preserve">with </w:t>
      </w:r>
      <w:r w:rsidR="00E00734">
        <w:rPr>
          <w:rFonts w:ascii="Avenir Next" w:hAnsi="Avenir Next"/>
          <w:sz w:val="24"/>
          <w:szCs w:val="24"/>
        </w:rPr>
        <w:t>some commentators emphasising</w:t>
      </w:r>
      <w:r w:rsidR="007731C6" w:rsidRPr="00BD2B94">
        <w:rPr>
          <w:rFonts w:ascii="Avenir Next" w:hAnsi="Avenir Next"/>
          <w:sz w:val="24"/>
          <w:szCs w:val="24"/>
        </w:rPr>
        <w:t xml:space="preserve"> the release of land owned by local authorities for private housebuilding</w:t>
      </w:r>
      <w:r w:rsidR="00E00734">
        <w:rPr>
          <w:rFonts w:ascii="Avenir Next" w:hAnsi="Avenir Next"/>
          <w:sz w:val="24"/>
          <w:szCs w:val="24"/>
        </w:rPr>
        <w:t xml:space="preserve"> as a potentially significant contributor to new supply</w:t>
      </w:r>
      <w:r w:rsidRPr="00BD2B94">
        <w:rPr>
          <w:rFonts w:ascii="Avenir Next" w:hAnsi="Avenir Next"/>
          <w:sz w:val="24"/>
          <w:szCs w:val="24"/>
        </w:rPr>
        <w:t xml:space="preserve">. Whilst estimates vary about the amount of developable land in local authorities’ portfolios, little research has been undertaken into the </w:t>
      </w:r>
      <w:r w:rsidR="00F33C33" w:rsidRPr="00BD2B94">
        <w:rPr>
          <w:rFonts w:ascii="Avenir Next" w:hAnsi="Avenir Next"/>
          <w:sz w:val="24"/>
          <w:szCs w:val="24"/>
        </w:rPr>
        <w:t>potential</w:t>
      </w:r>
      <w:r w:rsidR="00E00734">
        <w:rPr>
          <w:rFonts w:ascii="Avenir Next" w:hAnsi="Avenir Next"/>
          <w:sz w:val="24"/>
          <w:szCs w:val="24"/>
        </w:rPr>
        <w:t xml:space="preserve"> practical</w:t>
      </w:r>
      <w:r w:rsidR="00F33C33" w:rsidRPr="00BD2B94">
        <w:rPr>
          <w:rFonts w:ascii="Avenir Next" w:hAnsi="Avenir Next"/>
          <w:sz w:val="24"/>
          <w:szCs w:val="24"/>
        </w:rPr>
        <w:t xml:space="preserve"> barriers to</w:t>
      </w:r>
      <w:r w:rsidR="00E00734">
        <w:rPr>
          <w:rFonts w:ascii="Avenir Next" w:hAnsi="Avenir Next"/>
          <w:sz w:val="24"/>
          <w:szCs w:val="24"/>
        </w:rPr>
        <w:t xml:space="preserve"> more extensive use of </w:t>
      </w:r>
      <w:r w:rsidR="00F33C33" w:rsidRPr="00BD2B94">
        <w:rPr>
          <w:rFonts w:ascii="Avenir Next" w:hAnsi="Avenir Next"/>
          <w:sz w:val="24"/>
          <w:szCs w:val="24"/>
        </w:rPr>
        <w:t>public</w:t>
      </w:r>
      <w:r w:rsidR="00E00734">
        <w:rPr>
          <w:rFonts w:ascii="Avenir Next" w:hAnsi="Avenir Next"/>
          <w:sz w:val="24"/>
          <w:szCs w:val="24"/>
        </w:rPr>
        <w:t>ly owned</w:t>
      </w:r>
      <w:r w:rsidRPr="00BD2B94">
        <w:rPr>
          <w:rFonts w:ascii="Avenir Next" w:hAnsi="Avenir Next"/>
          <w:sz w:val="24"/>
          <w:szCs w:val="24"/>
        </w:rPr>
        <w:t xml:space="preserve"> land for housing development. Local planning authorities are universally, and statutorily, concerned with both the delivery of dwellings to live in and making places suitable and sustainable. In this context the actions of local authority officers both inform and perform aspects of the housing market and cannot therefore be divided from local land markets</w:t>
      </w:r>
      <w:r w:rsidR="00E00734">
        <w:rPr>
          <w:rFonts w:ascii="Avenir Next" w:hAnsi="Avenir Next"/>
          <w:sz w:val="24"/>
          <w:szCs w:val="24"/>
        </w:rPr>
        <w:t xml:space="preserve"> </w:t>
      </w:r>
      <w:r w:rsidRPr="00BD2B94">
        <w:rPr>
          <w:rFonts w:ascii="Avenir Next" w:hAnsi="Avenir Next"/>
          <w:sz w:val="24"/>
          <w:szCs w:val="24"/>
        </w:rPr>
        <w:t xml:space="preserve">or the development process. This paper reflects critically upon </w:t>
      </w:r>
      <w:r w:rsidR="00E00734">
        <w:rPr>
          <w:rFonts w:ascii="Avenir Next" w:hAnsi="Avenir Next"/>
          <w:sz w:val="24"/>
          <w:szCs w:val="24"/>
        </w:rPr>
        <w:t>a series of in-depth</w:t>
      </w:r>
      <w:r w:rsidRPr="00BD2B94">
        <w:rPr>
          <w:rFonts w:ascii="Avenir Next" w:hAnsi="Avenir Next"/>
          <w:sz w:val="24"/>
          <w:szCs w:val="24"/>
        </w:rPr>
        <w:t xml:space="preserve"> interviews with key professionals involved in identifying, planning, selling, buying and developing dwellings on </w:t>
      </w:r>
      <w:r w:rsidR="00F33C33" w:rsidRPr="00BD2B94">
        <w:rPr>
          <w:rFonts w:ascii="Avenir Next" w:hAnsi="Avenir Next"/>
          <w:sz w:val="24"/>
          <w:szCs w:val="24"/>
        </w:rPr>
        <w:t xml:space="preserve">public </w:t>
      </w:r>
      <w:r w:rsidRPr="00BD2B94">
        <w:rPr>
          <w:rFonts w:ascii="Avenir Next" w:hAnsi="Avenir Next"/>
          <w:sz w:val="24"/>
          <w:szCs w:val="24"/>
        </w:rPr>
        <w:t>land.</w:t>
      </w:r>
      <w:r w:rsidR="00B50144" w:rsidRPr="00BD2B94">
        <w:rPr>
          <w:rFonts w:ascii="Avenir Next" w:hAnsi="Avenir Next"/>
          <w:sz w:val="24"/>
          <w:szCs w:val="24"/>
        </w:rPr>
        <w:t xml:space="preserve"> </w:t>
      </w:r>
      <w:r w:rsidR="00E00734">
        <w:rPr>
          <w:rFonts w:ascii="Avenir Next" w:hAnsi="Avenir Next"/>
          <w:sz w:val="24"/>
          <w:szCs w:val="24"/>
        </w:rPr>
        <w:t>Five potential</w:t>
      </w:r>
      <w:r w:rsidR="00F33C33" w:rsidRPr="00BD2B94">
        <w:rPr>
          <w:rFonts w:ascii="Avenir Next" w:hAnsi="Avenir Next"/>
          <w:sz w:val="24"/>
          <w:szCs w:val="24"/>
        </w:rPr>
        <w:t xml:space="preserve"> barriers</w:t>
      </w:r>
      <w:r w:rsidR="00E00734">
        <w:rPr>
          <w:rFonts w:ascii="Avenir Next" w:hAnsi="Avenir Next"/>
          <w:sz w:val="24"/>
          <w:szCs w:val="24"/>
        </w:rPr>
        <w:t xml:space="preserve"> - </w:t>
      </w:r>
      <w:r w:rsidR="00E00734" w:rsidRPr="00BD2B94">
        <w:rPr>
          <w:rFonts w:ascii="Avenir Next" w:hAnsi="Avenir Next"/>
          <w:sz w:val="24"/>
          <w:szCs w:val="24"/>
        </w:rPr>
        <w:t>ownership</w:t>
      </w:r>
      <w:r w:rsidR="00E00734">
        <w:rPr>
          <w:rFonts w:ascii="Avenir Next" w:hAnsi="Avenir Next"/>
          <w:sz w:val="24"/>
          <w:szCs w:val="24"/>
        </w:rPr>
        <w:t xml:space="preserve"> constraints</w:t>
      </w:r>
      <w:r w:rsidR="00E00734" w:rsidRPr="00BD2B94">
        <w:rPr>
          <w:rFonts w:ascii="Avenir Next" w:hAnsi="Avenir Next"/>
          <w:sz w:val="24"/>
          <w:szCs w:val="24"/>
        </w:rPr>
        <w:t xml:space="preserve">; finance and funding; legal and planning; quality; and market </w:t>
      </w:r>
      <w:r w:rsidR="00E00734">
        <w:rPr>
          <w:rFonts w:ascii="Avenir Next" w:hAnsi="Avenir Next"/>
          <w:sz w:val="24"/>
          <w:szCs w:val="24"/>
        </w:rPr>
        <w:t>obstacles -</w:t>
      </w:r>
      <w:r w:rsidR="00E00734" w:rsidRPr="00BD2B94">
        <w:rPr>
          <w:rFonts w:ascii="Avenir Next" w:hAnsi="Avenir Next"/>
          <w:sz w:val="24"/>
          <w:szCs w:val="24"/>
        </w:rPr>
        <w:t xml:space="preserve"> </w:t>
      </w:r>
      <w:r w:rsidR="00E00734">
        <w:rPr>
          <w:rFonts w:ascii="Avenir Next" w:hAnsi="Avenir Next"/>
          <w:sz w:val="24"/>
          <w:szCs w:val="24"/>
        </w:rPr>
        <w:t xml:space="preserve">to private sector development on such sites </w:t>
      </w:r>
      <w:r w:rsidR="00F33C33" w:rsidRPr="00BD2B94">
        <w:rPr>
          <w:rFonts w:ascii="Avenir Next" w:hAnsi="Avenir Next"/>
          <w:sz w:val="24"/>
          <w:szCs w:val="24"/>
        </w:rPr>
        <w:t xml:space="preserve">are </w:t>
      </w:r>
      <w:r w:rsidR="00E00734">
        <w:rPr>
          <w:rFonts w:ascii="Avenir Next" w:hAnsi="Avenir Next"/>
          <w:sz w:val="24"/>
          <w:szCs w:val="24"/>
        </w:rPr>
        <w:t xml:space="preserve">identified and explored. </w:t>
      </w:r>
      <w:r w:rsidR="00F33C33" w:rsidRPr="00BD2B94">
        <w:rPr>
          <w:rFonts w:ascii="Avenir Next" w:hAnsi="Avenir Next"/>
          <w:sz w:val="24"/>
          <w:szCs w:val="24"/>
        </w:rPr>
        <w:t xml:space="preserve">We </w:t>
      </w:r>
      <w:r w:rsidRPr="00BD2B94">
        <w:rPr>
          <w:rFonts w:ascii="Avenir Next" w:hAnsi="Avenir Next"/>
          <w:sz w:val="24"/>
          <w:szCs w:val="24"/>
        </w:rPr>
        <w:t xml:space="preserve">argue that </w:t>
      </w:r>
      <w:r w:rsidR="00F33C33" w:rsidRPr="00BD2B94">
        <w:rPr>
          <w:rFonts w:ascii="Avenir Next" w:hAnsi="Avenir Next"/>
          <w:sz w:val="24"/>
          <w:szCs w:val="24"/>
        </w:rPr>
        <w:t>whilst the</w:t>
      </w:r>
      <w:r w:rsidR="00E00734">
        <w:rPr>
          <w:rFonts w:ascii="Avenir Next" w:hAnsi="Avenir Next"/>
          <w:sz w:val="24"/>
          <w:szCs w:val="24"/>
        </w:rPr>
        <w:t xml:space="preserve"> significance</w:t>
      </w:r>
      <w:r w:rsidR="00F33C33" w:rsidRPr="00BD2B94">
        <w:rPr>
          <w:rFonts w:ascii="Avenir Next" w:hAnsi="Avenir Next"/>
          <w:sz w:val="24"/>
          <w:szCs w:val="24"/>
        </w:rPr>
        <w:t xml:space="preserve"> of barriers </w:t>
      </w:r>
      <w:r w:rsidR="00E00734">
        <w:rPr>
          <w:rFonts w:ascii="Avenir Next" w:hAnsi="Avenir Next"/>
          <w:sz w:val="24"/>
          <w:szCs w:val="24"/>
        </w:rPr>
        <w:t>is variable</w:t>
      </w:r>
      <w:r w:rsidR="00F33C33" w:rsidRPr="00BD2B94">
        <w:rPr>
          <w:rFonts w:ascii="Avenir Next" w:hAnsi="Avenir Next"/>
          <w:sz w:val="24"/>
          <w:szCs w:val="24"/>
        </w:rPr>
        <w:t xml:space="preserve">, </w:t>
      </w:r>
      <w:r w:rsidR="00E00734">
        <w:rPr>
          <w:rFonts w:ascii="Avenir Next" w:hAnsi="Avenir Next"/>
          <w:sz w:val="24"/>
          <w:szCs w:val="24"/>
        </w:rPr>
        <w:t xml:space="preserve">policy intervention and/or behaviour change </w:t>
      </w:r>
      <w:r w:rsidR="00F33C33" w:rsidRPr="00BD2B94">
        <w:rPr>
          <w:rFonts w:ascii="Avenir Next" w:hAnsi="Avenir Next"/>
          <w:sz w:val="24"/>
          <w:szCs w:val="24"/>
        </w:rPr>
        <w:t>by local authorities</w:t>
      </w:r>
      <w:r w:rsidR="00E00734">
        <w:rPr>
          <w:rFonts w:ascii="Avenir Next" w:hAnsi="Avenir Next"/>
          <w:sz w:val="24"/>
          <w:szCs w:val="24"/>
        </w:rPr>
        <w:t xml:space="preserve"> will be required if we are to</w:t>
      </w:r>
      <w:r w:rsidR="00F33C33" w:rsidRPr="00BD2B94">
        <w:rPr>
          <w:rFonts w:ascii="Avenir Next" w:hAnsi="Avenir Next"/>
          <w:sz w:val="24"/>
          <w:szCs w:val="24"/>
        </w:rPr>
        <w:t xml:space="preserve"> use </w:t>
      </w:r>
      <w:r w:rsidR="00E00734">
        <w:rPr>
          <w:rFonts w:ascii="Avenir Next" w:hAnsi="Avenir Next"/>
          <w:sz w:val="24"/>
          <w:szCs w:val="24"/>
        </w:rPr>
        <w:t>the stock of</w:t>
      </w:r>
      <w:r w:rsidR="00F33C33" w:rsidRPr="00BD2B94">
        <w:rPr>
          <w:rFonts w:ascii="Avenir Next" w:hAnsi="Avenir Next"/>
          <w:sz w:val="24"/>
          <w:szCs w:val="24"/>
        </w:rPr>
        <w:t xml:space="preserve"> public land </w:t>
      </w:r>
      <w:r w:rsidR="00E00734">
        <w:rPr>
          <w:rFonts w:ascii="Avenir Next" w:hAnsi="Avenir Next"/>
          <w:sz w:val="24"/>
          <w:szCs w:val="24"/>
        </w:rPr>
        <w:t>more extensively for new housing development</w:t>
      </w:r>
      <w:r w:rsidR="00F33C33" w:rsidRPr="00BD2B94">
        <w:rPr>
          <w:rFonts w:ascii="Avenir Next" w:hAnsi="Avenir Next"/>
          <w:sz w:val="24"/>
          <w:szCs w:val="24"/>
        </w:rPr>
        <w:t xml:space="preserve">. </w:t>
      </w:r>
    </w:p>
    <w:p w14:paraId="06DD5397" w14:textId="77777777" w:rsidR="00AB0DF0" w:rsidRPr="00BD2B94" w:rsidRDefault="00AB0DF0" w:rsidP="00BD2B94">
      <w:pPr>
        <w:rPr>
          <w:rFonts w:ascii="Avenir Next" w:hAnsi="Avenir Next"/>
          <w:sz w:val="24"/>
          <w:szCs w:val="24"/>
        </w:rPr>
      </w:pPr>
    </w:p>
    <w:p w14:paraId="73DC752F" w14:textId="77777777" w:rsidR="00AB0DF0" w:rsidRPr="00BD2B94" w:rsidRDefault="00AB0DF0" w:rsidP="00BD2B94">
      <w:pPr>
        <w:rPr>
          <w:rFonts w:ascii="Avenir Next" w:hAnsi="Avenir Next"/>
          <w:sz w:val="24"/>
          <w:szCs w:val="24"/>
        </w:rPr>
      </w:pPr>
      <w:r w:rsidRPr="00BD2B94">
        <w:rPr>
          <w:rFonts w:ascii="Avenir Next" w:hAnsi="Avenir Next"/>
          <w:sz w:val="24"/>
          <w:szCs w:val="24"/>
        </w:rPr>
        <w:br w:type="page"/>
      </w:r>
    </w:p>
    <w:p w14:paraId="613191C1" w14:textId="364CABD4" w:rsidR="007A37AB" w:rsidRPr="00BD2B94" w:rsidRDefault="00CE23A9" w:rsidP="00BD2B94">
      <w:pPr>
        <w:pStyle w:val="ListParagraph"/>
        <w:numPr>
          <w:ilvl w:val="0"/>
          <w:numId w:val="16"/>
        </w:numPr>
        <w:rPr>
          <w:rFonts w:ascii="Avenir Next" w:hAnsi="Avenir Next"/>
          <w:b/>
          <w:bCs/>
          <w:sz w:val="24"/>
          <w:szCs w:val="24"/>
        </w:rPr>
      </w:pPr>
      <w:r w:rsidRPr="00BD2B94">
        <w:rPr>
          <w:rFonts w:ascii="Avenir Next" w:hAnsi="Avenir Next"/>
          <w:b/>
          <w:bCs/>
          <w:sz w:val="24"/>
          <w:szCs w:val="24"/>
        </w:rPr>
        <w:lastRenderedPageBreak/>
        <w:t>Introduction</w:t>
      </w:r>
      <w:r w:rsidRPr="00BD2B94">
        <w:rPr>
          <w:rFonts w:ascii="Avenir Next" w:hAnsi="Avenir Next"/>
          <w:b/>
          <w:bCs/>
          <w:sz w:val="24"/>
          <w:szCs w:val="24"/>
        </w:rPr>
        <w:tab/>
      </w:r>
    </w:p>
    <w:p w14:paraId="45B172E1" w14:textId="77777777" w:rsidR="007A37AB" w:rsidRPr="00BD2B94" w:rsidRDefault="007A37AB" w:rsidP="00BD2B94">
      <w:pPr>
        <w:ind w:left="720"/>
        <w:rPr>
          <w:rFonts w:ascii="Avenir Next" w:hAnsi="Avenir Next"/>
          <w:sz w:val="24"/>
          <w:szCs w:val="24"/>
        </w:rPr>
      </w:pPr>
      <w:r w:rsidRPr="00BD2B94">
        <w:rPr>
          <w:rFonts w:ascii="Avenir Next" w:hAnsi="Avenir Next"/>
          <w:sz w:val="24"/>
          <w:szCs w:val="24"/>
        </w:rPr>
        <w:t xml:space="preserve"> “the question of the role of local authorities in the supply of land for private development cannot and should not be separated from the wider consideration of local authority involvement in the development process. Land supply is not a ‘finite’ activity with neat boundaries around it.” (Barrett and Whiting, 1983, P.63)</w:t>
      </w:r>
    </w:p>
    <w:p w14:paraId="693C90AA" w14:textId="51E62F9A" w:rsidR="00E00734" w:rsidRDefault="007A37AB" w:rsidP="00BD2B94">
      <w:pPr>
        <w:rPr>
          <w:rFonts w:ascii="Avenir Next" w:hAnsi="Avenir Next"/>
          <w:sz w:val="24"/>
          <w:szCs w:val="24"/>
        </w:rPr>
      </w:pPr>
      <w:r w:rsidRPr="00BD2B94">
        <w:rPr>
          <w:rFonts w:ascii="Avenir Next" w:hAnsi="Avenir Next"/>
          <w:sz w:val="24"/>
          <w:szCs w:val="24"/>
        </w:rPr>
        <w:t xml:space="preserve">There is an extensive literature that examines the role of low levels of housing supply in the housing affordability crises globally (see </w:t>
      </w:r>
      <w:proofErr w:type="spellStart"/>
      <w:r w:rsidR="00BD2B94" w:rsidRPr="00BD2B94">
        <w:rPr>
          <w:rFonts w:ascii="Avenir Next" w:hAnsi="Avenir Next"/>
          <w:sz w:val="24"/>
          <w:szCs w:val="24"/>
        </w:rPr>
        <w:t>Gurran</w:t>
      </w:r>
      <w:proofErr w:type="spellEnd"/>
      <w:r w:rsidR="00BD2B94" w:rsidRPr="00BD2B94">
        <w:rPr>
          <w:rFonts w:ascii="Avenir Next" w:hAnsi="Avenir Next"/>
          <w:sz w:val="24"/>
          <w:szCs w:val="24"/>
        </w:rPr>
        <w:t xml:space="preserve"> and </w:t>
      </w:r>
      <w:r w:rsidRPr="00BD2B94">
        <w:rPr>
          <w:rFonts w:ascii="Avenir Next" w:hAnsi="Avenir Next"/>
          <w:sz w:val="24"/>
          <w:szCs w:val="24"/>
        </w:rPr>
        <w:t>Bramley, 201</w:t>
      </w:r>
      <w:r w:rsidR="00BD2B94" w:rsidRPr="00BD2B94">
        <w:rPr>
          <w:rFonts w:ascii="Avenir Next" w:hAnsi="Avenir Next"/>
          <w:sz w:val="24"/>
          <w:szCs w:val="24"/>
        </w:rPr>
        <w:t>7</w:t>
      </w:r>
      <w:r w:rsidRPr="00BD2B94">
        <w:rPr>
          <w:rFonts w:ascii="Avenir Next" w:hAnsi="Avenir Next"/>
          <w:sz w:val="24"/>
          <w:szCs w:val="24"/>
        </w:rPr>
        <w:t xml:space="preserve"> for an international review; </w:t>
      </w:r>
      <w:r w:rsidR="00E00734">
        <w:rPr>
          <w:rFonts w:ascii="Avenir Next" w:hAnsi="Avenir Next"/>
          <w:sz w:val="24"/>
          <w:szCs w:val="24"/>
        </w:rPr>
        <w:t xml:space="preserve">and </w:t>
      </w:r>
      <w:r w:rsidRPr="00BD2B94">
        <w:rPr>
          <w:rFonts w:ascii="Avenir Next" w:hAnsi="Avenir Next"/>
          <w:sz w:val="24"/>
          <w:szCs w:val="24"/>
        </w:rPr>
        <w:t>Hincks et al</w:t>
      </w:r>
      <w:r w:rsidR="00B4041D" w:rsidRPr="00BD2B94">
        <w:rPr>
          <w:rFonts w:ascii="Avenir Next" w:hAnsi="Avenir Next"/>
          <w:sz w:val="24"/>
          <w:szCs w:val="24"/>
        </w:rPr>
        <w:t>.</w:t>
      </w:r>
      <w:r w:rsidRPr="00BD2B94">
        <w:rPr>
          <w:rFonts w:ascii="Avenir Next" w:hAnsi="Avenir Next"/>
          <w:sz w:val="24"/>
          <w:szCs w:val="24"/>
        </w:rPr>
        <w:t>, 2014;</w:t>
      </w:r>
      <w:r w:rsidR="00E00734">
        <w:rPr>
          <w:rFonts w:ascii="Avenir Next" w:hAnsi="Avenir Next"/>
          <w:sz w:val="24"/>
          <w:szCs w:val="24"/>
        </w:rPr>
        <w:t xml:space="preserve"> </w:t>
      </w:r>
      <w:proofErr w:type="spellStart"/>
      <w:r w:rsidRPr="00BD2B94">
        <w:rPr>
          <w:rFonts w:ascii="Avenir Next" w:hAnsi="Avenir Next"/>
          <w:sz w:val="24"/>
          <w:szCs w:val="24"/>
        </w:rPr>
        <w:t>Meen</w:t>
      </w:r>
      <w:proofErr w:type="spellEnd"/>
      <w:r w:rsidRPr="00BD2B94">
        <w:rPr>
          <w:rFonts w:ascii="Avenir Next" w:hAnsi="Avenir Next"/>
          <w:sz w:val="24"/>
          <w:szCs w:val="24"/>
        </w:rPr>
        <w:t>, 201</w:t>
      </w:r>
      <w:r w:rsidR="00787307" w:rsidRPr="00BD2B94">
        <w:rPr>
          <w:rFonts w:ascii="Avenir Next" w:hAnsi="Avenir Next"/>
          <w:sz w:val="24"/>
          <w:szCs w:val="24"/>
        </w:rPr>
        <w:t>8</w:t>
      </w:r>
      <w:r w:rsidRPr="00BD2B94">
        <w:rPr>
          <w:rFonts w:ascii="Avenir Next" w:hAnsi="Avenir Next"/>
          <w:sz w:val="24"/>
          <w:szCs w:val="24"/>
        </w:rPr>
        <w:t xml:space="preserve"> in a UK context). Much of this literature focuses on the nature and significance of planning constraints and proposes solutions that are largely aimed at reforming the planning system (</w:t>
      </w:r>
      <w:r w:rsidRPr="00F8354F">
        <w:rPr>
          <w:rFonts w:ascii="Avenir Next" w:hAnsi="Avenir Next"/>
          <w:sz w:val="24"/>
          <w:szCs w:val="24"/>
        </w:rPr>
        <w:t>Cheshire et al</w:t>
      </w:r>
      <w:r w:rsidR="00B4041D" w:rsidRPr="00F8354F">
        <w:rPr>
          <w:rFonts w:ascii="Avenir Next" w:hAnsi="Avenir Next"/>
          <w:sz w:val="24"/>
          <w:szCs w:val="24"/>
        </w:rPr>
        <w:t>.</w:t>
      </w:r>
      <w:r w:rsidRPr="00F8354F">
        <w:rPr>
          <w:rFonts w:ascii="Avenir Next" w:hAnsi="Avenir Next"/>
          <w:sz w:val="24"/>
          <w:szCs w:val="24"/>
        </w:rPr>
        <w:t xml:space="preserve">, 2014; </w:t>
      </w:r>
      <w:r w:rsidRPr="00BD2B94">
        <w:rPr>
          <w:rFonts w:ascii="Avenir Next" w:hAnsi="Avenir Next"/>
          <w:sz w:val="24"/>
          <w:szCs w:val="24"/>
        </w:rPr>
        <w:t>Daw</w:t>
      </w:r>
      <w:r w:rsidR="00EB3ACF" w:rsidRPr="00BD2B94">
        <w:rPr>
          <w:rFonts w:ascii="Avenir Next" w:hAnsi="Avenir Next"/>
          <w:sz w:val="24"/>
          <w:szCs w:val="24"/>
        </w:rPr>
        <w:t>kins</w:t>
      </w:r>
      <w:r w:rsidRPr="00BD2B94">
        <w:rPr>
          <w:rFonts w:ascii="Avenir Next" w:hAnsi="Avenir Next"/>
          <w:sz w:val="24"/>
          <w:szCs w:val="24"/>
        </w:rPr>
        <w:t xml:space="preserve"> and Nelson, </w:t>
      </w:r>
      <w:r w:rsidR="00EB3ACF" w:rsidRPr="00BD2B94">
        <w:rPr>
          <w:rFonts w:ascii="Avenir Next" w:hAnsi="Avenir Next"/>
          <w:sz w:val="24"/>
          <w:szCs w:val="24"/>
        </w:rPr>
        <w:t>2002</w:t>
      </w:r>
      <w:r w:rsidRPr="00BD2B94">
        <w:rPr>
          <w:rFonts w:ascii="Avenir Next" w:hAnsi="Avenir Next"/>
          <w:sz w:val="24"/>
          <w:szCs w:val="24"/>
        </w:rPr>
        <w:t xml:space="preserve">). The role of the land market and its peculiarities are discussed less frequently and less systematically (Adams and Watkins, 2014). </w:t>
      </w:r>
      <w:r w:rsidR="00E00734">
        <w:rPr>
          <w:rFonts w:ascii="Avenir Next" w:hAnsi="Avenir Next"/>
          <w:sz w:val="24"/>
          <w:szCs w:val="24"/>
        </w:rPr>
        <w:t>Notable</w:t>
      </w:r>
      <w:r w:rsidRPr="00BD2B94">
        <w:rPr>
          <w:rFonts w:ascii="Avenir Next" w:hAnsi="Avenir Next"/>
          <w:sz w:val="24"/>
          <w:szCs w:val="24"/>
        </w:rPr>
        <w:t xml:space="preserve"> exceptions include calls to use land in local authority ownership to overcome land availability constraints (</w:t>
      </w:r>
      <w:r w:rsidR="00F8354F">
        <w:rPr>
          <w:rFonts w:ascii="Avenir Next" w:hAnsi="Avenir Next"/>
          <w:sz w:val="24"/>
          <w:szCs w:val="24"/>
        </w:rPr>
        <w:t>Whitehead, 2007; Stephens, 2016</w:t>
      </w:r>
      <w:r w:rsidRPr="00BD2B94">
        <w:rPr>
          <w:rFonts w:ascii="Avenir Next" w:hAnsi="Avenir Next"/>
          <w:sz w:val="24"/>
          <w:szCs w:val="24"/>
        </w:rPr>
        <w:t>). In England</w:t>
      </w:r>
      <w:r w:rsidR="00B4041D" w:rsidRPr="00BD2B94">
        <w:rPr>
          <w:rFonts w:ascii="Avenir Next" w:hAnsi="Avenir Next"/>
          <w:sz w:val="24"/>
          <w:szCs w:val="24"/>
        </w:rPr>
        <w:t>,</w:t>
      </w:r>
      <w:r w:rsidRPr="00BD2B94">
        <w:rPr>
          <w:rFonts w:ascii="Avenir Next" w:hAnsi="Avenir Next"/>
          <w:sz w:val="24"/>
          <w:szCs w:val="24"/>
        </w:rPr>
        <w:t xml:space="preserve"> the </w:t>
      </w:r>
      <w:r w:rsidR="00E00734">
        <w:rPr>
          <w:rFonts w:ascii="Avenir Next" w:hAnsi="Avenir Next"/>
          <w:sz w:val="24"/>
          <w:szCs w:val="24"/>
        </w:rPr>
        <w:t xml:space="preserve">recent </w:t>
      </w:r>
      <w:r w:rsidRPr="00BD2B94">
        <w:rPr>
          <w:rFonts w:ascii="Avenir Next" w:hAnsi="Avenir Next"/>
          <w:sz w:val="24"/>
          <w:szCs w:val="24"/>
        </w:rPr>
        <w:t xml:space="preserve">focus of this attention </w:t>
      </w:r>
      <w:r w:rsidR="00E00734">
        <w:rPr>
          <w:rFonts w:ascii="Avenir Next" w:hAnsi="Avenir Next"/>
          <w:sz w:val="24"/>
          <w:szCs w:val="24"/>
        </w:rPr>
        <w:t xml:space="preserve">has </w:t>
      </w:r>
      <w:r w:rsidRPr="00BD2B94">
        <w:rPr>
          <w:rFonts w:ascii="Avenir Next" w:hAnsi="Avenir Next"/>
          <w:sz w:val="24"/>
          <w:szCs w:val="24"/>
        </w:rPr>
        <w:t xml:space="preserve">narrowed </w:t>
      </w:r>
      <w:r w:rsidR="00E00734">
        <w:rPr>
          <w:rFonts w:ascii="Avenir Next" w:hAnsi="Avenir Next"/>
          <w:sz w:val="24"/>
          <w:szCs w:val="24"/>
        </w:rPr>
        <w:t>in on</w:t>
      </w:r>
      <w:r w:rsidRPr="00BD2B94">
        <w:rPr>
          <w:rFonts w:ascii="Avenir Next" w:hAnsi="Avenir Next"/>
          <w:sz w:val="24"/>
          <w:szCs w:val="24"/>
        </w:rPr>
        <w:t xml:space="preserve"> local authorities’ land holdings as a source to increase housing delivery (e.g. Local Government Association, 2014; </w:t>
      </w:r>
      <w:proofErr w:type="spellStart"/>
      <w:r w:rsidRPr="00BD2B94">
        <w:rPr>
          <w:rFonts w:ascii="Avenir Next" w:hAnsi="Avenir Next"/>
          <w:sz w:val="24"/>
          <w:szCs w:val="24"/>
        </w:rPr>
        <w:t>Elphicke</w:t>
      </w:r>
      <w:proofErr w:type="spellEnd"/>
      <w:r w:rsidRPr="00BD2B94">
        <w:rPr>
          <w:rFonts w:ascii="Avenir Next" w:hAnsi="Avenir Next"/>
          <w:sz w:val="24"/>
          <w:szCs w:val="24"/>
        </w:rPr>
        <w:t xml:space="preserve">-House, 2015, Holman et al., 2015). </w:t>
      </w:r>
      <w:r w:rsidR="00E00734">
        <w:rPr>
          <w:rFonts w:ascii="Avenir Next" w:hAnsi="Avenir Next"/>
          <w:sz w:val="24"/>
          <w:szCs w:val="24"/>
        </w:rPr>
        <w:t>These c</w:t>
      </w:r>
      <w:r w:rsidRPr="00BD2B94">
        <w:rPr>
          <w:rFonts w:ascii="Avenir Next" w:hAnsi="Avenir Next"/>
          <w:sz w:val="24"/>
          <w:szCs w:val="24"/>
        </w:rPr>
        <w:t>ommentators who</w:t>
      </w:r>
      <w:r w:rsidR="00E00734">
        <w:rPr>
          <w:rFonts w:ascii="Avenir Next" w:hAnsi="Avenir Next"/>
          <w:sz w:val="24"/>
          <w:szCs w:val="24"/>
        </w:rPr>
        <w:t xml:space="preserve"> have</w:t>
      </w:r>
      <w:r w:rsidRPr="00BD2B94">
        <w:rPr>
          <w:rFonts w:ascii="Avenir Next" w:hAnsi="Avenir Next"/>
          <w:sz w:val="24"/>
          <w:szCs w:val="24"/>
        </w:rPr>
        <w:t xml:space="preserve"> advocate</w:t>
      </w:r>
      <w:r w:rsidR="00E00734">
        <w:rPr>
          <w:rFonts w:ascii="Avenir Next" w:hAnsi="Avenir Next"/>
          <w:sz w:val="24"/>
          <w:szCs w:val="24"/>
        </w:rPr>
        <w:t>d for</w:t>
      </w:r>
      <w:r w:rsidRPr="00BD2B94">
        <w:rPr>
          <w:rFonts w:ascii="Avenir Next" w:hAnsi="Avenir Next"/>
          <w:sz w:val="24"/>
          <w:szCs w:val="24"/>
        </w:rPr>
        <w:t xml:space="preserve"> the use of local authority land holdings</w:t>
      </w:r>
      <w:r w:rsidR="00E00734">
        <w:rPr>
          <w:rFonts w:ascii="Avenir Next" w:hAnsi="Avenir Next"/>
          <w:sz w:val="24"/>
          <w:szCs w:val="24"/>
        </w:rPr>
        <w:t xml:space="preserve"> have</w:t>
      </w:r>
      <w:r w:rsidRPr="00BD2B94">
        <w:rPr>
          <w:rFonts w:ascii="Avenir Next" w:hAnsi="Avenir Next"/>
          <w:sz w:val="24"/>
          <w:szCs w:val="24"/>
        </w:rPr>
        <w:t xml:space="preserve"> tend</w:t>
      </w:r>
      <w:r w:rsidR="00E00734">
        <w:rPr>
          <w:rFonts w:ascii="Avenir Next" w:hAnsi="Avenir Next"/>
          <w:sz w:val="24"/>
          <w:szCs w:val="24"/>
        </w:rPr>
        <w:t xml:space="preserve">ed </w:t>
      </w:r>
      <w:r w:rsidRPr="00BD2B94">
        <w:rPr>
          <w:rFonts w:ascii="Avenir Next" w:hAnsi="Avenir Next"/>
          <w:sz w:val="24"/>
          <w:szCs w:val="24"/>
        </w:rPr>
        <w:t>to emphasise the scale of these holdings</w:t>
      </w:r>
      <w:r w:rsidR="00E00734">
        <w:rPr>
          <w:rFonts w:ascii="Avenir Next" w:hAnsi="Avenir Next"/>
          <w:sz w:val="24"/>
          <w:szCs w:val="24"/>
        </w:rPr>
        <w:t xml:space="preserve"> and, in broad terms,</w:t>
      </w:r>
      <w:r w:rsidR="00AC3ADD" w:rsidRPr="00BD2B94">
        <w:rPr>
          <w:rFonts w:ascii="Avenir Next" w:hAnsi="Avenir Next"/>
          <w:sz w:val="24"/>
          <w:szCs w:val="24"/>
        </w:rPr>
        <w:t xml:space="preserve"> </w:t>
      </w:r>
      <w:r w:rsidR="00E00734">
        <w:rPr>
          <w:rFonts w:ascii="Avenir Next" w:hAnsi="Avenir Next"/>
          <w:sz w:val="24"/>
          <w:szCs w:val="24"/>
        </w:rPr>
        <w:t>l</w:t>
      </w:r>
      <w:r w:rsidR="00AC3ADD" w:rsidRPr="00BD2B94">
        <w:rPr>
          <w:rFonts w:ascii="Avenir Next" w:hAnsi="Avenir Next"/>
          <w:sz w:val="24"/>
          <w:szCs w:val="24"/>
        </w:rPr>
        <w:t>ocal authorities have been receptive to increasing their role in delivery housing in England (Morphet and Clifford, 2017)</w:t>
      </w:r>
      <w:r w:rsidR="00B4041D" w:rsidRPr="00BD2B94">
        <w:rPr>
          <w:rFonts w:ascii="Avenir Next" w:hAnsi="Avenir Next"/>
          <w:sz w:val="24"/>
          <w:szCs w:val="24"/>
        </w:rPr>
        <w:t>. L</w:t>
      </w:r>
      <w:r w:rsidR="006127F5" w:rsidRPr="00BD2B94">
        <w:rPr>
          <w:rFonts w:ascii="Avenir Next" w:hAnsi="Avenir Next"/>
          <w:sz w:val="24"/>
          <w:szCs w:val="24"/>
        </w:rPr>
        <w:t>ocalism has acted to both enhance the democratic legitimacy of local authorities and to pass the responsibility for meeting national housing need to a lower tier of government (</w:t>
      </w:r>
      <w:proofErr w:type="spellStart"/>
      <w:r w:rsidR="006127F5" w:rsidRPr="00BD2B94">
        <w:rPr>
          <w:rFonts w:ascii="Avenir Next" w:hAnsi="Avenir Next"/>
          <w:sz w:val="24"/>
          <w:szCs w:val="24"/>
        </w:rPr>
        <w:t>Sturzaker</w:t>
      </w:r>
      <w:proofErr w:type="spellEnd"/>
      <w:r w:rsidR="006127F5" w:rsidRPr="00BD2B94">
        <w:rPr>
          <w:rFonts w:ascii="Avenir Next" w:hAnsi="Avenir Next"/>
          <w:sz w:val="24"/>
          <w:szCs w:val="24"/>
        </w:rPr>
        <w:t xml:space="preserve"> and Nurse, 2020).</w:t>
      </w:r>
      <w:r w:rsidR="00AC3ADD" w:rsidRPr="00BD2B94">
        <w:rPr>
          <w:rFonts w:ascii="Avenir Next" w:hAnsi="Avenir Next"/>
          <w:sz w:val="24"/>
          <w:szCs w:val="24"/>
        </w:rPr>
        <w:t xml:space="preserve"> </w:t>
      </w:r>
    </w:p>
    <w:p w14:paraId="4390EC71" w14:textId="5A644383" w:rsidR="007A37AB" w:rsidRPr="00BD2B94" w:rsidRDefault="00E00734" w:rsidP="00BD2B94">
      <w:pPr>
        <w:rPr>
          <w:rFonts w:ascii="Avenir Next" w:hAnsi="Avenir Next"/>
          <w:sz w:val="24"/>
          <w:szCs w:val="24"/>
        </w:rPr>
      </w:pPr>
      <w:r>
        <w:rPr>
          <w:rFonts w:ascii="Avenir Next" w:hAnsi="Avenir Next"/>
          <w:sz w:val="24"/>
          <w:szCs w:val="24"/>
        </w:rPr>
        <w:t>Against this backdrop, it has been suggested that Local Authority land may not be a panacea and that the development of publicly owned land might be subject to several practical constraints (Adams et al, 2016). This</w:t>
      </w:r>
      <w:r w:rsidR="007A37AB" w:rsidRPr="00BD2B94">
        <w:rPr>
          <w:rFonts w:ascii="Avenir Next" w:hAnsi="Avenir Next"/>
          <w:sz w:val="24"/>
          <w:szCs w:val="24"/>
        </w:rPr>
        <w:t xml:space="preserve"> </w:t>
      </w:r>
      <w:r w:rsidR="00AC3ADD" w:rsidRPr="00BD2B94">
        <w:rPr>
          <w:rFonts w:ascii="Avenir Next" w:hAnsi="Avenir Next"/>
          <w:sz w:val="24"/>
          <w:szCs w:val="24"/>
        </w:rPr>
        <w:t>raises questions about how local authorities should respond and</w:t>
      </w:r>
      <w:r w:rsidR="007A37AB" w:rsidRPr="00BD2B94">
        <w:rPr>
          <w:rFonts w:ascii="Avenir Next" w:hAnsi="Avenir Next"/>
          <w:sz w:val="24"/>
          <w:szCs w:val="24"/>
        </w:rPr>
        <w:t xml:space="preserve"> about the nature, quality and developability of these </w:t>
      </w:r>
      <w:r w:rsidR="00AC3ADD" w:rsidRPr="00BD2B94">
        <w:rPr>
          <w:rFonts w:ascii="Avenir Next" w:hAnsi="Avenir Next"/>
          <w:sz w:val="24"/>
          <w:szCs w:val="24"/>
        </w:rPr>
        <w:t xml:space="preserve">public land </w:t>
      </w:r>
      <w:r w:rsidR="007A37AB" w:rsidRPr="00BD2B94">
        <w:rPr>
          <w:rFonts w:ascii="Avenir Next" w:hAnsi="Avenir Next"/>
          <w:sz w:val="24"/>
          <w:szCs w:val="24"/>
        </w:rPr>
        <w:t xml:space="preserve">holdings. </w:t>
      </w:r>
      <w:r w:rsidR="00AC3ADD" w:rsidRPr="00BD2B94">
        <w:rPr>
          <w:rFonts w:ascii="Avenir Next" w:hAnsi="Avenir Next"/>
          <w:sz w:val="24"/>
          <w:szCs w:val="24"/>
        </w:rPr>
        <w:t xml:space="preserve">In particular, is </w:t>
      </w:r>
      <w:r>
        <w:rPr>
          <w:rFonts w:ascii="Avenir Next" w:hAnsi="Avenir Next"/>
          <w:sz w:val="24"/>
          <w:szCs w:val="24"/>
        </w:rPr>
        <w:t xml:space="preserve">the use of land in public </w:t>
      </w:r>
      <w:r w:rsidR="00AC3ADD" w:rsidRPr="00BD2B94">
        <w:rPr>
          <w:rFonts w:ascii="Avenir Next" w:hAnsi="Avenir Next"/>
          <w:sz w:val="24"/>
          <w:szCs w:val="24"/>
        </w:rPr>
        <w:t>ownershi</w:t>
      </w:r>
      <w:r>
        <w:rPr>
          <w:rFonts w:ascii="Avenir Next" w:hAnsi="Avenir Next"/>
          <w:sz w:val="24"/>
          <w:szCs w:val="24"/>
        </w:rPr>
        <w:t xml:space="preserve">p likely to offer a simple and significant contribution to overcoming </w:t>
      </w:r>
      <w:r w:rsidR="007731C6" w:rsidRPr="00BD2B94">
        <w:rPr>
          <w:rFonts w:ascii="Avenir Next" w:hAnsi="Avenir Next"/>
          <w:sz w:val="24"/>
          <w:szCs w:val="24"/>
        </w:rPr>
        <w:t>housing shortages</w:t>
      </w:r>
      <w:r>
        <w:rPr>
          <w:rFonts w:ascii="Avenir Next" w:hAnsi="Avenir Next"/>
          <w:sz w:val="24"/>
          <w:szCs w:val="24"/>
        </w:rPr>
        <w:t>? Are there</w:t>
      </w:r>
      <w:r w:rsidR="007A37AB" w:rsidRPr="00BD2B94">
        <w:rPr>
          <w:rFonts w:ascii="Avenir Next" w:hAnsi="Avenir Next"/>
          <w:sz w:val="24"/>
          <w:szCs w:val="24"/>
        </w:rPr>
        <w:t xml:space="preserve"> the barriers and blockages, such as planning regulations or concerns about economic viability, that might inhibit the development of land in private ownership </w:t>
      </w:r>
      <w:r>
        <w:rPr>
          <w:rFonts w:ascii="Avenir Next" w:hAnsi="Avenir Next"/>
          <w:sz w:val="24"/>
          <w:szCs w:val="24"/>
        </w:rPr>
        <w:t xml:space="preserve">and </w:t>
      </w:r>
      <w:r w:rsidR="007A37AB" w:rsidRPr="00BD2B94">
        <w:rPr>
          <w:rFonts w:ascii="Avenir Next" w:hAnsi="Avenir Next"/>
          <w:sz w:val="24"/>
          <w:szCs w:val="24"/>
        </w:rPr>
        <w:t xml:space="preserve">impinge on </w:t>
      </w:r>
      <w:r>
        <w:rPr>
          <w:rFonts w:ascii="Avenir Next" w:hAnsi="Avenir Next"/>
          <w:sz w:val="24"/>
          <w:szCs w:val="24"/>
        </w:rPr>
        <w:t>its future</w:t>
      </w:r>
      <w:r w:rsidR="007A37AB" w:rsidRPr="00BD2B94">
        <w:rPr>
          <w:rFonts w:ascii="Avenir Next" w:hAnsi="Avenir Next"/>
          <w:sz w:val="24"/>
          <w:szCs w:val="24"/>
        </w:rPr>
        <w:t xml:space="preserve"> development</w:t>
      </w:r>
      <w:r w:rsidR="00AC3ADD" w:rsidRPr="00BD2B94">
        <w:rPr>
          <w:rFonts w:ascii="Avenir Next" w:hAnsi="Avenir Next"/>
          <w:sz w:val="24"/>
          <w:szCs w:val="24"/>
        </w:rPr>
        <w:t>?</w:t>
      </w:r>
    </w:p>
    <w:p w14:paraId="29CB8890" w14:textId="27ABE240" w:rsidR="007A37AB" w:rsidRPr="00BD2B94" w:rsidRDefault="007A37AB" w:rsidP="00BD2B94">
      <w:pPr>
        <w:rPr>
          <w:rFonts w:ascii="Avenir Next" w:hAnsi="Avenir Next"/>
          <w:sz w:val="24"/>
          <w:szCs w:val="24"/>
        </w:rPr>
      </w:pPr>
      <w:r w:rsidRPr="00BD2B94">
        <w:rPr>
          <w:rFonts w:ascii="Avenir Next" w:hAnsi="Avenir Next"/>
          <w:sz w:val="24"/>
          <w:szCs w:val="24"/>
        </w:rPr>
        <w:t>This paper explore</w:t>
      </w:r>
      <w:r w:rsidR="00467BD7" w:rsidRPr="00BD2B94">
        <w:rPr>
          <w:rFonts w:ascii="Avenir Next" w:hAnsi="Avenir Next"/>
          <w:sz w:val="24"/>
          <w:szCs w:val="24"/>
        </w:rPr>
        <w:t>s</w:t>
      </w:r>
      <w:r w:rsidRPr="00BD2B94">
        <w:rPr>
          <w:rFonts w:ascii="Avenir Next" w:hAnsi="Avenir Next"/>
          <w:sz w:val="24"/>
          <w:szCs w:val="24"/>
        </w:rPr>
        <w:t xml:space="preserve"> the extent to which the use of </w:t>
      </w:r>
      <w:r w:rsidR="006127F5" w:rsidRPr="00BD2B94">
        <w:rPr>
          <w:rFonts w:ascii="Avenir Next" w:hAnsi="Avenir Next"/>
          <w:sz w:val="24"/>
          <w:szCs w:val="24"/>
        </w:rPr>
        <w:t>public</w:t>
      </w:r>
      <w:r w:rsidRPr="00BD2B94">
        <w:rPr>
          <w:rFonts w:ascii="Avenir Next" w:hAnsi="Avenir Next"/>
          <w:sz w:val="24"/>
          <w:szCs w:val="24"/>
        </w:rPr>
        <w:t xml:space="preserve"> land is a solution to the housing supply problem. </w:t>
      </w:r>
      <w:r w:rsidR="00B4041D" w:rsidRPr="00BD2B94">
        <w:rPr>
          <w:rFonts w:ascii="Avenir Next" w:hAnsi="Avenir Next"/>
          <w:sz w:val="24"/>
          <w:szCs w:val="24"/>
        </w:rPr>
        <w:t>We</w:t>
      </w:r>
      <w:r w:rsidRPr="00BD2B94">
        <w:rPr>
          <w:rFonts w:ascii="Avenir Next" w:hAnsi="Avenir Next"/>
          <w:sz w:val="24"/>
          <w:szCs w:val="24"/>
        </w:rPr>
        <w:t xml:space="preserve"> do so </w:t>
      </w:r>
      <w:r w:rsidR="00B4041D" w:rsidRPr="00BD2B94">
        <w:rPr>
          <w:rFonts w:ascii="Avenir Next" w:hAnsi="Avenir Next"/>
          <w:sz w:val="24"/>
          <w:szCs w:val="24"/>
        </w:rPr>
        <w:t>this by analysing</w:t>
      </w:r>
      <w:r w:rsidRPr="00BD2B94">
        <w:rPr>
          <w:rFonts w:ascii="Avenir Next" w:hAnsi="Avenir Next"/>
          <w:sz w:val="24"/>
          <w:szCs w:val="24"/>
        </w:rPr>
        <w:t xml:space="preserve"> the nature of </w:t>
      </w:r>
      <w:r w:rsidR="00B4041D" w:rsidRPr="00BD2B94">
        <w:rPr>
          <w:rFonts w:ascii="Avenir Next" w:hAnsi="Avenir Next"/>
          <w:sz w:val="24"/>
          <w:szCs w:val="24"/>
        </w:rPr>
        <w:t xml:space="preserve">local authorities’ </w:t>
      </w:r>
      <w:r w:rsidR="00B4041D" w:rsidRPr="00BD2B94">
        <w:rPr>
          <w:rFonts w:ascii="Avenir Next" w:hAnsi="Avenir Next"/>
          <w:sz w:val="24"/>
          <w:szCs w:val="24"/>
        </w:rPr>
        <w:lastRenderedPageBreak/>
        <w:t xml:space="preserve">approaches to developing on public land and the barriers they faced to development. </w:t>
      </w:r>
    </w:p>
    <w:p w14:paraId="64987C7C" w14:textId="3DCC7957" w:rsidR="007A37AB" w:rsidRPr="00BD2B94" w:rsidRDefault="007A37AB" w:rsidP="00BD2B94">
      <w:pPr>
        <w:rPr>
          <w:rFonts w:ascii="Avenir Next" w:hAnsi="Avenir Next"/>
          <w:sz w:val="24"/>
          <w:szCs w:val="24"/>
        </w:rPr>
      </w:pPr>
      <w:r w:rsidRPr="00BD2B94">
        <w:rPr>
          <w:rFonts w:ascii="Avenir Next" w:hAnsi="Avenir Next"/>
          <w:sz w:val="24"/>
          <w:szCs w:val="24"/>
        </w:rPr>
        <w:t>The paper is organised in</w:t>
      </w:r>
      <w:r w:rsidR="00B4041D" w:rsidRPr="00BD2B94">
        <w:rPr>
          <w:rFonts w:ascii="Avenir Next" w:hAnsi="Avenir Next"/>
          <w:sz w:val="24"/>
          <w:szCs w:val="24"/>
        </w:rPr>
        <w:t>to</w:t>
      </w:r>
      <w:r w:rsidRPr="00BD2B94">
        <w:rPr>
          <w:rFonts w:ascii="Avenir Next" w:hAnsi="Avenir Next"/>
          <w:sz w:val="24"/>
          <w:szCs w:val="24"/>
        </w:rPr>
        <w:t xml:space="preserve"> four main sections. The next section draws on the existing literature on the operation of land markets to develop a systematic overview of the potential constraints on land use. The review highlights the ways in which the nature and characteristics of particular sites might limit their usability and also explores the extent to which institutional arrangements, such as finance and funding, decision-making processes, and officer responsibility, might be significant barriers to development of </w:t>
      </w:r>
      <w:r w:rsidR="006127F5" w:rsidRPr="00BD2B94">
        <w:rPr>
          <w:rFonts w:ascii="Avenir Next" w:hAnsi="Avenir Next"/>
          <w:sz w:val="24"/>
          <w:szCs w:val="24"/>
        </w:rPr>
        <w:t>publicly</w:t>
      </w:r>
      <w:r w:rsidRPr="00BD2B94">
        <w:rPr>
          <w:rFonts w:ascii="Avenir Next" w:hAnsi="Avenir Next"/>
          <w:sz w:val="24"/>
          <w:szCs w:val="24"/>
        </w:rPr>
        <w:t xml:space="preserve"> owned sites. </w:t>
      </w:r>
      <w:r w:rsidR="00B4041D" w:rsidRPr="00BD2B94">
        <w:rPr>
          <w:rFonts w:ascii="Avenir Next" w:hAnsi="Avenir Next"/>
          <w:sz w:val="24"/>
          <w:szCs w:val="24"/>
        </w:rPr>
        <w:t>A</w:t>
      </w:r>
      <w:r w:rsidRPr="00BD2B94">
        <w:rPr>
          <w:rFonts w:ascii="Avenir Next" w:hAnsi="Avenir Next"/>
          <w:sz w:val="24"/>
          <w:szCs w:val="24"/>
        </w:rPr>
        <w:t xml:space="preserve"> historical institutional meta</w:t>
      </w:r>
      <w:r w:rsidR="00B4041D" w:rsidRPr="00BD2B94">
        <w:rPr>
          <w:rFonts w:ascii="Avenir Next" w:hAnsi="Avenir Next"/>
          <w:sz w:val="24"/>
          <w:szCs w:val="24"/>
        </w:rPr>
        <w:t>-</w:t>
      </w:r>
      <w:r w:rsidRPr="00BD2B94">
        <w:rPr>
          <w:rFonts w:ascii="Avenir Next" w:hAnsi="Avenir Next"/>
          <w:sz w:val="24"/>
          <w:szCs w:val="24"/>
        </w:rPr>
        <w:t xml:space="preserve">theoretical approach </w:t>
      </w:r>
      <w:r w:rsidR="00E00734">
        <w:rPr>
          <w:rFonts w:ascii="Avenir Next" w:hAnsi="Avenir Next"/>
          <w:sz w:val="24"/>
          <w:szCs w:val="24"/>
        </w:rPr>
        <w:t xml:space="preserve">is used to </w:t>
      </w:r>
      <w:r w:rsidR="00B4041D" w:rsidRPr="00BD2B94">
        <w:rPr>
          <w:rFonts w:ascii="Avenir Next" w:hAnsi="Avenir Next"/>
          <w:sz w:val="24"/>
          <w:szCs w:val="24"/>
        </w:rPr>
        <w:t xml:space="preserve">frame the study </w:t>
      </w:r>
      <w:r w:rsidRPr="00BD2B94">
        <w:rPr>
          <w:rFonts w:ascii="Avenir Next" w:hAnsi="Avenir Next"/>
          <w:sz w:val="24"/>
          <w:szCs w:val="24"/>
        </w:rPr>
        <w:t>(see Adams et al, 2005). This ontological orientation</w:t>
      </w:r>
      <w:r w:rsidR="00E00734">
        <w:rPr>
          <w:rFonts w:ascii="Avenir Next" w:hAnsi="Avenir Next"/>
          <w:sz w:val="24"/>
          <w:szCs w:val="24"/>
        </w:rPr>
        <w:t>, which recognises the socially and institutionally embedded nature of key decision makers and pervasiveness of institutional rigidities in land market processes,</w:t>
      </w:r>
      <w:r w:rsidRPr="00BD2B94">
        <w:rPr>
          <w:rFonts w:ascii="Avenir Next" w:hAnsi="Avenir Next"/>
          <w:sz w:val="24"/>
          <w:szCs w:val="24"/>
        </w:rPr>
        <w:t xml:space="preserve"> </w:t>
      </w:r>
      <w:r w:rsidR="00E00734">
        <w:rPr>
          <w:rFonts w:ascii="Avenir Next" w:hAnsi="Avenir Next"/>
          <w:sz w:val="24"/>
          <w:szCs w:val="24"/>
        </w:rPr>
        <w:t xml:space="preserve">is taken together with </w:t>
      </w:r>
      <w:r w:rsidRPr="00BD2B94">
        <w:rPr>
          <w:rFonts w:ascii="Avenir Next" w:hAnsi="Avenir Next"/>
          <w:sz w:val="24"/>
          <w:szCs w:val="24"/>
        </w:rPr>
        <w:t xml:space="preserve">the insights from the literature review </w:t>
      </w:r>
      <w:r w:rsidR="00E00734">
        <w:rPr>
          <w:rFonts w:ascii="Avenir Next" w:hAnsi="Avenir Next"/>
          <w:sz w:val="24"/>
          <w:szCs w:val="24"/>
        </w:rPr>
        <w:t xml:space="preserve">to </w:t>
      </w:r>
      <w:r w:rsidRPr="00BD2B94">
        <w:rPr>
          <w:rFonts w:ascii="Avenir Next" w:hAnsi="Avenir Next"/>
          <w:sz w:val="24"/>
          <w:szCs w:val="24"/>
        </w:rPr>
        <w:t xml:space="preserve">inform the development of an analytical framework that focuses on barriers to use. The third section sets out the research design. We apply our analytical framework in three case study areas in England in which we undertook in-depth interviews with a range of market and public sector stakeholders. </w:t>
      </w:r>
      <w:r w:rsidR="00E00734">
        <w:rPr>
          <w:rFonts w:ascii="Avenir Next" w:hAnsi="Avenir Next"/>
          <w:sz w:val="24"/>
          <w:szCs w:val="24"/>
        </w:rPr>
        <w:t xml:space="preserve">The study areas were selected in consultation with staff in what was then the Department for Communities and Local Government (now Ministry </w:t>
      </w:r>
      <w:r w:rsidR="003A0D43">
        <w:rPr>
          <w:rFonts w:ascii="Avenir Next" w:hAnsi="Avenir Next"/>
          <w:sz w:val="24"/>
          <w:szCs w:val="24"/>
        </w:rPr>
        <w:t>of</w:t>
      </w:r>
      <w:r w:rsidR="00E00734">
        <w:rPr>
          <w:rFonts w:ascii="Avenir Next" w:hAnsi="Avenir Next"/>
          <w:sz w:val="24"/>
          <w:szCs w:val="24"/>
        </w:rPr>
        <w:t xml:space="preserve"> Housing, Communities and Local Government) and were intended to be “telling” in the sense that they would offer insights from different market and state contexts rather than typical or generally representative (following Yin, 2003). </w:t>
      </w:r>
      <w:r w:rsidRPr="00BD2B94">
        <w:rPr>
          <w:rFonts w:ascii="Avenir Next" w:hAnsi="Avenir Next"/>
          <w:sz w:val="24"/>
          <w:szCs w:val="24"/>
        </w:rPr>
        <w:t>Section four sets out our findings. The final section offers some conclusions</w:t>
      </w:r>
      <w:r w:rsidR="00B4041D" w:rsidRPr="00BD2B94">
        <w:rPr>
          <w:rFonts w:ascii="Avenir Next" w:hAnsi="Avenir Next"/>
          <w:sz w:val="24"/>
          <w:szCs w:val="24"/>
        </w:rPr>
        <w:t xml:space="preserve"> and</w:t>
      </w:r>
      <w:r w:rsidRPr="00BD2B94">
        <w:rPr>
          <w:rFonts w:ascii="Avenir Next" w:hAnsi="Avenir Next"/>
          <w:sz w:val="24"/>
          <w:szCs w:val="24"/>
        </w:rPr>
        <w:t xml:space="preserve"> reflects on the limits </w:t>
      </w:r>
      <w:r w:rsidR="00B4041D" w:rsidRPr="00BD2B94">
        <w:rPr>
          <w:rFonts w:ascii="Avenir Next" w:hAnsi="Avenir Next"/>
          <w:sz w:val="24"/>
          <w:szCs w:val="24"/>
        </w:rPr>
        <w:t>of</w:t>
      </w:r>
      <w:r w:rsidRPr="00BD2B94">
        <w:rPr>
          <w:rFonts w:ascii="Avenir Next" w:hAnsi="Avenir Next"/>
          <w:sz w:val="24"/>
          <w:szCs w:val="24"/>
        </w:rPr>
        <w:t xml:space="preserve"> theoretical </w:t>
      </w:r>
      <w:r w:rsidR="00B4041D" w:rsidRPr="00BD2B94">
        <w:rPr>
          <w:rFonts w:ascii="Avenir Next" w:hAnsi="Avenir Next"/>
          <w:sz w:val="24"/>
          <w:szCs w:val="24"/>
        </w:rPr>
        <w:t>accounts</w:t>
      </w:r>
      <w:r w:rsidRPr="00BD2B94">
        <w:rPr>
          <w:rFonts w:ascii="Avenir Next" w:hAnsi="Avenir Next"/>
          <w:sz w:val="24"/>
          <w:szCs w:val="24"/>
        </w:rPr>
        <w:t xml:space="preserve"> </w:t>
      </w:r>
      <w:r w:rsidR="00B4041D" w:rsidRPr="00BD2B94">
        <w:rPr>
          <w:rFonts w:ascii="Avenir Next" w:hAnsi="Avenir Next"/>
          <w:sz w:val="24"/>
          <w:szCs w:val="24"/>
        </w:rPr>
        <w:t>of</w:t>
      </w:r>
      <w:r w:rsidRPr="00BD2B94">
        <w:rPr>
          <w:rFonts w:ascii="Avenir Next" w:hAnsi="Avenir Next"/>
          <w:sz w:val="24"/>
          <w:szCs w:val="24"/>
        </w:rPr>
        <w:t xml:space="preserve"> land market constraints</w:t>
      </w:r>
      <w:r w:rsidR="00B4041D" w:rsidRPr="00BD2B94">
        <w:rPr>
          <w:rFonts w:ascii="Avenir Next" w:hAnsi="Avenir Next"/>
          <w:sz w:val="24"/>
          <w:szCs w:val="24"/>
        </w:rPr>
        <w:t xml:space="preserve"> and</w:t>
      </w:r>
      <w:r w:rsidRPr="00BD2B94">
        <w:rPr>
          <w:rFonts w:ascii="Avenir Next" w:hAnsi="Avenir Next"/>
          <w:sz w:val="24"/>
          <w:szCs w:val="24"/>
        </w:rPr>
        <w:t xml:space="preserve"> </w:t>
      </w:r>
      <w:r w:rsidR="00E00734">
        <w:rPr>
          <w:rFonts w:ascii="Avenir Next" w:hAnsi="Avenir Next"/>
          <w:sz w:val="24"/>
          <w:szCs w:val="24"/>
        </w:rPr>
        <w:t>suggests some areas where</w:t>
      </w:r>
      <w:r w:rsidRPr="00BD2B94">
        <w:rPr>
          <w:rFonts w:ascii="Avenir Next" w:hAnsi="Avenir Next"/>
          <w:sz w:val="24"/>
          <w:szCs w:val="24"/>
        </w:rPr>
        <w:t xml:space="preserve"> practical </w:t>
      </w:r>
      <w:r w:rsidR="00E00734">
        <w:rPr>
          <w:rFonts w:ascii="Avenir Next" w:hAnsi="Avenir Next"/>
          <w:sz w:val="24"/>
          <w:szCs w:val="24"/>
        </w:rPr>
        <w:t xml:space="preserve">policy </w:t>
      </w:r>
      <w:r w:rsidRPr="00BD2B94">
        <w:rPr>
          <w:rFonts w:ascii="Avenir Next" w:hAnsi="Avenir Next"/>
          <w:sz w:val="24"/>
          <w:szCs w:val="24"/>
        </w:rPr>
        <w:t>responses to the evidence</w:t>
      </w:r>
      <w:r w:rsidR="00E00734">
        <w:rPr>
          <w:rFonts w:ascii="Avenir Next" w:hAnsi="Avenir Next"/>
          <w:sz w:val="24"/>
          <w:szCs w:val="24"/>
        </w:rPr>
        <w:t xml:space="preserve"> are required.</w:t>
      </w:r>
    </w:p>
    <w:p w14:paraId="2EEF440A" w14:textId="77777777" w:rsidR="00787307" w:rsidRPr="00BD2B94" w:rsidRDefault="00787307" w:rsidP="00BD2B94">
      <w:pPr>
        <w:rPr>
          <w:rFonts w:ascii="Avenir Next" w:hAnsi="Avenir Next"/>
          <w:sz w:val="24"/>
          <w:szCs w:val="24"/>
        </w:rPr>
      </w:pPr>
    </w:p>
    <w:p w14:paraId="3491D85C" w14:textId="41F33B8F" w:rsidR="007A37AB" w:rsidRPr="00BD2B94" w:rsidRDefault="008124B0" w:rsidP="00BD2B94">
      <w:pPr>
        <w:pStyle w:val="ListParagraph"/>
        <w:numPr>
          <w:ilvl w:val="0"/>
          <w:numId w:val="16"/>
        </w:numPr>
        <w:rPr>
          <w:rFonts w:ascii="Avenir Next" w:hAnsi="Avenir Next"/>
          <w:b/>
          <w:bCs/>
          <w:sz w:val="24"/>
          <w:szCs w:val="24"/>
        </w:rPr>
      </w:pPr>
      <w:r w:rsidRPr="00BD2B94">
        <w:rPr>
          <w:rFonts w:ascii="Avenir Next" w:hAnsi="Avenir Next"/>
          <w:b/>
          <w:bCs/>
          <w:sz w:val="24"/>
          <w:szCs w:val="24"/>
        </w:rPr>
        <w:t>Understanding land development constraints</w:t>
      </w:r>
    </w:p>
    <w:p w14:paraId="2E7DE8A4" w14:textId="1DAFCA65" w:rsidR="007B781E" w:rsidRPr="00BD2B94" w:rsidRDefault="007B781E" w:rsidP="00BD2B94">
      <w:pPr>
        <w:rPr>
          <w:rFonts w:ascii="Avenir Next" w:hAnsi="Avenir Next"/>
          <w:sz w:val="24"/>
          <w:szCs w:val="24"/>
        </w:rPr>
      </w:pPr>
      <w:r w:rsidRPr="00BD2B94">
        <w:rPr>
          <w:rFonts w:ascii="Avenir Next" w:hAnsi="Avenir Next"/>
          <w:sz w:val="24"/>
          <w:szCs w:val="24"/>
        </w:rPr>
        <w:t>Mainstream economic analys</w:t>
      </w:r>
      <w:r w:rsidR="00183591" w:rsidRPr="00BD2B94">
        <w:rPr>
          <w:rFonts w:ascii="Avenir Next" w:hAnsi="Avenir Next"/>
          <w:sz w:val="24"/>
          <w:szCs w:val="24"/>
        </w:rPr>
        <w:t>is</w:t>
      </w:r>
      <w:r w:rsidRPr="00BD2B94">
        <w:rPr>
          <w:rFonts w:ascii="Avenir Next" w:hAnsi="Avenir Next"/>
          <w:sz w:val="24"/>
          <w:szCs w:val="24"/>
        </w:rPr>
        <w:t xml:space="preserve"> conceptualises the land market as a perfectly competitive entity where land is homogenous</w:t>
      </w:r>
      <w:r w:rsidR="00B4041D" w:rsidRPr="00BD2B94">
        <w:rPr>
          <w:rFonts w:ascii="Avenir Next" w:hAnsi="Avenir Next"/>
          <w:sz w:val="24"/>
          <w:szCs w:val="24"/>
        </w:rPr>
        <w:t>,</w:t>
      </w:r>
      <w:r w:rsidRPr="00BD2B94">
        <w:rPr>
          <w:rFonts w:ascii="Avenir Next" w:hAnsi="Avenir Next"/>
          <w:sz w:val="24"/>
          <w:szCs w:val="24"/>
        </w:rPr>
        <w:t xml:space="preserve"> and its value is determined by unfettered market</w:t>
      </w:r>
      <w:r w:rsidR="00B4041D" w:rsidRPr="00BD2B94">
        <w:rPr>
          <w:rFonts w:ascii="Avenir Next" w:hAnsi="Avenir Next"/>
          <w:sz w:val="24"/>
          <w:szCs w:val="24"/>
        </w:rPr>
        <w:t>s</w:t>
      </w:r>
      <w:r w:rsidRPr="00BD2B94">
        <w:rPr>
          <w:rFonts w:ascii="Avenir Next" w:hAnsi="Avenir Next"/>
          <w:sz w:val="24"/>
          <w:szCs w:val="24"/>
        </w:rPr>
        <w:t xml:space="preserve"> (Evans, 1973). Several studies within this tradition extend the standard model to allow for heterogeneity (</w:t>
      </w:r>
      <w:r w:rsidR="00B4041D" w:rsidRPr="00BD2B94">
        <w:rPr>
          <w:rFonts w:ascii="Avenir Next" w:hAnsi="Avenir Next"/>
          <w:sz w:val="24"/>
          <w:szCs w:val="24"/>
        </w:rPr>
        <w:t xml:space="preserve">e.g. </w:t>
      </w:r>
      <w:r w:rsidRPr="00BD2B94">
        <w:rPr>
          <w:rFonts w:ascii="Avenir Next" w:hAnsi="Avenir Next"/>
          <w:sz w:val="24"/>
          <w:szCs w:val="24"/>
        </w:rPr>
        <w:t xml:space="preserve">Colwell and </w:t>
      </w:r>
      <w:proofErr w:type="spellStart"/>
      <w:r w:rsidRPr="00BD2B94">
        <w:rPr>
          <w:rFonts w:ascii="Avenir Next" w:hAnsi="Avenir Next"/>
          <w:sz w:val="24"/>
          <w:szCs w:val="24"/>
        </w:rPr>
        <w:t>Muneke</w:t>
      </w:r>
      <w:proofErr w:type="spellEnd"/>
      <w:r w:rsidRPr="00BD2B94">
        <w:rPr>
          <w:rFonts w:ascii="Avenir Next" w:hAnsi="Avenir Next"/>
          <w:sz w:val="24"/>
          <w:szCs w:val="24"/>
        </w:rPr>
        <w:t xml:space="preserve">, </w:t>
      </w:r>
      <w:r w:rsidR="00B4041D" w:rsidRPr="00BD2B94">
        <w:rPr>
          <w:rFonts w:ascii="Avenir Next" w:hAnsi="Avenir Next"/>
          <w:sz w:val="24"/>
          <w:szCs w:val="24"/>
        </w:rPr>
        <w:t>1997</w:t>
      </w:r>
      <w:r w:rsidRPr="00BD2B94">
        <w:rPr>
          <w:rFonts w:ascii="Avenir Next" w:hAnsi="Avenir Next"/>
          <w:sz w:val="24"/>
          <w:szCs w:val="24"/>
        </w:rPr>
        <w:t xml:space="preserve">). These studies suggest that land’s value is a function of the implicit characteristics of the commodity and, as such, physical characteristics of a land parcel (such as its size, shape, topography and quality), and its physical location including proximity to amenities, transport networks and other infrastructure, and the neighbourhood in </w:t>
      </w:r>
      <w:r w:rsidRPr="00BD2B94">
        <w:rPr>
          <w:rFonts w:ascii="Avenir Next" w:hAnsi="Avenir Next"/>
          <w:sz w:val="24"/>
          <w:szCs w:val="24"/>
        </w:rPr>
        <w:lastRenderedPageBreak/>
        <w:t>which its located) will be significant in the eyes of both buyers and sellers. This framework is often extended in an attempt to explore the extent to which planning decisions alter values and influence the market (Evans, 2003).</w:t>
      </w:r>
    </w:p>
    <w:p w14:paraId="0E57F17A" w14:textId="742E96EC" w:rsidR="007B781E" w:rsidRPr="00BD2B94" w:rsidRDefault="007B781E" w:rsidP="00BD2B94">
      <w:pPr>
        <w:rPr>
          <w:rFonts w:ascii="Avenir Next" w:hAnsi="Avenir Next"/>
          <w:sz w:val="24"/>
          <w:szCs w:val="24"/>
        </w:rPr>
      </w:pPr>
      <w:r w:rsidRPr="00BD2B94">
        <w:rPr>
          <w:rFonts w:ascii="Avenir Next" w:hAnsi="Avenir Next"/>
          <w:sz w:val="24"/>
          <w:szCs w:val="24"/>
        </w:rPr>
        <w:t>It has been argued that neo-classical analysis of this sort is deficient in that it ignores some of the crucial complexities that shape market processes and outcomes (Adams et al</w:t>
      </w:r>
      <w:r w:rsidR="00B4041D" w:rsidRPr="00BD2B94">
        <w:rPr>
          <w:rFonts w:ascii="Avenir Next" w:hAnsi="Avenir Next"/>
          <w:sz w:val="24"/>
          <w:szCs w:val="24"/>
        </w:rPr>
        <w:t>.</w:t>
      </w:r>
      <w:r w:rsidRPr="00BD2B94">
        <w:rPr>
          <w:rFonts w:ascii="Avenir Next" w:hAnsi="Avenir Next"/>
          <w:sz w:val="24"/>
          <w:szCs w:val="24"/>
        </w:rPr>
        <w:t>, 2005; Needham</w:t>
      </w:r>
      <w:r w:rsidR="00B4041D" w:rsidRPr="00BD2B94">
        <w:rPr>
          <w:rFonts w:ascii="Avenir Next" w:hAnsi="Avenir Next"/>
          <w:sz w:val="24"/>
          <w:szCs w:val="24"/>
        </w:rPr>
        <w:t xml:space="preserve"> and </w:t>
      </w:r>
      <w:proofErr w:type="spellStart"/>
      <w:r w:rsidR="00B4041D" w:rsidRPr="00BD2B94">
        <w:rPr>
          <w:rFonts w:ascii="Avenir Next" w:hAnsi="Avenir Next"/>
          <w:sz w:val="24"/>
          <w:szCs w:val="24"/>
        </w:rPr>
        <w:t>Verhage</w:t>
      </w:r>
      <w:proofErr w:type="spellEnd"/>
      <w:r w:rsidR="00B4041D" w:rsidRPr="00BD2B94">
        <w:rPr>
          <w:rFonts w:ascii="Avenir Next" w:hAnsi="Avenir Next"/>
          <w:sz w:val="24"/>
          <w:szCs w:val="24"/>
        </w:rPr>
        <w:t>, 1998</w:t>
      </w:r>
      <w:r w:rsidRPr="00BD2B94">
        <w:rPr>
          <w:rFonts w:ascii="Avenir Next" w:hAnsi="Avenir Next"/>
          <w:sz w:val="24"/>
          <w:szCs w:val="24"/>
        </w:rPr>
        <w:t xml:space="preserve">). Crucially it is argued that this methodological perspective underplays the importance of social and economic institutions, cultural factors and the ways in which those can lead to non-rational behaviours and practices amongst key actors including </w:t>
      </w:r>
      <w:r w:rsidR="00281807" w:rsidRPr="00BD2B94">
        <w:rPr>
          <w:rFonts w:ascii="Avenir Next" w:hAnsi="Avenir Next"/>
          <w:sz w:val="24"/>
          <w:szCs w:val="24"/>
        </w:rPr>
        <w:t>landowners</w:t>
      </w:r>
      <w:r w:rsidRPr="00BD2B94">
        <w:rPr>
          <w:rFonts w:ascii="Avenir Next" w:hAnsi="Avenir Next"/>
          <w:sz w:val="24"/>
          <w:szCs w:val="24"/>
        </w:rPr>
        <w:t xml:space="preserve">, land buyers, agents, planning officers, politicians, and developers. These issues have tended to be the domain of studies in the Marxian, structuration, cultural economy, institutional and behavioural traditions. In the remainder of this section we seek to synthesise some of the important insights from across these traditions in an attempt to understand the importance of the intrinsic characteristics of land such as its quality and location </w:t>
      </w:r>
      <w:r w:rsidR="00B4041D" w:rsidRPr="00BD2B94">
        <w:rPr>
          <w:rFonts w:ascii="Avenir Next" w:hAnsi="Avenir Next"/>
          <w:sz w:val="24"/>
          <w:szCs w:val="24"/>
        </w:rPr>
        <w:t>as well as</w:t>
      </w:r>
      <w:r w:rsidRPr="00BD2B94">
        <w:rPr>
          <w:rFonts w:ascii="Avenir Next" w:hAnsi="Avenir Next"/>
          <w:sz w:val="24"/>
          <w:szCs w:val="24"/>
        </w:rPr>
        <w:t xml:space="preserve"> the significance of what mainstream economists might view as exogenous influences</w:t>
      </w:r>
      <w:r w:rsidR="00E3405A" w:rsidRPr="00BD2B94">
        <w:rPr>
          <w:rFonts w:ascii="Avenir Next" w:hAnsi="Avenir Next"/>
          <w:sz w:val="24"/>
          <w:szCs w:val="24"/>
        </w:rPr>
        <w:t xml:space="preserve"> (e.g. Thrall, 1987)</w:t>
      </w:r>
      <w:r w:rsidRPr="00BD2B94">
        <w:rPr>
          <w:rFonts w:ascii="Avenir Next" w:hAnsi="Avenir Next"/>
          <w:sz w:val="24"/>
          <w:szCs w:val="24"/>
        </w:rPr>
        <w:t>. We contend that this is an important step in understanding what might constrain the development of land, irrespective of who owns it. This provides the lens through which we seek to explore the potential contribution that Local Authority owned land might make to the supply crisis. This framework is intended to have broad applicability and to be of use in different international contexts and in exploring different segments of land markets, beyond land in public ownership.</w:t>
      </w:r>
    </w:p>
    <w:p w14:paraId="1DFD53D6" w14:textId="649E24C7" w:rsidR="00177458" w:rsidRPr="00BD2B94" w:rsidRDefault="007B781E" w:rsidP="00BD2B94">
      <w:pPr>
        <w:rPr>
          <w:rFonts w:ascii="Avenir Next" w:hAnsi="Avenir Next"/>
          <w:sz w:val="24"/>
          <w:szCs w:val="24"/>
        </w:rPr>
      </w:pPr>
      <w:r w:rsidRPr="00BD2B94">
        <w:rPr>
          <w:rFonts w:ascii="Avenir Next" w:hAnsi="Avenir Next"/>
          <w:sz w:val="24"/>
          <w:szCs w:val="24"/>
        </w:rPr>
        <w:t>In an extensive unpublished review of land market studies, Adams et al</w:t>
      </w:r>
      <w:r w:rsidR="00B4041D" w:rsidRPr="00BD2B94">
        <w:rPr>
          <w:rFonts w:ascii="Avenir Next" w:hAnsi="Avenir Next"/>
          <w:sz w:val="24"/>
          <w:szCs w:val="24"/>
        </w:rPr>
        <w:t>.</w:t>
      </w:r>
      <w:r w:rsidRPr="00BD2B94">
        <w:rPr>
          <w:rFonts w:ascii="Avenir Next" w:hAnsi="Avenir Next"/>
          <w:sz w:val="24"/>
          <w:szCs w:val="24"/>
        </w:rPr>
        <w:t xml:space="preserve"> (2009) identify five key barriers to land development: ownership constraints, site constraints, remediation and assembly challenges, legal and planning constraints, and funding and finance issues.  </w:t>
      </w:r>
    </w:p>
    <w:p w14:paraId="754F8113" w14:textId="1ED3310E" w:rsidR="007B781E" w:rsidRPr="00BD2B94" w:rsidRDefault="007B781E" w:rsidP="00BD2B94">
      <w:pPr>
        <w:rPr>
          <w:rFonts w:ascii="Avenir Next" w:hAnsi="Avenir Next"/>
          <w:sz w:val="24"/>
          <w:szCs w:val="24"/>
        </w:rPr>
      </w:pPr>
      <w:r w:rsidRPr="00BD2B94">
        <w:rPr>
          <w:rFonts w:ascii="Avenir Next" w:hAnsi="Avenir Next"/>
          <w:sz w:val="24"/>
          <w:szCs w:val="24"/>
        </w:rPr>
        <w:t xml:space="preserve">The most prominent issue that tends to be underplayed in mainstream economic analysis relates to landowner behaviour which can appear non-rational and may act as a significant constraint on the delivery of development land to market (Adams and </w:t>
      </w:r>
      <w:proofErr w:type="gramStart"/>
      <w:r w:rsidRPr="00BD2B94">
        <w:rPr>
          <w:rFonts w:ascii="Avenir Next" w:hAnsi="Avenir Next"/>
          <w:sz w:val="24"/>
          <w:szCs w:val="24"/>
        </w:rPr>
        <w:t>May,</w:t>
      </w:r>
      <w:proofErr w:type="gramEnd"/>
      <w:r w:rsidRPr="00BD2B94">
        <w:rPr>
          <w:rFonts w:ascii="Avenir Next" w:hAnsi="Avenir Next"/>
          <w:sz w:val="24"/>
          <w:szCs w:val="24"/>
        </w:rPr>
        <w:t xml:space="preserve"> </w:t>
      </w:r>
      <w:r w:rsidR="00B4041D" w:rsidRPr="00BD2B94">
        <w:rPr>
          <w:rFonts w:ascii="Avenir Next" w:hAnsi="Avenir Next"/>
          <w:sz w:val="24"/>
          <w:szCs w:val="24"/>
        </w:rPr>
        <w:t>1991</w:t>
      </w:r>
      <w:r w:rsidR="00281807" w:rsidRPr="00BD2B94">
        <w:rPr>
          <w:rFonts w:ascii="Avenir Next" w:hAnsi="Avenir Next"/>
          <w:sz w:val="24"/>
          <w:szCs w:val="24"/>
        </w:rPr>
        <w:t xml:space="preserve">; </w:t>
      </w:r>
      <w:r w:rsidRPr="00BD2B94">
        <w:rPr>
          <w:rFonts w:ascii="Avenir Next" w:hAnsi="Avenir Next"/>
          <w:sz w:val="24"/>
          <w:szCs w:val="24"/>
        </w:rPr>
        <w:t xml:space="preserve">Goodchild and </w:t>
      </w:r>
      <w:proofErr w:type="spellStart"/>
      <w:r w:rsidRPr="00BD2B94">
        <w:rPr>
          <w:rFonts w:ascii="Avenir Next" w:hAnsi="Avenir Next"/>
          <w:sz w:val="24"/>
          <w:szCs w:val="24"/>
        </w:rPr>
        <w:t>Munton</w:t>
      </w:r>
      <w:proofErr w:type="spellEnd"/>
      <w:r w:rsidR="00281807" w:rsidRPr="00BD2B94">
        <w:rPr>
          <w:rFonts w:ascii="Avenir Next" w:hAnsi="Avenir Next"/>
          <w:sz w:val="24"/>
          <w:szCs w:val="24"/>
        </w:rPr>
        <w:t xml:space="preserve">, </w:t>
      </w:r>
      <w:r w:rsidR="00F04E6D" w:rsidRPr="00BD2B94">
        <w:rPr>
          <w:rFonts w:ascii="Avenir Next" w:hAnsi="Avenir Next"/>
          <w:sz w:val="24"/>
          <w:szCs w:val="24"/>
        </w:rPr>
        <w:t>1985</w:t>
      </w:r>
      <w:r w:rsidRPr="00BD2B94">
        <w:rPr>
          <w:rFonts w:ascii="Avenir Next" w:hAnsi="Avenir Next"/>
          <w:sz w:val="24"/>
          <w:szCs w:val="24"/>
        </w:rPr>
        <w:t xml:space="preserve">). These studies have shown that landowners are often reluctant to sell land for a variety of reasons. In some cases, the owner develops an unrealistic sense of value, while in others they have little imperative to sell immediately and believe that the value of their holdings will appreciate if they continue to delay sale. These papers, of course, focus on the motives and behaviours of private </w:t>
      </w:r>
      <w:r w:rsidR="00281807" w:rsidRPr="00BD2B94">
        <w:rPr>
          <w:rFonts w:ascii="Avenir Next" w:hAnsi="Avenir Next"/>
          <w:sz w:val="24"/>
          <w:szCs w:val="24"/>
        </w:rPr>
        <w:t>landowners</w:t>
      </w:r>
      <w:r w:rsidRPr="00BD2B94">
        <w:rPr>
          <w:rFonts w:ascii="Avenir Next" w:hAnsi="Avenir Next"/>
          <w:sz w:val="24"/>
          <w:szCs w:val="24"/>
        </w:rPr>
        <w:t xml:space="preserve"> rather than public agencies. </w:t>
      </w:r>
      <w:r w:rsidRPr="00BD2B94">
        <w:rPr>
          <w:rFonts w:ascii="Avenir Next" w:hAnsi="Avenir Next"/>
          <w:sz w:val="24"/>
          <w:szCs w:val="24"/>
        </w:rPr>
        <w:lastRenderedPageBreak/>
        <w:t xml:space="preserve">However, in the context of financial austerity </w:t>
      </w:r>
      <w:r w:rsidR="00E00734">
        <w:rPr>
          <w:rFonts w:ascii="Avenir Next" w:hAnsi="Avenir Next"/>
          <w:sz w:val="24"/>
          <w:szCs w:val="24"/>
        </w:rPr>
        <w:t xml:space="preserve">(which set the backdrop to this study and has returned today) </w:t>
      </w:r>
      <w:r w:rsidRPr="00BD2B94">
        <w:rPr>
          <w:rFonts w:ascii="Avenir Next" w:hAnsi="Avenir Next"/>
          <w:sz w:val="24"/>
          <w:szCs w:val="24"/>
        </w:rPr>
        <w:t>and with close scrutiny of value for money</w:t>
      </w:r>
      <w:r w:rsidR="00E00734">
        <w:rPr>
          <w:rFonts w:ascii="Avenir Next" w:hAnsi="Avenir Next"/>
          <w:sz w:val="24"/>
          <w:szCs w:val="24"/>
        </w:rPr>
        <w:t xml:space="preserve"> in delivering public services</w:t>
      </w:r>
      <w:r w:rsidRPr="00BD2B94">
        <w:rPr>
          <w:rFonts w:ascii="Avenir Next" w:hAnsi="Avenir Next"/>
          <w:sz w:val="24"/>
          <w:szCs w:val="24"/>
        </w:rPr>
        <w:t xml:space="preserve">, </w:t>
      </w:r>
      <w:r w:rsidR="00E00734">
        <w:rPr>
          <w:rFonts w:ascii="Avenir Next" w:hAnsi="Avenir Next"/>
          <w:sz w:val="24"/>
          <w:szCs w:val="24"/>
        </w:rPr>
        <w:t xml:space="preserve">there has been an increasingly strong imperative </w:t>
      </w:r>
      <w:r w:rsidRPr="00BD2B94">
        <w:rPr>
          <w:rFonts w:ascii="Avenir Next" w:hAnsi="Avenir Next"/>
          <w:sz w:val="24"/>
          <w:szCs w:val="24"/>
        </w:rPr>
        <w:t>that public sector a</w:t>
      </w:r>
      <w:r w:rsidR="00E00734">
        <w:rPr>
          <w:rFonts w:ascii="Avenir Next" w:hAnsi="Avenir Next"/>
          <w:sz w:val="24"/>
          <w:szCs w:val="24"/>
        </w:rPr>
        <w:t>ctors should</w:t>
      </w:r>
      <w:r w:rsidRPr="00BD2B94">
        <w:rPr>
          <w:rFonts w:ascii="Avenir Next" w:hAnsi="Avenir Next"/>
          <w:sz w:val="24"/>
          <w:szCs w:val="24"/>
        </w:rPr>
        <w:t xml:space="preserve"> seek to optimise value of their </w:t>
      </w:r>
      <w:r w:rsidR="00E00734">
        <w:rPr>
          <w:rFonts w:ascii="Avenir Next" w:hAnsi="Avenir Next"/>
          <w:sz w:val="24"/>
          <w:szCs w:val="24"/>
        </w:rPr>
        <w:t xml:space="preserve">assets including their </w:t>
      </w:r>
      <w:r w:rsidRPr="00BD2B94">
        <w:rPr>
          <w:rFonts w:ascii="Avenir Next" w:hAnsi="Avenir Next"/>
          <w:sz w:val="24"/>
          <w:szCs w:val="24"/>
        </w:rPr>
        <w:t xml:space="preserve">land holdings. </w:t>
      </w:r>
      <w:r w:rsidR="00177458" w:rsidRPr="00BD2B94">
        <w:rPr>
          <w:rFonts w:ascii="Avenir Next" w:hAnsi="Avenir Next"/>
          <w:sz w:val="24"/>
          <w:szCs w:val="24"/>
        </w:rPr>
        <w:t xml:space="preserve">While private actors operate in a context where the focus is likely to be on exchange value rather than use value, public authorities are likely to be conflicted, as they negotiate and balance financial imperatives with responsibilities for planning suitable and sustainable development of land (Montgomery, 1987). </w:t>
      </w:r>
      <w:r w:rsidRPr="00BD2B94">
        <w:rPr>
          <w:rFonts w:ascii="Avenir Next" w:hAnsi="Avenir Next"/>
          <w:sz w:val="24"/>
          <w:szCs w:val="24"/>
        </w:rPr>
        <w:t xml:space="preserve">As it stands, there is little understanding of who has oversight of local authority land holdings, who has responsibility for making decisions about use or sale, and what the motives of these officers and elected members might be. These issues are often compounded where potentially developable sites are in multiple ownership. Again, the </w:t>
      </w:r>
      <w:r w:rsidR="00E00734">
        <w:rPr>
          <w:rFonts w:ascii="Avenir Next" w:hAnsi="Avenir Next"/>
          <w:sz w:val="24"/>
          <w:szCs w:val="24"/>
        </w:rPr>
        <w:t xml:space="preserve">existing </w:t>
      </w:r>
      <w:r w:rsidRPr="00BD2B94">
        <w:rPr>
          <w:rFonts w:ascii="Avenir Next" w:hAnsi="Avenir Next"/>
          <w:sz w:val="24"/>
          <w:szCs w:val="24"/>
        </w:rPr>
        <w:t>literature</w:t>
      </w:r>
      <w:r w:rsidR="00E00734">
        <w:rPr>
          <w:rFonts w:ascii="Avenir Next" w:hAnsi="Avenir Next"/>
          <w:sz w:val="24"/>
          <w:szCs w:val="24"/>
        </w:rPr>
        <w:t xml:space="preserve"> on ownership constraints</w:t>
      </w:r>
      <w:r w:rsidRPr="00BD2B94">
        <w:rPr>
          <w:rFonts w:ascii="Avenir Next" w:hAnsi="Avenir Next"/>
          <w:sz w:val="24"/>
          <w:szCs w:val="24"/>
        </w:rPr>
        <w:t xml:space="preserve"> looks at the complexity of such sites where many of the stakeholders are in the private sector. It illustrates the challenges of site assembly when co-owners of sites have different views or where contiguous sites are in different ownership (</w:t>
      </w:r>
      <w:r w:rsidR="009B24EC" w:rsidRPr="00BD2B94">
        <w:rPr>
          <w:rFonts w:ascii="Avenir Next" w:hAnsi="Avenir Next"/>
          <w:sz w:val="24"/>
          <w:szCs w:val="24"/>
        </w:rPr>
        <w:t xml:space="preserve">Adams, </w:t>
      </w:r>
      <w:proofErr w:type="spellStart"/>
      <w:r w:rsidR="009B24EC" w:rsidRPr="00BD2B94">
        <w:rPr>
          <w:rFonts w:ascii="Avenir Next" w:hAnsi="Avenir Next"/>
          <w:sz w:val="24"/>
          <w:szCs w:val="24"/>
        </w:rPr>
        <w:t>Disberry</w:t>
      </w:r>
      <w:proofErr w:type="spellEnd"/>
      <w:r w:rsidR="009B24EC" w:rsidRPr="00BD2B94">
        <w:rPr>
          <w:rFonts w:ascii="Avenir Next" w:hAnsi="Avenir Next"/>
          <w:sz w:val="24"/>
          <w:szCs w:val="24"/>
        </w:rPr>
        <w:t xml:space="preserve"> and Hutchinson, 2001</w:t>
      </w:r>
      <w:r w:rsidRPr="00BD2B94">
        <w:rPr>
          <w:rFonts w:ascii="Avenir Next" w:hAnsi="Avenir Next"/>
          <w:sz w:val="24"/>
          <w:szCs w:val="24"/>
        </w:rPr>
        <w:t xml:space="preserve">). </w:t>
      </w:r>
    </w:p>
    <w:p w14:paraId="55AC6740" w14:textId="7C2D0614" w:rsidR="007B781E" w:rsidRPr="00BD2B94" w:rsidRDefault="007B781E" w:rsidP="00BD2B94">
      <w:pPr>
        <w:rPr>
          <w:rFonts w:ascii="Avenir Next" w:hAnsi="Avenir Next"/>
          <w:sz w:val="24"/>
          <w:szCs w:val="24"/>
        </w:rPr>
      </w:pPr>
      <w:r w:rsidRPr="00BD2B94">
        <w:rPr>
          <w:rFonts w:ascii="Avenir Next" w:hAnsi="Avenir Next"/>
          <w:sz w:val="24"/>
          <w:szCs w:val="24"/>
        </w:rPr>
        <w:t>The literature also highlights the existence of significant site level challenges. These issues go beyond the variability in market value that mainstream economic analyses highlight as arising due to site quality, size or topography. They focus instead on the practical challenges that arise from the ways in which developers identify site, the processes they use to acquire them, and the ways in which they are brought to market (</w:t>
      </w:r>
      <w:r w:rsidRPr="00D12698">
        <w:rPr>
          <w:rFonts w:ascii="Avenir Next" w:hAnsi="Avenir Next"/>
          <w:sz w:val="24"/>
          <w:szCs w:val="24"/>
        </w:rPr>
        <w:t>Adams et al, 2009)</w:t>
      </w:r>
      <w:r w:rsidR="00A2482D" w:rsidRPr="00D12698">
        <w:rPr>
          <w:rFonts w:ascii="Avenir Next" w:hAnsi="Avenir Next"/>
          <w:sz w:val="24"/>
          <w:szCs w:val="24"/>
        </w:rPr>
        <w:t>.</w:t>
      </w:r>
      <w:r w:rsidR="00A2482D" w:rsidRPr="00BD2B94">
        <w:rPr>
          <w:rFonts w:ascii="Avenir Next" w:hAnsi="Avenir Next"/>
          <w:sz w:val="24"/>
          <w:szCs w:val="24"/>
        </w:rPr>
        <w:t xml:space="preserve"> </w:t>
      </w:r>
      <w:r w:rsidRPr="00BD2B94">
        <w:rPr>
          <w:rFonts w:ascii="Avenir Next" w:hAnsi="Avenir Next"/>
          <w:sz w:val="24"/>
          <w:szCs w:val="24"/>
        </w:rPr>
        <w:t>Even if the landowner is willing to sell land for development, there are numerous stages in the developers decision-making process where sites may be screened out</w:t>
      </w:r>
      <w:r w:rsidR="00E00734">
        <w:rPr>
          <w:rFonts w:ascii="Avenir Next" w:hAnsi="Avenir Next"/>
          <w:sz w:val="24"/>
          <w:szCs w:val="24"/>
        </w:rPr>
        <w:t xml:space="preserve"> prior to sale</w:t>
      </w:r>
      <w:r w:rsidRPr="00BD2B94">
        <w:rPr>
          <w:rFonts w:ascii="Avenir Next" w:hAnsi="Avenir Next"/>
          <w:sz w:val="24"/>
          <w:szCs w:val="24"/>
        </w:rPr>
        <w:t>. The micro-location of sites, for instance, has been shown to be a critical issue, not simply because of the impact of neighbourhood quality on value or concerns about accessibility or infrastructure connections, but also because developers seek to manage product competition carefully (Adams and Watkins, 2011; Adams et al, 2008). Despite the assumption that public land will make a very considerable addition to the stock of land available for housing development, it is unclear how the ways in which developers select sites and build their land stock would play out in relation to this stock.</w:t>
      </w:r>
    </w:p>
    <w:p w14:paraId="46C8C304" w14:textId="2F598F12" w:rsidR="00281807" w:rsidRPr="00BD2B94" w:rsidRDefault="00281807" w:rsidP="00BD2B94">
      <w:pPr>
        <w:rPr>
          <w:rFonts w:ascii="Avenir Next" w:hAnsi="Avenir Next"/>
          <w:sz w:val="24"/>
          <w:szCs w:val="24"/>
        </w:rPr>
      </w:pPr>
      <w:r w:rsidRPr="00BD2B94">
        <w:rPr>
          <w:rFonts w:ascii="Avenir Next" w:hAnsi="Avenir Next"/>
          <w:sz w:val="24"/>
          <w:szCs w:val="24"/>
        </w:rPr>
        <w:t xml:space="preserve">Clearly, legal and planning constraints play a significant part in the site level appraisal process undertaken by developers. It is well understood that existing planning permission or the perceived likelihood of planning permission being granted will have a significant impact on the cost and desirability of land (Evans, 2003). Sites that are well aligned to plans and sites captured within master planning </w:t>
      </w:r>
      <w:r w:rsidRPr="00BD2B94">
        <w:rPr>
          <w:rFonts w:ascii="Avenir Next" w:hAnsi="Avenir Next"/>
          <w:sz w:val="24"/>
          <w:szCs w:val="24"/>
        </w:rPr>
        <w:lastRenderedPageBreak/>
        <w:t xml:space="preserve">frameworks are far more likely to be able to quickly contribute to levels of new development. Although less prominent, it is also important that development sites are free from restrictive legal covenants. </w:t>
      </w:r>
      <w:r w:rsidR="007731C6" w:rsidRPr="00BD2B94">
        <w:rPr>
          <w:rFonts w:ascii="Avenir Next" w:hAnsi="Avenir Next"/>
          <w:sz w:val="24"/>
          <w:szCs w:val="24"/>
        </w:rPr>
        <w:t>It</w:t>
      </w:r>
      <w:r w:rsidRPr="00BD2B94">
        <w:rPr>
          <w:rFonts w:ascii="Avenir Next" w:hAnsi="Avenir Next"/>
          <w:sz w:val="24"/>
          <w:szCs w:val="24"/>
        </w:rPr>
        <w:t xml:space="preserve"> is far from clear what proportion of the stock of land held by </w:t>
      </w:r>
      <w:r w:rsidR="007731C6" w:rsidRPr="00BD2B94">
        <w:rPr>
          <w:rFonts w:ascii="Avenir Next" w:hAnsi="Avenir Next"/>
          <w:sz w:val="24"/>
          <w:szCs w:val="24"/>
        </w:rPr>
        <w:t>l</w:t>
      </w:r>
      <w:r w:rsidRPr="00BD2B94">
        <w:rPr>
          <w:rFonts w:ascii="Avenir Next" w:hAnsi="Avenir Next"/>
          <w:sz w:val="24"/>
          <w:szCs w:val="24"/>
        </w:rPr>
        <w:t>ocal authorities in the UK might be free from legal or planning constraints.</w:t>
      </w:r>
    </w:p>
    <w:p w14:paraId="2B095FAD" w14:textId="0D2EECB2" w:rsidR="007B781E" w:rsidRPr="00BD2B94" w:rsidRDefault="007B781E" w:rsidP="00BD2B94">
      <w:pPr>
        <w:rPr>
          <w:rFonts w:ascii="Avenir Next" w:hAnsi="Avenir Next"/>
          <w:sz w:val="24"/>
          <w:szCs w:val="24"/>
        </w:rPr>
      </w:pPr>
      <w:r w:rsidRPr="00BD2B94">
        <w:rPr>
          <w:rFonts w:ascii="Avenir Next" w:hAnsi="Avenir Next"/>
          <w:sz w:val="24"/>
          <w:szCs w:val="24"/>
        </w:rPr>
        <w:t>The quality of individual sites is also</w:t>
      </w:r>
      <w:r w:rsidR="007731C6" w:rsidRPr="00BD2B94">
        <w:rPr>
          <w:rFonts w:ascii="Avenir Next" w:hAnsi="Avenir Next"/>
          <w:sz w:val="24"/>
          <w:szCs w:val="24"/>
        </w:rPr>
        <w:t xml:space="preserve"> </w:t>
      </w:r>
      <w:r w:rsidRPr="00BD2B94">
        <w:rPr>
          <w:rFonts w:ascii="Avenir Next" w:hAnsi="Avenir Next"/>
          <w:sz w:val="24"/>
          <w:szCs w:val="24"/>
        </w:rPr>
        <w:t>of critical importance. In the context of most developed economies, urban sites have often been in a variety of prior uses. At the most extreme, former industrial sites present pronounced challenges in the form of the need to treat contamination and undertake expensive remediation processes (Ball</w:t>
      </w:r>
      <w:r w:rsidR="00281807" w:rsidRPr="00BD2B94">
        <w:rPr>
          <w:rFonts w:ascii="Avenir Next" w:hAnsi="Avenir Next"/>
          <w:sz w:val="24"/>
          <w:szCs w:val="24"/>
        </w:rPr>
        <w:t xml:space="preserve">, </w:t>
      </w:r>
      <w:r w:rsidR="00B4041D" w:rsidRPr="00BD2B94">
        <w:rPr>
          <w:rFonts w:ascii="Avenir Next" w:hAnsi="Avenir Next"/>
          <w:sz w:val="24"/>
          <w:szCs w:val="24"/>
        </w:rPr>
        <w:t>2018</w:t>
      </w:r>
      <w:r w:rsidRPr="00BD2B94">
        <w:rPr>
          <w:rFonts w:ascii="Avenir Next" w:hAnsi="Avenir Next"/>
          <w:sz w:val="24"/>
          <w:szCs w:val="24"/>
        </w:rPr>
        <w:t xml:space="preserve">; Adams, </w:t>
      </w:r>
      <w:proofErr w:type="spellStart"/>
      <w:r w:rsidRPr="00BD2B94">
        <w:rPr>
          <w:rFonts w:ascii="Avenir Next" w:hAnsi="Avenir Next"/>
          <w:sz w:val="24"/>
          <w:szCs w:val="24"/>
        </w:rPr>
        <w:t>Disberry</w:t>
      </w:r>
      <w:proofErr w:type="spellEnd"/>
      <w:r w:rsidRPr="00BD2B94">
        <w:rPr>
          <w:rFonts w:ascii="Avenir Next" w:hAnsi="Avenir Next"/>
          <w:sz w:val="24"/>
          <w:szCs w:val="24"/>
        </w:rPr>
        <w:t xml:space="preserve"> and Hutchinson</w:t>
      </w:r>
      <w:r w:rsidR="00281807" w:rsidRPr="00BD2B94">
        <w:rPr>
          <w:rFonts w:ascii="Avenir Next" w:hAnsi="Avenir Next"/>
          <w:sz w:val="24"/>
          <w:szCs w:val="24"/>
        </w:rPr>
        <w:t xml:space="preserve">, </w:t>
      </w:r>
      <w:r w:rsidR="00B4041D" w:rsidRPr="00BD2B94">
        <w:rPr>
          <w:rFonts w:ascii="Avenir Next" w:hAnsi="Avenir Next"/>
          <w:sz w:val="24"/>
          <w:szCs w:val="24"/>
        </w:rPr>
        <w:t>2001</w:t>
      </w:r>
      <w:r w:rsidRPr="00BD2B94">
        <w:rPr>
          <w:rFonts w:ascii="Avenir Next" w:hAnsi="Avenir Next"/>
          <w:sz w:val="24"/>
          <w:szCs w:val="24"/>
        </w:rPr>
        <w:t>). In some countries, policy interventions have steered developers towards the reuse of urban land through a variety of mechanisms such as the use of public agencies to assemble land (</w:t>
      </w:r>
      <w:r w:rsidR="00BD2B94">
        <w:rPr>
          <w:rFonts w:ascii="Avenir Next" w:hAnsi="Avenir Next"/>
          <w:sz w:val="24"/>
          <w:szCs w:val="24"/>
        </w:rPr>
        <w:t xml:space="preserve">O’Brien, </w:t>
      </w:r>
      <w:r w:rsidRPr="00BD2B94">
        <w:rPr>
          <w:rFonts w:ascii="Avenir Next" w:hAnsi="Avenir Next"/>
          <w:sz w:val="24"/>
          <w:szCs w:val="24"/>
        </w:rPr>
        <w:t>Lord</w:t>
      </w:r>
      <w:r w:rsidR="00BD2B94" w:rsidRPr="00BD2B94">
        <w:rPr>
          <w:rFonts w:ascii="Avenir Next" w:hAnsi="Avenir Next"/>
          <w:sz w:val="24"/>
          <w:szCs w:val="24"/>
        </w:rPr>
        <w:t xml:space="preserve"> and </w:t>
      </w:r>
      <w:proofErr w:type="spellStart"/>
      <w:r w:rsidR="00BD2B94" w:rsidRPr="00BD2B94">
        <w:rPr>
          <w:rFonts w:ascii="Avenir Next" w:hAnsi="Avenir Next"/>
          <w:sz w:val="24"/>
          <w:szCs w:val="24"/>
        </w:rPr>
        <w:t>Dembski</w:t>
      </w:r>
      <w:proofErr w:type="spellEnd"/>
      <w:r w:rsidR="00BD2B94" w:rsidRPr="00BD2B94">
        <w:rPr>
          <w:rFonts w:ascii="Avenir Next" w:hAnsi="Avenir Next"/>
          <w:sz w:val="24"/>
          <w:szCs w:val="24"/>
        </w:rPr>
        <w:t>, 2020</w:t>
      </w:r>
      <w:r w:rsidR="00281807" w:rsidRPr="00BD2B94">
        <w:rPr>
          <w:rFonts w:ascii="Avenir Next" w:hAnsi="Avenir Next"/>
          <w:sz w:val="24"/>
          <w:szCs w:val="24"/>
        </w:rPr>
        <w:t>;</w:t>
      </w:r>
      <w:r w:rsidRPr="00BD2B94">
        <w:rPr>
          <w:rFonts w:ascii="Avenir Next" w:hAnsi="Avenir Next"/>
          <w:sz w:val="24"/>
          <w:szCs w:val="24"/>
        </w:rPr>
        <w:t xml:space="preserve"> </w:t>
      </w:r>
      <w:r w:rsidR="00BD2B94" w:rsidRPr="00BD2B94">
        <w:rPr>
          <w:rFonts w:ascii="Avenir Next" w:hAnsi="Avenir Next"/>
          <w:sz w:val="24"/>
          <w:szCs w:val="24"/>
        </w:rPr>
        <w:t>V</w:t>
      </w:r>
      <w:r w:rsidR="00BD2B94">
        <w:rPr>
          <w:rFonts w:ascii="Avenir Next" w:hAnsi="Avenir Next"/>
          <w:sz w:val="24"/>
          <w:szCs w:val="24"/>
        </w:rPr>
        <w:t xml:space="preserve">an der </w:t>
      </w:r>
      <w:proofErr w:type="spellStart"/>
      <w:r w:rsidR="00BD2B94">
        <w:rPr>
          <w:rFonts w:ascii="Avenir Next" w:hAnsi="Avenir Next"/>
          <w:sz w:val="24"/>
          <w:szCs w:val="24"/>
        </w:rPr>
        <w:t>Krabben</w:t>
      </w:r>
      <w:proofErr w:type="spellEnd"/>
      <w:r w:rsidR="00BD2B94">
        <w:rPr>
          <w:rFonts w:ascii="Avenir Next" w:hAnsi="Avenir Next"/>
          <w:sz w:val="24"/>
          <w:szCs w:val="24"/>
        </w:rPr>
        <w:t xml:space="preserve"> and Jacobs, 2013)</w:t>
      </w:r>
      <w:r w:rsidRPr="00BD2B94">
        <w:rPr>
          <w:rFonts w:ascii="Avenir Next" w:hAnsi="Avenir Next"/>
          <w:sz w:val="24"/>
          <w:szCs w:val="24"/>
        </w:rPr>
        <w:t xml:space="preserve"> or, in the UK, via Brownfield land targets (</w:t>
      </w:r>
      <w:r w:rsidRPr="00215385">
        <w:rPr>
          <w:rFonts w:ascii="Avenir Next" w:hAnsi="Avenir Next"/>
          <w:sz w:val="24"/>
          <w:szCs w:val="24"/>
        </w:rPr>
        <w:t>Dixon</w:t>
      </w:r>
      <w:r w:rsidR="00BD2B94" w:rsidRPr="00215385">
        <w:rPr>
          <w:rFonts w:ascii="Avenir Next" w:hAnsi="Avenir Next"/>
          <w:sz w:val="24"/>
          <w:szCs w:val="24"/>
        </w:rPr>
        <w:t xml:space="preserve"> and Adams</w:t>
      </w:r>
      <w:r w:rsidR="00281807" w:rsidRPr="00215385">
        <w:rPr>
          <w:rFonts w:ascii="Avenir Next" w:hAnsi="Avenir Next"/>
          <w:sz w:val="24"/>
          <w:szCs w:val="24"/>
        </w:rPr>
        <w:t xml:space="preserve">, </w:t>
      </w:r>
      <w:r w:rsidR="00BD2B94" w:rsidRPr="00215385">
        <w:rPr>
          <w:rFonts w:ascii="Avenir Next" w:hAnsi="Avenir Next"/>
          <w:sz w:val="24"/>
          <w:szCs w:val="24"/>
        </w:rPr>
        <w:t>2008</w:t>
      </w:r>
      <w:r w:rsidRPr="00215385">
        <w:rPr>
          <w:rFonts w:ascii="Avenir Next" w:hAnsi="Avenir Next"/>
          <w:sz w:val="24"/>
          <w:szCs w:val="24"/>
        </w:rPr>
        <w:t>; Payne</w:t>
      </w:r>
      <w:r w:rsidR="00281807" w:rsidRPr="00D12698">
        <w:rPr>
          <w:rFonts w:ascii="Avenir Next" w:hAnsi="Avenir Next"/>
          <w:sz w:val="24"/>
          <w:szCs w:val="24"/>
        </w:rPr>
        <w:t xml:space="preserve">, </w:t>
      </w:r>
      <w:r w:rsidR="00D12698" w:rsidRPr="00D12698">
        <w:rPr>
          <w:rFonts w:ascii="Avenir Next" w:hAnsi="Avenir Next"/>
          <w:sz w:val="24"/>
          <w:szCs w:val="24"/>
        </w:rPr>
        <w:t>2013</w:t>
      </w:r>
      <w:r w:rsidRPr="00BD2B94">
        <w:rPr>
          <w:rFonts w:ascii="Avenir Next" w:hAnsi="Avenir Next"/>
          <w:sz w:val="24"/>
          <w:szCs w:val="24"/>
        </w:rPr>
        <w:t>). Even when policy intervention has sought to remove or reduce the costs of preparing sites, developers still evaluate sites on a case by case basis, leading for example to distinct preference for particular subsets or types of brownfield sites (Adams and Watkins, 2002). Once again, it is not clear to what extent land in public ownership may or may not be on brownfield sites and which of these might meet the specific needs and preferences of developers.</w:t>
      </w:r>
    </w:p>
    <w:p w14:paraId="5D01FA9E" w14:textId="53EC310C" w:rsidR="007B781E" w:rsidRPr="00BD2B94" w:rsidRDefault="007B781E" w:rsidP="00BD2B94">
      <w:pPr>
        <w:rPr>
          <w:rFonts w:ascii="Avenir Next" w:hAnsi="Avenir Next"/>
          <w:sz w:val="24"/>
          <w:szCs w:val="24"/>
        </w:rPr>
      </w:pPr>
      <w:r w:rsidRPr="00BD2B94">
        <w:rPr>
          <w:rFonts w:ascii="Avenir Next" w:hAnsi="Avenir Next"/>
          <w:sz w:val="24"/>
          <w:szCs w:val="24"/>
        </w:rPr>
        <w:t xml:space="preserve">There are, of course, significant inter-relationship between these issues. Taken together, they form part of the </w:t>
      </w:r>
      <w:r w:rsidR="007B1AAC" w:rsidRPr="00BD2B94">
        <w:rPr>
          <w:rFonts w:ascii="Avenir Next" w:hAnsi="Avenir Next"/>
          <w:sz w:val="24"/>
          <w:szCs w:val="24"/>
        </w:rPr>
        <w:t>developer’s</w:t>
      </w:r>
      <w:r w:rsidRPr="00BD2B94">
        <w:rPr>
          <w:rFonts w:ascii="Avenir Next" w:hAnsi="Avenir Next"/>
          <w:sz w:val="24"/>
          <w:szCs w:val="24"/>
        </w:rPr>
        <w:t xml:space="preserve"> appraisals (in the informal and technical sense) of the potential value of a site and the risks associated with its purchase and/or the sale of the end product to be developed for market. Together with other macroeconomic and local and regional market conditions and prospects will determine the economic viability of any site. For any private developer to bring homes to the market on the stock of local authority land, specific projects will need to meet the normal profit requirements. Again, it is far from clear, how much of the stock of land held by local authorit</w:t>
      </w:r>
      <w:r w:rsidR="007B1AAC" w:rsidRPr="00BD2B94">
        <w:rPr>
          <w:rFonts w:ascii="Avenir Next" w:hAnsi="Avenir Next"/>
          <w:sz w:val="24"/>
          <w:szCs w:val="24"/>
        </w:rPr>
        <w:t>ies</w:t>
      </w:r>
      <w:r w:rsidRPr="00BD2B94">
        <w:rPr>
          <w:rFonts w:ascii="Avenir Next" w:hAnsi="Avenir Next"/>
          <w:sz w:val="24"/>
          <w:szCs w:val="24"/>
        </w:rPr>
        <w:t xml:space="preserve"> would be economically viable for market delivery.</w:t>
      </w:r>
    </w:p>
    <w:p w14:paraId="67199898" w14:textId="65D905A5" w:rsidR="007B781E" w:rsidRPr="00BD2B94" w:rsidRDefault="007B781E" w:rsidP="00BD2B94">
      <w:pPr>
        <w:rPr>
          <w:rFonts w:ascii="Avenir Next" w:hAnsi="Avenir Next"/>
          <w:sz w:val="24"/>
          <w:szCs w:val="24"/>
        </w:rPr>
      </w:pPr>
      <w:r w:rsidRPr="00BD2B94">
        <w:rPr>
          <w:rFonts w:ascii="Avenir Next" w:hAnsi="Avenir Next"/>
          <w:sz w:val="24"/>
          <w:szCs w:val="24"/>
        </w:rPr>
        <w:t xml:space="preserve">Private developers are not the only source of new homes. It is not uncommon in many contexts for the public sector to have established vehicles to deliver new homes, often using public land, such as in the Netherlands (van der </w:t>
      </w:r>
      <w:proofErr w:type="spellStart"/>
      <w:r w:rsidRPr="00BD2B94">
        <w:rPr>
          <w:rFonts w:ascii="Avenir Next" w:hAnsi="Avenir Next"/>
          <w:sz w:val="24"/>
          <w:szCs w:val="24"/>
        </w:rPr>
        <w:t>Krabben</w:t>
      </w:r>
      <w:proofErr w:type="spellEnd"/>
      <w:r w:rsidRPr="00BD2B94">
        <w:rPr>
          <w:rFonts w:ascii="Avenir Next" w:hAnsi="Avenir Next"/>
          <w:sz w:val="24"/>
          <w:szCs w:val="24"/>
        </w:rPr>
        <w:t xml:space="preserve"> and Jacobs, 2013) and in Chin</w:t>
      </w:r>
      <w:r w:rsidR="007675D5" w:rsidRPr="00BD2B94">
        <w:rPr>
          <w:rFonts w:ascii="Avenir Next" w:hAnsi="Avenir Next"/>
          <w:sz w:val="24"/>
          <w:szCs w:val="24"/>
        </w:rPr>
        <w:t>a</w:t>
      </w:r>
      <w:r w:rsidRPr="00BD2B94">
        <w:rPr>
          <w:rFonts w:ascii="Avenir Next" w:hAnsi="Avenir Next"/>
          <w:sz w:val="24"/>
          <w:szCs w:val="24"/>
        </w:rPr>
        <w:t xml:space="preserve"> (</w:t>
      </w:r>
      <w:r w:rsidR="00787307" w:rsidRPr="00BD2B94">
        <w:rPr>
          <w:rFonts w:ascii="Avenir Next" w:hAnsi="Avenir Next"/>
          <w:sz w:val="24"/>
          <w:szCs w:val="24"/>
        </w:rPr>
        <w:t xml:space="preserve">Yeh and </w:t>
      </w:r>
      <w:r w:rsidRPr="00BD2B94">
        <w:rPr>
          <w:rFonts w:ascii="Avenir Next" w:hAnsi="Avenir Next"/>
          <w:sz w:val="24"/>
          <w:szCs w:val="24"/>
        </w:rPr>
        <w:t xml:space="preserve">Wu, 1996).  In these circumstances, economic viability concerns are replaced by a broader set of social value considerations </w:t>
      </w:r>
      <w:r w:rsidRPr="00BD2B94">
        <w:rPr>
          <w:rFonts w:ascii="Avenir Next" w:hAnsi="Avenir Next"/>
          <w:sz w:val="24"/>
          <w:szCs w:val="24"/>
        </w:rPr>
        <w:lastRenderedPageBreak/>
        <w:t>(</w:t>
      </w:r>
      <w:r w:rsidRPr="00215385">
        <w:rPr>
          <w:rFonts w:ascii="Avenir Next" w:hAnsi="Avenir Next"/>
          <w:sz w:val="24"/>
          <w:szCs w:val="24"/>
        </w:rPr>
        <w:t>Samuel et al, 2018</w:t>
      </w:r>
      <w:r w:rsidRPr="00BD2B94">
        <w:rPr>
          <w:rFonts w:ascii="Avenir Next" w:hAnsi="Avenir Next"/>
          <w:sz w:val="24"/>
          <w:szCs w:val="24"/>
        </w:rPr>
        <w:t>). In the UK context, however, it is possible that social accounting practices, and limited public sector capacity and experience of undertaking development projects at scale will impact on the extent to which local authorities can dispose of land at less than market value in the public interest and actually see the sites result in net additions to the housing stock (Adams et al</w:t>
      </w:r>
      <w:r w:rsidR="00787307" w:rsidRPr="00BD2B94">
        <w:rPr>
          <w:rFonts w:ascii="Avenir Next" w:hAnsi="Avenir Next"/>
          <w:sz w:val="24"/>
          <w:szCs w:val="24"/>
        </w:rPr>
        <w:t>.</w:t>
      </w:r>
      <w:r w:rsidRPr="00BD2B94">
        <w:rPr>
          <w:rFonts w:ascii="Avenir Next" w:hAnsi="Avenir Next"/>
          <w:sz w:val="24"/>
          <w:szCs w:val="24"/>
        </w:rPr>
        <w:t xml:space="preserve">, 2016).   </w:t>
      </w:r>
    </w:p>
    <w:p w14:paraId="5BFFF95A" w14:textId="77777777" w:rsidR="007B781E" w:rsidRPr="00BD2B94" w:rsidRDefault="007B781E" w:rsidP="00BD2B94">
      <w:pPr>
        <w:rPr>
          <w:rFonts w:ascii="Avenir Next" w:hAnsi="Avenir Next"/>
          <w:sz w:val="24"/>
          <w:szCs w:val="24"/>
        </w:rPr>
      </w:pPr>
      <w:r w:rsidRPr="00BD2B94">
        <w:rPr>
          <w:rFonts w:ascii="Avenir Next" w:hAnsi="Avenir Next"/>
          <w:sz w:val="24"/>
          <w:szCs w:val="24"/>
        </w:rPr>
        <w:t>Thus, the international literature on the structure and operation of land markets and the attitudes, motives and behaviour of public and private institutions would suggest that in order to understand the extent to which public sector land might be used to address housing supply shortages, it is necessary to assess the extent to which the intrinsic features of the land market or the institutional arrangements that give it shape might create barriers to delivery. In this context, we have sought to develop an analytical framework from which to understand the nature and significance of potential barriers to delivery.</w:t>
      </w:r>
    </w:p>
    <w:p w14:paraId="060DCE63" w14:textId="404EF57B" w:rsidR="007B781E" w:rsidRPr="00BD2B94" w:rsidRDefault="00467BD7" w:rsidP="00BD2B94">
      <w:pPr>
        <w:pStyle w:val="ListParagraph"/>
        <w:numPr>
          <w:ilvl w:val="0"/>
          <w:numId w:val="16"/>
        </w:numPr>
        <w:rPr>
          <w:rFonts w:ascii="Avenir Next" w:hAnsi="Avenir Next"/>
          <w:b/>
          <w:bCs/>
          <w:sz w:val="24"/>
          <w:szCs w:val="24"/>
        </w:rPr>
      </w:pPr>
      <w:r w:rsidRPr="00BD2B94">
        <w:rPr>
          <w:rFonts w:ascii="Avenir Next" w:hAnsi="Avenir Next"/>
          <w:b/>
          <w:bCs/>
          <w:sz w:val="24"/>
          <w:szCs w:val="24"/>
        </w:rPr>
        <w:t>Analytical framework</w:t>
      </w:r>
      <w:r w:rsidR="00E00734">
        <w:rPr>
          <w:rFonts w:ascii="Avenir Next" w:hAnsi="Avenir Next"/>
          <w:b/>
          <w:bCs/>
          <w:sz w:val="24"/>
          <w:szCs w:val="24"/>
        </w:rPr>
        <w:t>, research context</w:t>
      </w:r>
      <w:r w:rsidR="00D838FF" w:rsidRPr="00BD2B94">
        <w:rPr>
          <w:rFonts w:ascii="Avenir Next" w:hAnsi="Avenir Next"/>
          <w:b/>
          <w:bCs/>
          <w:sz w:val="24"/>
          <w:szCs w:val="24"/>
        </w:rPr>
        <w:t xml:space="preserve"> and methods</w:t>
      </w:r>
    </w:p>
    <w:p w14:paraId="6393F30A" w14:textId="4399F302" w:rsidR="0090305E" w:rsidRPr="00BD2B94" w:rsidRDefault="00042507" w:rsidP="00BD2B94">
      <w:pPr>
        <w:rPr>
          <w:rFonts w:ascii="Avenir Next" w:hAnsi="Avenir Next"/>
          <w:sz w:val="24"/>
          <w:szCs w:val="24"/>
        </w:rPr>
      </w:pPr>
      <w:r w:rsidRPr="00BD2B94">
        <w:rPr>
          <w:rFonts w:ascii="Avenir Next" w:hAnsi="Avenir Next"/>
          <w:sz w:val="24"/>
          <w:szCs w:val="24"/>
        </w:rPr>
        <w:t>We take a historical institutional theoretical approach to consider the critical moments in development that unlock or prevent forms of housing delivery from occurring. We undertake this however, not from a new institutional perspective, but from an older behavioural economics perspective (see Dunning, 2017). As such, we seek to understand agency within historical institutions, identifying departures from seemingly path dependent outcomes as well as the normal repeated behaviour symptomatic of institutional research.</w:t>
      </w:r>
      <w:r w:rsidR="000B38B5" w:rsidRPr="00BD2B94">
        <w:rPr>
          <w:rFonts w:ascii="Avenir Next" w:hAnsi="Avenir Next"/>
          <w:sz w:val="24"/>
          <w:szCs w:val="24"/>
        </w:rPr>
        <w:t xml:space="preserve"> T</w:t>
      </w:r>
      <w:r w:rsidR="0090305E" w:rsidRPr="00BD2B94">
        <w:rPr>
          <w:rFonts w:ascii="Avenir Next" w:hAnsi="Avenir Next"/>
          <w:sz w:val="24"/>
          <w:szCs w:val="24"/>
        </w:rPr>
        <w:t>he barriers to development</w:t>
      </w:r>
      <w:r w:rsidR="000B38B5" w:rsidRPr="00BD2B94">
        <w:rPr>
          <w:rFonts w:ascii="Avenir Next" w:hAnsi="Avenir Next"/>
          <w:sz w:val="24"/>
          <w:szCs w:val="24"/>
        </w:rPr>
        <w:t>, often considered exogenous in neoclassical economics but endogenous in institutional theories,</w:t>
      </w:r>
      <w:r w:rsidR="0090305E" w:rsidRPr="00BD2B94">
        <w:rPr>
          <w:rFonts w:ascii="Avenir Next" w:hAnsi="Avenir Next"/>
          <w:sz w:val="24"/>
          <w:szCs w:val="24"/>
        </w:rPr>
        <w:t xml:space="preserve"> can be considered as a linear framework, all of which need to be resolved in order for a site to be developed. In practice the order that these barriers are </w:t>
      </w:r>
      <w:r w:rsidR="000B38B5" w:rsidRPr="00BD2B94">
        <w:rPr>
          <w:rFonts w:ascii="Avenir Next" w:hAnsi="Avenir Next"/>
          <w:sz w:val="24"/>
          <w:szCs w:val="24"/>
        </w:rPr>
        <w:t>overcome</w:t>
      </w:r>
      <w:r w:rsidR="0090305E" w:rsidRPr="00BD2B94">
        <w:rPr>
          <w:rFonts w:ascii="Avenir Next" w:hAnsi="Avenir Next"/>
          <w:sz w:val="24"/>
          <w:szCs w:val="24"/>
        </w:rPr>
        <w:t xml:space="preserve"> is unlikely to be sequential, but in an iterative process. For the purposes of an analytical approach we can simplify it into the barriers identified in figure one. Black boxes denote issues that are unproblematic for the development of a site whilst red boxes denote barriers, green denotes the completed development. </w:t>
      </w:r>
    </w:p>
    <w:p w14:paraId="7EA01A65" w14:textId="69ECC195" w:rsidR="0090305E" w:rsidRPr="00BD2B94" w:rsidRDefault="0090305E" w:rsidP="00BD2B94">
      <w:pPr>
        <w:rPr>
          <w:rFonts w:ascii="Avenir Next" w:hAnsi="Avenir Next"/>
          <w:sz w:val="24"/>
          <w:szCs w:val="24"/>
        </w:rPr>
      </w:pPr>
      <w:r w:rsidRPr="00BD2B94">
        <w:rPr>
          <w:rFonts w:ascii="Avenir Next" w:hAnsi="Avenir Next"/>
          <w:sz w:val="24"/>
          <w:szCs w:val="24"/>
        </w:rPr>
        <w:t>Fig.1 Barriers to development and their application in alternative development contexts</w:t>
      </w:r>
    </w:p>
    <w:p w14:paraId="68C89200" w14:textId="2F5F85E3" w:rsidR="00F57E9B" w:rsidRPr="00BD2B94" w:rsidRDefault="00F57E9B" w:rsidP="00BD2B94">
      <w:pPr>
        <w:rPr>
          <w:rFonts w:ascii="Avenir Next" w:hAnsi="Avenir Next"/>
          <w:b/>
          <w:bCs/>
          <w:i/>
          <w:iCs/>
          <w:sz w:val="24"/>
          <w:szCs w:val="24"/>
        </w:rPr>
      </w:pPr>
      <w:r w:rsidRPr="00BD2B94">
        <w:rPr>
          <w:rFonts w:ascii="Avenir Next" w:hAnsi="Avenir Next"/>
          <w:b/>
          <w:bCs/>
          <w:i/>
          <w:iCs/>
          <w:sz w:val="24"/>
          <w:szCs w:val="24"/>
        </w:rPr>
        <w:t>Perceived barriers to the development of land</w:t>
      </w:r>
    </w:p>
    <w:p w14:paraId="3AC8F501" w14:textId="74A1ED39" w:rsidR="006A61CE" w:rsidRPr="00BD2B94" w:rsidRDefault="006A61CE" w:rsidP="00BD2B94">
      <w:pPr>
        <w:rPr>
          <w:rFonts w:ascii="Avenir Next" w:hAnsi="Avenir Next"/>
          <w:sz w:val="24"/>
          <w:szCs w:val="24"/>
        </w:rPr>
      </w:pPr>
      <w:r w:rsidRPr="00BD2B94">
        <w:rPr>
          <w:rFonts w:ascii="Avenir Next" w:hAnsi="Avenir Next"/>
          <w:noProof/>
          <w:sz w:val="24"/>
          <w:szCs w:val="24"/>
        </w:rPr>
        <w:drawing>
          <wp:inline distT="0" distB="0" distL="0" distR="0" wp14:anchorId="3E567339" wp14:editId="2334D8F4">
            <wp:extent cx="5731510" cy="438150"/>
            <wp:effectExtent l="12700" t="0" r="2159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316A317" w14:textId="1E093009" w:rsidR="00F57E9B" w:rsidRPr="00BD2B94" w:rsidRDefault="00F57E9B" w:rsidP="00BD2B94">
      <w:pPr>
        <w:rPr>
          <w:rFonts w:ascii="Avenir Next" w:hAnsi="Avenir Next"/>
          <w:b/>
          <w:bCs/>
          <w:i/>
          <w:iCs/>
          <w:sz w:val="24"/>
          <w:szCs w:val="24"/>
        </w:rPr>
      </w:pPr>
      <w:r w:rsidRPr="00BD2B94">
        <w:rPr>
          <w:rFonts w:ascii="Avenir Next" w:hAnsi="Avenir Next"/>
          <w:b/>
          <w:bCs/>
          <w:i/>
          <w:iCs/>
          <w:sz w:val="24"/>
          <w:szCs w:val="24"/>
        </w:rPr>
        <w:lastRenderedPageBreak/>
        <w:t>Perceived barriers to the development of land in private ownership</w:t>
      </w:r>
    </w:p>
    <w:p w14:paraId="2CCD35AF" w14:textId="6C147885" w:rsidR="006A61CE" w:rsidRPr="00BD2B94" w:rsidRDefault="00F57E9B" w:rsidP="00BD2B94">
      <w:pPr>
        <w:rPr>
          <w:rFonts w:ascii="Avenir Next" w:hAnsi="Avenir Next"/>
          <w:sz w:val="24"/>
          <w:szCs w:val="24"/>
        </w:rPr>
      </w:pPr>
      <w:r w:rsidRPr="00BD2B94">
        <w:rPr>
          <w:rFonts w:ascii="Avenir Next" w:hAnsi="Avenir Next"/>
          <w:noProof/>
          <w:sz w:val="24"/>
          <w:szCs w:val="24"/>
        </w:rPr>
        <w:drawing>
          <wp:inline distT="0" distB="0" distL="0" distR="0" wp14:anchorId="05A116A4" wp14:editId="1F34F7D8">
            <wp:extent cx="5731510" cy="416508"/>
            <wp:effectExtent l="12700" t="0" r="21590" b="31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860791B" w14:textId="672D2D20" w:rsidR="00F57E9B" w:rsidRPr="00BD2B94" w:rsidRDefault="00F57E9B" w:rsidP="00BD2B94">
      <w:pPr>
        <w:rPr>
          <w:rFonts w:ascii="Avenir Next" w:hAnsi="Avenir Next"/>
          <w:b/>
          <w:bCs/>
          <w:i/>
          <w:iCs/>
          <w:sz w:val="24"/>
          <w:szCs w:val="24"/>
        </w:rPr>
      </w:pPr>
      <w:r w:rsidRPr="00BD2B94">
        <w:rPr>
          <w:rFonts w:ascii="Avenir Next" w:hAnsi="Avenir Next"/>
          <w:b/>
          <w:bCs/>
          <w:i/>
          <w:iCs/>
          <w:sz w:val="24"/>
          <w:szCs w:val="24"/>
        </w:rPr>
        <w:t>Perceived barriers to the development of land in public ownership</w:t>
      </w:r>
    </w:p>
    <w:p w14:paraId="7C4008F8" w14:textId="3FA507BB" w:rsidR="00F57E9B" w:rsidRPr="00BD2B94" w:rsidRDefault="00F57E9B" w:rsidP="00BD2B94">
      <w:pPr>
        <w:rPr>
          <w:rFonts w:ascii="Avenir Next" w:hAnsi="Avenir Next"/>
          <w:sz w:val="24"/>
          <w:szCs w:val="24"/>
        </w:rPr>
      </w:pPr>
      <w:r w:rsidRPr="00BD2B94">
        <w:rPr>
          <w:rFonts w:ascii="Avenir Next" w:hAnsi="Avenir Next"/>
          <w:noProof/>
          <w:sz w:val="24"/>
          <w:szCs w:val="24"/>
        </w:rPr>
        <w:drawing>
          <wp:inline distT="0" distB="0" distL="0" distR="0" wp14:anchorId="392671AB" wp14:editId="19AFE1FD">
            <wp:extent cx="5731510" cy="416508"/>
            <wp:effectExtent l="12700" t="0" r="21590" b="31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6D7EB39" w14:textId="3636717A" w:rsidR="005E24B3" w:rsidRPr="00BD2B94" w:rsidRDefault="00E87AF7" w:rsidP="00BD2B94">
      <w:pPr>
        <w:rPr>
          <w:rFonts w:ascii="Avenir Next" w:hAnsi="Avenir Next"/>
          <w:sz w:val="24"/>
          <w:szCs w:val="24"/>
        </w:rPr>
      </w:pPr>
      <w:r w:rsidRPr="00BD2B94">
        <w:rPr>
          <w:rFonts w:ascii="Avenir Next" w:hAnsi="Avenir Next"/>
          <w:sz w:val="24"/>
          <w:szCs w:val="24"/>
        </w:rPr>
        <w:t xml:space="preserve">The assumption </w:t>
      </w:r>
      <w:r w:rsidR="00482287" w:rsidRPr="00BD2B94">
        <w:rPr>
          <w:rFonts w:ascii="Avenir Next" w:hAnsi="Avenir Next"/>
          <w:sz w:val="24"/>
          <w:szCs w:val="24"/>
        </w:rPr>
        <w:t>underpinning</w:t>
      </w:r>
      <w:r w:rsidRPr="00BD2B94">
        <w:rPr>
          <w:rFonts w:ascii="Avenir Next" w:hAnsi="Avenir Next"/>
          <w:sz w:val="24"/>
          <w:szCs w:val="24"/>
        </w:rPr>
        <w:t xml:space="preserve"> calls for local authorities to become more significant actors in the delivery of housing is that they have greater ability to overcome some or all of these barriers</w:t>
      </w:r>
      <w:r w:rsidR="00680F40" w:rsidRPr="00BD2B94">
        <w:rPr>
          <w:rFonts w:ascii="Avenir Next" w:hAnsi="Avenir Next"/>
          <w:sz w:val="24"/>
          <w:szCs w:val="24"/>
        </w:rPr>
        <w:t xml:space="preserve"> (principally the black boxes)</w:t>
      </w:r>
      <w:r w:rsidRPr="00BD2B94">
        <w:rPr>
          <w:rFonts w:ascii="Avenir Next" w:hAnsi="Avenir Next"/>
          <w:sz w:val="24"/>
          <w:szCs w:val="24"/>
        </w:rPr>
        <w:t xml:space="preserve">. This paper explores local authorities’ abilities to overcome these barriers and therefore to be a solution to the housing supply problem. </w:t>
      </w:r>
    </w:p>
    <w:p w14:paraId="7036266D" w14:textId="0457C53D" w:rsidR="00425BEE" w:rsidRPr="00BD2B94" w:rsidRDefault="00BD2866" w:rsidP="00BD2B94">
      <w:pPr>
        <w:rPr>
          <w:rFonts w:ascii="Avenir Next" w:hAnsi="Avenir Next"/>
          <w:sz w:val="24"/>
          <w:szCs w:val="24"/>
        </w:rPr>
      </w:pPr>
      <w:r w:rsidRPr="00BD2B94">
        <w:rPr>
          <w:rFonts w:ascii="Avenir Next" w:hAnsi="Avenir Next"/>
          <w:sz w:val="24"/>
          <w:szCs w:val="24"/>
        </w:rPr>
        <w:t>The</w:t>
      </w:r>
      <w:r w:rsidR="00425BEE" w:rsidRPr="00BD2B94">
        <w:rPr>
          <w:rFonts w:ascii="Avenir Next" w:hAnsi="Avenir Next"/>
          <w:sz w:val="24"/>
          <w:szCs w:val="24"/>
        </w:rPr>
        <w:t xml:space="preserve"> approach </w:t>
      </w:r>
      <w:r w:rsidRPr="00BD2B94">
        <w:rPr>
          <w:rFonts w:ascii="Avenir Next" w:hAnsi="Avenir Next"/>
          <w:sz w:val="24"/>
          <w:szCs w:val="24"/>
        </w:rPr>
        <w:t xml:space="preserve">is applied </w:t>
      </w:r>
      <w:r w:rsidR="00390B12" w:rsidRPr="00BD2B94">
        <w:rPr>
          <w:rFonts w:ascii="Avenir Next" w:hAnsi="Avenir Next"/>
          <w:sz w:val="24"/>
          <w:szCs w:val="24"/>
        </w:rPr>
        <w:t xml:space="preserve">to </w:t>
      </w:r>
      <w:r w:rsidR="00425BEE" w:rsidRPr="00BD2B94">
        <w:rPr>
          <w:rFonts w:ascii="Avenir Next" w:hAnsi="Avenir Next"/>
          <w:sz w:val="24"/>
          <w:szCs w:val="24"/>
        </w:rPr>
        <w:t>three case studies in England. England is but one example of</w:t>
      </w:r>
      <w:r w:rsidR="00F01002" w:rsidRPr="00BD2B94">
        <w:rPr>
          <w:rFonts w:ascii="Avenir Next" w:hAnsi="Avenir Next"/>
          <w:sz w:val="24"/>
          <w:szCs w:val="24"/>
        </w:rPr>
        <w:t xml:space="preserve"> a country where</w:t>
      </w:r>
      <w:r w:rsidR="00425BEE" w:rsidRPr="00BD2B94">
        <w:rPr>
          <w:rFonts w:ascii="Avenir Next" w:hAnsi="Avenir Next"/>
          <w:sz w:val="24"/>
          <w:szCs w:val="24"/>
        </w:rPr>
        <w:t xml:space="preserve"> local planning authorities </w:t>
      </w:r>
      <w:r w:rsidR="00F01002" w:rsidRPr="00BD2B94">
        <w:rPr>
          <w:rFonts w:ascii="Avenir Next" w:hAnsi="Avenir Next"/>
          <w:sz w:val="24"/>
          <w:szCs w:val="24"/>
        </w:rPr>
        <w:t xml:space="preserve">are </w:t>
      </w:r>
      <w:r w:rsidR="00425BEE" w:rsidRPr="00BD2B94">
        <w:rPr>
          <w:rFonts w:ascii="Avenir Next" w:hAnsi="Avenir Next"/>
          <w:sz w:val="24"/>
          <w:szCs w:val="24"/>
        </w:rPr>
        <w:t xml:space="preserve">seeking to overcome barriers to development. However, it is an interesting </w:t>
      </w:r>
      <w:r w:rsidRPr="00BD2B94">
        <w:rPr>
          <w:rFonts w:ascii="Avenir Next" w:hAnsi="Avenir Next"/>
          <w:sz w:val="24"/>
          <w:szCs w:val="24"/>
        </w:rPr>
        <w:t>case</w:t>
      </w:r>
      <w:r w:rsidR="00425BEE" w:rsidRPr="00BD2B94">
        <w:rPr>
          <w:rFonts w:ascii="Avenir Next" w:hAnsi="Avenir Next"/>
          <w:sz w:val="24"/>
          <w:szCs w:val="24"/>
        </w:rPr>
        <w:t xml:space="preserve"> because of the shifting attitude and policy focus towards using local authority land stock for housing delivery above other planning priorities. As such we can observe the attempts of the state to overcome barriers that have overwise been the preserve of the private market. </w:t>
      </w:r>
      <w:r w:rsidR="002C4237" w:rsidRPr="00BD2B94">
        <w:rPr>
          <w:rFonts w:ascii="Avenir Next" w:hAnsi="Avenir Next"/>
          <w:sz w:val="24"/>
          <w:szCs w:val="24"/>
        </w:rPr>
        <w:t xml:space="preserve">Before exploring the case study </w:t>
      </w:r>
      <w:r w:rsidR="00467BD7" w:rsidRPr="00BD2B94">
        <w:rPr>
          <w:rFonts w:ascii="Avenir Next" w:hAnsi="Avenir Next"/>
          <w:sz w:val="24"/>
          <w:szCs w:val="24"/>
        </w:rPr>
        <w:t>approach,</w:t>
      </w:r>
      <w:r w:rsidR="002C4237" w:rsidRPr="00BD2B94">
        <w:rPr>
          <w:rFonts w:ascii="Avenir Next" w:hAnsi="Avenir Next"/>
          <w:sz w:val="24"/>
          <w:szCs w:val="24"/>
        </w:rPr>
        <w:t xml:space="preserve"> we outline the current English context for local authority led delivery of housing. </w:t>
      </w:r>
    </w:p>
    <w:p w14:paraId="663D8D19" w14:textId="06C9A3C2" w:rsidR="003B60FC" w:rsidRPr="00BD2B94" w:rsidRDefault="003B60FC" w:rsidP="00BD2B94">
      <w:pPr>
        <w:rPr>
          <w:rFonts w:ascii="Avenir Next" w:hAnsi="Avenir Next"/>
          <w:sz w:val="24"/>
          <w:szCs w:val="24"/>
        </w:rPr>
      </w:pPr>
      <w:r w:rsidRPr="00BD2B94">
        <w:rPr>
          <w:rFonts w:ascii="Avenir Next" w:hAnsi="Avenir Next"/>
          <w:sz w:val="24"/>
          <w:szCs w:val="24"/>
        </w:rPr>
        <w:t>Municipal</w:t>
      </w:r>
      <w:r w:rsidR="00E00734">
        <w:rPr>
          <w:rFonts w:ascii="Avenir Next" w:hAnsi="Avenir Next"/>
          <w:sz w:val="24"/>
          <w:szCs w:val="24"/>
        </w:rPr>
        <w:t>ly</w:t>
      </w:r>
      <w:r w:rsidRPr="00BD2B94">
        <w:rPr>
          <w:rFonts w:ascii="Avenir Next" w:hAnsi="Avenir Next"/>
          <w:sz w:val="24"/>
          <w:szCs w:val="24"/>
        </w:rPr>
        <w:t xml:space="preserve"> supplied housing has approaching 150 years of history in England, but most accounts focus on the time frame from the major change to housing and planning that took place immediately after the second World War. The 1947 Town and Country Planning legally enshrined the role of local planning authorities (hereafter LPAs) in controlling development through local plans. From this Act onwards, the value of land for development was linked to both the physical site and its potential to attract permission for development. </w:t>
      </w:r>
      <w:r w:rsidR="00D838FF" w:rsidRPr="00BD2B94">
        <w:rPr>
          <w:rFonts w:ascii="Avenir Next" w:hAnsi="Avenir Next"/>
          <w:sz w:val="24"/>
          <w:szCs w:val="24"/>
        </w:rPr>
        <w:t>However, by the 1970’s tensions</w:t>
      </w:r>
      <w:r w:rsidR="00BD2B94" w:rsidRPr="00BD2B94">
        <w:rPr>
          <w:rFonts w:ascii="Avenir Next" w:hAnsi="Avenir Next"/>
          <w:sz w:val="24"/>
          <w:szCs w:val="24"/>
        </w:rPr>
        <w:t xml:space="preserve"> were clear</w:t>
      </w:r>
      <w:r w:rsidR="00D838FF" w:rsidRPr="00BD2B94">
        <w:rPr>
          <w:rFonts w:ascii="Avenir Next" w:hAnsi="Avenir Next"/>
          <w:sz w:val="24"/>
          <w:szCs w:val="24"/>
        </w:rPr>
        <w:t>:</w:t>
      </w:r>
    </w:p>
    <w:p w14:paraId="3F76B516" w14:textId="730452BE" w:rsidR="00D838FF" w:rsidRPr="00BD2B94" w:rsidRDefault="00D838FF" w:rsidP="00BD2B94">
      <w:pPr>
        <w:ind w:left="720"/>
        <w:rPr>
          <w:rFonts w:ascii="Avenir Next" w:hAnsi="Avenir Next"/>
          <w:sz w:val="24"/>
          <w:szCs w:val="24"/>
        </w:rPr>
      </w:pPr>
      <w:r w:rsidRPr="00BD2B94">
        <w:rPr>
          <w:rFonts w:ascii="Avenir Next" w:hAnsi="Avenir Next"/>
          <w:sz w:val="24"/>
          <w:szCs w:val="24"/>
        </w:rPr>
        <w:t>“whilst authorities were given the power to act, the economics recession and cutbacks in public expenditure during 1975 and 1976 drastically reduced the financial backing available to get the Scheme (referring to the Land Scheme) off the ground.” (Barrett and Whiting, 1983, P.23)</w:t>
      </w:r>
    </w:p>
    <w:p w14:paraId="625AF3F0" w14:textId="127FB6DB" w:rsidR="003B60FC" w:rsidRPr="00BD2B94" w:rsidRDefault="003B60FC" w:rsidP="00BD2B94">
      <w:pPr>
        <w:rPr>
          <w:rFonts w:ascii="Avenir Next" w:hAnsi="Avenir Next"/>
          <w:sz w:val="24"/>
          <w:szCs w:val="24"/>
        </w:rPr>
      </w:pPr>
      <w:r w:rsidRPr="00BD2B94">
        <w:rPr>
          <w:rFonts w:ascii="Avenir Next" w:hAnsi="Avenir Next"/>
          <w:sz w:val="24"/>
          <w:szCs w:val="24"/>
        </w:rPr>
        <w:t xml:space="preserve">By the 1980’s there was a growing tension between LPA planners and national policy, occurring concurrently with the privatisation of council housing and transfer </w:t>
      </w:r>
      <w:r w:rsidRPr="00BD2B94">
        <w:rPr>
          <w:rFonts w:ascii="Avenir Next" w:hAnsi="Avenir Next"/>
          <w:sz w:val="24"/>
          <w:szCs w:val="24"/>
        </w:rPr>
        <w:lastRenderedPageBreak/>
        <w:t xml:space="preserve">of responsibilities to Housing Associations (Whitehead, 2017). Critics of local authorities’ role in the market argued that they were unnecessarily constraining land supply through planning restrictions despite a growing population and demand. </w:t>
      </w:r>
    </w:p>
    <w:p w14:paraId="564D21B1" w14:textId="5B4F213F" w:rsidR="003B60FC" w:rsidRPr="00BD2B94" w:rsidRDefault="003B60FC" w:rsidP="00BD2B94">
      <w:pPr>
        <w:rPr>
          <w:rFonts w:ascii="Avenir Next" w:hAnsi="Avenir Next"/>
          <w:sz w:val="24"/>
          <w:szCs w:val="24"/>
        </w:rPr>
      </w:pPr>
      <w:r w:rsidRPr="00BD2B94">
        <w:rPr>
          <w:rFonts w:ascii="Avenir Next" w:hAnsi="Avenir Next"/>
          <w:sz w:val="24"/>
          <w:szCs w:val="24"/>
        </w:rPr>
        <w:t>At the closing stages of the twentieth century rapid house price inflation in England led to further scrutiny of housing supply</w:t>
      </w:r>
      <w:r w:rsidR="001A631D" w:rsidRPr="00BD2B94">
        <w:rPr>
          <w:rFonts w:ascii="Avenir Next" w:hAnsi="Avenir Next"/>
          <w:sz w:val="24"/>
          <w:szCs w:val="24"/>
        </w:rPr>
        <w:t xml:space="preserve">, </w:t>
      </w:r>
      <w:r w:rsidRPr="00BD2B94">
        <w:rPr>
          <w:rFonts w:ascii="Avenir Next" w:hAnsi="Avenir Next"/>
          <w:sz w:val="24"/>
          <w:szCs w:val="24"/>
        </w:rPr>
        <w:t>the role of land markets</w:t>
      </w:r>
      <w:r w:rsidR="001A631D" w:rsidRPr="00BD2B94">
        <w:rPr>
          <w:rFonts w:ascii="Avenir Next" w:hAnsi="Avenir Next"/>
          <w:sz w:val="24"/>
          <w:szCs w:val="24"/>
        </w:rPr>
        <w:t xml:space="preserve"> and planning as an adaptive response to the hegemony of the supremacy of economic logic in state-market relations (Adams, 1994)</w:t>
      </w:r>
      <w:r w:rsidRPr="00BD2B94">
        <w:rPr>
          <w:rFonts w:ascii="Avenir Next" w:hAnsi="Avenir Next"/>
          <w:sz w:val="24"/>
          <w:szCs w:val="24"/>
        </w:rPr>
        <w:t xml:space="preserve">. The review into housing supply undertaken by Kate Barker highlighted the reuse of brownfield land, increasing the overall amount of land available and the number of affordable housing units required as key findings (Barker, 2004). The response from central government, through the </w:t>
      </w:r>
      <w:proofErr w:type="spellStart"/>
      <w:r w:rsidRPr="00BD2B94">
        <w:rPr>
          <w:rFonts w:ascii="Avenir Next" w:hAnsi="Avenir Next"/>
          <w:sz w:val="24"/>
          <w:szCs w:val="24"/>
        </w:rPr>
        <w:t>Callcutt</w:t>
      </w:r>
      <w:proofErr w:type="spellEnd"/>
      <w:r w:rsidRPr="00BD2B94">
        <w:rPr>
          <w:rFonts w:ascii="Avenir Next" w:hAnsi="Avenir Next"/>
          <w:sz w:val="24"/>
          <w:szCs w:val="24"/>
        </w:rPr>
        <w:t xml:space="preserve"> Review, led to Planning Policy Statement 3 and a government target of 240,000 new dwellings per annum by 2016, some 70,000 units higher than the existing build rate (DCLG, 2007). Planning Policy Statement 3 (PPS3) placed a greater requirement on authorities to plan for housing for 15 years ahead and at the same time emphasised that their approach to the identification of need and delivery of housing should respond to the market. </w:t>
      </w:r>
    </w:p>
    <w:p w14:paraId="68126588" w14:textId="77777777" w:rsidR="003B60FC" w:rsidRPr="00BD2B94" w:rsidRDefault="003B60FC" w:rsidP="00BD2B94">
      <w:pPr>
        <w:ind w:left="720"/>
        <w:rPr>
          <w:rFonts w:ascii="Avenir Next" w:hAnsi="Avenir Next"/>
          <w:sz w:val="24"/>
          <w:szCs w:val="24"/>
        </w:rPr>
      </w:pPr>
      <w:r w:rsidRPr="00BD2B94">
        <w:rPr>
          <w:rFonts w:ascii="Avenir Next" w:hAnsi="Avenir Next"/>
          <w:sz w:val="24"/>
          <w:szCs w:val="24"/>
        </w:rPr>
        <w:t xml:space="preserve"> “In countries where there has been a more adequate rate of new build in response to demand, the public sector often plays a bigger role in ‘land assembly’ (putting together plots of land into development sites). In addition, they are often more able to borrow to fund projects. Enabling local authorities to play a bigger role might help to push supply up, although so far not may local authorities have used the extent of the financial headroom they already have, partly due to inexperience in development.” (Barker, 2014, 80-81)</w:t>
      </w:r>
    </w:p>
    <w:p w14:paraId="3C11F7AB" w14:textId="33660783" w:rsidR="00425BEE" w:rsidRPr="00BD2B94" w:rsidRDefault="003B60FC" w:rsidP="00BD2B94">
      <w:pPr>
        <w:rPr>
          <w:rFonts w:ascii="Avenir Next" w:hAnsi="Avenir Next"/>
          <w:sz w:val="24"/>
          <w:szCs w:val="24"/>
        </w:rPr>
      </w:pPr>
      <w:r w:rsidRPr="00BD2B94">
        <w:rPr>
          <w:rFonts w:ascii="Avenir Next" w:hAnsi="Avenir Next"/>
          <w:sz w:val="24"/>
          <w:szCs w:val="24"/>
        </w:rPr>
        <w:t>In the National Planning Policy Framework, introduced by the Coalition government in 2012, the ability of local authorities to enforce their plan was linked to their identification of sufficient land that could feasibly be developed to meet five further years of housing need (</w:t>
      </w:r>
      <w:r w:rsidR="00ED4881" w:rsidRPr="00BD2B94">
        <w:rPr>
          <w:rFonts w:ascii="Avenir Next" w:hAnsi="Avenir Next"/>
          <w:sz w:val="24"/>
          <w:szCs w:val="24"/>
        </w:rPr>
        <w:t>D</w:t>
      </w:r>
      <w:r w:rsidRPr="00BD2B94">
        <w:rPr>
          <w:rFonts w:ascii="Avenir Next" w:hAnsi="Avenir Next"/>
          <w:sz w:val="24"/>
          <w:szCs w:val="24"/>
        </w:rPr>
        <w:t>CLG, 2012). The availability of land designated by the local authority as appropriate for development and ‘deliverable’ came to constitute a major component (and contention) of plan making. By 2014 local authorities were being encouraged to sell off high value social housing stock and build cheaper affordable housing elsewhere (DCLG</w:t>
      </w:r>
      <w:r w:rsidR="007731C6" w:rsidRPr="00BD2B94">
        <w:rPr>
          <w:rFonts w:ascii="Avenir Next" w:hAnsi="Avenir Next"/>
          <w:sz w:val="24"/>
          <w:szCs w:val="24"/>
        </w:rPr>
        <w:t>,</w:t>
      </w:r>
      <w:r w:rsidRPr="00BD2B94">
        <w:rPr>
          <w:rFonts w:ascii="Avenir Next" w:hAnsi="Avenir Next"/>
          <w:sz w:val="24"/>
          <w:szCs w:val="24"/>
        </w:rPr>
        <w:t xml:space="preserve"> 2014) and in </w:t>
      </w:r>
      <w:r w:rsidR="007731C6" w:rsidRPr="00BD2B94">
        <w:rPr>
          <w:rFonts w:ascii="Avenir Next" w:hAnsi="Avenir Next"/>
          <w:sz w:val="24"/>
          <w:szCs w:val="24"/>
        </w:rPr>
        <w:t xml:space="preserve">the period between 2015 and 2020 </w:t>
      </w:r>
      <w:r w:rsidRPr="00BD2B94">
        <w:rPr>
          <w:rFonts w:ascii="Avenir Next" w:hAnsi="Avenir Next"/>
          <w:sz w:val="24"/>
          <w:szCs w:val="24"/>
        </w:rPr>
        <w:t xml:space="preserve">Permitted Development Rights were extended to </w:t>
      </w:r>
      <w:r w:rsidR="007731C6" w:rsidRPr="00BD2B94">
        <w:rPr>
          <w:rFonts w:ascii="Avenir Next" w:hAnsi="Avenir Next"/>
          <w:sz w:val="24"/>
          <w:szCs w:val="24"/>
        </w:rPr>
        <w:t>enable the conversion of other use classes to residential by private developers without the need for planning permission</w:t>
      </w:r>
      <w:r w:rsidRPr="00BD2B94">
        <w:rPr>
          <w:rFonts w:ascii="Avenir Next" w:hAnsi="Avenir Next"/>
          <w:sz w:val="24"/>
          <w:szCs w:val="24"/>
        </w:rPr>
        <w:t xml:space="preserve">. Therefore, at the same time that LPAs were being encouraged to make </w:t>
      </w:r>
      <w:r w:rsidRPr="00BD2B94">
        <w:rPr>
          <w:rFonts w:ascii="Avenir Next" w:hAnsi="Avenir Next"/>
          <w:sz w:val="24"/>
          <w:szCs w:val="24"/>
        </w:rPr>
        <w:lastRenderedPageBreak/>
        <w:t xml:space="preserve">land available, their ability to plan what would be delivered was diminishing. We next turn to consider the role of public land holdings in English housing delivery. </w:t>
      </w:r>
    </w:p>
    <w:p w14:paraId="46482816" w14:textId="3414CD3E" w:rsidR="00425BEE" w:rsidRPr="00BD2B94" w:rsidRDefault="00425BEE" w:rsidP="00BD2B94">
      <w:pPr>
        <w:rPr>
          <w:rFonts w:ascii="Avenir Next" w:hAnsi="Avenir Next"/>
          <w:sz w:val="24"/>
          <w:szCs w:val="24"/>
        </w:rPr>
      </w:pPr>
      <w:r w:rsidRPr="00BD2B94">
        <w:rPr>
          <w:rFonts w:ascii="Avenir Next" w:hAnsi="Avenir Next"/>
          <w:sz w:val="24"/>
          <w:szCs w:val="24"/>
        </w:rPr>
        <w:t xml:space="preserve">The English government estimated that 40% of developable land is owned by the public sector, although not necessarily </w:t>
      </w:r>
      <w:r w:rsidR="000B38B5" w:rsidRPr="00BD2B94">
        <w:rPr>
          <w:rFonts w:ascii="Avenir Next" w:hAnsi="Avenir Next"/>
          <w:sz w:val="24"/>
          <w:szCs w:val="24"/>
        </w:rPr>
        <w:t xml:space="preserve">owned by </w:t>
      </w:r>
      <w:r w:rsidRPr="00BD2B94">
        <w:rPr>
          <w:rFonts w:ascii="Avenir Next" w:hAnsi="Avenir Next"/>
          <w:sz w:val="24"/>
          <w:szCs w:val="24"/>
        </w:rPr>
        <w:t>local authorities (DCLG, 2011). In 2012 local government property assets were valued at approximately £170bn, although a similar amount was also in other forms of public ownership (Cabinet Office, 2013). The planning and property consultants Savills (2014) argued that 100,000 dwellings could be built on public land in London alone, prompting enthusiastic responses from some media outlets (e.g. Allen and Pickard, 2014). Yet, many of these sites were either already earmarked for development, currently operational or were in lower value areas with limited infrastructure that may not be attractive to traditional development mechanisms. The potential for local authority land to be used for development has been met by equal measures of enthusiasm and hyperbole. Whilst there are undoubtedly resources within the public sector that can support housing delivery</w:t>
      </w:r>
      <w:r w:rsidR="00482287" w:rsidRPr="00BD2B94">
        <w:rPr>
          <w:rFonts w:ascii="Avenir Next" w:hAnsi="Avenir Next"/>
          <w:sz w:val="24"/>
          <w:szCs w:val="24"/>
        </w:rPr>
        <w:t xml:space="preserve"> and many authorities have a</w:t>
      </w:r>
      <w:r w:rsidRPr="00BD2B94">
        <w:rPr>
          <w:rFonts w:ascii="Avenir Next" w:hAnsi="Avenir Next"/>
          <w:sz w:val="24"/>
          <w:szCs w:val="24"/>
        </w:rPr>
        <w:t xml:space="preserve"> proactive approach to land use (Morphet and Clifford, 2017) </w:t>
      </w:r>
      <w:r w:rsidR="00482287" w:rsidRPr="00BD2B94">
        <w:rPr>
          <w:rFonts w:ascii="Avenir Next" w:hAnsi="Avenir Next"/>
          <w:sz w:val="24"/>
          <w:szCs w:val="24"/>
        </w:rPr>
        <w:t>there remain some</w:t>
      </w:r>
      <w:r w:rsidRPr="00BD2B94">
        <w:rPr>
          <w:rFonts w:ascii="Avenir Next" w:hAnsi="Avenir Next"/>
          <w:sz w:val="24"/>
          <w:szCs w:val="24"/>
        </w:rPr>
        <w:t xml:space="preserve"> significant barriers to implementing appropriate development on </w:t>
      </w:r>
      <w:r w:rsidR="00482287" w:rsidRPr="00BD2B94">
        <w:rPr>
          <w:rFonts w:ascii="Avenir Next" w:hAnsi="Avenir Next"/>
          <w:sz w:val="24"/>
          <w:szCs w:val="24"/>
        </w:rPr>
        <w:t xml:space="preserve">some </w:t>
      </w:r>
      <w:r w:rsidRPr="00BD2B94">
        <w:rPr>
          <w:rFonts w:ascii="Avenir Next" w:hAnsi="Avenir Next"/>
          <w:sz w:val="24"/>
          <w:szCs w:val="24"/>
        </w:rPr>
        <w:t xml:space="preserve">public land. </w:t>
      </w:r>
    </w:p>
    <w:p w14:paraId="6F6A34BE" w14:textId="77777777" w:rsidR="00E00734" w:rsidRDefault="00425BEE" w:rsidP="00BD2B94">
      <w:pPr>
        <w:rPr>
          <w:rFonts w:ascii="Avenir Next" w:hAnsi="Avenir Next"/>
          <w:sz w:val="24"/>
          <w:szCs w:val="24"/>
        </w:rPr>
      </w:pPr>
      <w:r w:rsidRPr="00BD2B94">
        <w:rPr>
          <w:rFonts w:ascii="Avenir Next" w:hAnsi="Avenir Next"/>
          <w:sz w:val="24"/>
          <w:szCs w:val="24"/>
        </w:rPr>
        <w:t>T</w:t>
      </w:r>
      <w:r w:rsidR="00B967D3" w:rsidRPr="00BD2B94">
        <w:rPr>
          <w:rFonts w:ascii="Avenir Next" w:hAnsi="Avenir Next"/>
          <w:sz w:val="24"/>
          <w:szCs w:val="24"/>
        </w:rPr>
        <w:t>his paper draws on</w:t>
      </w:r>
      <w:r w:rsidRPr="00BD2B94">
        <w:rPr>
          <w:rFonts w:ascii="Avenir Next" w:hAnsi="Avenir Next"/>
          <w:sz w:val="24"/>
          <w:szCs w:val="24"/>
        </w:rPr>
        <w:t xml:space="preserve"> three case studies of local planning authorities in England through</w:t>
      </w:r>
      <w:r w:rsidR="00B967D3" w:rsidRPr="00BD2B94">
        <w:rPr>
          <w:rFonts w:ascii="Avenir Next" w:hAnsi="Avenir Next"/>
          <w:sz w:val="24"/>
          <w:szCs w:val="24"/>
        </w:rPr>
        <w:t xml:space="preserve"> </w:t>
      </w:r>
      <w:r w:rsidR="00E00734">
        <w:rPr>
          <w:rFonts w:ascii="Avenir Next" w:hAnsi="Avenir Next"/>
          <w:sz w:val="24"/>
          <w:szCs w:val="24"/>
        </w:rPr>
        <w:t>a series of</w:t>
      </w:r>
      <w:r w:rsidR="00844DEF" w:rsidRPr="00BD2B94">
        <w:rPr>
          <w:rFonts w:ascii="Avenir Next" w:hAnsi="Avenir Next"/>
          <w:sz w:val="24"/>
          <w:szCs w:val="24"/>
        </w:rPr>
        <w:t xml:space="preserve"> </w:t>
      </w:r>
      <w:r w:rsidR="00C67DAC" w:rsidRPr="00BD2B94">
        <w:rPr>
          <w:rFonts w:ascii="Avenir Next" w:hAnsi="Avenir Next"/>
          <w:sz w:val="24"/>
          <w:szCs w:val="24"/>
        </w:rPr>
        <w:t>semi-structure</w:t>
      </w:r>
      <w:r w:rsidR="00E00734">
        <w:rPr>
          <w:rFonts w:ascii="Avenir Next" w:hAnsi="Avenir Next"/>
          <w:sz w:val="24"/>
          <w:szCs w:val="24"/>
        </w:rPr>
        <w:t>d</w:t>
      </w:r>
      <w:r w:rsidR="00C67DAC" w:rsidRPr="00BD2B94">
        <w:rPr>
          <w:rFonts w:ascii="Avenir Next" w:hAnsi="Avenir Next"/>
          <w:sz w:val="24"/>
          <w:szCs w:val="24"/>
        </w:rPr>
        <w:t xml:space="preserve"> in-depth </w:t>
      </w:r>
      <w:r w:rsidR="001D2A47" w:rsidRPr="00BD2B94">
        <w:rPr>
          <w:rFonts w:ascii="Avenir Next" w:hAnsi="Avenir Next"/>
          <w:sz w:val="24"/>
          <w:szCs w:val="24"/>
        </w:rPr>
        <w:t>interviews</w:t>
      </w:r>
      <w:r w:rsidR="00E00734">
        <w:rPr>
          <w:rFonts w:ascii="Avenir Next" w:hAnsi="Avenir Next"/>
          <w:sz w:val="24"/>
          <w:szCs w:val="24"/>
        </w:rPr>
        <w:t xml:space="preserve"> in each location</w:t>
      </w:r>
      <w:r w:rsidR="00C67DAC" w:rsidRPr="00BD2B94">
        <w:rPr>
          <w:rFonts w:ascii="Avenir Next" w:hAnsi="Avenir Next"/>
          <w:sz w:val="24"/>
          <w:szCs w:val="24"/>
        </w:rPr>
        <w:t>.</w:t>
      </w:r>
    </w:p>
    <w:p w14:paraId="4A4BE404" w14:textId="77777777" w:rsidR="00E00734" w:rsidRDefault="00E00734" w:rsidP="00E00734">
      <w:pPr>
        <w:rPr>
          <w:rFonts w:ascii="Avenir Next" w:hAnsi="Avenir Next"/>
          <w:sz w:val="24"/>
          <w:szCs w:val="24"/>
        </w:rPr>
      </w:pPr>
      <w:r w:rsidRPr="00BD2B94">
        <w:rPr>
          <w:rFonts w:ascii="Avenir Next" w:hAnsi="Avenir Next"/>
          <w:sz w:val="24"/>
          <w:szCs w:val="24"/>
        </w:rPr>
        <w:t xml:space="preserve">The case study areas were selected </w:t>
      </w:r>
      <w:r>
        <w:rPr>
          <w:rFonts w:ascii="Avenir Next" w:hAnsi="Avenir Next"/>
          <w:sz w:val="24"/>
          <w:szCs w:val="24"/>
        </w:rPr>
        <w:t xml:space="preserve">in consultation with central government policy advisors. They were selected </w:t>
      </w:r>
      <w:r w:rsidRPr="00BD2B94">
        <w:rPr>
          <w:rFonts w:ascii="Avenir Next" w:hAnsi="Avenir Next"/>
          <w:sz w:val="24"/>
          <w:szCs w:val="24"/>
        </w:rPr>
        <w:t xml:space="preserve">because they had development sites that were attracting coverage in the media, had different demand and supply profiles and were in different regional contexts. </w:t>
      </w:r>
      <w:r>
        <w:rPr>
          <w:rFonts w:ascii="Avenir Next" w:hAnsi="Avenir Next"/>
          <w:sz w:val="24"/>
          <w:szCs w:val="24"/>
        </w:rPr>
        <w:t xml:space="preserve">In short, the market contexts were variable and so too was the local governmental context. </w:t>
      </w:r>
    </w:p>
    <w:p w14:paraId="7F43C5F8" w14:textId="080E176B" w:rsidR="00E00734" w:rsidRPr="00BD2B94" w:rsidRDefault="00E00734" w:rsidP="00E00734">
      <w:pPr>
        <w:rPr>
          <w:rFonts w:ascii="Avenir Next" w:hAnsi="Avenir Next"/>
          <w:sz w:val="24"/>
          <w:szCs w:val="24"/>
        </w:rPr>
      </w:pPr>
      <w:r w:rsidRPr="00BD2B94">
        <w:rPr>
          <w:rFonts w:ascii="Avenir Next" w:hAnsi="Avenir Next"/>
          <w:sz w:val="24"/>
          <w:szCs w:val="24"/>
        </w:rPr>
        <w:t xml:space="preserve">To </w:t>
      </w:r>
      <w:r>
        <w:rPr>
          <w:rFonts w:ascii="Avenir Next" w:hAnsi="Avenir Next"/>
          <w:sz w:val="24"/>
          <w:szCs w:val="24"/>
        </w:rPr>
        <w:t xml:space="preserve">further </w:t>
      </w:r>
      <w:r w:rsidRPr="00BD2B94">
        <w:rPr>
          <w:rFonts w:ascii="Avenir Next" w:hAnsi="Avenir Next"/>
          <w:sz w:val="24"/>
          <w:szCs w:val="24"/>
        </w:rPr>
        <w:t xml:space="preserve">inform case study selection, a typology of authorities was created based upon stock of local authority land (2009) adjusted per 1000 residents, completions per 1000 residents, New Homes Bonus receipts as a proxy for delivery, urban/rural classifications, unitary/two-tier authorities and regions. We undertook a desk-based media review covering recent examples of delivery on local authority land. From this review the three case study areas were selected. </w:t>
      </w:r>
      <w:r>
        <w:rPr>
          <w:rFonts w:ascii="Avenir Next" w:hAnsi="Avenir Next"/>
          <w:sz w:val="24"/>
          <w:szCs w:val="24"/>
        </w:rPr>
        <w:t>As we noted above, the case and the interviews conducted were designed to be “telling” (or instructive) rather than “typical” (or generally representative) (Yin, 2003). Thus, w</w:t>
      </w:r>
      <w:r w:rsidRPr="00BD2B94">
        <w:rPr>
          <w:rFonts w:ascii="Avenir Next" w:hAnsi="Avenir Next"/>
          <w:sz w:val="24"/>
          <w:szCs w:val="24"/>
        </w:rPr>
        <w:t>e d</w:t>
      </w:r>
      <w:r>
        <w:rPr>
          <w:rFonts w:ascii="Avenir Next" w:hAnsi="Avenir Next"/>
          <w:sz w:val="24"/>
          <w:szCs w:val="24"/>
        </w:rPr>
        <w:t>id</w:t>
      </w:r>
      <w:r w:rsidRPr="00BD2B94">
        <w:rPr>
          <w:rFonts w:ascii="Avenir Next" w:hAnsi="Avenir Next"/>
          <w:sz w:val="24"/>
          <w:szCs w:val="24"/>
        </w:rPr>
        <w:t xml:space="preserve"> not expect the interview analysis that follows to be representative of every local authority</w:t>
      </w:r>
      <w:r>
        <w:rPr>
          <w:rFonts w:ascii="Avenir Next" w:hAnsi="Avenir Next"/>
          <w:sz w:val="24"/>
          <w:szCs w:val="24"/>
        </w:rPr>
        <w:t>,</w:t>
      </w:r>
      <w:r w:rsidRPr="00BD2B94">
        <w:rPr>
          <w:rFonts w:ascii="Avenir Next" w:hAnsi="Avenir Next"/>
          <w:sz w:val="24"/>
          <w:szCs w:val="24"/>
        </w:rPr>
        <w:t xml:space="preserve"> but nor do we expect it to be irrelevant to many.</w:t>
      </w:r>
      <w:r>
        <w:rPr>
          <w:rFonts w:ascii="Avenir Next" w:hAnsi="Avenir Next"/>
          <w:sz w:val="24"/>
          <w:szCs w:val="24"/>
        </w:rPr>
        <w:t xml:space="preserve"> The intention was to design the research so that it would reveal the complexity involved in its varied and different forms.</w:t>
      </w:r>
      <w:r w:rsidRPr="00BD2B94">
        <w:rPr>
          <w:rFonts w:ascii="Avenir Next" w:hAnsi="Avenir Next"/>
          <w:sz w:val="24"/>
          <w:szCs w:val="24"/>
        </w:rPr>
        <w:t xml:space="preserve"> </w:t>
      </w:r>
    </w:p>
    <w:p w14:paraId="1BD3BF20" w14:textId="7F4A0C54" w:rsidR="00E00734" w:rsidRDefault="00E00734" w:rsidP="00E00734">
      <w:pPr>
        <w:rPr>
          <w:rFonts w:ascii="Avenir Next" w:hAnsi="Avenir Next"/>
          <w:sz w:val="24"/>
          <w:szCs w:val="24"/>
        </w:rPr>
      </w:pPr>
      <w:r>
        <w:rPr>
          <w:rFonts w:ascii="Avenir Next" w:hAnsi="Avenir Next"/>
          <w:sz w:val="24"/>
          <w:szCs w:val="24"/>
        </w:rPr>
        <w:lastRenderedPageBreak/>
        <w:t>In designing the research, the participants were guaranteed anonymity and, to protect that, we are unable to reveal the names of the Local Authorities. The broad characteristics of the authorities were:</w:t>
      </w:r>
    </w:p>
    <w:p w14:paraId="660ECA6E" w14:textId="1FA51999" w:rsidR="00E00734" w:rsidRPr="00BD2B94" w:rsidRDefault="00E00734" w:rsidP="00E00734">
      <w:pPr>
        <w:rPr>
          <w:rFonts w:ascii="Avenir Next" w:hAnsi="Avenir Next"/>
          <w:sz w:val="24"/>
          <w:szCs w:val="24"/>
        </w:rPr>
      </w:pPr>
      <w:r w:rsidRPr="00BD2B94">
        <w:rPr>
          <w:rFonts w:ascii="Avenir Next" w:hAnsi="Avenir Next"/>
          <w:sz w:val="24"/>
          <w:szCs w:val="24"/>
        </w:rPr>
        <w:t xml:space="preserve">Case A is a two-tier authority in the South of England. It has a large stock of land and has had relatively low levels of development in the last 15 years yet has had a high volume of demand. </w:t>
      </w:r>
    </w:p>
    <w:p w14:paraId="6078CA3B" w14:textId="77777777" w:rsidR="00E00734" w:rsidRPr="00BD2B94" w:rsidRDefault="00E00734" w:rsidP="00E00734">
      <w:pPr>
        <w:rPr>
          <w:rFonts w:ascii="Avenir Next" w:hAnsi="Avenir Next"/>
          <w:sz w:val="24"/>
          <w:szCs w:val="24"/>
        </w:rPr>
      </w:pPr>
      <w:r w:rsidRPr="00BD2B94">
        <w:rPr>
          <w:rFonts w:ascii="Avenir Next" w:hAnsi="Avenir Next"/>
          <w:sz w:val="24"/>
          <w:szCs w:val="24"/>
        </w:rPr>
        <w:t xml:space="preserve">Case B is in the South of England and had experienced high levels of demand. In contrast, between 2010 and 2015 development was higher than average (dwellings completed per 1000 residents). </w:t>
      </w:r>
    </w:p>
    <w:p w14:paraId="4BF53915" w14:textId="56C7DD83" w:rsidR="00E00734" w:rsidRDefault="00E00734" w:rsidP="00BD2B94">
      <w:pPr>
        <w:rPr>
          <w:rFonts w:ascii="Avenir Next" w:hAnsi="Avenir Next"/>
          <w:sz w:val="24"/>
          <w:szCs w:val="24"/>
        </w:rPr>
      </w:pPr>
      <w:r w:rsidRPr="00BD2B94">
        <w:rPr>
          <w:rFonts w:ascii="Avenir Next" w:hAnsi="Avenir Next"/>
          <w:sz w:val="24"/>
          <w:szCs w:val="24"/>
        </w:rPr>
        <w:t xml:space="preserve">Case C is in the North of England. The authority has a relatively large portfolio of land, but there is limited demand and over recent years development has been low. </w:t>
      </w:r>
    </w:p>
    <w:p w14:paraId="4C89D31D" w14:textId="3A63E6D0" w:rsidR="00E00734" w:rsidRDefault="00E00734" w:rsidP="00BD2B94">
      <w:pPr>
        <w:rPr>
          <w:rFonts w:ascii="Avenir Next" w:hAnsi="Avenir Next"/>
          <w:sz w:val="24"/>
          <w:szCs w:val="24"/>
        </w:rPr>
      </w:pPr>
      <w:r>
        <w:rPr>
          <w:rFonts w:ascii="Avenir Next" w:hAnsi="Avenir Next"/>
          <w:sz w:val="24"/>
          <w:szCs w:val="24"/>
        </w:rPr>
        <w:t>The authorities were not all under the same local political control.</w:t>
      </w:r>
    </w:p>
    <w:p w14:paraId="3B536CE4" w14:textId="3B49FEBD" w:rsidR="00E00734" w:rsidRDefault="00E00734" w:rsidP="00BD2B94">
      <w:pPr>
        <w:rPr>
          <w:rFonts w:ascii="Avenir Next" w:hAnsi="Avenir Next"/>
          <w:sz w:val="24"/>
          <w:szCs w:val="24"/>
        </w:rPr>
      </w:pPr>
      <w:r>
        <w:rPr>
          <w:rFonts w:ascii="Avenir Next" w:hAnsi="Avenir Next"/>
          <w:sz w:val="24"/>
          <w:szCs w:val="24"/>
        </w:rPr>
        <w:t xml:space="preserve">Within each study area </w:t>
      </w:r>
      <w:r w:rsidR="00C67DAC" w:rsidRPr="00BD2B94">
        <w:rPr>
          <w:rFonts w:ascii="Avenir Next" w:hAnsi="Avenir Next"/>
          <w:sz w:val="24"/>
          <w:szCs w:val="24"/>
        </w:rPr>
        <w:t>a snowballing technique</w:t>
      </w:r>
      <w:r>
        <w:rPr>
          <w:rFonts w:ascii="Avenir Next" w:hAnsi="Avenir Next"/>
          <w:sz w:val="24"/>
          <w:szCs w:val="24"/>
        </w:rPr>
        <w:t xml:space="preserve"> was employed to identify participants. During the study,</w:t>
      </w:r>
      <w:r w:rsidR="00C67DAC" w:rsidRPr="00BD2B94">
        <w:rPr>
          <w:rFonts w:ascii="Avenir Next" w:hAnsi="Avenir Next"/>
          <w:sz w:val="24"/>
          <w:szCs w:val="24"/>
        </w:rPr>
        <w:t xml:space="preserve"> we interviewed</w:t>
      </w:r>
      <w:r w:rsidR="001D2A47" w:rsidRPr="00BD2B94">
        <w:rPr>
          <w:rFonts w:ascii="Avenir Next" w:hAnsi="Avenir Next"/>
          <w:sz w:val="24"/>
          <w:szCs w:val="24"/>
        </w:rPr>
        <w:t xml:space="preserve"> </w:t>
      </w:r>
      <w:r w:rsidR="006127F5" w:rsidRPr="00BD2B94">
        <w:rPr>
          <w:rFonts w:ascii="Avenir Next" w:hAnsi="Avenir Next"/>
          <w:sz w:val="24"/>
          <w:szCs w:val="24"/>
        </w:rPr>
        <w:t>four</w:t>
      </w:r>
      <w:r w:rsidR="00C67DAC" w:rsidRPr="00BD2B94">
        <w:rPr>
          <w:rFonts w:ascii="Avenir Next" w:hAnsi="Avenir Next"/>
          <w:sz w:val="24"/>
          <w:szCs w:val="24"/>
        </w:rPr>
        <w:t xml:space="preserve"> </w:t>
      </w:r>
      <w:r w:rsidR="006127F5" w:rsidRPr="00BD2B94">
        <w:rPr>
          <w:rFonts w:ascii="Avenir Next" w:hAnsi="Avenir Next"/>
          <w:sz w:val="24"/>
          <w:szCs w:val="24"/>
        </w:rPr>
        <w:t>s</w:t>
      </w:r>
      <w:r w:rsidR="00C67DAC" w:rsidRPr="00BD2B94">
        <w:rPr>
          <w:rFonts w:ascii="Avenir Next" w:hAnsi="Avenir Next"/>
          <w:sz w:val="24"/>
          <w:szCs w:val="24"/>
        </w:rPr>
        <w:t>enior</w:t>
      </w:r>
      <w:r w:rsidR="00B967D3" w:rsidRPr="00BD2B94">
        <w:rPr>
          <w:rFonts w:ascii="Avenir Next" w:hAnsi="Avenir Next"/>
          <w:sz w:val="24"/>
          <w:szCs w:val="24"/>
        </w:rPr>
        <w:t xml:space="preserve"> </w:t>
      </w:r>
      <w:r w:rsidR="006127F5" w:rsidRPr="00BD2B94">
        <w:rPr>
          <w:rFonts w:ascii="Avenir Next" w:hAnsi="Avenir Next"/>
          <w:sz w:val="24"/>
          <w:szCs w:val="24"/>
        </w:rPr>
        <w:t>pl</w:t>
      </w:r>
      <w:r w:rsidR="00B967D3" w:rsidRPr="00BD2B94">
        <w:rPr>
          <w:rFonts w:ascii="Avenir Next" w:hAnsi="Avenir Next"/>
          <w:sz w:val="24"/>
          <w:szCs w:val="24"/>
        </w:rPr>
        <w:t xml:space="preserve">anning </w:t>
      </w:r>
      <w:r w:rsidR="006127F5" w:rsidRPr="00BD2B94">
        <w:rPr>
          <w:rFonts w:ascii="Avenir Next" w:hAnsi="Avenir Next"/>
          <w:sz w:val="24"/>
          <w:szCs w:val="24"/>
        </w:rPr>
        <w:t>o</w:t>
      </w:r>
      <w:r w:rsidR="00B967D3" w:rsidRPr="00BD2B94">
        <w:rPr>
          <w:rFonts w:ascii="Avenir Next" w:hAnsi="Avenir Next"/>
          <w:sz w:val="24"/>
          <w:szCs w:val="24"/>
        </w:rPr>
        <w:t xml:space="preserve">fficers, </w:t>
      </w:r>
      <w:r w:rsidR="006127F5" w:rsidRPr="00BD2B94">
        <w:rPr>
          <w:rFonts w:ascii="Avenir Next" w:hAnsi="Avenir Next"/>
          <w:sz w:val="24"/>
          <w:szCs w:val="24"/>
        </w:rPr>
        <w:t>two</w:t>
      </w:r>
      <w:r w:rsidR="00C67DAC" w:rsidRPr="00BD2B94">
        <w:rPr>
          <w:rFonts w:ascii="Avenir Next" w:hAnsi="Avenir Next"/>
          <w:sz w:val="24"/>
          <w:szCs w:val="24"/>
        </w:rPr>
        <w:t xml:space="preserve"> </w:t>
      </w:r>
      <w:r w:rsidR="006127F5" w:rsidRPr="00BD2B94">
        <w:rPr>
          <w:rFonts w:ascii="Avenir Next" w:hAnsi="Avenir Next"/>
          <w:sz w:val="24"/>
          <w:szCs w:val="24"/>
        </w:rPr>
        <w:t>s</w:t>
      </w:r>
      <w:r w:rsidR="00C67DAC" w:rsidRPr="00BD2B94">
        <w:rPr>
          <w:rFonts w:ascii="Avenir Next" w:hAnsi="Avenir Next"/>
          <w:sz w:val="24"/>
          <w:szCs w:val="24"/>
        </w:rPr>
        <w:t xml:space="preserve">enior </w:t>
      </w:r>
      <w:r w:rsidR="006127F5" w:rsidRPr="00BD2B94">
        <w:rPr>
          <w:rFonts w:ascii="Avenir Next" w:hAnsi="Avenir Next"/>
          <w:sz w:val="24"/>
          <w:szCs w:val="24"/>
        </w:rPr>
        <w:t>h</w:t>
      </w:r>
      <w:r w:rsidR="00B967D3" w:rsidRPr="00BD2B94">
        <w:rPr>
          <w:rFonts w:ascii="Avenir Next" w:hAnsi="Avenir Next"/>
          <w:sz w:val="24"/>
          <w:szCs w:val="24"/>
        </w:rPr>
        <w:t xml:space="preserve">ousing </w:t>
      </w:r>
      <w:r w:rsidR="006127F5" w:rsidRPr="00BD2B94">
        <w:rPr>
          <w:rFonts w:ascii="Avenir Next" w:hAnsi="Avenir Next"/>
          <w:sz w:val="24"/>
          <w:szCs w:val="24"/>
        </w:rPr>
        <w:t>o</w:t>
      </w:r>
      <w:r w:rsidR="00B967D3" w:rsidRPr="00BD2B94">
        <w:rPr>
          <w:rFonts w:ascii="Avenir Next" w:hAnsi="Avenir Next"/>
          <w:sz w:val="24"/>
          <w:szCs w:val="24"/>
        </w:rPr>
        <w:t xml:space="preserve">fficers, </w:t>
      </w:r>
      <w:r w:rsidR="006127F5" w:rsidRPr="00BD2B94">
        <w:rPr>
          <w:rFonts w:ascii="Avenir Next" w:hAnsi="Avenir Next"/>
          <w:sz w:val="24"/>
          <w:szCs w:val="24"/>
        </w:rPr>
        <w:t>two</w:t>
      </w:r>
      <w:r w:rsidR="00C67DAC" w:rsidRPr="00BD2B94">
        <w:rPr>
          <w:rFonts w:ascii="Avenir Next" w:hAnsi="Avenir Next"/>
          <w:sz w:val="24"/>
          <w:szCs w:val="24"/>
        </w:rPr>
        <w:t xml:space="preserve"> </w:t>
      </w:r>
      <w:r w:rsidR="006127F5" w:rsidRPr="00BD2B94">
        <w:rPr>
          <w:rFonts w:ascii="Avenir Next" w:hAnsi="Avenir Next"/>
          <w:sz w:val="24"/>
          <w:szCs w:val="24"/>
        </w:rPr>
        <w:t>d</w:t>
      </w:r>
      <w:r w:rsidR="00B967D3" w:rsidRPr="00BD2B94">
        <w:rPr>
          <w:rFonts w:ascii="Avenir Next" w:hAnsi="Avenir Next"/>
          <w:sz w:val="24"/>
          <w:szCs w:val="24"/>
        </w:rPr>
        <w:t xml:space="preserve">evelopment </w:t>
      </w:r>
      <w:r w:rsidR="006127F5" w:rsidRPr="00BD2B94">
        <w:rPr>
          <w:rFonts w:ascii="Avenir Next" w:hAnsi="Avenir Next"/>
          <w:sz w:val="24"/>
          <w:szCs w:val="24"/>
        </w:rPr>
        <w:t>m</w:t>
      </w:r>
      <w:r w:rsidR="00B967D3" w:rsidRPr="00BD2B94">
        <w:rPr>
          <w:rFonts w:ascii="Avenir Next" w:hAnsi="Avenir Next"/>
          <w:sz w:val="24"/>
          <w:szCs w:val="24"/>
        </w:rPr>
        <w:t xml:space="preserve">anagers, </w:t>
      </w:r>
      <w:r w:rsidR="006127F5" w:rsidRPr="00BD2B94">
        <w:rPr>
          <w:rFonts w:ascii="Avenir Next" w:hAnsi="Avenir Next"/>
          <w:sz w:val="24"/>
          <w:szCs w:val="24"/>
        </w:rPr>
        <w:t>one</w:t>
      </w:r>
      <w:r w:rsidR="00C67DAC" w:rsidRPr="00BD2B94">
        <w:rPr>
          <w:rFonts w:ascii="Avenir Next" w:hAnsi="Avenir Next"/>
          <w:sz w:val="24"/>
          <w:szCs w:val="24"/>
        </w:rPr>
        <w:t xml:space="preserve"> </w:t>
      </w:r>
      <w:r w:rsidR="006127F5" w:rsidRPr="00BD2B94">
        <w:rPr>
          <w:rFonts w:ascii="Avenir Next" w:hAnsi="Avenir Next"/>
          <w:sz w:val="24"/>
          <w:szCs w:val="24"/>
        </w:rPr>
        <w:t>pr</w:t>
      </w:r>
      <w:r w:rsidR="00C67DAC" w:rsidRPr="00BD2B94">
        <w:rPr>
          <w:rFonts w:ascii="Avenir Next" w:hAnsi="Avenir Next"/>
          <w:sz w:val="24"/>
          <w:szCs w:val="24"/>
        </w:rPr>
        <w:t xml:space="preserve">operty </w:t>
      </w:r>
      <w:r w:rsidR="006127F5" w:rsidRPr="00BD2B94">
        <w:rPr>
          <w:rFonts w:ascii="Avenir Next" w:hAnsi="Avenir Next"/>
          <w:sz w:val="24"/>
          <w:szCs w:val="24"/>
        </w:rPr>
        <w:t>s</w:t>
      </w:r>
      <w:r w:rsidR="00C67DAC" w:rsidRPr="00BD2B94">
        <w:rPr>
          <w:rFonts w:ascii="Avenir Next" w:hAnsi="Avenir Next"/>
          <w:sz w:val="24"/>
          <w:szCs w:val="24"/>
        </w:rPr>
        <w:t xml:space="preserve">ervice </w:t>
      </w:r>
      <w:r w:rsidR="006127F5" w:rsidRPr="00BD2B94">
        <w:rPr>
          <w:rFonts w:ascii="Avenir Next" w:hAnsi="Avenir Next"/>
          <w:sz w:val="24"/>
          <w:szCs w:val="24"/>
        </w:rPr>
        <w:t>m</w:t>
      </w:r>
      <w:r w:rsidR="00C67DAC" w:rsidRPr="00BD2B94">
        <w:rPr>
          <w:rFonts w:ascii="Avenir Next" w:hAnsi="Avenir Next"/>
          <w:sz w:val="24"/>
          <w:szCs w:val="24"/>
        </w:rPr>
        <w:t xml:space="preserve">anager; </w:t>
      </w:r>
      <w:r w:rsidR="006127F5" w:rsidRPr="00BD2B94">
        <w:rPr>
          <w:rFonts w:ascii="Avenir Next" w:hAnsi="Avenir Next"/>
          <w:sz w:val="24"/>
          <w:szCs w:val="24"/>
        </w:rPr>
        <w:t>four</w:t>
      </w:r>
      <w:r w:rsidR="00C67DAC" w:rsidRPr="00BD2B94">
        <w:rPr>
          <w:rFonts w:ascii="Avenir Next" w:hAnsi="Avenir Next"/>
          <w:sz w:val="24"/>
          <w:szCs w:val="24"/>
        </w:rPr>
        <w:t xml:space="preserve"> </w:t>
      </w:r>
      <w:r w:rsidR="006127F5" w:rsidRPr="00BD2B94">
        <w:rPr>
          <w:rFonts w:ascii="Avenir Next" w:hAnsi="Avenir Next"/>
          <w:sz w:val="24"/>
          <w:szCs w:val="24"/>
        </w:rPr>
        <w:t>r</w:t>
      </w:r>
      <w:r w:rsidR="00B967D3" w:rsidRPr="00BD2B94">
        <w:rPr>
          <w:rFonts w:ascii="Avenir Next" w:hAnsi="Avenir Next"/>
          <w:sz w:val="24"/>
          <w:szCs w:val="24"/>
        </w:rPr>
        <w:t xml:space="preserve">egistered </w:t>
      </w:r>
      <w:r w:rsidR="006127F5" w:rsidRPr="00BD2B94">
        <w:rPr>
          <w:rFonts w:ascii="Avenir Next" w:hAnsi="Avenir Next"/>
          <w:sz w:val="24"/>
          <w:szCs w:val="24"/>
        </w:rPr>
        <w:t>p</w:t>
      </w:r>
      <w:r w:rsidR="00B967D3" w:rsidRPr="00BD2B94">
        <w:rPr>
          <w:rFonts w:ascii="Avenir Next" w:hAnsi="Avenir Next"/>
          <w:sz w:val="24"/>
          <w:szCs w:val="24"/>
        </w:rPr>
        <w:t>rovider</w:t>
      </w:r>
      <w:r w:rsidR="00C67DAC" w:rsidRPr="00BD2B94">
        <w:rPr>
          <w:rFonts w:ascii="Avenir Next" w:hAnsi="Avenir Next"/>
          <w:sz w:val="24"/>
          <w:szCs w:val="24"/>
        </w:rPr>
        <w:t xml:space="preserve"> managers</w:t>
      </w:r>
      <w:r w:rsidR="00B967D3" w:rsidRPr="00BD2B94">
        <w:rPr>
          <w:rFonts w:ascii="Avenir Next" w:hAnsi="Avenir Next"/>
          <w:sz w:val="24"/>
          <w:szCs w:val="24"/>
        </w:rPr>
        <w:t xml:space="preserve">, </w:t>
      </w:r>
      <w:r w:rsidR="006127F5" w:rsidRPr="00BD2B94">
        <w:rPr>
          <w:rFonts w:ascii="Avenir Next" w:hAnsi="Avenir Next"/>
          <w:sz w:val="24"/>
          <w:szCs w:val="24"/>
        </w:rPr>
        <w:t>one</w:t>
      </w:r>
      <w:r w:rsidR="00C67DAC" w:rsidRPr="00BD2B94">
        <w:rPr>
          <w:rFonts w:ascii="Avenir Next" w:hAnsi="Avenir Next"/>
          <w:sz w:val="24"/>
          <w:szCs w:val="24"/>
        </w:rPr>
        <w:t xml:space="preserve"> </w:t>
      </w:r>
      <w:r w:rsidR="006127F5" w:rsidRPr="00BD2B94">
        <w:rPr>
          <w:rFonts w:ascii="Avenir Next" w:hAnsi="Avenir Next"/>
          <w:sz w:val="24"/>
          <w:szCs w:val="24"/>
        </w:rPr>
        <w:t>p</w:t>
      </w:r>
      <w:r w:rsidR="00C67DAC" w:rsidRPr="00BD2B94">
        <w:rPr>
          <w:rFonts w:ascii="Avenir Next" w:hAnsi="Avenir Next"/>
          <w:sz w:val="24"/>
          <w:szCs w:val="24"/>
        </w:rPr>
        <w:t xml:space="preserve">rivate </w:t>
      </w:r>
      <w:r w:rsidR="006127F5" w:rsidRPr="00BD2B94">
        <w:rPr>
          <w:rFonts w:ascii="Avenir Next" w:hAnsi="Avenir Next"/>
          <w:sz w:val="24"/>
          <w:szCs w:val="24"/>
        </w:rPr>
        <w:t>s</w:t>
      </w:r>
      <w:r w:rsidR="00C67DAC" w:rsidRPr="00BD2B94">
        <w:rPr>
          <w:rFonts w:ascii="Avenir Next" w:hAnsi="Avenir Next"/>
          <w:sz w:val="24"/>
          <w:szCs w:val="24"/>
        </w:rPr>
        <w:t xml:space="preserve">ector </w:t>
      </w:r>
      <w:r w:rsidR="006127F5" w:rsidRPr="00BD2B94">
        <w:rPr>
          <w:rFonts w:ascii="Avenir Next" w:hAnsi="Avenir Next"/>
          <w:sz w:val="24"/>
          <w:szCs w:val="24"/>
        </w:rPr>
        <w:t>l</w:t>
      </w:r>
      <w:r w:rsidR="00C67DAC" w:rsidRPr="00BD2B94">
        <w:rPr>
          <w:rFonts w:ascii="Avenir Next" w:hAnsi="Avenir Next"/>
          <w:sz w:val="24"/>
          <w:szCs w:val="24"/>
        </w:rPr>
        <w:t xml:space="preserve">and </w:t>
      </w:r>
      <w:r w:rsidR="006127F5" w:rsidRPr="00BD2B94">
        <w:rPr>
          <w:rFonts w:ascii="Avenir Next" w:hAnsi="Avenir Next"/>
          <w:sz w:val="24"/>
          <w:szCs w:val="24"/>
        </w:rPr>
        <w:t>a</w:t>
      </w:r>
      <w:r w:rsidR="00B967D3" w:rsidRPr="00BD2B94">
        <w:rPr>
          <w:rFonts w:ascii="Avenir Next" w:hAnsi="Avenir Next"/>
          <w:sz w:val="24"/>
          <w:szCs w:val="24"/>
        </w:rPr>
        <w:t xml:space="preserve">gent and </w:t>
      </w:r>
      <w:r w:rsidR="006127F5" w:rsidRPr="00BD2B94">
        <w:rPr>
          <w:rFonts w:ascii="Avenir Next" w:hAnsi="Avenir Next"/>
          <w:sz w:val="24"/>
          <w:szCs w:val="24"/>
        </w:rPr>
        <w:t>the</w:t>
      </w:r>
      <w:r w:rsidR="00C67DAC" w:rsidRPr="00BD2B94">
        <w:rPr>
          <w:rFonts w:ascii="Avenir Next" w:hAnsi="Avenir Next"/>
          <w:sz w:val="24"/>
          <w:szCs w:val="24"/>
        </w:rPr>
        <w:t xml:space="preserve"> </w:t>
      </w:r>
      <w:r w:rsidR="006127F5" w:rsidRPr="00BD2B94">
        <w:rPr>
          <w:rFonts w:ascii="Avenir Next" w:hAnsi="Avenir Next"/>
          <w:sz w:val="24"/>
          <w:szCs w:val="24"/>
        </w:rPr>
        <w:t>n</w:t>
      </w:r>
      <w:r w:rsidR="00C67DAC" w:rsidRPr="00BD2B94">
        <w:rPr>
          <w:rFonts w:ascii="Avenir Next" w:hAnsi="Avenir Next"/>
          <w:sz w:val="24"/>
          <w:szCs w:val="24"/>
        </w:rPr>
        <w:t xml:space="preserve">ational </w:t>
      </w:r>
      <w:r w:rsidR="006127F5" w:rsidRPr="00BD2B94">
        <w:rPr>
          <w:rFonts w:ascii="Avenir Next" w:hAnsi="Avenir Next"/>
          <w:sz w:val="24"/>
          <w:szCs w:val="24"/>
        </w:rPr>
        <w:t>house b</w:t>
      </w:r>
      <w:r w:rsidR="00B967D3" w:rsidRPr="00BD2B94">
        <w:rPr>
          <w:rFonts w:ascii="Avenir Next" w:hAnsi="Avenir Next"/>
          <w:sz w:val="24"/>
          <w:szCs w:val="24"/>
        </w:rPr>
        <w:t>uilders</w:t>
      </w:r>
      <w:r>
        <w:rPr>
          <w:rFonts w:ascii="Avenir Next" w:hAnsi="Avenir Next"/>
          <w:sz w:val="24"/>
          <w:szCs w:val="24"/>
        </w:rPr>
        <w:t>; and we received input and advice from policy experts within central government</w:t>
      </w:r>
      <w:r w:rsidR="00B967D3" w:rsidRPr="00BD2B94">
        <w:rPr>
          <w:rFonts w:ascii="Avenir Next" w:hAnsi="Avenir Next"/>
          <w:sz w:val="24"/>
          <w:szCs w:val="24"/>
        </w:rPr>
        <w:t xml:space="preserve">. </w:t>
      </w:r>
      <w:r>
        <w:rPr>
          <w:rFonts w:ascii="Avenir Next" w:hAnsi="Avenir Next"/>
          <w:sz w:val="24"/>
          <w:szCs w:val="24"/>
        </w:rPr>
        <w:t>The initial i</w:t>
      </w:r>
      <w:r w:rsidR="00B967D3" w:rsidRPr="00BD2B94">
        <w:rPr>
          <w:rFonts w:ascii="Avenir Next" w:hAnsi="Avenir Next"/>
          <w:sz w:val="24"/>
          <w:szCs w:val="24"/>
        </w:rPr>
        <w:t>nterviewees were</w:t>
      </w:r>
      <w:r>
        <w:rPr>
          <w:rFonts w:ascii="Avenir Next" w:hAnsi="Avenir Next"/>
          <w:sz w:val="24"/>
          <w:szCs w:val="24"/>
        </w:rPr>
        <w:t xml:space="preserve"> in each area were</w:t>
      </w:r>
      <w:r w:rsidR="00B967D3" w:rsidRPr="00BD2B94">
        <w:rPr>
          <w:rFonts w:ascii="Avenir Next" w:hAnsi="Avenir Next"/>
          <w:sz w:val="24"/>
          <w:szCs w:val="24"/>
        </w:rPr>
        <w:t xml:space="preserve"> selected on the basis of their involvement with local authority land delivery</w:t>
      </w:r>
      <w:r w:rsidR="00C67DAC" w:rsidRPr="00BD2B94">
        <w:rPr>
          <w:rFonts w:ascii="Avenir Next" w:hAnsi="Avenir Next"/>
          <w:sz w:val="24"/>
          <w:szCs w:val="24"/>
        </w:rPr>
        <w:t xml:space="preserve"> in the </w:t>
      </w:r>
      <w:r>
        <w:rPr>
          <w:rFonts w:ascii="Avenir Next" w:hAnsi="Avenir Next"/>
          <w:sz w:val="24"/>
          <w:szCs w:val="24"/>
        </w:rPr>
        <w:t>locality</w:t>
      </w:r>
      <w:r w:rsidR="005C2C70" w:rsidRPr="00BD2B94">
        <w:rPr>
          <w:rFonts w:ascii="Avenir Next" w:hAnsi="Avenir Next"/>
          <w:sz w:val="24"/>
          <w:szCs w:val="24"/>
        </w:rPr>
        <w:t xml:space="preserve">. </w:t>
      </w:r>
      <w:r w:rsidR="00C67DAC" w:rsidRPr="00BD2B94">
        <w:rPr>
          <w:rFonts w:ascii="Avenir Next" w:hAnsi="Avenir Next"/>
          <w:sz w:val="24"/>
          <w:szCs w:val="24"/>
        </w:rPr>
        <w:t>Th</w:t>
      </w:r>
      <w:r>
        <w:rPr>
          <w:rFonts w:ascii="Avenir Next" w:hAnsi="Avenir Next"/>
          <w:sz w:val="24"/>
          <w:szCs w:val="24"/>
        </w:rPr>
        <w:t xml:space="preserve">ose </w:t>
      </w:r>
      <w:r w:rsidR="00C67DAC" w:rsidRPr="00BD2B94">
        <w:rPr>
          <w:rFonts w:ascii="Avenir Next" w:hAnsi="Avenir Next"/>
          <w:sz w:val="24"/>
          <w:szCs w:val="24"/>
        </w:rPr>
        <w:t>provided a considerable consistency in explanations of the barriers to effective local authority development</w:t>
      </w:r>
      <w:r>
        <w:rPr>
          <w:rFonts w:ascii="Avenir Next" w:hAnsi="Avenir Next"/>
          <w:sz w:val="24"/>
          <w:szCs w:val="24"/>
        </w:rPr>
        <w:t xml:space="preserve"> and, in line with best practice in qualitative research methods, we completed the schedule of interviews when we appeared to have reached saturation in terms of new information generated</w:t>
      </w:r>
      <w:r w:rsidR="00C67DAC" w:rsidRPr="00BD2B94">
        <w:rPr>
          <w:rFonts w:ascii="Avenir Next" w:hAnsi="Avenir Next"/>
          <w:sz w:val="24"/>
          <w:szCs w:val="24"/>
        </w:rPr>
        <w:t xml:space="preserve">. </w:t>
      </w:r>
    </w:p>
    <w:p w14:paraId="21B45198" w14:textId="437B0E1E" w:rsidR="005E24B3" w:rsidRDefault="00BD08EF" w:rsidP="00BD2B94">
      <w:pPr>
        <w:rPr>
          <w:rFonts w:ascii="Avenir Next" w:hAnsi="Avenir Next"/>
          <w:sz w:val="24"/>
          <w:szCs w:val="24"/>
        </w:rPr>
      </w:pPr>
      <w:r w:rsidRPr="00BD2B94">
        <w:rPr>
          <w:rFonts w:ascii="Avenir Next" w:hAnsi="Avenir Next"/>
          <w:sz w:val="24"/>
          <w:szCs w:val="24"/>
        </w:rPr>
        <w:t xml:space="preserve">The issues </w:t>
      </w:r>
      <w:r w:rsidR="00B22373" w:rsidRPr="00BD2B94">
        <w:rPr>
          <w:rFonts w:ascii="Avenir Next" w:hAnsi="Avenir Next"/>
          <w:sz w:val="24"/>
          <w:szCs w:val="24"/>
        </w:rPr>
        <w:t xml:space="preserve">that emerged from the interviews </w:t>
      </w:r>
      <w:r w:rsidRPr="00BD2B94">
        <w:rPr>
          <w:rFonts w:ascii="Avenir Next" w:hAnsi="Avenir Next"/>
          <w:sz w:val="24"/>
          <w:szCs w:val="24"/>
        </w:rPr>
        <w:t xml:space="preserve">are developed </w:t>
      </w:r>
      <w:r w:rsidR="00146283" w:rsidRPr="00BD2B94">
        <w:rPr>
          <w:rFonts w:ascii="Avenir Next" w:hAnsi="Avenir Next"/>
          <w:sz w:val="24"/>
          <w:szCs w:val="24"/>
        </w:rPr>
        <w:t xml:space="preserve">thematically </w:t>
      </w:r>
      <w:r w:rsidR="00D9437C" w:rsidRPr="00BD2B94">
        <w:rPr>
          <w:rFonts w:ascii="Avenir Next" w:hAnsi="Avenir Next"/>
          <w:sz w:val="24"/>
          <w:szCs w:val="24"/>
        </w:rPr>
        <w:t xml:space="preserve">according to each of the five perceived barriers to development. </w:t>
      </w:r>
    </w:p>
    <w:p w14:paraId="62D9746E" w14:textId="77777777" w:rsidR="00F8354F" w:rsidRPr="00BD2B94" w:rsidRDefault="00F8354F" w:rsidP="00BD2B94">
      <w:pPr>
        <w:rPr>
          <w:rFonts w:ascii="Avenir Next" w:hAnsi="Avenir Next"/>
          <w:sz w:val="24"/>
          <w:szCs w:val="24"/>
        </w:rPr>
      </w:pPr>
    </w:p>
    <w:p w14:paraId="6C7282E4" w14:textId="1F34D6C4" w:rsidR="009B444B" w:rsidRPr="00BD2B94" w:rsidRDefault="009B444B" w:rsidP="00BD2B94">
      <w:pPr>
        <w:pStyle w:val="ListParagraph"/>
        <w:numPr>
          <w:ilvl w:val="0"/>
          <w:numId w:val="16"/>
        </w:numPr>
        <w:rPr>
          <w:rFonts w:ascii="Avenir Next" w:hAnsi="Avenir Next"/>
          <w:b/>
          <w:bCs/>
          <w:sz w:val="24"/>
          <w:szCs w:val="24"/>
        </w:rPr>
      </w:pPr>
      <w:r w:rsidRPr="00BD2B94">
        <w:rPr>
          <w:rFonts w:ascii="Avenir Next" w:hAnsi="Avenir Next"/>
          <w:b/>
          <w:bCs/>
          <w:sz w:val="24"/>
          <w:szCs w:val="24"/>
        </w:rPr>
        <w:t xml:space="preserve">Analysis </w:t>
      </w:r>
    </w:p>
    <w:p w14:paraId="64FDAE2B" w14:textId="77777777" w:rsidR="00B80E83" w:rsidRPr="00BD2B94" w:rsidRDefault="00F01002" w:rsidP="00BD2B94">
      <w:pPr>
        <w:pStyle w:val="ListParagraph"/>
        <w:numPr>
          <w:ilvl w:val="1"/>
          <w:numId w:val="16"/>
        </w:numPr>
        <w:rPr>
          <w:rFonts w:ascii="Avenir Next" w:hAnsi="Avenir Next"/>
          <w:sz w:val="24"/>
          <w:szCs w:val="24"/>
        </w:rPr>
      </w:pPr>
      <w:r w:rsidRPr="00BD2B94">
        <w:rPr>
          <w:rFonts w:ascii="Avenir Next" w:hAnsi="Avenir Next"/>
          <w:i/>
          <w:iCs/>
          <w:sz w:val="24"/>
          <w:szCs w:val="24"/>
        </w:rPr>
        <w:t>Ownership</w:t>
      </w:r>
      <w:r w:rsidR="00467BD7" w:rsidRPr="00BD2B94">
        <w:rPr>
          <w:rFonts w:ascii="Avenir Next" w:hAnsi="Avenir Next"/>
          <w:sz w:val="24"/>
          <w:szCs w:val="24"/>
        </w:rPr>
        <w:t xml:space="preserve">: </w:t>
      </w:r>
    </w:p>
    <w:p w14:paraId="0CFD5F04" w14:textId="44835DF1" w:rsidR="00F01002" w:rsidRPr="00BD2B94" w:rsidRDefault="00F13810" w:rsidP="00BD2B94">
      <w:pPr>
        <w:rPr>
          <w:rFonts w:ascii="Avenir Next" w:hAnsi="Avenir Next"/>
          <w:sz w:val="24"/>
          <w:szCs w:val="24"/>
        </w:rPr>
      </w:pPr>
      <w:r w:rsidRPr="00BD2B94">
        <w:rPr>
          <w:rFonts w:ascii="Avenir Next" w:hAnsi="Avenir Next"/>
          <w:sz w:val="24"/>
          <w:szCs w:val="24"/>
        </w:rPr>
        <w:t xml:space="preserve">The ownership of land is a core component in every development. The assumption in many arguments for local authority led housing development is that the authority can use supplies of public land to bring forward development without competing in the land market. Both democratic state action and market processes are </w:t>
      </w:r>
      <w:r w:rsidRPr="00BD2B94">
        <w:rPr>
          <w:rFonts w:ascii="Avenir Next" w:hAnsi="Avenir Next"/>
          <w:sz w:val="24"/>
          <w:szCs w:val="24"/>
        </w:rPr>
        <w:lastRenderedPageBreak/>
        <w:t xml:space="preserve">mechanisms for determining the priorities for land use. </w:t>
      </w:r>
      <w:r w:rsidR="00045B72" w:rsidRPr="00BD2B94">
        <w:rPr>
          <w:rFonts w:ascii="Avenir Next" w:hAnsi="Avenir Next"/>
          <w:sz w:val="24"/>
          <w:szCs w:val="24"/>
        </w:rPr>
        <w:t xml:space="preserve">In a perfect market </w:t>
      </w:r>
      <w:r w:rsidR="003E4652" w:rsidRPr="00BD2B94">
        <w:rPr>
          <w:rFonts w:ascii="Avenir Next" w:hAnsi="Avenir Next"/>
          <w:sz w:val="24"/>
          <w:szCs w:val="24"/>
        </w:rPr>
        <w:t>economy,</w:t>
      </w:r>
      <w:r w:rsidR="00045B72" w:rsidRPr="00BD2B94">
        <w:rPr>
          <w:rFonts w:ascii="Avenir Next" w:hAnsi="Avenir Next"/>
          <w:sz w:val="24"/>
          <w:szCs w:val="24"/>
        </w:rPr>
        <w:t xml:space="preserve"> the ownership of land is undertaken by the highest and best use </w:t>
      </w:r>
      <w:r w:rsidR="008D6725" w:rsidRPr="00BD2B94">
        <w:rPr>
          <w:rFonts w:ascii="Avenir Next" w:hAnsi="Avenir Next"/>
          <w:sz w:val="24"/>
          <w:szCs w:val="24"/>
        </w:rPr>
        <w:t>(</w:t>
      </w:r>
      <w:proofErr w:type="spellStart"/>
      <w:r w:rsidR="008D6725" w:rsidRPr="00BD2B94">
        <w:rPr>
          <w:rFonts w:ascii="Avenir Next" w:hAnsi="Avenir Next"/>
          <w:sz w:val="24"/>
          <w:szCs w:val="24"/>
        </w:rPr>
        <w:t>Dotzour</w:t>
      </w:r>
      <w:proofErr w:type="spellEnd"/>
      <w:r w:rsidR="008D6725" w:rsidRPr="00BD2B94">
        <w:rPr>
          <w:rFonts w:ascii="Avenir Next" w:hAnsi="Avenir Next"/>
          <w:sz w:val="24"/>
          <w:szCs w:val="24"/>
        </w:rPr>
        <w:t xml:space="preserve"> et al., 1990)</w:t>
      </w:r>
      <w:r w:rsidRPr="00BD2B94">
        <w:rPr>
          <w:rFonts w:ascii="Avenir Next" w:hAnsi="Avenir Next"/>
          <w:sz w:val="24"/>
          <w:szCs w:val="24"/>
        </w:rPr>
        <w:t xml:space="preserve"> which can provide the highest price for land. Under state control of land, the local authority may have variant views on the ‘values’ of land that would not yield the highest price in an open market (Adams and Watkins, 2014). Under the neoliberal agenda of the </w:t>
      </w:r>
      <w:r w:rsidR="0065465A" w:rsidRPr="00BD2B94">
        <w:rPr>
          <w:rFonts w:ascii="Avenir Next" w:hAnsi="Avenir Next"/>
          <w:sz w:val="24"/>
          <w:szCs w:val="24"/>
        </w:rPr>
        <w:t xml:space="preserve">recent </w:t>
      </w:r>
      <w:r w:rsidRPr="00BD2B94">
        <w:rPr>
          <w:rFonts w:ascii="Avenir Next" w:hAnsi="Avenir Next"/>
          <w:sz w:val="24"/>
          <w:szCs w:val="24"/>
        </w:rPr>
        <w:t>Coalition and then Conservative government</w:t>
      </w:r>
      <w:r w:rsidR="0065465A" w:rsidRPr="00BD2B94">
        <w:rPr>
          <w:rFonts w:ascii="Avenir Next" w:hAnsi="Avenir Next"/>
          <w:sz w:val="24"/>
          <w:szCs w:val="24"/>
        </w:rPr>
        <w:t>s in England</w:t>
      </w:r>
      <w:r w:rsidRPr="00BD2B94">
        <w:rPr>
          <w:rFonts w:ascii="Avenir Next" w:hAnsi="Avenir Next"/>
          <w:sz w:val="24"/>
          <w:szCs w:val="24"/>
        </w:rPr>
        <w:t xml:space="preserve"> it is unsurprising to see local authorities being encouraged to bring land to the open market as housing market ‘enablers’ (</w:t>
      </w:r>
      <w:proofErr w:type="spellStart"/>
      <w:r w:rsidRPr="00BD2B94">
        <w:rPr>
          <w:rFonts w:ascii="Avenir Next" w:hAnsi="Avenir Next"/>
          <w:sz w:val="24"/>
          <w:szCs w:val="24"/>
        </w:rPr>
        <w:t>Elphicke</w:t>
      </w:r>
      <w:proofErr w:type="spellEnd"/>
      <w:r w:rsidRPr="00BD2B94">
        <w:rPr>
          <w:rFonts w:ascii="Avenir Next" w:hAnsi="Avenir Next"/>
          <w:sz w:val="24"/>
          <w:szCs w:val="24"/>
        </w:rPr>
        <w:t xml:space="preserve">-House, 2015). However, </w:t>
      </w:r>
      <w:r w:rsidR="003E4652" w:rsidRPr="00BD2B94">
        <w:rPr>
          <w:rFonts w:ascii="Avenir Next" w:hAnsi="Avenir Next"/>
          <w:sz w:val="24"/>
          <w:szCs w:val="24"/>
        </w:rPr>
        <w:t>l</w:t>
      </w:r>
      <w:r w:rsidRPr="00BD2B94">
        <w:rPr>
          <w:rFonts w:ascii="Avenir Next" w:hAnsi="Avenir Next"/>
          <w:sz w:val="24"/>
          <w:szCs w:val="24"/>
        </w:rPr>
        <w:t>ocal authorities may contain multiple objectives, of which releasing land for h</w:t>
      </w:r>
      <w:r w:rsidR="00F01002" w:rsidRPr="00BD2B94">
        <w:rPr>
          <w:rFonts w:ascii="Avenir Next" w:hAnsi="Avenir Next"/>
          <w:sz w:val="24"/>
          <w:szCs w:val="24"/>
        </w:rPr>
        <w:t>ousing development</w:t>
      </w:r>
      <w:r w:rsidRPr="00BD2B94">
        <w:rPr>
          <w:rFonts w:ascii="Avenir Next" w:hAnsi="Avenir Next"/>
          <w:sz w:val="24"/>
          <w:szCs w:val="24"/>
        </w:rPr>
        <w:t xml:space="preserve"> is but one;</w:t>
      </w:r>
      <w:r w:rsidR="00F01002" w:rsidRPr="00BD2B94">
        <w:rPr>
          <w:rFonts w:ascii="Avenir Next" w:hAnsi="Avenir Next"/>
          <w:sz w:val="24"/>
          <w:szCs w:val="24"/>
        </w:rPr>
        <w:t xml:space="preserve"> as more efficient uses of public land may include achieving the best economic return on land disposal </w:t>
      </w:r>
      <w:r w:rsidR="0065465A" w:rsidRPr="00BD2B94">
        <w:rPr>
          <w:rFonts w:ascii="Avenir Next" w:hAnsi="Avenir Next"/>
          <w:sz w:val="24"/>
          <w:szCs w:val="24"/>
        </w:rPr>
        <w:t xml:space="preserve">regardless of its eventual use </w:t>
      </w:r>
      <w:r w:rsidR="00F01002" w:rsidRPr="00BD2B94">
        <w:rPr>
          <w:rFonts w:ascii="Avenir Next" w:hAnsi="Avenir Next"/>
          <w:sz w:val="24"/>
          <w:szCs w:val="24"/>
        </w:rPr>
        <w:t>or be focused on the need for other public or commercial services and amenities (Thomson and Wilkes, 2014).</w:t>
      </w:r>
    </w:p>
    <w:p w14:paraId="6F32C6C9" w14:textId="02843ACB" w:rsidR="00F01002" w:rsidRPr="00BD2B94" w:rsidRDefault="00F01002" w:rsidP="00BD2B94">
      <w:pPr>
        <w:ind w:left="720"/>
        <w:rPr>
          <w:rFonts w:ascii="Avenir Next" w:hAnsi="Avenir Next"/>
          <w:sz w:val="24"/>
          <w:szCs w:val="24"/>
        </w:rPr>
      </w:pPr>
      <w:r w:rsidRPr="00BD2B94">
        <w:rPr>
          <w:rFonts w:ascii="Avenir Next" w:hAnsi="Avenir Next"/>
          <w:sz w:val="24"/>
          <w:szCs w:val="24"/>
        </w:rPr>
        <w:t xml:space="preserve">“There is no sort of over-arching planning policy or corporate policy on how the council uses its own assets in respect of housing or indeed in respect of other essential community infrastructure. That might be considered a </w:t>
      </w:r>
      <w:r w:rsidR="00D9437C" w:rsidRPr="00BD2B94">
        <w:rPr>
          <w:rFonts w:ascii="Avenir Next" w:hAnsi="Avenir Next"/>
          <w:sz w:val="24"/>
          <w:szCs w:val="24"/>
        </w:rPr>
        <w:t>deficiency but</w:t>
      </w:r>
      <w:r w:rsidRPr="00BD2B94">
        <w:rPr>
          <w:rFonts w:ascii="Avenir Next" w:hAnsi="Avenir Next"/>
          <w:sz w:val="24"/>
          <w:szCs w:val="24"/>
        </w:rPr>
        <w:t xml:space="preserve"> isn’t evidenced by our own ability to meet our own housing delivery target.” (</w:t>
      </w:r>
      <w:r w:rsidR="00ED4881" w:rsidRPr="00BD2B94">
        <w:rPr>
          <w:rFonts w:ascii="Avenir Next" w:hAnsi="Avenir Next"/>
          <w:sz w:val="24"/>
          <w:szCs w:val="24"/>
        </w:rPr>
        <w:t>Case Study A</w:t>
      </w:r>
      <w:r w:rsidRPr="00BD2B94">
        <w:rPr>
          <w:rFonts w:ascii="Avenir Next" w:hAnsi="Avenir Next"/>
          <w:sz w:val="24"/>
          <w:szCs w:val="24"/>
        </w:rPr>
        <w:t>)</w:t>
      </w:r>
    </w:p>
    <w:p w14:paraId="0A00FEEA" w14:textId="325AE66B" w:rsidR="00F01002" w:rsidRPr="00BD2B94" w:rsidRDefault="00F01002" w:rsidP="00BD2B94">
      <w:pPr>
        <w:rPr>
          <w:rFonts w:ascii="Avenir Next" w:hAnsi="Avenir Next"/>
          <w:sz w:val="24"/>
          <w:szCs w:val="24"/>
        </w:rPr>
      </w:pPr>
      <w:r w:rsidRPr="00BD2B94">
        <w:rPr>
          <w:rFonts w:ascii="Avenir Next" w:hAnsi="Avenir Next"/>
          <w:sz w:val="24"/>
          <w:szCs w:val="24"/>
        </w:rPr>
        <w:t xml:space="preserve">These debates are played out within the internal political and institutional structures of local authorities, and the extent to which there was coherence within and between different parts of these structures affected the prospect of land being released for housing. One local authority interviewed described how a decision to assess all sites in council ownership for affordable housing development had been taken by their Elected Members, signalling a clear priority for internal decision-making. This priority had been set as a response to high levels of housing need and growing use of temporary accommodation for homeless households, highlighting the need for more affordable housing. This led to coherent decision-making by officers deciding on the suitability and viability of sites for housing development, as well as clarity as to the type of housing land could be used </w:t>
      </w:r>
      <w:r w:rsidR="00D9437C" w:rsidRPr="00BD2B94">
        <w:rPr>
          <w:rFonts w:ascii="Avenir Next" w:hAnsi="Avenir Next"/>
          <w:sz w:val="24"/>
          <w:szCs w:val="24"/>
        </w:rPr>
        <w:t>for and</w:t>
      </w:r>
      <w:r w:rsidRPr="00BD2B94">
        <w:rPr>
          <w:rFonts w:ascii="Avenir Next" w:hAnsi="Avenir Next"/>
          <w:sz w:val="24"/>
          <w:szCs w:val="24"/>
        </w:rPr>
        <w:t xml:space="preserve"> allowed different teams within the local authority to work in tandem towards shared and agreed goals. This local authority also adopted an approach to use land more strategically in order to generate revenue; for </w:t>
      </w:r>
      <w:r w:rsidR="00D9437C" w:rsidRPr="00BD2B94">
        <w:rPr>
          <w:rFonts w:ascii="Avenir Next" w:hAnsi="Avenir Next"/>
          <w:sz w:val="24"/>
          <w:szCs w:val="24"/>
        </w:rPr>
        <w:t>instance,</w:t>
      </w:r>
      <w:r w:rsidRPr="00BD2B94">
        <w:rPr>
          <w:rFonts w:ascii="Avenir Next" w:hAnsi="Avenir Next"/>
          <w:sz w:val="24"/>
          <w:szCs w:val="24"/>
        </w:rPr>
        <w:t xml:space="preserve"> development of temporary accommodation units which would be leased to a local housing association for management, and simultaneously guarantee a long-term revenue stream and meet key housing objectives. This echoes findings </w:t>
      </w:r>
      <w:r w:rsidR="00D9437C" w:rsidRPr="00BD2B94">
        <w:rPr>
          <w:rFonts w:ascii="Avenir Next" w:hAnsi="Avenir Next"/>
          <w:sz w:val="24"/>
          <w:szCs w:val="24"/>
        </w:rPr>
        <w:t>in</w:t>
      </w:r>
      <w:r w:rsidRPr="00BD2B94">
        <w:rPr>
          <w:rFonts w:ascii="Avenir Next" w:hAnsi="Avenir Next"/>
          <w:sz w:val="24"/>
          <w:szCs w:val="24"/>
        </w:rPr>
        <w:t xml:space="preserve"> other research which show</w:t>
      </w:r>
      <w:r w:rsidR="00D9437C" w:rsidRPr="00BD2B94">
        <w:rPr>
          <w:rFonts w:ascii="Avenir Next" w:hAnsi="Avenir Next"/>
          <w:sz w:val="24"/>
          <w:szCs w:val="24"/>
        </w:rPr>
        <w:t>s</w:t>
      </w:r>
      <w:r w:rsidRPr="00BD2B94">
        <w:rPr>
          <w:rFonts w:ascii="Avenir Next" w:hAnsi="Avenir Next"/>
          <w:sz w:val="24"/>
          <w:szCs w:val="24"/>
        </w:rPr>
        <w:t xml:space="preserve"> that many local authorities </w:t>
      </w:r>
      <w:r w:rsidR="00D9437C" w:rsidRPr="00BD2B94">
        <w:rPr>
          <w:rFonts w:ascii="Avenir Next" w:hAnsi="Avenir Next"/>
          <w:sz w:val="24"/>
          <w:szCs w:val="24"/>
        </w:rPr>
        <w:t>have</w:t>
      </w:r>
      <w:r w:rsidRPr="00BD2B94">
        <w:rPr>
          <w:rFonts w:ascii="Avenir Next" w:hAnsi="Avenir Next"/>
          <w:sz w:val="24"/>
          <w:szCs w:val="24"/>
        </w:rPr>
        <w:t xml:space="preserve"> mov</w:t>
      </w:r>
      <w:r w:rsidR="00D9437C" w:rsidRPr="00BD2B94">
        <w:rPr>
          <w:rFonts w:ascii="Avenir Next" w:hAnsi="Avenir Next"/>
          <w:sz w:val="24"/>
          <w:szCs w:val="24"/>
        </w:rPr>
        <w:t>ed</w:t>
      </w:r>
      <w:r w:rsidRPr="00BD2B94">
        <w:rPr>
          <w:rFonts w:ascii="Avenir Next" w:hAnsi="Avenir Next"/>
          <w:sz w:val="24"/>
          <w:szCs w:val="24"/>
        </w:rPr>
        <w:t xml:space="preserve"> away from taking one-off capital receipts for land and </w:t>
      </w:r>
      <w:r w:rsidR="00D9437C" w:rsidRPr="00BD2B94">
        <w:rPr>
          <w:rFonts w:ascii="Avenir Next" w:hAnsi="Avenir Next"/>
          <w:sz w:val="24"/>
          <w:szCs w:val="24"/>
        </w:rPr>
        <w:t xml:space="preserve">assets </w:t>
      </w:r>
      <w:r w:rsidR="00D9437C" w:rsidRPr="00BD2B94">
        <w:rPr>
          <w:rFonts w:ascii="Avenir Next" w:hAnsi="Avenir Next"/>
          <w:sz w:val="24"/>
          <w:szCs w:val="24"/>
        </w:rPr>
        <w:lastRenderedPageBreak/>
        <w:t>and</w:t>
      </w:r>
      <w:r w:rsidRPr="00BD2B94">
        <w:rPr>
          <w:rFonts w:ascii="Avenir Next" w:hAnsi="Avenir Next"/>
          <w:sz w:val="24"/>
          <w:szCs w:val="24"/>
        </w:rPr>
        <w:t xml:space="preserve"> are instead looking to maximise revenue income and community benefits over the longer-term (Thomson and Wilkes, 201</w:t>
      </w:r>
      <w:r w:rsidR="003E4652" w:rsidRPr="00BD2B94">
        <w:rPr>
          <w:rFonts w:ascii="Avenir Next" w:hAnsi="Avenir Next"/>
          <w:sz w:val="24"/>
          <w:szCs w:val="24"/>
        </w:rPr>
        <w:t>4</w:t>
      </w:r>
      <w:r w:rsidRPr="00BD2B94">
        <w:rPr>
          <w:rFonts w:ascii="Avenir Next" w:hAnsi="Avenir Next"/>
          <w:sz w:val="24"/>
          <w:szCs w:val="24"/>
        </w:rPr>
        <w:t>).</w:t>
      </w:r>
    </w:p>
    <w:p w14:paraId="63400E14" w14:textId="77777777" w:rsidR="00F01002" w:rsidRPr="00BD2B94" w:rsidRDefault="00F01002" w:rsidP="00BD2B94">
      <w:pPr>
        <w:rPr>
          <w:rFonts w:ascii="Avenir Next" w:hAnsi="Avenir Next"/>
          <w:sz w:val="24"/>
          <w:szCs w:val="24"/>
        </w:rPr>
      </w:pPr>
      <w:r w:rsidRPr="00BD2B94">
        <w:rPr>
          <w:rFonts w:ascii="Avenir Next" w:hAnsi="Avenir Next"/>
          <w:sz w:val="24"/>
          <w:szCs w:val="24"/>
        </w:rPr>
        <w:t>In other areas, a lack of clarity as to the strategic priorities of local authorities meant that tensions between competing uses emerged. Politically, this involved the intervention of Elected Members in decision-making processes in ways that can constrain the use of land for housing development. In our interviews, this related to different perceptions as to the type of housing that should be built on local authority land. Sites sold to developers of market housing often brought greater capital receipts, seen as important to local authorities in austere times, while delivery of affordable housing was seen by others as critical to the achievement of key housing objectives and relieving housing need. These interventions sometimes constrained decision-making and slowed the release of land for housing.</w:t>
      </w:r>
    </w:p>
    <w:p w14:paraId="2B690283" w14:textId="4106E130" w:rsidR="00F01002" w:rsidRPr="00BD2B94" w:rsidRDefault="00F01002" w:rsidP="00BD2B94">
      <w:pPr>
        <w:ind w:left="720"/>
        <w:rPr>
          <w:rFonts w:ascii="Avenir Next" w:hAnsi="Avenir Next"/>
          <w:sz w:val="24"/>
          <w:szCs w:val="24"/>
        </w:rPr>
      </w:pPr>
      <w:r w:rsidRPr="00BD2B94">
        <w:rPr>
          <w:rFonts w:ascii="Avenir Next" w:hAnsi="Avenir Next"/>
          <w:sz w:val="24"/>
          <w:szCs w:val="24"/>
        </w:rPr>
        <w:t>“The property services team review all local [authority] land annually. They then forward on details to the planning team, who include appropriate sites in an outline SHLAA (Strategic Housing Land Availability Assessment). Members then revise the SHLAA and normally remove all of the local authority land, for a range of reasons, but also because they don’t believe there’s a housing shortage.” (</w:t>
      </w:r>
      <w:r w:rsidR="00ED4881" w:rsidRPr="00BD2B94">
        <w:rPr>
          <w:rFonts w:ascii="Avenir Next" w:hAnsi="Avenir Next"/>
          <w:sz w:val="24"/>
          <w:szCs w:val="24"/>
        </w:rPr>
        <w:t>Case Study B</w:t>
      </w:r>
      <w:r w:rsidRPr="00BD2B94">
        <w:rPr>
          <w:rFonts w:ascii="Avenir Next" w:hAnsi="Avenir Next"/>
          <w:sz w:val="24"/>
          <w:szCs w:val="24"/>
        </w:rPr>
        <w:t>)</w:t>
      </w:r>
    </w:p>
    <w:p w14:paraId="7C6D8A65" w14:textId="7F8C2C56" w:rsidR="00F01002" w:rsidRPr="00BD2B94" w:rsidRDefault="0065465A" w:rsidP="00BD2B94">
      <w:pPr>
        <w:rPr>
          <w:rFonts w:ascii="Avenir Next" w:hAnsi="Avenir Next"/>
          <w:sz w:val="24"/>
          <w:szCs w:val="24"/>
        </w:rPr>
      </w:pPr>
      <w:r w:rsidRPr="00BD2B94">
        <w:rPr>
          <w:rFonts w:ascii="Avenir Next" w:hAnsi="Avenir Next"/>
          <w:sz w:val="24"/>
          <w:szCs w:val="24"/>
        </w:rPr>
        <w:t xml:space="preserve">In addition to political intervention, interviewees observed </w:t>
      </w:r>
      <w:r w:rsidR="00F01002" w:rsidRPr="00BD2B94">
        <w:rPr>
          <w:rFonts w:ascii="Avenir Next" w:hAnsi="Avenir Next"/>
          <w:sz w:val="24"/>
          <w:szCs w:val="24"/>
        </w:rPr>
        <w:t xml:space="preserve">institutional disconnect and competing internal interests </w:t>
      </w:r>
      <w:r w:rsidRPr="00BD2B94">
        <w:rPr>
          <w:rFonts w:ascii="Avenir Next" w:hAnsi="Avenir Next"/>
          <w:sz w:val="24"/>
          <w:szCs w:val="24"/>
        </w:rPr>
        <w:t xml:space="preserve">between different local authority functions that </w:t>
      </w:r>
      <w:r w:rsidR="00F01002" w:rsidRPr="00BD2B94">
        <w:rPr>
          <w:rFonts w:ascii="Avenir Next" w:hAnsi="Avenir Next"/>
          <w:sz w:val="24"/>
          <w:szCs w:val="24"/>
        </w:rPr>
        <w:t>impeded land use. Commercial management of land and obtaining best economic value sometimes collided with the delivery of non-market housing. Interviewees in some local authorities observed a lack of joined-up internal decision-making as to the development potential and viability of land. In one instance, the property services team of a local authority had sold a plot of land on the open market subject to planning permission having identified it for development, before the planning department of the same authority rejected a planning application. This type of institutional disconnect stemmed from ambiguity over prioritisation and a lack of internal clarity as to the assessment and use of local authority land. This raised concern amongst interviewees in the private sector as to the speed at which public land could be released and its consequent detrimental impact on the delivery of local housing.</w:t>
      </w:r>
    </w:p>
    <w:p w14:paraId="615D51AC" w14:textId="54131C9C" w:rsidR="00B80E83" w:rsidRPr="00BD2B94" w:rsidRDefault="00F01002" w:rsidP="00BD2B94">
      <w:pPr>
        <w:pStyle w:val="ListParagraph"/>
        <w:numPr>
          <w:ilvl w:val="1"/>
          <w:numId w:val="16"/>
        </w:numPr>
        <w:rPr>
          <w:rFonts w:ascii="Avenir Next" w:hAnsi="Avenir Next"/>
          <w:sz w:val="24"/>
          <w:szCs w:val="24"/>
        </w:rPr>
      </w:pPr>
      <w:r w:rsidRPr="00BD2B94">
        <w:rPr>
          <w:rFonts w:ascii="Avenir Next" w:hAnsi="Avenir Next"/>
          <w:i/>
          <w:iCs/>
          <w:sz w:val="24"/>
          <w:szCs w:val="24"/>
        </w:rPr>
        <w:t>Finance and Funding</w:t>
      </w:r>
      <w:r w:rsidR="00467BD7" w:rsidRPr="00BD2B94">
        <w:rPr>
          <w:rFonts w:ascii="Avenir Next" w:hAnsi="Avenir Next"/>
          <w:i/>
          <w:iCs/>
          <w:sz w:val="24"/>
          <w:szCs w:val="24"/>
        </w:rPr>
        <w:t>:</w:t>
      </w:r>
      <w:r w:rsidR="00467BD7" w:rsidRPr="00BD2B94">
        <w:rPr>
          <w:rFonts w:ascii="Avenir Next" w:hAnsi="Avenir Next"/>
          <w:sz w:val="24"/>
          <w:szCs w:val="24"/>
        </w:rPr>
        <w:t xml:space="preserve"> </w:t>
      </w:r>
    </w:p>
    <w:p w14:paraId="335C0A7E" w14:textId="167722CC" w:rsidR="00EB3ACF" w:rsidRPr="00BD2B94" w:rsidRDefault="001850C3" w:rsidP="00BD2B94">
      <w:pPr>
        <w:rPr>
          <w:rFonts w:ascii="Avenir Next" w:hAnsi="Avenir Next"/>
          <w:sz w:val="24"/>
          <w:szCs w:val="24"/>
        </w:rPr>
      </w:pPr>
      <w:r w:rsidRPr="00BD2B94">
        <w:rPr>
          <w:rFonts w:ascii="Avenir Next" w:hAnsi="Avenir Next"/>
          <w:sz w:val="24"/>
          <w:szCs w:val="24"/>
        </w:rPr>
        <w:lastRenderedPageBreak/>
        <w:t>If local authorities are to us</w:t>
      </w:r>
      <w:r w:rsidR="0065465A" w:rsidRPr="00BD2B94">
        <w:rPr>
          <w:rFonts w:ascii="Avenir Next" w:hAnsi="Avenir Next"/>
          <w:sz w:val="24"/>
          <w:szCs w:val="24"/>
        </w:rPr>
        <w:t>e</w:t>
      </w:r>
      <w:r w:rsidRPr="00BD2B94">
        <w:rPr>
          <w:rFonts w:ascii="Avenir Next" w:hAnsi="Avenir Next"/>
          <w:sz w:val="24"/>
          <w:szCs w:val="24"/>
        </w:rPr>
        <w:t xml:space="preserve"> their land in their role as housing enablers, they are likely to require access to finance. To support this t</w:t>
      </w:r>
      <w:r w:rsidR="00EB3ACF" w:rsidRPr="00BD2B94">
        <w:rPr>
          <w:rFonts w:ascii="Avenir Next" w:hAnsi="Avenir Next"/>
          <w:sz w:val="24"/>
          <w:szCs w:val="24"/>
        </w:rPr>
        <w:t xml:space="preserve">he Localism Act 2011 and the change in public accounting practices (International Accounting Standards) has made it easier in principle for local authorities to act like private developers in raise finances through bonds for house building (Morphet, 2016). In all three case study locations local authorities had considered the use of new mechanisms to raise finance for house building, </w:t>
      </w:r>
      <w:r w:rsidRPr="00BD2B94">
        <w:rPr>
          <w:rFonts w:ascii="Avenir Next" w:hAnsi="Avenir Next"/>
          <w:sz w:val="24"/>
          <w:szCs w:val="24"/>
        </w:rPr>
        <w:t>however</w:t>
      </w:r>
      <w:r w:rsidR="00EB3ACF" w:rsidRPr="00BD2B94">
        <w:rPr>
          <w:rFonts w:ascii="Avenir Next" w:hAnsi="Avenir Next"/>
          <w:sz w:val="24"/>
          <w:szCs w:val="24"/>
        </w:rPr>
        <w:t xml:space="preserve"> none had actually raised finances on the bond market</w:t>
      </w:r>
      <w:r w:rsidRPr="00BD2B94">
        <w:rPr>
          <w:rFonts w:ascii="Avenir Next" w:hAnsi="Avenir Next"/>
          <w:sz w:val="24"/>
          <w:szCs w:val="24"/>
        </w:rPr>
        <w:t xml:space="preserve"> and only</w:t>
      </w:r>
      <w:r w:rsidR="00EB3ACF" w:rsidRPr="00BD2B94">
        <w:rPr>
          <w:rFonts w:ascii="Avenir Next" w:hAnsi="Avenir Next"/>
          <w:sz w:val="24"/>
          <w:szCs w:val="24"/>
        </w:rPr>
        <w:t xml:space="preserve"> one authority had entered into a joint venture with a private business </w:t>
      </w:r>
      <w:r w:rsidRPr="00BD2B94">
        <w:rPr>
          <w:rFonts w:ascii="Avenir Next" w:hAnsi="Avenir Next"/>
          <w:sz w:val="24"/>
          <w:szCs w:val="24"/>
        </w:rPr>
        <w:t xml:space="preserve">to create </w:t>
      </w:r>
      <w:r w:rsidR="00EB3ACF" w:rsidRPr="00BD2B94">
        <w:rPr>
          <w:rFonts w:ascii="Avenir Next" w:hAnsi="Avenir Next"/>
          <w:sz w:val="24"/>
          <w:szCs w:val="24"/>
        </w:rPr>
        <w:t xml:space="preserve">an alternative structure to raise finances for development. </w:t>
      </w:r>
    </w:p>
    <w:p w14:paraId="1AD3970F" w14:textId="20BE6CCF" w:rsidR="00281807" w:rsidRPr="00BD2B94" w:rsidRDefault="00EB3ACF" w:rsidP="00BD2B94">
      <w:pPr>
        <w:rPr>
          <w:rFonts w:ascii="Avenir Next" w:hAnsi="Avenir Next"/>
          <w:sz w:val="24"/>
          <w:szCs w:val="24"/>
        </w:rPr>
      </w:pPr>
      <w:r w:rsidRPr="00BD2B94">
        <w:rPr>
          <w:rFonts w:ascii="Avenir Next" w:hAnsi="Avenir Next"/>
          <w:sz w:val="24"/>
          <w:szCs w:val="24"/>
        </w:rPr>
        <w:t xml:space="preserve">Enabling funding for house building enables one component of delivery, but public </w:t>
      </w:r>
      <w:r w:rsidR="00F33C33" w:rsidRPr="00BD2B94">
        <w:rPr>
          <w:rFonts w:ascii="Avenir Next" w:hAnsi="Avenir Next"/>
          <w:sz w:val="24"/>
          <w:szCs w:val="24"/>
        </w:rPr>
        <w:t>landowners</w:t>
      </w:r>
      <w:r w:rsidRPr="00BD2B94">
        <w:rPr>
          <w:rFonts w:ascii="Avenir Next" w:hAnsi="Avenir Next"/>
          <w:sz w:val="24"/>
          <w:szCs w:val="24"/>
        </w:rPr>
        <w:t xml:space="preserve"> need to be convinced of the financial merit of development. As such, t</w:t>
      </w:r>
      <w:r w:rsidR="00281807" w:rsidRPr="00BD2B94">
        <w:rPr>
          <w:rFonts w:ascii="Avenir Next" w:hAnsi="Avenir Next"/>
          <w:sz w:val="24"/>
          <w:szCs w:val="24"/>
        </w:rPr>
        <w:t>he distinction between use and exchange values, which have proved problematic in some case of housing delivery may not always be resolved through local authority activity. The use value of land as housing has both a financial and a social underpinning, which may be desirable for a local authority to support. However, the exchange use also has a function for stakeholders, which may be less concerned with the delivery of high quality, affordable housing, than achieving the highest price for the land. In instances where other public organisations, such as the Ministry of Defence or National Health Service own land, there may be little incentive beyond maximising the exchange value of land to provide housing. In Case Study C there was a parcel of land that was highly suitable for housing, but in a lower house priced area</w:t>
      </w:r>
      <w:r w:rsidR="0065465A" w:rsidRPr="00BD2B94">
        <w:rPr>
          <w:rFonts w:ascii="Avenir Next" w:hAnsi="Avenir Next"/>
          <w:sz w:val="24"/>
          <w:szCs w:val="24"/>
        </w:rPr>
        <w:t xml:space="preserve">. In </w:t>
      </w:r>
      <w:r w:rsidR="00281807" w:rsidRPr="00BD2B94">
        <w:rPr>
          <w:rFonts w:ascii="Avenir Next" w:hAnsi="Avenir Next"/>
          <w:sz w:val="24"/>
          <w:szCs w:val="24"/>
        </w:rPr>
        <w:t xml:space="preserve">order to be attractive for private development the cost of the land had to be low, but this contrasted with the landowner’s (a public health organisation) remit, waiting for house prices to rise and change the land value. In case study </w:t>
      </w:r>
      <w:proofErr w:type="spellStart"/>
      <w:r w:rsidR="00281807" w:rsidRPr="00BD2B94">
        <w:rPr>
          <w:rFonts w:ascii="Avenir Next" w:hAnsi="Avenir Next"/>
          <w:sz w:val="24"/>
          <w:szCs w:val="24"/>
        </w:rPr>
        <w:t>B</w:t>
      </w:r>
      <w:proofErr w:type="spellEnd"/>
      <w:r w:rsidR="00281807" w:rsidRPr="00BD2B94">
        <w:rPr>
          <w:rFonts w:ascii="Avenir Next" w:hAnsi="Avenir Next"/>
          <w:sz w:val="24"/>
          <w:szCs w:val="24"/>
        </w:rPr>
        <w:t xml:space="preserve"> the legal covenants that were carried over from land transfers were problematic for the Registered Provider to access financial support for the development of housing.</w:t>
      </w:r>
    </w:p>
    <w:p w14:paraId="497A34C1" w14:textId="0F724B8E" w:rsidR="002F65A2" w:rsidRPr="00BD2B94" w:rsidRDefault="002F65A2" w:rsidP="00BD2B94">
      <w:pPr>
        <w:rPr>
          <w:rFonts w:ascii="Avenir Next" w:hAnsi="Avenir Next"/>
          <w:sz w:val="24"/>
          <w:szCs w:val="24"/>
        </w:rPr>
      </w:pPr>
      <w:r w:rsidRPr="00BD2B94">
        <w:rPr>
          <w:rFonts w:ascii="Avenir Next" w:hAnsi="Avenir Next"/>
          <w:sz w:val="24"/>
          <w:szCs w:val="24"/>
        </w:rPr>
        <w:t xml:space="preserve">These examples suggest that making finance available to local authorities is significant in unlocking land for housing development. However, the intrinsic qualities of the public land holding (see below) may mean that both higher risk and lower return finance is required. Local authorities may be in a better position to accept this risk and return than private developers, but this may have a cost in limiting the ability of the local authority to accept other risks or achieve higher returns elsewhere. </w:t>
      </w:r>
    </w:p>
    <w:p w14:paraId="1BB4A13A" w14:textId="4EC8A55E" w:rsidR="00B80E83" w:rsidRPr="00BD2B94" w:rsidRDefault="00F01002" w:rsidP="00BD2B94">
      <w:pPr>
        <w:pStyle w:val="ListParagraph"/>
        <w:numPr>
          <w:ilvl w:val="1"/>
          <w:numId w:val="16"/>
        </w:numPr>
        <w:rPr>
          <w:rFonts w:ascii="Avenir Next" w:hAnsi="Avenir Next"/>
          <w:i/>
          <w:iCs/>
          <w:sz w:val="24"/>
          <w:szCs w:val="24"/>
        </w:rPr>
      </w:pPr>
      <w:r w:rsidRPr="00BD2B94">
        <w:rPr>
          <w:rFonts w:ascii="Avenir Next" w:hAnsi="Avenir Next"/>
          <w:i/>
          <w:iCs/>
          <w:sz w:val="24"/>
          <w:szCs w:val="24"/>
        </w:rPr>
        <w:t>Legal and Planning</w:t>
      </w:r>
    </w:p>
    <w:p w14:paraId="2AC832C3" w14:textId="764DCD00" w:rsidR="00D9437C" w:rsidRPr="00BD2B94" w:rsidRDefault="00467BD7" w:rsidP="00BD2B94">
      <w:pPr>
        <w:rPr>
          <w:rFonts w:ascii="Avenir Next" w:hAnsi="Avenir Next"/>
          <w:sz w:val="24"/>
          <w:szCs w:val="24"/>
        </w:rPr>
      </w:pPr>
      <w:r w:rsidRPr="00BD2B94">
        <w:rPr>
          <w:rFonts w:ascii="Avenir Next" w:hAnsi="Avenir Next"/>
          <w:sz w:val="24"/>
          <w:szCs w:val="24"/>
        </w:rPr>
        <w:lastRenderedPageBreak/>
        <w:t>P</w:t>
      </w:r>
      <w:r w:rsidR="00D9437C" w:rsidRPr="00BD2B94">
        <w:rPr>
          <w:rFonts w:ascii="Avenir Next" w:hAnsi="Avenir Next"/>
          <w:sz w:val="24"/>
          <w:szCs w:val="24"/>
        </w:rPr>
        <w:t>erhaps the greatest perceived advantage of local authorities bringing forward land for development is their monopoly on planning permission</w:t>
      </w:r>
      <w:r w:rsidR="0065465A" w:rsidRPr="00BD2B94">
        <w:rPr>
          <w:rFonts w:ascii="Avenir Next" w:hAnsi="Avenir Next"/>
          <w:sz w:val="24"/>
          <w:szCs w:val="24"/>
        </w:rPr>
        <w:t>, a</w:t>
      </w:r>
      <w:r w:rsidR="00EB3ACF" w:rsidRPr="00BD2B94">
        <w:rPr>
          <w:rFonts w:ascii="Avenir Next" w:hAnsi="Avenir Next"/>
          <w:sz w:val="24"/>
          <w:szCs w:val="24"/>
        </w:rPr>
        <w:t xml:space="preserve">lthough even in other </w:t>
      </w:r>
      <w:r w:rsidR="0059561A" w:rsidRPr="00BD2B94">
        <w:rPr>
          <w:rFonts w:ascii="Avenir Next" w:hAnsi="Avenir Next"/>
          <w:sz w:val="24"/>
          <w:szCs w:val="24"/>
        </w:rPr>
        <w:t xml:space="preserve">democratic </w:t>
      </w:r>
      <w:r w:rsidR="00EB3ACF" w:rsidRPr="00BD2B94">
        <w:rPr>
          <w:rFonts w:ascii="Avenir Next" w:hAnsi="Avenir Next"/>
          <w:sz w:val="24"/>
          <w:szCs w:val="24"/>
        </w:rPr>
        <w:t xml:space="preserve">countries where this power is available to local authorities a monopoly does not equate to </w:t>
      </w:r>
      <w:r w:rsidR="0059561A" w:rsidRPr="00BD2B94">
        <w:rPr>
          <w:rFonts w:ascii="Avenir Next" w:hAnsi="Avenir Next"/>
          <w:sz w:val="24"/>
          <w:szCs w:val="24"/>
        </w:rPr>
        <w:t xml:space="preserve">a </w:t>
      </w:r>
      <w:r w:rsidR="00EB3ACF" w:rsidRPr="00BD2B94">
        <w:rPr>
          <w:rFonts w:ascii="Avenir Next" w:hAnsi="Avenir Next"/>
          <w:sz w:val="24"/>
          <w:szCs w:val="24"/>
        </w:rPr>
        <w:t xml:space="preserve">simple context for local authority led housing development (e.g. </w:t>
      </w:r>
      <w:proofErr w:type="spellStart"/>
      <w:r w:rsidR="00EB3ACF" w:rsidRPr="00BD2B94">
        <w:rPr>
          <w:rFonts w:ascii="Avenir Next" w:hAnsi="Avenir Next"/>
          <w:sz w:val="24"/>
          <w:szCs w:val="24"/>
        </w:rPr>
        <w:t>Priemus</w:t>
      </w:r>
      <w:proofErr w:type="spellEnd"/>
      <w:r w:rsidR="00EB3ACF" w:rsidRPr="00BD2B94">
        <w:rPr>
          <w:rFonts w:ascii="Avenir Next" w:hAnsi="Avenir Next"/>
          <w:sz w:val="24"/>
          <w:szCs w:val="24"/>
        </w:rPr>
        <w:t xml:space="preserve"> and </w:t>
      </w:r>
      <w:proofErr w:type="spellStart"/>
      <w:r w:rsidR="00EB3ACF" w:rsidRPr="00BD2B94">
        <w:rPr>
          <w:rFonts w:ascii="Avenir Next" w:hAnsi="Avenir Next"/>
          <w:sz w:val="24"/>
          <w:szCs w:val="24"/>
        </w:rPr>
        <w:t>Louw</w:t>
      </w:r>
      <w:proofErr w:type="spellEnd"/>
      <w:r w:rsidR="00EB3ACF" w:rsidRPr="00BD2B94">
        <w:rPr>
          <w:rFonts w:ascii="Avenir Next" w:hAnsi="Avenir Next"/>
          <w:sz w:val="24"/>
          <w:szCs w:val="24"/>
        </w:rPr>
        <w:t>, 2003)</w:t>
      </w:r>
      <w:r w:rsidR="00D9437C" w:rsidRPr="00BD2B94">
        <w:rPr>
          <w:rFonts w:ascii="Avenir Next" w:hAnsi="Avenir Next"/>
          <w:sz w:val="24"/>
          <w:szCs w:val="24"/>
        </w:rPr>
        <w:t xml:space="preserve">. </w:t>
      </w:r>
      <w:r w:rsidR="0065465A" w:rsidRPr="00BD2B94">
        <w:rPr>
          <w:rFonts w:ascii="Avenir Next" w:hAnsi="Avenir Next"/>
          <w:sz w:val="24"/>
          <w:szCs w:val="24"/>
        </w:rPr>
        <w:t>A l</w:t>
      </w:r>
      <w:r w:rsidR="00EB3ACF" w:rsidRPr="00BD2B94">
        <w:rPr>
          <w:rFonts w:ascii="Avenir Next" w:hAnsi="Avenir Next"/>
          <w:sz w:val="24"/>
          <w:szCs w:val="24"/>
        </w:rPr>
        <w:t>ocal authority’s</w:t>
      </w:r>
      <w:r w:rsidR="00D9437C" w:rsidRPr="00BD2B94">
        <w:rPr>
          <w:rFonts w:ascii="Avenir Next" w:hAnsi="Avenir Next"/>
          <w:sz w:val="24"/>
          <w:szCs w:val="24"/>
        </w:rPr>
        <w:t xml:space="preserve"> statutory right to define what is permissible</w:t>
      </w:r>
      <w:r w:rsidR="00EB3ACF" w:rsidRPr="00BD2B94">
        <w:rPr>
          <w:rFonts w:ascii="Avenir Next" w:hAnsi="Avenir Next"/>
          <w:sz w:val="24"/>
          <w:szCs w:val="24"/>
        </w:rPr>
        <w:t xml:space="preserve"> development</w:t>
      </w:r>
      <w:r w:rsidR="00D9437C" w:rsidRPr="00BD2B94">
        <w:rPr>
          <w:rFonts w:ascii="Avenir Next" w:hAnsi="Avenir Next"/>
          <w:sz w:val="24"/>
          <w:szCs w:val="24"/>
        </w:rPr>
        <w:t xml:space="preserve"> </w:t>
      </w:r>
      <w:r w:rsidR="00EB3ACF" w:rsidRPr="00BD2B94">
        <w:rPr>
          <w:rFonts w:ascii="Avenir Next" w:hAnsi="Avenir Next"/>
          <w:sz w:val="24"/>
          <w:szCs w:val="24"/>
        </w:rPr>
        <w:t>does</w:t>
      </w:r>
      <w:r w:rsidR="0065465A" w:rsidRPr="00BD2B94">
        <w:rPr>
          <w:rFonts w:ascii="Avenir Next" w:hAnsi="Avenir Next"/>
          <w:sz w:val="24"/>
          <w:szCs w:val="24"/>
        </w:rPr>
        <w:t>,</w:t>
      </w:r>
      <w:r w:rsidR="00EB3ACF" w:rsidRPr="00BD2B94">
        <w:rPr>
          <w:rFonts w:ascii="Avenir Next" w:hAnsi="Avenir Next"/>
          <w:sz w:val="24"/>
          <w:szCs w:val="24"/>
        </w:rPr>
        <w:t xml:space="preserve"> however</w:t>
      </w:r>
      <w:r w:rsidR="0065465A" w:rsidRPr="00BD2B94">
        <w:rPr>
          <w:rFonts w:ascii="Avenir Next" w:hAnsi="Avenir Next"/>
          <w:sz w:val="24"/>
          <w:szCs w:val="24"/>
        </w:rPr>
        <w:t>,</w:t>
      </w:r>
      <w:r w:rsidR="00EB3ACF" w:rsidRPr="00BD2B94">
        <w:rPr>
          <w:rFonts w:ascii="Avenir Next" w:hAnsi="Avenir Next"/>
          <w:sz w:val="24"/>
          <w:szCs w:val="24"/>
        </w:rPr>
        <w:t xml:space="preserve"> </w:t>
      </w:r>
      <w:r w:rsidR="00D9437C" w:rsidRPr="00BD2B94">
        <w:rPr>
          <w:rFonts w:ascii="Avenir Next" w:hAnsi="Avenir Next"/>
          <w:sz w:val="24"/>
          <w:szCs w:val="24"/>
        </w:rPr>
        <w:t xml:space="preserve">give them an opportunity which is not available to private developers (although with the extensions of </w:t>
      </w:r>
      <w:r w:rsidR="0059561A" w:rsidRPr="00BD2B94">
        <w:rPr>
          <w:rFonts w:ascii="Avenir Next" w:hAnsi="Avenir Next"/>
          <w:sz w:val="24"/>
          <w:szCs w:val="24"/>
        </w:rPr>
        <w:t xml:space="preserve">nationally determined </w:t>
      </w:r>
      <w:r w:rsidR="00D9437C" w:rsidRPr="00BD2B94">
        <w:rPr>
          <w:rFonts w:ascii="Avenir Next" w:hAnsi="Avenir Next"/>
          <w:sz w:val="24"/>
          <w:szCs w:val="24"/>
        </w:rPr>
        <w:t xml:space="preserve">permitted development rights, this local authority led role is being diminished). </w:t>
      </w:r>
    </w:p>
    <w:p w14:paraId="69689A10" w14:textId="4C7077C9" w:rsidR="00D9437C" w:rsidRPr="00BD2B94" w:rsidRDefault="00D9437C" w:rsidP="00BD2B94">
      <w:pPr>
        <w:rPr>
          <w:rFonts w:ascii="Avenir Next" w:hAnsi="Avenir Next"/>
          <w:sz w:val="24"/>
          <w:szCs w:val="24"/>
        </w:rPr>
      </w:pPr>
      <w:r w:rsidRPr="00BD2B94">
        <w:rPr>
          <w:rFonts w:ascii="Avenir Next" w:hAnsi="Avenir Next"/>
          <w:sz w:val="24"/>
          <w:szCs w:val="24"/>
        </w:rPr>
        <w:t xml:space="preserve">The assumption within this logic is that the motivations for permitting development is linked to a coherent policy within the local authority for what land should be used for. </w:t>
      </w:r>
      <w:r w:rsidR="00EB3ACF" w:rsidRPr="00BD2B94">
        <w:rPr>
          <w:rFonts w:ascii="Avenir Next" w:hAnsi="Avenir Next"/>
          <w:sz w:val="24"/>
          <w:szCs w:val="24"/>
        </w:rPr>
        <w:t xml:space="preserve">Under </w:t>
      </w:r>
      <w:r w:rsidRPr="00BD2B94">
        <w:rPr>
          <w:rFonts w:ascii="Avenir Next" w:hAnsi="Avenir Next"/>
          <w:sz w:val="24"/>
          <w:szCs w:val="24"/>
        </w:rPr>
        <w:t xml:space="preserve">market </w:t>
      </w:r>
      <w:r w:rsidR="00EB3ACF" w:rsidRPr="00BD2B94">
        <w:rPr>
          <w:rFonts w:ascii="Avenir Next" w:hAnsi="Avenir Next"/>
          <w:sz w:val="24"/>
          <w:szCs w:val="24"/>
        </w:rPr>
        <w:t xml:space="preserve">driven </w:t>
      </w:r>
      <w:r w:rsidRPr="00BD2B94">
        <w:rPr>
          <w:rFonts w:ascii="Avenir Next" w:hAnsi="Avenir Next"/>
          <w:sz w:val="24"/>
          <w:szCs w:val="24"/>
        </w:rPr>
        <w:t>logic, planning permission should be applied for the ‘highest and best’ use for the land</w:t>
      </w:r>
      <w:r w:rsidR="00EB3ACF" w:rsidRPr="00BD2B94">
        <w:rPr>
          <w:rFonts w:ascii="Avenir Next" w:hAnsi="Avenir Next"/>
          <w:sz w:val="24"/>
          <w:szCs w:val="24"/>
        </w:rPr>
        <w:t xml:space="preserve"> (Evans, 1973)</w:t>
      </w:r>
      <w:r w:rsidRPr="00BD2B94">
        <w:rPr>
          <w:rFonts w:ascii="Avenir Next" w:hAnsi="Avenir Next"/>
          <w:sz w:val="24"/>
          <w:szCs w:val="24"/>
        </w:rPr>
        <w:t xml:space="preserve">, but within the logic of political oversight this use </w:t>
      </w:r>
      <w:r w:rsidR="00EB3ACF" w:rsidRPr="00BD2B94">
        <w:rPr>
          <w:rFonts w:ascii="Avenir Next" w:hAnsi="Avenir Next"/>
          <w:sz w:val="24"/>
          <w:szCs w:val="24"/>
        </w:rPr>
        <w:t>often</w:t>
      </w:r>
      <w:r w:rsidRPr="00BD2B94">
        <w:rPr>
          <w:rFonts w:ascii="Avenir Next" w:hAnsi="Avenir Next"/>
          <w:sz w:val="24"/>
          <w:szCs w:val="24"/>
        </w:rPr>
        <w:t xml:space="preserve"> diverge</w:t>
      </w:r>
      <w:r w:rsidR="00EB3ACF" w:rsidRPr="00BD2B94">
        <w:rPr>
          <w:rFonts w:ascii="Avenir Next" w:hAnsi="Avenir Next"/>
          <w:sz w:val="24"/>
          <w:szCs w:val="24"/>
        </w:rPr>
        <w:t>s</w:t>
      </w:r>
      <w:r w:rsidRPr="00BD2B94">
        <w:rPr>
          <w:rFonts w:ascii="Avenir Next" w:hAnsi="Avenir Next"/>
          <w:sz w:val="24"/>
          <w:szCs w:val="24"/>
        </w:rPr>
        <w:t xml:space="preserve"> from the intentions of the politicians and local authority officers. </w:t>
      </w:r>
    </w:p>
    <w:p w14:paraId="03B72122" w14:textId="785AD836" w:rsidR="00D9437C" w:rsidRPr="00BD2B94" w:rsidRDefault="00D9437C" w:rsidP="00BD2B94">
      <w:pPr>
        <w:rPr>
          <w:rFonts w:ascii="Avenir Next" w:hAnsi="Avenir Next"/>
          <w:sz w:val="24"/>
          <w:szCs w:val="24"/>
        </w:rPr>
      </w:pPr>
      <w:r w:rsidRPr="00BD2B94">
        <w:rPr>
          <w:rFonts w:ascii="Avenir Next" w:hAnsi="Avenir Next"/>
          <w:sz w:val="24"/>
          <w:szCs w:val="24"/>
        </w:rPr>
        <w:t xml:space="preserve">In two of the case studies interviewees argued that whilst there may be a clear legal framework and local plan, councillors routinely intervened in the decision-making process to constrain the use of land for market and non-market housing. </w:t>
      </w:r>
    </w:p>
    <w:p w14:paraId="71C4BCCD" w14:textId="299C3DAB" w:rsidR="00F01002" w:rsidRPr="00BD2B94" w:rsidRDefault="00B4041D" w:rsidP="00BD2B94">
      <w:pPr>
        <w:rPr>
          <w:rFonts w:ascii="Avenir Next" w:hAnsi="Avenir Next"/>
          <w:sz w:val="24"/>
          <w:szCs w:val="24"/>
        </w:rPr>
      </w:pPr>
      <w:r w:rsidRPr="00BD2B94">
        <w:rPr>
          <w:rFonts w:ascii="Avenir Next" w:hAnsi="Avenir Next"/>
          <w:sz w:val="24"/>
          <w:szCs w:val="24"/>
        </w:rPr>
        <w:t>C</w:t>
      </w:r>
      <w:r w:rsidR="00F01002" w:rsidRPr="00BD2B94">
        <w:rPr>
          <w:rFonts w:ascii="Avenir Next" w:hAnsi="Avenir Next"/>
          <w:sz w:val="24"/>
          <w:szCs w:val="24"/>
        </w:rPr>
        <w:t xml:space="preserve">ase study </w:t>
      </w:r>
      <w:r w:rsidRPr="00BD2B94">
        <w:rPr>
          <w:rFonts w:ascii="Avenir Next" w:hAnsi="Avenir Next"/>
          <w:sz w:val="24"/>
          <w:szCs w:val="24"/>
        </w:rPr>
        <w:t>A</w:t>
      </w:r>
      <w:r w:rsidR="00F01002" w:rsidRPr="00BD2B94">
        <w:rPr>
          <w:rFonts w:ascii="Avenir Next" w:hAnsi="Avenir Next"/>
          <w:sz w:val="24"/>
          <w:szCs w:val="24"/>
        </w:rPr>
        <w:t xml:space="preserve"> had a very </w:t>
      </w:r>
      <w:r w:rsidR="00D9437C" w:rsidRPr="00BD2B94">
        <w:rPr>
          <w:rFonts w:ascii="Avenir Next" w:hAnsi="Avenir Next"/>
          <w:sz w:val="24"/>
          <w:szCs w:val="24"/>
        </w:rPr>
        <w:t>market-oriented</w:t>
      </w:r>
      <w:r w:rsidR="00F01002" w:rsidRPr="00BD2B94">
        <w:rPr>
          <w:rFonts w:ascii="Avenir Next" w:hAnsi="Avenir Next"/>
          <w:sz w:val="24"/>
          <w:szCs w:val="24"/>
        </w:rPr>
        <w:t xml:space="preserve"> approach - in the sense that the officers have a strong commitment to the disposal of land to market – but often disposal was blocked by elected members and/or the plans for the use of land were rejected at planning committee. Officers in case study </w:t>
      </w:r>
      <w:r w:rsidRPr="00BD2B94">
        <w:rPr>
          <w:rFonts w:ascii="Avenir Next" w:hAnsi="Avenir Next"/>
          <w:sz w:val="24"/>
          <w:szCs w:val="24"/>
        </w:rPr>
        <w:t>B</w:t>
      </w:r>
      <w:r w:rsidR="00F01002" w:rsidRPr="00BD2B94">
        <w:rPr>
          <w:rFonts w:ascii="Avenir Next" w:hAnsi="Avenir Next"/>
          <w:sz w:val="24"/>
          <w:szCs w:val="24"/>
        </w:rPr>
        <w:t xml:space="preserve"> saw the political composition of their members as being intrinsically linked to the view on how local authority land should be used to support local affordable housing development. </w:t>
      </w:r>
    </w:p>
    <w:p w14:paraId="22238777" w14:textId="2161A3D7" w:rsidR="00D9437C" w:rsidRPr="00BD2B94" w:rsidRDefault="00D9437C" w:rsidP="00BD2B94">
      <w:pPr>
        <w:rPr>
          <w:rFonts w:ascii="Avenir Next" w:hAnsi="Avenir Next"/>
          <w:sz w:val="24"/>
          <w:szCs w:val="24"/>
        </w:rPr>
      </w:pPr>
      <w:r w:rsidRPr="00BD2B94">
        <w:rPr>
          <w:rFonts w:ascii="Avenir Next" w:hAnsi="Avenir Next"/>
          <w:sz w:val="24"/>
          <w:szCs w:val="24"/>
        </w:rPr>
        <w:t>A clear example of where politics and the availability of land for housing do not always mesh together is green field land on the periphery or urban contexts, in particular sites designated as Green Belt. These policies, which may provide significant community and environmental benefits, can be a significant barrier to use for development</w:t>
      </w:r>
      <w:r w:rsidR="0065465A" w:rsidRPr="00BD2B94">
        <w:rPr>
          <w:rFonts w:ascii="Avenir Next" w:hAnsi="Avenir Next"/>
          <w:sz w:val="24"/>
          <w:szCs w:val="24"/>
        </w:rPr>
        <w:t xml:space="preserve"> (</w:t>
      </w:r>
      <w:proofErr w:type="spellStart"/>
      <w:r w:rsidR="0065465A" w:rsidRPr="00BD2B94">
        <w:rPr>
          <w:rFonts w:ascii="Avenir Next" w:hAnsi="Avenir Next"/>
          <w:sz w:val="24"/>
          <w:szCs w:val="24"/>
        </w:rPr>
        <w:t>Dockerill</w:t>
      </w:r>
      <w:proofErr w:type="spellEnd"/>
      <w:r w:rsidR="0065465A" w:rsidRPr="00BD2B94">
        <w:rPr>
          <w:rFonts w:ascii="Avenir Next" w:hAnsi="Avenir Next"/>
          <w:sz w:val="24"/>
          <w:szCs w:val="24"/>
        </w:rPr>
        <w:t xml:space="preserve"> and </w:t>
      </w:r>
      <w:proofErr w:type="spellStart"/>
      <w:r w:rsidR="0065465A" w:rsidRPr="00BD2B94">
        <w:rPr>
          <w:rFonts w:ascii="Avenir Next" w:hAnsi="Avenir Next"/>
          <w:sz w:val="24"/>
          <w:szCs w:val="24"/>
        </w:rPr>
        <w:t>Sturzaker</w:t>
      </w:r>
      <w:proofErr w:type="spellEnd"/>
      <w:r w:rsidR="0065465A" w:rsidRPr="00BD2B94">
        <w:rPr>
          <w:rFonts w:ascii="Avenir Next" w:hAnsi="Avenir Next"/>
          <w:sz w:val="24"/>
          <w:szCs w:val="24"/>
        </w:rPr>
        <w:t>, 2019)</w:t>
      </w:r>
      <w:r w:rsidRPr="00BD2B94">
        <w:rPr>
          <w:rFonts w:ascii="Avenir Next" w:hAnsi="Avenir Next"/>
          <w:sz w:val="24"/>
          <w:szCs w:val="24"/>
        </w:rPr>
        <w:t xml:space="preserve">. The diversity of greenfield and Green Belt contexts in different local authorities means that, in the short term, the delivery of land for housebuilding is constrained by existing policy that may not be overcome simply by the desire to create a proactive local authority mechanism for housing delivery.  </w:t>
      </w:r>
    </w:p>
    <w:p w14:paraId="2FDD4792" w14:textId="29B9FAF4" w:rsidR="00B80E83" w:rsidRPr="00BD2B94" w:rsidRDefault="00F01002" w:rsidP="00BD2B94">
      <w:pPr>
        <w:pStyle w:val="ListParagraph"/>
        <w:numPr>
          <w:ilvl w:val="1"/>
          <w:numId w:val="16"/>
        </w:numPr>
        <w:rPr>
          <w:rFonts w:ascii="Avenir Next" w:hAnsi="Avenir Next"/>
          <w:i/>
          <w:iCs/>
          <w:sz w:val="24"/>
          <w:szCs w:val="24"/>
        </w:rPr>
      </w:pPr>
      <w:r w:rsidRPr="00BD2B94">
        <w:rPr>
          <w:rFonts w:ascii="Avenir Next" w:hAnsi="Avenir Next"/>
          <w:i/>
          <w:iCs/>
          <w:sz w:val="24"/>
          <w:szCs w:val="24"/>
        </w:rPr>
        <w:t>Quality</w:t>
      </w:r>
    </w:p>
    <w:p w14:paraId="27E125B1" w14:textId="53E69350" w:rsidR="00F01002" w:rsidRPr="00BD2B94" w:rsidRDefault="00ED4881" w:rsidP="00BD2B94">
      <w:pPr>
        <w:rPr>
          <w:rFonts w:ascii="Avenir Next" w:hAnsi="Avenir Next"/>
          <w:sz w:val="24"/>
          <w:szCs w:val="24"/>
        </w:rPr>
      </w:pPr>
      <w:r w:rsidRPr="00BD2B94">
        <w:rPr>
          <w:rFonts w:ascii="Avenir Next" w:hAnsi="Avenir Next"/>
          <w:sz w:val="24"/>
          <w:szCs w:val="24"/>
        </w:rPr>
        <w:lastRenderedPageBreak/>
        <w:t xml:space="preserve">The quality of land for house building is a function of a range of factors, dominated by the location of the land. Where private house builders pursue land because of its intrinsic qualities for development, local authority existing land holdings are a function of historic processes other than creating a supply of the highest quality land for development. </w:t>
      </w:r>
      <w:r w:rsidR="00F01002" w:rsidRPr="00BD2B94">
        <w:rPr>
          <w:rFonts w:ascii="Avenir Next" w:hAnsi="Avenir Next"/>
          <w:sz w:val="24"/>
          <w:szCs w:val="24"/>
        </w:rPr>
        <w:t xml:space="preserve">There are constraints related to the type and location of land that is in local authority ownership. In two of the case studies (Cases B and C), interviewees reported that the majority of LA owned sites are often located </w:t>
      </w:r>
      <w:proofErr w:type="spellStart"/>
      <w:r w:rsidR="00F01002" w:rsidRPr="00BD2B94">
        <w:rPr>
          <w:rFonts w:ascii="Avenir Next" w:hAnsi="Avenir Next"/>
          <w:sz w:val="24"/>
          <w:szCs w:val="24"/>
        </w:rPr>
        <w:t>outwith</w:t>
      </w:r>
      <w:proofErr w:type="spellEnd"/>
      <w:r w:rsidR="00F01002" w:rsidRPr="00BD2B94">
        <w:rPr>
          <w:rFonts w:ascii="Avenir Next" w:hAnsi="Avenir Next"/>
          <w:sz w:val="24"/>
          <w:szCs w:val="24"/>
        </w:rPr>
        <w:t xml:space="preserve"> the areas where housing is most needed and/or is financially viable. Many sites are </w:t>
      </w:r>
      <w:r w:rsidR="00E3405A" w:rsidRPr="00BD2B94">
        <w:rPr>
          <w:rFonts w:ascii="Avenir Next" w:hAnsi="Avenir Next"/>
          <w:sz w:val="24"/>
          <w:szCs w:val="24"/>
        </w:rPr>
        <w:t>small,</w:t>
      </w:r>
      <w:r w:rsidR="00F01002" w:rsidRPr="00BD2B94">
        <w:rPr>
          <w:rFonts w:ascii="Avenir Next" w:hAnsi="Avenir Next"/>
          <w:sz w:val="24"/>
          <w:szCs w:val="24"/>
        </w:rPr>
        <w:t xml:space="preserve"> and the quality is often low with potentially high remediation costs. Interviewees within two case study areas (B and C) suggested that they had been quite successful in exploiting the sites that were attractive to private developers but that site-specific issues were likely to represent a major and growing problem moving forward. It was noted that development of marginal sites might need new thinking about the best delivery vehicles, given that these are unlikely to be deliverable by RPs or the market.</w:t>
      </w:r>
    </w:p>
    <w:p w14:paraId="43074951" w14:textId="6933A0D7" w:rsidR="00ED4881" w:rsidRPr="00BD2B94" w:rsidRDefault="00ED4881" w:rsidP="00BD2B94">
      <w:pPr>
        <w:rPr>
          <w:rFonts w:ascii="Avenir Next" w:hAnsi="Avenir Next"/>
          <w:sz w:val="24"/>
          <w:szCs w:val="24"/>
        </w:rPr>
      </w:pPr>
      <w:r w:rsidRPr="00BD2B94">
        <w:rPr>
          <w:rFonts w:ascii="Avenir Next" w:hAnsi="Avenir Next"/>
          <w:sz w:val="24"/>
          <w:szCs w:val="24"/>
        </w:rPr>
        <w:t>All three councils felt that they had been effective in the use of the most ‘marketable’ land. Several interviewees highlighted that smaller sites in less attractive areas with higher remediation costs were going to become increasingly important and will need new thinking about how best to overcome site-specific constraints. The creation of a Development Company was undertaken in one case study as a response to the limited demand from house builders for local authority low-quality land stock. In the two other cases the authorities’ approaches were to focus on improvements to the quality of land or work by the planning team to provide advice and design services to limit the costs for developers in the hope of future sale.</w:t>
      </w:r>
    </w:p>
    <w:p w14:paraId="04C52950" w14:textId="63A497A0" w:rsidR="00B80E83" w:rsidRPr="00BD2B94" w:rsidRDefault="00F01002" w:rsidP="00BD2B94">
      <w:pPr>
        <w:pStyle w:val="ListParagraph"/>
        <w:numPr>
          <w:ilvl w:val="1"/>
          <w:numId w:val="16"/>
        </w:numPr>
        <w:rPr>
          <w:rFonts w:ascii="Avenir Next" w:hAnsi="Avenir Next"/>
          <w:sz w:val="24"/>
          <w:szCs w:val="24"/>
        </w:rPr>
      </w:pPr>
      <w:r w:rsidRPr="00BD2B94">
        <w:rPr>
          <w:rFonts w:ascii="Avenir Next" w:hAnsi="Avenir Next"/>
          <w:i/>
          <w:iCs/>
          <w:sz w:val="24"/>
          <w:szCs w:val="24"/>
        </w:rPr>
        <w:t>Market</w:t>
      </w:r>
    </w:p>
    <w:p w14:paraId="13EF673E" w14:textId="2B8B258C" w:rsidR="00F01002" w:rsidRPr="00BD2B94" w:rsidRDefault="00F01002" w:rsidP="00BD2B94">
      <w:pPr>
        <w:rPr>
          <w:rFonts w:ascii="Avenir Next" w:hAnsi="Avenir Next"/>
          <w:sz w:val="24"/>
          <w:szCs w:val="24"/>
        </w:rPr>
      </w:pPr>
      <w:r w:rsidRPr="00BD2B94">
        <w:rPr>
          <w:rFonts w:ascii="Avenir Next" w:hAnsi="Avenir Next"/>
          <w:sz w:val="24"/>
          <w:szCs w:val="24"/>
        </w:rPr>
        <w:t xml:space="preserve">The literature on local planning authorities’ planning activity has turned to recognise their role as ‘market makers’ (e.g. </w:t>
      </w:r>
      <w:r w:rsidR="001F2001" w:rsidRPr="00BD2B94">
        <w:rPr>
          <w:rFonts w:ascii="Avenir Next" w:hAnsi="Avenir Next"/>
          <w:sz w:val="24"/>
          <w:szCs w:val="24"/>
        </w:rPr>
        <w:t xml:space="preserve">Adams &amp; </w:t>
      </w:r>
      <w:proofErr w:type="spellStart"/>
      <w:r w:rsidR="001F2001" w:rsidRPr="00BD2B94">
        <w:rPr>
          <w:rFonts w:ascii="Avenir Next" w:hAnsi="Avenir Next"/>
          <w:sz w:val="24"/>
          <w:szCs w:val="24"/>
        </w:rPr>
        <w:t>Tiesdell</w:t>
      </w:r>
      <w:proofErr w:type="spellEnd"/>
      <w:r w:rsidR="001F2001" w:rsidRPr="00BD2B94">
        <w:rPr>
          <w:rFonts w:ascii="Avenir Next" w:hAnsi="Avenir Next"/>
          <w:sz w:val="24"/>
          <w:szCs w:val="24"/>
        </w:rPr>
        <w:t xml:space="preserve">, 2010; </w:t>
      </w:r>
      <w:r w:rsidRPr="00BD2B94">
        <w:rPr>
          <w:rFonts w:ascii="Avenir Next" w:hAnsi="Avenir Next"/>
          <w:sz w:val="24"/>
          <w:szCs w:val="24"/>
        </w:rPr>
        <w:t>Lord and O’Brien, 2017; Lord, O’Brien &amp; Sykes, 2015)</w:t>
      </w:r>
      <w:r w:rsidR="001F2001" w:rsidRPr="00BD2B94">
        <w:rPr>
          <w:rFonts w:ascii="Avenir Next" w:hAnsi="Avenir Next"/>
          <w:sz w:val="24"/>
          <w:szCs w:val="24"/>
        </w:rPr>
        <w:t>. However, the over-riding impact of recent government reforms</w:t>
      </w:r>
      <w:r w:rsidR="0065465A" w:rsidRPr="00BD2B94">
        <w:rPr>
          <w:rFonts w:ascii="Avenir Next" w:hAnsi="Avenir Next"/>
          <w:sz w:val="24"/>
          <w:szCs w:val="24"/>
        </w:rPr>
        <w:t xml:space="preserve"> and austerity measures</w:t>
      </w:r>
      <w:r w:rsidR="001F2001" w:rsidRPr="00BD2B94">
        <w:rPr>
          <w:rFonts w:ascii="Avenir Next" w:hAnsi="Avenir Next"/>
          <w:sz w:val="24"/>
          <w:szCs w:val="24"/>
        </w:rPr>
        <w:t xml:space="preserve"> has been to diminish the capacity of planning (see e.g. Hincks et al., 2019) and their planning tools (e.g. the extension of permitted development rights and standardisation of housing requirement assessments).  </w:t>
      </w:r>
    </w:p>
    <w:p w14:paraId="1C9B16F9" w14:textId="64FB1593" w:rsidR="00B61737" w:rsidRPr="00BD2B94" w:rsidRDefault="001F2001" w:rsidP="00BD2B94">
      <w:pPr>
        <w:rPr>
          <w:rFonts w:ascii="Avenir Next" w:hAnsi="Avenir Next"/>
          <w:sz w:val="24"/>
          <w:szCs w:val="24"/>
        </w:rPr>
      </w:pPr>
      <w:r w:rsidRPr="00BD2B94">
        <w:rPr>
          <w:rFonts w:ascii="Avenir Next" w:hAnsi="Avenir Next"/>
          <w:sz w:val="24"/>
          <w:szCs w:val="24"/>
        </w:rPr>
        <w:t>As we have argued above, there is a tension in t</w:t>
      </w:r>
      <w:r w:rsidR="00F64329" w:rsidRPr="00BD2B94">
        <w:rPr>
          <w:rFonts w:ascii="Avenir Next" w:hAnsi="Avenir Next"/>
          <w:sz w:val="24"/>
          <w:szCs w:val="24"/>
        </w:rPr>
        <w:t xml:space="preserve">he large-scale utilisation of local authority land for house building </w:t>
      </w:r>
      <w:r w:rsidRPr="00BD2B94">
        <w:rPr>
          <w:rFonts w:ascii="Avenir Next" w:hAnsi="Avenir Next"/>
          <w:sz w:val="24"/>
          <w:szCs w:val="24"/>
        </w:rPr>
        <w:t>when much of the public land holding is low value or complex sites. I</w:t>
      </w:r>
      <w:r w:rsidR="005B45DA" w:rsidRPr="00BD2B94">
        <w:rPr>
          <w:rFonts w:ascii="Avenir Next" w:hAnsi="Avenir Next"/>
          <w:sz w:val="24"/>
          <w:szCs w:val="24"/>
        </w:rPr>
        <w:t xml:space="preserve">f the productive purpose of these land parcels is to be altered to </w:t>
      </w:r>
      <w:r w:rsidR="005B45DA" w:rsidRPr="00BD2B94">
        <w:rPr>
          <w:rFonts w:ascii="Avenir Next" w:hAnsi="Avenir Next"/>
          <w:sz w:val="24"/>
          <w:szCs w:val="24"/>
        </w:rPr>
        <w:lastRenderedPageBreak/>
        <w:t xml:space="preserve">housing, </w:t>
      </w:r>
      <w:r w:rsidR="00F64329" w:rsidRPr="00BD2B94">
        <w:rPr>
          <w:rFonts w:ascii="Avenir Next" w:hAnsi="Avenir Next"/>
          <w:sz w:val="24"/>
          <w:szCs w:val="24"/>
        </w:rPr>
        <w:t xml:space="preserve">it is necessary that </w:t>
      </w:r>
      <w:r w:rsidR="005B45DA" w:rsidRPr="00BD2B94">
        <w:rPr>
          <w:rFonts w:ascii="Avenir Next" w:hAnsi="Avenir Next"/>
          <w:sz w:val="24"/>
          <w:szCs w:val="24"/>
        </w:rPr>
        <w:t>local authority officers</w:t>
      </w:r>
      <w:r w:rsidR="00F64329" w:rsidRPr="00BD2B94">
        <w:rPr>
          <w:rFonts w:ascii="Avenir Next" w:hAnsi="Avenir Next"/>
          <w:sz w:val="24"/>
          <w:szCs w:val="24"/>
        </w:rPr>
        <w:t xml:space="preserve"> have the requisite skills to analyse, innovate and resource these uses. Given the current relationship between land </w:t>
      </w:r>
      <w:r w:rsidR="00EE19EC" w:rsidRPr="00BD2B94">
        <w:rPr>
          <w:rFonts w:ascii="Avenir Next" w:hAnsi="Avenir Next"/>
          <w:sz w:val="24"/>
          <w:szCs w:val="24"/>
        </w:rPr>
        <w:t xml:space="preserve">holdings </w:t>
      </w:r>
      <w:r w:rsidR="00F64329" w:rsidRPr="00BD2B94">
        <w:rPr>
          <w:rFonts w:ascii="Avenir Next" w:hAnsi="Avenir Next"/>
          <w:sz w:val="24"/>
          <w:szCs w:val="24"/>
        </w:rPr>
        <w:t>and market activity in many cases it will be necessary for the local authority to draw upon skills, resources and innovation th</w:t>
      </w:r>
      <w:r w:rsidR="00EE19EC" w:rsidRPr="00BD2B94">
        <w:rPr>
          <w:rFonts w:ascii="Avenir Next" w:hAnsi="Avenir Next"/>
          <w:sz w:val="24"/>
          <w:szCs w:val="24"/>
        </w:rPr>
        <w:t xml:space="preserve">at supersede those of private actors in </w:t>
      </w:r>
      <w:r w:rsidR="00F64329" w:rsidRPr="00BD2B94">
        <w:rPr>
          <w:rFonts w:ascii="Avenir Next" w:hAnsi="Avenir Next"/>
          <w:sz w:val="24"/>
          <w:szCs w:val="24"/>
        </w:rPr>
        <w:t>the market</w:t>
      </w:r>
      <w:r w:rsidRPr="00BD2B94">
        <w:rPr>
          <w:rFonts w:ascii="Avenir Next" w:hAnsi="Avenir Next"/>
          <w:sz w:val="24"/>
          <w:szCs w:val="24"/>
        </w:rPr>
        <w:t xml:space="preserve"> (Barker, 2006; LGA, 2015) but combined with an understanding of local authority goals to avoid purely market-led planning (Adams and Watkins, 2014)</w:t>
      </w:r>
      <w:r w:rsidR="00F64329" w:rsidRPr="00BD2B94">
        <w:rPr>
          <w:rFonts w:ascii="Avenir Next" w:hAnsi="Avenir Next"/>
          <w:sz w:val="24"/>
          <w:szCs w:val="24"/>
        </w:rPr>
        <w:t xml:space="preserve">. </w:t>
      </w:r>
    </w:p>
    <w:p w14:paraId="4EED72D1" w14:textId="49CA4D27" w:rsidR="00EE19EC" w:rsidRPr="00BD2B94" w:rsidRDefault="00E83798" w:rsidP="00BD2B94">
      <w:pPr>
        <w:rPr>
          <w:rFonts w:ascii="Avenir Next" w:hAnsi="Avenir Next"/>
          <w:sz w:val="24"/>
          <w:szCs w:val="24"/>
        </w:rPr>
      </w:pPr>
      <w:r w:rsidRPr="00BD2B94">
        <w:rPr>
          <w:rFonts w:ascii="Avenir Next" w:hAnsi="Avenir Next"/>
          <w:sz w:val="24"/>
          <w:szCs w:val="24"/>
        </w:rPr>
        <w:t>Local authority officers we interviewed engage regularly with housing need assessments and are aware of the level of land available for development in the short term. There was a growing awareness of public land holdings in the authority’s area (in part through the introduction of the electronic property information mapping service, e-PIMS, although precision of officer awareness is highly varied), but they were less certain about how possibility, viability, and housing needs overlap (and wider strategic priorities, see below). In t</w:t>
      </w:r>
      <w:r w:rsidR="001F2001" w:rsidRPr="00BD2B94">
        <w:rPr>
          <w:rFonts w:ascii="Avenir Next" w:hAnsi="Avenir Next"/>
          <w:sz w:val="24"/>
          <w:szCs w:val="24"/>
        </w:rPr>
        <w:t>wo of the case stud</w:t>
      </w:r>
      <w:r w:rsidRPr="00BD2B94">
        <w:rPr>
          <w:rFonts w:ascii="Avenir Next" w:hAnsi="Avenir Next"/>
          <w:sz w:val="24"/>
          <w:szCs w:val="24"/>
        </w:rPr>
        <w:t xml:space="preserve">ies, the </w:t>
      </w:r>
      <w:r w:rsidR="001F2001" w:rsidRPr="00BD2B94">
        <w:rPr>
          <w:rFonts w:ascii="Avenir Next" w:hAnsi="Avenir Next"/>
          <w:sz w:val="24"/>
          <w:szCs w:val="24"/>
        </w:rPr>
        <w:t>local authorit</w:t>
      </w:r>
      <w:r w:rsidRPr="00BD2B94">
        <w:rPr>
          <w:rFonts w:ascii="Avenir Next" w:hAnsi="Avenir Next"/>
          <w:sz w:val="24"/>
          <w:szCs w:val="24"/>
        </w:rPr>
        <w:t>y</w:t>
      </w:r>
      <w:r w:rsidR="001F2001" w:rsidRPr="00BD2B94">
        <w:rPr>
          <w:rFonts w:ascii="Avenir Next" w:hAnsi="Avenir Next"/>
          <w:sz w:val="24"/>
          <w:szCs w:val="24"/>
        </w:rPr>
        <w:t xml:space="preserve"> recognised that they did not internally have the skills (including relationships with housing developers) to effectively act as market makers for their land holdings and therefore brought in new staff with previous private practice experience. </w:t>
      </w:r>
      <w:r w:rsidRPr="00BD2B94">
        <w:rPr>
          <w:rFonts w:ascii="Avenir Next" w:hAnsi="Avenir Next"/>
          <w:sz w:val="24"/>
          <w:szCs w:val="24"/>
        </w:rPr>
        <w:t xml:space="preserve">Case Study A </w:t>
      </w:r>
      <w:r w:rsidR="00AD7A88" w:rsidRPr="00BD2B94">
        <w:rPr>
          <w:rFonts w:ascii="Avenir Next" w:hAnsi="Avenir Next"/>
          <w:sz w:val="24"/>
          <w:szCs w:val="24"/>
        </w:rPr>
        <w:t xml:space="preserve">had created a new land team to manage their land portfolio and oversee the purchase of new land, sales of existing land and joint development through partnership with private and social housing developers. </w:t>
      </w:r>
      <w:r w:rsidR="00BE5C00" w:rsidRPr="00BD2B94">
        <w:rPr>
          <w:rFonts w:ascii="Avenir Next" w:hAnsi="Avenir Next"/>
          <w:sz w:val="24"/>
          <w:szCs w:val="24"/>
        </w:rPr>
        <w:t xml:space="preserve">Case Study C had entered into a joint venture with a private house builder, in part to be able to utilise skills in housing analysis and advertising that were not available within the council. </w:t>
      </w:r>
    </w:p>
    <w:p w14:paraId="065A9B63" w14:textId="18DF6EFB" w:rsidR="00005DE3" w:rsidRPr="00BD2B94" w:rsidRDefault="00EE19EC" w:rsidP="00BD2B94">
      <w:pPr>
        <w:rPr>
          <w:rFonts w:ascii="Avenir Next" w:hAnsi="Avenir Next"/>
          <w:sz w:val="24"/>
          <w:szCs w:val="24"/>
        </w:rPr>
      </w:pPr>
      <w:r w:rsidRPr="00BD2B94">
        <w:rPr>
          <w:rFonts w:ascii="Avenir Next" w:hAnsi="Avenir Next"/>
          <w:sz w:val="24"/>
          <w:szCs w:val="24"/>
        </w:rPr>
        <w:t xml:space="preserve">As local authorities undertake a wider range of activity in the housing market, the scope of their performance and influence in the market increases. Many previous calls to improve the resources of planners and to enhance the skillset of agents in the local authority have been based on the premise that </w:t>
      </w:r>
      <w:r w:rsidR="00DC5070" w:rsidRPr="00BD2B94">
        <w:rPr>
          <w:rFonts w:ascii="Avenir Next" w:hAnsi="Avenir Next"/>
          <w:sz w:val="24"/>
          <w:szCs w:val="24"/>
        </w:rPr>
        <w:t>officers</w:t>
      </w:r>
      <w:r w:rsidRPr="00BD2B94">
        <w:rPr>
          <w:rFonts w:ascii="Avenir Next" w:hAnsi="Avenir Next"/>
          <w:sz w:val="24"/>
          <w:szCs w:val="24"/>
        </w:rPr>
        <w:t xml:space="preserve"> need to understand discrete object</w:t>
      </w:r>
      <w:r w:rsidR="00E83798" w:rsidRPr="00BD2B94">
        <w:rPr>
          <w:rFonts w:ascii="Avenir Next" w:hAnsi="Avenir Next"/>
          <w:sz w:val="24"/>
          <w:szCs w:val="24"/>
        </w:rPr>
        <w:t>s</w:t>
      </w:r>
      <w:r w:rsidRPr="00BD2B94">
        <w:rPr>
          <w:rFonts w:ascii="Avenir Next" w:hAnsi="Avenir Next"/>
          <w:sz w:val="24"/>
          <w:szCs w:val="24"/>
        </w:rPr>
        <w:t xml:space="preserve"> outside </w:t>
      </w:r>
      <w:r w:rsidR="00DC5070" w:rsidRPr="00BD2B94">
        <w:rPr>
          <w:rFonts w:ascii="Avenir Next" w:hAnsi="Avenir Next"/>
          <w:sz w:val="24"/>
          <w:szCs w:val="24"/>
        </w:rPr>
        <w:t>their influence. Y</w:t>
      </w:r>
      <w:r w:rsidRPr="00BD2B94">
        <w:rPr>
          <w:rFonts w:ascii="Avenir Next" w:hAnsi="Avenir Next"/>
          <w:sz w:val="24"/>
          <w:szCs w:val="24"/>
        </w:rPr>
        <w:t>et</w:t>
      </w:r>
      <w:r w:rsidR="00DC5070" w:rsidRPr="00BD2B94">
        <w:rPr>
          <w:rFonts w:ascii="Avenir Next" w:hAnsi="Avenir Next"/>
          <w:sz w:val="24"/>
          <w:szCs w:val="24"/>
        </w:rPr>
        <w:t>,</w:t>
      </w:r>
      <w:r w:rsidRPr="00BD2B94">
        <w:rPr>
          <w:rFonts w:ascii="Avenir Next" w:hAnsi="Avenir Next"/>
          <w:sz w:val="24"/>
          <w:szCs w:val="24"/>
        </w:rPr>
        <w:t xml:space="preserve"> </w:t>
      </w:r>
      <w:r w:rsidR="00DC5070" w:rsidRPr="00BD2B94">
        <w:rPr>
          <w:rFonts w:ascii="Avenir Next" w:hAnsi="Avenir Next"/>
          <w:sz w:val="24"/>
          <w:szCs w:val="24"/>
        </w:rPr>
        <w:t>recognising that they do not simply observe and respond, but play a major role in shaping and making local housing markets enhances the significance of their activity and potential to use loca</w:t>
      </w:r>
      <w:r w:rsidR="00062111" w:rsidRPr="00BD2B94">
        <w:rPr>
          <w:rFonts w:ascii="Avenir Next" w:hAnsi="Avenir Next"/>
          <w:sz w:val="24"/>
          <w:szCs w:val="24"/>
        </w:rPr>
        <w:t>l authority land imaginatively to support housing needs.</w:t>
      </w:r>
      <w:r w:rsidR="00654035" w:rsidRPr="00BD2B94">
        <w:rPr>
          <w:rFonts w:ascii="Avenir Next" w:hAnsi="Avenir Next"/>
          <w:sz w:val="24"/>
          <w:szCs w:val="24"/>
        </w:rPr>
        <w:t xml:space="preserve"> </w:t>
      </w:r>
    </w:p>
    <w:p w14:paraId="1362DD91" w14:textId="2C3D94A5" w:rsidR="00AD7A88" w:rsidRPr="00BD2B94" w:rsidRDefault="00005DE3" w:rsidP="00BD2B94">
      <w:pPr>
        <w:rPr>
          <w:rFonts w:ascii="Avenir Next" w:hAnsi="Avenir Next"/>
          <w:sz w:val="24"/>
          <w:szCs w:val="24"/>
        </w:rPr>
      </w:pPr>
      <w:r w:rsidRPr="00BD2B94">
        <w:rPr>
          <w:rFonts w:ascii="Avenir Next" w:hAnsi="Avenir Next"/>
          <w:sz w:val="24"/>
          <w:szCs w:val="24"/>
        </w:rPr>
        <w:t xml:space="preserve">Whilst up skilling is evident, the appropriate application of development and land management skills within local authorities is contingent upon clarity over the public policy goals of the authority, and their relationship to land holdings. The internal </w:t>
      </w:r>
      <w:r w:rsidRPr="00BD2B94">
        <w:rPr>
          <w:rFonts w:ascii="Avenir Next" w:hAnsi="Avenir Next"/>
          <w:sz w:val="24"/>
          <w:szCs w:val="24"/>
        </w:rPr>
        <w:lastRenderedPageBreak/>
        <w:t>coherence of policy and local authority practice is therefore a key concern for officers involved in managing and developing land.</w:t>
      </w:r>
    </w:p>
    <w:p w14:paraId="0ACA8B35" w14:textId="63F22F16" w:rsidR="00F01002" w:rsidRPr="00BD2B94" w:rsidRDefault="004403DD" w:rsidP="00BD2B94">
      <w:pPr>
        <w:pStyle w:val="ListParagraph"/>
        <w:numPr>
          <w:ilvl w:val="0"/>
          <w:numId w:val="16"/>
        </w:numPr>
        <w:rPr>
          <w:rFonts w:ascii="Avenir Next" w:hAnsi="Avenir Next"/>
          <w:b/>
          <w:bCs/>
          <w:sz w:val="24"/>
          <w:szCs w:val="24"/>
        </w:rPr>
      </w:pPr>
      <w:r w:rsidRPr="00BD2B94">
        <w:rPr>
          <w:rFonts w:ascii="Avenir Next" w:hAnsi="Avenir Next"/>
          <w:b/>
          <w:bCs/>
          <w:sz w:val="24"/>
          <w:szCs w:val="24"/>
        </w:rPr>
        <w:t>Conclusion</w:t>
      </w:r>
    </w:p>
    <w:p w14:paraId="6922209A" w14:textId="5D054E8F" w:rsidR="004403DD" w:rsidRPr="00BD2B94" w:rsidRDefault="004403DD" w:rsidP="00BD2B94">
      <w:pPr>
        <w:rPr>
          <w:rFonts w:ascii="Avenir Next" w:hAnsi="Avenir Next"/>
          <w:sz w:val="24"/>
          <w:szCs w:val="24"/>
        </w:rPr>
      </w:pPr>
      <w:r w:rsidRPr="00BD2B94">
        <w:rPr>
          <w:rFonts w:ascii="Avenir Next" w:hAnsi="Avenir Next"/>
          <w:sz w:val="24"/>
          <w:szCs w:val="24"/>
        </w:rPr>
        <w:t xml:space="preserve">The revival of interest in local authorities as housing enablers through the use of public land in England requires an assessment of the potential barriers to delivery. The call for local authorities to become more proactive under the Conservative government emerged at the confluence of increasing house prices, devolution of responsibility for meeting national housing targets to local authorities, a wider public acceptance of arguments about the limitations to current and future private housebuilding and changes to local government financial support. </w:t>
      </w:r>
    </w:p>
    <w:p w14:paraId="7ADF92A8" w14:textId="54194969" w:rsidR="00E60A66" w:rsidRPr="00BD2B94" w:rsidRDefault="00E60A66" w:rsidP="00BD2B94">
      <w:pPr>
        <w:rPr>
          <w:rFonts w:ascii="Avenir Next" w:hAnsi="Avenir Next"/>
          <w:sz w:val="24"/>
          <w:szCs w:val="24"/>
        </w:rPr>
      </w:pPr>
      <w:r w:rsidRPr="00BD2B94">
        <w:rPr>
          <w:rFonts w:ascii="Avenir Next" w:hAnsi="Avenir Next"/>
          <w:sz w:val="24"/>
          <w:szCs w:val="24"/>
        </w:rPr>
        <w:t>During the second half of the twentieth century the housing and development literature identified a large number of alternative models for the development process (e.g. Barrett et al., 1978; Healey, 1991; Gore &amp; Nicholson, 1991), largely directed towards private house building processes. These models, taking different theoretical perspectives</w:t>
      </w:r>
      <w:r w:rsidR="001A631D" w:rsidRPr="00BD2B94">
        <w:rPr>
          <w:rFonts w:ascii="Avenir Next" w:hAnsi="Avenir Next"/>
          <w:sz w:val="24"/>
          <w:szCs w:val="24"/>
        </w:rPr>
        <w:t>,</w:t>
      </w:r>
      <w:r w:rsidRPr="00BD2B94">
        <w:rPr>
          <w:rFonts w:ascii="Avenir Next" w:hAnsi="Avenir Next"/>
          <w:sz w:val="24"/>
          <w:szCs w:val="24"/>
        </w:rPr>
        <w:t xml:space="preserve"> identified stages, events, behaviours and institutions which need to align in order for development to proceed.</w:t>
      </w:r>
      <w:r w:rsidR="004403DD" w:rsidRPr="00BD2B94">
        <w:rPr>
          <w:rFonts w:ascii="Avenir Next" w:hAnsi="Avenir Next"/>
          <w:sz w:val="24"/>
          <w:szCs w:val="24"/>
        </w:rPr>
        <w:t xml:space="preserve"> In this paper we have explore some of the key ideas in these models through a simplified categorisation of barriers to development that have been identified in the literature. We seek to fill a small part of the gap in the literature, specifically focussing on the</w:t>
      </w:r>
      <w:r w:rsidR="001A631D" w:rsidRPr="00BD2B94">
        <w:rPr>
          <w:rFonts w:ascii="Avenir Next" w:hAnsi="Avenir Next"/>
          <w:sz w:val="24"/>
          <w:szCs w:val="24"/>
        </w:rPr>
        <w:t xml:space="preserve"> role of barriers as impediments to local authority utilisation of public land for house building has been under researched. </w:t>
      </w:r>
    </w:p>
    <w:p w14:paraId="14ECFBDD" w14:textId="28FDBEA7" w:rsidR="00B02113" w:rsidRPr="00BD2B94" w:rsidRDefault="004403DD" w:rsidP="00BD2B94">
      <w:pPr>
        <w:rPr>
          <w:rFonts w:ascii="Avenir Next" w:hAnsi="Avenir Next"/>
          <w:sz w:val="24"/>
          <w:szCs w:val="24"/>
        </w:rPr>
      </w:pPr>
      <w:r w:rsidRPr="00BD2B94">
        <w:rPr>
          <w:rFonts w:ascii="Avenir Next" w:hAnsi="Avenir Next"/>
          <w:sz w:val="24"/>
          <w:szCs w:val="24"/>
        </w:rPr>
        <w:t xml:space="preserve">The barriers to private development identified from the literature are also present in the development of public land enabled by local authorities. Yet, these barriers have been overcome in some instances, but in these </w:t>
      </w:r>
      <w:proofErr w:type="gramStart"/>
      <w:r w:rsidRPr="00BD2B94">
        <w:rPr>
          <w:rFonts w:ascii="Avenir Next" w:hAnsi="Avenir Next"/>
          <w:sz w:val="24"/>
          <w:szCs w:val="24"/>
        </w:rPr>
        <w:t>cases</w:t>
      </w:r>
      <w:proofErr w:type="gramEnd"/>
      <w:r w:rsidRPr="00BD2B94">
        <w:rPr>
          <w:rFonts w:ascii="Avenir Next" w:hAnsi="Avenir Next"/>
          <w:sz w:val="24"/>
          <w:szCs w:val="24"/>
        </w:rPr>
        <w:t xml:space="preserve"> there had rarely been a pure market logic to the release of land for house building, Instead we are reminded of the following quote by Kirk: </w:t>
      </w:r>
    </w:p>
    <w:p w14:paraId="270BE892" w14:textId="1D0A236D" w:rsidR="004403DD" w:rsidRPr="00BD2B94" w:rsidRDefault="00B02113" w:rsidP="00BD2B94">
      <w:pPr>
        <w:ind w:left="720"/>
        <w:rPr>
          <w:rFonts w:ascii="Avenir Next" w:hAnsi="Avenir Next"/>
          <w:sz w:val="24"/>
          <w:szCs w:val="24"/>
        </w:rPr>
      </w:pPr>
      <w:r w:rsidRPr="00BD2B94">
        <w:rPr>
          <w:rFonts w:ascii="Avenir Next" w:hAnsi="Avenir Next"/>
          <w:sz w:val="24"/>
          <w:szCs w:val="24"/>
        </w:rPr>
        <w:t>“land tends to be put to its most profitable use, depending on the local circumstances, for the underlying criterion of commercial development is profitability, not the usefulness of particular buildings, nor local people’s need for them.” (Kirk, 1980, p.32; quoted in Adams, 1994, p.12)</w:t>
      </w:r>
    </w:p>
    <w:p w14:paraId="0CF82B56" w14:textId="77777777" w:rsidR="000D4351" w:rsidRPr="00BD2B94" w:rsidRDefault="00B02113" w:rsidP="00BD2B94">
      <w:pPr>
        <w:rPr>
          <w:rFonts w:ascii="Avenir Next" w:hAnsi="Avenir Next"/>
          <w:sz w:val="24"/>
          <w:szCs w:val="24"/>
        </w:rPr>
      </w:pPr>
      <w:r w:rsidRPr="00BD2B94">
        <w:rPr>
          <w:rFonts w:ascii="Avenir Next" w:hAnsi="Avenir Next"/>
          <w:sz w:val="24"/>
          <w:szCs w:val="24"/>
        </w:rPr>
        <w:t xml:space="preserve">Much of the land that is currently in the ownership of public organisations is currently put to a use other than the most commercially profitable use, but this does not mean that it can simply be transferred to housing through a commercial </w:t>
      </w:r>
      <w:r w:rsidRPr="00BD2B94">
        <w:rPr>
          <w:rFonts w:ascii="Avenir Next" w:hAnsi="Avenir Next"/>
          <w:sz w:val="24"/>
          <w:szCs w:val="24"/>
        </w:rPr>
        <w:lastRenderedPageBreak/>
        <w:t xml:space="preserve">development process. </w:t>
      </w:r>
      <w:r w:rsidR="007B5F83" w:rsidRPr="00BD2B94">
        <w:rPr>
          <w:rFonts w:ascii="Avenir Next" w:hAnsi="Avenir Next"/>
          <w:sz w:val="24"/>
          <w:szCs w:val="24"/>
        </w:rPr>
        <w:t xml:space="preserve">Local authorities are now frequently asked to be in an intermediary role, seeking both the highest price for land, to secure the usefulness of buildings and to meet local people’s needs. </w:t>
      </w:r>
    </w:p>
    <w:p w14:paraId="42668C3B" w14:textId="797FBFAB" w:rsidR="000D4351" w:rsidRPr="00BD2B94" w:rsidRDefault="000D4351" w:rsidP="00BD2B94">
      <w:pPr>
        <w:rPr>
          <w:rFonts w:ascii="Avenir Next" w:hAnsi="Avenir Next"/>
          <w:sz w:val="24"/>
          <w:szCs w:val="24"/>
        </w:rPr>
      </w:pPr>
      <w:r w:rsidRPr="00BD2B94">
        <w:rPr>
          <w:rFonts w:ascii="Avenir Next" w:hAnsi="Avenir Next"/>
          <w:sz w:val="24"/>
          <w:szCs w:val="24"/>
        </w:rPr>
        <w:t xml:space="preserve">The involvement of the local authority may range from regulating the development process, through promoting and identifying potential developments, to full participation in the development and asset management of the developed site (Barrett and Whiting, 1983). This flexibility suggests that bespoke solutions are permissible but does not equate to practicability in all cases as the split in roles, responsibilities, risks and rewards of development may not prove possible. Examples of different roles adopted by local authorities were evident over different sites and times, and there is increasing evidence of entrepreneurial activity by local authorities in developing housing companies (Morphet and Clifford, 2018) and in this research through novel relationships with financial providers, builders, architects, land agents and others involved in the development process. </w:t>
      </w:r>
    </w:p>
    <w:p w14:paraId="4C287427" w14:textId="54C6C0A1" w:rsidR="00091183" w:rsidRPr="00BD2B94" w:rsidRDefault="00816894" w:rsidP="00BD2B94">
      <w:pPr>
        <w:rPr>
          <w:rFonts w:ascii="Avenir Next" w:hAnsi="Avenir Next"/>
          <w:sz w:val="24"/>
          <w:szCs w:val="24"/>
        </w:rPr>
      </w:pPr>
      <w:r w:rsidRPr="00BD2B94">
        <w:rPr>
          <w:rFonts w:ascii="Avenir Next" w:hAnsi="Avenir Next"/>
          <w:sz w:val="24"/>
          <w:szCs w:val="24"/>
        </w:rPr>
        <w:t xml:space="preserve">Encouragement </w:t>
      </w:r>
      <w:r w:rsidR="000D4351" w:rsidRPr="00BD2B94">
        <w:rPr>
          <w:rFonts w:ascii="Avenir Next" w:hAnsi="Avenir Next"/>
          <w:sz w:val="24"/>
          <w:szCs w:val="24"/>
        </w:rPr>
        <w:t>for local authorities to enable further public</w:t>
      </w:r>
      <w:r w:rsidRPr="00BD2B94">
        <w:rPr>
          <w:rFonts w:ascii="Avenir Next" w:hAnsi="Avenir Next"/>
          <w:sz w:val="24"/>
          <w:szCs w:val="24"/>
        </w:rPr>
        <w:t xml:space="preserve"> land for house building in many markets is likely to require additional finance, in order to acquire development skills, prepare conceptual plans and undertake necessary remedial work prior to the land being attractive for developers. Yet, these additional resource requirements occur at a time when local authority</w:t>
      </w:r>
      <w:r w:rsidR="000305C3" w:rsidRPr="00BD2B94">
        <w:rPr>
          <w:rFonts w:ascii="Avenir Next" w:hAnsi="Avenir Next"/>
          <w:sz w:val="24"/>
          <w:szCs w:val="24"/>
        </w:rPr>
        <w:t xml:space="preserve"> finances are being restricted</w:t>
      </w:r>
      <w:r w:rsidR="000D4351" w:rsidRPr="00BD2B94">
        <w:rPr>
          <w:rFonts w:ascii="Avenir Next" w:hAnsi="Avenir Next"/>
          <w:sz w:val="24"/>
          <w:szCs w:val="24"/>
        </w:rPr>
        <w:t xml:space="preserve"> (Hincks et al., 2019)</w:t>
      </w:r>
      <w:r w:rsidR="000305C3" w:rsidRPr="00BD2B94">
        <w:rPr>
          <w:rFonts w:ascii="Avenir Next" w:hAnsi="Avenir Next"/>
          <w:sz w:val="24"/>
          <w:szCs w:val="24"/>
        </w:rPr>
        <w:t>, bearing a resemblance to arguments over public land development in the early 1980’s.</w:t>
      </w:r>
      <w:r w:rsidR="005232E4" w:rsidRPr="00BD2B94">
        <w:rPr>
          <w:rFonts w:ascii="Avenir Next" w:hAnsi="Avenir Next"/>
          <w:sz w:val="24"/>
          <w:szCs w:val="24"/>
        </w:rPr>
        <w:t xml:space="preserve"> Additionally, while the local state is entrusted with greater responsibility for bringing forward land for development, its powers with respect to development control are simultaneously being weakened, which may exacerbate barriers related to institutional and internal coherence in decision-making and undermine objectives of sustainable community building.</w:t>
      </w:r>
    </w:p>
    <w:p w14:paraId="1C0CC92D" w14:textId="5D9CD4D7" w:rsidR="00DB244E" w:rsidRPr="00BD2B94" w:rsidRDefault="00DB244E" w:rsidP="00BD2B94">
      <w:pPr>
        <w:rPr>
          <w:rFonts w:ascii="Avenir Next" w:hAnsi="Avenir Next"/>
          <w:sz w:val="24"/>
          <w:szCs w:val="24"/>
        </w:rPr>
      </w:pPr>
      <w:r w:rsidRPr="00BD2B94">
        <w:rPr>
          <w:rFonts w:ascii="Avenir Next" w:hAnsi="Avenir Next"/>
          <w:sz w:val="24"/>
          <w:szCs w:val="24"/>
        </w:rPr>
        <w:t xml:space="preserve">Estimates of the capacity of public land to </w:t>
      </w:r>
      <w:r w:rsidR="0065465A" w:rsidRPr="00BD2B94">
        <w:rPr>
          <w:rFonts w:ascii="Avenir Next" w:hAnsi="Avenir Next"/>
          <w:sz w:val="24"/>
          <w:szCs w:val="24"/>
        </w:rPr>
        <w:t>fill housing shortages</w:t>
      </w:r>
      <w:r w:rsidRPr="00BD2B94">
        <w:rPr>
          <w:rFonts w:ascii="Avenir Next" w:hAnsi="Avenir Next"/>
          <w:sz w:val="24"/>
          <w:szCs w:val="24"/>
        </w:rPr>
        <w:t xml:space="preserve"> rarely consider the barriers to housing delivery. </w:t>
      </w:r>
      <w:r w:rsidR="00C15F48" w:rsidRPr="00BD2B94">
        <w:rPr>
          <w:rFonts w:ascii="Avenir Next" w:hAnsi="Avenir Next"/>
          <w:sz w:val="24"/>
          <w:szCs w:val="24"/>
        </w:rPr>
        <w:t xml:space="preserve">Whilst there are clear and accurate examples of local authority land </w:t>
      </w:r>
      <w:r w:rsidR="006D284C" w:rsidRPr="00BD2B94">
        <w:rPr>
          <w:rFonts w:ascii="Avenir Next" w:hAnsi="Avenir Next"/>
          <w:sz w:val="24"/>
          <w:szCs w:val="24"/>
        </w:rPr>
        <w:t>that</w:t>
      </w:r>
      <w:r w:rsidR="00C15F48" w:rsidRPr="00BD2B94">
        <w:rPr>
          <w:rFonts w:ascii="Avenir Next" w:hAnsi="Avenir Next"/>
          <w:sz w:val="24"/>
          <w:szCs w:val="24"/>
        </w:rPr>
        <w:t xml:space="preserve"> </w:t>
      </w:r>
      <w:r w:rsidR="006127F5" w:rsidRPr="00BD2B94">
        <w:rPr>
          <w:rFonts w:ascii="Avenir Next" w:hAnsi="Avenir Next"/>
          <w:sz w:val="24"/>
          <w:szCs w:val="24"/>
        </w:rPr>
        <w:t xml:space="preserve">is </w:t>
      </w:r>
      <w:r w:rsidR="00C15F48" w:rsidRPr="00BD2B94">
        <w:rPr>
          <w:rFonts w:ascii="Avenir Next" w:hAnsi="Avenir Next"/>
          <w:sz w:val="24"/>
          <w:szCs w:val="24"/>
        </w:rPr>
        <w:t>be</w:t>
      </w:r>
      <w:r w:rsidR="006127F5" w:rsidRPr="00BD2B94">
        <w:rPr>
          <w:rFonts w:ascii="Avenir Next" w:hAnsi="Avenir Next"/>
          <w:sz w:val="24"/>
          <w:szCs w:val="24"/>
        </w:rPr>
        <w:t>ing</w:t>
      </w:r>
      <w:r w:rsidR="00C15F48" w:rsidRPr="00BD2B94">
        <w:rPr>
          <w:rFonts w:ascii="Avenir Next" w:hAnsi="Avenir Next"/>
          <w:sz w:val="24"/>
          <w:szCs w:val="24"/>
        </w:rPr>
        <w:t xml:space="preserve"> used to support house building, these examples </w:t>
      </w:r>
      <w:r w:rsidRPr="00BD2B94">
        <w:rPr>
          <w:rFonts w:ascii="Avenir Next" w:hAnsi="Avenir Next"/>
          <w:sz w:val="24"/>
          <w:szCs w:val="24"/>
        </w:rPr>
        <w:t>do not prove</w:t>
      </w:r>
      <w:r w:rsidR="00C15F48" w:rsidRPr="00BD2B94">
        <w:rPr>
          <w:rFonts w:ascii="Avenir Next" w:hAnsi="Avenir Next"/>
          <w:sz w:val="24"/>
          <w:szCs w:val="24"/>
        </w:rPr>
        <w:t xml:space="preserve"> that a wholesale upscaling of house building on </w:t>
      </w:r>
      <w:r w:rsidRPr="00BD2B94">
        <w:rPr>
          <w:rFonts w:ascii="Avenir Next" w:hAnsi="Avenir Next"/>
          <w:sz w:val="24"/>
          <w:szCs w:val="24"/>
        </w:rPr>
        <w:t>existing public</w:t>
      </w:r>
      <w:r w:rsidR="00C15F48" w:rsidRPr="00BD2B94">
        <w:rPr>
          <w:rFonts w:ascii="Avenir Next" w:hAnsi="Avenir Next"/>
          <w:sz w:val="24"/>
          <w:szCs w:val="24"/>
        </w:rPr>
        <w:t xml:space="preserve"> land is possible without </w:t>
      </w:r>
      <w:r w:rsidR="00467BD7" w:rsidRPr="00BD2B94">
        <w:rPr>
          <w:rFonts w:ascii="Avenir Next" w:hAnsi="Avenir Next"/>
          <w:sz w:val="24"/>
          <w:szCs w:val="24"/>
        </w:rPr>
        <w:t>greater awareness of the reality of barriers to development</w:t>
      </w:r>
      <w:r w:rsidR="00C15F48" w:rsidRPr="00BD2B94">
        <w:rPr>
          <w:rFonts w:ascii="Avenir Next" w:hAnsi="Avenir Next"/>
          <w:sz w:val="24"/>
          <w:szCs w:val="24"/>
        </w:rPr>
        <w:t xml:space="preserve">. </w:t>
      </w:r>
    </w:p>
    <w:p w14:paraId="3EAEC87A" w14:textId="1C44F236" w:rsidR="006D284C" w:rsidRPr="00BD2B94" w:rsidRDefault="00EA78F7" w:rsidP="00BD2B94">
      <w:pPr>
        <w:rPr>
          <w:rFonts w:ascii="Avenir Next" w:hAnsi="Avenir Next"/>
          <w:sz w:val="24"/>
          <w:szCs w:val="24"/>
        </w:rPr>
      </w:pPr>
      <w:r w:rsidRPr="00BD2B94">
        <w:rPr>
          <w:rFonts w:ascii="Avenir Next" w:hAnsi="Avenir Next"/>
          <w:sz w:val="24"/>
          <w:szCs w:val="24"/>
        </w:rPr>
        <w:t>The argument that</w:t>
      </w:r>
      <w:r w:rsidR="00C15F48" w:rsidRPr="00BD2B94">
        <w:rPr>
          <w:rFonts w:ascii="Avenir Next" w:hAnsi="Avenir Next"/>
          <w:sz w:val="24"/>
          <w:szCs w:val="24"/>
        </w:rPr>
        <w:t xml:space="preserve"> </w:t>
      </w:r>
      <w:r w:rsidRPr="00BD2B94">
        <w:rPr>
          <w:rFonts w:ascii="Avenir Next" w:hAnsi="Avenir Next"/>
          <w:sz w:val="24"/>
          <w:szCs w:val="24"/>
        </w:rPr>
        <w:t xml:space="preserve">local authorities </w:t>
      </w:r>
      <w:r w:rsidR="006127F5" w:rsidRPr="00BD2B94">
        <w:rPr>
          <w:rFonts w:ascii="Avenir Next" w:hAnsi="Avenir Next"/>
          <w:sz w:val="24"/>
          <w:szCs w:val="24"/>
        </w:rPr>
        <w:t>were previously</w:t>
      </w:r>
      <w:r w:rsidRPr="00BD2B94">
        <w:rPr>
          <w:rFonts w:ascii="Avenir Next" w:hAnsi="Avenir Next"/>
          <w:sz w:val="24"/>
          <w:szCs w:val="24"/>
        </w:rPr>
        <w:t xml:space="preserve"> disengaged from residential development </w:t>
      </w:r>
      <w:r w:rsidR="009D0EEC" w:rsidRPr="00BD2B94">
        <w:rPr>
          <w:rFonts w:ascii="Avenir Next" w:hAnsi="Avenir Next"/>
          <w:sz w:val="24"/>
          <w:szCs w:val="24"/>
        </w:rPr>
        <w:t xml:space="preserve">and </w:t>
      </w:r>
      <w:r w:rsidR="006127F5" w:rsidRPr="00BD2B94">
        <w:rPr>
          <w:rFonts w:ascii="Avenir Next" w:hAnsi="Avenir Next"/>
          <w:sz w:val="24"/>
          <w:szCs w:val="24"/>
        </w:rPr>
        <w:t xml:space="preserve">creating housing </w:t>
      </w:r>
      <w:r w:rsidR="009D0EEC" w:rsidRPr="00BD2B94">
        <w:rPr>
          <w:rFonts w:ascii="Avenir Next" w:hAnsi="Avenir Next"/>
          <w:sz w:val="24"/>
          <w:szCs w:val="24"/>
        </w:rPr>
        <w:t>market</w:t>
      </w:r>
      <w:r w:rsidR="006127F5" w:rsidRPr="00BD2B94">
        <w:rPr>
          <w:rFonts w:ascii="Avenir Next" w:hAnsi="Avenir Next"/>
          <w:sz w:val="24"/>
          <w:szCs w:val="24"/>
        </w:rPr>
        <w:t>s</w:t>
      </w:r>
      <w:r w:rsidR="009D0EEC" w:rsidRPr="00BD2B94">
        <w:rPr>
          <w:rFonts w:ascii="Avenir Next" w:hAnsi="Avenir Next"/>
          <w:sz w:val="24"/>
          <w:szCs w:val="24"/>
        </w:rPr>
        <w:t xml:space="preserve"> downplays the role </w:t>
      </w:r>
      <w:r w:rsidR="00C15F48" w:rsidRPr="00BD2B94">
        <w:rPr>
          <w:rFonts w:ascii="Avenir Next" w:hAnsi="Avenir Next"/>
          <w:sz w:val="24"/>
          <w:szCs w:val="24"/>
        </w:rPr>
        <w:t>that local authorit</w:t>
      </w:r>
      <w:r w:rsidR="00E34B66" w:rsidRPr="00BD2B94">
        <w:rPr>
          <w:rFonts w:ascii="Avenir Next" w:hAnsi="Avenir Next"/>
          <w:sz w:val="24"/>
          <w:szCs w:val="24"/>
        </w:rPr>
        <w:t>i</w:t>
      </w:r>
      <w:r w:rsidR="00C15F48" w:rsidRPr="00BD2B94">
        <w:rPr>
          <w:rFonts w:ascii="Avenir Next" w:hAnsi="Avenir Next"/>
          <w:sz w:val="24"/>
          <w:szCs w:val="24"/>
        </w:rPr>
        <w:t xml:space="preserve">es </w:t>
      </w:r>
      <w:r w:rsidR="006127F5" w:rsidRPr="00BD2B94">
        <w:rPr>
          <w:rFonts w:ascii="Avenir Next" w:hAnsi="Avenir Next"/>
          <w:sz w:val="24"/>
          <w:szCs w:val="24"/>
        </w:rPr>
        <w:t>have</w:t>
      </w:r>
      <w:r w:rsidR="00C15F48" w:rsidRPr="00BD2B94">
        <w:rPr>
          <w:rFonts w:ascii="Avenir Next" w:hAnsi="Avenir Next"/>
          <w:sz w:val="24"/>
          <w:szCs w:val="24"/>
        </w:rPr>
        <w:t xml:space="preserve"> play</w:t>
      </w:r>
      <w:r w:rsidR="006127F5" w:rsidRPr="00BD2B94">
        <w:rPr>
          <w:rFonts w:ascii="Avenir Next" w:hAnsi="Avenir Next"/>
          <w:sz w:val="24"/>
          <w:szCs w:val="24"/>
        </w:rPr>
        <w:t>ed</w:t>
      </w:r>
      <w:r w:rsidR="009D0EEC" w:rsidRPr="00BD2B94">
        <w:rPr>
          <w:rFonts w:ascii="Avenir Next" w:hAnsi="Avenir Next"/>
          <w:sz w:val="24"/>
          <w:szCs w:val="24"/>
        </w:rPr>
        <w:t xml:space="preserve"> in delimiting and co-performing </w:t>
      </w:r>
      <w:r w:rsidR="006127F5" w:rsidRPr="00BD2B94">
        <w:rPr>
          <w:rFonts w:ascii="Avenir Next" w:hAnsi="Avenir Next"/>
          <w:sz w:val="24"/>
          <w:szCs w:val="24"/>
        </w:rPr>
        <w:t>housing</w:t>
      </w:r>
      <w:r w:rsidR="009D0EEC" w:rsidRPr="00BD2B94">
        <w:rPr>
          <w:rFonts w:ascii="Avenir Next" w:hAnsi="Avenir Next"/>
          <w:sz w:val="24"/>
          <w:szCs w:val="24"/>
        </w:rPr>
        <w:t xml:space="preserve"> development</w:t>
      </w:r>
      <w:r w:rsidR="00115408" w:rsidRPr="00BD2B94">
        <w:rPr>
          <w:rFonts w:ascii="Avenir Next" w:hAnsi="Avenir Next"/>
          <w:sz w:val="24"/>
          <w:szCs w:val="24"/>
        </w:rPr>
        <w:t xml:space="preserve"> </w:t>
      </w:r>
      <w:r w:rsidR="006127F5" w:rsidRPr="00BD2B94">
        <w:rPr>
          <w:rFonts w:ascii="Avenir Next" w:hAnsi="Avenir Next"/>
          <w:sz w:val="24"/>
          <w:szCs w:val="24"/>
        </w:rPr>
        <w:t>for decades</w:t>
      </w:r>
      <w:r w:rsidR="009D0EEC" w:rsidRPr="00BD2B94">
        <w:rPr>
          <w:rFonts w:ascii="Avenir Next" w:hAnsi="Avenir Next"/>
          <w:sz w:val="24"/>
          <w:szCs w:val="24"/>
        </w:rPr>
        <w:t xml:space="preserve">. </w:t>
      </w:r>
      <w:r w:rsidR="00115408" w:rsidRPr="00BD2B94">
        <w:rPr>
          <w:rFonts w:ascii="Avenir Next" w:hAnsi="Avenir Next"/>
          <w:sz w:val="24"/>
          <w:szCs w:val="24"/>
        </w:rPr>
        <w:t>C</w:t>
      </w:r>
      <w:r w:rsidR="009D0EEC" w:rsidRPr="00BD2B94">
        <w:rPr>
          <w:rFonts w:ascii="Avenir Next" w:hAnsi="Avenir Next"/>
          <w:sz w:val="24"/>
          <w:szCs w:val="24"/>
        </w:rPr>
        <w:t xml:space="preserve">alls to utilise local authority land </w:t>
      </w:r>
      <w:r w:rsidR="006127F5" w:rsidRPr="00BD2B94">
        <w:rPr>
          <w:rFonts w:ascii="Avenir Next" w:hAnsi="Avenir Next"/>
          <w:sz w:val="24"/>
          <w:szCs w:val="24"/>
        </w:rPr>
        <w:t>should</w:t>
      </w:r>
      <w:r w:rsidR="009D0EEC" w:rsidRPr="00BD2B94">
        <w:rPr>
          <w:rFonts w:ascii="Avenir Next" w:hAnsi="Avenir Next"/>
          <w:sz w:val="24"/>
          <w:szCs w:val="24"/>
        </w:rPr>
        <w:t xml:space="preserve"> </w:t>
      </w:r>
      <w:r w:rsidR="00115408" w:rsidRPr="00BD2B94">
        <w:rPr>
          <w:rFonts w:ascii="Avenir Next" w:hAnsi="Avenir Next"/>
          <w:sz w:val="24"/>
          <w:szCs w:val="24"/>
        </w:rPr>
        <w:t xml:space="preserve">therefore </w:t>
      </w:r>
      <w:r w:rsidR="006127F5" w:rsidRPr="00BD2B94">
        <w:rPr>
          <w:rFonts w:ascii="Avenir Next" w:hAnsi="Avenir Next"/>
          <w:sz w:val="24"/>
          <w:szCs w:val="24"/>
        </w:rPr>
        <w:t xml:space="preserve">be seen as </w:t>
      </w:r>
      <w:r w:rsidR="009D0EEC" w:rsidRPr="00BD2B94">
        <w:rPr>
          <w:rFonts w:ascii="Avenir Next" w:hAnsi="Avenir Next"/>
          <w:sz w:val="24"/>
          <w:szCs w:val="24"/>
        </w:rPr>
        <w:t xml:space="preserve">an </w:t>
      </w:r>
      <w:r w:rsidR="009D0EEC" w:rsidRPr="00BD2B94">
        <w:rPr>
          <w:rFonts w:ascii="Avenir Next" w:hAnsi="Avenir Next"/>
          <w:sz w:val="24"/>
          <w:szCs w:val="24"/>
        </w:rPr>
        <w:lastRenderedPageBreak/>
        <w:t>extension of this activity</w:t>
      </w:r>
      <w:r w:rsidR="00115408" w:rsidRPr="00BD2B94">
        <w:rPr>
          <w:rFonts w:ascii="Avenir Next" w:hAnsi="Avenir Next"/>
          <w:sz w:val="24"/>
          <w:szCs w:val="24"/>
        </w:rPr>
        <w:t>;</w:t>
      </w:r>
      <w:r w:rsidR="009D0EEC" w:rsidRPr="00BD2B94">
        <w:rPr>
          <w:rFonts w:ascii="Avenir Next" w:hAnsi="Avenir Next"/>
          <w:sz w:val="24"/>
          <w:szCs w:val="24"/>
        </w:rPr>
        <w:t xml:space="preserve"> occur</w:t>
      </w:r>
      <w:r w:rsidR="00115408" w:rsidRPr="00BD2B94">
        <w:rPr>
          <w:rFonts w:ascii="Avenir Next" w:hAnsi="Avenir Next"/>
          <w:sz w:val="24"/>
          <w:szCs w:val="24"/>
        </w:rPr>
        <w:t>ring</w:t>
      </w:r>
      <w:r w:rsidR="009D0EEC" w:rsidRPr="00BD2B94">
        <w:rPr>
          <w:rFonts w:ascii="Avenir Next" w:hAnsi="Avenir Next"/>
          <w:sz w:val="24"/>
          <w:szCs w:val="24"/>
        </w:rPr>
        <w:t xml:space="preserve"> within</w:t>
      </w:r>
      <w:r w:rsidR="006127F5" w:rsidRPr="00BD2B94">
        <w:rPr>
          <w:rFonts w:ascii="Avenir Next" w:hAnsi="Avenir Next"/>
          <w:sz w:val="24"/>
          <w:szCs w:val="24"/>
        </w:rPr>
        <w:t xml:space="preserve"> a longer term</w:t>
      </w:r>
      <w:r w:rsidR="009D0EEC" w:rsidRPr="00BD2B94">
        <w:rPr>
          <w:rFonts w:ascii="Avenir Next" w:hAnsi="Avenir Next"/>
          <w:sz w:val="24"/>
          <w:szCs w:val="24"/>
        </w:rPr>
        <w:t xml:space="preserve"> politically and community contested space</w:t>
      </w:r>
      <w:r w:rsidR="00525ED7" w:rsidRPr="00BD2B94">
        <w:rPr>
          <w:rFonts w:ascii="Avenir Next" w:hAnsi="Avenir Next"/>
          <w:sz w:val="24"/>
          <w:szCs w:val="24"/>
        </w:rPr>
        <w:t xml:space="preserve"> with barriers that may be overcome</w:t>
      </w:r>
      <w:r w:rsidR="009D0EEC" w:rsidRPr="00BD2B94">
        <w:rPr>
          <w:rFonts w:ascii="Avenir Next" w:hAnsi="Avenir Next"/>
          <w:sz w:val="24"/>
          <w:szCs w:val="24"/>
        </w:rPr>
        <w:t xml:space="preserve">. </w:t>
      </w:r>
    </w:p>
    <w:p w14:paraId="09B3C5A8" w14:textId="2A9FBE3B" w:rsidR="00091183" w:rsidRPr="00BD2B94" w:rsidRDefault="006D284C" w:rsidP="00BD2B94">
      <w:pPr>
        <w:rPr>
          <w:rFonts w:ascii="Avenir Next" w:hAnsi="Avenir Next"/>
          <w:sz w:val="24"/>
          <w:szCs w:val="24"/>
        </w:rPr>
      </w:pPr>
      <w:r w:rsidRPr="00BD2B94">
        <w:rPr>
          <w:rFonts w:ascii="Avenir Next" w:hAnsi="Avenir Next"/>
          <w:sz w:val="24"/>
          <w:szCs w:val="24"/>
        </w:rPr>
        <w:t xml:space="preserve">This </w:t>
      </w:r>
      <w:r w:rsidR="00AB62B8" w:rsidRPr="00BD2B94">
        <w:rPr>
          <w:rFonts w:ascii="Avenir Next" w:hAnsi="Avenir Next"/>
          <w:sz w:val="24"/>
          <w:szCs w:val="24"/>
        </w:rPr>
        <w:t xml:space="preserve">historical institutional meta theoretical approach to understanding the operation of the land market for local authority led housing delivery on public land </w:t>
      </w:r>
      <w:r w:rsidRPr="00BD2B94">
        <w:rPr>
          <w:rFonts w:ascii="Avenir Next" w:hAnsi="Avenir Next"/>
          <w:sz w:val="24"/>
          <w:szCs w:val="24"/>
        </w:rPr>
        <w:t xml:space="preserve">draws from a small sample of actors involved in determining if and how local authority land should be developed for housing. The scope of the research </w:t>
      </w:r>
      <w:r w:rsidR="000507EF" w:rsidRPr="00BD2B94">
        <w:rPr>
          <w:rFonts w:ascii="Avenir Next" w:hAnsi="Avenir Next"/>
          <w:sz w:val="24"/>
          <w:szCs w:val="24"/>
        </w:rPr>
        <w:t xml:space="preserve">limits </w:t>
      </w:r>
      <w:r w:rsidRPr="00BD2B94">
        <w:rPr>
          <w:rFonts w:ascii="Avenir Next" w:hAnsi="Avenir Next"/>
          <w:sz w:val="24"/>
          <w:szCs w:val="24"/>
        </w:rPr>
        <w:t xml:space="preserve">extrapolation to the national scale, yet </w:t>
      </w:r>
      <w:r w:rsidR="00AB62B8" w:rsidRPr="00BD2B94">
        <w:rPr>
          <w:rFonts w:ascii="Avenir Next" w:hAnsi="Avenir Next"/>
          <w:sz w:val="24"/>
          <w:szCs w:val="24"/>
        </w:rPr>
        <w:t xml:space="preserve">it is clear that there are similarities to the </w:t>
      </w:r>
      <w:r w:rsidR="00B4041D" w:rsidRPr="00BD2B94">
        <w:rPr>
          <w:rFonts w:ascii="Avenir Next" w:hAnsi="Avenir Next"/>
          <w:sz w:val="24"/>
          <w:szCs w:val="24"/>
        </w:rPr>
        <w:t xml:space="preserve">private development </w:t>
      </w:r>
      <w:r w:rsidR="00AB62B8" w:rsidRPr="00BD2B94">
        <w:rPr>
          <w:rFonts w:ascii="Avenir Next" w:hAnsi="Avenir Next"/>
          <w:sz w:val="24"/>
          <w:szCs w:val="24"/>
        </w:rPr>
        <w:t xml:space="preserve">barriers </w:t>
      </w:r>
      <w:r w:rsidR="00B4041D" w:rsidRPr="00BD2B94">
        <w:rPr>
          <w:rFonts w:ascii="Avenir Next" w:hAnsi="Avenir Next"/>
          <w:sz w:val="24"/>
          <w:szCs w:val="24"/>
        </w:rPr>
        <w:t xml:space="preserve">considered in the literature </w:t>
      </w:r>
      <w:r w:rsidR="00AB62B8" w:rsidRPr="00BD2B94">
        <w:rPr>
          <w:rFonts w:ascii="Avenir Next" w:hAnsi="Avenir Next"/>
          <w:sz w:val="24"/>
          <w:szCs w:val="24"/>
        </w:rPr>
        <w:t xml:space="preserve">for delivering </w:t>
      </w:r>
      <w:r w:rsidR="00B4041D" w:rsidRPr="00BD2B94">
        <w:rPr>
          <w:rFonts w:ascii="Avenir Next" w:hAnsi="Avenir Next"/>
          <w:sz w:val="24"/>
          <w:szCs w:val="24"/>
        </w:rPr>
        <w:t xml:space="preserve">local authority led </w:t>
      </w:r>
      <w:r w:rsidR="00AB62B8" w:rsidRPr="00BD2B94">
        <w:rPr>
          <w:rFonts w:ascii="Avenir Next" w:hAnsi="Avenir Next"/>
          <w:sz w:val="24"/>
          <w:szCs w:val="24"/>
        </w:rPr>
        <w:t xml:space="preserve">housing </w:t>
      </w:r>
      <w:r w:rsidR="00B4041D" w:rsidRPr="00BD2B94">
        <w:rPr>
          <w:rFonts w:ascii="Avenir Next" w:hAnsi="Avenir Next"/>
          <w:sz w:val="24"/>
          <w:szCs w:val="24"/>
        </w:rPr>
        <w:t>on public land</w:t>
      </w:r>
      <w:r w:rsidR="00AB62B8" w:rsidRPr="00BD2B94">
        <w:rPr>
          <w:rFonts w:ascii="Avenir Next" w:hAnsi="Avenir Next"/>
          <w:sz w:val="24"/>
          <w:szCs w:val="24"/>
        </w:rPr>
        <w:t>. These barriers can and have been overcome but doing so should not be considered simplistic. If it is a policy goal to increase housing delivery on public land then there needs to be government support, in the form of legislation, training and finances, to extend local authorities’ capacity to enact this delivery.</w:t>
      </w:r>
    </w:p>
    <w:p w14:paraId="30BC38A4" w14:textId="77777777" w:rsidR="00D9437C" w:rsidRPr="00BD2B94" w:rsidRDefault="00D9437C" w:rsidP="00BD2B94">
      <w:pPr>
        <w:jc w:val="left"/>
        <w:rPr>
          <w:rFonts w:ascii="Avenir Next" w:hAnsi="Avenir Next"/>
          <w:sz w:val="24"/>
          <w:szCs w:val="24"/>
        </w:rPr>
      </w:pPr>
      <w:r w:rsidRPr="00BD2B94">
        <w:rPr>
          <w:rFonts w:ascii="Avenir Next" w:hAnsi="Avenir Next"/>
          <w:sz w:val="24"/>
          <w:szCs w:val="24"/>
        </w:rPr>
        <w:br w:type="page"/>
      </w:r>
    </w:p>
    <w:p w14:paraId="66B9B0EB" w14:textId="693EFEA7" w:rsidR="00AB0DF0" w:rsidRPr="00F8354F" w:rsidRDefault="00AB0DF0" w:rsidP="00BD2B94">
      <w:pPr>
        <w:rPr>
          <w:rFonts w:ascii="Avenir Next" w:hAnsi="Avenir Next"/>
          <w:b/>
          <w:bCs/>
          <w:sz w:val="24"/>
          <w:szCs w:val="24"/>
        </w:rPr>
      </w:pPr>
      <w:r w:rsidRPr="00F8354F">
        <w:rPr>
          <w:rFonts w:ascii="Avenir Next" w:hAnsi="Avenir Next"/>
          <w:b/>
          <w:bCs/>
          <w:sz w:val="24"/>
          <w:szCs w:val="24"/>
        </w:rPr>
        <w:lastRenderedPageBreak/>
        <w:t>References</w:t>
      </w:r>
    </w:p>
    <w:p w14:paraId="479B8897" w14:textId="77777777" w:rsidR="00D12698" w:rsidRDefault="00D12698" w:rsidP="00F8354F">
      <w:pPr>
        <w:jc w:val="left"/>
        <w:rPr>
          <w:rFonts w:ascii="Avenir Next" w:hAnsi="Avenir Next"/>
          <w:color w:val="1A1A1A"/>
          <w:sz w:val="24"/>
          <w:szCs w:val="24"/>
          <w:lang w:val="en-US"/>
        </w:rPr>
      </w:pPr>
      <w:r w:rsidRPr="00BD2B94">
        <w:rPr>
          <w:rFonts w:ascii="Avenir Next" w:hAnsi="Avenir Next"/>
          <w:color w:val="1A1A1A"/>
          <w:sz w:val="24"/>
          <w:szCs w:val="24"/>
          <w:lang w:val="en-US"/>
        </w:rPr>
        <w:t xml:space="preserve">Adams, D. (1994) </w:t>
      </w:r>
      <w:r w:rsidRPr="00BD2B94">
        <w:rPr>
          <w:rFonts w:ascii="Avenir Next" w:hAnsi="Avenir Next"/>
          <w:i/>
          <w:iCs/>
          <w:color w:val="1A1A1A"/>
          <w:sz w:val="24"/>
          <w:szCs w:val="24"/>
          <w:lang w:val="en-US"/>
        </w:rPr>
        <w:t>Urban Planning and the Development Process</w:t>
      </w:r>
      <w:r w:rsidRPr="00BD2B94">
        <w:rPr>
          <w:rFonts w:ascii="Avenir Next" w:hAnsi="Avenir Next"/>
          <w:color w:val="1A1A1A"/>
          <w:sz w:val="24"/>
          <w:szCs w:val="24"/>
          <w:lang w:val="en-US"/>
        </w:rPr>
        <w:t>, Routledge, Eastbourne</w:t>
      </w:r>
    </w:p>
    <w:p w14:paraId="0D2FA833" w14:textId="77777777" w:rsidR="00D12698" w:rsidRDefault="00D12698" w:rsidP="00F8354F">
      <w:pPr>
        <w:jc w:val="left"/>
        <w:rPr>
          <w:rFonts w:ascii="Avenir Next" w:hAnsi="Avenir Next"/>
          <w:color w:val="1A1A1A"/>
          <w:sz w:val="24"/>
          <w:szCs w:val="24"/>
          <w:lang w:val="en-US"/>
        </w:rPr>
      </w:pPr>
      <w:r w:rsidRPr="00BD2B94">
        <w:rPr>
          <w:rFonts w:ascii="Avenir Next" w:eastAsia="Times New Roman" w:hAnsi="Avenir Next" w:cs="Calibri Light"/>
          <w:color w:val="222222"/>
          <w:sz w:val="24"/>
          <w:szCs w:val="24"/>
          <w:shd w:val="clear" w:color="auto" w:fill="FFFFFF"/>
          <w:lang w:eastAsia="en-GB"/>
        </w:rPr>
        <w:t xml:space="preserve">Adams, D., </w:t>
      </w:r>
      <w:proofErr w:type="spellStart"/>
      <w:r w:rsidRPr="00BD2B94">
        <w:rPr>
          <w:rFonts w:ascii="Avenir Next" w:eastAsia="Times New Roman" w:hAnsi="Avenir Next" w:cs="Calibri Light"/>
          <w:color w:val="222222"/>
          <w:sz w:val="24"/>
          <w:szCs w:val="24"/>
          <w:shd w:val="clear" w:color="auto" w:fill="FFFFFF"/>
          <w:lang w:eastAsia="en-GB"/>
        </w:rPr>
        <w:t>Disberry</w:t>
      </w:r>
      <w:proofErr w:type="spellEnd"/>
      <w:r w:rsidRPr="00BD2B94">
        <w:rPr>
          <w:rFonts w:ascii="Avenir Next" w:eastAsia="Times New Roman" w:hAnsi="Avenir Next" w:cs="Calibri Light"/>
          <w:color w:val="222222"/>
          <w:sz w:val="24"/>
          <w:szCs w:val="24"/>
          <w:shd w:val="clear" w:color="auto" w:fill="FFFFFF"/>
          <w:lang w:eastAsia="en-GB"/>
        </w:rPr>
        <w:t xml:space="preserve">, A., Hutchison, N. and </w:t>
      </w:r>
      <w:proofErr w:type="spellStart"/>
      <w:r w:rsidRPr="00BD2B94">
        <w:rPr>
          <w:rFonts w:ascii="Avenir Next" w:eastAsia="Times New Roman" w:hAnsi="Avenir Next" w:cs="Calibri Light"/>
          <w:color w:val="222222"/>
          <w:sz w:val="24"/>
          <w:szCs w:val="24"/>
          <w:shd w:val="clear" w:color="auto" w:fill="FFFFFF"/>
          <w:lang w:eastAsia="en-GB"/>
        </w:rPr>
        <w:t>Munjoma</w:t>
      </w:r>
      <w:proofErr w:type="spellEnd"/>
      <w:r w:rsidRPr="00BD2B94">
        <w:rPr>
          <w:rFonts w:ascii="Avenir Next" w:eastAsia="Times New Roman" w:hAnsi="Avenir Next" w:cs="Calibri Light"/>
          <w:color w:val="222222"/>
          <w:sz w:val="24"/>
          <w:szCs w:val="24"/>
          <w:shd w:val="clear" w:color="auto" w:fill="FFFFFF"/>
          <w:lang w:eastAsia="en-GB"/>
        </w:rPr>
        <w:t>, T. (2001) Urban redevelopment: contextual influences and landowner behaviour. </w:t>
      </w:r>
      <w:r w:rsidRPr="00BD2B94">
        <w:rPr>
          <w:rFonts w:ascii="Avenir Next" w:eastAsia="Times New Roman" w:hAnsi="Avenir Next" w:cs="Calibri Light"/>
          <w:i/>
          <w:iCs/>
          <w:color w:val="222222"/>
          <w:sz w:val="24"/>
          <w:szCs w:val="24"/>
          <w:lang w:eastAsia="en-GB"/>
        </w:rPr>
        <w:t>Journal of Property Research</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color w:val="222222"/>
          <w:sz w:val="24"/>
          <w:szCs w:val="24"/>
          <w:lang w:eastAsia="en-GB"/>
        </w:rPr>
        <w:t>18</w:t>
      </w:r>
      <w:r w:rsidRPr="00BD2B94">
        <w:rPr>
          <w:rFonts w:ascii="Avenir Next" w:eastAsia="Times New Roman" w:hAnsi="Avenir Next" w:cs="Calibri Light"/>
          <w:color w:val="222222"/>
          <w:sz w:val="24"/>
          <w:szCs w:val="24"/>
          <w:shd w:val="clear" w:color="auto" w:fill="FFFFFF"/>
          <w:lang w:eastAsia="en-GB"/>
        </w:rPr>
        <w:t>(3), pp.217-234.</w:t>
      </w:r>
    </w:p>
    <w:p w14:paraId="4743F612" w14:textId="77777777" w:rsidR="00D12698" w:rsidRDefault="006D55C6" w:rsidP="00F8354F">
      <w:pPr>
        <w:jc w:val="left"/>
        <w:rPr>
          <w:rFonts w:ascii="Avenir Next" w:hAnsi="Avenir Next"/>
          <w:color w:val="1A1A1A"/>
          <w:sz w:val="24"/>
          <w:szCs w:val="24"/>
          <w:lang w:val="en-US"/>
        </w:rPr>
      </w:pPr>
      <w:r w:rsidRPr="00BD2B94">
        <w:rPr>
          <w:rFonts w:ascii="Avenir Next" w:eastAsia="Times New Roman" w:hAnsi="Avenir Next" w:cs="Calibri Light"/>
          <w:color w:val="222222"/>
          <w:sz w:val="24"/>
          <w:szCs w:val="24"/>
          <w:shd w:val="clear" w:color="auto" w:fill="FFFFFF"/>
          <w:lang w:eastAsia="en-GB"/>
        </w:rPr>
        <w:t xml:space="preserve">Adams, D., </w:t>
      </w:r>
      <w:proofErr w:type="spellStart"/>
      <w:r w:rsidRPr="00BD2B94">
        <w:rPr>
          <w:rFonts w:ascii="Avenir Next" w:eastAsia="Times New Roman" w:hAnsi="Avenir Next" w:cs="Calibri Light"/>
          <w:color w:val="222222"/>
          <w:sz w:val="24"/>
          <w:szCs w:val="24"/>
          <w:shd w:val="clear" w:color="auto" w:fill="FFFFFF"/>
          <w:lang w:eastAsia="en-GB"/>
        </w:rPr>
        <w:t>Dunse</w:t>
      </w:r>
      <w:proofErr w:type="spellEnd"/>
      <w:r w:rsidRPr="00BD2B94">
        <w:rPr>
          <w:rFonts w:ascii="Avenir Next" w:eastAsia="Times New Roman" w:hAnsi="Avenir Next" w:cs="Calibri Light"/>
          <w:color w:val="222222"/>
          <w:sz w:val="24"/>
          <w:szCs w:val="24"/>
          <w:shd w:val="clear" w:color="auto" w:fill="FFFFFF"/>
          <w:lang w:eastAsia="en-GB"/>
        </w:rPr>
        <w:t xml:space="preserve">, N. and White, M. </w:t>
      </w:r>
      <w:r w:rsidR="00B4041D" w:rsidRPr="00BD2B94">
        <w:rPr>
          <w:rFonts w:ascii="Avenir Next" w:eastAsia="Times New Roman" w:hAnsi="Avenir Next" w:cs="Calibri Light"/>
          <w:color w:val="222222"/>
          <w:sz w:val="24"/>
          <w:szCs w:val="24"/>
          <w:shd w:val="clear" w:color="auto" w:fill="FFFFFF"/>
          <w:lang w:eastAsia="en-GB"/>
        </w:rPr>
        <w:t>(</w:t>
      </w:r>
      <w:r w:rsidRPr="00BD2B94">
        <w:rPr>
          <w:rFonts w:ascii="Avenir Next" w:eastAsia="Times New Roman" w:hAnsi="Avenir Next" w:cs="Calibri Light"/>
          <w:color w:val="222222"/>
          <w:sz w:val="24"/>
          <w:szCs w:val="24"/>
          <w:shd w:val="clear" w:color="auto" w:fill="FFFFFF"/>
          <w:lang w:eastAsia="en-GB"/>
        </w:rPr>
        <w:t>2005</w:t>
      </w:r>
      <w:r w:rsidR="00B4041D" w:rsidRPr="00BD2B94">
        <w:rPr>
          <w:rFonts w:ascii="Avenir Next" w:eastAsia="Times New Roman" w:hAnsi="Avenir Next" w:cs="Calibri Light"/>
          <w:color w:val="222222"/>
          <w:sz w:val="24"/>
          <w:szCs w:val="24"/>
          <w:shd w:val="clear" w:color="auto" w:fill="FFFFFF"/>
          <w:lang w:eastAsia="en-GB"/>
        </w:rPr>
        <w:t>)</w:t>
      </w:r>
      <w:r w:rsidRPr="00BD2B94">
        <w:rPr>
          <w:rFonts w:ascii="Avenir Next" w:eastAsia="Times New Roman" w:hAnsi="Avenir Next" w:cs="Calibri Light"/>
          <w:color w:val="222222"/>
          <w:sz w:val="24"/>
          <w:szCs w:val="24"/>
          <w:shd w:val="clear" w:color="auto" w:fill="FFFFFF"/>
          <w:lang w:eastAsia="en-GB"/>
        </w:rPr>
        <w:t xml:space="preserve"> Conceptualising State</w:t>
      </w:r>
      <w:r w:rsidRPr="00BD2B94">
        <w:rPr>
          <w:rFonts w:ascii="Cambria Math" w:eastAsia="Times New Roman" w:hAnsi="Cambria Math" w:cs="Cambria Math"/>
          <w:color w:val="222222"/>
          <w:sz w:val="24"/>
          <w:szCs w:val="24"/>
          <w:shd w:val="clear" w:color="auto" w:fill="FFFFFF"/>
          <w:lang w:eastAsia="en-GB"/>
        </w:rPr>
        <w:t>‐</w:t>
      </w:r>
      <w:r w:rsidRPr="00BD2B94">
        <w:rPr>
          <w:rFonts w:ascii="Avenir Next" w:eastAsia="Times New Roman" w:hAnsi="Avenir Next" w:cs="Calibri Light"/>
          <w:color w:val="222222"/>
          <w:sz w:val="24"/>
          <w:szCs w:val="24"/>
          <w:shd w:val="clear" w:color="auto" w:fill="FFFFFF"/>
          <w:lang w:eastAsia="en-GB"/>
        </w:rPr>
        <w:t>Market Relations in Land and Property: The Mainstream Contribution of Neo</w:t>
      </w:r>
      <w:r w:rsidRPr="00BD2B94">
        <w:rPr>
          <w:rFonts w:ascii="Cambria Math" w:eastAsia="Times New Roman" w:hAnsi="Cambria Math" w:cs="Cambria Math"/>
          <w:color w:val="222222"/>
          <w:sz w:val="24"/>
          <w:szCs w:val="24"/>
          <w:shd w:val="clear" w:color="auto" w:fill="FFFFFF"/>
          <w:lang w:eastAsia="en-GB"/>
        </w:rPr>
        <w:t>‐</w:t>
      </w:r>
      <w:r w:rsidRPr="00BD2B94">
        <w:rPr>
          <w:rFonts w:ascii="Avenir Next" w:eastAsia="Times New Roman" w:hAnsi="Avenir Next" w:cs="Calibri Light"/>
          <w:color w:val="222222"/>
          <w:sz w:val="24"/>
          <w:szCs w:val="24"/>
          <w:shd w:val="clear" w:color="auto" w:fill="FFFFFF"/>
          <w:lang w:eastAsia="en-GB"/>
        </w:rPr>
        <w:t>Classical and Welfare Economics. </w:t>
      </w:r>
      <w:r w:rsidRPr="00BD2B94">
        <w:rPr>
          <w:rFonts w:ascii="Avenir Next" w:eastAsia="Times New Roman" w:hAnsi="Avenir Next" w:cs="Calibri Light"/>
          <w:i/>
          <w:iCs/>
          <w:color w:val="222222"/>
          <w:sz w:val="24"/>
          <w:szCs w:val="24"/>
          <w:lang w:eastAsia="en-GB"/>
        </w:rPr>
        <w:t>Planning, Public Policy &amp; Property Markets</w:t>
      </w:r>
      <w:r w:rsidRPr="00BD2B94">
        <w:rPr>
          <w:rFonts w:ascii="Avenir Next" w:eastAsia="Times New Roman" w:hAnsi="Avenir Next" w:cs="Calibri Light"/>
          <w:color w:val="222222"/>
          <w:sz w:val="24"/>
          <w:szCs w:val="24"/>
          <w:shd w:val="clear" w:color="auto" w:fill="FFFFFF"/>
          <w:lang w:eastAsia="en-GB"/>
        </w:rPr>
        <w:t>, pp.15-36.</w:t>
      </w:r>
    </w:p>
    <w:p w14:paraId="1C68BAF5" w14:textId="77777777" w:rsidR="00D12698" w:rsidRDefault="00B4041D" w:rsidP="00F8354F">
      <w:pPr>
        <w:jc w:val="left"/>
        <w:rPr>
          <w:rFonts w:ascii="Avenir Next" w:hAnsi="Avenir Next"/>
          <w:color w:val="1A1A1A"/>
          <w:sz w:val="24"/>
          <w:szCs w:val="24"/>
          <w:lang w:val="en-US"/>
        </w:rPr>
      </w:pPr>
      <w:r w:rsidRPr="00BD2B94">
        <w:rPr>
          <w:rFonts w:ascii="Avenir Next" w:eastAsia="Times New Roman" w:hAnsi="Avenir Next" w:cs="Calibri Light"/>
          <w:color w:val="222222"/>
          <w:sz w:val="24"/>
          <w:szCs w:val="24"/>
          <w:shd w:val="clear" w:color="auto" w:fill="FFFFFF"/>
          <w:lang w:eastAsia="en-GB"/>
        </w:rPr>
        <w:t>Adams, D. and May, H.G. (1991) Active and passive behaviour in land ownership</w:t>
      </w:r>
      <w:r w:rsidRPr="00BD2B94">
        <w:rPr>
          <w:rFonts w:ascii="Avenir Next" w:eastAsia="Times New Roman" w:hAnsi="Avenir Next" w:cs="Calibri Light"/>
          <w:i/>
          <w:iCs/>
          <w:color w:val="222222"/>
          <w:sz w:val="24"/>
          <w:szCs w:val="24"/>
          <w:shd w:val="clear" w:color="auto" w:fill="FFFFFF"/>
          <w:lang w:eastAsia="en-GB"/>
        </w:rPr>
        <w:t>. </w:t>
      </w:r>
      <w:r w:rsidRPr="00BD2B94">
        <w:rPr>
          <w:rFonts w:ascii="Avenir Next" w:eastAsia="Times New Roman" w:hAnsi="Avenir Next" w:cs="Calibri Light"/>
          <w:i/>
          <w:iCs/>
          <w:color w:val="222222"/>
          <w:sz w:val="24"/>
          <w:szCs w:val="24"/>
          <w:lang w:eastAsia="en-GB"/>
        </w:rPr>
        <w:t>Urban Studies</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color w:val="222222"/>
          <w:sz w:val="24"/>
          <w:szCs w:val="24"/>
          <w:lang w:eastAsia="en-GB"/>
        </w:rPr>
        <w:t>28</w:t>
      </w:r>
      <w:r w:rsidRPr="00BD2B94">
        <w:rPr>
          <w:rFonts w:ascii="Avenir Next" w:eastAsia="Times New Roman" w:hAnsi="Avenir Next" w:cs="Calibri Light"/>
          <w:color w:val="222222"/>
          <w:sz w:val="24"/>
          <w:szCs w:val="24"/>
          <w:shd w:val="clear" w:color="auto" w:fill="FFFFFF"/>
          <w:lang w:eastAsia="en-GB"/>
        </w:rPr>
        <w:t>(5), pp.687-705.</w:t>
      </w:r>
    </w:p>
    <w:p w14:paraId="4DA72C12" w14:textId="693E7704" w:rsidR="00D12698" w:rsidRPr="00D12698" w:rsidRDefault="00D12698" w:rsidP="00F8354F">
      <w:pPr>
        <w:jc w:val="left"/>
        <w:rPr>
          <w:rFonts w:ascii="Avenir Next" w:hAnsi="Avenir Next"/>
          <w:color w:val="1A1A1A"/>
          <w:sz w:val="24"/>
          <w:szCs w:val="24"/>
          <w:lang w:val="en-US"/>
        </w:rPr>
      </w:pPr>
      <w:r w:rsidRPr="00D12698">
        <w:rPr>
          <w:rFonts w:ascii="Avenir Next" w:eastAsia="Times New Roman" w:hAnsi="Avenir Next" w:cs="Arial"/>
          <w:color w:val="222222"/>
          <w:sz w:val="24"/>
          <w:szCs w:val="24"/>
          <w:shd w:val="clear" w:color="auto" w:fill="FFFFFF"/>
          <w:lang w:eastAsia="en-GB"/>
        </w:rPr>
        <w:t xml:space="preserve">Adams, D., Leishman, C. </w:t>
      </w:r>
      <w:r>
        <w:rPr>
          <w:rFonts w:ascii="Avenir Next" w:eastAsia="Times New Roman" w:hAnsi="Avenir Next" w:cs="Arial"/>
          <w:color w:val="222222"/>
          <w:sz w:val="24"/>
          <w:szCs w:val="24"/>
          <w:shd w:val="clear" w:color="auto" w:fill="FFFFFF"/>
          <w:lang w:eastAsia="en-GB"/>
        </w:rPr>
        <w:t>&amp;</w:t>
      </w:r>
      <w:r w:rsidRPr="00D12698">
        <w:rPr>
          <w:rFonts w:ascii="Avenir Next" w:eastAsia="Times New Roman" w:hAnsi="Avenir Next" w:cs="Arial"/>
          <w:color w:val="222222"/>
          <w:sz w:val="24"/>
          <w:szCs w:val="24"/>
          <w:shd w:val="clear" w:color="auto" w:fill="FFFFFF"/>
          <w:lang w:eastAsia="en-GB"/>
        </w:rPr>
        <w:t xml:space="preserve"> Moore, C., 2009. Why not build </w:t>
      </w:r>
      <w:proofErr w:type="gramStart"/>
      <w:r w:rsidRPr="00D12698">
        <w:rPr>
          <w:rFonts w:ascii="Avenir Next" w:eastAsia="Times New Roman" w:hAnsi="Avenir Next" w:cs="Arial"/>
          <w:color w:val="222222"/>
          <w:sz w:val="24"/>
          <w:szCs w:val="24"/>
          <w:shd w:val="clear" w:color="auto" w:fill="FFFFFF"/>
          <w:lang w:eastAsia="en-GB"/>
        </w:rPr>
        <w:t>faster?:</w:t>
      </w:r>
      <w:proofErr w:type="gramEnd"/>
      <w:r w:rsidRPr="00D12698">
        <w:rPr>
          <w:rFonts w:ascii="Avenir Next" w:eastAsia="Times New Roman" w:hAnsi="Avenir Next" w:cs="Arial"/>
          <w:color w:val="222222"/>
          <w:sz w:val="24"/>
          <w:szCs w:val="24"/>
          <w:shd w:val="clear" w:color="auto" w:fill="FFFFFF"/>
          <w:lang w:eastAsia="en-GB"/>
        </w:rPr>
        <w:t xml:space="preserve"> Explaining the speed at which British house-builders develop new homes for owner-occupation. </w:t>
      </w:r>
      <w:r w:rsidRPr="00D12698">
        <w:rPr>
          <w:rFonts w:ascii="Avenir Next" w:eastAsia="Times New Roman" w:hAnsi="Avenir Next" w:cs="Arial"/>
          <w:i/>
          <w:iCs/>
          <w:color w:val="222222"/>
          <w:sz w:val="24"/>
          <w:szCs w:val="24"/>
          <w:lang w:eastAsia="en-GB"/>
        </w:rPr>
        <w:t>Town Planning Review</w:t>
      </w:r>
      <w:r w:rsidRPr="00D12698">
        <w:rPr>
          <w:rFonts w:ascii="Avenir Next" w:eastAsia="Times New Roman" w:hAnsi="Avenir Next" w:cs="Arial"/>
          <w:color w:val="222222"/>
          <w:sz w:val="24"/>
          <w:szCs w:val="24"/>
          <w:shd w:val="clear" w:color="auto" w:fill="FFFFFF"/>
          <w:lang w:eastAsia="en-GB"/>
        </w:rPr>
        <w:t>, </w:t>
      </w:r>
      <w:r w:rsidRPr="00D12698">
        <w:rPr>
          <w:rFonts w:ascii="Avenir Next" w:eastAsia="Times New Roman" w:hAnsi="Avenir Next" w:cs="Arial"/>
          <w:i/>
          <w:iCs/>
          <w:color w:val="222222"/>
          <w:sz w:val="24"/>
          <w:szCs w:val="24"/>
          <w:lang w:eastAsia="en-GB"/>
        </w:rPr>
        <w:t>80</w:t>
      </w:r>
      <w:r w:rsidRPr="00D12698">
        <w:rPr>
          <w:rFonts w:ascii="Avenir Next" w:eastAsia="Times New Roman" w:hAnsi="Avenir Next" w:cs="Arial"/>
          <w:color w:val="222222"/>
          <w:sz w:val="24"/>
          <w:szCs w:val="24"/>
          <w:shd w:val="clear" w:color="auto" w:fill="FFFFFF"/>
          <w:lang w:eastAsia="en-GB"/>
        </w:rPr>
        <w:t>(3), pp.291-314.</w:t>
      </w:r>
    </w:p>
    <w:p w14:paraId="7CC50567" w14:textId="174BAFE2" w:rsidR="004E4308" w:rsidRPr="00BD2B94" w:rsidRDefault="00EF316D" w:rsidP="00F8354F">
      <w:pPr>
        <w:jc w:val="left"/>
        <w:rPr>
          <w:rFonts w:ascii="Avenir Next" w:hAnsi="Avenir Next"/>
          <w:color w:val="1A1A1A"/>
          <w:sz w:val="24"/>
          <w:szCs w:val="24"/>
          <w:lang w:val="en-US"/>
        </w:rPr>
      </w:pPr>
      <w:r w:rsidRPr="00BD2B94">
        <w:rPr>
          <w:rFonts w:ascii="Avenir Next" w:hAnsi="Avenir Next"/>
          <w:color w:val="1A1A1A"/>
          <w:sz w:val="24"/>
          <w:szCs w:val="24"/>
          <w:lang w:val="en-US"/>
        </w:rPr>
        <w:t>Adams, D.</w:t>
      </w:r>
      <w:r w:rsidR="004E4308" w:rsidRPr="00BD2B94">
        <w:rPr>
          <w:rFonts w:ascii="Avenir Next" w:hAnsi="Avenir Next"/>
          <w:color w:val="1A1A1A"/>
          <w:sz w:val="24"/>
          <w:szCs w:val="24"/>
          <w:lang w:val="en-US"/>
        </w:rPr>
        <w:t xml:space="preserve"> &amp; </w:t>
      </w:r>
      <w:proofErr w:type="spellStart"/>
      <w:r w:rsidR="004E4308" w:rsidRPr="00BD2B94">
        <w:rPr>
          <w:rFonts w:ascii="Avenir Next" w:hAnsi="Avenir Next"/>
          <w:color w:val="1A1A1A"/>
          <w:sz w:val="24"/>
          <w:szCs w:val="24"/>
          <w:lang w:val="en-US"/>
        </w:rPr>
        <w:t>Tiesdell</w:t>
      </w:r>
      <w:proofErr w:type="spellEnd"/>
      <w:r w:rsidR="004E4308" w:rsidRPr="00BD2B94">
        <w:rPr>
          <w:rFonts w:ascii="Avenir Next" w:hAnsi="Avenir Next"/>
          <w:color w:val="1A1A1A"/>
          <w:sz w:val="24"/>
          <w:szCs w:val="24"/>
          <w:lang w:val="en-US"/>
        </w:rPr>
        <w:t xml:space="preserve">, S. (2010). Planners as market actors: Rethinking state–market relations in land and property. </w:t>
      </w:r>
      <w:r w:rsidR="004E4308" w:rsidRPr="00BD2B94">
        <w:rPr>
          <w:rFonts w:ascii="Avenir Next" w:hAnsi="Avenir Next"/>
          <w:i/>
          <w:iCs/>
          <w:color w:val="1A1A1A"/>
          <w:sz w:val="24"/>
          <w:szCs w:val="24"/>
          <w:lang w:val="en-US"/>
        </w:rPr>
        <w:t>Planning Theory &amp; Practice</w:t>
      </w:r>
      <w:r w:rsidR="004E4308" w:rsidRPr="00BD2B94">
        <w:rPr>
          <w:rFonts w:ascii="Avenir Next" w:hAnsi="Avenir Next"/>
          <w:color w:val="1A1A1A"/>
          <w:sz w:val="24"/>
          <w:szCs w:val="24"/>
          <w:lang w:val="en-US"/>
        </w:rPr>
        <w:t>, 11, 2, PP.187-207</w:t>
      </w:r>
    </w:p>
    <w:p w14:paraId="05B6A7D9" w14:textId="141D0BB2" w:rsidR="00787307" w:rsidRPr="00BD2B94" w:rsidRDefault="00787307" w:rsidP="00F8354F">
      <w:pPr>
        <w:jc w:val="left"/>
        <w:rPr>
          <w:rFonts w:ascii="Avenir Next" w:hAnsi="Avenir Next"/>
          <w:sz w:val="24"/>
          <w:szCs w:val="24"/>
        </w:rPr>
      </w:pPr>
      <w:r w:rsidRPr="00BD2B94">
        <w:rPr>
          <w:rFonts w:ascii="Avenir Next" w:hAnsi="Avenir Next"/>
          <w:color w:val="1A1A1A"/>
          <w:sz w:val="24"/>
          <w:szCs w:val="24"/>
          <w:lang w:val="en-US"/>
        </w:rPr>
        <w:t xml:space="preserve">Adams, D. &amp; Watkins, C. (2002) </w:t>
      </w:r>
      <w:r w:rsidRPr="00BD2B94">
        <w:rPr>
          <w:rFonts w:ascii="Avenir Next" w:hAnsi="Avenir Next"/>
          <w:i/>
          <w:iCs/>
          <w:color w:val="1A1A1A"/>
          <w:sz w:val="24"/>
          <w:szCs w:val="24"/>
          <w:lang w:val="en-US"/>
        </w:rPr>
        <w:t>Greenfields, Brownfields and Housing Development</w:t>
      </w:r>
      <w:r w:rsidRPr="00BD2B94">
        <w:rPr>
          <w:rFonts w:ascii="Avenir Next" w:hAnsi="Avenir Next"/>
          <w:color w:val="1A1A1A"/>
          <w:sz w:val="24"/>
          <w:szCs w:val="24"/>
          <w:lang w:val="en-US"/>
        </w:rPr>
        <w:t>, Wiley, Great Britain</w:t>
      </w:r>
    </w:p>
    <w:p w14:paraId="2D6D3F0C" w14:textId="77777777" w:rsidR="00B61FB5" w:rsidRPr="00BD2B94" w:rsidRDefault="00B61FB5" w:rsidP="00F8354F">
      <w:pPr>
        <w:jc w:val="left"/>
        <w:rPr>
          <w:rFonts w:ascii="Avenir Next" w:hAnsi="Avenir Next"/>
          <w:sz w:val="24"/>
          <w:szCs w:val="24"/>
        </w:rPr>
      </w:pPr>
      <w:r w:rsidRPr="00BD2B94">
        <w:rPr>
          <w:rFonts w:ascii="Avenir Next" w:hAnsi="Avenir Next"/>
          <w:sz w:val="24"/>
          <w:szCs w:val="24"/>
        </w:rPr>
        <w:t xml:space="preserve">Adams, D. &amp; Watkins, C. (2014) </w:t>
      </w:r>
      <w:r w:rsidRPr="00BD2B94">
        <w:rPr>
          <w:rFonts w:ascii="Avenir Next" w:hAnsi="Avenir Next"/>
          <w:i/>
          <w:iCs/>
          <w:sz w:val="24"/>
          <w:szCs w:val="24"/>
        </w:rPr>
        <w:t>The Value of Planning</w:t>
      </w:r>
      <w:r w:rsidRPr="00BD2B94">
        <w:rPr>
          <w:rFonts w:ascii="Avenir Next" w:hAnsi="Avenir Next"/>
          <w:sz w:val="24"/>
          <w:szCs w:val="24"/>
        </w:rPr>
        <w:t>, RTPI, London</w:t>
      </w:r>
    </w:p>
    <w:p w14:paraId="5318884C" w14:textId="77777777" w:rsidR="00583943" w:rsidRPr="00BD2B94" w:rsidRDefault="00AB0DF0" w:rsidP="00F8354F">
      <w:pPr>
        <w:jc w:val="left"/>
        <w:rPr>
          <w:rFonts w:ascii="Avenir Next" w:hAnsi="Avenir Next"/>
          <w:sz w:val="24"/>
          <w:szCs w:val="24"/>
        </w:rPr>
      </w:pPr>
      <w:r w:rsidRPr="00BD2B94">
        <w:rPr>
          <w:rFonts w:ascii="Avenir Next" w:hAnsi="Avenir Next"/>
          <w:sz w:val="24"/>
          <w:szCs w:val="24"/>
        </w:rPr>
        <w:t xml:space="preserve">Adams, D, Cartlidge, L, Leishman, C and Watkins, C (2009) </w:t>
      </w:r>
      <w:r w:rsidRPr="00BD2B94">
        <w:rPr>
          <w:rFonts w:ascii="Avenir Next" w:hAnsi="Avenir Next"/>
          <w:i/>
          <w:iCs/>
          <w:sz w:val="24"/>
          <w:szCs w:val="24"/>
        </w:rPr>
        <w:t>Understanding Builder to Builder Residential Land Transactions</w:t>
      </w:r>
      <w:r w:rsidRPr="00BD2B94">
        <w:rPr>
          <w:rFonts w:ascii="Avenir Next" w:hAnsi="Avenir Next"/>
          <w:sz w:val="24"/>
          <w:szCs w:val="24"/>
        </w:rPr>
        <w:t>, CLG, London, March</w:t>
      </w:r>
    </w:p>
    <w:p w14:paraId="6F31BCC0" w14:textId="77777777" w:rsidR="00050B2E" w:rsidRPr="00BD2B94" w:rsidRDefault="00050B2E" w:rsidP="00F8354F">
      <w:pPr>
        <w:jc w:val="left"/>
        <w:rPr>
          <w:rFonts w:ascii="Avenir Next" w:hAnsi="Avenir Next"/>
          <w:sz w:val="24"/>
          <w:szCs w:val="24"/>
        </w:rPr>
      </w:pPr>
      <w:r w:rsidRPr="00BD2B94">
        <w:rPr>
          <w:rFonts w:ascii="Avenir Next" w:hAnsi="Avenir Next"/>
          <w:sz w:val="24"/>
          <w:szCs w:val="24"/>
        </w:rPr>
        <w:t xml:space="preserve">Adams, D., O’Sullivan, M., Inch, A., Tait, M., Watkins, C. &amp; Harris, M. (2016) </w:t>
      </w:r>
      <w:r w:rsidRPr="00BD2B94">
        <w:rPr>
          <w:rFonts w:ascii="Avenir Next" w:hAnsi="Avenir Next"/>
          <w:i/>
          <w:iCs/>
          <w:sz w:val="24"/>
          <w:szCs w:val="24"/>
        </w:rPr>
        <w:t>Delivering the Value of Planning</w:t>
      </w:r>
      <w:r w:rsidRPr="00BD2B94">
        <w:rPr>
          <w:rFonts w:ascii="Avenir Next" w:hAnsi="Avenir Next"/>
          <w:sz w:val="24"/>
          <w:szCs w:val="24"/>
        </w:rPr>
        <w:t xml:space="preserve">, RTPI Research Report no. 15, August 2016 </w:t>
      </w:r>
    </w:p>
    <w:p w14:paraId="38F12CAD" w14:textId="77777777" w:rsidR="00D12698" w:rsidRDefault="00091183" w:rsidP="00F8354F">
      <w:pPr>
        <w:jc w:val="left"/>
        <w:rPr>
          <w:rFonts w:ascii="Avenir Next" w:hAnsi="Avenir Next"/>
          <w:sz w:val="24"/>
          <w:szCs w:val="24"/>
        </w:rPr>
      </w:pPr>
      <w:r w:rsidRPr="00BD2B94">
        <w:rPr>
          <w:rFonts w:ascii="Avenir Next" w:hAnsi="Avenir Next"/>
          <w:sz w:val="24"/>
          <w:szCs w:val="24"/>
        </w:rPr>
        <w:t xml:space="preserve">Allen, A and Pickard, J (2014) </w:t>
      </w:r>
      <w:r w:rsidRPr="00BD2B94">
        <w:rPr>
          <w:rFonts w:ascii="Avenir Next" w:hAnsi="Avenir Next"/>
          <w:i/>
          <w:iCs/>
          <w:sz w:val="24"/>
          <w:szCs w:val="24"/>
        </w:rPr>
        <w:t>State sits on enough land to build 2m houses</w:t>
      </w:r>
      <w:r w:rsidRPr="00BD2B94">
        <w:rPr>
          <w:rFonts w:ascii="Avenir Next" w:hAnsi="Avenir Next"/>
          <w:sz w:val="24"/>
          <w:szCs w:val="24"/>
        </w:rPr>
        <w:t>, Financial Times, 19</w:t>
      </w:r>
      <w:r w:rsidRPr="00BD2B94">
        <w:rPr>
          <w:rFonts w:ascii="Avenir Next" w:hAnsi="Avenir Next"/>
          <w:sz w:val="24"/>
          <w:szCs w:val="24"/>
          <w:vertAlign w:val="superscript"/>
        </w:rPr>
        <w:t>th</w:t>
      </w:r>
      <w:r w:rsidRPr="00BD2B94">
        <w:rPr>
          <w:rFonts w:ascii="Avenir Next" w:hAnsi="Avenir Next"/>
          <w:sz w:val="24"/>
          <w:szCs w:val="24"/>
        </w:rPr>
        <w:t xml:space="preserve"> November 2014</w:t>
      </w:r>
    </w:p>
    <w:p w14:paraId="1AC5FCC9" w14:textId="65D8603F" w:rsidR="00B4041D" w:rsidRPr="00D12698" w:rsidRDefault="00B4041D" w:rsidP="00F8354F">
      <w:pPr>
        <w:jc w:val="left"/>
        <w:rPr>
          <w:rFonts w:ascii="Avenir Next" w:hAnsi="Avenir Next"/>
          <w:sz w:val="24"/>
          <w:szCs w:val="24"/>
        </w:rPr>
      </w:pPr>
      <w:r w:rsidRPr="00D12698">
        <w:rPr>
          <w:rFonts w:ascii="Avenir Next" w:eastAsia="Times New Roman" w:hAnsi="Avenir Next" w:cs="Calibri Light"/>
          <w:sz w:val="24"/>
          <w:szCs w:val="24"/>
          <w:shd w:val="clear" w:color="auto" w:fill="FFFFFF"/>
          <w:lang w:eastAsia="en-GB"/>
        </w:rPr>
        <w:t>Ball, R. (2018) Charting the uncharted: Vacant industrial premises and the local industrial property arena</w:t>
      </w:r>
      <w:r w:rsidRPr="00D12698">
        <w:rPr>
          <w:rFonts w:ascii="Avenir Next" w:eastAsia="Times New Roman" w:hAnsi="Avenir Next" w:cs="Calibri Light"/>
          <w:i/>
          <w:iCs/>
          <w:sz w:val="24"/>
          <w:szCs w:val="24"/>
          <w:shd w:val="clear" w:color="auto" w:fill="FFFFFF"/>
          <w:lang w:eastAsia="en-GB"/>
        </w:rPr>
        <w:t xml:space="preserve">. </w:t>
      </w:r>
      <w:r w:rsidRPr="00D12698">
        <w:rPr>
          <w:rFonts w:ascii="Avenir Next" w:eastAsia="Times New Roman" w:hAnsi="Avenir Next" w:cs="Calibri Light"/>
          <w:sz w:val="24"/>
          <w:szCs w:val="24"/>
          <w:shd w:val="clear" w:color="auto" w:fill="FFFFFF"/>
          <w:lang w:eastAsia="en-GB"/>
        </w:rPr>
        <w:t>In</w:t>
      </w:r>
      <w:r w:rsidRPr="00D12698">
        <w:rPr>
          <w:rFonts w:ascii="Avenir Next" w:eastAsia="Times New Roman" w:hAnsi="Avenir Next" w:cs="Calibri Light"/>
          <w:i/>
          <w:iCs/>
          <w:sz w:val="24"/>
          <w:szCs w:val="24"/>
          <w:shd w:val="clear" w:color="auto" w:fill="FFFFFF"/>
          <w:lang w:eastAsia="en-GB"/>
        </w:rPr>
        <w:t> </w:t>
      </w:r>
      <w:r w:rsidRPr="00D12698">
        <w:rPr>
          <w:rFonts w:ascii="Avenir Next" w:eastAsia="Times New Roman" w:hAnsi="Avenir Next" w:cs="Calibri Light"/>
          <w:i/>
          <w:iCs/>
          <w:sz w:val="24"/>
          <w:szCs w:val="24"/>
          <w:lang w:eastAsia="en-GB"/>
        </w:rPr>
        <w:t>Industrial Property</w:t>
      </w:r>
      <w:r w:rsidRPr="00D12698">
        <w:rPr>
          <w:rFonts w:ascii="Avenir Next" w:eastAsia="Times New Roman" w:hAnsi="Avenir Next" w:cs="Calibri Light"/>
          <w:sz w:val="24"/>
          <w:szCs w:val="24"/>
          <w:shd w:val="clear" w:color="auto" w:fill="FFFFFF"/>
          <w:lang w:eastAsia="en-GB"/>
        </w:rPr>
        <w:t> (pp. 152-180). Routledge.</w:t>
      </w:r>
    </w:p>
    <w:p w14:paraId="724CFF3C" w14:textId="30E0DFBA" w:rsidR="00B979FF" w:rsidRPr="00BD2B94" w:rsidRDefault="00B979FF" w:rsidP="00F8354F">
      <w:pPr>
        <w:jc w:val="left"/>
        <w:rPr>
          <w:rFonts w:ascii="Avenir Next" w:hAnsi="Avenir Next"/>
          <w:sz w:val="24"/>
          <w:szCs w:val="24"/>
        </w:rPr>
      </w:pPr>
      <w:r w:rsidRPr="00BD2B94">
        <w:rPr>
          <w:rFonts w:ascii="Avenir Next" w:hAnsi="Avenir Next"/>
          <w:sz w:val="24"/>
          <w:szCs w:val="24"/>
        </w:rPr>
        <w:t xml:space="preserve">Bourdieu, P. (2005) </w:t>
      </w:r>
      <w:r w:rsidRPr="00BD2B94">
        <w:rPr>
          <w:rFonts w:ascii="Avenir Next" w:hAnsi="Avenir Next"/>
          <w:i/>
          <w:iCs/>
          <w:sz w:val="24"/>
          <w:szCs w:val="24"/>
        </w:rPr>
        <w:t xml:space="preserve">The Social Structures of the Economy, </w:t>
      </w:r>
      <w:r w:rsidRPr="00BD2B94">
        <w:rPr>
          <w:rFonts w:ascii="Avenir Next" w:hAnsi="Avenir Next"/>
          <w:sz w:val="24"/>
          <w:szCs w:val="24"/>
        </w:rPr>
        <w:t>Polity Press, Great Britain</w:t>
      </w:r>
    </w:p>
    <w:p w14:paraId="0EE89DC8" w14:textId="77777777" w:rsidR="00583943" w:rsidRPr="00BD2B94" w:rsidRDefault="00583943" w:rsidP="00F8354F">
      <w:pPr>
        <w:jc w:val="left"/>
        <w:rPr>
          <w:rFonts w:ascii="Avenir Next" w:hAnsi="Avenir Next"/>
          <w:sz w:val="24"/>
          <w:szCs w:val="24"/>
        </w:rPr>
      </w:pPr>
      <w:r w:rsidRPr="00BD2B94">
        <w:rPr>
          <w:rFonts w:ascii="Avenir Next" w:hAnsi="Avenir Next"/>
          <w:sz w:val="24"/>
          <w:szCs w:val="24"/>
        </w:rPr>
        <w:lastRenderedPageBreak/>
        <w:t xml:space="preserve">Barker, K. </w:t>
      </w:r>
      <w:r w:rsidR="00062CB7" w:rsidRPr="00BD2B94">
        <w:rPr>
          <w:rFonts w:ascii="Avenir Next" w:hAnsi="Avenir Next"/>
          <w:sz w:val="24"/>
          <w:szCs w:val="24"/>
        </w:rPr>
        <w:t xml:space="preserve">(2006) </w:t>
      </w:r>
      <w:r w:rsidR="00062CB7" w:rsidRPr="00BD2B94">
        <w:rPr>
          <w:rFonts w:ascii="Avenir Next" w:hAnsi="Avenir Next"/>
          <w:i/>
          <w:iCs/>
          <w:sz w:val="24"/>
          <w:szCs w:val="24"/>
        </w:rPr>
        <w:t>Barker Review of Land Use Planning</w:t>
      </w:r>
      <w:r w:rsidR="00062CB7" w:rsidRPr="00BD2B94">
        <w:rPr>
          <w:rFonts w:ascii="Avenir Next" w:hAnsi="Avenir Next"/>
          <w:sz w:val="24"/>
          <w:szCs w:val="24"/>
        </w:rPr>
        <w:t>, HM Treasury, UK</w:t>
      </w:r>
    </w:p>
    <w:p w14:paraId="0CF9B43C" w14:textId="77777777" w:rsidR="00EE2BBE" w:rsidRPr="00BD2B94" w:rsidRDefault="00EE2BBE" w:rsidP="00F8354F">
      <w:pPr>
        <w:jc w:val="left"/>
        <w:rPr>
          <w:rFonts w:ascii="Avenir Next" w:hAnsi="Avenir Next"/>
          <w:sz w:val="24"/>
          <w:szCs w:val="24"/>
        </w:rPr>
      </w:pPr>
      <w:r w:rsidRPr="00BD2B94">
        <w:rPr>
          <w:rFonts w:ascii="Avenir Next" w:hAnsi="Avenir Next"/>
          <w:sz w:val="24"/>
          <w:szCs w:val="24"/>
        </w:rPr>
        <w:t xml:space="preserve">Barker, K. (2008) Planning policy, planning practice, and housing supply, </w:t>
      </w:r>
      <w:r w:rsidRPr="00BD2B94">
        <w:rPr>
          <w:rFonts w:ascii="Avenir Next" w:hAnsi="Avenir Next"/>
          <w:i/>
          <w:iCs/>
          <w:sz w:val="24"/>
          <w:szCs w:val="24"/>
        </w:rPr>
        <w:t>Oxford Review of Economic Policy</w:t>
      </w:r>
      <w:r w:rsidRPr="00BD2B94">
        <w:rPr>
          <w:rFonts w:ascii="Avenir Next" w:hAnsi="Avenir Next"/>
          <w:sz w:val="24"/>
          <w:szCs w:val="24"/>
        </w:rPr>
        <w:t>, 24, 1, pp.34-49</w:t>
      </w:r>
    </w:p>
    <w:p w14:paraId="62842C93" w14:textId="77777777" w:rsidR="00AA18F3" w:rsidRPr="00BD2B94" w:rsidRDefault="00AA18F3" w:rsidP="00F8354F">
      <w:pPr>
        <w:jc w:val="left"/>
        <w:rPr>
          <w:rFonts w:ascii="Avenir Next" w:hAnsi="Avenir Next"/>
          <w:sz w:val="24"/>
          <w:szCs w:val="24"/>
        </w:rPr>
      </w:pPr>
      <w:r w:rsidRPr="00BD2B94">
        <w:rPr>
          <w:rFonts w:ascii="Avenir Next" w:hAnsi="Avenir Next"/>
          <w:sz w:val="24"/>
          <w:szCs w:val="24"/>
        </w:rPr>
        <w:t xml:space="preserve">Barker, K. (2014) </w:t>
      </w:r>
      <w:r w:rsidRPr="00BD2B94">
        <w:rPr>
          <w:rFonts w:ascii="Avenir Next" w:hAnsi="Avenir Next"/>
          <w:i/>
          <w:iCs/>
          <w:sz w:val="24"/>
          <w:szCs w:val="24"/>
        </w:rPr>
        <w:t xml:space="preserve">Housing: Where’s the </w:t>
      </w:r>
      <w:proofErr w:type="gramStart"/>
      <w:r w:rsidRPr="00BD2B94">
        <w:rPr>
          <w:rFonts w:ascii="Avenir Next" w:hAnsi="Avenir Next"/>
          <w:i/>
          <w:iCs/>
          <w:sz w:val="24"/>
          <w:szCs w:val="24"/>
        </w:rPr>
        <w:t>plan?</w:t>
      </w:r>
      <w:r w:rsidRPr="00BD2B94">
        <w:rPr>
          <w:rFonts w:ascii="Avenir Next" w:hAnsi="Avenir Next"/>
          <w:sz w:val="24"/>
          <w:szCs w:val="24"/>
        </w:rPr>
        <w:t>,</w:t>
      </w:r>
      <w:proofErr w:type="gramEnd"/>
      <w:r w:rsidRPr="00BD2B94">
        <w:rPr>
          <w:rFonts w:ascii="Avenir Next" w:hAnsi="Avenir Next"/>
          <w:sz w:val="24"/>
          <w:szCs w:val="24"/>
        </w:rPr>
        <w:t xml:space="preserve"> London Publishing Partnership, Norwich</w:t>
      </w:r>
    </w:p>
    <w:p w14:paraId="03AEE7E3" w14:textId="77777777" w:rsidR="00247437" w:rsidRPr="00BD2B94" w:rsidRDefault="0062449C" w:rsidP="00F8354F">
      <w:pPr>
        <w:jc w:val="left"/>
        <w:rPr>
          <w:rFonts w:ascii="Avenir Next" w:hAnsi="Avenir Next"/>
          <w:sz w:val="24"/>
          <w:szCs w:val="24"/>
        </w:rPr>
      </w:pPr>
      <w:proofErr w:type="spellStart"/>
      <w:r w:rsidRPr="00BD2B94">
        <w:rPr>
          <w:rFonts w:ascii="Avenir Next" w:hAnsi="Avenir Next"/>
          <w:sz w:val="24"/>
          <w:szCs w:val="24"/>
        </w:rPr>
        <w:t>Brownill</w:t>
      </w:r>
      <w:proofErr w:type="spellEnd"/>
      <w:r w:rsidRPr="00BD2B94">
        <w:rPr>
          <w:rFonts w:ascii="Avenir Next" w:hAnsi="Avenir Next"/>
          <w:sz w:val="24"/>
          <w:szCs w:val="24"/>
        </w:rPr>
        <w:t xml:space="preserve">, </w:t>
      </w:r>
      <w:r w:rsidR="00091183" w:rsidRPr="00BD2B94">
        <w:rPr>
          <w:rFonts w:ascii="Avenir Next" w:hAnsi="Avenir Next"/>
          <w:sz w:val="24"/>
          <w:szCs w:val="24"/>
        </w:rPr>
        <w:t>S., Cho</w:t>
      </w:r>
      <w:r w:rsidRPr="00BD2B94">
        <w:rPr>
          <w:rFonts w:ascii="Avenir Next" w:hAnsi="Avenir Next"/>
          <w:sz w:val="24"/>
          <w:szCs w:val="24"/>
        </w:rPr>
        <w:t>,</w:t>
      </w:r>
      <w:r w:rsidR="00091183" w:rsidRPr="00BD2B94">
        <w:rPr>
          <w:rFonts w:ascii="Avenir Next" w:hAnsi="Avenir Next"/>
          <w:sz w:val="24"/>
          <w:szCs w:val="24"/>
        </w:rPr>
        <w:t xml:space="preserve"> Y., </w:t>
      </w:r>
      <w:proofErr w:type="spellStart"/>
      <w:r w:rsidR="00091183" w:rsidRPr="00BD2B94">
        <w:rPr>
          <w:rFonts w:ascii="Avenir Next" w:hAnsi="Avenir Next"/>
          <w:sz w:val="24"/>
          <w:szCs w:val="24"/>
        </w:rPr>
        <w:t>Keivani</w:t>
      </w:r>
      <w:proofErr w:type="spellEnd"/>
      <w:r w:rsidR="00091183" w:rsidRPr="00BD2B94">
        <w:rPr>
          <w:rFonts w:ascii="Avenir Next" w:hAnsi="Avenir Next"/>
          <w:sz w:val="24"/>
          <w:szCs w:val="24"/>
        </w:rPr>
        <w:t xml:space="preserve"> Y., </w:t>
      </w:r>
      <w:proofErr w:type="spellStart"/>
      <w:r w:rsidR="00091183" w:rsidRPr="00BD2B94">
        <w:rPr>
          <w:rFonts w:ascii="Avenir Next" w:hAnsi="Avenir Next"/>
          <w:sz w:val="24"/>
          <w:szCs w:val="24"/>
        </w:rPr>
        <w:t>Nase</w:t>
      </w:r>
      <w:proofErr w:type="spellEnd"/>
      <w:r w:rsidRPr="00BD2B94">
        <w:rPr>
          <w:rFonts w:ascii="Avenir Next" w:hAnsi="Avenir Next"/>
          <w:sz w:val="24"/>
          <w:szCs w:val="24"/>
        </w:rPr>
        <w:t>,</w:t>
      </w:r>
      <w:r w:rsidR="00091183" w:rsidRPr="00BD2B94">
        <w:rPr>
          <w:rFonts w:ascii="Avenir Next" w:hAnsi="Avenir Next"/>
          <w:sz w:val="24"/>
          <w:szCs w:val="24"/>
        </w:rPr>
        <w:t xml:space="preserve"> I., Downing</w:t>
      </w:r>
      <w:r w:rsidRPr="00BD2B94">
        <w:rPr>
          <w:rFonts w:ascii="Avenir Next" w:hAnsi="Avenir Next"/>
          <w:sz w:val="24"/>
          <w:szCs w:val="24"/>
        </w:rPr>
        <w:t>,</w:t>
      </w:r>
      <w:r w:rsidR="00091183" w:rsidRPr="00BD2B94">
        <w:rPr>
          <w:rFonts w:ascii="Avenir Next" w:hAnsi="Avenir Next"/>
          <w:sz w:val="24"/>
          <w:szCs w:val="24"/>
        </w:rPr>
        <w:t xml:space="preserve"> L., </w:t>
      </w:r>
      <w:proofErr w:type="spellStart"/>
      <w:r w:rsidR="00091183" w:rsidRPr="00BD2B94">
        <w:rPr>
          <w:rFonts w:ascii="Avenir Next" w:hAnsi="Avenir Next"/>
          <w:sz w:val="24"/>
          <w:szCs w:val="24"/>
        </w:rPr>
        <w:t>Valler</w:t>
      </w:r>
      <w:proofErr w:type="spellEnd"/>
      <w:r w:rsidRPr="00BD2B94">
        <w:rPr>
          <w:rFonts w:ascii="Avenir Next" w:hAnsi="Avenir Next"/>
          <w:sz w:val="24"/>
          <w:szCs w:val="24"/>
        </w:rPr>
        <w:t>,</w:t>
      </w:r>
      <w:r w:rsidR="00091183" w:rsidRPr="00BD2B94">
        <w:rPr>
          <w:rFonts w:ascii="Avenir Next" w:hAnsi="Avenir Next"/>
          <w:sz w:val="24"/>
          <w:szCs w:val="24"/>
        </w:rPr>
        <w:t xml:space="preserve"> D., Whitehouse, N., &amp; </w:t>
      </w:r>
      <w:proofErr w:type="spellStart"/>
      <w:r w:rsidR="00091183" w:rsidRPr="00BD2B94">
        <w:rPr>
          <w:rFonts w:ascii="Avenir Next" w:hAnsi="Avenir Next"/>
          <w:sz w:val="24"/>
          <w:szCs w:val="24"/>
        </w:rPr>
        <w:t>Bernstock</w:t>
      </w:r>
      <w:proofErr w:type="spellEnd"/>
      <w:r w:rsidRPr="00BD2B94">
        <w:rPr>
          <w:rFonts w:ascii="Avenir Next" w:hAnsi="Avenir Next"/>
          <w:sz w:val="24"/>
          <w:szCs w:val="24"/>
        </w:rPr>
        <w:t>,</w:t>
      </w:r>
      <w:r w:rsidR="00091183" w:rsidRPr="00BD2B94">
        <w:rPr>
          <w:rFonts w:ascii="Avenir Next" w:hAnsi="Avenir Next"/>
          <w:sz w:val="24"/>
          <w:szCs w:val="24"/>
        </w:rPr>
        <w:t xml:space="preserve"> P (2014) </w:t>
      </w:r>
      <w:r w:rsidR="00091183" w:rsidRPr="00BD2B94">
        <w:rPr>
          <w:rFonts w:ascii="Avenir Next" w:hAnsi="Avenir Next"/>
          <w:i/>
          <w:iCs/>
          <w:sz w:val="24"/>
          <w:szCs w:val="24"/>
        </w:rPr>
        <w:t>Are planning obligations delivering enough affordable housing and what alternatives are there?</w:t>
      </w:r>
      <w:r w:rsidR="00091183" w:rsidRPr="00BD2B94">
        <w:rPr>
          <w:rFonts w:ascii="Avenir Next" w:hAnsi="Avenir Next"/>
          <w:sz w:val="24"/>
          <w:szCs w:val="24"/>
        </w:rPr>
        <w:t xml:space="preserve"> York, Joseph Rowntree Foundation</w:t>
      </w:r>
    </w:p>
    <w:p w14:paraId="680292D4" w14:textId="77777777" w:rsidR="006B1A50" w:rsidRPr="00BD2B94" w:rsidRDefault="006B1A50" w:rsidP="00F8354F">
      <w:pPr>
        <w:jc w:val="left"/>
        <w:rPr>
          <w:rFonts w:ascii="Avenir Next" w:hAnsi="Avenir Next"/>
          <w:sz w:val="24"/>
          <w:szCs w:val="24"/>
        </w:rPr>
      </w:pPr>
      <w:r w:rsidRPr="00BD2B94">
        <w:rPr>
          <w:rFonts w:ascii="Avenir Next" w:hAnsi="Avenir Next"/>
          <w:sz w:val="24"/>
          <w:szCs w:val="24"/>
        </w:rPr>
        <w:t xml:space="preserve">Cabinet Office (2013) </w:t>
      </w:r>
      <w:r w:rsidRPr="00BD2B94">
        <w:rPr>
          <w:rFonts w:ascii="Avenir Next" w:hAnsi="Avenir Next"/>
          <w:i/>
          <w:iCs/>
          <w:sz w:val="24"/>
          <w:szCs w:val="24"/>
        </w:rPr>
        <w:t>Government’s Estate Strategy: Delivering a Modern Estate</w:t>
      </w:r>
      <w:r w:rsidRPr="00BD2B94">
        <w:rPr>
          <w:rFonts w:ascii="Avenir Next" w:hAnsi="Avenir Next"/>
          <w:sz w:val="24"/>
          <w:szCs w:val="24"/>
        </w:rPr>
        <w:t xml:space="preserve">, </w:t>
      </w:r>
      <w:r w:rsidR="00C76C49" w:rsidRPr="00BD2B94">
        <w:rPr>
          <w:rFonts w:ascii="Avenir Next" w:hAnsi="Avenir Next"/>
          <w:sz w:val="24"/>
          <w:szCs w:val="24"/>
        </w:rPr>
        <w:t>Government Property Unit</w:t>
      </w:r>
    </w:p>
    <w:p w14:paraId="45C7C507" w14:textId="77777777" w:rsidR="00A2347B" w:rsidRPr="00BD2B94" w:rsidRDefault="00A2347B" w:rsidP="00F8354F">
      <w:pPr>
        <w:jc w:val="left"/>
        <w:rPr>
          <w:rFonts w:ascii="Avenir Next" w:hAnsi="Avenir Next"/>
          <w:sz w:val="24"/>
          <w:szCs w:val="24"/>
        </w:rPr>
      </w:pPr>
      <w:proofErr w:type="spellStart"/>
      <w:r w:rsidRPr="00BD2B94">
        <w:rPr>
          <w:rFonts w:ascii="Avenir Next" w:hAnsi="Avenir Next"/>
          <w:sz w:val="24"/>
          <w:szCs w:val="24"/>
        </w:rPr>
        <w:t>Callcutt</w:t>
      </w:r>
      <w:proofErr w:type="spellEnd"/>
      <w:r w:rsidRPr="00BD2B94">
        <w:rPr>
          <w:rFonts w:ascii="Avenir Next" w:hAnsi="Avenir Next"/>
          <w:sz w:val="24"/>
          <w:szCs w:val="24"/>
        </w:rPr>
        <w:t xml:space="preserve"> (2007) </w:t>
      </w:r>
      <w:r w:rsidRPr="00BD2B94">
        <w:rPr>
          <w:rFonts w:ascii="Avenir Next" w:hAnsi="Avenir Next"/>
          <w:i/>
          <w:iCs/>
          <w:sz w:val="24"/>
          <w:szCs w:val="24"/>
        </w:rPr>
        <w:t xml:space="preserve">The </w:t>
      </w:r>
      <w:proofErr w:type="spellStart"/>
      <w:r w:rsidRPr="00BD2B94">
        <w:rPr>
          <w:rFonts w:ascii="Avenir Next" w:hAnsi="Avenir Next"/>
          <w:i/>
          <w:iCs/>
          <w:sz w:val="24"/>
          <w:szCs w:val="24"/>
        </w:rPr>
        <w:t>Callcutt</w:t>
      </w:r>
      <w:proofErr w:type="spellEnd"/>
      <w:r w:rsidRPr="00BD2B94">
        <w:rPr>
          <w:rFonts w:ascii="Avenir Next" w:hAnsi="Avenir Next"/>
          <w:i/>
          <w:iCs/>
          <w:sz w:val="24"/>
          <w:szCs w:val="24"/>
        </w:rPr>
        <w:t xml:space="preserve"> Review of housebuilding delivery</w:t>
      </w:r>
      <w:r w:rsidRPr="00BD2B94">
        <w:rPr>
          <w:rFonts w:ascii="Avenir Next" w:hAnsi="Avenir Next"/>
          <w:sz w:val="24"/>
          <w:szCs w:val="24"/>
        </w:rPr>
        <w:t>, Communities and Local Government</w:t>
      </w:r>
    </w:p>
    <w:p w14:paraId="1BDE7A9B" w14:textId="77777777" w:rsidR="00091183" w:rsidRPr="00BD2B94" w:rsidRDefault="00091183" w:rsidP="00F8354F">
      <w:pPr>
        <w:jc w:val="left"/>
        <w:rPr>
          <w:rFonts w:ascii="Avenir Next" w:hAnsi="Avenir Next"/>
          <w:sz w:val="24"/>
          <w:szCs w:val="24"/>
          <w:lang w:eastAsia="en-GB"/>
        </w:rPr>
      </w:pPr>
      <w:r w:rsidRPr="00BD2B94">
        <w:rPr>
          <w:rFonts w:ascii="Avenir Next" w:hAnsi="Avenir Next"/>
          <w:sz w:val="24"/>
          <w:szCs w:val="24"/>
          <w:lang w:eastAsia="en-GB"/>
        </w:rPr>
        <w:t xml:space="preserve">Campbell, H, Ellis, H, </w:t>
      </w:r>
      <w:proofErr w:type="spellStart"/>
      <w:r w:rsidRPr="00BD2B94">
        <w:rPr>
          <w:rFonts w:ascii="Avenir Next" w:hAnsi="Avenir Next"/>
          <w:sz w:val="24"/>
          <w:szCs w:val="24"/>
          <w:lang w:eastAsia="en-GB"/>
        </w:rPr>
        <w:t>Glaswell</w:t>
      </w:r>
      <w:proofErr w:type="spellEnd"/>
      <w:r w:rsidRPr="00BD2B94">
        <w:rPr>
          <w:rFonts w:ascii="Avenir Next" w:hAnsi="Avenir Next"/>
          <w:sz w:val="24"/>
          <w:szCs w:val="24"/>
          <w:lang w:eastAsia="en-GB"/>
        </w:rPr>
        <w:t xml:space="preserve">, C and </w:t>
      </w:r>
      <w:proofErr w:type="spellStart"/>
      <w:r w:rsidRPr="00BD2B94">
        <w:rPr>
          <w:rFonts w:ascii="Avenir Next" w:hAnsi="Avenir Next"/>
          <w:sz w:val="24"/>
          <w:szCs w:val="24"/>
          <w:lang w:eastAsia="en-GB"/>
        </w:rPr>
        <w:t>Hennberry</w:t>
      </w:r>
      <w:proofErr w:type="spellEnd"/>
      <w:r w:rsidRPr="00BD2B94">
        <w:rPr>
          <w:rFonts w:ascii="Avenir Next" w:hAnsi="Avenir Next"/>
          <w:sz w:val="24"/>
          <w:szCs w:val="24"/>
          <w:lang w:eastAsia="en-GB"/>
        </w:rPr>
        <w:t>, J (2000) Planning obligations, planning practice and land-use outcomes, Environment and Planning B, 27, 5, 759-775</w:t>
      </w:r>
    </w:p>
    <w:p w14:paraId="63CDEA2C" w14:textId="22E62482" w:rsidR="00EB3ACF" w:rsidRPr="00BD2B94" w:rsidRDefault="00EB3ACF" w:rsidP="00F8354F">
      <w:pPr>
        <w:jc w:val="left"/>
        <w:rPr>
          <w:rFonts w:ascii="Avenir Next" w:eastAsia="Times New Roman" w:hAnsi="Avenir Next" w:cs="Calibri Light"/>
          <w:sz w:val="24"/>
          <w:szCs w:val="24"/>
          <w:lang w:eastAsia="en-GB"/>
        </w:rPr>
      </w:pPr>
      <w:r w:rsidRPr="00BD2B94">
        <w:rPr>
          <w:rFonts w:ascii="Avenir Next" w:hAnsi="Avenir Next" w:cs="Calibri Light"/>
          <w:sz w:val="24"/>
          <w:szCs w:val="24"/>
          <w:lang w:eastAsia="en-GB"/>
        </w:rPr>
        <w:t>C</w:t>
      </w:r>
      <w:r w:rsidRPr="00BD2B94">
        <w:rPr>
          <w:rFonts w:ascii="Avenir Next" w:eastAsia="Times New Roman" w:hAnsi="Avenir Next" w:cs="Calibri Light"/>
          <w:color w:val="222222"/>
          <w:sz w:val="24"/>
          <w:szCs w:val="24"/>
          <w:shd w:val="clear" w:color="auto" w:fill="FFFFFF"/>
          <w:lang w:eastAsia="en-GB"/>
        </w:rPr>
        <w:t>heshire, P.C., Nathan, M. and Overman, H.G.</w:t>
      </w:r>
      <w:r w:rsidR="00E3405A" w:rsidRPr="00BD2B94">
        <w:rPr>
          <w:rFonts w:ascii="Avenir Next" w:eastAsia="Times New Roman" w:hAnsi="Avenir Next" w:cs="Calibri Light"/>
          <w:color w:val="222222"/>
          <w:sz w:val="24"/>
          <w:szCs w:val="24"/>
          <w:shd w:val="clear" w:color="auto" w:fill="FFFFFF"/>
          <w:lang w:eastAsia="en-GB"/>
        </w:rPr>
        <w:t xml:space="preserve"> (</w:t>
      </w:r>
      <w:r w:rsidRPr="00BD2B94">
        <w:rPr>
          <w:rFonts w:ascii="Avenir Next" w:eastAsia="Times New Roman" w:hAnsi="Avenir Next" w:cs="Calibri Light"/>
          <w:color w:val="222222"/>
          <w:sz w:val="24"/>
          <w:szCs w:val="24"/>
          <w:shd w:val="clear" w:color="auto" w:fill="FFFFFF"/>
          <w:lang w:eastAsia="en-GB"/>
        </w:rPr>
        <w:t>2014</w:t>
      </w:r>
      <w:r w:rsidR="00E3405A" w:rsidRPr="00BD2B94">
        <w:rPr>
          <w:rFonts w:ascii="Avenir Next" w:eastAsia="Times New Roman" w:hAnsi="Avenir Next" w:cs="Calibri Light"/>
          <w:color w:val="222222"/>
          <w:sz w:val="24"/>
          <w:szCs w:val="24"/>
          <w:shd w:val="clear" w:color="auto" w:fill="FFFFFF"/>
          <w:lang w:eastAsia="en-GB"/>
        </w:rPr>
        <w:t>)</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i/>
          <w:iCs/>
          <w:color w:val="222222"/>
          <w:sz w:val="24"/>
          <w:szCs w:val="24"/>
          <w:lang w:eastAsia="en-GB"/>
        </w:rPr>
        <w:t>Urban economics and urban policy: Challenging conventional policy wisdom</w:t>
      </w:r>
      <w:r w:rsidRPr="00BD2B94">
        <w:rPr>
          <w:rFonts w:ascii="Avenir Next" w:eastAsia="Times New Roman" w:hAnsi="Avenir Next" w:cs="Calibri Light"/>
          <w:color w:val="222222"/>
          <w:sz w:val="24"/>
          <w:szCs w:val="24"/>
          <w:shd w:val="clear" w:color="auto" w:fill="FFFFFF"/>
          <w:lang w:eastAsia="en-GB"/>
        </w:rPr>
        <w:t>. Edward Elgar Publishing</w:t>
      </w:r>
    </w:p>
    <w:p w14:paraId="411256B6" w14:textId="4FE01D39" w:rsidR="00923DFA" w:rsidRPr="00BD2B94" w:rsidRDefault="00091183" w:rsidP="00F8354F">
      <w:pPr>
        <w:jc w:val="left"/>
        <w:rPr>
          <w:rFonts w:ascii="Avenir Next" w:hAnsi="Avenir Next"/>
          <w:sz w:val="24"/>
          <w:szCs w:val="24"/>
          <w:lang w:eastAsia="en-GB"/>
        </w:rPr>
      </w:pPr>
      <w:r w:rsidRPr="00BD2B94">
        <w:rPr>
          <w:rFonts w:ascii="Avenir Next" w:hAnsi="Avenir Next"/>
          <w:sz w:val="24"/>
          <w:szCs w:val="24"/>
          <w:lang w:eastAsia="en-GB"/>
        </w:rPr>
        <w:t xml:space="preserve">Claydon, J. &amp; Smith, B. (1997) Negotiating planning gains through the British development control system. </w:t>
      </w:r>
      <w:r w:rsidRPr="00BD2B94">
        <w:rPr>
          <w:rFonts w:ascii="Avenir Next" w:hAnsi="Avenir Next"/>
          <w:i/>
          <w:iCs/>
          <w:sz w:val="24"/>
          <w:szCs w:val="24"/>
          <w:lang w:eastAsia="en-GB"/>
        </w:rPr>
        <w:t>Urban Studies</w:t>
      </w:r>
      <w:r w:rsidRPr="00BD2B94">
        <w:rPr>
          <w:rFonts w:ascii="Avenir Next" w:hAnsi="Avenir Next"/>
          <w:sz w:val="24"/>
          <w:szCs w:val="24"/>
          <w:lang w:eastAsia="en-GB"/>
        </w:rPr>
        <w:t>, 34, 2003–2022.</w:t>
      </w:r>
    </w:p>
    <w:p w14:paraId="667C7383" w14:textId="256C9644" w:rsidR="006D55C6" w:rsidRPr="00BD2B94" w:rsidRDefault="006D55C6" w:rsidP="00F8354F">
      <w:pPr>
        <w:jc w:val="left"/>
        <w:rPr>
          <w:rFonts w:ascii="Avenir Next" w:eastAsia="Times New Roman" w:hAnsi="Avenir Next" w:cs="Calibri Light"/>
          <w:sz w:val="24"/>
          <w:szCs w:val="24"/>
          <w:lang w:eastAsia="en-GB"/>
        </w:rPr>
      </w:pPr>
      <w:r w:rsidRPr="00BD2B94">
        <w:rPr>
          <w:rFonts w:ascii="Avenir Next" w:hAnsi="Avenir Next" w:cs="Calibri Light"/>
          <w:color w:val="222222"/>
          <w:sz w:val="24"/>
          <w:szCs w:val="24"/>
          <w:shd w:val="clear" w:color="auto" w:fill="FFFFFF"/>
        </w:rPr>
        <w:t>C</w:t>
      </w:r>
      <w:r w:rsidRPr="00BD2B94">
        <w:rPr>
          <w:rFonts w:ascii="Avenir Next" w:eastAsia="Times New Roman" w:hAnsi="Avenir Next" w:cs="Calibri Light"/>
          <w:color w:val="222222"/>
          <w:sz w:val="24"/>
          <w:szCs w:val="24"/>
          <w:shd w:val="clear" w:color="auto" w:fill="FFFFFF"/>
          <w:lang w:eastAsia="en-GB"/>
        </w:rPr>
        <w:t xml:space="preserve">olwell, P.F. and </w:t>
      </w:r>
      <w:proofErr w:type="spellStart"/>
      <w:r w:rsidRPr="00BD2B94">
        <w:rPr>
          <w:rFonts w:ascii="Avenir Next" w:eastAsia="Times New Roman" w:hAnsi="Avenir Next" w:cs="Calibri Light"/>
          <w:color w:val="222222"/>
          <w:sz w:val="24"/>
          <w:szCs w:val="24"/>
          <w:shd w:val="clear" w:color="auto" w:fill="FFFFFF"/>
          <w:lang w:eastAsia="en-GB"/>
        </w:rPr>
        <w:t>Munneke</w:t>
      </w:r>
      <w:proofErr w:type="spellEnd"/>
      <w:r w:rsidRPr="00BD2B94">
        <w:rPr>
          <w:rFonts w:ascii="Avenir Next" w:eastAsia="Times New Roman" w:hAnsi="Avenir Next" w:cs="Calibri Light"/>
          <w:color w:val="222222"/>
          <w:sz w:val="24"/>
          <w:szCs w:val="24"/>
          <w:shd w:val="clear" w:color="auto" w:fill="FFFFFF"/>
          <w:lang w:eastAsia="en-GB"/>
        </w:rPr>
        <w:t>, H.J. (1997) The structure of urban land prices. </w:t>
      </w:r>
      <w:r w:rsidRPr="00BD2B94">
        <w:rPr>
          <w:rFonts w:ascii="Avenir Next" w:eastAsia="Times New Roman" w:hAnsi="Avenir Next" w:cs="Calibri Light"/>
          <w:i/>
          <w:iCs/>
          <w:color w:val="222222"/>
          <w:sz w:val="24"/>
          <w:szCs w:val="24"/>
          <w:lang w:eastAsia="en-GB"/>
        </w:rPr>
        <w:t>Journal of Urban Economics</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color w:val="222222"/>
          <w:sz w:val="24"/>
          <w:szCs w:val="24"/>
          <w:lang w:eastAsia="en-GB"/>
        </w:rPr>
        <w:t>41</w:t>
      </w:r>
      <w:r w:rsidRPr="00BD2B94">
        <w:rPr>
          <w:rFonts w:ascii="Avenir Next" w:eastAsia="Times New Roman" w:hAnsi="Avenir Next" w:cs="Calibri Light"/>
          <w:color w:val="222222"/>
          <w:sz w:val="24"/>
          <w:szCs w:val="24"/>
          <w:shd w:val="clear" w:color="auto" w:fill="FFFFFF"/>
          <w:lang w:eastAsia="en-GB"/>
        </w:rPr>
        <w:t>(3), pp.321-336</w:t>
      </w:r>
    </w:p>
    <w:p w14:paraId="5E7130BA" w14:textId="1B60AA92" w:rsidR="00EB3ACF" w:rsidRPr="00BD2B94" w:rsidRDefault="00EB3ACF" w:rsidP="00F8354F">
      <w:pPr>
        <w:jc w:val="left"/>
        <w:rPr>
          <w:rFonts w:ascii="Avenir Next" w:hAnsi="Avenir Next"/>
          <w:sz w:val="24"/>
          <w:szCs w:val="24"/>
        </w:rPr>
      </w:pPr>
      <w:r w:rsidRPr="00BD2B94">
        <w:rPr>
          <w:rFonts w:ascii="Avenir Next" w:hAnsi="Avenir Next"/>
          <w:sz w:val="24"/>
          <w:szCs w:val="24"/>
        </w:rPr>
        <w:t xml:space="preserve">Dawkins, C.J. and Nelson, A.C. (2002) Urban containment policies and housing prices: an international comparison with implications for future research. </w:t>
      </w:r>
      <w:r w:rsidRPr="00BD2B94">
        <w:rPr>
          <w:rFonts w:ascii="Avenir Next" w:hAnsi="Avenir Next"/>
          <w:i/>
          <w:iCs/>
          <w:sz w:val="24"/>
          <w:szCs w:val="24"/>
        </w:rPr>
        <w:t>Land Use Policy</w:t>
      </w:r>
      <w:r w:rsidRPr="00BD2B94">
        <w:rPr>
          <w:rFonts w:ascii="Avenir Next" w:hAnsi="Avenir Next"/>
          <w:sz w:val="24"/>
          <w:szCs w:val="24"/>
        </w:rPr>
        <w:t>, 19, pp.1-12</w:t>
      </w:r>
    </w:p>
    <w:p w14:paraId="77497CC0" w14:textId="77777777" w:rsidR="00E3405A" w:rsidRPr="00BD2B94" w:rsidRDefault="00C5035E" w:rsidP="00F8354F">
      <w:pPr>
        <w:jc w:val="left"/>
        <w:rPr>
          <w:rFonts w:ascii="Avenir Next" w:hAnsi="Avenir Next"/>
          <w:sz w:val="24"/>
          <w:szCs w:val="24"/>
        </w:rPr>
      </w:pPr>
      <w:r w:rsidRPr="00BD2B94">
        <w:rPr>
          <w:rFonts w:ascii="Avenir Next" w:hAnsi="Avenir Next"/>
          <w:sz w:val="24"/>
          <w:szCs w:val="24"/>
        </w:rPr>
        <w:t xml:space="preserve">DCLG (2007) </w:t>
      </w:r>
      <w:r w:rsidRPr="00BD2B94">
        <w:rPr>
          <w:rFonts w:ascii="Avenir Next" w:hAnsi="Avenir Next"/>
          <w:i/>
          <w:iCs/>
          <w:sz w:val="24"/>
          <w:szCs w:val="24"/>
        </w:rPr>
        <w:t>Homes for the future: more affordable, more sustainable</w:t>
      </w:r>
      <w:r w:rsidRPr="00BD2B94">
        <w:rPr>
          <w:rFonts w:ascii="Avenir Next" w:hAnsi="Avenir Next"/>
          <w:sz w:val="24"/>
          <w:szCs w:val="24"/>
        </w:rPr>
        <w:t xml:space="preserve">, </w:t>
      </w:r>
      <w:r w:rsidR="00E3405A" w:rsidRPr="00BD2B94">
        <w:rPr>
          <w:rFonts w:ascii="Avenir Next" w:hAnsi="Avenir Next"/>
          <w:sz w:val="24"/>
          <w:szCs w:val="24"/>
        </w:rPr>
        <w:t xml:space="preserve">Department for Communities and Local Government, London </w:t>
      </w:r>
    </w:p>
    <w:p w14:paraId="3A61993C" w14:textId="6A591A0E" w:rsidR="00923DFA" w:rsidRPr="00BD2B94" w:rsidRDefault="00923DFA" w:rsidP="00F8354F">
      <w:pPr>
        <w:jc w:val="left"/>
        <w:rPr>
          <w:rFonts w:ascii="Avenir Next" w:hAnsi="Avenir Next"/>
          <w:sz w:val="24"/>
          <w:szCs w:val="24"/>
        </w:rPr>
      </w:pPr>
      <w:r w:rsidRPr="00BD2B94">
        <w:rPr>
          <w:rFonts w:ascii="Avenir Next" w:hAnsi="Avenir Next"/>
          <w:sz w:val="24"/>
          <w:szCs w:val="24"/>
        </w:rPr>
        <w:t xml:space="preserve">DCLG (2011) </w:t>
      </w:r>
      <w:r w:rsidRPr="00BD2B94">
        <w:rPr>
          <w:rFonts w:ascii="Avenir Next" w:hAnsi="Avenir Next"/>
          <w:i/>
          <w:iCs/>
          <w:sz w:val="24"/>
          <w:szCs w:val="24"/>
        </w:rPr>
        <w:t>Accelerating the release of public sector land: Update, overview and next steps</w:t>
      </w:r>
      <w:r w:rsidRPr="00BD2B94">
        <w:rPr>
          <w:rFonts w:ascii="Avenir Next" w:hAnsi="Avenir Next"/>
          <w:sz w:val="24"/>
          <w:szCs w:val="24"/>
        </w:rPr>
        <w:t>, Department for Communities and Local Government, London</w:t>
      </w:r>
    </w:p>
    <w:p w14:paraId="4D4060A6" w14:textId="0FF77C9A" w:rsidR="00923DFA" w:rsidRPr="00BD2B94" w:rsidRDefault="00923DFA" w:rsidP="00F8354F">
      <w:pPr>
        <w:jc w:val="left"/>
        <w:rPr>
          <w:rFonts w:ascii="Avenir Next" w:hAnsi="Avenir Next"/>
          <w:sz w:val="24"/>
          <w:szCs w:val="24"/>
        </w:rPr>
      </w:pPr>
      <w:r w:rsidRPr="00BD2B94">
        <w:rPr>
          <w:rFonts w:ascii="Avenir Next" w:hAnsi="Avenir Next"/>
          <w:sz w:val="24"/>
          <w:szCs w:val="24"/>
        </w:rPr>
        <w:lastRenderedPageBreak/>
        <w:t xml:space="preserve">DCLG (2014) </w:t>
      </w:r>
      <w:r w:rsidRPr="00BD2B94">
        <w:rPr>
          <w:rFonts w:ascii="Avenir Next" w:hAnsi="Avenir Next"/>
          <w:i/>
          <w:iCs/>
          <w:sz w:val="24"/>
          <w:szCs w:val="24"/>
        </w:rPr>
        <w:t>Whitehall releasing its grip on unused public land</w:t>
      </w:r>
      <w:r w:rsidRPr="00BD2B94">
        <w:rPr>
          <w:rFonts w:ascii="Avenir Next" w:hAnsi="Avenir Next"/>
          <w:sz w:val="24"/>
          <w:szCs w:val="24"/>
        </w:rPr>
        <w:t xml:space="preserve">, </w:t>
      </w:r>
      <w:hyperlink r:id="rId23" w:history="1">
        <w:r w:rsidRPr="00BD2B94">
          <w:rPr>
            <w:rStyle w:val="Hyperlink"/>
            <w:rFonts w:ascii="Avenir Next" w:hAnsi="Avenir Next" w:cs="Calibri Light"/>
            <w:sz w:val="24"/>
            <w:szCs w:val="24"/>
          </w:rPr>
          <w:t>https://www.gov.uk/government/news/whitehall-releasing-its-grip-on-unused-public-land</w:t>
        </w:r>
      </w:hyperlink>
      <w:r w:rsidRPr="00BD2B94">
        <w:rPr>
          <w:rFonts w:ascii="Avenir Next" w:hAnsi="Avenir Next"/>
          <w:sz w:val="24"/>
          <w:szCs w:val="24"/>
        </w:rPr>
        <w:t xml:space="preserve">, accessed </w:t>
      </w:r>
      <w:r w:rsidR="00F06B42" w:rsidRPr="00BD2B94">
        <w:rPr>
          <w:rFonts w:ascii="Avenir Next" w:hAnsi="Avenir Next"/>
          <w:sz w:val="24"/>
          <w:szCs w:val="24"/>
        </w:rPr>
        <w:t>26</w:t>
      </w:r>
      <w:r w:rsidR="00F06B42" w:rsidRPr="00BD2B94">
        <w:rPr>
          <w:rFonts w:ascii="Avenir Next" w:hAnsi="Avenir Next"/>
          <w:sz w:val="24"/>
          <w:szCs w:val="24"/>
          <w:vertAlign w:val="superscript"/>
        </w:rPr>
        <w:t>th</w:t>
      </w:r>
      <w:r w:rsidR="00F06B42" w:rsidRPr="00BD2B94">
        <w:rPr>
          <w:rFonts w:ascii="Avenir Next" w:hAnsi="Avenir Next"/>
          <w:sz w:val="24"/>
          <w:szCs w:val="24"/>
        </w:rPr>
        <w:t xml:space="preserve"> July 2018</w:t>
      </w:r>
    </w:p>
    <w:p w14:paraId="4A8EBC6D" w14:textId="77777777" w:rsidR="00BD2B94" w:rsidRDefault="00923DFA" w:rsidP="00F8354F">
      <w:pPr>
        <w:jc w:val="left"/>
        <w:rPr>
          <w:rFonts w:ascii="Avenir Next" w:hAnsi="Avenir Next"/>
          <w:sz w:val="24"/>
          <w:szCs w:val="24"/>
          <w:lang w:eastAsia="en-GB"/>
        </w:rPr>
      </w:pPr>
      <w:r w:rsidRPr="00BD2B94">
        <w:rPr>
          <w:rFonts w:ascii="Avenir Next" w:hAnsi="Avenir Next"/>
          <w:sz w:val="24"/>
          <w:szCs w:val="24"/>
          <w:lang w:eastAsia="en-GB"/>
        </w:rPr>
        <w:t xml:space="preserve">DCLG (2016) </w:t>
      </w:r>
      <w:r w:rsidRPr="00BD2B94">
        <w:rPr>
          <w:rFonts w:ascii="Avenir Next" w:hAnsi="Avenir Next"/>
          <w:i/>
          <w:iCs/>
          <w:sz w:val="24"/>
          <w:szCs w:val="24"/>
          <w:lang w:eastAsia="en-GB"/>
        </w:rPr>
        <w:t>House Building: June Quarter 2016, England</w:t>
      </w:r>
      <w:r w:rsidRPr="00BD2B94">
        <w:rPr>
          <w:rFonts w:ascii="Avenir Next" w:hAnsi="Avenir Next"/>
          <w:sz w:val="24"/>
          <w:szCs w:val="24"/>
          <w:lang w:eastAsia="en-GB"/>
        </w:rPr>
        <w:t>, Housing Statistical release 25</w:t>
      </w:r>
      <w:r w:rsidRPr="00BD2B94">
        <w:rPr>
          <w:rFonts w:ascii="Avenir Next" w:hAnsi="Avenir Next"/>
          <w:sz w:val="24"/>
          <w:szCs w:val="24"/>
          <w:vertAlign w:val="superscript"/>
          <w:lang w:eastAsia="en-GB"/>
        </w:rPr>
        <w:t>th</w:t>
      </w:r>
      <w:r w:rsidRPr="00BD2B94">
        <w:rPr>
          <w:rFonts w:ascii="Avenir Next" w:hAnsi="Avenir Next"/>
          <w:sz w:val="24"/>
          <w:szCs w:val="24"/>
          <w:lang w:eastAsia="en-GB"/>
        </w:rPr>
        <w:t xml:space="preserve"> August 2016</w:t>
      </w:r>
    </w:p>
    <w:p w14:paraId="5F5B7D52" w14:textId="7F2FBFAB" w:rsidR="00BD2B94" w:rsidRPr="00BD2B94" w:rsidRDefault="00BD2B94" w:rsidP="00F8354F">
      <w:pPr>
        <w:jc w:val="left"/>
        <w:rPr>
          <w:rFonts w:ascii="Avenir Next" w:hAnsi="Avenir Next"/>
          <w:sz w:val="24"/>
          <w:szCs w:val="24"/>
          <w:lang w:eastAsia="en-GB"/>
        </w:rPr>
      </w:pPr>
      <w:r w:rsidRPr="00BD2B94">
        <w:rPr>
          <w:rFonts w:ascii="Avenir Next" w:eastAsia="Times New Roman" w:hAnsi="Avenir Next" w:cs="Arial"/>
          <w:color w:val="222222"/>
          <w:sz w:val="24"/>
          <w:szCs w:val="24"/>
          <w:shd w:val="clear" w:color="auto" w:fill="FFFFFF"/>
          <w:lang w:eastAsia="en-GB"/>
        </w:rPr>
        <w:t>Dixon, T. and Adams, D.</w:t>
      </w:r>
      <w:r w:rsidR="00215385">
        <w:rPr>
          <w:rFonts w:ascii="Avenir Next" w:eastAsia="Times New Roman" w:hAnsi="Avenir Next" w:cs="Arial"/>
          <w:color w:val="222222"/>
          <w:sz w:val="24"/>
          <w:szCs w:val="24"/>
          <w:shd w:val="clear" w:color="auto" w:fill="FFFFFF"/>
          <w:lang w:eastAsia="en-GB"/>
        </w:rPr>
        <w:t xml:space="preserve"> (</w:t>
      </w:r>
      <w:r w:rsidRPr="00BD2B94">
        <w:rPr>
          <w:rFonts w:ascii="Avenir Next" w:eastAsia="Times New Roman" w:hAnsi="Avenir Next" w:cs="Arial"/>
          <w:color w:val="222222"/>
          <w:sz w:val="24"/>
          <w:szCs w:val="24"/>
          <w:shd w:val="clear" w:color="auto" w:fill="FFFFFF"/>
          <w:lang w:eastAsia="en-GB"/>
        </w:rPr>
        <w:t>2008</w:t>
      </w:r>
      <w:r w:rsidR="00215385">
        <w:rPr>
          <w:rFonts w:ascii="Avenir Next" w:eastAsia="Times New Roman" w:hAnsi="Avenir Next" w:cs="Arial"/>
          <w:color w:val="222222"/>
          <w:sz w:val="24"/>
          <w:szCs w:val="24"/>
          <w:shd w:val="clear" w:color="auto" w:fill="FFFFFF"/>
          <w:lang w:eastAsia="en-GB"/>
        </w:rPr>
        <w:t>)</w:t>
      </w:r>
      <w:r w:rsidRPr="00BD2B94">
        <w:rPr>
          <w:rFonts w:ascii="Avenir Next" w:eastAsia="Times New Roman" w:hAnsi="Avenir Next" w:cs="Arial"/>
          <w:color w:val="222222"/>
          <w:sz w:val="24"/>
          <w:szCs w:val="24"/>
          <w:shd w:val="clear" w:color="auto" w:fill="FFFFFF"/>
          <w:lang w:eastAsia="en-GB"/>
        </w:rPr>
        <w:t xml:space="preserve"> Housing supply and brownfield regeneration in a post-Barker world: is there enough brownfield land in England and </w:t>
      </w:r>
      <w:proofErr w:type="gramStart"/>
      <w:r w:rsidRPr="00BD2B94">
        <w:rPr>
          <w:rFonts w:ascii="Avenir Next" w:eastAsia="Times New Roman" w:hAnsi="Avenir Next" w:cs="Arial"/>
          <w:color w:val="222222"/>
          <w:sz w:val="24"/>
          <w:szCs w:val="24"/>
          <w:shd w:val="clear" w:color="auto" w:fill="FFFFFF"/>
          <w:lang w:eastAsia="en-GB"/>
        </w:rPr>
        <w:t>Scotland?.</w:t>
      </w:r>
      <w:proofErr w:type="gramEnd"/>
      <w:r w:rsidRPr="00BD2B94">
        <w:rPr>
          <w:rFonts w:ascii="Avenir Next" w:eastAsia="Times New Roman" w:hAnsi="Avenir Next" w:cs="Arial"/>
          <w:color w:val="222222"/>
          <w:sz w:val="24"/>
          <w:szCs w:val="24"/>
          <w:shd w:val="clear" w:color="auto" w:fill="FFFFFF"/>
          <w:lang w:eastAsia="en-GB"/>
        </w:rPr>
        <w:t> </w:t>
      </w:r>
      <w:r w:rsidRPr="00BD2B94">
        <w:rPr>
          <w:rFonts w:ascii="Avenir Next" w:eastAsia="Times New Roman" w:hAnsi="Avenir Next" w:cs="Arial"/>
          <w:i/>
          <w:iCs/>
          <w:color w:val="222222"/>
          <w:sz w:val="24"/>
          <w:szCs w:val="24"/>
          <w:lang w:eastAsia="en-GB"/>
        </w:rPr>
        <w:t>Urban Studies</w:t>
      </w:r>
      <w:r w:rsidRPr="00BD2B94">
        <w:rPr>
          <w:rFonts w:ascii="Avenir Next" w:eastAsia="Times New Roman" w:hAnsi="Avenir Next" w:cs="Arial"/>
          <w:color w:val="222222"/>
          <w:sz w:val="24"/>
          <w:szCs w:val="24"/>
          <w:shd w:val="clear" w:color="auto" w:fill="FFFFFF"/>
          <w:lang w:eastAsia="en-GB"/>
        </w:rPr>
        <w:t>, </w:t>
      </w:r>
      <w:r w:rsidRPr="00BD2B94">
        <w:rPr>
          <w:rFonts w:ascii="Avenir Next" w:eastAsia="Times New Roman" w:hAnsi="Avenir Next" w:cs="Arial"/>
          <w:i/>
          <w:iCs/>
          <w:color w:val="222222"/>
          <w:sz w:val="24"/>
          <w:szCs w:val="24"/>
          <w:lang w:eastAsia="en-GB"/>
        </w:rPr>
        <w:t>45</w:t>
      </w:r>
      <w:r w:rsidRPr="00BD2B94">
        <w:rPr>
          <w:rFonts w:ascii="Avenir Next" w:eastAsia="Times New Roman" w:hAnsi="Avenir Next" w:cs="Arial"/>
          <w:color w:val="222222"/>
          <w:sz w:val="24"/>
          <w:szCs w:val="24"/>
          <w:shd w:val="clear" w:color="auto" w:fill="FFFFFF"/>
          <w:lang w:eastAsia="en-GB"/>
        </w:rPr>
        <w:t>(1), pp.115-139.</w:t>
      </w:r>
    </w:p>
    <w:p w14:paraId="4808D228" w14:textId="3E9B1AAF" w:rsidR="00177458" w:rsidRPr="00BD2B94" w:rsidRDefault="00177458" w:rsidP="00F8354F">
      <w:pPr>
        <w:jc w:val="left"/>
        <w:rPr>
          <w:rFonts w:ascii="Avenir Next" w:hAnsi="Avenir Next"/>
          <w:sz w:val="24"/>
          <w:szCs w:val="24"/>
        </w:rPr>
      </w:pPr>
      <w:proofErr w:type="spellStart"/>
      <w:r w:rsidRPr="00BD2B94">
        <w:rPr>
          <w:rFonts w:ascii="Avenir Next" w:hAnsi="Avenir Next"/>
          <w:sz w:val="24"/>
          <w:szCs w:val="24"/>
        </w:rPr>
        <w:t>Dockerill</w:t>
      </w:r>
      <w:proofErr w:type="spellEnd"/>
      <w:r w:rsidRPr="00BD2B94">
        <w:rPr>
          <w:rFonts w:ascii="Avenir Next" w:hAnsi="Avenir Next"/>
          <w:sz w:val="24"/>
          <w:szCs w:val="24"/>
        </w:rPr>
        <w:t xml:space="preserve">, B. &amp; </w:t>
      </w:r>
      <w:proofErr w:type="spellStart"/>
      <w:r w:rsidRPr="00BD2B94">
        <w:rPr>
          <w:rFonts w:ascii="Avenir Next" w:hAnsi="Avenir Next"/>
          <w:sz w:val="24"/>
          <w:szCs w:val="24"/>
        </w:rPr>
        <w:t>Sturzaker</w:t>
      </w:r>
      <w:proofErr w:type="spellEnd"/>
      <w:r w:rsidRPr="00BD2B94">
        <w:rPr>
          <w:rFonts w:ascii="Avenir Next" w:hAnsi="Avenir Next"/>
          <w:sz w:val="24"/>
          <w:szCs w:val="24"/>
        </w:rPr>
        <w:t xml:space="preserve">, J. (2019) Green belts and urban containment: The Merseyside experience, </w:t>
      </w:r>
      <w:r w:rsidRPr="00BD2B94">
        <w:rPr>
          <w:rFonts w:ascii="Avenir Next" w:hAnsi="Avenir Next"/>
          <w:i/>
          <w:iCs/>
          <w:sz w:val="24"/>
          <w:szCs w:val="24"/>
        </w:rPr>
        <w:t>Planning Perspectives</w:t>
      </w:r>
      <w:r w:rsidRPr="00BD2B94">
        <w:rPr>
          <w:rFonts w:ascii="Avenir Next" w:hAnsi="Avenir Next"/>
          <w:sz w:val="24"/>
          <w:szCs w:val="24"/>
        </w:rPr>
        <w:t>, 35 (4), pp. 583-608</w:t>
      </w:r>
    </w:p>
    <w:p w14:paraId="5E513F18" w14:textId="157321C6" w:rsidR="00042507" w:rsidRPr="00BD2B94" w:rsidRDefault="00042507" w:rsidP="00F8354F">
      <w:pPr>
        <w:jc w:val="left"/>
        <w:rPr>
          <w:rFonts w:ascii="Avenir Next" w:hAnsi="Avenir Next"/>
          <w:sz w:val="24"/>
          <w:szCs w:val="24"/>
        </w:rPr>
      </w:pPr>
      <w:r w:rsidRPr="00BD2B94">
        <w:rPr>
          <w:rFonts w:ascii="Avenir Next" w:hAnsi="Avenir Next"/>
          <w:sz w:val="24"/>
          <w:szCs w:val="24"/>
        </w:rPr>
        <w:t xml:space="preserve">Dunning, R.J. (2017) Competing notions of search for home: behavioural economics and housing markets. </w:t>
      </w:r>
      <w:r w:rsidRPr="00BD2B94">
        <w:rPr>
          <w:rFonts w:ascii="Avenir Next" w:hAnsi="Avenir Next"/>
          <w:i/>
          <w:iCs/>
          <w:sz w:val="24"/>
          <w:szCs w:val="24"/>
        </w:rPr>
        <w:t>Housing, Theory and Society</w:t>
      </w:r>
      <w:r w:rsidRPr="00BD2B94">
        <w:rPr>
          <w:rFonts w:ascii="Avenir Next" w:hAnsi="Avenir Next"/>
          <w:sz w:val="24"/>
          <w:szCs w:val="24"/>
        </w:rPr>
        <w:t>, 34(1), pp.21-37</w:t>
      </w:r>
    </w:p>
    <w:p w14:paraId="5E390159" w14:textId="1FFA3F0B" w:rsidR="002B6434" w:rsidRPr="00BD2B94" w:rsidRDefault="00091183" w:rsidP="00F8354F">
      <w:pPr>
        <w:jc w:val="left"/>
        <w:rPr>
          <w:rFonts w:ascii="Avenir Next" w:hAnsi="Avenir Next"/>
          <w:sz w:val="24"/>
          <w:szCs w:val="24"/>
        </w:rPr>
      </w:pPr>
      <w:r w:rsidRPr="00BD2B94">
        <w:rPr>
          <w:rFonts w:ascii="Avenir Next" w:hAnsi="Avenir Next"/>
          <w:sz w:val="24"/>
          <w:szCs w:val="24"/>
        </w:rPr>
        <w:t xml:space="preserve">Dunning, R., Ferrari, E. &amp; Watkins, C. </w:t>
      </w:r>
      <w:r w:rsidR="00F457EC" w:rsidRPr="00BD2B94">
        <w:rPr>
          <w:rFonts w:ascii="Avenir Next" w:hAnsi="Avenir Next"/>
          <w:sz w:val="24"/>
          <w:szCs w:val="24"/>
        </w:rPr>
        <w:t>(2016</w:t>
      </w:r>
      <w:r w:rsidRPr="00BD2B94">
        <w:rPr>
          <w:rFonts w:ascii="Avenir Next" w:hAnsi="Avenir Next"/>
          <w:sz w:val="24"/>
          <w:szCs w:val="24"/>
        </w:rPr>
        <w:t xml:space="preserve">) Spatial Variation in the Incidence and Value of Planning Obligations, chapter 7 in Crook, </w:t>
      </w:r>
      <w:proofErr w:type="spellStart"/>
      <w:r w:rsidRPr="00BD2B94">
        <w:rPr>
          <w:rFonts w:ascii="Avenir Next" w:hAnsi="Avenir Next"/>
          <w:sz w:val="24"/>
          <w:szCs w:val="24"/>
        </w:rPr>
        <w:t>Henneberry</w:t>
      </w:r>
      <w:proofErr w:type="spellEnd"/>
      <w:r w:rsidRPr="00BD2B94">
        <w:rPr>
          <w:rFonts w:ascii="Avenir Next" w:hAnsi="Avenir Next"/>
          <w:sz w:val="24"/>
          <w:szCs w:val="24"/>
        </w:rPr>
        <w:t xml:space="preserve"> &amp; Whitehead (eds), Planning Gain, Wiley-Blac</w:t>
      </w:r>
      <w:r w:rsidR="008A6953" w:rsidRPr="00BD2B94">
        <w:rPr>
          <w:rFonts w:ascii="Avenir Next" w:hAnsi="Avenir Next"/>
          <w:sz w:val="24"/>
          <w:szCs w:val="24"/>
        </w:rPr>
        <w:t>k</w:t>
      </w:r>
      <w:r w:rsidRPr="00BD2B94">
        <w:rPr>
          <w:rFonts w:ascii="Avenir Next" w:hAnsi="Avenir Next"/>
          <w:sz w:val="24"/>
          <w:szCs w:val="24"/>
        </w:rPr>
        <w:t>well</w:t>
      </w:r>
    </w:p>
    <w:p w14:paraId="4858B4FD" w14:textId="77777777" w:rsidR="006D55C6" w:rsidRPr="00BD2B94" w:rsidRDefault="00C76210" w:rsidP="00F8354F">
      <w:pPr>
        <w:jc w:val="left"/>
        <w:rPr>
          <w:rFonts w:ascii="Avenir Next" w:hAnsi="Avenir Next" w:cs="Arial"/>
          <w:color w:val="222222"/>
          <w:sz w:val="24"/>
          <w:szCs w:val="24"/>
          <w:shd w:val="clear" w:color="auto" w:fill="FFFFFF"/>
        </w:rPr>
      </w:pPr>
      <w:proofErr w:type="spellStart"/>
      <w:r w:rsidRPr="00BD2B94">
        <w:rPr>
          <w:rFonts w:ascii="Avenir Next" w:hAnsi="Avenir Next"/>
          <w:sz w:val="24"/>
          <w:szCs w:val="24"/>
        </w:rPr>
        <w:t>Elphicke</w:t>
      </w:r>
      <w:proofErr w:type="spellEnd"/>
      <w:r w:rsidRPr="00BD2B94">
        <w:rPr>
          <w:rFonts w:ascii="Avenir Next" w:hAnsi="Avenir Next"/>
          <w:sz w:val="24"/>
          <w:szCs w:val="24"/>
        </w:rPr>
        <w:t xml:space="preserve">, N. &amp; House, K. (2015) The </w:t>
      </w:r>
      <w:proofErr w:type="spellStart"/>
      <w:r w:rsidRPr="00BD2B94">
        <w:rPr>
          <w:rFonts w:ascii="Avenir Next" w:hAnsi="Avenir Next"/>
          <w:sz w:val="24"/>
          <w:szCs w:val="24"/>
        </w:rPr>
        <w:t>Elphicke</w:t>
      </w:r>
      <w:proofErr w:type="spellEnd"/>
      <w:r w:rsidRPr="00BD2B94">
        <w:rPr>
          <w:rFonts w:ascii="Avenir Next" w:hAnsi="Avenir Next"/>
          <w:sz w:val="24"/>
          <w:szCs w:val="24"/>
        </w:rPr>
        <w:t>-House Report: From statutory provider to Housing Deliver Enabler: Review into the</w:t>
      </w:r>
      <w:r w:rsidR="00472E4C" w:rsidRPr="00BD2B94">
        <w:rPr>
          <w:rFonts w:ascii="Avenir Next" w:hAnsi="Avenir Next"/>
          <w:sz w:val="24"/>
          <w:szCs w:val="24"/>
        </w:rPr>
        <w:t xml:space="preserve"> Local A</w:t>
      </w:r>
      <w:r w:rsidRPr="00BD2B94">
        <w:rPr>
          <w:rFonts w:ascii="Avenir Next" w:hAnsi="Avenir Next"/>
          <w:sz w:val="24"/>
          <w:szCs w:val="24"/>
        </w:rPr>
        <w:t>uthority role in housing supply, Queen’s Printer and Controller of Her Majesty’s Stationary Office</w:t>
      </w:r>
      <w:r w:rsidR="006D55C6" w:rsidRPr="00BD2B94">
        <w:rPr>
          <w:rFonts w:ascii="Avenir Next" w:hAnsi="Avenir Next" w:cs="Arial"/>
          <w:color w:val="222222"/>
          <w:sz w:val="24"/>
          <w:szCs w:val="24"/>
          <w:shd w:val="clear" w:color="auto" w:fill="FFFFFF"/>
        </w:rPr>
        <w:t xml:space="preserve"> </w:t>
      </w:r>
    </w:p>
    <w:p w14:paraId="65D02984" w14:textId="77777777" w:rsidR="001E0979" w:rsidRDefault="006D55C6" w:rsidP="00F8354F">
      <w:pPr>
        <w:jc w:val="left"/>
        <w:rPr>
          <w:rFonts w:ascii="Avenir Next" w:eastAsia="Times New Roman" w:hAnsi="Avenir Next" w:cs="Calibri Light"/>
          <w:sz w:val="24"/>
          <w:szCs w:val="24"/>
          <w:lang w:eastAsia="en-GB"/>
        </w:rPr>
      </w:pPr>
      <w:r w:rsidRPr="00BD2B94">
        <w:rPr>
          <w:rFonts w:ascii="Avenir Next" w:eastAsia="Times New Roman" w:hAnsi="Avenir Next" w:cs="Calibri Light"/>
          <w:color w:val="222222"/>
          <w:sz w:val="24"/>
          <w:szCs w:val="24"/>
          <w:shd w:val="clear" w:color="auto" w:fill="FFFFFF"/>
          <w:lang w:eastAsia="en-GB"/>
        </w:rPr>
        <w:t>Evans, A.W.</w:t>
      </w:r>
      <w:r w:rsidR="00445B1B" w:rsidRPr="00BD2B94">
        <w:rPr>
          <w:rFonts w:ascii="Avenir Next" w:eastAsia="Times New Roman" w:hAnsi="Avenir Next" w:cs="Calibri Light"/>
          <w:color w:val="222222"/>
          <w:sz w:val="24"/>
          <w:szCs w:val="24"/>
          <w:shd w:val="clear" w:color="auto" w:fill="FFFFFF"/>
          <w:lang w:eastAsia="en-GB"/>
        </w:rPr>
        <w:t xml:space="preserve"> (</w:t>
      </w:r>
      <w:r w:rsidRPr="00BD2B94">
        <w:rPr>
          <w:rFonts w:ascii="Avenir Next" w:eastAsia="Times New Roman" w:hAnsi="Avenir Next" w:cs="Calibri Light"/>
          <w:color w:val="222222"/>
          <w:sz w:val="24"/>
          <w:szCs w:val="24"/>
          <w:shd w:val="clear" w:color="auto" w:fill="FFFFFF"/>
          <w:lang w:eastAsia="en-GB"/>
        </w:rPr>
        <w:t>1973</w:t>
      </w:r>
      <w:r w:rsidR="00445B1B" w:rsidRPr="00BD2B94">
        <w:rPr>
          <w:rFonts w:ascii="Avenir Next" w:eastAsia="Times New Roman" w:hAnsi="Avenir Next" w:cs="Calibri Light"/>
          <w:color w:val="222222"/>
          <w:sz w:val="24"/>
          <w:szCs w:val="24"/>
          <w:shd w:val="clear" w:color="auto" w:fill="FFFFFF"/>
          <w:lang w:eastAsia="en-GB"/>
        </w:rPr>
        <w:t>)</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i/>
          <w:iCs/>
          <w:color w:val="222222"/>
          <w:sz w:val="24"/>
          <w:szCs w:val="24"/>
          <w:lang w:eastAsia="en-GB"/>
        </w:rPr>
        <w:t>The economics of residential location</w:t>
      </w:r>
      <w:r w:rsidRPr="00BD2B94">
        <w:rPr>
          <w:rFonts w:ascii="Avenir Next" w:eastAsia="Times New Roman" w:hAnsi="Avenir Next" w:cs="Calibri Light"/>
          <w:color w:val="222222"/>
          <w:sz w:val="24"/>
          <w:szCs w:val="24"/>
          <w:shd w:val="clear" w:color="auto" w:fill="FFFFFF"/>
          <w:lang w:eastAsia="en-GB"/>
        </w:rPr>
        <w:t>. Springer.</w:t>
      </w:r>
    </w:p>
    <w:p w14:paraId="6E7E13E4" w14:textId="77777777" w:rsidR="001E0979" w:rsidRDefault="00445B1B" w:rsidP="00F8354F">
      <w:pPr>
        <w:jc w:val="left"/>
        <w:rPr>
          <w:rFonts w:ascii="Avenir Next" w:eastAsia="Times New Roman" w:hAnsi="Avenir Next" w:cs="Calibri Light"/>
          <w:sz w:val="24"/>
          <w:szCs w:val="24"/>
          <w:lang w:eastAsia="en-GB"/>
        </w:rPr>
      </w:pPr>
      <w:r w:rsidRPr="00BD2B94">
        <w:rPr>
          <w:rFonts w:ascii="Avenir Next" w:eastAsia="Times New Roman" w:hAnsi="Avenir Next" w:cs="Calibri Light"/>
          <w:color w:val="222222"/>
          <w:sz w:val="24"/>
          <w:szCs w:val="24"/>
          <w:shd w:val="clear" w:color="auto" w:fill="FFFFFF"/>
          <w:lang w:eastAsia="en-GB"/>
        </w:rPr>
        <w:t>Evans, A. (2003) Shouting very loudly: economics, planning and politics. </w:t>
      </w:r>
      <w:r w:rsidRPr="00BD2B94">
        <w:rPr>
          <w:rFonts w:ascii="Avenir Next" w:eastAsia="Times New Roman" w:hAnsi="Avenir Next" w:cs="Calibri Light"/>
          <w:i/>
          <w:iCs/>
          <w:color w:val="222222"/>
          <w:sz w:val="24"/>
          <w:szCs w:val="24"/>
          <w:lang w:eastAsia="en-GB"/>
        </w:rPr>
        <w:t>Town Planning Review</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color w:val="222222"/>
          <w:sz w:val="24"/>
          <w:szCs w:val="24"/>
          <w:lang w:eastAsia="en-GB"/>
        </w:rPr>
        <w:t>74</w:t>
      </w:r>
      <w:r w:rsidRPr="00BD2B94">
        <w:rPr>
          <w:rFonts w:ascii="Avenir Next" w:eastAsia="Times New Roman" w:hAnsi="Avenir Next" w:cs="Calibri Light"/>
          <w:color w:val="222222"/>
          <w:sz w:val="24"/>
          <w:szCs w:val="24"/>
          <w:shd w:val="clear" w:color="auto" w:fill="FFFFFF"/>
          <w:lang w:eastAsia="en-GB"/>
        </w:rPr>
        <w:t>(2), pp.195-212.</w:t>
      </w:r>
    </w:p>
    <w:p w14:paraId="5390BCBB" w14:textId="77777777" w:rsidR="001E0979" w:rsidRDefault="00787307" w:rsidP="00F8354F">
      <w:pPr>
        <w:jc w:val="left"/>
        <w:rPr>
          <w:rFonts w:ascii="Avenir Next" w:eastAsia="Times New Roman" w:hAnsi="Avenir Next" w:cs="Calibri Light"/>
          <w:sz w:val="24"/>
          <w:szCs w:val="24"/>
          <w:lang w:eastAsia="en-GB"/>
        </w:rPr>
      </w:pPr>
      <w:r w:rsidRPr="00BD2B94">
        <w:rPr>
          <w:rFonts w:ascii="Avenir Next" w:eastAsia="Times New Roman" w:hAnsi="Avenir Next" w:cs="Calibri Light"/>
          <w:color w:val="222222"/>
          <w:sz w:val="24"/>
          <w:szCs w:val="24"/>
          <w:shd w:val="clear" w:color="auto" w:fill="FFFFFF"/>
          <w:lang w:eastAsia="en-GB"/>
        </w:rPr>
        <w:t xml:space="preserve">Gar-on Yeh, A. &amp; Wu, F. (1996) The New Land Development Process and Urban Development in Chinese Cities, </w:t>
      </w:r>
      <w:r w:rsidRPr="00BD2B94">
        <w:rPr>
          <w:rFonts w:ascii="Avenir Next" w:eastAsia="Times New Roman" w:hAnsi="Avenir Next" w:cs="Calibri Light"/>
          <w:i/>
          <w:iCs/>
          <w:color w:val="222222"/>
          <w:sz w:val="24"/>
          <w:szCs w:val="24"/>
          <w:shd w:val="clear" w:color="auto" w:fill="FFFFFF"/>
          <w:lang w:eastAsia="en-GB"/>
        </w:rPr>
        <w:t>International Journal or Urban and Regional Research</w:t>
      </w:r>
      <w:r w:rsidRPr="00BD2B94">
        <w:rPr>
          <w:rFonts w:ascii="Avenir Next" w:eastAsia="Times New Roman" w:hAnsi="Avenir Next" w:cs="Calibri Light"/>
          <w:color w:val="222222"/>
          <w:sz w:val="24"/>
          <w:szCs w:val="24"/>
          <w:shd w:val="clear" w:color="auto" w:fill="FFFFFF"/>
          <w:lang w:eastAsia="en-GB"/>
        </w:rPr>
        <w:t xml:space="preserve">, 20, 2, pp.330-353 </w:t>
      </w:r>
    </w:p>
    <w:p w14:paraId="7C5F9BBE" w14:textId="77777777" w:rsidR="001E0979" w:rsidRDefault="00F04E6D" w:rsidP="00F8354F">
      <w:pPr>
        <w:jc w:val="left"/>
        <w:rPr>
          <w:rFonts w:ascii="Avenir Next" w:eastAsia="Times New Roman" w:hAnsi="Avenir Next" w:cs="Calibri Light"/>
          <w:sz w:val="24"/>
          <w:szCs w:val="24"/>
          <w:lang w:eastAsia="en-GB"/>
        </w:rPr>
      </w:pPr>
      <w:r w:rsidRPr="00BD2B94">
        <w:rPr>
          <w:rFonts w:ascii="Avenir Next" w:eastAsia="Times New Roman" w:hAnsi="Avenir Next" w:cs="Calibri Light"/>
          <w:color w:val="222222"/>
          <w:sz w:val="24"/>
          <w:szCs w:val="24"/>
          <w:shd w:val="clear" w:color="auto" w:fill="FFFFFF"/>
          <w:lang w:eastAsia="en-GB"/>
        </w:rPr>
        <w:t xml:space="preserve">Goodchild, R.N. &amp; </w:t>
      </w:r>
      <w:proofErr w:type="spellStart"/>
      <w:r w:rsidRPr="00BD2B94">
        <w:rPr>
          <w:rFonts w:ascii="Avenir Next" w:eastAsia="Times New Roman" w:hAnsi="Avenir Next" w:cs="Calibri Light"/>
          <w:color w:val="222222"/>
          <w:sz w:val="24"/>
          <w:szCs w:val="24"/>
          <w:shd w:val="clear" w:color="auto" w:fill="FFFFFF"/>
          <w:lang w:eastAsia="en-GB"/>
        </w:rPr>
        <w:t>Munton</w:t>
      </w:r>
      <w:proofErr w:type="spellEnd"/>
      <w:r w:rsidRPr="00BD2B94">
        <w:rPr>
          <w:rFonts w:ascii="Avenir Next" w:eastAsia="Times New Roman" w:hAnsi="Avenir Next" w:cs="Calibri Light"/>
          <w:color w:val="222222"/>
          <w:sz w:val="24"/>
          <w:szCs w:val="24"/>
          <w:shd w:val="clear" w:color="auto" w:fill="FFFFFF"/>
          <w:lang w:eastAsia="en-GB"/>
        </w:rPr>
        <w:t>, R.J.C. (1985) </w:t>
      </w:r>
      <w:r w:rsidRPr="00BD2B94">
        <w:rPr>
          <w:rFonts w:ascii="Avenir Next" w:eastAsia="Times New Roman" w:hAnsi="Avenir Next" w:cs="Calibri Light"/>
          <w:color w:val="222222"/>
          <w:sz w:val="24"/>
          <w:szCs w:val="24"/>
          <w:lang w:eastAsia="en-GB"/>
        </w:rPr>
        <w:t>D</w:t>
      </w:r>
      <w:r w:rsidRPr="00BD2B94">
        <w:rPr>
          <w:rFonts w:ascii="Avenir Next" w:eastAsia="Times New Roman" w:hAnsi="Avenir Next" w:cs="Calibri Light"/>
          <w:i/>
          <w:iCs/>
          <w:color w:val="222222"/>
          <w:sz w:val="24"/>
          <w:szCs w:val="24"/>
          <w:lang w:eastAsia="en-GB"/>
        </w:rPr>
        <w:t>evelopment and the landowner: an analysis of the British experience</w:t>
      </w:r>
      <w:r w:rsidRPr="00BD2B94">
        <w:rPr>
          <w:rFonts w:ascii="Avenir Next" w:eastAsia="Times New Roman" w:hAnsi="Avenir Next" w:cs="Calibri Light"/>
          <w:color w:val="222222"/>
          <w:sz w:val="24"/>
          <w:szCs w:val="24"/>
          <w:shd w:val="clear" w:color="auto" w:fill="FFFFFF"/>
          <w:lang w:eastAsia="en-GB"/>
        </w:rPr>
        <w:t>. Taylor &amp; Francis.</w:t>
      </w:r>
    </w:p>
    <w:p w14:paraId="46445A15" w14:textId="77777777" w:rsidR="001E0979" w:rsidRDefault="00BD2B94" w:rsidP="00F8354F">
      <w:pPr>
        <w:jc w:val="left"/>
        <w:rPr>
          <w:rFonts w:ascii="Avenir Next" w:eastAsia="Times New Roman" w:hAnsi="Avenir Next" w:cs="Calibri Light"/>
          <w:sz w:val="24"/>
          <w:szCs w:val="24"/>
          <w:lang w:eastAsia="en-GB"/>
        </w:rPr>
      </w:pPr>
      <w:proofErr w:type="spellStart"/>
      <w:r w:rsidRPr="00BD2B94">
        <w:rPr>
          <w:rFonts w:ascii="Avenir Next" w:eastAsia="Times New Roman" w:hAnsi="Avenir Next" w:cs="Calibri"/>
          <w:color w:val="222222"/>
          <w:sz w:val="24"/>
          <w:szCs w:val="24"/>
          <w:shd w:val="clear" w:color="auto" w:fill="FFFFFF"/>
          <w:lang w:eastAsia="en-GB"/>
        </w:rPr>
        <w:t>Gurran</w:t>
      </w:r>
      <w:proofErr w:type="spellEnd"/>
      <w:r w:rsidRPr="00BD2B94">
        <w:rPr>
          <w:rFonts w:ascii="Avenir Next" w:eastAsia="Times New Roman" w:hAnsi="Avenir Next" w:cs="Calibri"/>
          <w:color w:val="222222"/>
          <w:sz w:val="24"/>
          <w:szCs w:val="24"/>
          <w:shd w:val="clear" w:color="auto" w:fill="FFFFFF"/>
          <w:lang w:eastAsia="en-GB"/>
        </w:rPr>
        <w:t>, N. and Bramley, G., 2017. </w:t>
      </w:r>
      <w:r w:rsidRPr="00BD2B94">
        <w:rPr>
          <w:rFonts w:ascii="Avenir Next" w:eastAsia="Times New Roman" w:hAnsi="Avenir Next" w:cs="Calibri"/>
          <w:i/>
          <w:iCs/>
          <w:color w:val="222222"/>
          <w:sz w:val="24"/>
          <w:szCs w:val="24"/>
          <w:lang w:eastAsia="en-GB"/>
        </w:rPr>
        <w:t>Urban Planning and the Housing Market</w:t>
      </w:r>
      <w:r w:rsidRPr="00BD2B94">
        <w:rPr>
          <w:rFonts w:ascii="Avenir Next" w:eastAsia="Times New Roman" w:hAnsi="Avenir Next" w:cs="Calibri"/>
          <w:color w:val="222222"/>
          <w:sz w:val="24"/>
          <w:szCs w:val="24"/>
          <w:shd w:val="clear" w:color="auto" w:fill="FFFFFF"/>
          <w:lang w:eastAsia="en-GB"/>
        </w:rPr>
        <w:t>. Palgrave Macmillan: London, UK.</w:t>
      </w:r>
    </w:p>
    <w:p w14:paraId="1952354F" w14:textId="77777777" w:rsidR="001E0979" w:rsidRDefault="0023063B" w:rsidP="00F8354F">
      <w:pPr>
        <w:jc w:val="left"/>
        <w:rPr>
          <w:rFonts w:ascii="Avenir Next" w:hAnsi="Avenir Next"/>
          <w:color w:val="222222"/>
          <w:sz w:val="24"/>
          <w:szCs w:val="24"/>
        </w:rPr>
      </w:pPr>
      <w:r w:rsidRPr="00BD2B94">
        <w:rPr>
          <w:rFonts w:ascii="Avenir Next" w:hAnsi="Avenir Next"/>
          <w:color w:val="222222"/>
          <w:sz w:val="24"/>
          <w:szCs w:val="24"/>
        </w:rPr>
        <w:lastRenderedPageBreak/>
        <w:t xml:space="preserve">Guy, S., &amp; </w:t>
      </w:r>
      <w:proofErr w:type="spellStart"/>
      <w:r w:rsidRPr="00BD2B94">
        <w:rPr>
          <w:rFonts w:ascii="Avenir Next" w:hAnsi="Avenir Next"/>
          <w:color w:val="222222"/>
          <w:sz w:val="24"/>
          <w:szCs w:val="24"/>
        </w:rPr>
        <w:t>Henneberry</w:t>
      </w:r>
      <w:proofErr w:type="spellEnd"/>
      <w:r w:rsidRPr="00BD2B94">
        <w:rPr>
          <w:rFonts w:ascii="Avenir Next" w:hAnsi="Avenir Next"/>
          <w:color w:val="222222"/>
          <w:sz w:val="24"/>
          <w:szCs w:val="24"/>
        </w:rPr>
        <w:t xml:space="preserve">, J. (2000). Understanding urban development processes: integrating the economic and the social in property research. </w:t>
      </w:r>
      <w:r w:rsidRPr="00BD2B94">
        <w:rPr>
          <w:rFonts w:ascii="Avenir Next" w:hAnsi="Avenir Next"/>
          <w:i/>
          <w:iCs/>
          <w:color w:val="222222"/>
          <w:sz w:val="24"/>
          <w:szCs w:val="24"/>
        </w:rPr>
        <w:t>Urban Studies</w:t>
      </w:r>
      <w:r w:rsidRPr="00BD2B94">
        <w:rPr>
          <w:rFonts w:ascii="Avenir Next" w:hAnsi="Avenir Next"/>
          <w:color w:val="222222"/>
          <w:sz w:val="24"/>
          <w:szCs w:val="24"/>
        </w:rPr>
        <w:t>, 37(13), 2399-2416.</w:t>
      </w:r>
    </w:p>
    <w:p w14:paraId="2BA86AE1" w14:textId="4740BAFC" w:rsidR="00514EDF" w:rsidRPr="00BD2B94" w:rsidRDefault="00514EDF" w:rsidP="00F8354F">
      <w:pPr>
        <w:jc w:val="left"/>
        <w:rPr>
          <w:rFonts w:ascii="Avenir Next" w:eastAsia="Times New Roman" w:hAnsi="Avenir Next" w:cs="Calibri Light"/>
          <w:sz w:val="24"/>
          <w:szCs w:val="24"/>
          <w:lang w:eastAsia="en-GB"/>
        </w:rPr>
      </w:pPr>
      <w:r w:rsidRPr="00BD2B94">
        <w:rPr>
          <w:rFonts w:ascii="Avenir Next" w:hAnsi="Avenir Next"/>
          <w:sz w:val="24"/>
          <w:szCs w:val="24"/>
        </w:rPr>
        <w:t xml:space="preserve">Guy, S. &amp; </w:t>
      </w:r>
      <w:proofErr w:type="spellStart"/>
      <w:r w:rsidRPr="00BD2B94">
        <w:rPr>
          <w:rFonts w:ascii="Avenir Next" w:hAnsi="Avenir Next"/>
          <w:sz w:val="24"/>
          <w:szCs w:val="24"/>
        </w:rPr>
        <w:t>Henneberry</w:t>
      </w:r>
      <w:proofErr w:type="spellEnd"/>
      <w:r w:rsidRPr="00BD2B94">
        <w:rPr>
          <w:rFonts w:ascii="Avenir Next" w:hAnsi="Avenir Next"/>
          <w:sz w:val="24"/>
          <w:szCs w:val="24"/>
        </w:rPr>
        <w:t xml:space="preserve">, J. (2002) </w:t>
      </w:r>
      <w:r w:rsidRPr="00BD2B94">
        <w:rPr>
          <w:rFonts w:ascii="Avenir Next" w:hAnsi="Avenir Next"/>
          <w:i/>
          <w:iCs/>
          <w:sz w:val="24"/>
          <w:szCs w:val="24"/>
        </w:rPr>
        <w:t>Approaching development, in Development and Developers: Perspectives on property</w:t>
      </w:r>
      <w:r w:rsidRPr="00BD2B94">
        <w:rPr>
          <w:rFonts w:ascii="Avenir Next" w:hAnsi="Avenir Next"/>
          <w:sz w:val="24"/>
          <w:szCs w:val="24"/>
        </w:rPr>
        <w:t xml:space="preserve"> (ed) Guy, S. &amp; </w:t>
      </w:r>
      <w:proofErr w:type="spellStart"/>
      <w:r w:rsidRPr="00BD2B94">
        <w:rPr>
          <w:rFonts w:ascii="Avenir Next" w:hAnsi="Avenir Next"/>
          <w:sz w:val="24"/>
          <w:szCs w:val="24"/>
        </w:rPr>
        <w:t>Henneberry</w:t>
      </w:r>
      <w:proofErr w:type="spellEnd"/>
      <w:r w:rsidRPr="00BD2B94">
        <w:rPr>
          <w:rFonts w:ascii="Avenir Next" w:hAnsi="Avenir Next"/>
          <w:sz w:val="24"/>
          <w:szCs w:val="24"/>
        </w:rPr>
        <w:t>, J., Blackwell, Great Britain</w:t>
      </w:r>
    </w:p>
    <w:p w14:paraId="7718FB73" w14:textId="77777777" w:rsidR="001E2DE9" w:rsidRPr="00BD2B94" w:rsidRDefault="001E2DE9" w:rsidP="00F8354F">
      <w:pPr>
        <w:jc w:val="left"/>
        <w:rPr>
          <w:rFonts w:ascii="Avenir Next" w:hAnsi="Avenir Next"/>
          <w:sz w:val="24"/>
          <w:szCs w:val="24"/>
        </w:rPr>
      </w:pPr>
      <w:r w:rsidRPr="00BD2B94">
        <w:rPr>
          <w:rFonts w:ascii="Avenir Next" w:hAnsi="Avenir Next"/>
          <w:sz w:val="24"/>
          <w:szCs w:val="24"/>
        </w:rPr>
        <w:t xml:space="preserve">Healey, P. (1991) Models of the development process: A review, </w:t>
      </w:r>
      <w:r w:rsidRPr="00BD2B94">
        <w:rPr>
          <w:rFonts w:ascii="Avenir Next" w:hAnsi="Avenir Next"/>
          <w:i/>
          <w:iCs/>
          <w:sz w:val="24"/>
          <w:szCs w:val="24"/>
        </w:rPr>
        <w:t>Journal of Property Research</w:t>
      </w:r>
      <w:r w:rsidRPr="00BD2B94">
        <w:rPr>
          <w:rFonts w:ascii="Avenir Next" w:hAnsi="Avenir Next"/>
          <w:sz w:val="24"/>
          <w:szCs w:val="24"/>
        </w:rPr>
        <w:t>, 8, 3, PP.219-238</w:t>
      </w:r>
    </w:p>
    <w:p w14:paraId="14735015" w14:textId="77777777" w:rsidR="00B340D1" w:rsidRPr="00BD2B94" w:rsidRDefault="00F43BAC" w:rsidP="00F8354F">
      <w:pPr>
        <w:jc w:val="left"/>
        <w:rPr>
          <w:rFonts w:ascii="Avenir Next" w:hAnsi="Avenir Next"/>
          <w:sz w:val="24"/>
          <w:szCs w:val="24"/>
        </w:rPr>
      </w:pPr>
      <w:proofErr w:type="spellStart"/>
      <w:r w:rsidRPr="00BD2B94">
        <w:rPr>
          <w:rFonts w:ascii="Avenir Next" w:hAnsi="Avenir Next"/>
          <w:sz w:val="24"/>
          <w:szCs w:val="24"/>
        </w:rPr>
        <w:t>Henneberry</w:t>
      </w:r>
      <w:proofErr w:type="spellEnd"/>
      <w:r w:rsidRPr="00BD2B94">
        <w:rPr>
          <w:rFonts w:ascii="Avenir Next" w:hAnsi="Avenir Next"/>
          <w:sz w:val="24"/>
          <w:szCs w:val="24"/>
        </w:rPr>
        <w:t>, J. &amp; Parris, S.</w:t>
      </w:r>
      <w:r w:rsidR="00B340D1" w:rsidRPr="00BD2B94">
        <w:rPr>
          <w:rFonts w:ascii="Avenir Next" w:hAnsi="Avenir Next"/>
          <w:sz w:val="24"/>
          <w:szCs w:val="24"/>
        </w:rPr>
        <w:t xml:space="preserve"> (2013) The embedded developer: using project ecologies to analyse local property development networks, </w:t>
      </w:r>
      <w:r w:rsidR="00B340D1" w:rsidRPr="00BD2B94">
        <w:rPr>
          <w:rFonts w:ascii="Avenir Next" w:hAnsi="Avenir Next"/>
          <w:i/>
          <w:iCs/>
          <w:sz w:val="24"/>
          <w:szCs w:val="24"/>
        </w:rPr>
        <w:t>Town Planning Review</w:t>
      </w:r>
      <w:r w:rsidR="00B340D1" w:rsidRPr="00BD2B94">
        <w:rPr>
          <w:rFonts w:ascii="Avenir Next" w:hAnsi="Avenir Next"/>
          <w:sz w:val="24"/>
          <w:szCs w:val="24"/>
        </w:rPr>
        <w:t>, 84, 2, PP.227-249</w:t>
      </w:r>
    </w:p>
    <w:p w14:paraId="26D3FF49" w14:textId="77777777" w:rsidR="00DE7477" w:rsidRPr="00BD2B94" w:rsidRDefault="00DE7477" w:rsidP="00F8354F">
      <w:pPr>
        <w:jc w:val="left"/>
        <w:rPr>
          <w:rFonts w:ascii="Avenir Next" w:hAnsi="Avenir Next"/>
          <w:sz w:val="24"/>
          <w:szCs w:val="24"/>
        </w:rPr>
      </w:pPr>
      <w:proofErr w:type="spellStart"/>
      <w:r w:rsidRPr="00BD2B94">
        <w:rPr>
          <w:rFonts w:ascii="Avenir Next" w:hAnsi="Avenir Next"/>
          <w:sz w:val="24"/>
          <w:szCs w:val="24"/>
        </w:rPr>
        <w:t>Heurkens</w:t>
      </w:r>
      <w:proofErr w:type="spellEnd"/>
      <w:r w:rsidRPr="00BD2B94">
        <w:rPr>
          <w:rFonts w:ascii="Avenir Next" w:hAnsi="Avenir Next"/>
          <w:sz w:val="24"/>
          <w:szCs w:val="24"/>
        </w:rPr>
        <w:t xml:space="preserve">, E. Adams, D. &amp; </w:t>
      </w:r>
      <w:proofErr w:type="spellStart"/>
      <w:r w:rsidRPr="00BD2B94">
        <w:rPr>
          <w:rFonts w:ascii="Avenir Next" w:hAnsi="Avenir Next"/>
          <w:sz w:val="24"/>
          <w:szCs w:val="24"/>
        </w:rPr>
        <w:t>Hobma</w:t>
      </w:r>
      <w:proofErr w:type="spellEnd"/>
      <w:r w:rsidRPr="00BD2B94">
        <w:rPr>
          <w:rFonts w:ascii="Avenir Next" w:hAnsi="Avenir Next"/>
          <w:sz w:val="24"/>
          <w:szCs w:val="24"/>
        </w:rPr>
        <w:t xml:space="preserve">, F. (2015) Planners as market actors: the role of local planning authorities in the UK’s urban regeneration practice, </w:t>
      </w:r>
      <w:r w:rsidRPr="00BD2B94">
        <w:rPr>
          <w:rFonts w:ascii="Avenir Next" w:hAnsi="Avenir Next"/>
          <w:i/>
          <w:iCs/>
          <w:sz w:val="24"/>
          <w:szCs w:val="24"/>
        </w:rPr>
        <w:t>Town Planning Review</w:t>
      </w:r>
      <w:r w:rsidRPr="00BD2B94">
        <w:rPr>
          <w:rFonts w:ascii="Avenir Next" w:hAnsi="Avenir Next"/>
          <w:sz w:val="24"/>
          <w:szCs w:val="24"/>
        </w:rPr>
        <w:t>, 86, 6, PP.625-649</w:t>
      </w:r>
    </w:p>
    <w:p w14:paraId="0CF17BAF" w14:textId="5F95D144" w:rsidR="00EB3ACF" w:rsidRPr="00BD2B94" w:rsidRDefault="00EB3ACF" w:rsidP="00BD2B94">
      <w:pPr>
        <w:jc w:val="left"/>
        <w:rPr>
          <w:rFonts w:ascii="Avenir Next" w:eastAsia="Times New Roman" w:hAnsi="Avenir Next" w:cs="Calibri Light"/>
          <w:sz w:val="24"/>
          <w:szCs w:val="24"/>
          <w:lang w:eastAsia="en-GB"/>
        </w:rPr>
      </w:pPr>
      <w:r w:rsidRPr="00BD2B94">
        <w:rPr>
          <w:rFonts w:ascii="Avenir Next" w:hAnsi="Avenir Next" w:cs="Calibri Light"/>
          <w:sz w:val="24"/>
          <w:szCs w:val="24"/>
        </w:rPr>
        <w:t>H</w:t>
      </w:r>
      <w:r w:rsidRPr="00BD2B94">
        <w:rPr>
          <w:rFonts w:ascii="Avenir Next" w:eastAsia="Times New Roman" w:hAnsi="Avenir Next" w:cs="Calibri Light"/>
          <w:color w:val="222222"/>
          <w:sz w:val="24"/>
          <w:szCs w:val="24"/>
          <w:shd w:val="clear" w:color="auto" w:fill="FFFFFF"/>
          <w:lang w:eastAsia="en-GB"/>
        </w:rPr>
        <w:t>incks, S., Webb, B. and Wong, C. (2014) Fragility and recovery: housing, localities and uneven spatial development in the UK. </w:t>
      </w:r>
      <w:r w:rsidRPr="00BD2B94">
        <w:rPr>
          <w:rFonts w:ascii="Avenir Next" w:eastAsia="Times New Roman" w:hAnsi="Avenir Next" w:cs="Calibri Light"/>
          <w:i/>
          <w:iCs/>
          <w:color w:val="222222"/>
          <w:sz w:val="24"/>
          <w:szCs w:val="24"/>
          <w:lang w:eastAsia="en-GB"/>
        </w:rPr>
        <w:t>Regional Studies</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color w:val="222222"/>
          <w:sz w:val="24"/>
          <w:szCs w:val="24"/>
          <w:lang w:eastAsia="en-GB"/>
        </w:rPr>
        <w:t>48</w:t>
      </w:r>
      <w:r w:rsidRPr="00BD2B94">
        <w:rPr>
          <w:rFonts w:ascii="Avenir Next" w:eastAsia="Times New Roman" w:hAnsi="Avenir Next" w:cs="Calibri Light"/>
          <w:color w:val="222222"/>
          <w:sz w:val="24"/>
          <w:szCs w:val="24"/>
          <w:shd w:val="clear" w:color="auto" w:fill="FFFFFF"/>
          <w:lang w:eastAsia="en-GB"/>
        </w:rPr>
        <w:t>(11), pp.1842-1862</w:t>
      </w:r>
    </w:p>
    <w:p w14:paraId="2DF55C34" w14:textId="241D23C1" w:rsidR="006D3ECA" w:rsidRPr="00BD2B94" w:rsidRDefault="006D3ECA" w:rsidP="00BD2B94">
      <w:pPr>
        <w:rPr>
          <w:rFonts w:ascii="Avenir Next" w:hAnsi="Avenir Next"/>
          <w:sz w:val="24"/>
          <w:szCs w:val="24"/>
        </w:rPr>
      </w:pPr>
      <w:r w:rsidRPr="00BD2B94">
        <w:rPr>
          <w:rFonts w:ascii="Avenir Next" w:hAnsi="Avenir Next"/>
          <w:sz w:val="24"/>
          <w:szCs w:val="24"/>
        </w:rPr>
        <w:t>Holman, N., Fernandez-</w:t>
      </w:r>
      <w:proofErr w:type="spellStart"/>
      <w:r w:rsidRPr="00BD2B94">
        <w:rPr>
          <w:rFonts w:ascii="Avenir Next" w:hAnsi="Avenir Next"/>
          <w:sz w:val="24"/>
          <w:szCs w:val="24"/>
        </w:rPr>
        <w:t>Arrigoitia</w:t>
      </w:r>
      <w:proofErr w:type="spellEnd"/>
      <w:r w:rsidRPr="00BD2B94">
        <w:rPr>
          <w:rFonts w:ascii="Avenir Next" w:hAnsi="Avenir Next"/>
          <w:sz w:val="24"/>
          <w:szCs w:val="24"/>
        </w:rPr>
        <w:t xml:space="preserve">, M., Scanlon, K. &amp; Whitehead, C. (2015) </w:t>
      </w:r>
      <w:r w:rsidRPr="00BD2B94">
        <w:rPr>
          <w:rFonts w:ascii="Avenir Next" w:hAnsi="Avenir Next"/>
          <w:i/>
          <w:iCs/>
          <w:sz w:val="24"/>
          <w:szCs w:val="24"/>
        </w:rPr>
        <w:t>Housing in London: Addressing the Supply Crisi</w:t>
      </w:r>
      <w:r w:rsidRPr="00BD2B94">
        <w:rPr>
          <w:rFonts w:ascii="Avenir Next" w:hAnsi="Avenir Next"/>
          <w:sz w:val="24"/>
          <w:szCs w:val="24"/>
        </w:rPr>
        <w:t xml:space="preserve">s, LSE </w:t>
      </w:r>
    </w:p>
    <w:p w14:paraId="38DEF1B6" w14:textId="11379B1B" w:rsidR="00DD18A7" w:rsidRPr="00BD2B94" w:rsidRDefault="00DD18A7" w:rsidP="00BD2B94">
      <w:pPr>
        <w:rPr>
          <w:rFonts w:ascii="Avenir Next" w:hAnsi="Avenir Next"/>
          <w:sz w:val="24"/>
          <w:szCs w:val="24"/>
        </w:rPr>
      </w:pPr>
      <w:r w:rsidRPr="00BD2B94">
        <w:rPr>
          <w:rFonts w:ascii="Avenir Next" w:hAnsi="Avenir Next"/>
          <w:sz w:val="24"/>
          <w:szCs w:val="24"/>
        </w:rPr>
        <w:t>Local Government Association (201</w:t>
      </w:r>
      <w:r w:rsidR="00F06B42" w:rsidRPr="00BD2B94">
        <w:rPr>
          <w:rFonts w:ascii="Avenir Next" w:hAnsi="Avenir Next"/>
          <w:sz w:val="24"/>
          <w:szCs w:val="24"/>
        </w:rPr>
        <w:t>4</w:t>
      </w:r>
      <w:r w:rsidRPr="00BD2B94">
        <w:rPr>
          <w:rFonts w:ascii="Avenir Next" w:hAnsi="Avenir Next"/>
          <w:sz w:val="24"/>
          <w:szCs w:val="24"/>
        </w:rPr>
        <w:t xml:space="preserve">) </w:t>
      </w:r>
      <w:r w:rsidRPr="00BD2B94">
        <w:rPr>
          <w:rFonts w:ascii="Avenir Next" w:hAnsi="Avenir Next"/>
          <w:i/>
          <w:iCs/>
          <w:sz w:val="24"/>
          <w:szCs w:val="24"/>
        </w:rPr>
        <w:t>One Public Estate: Transforming Property and Services</w:t>
      </w:r>
      <w:r w:rsidRPr="00BD2B94">
        <w:rPr>
          <w:rFonts w:ascii="Avenir Next" w:hAnsi="Avenir Next"/>
          <w:sz w:val="24"/>
          <w:szCs w:val="24"/>
        </w:rPr>
        <w:t xml:space="preserve">, </w:t>
      </w:r>
      <w:proofErr w:type="gramStart"/>
      <w:r w:rsidR="00F06B42" w:rsidRPr="00BD2B94">
        <w:rPr>
          <w:rFonts w:ascii="Avenir Next" w:hAnsi="Avenir Next"/>
          <w:sz w:val="24"/>
          <w:szCs w:val="24"/>
        </w:rPr>
        <w:t>https://www.local.gov.uk/transforming-property-and-services</w:t>
      </w:r>
      <w:r w:rsidR="00F06B42" w:rsidRPr="00BD2B94" w:rsidDel="00F06B42">
        <w:rPr>
          <w:rFonts w:ascii="Avenir Next" w:hAnsi="Avenir Next"/>
          <w:sz w:val="24"/>
          <w:szCs w:val="24"/>
        </w:rPr>
        <w:t xml:space="preserve"> </w:t>
      </w:r>
      <w:r w:rsidR="00F06B42" w:rsidRPr="00BD2B94">
        <w:rPr>
          <w:rFonts w:ascii="Avenir Next" w:hAnsi="Avenir Next"/>
          <w:sz w:val="24"/>
          <w:szCs w:val="24"/>
        </w:rPr>
        <w:t>,</w:t>
      </w:r>
      <w:r w:rsidRPr="00BD2B94">
        <w:rPr>
          <w:rFonts w:ascii="Avenir Next" w:hAnsi="Avenir Next"/>
          <w:sz w:val="24"/>
          <w:szCs w:val="24"/>
        </w:rPr>
        <w:t>accessed</w:t>
      </w:r>
      <w:proofErr w:type="gramEnd"/>
      <w:r w:rsidRPr="00BD2B94">
        <w:rPr>
          <w:rFonts w:ascii="Avenir Next" w:hAnsi="Avenir Next"/>
          <w:sz w:val="24"/>
          <w:szCs w:val="24"/>
        </w:rPr>
        <w:t xml:space="preserve"> </w:t>
      </w:r>
      <w:r w:rsidR="00F06B42" w:rsidRPr="00BD2B94">
        <w:rPr>
          <w:rFonts w:ascii="Avenir Next" w:hAnsi="Avenir Next"/>
          <w:sz w:val="24"/>
          <w:szCs w:val="24"/>
        </w:rPr>
        <w:t>26th July 2018</w:t>
      </w:r>
    </w:p>
    <w:p w14:paraId="5BEB9D25" w14:textId="77777777" w:rsidR="00472E4C" w:rsidRPr="00BD2B94" w:rsidRDefault="00AB0DF0" w:rsidP="00BD2B94">
      <w:pPr>
        <w:rPr>
          <w:rFonts w:ascii="Avenir Next" w:hAnsi="Avenir Next"/>
          <w:sz w:val="24"/>
          <w:szCs w:val="24"/>
        </w:rPr>
      </w:pPr>
      <w:r w:rsidRPr="00BD2B94">
        <w:rPr>
          <w:rFonts w:ascii="Avenir Next" w:hAnsi="Avenir Next"/>
          <w:sz w:val="24"/>
          <w:szCs w:val="24"/>
        </w:rPr>
        <w:t xml:space="preserve">Local Government Association (2014) </w:t>
      </w:r>
      <w:r w:rsidRPr="00BD2B94">
        <w:rPr>
          <w:rFonts w:ascii="Avenir Next" w:hAnsi="Avenir Next"/>
          <w:i/>
          <w:iCs/>
          <w:sz w:val="24"/>
          <w:szCs w:val="24"/>
        </w:rPr>
        <w:t>LGA Housing Self-Financing Survey 2014</w:t>
      </w:r>
      <w:r w:rsidRPr="00BD2B94">
        <w:rPr>
          <w:rFonts w:ascii="Avenir Next" w:hAnsi="Avenir Next"/>
          <w:sz w:val="24"/>
          <w:szCs w:val="24"/>
        </w:rPr>
        <w:t xml:space="preserve">, </w:t>
      </w:r>
      <w:hyperlink r:id="rId24" w:history="1">
        <w:r w:rsidRPr="00BD2B94">
          <w:rPr>
            <w:rStyle w:val="Hyperlink"/>
            <w:rFonts w:ascii="Avenir Next" w:hAnsi="Avenir Next" w:cs="Calibri Light"/>
            <w:sz w:val="24"/>
            <w:szCs w:val="24"/>
          </w:rPr>
          <w:t>http://www.local.gov.uk/documents/10180/49942/Housing+self-financing+survey+2014/8b077122-382b-4006-a0ba-f26a400ca1a8</w:t>
        </w:r>
      </w:hyperlink>
      <w:r w:rsidRPr="00BD2B94">
        <w:rPr>
          <w:rFonts w:ascii="Avenir Next" w:hAnsi="Avenir Next"/>
          <w:sz w:val="24"/>
          <w:szCs w:val="24"/>
        </w:rPr>
        <w:t>, accessed 14</w:t>
      </w:r>
      <w:r w:rsidRPr="00BD2B94">
        <w:rPr>
          <w:rFonts w:ascii="Avenir Next" w:hAnsi="Avenir Next"/>
          <w:sz w:val="24"/>
          <w:szCs w:val="24"/>
          <w:vertAlign w:val="superscript"/>
        </w:rPr>
        <w:t>th</w:t>
      </w:r>
      <w:r w:rsidRPr="00BD2B94">
        <w:rPr>
          <w:rFonts w:ascii="Avenir Next" w:hAnsi="Avenir Next"/>
          <w:sz w:val="24"/>
          <w:szCs w:val="24"/>
        </w:rPr>
        <w:t xml:space="preserve"> August 2015</w:t>
      </w:r>
    </w:p>
    <w:p w14:paraId="78F87FF6" w14:textId="77777777" w:rsidR="00583943" w:rsidRPr="00BD2B94" w:rsidRDefault="00472E4C" w:rsidP="00BD2B94">
      <w:pPr>
        <w:rPr>
          <w:rFonts w:ascii="Avenir Next" w:hAnsi="Avenir Next"/>
          <w:sz w:val="24"/>
          <w:szCs w:val="24"/>
        </w:rPr>
      </w:pPr>
      <w:r w:rsidRPr="00BD2B94">
        <w:rPr>
          <w:rFonts w:ascii="Avenir Next" w:hAnsi="Avenir Next"/>
          <w:sz w:val="24"/>
          <w:szCs w:val="24"/>
        </w:rPr>
        <w:t xml:space="preserve">Local Government Association (2015) </w:t>
      </w:r>
      <w:r w:rsidRPr="00BD2B94">
        <w:rPr>
          <w:rFonts w:ascii="Avenir Next" w:hAnsi="Avenir Next"/>
          <w:i/>
          <w:iCs/>
          <w:sz w:val="24"/>
          <w:szCs w:val="24"/>
        </w:rPr>
        <w:t>Submission of evidence for the Review into the Local Authority role in housing supply,</w:t>
      </w:r>
      <w:r w:rsidRPr="00BD2B94">
        <w:rPr>
          <w:rFonts w:ascii="Avenir Next" w:hAnsi="Avenir Next"/>
          <w:sz w:val="24"/>
          <w:szCs w:val="24"/>
        </w:rPr>
        <w:t xml:space="preserve"> www.lga.co.uk</w:t>
      </w:r>
    </w:p>
    <w:p w14:paraId="7051F34E" w14:textId="0FE3D505" w:rsidR="00B643A5" w:rsidRPr="00BD2B94" w:rsidRDefault="00B643A5" w:rsidP="00BD2B94">
      <w:pPr>
        <w:rPr>
          <w:rFonts w:ascii="Avenir Next" w:hAnsi="Avenir Next"/>
          <w:sz w:val="24"/>
          <w:szCs w:val="24"/>
        </w:rPr>
      </w:pPr>
      <w:proofErr w:type="spellStart"/>
      <w:r w:rsidRPr="00BD2B94">
        <w:rPr>
          <w:rFonts w:ascii="Avenir Next" w:hAnsi="Avenir Next"/>
          <w:sz w:val="24"/>
          <w:szCs w:val="24"/>
        </w:rPr>
        <w:t>Meen</w:t>
      </w:r>
      <w:proofErr w:type="spellEnd"/>
      <w:r w:rsidRPr="00BD2B94">
        <w:rPr>
          <w:rFonts w:ascii="Avenir Next" w:hAnsi="Avenir Next"/>
          <w:sz w:val="24"/>
          <w:szCs w:val="24"/>
        </w:rPr>
        <w:t xml:space="preserve">, G. (2005) On the Economics of the Barker Review of Housing Supply, </w:t>
      </w:r>
      <w:r w:rsidRPr="00BD2B94">
        <w:rPr>
          <w:rFonts w:ascii="Avenir Next" w:hAnsi="Avenir Next"/>
          <w:i/>
          <w:iCs/>
          <w:sz w:val="24"/>
          <w:szCs w:val="24"/>
        </w:rPr>
        <w:t>Housing Studies</w:t>
      </w:r>
      <w:r w:rsidRPr="00BD2B94">
        <w:rPr>
          <w:rFonts w:ascii="Avenir Next" w:hAnsi="Avenir Next"/>
          <w:sz w:val="24"/>
          <w:szCs w:val="24"/>
        </w:rPr>
        <w:t>, 20, 6, pp.949-971</w:t>
      </w:r>
    </w:p>
    <w:p w14:paraId="326FDA36" w14:textId="757857AB" w:rsidR="00787307" w:rsidRPr="00BD2B94" w:rsidRDefault="00787307" w:rsidP="00BD2B94">
      <w:pPr>
        <w:rPr>
          <w:rFonts w:ascii="Avenir Next" w:hAnsi="Avenir Next"/>
          <w:sz w:val="24"/>
          <w:szCs w:val="24"/>
        </w:rPr>
      </w:pPr>
      <w:proofErr w:type="spellStart"/>
      <w:r w:rsidRPr="00BD2B94">
        <w:rPr>
          <w:rFonts w:ascii="Avenir Next" w:hAnsi="Avenir Next"/>
          <w:sz w:val="24"/>
          <w:szCs w:val="24"/>
        </w:rPr>
        <w:lastRenderedPageBreak/>
        <w:t>Meen</w:t>
      </w:r>
      <w:proofErr w:type="spellEnd"/>
      <w:r w:rsidRPr="00BD2B94">
        <w:rPr>
          <w:rFonts w:ascii="Avenir Next" w:hAnsi="Avenir Next"/>
          <w:sz w:val="24"/>
          <w:szCs w:val="24"/>
        </w:rPr>
        <w:t xml:space="preserve">, G. (2018) </w:t>
      </w:r>
      <w:r w:rsidRPr="00BD2B94">
        <w:rPr>
          <w:rFonts w:ascii="Avenir Next" w:hAnsi="Avenir Next"/>
          <w:i/>
          <w:iCs/>
          <w:sz w:val="24"/>
          <w:szCs w:val="24"/>
        </w:rPr>
        <w:t>How should housing affordability be measured?</w:t>
      </w:r>
      <w:r w:rsidRPr="00BD2B94">
        <w:rPr>
          <w:rFonts w:ascii="Avenir Next" w:hAnsi="Avenir Next"/>
          <w:sz w:val="24"/>
          <w:szCs w:val="24"/>
        </w:rPr>
        <w:t xml:space="preserve"> UK Collaborative Centre for Housing Evidence</w:t>
      </w:r>
    </w:p>
    <w:p w14:paraId="12EFE9C1" w14:textId="77777777" w:rsidR="00E42564" w:rsidRPr="00BD2B94" w:rsidRDefault="00E42564" w:rsidP="00BD2B94">
      <w:pPr>
        <w:rPr>
          <w:rFonts w:ascii="Avenir Next" w:hAnsi="Avenir Next"/>
          <w:sz w:val="24"/>
          <w:szCs w:val="24"/>
        </w:rPr>
      </w:pPr>
      <w:r w:rsidRPr="00BD2B94">
        <w:rPr>
          <w:rFonts w:ascii="Avenir Next" w:hAnsi="Avenir Next"/>
          <w:sz w:val="24"/>
          <w:szCs w:val="24"/>
        </w:rPr>
        <w:t xml:space="preserve">Monk, S., Whitehead, C., Burgess, G. &amp; Tang, C. (2013) </w:t>
      </w:r>
      <w:r w:rsidRPr="00BD2B94">
        <w:rPr>
          <w:rFonts w:ascii="Avenir Next" w:hAnsi="Avenir Next"/>
          <w:i/>
          <w:iCs/>
          <w:sz w:val="24"/>
          <w:szCs w:val="24"/>
        </w:rPr>
        <w:t>International Review of Land Supply and Planning Syste</w:t>
      </w:r>
      <w:r w:rsidR="005E34AD" w:rsidRPr="00BD2B94">
        <w:rPr>
          <w:rFonts w:ascii="Avenir Next" w:hAnsi="Avenir Next"/>
          <w:i/>
          <w:iCs/>
          <w:sz w:val="24"/>
          <w:szCs w:val="24"/>
        </w:rPr>
        <w:t>ms</w:t>
      </w:r>
      <w:r w:rsidR="005E34AD" w:rsidRPr="00BD2B94">
        <w:rPr>
          <w:rFonts w:ascii="Avenir Next" w:hAnsi="Avenir Next"/>
          <w:sz w:val="24"/>
          <w:szCs w:val="24"/>
        </w:rPr>
        <w:t>, Joseph Rowntree Foundation</w:t>
      </w:r>
    </w:p>
    <w:p w14:paraId="0EE46D00" w14:textId="63BD9278" w:rsidR="00F06B42" w:rsidRPr="00BD2B94" w:rsidRDefault="00F06B42" w:rsidP="00BD2B94">
      <w:pPr>
        <w:rPr>
          <w:rFonts w:ascii="Avenir Next" w:hAnsi="Avenir Next"/>
          <w:color w:val="000000"/>
          <w:sz w:val="24"/>
          <w:szCs w:val="24"/>
          <w:lang w:val="en-US"/>
        </w:rPr>
      </w:pPr>
      <w:r w:rsidRPr="00BD2B94">
        <w:rPr>
          <w:rFonts w:ascii="Avenir Next" w:hAnsi="Avenir Next"/>
          <w:color w:val="000000"/>
          <w:sz w:val="24"/>
          <w:szCs w:val="24"/>
          <w:lang w:val="en-US"/>
        </w:rPr>
        <w:t xml:space="preserve">Morphet, J and Clifford, B. (2017) </w:t>
      </w:r>
      <w:r w:rsidRPr="00BD2B94">
        <w:rPr>
          <w:rFonts w:ascii="Avenir Next" w:hAnsi="Avenir Next"/>
          <w:i/>
          <w:iCs/>
          <w:color w:val="000000"/>
          <w:sz w:val="24"/>
          <w:szCs w:val="24"/>
          <w:lang w:val="en-US"/>
        </w:rPr>
        <w:t>Local authority direct provision of housing,</w:t>
      </w:r>
      <w:r w:rsidRPr="00BD2B94">
        <w:rPr>
          <w:rFonts w:ascii="Avenir Next" w:hAnsi="Avenir Next"/>
          <w:color w:val="000000"/>
          <w:sz w:val="24"/>
          <w:szCs w:val="24"/>
          <w:lang w:val="en-US"/>
        </w:rPr>
        <w:t xml:space="preserve"> Royal Town Planning Institute, </w:t>
      </w:r>
      <w:hyperlink r:id="rId25" w:history="1">
        <w:r w:rsidRPr="00BD2B94">
          <w:rPr>
            <w:rStyle w:val="Hyperlink"/>
            <w:rFonts w:ascii="Avenir Next" w:hAnsi="Avenir Next" w:cs="Calibri Light"/>
            <w:sz w:val="24"/>
            <w:szCs w:val="24"/>
          </w:rPr>
          <w:t>http://www.rtpi.org.uk/media/2619006/Local- authority-direct-provision-of-housing.pdf</w:t>
        </w:r>
      </w:hyperlink>
      <w:r w:rsidRPr="00BD2B94">
        <w:rPr>
          <w:rFonts w:ascii="Avenir Next" w:hAnsi="Avenir Next"/>
          <w:color w:val="0B4CB4"/>
          <w:sz w:val="24"/>
          <w:szCs w:val="24"/>
          <w:lang w:val="en-US"/>
        </w:rPr>
        <w:t>, accessed 26th July 2018</w:t>
      </w:r>
    </w:p>
    <w:p w14:paraId="1788DE92" w14:textId="69448B7F" w:rsidR="00F06B42" w:rsidRPr="00BD2B94" w:rsidRDefault="00F06B42" w:rsidP="00BD2B94">
      <w:pPr>
        <w:rPr>
          <w:rFonts w:ascii="Avenir Next" w:hAnsi="Avenir Next"/>
          <w:sz w:val="24"/>
          <w:szCs w:val="24"/>
        </w:rPr>
      </w:pPr>
      <w:r w:rsidRPr="00BD2B94">
        <w:rPr>
          <w:rFonts w:ascii="Avenir Next" w:hAnsi="Avenir Next"/>
          <w:sz w:val="24"/>
          <w:szCs w:val="24"/>
        </w:rPr>
        <w:t xml:space="preserve">National Audit Office (2016) </w:t>
      </w:r>
      <w:r w:rsidRPr="00BD2B94">
        <w:rPr>
          <w:rFonts w:ascii="Avenir Next" w:hAnsi="Avenir Next"/>
          <w:i/>
          <w:iCs/>
          <w:sz w:val="24"/>
          <w:szCs w:val="24"/>
        </w:rPr>
        <w:t>Disposal of public land for new homes: a progress report</w:t>
      </w:r>
      <w:r w:rsidRPr="00BD2B94">
        <w:rPr>
          <w:rFonts w:ascii="Avenir Next" w:hAnsi="Avenir Next"/>
          <w:sz w:val="24"/>
          <w:szCs w:val="24"/>
        </w:rPr>
        <w:t xml:space="preserve">, </w:t>
      </w:r>
      <w:hyperlink r:id="rId26" w:history="1">
        <w:r w:rsidRPr="00BD2B94">
          <w:rPr>
            <w:rStyle w:val="Hyperlink"/>
            <w:rFonts w:ascii="Avenir Next" w:hAnsi="Avenir Next" w:cs="Calibri Light"/>
            <w:sz w:val="24"/>
            <w:szCs w:val="24"/>
          </w:rPr>
          <w:t>https://www.nao.org.uk/report/disposal-of-public-land-for-new-homes-a-progress-report/</w:t>
        </w:r>
      </w:hyperlink>
      <w:r w:rsidRPr="00BD2B94">
        <w:rPr>
          <w:rFonts w:ascii="Avenir Next" w:hAnsi="Avenir Next"/>
          <w:sz w:val="24"/>
          <w:szCs w:val="24"/>
        </w:rPr>
        <w:t>, accessed 26</w:t>
      </w:r>
      <w:r w:rsidRPr="00BD2B94">
        <w:rPr>
          <w:rFonts w:ascii="Avenir Next" w:hAnsi="Avenir Next"/>
          <w:sz w:val="24"/>
          <w:szCs w:val="24"/>
          <w:vertAlign w:val="superscript"/>
        </w:rPr>
        <w:t>th</w:t>
      </w:r>
      <w:r w:rsidRPr="00BD2B94">
        <w:rPr>
          <w:rFonts w:ascii="Avenir Next" w:hAnsi="Avenir Next"/>
          <w:sz w:val="24"/>
          <w:szCs w:val="24"/>
        </w:rPr>
        <w:t xml:space="preserve"> July 2018</w:t>
      </w:r>
    </w:p>
    <w:p w14:paraId="7D9D343D" w14:textId="77777777" w:rsidR="00BD2B94" w:rsidRDefault="00B4041D" w:rsidP="00BD2B94">
      <w:pPr>
        <w:rPr>
          <w:rFonts w:ascii="Avenir Next" w:hAnsi="Avenir Next"/>
          <w:sz w:val="24"/>
          <w:szCs w:val="24"/>
        </w:rPr>
      </w:pPr>
      <w:r w:rsidRPr="00BD2B94">
        <w:rPr>
          <w:rFonts w:ascii="Avenir Next" w:hAnsi="Avenir Next"/>
          <w:sz w:val="24"/>
          <w:szCs w:val="24"/>
        </w:rPr>
        <w:t xml:space="preserve">Needham, B. &amp; </w:t>
      </w:r>
      <w:proofErr w:type="spellStart"/>
      <w:r w:rsidRPr="00BD2B94">
        <w:rPr>
          <w:rFonts w:ascii="Avenir Next" w:hAnsi="Avenir Next"/>
          <w:sz w:val="24"/>
          <w:szCs w:val="24"/>
        </w:rPr>
        <w:t>Verhage</w:t>
      </w:r>
      <w:proofErr w:type="spellEnd"/>
      <w:r w:rsidRPr="00BD2B94">
        <w:rPr>
          <w:rFonts w:ascii="Avenir Next" w:hAnsi="Avenir Next"/>
          <w:sz w:val="24"/>
          <w:szCs w:val="24"/>
        </w:rPr>
        <w:t xml:space="preserve">, R. (1998) The effects of land policy: quantity as well as quality is important, </w:t>
      </w:r>
      <w:r w:rsidRPr="00BD2B94">
        <w:rPr>
          <w:rFonts w:ascii="Avenir Next" w:hAnsi="Avenir Next"/>
          <w:i/>
          <w:iCs/>
          <w:sz w:val="24"/>
          <w:szCs w:val="24"/>
        </w:rPr>
        <w:t>Urban Studies</w:t>
      </w:r>
      <w:r w:rsidRPr="00BD2B94">
        <w:rPr>
          <w:rFonts w:ascii="Avenir Next" w:hAnsi="Avenir Next"/>
          <w:sz w:val="24"/>
          <w:szCs w:val="24"/>
        </w:rPr>
        <w:t>, 35, 1, pp.25-44</w:t>
      </w:r>
    </w:p>
    <w:p w14:paraId="730F2962" w14:textId="77777777" w:rsidR="00D12698" w:rsidRDefault="00BD2B94" w:rsidP="00D12698">
      <w:pPr>
        <w:rPr>
          <w:rFonts w:ascii="Avenir Next" w:eastAsia="Times New Roman" w:hAnsi="Avenir Next" w:cs="Arial"/>
          <w:sz w:val="24"/>
          <w:szCs w:val="24"/>
          <w:shd w:val="clear" w:color="auto" w:fill="FFFFFF"/>
          <w:lang w:eastAsia="en-GB"/>
        </w:rPr>
      </w:pPr>
      <w:r w:rsidRPr="00BD2B94">
        <w:rPr>
          <w:rFonts w:ascii="Avenir Next" w:eastAsia="Times New Roman" w:hAnsi="Avenir Next" w:cs="Arial"/>
          <w:sz w:val="24"/>
          <w:szCs w:val="24"/>
          <w:shd w:val="clear" w:color="auto" w:fill="FFFFFF"/>
          <w:lang w:eastAsia="en-GB"/>
        </w:rPr>
        <w:t xml:space="preserve">O’Brien, P., Lord, A. </w:t>
      </w:r>
      <w:r>
        <w:rPr>
          <w:rFonts w:ascii="Avenir Next" w:eastAsia="Times New Roman" w:hAnsi="Avenir Next" w:cs="Arial"/>
          <w:sz w:val="24"/>
          <w:szCs w:val="24"/>
          <w:shd w:val="clear" w:color="auto" w:fill="FFFFFF"/>
          <w:lang w:eastAsia="en-GB"/>
        </w:rPr>
        <w:t>&amp;</w:t>
      </w:r>
      <w:r w:rsidRPr="00BD2B94">
        <w:rPr>
          <w:rFonts w:ascii="Avenir Next" w:eastAsia="Times New Roman" w:hAnsi="Avenir Next" w:cs="Arial"/>
          <w:sz w:val="24"/>
          <w:szCs w:val="24"/>
          <w:shd w:val="clear" w:color="auto" w:fill="FFFFFF"/>
          <w:lang w:eastAsia="en-GB"/>
        </w:rPr>
        <w:t xml:space="preserve"> </w:t>
      </w:r>
      <w:proofErr w:type="spellStart"/>
      <w:r w:rsidRPr="00BD2B94">
        <w:rPr>
          <w:rFonts w:ascii="Avenir Next" w:eastAsia="Times New Roman" w:hAnsi="Avenir Next" w:cs="Arial"/>
          <w:sz w:val="24"/>
          <w:szCs w:val="24"/>
          <w:shd w:val="clear" w:color="auto" w:fill="FFFFFF"/>
          <w:lang w:eastAsia="en-GB"/>
        </w:rPr>
        <w:t>Dembski</w:t>
      </w:r>
      <w:proofErr w:type="spellEnd"/>
      <w:r w:rsidRPr="00BD2B94">
        <w:rPr>
          <w:rFonts w:ascii="Avenir Next" w:eastAsia="Times New Roman" w:hAnsi="Avenir Next" w:cs="Arial"/>
          <w:sz w:val="24"/>
          <w:szCs w:val="24"/>
          <w:shd w:val="clear" w:color="auto" w:fill="FFFFFF"/>
          <w:lang w:eastAsia="en-GB"/>
        </w:rPr>
        <w:t>, S., 2020. How do planners manage risk in alternative land development models? An institutional analysis of land development in the Netherlands. </w:t>
      </w:r>
      <w:r w:rsidRPr="00BD2B94">
        <w:rPr>
          <w:rFonts w:ascii="Avenir Next" w:eastAsia="Times New Roman" w:hAnsi="Avenir Next" w:cs="Arial"/>
          <w:i/>
          <w:iCs/>
          <w:sz w:val="24"/>
          <w:szCs w:val="24"/>
          <w:lang w:eastAsia="en-GB"/>
        </w:rPr>
        <w:t>Land Use Policy</w:t>
      </w:r>
      <w:r w:rsidRPr="00BD2B94">
        <w:rPr>
          <w:rFonts w:ascii="Avenir Next" w:eastAsia="Times New Roman" w:hAnsi="Avenir Next" w:cs="Arial"/>
          <w:sz w:val="24"/>
          <w:szCs w:val="24"/>
          <w:shd w:val="clear" w:color="auto" w:fill="FFFFFF"/>
          <w:lang w:eastAsia="en-GB"/>
        </w:rPr>
        <w:t>, </w:t>
      </w:r>
      <w:r w:rsidRPr="00BD2B94">
        <w:rPr>
          <w:rFonts w:ascii="Avenir Next" w:eastAsia="Times New Roman" w:hAnsi="Avenir Next" w:cs="Arial"/>
          <w:i/>
          <w:iCs/>
          <w:sz w:val="24"/>
          <w:szCs w:val="24"/>
          <w:lang w:eastAsia="en-GB"/>
        </w:rPr>
        <w:t>91</w:t>
      </w:r>
      <w:r w:rsidRPr="00BD2B94">
        <w:rPr>
          <w:rFonts w:ascii="Avenir Next" w:eastAsia="Times New Roman" w:hAnsi="Avenir Next" w:cs="Arial"/>
          <w:sz w:val="24"/>
          <w:szCs w:val="24"/>
          <w:shd w:val="clear" w:color="auto" w:fill="FFFFFF"/>
          <w:lang w:eastAsia="en-GB"/>
        </w:rPr>
        <w:t>, p.104409.</w:t>
      </w:r>
    </w:p>
    <w:p w14:paraId="64B30BBA" w14:textId="466385C1" w:rsidR="00D12698" w:rsidRPr="00D12698" w:rsidRDefault="00D12698" w:rsidP="00D12698">
      <w:pPr>
        <w:rPr>
          <w:rFonts w:ascii="Avenir Next" w:hAnsi="Avenir Next"/>
          <w:sz w:val="24"/>
          <w:szCs w:val="24"/>
        </w:rPr>
      </w:pPr>
      <w:r w:rsidRPr="00D12698">
        <w:rPr>
          <w:rFonts w:ascii="Avenir Next" w:eastAsia="Times New Roman" w:hAnsi="Avenir Next" w:cs="Arial"/>
          <w:sz w:val="24"/>
          <w:szCs w:val="24"/>
          <w:lang w:eastAsia="en-GB"/>
        </w:rPr>
        <w:t>Payne, S. (2013) Pioneers, pragmatists &amp; sceptics: Speculative housebuilders and brownfield development in the early 21st century, </w:t>
      </w:r>
      <w:r w:rsidRPr="00D12698">
        <w:rPr>
          <w:rFonts w:ascii="Avenir Next" w:eastAsia="Times New Roman" w:hAnsi="Avenir Next" w:cs="Arial"/>
          <w:i/>
          <w:iCs/>
          <w:sz w:val="24"/>
          <w:szCs w:val="24"/>
          <w:lang w:eastAsia="en-GB"/>
        </w:rPr>
        <w:t>Town Planning Review</w:t>
      </w:r>
      <w:r w:rsidRPr="00D12698">
        <w:rPr>
          <w:rFonts w:ascii="Avenir Next" w:eastAsia="Times New Roman" w:hAnsi="Avenir Next" w:cs="Arial"/>
          <w:sz w:val="24"/>
          <w:szCs w:val="24"/>
          <w:lang w:eastAsia="en-GB"/>
        </w:rPr>
        <w:t>, 84, pp. 37–62.</w:t>
      </w:r>
    </w:p>
    <w:p w14:paraId="3C65CEC9" w14:textId="77777777" w:rsidR="00215385" w:rsidRDefault="00EB3ACF" w:rsidP="00215385">
      <w:pPr>
        <w:rPr>
          <w:rFonts w:ascii="Avenir Next" w:hAnsi="Avenir Next"/>
          <w:sz w:val="24"/>
          <w:szCs w:val="24"/>
        </w:rPr>
      </w:pPr>
      <w:proofErr w:type="spellStart"/>
      <w:r w:rsidRPr="00BD2B94">
        <w:rPr>
          <w:rFonts w:ascii="Avenir Next" w:hAnsi="Avenir Next"/>
          <w:sz w:val="24"/>
          <w:szCs w:val="24"/>
        </w:rPr>
        <w:t>Priemus</w:t>
      </w:r>
      <w:proofErr w:type="spellEnd"/>
      <w:r w:rsidRPr="00BD2B94">
        <w:rPr>
          <w:rFonts w:ascii="Avenir Next" w:hAnsi="Avenir Next"/>
          <w:sz w:val="24"/>
          <w:szCs w:val="24"/>
        </w:rPr>
        <w:t xml:space="preserve">, H. &amp; </w:t>
      </w:r>
      <w:proofErr w:type="spellStart"/>
      <w:r w:rsidRPr="00BD2B94">
        <w:rPr>
          <w:rFonts w:ascii="Avenir Next" w:hAnsi="Avenir Next"/>
          <w:sz w:val="24"/>
          <w:szCs w:val="24"/>
        </w:rPr>
        <w:t>Louw</w:t>
      </w:r>
      <w:proofErr w:type="spellEnd"/>
      <w:r w:rsidRPr="00BD2B94">
        <w:rPr>
          <w:rFonts w:ascii="Avenir Next" w:hAnsi="Avenir Next"/>
          <w:sz w:val="24"/>
          <w:szCs w:val="24"/>
        </w:rPr>
        <w:t xml:space="preserve">, E. (2003) Changes in Dutch land policy: from monopoly towards competition in the building market, </w:t>
      </w:r>
      <w:r w:rsidRPr="00BD2B94">
        <w:rPr>
          <w:rFonts w:ascii="Avenir Next" w:hAnsi="Avenir Next"/>
          <w:i/>
          <w:iCs/>
          <w:sz w:val="24"/>
          <w:szCs w:val="24"/>
        </w:rPr>
        <w:t>Environment and Planning B: Planning and Design</w:t>
      </w:r>
      <w:r w:rsidRPr="00BD2B94">
        <w:rPr>
          <w:rFonts w:ascii="Avenir Next" w:hAnsi="Avenir Next"/>
          <w:sz w:val="24"/>
          <w:szCs w:val="24"/>
        </w:rPr>
        <w:t>, 30, 3, pp.369-378</w:t>
      </w:r>
    </w:p>
    <w:p w14:paraId="2099C36A" w14:textId="35663592" w:rsidR="00215385" w:rsidRPr="00215385" w:rsidRDefault="00215385" w:rsidP="00BD2B94">
      <w:pPr>
        <w:rPr>
          <w:rFonts w:ascii="Avenir Next" w:hAnsi="Avenir Next"/>
          <w:sz w:val="24"/>
          <w:szCs w:val="24"/>
        </w:rPr>
      </w:pPr>
      <w:r w:rsidRPr="00215385">
        <w:rPr>
          <w:rFonts w:ascii="Avenir Next" w:eastAsia="Times New Roman" w:hAnsi="Avenir Next" w:cs="Arial"/>
          <w:color w:val="222222"/>
          <w:sz w:val="24"/>
          <w:szCs w:val="24"/>
          <w:shd w:val="clear" w:color="auto" w:fill="FFFFFF"/>
          <w:lang w:eastAsia="en-GB"/>
        </w:rPr>
        <w:t>Samuel, F.</w:t>
      </w:r>
      <w:r>
        <w:rPr>
          <w:rFonts w:ascii="Avenir Next" w:eastAsia="Times New Roman" w:hAnsi="Avenir Next" w:cs="Arial"/>
          <w:color w:val="222222"/>
          <w:sz w:val="24"/>
          <w:szCs w:val="24"/>
          <w:shd w:val="clear" w:color="auto" w:fill="FFFFFF"/>
          <w:lang w:eastAsia="en-GB"/>
        </w:rPr>
        <w:t xml:space="preserve"> (</w:t>
      </w:r>
      <w:r w:rsidRPr="00215385">
        <w:rPr>
          <w:rFonts w:ascii="Avenir Next" w:eastAsia="Times New Roman" w:hAnsi="Avenir Next" w:cs="Arial"/>
          <w:color w:val="222222"/>
          <w:sz w:val="24"/>
          <w:szCs w:val="24"/>
          <w:shd w:val="clear" w:color="auto" w:fill="FFFFFF"/>
          <w:lang w:eastAsia="en-GB"/>
        </w:rPr>
        <w:t>2018</w:t>
      </w:r>
      <w:r>
        <w:rPr>
          <w:rFonts w:ascii="Avenir Next" w:eastAsia="Times New Roman" w:hAnsi="Avenir Next" w:cs="Arial"/>
          <w:color w:val="222222"/>
          <w:sz w:val="24"/>
          <w:szCs w:val="24"/>
          <w:shd w:val="clear" w:color="auto" w:fill="FFFFFF"/>
          <w:lang w:eastAsia="en-GB"/>
        </w:rPr>
        <w:t>)</w:t>
      </w:r>
      <w:r w:rsidRPr="00215385">
        <w:rPr>
          <w:rFonts w:ascii="Avenir Next" w:eastAsia="Times New Roman" w:hAnsi="Avenir Next" w:cs="Arial"/>
          <w:color w:val="222222"/>
          <w:sz w:val="24"/>
          <w:szCs w:val="24"/>
          <w:shd w:val="clear" w:color="auto" w:fill="FFFFFF"/>
          <w:lang w:eastAsia="en-GB"/>
        </w:rPr>
        <w:t xml:space="preserve"> Promoting design value in public rented housing: An English perspective. </w:t>
      </w:r>
      <w:r w:rsidRPr="00215385">
        <w:rPr>
          <w:rFonts w:ascii="Avenir Next" w:eastAsia="Times New Roman" w:hAnsi="Avenir Next" w:cs="Arial"/>
          <w:i/>
          <w:iCs/>
          <w:color w:val="222222"/>
          <w:sz w:val="24"/>
          <w:szCs w:val="24"/>
          <w:lang w:eastAsia="en-GB"/>
        </w:rPr>
        <w:t>UK Collaborative Housing Evidence Centre, CACHE</w:t>
      </w:r>
      <w:r>
        <w:rPr>
          <w:rFonts w:ascii="Avenir Next" w:eastAsia="Times New Roman" w:hAnsi="Avenir Next" w:cs="Arial"/>
          <w:i/>
          <w:iCs/>
          <w:color w:val="222222"/>
          <w:sz w:val="24"/>
          <w:szCs w:val="24"/>
          <w:lang w:eastAsia="en-GB"/>
        </w:rPr>
        <w:t xml:space="preserve">, </w:t>
      </w:r>
      <w:r w:rsidRPr="00215385">
        <w:rPr>
          <w:rFonts w:ascii="Avenir Next" w:eastAsia="Times New Roman" w:hAnsi="Avenir Next" w:cs="Arial"/>
          <w:color w:val="222222"/>
          <w:sz w:val="24"/>
          <w:szCs w:val="24"/>
          <w:lang w:eastAsia="en-GB"/>
        </w:rPr>
        <w:t>accessed at: http://housingevidence.ac.uk/wp-content/uploads/2018/10/P2018_SHPWG_Design_Value_Briefing_Paper.pdf, accessed 26</w:t>
      </w:r>
      <w:r w:rsidRPr="00215385">
        <w:rPr>
          <w:rFonts w:ascii="Avenir Next" w:eastAsia="Times New Roman" w:hAnsi="Avenir Next" w:cs="Arial"/>
          <w:color w:val="222222"/>
          <w:sz w:val="24"/>
          <w:szCs w:val="24"/>
          <w:vertAlign w:val="superscript"/>
          <w:lang w:eastAsia="en-GB"/>
        </w:rPr>
        <w:t>th</w:t>
      </w:r>
      <w:r w:rsidRPr="00215385">
        <w:rPr>
          <w:rFonts w:ascii="Avenir Next" w:eastAsia="Times New Roman" w:hAnsi="Avenir Next" w:cs="Arial"/>
          <w:color w:val="222222"/>
          <w:sz w:val="24"/>
          <w:szCs w:val="24"/>
          <w:lang w:eastAsia="en-GB"/>
        </w:rPr>
        <w:t xml:space="preserve"> July 2020</w:t>
      </w:r>
    </w:p>
    <w:p w14:paraId="18E752AE" w14:textId="0D94CD6F" w:rsidR="00C76C49" w:rsidRPr="001E0979" w:rsidRDefault="00583943" w:rsidP="00BD2B94">
      <w:pPr>
        <w:rPr>
          <w:rFonts w:ascii="Avenir Next" w:hAnsi="Avenir Next"/>
          <w:sz w:val="24"/>
          <w:szCs w:val="24"/>
        </w:rPr>
      </w:pPr>
      <w:r w:rsidRPr="001E0979">
        <w:rPr>
          <w:rFonts w:ascii="Avenir Next" w:hAnsi="Avenir Next"/>
          <w:sz w:val="24"/>
          <w:szCs w:val="24"/>
        </w:rPr>
        <w:t xml:space="preserve">Savills (2014) </w:t>
      </w:r>
      <w:r w:rsidRPr="001E0979">
        <w:rPr>
          <w:rFonts w:ascii="Avenir Next" w:hAnsi="Avenir Next"/>
          <w:i/>
          <w:iCs/>
          <w:sz w:val="24"/>
          <w:szCs w:val="24"/>
        </w:rPr>
        <w:t xml:space="preserve">Spotlight Public Land: </w:t>
      </w:r>
      <w:r w:rsidRPr="001E0979">
        <w:rPr>
          <w:rFonts w:ascii="Avenir Next" w:hAnsi="Avenir Next"/>
          <w:i/>
          <w:iCs/>
          <w:sz w:val="24"/>
          <w:szCs w:val="24"/>
          <w:lang w:eastAsia="en-US"/>
        </w:rPr>
        <w:t>unearthing potential</w:t>
      </w:r>
      <w:r w:rsidRPr="001E0979">
        <w:rPr>
          <w:rFonts w:ascii="Avenir Next" w:hAnsi="Avenir Next"/>
          <w:sz w:val="24"/>
          <w:szCs w:val="24"/>
        </w:rPr>
        <w:t>, Savills World Research: UK Development, Autumn 2014</w:t>
      </w:r>
    </w:p>
    <w:p w14:paraId="63133E01" w14:textId="77777777" w:rsidR="00F8354F" w:rsidRDefault="0023063B" w:rsidP="00F8354F">
      <w:pPr>
        <w:jc w:val="left"/>
        <w:rPr>
          <w:rFonts w:ascii="Arial" w:hAnsi="Arial" w:cs="Arial"/>
          <w:color w:val="222222"/>
          <w:sz w:val="20"/>
          <w:szCs w:val="20"/>
          <w:shd w:val="clear" w:color="auto" w:fill="FFFFFF"/>
        </w:rPr>
      </w:pPr>
      <w:r w:rsidRPr="00BD2B94">
        <w:rPr>
          <w:rFonts w:ascii="Avenir Next" w:hAnsi="Avenir Next"/>
          <w:color w:val="222222"/>
          <w:sz w:val="24"/>
          <w:szCs w:val="24"/>
        </w:rPr>
        <w:t>Smith, S. J., Munro, M., &amp; Christie, H. (2006). Performing (housing) markets. Urban Studies, 43(1), 81-98.</w:t>
      </w:r>
      <w:r w:rsidR="00F8354F" w:rsidRPr="00F8354F">
        <w:rPr>
          <w:rFonts w:ascii="Arial" w:hAnsi="Arial" w:cs="Arial"/>
          <w:color w:val="222222"/>
          <w:sz w:val="20"/>
          <w:szCs w:val="20"/>
          <w:shd w:val="clear" w:color="auto" w:fill="FFFFFF"/>
        </w:rPr>
        <w:t xml:space="preserve"> </w:t>
      </w:r>
    </w:p>
    <w:p w14:paraId="7D5B8E36" w14:textId="743E96D5" w:rsidR="0023063B" w:rsidRPr="00F8354F" w:rsidRDefault="00F8354F" w:rsidP="00F8354F">
      <w:pPr>
        <w:jc w:val="left"/>
        <w:rPr>
          <w:rFonts w:ascii="Avenir Next" w:eastAsia="Times New Roman" w:hAnsi="Avenir Next" w:cs="Times New Roman"/>
          <w:sz w:val="24"/>
          <w:szCs w:val="24"/>
          <w:lang w:eastAsia="en-GB"/>
        </w:rPr>
      </w:pPr>
      <w:r w:rsidRPr="00F8354F">
        <w:rPr>
          <w:rFonts w:ascii="Avenir Next" w:eastAsia="Times New Roman" w:hAnsi="Avenir Next" w:cs="Arial"/>
          <w:color w:val="222222"/>
          <w:sz w:val="24"/>
          <w:szCs w:val="24"/>
          <w:shd w:val="clear" w:color="auto" w:fill="FFFFFF"/>
          <w:lang w:eastAsia="en-GB"/>
        </w:rPr>
        <w:lastRenderedPageBreak/>
        <w:t>Stevens, B., 2016. Strategic intervention for the economically active? Exploring the role of selected English local authorities in the development of new market rental housing with pension fund investment. </w:t>
      </w:r>
      <w:r w:rsidRPr="00F8354F">
        <w:rPr>
          <w:rFonts w:ascii="Avenir Next" w:eastAsia="Times New Roman" w:hAnsi="Avenir Next" w:cs="Arial"/>
          <w:i/>
          <w:iCs/>
          <w:color w:val="222222"/>
          <w:sz w:val="24"/>
          <w:szCs w:val="24"/>
          <w:lang w:eastAsia="en-GB"/>
        </w:rPr>
        <w:t>Journal of Housing and the Built Environment</w:t>
      </w:r>
      <w:r w:rsidRPr="00F8354F">
        <w:rPr>
          <w:rFonts w:ascii="Avenir Next" w:eastAsia="Times New Roman" w:hAnsi="Avenir Next" w:cs="Arial"/>
          <w:color w:val="222222"/>
          <w:sz w:val="24"/>
          <w:szCs w:val="24"/>
          <w:shd w:val="clear" w:color="auto" w:fill="FFFFFF"/>
          <w:lang w:eastAsia="en-GB"/>
        </w:rPr>
        <w:t>, </w:t>
      </w:r>
      <w:r w:rsidRPr="00F8354F">
        <w:rPr>
          <w:rFonts w:ascii="Avenir Next" w:eastAsia="Times New Roman" w:hAnsi="Avenir Next" w:cs="Arial"/>
          <w:i/>
          <w:iCs/>
          <w:color w:val="222222"/>
          <w:sz w:val="24"/>
          <w:szCs w:val="24"/>
          <w:lang w:eastAsia="en-GB"/>
        </w:rPr>
        <w:t>31</w:t>
      </w:r>
      <w:r w:rsidRPr="00F8354F">
        <w:rPr>
          <w:rFonts w:ascii="Avenir Next" w:eastAsia="Times New Roman" w:hAnsi="Avenir Next" w:cs="Arial"/>
          <w:color w:val="222222"/>
          <w:sz w:val="24"/>
          <w:szCs w:val="24"/>
          <w:shd w:val="clear" w:color="auto" w:fill="FFFFFF"/>
          <w:lang w:eastAsia="en-GB"/>
        </w:rPr>
        <w:t>(1), pp.107-122.</w:t>
      </w:r>
    </w:p>
    <w:p w14:paraId="452C825C" w14:textId="24CBAA1C" w:rsidR="006127F5" w:rsidRPr="00BD2B94" w:rsidRDefault="006127F5" w:rsidP="00BD2B94">
      <w:pPr>
        <w:rPr>
          <w:rFonts w:ascii="Avenir Next" w:hAnsi="Avenir Next"/>
          <w:sz w:val="24"/>
          <w:szCs w:val="24"/>
        </w:rPr>
      </w:pPr>
      <w:proofErr w:type="spellStart"/>
      <w:r w:rsidRPr="00BD2B94">
        <w:rPr>
          <w:rFonts w:ascii="Avenir Next" w:hAnsi="Avenir Next"/>
          <w:sz w:val="24"/>
          <w:szCs w:val="24"/>
        </w:rPr>
        <w:t>Sturzaker</w:t>
      </w:r>
      <w:proofErr w:type="spellEnd"/>
      <w:r w:rsidRPr="00BD2B94">
        <w:rPr>
          <w:rFonts w:ascii="Avenir Next" w:hAnsi="Avenir Next"/>
          <w:sz w:val="24"/>
          <w:szCs w:val="24"/>
        </w:rPr>
        <w:t xml:space="preserve">, J. &amp; Nurse, A. (2020) </w:t>
      </w:r>
      <w:r w:rsidRPr="00BD2B94">
        <w:rPr>
          <w:rFonts w:ascii="Avenir Next" w:hAnsi="Avenir Next"/>
          <w:i/>
          <w:iCs/>
          <w:sz w:val="24"/>
          <w:szCs w:val="24"/>
        </w:rPr>
        <w:t>Rescaling Urban Governance: Planning, Localism and Institutional Change</w:t>
      </w:r>
      <w:r w:rsidRPr="00BD2B94">
        <w:rPr>
          <w:rFonts w:ascii="Avenir Next" w:hAnsi="Avenir Next"/>
          <w:sz w:val="24"/>
          <w:szCs w:val="24"/>
        </w:rPr>
        <w:t xml:space="preserve">, Policy Press, Great Britain </w:t>
      </w:r>
    </w:p>
    <w:p w14:paraId="3C6BA5E1" w14:textId="48B7906D" w:rsidR="00583943" w:rsidRPr="00BD2B94" w:rsidRDefault="00C76C49" w:rsidP="00BD2B94">
      <w:pPr>
        <w:rPr>
          <w:rFonts w:ascii="Avenir Next" w:hAnsi="Avenir Next"/>
          <w:sz w:val="24"/>
          <w:szCs w:val="24"/>
          <w:lang w:eastAsia="en-US"/>
        </w:rPr>
      </w:pPr>
      <w:r w:rsidRPr="00BD2B94">
        <w:rPr>
          <w:rFonts w:ascii="Avenir Next" w:hAnsi="Avenir Next"/>
          <w:sz w:val="24"/>
          <w:szCs w:val="24"/>
        </w:rPr>
        <w:t>Thomson, A. &amp; Wilkes, P. (2014</w:t>
      </w:r>
      <w:r w:rsidRPr="00BD2B94">
        <w:rPr>
          <w:rFonts w:ascii="Avenir Next" w:hAnsi="Avenir Next"/>
          <w:i/>
          <w:iCs/>
          <w:sz w:val="24"/>
          <w:szCs w:val="24"/>
        </w:rPr>
        <w:t xml:space="preserve">) Public Land, </w:t>
      </w:r>
      <w:r w:rsidR="004758A3" w:rsidRPr="00BD2B94">
        <w:rPr>
          <w:rFonts w:ascii="Avenir Next" w:hAnsi="Avenir Next"/>
          <w:i/>
          <w:iCs/>
          <w:sz w:val="24"/>
          <w:szCs w:val="24"/>
        </w:rPr>
        <w:t>Public Good: Getting maximum value from public land and property</w:t>
      </w:r>
      <w:r w:rsidR="004758A3" w:rsidRPr="00BD2B94">
        <w:rPr>
          <w:rFonts w:ascii="Avenir Next" w:hAnsi="Avenir Next"/>
          <w:sz w:val="24"/>
          <w:szCs w:val="24"/>
        </w:rPr>
        <w:t xml:space="preserve">, </w:t>
      </w:r>
      <w:proofErr w:type="spellStart"/>
      <w:r w:rsidR="004758A3" w:rsidRPr="00BD2B94">
        <w:rPr>
          <w:rFonts w:ascii="Avenir Next" w:hAnsi="Avenir Next"/>
          <w:sz w:val="24"/>
          <w:szCs w:val="24"/>
        </w:rPr>
        <w:t>Localis</w:t>
      </w:r>
      <w:proofErr w:type="spellEnd"/>
      <w:r w:rsidR="004758A3" w:rsidRPr="00BD2B94">
        <w:rPr>
          <w:rFonts w:ascii="Avenir Next" w:hAnsi="Avenir Next"/>
          <w:sz w:val="24"/>
          <w:szCs w:val="24"/>
        </w:rPr>
        <w:t xml:space="preserve"> and Cathedral </w:t>
      </w:r>
    </w:p>
    <w:p w14:paraId="312754D5" w14:textId="41DFA6F2" w:rsidR="00E3405A" w:rsidRPr="00BD2B94" w:rsidRDefault="00E3405A" w:rsidP="00BD2B94">
      <w:pPr>
        <w:jc w:val="left"/>
        <w:rPr>
          <w:rFonts w:ascii="Avenir Next" w:hAnsi="Avenir Next" w:cs="Calibri Light"/>
          <w:sz w:val="24"/>
          <w:szCs w:val="24"/>
        </w:rPr>
      </w:pPr>
      <w:r w:rsidRPr="00BD2B94">
        <w:rPr>
          <w:rFonts w:ascii="Avenir Next" w:hAnsi="Avenir Next" w:cs="Calibri Light"/>
          <w:sz w:val="24"/>
          <w:szCs w:val="24"/>
        </w:rPr>
        <w:t xml:space="preserve">Thrall, I.G. (1987) </w:t>
      </w:r>
      <w:r w:rsidRPr="00BD2B94">
        <w:rPr>
          <w:rFonts w:ascii="Avenir Next" w:hAnsi="Avenir Next" w:cs="Calibri Light"/>
          <w:i/>
          <w:iCs/>
          <w:sz w:val="24"/>
          <w:szCs w:val="24"/>
        </w:rPr>
        <w:t>Land use and urban form</w:t>
      </w:r>
      <w:r w:rsidRPr="00BD2B94">
        <w:rPr>
          <w:rFonts w:ascii="Avenir Next" w:hAnsi="Avenir Next" w:cs="Calibri Light"/>
          <w:sz w:val="24"/>
          <w:szCs w:val="24"/>
        </w:rPr>
        <w:t>, London, Methuen</w:t>
      </w:r>
    </w:p>
    <w:p w14:paraId="41B4F7F1" w14:textId="3A60DDBC" w:rsidR="00787307" w:rsidRPr="00BD2B94" w:rsidRDefault="00787307" w:rsidP="00BD2B94">
      <w:pPr>
        <w:jc w:val="left"/>
        <w:rPr>
          <w:rFonts w:ascii="Avenir Next" w:eastAsia="Times New Roman" w:hAnsi="Avenir Next" w:cs="Calibri Light"/>
          <w:sz w:val="24"/>
          <w:szCs w:val="24"/>
          <w:lang w:eastAsia="en-GB"/>
        </w:rPr>
      </w:pPr>
      <w:r w:rsidRPr="00BD2B94">
        <w:rPr>
          <w:rFonts w:ascii="Avenir Next" w:hAnsi="Avenir Next" w:cs="Calibri Light"/>
          <w:sz w:val="24"/>
          <w:szCs w:val="24"/>
        </w:rPr>
        <w:t>V</w:t>
      </w:r>
      <w:r w:rsidRPr="00BD2B94">
        <w:rPr>
          <w:rFonts w:ascii="Avenir Next" w:eastAsia="Times New Roman" w:hAnsi="Avenir Next" w:cs="Calibri Light"/>
          <w:color w:val="222222"/>
          <w:sz w:val="24"/>
          <w:szCs w:val="24"/>
          <w:shd w:val="clear" w:color="auto" w:fill="FFFFFF"/>
          <w:lang w:eastAsia="en-GB"/>
        </w:rPr>
        <w:t xml:space="preserve">an der </w:t>
      </w:r>
      <w:proofErr w:type="spellStart"/>
      <w:r w:rsidRPr="00BD2B94">
        <w:rPr>
          <w:rFonts w:ascii="Avenir Next" w:eastAsia="Times New Roman" w:hAnsi="Avenir Next" w:cs="Calibri Light"/>
          <w:color w:val="222222"/>
          <w:sz w:val="24"/>
          <w:szCs w:val="24"/>
          <w:shd w:val="clear" w:color="auto" w:fill="FFFFFF"/>
          <w:lang w:eastAsia="en-GB"/>
        </w:rPr>
        <w:t>Krabben</w:t>
      </w:r>
      <w:proofErr w:type="spellEnd"/>
      <w:r w:rsidRPr="00BD2B94">
        <w:rPr>
          <w:rFonts w:ascii="Avenir Next" w:eastAsia="Times New Roman" w:hAnsi="Avenir Next" w:cs="Calibri Light"/>
          <w:color w:val="222222"/>
          <w:sz w:val="24"/>
          <w:szCs w:val="24"/>
          <w:shd w:val="clear" w:color="auto" w:fill="FFFFFF"/>
          <w:lang w:eastAsia="en-GB"/>
        </w:rPr>
        <w:t>, E. &amp; Jacobs, H.M. (2013) Public land development as a strategic tool for redevelopment: Reflections on the Dutch experience. </w:t>
      </w:r>
      <w:r w:rsidRPr="00BD2B94">
        <w:rPr>
          <w:rFonts w:ascii="Avenir Next" w:eastAsia="Times New Roman" w:hAnsi="Avenir Next" w:cs="Calibri Light"/>
          <w:i/>
          <w:iCs/>
          <w:color w:val="222222"/>
          <w:sz w:val="24"/>
          <w:szCs w:val="24"/>
          <w:lang w:eastAsia="en-GB"/>
        </w:rPr>
        <w:t>Land Use Policy</w:t>
      </w:r>
      <w:r w:rsidRPr="00BD2B94">
        <w:rPr>
          <w:rFonts w:ascii="Avenir Next" w:eastAsia="Times New Roman" w:hAnsi="Avenir Next" w:cs="Calibri Light"/>
          <w:color w:val="222222"/>
          <w:sz w:val="24"/>
          <w:szCs w:val="24"/>
          <w:shd w:val="clear" w:color="auto" w:fill="FFFFFF"/>
          <w:lang w:eastAsia="en-GB"/>
        </w:rPr>
        <w:t>, </w:t>
      </w:r>
      <w:r w:rsidRPr="00BD2B94">
        <w:rPr>
          <w:rFonts w:ascii="Avenir Next" w:eastAsia="Times New Roman" w:hAnsi="Avenir Next" w:cs="Calibri Light"/>
          <w:color w:val="222222"/>
          <w:sz w:val="24"/>
          <w:szCs w:val="24"/>
          <w:lang w:eastAsia="en-GB"/>
        </w:rPr>
        <w:t>30</w:t>
      </w:r>
      <w:r w:rsidRPr="00BD2B94">
        <w:rPr>
          <w:rFonts w:ascii="Avenir Next" w:eastAsia="Times New Roman" w:hAnsi="Avenir Next" w:cs="Calibri Light"/>
          <w:color w:val="222222"/>
          <w:sz w:val="24"/>
          <w:szCs w:val="24"/>
          <w:shd w:val="clear" w:color="auto" w:fill="FFFFFF"/>
          <w:lang w:eastAsia="en-GB"/>
        </w:rPr>
        <w:t>(1), pp.774-783</w:t>
      </w:r>
    </w:p>
    <w:p w14:paraId="6305AEDD" w14:textId="293E6FC5" w:rsidR="00F8354F" w:rsidRDefault="00525A1D" w:rsidP="00BD2B94">
      <w:pPr>
        <w:rPr>
          <w:rFonts w:ascii="Avenir Next" w:hAnsi="Avenir Next"/>
          <w:sz w:val="24"/>
          <w:szCs w:val="24"/>
        </w:rPr>
      </w:pPr>
      <w:r w:rsidRPr="00BD2B94">
        <w:rPr>
          <w:rFonts w:ascii="Avenir Next" w:hAnsi="Avenir Next"/>
          <w:sz w:val="24"/>
          <w:szCs w:val="24"/>
        </w:rPr>
        <w:t xml:space="preserve">Whitehead, C. (2007) Planning policies and affordable housing: England as a successful case study? </w:t>
      </w:r>
      <w:r w:rsidRPr="00BD2B94">
        <w:rPr>
          <w:rFonts w:ascii="Avenir Next" w:hAnsi="Avenir Next"/>
          <w:i/>
          <w:iCs/>
          <w:sz w:val="24"/>
          <w:szCs w:val="24"/>
        </w:rPr>
        <w:t>Housing Studies</w:t>
      </w:r>
      <w:r w:rsidRPr="00BD2B94">
        <w:rPr>
          <w:rFonts w:ascii="Avenir Next" w:hAnsi="Avenir Next"/>
          <w:sz w:val="24"/>
          <w:szCs w:val="24"/>
        </w:rPr>
        <w:t>, 22, 1, pp.25-44</w:t>
      </w:r>
    </w:p>
    <w:p w14:paraId="5B5297CE" w14:textId="602962B7" w:rsidR="00E00734" w:rsidRPr="00BD2B94" w:rsidRDefault="00E00734" w:rsidP="00BD2B94">
      <w:pPr>
        <w:rPr>
          <w:rFonts w:ascii="Avenir Next" w:hAnsi="Avenir Next"/>
          <w:sz w:val="24"/>
          <w:szCs w:val="24"/>
        </w:rPr>
      </w:pPr>
      <w:r>
        <w:rPr>
          <w:rFonts w:ascii="Avenir Next" w:hAnsi="Avenir Next"/>
          <w:sz w:val="24"/>
          <w:szCs w:val="24"/>
        </w:rPr>
        <w:t>Yin, RK (2003) Qualitative Research Methods, Sage</w:t>
      </w:r>
    </w:p>
    <w:sectPr w:rsidR="00E00734" w:rsidRPr="00BD2B94" w:rsidSect="00ED1C89">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7B66" w14:textId="77777777" w:rsidR="00DD6339" w:rsidRDefault="00DD6339" w:rsidP="001A75CF">
      <w:pPr>
        <w:spacing w:after="0" w:line="240" w:lineRule="auto"/>
      </w:pPr>
      <w:r>
        <w:separator/>
      </w:r>
    </w:p>
  </w:endnote>
  <w:endnote w:type="continuationSeparator" w:id="0">
    <w:p w14:paraId="64E12CD5" w14:textId="77777777" w:rsidR="00DD6339" w:rsidRDefault="00DD6339" w:rsidP="001A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04999"/>
      <w:docPartObj>
        <w:docPartGallery w:val="Page Numbers (Bottom of Page)"/>
        <w:docPartUnique/>
      </w:docPartObj>
    </w:sdtPr>
    <w:sdtEndPr>
      <w:rPr>
        <w:noProof/>
      </w:rPr>
    </w:sdtEndPr>
    <w:sdtContent>
      <w:p w14:paraId="161A9D8A" w14:textId="77777777" w:rsidR="009E5CA8" w:rsidRDefault="009E5CA8">
        <w:pPr>
          <w:pStyle w:val="Footer"/>
          <w:jc w:val="center"/>
        </w:pPr>
        <w:r>
          <w:fldChar w:fldCharType="begin"/>
        </w:r>
        <w:r>
          <w:instrText xml:space="preserve"> PAGE   \* MERGEFORMAT </w:instrText>
        </w:r>
        <w:r>
          <w:fldChar w:fldCharType="separate"/>
        </w:r>
        <w:r w:rsidR="00477151">
          <w:rPr>
            <w:noProof/>
          </w:rPr>
          <w:t>20</w:t>
        </w:r>
        <w:r>
          <w:rPr>
            <w:noProof/>
          </w:rPr>
          <w:fldChar w:fldCharType="end"/>
        </w:r>
      </w:p>
    </w:sdtContent>
  </w:sdt>
  <w:p w14:paraId="161A6A03" w14:textId="77777777" w:rsidR="009E5CA8" w:rsidRDefault="009E5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6D42" w14:textId="77777777" w:rsidR="00DD6339" w:rsidRDefault="00DD6339" w:rsidP="001A75CF">
      <w:pPr>
        <w:spacing w:after="0" w:line="240" w:lineRule="auto"/>
      </w:pPr>
      <w:r>
        <w:separator/>
      </w:r>
    </w:p>
  </w:footnote>
  <w:footnote w:type="continuationSeparator" w:id="0">
    <w:p w14:paraId="2AC9098B" w14:textId="77777777" w:rsidR="00DD6339" w:rsidRDefault="00DD6339" w:rsidP="001A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2D1"/>
    <w:multiLevelType w:val="hybridMultilevel"/>
    <w:tmpl w:val="C07C0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A7F27"/>
    <w:multiLevelType w:val="hybridMultilevel"/>
    <w:tmpl w:val="B13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1386"/>
    <w:multiLevelType w:val="multilevel"/>
    <w:tmpl w:val="51F0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456D3"/>
    <w:multiLevelType w:val="hybridMultilevel"/>
    <w:tmpl w:val="2634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E7C"/>
    <w:multiLevelType w:val="hybridMultilevel"/>
    <w:tmpl w:val="AF60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D3378"/>
    <w:multiLevelType w:val="hybridMultilevel"/>
    <w:tmpl w:val="67BE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8670E"/>
    <w:multiLevelType w:val="multilevel"/>
    <w:tmpl w:val="332A3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7" w15:restartNumberingAfterBreak="0">
    <w:nsid w:val="43170AB3"/>
    <w:multiLevelType w:val="hybridMultilevel"/>
    <w:tmpl w:val="67E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602CD"/>
    <w:multiLevelType w:val="hybridMultilevel"/>
    <w:tmpl w:val="40BC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2521F"/>
    <w:multiLevelType w:val="hybridMultilevel"/>
    <w:tmpl w:val="159C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C5C6B"/>
    <w:multiLevelType w:val="hybridMultilevel"/>
    <w:tmpl w:val="824E6878"/>
    <w:lvl w:ilvl="0" w:tplc="0054DA3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D6C7E"/>
    <w:multiLevelType w:val="hybridMultilevel"/>
    <w:tmpl w:val="FAB8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37369"/>
    <w:multiLevelType w:val="hybridMultilevel"/>
    <w:tmpl w:val="A830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C1BCF"/>
    <w:multiLevelType w:val="multilevel"/>
    <w:tmpl w:val="F250B18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152A04"/>
    <w:multiLevelType w:val="hybridMultilevel"/>
    <w:tmpl w:val="6C7C4F4A"/>
    <w:lvl w:ilvl="0" w:tplc="0BA0760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00A12"/>
    <w:multiLevelType w:val="hybridMultilevel"/>
    <w:tmpl w:val="BF1AF838"/>
    <w:lvl w:ilvl="0" w:tplc="08BEA558">
      <w:start w:val="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8"/>
  </w:num>
  <w:num w:numId="5">
    <w:abstractNumId w:val="2"/>
  </w:num>
  <w:num w:numId="6">
    <w:abstractNumId w:val="11"/>
  </w:num>
  <w:num w:numId="7">
    <w:abstractNumId w:val="12"/>
  </w:num>
  <w:num w:numId="8">
    <w:abstractNumId w:val="1"/>
  </w:num>
  <w:num w:numId="9">
    <w:abstractNumId w:val="3"/>
  </w:num>
  <w:num w:numId="10">
    <w:abstractNumId w:val="13"/>
  </w:num>
  <w:num w:numId="11">
    <w:abstractNumId w:val="4"/>
  </w:num>
  <w:num w:numId="12">
    <w:abstractNumId w:val="9"/>
  </w:num>
  <w:num w:numId="13">
    <w:abstractNumId w:val="5"/>
  </w:num>
  <w:num w:numId="14">
    <w:abstractNumId w:val="1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EA"/>
    <w:rsid w:val="00005DE3"/>
    <w:rsid w:val="000126E8"/>
    <w:rsid w:val="00025C20"/>
    <w:rsid w:val="000305C3"/>
    <w:rsid w:val="00037136"/>
    <w:rsid w:val="00040EEC"/>
    <w:rsid w:val="00042507"/>
    <w:rsid w:val="00042CC5"/>
    <w:rsid w:val="00045B72"/>
    <w:rsid w:val="00047C9A"/>
    <w:rsid w:val="000507EF"/>
    <w:rsid w:val="00050B2E"/>
    <w:rsid w:val="00062111"/>
    <w:rsid w:val="00062CB7"/>
    <w:rsid w:val="00063E81"/>
    <w:rsid w:val="00066D30"/>
    <w:rsid w:val="00072FA1"/>
    <w:rsid w:val="0008536B"/>
    <w:rsid w:val="00091183"/>
    <w:rsid w:val="00091A91"/>
    <w:rsid w:val="000923C2"/>
    <w:rsid w:val="000927D8"/>
    <w:rsid w:val="000B2FCB"/>
    <w:rsid w:val="000B38B5"/>
    <w:rsid w:val="000C3CEA"/>
    <w:rsid w:val="000D4351"/>
    <w:rsid w:val="000E2AF9"/>
    <w:rsid w:val="000F76E8"/>
    <w:rsid w:val="00115408"/>
    <w:rsid w:val="00116938"/>
    <w:rsid w:val="00117A98"/>
    <w:rsid w:val="001273F3"/>
    <w:rsid w:val="00131E6C"/>
    <w:rsid w:val="0014336C"/>
    <w:rsid w:val="00145490"/>
    <w:rsid w:val="001458F9"/>
    <w:rsid w:val="0014615B"/>
    <w:rsid w:val="00146283"/>
    <w:rsid w:val="00177458"/>
    <w:rsid w:val="00183591"/>
    <w:rsid w:val="001850C3"/>
    <w:rsid w:val="00193345"/>
    <w:rsid w:val="001A2FDF"/>
    <w:rsid w:val="001A3315"/>
    <w:rsid w:val="001A3330"/>
    <w:rsid w:val="001A631D"/>
    <w:rsid w:val="001A75CF"/>
    <w:rsid w:val="001C2762"/>
    <w:rsid w:val="001C27C4"/>
    <w:rsid w:val="001C6A8D"/>
    <w:rsid w:val="001D2A47"/>
    <w:rsid w:val="001E0979"/>
    <w:rsid w:val="001E2DE9"/>
    <w:rsid w:val="001E7A1B"/>
    <w:rsid w:val="001F2001"/>
    <w:rsid w:val="001F7DC2"/>
    <w:rsid w:val="00202212"/>
    <w:rsid w:val="002051DC"/>
    <w:rsid w:val="002142F4"/>
    <w:rsid w:val="00215385"/>
    <w:rsid w:val="00227305"/>
    <w:rsid w:val="0023063B"/>
    <w:rsid w:val="0024349D"/>
    <w:rsid w:val="00247437"/>
    <w:rsid w:val="00250A15"/>
    <w:rsid w:val="00256073"/>
    <w:rsid w:val="002619FD"/>
    <w:rsid w:val="00267696"/>
    <w:rsid w:val="00271611"/>
    <w:rsid w:val="00273D27"/>
    <w:rsid w:val="0027499C"/>
    <w:rsid w:val="002807EB"/>
    <w:rsid w:val="00281807"/>
    <w:rsid w:val="00295D22"/>
    <w:rsid w:val="002A2E68"/>
    <w:rsid w:val="002B0673"/>
    <w:rsid w:val="002B3D12"/>
    <w:rsid w:val="002B6434"/>
    <w:rsid w:val="002C4237"/>
    <w:rsid w:val="002F65A2"/>
    <w:rsid w:val="00305A73"/>
    <w:rsid w:val="00307236"/>
    <w:rsid w:val="0031074F"/>
    <w:rsid w:val="003237ED"/>
    <w:rsid w:val="00355B9B"/>
    <w:rsid w:val="00367B08"/>
    <w:rsid w:val="003813DA"/>
    <w:rsid w:val="00381F19"/>
    <w:rsid w:val="003860E2"/>
    <w:rsid w:val="003863FC"/>
    <w:rsid w:val="00390B12"/>
    <w:rsid w:val="003962DC"/>
    <w:rsid w:val="003A0D43"/>
    <w:rsid w:val="003A5210"/>
    <w:rsid w:val="003A7E1E"/>
    <w:rsid w:val="003B1F5C"/>
    <w:rsid w:val="003B3CFF"/>
    <w:rsid w:val="003B60FC"/>
    <w:rsid w:val="003C336A"/>
    <w:rsid w:val="003C7933"/>
    <w:rsid w:val="003D65AD"/>
    <w:rsid w:val="003D67BB"/>
    <w:rsid w:val="003E4652"/>
    <w:rsid w:val="003E4EC9"/>
    <w:rsid w:val="003F34C0"/>
    <w:rsid w:val="003F6951"/>
    <w:rsid w:val="004064BF"/>
    <w:rsid w:val="00406C08"/>
    <w:rsid w:val="00413510"/>
    <w:rsid w:val="00415E29"/>
    <w:rsid w:val="00417629"/>
    <w:rsid w:val="00421C8D"/>
    <w:rsid w:val="00423E0C"/>
    <w:rsid w:val="00425BEE"/>
    <w:rsid w:val="004403DD"/>
    <w:rsid w:val="00445B1B"/>
    <w:rsid w:val="0046651E"/>
    <w:rsid w:val="00467BD7"/>
    <w:rsid w:val="00472E4C"/>
    <w:rsid w:val="004758A3"/>
    <w:rsid w:val="004758E7"/>
    <w:rsid w:val="00477151"/>
    <w:rsid w:val="004807C2"/>
    <w:rsid w:val="00481508"/>
    <w:rsid w:val="00482287"/>
    <w:rsid w:val="0048608A"/>
    <w:rsid w:val="00496BDF"/>
    <w:rsid w:val="004976F9"/>
    <w:rsid w:val="004A067A"/>
    <w:rsid w:val="004A1265"/>
    <w:rsid w:val="004A7CB3"/>
    <w:rsid w:val="004B220E"/>
    <w:rsid w:val="004B2E24"/>
    <w:rsid w:val="004B4D9B"/>
    <w:rsid w:val="004C2EC0"/>
    <w:rsid w:val="004C790C"/>
    <w:rsid w:val="004E16FC"/>
    <w:rsid w:val="004E4308"/>
    <w:rsid w:val="004E6FB3"/>
    <w:rsid w:val="004F2E37"/>
    <w:rsid w:val="00514EDF"/>
    <w:rsid w:val="00516059"/>
    <w:rsid w:val="00517FBE"/>
    <w:rsid w:val="005232E4"/>
    <w:rsid w:val="00525A1D"/>
    <w:rsid w:val="00525ED7"/>
    <w:rsid w:val="005310C2"/>
    <w:rsid w:val="00534928"/>
    <w:rsid w:val="005432AE"/>
    <w:rsid w:val="00543C33"/>
    <w:rsid w:val="005535FC"/>
    <w:rsid w:val="005544F8"/>
    <w:rsid w:val="00562BAD"/>
    <w:rsid w:val="00583943"/>
    <w:rsid w:val="00583A67"/>
    <w:rsid w:val="0059561A"/>
    <w:rsid w:val="005B3268"/>
    <w:rsid w:val="005B45DA"/>
    <w:rsid w:val="005C2C70"/>
    <w:rsid w:val="005C72B7"/>
    <w:rsid w:val="005E24B3"/>
    <w:rsid w:val="005E34AD"/>
    <w:rsid w:val="005F2124"/>
    <w:rsid w:val="005F3B9F"/>
    <w:rsid w:val="005F6237"/>
    <w:rsid w:val="00600D83"/>
    <w:rsid w:val="00602322"/>
    <w:rsid w:val="006127F5"/>
    <w:rsid w:val="00617379"/>
    <w:rsid w:val="0062449C"/>
    <w:rsid w:val="00644154"/>
    <w:rsid w:val="00650DCB"/>
    <w:rsid w:val="0065111F"/>
    <w:rsid w:val="00654035"/>
    <w:rsid w:val="0065465A"/>
    <w:rsid w:val="00657E88"/>
    <w:rsid w:val="006648A1"/>
    <w:rsid w:val="006656DB"/>
    <w:rsid w:val="00675CD3"/>
    <w:rsid w:val="006806DE"/>
    <w:rsid w:val="00680F40"/>
    <w:rsid w:val="006A61CE"/>
    <w:rsid w:val="006B1A50"/>
    <w:rsid w:val="006C27B1"/>
    <w:rsid w:val="006C492D"/>
    <w:rsid w:val="006C6DF1"/>
    <w:rsid w:val="006D284C"/>
    <w:rsid w:val="006D3ECA"/>
    <w:rsid w:val="006D55C6"/>
    <w:rsid w:val="00710734"/>
    <w:rsid w:val="007237E3"/>
    <w:rsid w:val="007265D6"/>
    <w:rsid w:val="00751F5A"/>
    <w:rsid w:val="007542EA"/>
    <w:rsid w:val="007675D5"/>
    <w:rsid w:val="007731C4"/>
    <w:rsid w:val="007731C6"/>
    <w:rsid w:val="00787307"/>
    <w:rsid w:val="00791E4D"/>
    <w:rsid w:val="007A37AB"/>
    <w:rsid w:val="007B1AAC"/>
    <w:rsid w:val="007B5F83"/>
    <w:rsid w:val="007B6855"/>
    <w:rsid w:val="007B6AF4"/>
    <w:rsid w:val="007B781E"/>
    <w:rsid w:val="007C006C"/>
    <w:rsid w:val="007D545F"/>
    <w:rsid w:val="007D77A4"/>
    <w:rsid w:val="007E382D"/>
    <w:rsid w:val="007E7529"/>
    <w:rsid w:val="00810CA4"/>
    <w:rsid w:val="008124B0"/>
    <w:rsid w:val="008161D9"/>
    <w:rsid w:val="00816894"/>
    <w:rsid w:val="00844DEF"/>
    <w:rsid w:val="008451D9"/>
    <w:rsid w:val="00871062"/>
    <w:rsid w:val="00872131"/>
    <w:rsid w:val="008759EE"/>
    <w:rsid w:val="00890460"/>
    <w:rsid w:val="008911C5"/>
    <w:rsid w:val="008923E3"/>
    <w:rsid w:val="008A36D7"/>
    <w:rsid w:val="008A6953"/>
    <w:rsid w:val="008B01D8"/>
    <w:rsid w:val="008B14F7"/>
    <w:rsid w:val="008B245A"/>
    <w:rsid w:val="008B43DB"/>
    <w:rsid w:val="008D2656"/>
    <w:rsid w:val="008D6725"/>
    <w:rsid w:val="008D7D80"/>
    <w:rsid w:val="008E0AEA"/>
    <w:rsid w:val="008E52AD"/>
    <w:rsid w:val="008E54D9"/>
    <w:rsid w:val="008E70E9"/>
    <w:rsid w:val="008F1EB4"/>
    <w:rsid w:val="008F393B"/>
    <w:rsid w:val="00901ABA"/>
    <w:rsid w:val="0090305E"/>
    <w:rsid w:val="009108F8"/>
    <w:rsid w:val="00912C50"/>
    <w:rsid w:val="00923DFA"/>
    <w:rsid w:val="00924001"/>
    <w:rsid w:val="00945AC7"/>
    <w:rsid w:val="00961898"/>
    <w:rsid w:val="00962100"/>
    <w:rsid w:val="00962285"/>
    <w:rsid w:val="00971625"/>
    <w:rsid w:val="009767E7"/>
    <w:rsid w:val="00984A39"/>
    <w:rsid w:val="009919F6"/>
    <w:rsid w:val="009A498F"/>
    <w:rsid w:val="009B2344"/>
    <w:rsid w:val="009B24EC"/>
    <w:rsid w:val="009B37ED"/>
    <w:rsid w:val="009B444B"/>
    <w:rsid w:val="009C41D6"/>
    <w:rsid w:val="009D0EEC"/>
    <w:rsid w:val="009E3030"/>
    <w:rsid w:val="009E5CA8"/>
    <w:rsid w:val="009E61B4"/>
    <w:rsid w:val="009F4FFF"/>
    <w:rsid w:val="00A11D22"/>
    <w:rsid w:val="00A20AA3"/>
    <w:rsid w:val="00A230C5"/>
    <w:rsid w:val="00A23420"/>
    <w:rsid w:val="00A2347B"/>
    <w:rsid w:val="00A2482D"/>
    <w:rsid w:val="00A30A66"/>
    <w:rsid w:val="00A3487C"/>
    <w:rsid w:val="00A4547B"/>
    <w:rsid w:val="00A5179F"/>
    <w:rsid w:val="00A51DAC"/>
    <w:rsid w:val="00A67369"/>
    <w:rsid w:val="00A718FE"/>
    <w:rsid w:val="00A76C44"/>
    <w:rsid w:val="00A8414D"/>
    <w:rsid w:val="00A909BE"/>
    <w:rsid w:val="00A943DE"/>
    <w:rsid w:val="00A972A1"/>
    <w:rsid w:val="00AA18F3"/>
    <w:rsid w:val="00AB0DF0"/>
    <w:rsid w:val="00AB1EB2"/>
    <w:rsid w:val="00AB2DC3"/>
    <w:rsid w:val="00AB62B8"/>
    <w:rsid w:val="00AC06DD"/>
    <w:rsid w:val="00AC3ADD"/>
    <w:rsid w:val="00AD28BB"/>
    <w:rsid w:val="00AD7A88"/>
    <w:rsid w:val="00AE38C3"/>
    <w:rsid w:val="00AF0F8B"/>
    <w:rsid w:val="00AF1185"/>
    <w:rsid w:val="00AF5F5A"/>
    <w:rsid w:val="00B02113"/>
    <w:rsid w:val="00B21C8E"/>
    <w:rsid w:val="00B22373"/>
    <w:rsid w:val="00B31E39"/>
    <w:rsid w:val="00B340D1"/>
    <w:rsid w:val="00B347F9"/>
    <w:rsid w:val="00B4041D"/>
    <w:rsid w:val="00B46D13"/>
    <w:rsid w:val="00B50144"/>
    <w:rsid w:val="00B61737"/>
    <w:rsid w:val="00B61FB5"/>
    <w:rsid w:val="00B643A5"/>
    <w:rsid w:val="00B752A4"/>
    <w:rsid w:val="00B80E83"/>
    <w:rsid w:val="00B8670B"/>
    <w:rsid w:val="00B92551"/>
    <w:rsid w:val="00B967D3"/>
    <w:rsid w:val="00B976C4"/>
    <w:rsid w:val="00B979FF"/>
    <w:rsid w:val="00BA7678"/>
    <w:rsid w:val="00BB2293"/>
    <w:rsid w:val="00BD08EF"/>
    <w:rsid w:val="00BD2866"/>
    <w:rsid w:val="00BD2B94"/>
    <w:rsid w:val="00BD2F3D"/>
    <w:rsid w:val="00BE011D"/>
    <w:rsid w:val="00BE1546"/>
    <w:rsid w:val="00BE3111"/>
    <w:rsid w:val="00BE5C00"/>
    <w:rsid w:val="00BE64B3"/>
    <w:rsid w:val="00BE7803"/>
    <w:rsid w:val="00BE7D90"/>
    <w:rsid w:val="00BF246E"/>
    <w:rsid w:val="00BF377B"/>
    <w:rsid w:val="00C15F48"/>
    <w:rsid w:val="00C228D7"/>
    <w:rsid w:val="00C3434B"/>
    <w:rsid w:val="00C4387E"/>
    <w:rsid w:val="00C4405E"/>
    <w:rsid w:val="00C44731"/>
    <w:rsid w:val="00C45ADE"/>
    <w:rsid w:val="00C5035E"/>
    <w:rsid w:val="00C67DAC"/>
    <w:rsid w:val="00C76210"/>
    <w:rsid w:val="00C76C49"/>
    <w:rsid w:val="00C772C6"/>
    <w:rsid w:val="00C94316"/>
    <w:rsid w:val="00C9533B"/>
    <w:rsid w:val="00CB0B34"/>
    <w:rsid w:val="00CC152A"/>
    <w:rsid w:val="00CC502D"/>
    <w:rsid w:val="00CD4526"/>
    <w:rsid w:val="00CE23A9"/>
    <w:rsid w:val="00CE5D57"/>
    <w:rsid w:val="00D05BBB"/>
    <w:rsid w:val="00D12698"/>
    <w:rsid w:val="00D17EBC"/>
    <w:rsid w:val="00D23FA9"/>
    <w:rsid w:val="00D24112"/>
    <w:rsid w:val="00D43DF5"/>
    <w:rsid w:val="00D516FA"/>
    <w:rsid w:val="00D53580"/>
    <w:rsid w:val="00D60844"/>
    <w:rsid w:val="00D643AD"/>
    <w:rsid w:val="00D8045E"/>
    <w:rsid w:val="00D838FF"/>
    <w:rsid w:val="00D9437C"/>
    <w:rsid w:val="00DA24CC"/>
    <w:rsid w:val="00DB13C2"/>
    <w:rsid w:val="00DB244E"/>
    <w:rsid w:val="00DB4078"/>
    <w:rsid w:val="00DB572E"/>
    <w:rsid w:val="00DC5070"/>
    <w:rsid w:val="00DD18A7"/>
    <w:rsid w:val="00DD6339"/>
    <w:rsid w:val="00DD6E27"/>
    <w:rsid w:val="00DE05FE"/>
    <w:rsid w:val="00DE2E30"/>
    <w:rsid w:val="00DE7477"/>
    <w:rsid w:val="00DF3540"/>
    <w:rsid w:val="00DF62D5"/>
    <w:rsid w:val="00E00734"/>
    <w:rsid w:val="00E11F2C"/>
    <w:rsid w:val="00E13C7D"/>
    <w:rsid w:val="00E16F4A"/>
    <w:rsid w:val="00E246F6"/>
    <w:rsid w:val="00E3405A"/>
    <w:rsid w:val="00E341BE"/>
    <w:rsid w:val="00E34B66"/>
    <w:rsid w:val="00E42564"/>
    <w:rsid w:val="00E47EEA"/>
    <w:rsid w:val="00E60A66"/>
    <w:rsid w:val="00E72018"/>
    <w:rsid w:val="00E811C7"/>
    <w:rsid w:val="00E83798"/>
    <w:rsid w:val="00E87AF7"/>
    <w:rsid w:val="00E962F1"/>
    <w:rsid w:val="00EA3244"/>
    <w:rsid w:val="00EA635E"/>
    <w:rsid w:val="00EA78F7"/>
    <w:rsid w:val="00EB0060"/>
    <w:rsid w:val="00EB3ACF"/>
    <w:rsid w:val="00EB4BE8"/>
    <w:rsid w:val="00ED1C89"/>
    <w:rsid w:val="00ED4881"/>
    <w:rsid w:val="00EE19EC"/>
    <w:rsid w:val="00EE23F9"/>
    <w:rsid w:val="00EE2BBE"/>
    <w:rsid w:val="00EE76BA"/>
    <w:rsid w:val="00EF316D"/>
    <w:rsid w:val="00EF5B1E"/>
    <w:rsid w:val="00EF6E0F"/>
    <w:rsid w:val="00F01002"/>
    <w:rsid w:val="00F04E6D"/>
    <w:rsid w:val="00F06B42"/>
    <w:rsid w:val="00F11065"/>
    <w:rsid w:val="00F13810"/>
    <w:rsid w:val="00F138DF"/>
    <w:rsid w:val="00F21F0A"/>
    <w:rsid w:val="00F319AB"/>
    <w:rsid w:val="00F33C33"/>
    <w:rsid w:val="00F4119A"/>
    <w:rsid w:val="00F43BAC"/>
    <w:rsid w:val="00F457EC"/>
    <w:rsid w:val="00F57E9B"/>
    <w:rsid w:val="00F62E0B"/>
    <w:rsid w:val="00F64329"/>
    <w:rsid w:val="00F76B6D"/>
    <w:rsid w:val="00F8354F"/>
    <w:rsid w:val="00FA3F71"/>
    <w:rsid w:val="00FA640B"/>
    <w:rsid w:val="00FB6CE2"/>
    <w:rsid w:val="00FC1E19"/>
    <w:rsid w:val="00FD2814"/>
    <w:rsid w:val="00FD4A99"/>
    <w:rsid w:val="00FD726E"/>
    <w:rsid w:val="00FE129A"/>
    <w:rsid w:val="00FE705E"/>
    <w:rsid w:val="00FF3BF2"/>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3611B"/>
  <w15:docId w15:val="{A26EF47B-9559-3549-9592-9015CA18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5F"/>
    <w:pPr>
      <w:jc w:val="both"/>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EA"/>
    <w:pPr>
      <w:ind w:left="720"/>
      <w:contextualSpacing/>
    </w:pPr>
  </w:style>
  <w:style w:type="paragraph" w:styleId="Header">
    <w:name w:val="header"/>
    <w:basedOn w:val="Normal"/>
    <w:link w:val="HeaderChar"/>
    <w:uiPriority w:val="99"/>
    <w:unhideWhenUsed/>
    <w:rsid w:val="001A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5CF"/>
  </w:style>
  <w:style w:type="paragraph" w:styleId="Footer">
    <w:name w:val="footer"/>
    <w:basedOn w:val="Normal"/>
    <w:link w:val="FooterChar"/>
    <w:uiPriority w:val="99"/>
    <w:unhideWhenUsed/>
    <w:rsid w:val="001A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5CF"/>
  </w:style>
  <w:style w:type="paragraph" w:styleId="NormalWeb">
    <w:name w:val="Normal (Web)"/>
    <w:basedOn w:val="Normal"/>
    <w:uiPriority w:val="99"/>
    <w:unhideWhenUsed/>
    <w:rsid w:val="00BB2293"/>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AB0DF0"/>
    <w:rPr>
      <w:color w:val="0000FF" w:themeColor="hyperlink"/>
      <w:u w:val="single"/>
    </w:rPr>
  </w:style>
  <w:style w:type="paragraph" w:styleId="FootnoteText">
    <w:name w:val="footnote text"/>
    <w:basedOn w:val="Normal"/>
    <w:link w:val="FootnoteTextChar"/>
    <w:uiPriority w:val="99"/>
    <w:unhideWhenUsed/>
    <w:rsid w:val="00AB0DF0"/>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AB0DF0"/>
    <w:rPr>
      <w:sz w:val="24"/>
      <w:szCs w:val="24"/>
      <w:lang w:val="en-US" w:eastAsia="en-US"/>
    </w:rPr>
  </w:style>
  <w:style w:type="paragraph" w:styleId="NoSpacing">
    <w:name w:val="No Spacing"/>
    <w:uiPriority w:val="1"/>
    <w:qFormat/>
    <w:rsid w:val="00583943"/>
    <w:pPr>
      <w:spacing w:after="0" w:line="240" w:lineRule="auto"/>
    </w:pPr>
  </w:style>
  <w:style w:type="character" w:styleId="CommentReference">
    <w:name w:val="annotation reference"/>
    <w:basedOn w:val="DefaultParagraphFont"/>
    <w:uiPriority w:val="99"/>
    <w:semiHidden/>
    <w:unhideWhenUsed/>
    <w:rsid w:val="00091A91"/>
    <w:rPr>
      <w:sz w:val="16"/>
      <w:szCs w:val="16"/>
    </w:rPr>
  </w:style>
  <w:style w:type="paragraph" w:styleId="CommentText">
    <w:name w:val="annotation text"/>
    <w:basedOn w:val="Normal"/>
    <w:link w:val="CommentTextChar"/>
    <w:uiPriority w:val="99"/>
    <w:unhideWhenUsed/>
    <w:rsid w:val="00091A91"/>
    <w:pPr>
      <w:spacing w:line="240" w:lineRule="auto"/>
    </w:pPr>
    <w:rPr>
      <w:sz w:val="20"/>
      <w:szCs w:val="20"/>
    </w:rPr>
  </w:style>
  <w:style w:type="character" w:customStyle="1" w:styleId="CommentTextChar">
    <w:name w:val="Comment Text Char"/>
    <w:basedOn w:val="DefaultParagraphFont"/>
    <w:link w:val="CommentText"/>
    <w:uiPriority w:val="99"/>
    <w:rsid w:val="00091A91"/>
    <w:rPr>
      <w:sz w:val="20"/>
      <w:szCs w:val="20"/>
    </w:rPr>
  </w:style>
  <w:style w:type="paragraph" w:styleId="CommentSubject">
    <w:name w:val="annotation subject"/>
    <w:basedOn w:val="CommentText"/>
    <w:next w:val="CommentText"/>
    <w:link w:val="CommentSubjectChar"/>
    <w:uiPriority w:val="99"/>
    <w:semiHidden/>
    <w:unhideWhenUsed/>
    <w:rsid w:val="00091A91"/>
    <w:rPr>
      <w:b/>
      <w:bCs/>
    </w:rPr>
  </w:style>
  <w:style w:type="character" w:customStyle="1" w:styleId="CommentSubjectChar">
    <w:name w:val="Comment Subject Char"/>
    <w:basedOn w:val="CommentTextChar"/>
    <w:link w:val="CommentSubject"/>
    <w:uiPriority w:val="99"/>
    <w:semiHidden/>
    <w:rsid w:val="00091A91"/>
    <w:rPr>
      <w:b/>
      <w:bCs/>
      <w:sz w:val="20"/>
      <w:szCs w:val="20"/>
    </w:rPr>
  </w:style>
  <w:style w:type="paragraph" w:styleId="BalloonText">
    <w:name w:val="Balloon Text"/>
    <w:basedOn w:val="Normal"/>
    <w:link w:val="BalloonTextChar"/>
    <w:uiPriority w:val="99"/>
    <w:semiHidden/>
    <w:unhideWhenUsed/>
    <w:rsid w:val="0009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91"/>
    <w:rPr>
      <w:rFonts w:ascii="Tahoma" w:hAnsi="Tahoma" w:cs="Tahoma"/>
      <w:sz w:val="16"/>
      <w:szCs w:val="16"/>
    </w:rPr>
  </w:style>
  <w:style w:type="character" w:styleId="FollowedHyperlink">
    <w:name w:val="FollowedHyperlink"/>
    <w:basedOn w:val="DefaultParagraphFont"/>
    <w:uiPriority w:val="99"/>
    <w:semiHidden/>
    <w:unhideWhenUsed/>
    <w:rsid w:val="00F06B42"/>
    <w:rPr>
      <w:color w:val="800080" w:themeColor="followedHyperlink"/>
      <w:u w:val="single"/>
    </w:rPr>
  </w:style>
  <w:style w:type="character" w:customStyle="1" w:styleId="apple-converted-space">
    <w:name w:val="apple-converted-space"/>
    <w:basedOn w:val="DefaultParagraphFont"/>
    <w:rsid w:val="00EB3ACF"/>
  </w:style>
  <w:style w:type="paragraph" w:styleId="Revision">
    <w:name w:val="Revision"/>
    <w:hidden/>
    <w:uiPriority w:val="99"/>
    <w:semiHidden/>
    <w:rsid w:val="007731C6"/>
    <w:pPr>
      <w:spacing w:after="0" w:line="240" w:lineRule="auto"/>
    </w:pPr>
    <w:rPr>
      <w:rFonts w:ascii="Calibri Light" w:hAnsi="Calibri Light"/>
    </w:rPr>
  </w:style>
  <w:style w:type="character" w:customStyle="1" w:styleId="hlfld-contribauthor">
    <w:name w:val="hlfld-contribauthor"/>
    <w:basedOn w:val="DefaultParagraphFont"/>
    <w:rsid w:val="00D12698"/>
  </w:style>
  <w:style w:type="character" w:customStyle="1" w:styleId="nlmgiven-names">
    <w:name w:val="nlm_given-names"/>
    <w:basedOn w:val="DefaultParagraphFont"/>
    <w:rsid w:val="00D12698"/>
  </w:style>
  <w:style w:type="character" w:customStyle="1" w:styleId="nlmyear">
    <w:name w:val="nlm_year"/>
    <w:basedOn w:val="DefaultParagraphFont"/>
    <w:rsid w:val="00D12698"/>
  </w:style>
  <w:style w:type="character" w:customStyle="1" w:styleId="nlmarticle-title">
    <w:name w:val="nlm_article-title"/>
    <w:basedOn w:val="DefaultParagraphFont"/>
    <w:rsid w:val="00D12698"/>
  </w:style>
  <w:style w:type="character" w:customStyle="1" w:styleId="nlmfpage">
    <w:name w:val="nlm_fpage"/>
    <w:basedOn w:val="DefaultParagraphFont"/>
    <w:rsid w:val="00D12698"/>
  </w:style>
  <w:style w:type="character" w:customStyle="1" w:styleId="nlmlpage">
    <w:name w:val="nlm_lpage"/>
    <w:basedOn w:val="DefaultParagraphFont"/>
    <w:rsid w:val="00D12698"/>
  </w:style>
  <w:style w:type="character" w:styleId="UnresolvedMention">
    <w:name w:val="Unresolved Mention"/>
    <w:basedOn w:val="DefaultParagraphFont"/>
    <w:uiPriority w:val="99"/>
    <w:semiHidden/>
    <w:unhideWhenUsed/>
    <w:rsid w:val="00215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5240">
      <w:bodyDiv w:val="1"/>
      <w:marLeft w:val="0"/>
      <w:marRight w:val="0"/>
      <w:marTop w:val="0"/>
      <w:marBottom w:val="0"/>
      <w:divBdr>
        <w:top w:val="none" w:sz="0" w:space="0" w:color="auto"/>
        <w:left w:val="none" w:sz="0" w:space="0" w:color="auto"/>
        <w:bottom w:val="none" w:sz="0" w:space="0" w:color="auto"/>
        <w:right w:val="none" w:sz="0" w:space="0" w:color="auto"/>
      </w:divBdr>
    </w:div>
    <w:div w:id="275018464">
      <w:bodyDiv w:val="1"/>
      <w:marLeft w:val="0"/>
      <w:marRight w:val="0"/>
      <w:marTop w:val="0"/>
      <w:marBottom w:val="0"/>
      <w:divBdr>
        <w:top w:val="none" w:sz="0" w:space="0" w:color="auto"/>
        <w:left w:val="none" w:sz="0" w:space="0" w:color="auto"/>
        <w:bottom w:val="none" w:sz="0" w:space="0" w:color="auto"/>
        <w:right w:val="none" w:sz="0" w:space="0" w:color="auto"/>
      </w:divBdr>
      <w:divsChild>
        <w:div w:id="663896346">
          <w:marLeft w:val="0"/>
          <w:marRight w:val="0"/>
          <w:marTop w:val="0"/>
          <w:marBottom w:val="0"/>
          <w:divBdr>
            <w:top w:val="none" w:sz="0" w:space="0" w:color="auto"/>
            <w:left w:val="none" w:sz="0" w:space="0" w:color="auto"/>
            <w:bottom w:val="none" w:sz="0" w:space="0" w:color="auto"/>
            <w:right w:val="none" w:sz="0" w:space="0" w:color="auto"/>
          </w:divBdr>
          <w:divsChild>
            <w:div w:id="273513248">
              <w:marLeft w:val="0"/>
              <w:marRight w:val="0"/>
              <w:marTop w:val="0"/>
              <w:marBottom w:val="0"/>
              <w:divBdr>
                <w:top w:val="none" w:sz="0" w:space="0" w:color="auto"/>
                <w:left w:val="none" w:sz="0" w:space="0" w:color="auto"/>
                <w:bottom w:val="none" w:sz="0" w:space="0" w:color="auto"/>
                <w:right w:val="none" w:sz="0" w:space="0" w:color="auto"/>
              </w:divBdr>
              <w:divsChild>
                <w:div w:id="2932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3080">
      <w:bodyDiv w:val="1"/>
      <w:marLeft w:val="0"/>
      <w:marRight w:val="0"/>
      <w:marTop w:val="0"/>
      <w:marBottom w:val="0"/>
      <w:divBdr>
        <w:top w:val="none" w:sz="0" w:space="0" w:color="auto"/>
        <w:left w:val="none" w:sz="0" w:space="0" w:color="auto"/>
        <w:bottom w:val="none" w:sz="0" w:space="0" w:color="auto"/>
        <w:right w:val="none" w:sz="0" w:space="0" w:color="auto"/>
      </w:divBdr>
    </w:div>
    <w:div w:id="488249262">
      <w:bodyDiv w:val="1"/>
      <w:marLeft w:val="0"/>
      <w:marRight w:val="0"/>
      <w:marTop w:val="0"/>
      <w:marBottom w:val="0"/>
      <w:divBdr>
        <w:top w:val="none" w:sz="0" w:space="0" w:color="auto"/>
        <w:left w:val="none" w:sz="0" w:space="0" w:color="auto"/>
        <w:bottom w:val="none" w:sz="0" w:space="0" w:color="auto"/>
        <w:right w:val="none" w:sz="0" w:space="0" w:color="auto"/>
      </w:divBdr>
      <w:divsChild>
        <w:div w:id="16515797">
          <w:marLeft w:val="0"/>
          <w:marRight w:val="0"/>
          <w:marTop w:val="0"/>
          <w:marBottom w:val="0"/>
          <w:divBdr>
            <w:top w:val="none" w:sz="0" w:space="0" w:color="auto"/>
            <w:left w:val="none" w:sz="0" w:space="0" w:color="auto"/>
            <w:bottom w:val="none" w:sz="0" w:space="0" w:color="auto"/>
            <w:right w:val="none" w:sz="0" w:space="0" w:color="auto"/>
          </w:divBdr>
          <w:divsChild>
            <w:div w:id="1485050274">
              <w:marLeft w:val="0"/>
              <w:marRight w:val="0"/>
              <w:marTop w:val="0"/>
              <w:marBottom w:val="0"/>
              <w:divBdr>
                <w:top w:val="none" w:sz="0" w:space="0" w:color="auto"/>
                <w:left w:val="none" w:sz="0" w:space="0" w:color="auto"/>
                <w:bottom w:val="none" w:sz="0" w:space="0" w:color="auto"/>
                <w:right w:val="none" w:sz="0" w:space="0" w:color="auto"/>
              </w:divBdr>
              <w:divsChild>
                <w:div w:id="989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2657">
      <w:bodyDiv w:val="1"/>
      <w:marLeft w:val="0"/>
      <w:marRight w:val="0"/>
      <w:marTop w:val="0"/>
      <w:marBottom w:val="0"/>
      <w:divBdr>
        <w:top w:val="none" w:sz="0" w:space="0" w:color="auto"/>
        <w:left w:val="none" w:sz="0" w:space="0" w:color="auto"/>
        <w:bottom w:val="none" w:sz="0" w:space="0" w:color="auto"/>
        <w:right w:val="none" w:sz="0" w:space="0" w:color="auto"/>
      </w:divBdr>
      <w:divsChild>
        <w:div w:id="445004205">
          <w:marLeft w:val="0"/>
          <w:marRight w:val="0"/>
          <w:marTop w:val="0"/>
          <w:marBottom w:val="0"/>
          <w:divBdr>
            <w:top w:val="none" w:sz="0" w:space="0" w:color="auto"/>
            <w:left w:val="none" w:sz="0" w:space="0" w:color="auto"/>
            <w:bottom w:val="none" w:sz="0" w:space="0" w:color="auto"/>
            <w:right w:val="none" w:sz="0" w:space="0" w:color="auto"/>
          </w:divBdr>
          <w:divsChild>
            <w:div w:id="29696563">
              <w:marLeft w:val="0"/>
              <w:marRight w:val="0"/>
              <w:marTop w:val="0"/>
              <w:marBottom w:val="0"/>
              <w:divBdr>
                <w:top w:val="none" w:sz="0" w:space="0" w:color="auto"/>
                <w:left w:val="none" w:sz="0" w:space="0" w:color="auto"/>
                <w:bottom w:val="none" w:sz="0" w:space="0" w:color="auto"/>
                <w:right w:val="none" w:sz="0" w:space="0" w:color="auto"/>
              </w:divBdr>
              <w:divsChild>
                <w:div w:id="907114893">
                  <w:marLeft w:val="0"/>
                  <w:marRight w:val="0"/>
                  <w:marTop w:val="0"/>
                  <w:marBottom w:val="0"/>
                  <w:divBdr>
                    <w:top w:val="none" w:sz="0" w:space="0" w:color="auto"/>
                    <w:left w:val="none" w:sz="0" w:space="0" w:color="auto"/>
                    <w:bottom w:val="none" w:sz="0" w:space="0" w:color="auto"/>
                    <w:right w:val="none" w:sz="0" w:space="0" w:color="auto"/>
                  </w:divBdr>
                  <w:divsChild>
                    <w:div w:id="1885482072">
                      <w:marLeft w:val="0"/>
                      <w:marRight w:val="0"/>
                      <w:marTop w:val="0"/>
                      <w:marBottom w:val="0"/>
                      <w:divBdr>
                        <w:top w:val="none" w:sz="0" w:space="0" w:color="auto"/>
                        <w:left w:val="none" w:sz="0" w:space="0" w:color="auto"/>
                        <w:bottom w:val="none" w:sz="0" w:space="0" w:color="auto"/>
                        <w:right w:val="none" w:sz="0" w:space="0" w:color="auto"/>
                      </w:divBdr>
                    </w:div>
                  </w:divsChild>
                </w:div>
                <w:div w:id="1138261948">
                  <w:marLeft w:val="0"/>
                  <w:marRight w:val="0"/>
                  <w:marTop w:val="0"/>
                  <w:marBottom w:val="0"/>
                  <w:divBdr>
                    <w:top w:val="none" w:sz="0" w:space="0" w:color="auto"/>
                    <w:left w:val="none" w:sz="0" w:space="0" w:color="auto"/>
                    <w:bottom w:val="none" w:sz="0" w:space="0" w:color="auto"/>
                    <w:right w:val="none" w:sz="0" w:space="0" w:color="auto"/>
                  </w:divBdr>
                  <w:divsChild>
                    <w:div w:id="11988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55103">
      <w:bodyDiv w:val="1"/>
      <w:marLeft w:val="0"/>
      <w:marRight w:val="0"/>
      <w:marTop w:val="0"/>
      <w:marBottom w:val="0"/>
      <w:divBdr>
        <w:top w:val="none" w:sz="0" w:space="0" w:color="auto"/>
        <w:left w:val="none" w:sz="0" w:space="0" w:color="auto"/>
        <w:bottom w:val="none" w:sz="0" w:space="0" w:color="auto"/>
        <w:right w:val="none" w:sz="0" w:space="0" w:color="auto"/>
      </w:divBdr>
    </w:div>
    <w:div w:id="751121773">
      <w:bodyDiv w:val="1"/>
      <w:marLeft w:val="0"/>
      <w:marRight w:val="0"/>
      <w:marTop w:val="0"/>
      <w:marBottom w:val="0"/>
      <w:divBdr>
        <w:top w:val="none" w:sz="0" w:space="0" w:color="auto"/>
        <w:left w:val="none" w:sz="0" w:space="0" w:color="auto"/>
        <w:bottom w:val="none" w:sz="0" w:space="0" w:color="auto"/>
        <w:right w:val="none" w:sz="0" w:space="0" w:color="auto"/>
      </w:divBdr>
      <w:divsChild>
        <w:div w:id="1110853321">
          <w:marLeft w:val="0"/>
          <w:marRight w:val="0"/>
          <w:marTop w:val="0"/>
          <w:marBottom w:val="0"/>
          <w:divBdr>
            <w:top w:val="none" w:sz="0" w:space="0" w:color="auto"/>
            <w:left w:val="none" w:sz="0" w:space="0" w:color="auto"/>
            <w:bottom w:val="none" w:sz="0" w:space="0" w:color="auto"/>
            <w:right w:val="none" w:sz="0" w:space="0" w:color="auto"/>
          </w:divBdr>
        </w:div>
      </w:divsChild>
    </w:div>
    <w:div w:id="769743133">
      <w:bodyDiv w:val="1"/>
      <w:marLeft w:val="0"/>
      <w:marRight w:val="0"/>
      <w:marTop w:val="0"/>
      <w:marBottom w:val="0"/>
      <w:divBdr>
        <w:top w:val="none" w:sz="0" w:space="0" w:color="auto"/>
        <w:left w:val="none" w:sz="0" w:space="0" w:color="auto"/>
        <w:bottom w:val="none" w:sz="0" w:space="0" w:color="auto"/>
        <w:right w:val="none" w:sz="0" w:space="0" w:color="auto"/>
      </w:divBdr>
    </w:div>
    <w:div w:id="835729099">
      <w:bodyDiv w:val="1"/>
      <w:marLeft w:val="0"/>
      <w:marRight w:val="0"/>
      <w:marTop w:val="0"/>
      <w:marBottom w:val="0"/>
      <w:divBdr>
        <w:top w:val="none" w:sz="0" w:space="0" w:color="auto"/>
        <w:left w:val="none" w:sz="0" w:space="0" w:color="auto"/>
        <w:bottom w:val="none" w:sz="0" w:space="0" w:color="auto"/>
        <w:right w:val="none" w:sz="0" w:space="0" w:color="auto"/>
      </w:divBdr>
    </w:div>
    <w:div w:id="855926527">
      <w:bodyDiv w:val="1"/>
      <w:marLeft w:val="0"/>
      <w:marRight w:val="0"/>
      <w:marTop w:val="0"/>
      <w:marBottom w:val="0"/>
      <w:divBdr>
        <w:top w:val="none" w:sz="0" w:space="0" w:color="auto"/>
        <w:left w:val="none" w:sz="0" w:space="0" w:color="auto"/>
        <w:bottom w:val="none" w:sz="0" w:space="0" w:color="auto"/>
        <w:right w:val="none" w:sz="0" w:space="0" w:color="auto"/>
      </w:divBdr>
    </w:div>
    <w:div w:id="864754670">
      <w:bodyDiv w:val="1"/>
      <w:marLeft w:val="0"/>
      <w:marRight w:val="0"/>
      <w:marTop w:val="0"/>
      <w:marBottom w:val="0"/>
      <w:divBdr>
        <w:top w:val="none" w:sz="0" w:space="0" w:color="auto"/>
        <w:left w:val="none" w:sz="0" w:space="0" w:color="auto"/>
        <w:bottom w:val="none" w:sz="0" w:space="0" w:color="auto"/>
        <w:right w:val="none" w:sz="0" w:space="0" w:color="auto"/>
      </w:divBdr>
    </w:div>
    <w:div w:id="1029526303">
      <w:bodyDiv w:val="1"/>
      <w:marLeft w:val="0"/>
      <w:marRight w:val="0"/>
      <w:marTop w:val="0"/>
      <w:marBottom w:val="0"/>
      <w:divBdr>
        <w:top w:val="none" w:sz="0" w:space="0" w:color="auto"/>
        <w:left w:val="none" w:sz="0" w:space="0" w:color="auto"/>
        <w:bottom w:val="none" w:sz="0" w:space="0" w:color="auto"/>
        <w:right w:val="none" w:sz="0" w:space="0" w:color="auto"/>
      </w:divBdr>
    </w:div>
    <w:div w:id="1035739346">
      <w:bodyDiv w:val="1"/>
      <w:marLeft w:val="0"/>
      <w:marRight w:val="0"/>
      <w:marTop w:val="0"/>
      <w:marBottom w:val="0"/>
      <w:divBdr>
        <w:top w:val="none" w:sz="0" w:space="0" w:color="auto"/>
        <w:left w:val="none" w:sz="0" w:space="0" w:color="auto"/>
        <w:bottom w:val="none" w:sz="0" w:space="0" w:color="auto"/>
        <w:right w:val="none" w:sz="0" w:space="0" w:color="auto"/>
      </w:divBdr>
      <w:divsChild>
        <w:div w:id="1548177348">
          <w:marLeft w:val="0"/>
          <w:marRight w:val="0"/>
          <w:marTop w:val="0"/>
          <w:marBottom w:val="0"/>
          <w:divBdr>
            <w:top w:val="none" w:sz="0" w:space="0" w:color="auto"/>
            <w:left w:val="none" w:sz="0" w:space="0" w:color="auto"/>
            <w:bottom w:val="none" w:sz="0" w:space="0" w:color="auto"/>
            <w:right w:val="none" w:sz="0" w:space="0" w:color="auto"/>
          </w:divBdr>
          <w:divsChild>
            <w:div w:id="364332923">
              <w:marLeft w:val="0"/>
              <w:marRight w:val="0"/>
              <w:marTop w:val="0"/>
              <w:marBottom w:val="0"/>
              <w:divBdr>
                <w:top w:val="none" w:sz="0" w:space="0" w:color="auto"/>
                <w:left w:val="none" w:sz="0" w:space="0" w:color="auto"/>
                <w:bottom w:val="none" w:sz="0" w:space="0" w:color="auto"/>
                <w:right w:val="none" w:sz="0" w:space="0" w:color="auto"/>
              </w:divBdr>
              <w:divsChild>
                <w:div w:id="14455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4372">
      <w:bodyDiv w:val="1"/>
      <w:marLeft w:val="0"/>
      <w:marRight w:val="0"/>
      <w:marTop w:val="0"/>
      <w:marBottom w:val="0"/>
      <w:divBdr>
        <w:top w:val="none" w:sz="0" w:space="0" w:color="auto"/>
        <w:left w:val="none" w:sz="0" w:space="0" w:color="auto"/>
        <w:bottom w:val="none" w:sz="0" w:space="0" w:color="auto"/>
        <w:right w:val="none" w:sz="0" w:space="0" w:color="auto"/>
      </w:divBdr>
    </w:div>
    <w:div w:id="1195197522">
      <w:bodyDiv w:val="1"/>
      <w:marLeft w:val="0"/>
      <w:marRight w:val="0"/>
      <w:marTop w:val="0"/>
      <w:marBottom w:val="0"/>
      <w:divBdr>
        <w:top w:val="none" w:sz="0" w:space="0" w:color="auto"/>
        <w:left w:val="none" w:sz="0" w:space="0" w:color="auto"/>
        <w:bottom w:val="none" w:sz="0" w:space="0" w:color="auto"/>
        <w:right w:val="none" w:sz="0" w:space="0" w:color="auto"/>
      </w:divBdr>
    </w:div>
    <w:div w:id="1209953414">
      <w:bodyDiv w:val="1"/>
      <w:marLeft w:val="0"/>
      <w:marRight w:val="0"/>
      <w:marTop w:val="0"/>
      <w:marBottom w:val="0"/>
      <w:divBdr>
        <w:top w:val="none" w:sz="0" w:space="0" w:color="auto"/>
        <w:left w:val="none" w:sz="0" w:space="0" w:color="auto"/>
        <w:bottom w:val="none" w:sz="0" w:space="0" w:color="auto"/>
        <w:right w:val="none" w:sz="0" w:space="0" w:color="auto"/>
      </w:divBdr>
    </w:div>
    <w:div w:id="1212961274">
      <w:bodyDiv w:val="1"/>
      <w:marLeft w:val="0"/>
      <w:marRight w:val="0"/>
      <w:marTop w:val="0"/>
      <w:marBottom w:val="0"/>
      <w:divBdr>
        <w:top w:val="none" w:sz="0" w:space="0" w:color="auto"/>
        <w:left w:val="none" w:sz="0" w:space="0" w:color="auto"/>
        <w:bottom w:val="none" w:sz="0" w:space="0" w:color="auto"/>
        <w:right w:val="none" w:sz="0" w:space="0" w:color="auto"/>
      </w:divBdr>
      <w:divsChild>
        <w:div w:id="361441274">
          <w:marLeft w:val="0"/>
          <w:marRight w:val="0"/>
          <w:marTop w:val="0"/>
          <w:marBottom w:val="0"/>
          <w:divBdr>
            <w:top w:val="none" w:sz="0" w:space="0" w:color="auto"/>
            <w:left w:val="none" w:sz="0" w:space="0" w:color="auto"/>
            <w:bottom w:val="none" w:sz="0" w:space="0" w:color="auto"/>
            <w:right w:val="none" w:sz="0" w:space="0" w:color="auto"/>
          </w:divBdr>
        </w:div>
        <w:div w:id="497700060">
          <w:marLeft w:val="0"/>
          <w:marRight w:val="0"/>
          <w:marTop w:val="0"/>
          <w:marBottom w:val="0"/>
          <w:divBdr>
            <w:top w:val="none" w:sz="0" w:space="0" w:color="auto"/>
            <w:left w:val="none" w:sz="0" w:space="0" w:color="auto"/>
            <w:bottom w:val="none" w:sz="0" w:space="0" w:color="auto"/>
            <w:right w:val="none" w:sz="0" w:space="0" w:color="auto"/>
          </w:divBdr>
        </w:div>
        <w:div w:id="788934346">
          <w:marLeft w:val="0"/>
          <w:marRight w:val="0"/>
          <w:marTop w:val="0"/>
          <w:marBottom w:val="0"/>
          <w:divBdr>
            <w:top w:val="none" w:sz="0" w:space="0" w:color="auto"/>
            <w:left w:val="none" w:sz="0" w:space="0" w:color="auto"/>
            <w:bottom w:val="none" w:sz="0" w:space="0" w:color="auto"/>
            <w:right w:val="none" w:sz="0" w:space="0" w:color="auto"/>
          </w:divBdr>
        </w:div>
        <w:div w:id="835002652">
          <w:marLeft w:val="0"/>
          <w:marRight w:val="0"/>
          <w:marTop w:val="0"/>
          <w:marBottom w:val="0"/>
          <w:divBdr>
            <w:top w:val="none" w:sz="0" w:space="0" w:color="auto"/>
            <w:left w:val="none" w:sz="0" w:space="0" w:color="auto"/>
            <w:bottom w:val="none" w:sz="0" w:space="0" w:color="auto"/>
            <w:right w:val="none" w:sz="0" w:space="0" w:color="auto"/>
          </w:divBdr>
        </w:div>
        <w:div w:id="1056198559">
          <w:marLeft w:val="0"/>
          <w:marRight w:val="0"/>
          <w:marTop w:val="0"/>
          <w:marBottom w:val="0"/>
          <w:divBdr>
            <w:top w:val="none" w:sz="0" w:space="0" w:color="auto"/>
            <w:left w:val="none" w:sz="0" w:space="0" w:color="auto"/>
            <w:bottom w:val="none" w:sz="0" w:space="0" w:color="auto"/>
            <w:right w:val="none" w:sz="0" w:space="0" w:color="auto"/>
          </w:divBdr>
        </w:div>
        <w:div w:id="1462383624">
          <w:marLeft w:val="0"/>
          <w:marRight w:val="0"/>
          <w:marTop w:val="0"/>
          <w:marBottom w:val="0"/>
          <w:divBdr>
            <w:top w:val="none" w:sz="0" w:space="0" w:color="auto"/>
            <w:left w:val="none" w:sz="0" w:space="0" w:color="auto"/>
            <w:bottom w:val="none" w:sz="0" w:space="0" w:color="auto"/>
            <w:right w:val="none" w:sz="0" w:space="0" w:color="auto"/>
          </w:divBdr>
        </w:div>
      </w:divsChild>
    </w:div>
    <w:div w:id="1322195157">
      <w:bodyDiv w:val="1"/>
      <w:marLeft w:val="0"/>
      <w:marRight w:val="0"/>
      <w:marTop w:val="0"/>
      <w:marBottom w:val="0"/>
      <w:divBdr>
        <w:top w:val="none" w:sz="0" w:space="0" w:color="auto"/>
        <w:left w:val="none" w:sz="0" w:space="0" w:color="auto"/>
        <w:bottom w:val="none" w:sz="0" w:space="0" w:color="auto"/>
        <w:right w:val="none" w:sz="0" w:space="0" w:color="auto"/>
      </w:divBdr>
    </w:div>
    <w:div w:id="1381127550">
      <w:bodyDiv w:val="1"/>
      <w:marLeft w:val="0"/>
      <w:marRight w:val="0"/>
      <w:marTop w:val="0"/>
      <w:marBottom w:val="0"/>
      <w:divBdr>
        <w:top w:val="none" w:sz="0" w:space="0" w:color="auto"/>
        <w:left w:val="none" w:sz="0" w:space="0" w:color="auto"/>
        <w:bottom w:val="none" w:sz="0" w:space="0" w:color="auto"/>
        <w:right w:val="none" w:sz="0" w:space="0" w:color="auto"/>
      </w:divBdr>
      <w:divsChild>
        <w:div w:id="1968851532">
          <w:marLeft w:val="0"/>
          <w:marRight w:val="0"/>
          <w:marTop w:val="0"/>
          <w:marBottom w:val="0"/>
          <w:divBdr>
            <w:top w:val="none" w:sz="0" w:space="0" w:color="auto"/>
            <w:left w:val="none" w:sz="0" w:space="0" w:color="auto"/>
            <w:bottom w:val="none" w:sz="0" w:space="0" w:color="auto"/>
            <w:right w:val="none" w:sz="0" w:space="0" w:color="auto"/>
          </w:divBdr>
        </w:div>
      </w:divsChild>
    </w:div>
    <w:div w:id="1496798416">
      <w:bodyDiv w:val="1"/>
      <w:marLeft w:val="0"/>
      <w:marRight w:val="0"/>
      <w:marTop w:val="0"/>
      <w:marBottom w:val="0"/>
      <w:divBdr>
        <w:top w:val="none" w:sz="0" w:space="0" w:color="auto"/>
        <w:left w:val="none" w:sz="0" w:space="0" w:color="auto"/>
        <w:bottom w:val="none" w:sz="0" w:space="0" w:color="auto"/>
        <w:right w:val="none" w:sz="0" w:space="0" w:color="auto"/>
      </w:divBdr>
    </w:div>
    <w:div w:id="1633749424">
      <w:bodyDiv w:val="1"/>
      <w:marLeft w:val="0"/>
      <w:marRight w:val="0"/>
      <w:marTop w:val="0"/>
      <w:marBottom w:val="0"/>
      <w:divBdr>
        <w:top w:val="none" w:sz="0" w:space="0" w:color="auto"/>
        <w:left w:val="none" w:sz="0" w:space="0" w:color="auto"/>
        <w:bottom w:val="none" w:sz="0" w:space="0" w:color="auto"/>
        <w:right w:val="none" w:sz="0" w:space="0" w:color="auto"/>
      </w:divBdr>
    </w:div>
    <w:div w:id="1650283468">
      <w:bodyDiv w:val="1"/>
      <w:marLeft w:val="0"/>
      <w:marRight w:val="0"/>
      <w:marTop w:val="0"/>
      <w:marBottom w:val="0"/>
      <w:divBdr>
        <w:top w:val="none" w:sz="0" w:space="0" w:color="auto"/>
        <w:left w:val="none" w:sz="0" w:space="0" w:color="auto"/>
        <w:bottom w:val="none" w:sz="0" w:space="0" w:color="auto"/>
        <w:right w:val="none" w:sz="0" w:space="0" w:color="auto"/>
      </w:divBdr>
    </w:div>
    <w:div w:id="1653752768">
      <w:bodyDiv w:val="1"/>
      <w:marLeft w:val="0"/>
      <w:marRight w:val="0"/>
      <w:marTop w:val="0"/>
      <w:marBottom w:val="0"/>
      <w:divBdr>
        <w:top w:val="none" w:sz="0" w:space="0" w:color="auto"/>
        <w:left w:val="none" w:sz="0" w:space="0" w:color="auto"/>
        <w:bottom w:val="none" w:sz="0" w:space="0" w:color="auto"/>
        <w:right w:val="none" w:sz="0" w:space="0" w:color="auto"/>
      </w:divBdr>
    </w:div>
    <w:div w:id="1662585158">
      <w:bodyDiv w:val="1"/>
      <w:marLeft w:val="0"/>
      <w:marRight w:val="0"/>
      <w:marTop w:val="0"/>
      <w:marBottom w:val="0"/>
      <w:divBdr>
        <w:top w:val="none" w:sz="0" w:space="0" w:color="auto"/>
        <w:left w:val="none" w:sz="0" w:space="0" w:color="auto"/>
        <w:bottom w:val="none" w:sz="0" w:space="0" w:color="auto"/>
        <w:right w:val="none" w:sz="0" w:space="0" w:color="auto"/>
      </w:divBdr>
    </w:div>
    <w:div w:id="1667900480">
      <w:bodyDiv w:val="1"/>
      <w:marLeft w:val="0"/>
      <w:marRight w:val="0"/>
      <w:marTop w:val="0"/>
      <w:marBottom w:val="0"/>
      <w:divBdr>
        <w:top w:val="none" w:sz="0" w:space="0" w:color="auto"/>
        <w:left w:val="none" w:sz="0" w:space="0" w:color="auto"/>
        <w:bottom w:val="none" w:sz="0" w:space="0" w:color="auto"/>
        <w:right w:val="none" w:sz="0" w:space="0" w:color="auto"/>
      </w:divBdr>
    </w:div>
    <w:div w:id="1725910753">
      <w:bodyDiv w:val="1"/>
      <w:marLeft w:val="0"/>
      <w:marRight w:val="0"/>
      <w:marTop w:val="0"/>
      <w:marBottom w:val="0"/>
      <w:divBdr>
        <w:top w:val="none" w:sz="0" w:space="0" w:color="auto"/>
        <w:left w:val="none" w:sz="0" w:space="0" w:color="auto"/>
        <w:bottom w:val="none" w:sz="0" w:space="0" w:color="auto"/>
        <w:right w:val="none" w:sz="0" w:space="0" w:color="auto"/>
      </w:divBdr>
      <w:divsChild>
        <w:div w:id="946042494">
          <w:marLeft w:val="0"/>
          <w:marRight w:val="0"/>
          <w:marTop w:val="0"/>
          <w:marBottom w:val="0"/>
          <w:divBdr>
            <w:top w:val="none" w:sz="0" w:space="0" w:color="auto"/>
            <w:left w:val="none" w:sz="0" w:space="0" w:color="auto"/>
            <w:bottom w:val="none" w:sz="0" w:space="0" w:color="auto"/>
            <w:right w:val="none" w:sz="0" w:space="0" w:color="auto"/>
          </w:divBdr>
          <w:divsChild>
            <w:div w:id="725684036">
              <w:marLeft w:val="0"/>
              <w:marRight w:val="0"/>
              <w:marTop w:val="0"/>
              <w:marBottom w:val="0"/>
              <w:divBdr>
                <w:top w:val="none" w:sz="0" w:space="0" w:color="auto"/>
                <w:left w:val="none" w:sz="0" w:space="0" w:color="auto"/>
                <w:bottom w:val="none" w:sz="0" w:space="0" w:color="auto"/>
                <w:right w:val="none" w:sz="0" w:space="0" w:color="auto"/>
              </w:divBdr>
              <w:divsChild>
                <w:div w:id="9743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0079">
      <w:bodyDiv w:val="1"/>
      <w:marLeft w:val="0"/>
      <w:marRight w:val="0"/>
      <w:marTop w:val="0"/>
      <w:marBottom w:val="0"/>
      <w:divBdr>
        <w:top w:val="none" w:sz="0" w:space="0" w:color="auto"/>
        <w:left w:val="none" w:sz="0" w:space="0" w:color="auto"/>
        <w:bottom w:val="none" w:sz="0" w:space="0" w:color="auto"/>
        <w:right w:val="none" w:sz="0" w:space="0" w:color="auto"/>
      </w:divBdr>
    </w:div>
    <w:div w:id="1815947884">
      <w:bodyDiv w:val="1"/>
      <w:marLeft w:val="0"/>
      <w:marRight w:val="0"/>
      <w:marTop w:val="0"/>
      <w:marBottom w:val="0"/>
      <w:divBdr>
        <w:top w:val="none" w:sz="0" w:space="0" w:color="auto"/>
        <w:left w:val="none" w:sz="0" w:space="0" w:color="auto"/>
        <w:bottom w:val="none" w:sz="0" w:space="0" w:color="auto"/>
        <w:right w:val="none" w:sz="0" w:space="0" w:color="auto"/>
      </w:divBdr>
    </w:div>
    <w:div w:id="1891722048">
      <w:bodyDiv w:val="1"/>
      <w:marLeft w:val="0"/>
      <w:marRight w:val="0"/>
      <w:marTop w:val="0"/>
      <w:marBottom w:val="0"/>
      <w:divBdr>
        <w:top w:val="none" w:sz="0" w:space="0" w:color="auto"/>
        <w:left w:val="none" w:sz="0" w:space="0" w:color="auto"/>
        <w:bottom w:val="none" w:sz="0" w:space="0" w:color="auto"/>
        <w:right w:val="none" w:sz="0" w:space="0" w:color="auto"/>
      </w:divBdr>
    </w:div>
    <w:div w:id="1915160667">
      <w:bodyDiv w:val="1"/>
      <w:marLeft w:val="0"/>
      <w:marRight w:val="0"/>
      <w:marTop w:val="0"/>
      <w:marBottom w:val="0"/>
      <w:divBdr>
        <w:top w:val="none" w:sz="0" w:space="0" w:color="auto"/>
        <w:left w:val="none" w:sz="0" w:space="0" w:color="auto"/>
        <w:bottom w:val="none" w:sz="0" w:space="0" w:color="auto"/>
        <w:right w:val="none" w:sz="0" w:space="0" w:color="auto"/>
      </w:divBdr>
      <w:divsChild>
        <w:div w:id="1850093744">
          <w:marLeft w:val="0"/>
          <w:marRight w:val="0"/>
          <w:marTop w:val="0"/>
          <w:marBottom w:val="0"/>
          <w:divBdr>
            <w:top w:val="none" w:sz="0" w:space="0" w:color="auto"/>
            <w:left w:val="none" w:sz="0" w:space="0" w:color="auto"/>
            <w:bottom w:val="none" w:sz="0" w:space="0" w:color="auto"/>
            <w:right w:val="none" w:sz="0" w:space="0" w:color="auto"/>
          </w:divBdr>
          <w:divsChild>
            <w:div w:id="888685559">
              <w:marLeft w:val="0"/>
              <w:marRight w:val="0"/>
              <w:marTop w:val="0"/>
              <w:marBottom w:val="0"/>
              <w:divBdr>
                <w:top w:val="none" w:sz="0" w:space="0" w:color="auto"/>
                <w:left w:val="none" w:sz="0" w:space="0" w:color="auto"/>
                <w:bottom w:val="none" w:sz="0" w:space="0" w:color="auto"/>
                <w:right w:val="none" w:sz="0" w:space="0" w:color="auto"/>
              </w:divBdr>
              <w:divsChild>
                <w:div w:id="2107773434">
                  <w:marLeft w:val="0"/>
                  <w:marRight w:val="0"/>
                  <w:marTop w:val="0"/>
                  <w:marBottom w:val="0"/>
                  <w:divBdr>
                    <w:top w:val="none" w:sz="0" w:space="0" w:color="auto"/>
                    <w:left w:val="none" w:sz="0" w:space="0" w:color="auto"/>
                    <w:bottom w:val="none" w:sz="0" w:space="0" w:color="auto"/>
                    <w:right w:val="none" w:sz="0" w:space="0" w:color="auto"/>
                  </w:divBdr>
                  <w:divsChild>
                    <w:div w:id="13480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7400">
      <w:bodyDiv w:val="1"/>
      <w:marLeft w:val="0"/>
      <w:marRight w:val="0"/>
      <w:marTop w:val="0"/>
      <w:marBottom w:val="0"/>
      <w:divBdr>
        <w:top w:val="none" w:sz="0" w:space="0" w:color="auto"/>
        <w:left w:val="none" w:sz="0" w:space="0" w:color="auto"/>
        <w:bottom w:val="none" w:sz="0" w:space="0" w:color="auto"/>
        <w:right w:val="none" w:sz="0" w:space="0" w:color="auto"/>
      </w:divBdr>
    </w:div>
    <w:div w:id="204066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s://www.nao.org.uk/report/disposal-of-public-land-for-new-homes-a-progress-report/"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rtpi.org.uk/media/2619006/Local-%20authority-direct-provision-of-housing.pdf"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local.gov.uk/documents/10180/49942/Housing+self-financing+survey+2014/8b077122-382b-4006-a0ba-f26a400ca1a8"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gov.uk/government/news/whitehall-releasing-its-grip-on-unused-public-land"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18DBCE-A22A-42F2-9BD1-089980BA3A98}" type="doc">
      <dgm:prSet loTypeId="urn:microsoft.com/office/officeart/2005/8/layout/hChevron3" loCatId="process" qsTypeId="urn:microsoft.com/office/officeart/2005/8/quickstyle/simple1" qsCatId="simple" csTypeId="urn:microsoft.com/office/officeart/2005/8/colors/accent1_2" csCatId="accent1" phldr="1"/>
      <dgm:spPr/>
    </dgm:pt>
    <dgm:pt modelId="{BDC9BE3C-AE73-426A-95BA-5C372C053717}">
      <dgm:prSet phldrT="[Text]" custT="1"/>
      <dgm:spPr>
        <a:solidFill>
          <a:schemeClr val="tx1">
            <a:lumMod val="95000"/>
            <a:lumOff val="5000"/>
          </a:schemeClr>
        </a:solidFill>
      </dgm:spPr>
      <dgm:t>
        <a:bodyPr/>
        <a:lstStyle/>
        <a:p>
          <a:r>
            <a:rPr lang="en-GB" sz="700"/>
            <a:t>Site</a:t>
          </a:r>
        </a:p>
      </dgm:t>
    </dgm:pt>
    <dgm:pt modelId="{066DB3AA-F88B-428D-804D-FC8DA62943DE}" type="parTrans" cxnId="{CF643DB1-F88A-41D9-A1AA-37A346070F6E}">
      <dgm:prSet/>
      <dgm:spPr/>
      <dgm:t>
        <a:bodyPr/>
        <a:lstStyle/>
        <a:p>
          <a:endParaRPr lang="en-GB" sz="700"/>
        </a:p>
      </dgm:t>
    </dgm:pt>
    <dgm:pt modelId="{554EF7BA-8363-4B74-A0AC-35918F376405}" type="sibTrans" cxnId="{CF643DB1-F88A-41D9-A1AA-37A346070F6E}">
      <dgm:prSet/>
      <dgm:spPr/>
      <dgm:t>
        <a:bodyPr/>
        <a:lstStyle/>
        <a:p>
          <a:endParaRPr lang="en-GB" sz="700"/>
        </a:p>
      </dgm:t>
    </dgm:pt>
    <dgm:pt modelId="{C2EADDBF-A4A2-4071-BF1A-2C19131C3F09}">
      <dgm:prSet phldrT="[Text]" custT="1"/>
      <dgm:spPr>
        <a:solidFill>
          <a:srgbClr val="FF0000"/>
        </a:solidFill>
      </dgm:spPr>
      <dgm:t>
        <a:bodyPr/>
        <a:lstStyle/>
        <a:p>
          <a:r>
            <a:rPr lang="en-GB" sz="700"/>
            <a:t>Ownership</a:t>
          </a:r>
        </a:p>
      </dgm:t>
    </dgm:pt>
    <dgm:pt modelId="{08B48B79-EF25-4F10-A169-4CA0510A4B54}" type="parTrans" cxnId="{15C0820E-8858-437C-937A-34B8F3C0E845}">
      <dgm:prSet/>
      <dgm:spPr/>
      <dgm:t>
        <a:bodyPr/>
        <a:lstStyle/>
        <a:p>
          <a:endParaRPr lang="en-GB" sz="700"/>
        </a:p>
      </dgm:t>
    </dgm:pt>
    <dgm:pt modelId="{4B3B024B-D806-45CF-90E0-7551C3E0AC14}" type="sibTrans" cxnId="{15C0820E-8858-437C-937A-34B8F3C0E845}">
      <dgm:prSet/>
      <dgm:spPr/>
      <dgm:t>
        <a:bodyPr/>
        <a:lstStyle/>
        <a:p>
          <a:endParaRPr lang="en-GB" sz="700"/>
        </a:p>
      </dgm:t>
    </dgm:pt>
    <dgm:pt modelId="{505AF8E4-0CBE-418E-A9B4-F571743DF8CE}">
      <dgm:prSet phldrT="[Text]" custT="1"/>
      <dgm:spPr>
        <a:solidFill>
          <a:srgbClr val="FF0000"/>
        </a:solidFill>
      </dgm:spPr>
      <dgm:t>
        <a:bodyPr/>
        <a:lstStyle/>
        <a:p>
          <a:r>
            <a:rPr lang="en-GB" sz="700"/>
            <a:t>Finance and Funding</a:t>
          </a:r>
        </a:p>
      </dgm:t>
    </dgm:pt>
    <dgm:pt modelId="{67744F3A-11AC-4093-9525-C06F4F4626F4}" type="parTrans" cxnId="{6DD66553-84EF-46AD-A4B1-C60C62BC8BCF}">
      <dgm:prSet/>
      <dgm:spPr/>
      <dgm:t>
        <a:bodyPr/>
        <a:lstStyle/>
        <a:p>
          <a:endParaRPr lang="en-GB" sz="700"/>
        </a:p>
      </dgm:t>
    </dgm:pt>
    <dgm:pt modelId="{48B1755B-37A5-4CE0-9346-9198C0E08B77}" type="sibTrans" cxnId="{6DD66553-84EF-46AD-A4B1-C60C62BC8BCF}">
      <dgm:prSet/>
      <dgm:spPr/>
      <dgm:t>
        <a:bodyPr/>
        <a:lstStyle/>
        <a:p>
          <a:endParaRPr lang="en-GB" sz="700"/>
        </a:p>
      </dgm:t>
    </dgm:pt>
    <dgm:pt modelId="{0F4E5239-90CF-4511-AA21-5394B10CEEB1}">
      <dgm:prSet phldrT="[Text]" custT="1"/>
      <dgm:spPr>
        <a:solidFill>
          <a:srgbClr val="FF0000"/>
        </a:solidFill>
      </dgm:spPr>
      <dgm:t>
        <a:bodyPr/>
        <a:lstStyle/>
        <a:p>
          <a:r>
            <a:rPr lang="en-GB" sz="700"/>
            <a:t>Market</a:t>
          </a:r>
        </a:p>
      </dgm:t>
    </dgm:pt>
    <dgm:pt modelId="{3B54F5BE-456F-448A-8F50-9F85B72061BD}" type="parTrans" cxnId="{36EB6EBC-0603-4BBD-BC87-C2FFD4CD3AA1}">
      <dgm:prSet/>
      <dgm:spPr/>
      <dgm:t>
        <a:bodyPr/>
        <a:lstStyle/>
        <a:p>
          <a:endParaRPr lang="en-GB" sz="700"/>
        </a:p>
      </dgm:t>
    </dgm:pt>
    <dgm:pt modelId="{20F0984D-B803-4C2B-A808-2D89B6750059}" type="sibTrans" cxnId="{36EB6EBC-0603-4BBD-BC87-C2FFD4CD3AA1}">
      <dgm:prSet/>
      <dgm:spPr/>
      <dgm:t>
        <a:bodyPr/>
        <a:lstStyle/>
        <a:p>
          <a:endParaRPr lang="en-GB" sz="700"/>
        </a:p>
      </dgm:t>
    </dgm:pt>
    <dgm:pt modelId="{9F9E705E-68ED-4F11-A5C4-D78861179723}">
      <dgm:prSet phldrT="[Text]" custT="1"/>
      <dgm:spPr>
        <a:solidFill>
          <a:srgbClr val="FF0000"/>
        </a:solidFill>
      </dgm:spPr>
      <dgm:t>
        <a:bodyPr/>
        <a:lstStyle/>
        <a:p>
          <a:r>
            <a:rPr lang="en-GB" sz="700"/>
            <a:t>Legal and Planning</a:t>
          </a:r>
        </a:p>
      </dgm:t>
    </dgm:pt>
    <dgm:pt modelId="{7B2D5EDC-FEDB-4133-8D66-34989DD71415}" type="parTrans" cxnId="{CF8B8A9A-9FF9-48A5-9DD5-9F30C9EE6EC8}">
      <dgm:prSet/>
      <dgm:spPr/>
      <dgm:t>
        <a:bodyPr/>
        <a:lstStyle/>
        <a:p>
          <a:endParaRPr lang="en-GB" sz="700"/>
        </a:p>
      </dgm:t>
    </dgm:pt>
    <dgm:pt modelId="{FF103DAD-F6F1-4655-8864-5DA7F81790F5}" type="sibTrans" cxnId="{CF8B8A9A-9FF9-48A5-9DD5-9F30C9EE6EC8}">
      <dgm:prSet/>
      <dgm:spPr/>
      <dgm:t>
        <a:bodyPr/>
        <a:lstStyle/>
        <a:p>
          <a:endParaRPr lang="en-GB" sz="700"/>
        </a:p>
      </dgm:t>
    </dgm:pt>
    <dgm:pt modelId="{31EFAAE5-236F-4FD0-901A-F8E07A5D7E7D}">
      <dgm:prSet phldrT="[Text]" custT="1"/>
      <dgm:spPr>
        <a:solidFill>
          <a:srgbClr val="00B050"/>
        </a:solidFill>
      </dgm:spPr>
      <dgm:t>
        <a:bodyPr/>
        <a:lstStyle/>
        <a:p>
          <a:r>
            <a:rPr lang="en-GB" sz="700"/>
            <a:t>Development</a:t>
          </a:r>
        </a:p>
      </dgm:t>
    </dgm:pt>
    <dgm:pt modelId="{CF29ADE1-B12C-4B37-B1CD-6676E5B039DB}" type="parTrans" cxnId="{4330DD1D-956A-4373-852A-E932DEC25D55}">
      <dgm:prSet/>
      <dgm:spPr/>
      <dgm:t>
        <a:bodyPr/>
        <a:lstStyle/>
        <a:p>
          <a:endParaRPr lang="en-GB" sz="700"/>
        </a:p>
      </dgm:t>
    </dgm:pt>
    <dgm:pt modelId="{D8C2AE6D-117C-40D7-9FE0-CCEA9DA95E10}" type="sibTrans" cxnId="{4330DD1D-956A-4373-852A-E932DEC25D55}">
      <dgm:prSet/>
      <dgm:spPr/>
      <dgm:t>
        <a:bodyPr/>
        <a:lstStyle/>
        <a:p>
          <a:endParaRPr lang="en-GB" sz="700"/>
        </a:p>
      </dgm:t>
    </dgm:pt>
    <dgm:pt modelId="{A7F76EDC-4BF7-4C20-B998-65C11B17F4B8}">
      <dgm:prSet phldrT="[Text]" custT="1"/>
      <dgm:spPr>
        <a:solidFill>
          <a:srgbClr val="FF0000"/>
        </a:solidFill>
      </dgm:spPr>
      <dgm:t>
        <a:bodyPr/>
        <a:lstStyle/>
        <a:p>
          <a:r>
            <a:rPr lang="en-GB" sz="700"/>
            <a:t>Quality</a:t>
          </a:r>
        </a:p>
      </dgm:t>
    </dgm:pt>
    <dgm:pt modelId="{61535ECF-DCA1-43B0-B982-8C758F13CA1B}" type="parTrans" cxnId="{E8CAEDB1-F027-4AA6-89B2-362F6D3B355C}">
      <dgm:prSet/>
      <dgm:spPr/>
      <dgm:t>
        <a:bodyPr/>
        <a:lstStyle/>
        <a:p>
          <a:endParaRPr lang="en-GB" sz="700"/>
        </a:p>
      </dgm:t>
    </dgm:pt>
    <dgm:pt modelId="{83429EE5-8246-49A6-8398-A9E6427ED990}" type="sibTrans" cxnId="{E8CAEDB1-F027-4AA6-89B2-362F6D3B355C}">
      <dgm:prSet/>
      <dgm:spPr/>
      <dgm:t>
        <a:bodyPr/>
        <a:lstStyle/>
        <a:p>
          <a:endParaRPr lang="en-GB" sz="700"/>
        </a:p>
      </dgm:t>
    </dgm:pt>
    <dgm:pt modelId="{BBCCDC4D-5180-4C5B-A6C5-6C92C422EC69}" type="pres">
      <dgm:prSet presAssocID="{1218DBCE-A22A-42F2-9BD1-089980BA3A98}" presName="Name0" presStyleCnt="0">
        <dgm:presLayoutVars>
          <dgm:dir/>
          <dgm:resizeHandles val="exact"/>
        </dgm:presLayoutVars>
      </dgm:prSet>
      <dgm:spPr/>
    </dgm:pt>
    <dgm:pt modelId="{AFB13021-F4A6-4798-BE39-DCDAEEA3D32E}" type="pres">
      <dgm:prSet presAssocID="{BDC9BE3C-AE73-426A-95BA-5C372C053717}" presName="parTxOnly" presStyleLbl="node1" presStyleIdx="0" presStyleCnt="7">
        <dgm:presLayoutVars>
          <dgm:bulletEnabled val="1"/>
        </dgm:presLayoutVars>
      </dgm:prSet>
      <dgm:spPr/>
    </dgm:pt>
    <dgm:pt modelId="{1B25CA51-736E-420B-B77A-A82289E7EC88}" type="pres">
      <dgm:prSet presAssocID="{554EF7BA-8363-4B74-A0AC-35918F376405}" presName="parSpace" presStyleCnt="0"/>
      <dgm:spPr/>
    </dgm:pt>
    <dgm:pt modelId="{35FADE63-5992-4E4F-9319-5336F1620BBD}" type="pres">
      <dgm:prSet presAssocID="{C2EADDBF-A4A2-4071-BF1A-2C19131C3F09}" presName="parTxOnly" presStyleLbl="node1" presStyleIdx="1" presStyleCnt="7">
        <dgm:presLayoutVars>
          <dgm:bulletEnabled val="1"/>
        </dgm:presLayoutVars>
      </dgm:prSet>
      <dgm:spPr/>
    </dgm:pt>
    <dgm:pt modelId="{BA763513-28BF-4240-92EF-AAC0FC2A3C69}" type="pres">
      <dgm:prSet presAssocID="{4B3B024B-D806-45CF-90E0-7551C3E0AC14}" presName="parSpace" presStyleCnt="0"/>
      <dgm:spPr/>
    </dgm:pt>
    <dgm:pt modelId="{0C36CA4C-752F-4F2A-A040-A468538E9B25}" type="pres">
      <dgm:prSet presAssocID="{505AF8E4-0CBE-418E-A9B4-F571743DF8CE}" presName="parTxOnly" presStyleLbl="node1" presStyleIdx="2" presStyleCnt="7">
        <dgm:presLayoutVars>
          <dgm:bulletEnabled val="1"/>
        </dgm:presLayoutVars>
      </dgm:prSet>
      <dgm:spPr/>
    </dgm:pt>
    <dgm:pt modelId="{7793C475-1625-4521-96D6-9E17167023AD}" type="pres">
      <dgm:prSet presAssocID="{48B1755B-37A5-4CE0-9346-9198C0E08B77}" presName="parSpace" presStyleCnt="0"/>
      <dgm:spPr/>
    </dgm:pt>
    <dgm:pt modelId="{BEFAB0C5-311C-4D28-90A1-67B088E9B93F}" type="pres">
      <dgm:prSet presAssocID="{9F9E705E-68ED-4F11-A5C4-D78861179723}" presName="parTxOnly" presStyleLbl="node1" presStyleIdx="3" presStyleCnt="7">
        <dgm:presLayoutVars>
          <dgm:bulletEnabled val="1"/>
        </dgm:presLayoutVars>
      </dgm:prSet>
      <dgm:spPr/>
    </dgm:pt>
    <dgm:pt modelId="{B757117B-1FA2-464B-8740-BC2AC2B8804F}" type="pres">
      <dgm:prSet presAssocID="{FF103DAD-F6F1-4655-8864-5DA7F81790F5}" presName="parSpace" presStyleCnt="0"/>
      <dgm:spPr/>
    </dgm:pt>
    <dgm:pt modelId="{13F50BE3-033A-4AA3-B310-A695E487C903}" type="pres">
      <dgm:prSet presAssocID="{A7F76EDC-4BF7-4C20-B998-65C11B17F4B8}" presName="parTxOnly" presStyleLbl="node1" presStyleIdx="4" presStyleCnt="7">
        <dgm:presLayoutVars>
          <dgm:bulletEnabled val="1"/>
        </dgm:presLayoutVars>
      </dgm:prSet>
      <dgm:spPr/>
    </dgm:pt>
    <dgm:pt modelId="{AC1D88DA-1986-4A20-9EA3-79B7DD410AE0}" type="pres">
      <dgm:prSet presAssocID="{83429EE5-8246-49A6-8398-A9E6427ED990}" presName="parSpace" presStyleCnt="0"/>
      <dgm:spPr/>
    </dgm:pt>
    <dgm:pt modelId="{BE57969F-4CBF-46AE-A9D1-36B97B2D3F65}" type="pres">
      <dgm:prSet presAssocID="{0F4E5239-90CF-4511-AA21-5394B10CEEB1}" presName="parTxOnly" presStyleLbl="node1" presStyleIdx="5" presStyleCnt="7">
        <dgm:presLayoutVars>
          <dgm:bulletEnabled val="1"/>
        </dgm:presLayoutVars>
      </dgm:prSet>
      <dgm:spPr/>
    </dgm:pt>
    <dgm:pt modelId="{051808A7-A981-4FC7-B61C-E6F627470005}" type="pres">
      <dgm:prSet presAssocID="{20F0984D-B803-4C2B-A808-2D89B6750059}" presName="parSpace" presStyleCnt="0"/>
      <dgm:spPr/>
    </dgm:pt>
    <dgm:pt modelId="{591E4C22-343D-4A2C-AC9B-07668F4B4E56}" type="pres">
      <dgm:prSet presAssocID="{31EFAAE5-236F-4FD0-901A-F8E07A5D7E7D}" presName="parTxOnly" presStyleLbl="node1" presStyleIdx="6" presStyleCnt="7">
        <dgm:presLayoutVars>
          <dgm:bulletEnabled val="1"/>
        </dgm:presLayoutVars>
      </dgm:prSet>
      <dgm:spPr/>
    </dgm:pt>
  </dgm:ptLst>
  <dgm:cxnLst>
    <dgm:cxn modelId="{15C0820E-8858-437C-937A-34B8F3C0E845}" srcId="{1218DBCE-A22A-42F2-9BD1-089980BA3A98}" destId="{C2EADDBF-A4A2-4071-BF1A-2C19131C3F09}" srcOrd="1" destOrd="0" parTransId="{08B48B79-EF25-4F10-A169-4CA0510A4B54}" sibTransId="{4B3B024B-D806-45CF-90E0-7551C3E0AC14}"/>
    <dgm:cxn modelId="{4330DD1D-956A-4373-852A-E932DEC25D55}" srcId="{1218DBCE-A22A-42F2-9BD1-089980BA3A98}" destId="{31EFAAE5-236F-4FD0-901A-F8E07A5D7E7D}" srcOrd="6" destOrd="0" parTransId="{CF29ADE1-B12C-4B37-B1CD-6676E5B039DB}" sibTransId="{D8C2AE6D-117C-40D7-9FE0-CCEA9DA95E10}"/>
    <dgm:cxn modelId="{46D59620-8B48-459C-A8A9-C664C69B6910}" type="presOf" srcId="{0F4E5239-90CF-4511-AA21-5394B10CEEB1}" destId="{BE57969F-4CBF-46AE-A9D1-36B97B2D3F65}" srcOrd="0" destOrd="0" presId="urn:microsoft.com/office/officeart/2005/8/layout/hChevron3"/>
    <dgm:cxn modelId="{711EC134-B51D-4AEF-9F98-2564C4D1784D}" type="presOf" srcId="{505AF8E4-0CBE-418E-A9B4-F571743DF8CE}" destId="{0C36CA4C-752F-4F2A-A040-A468538E9B25}" srcOrd="0" destOrd="0" presId="urn:microsoft.com/office/officeart/2005/8/layout/hChevron3"/>
    <dgm:cxn modelId="{63569437-713C-4EDE-9040-9E49E0F9213E}" type="presOf" srcId="{31EFAAE5-236F-4FD0-901A-F8E07A5D7E7D}" destId="{591E4C22-343D-4A2C-AC9B-07668F4B4E56}" srcOrd="0" destOrd="0" presId="urn:microsoft.com/office/officeart/2005/8/layout/hChevron3"/>
    <dgm:cxn modelId="{6DD66553-84EF-46AD-A4B1-C60C62BC8BCF}" srcId="{1218DBCE-A22A-42F2-9BD1-089980BA3A98}" destId="{505AF8E4-0CBE-418E-A9B4-F571743DF8CE}" srcOrd="2" destOrd="0" parTransId="{67744F3A-11AC-4093-9525-C06F4F4626F4}" sibTransId="{48B1755B-37A5-4CE0-9346-9198C0E08B77}"/>
    <dgm:cxn modelId="{186B1180-D200-4E64-B61F-A4743E48C6B0}" type="presOf" srcId="{C2EADDBF-A4A2-4071-BF1A-2C19131C3F09}" destId="{35FADE63-5992-4E4F-9319-5336F1620BBD}" srcOrd="0" destOrd="0" presId="urn:microsoft.com/office/officeart/2005/8/layout/hChevron3"/>
    <dgm:cxn modelId="{C937E790-7E72-4A8F-8595-C5538A6FE908}" type="presOf" srcId="{A7F76EDC-4BF7-4C20-B998-65C11B17F4B8}" destId="{13F50BE3-033A-4AA3-B310-A695E487C903}" srcOrd="0" destOrd="0" presId="urn:microsoft.com/office/officeart/2005/8/layout/hChevron3"/>
    <dgm:cxn modelId="{CF8B8A9A-9FF9-48A5-9DD5-9F30C9EE6EC8}" srcId="{1218DBCE-A22A-42F2-9BD1-089980BA3A98}" destId="{9F9E705E-68ED-4F11-A5C4-D78861179723}" srcOrd="3" destOrd="0" parTransId="{7B2D5EDC-FEDB-4133-8D66-34989DD71415}" sibTransId="{FF103DAD-F6F1-4655-8864-5DA7F81790F5}"/>
    <dgm:cxn modelId="{CF643DB1-F88A-41D9-A1AA-37A346070F6E}" srcId="{1218DBCE-A22A-42F2-9BD1-089980BA3A98}" destId="{BDC9BE3C-AE73-426A-95BA-5C372C053717}" srcOrd="0" destOrd="0" parTransId="{066DB3AA-F88B-428D-804D-FC8DA62943DE}" sibTransId="{554EF7BA-8363-4B74-A0AC-35918F376405}"/>
    <dgm:cxn modelId="{E8CAEDB1-F027-4AA6-89B2-362F6D3B355C}" srcId="{1218DBCE-A22A-42F2-9BD1-089980BA3A98}" destId="{A7F76EDC-4BF7-4C20-B998-65C11B17F4B8}" srcOrd="4" destOrd="0" parTransId="{61535ECF-DCA1-43B0-B982-8C758F13CA1B}" sibTransId="{83429EE5-8246-49A6-8398-A9E6427ED990}"/>
    <dgm:cxn modelId="{36EB6EBC-0603-4BBD-BC87-C2FFD4CD3AA1}" srcId="{1218DBCE-A22A-42F2-9BD1-089980BA3A98}" destId="{0F4E5239-90CF-4511-AA21-5394B10CEEB1}" srcOrd="5" destOrd="0" parTransId="{3B54F5BE-456F-448A-8F50-9F85B72061BD}" sibTransId="{20F0984D-B803-4C2B-A808-2D89B6750059}"/>
    <dgm:cxn modelId="{26979CBE-A793-4B8E-88E6-19FC7FDBCF9E}" type="presOf" srcId="{BDC9BE3C-AE73-426A-95BA-5C372C053717}" destId="{AFB13021-F4A6-4798-BE39-DCDAEEA3D32E}" srcOrd="0" destOrd="0" presId="urn:microsoft.com/office/officeart/2005/8/layout/hChevron3"/>
    <dgm:cxn modelId="{CD98F6EE-D817-4632-8077-2E60011EFA6F}" type="presOf" srcId="{1218DBCE-A22A-42F2-9BD1-089980BA3A98}" destId="{BBCCDC4D-5180-4C5B-A6C5-6C92C422EC69}" srcOrd="0" destOrd="0" presId="urn:microsoft.com/office/officeart/2005/8/layout/hChevron3"/>
    <dgm:cxn modelId="{05692EFC-0F08-4E74-83C0-4E5420FBA95B}" type="presOf" srcId="{9F9E705E-68ED-4F11-A5C4-D78861179723}" destId="{BEFAB0C5-311C-4D28-90A1-67B088E9B93F}" srcOrd="0" destOrd="0" presId="urn:microsoft.com/office/officeart/2005/8/layout/hChevron3"/>
    <dgm:cxn modelId="{FC8A343E-52EB-4C8D-9BCA-3577D8638DBE}" type="presParOf" srcId="{BBCCDC4D-5180-4C5B-A6C5-6C92C422EC69}" destId="{AFB13021-F4A6-4798-BE39-DCDAEEA3D32E}" srcOrd="0" destOrd="0" presId="urn:microsoft.com/office/officeart/2005/8/layout/hChevron3"/>
    <dgm:cxn modelId="{80B488A5-43FD-4F9B-BA6F-7D7AE255E277}" type="presParOf" srcId="{BBCCDC4D-5180-4C5B-A6C5-6C92C422EC69}" destId="{1B25CA51-736E-420B-B77A-A82289E7EC88}" srcOrd="1" destOrd="0" presId="urn:microsoft.com/office/officeart/2005/8/layout/hChevron3"/>
    <dgm:cxn modelId="{3A1073AA-0126-4841-9562-836420055599}" type="presParOf" srcId="{BBCCDC4D-5180-4C5B-A6C5-6C92C422EC69}" destId="{35FADE63-5992-4E4F-9319-5336F1620BBD}" srcOrd="2" destOrd="0" presId="urn:microsoft.com/office/officeart/2005/8/layout/hChevron3"/>
    <dgm:cxn modelId="{1A91E7C6-7BD0-467D-AB34-B10EB0240F19}" type="presParOf" srcId="{BBCCDC4D-5180-4C5B-A6C5-6C92C422EC69}" destId="{BA763513-28BF-4240-92EF-AAC0FC2A3C69}" srcOrd="3" destOrd="0" presId="urn:microsoft.com/office/officeart/2005/8/layout/hChevron3"/>
    <dgm:cxn modelId="{056881DA-AB21-47F8-9FAB-410FDAFF12F3}" type="presParOf" srcId="{BBCCDC4D-5180-4C5B-A6C5-6C92C422EC69}" destId="{0C36CA4C-752F-4F2A-A040-A468538E9B25}" srcOrd="4" destOrd="0" presId="urn:microsoft.com/office/officeart/2005/8/layout/hChevron3"/>
    <dgm:cxn modelId="{4E971BDB-5674-44F1-BA8F-7F000A8F9D14}" type="presParOf" srcId="{BBCCDC4D-5180-4C5B-A6C5-6C92C422EC69}" destId="{7793C475-1625-4521-96D6-9E17167023AD}" srcOrd="5" destOrd="0" presId="urn:microsoft.com/office/officeart/2005/8/layout/hChevron3"/>
    <dgm:cxn modelId="{DAD6CE59-8C8A-4318-A329-BAC96698CBFB}" type="presParOf" srcId="{BBCCDC4D-5180-4C5B-A6C5-6C92C422EC69}" destId="{BEFAB0C5-311C-4D28-90A1-67B088E9B93F}" srcOrd="6" destOrd="0" presId="urn:microsoft.com/office/officeart/2005/8/layout/hChevron3"/>
    <dgm:cxn modelId="{DD0B41F6-5933-44AB-A53D-70896B55DCCE}" type="presParOf" srcId="{BBCCDC4D-5180-4C5B-A6C5-6C92C422EC69}" destId="{B757117B-1FA2-464B-8740-BC2AC2B8804F}" srcOrd="7" destOrd="0" presId="urn:microsoft.com/office/officeart/2005/8/layout/hChevron3"/>
    <dgm:cxn modelId="{39B7D77B-281C-4F81-ACA6-0F62683A1159}" type="presParOf" srcId="{BBCCDC4D-5180-4C5B-A6C5-6C92C422EC69}" destId="{13F50BE3-033A-4AA3-B310-A695E487C903}" srcOrd="8" destOrd="0" presId="urn:microsoft.com/office/officeart/2005/8/layout/hChevron3"/>
    <dgm:cxn modelId="{89929B46-81D6-412F-8403-C3B7392658C5}" type="presParOf" srcId="{BBCCDC4D-5180-4C5B-A6C5-6C92C422EC69}" destId="{AC1D88DA-1986-4A20-9EA3-79B7DD410AE0}" srcOrd="9" destOrd="0" presId="urn:microsoft.com/office/officeart/2005/8/layout/hChevron3"/>
    <dgm:cxn modelId="{A0F1ACF2-98E6-496B-8608-C32B36E80271}" type="presParOf" srcId="{BBCCDC4D-5180-4C5B-A6C5-6C92C422EC69}" destId="{BE57969F-4CBF-46AE-A9D1-36B97B2D3F65}" srcOrd="10" destOrd="0" presId="urn:microsoft.com/office/officeart/2005/8/layout/hChevron3"/>
    <dgm:cxn modelId="{BD5408FB-8C6B-4276-BBAB-DBFA36796C4B}" type="presParOf" srcId="{BBCCDC4D-5180-4C5B-A6C5-6C92C422EC69}" destId="{051808A7-A981-4FC7-B61C-E6F627470005}" srcOrd="11" destOrd="0" presId="urn:microsoft.com/office/officeart/2005/8/layout/hChevron3"/>
    <dgm:cxn modelId="{D69611E2-921C-4E29-838C-D919206F2653}" type="presParOf" srcId="{BBCCDC4D-5180-4C5B-A6C5-6C92C422EC69}" destId="{591E4C22-343D-4A2C-AC9B-07668F4B4E56}" srcOrd="12"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18DBCE-A22A-42F2-9BD1-089980BA3A98}" type="doc">
      <dgm:prSet loTypeId="urn:microsoft.com/office/officeart/2005/8/layout/hChevron3" loCatId="process" qsTypeId="urn:microsoft.com/office/officeart/2005/8/quickstyle/simple1" qsCatId="simple" csTypeId="urn:microsoft.com/office/officeart/2005/8/colors/accent1_2" csCatId="accent1" phldr="1"/>
      <dgm:spPr/>
    </dgm:pt>
    <dgm:pt modelId="{BDC9BE3C-AE73-426A-95BA-5C372C053717}">
      <dgm:prSet phldrT="[Text]" custT="1"/>
      <dgm:spPr>
        <a:solidFill>
          <a:schemeClr val="tx1">
            <a:lumMod val="95000"/>
            <a:lumOff val="5000"/>
          </a:schemeClr>
        </a:solidFill>
      </dgm:spPr>
      <dgm:t>
        <a:bodyPr/>
        <a:lstStyle/>
        <a:p>
          <a:r>
            <a:rPr lang="en-GB" sz="700"/>
            <a:t>Site</a:t>
          </a:r>
        </a:p>
      </dgm:t>
    </dgm:pt>
    <dgm:pt modelId="{066DB3AA-F88B-428D-804D-FC8DA62943DE}" type="parTrans" cxnId="{CF643DB1-F88A-41D9-A1AA-37A346070F6E}">
      <dgm:prSet/>
      <dgm:spPr/>
      <dgm:t>
        <a:bodyPr/>
        <a:lstStyle/>
        <a:p>
          <a:endParaRPr lang="en-GB" sz="700"/>
        </a:p>
      </dgm:t>
    </dgm:pt>
    <dgm:pt modelId="{554EF7BA-8363-4B74-A0AC-35918F376405}" type="sibTrans" cxnId="{CF643DB1-F88A-41D9-A1AA-37A346070F6E}">
      <dgm:prSet/>
      <dgm:spPr/>
      <dgm:t>
        <a:bodyPr/>
        <a:lstStyle/>
        <a:p>
          <a:endParaRPr lang="en-GB" sz="700"/>
        </a:p>
      </dgm:t>
    </dgm:pt>
    <dgm:pt modelId="{C2EADDBF-A4A2-4071-BF1A-2C19131C3F09}">
      <dgm:prSet phldrT="[Text]" custT="1"/>
      <dgm:spPr>
        <a:solidFill>
          <a:schemeClr val="tx1"/>
        </a:solidFill>
      </dgm:spPr>
      <dgm:t>
        <a:bodyPr/>
        <a:lstStyle/>
        <a:p>
          <a:r>
            <a:rPr lang="en-GB" sz="700"/>
            <a:t>Ownership</a:t>
          </a:r>
        </a:p>
      </dgm:t>
    </dgm:pt>
    <dgm:pt modelId="{08B48B79-EF25-4F10-A169-4CA0510A4B54}" type="parTrans" cxnId="{15C0820E-8858-437C-937A-34B8F3C0E845}">
      <dgm:prSet/>
      <dgm:spPr/>
      <dgm:t>
        <a:bodyPr/>
        <a:lstStyle/>
        <a:p>
          <a:endParaRPr lang="en-GB" sz="700"/>
        </a:p>
      </dgm:t>
    </dgm:pt>
    <dgm:pt modelId="{4B3B024B-D806-45CF-90E0-7551C3E0AC14}" type="sibTrans" cxnId="{15C0820E-8858-437C-937A-34B8F3C0E845}">
      <dgm:prSet/>
      <dgm:spPr/>
      <dgm:t>
        <a:bodyPr/>
        <a:lstStyle/>
        <a:p>
          <a:endParaRPr lang="en-GB" sz="700"/>
        </a:p>
      </dgm:t>
    </dgm:pt>
    <dgm:pt modelId="{505AF8E4-0CBE-418E-A9B4-F571743DF8CE}">
      <dgm:prSet phldrT="[Text]" custT="1"/>
      <dgm:spPr>
        <a:solidFill>
          <a:schemeClr val="tx1"/>
        </a:solidFill>
      </dgm:spPr>
      <dgm:t>
        <a:bodyPr/>
        <a:lstStyle/>
        <a:p>
          <a:r>
            <a:rPr lang="en-GB" sz="700"/>
            <a:t>Finance and Funding</a:t>
          </a:r>
        </a:p>
      </dgm:t>
    </dgm:pt>
    <dgm:pt modelId="{67744F3A-11AC-4093-9525-C06F4F4626F4}" type="parTrans" cxnId="{6DD66553-84EF-46AD-A4B1-C60C62BC8BCF}">
      <dgm:prSet/>
      <dgm:spPr/>
      <dgm:t>
        <a:bodyPr/>
        <a:lstStyle/>
        <a:p>
          <a:endParaRPr lang="en-GB" sz="700"/>
        </a:p>
      </dgm:t>
    </dgm:pt>
    <dgm:pt modelId="{48B1755B-37A5-4CE0-9346-9198C0E08B77}" type="sibTrans" cxnId="{6DD66553-84EF-46AD-A4B1-C60C62BC8BCF}">
      <dgm:prSet/>
      <dgm:spPr/>
      <dgm:t>
        <a:bodyPr/>
        <a:lstStyle/>
        <a:p>
          <a:endParaRPr lang="en-GB" sz="700"/>
        </a:p>
      </dgm:t>
    </dgm:pt>
    <dgm:pt modelId="{1EDB1A02-43A9-401E-91B5-5337CE394BE1}">
      <dgm:prSet phldrT="[Text]" custT="1"/>
      <dgm:spPr>
        <a:solidFill>
          <a:srgbClr val="FF0000"/>
        </a:solidFill>
      </dgm:spPr>
      <dgm:t>
        <a:bodyPr/>
        <a:lstStyle/>
        <a:p>
          <a:r>
            <a:rPr lang="en-GB" sz="700"/>
            <a:t>Quality</a:t>
          </a:r>
        </a:p>
      </dgm:t>
    </dgm:pt>
    <dgm:pt modelId="{235E184E-00CE-43FD-9B2A-8E05115AEE3A}" type="parTrans" cxnId="{B7B79D51-1802-4430-A11B-887A63E15126}">
      <dgm:prSet/>
      <dgm:spPr/>
      <dgm:t>
        <a:bodyPr/>
        <a:lstStyle/>
        <a:p>
          <a:endParaRPr lang="en-GB" sz="700"/>
        </a:p>
      </dgm:t>
    </dgm:pt>
    <dgm:pt modelId="{D94D9397-E24F-4E87-A988-684260D84A25}" type="sibTrans" cxnId="{B7B79D51-1802-4430-A11B-887A63E15126}">
      <dgm:prSet/>
      <dgm:spPr/>
      <dgm:t>
        <a:bodyPr/>
        <a:lstStyle/>
        <a:p>
          <a:endParaRPr lang="en-GB" sz="700"/>
        </a:p>
      </dgm:t>
    </dgm:pt>
    <dgm:pt modelId="{0F4E5239-90CF-4511-AA21-5394B10CEEB1}">
      <dgm:prSet phldrT="[Text]" custT="1"/>
      <dgm:spPr>
        <a:solidFill>
          <a:srgbClr val="FF0000"/>
        </a:solidFill>
      </dgm:spPr>
      <dgm:t>
        <a:bodyPr/>
        <a:lstStyle/>
        <a:p>
          <a:r>
            <a:rPr lang="en-GB" sz="700"/>
            <a:t>Market</a:t>
          </a:r>
        </a:p>
      </dgm:t>
    </dgm:pt>
    <dgm:pt modelId="{3B54F5BE-456F-448A-8F50-9F85B72061BD}" type="parTrans" cxnId="{36EB6EBC-0603-4BBD-BC87-C2FFD4CD3AA1}">
      <dgm:prSet/>
      <dgm:spPr/>
      <dgm:t>
        <a:bodyPr/>
        <a:lstStyle/>
        <a:p>
          <a:endParaRPr lang="en-GB" sz="700"/>
        </a:p>
      </dgm:t>
    </dgm:pt>
    <dgm:pt modelId="{20F0984D-B803-4C2B-A808-2D89B6750059}" type="sibTrans" cxnId="{36EB6EBC-0603-4BBD-BC87-C2FFD4CD3AA1}">
      <dgm:prSet/>
      <dgm:spPr/>
      <dgm:t>
        <a:bodyPr/>
        <a:lstStyle/>
        <a:p>
          <a:endParaRPr lang="en-GB" sz="700"/>
        </a:p>
      </dgm:t>
    </dgm:pt>
    <dgm:pt modelId="{9F9E705E-68ED-4F11-A5C4-D78861179723}">
      <dgm:prSet phldrT="[Text]" custT="1"/>
      <dgm:spPr>
        <a:solidFill>
          <a:srgbClr val="FF0000"/>
        </a:solidFill>
      </dgm:spPr>
      <dgm:t>
        <a:bodyPr/>
        <a:lstStyle/>
        <a:p>
          <a:r>
            <a:rPr lang="en-GB" sz="700"/>
            <a:t>Legal and Planning</a:t>
          </a:r>
        </a:p>
      </dgm:t>
    </dgm:pt>
    <dgm:pt modelId="{7B2D5EDC-FEDB-4133-8D66-34989DD71415}" type="parTrans" cxnId="{CF8B8A9A-9FF9-48A5-9DD5-9F30C9EE6EC8}">
      <dgm:prSet/>
      <dgm:spPr/>
      <dgm:t>
        <a:bodyPr/>
        <a:lstStyle/>
        <a:p>
          <a:endParaRPr lang="en-GB" sz="700"/>
        </a:p>
      </dgm:t>
    </dgm:pt>
    <dgm:pt modelId="{FF103DAD-F6F1-4655-8864-5DA7F81790F5}" type="sibTrans" cxnId="{CF8B8A9A-9FF9-48A5-9DD5-9F30C9EE6EC8}">
      <dgm:prSet/>
      <dgm:spPr/>
      <dgm:t>
        <a:bodyPr/>
        <a:lstStyle/>
        <a:p>
          <a:endParaRPr lang="en-GB" sz="700"/>
        </a:p>
      </dgm:t>
    </dgm:pt>
    <dgm:pt modelId="{31EFAAE5-236F-4FD0-901A-F8E07A5D7E7D}">
      <dgm:prSet phldrT="[Text]" custT="1"/>
      <dgm:spPr>
        <a:solidFill>
          <a:srgbClr val="00B050"/>
        </a:solidFill>
      </dgm:spPr>
      <dgm:t>
        <a:bodyPr/>
        <a:lstStyle/>
        <a:p>
          <a:r>
            <a:rPr lang="en-GB" sz="700"/>
            <a:t>Development</a:t>
          </a:r>
        </a:p>
      </dgm:t>
    </dgm:pt>
    <dgm:pt modelId="{CF29ADE1-B12C-4B37-B1CD-6676E5B039DB}" type="parTrans" cxnId="{4330DD1D-956A-4373-852A-E932DEC25D55}">
      <dgm:prSet/>
      <dgm:spPr/>
      <dgm:t>
        <a:bodyPr/>
        <a:lstStyle/>
        <a:p>
          <a:endParaRPr lang="en-GB" sz="700"/>
        </a:p>
      </dgm:t>
    </dgm:pt>
    <dgm:pt modelId="{D8C2AE6D-117C-40D7-9FE0-CCEA9DA95E10}" type="sibTrans" cxnId="{4330DD1D-956A-4373-852A-E932DEC25D55}">
      <dgm:prSet/>
      <dgm:spPr/>
      <dgm:t>
        <a:bodyPr/>
        <a:lstStyle/>
        <a:p>
          <a:endParaRPr lang="en-GB" sz="700"/>
        </a:p>
      </dgm:t>
    </dgm:pt>
    <dgm:pt modelId="{BBCCDC4D-5180-4C5B-A6C5-6C92C422EC69}" type="pres">
      <dgm:prSet presAssocID="{1218DBCE-A22A-42F2-9BD1-089980BA3A98}" presName="Name0" presStyleCnt="0">
        <dgm:presLayoutVars>
          <dgm:dir/>
          <dgm:resizeHandles val="exact"/>
        </dgm:presLayoutVars>
      </dgm:prSet>
      <dgm:spPr/>
    </dgm:pt>
    <dgm:pt modelId="{AFB13021-F4A6-4798-BE39-DCDAEEA3D32E}" type="pres">
      <dgm:prSet presAssocID="{BDC9BE3C-AE73-426A-95BA-5C372C053717}" presName="parTxOnly" presStyleLbl="node1" presStyleIdx="0" presStyleCnt="7">
        <dgm:presLayoutVars>
          <dgm:bulletEnabled val="1"/>
        </dgm:presLayoutVars>
      </dgm:prSet>
      <dgm:spPr/>
    </dgm:pt>
    <dgm:pt modelId="{1B25CA51-736E-420B-B77A-A82289E7EC88}" type="pres">
      <dgm:prSet presAssocID="{554EF7BA-8363-4B74-A0AC-35918F376405}" presName="parSpace" presStyleCnt="0"/>
      <dgm:spPr/>
    </dgm:pt>
    <dgm:pt modelId="{35FADE63-5992-4E4F-9319-5336F1620BBD}" type="pres">
      <dgm:prSet presAssocID="{C2EADDBF-A4A2-4071-BF1A-2C19131C3F09}" presName="parTxOnly" presStyleLbl="node1" presStyleIdx="1" presStyleCnt="7">
        <dgm:presLayoutVars>
          <dgm:bulletEnabled val="1"/>
        </dgm:presLayoutVars>
      </dgm:prSet>
      <dgm:spPr/>
    </dgm:pt>
    <dgm:pt modelId="{BA763513-28BF-4240-92EF-AAC0FC2A3C69}" type="pres">
      <dgm:prSet presAssocID="{4B3B024B-D806-45CF-90E0-7551C3E0AC14}" presName="parSpace" presStyleCnt="0"/>
      <dgm:spPr/>
    </dgm:pt>
    <dgm:pt modelId="{0C36CA4C-752F-4F2A-A040-A468538E9B25}" type="pres">
      <dgm:prSet presAssocID="{505AF8E4-0CBE-418E-A9B4-F571743DF8CE}" presName="parTxOnly" presStyleLbl="node1" presStyleIdx="2" presStyleCnt="7">
        <dgm:presLayoutVars>
          <dgm:bulletEnabled val="1"/>
        </dgm:presLayoutVars>
      </dgm:prSet>
      <dgm:spPr/>
    </dgm:pt>
    <dgm:pt modelId="{7793C475-1625-4521-96D6-9E17167023AD}" type="pres">
      <dgm:prSet presAssocID="{48B1755B-37A5-4CE0-9346-9198C0E08B77}" presName="parSpace" presStyleCnt="0"/>
      <dgm:spPr/>
    </dgm:pt>
    <dgm:pt modelId="{BEFAB0C5-311C-4D28-90A1-67B088E9B93F}" type="pres">
      <dgm:prSet presAssocID="{9F9E705E-68ED-4F11-A5C4-D78861179723}" presName="parTxOnly" presStyleLbl="node1" presStyleIdx="3" presStyleCnt="7">
        <dgm:presLayoutVars>
          <dgm:bulletEnabled val="1"/>
        </dgm:presLayoutVars>
      </dgm:prSet>
      <dgm:spPr/>
    </dgm:pt>
    <dgm:pt modelId="{B757117B-1FA2-464B-8740-BC2AC2B8804F}" type="pres">
      <dgm:prSet presAssocID="{FF103DAD-F6F1-4655-8864-5DA7F81790F5}" presName="parSpace" presStyleCnt="0"/>
      <dgm:spPr/>
    </dgm:pt>
    <dgm:pt modelId="{66234EC6-23DB-4EB3-B4B8-98A22C41DC1F}" type="pres">
      <dgm:prSet presAssocID="{1EDB1A02-43A9-401E-91B5-5337CE394BE1}" presName="parTxOnly" presStyleLbl="node1" presStyleIdx="4" presStyleCnt="7">
        <dgm:presLayoutVars>
          <dgm:bulletEnabled val="1"/>
        </dgm:presLayoutVars>
      </dgm:prSet>
      <dgm:spPr/>
    </dgm:pt>
    <dgm:pt modelId="{6D2F4CF2-C42B-443C-BD7F-1E2D6EBD18F4}" type="pres">
      <dgm:prSet presAssocID="{D94D9397-E24F-4E87-A988-684260D84A25}" presName="parSpace" presStyleCnt="0"/>
      <dgm:spPr/>
    </dgm:pt>
    <dgm:pt modelId="{BE57969F-4CBF-46AE-A9D1-36B97B2D3F65}" type="pres">
      <dgm:prSet presAssocID="{0F4E5239-90CF-4511-AA21-5394B10CEEB1}" presName="parTxOnly" presStyleLbl="node1" presStyleIdx="5" presStyleCnt="7">
        <dgm:presLayoutVars>
          <dgm:bulletEnabled val="1"/>
        </dgm:presLayoutVars>
      </dgm:prSet>
      <dgm:spPr/>
    </dgm:pt>
    <dgm:pt modelId="{051808A7-A981-4FC7-B61C-E6F627470005}" type="pres">
      <dgm:prSet presAssocID="{20F0984D-B803-4C2B-A808-2D89B6750059}" presName="parSpace" presStyleCnt="0"/>
      <dgm:spPr/>
    </dgm:pt>
    <dgm:pt modelId="{591E4C22-343D-4A2C-AC9B-07668F4B4E56}" type="pres">
      <dgm:prSet presAssocID="{31EFAAE5-236F-4FD0-901A-F8E07A5D7E7D}" presName="parTxOnly" presStyleLbl="node1" presStyleIdx="6" presStyleCnt="7">
        <dgm:presLayoutVars>
          <dgm:bulletEnabled val="1"/>
        </dgm:presLayoutVars>
      </dgm:prSet>
      <dgm:spPr/>
    </dgm:pt>
  </dgm:ptLst>
  <dgm:cxnLst>
    <dgm:cxn modelId="{15C0820E-8858-437C-937A-34B8F3C0E845}" srcId="{1218DBCE-A22A-42F2-9BD1-089980BA3A98}" destId="{C2EADDBF-A4A2-4071-BF1A-2C19131C3F09}" srcOrd="1" destOrd="0" parTransId="{08B48B79-EF25-4F10-A169-4CA0510A4B54}" sibTransId="{4B3B024B-D806-45CF-90E0-7551C3E0AC14}"/>
    <dgm:cxn modelId="{4330DD1D-956A-4373-852A-E932DEC25D55}" srcId="{1218DBCE-A22A-42F2-9BD1-089980BA3A98}" destId="{31EFAAE5-236F-4FD0-901A-F8E07A5D7E7D}" srcOrd="6" destOrd="0" parTransId="{CF29ADE1-B12C-4B37-B1CD-6676E5B039DB}" sibTransId="{D8C2AE6D-117C-40D7-9FE0-CCEA9DA95E10}"/>
    <dgm:cxn modelId="{46D59620-8B48-459C-A8A9-C664C69B6910}" type="presOf" srcId="{0F4E5239-90CF-4511-AA21-5394B10CEEB1}" destId="{BE57969F-4CBF-46AE-A9D1-36B97B2D3F65}" srcOrd="0" destOrd="0" presId="urn:microsoft.com/office/officeart/2005/8/layout/hChevron3"/>
    <dgm:cxn modelId="{711EC134-B51D-4AEF-9F98-2564C4D1784D}" type="presOf" srcId="{505AF8E4-0CBE-418E-A9B4-F571743DF8CE}" destId="{0C36CA4C-752F-4F2A-A040-A468538E9B25}" srcOrd="0" destOrd="0" presId="urn:microsoft.com/office/officeart/2005/8/layout/hChevron3"/>
    <dgm:cxn modelId="{63569437-713C-4EDE-9040-9E49E0F9213E}" type="presOf" srcId="{31EFAAE5-236F-4FD0-901A-F8E07A5D7E7D}" destId="{591E4C22-343D-4A2C-AC9B-07668F4B4E56}" srcOrd="0" destOrd="0" presId="urn:microsoft.com/office/officeart/2005/8/layout/hChevron3"/>
    <dgm:cxn modelId="{B7B79D51-1802-4430-A11B-887A63E15126}" srcId="{1218DBCE-A22A-42F2-9BD1-089980BA3A98}" destId="{1EDB1A02-43A9-401E-91B5-5337CE394BE1}" srcOrd="4" destOrd="0" parTransId="{235E184E-00CE-43FD-9B2A-8E05115AEE3A}" sibTransId="{D94D9397-E24F-4E87-A988-684260D84A25}"/>
    <dgm:cxn modelId="{6DD66553-84EF-46AD-A4B1-C60C62BC8BCF}" srcId="{1218DBCE-A22A-42F2-9BD1-089980BA3A98}" destId="{505AF8E4-0CBE-418E-A9B4-F571743DF8CE}" srcOrd="2" destOrd="0" parTransId="{67744F3A-11AC-4093-9525-C06F4F4626F4}" sibTransId="{48B1755B-37A5-4CE0-9346-9198C0E08B77}"/>
    <dgm:cxn modelId="{186B1180-D200-4E64-B61F-A4743E48C6B0}" type="presOf" srcId="{C2EADDBF-A4A2-4071-BF1A-2C19131C3F09}" destId="{35FADE63-5992-4E4F-9319-5336F1620BBD}" srcOrd="0" destOrd="0" presId="urn:microsoft.com/office/officeart/2005/8/layout/hChevron3"/>
    <dgm:cxn modelId="{CF8B8A9A-9FF9-48A5-9DD5-9F30C9EE6EC8}" srcId="{1218DBCE-A22A-42F2-9BD1-089980BA3A98}" destId="{9F9E705E-68ED-4F11-A5C4-D78861179723}" srcOrd="3" destOrd="0" parTransId="{7B2D5EDC-FEDB-4133-8D66-34989DD71415}" sibTransId="{FF103DAD-F6F1-4655-8864-5DA7F81790F5}"/>
    <dgm:cxn modelId="{CF643DB1-F88A-41D9-A1AA-37A346070F6E}" srcId="{1218DBCE-A22A-42F2-9BD1-089980BA3A98}" destId="{BDC9BE3C-AE73-426A-95BA-5C372C053717}" srcOrd="0" destOrd="0" parTransId="{066DB3AA-F88B-428D-804D-FC8DA62943DE}" sibTransId="{554EF7BA-8363-4B74-A0AC-35918F376405}"/>
    <dgm:cxn modelId="{36EB6EBC-0603-4BBD-BC87-C2FFD4CD3AA1}" srcId="{1218DBCE-A22A-42F2-9BD1-089980BA3A98}" destId="{0F4E5239-90CF-4511-AA21-5394B10CEEB1}" srcOrd="5" destOrd="0" parTransId="{3B54F5BE-456F-448A-8F50-9F85B72061BD}" sibTransId="{20F0984D-B803-4C2B-A808-2D89B6750059}"/>
    <dgm:cxn modelId="{26979CBE-A793-4B8E-88E6-19FC7FDBCF9E}" type="presOf" srcId="{BDC9BE3C-AE73-426A-95BA-5C372C053717}" destId="{AFB13021-F4A6-4798-BE39-DCDAEEA3D32E}" srcOrd="0" destOrd="0" presId="urn:microsoft.com/office/officeart/2005/8/layout/hChevron3"/>
    <dgm:cxn modelId="{6EEF7BCB-8D80-45D7-861D-FFD5EFE5B278}" type="presOf" srcId="{1EDB1A02-43A9-401E-91B5-5337CE394BE1}" destId="{66234EC6-23DB-4EB3-B4B8-98A22C41DC1F}" srcOrd="0" destOrd="0" presId="urn:microsoft.com/office/officeart/2005/8/layout/hChevron3"/>
    <dgm:cxn modelId="{CD98F6EE-D817-4632-8077-2E60011EFA6F}" type="presOf" srcId="{1218DBCE-A22A-42F2-9BD1-089980BA3A98}" destId="{BBCCDC4D-5180-4C5B-A6C5-6C92C422EC69}" srcOrd="0" destOrd="0" presId="urn:microsoft.com/office/officeart/2005/8/layout/hChevron3"/>
    <dgm:cxn modelId="{05692EFC-0F08-4E74-83C0-4E5420FBA95B}" type="presOf" srcId="{9F9E705E-68ED-4F11-A5C4-D78861179723}" destId="{BEFAB0C5-311C-4D28-90A1-67B088E9B93F}" srcOrd="0" destOrd="0" presId="urn:microsoft.com/office/officeart/2005/8/layout/hChevron3"/>
    <dgm:cxn modelId="{FC8A343E-52EB-4C8D-9BCA-3577D8638DBE}" type="presParOf" srcId="{BBCCDC4D-5180-4C5B-A6C5-6C92C422EC69}" destId="{AFB13021-F4A6-4798-BE39-DCDAEEA3D32E}" srcOrd="0" destOrd="0" presId="urn:microsoft.com/office/officeart/2005/8/layout/hChevron3"/>
    <dgm:cxn modelId="{80B488A5-43FD-4F9B-BA6F-7D7AE255E277}" type="presParOf" srcId="{BBCCDC4D-5180-4C5B-A6C5-6C92C422EC69}" destId="{1B25CA51-736E-420B-B77A-A82289E7EC88}" srcOrd="1" destOrd="0" presId="urn:microsoft.com/office/officeart/2005/8/layout/hChevron3"/>
    <dgm:cxn modelId="{3A1073AA-0126-4841-9562-836420055599}" type="presParOf" srcId="{BBCCDC4D-5180-4C5B-A6C5-6C92C422EC69}" destId="{35FADE63-5992-4E4F-9319-5336F1620BBD}" srcOrd="2" destOrd="0" presId="urn:microsoft.com/office/officeart/2005/8/layout/hChevron3"/>
    <dgm:cxn modelId="{1A91E7C6-7BD0-467D-AB34-B10EB0240F19}" type="presParOf" srcId="{BBCCDC4D-5180-4C5B-A6C5-6C92C422EC69}" destId="{BA763513-28BF-4240-92EF-AAC0FC2A3C69}" srcOrd="3" destOrd="0" presId="urn:microsoft.com/office/officeart/2005/8/layout/hChevron3"/>
    <dgm:cxn modelId="{056881DA-AB21-47F8-9FAB-410FDAFF12F3}" type="presParOf" srcId="{BBCCDC4D-5180-4C5B-A6C5-6C92C422EC69}" destId="{0C36CA4C-752F-4F2A-A040-A468538E9B25}" srcOrd="4" destOrd="0" presId="urn:microsoft.com/office/officeart/2005/8/layout/hChevron3"/>
    <dgm:cxn modelId="{4E971BDB-5674-44F1-BA8F-7F000A8F9D14}" type="presParOf" srcId="{BBCCDC4D-5180-4C5B-A6C5-6C92C422EC69}" destId="{7793C475-1625-4521-96D6-9E17167023AD}" srcOrd="5" destOrd="0" presId="urn:microsoft.com/office/officeart/2005/8/layout/hChevron3"/>
    <dgm:cxn modelId="{DAD6CE59-8C8A-4318-A329-BAC96698CBFB}" type="presParOf" srcId="{BBCCDC4D-5180-4C5B-A6C5-6C92C422EC69}" destId="{BEFAB0C5-311C-4D28-90A1-67B088E9B93F}" srcOrd="6" destOrd="0" presId="urn:microsoft.com/office/officeart/2005/8/layout/hChevron3"/>
    <dgm:cxn modelId="{DD0B41F6-5933-44AB-A53D-70896B55DCCE}" type="presParOf" srcId="{BBCCDC4D-5180-4C5B-A6C5-6C92C422EC69}" destId="{B757117B-1FA2-464B-8740-BC2AC2B8804F}" srcOrd="7" destOrd="0" presId="urn:microsoft.com/office/officeart/2005/8/layout/hChevron3"/>
    <dgm:cxn modelId="{43F43979-1B4D-4DDE-8E4C-2CDF3936CBD4}" type="presParOf" srcId="{BBCCDC4D-5180-4C5B-A6C5-6C92C422EC69}" destId="{66234EC6-23DB-4EB3-B4B8-98A22C41DC1F}" srcOrd="8" destOrd="0" presId="urn:microsoft.com/office/officeart/2005/8/layout/hChevron3"/>
    <dgm:cxn modelId="{91E56E23-0365-416E-9FC3-A4FAB86ECC75}" type="presParOf" srcId="{BBCCDC4D-5180-4C5B-A6C5-6C92C422EC69}" destId="{6D2F4CF2-C42B-443C-BD7F-1E2D6EBD18F4}" srcOrd="9" destOrd="0" presId="urn:microsoft.com/office/officeart/2005/8/layout/hChevron3"/>
    <dgm:cxn modelId="{A0F1ACF2-98E6-496B-8608-C32B36E80271}" type="presParOf" srcId="{BBCCDC4D-5180-4C5B-A6C5-6C92C422EC69}" destId="{BE57969F-4CBF-46AE-A9D1-36B97B2D3F65}" srcOrd="10" destOrd="0" presId="urn:microsoft.com/office/officeart/2005/8/layout/hChevron3"/>
    <dgm:cxn modelId="{BD5408FB-8C6B-4276-BBAB-DBFA36796C4B}" type="presParOf" srcId="{BBCCDC4D-5180-4C5B-A6C5-6C92C422EC69}" destId="{051808A7-A981-4FC7-B61C-E6F627470005}" srcOrd="11" destOrd="0" presId="urn:microsoft.com/office/officeart/2005/8/layout/hChevron3"/>
    <dgm:cxn modelId="{D69611E2-921C-4E29-838C-D919206F2653}" type="presParOf" srcId="{BBCCDC4D-5180-4C5B-A6C5-6C92C422EC69}" destId="{591E4C22-343D-4A2C-AC9B-07668F4B4E56}" srcOrd="12"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18DBCE-A22A-42F2-9BD1-089980BA3A98}" type="doc">
      <dgm:prSet loTypeId="urn:microsoft.com/office/officeart/2005/8/layout/hChevron3" loCatId="process" qsTypeId="urn:microsoft.com/office/officeart/2005/8/quickstyle/simple1" qsCatId="simple" csTypeId="urn:microsoft.com/office/officeart/2005/8/colors/accent1_2" csCatId="accent1" phldr="1"/>
      <dgm:spPr/>
    </dgm:pt>
    <dgm:pt modelId="{BDC9BE3C-AE73-426A-95BA-5C372C053717}">
      <dgm:prSet phldrT="[Text]" custT="1"/>
      <dgm:spPr>
        <a:solidFill>
          <a:schemeClr val="tx1">
            <a:lumMod val="95000"/>
            <a:lumOff val="5000"/>
          </a:schemeClr>
        </a:solidFill>
      </dgm:spPr>
      <dgm:t>
        <a:bodyPr/>
        <a:lstStyle/>
        <a:p>
          <a:r>
            <a:rPr lang="en-GB" sz="700"/>
            <a:t>Site</a:t>
          </a:r>
        </a:p>
      </dgm:t>
    </dgm:pt>
    <dgm:pt modelId="{066DB3AA-F88B-428D-804D-FC8DA62943DE}" type="parTrans" cxnId="{CF643DB1-F88A-41D9-A1AA-37A346070F6E}">
      <dgm:prSet/>
      <dgm:spPr/>
      <dgm:t>
        <a:bodyPr/>
        <a:lstStyle/>
        <a:p>
          <a:endParaRPr lang="en-GB" sz="700"/>
        </a:p>
      </dgm:t>
    </dgm:pt>
    <dgm:pt modelId="{554EF7BA-8363-4B74-A0AC-35918F376405}" type="sibTrans" cxnId="{CF643DB1-F88A-41D9-A1AA-37A346070F6E}">
      <dgm:prSet/>
      <dgm:spPr/>
      <dgm:t>
        <a:bodyPr/>
        <a:lstStyle/>
        <a:p>
          <a:endParaRPr lang="en-GB" sz="700"/>
        </a:p>
      </dgm:t>
    </dgm:pt>
    <dgm:pt modelId="{C2EADDBF-A4A2-4071-BF1A-2C19131C3F09}">
      <dgm:prSet phldrT="[Text]" custT="1"/>
      <dgm:spPr>
        <a:solidFill>
          <a:schemeClr val="tx1"/>
        </a:solidFill>
      </dgm:spPr>
      <dgm:t>
        <a:bodyPr/>
        <a:lstStyle/>
        <a:p>
          <a:r>
            <a:rPr lang="en-GB" sz="700"/>
            <a:t>Ownership</a:t>
          </a:r>
        </a:p>
      </dgm:t>
    </dgm:pt>
    <dgm:pt modelId="{08B48B79-EF25-4F10-A169-4CA0510A4B54}" type="parTrans" cxnId="{15C0820E-8858-437C-937A-34B8F3C0E845}">
      <dgm:prSet/>
      <dgm:spPr/>
      <dgm:t>
        <a:bodyPr/>
        <a:lstStyle/>
        <a:p>
          <a:endParaRPr lang="en-GB" sz="700"/>
        </a:p>
      </dgm:t>
    </dgm:pt>
    <dgm:pt modelId="{4B3B024B-D806-45CF-90E0-7551C3E0AC14}" type="sibTrans" cxnId="{15C0820E-8858-437C-937A-34B8F3C0E845}">
      <dgm:prSet/>
      <dgm:spPr/>
      <dgm:t>
        <a:bodyPr/>
        <a:lstStyle/>
        <a:p>
          <a:endParaRPr lang="en-GB" sz="700"/>
        </a:p>
      </dgm:t>
    </dgm:pt>
    <dgm:pt modelId="{505AF8E4-0CBE-418E-A9B4-F571743DF8CE}">
      <dgm:prSet phldrT="[Text]" custT="1"/>
      <dgm:spPr>
        <a:solidFill>
          <a:schemeClr val="tx1"/>
        </a:solidFill>
      </dgm:spPr>
      <dgm:t>
        <a:bodyPr/>
        <a:lstStyle/>
        <a:p>
          <a:r>
            <a:rPr lang="en-GB" sz="700"/>
            <a:t>Finance and Funding</a:t>
          </a:r>
        </a:p>
      </dgm:t>
    </dgm:pt>
    <dgm:pt modelId="{67744F3A-11AC-4093-9525-C06F4F4626F4}" type="parTrans" cxnId="{6DD66553-84EF-46AD-A4B1-C60C62BC8BCF}">
      <dgm:prSet/>
      <dgm:spPr/>
      <dgm:t>
        <a:bodyPr/>
        <a:lstStyle/>
        <a:p>
          <a:endParaRPr lang="en-GB" sz="700"/>
        </a:p>
      </dgm:t>
    </dgm:pt>
    <dgm:pt modelId="{48B1755B-37A5-4CE0-9346-9198C0E08B77}" type="sibTrans" cxnId="{6DD66553-84EF-46AD-A4B1-C60C62BC8BCF}">
      <dgm:prSet/>
      <dgm:spPr/>
      <dgm:t>
        <a:bodyPr/>
        <a:lstStyle/>
        <a:p>
          <a:endParaRPr lang="en-GB" sz="700"/>
        </a:p>
      </dgm:t>
    </dgm:pt>
    <dgm:pt modelId="{1EDB1A02-43A9-401E-91B5-5337CE394BE1}">
      <dgm:prSet phldrT="[Text]" custT="1"/>
      <dgm:spPr>
        <a:solidFill>
          <a:srgbClr val="FF0000"/>
        </a:solidFill>
      </dgm:spPr>
      <dgm:t>
        <a:bodyPr/>
        <a:lstStyle/>
        <a:p>
          <a:r>
            <a:rPr lang="en-GB" sz="700"/>
            <a:t>Quality</a:t>
          </a:r>
        </a:p>
      </dgm:t>
    </dgm:pt>
    <dgm:pt modelId="{235E184E-00CE-43FD-9B2A-8E05115AEE3A}" type="parTrans" cxnId="{B7B79D51-1802-4430-A11B-887A63E15126}">
      <dgm:prSet/>
      <dgm:spPr/>
      <dgm:t>
        <a:bodyPr/>
        <a:lstStyle/>
        <a:p>
          <a:endParaRPr lang="en-GB" sz="700"/>
        </a:p>
      </dgm:t>
    </dgm:pt>
    <dgm:pt modelId="{D94D9397-E24F-4E87-A988-684260D84A25}" type="sibTrans" cxnId="{B7B79D51-1802-4430-A11B-887A63E15126}">
      <dgm:prSet/>
      <dgm:spPr/>
      <dgm:t>
        <a:bodyPr/>
        <a:lstStyle/>
        <a:p>
          <a:endParaRPr lang="en-GB" sz="700"/>
        </a:p>
      </dgm:t>
    </dgm:pt>
    <dgm:pt modelId="{0F4E5239-90CF-4511-AA21-5394B10CEEB1}">
      <dgm:prSet phldrT="[Text]" custT="1"/>
      <dgm:spPr>
        <a:solidFill>
          <a:srgbClr val="FF0000"/>
        </a:solidFill>
      </dgm:spPr>
      <dgm:t>
        <a:bodyPr/>
        <a:lstStyle/>
        <a:p>
          <a:r>
            <a:rPr lang="en-GB" sz="700"/>
            <a:t>Market</a:t>
          </a:r>
        </a:p>
      </dgm:t>
    </dgm:pt>
    <dgm:pt modelId="{3B54F5BE-456F-448A-8F50-9F85B72061BD}" type="parTrans" cxnId="{36EB6EBC-0603-4BBD-BC87-C2FFD4CD3AA1}">
      <dgm:prSet/>
      <dgm:spPr/>
      <dgm:t>
        <a:bodyPr/>
        <a:lstStyle/>
        <a:p>
          <a:endParaRPr lang="en-GB" sz="700"/>
        </a:p>
      </dgm:t>
    </dgm:pt>
    <dgm:pt modelId="{20F0984D-B803-4C2B-A808-2D89B6750059}" type="sibTrans" cxnId="{36EB6EBC-0603-4BBD-BC87-C2FFD4CD3AA1}">
      <dgm:prSet/>
      <dgm:spPr/>
      <dgm:t>
        <a:bodyPr/>
        <a:lstStyle/>
        <a:p>
          <a:endParaRPr lang="en-GB" sz="700"/>
        </a:p>
      </dgm:t>
    </dgm:pt>
    <dgm:pt modelId="{9F9E705E-68ED-4F11-A5C4-D78861179723}">
      <dgm:prSet phldrT="[Text]" custT="1"/>
      <dgm:spPr>
        <a:solidFill>
          <a:schemeClr val="tx1"/>
        </a:solidFill>
      </dgm:spPr>
      <dgm:t>
        <a:bodyPr/>
        <a:lstStyle/>
        <a:p>
          <a:r>
            <a:rPr lang="en-GB" sz="700"/>
            <a:t>Legal and Planning</a:t>
          </a:r>
        </a:p>
      </dgm:t>
    </dgm:pt>
    <dgm:pt modelId="{7B2D5EDC-FEDB-4133-8D66-34989DD71415}" type="parTrans" cxnId="{CF8B8A9A-9FF9-48A5-9DD5-9F30C9EE6EC8}">
      <dgm:prSet/>
      <dgm:spPr/>
      <dgm:t>
        <a:bodyPr/>
        <a:lstStyle/>
        <a:p>
          <a:endParaRPr lang="en-GB" sz="700"/>
        </a:p>
      </dgm:t>
    </dgm:pt>
    <dgm:pt modelId="{FF103DAD-F6F1-4655-8864-5DA7F81790F5}" type="sibTrans" cxnId="{CF8B8A9A-9FF9-48A5-9DD5-9F30C9EE6EC8}">
      <dgm:prSet/>
      <dgm:spPr/>
      <dgm:t>
        <a:bodyPr/>
        <a:lstStyle/>
        <a:p>
          <a:endParaRPr lang="en-GB" sz="700"/>
        </a:p>
      </dgm:t>
    </dgm:pt>
    <dgm:pt modelId="{31EFAAE5-236F-4FD0-901A-F8E07A5D7E7D}">
      <dgm:prSet phldrT="[Text]" custT="1"/>
      <dgm:spPr>
        <a:solidFill>
          <a:srgbClr val="00B050"/>
        </a:solidFill>
      </dgm:spPr>
      <dgm:t>
        <a:bodyPr/>
        <a:lstStyle/>
        <a:p>
          <a:r>
            <a:rPr lang="en-GB" sz="700"/>
            <a:t>Development</a:t>
          </a:r>
        </a:p>
      </dgm:t>
    </dgm:pt>
    <dgm:pt modelId="{CF29ADE1-B12C-4B37-B1CD-6676E5B039DB}" type="parTrans" cxnId="{4330DD1D-956A-4373-852A-E932DEC25D55}">
      <dgm:prSet/>
      <dgm:spPr/>
      <dgm:t>
        <a:bodyPr/>
        <a:lstStyle/>
        <a:p>
          <a:endParaRPr lang="en-GB" sz="700"/>
        </a:p>
      </dgm:t>
    </dgm:pt>
    <dgm:pt modelId="{D8C2AE6D-117C-40D7-9FE0-CCEA9DA95E10}" type="sibTrans" cxnId="{4330DD1D-956A-4373-852A-E932DEC25D55}">
      <dgm:prSet/>
      <dgm:spPr/>
      <dgm:t>
        <a:bodyPr/>
        <a:lstStyle/>
        <a:p>
          <a:endParaRPr lang="en-GB" sz="700"/>
        </a:p>
      </dgm:t>
    </dgm:pt>
    <dgm:pt modelId="{BBCCDC4D-5180-4C5B-A6C5-6C92C422EC69}" type="pres">
      <dgm:prSet presAssocID="{1218DBCE-A22A-42F2-9BD1-089980BA3A98}" presName="Name0" presStyleCnt="0">
        <dgm:presLayoutVars>
          <dgm:dir/>
          <dgm:resizeHandles val="exact"/>
        </dgm:presLayoutVars>
      </dgm:prSet>
      <dgm:spPr/>
    </dgm:pt>
    <dgm:pt modelId="{AFB13021-F4A6-4798-BE39-DCDAEEA3D32E}" type="pres">
      <dgm:prSet presAssocID="{BDC9BE3C-AE73-426A-95BA-5C372C053717}" presName="parTxOnly" presStyleLbl="node1" presStyleIdx="0" presStyleCnt="7">
        <dgm:presLayoutVars>
          <dgm:bulletEnabled val="1"/>
        </dgm:presLayoutVars>
      </dgm:prSet>
      <dgm:spPr/>
    </dgm:pt>
    <dgm:pt modelId="{1B25CA51-736E-420B-B77A-A82289E7EC88}" type="pres">
      <dgm:prSet presAssocID="{554EF7BA-8363-4B74-A0AC-35918F376405}" presName="parSpace" presStyleCnt="0"/>
      <dgm:spPr/>
    </dgm:pt>
    <dgm:pt modelId="{35FADE63-5992-4E4F-9319-5336F1620BBD}" type="pres">
      <dgm:prSet presAssocID="{C2EADDBF-A4A2-4071-BF1A-2C19131C3F09}" presName="parTxOnly" presStyleLbl="node1" presStyleIdx="1" presStyleCnt="7">
        <dgm:presLayoutVars>
          <dgm:bulletEnabled val="1"/>
        </dgm:presLayoutVars>
      </dgm:prSet>
      <dgm:spPr/>
    </dgm:pt>
    <dgm:pt modelId="{BA763513-28BF-4240-92EF-AAC0FC2A3C69}" type="pres">
      <dgm:prSet presAssocID="{4B3B024B-D806-45CF-90E0-7551C3E0AC14}" presName="parSpace" presStyleCnt="0"/>
      <dgm:spPr/>
    </dgm:pt>
    <dgm:pt modelId="{0C36CA4C-752F-4F2A-A040-A468538E9B25}" type="pres">
      <dgm:prSet presAssocID="{505AF8E4-0CBE-418E-A9B4-F571743DF8CE}" presName="parTxOnly" presStyleLbl="node1" presStyleIdx="2" presStyleCnt="7">
        <dgm:presLayoutVars>
          <dgm:bulletEnabled val="1"/>
        </dgm:presLayoutVars>
      </dgm:prSet>
      <dgm:spPr/>
    </dgm:pt>
    <dgm:pt modelId="{7793C475-1625-4521-96D6-9E17167023AD}" type="pres">
      <dgm:prSet presAssocID="{48B1755B-37A5-4CE0-9346-9198C0E08B77}" presName="parSpace" presStyleCnt="0"/>
      <dgm:spPr/>
    </dgm:pt>
    <dgm:pt modelId="{BEFAB0C5-311C-4D28-90A1-67B088E9B93F}" type="pres">
      <dgm:prSet presAssocID="{9F9E705E-68ED-4F11-A5C4-D78861179723}" presName="parTxOnly" presStyleLbl="node1" presStyleIdx="3" presStyleCnt="7">
        <dgm:presLayoutVars>
          <dgm:bulletEnabled val="1"/>
        </dgm:presLayoutVars>
      </dgm:prSet>
      <dgm:spPr/>
    </dgm:pt>
    <dgm:pt modelId="{B757117B-1FA2-464B-8740-BC2AC2B8804F}" type="pres">
      <dgm:prSet presAssocID="{FF103DAD-F6F1-4655-8864-5DA7F81790F5}" presName="parSpace" presStyleCnt="0"/>
      <dgm:spPr/>
    </dgm:pt>
    <dgm:pt modelId="{66234EC6-23DB-4EB3-B4B8-98A22C41DC1F}" type="pres">
      <dgm:prSet presAssocID="{1EDB1A02-43A9-401E-91B5-5337CE394BE1}" presName="parTxOnly" presStyleLbl="node1" presStyleIdx="4" presStyleCnt="7">
        <dgm:presLayoutVars>
          <dgm:bulletEnabled val="1"/>
        </dgm:presLayoutVars>
      </dgm:prSet>
      <dgm:spPr/>
    </dgm:pt>
    <dgm:pt modelId="{6D2F4CF2-C42B-443C-BD7F-1E2D6EBD18F4}" type="pres">
      <dgm:prSet presAssocID="{D94D9397-E24F-4E87-A988-684260D84A25}" presName="parSpace" presStyleCnt="0"/>
      <dgm:spPr/>
    </dgm:pt>
    <dgm:pt modelId="{BE57969F-4CBF-46AE-A9D1-36B97B2D3F65}" type="pres">
      <dgm:prSet presAssocID="{0F4E5239-90CF-4511-AA21-5394B10CEEB1}" presName="parTxOnly" presStyleLbl="node1" presStyleIdx="5" presStyleCnt="7">
        <dgm:presLayoutVars>
          <dgm:bulletEnabled val="1"/>
        </dgm:presLayoutVars>
      </dgm:prSet>
      <dgm:spPr/>
    </dgm:pt>
    <dgm:pt modelId="{051808A7-A981-4FC7-B61C-E6F627470005}" type="pres">
      <dgm:prSet presAssocID="{20F0984D-B803-4C2B-A808-2D89B6750059}" presName="parSpace" presStyleCnt="0"/>
      <dgm:spPr/>
    </dgm:pt>
    <dgm:pt modelId="{591E4C22-343D-4A2C-AC9B-07668F4B4E56}" type="pres">
      <dgm:prSet presAssocID="{31EFAAE5-236F-4FD0-901A-F8E07A5D7E7D}" presName="parTxOnly" presStyleLbl="node1" presStyleIdx="6" presStyleCnt="7">
        <dgm:presLayoutVars>
          <dgm:bulletEnabled val="1"/>
        </dgm:presLayoutVars>
      </dgm:prSet>
      <dgm:spPr/>
    </dgm:pt>
  </dgm:ptLst>
  <dgm:cxnLst>
    <dgm:cxn modelId="{15C0820E-8858-437C-937A-34B8F3C0E845}" srcId="{1218DBCE-A22A-42F2-9BD1-089980BA3A98}" destId="{C2EADDBF-A4A2-4071-BF1A-2C19131C3F09}" srcOrd="1" destOrd="0" parTransId="{08B48B79-EF25-4F10-A169-4CA0510A4B54}" sibTransId="{4B3B024B-D806-45CF-90E0-7551C3E0AC14}"/>
    <dgm:cxn modelId="{4330DD1D-956A-4373-852A-E932DEC25D55}" srcId="{1218DBCE-A22A-42F2-9BD1-089980BA3A98}" destId="{31EFAAE5-236F-4FD0-901A-F8E07A5D7E7D}" srcOrd="6" destOrd="0" parTransId="{CF29ADE1-B12C-4B37-B1CD-6676E5B039DB}" sibTransId="{D8C2AE6D-117C-40D7-9FE0-CCEA9DA95E10}"/>
    <dgm:cxn modelId="{46D59620-8B48-459C-A8A9-C664C69B6910}" type="presOf" srcId="{0F4E5239-90CF-4511-AA21-5394B10CEEB1}" destId="{BE57969F-4CBF-46AE-A9D1-36B97B2D3F65}" srcOrd="0" destOrd="0" presId="urn:microsoft.com/office/officeart/2005/8/layout/hChevron3"/>
    <dgm:cxn modelId="{711EC134-B51D-4AEF-9F98-2564C4D1784D}" type="presOf" srcId="{505AF8E4-0CBE-418E-A9B4-F571743DF8CE}" destId="{0C36CA4C-752F-4F2A-A040-A468538E9B25}" srcOrd="0" destOrd="0" presId="urn:microsoft.com/office/officeart/2005/8/layout/hChevron3"/>
    <dgm:cxn modelId="{63569437-713C-4EDE-9040-9E49E0F9213E}" type="presOf" srcId="{31EFAAE5-236F-4FD0-901A-F8E07A5D7E7D}" destId="{591E4C22-343D-4A2C-AC9B-07668F4B4E56}" srcOrd="0" destOrd="0" presId="urn:microsoft.com/office/officeart/2005/8/layout/hChevron3"/>
    <dgm:cxn modelId="{B7B79D51-1802-4430-A11B-887A63E15126}" srcId="{1218DBCE-A22A-42F2-9BD1-089980BA3A98}" destId="{1EDB1A02-43A9-401E-91B5-5337CE394BE1}" srcOrd="4" destOrd="0" parTransId="{235E184E-00CE-43FD-9B2A-8E05115AEE3A}" sibTransId="{D94D9397-E24F-4E87-A988-684260D84A25}"/>
    <dgm:cxn modelId="{6DD66553-84EF-46AD-A4B1-C60C62BC8BCF}" srcId="{1218DBCE-A22A-42F2-9BD1-089980BA3A98}" destId="{505AF8E4-0CBE-418E-A9B4-F571743DF8CE}" srcOrd="2" destOrd="0" parTransId="{67744F3A-11AC-4093-9525-C06F4F4626F4}" sibTransId="{48B1755B-37A5-4CE0-9346-9198C0E08B77}"/>
    <dgm:cxn modelId="{186B1180-D200-4E64-B61F-A4743E48C6B0}" type="presOf" srcId="{C2EADDBF-A4A2-4071-BF1A-2C19131C3F09}" destId="{35FADE63-5992-4E4F-9319-5336F1620BBD}" srcOrd="0" destOrd="0" presId="urn:microsoft.com/office/officeart/2005/8/layout/hChevron3"/>
    <dgm:cxn modelId="{CF8B8A9A-9FF9-48A5-9DD5-9F30C9EE6EC8}" srcId="{1218DBCE-A22A-42F2-9BD1-089980BA3A98}" destId="{9F9E705E-68ED-4F11-A5C4-D78861179723}" srcOrd="3" destOrd="0" parTransId="{7B2D5EDC-FEDB-4133-8D66-34989DD71415}" sibTransId="{FF103DAD-F6F1-4655-8864-5DA7F81790F5}"/>
    <dgm:cxn modelId="{CF643DB1-F88A-41D9-A1AA-37A346070F6E}" srcId="{1218DBCE-A22A-42F2-9BD1-089980BA3A98}" destId="{BDC9BE3C-AE73-426A-95BA-5C372C053717}" srcOrd="0" destOrd="0" parTransId="{066DB3AA-F88B-428D-804D-FC8DA62943DE}" sibTransId="{554EF7BA-8363-4B74-A0AC-35918F376405}"/>
    <dgm:cxn modelId="{36EB6EBC-0603-4BBD-BC87-C2FFD4CD3AA1}" srcId="{1218DBCE-A22A-42F2-9BD1-089980BA3A98}" destId="{0F4E5239-90CF-4511-AA21-5394B10CEEB1}" srcOrd="5" destOrd="0" parTransId="{3B54F5BE-456F-448A-8F50-9F85B72061BD}" sibTransId="{20F0984D-B803-4C2B-A808-2D89B6750059}"/>
    <dgm:cxn modelId="{26979CBE-A793-4B8E-88E6-19FC7FDBCF9E}" type="presOf" srcId="{BDC9BE3C-AE73-426A-95BA-5C372C053717}" destId="{AFB13021-F4A6-4798-BE39-DCDAEEA3D32E}" srcOrd="0" destOrd="0" presId="urn:microsoft.com/office/officeart/2005/8/layout/hChevron3"/>
    <dgm:cxn modelId="{6EEF7BCB-8D80-45D7-861D-FFD5EFE5B278}" type="presOf" srcId="{1EDB1A02-43A9-401E-91B5-5337CE394BE1}" destId="{66234EC6-23DB-4EB3-B4B8-98A22C41DC1F}" srcOrd="0" destOrd="0" presId="urn:microsoft.com/office/officeart/2005/8/layout/hChevron3"/>
    <dgm:cxn modelId="{CD98F6EE-D817-4632-8077-2E60011EFA6F}" type="presOf" srcId="{1218DBCE-A22A-42F2-9BD1-089980BA3A98}" destId="{BBCCDC4D-5180-4C5B-A6C5-6C92C422EC69}" srcOrd="0" destOrd="0" presId="urn:microsoft.com/office/officeart/2005/8/layout/hChevron3"/>
    <dgm:cxn modelId="{05692EFC-0F08-4E74-83C0-4E5420FBA95B}" type="presOf" srcId="{9F9E705E-68ED-4F11-A5C4-D78861179723}" destId="{BEFAB0C5-311C-4D28-90A1-67B088E9B93F}" srcOrd="0" destOrd="0" presId="urn:microsoft.com/office/officeart/2005/8/layout/hChevron3"/>
    <dgm:cxn modelId="{FC8A343E-52EB-4C8D-9BCA-3577D8638DBE}" type="presParOf" srcId="{BBCCDC4D-5180-4C5B-A6C5-6C92C422EC69}" destId="{AFB13021-F4A6-4798-BE39-DCDAEEA3D32E}" srcOrd="0" destOrd="0" presId="urn:microsoft.com/office/officeart/2005/8/layout/hChevron3"/>
    <dgm:cxn modelId="{80B488A5-43FD-4F9B-BA6F-7D7AE255E277}" type="presParOf" srcId="{BBCCDC4D-5180-4C5B-A6C5-6C92C422EC69}" destId="{1B25CA51-736E-420B-B77A-A82289E7EC88}" srcOrd="1" destOrd="0" presId="urn:microsoft.com/office/officeart/2005/8/layout/hChevron3"/>
    <dgm:cxn modelId="{3A1073AA-0126-4841-9562-836420055599}" type="presParOf" srcId="{BBCCDC4D-5180-4C5B-A6C5-6C92C422EC69}" destId="{35FADE63-5992-4E4F-9319-5336F1620BBD}" srcOrd="2" destOrd="0" presId="urn:microsoft.com/office/officeart/2005/8/layout/hChevron3"/>
    <dgm:cxn modelId="{1A91E7C6-7BD0-467D-AB34-B10EB0240F19}" type="presParOf" srcId="{BBCCDC4D-5180-4C5B-A6C5-6C92C422EC69}" destId="{BA763513-28BF-4240-92EF-AAC0FC2A3C69}" srcOrd="3" destOrd="0" presId="urn:microsoft.com/office/officeart/2005/8/layout/hChevron3"/>
    <dgm:cxn modelId="{056881DA-AB21-47F8-9FAB-410FDAFF12F3}" type="presParOf" srcId="{BBCCDC4D-5180-4C5B-A6C5-6C92C422EC69}" destId="{0C36CA4C-752F-4F2A-A040-A468538E9B25}" srcOrd="4" destOrd="0" presId="urn:microsoft.com/office/officeart/2005/8/layout/hChevron3"/>
    <dgm:cxn modelId="{4E971BDB-5674-44F1-BA8F-7F000A8F9D14}" type="presParOf" srcId="{BBCCDC4D-5180-4C5B-A6C5-6C92C422EC69}" destId="{7793C475-1625-4521-96D6-9E17167023AD}" srcOrd="5" destOrd="0" presId="urn:microsoft.com/office/officeart/2005/8/layout/hChevron3"/>
    <dgm:cxn modelId="{DAD6CE59-8C8A-4318-A329-BAC96698CBFB}" type="presParOf" srcId="{BBCCDC4D-5180-4C5B-A6C5-6C92C422EC69}" destId="{BEFAB0C5-311C-4D28-90A1-67B088E9B93F}" srcOrd="6" destOrd="0" presId="urn:microsoft.com/office/officeart/2005/8/layout/hChevron3"/>
    <dgm:cxn modelId="{DD0B41F6-5933-44AB-A53D-70896B55DCCE}" type="presParOf" srcId="{BBCCDC4D-5180-4C5B-A6C5-6C92C422EC69}" destId="{B757117B-1FA2-464B-8740-BC2AC2B8804F}" srcOrd="7" destOrd="0" presId="urn:microsoft.com/office/officeart/2005/8/layout/hChevron3"/>
    <dgm:cxn modelId="{43F43979-1B4D-4DDE-8E4C-2CDF3936CBD4}" type="presParOf" srcId="{BBCCDC4D-5180-4C5B-A6C5-6C92C422EC69}" destId="{66234EC6-23DB-4EB3-B4B8-98A22C41DC1F}" srcOrd="8" destOrd="0" presId="urn:microsoft.com/office/officeart/2005/8/layout/hChevron3"/>
    <dgm:cxn modelId="{91E56E23-0365-416E-9FC3-A4FAB86ECC75}" type="presParOf" srcId="{BBCCDC4D-5180-4C5B-A6C5-6C92C422EC69}" destId="{6D2F4CF2-C42B-443C-BD7F-1E2D6EBD18F4}" srcOrd="9" destOrd="0" presId="urn:microsoft.com/office/officeart/2005/8/layout/hChevron3"/>
    <dgm:cxn modelId="{A0F1ACF2-98E6-496B-8608-C32B36E80271}" type="presParOf" srcId="{BBCCDC4D-5180-4C5B-A6C5-6C92C422EC69}" destId="{BE57969F-4CBF-46AE-A9D1-36B97B2D3F65}" srcOrd="10" destOrd="0" presId="urn:microsoft.com/office/officeart/2005/8/layout/hChevron3"/>
    <dgm:cxn modelId="{BD5408FB-8C6B-4276-BBAB-DBFA36796C4B}" type="presParOf" srcId="{BBCCDC4D-5180-4C5B-A6C5-6C92C422EC69}" destId="{051808A7-A981-4FC7-B61C-E6F627470005}" srcOrd="11" destOrd="0" presId="urn:microsoft.com/office/officeart/2005/8/layout/hChevron3"/>
    <dgm:cxn modelId="{D69611E2-921C-4E29-838C-D919206F2653}" type="presParOf" srcId="{BBCCDC4D-5180-4C5B-A6C5-6C92C422EC69}" destId="{591E4C22-343D-4A2C-AC9B-07668F4B4E56}" srcOrd="12"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13021-F4A6-4798-BE39-DCDAEEA3D32E}">
      <dsp:nvSpPr>
        <dsp:cNvPr id="0" name=""/>
        <dsp:cNvSpPr/>
      </dsp:nvSpPr>
      <dsp:spPr>
        <a:xfrm>
          <a:off x="839" y="21494"/>
          <a:ext cx="987901" cy="395160"/>
        </a:xfrm>
        <a:prstGeom prst="homePlat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Site</a:t>
          </a:r>
        </a:p>
      </dsp:txBody>
      <dsp:txXfrm>
        <a:off x="839" y="21494"/>
        <a:ext cx="889111" cy="395160"/>
      </dsp:txXfrm>
    </dsp:sp>
    <dsp:sp modelId="{35FADE63-5992-4E4F-9319-5336F1620BBD}">
      <dsp:nvSpPr>
        <dsp:cNvPr id="0" name=""/>
        <dsp:cNvSpPr/>
      </dsp:nvSpPr>
      <dsp:spPr>
        <a:xfrm>
          <a:off x="791161"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Ownership</a:t>
          </a:r>
        </a:p>
      </dsp:txBody>
      <dsp:txXfrm>
        <a:off x="988741" y="21494"/>
        <a:ext cx="592741" cy="395160"/>
      </dsp:txXfrm>
    </dsp:sp>
    <dsp:sp modelId="{0C36CA4C-752F-4F2A-A040-A468538E9B25}">
      <dsp:nvSpPr>
        <dsp:cNvPr id="0" name=""/>
        <dsp:cNvSpPr/>
      </dsp:nvSpPr>
      <dsp:spPr>
        <a:xfrm>
          <a:off x="1581482"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Finance and Funding</a:t>
          </a:r>
        </a:p>
      </dsp:txBody>
      <dsp:txXfrm>
        <a:off x="1779062" y="21494"/>
        <a:ext cx="592741" cy="395160"/>
      </dsp:txXfrm>
    </dsp:sp>
    <dsp:sp modelId="{BEFAB0C5-311C-4D28-90A1-67B088E9B93F}">
      <dsp:nvSpPr>
        <dsp:cNvPr id="0" name=""/>
        <dsp:cNvSpPr/>
      </dsp:nvSpPr>
      <dsp:spPr>
        <a:xfrm>
          <a:off x="2371804"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Legal and Planning</a:t>
          </a:r>
        </a:p>
      </dsp:txBody>
      <dsp:txXfrm>
        <a:off x="2569384" y="21494"/>
        <a:ext cx="592741" cy="395160"/>
      </dsp:txXfrm>
    </dsp:sp>
    <dsp:sp modelId="{13F50BE3-033A-4AA3-B310-A695E487C903}">
      <dsp:nvSpPr>
        <dsp:cNvPr id="0" name=""/>
        <dsp:cNvSpPr/>
      </dsp:nvSpPr>
      <dsp:spPr>
        <a:xfrm>
          <a:off x="3162125"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3359705" y="21494"/>
        <a:ext cx="592741" cy="395160"/>
      </dsp:txXfrm>
    </dsp:sp>
    <dsp:sp modelId="{BE57969F-4CBF-46AE-A9D1-36B97B2D3F65}">
      <dsp:nvSpPr>
        <dsp:cNvPr id="0" name=""/>
        <dsp:cNvSpPr/>
      </dsp:nvSpPr>
      <dsp:spPr>
        <a:xfrm>
          <a:off x="3952447" y="21494"/>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Market</a:t>
          </a:r>
        </a:p>
      </dsp:txBody>
      <dsp:txXfrm>
        <a:off x="4150027" y="21494"/>
        <a:ext cx="592741" cy="395160"/>
      </dsp:txXfrm>
    </dsp:sp>
    <dsp:sp modelId="{591E4C22-343D-4A2C-AC9B-07668F4B4E56}">
      <dsp:nvSpPr>
        <dsp:cNvPr id="0" name=""/>
        <dsp:cNvSpPr/>
      </dsp:nvSpPr>
      <dsp:spPr>
        <a:xfrm>
          <a:off x="4742768" y="21494"/>
          <a:ext cx="987901" cy="39516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Development</a:t>
          </a:r>
        </a:p>
      </dsp:txBody>
      <dsp:txXfrm>
        <a:off x="4940348" y="21494"/>
        <a:ext cx="592741" cy="395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13021-F4A6-4798-BE39-DCDAEEA3D32E}">
      <dsp:nvSpPr>
        <dsp:cNvPr id="0" name=""/>
        <dsp:cNvSpPr/>
      </dsp:nvSpPr>
      <dsp:spPr>
        <a:xfrm>
          <a:off x="839" y="10673"/>
          <a:ext cx="987901" cy="395160"/>
        </a:xfrm>
        <a:prstGeom prst="homePlat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Site</a:t>
          </a:r>
        </a:p>
      </dsp:txBody>
      <dsp:txXfrm>
        <a:off x="839" y="10673"/>
        <a:ext cx="889111" cy="395160"/>
      </dsp:txXfrm>
    </dsp:sp>
    <dsp:sp modelId="{35FADE63-5992-4E4F-9319-5336F1620BBD}">
      <dsp:nvSpPr>
        <dsp:cNvPr id="0" name=""/>
        <dsp:cNvSpPr/>
      </dsp:nvSpPr>
      <dsp:spPr>
        <a:xfrm>
          <a:off x="791161"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Ownership</a:t>
          </a:r>
        </a:p>
      </dsp:txBody>
      <dsp:txXfrm>
        <a:off x="988741" y="10673"/>
        <a:ext cx="592741" cy="395160"/>
      </dsp:txXfrm>
    </dsp:sp>
    <dsp:sp modelId="{0C36CA4C-752F-4F2A-A040-A468538E9B25}">
      <dsp:nvSpPr>
        <dsp:cNvPr id="0" name=""/>
        <dsp:cNvSpPr/>
      </dsp:nvSpPr>
      <dsp:spPr>
        <a:xfrm>
          <a:off x="1581482"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Finance and Funding</a:t>
          </a:r>
        </a:p>
      </dsp:txBody>
      <dsp:txXfrm>
        <a:off x="1779062" y="10673"/>
        <a:ext cx="592741" cy="395160"/>
      </dsp:txXfrm>
    </dsp:sp>
    <dsp:sp modelId="{BEFAB0C5-311C-4D28-90A1-67B088E9B93F}">
      <dsp:nvSpPr>
        <dsp:cNvPr id="0" name=""/>
        <dsp:cNvSpPr/>
      </dsp:nvSpPr>
      <dsp:spPr>
        <a:xfrm>
          <a:off x="2371804"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Legal and Planning</a:t>
          </a:r>
        </a:p>
      </dsp:txBody>
      <dsp:txXfrm>
        <a:off x="2569384" y="10673"/>
        <a:ext cx="592741" cy="395160"/>
      </dsp:txXfrm>
    </dsp:sp>
    <dsp:sp modelId="{66234EC6-23DB-4EB3-B4B8-98A22C41DC1F}">
      <dsp:nvSpPr>
        <dsp:cNvPr id="0" name=""/>
        <dsp:cNvSpPr/>
      </dsp:nvSpPr>
      <dsp:spPr>
        <a:xfrm>
          <a:off x="3162125"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3359705" y="10673"/>
        <a:ext cx="592741" cy="395160"/>
      </dsp:txXfrm>
    </dsp:sp>
    <dsp:sp modelId="{BE57969F-4CBF-46AE-A9D1-36B97B2D3F65}">
      <dsp:nvSpPr>
        <dsp:cNvPr id="0" name=""/>
        <dsp:cNvSpPr/>
      </dsp:nvSpPr>
      <dsp:spPr>
        <a:xfrm>
          <a:off x="3952447"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Market</a:t>
          </a:r>
        </a:p>
      </dsp:txBody>
      <dsp:txXfrm>
        <a:off x="4150027" y="10673"/>
        <a:ext cx="592741" cy="395160"/>
      </dsp:txXfrm>
    </dsp:sp>
    <dsp:sp modelId="{591E4C22-343D-4A2C-AC9B-07668F4B4E56}">
      <dsp:nvSpPr>
        <dsp:cNvPr id="0" name=""/>
        <dsp:cNvSpPr/>
      </dsp:nvSpPr>
      <dsp:spPr>
        <a:xfrm>
          <a:off x="4742768" y="10673"/>
          <a:ext cx="987901" cy="39516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Development</a:t>
          </a:r>
        </a:p>
      </dsp:txBody>
      <dsp:txXfrm>
        <a:off x="4940348" y="10673"/>
        <a:ext cx="592741" cy="395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13021-F4A6-4798-BE39-DCDAEEA3D32E}">
      <dsp:nvSpPr>
        <dsp:cNvPr id="0" name=""/>
        <dsp:cNvSpPr/>
      </dsp:nvSpPr>
      <dsp:spPr>
        <a:xfrm>
          <a:off x="839" y="10673"/>
          <a:ext cx="987901" cy="395160"/>
        </a:xfrm>
        <a:prstGeom prst="homePlate">
          <a:avLst/>
        </a:prstGeom>
        <a:solidFill>
          <a:schemeClr val="tx1">
            <a:lumMod val="95000"/>
            <a:lumOff val="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Site</a:t>
          </a:r>
        </a:p>
      </dsp:txBody>
      <dsp:txXfrm>
        <a:off x="839" y="10673"/>
        <a:ext cx="889111" cy="395160"/>
      </dsp:txXfrm>
    </dsp:sp>
    <dsp:sp modelId="{35FADE63-5992-4E4F-9319-5336F1620BBD}">
      <dsp:nvSpPr>
        <dsp:cNvPr id="0" name=""/>
        <dsp:cNvSpPr/>
      </dsp:nvSpPr>
      <dsp:spPr>
        <a:xfrm>
          <a:off x="791161"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Ownership</a:t>
          </a:r>
        </a:p>
      </dsp:txBody>
      <dsp:txXfrm>
        <a:off x="988741" y="10673"/>
        <a:ext cx="592741" cy="395160"/>
      </dsp:txXfrm>
    </dsp:sp>
    <dsp:sp modelId="{0C36CA4C-752F-4F2A-A040-A468538E9B25}">
      <dsp:nvSpPr>
        <dsp:cNvPr id="0" name=""/>
        <dsp:cNvSpPr/>
      </dsp:nvSpPr>
      <dsp:spPr>
        <a:xfrm>
          <a:off x="1581482"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Finance and Funding</a:t>
          </a:r>
        </a:p>
      </dsp:txBody>
      <dsp:txXfrm>
        <a:off x="1779062" y="10673"/>
        <a:ext cx="592741" cy="395160"/>
      </dsp:txXfrm>
    </dsp:sp>
    <dsp:sp modelId="{BEFAB0C5-311C-4D28-90A1-67B088E9B93F}">
      <dsp:nvSpPr>
        <dsp:cNvPr id="0" name=""/>
        <dsp:cNvSpPr/>
      </dsp:nvSpPr>
      <dsp:spPr>
        <a:xfrm>
          <a:off x="2371804" y="10673"/>
          <a:ext cx="987901" cy="395160"/>
        </a:xfrm>
        <a:prstGeom prst="chevron">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Legal and Planning</a:t>
          </a:r>
        </a:p>
      </dsp:txBody>
      <dsp:txXfrm>
        <a:off x="2569384" y="10673"/>
        <a:ext cx="592741" cy="395160"/>
      </dsp:txXfrm>
    </dsp:sp>
    <dsp:sp modelId="{66234EC6-23DB-4EB3-B4B8-98A22C41DC1F}">
      <dsp:nvSpPr>
        <dsp:cNvPr id="0" name=""/>
        <dsp:cNvSpPr/>
      </dsp:nvSpPr>
      <dsp:spPr>
        <a:xfrm>
          <a:off x="3162125"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Quality</a:t>
          </a:r>
        </a:p>
      </dsp:txBody>
      <dsp:txXfrm>
        <a:off x="3359705" y="10673"/>
        <a:ext cx="592741" cy="395160"/>
      </dsp:txXfrm>
    </dsp:sp>
    <dsp:sp modelId="{BE57969F-4CBF-46AE-A9D1-36B97B2D3F65}">
      <dsp:nvSpPr>
        <dsp:cNvPr id="0" name=""/>
        <dsp:cNvSpPr/>
      </dsp:nvSpPr>
      <dsp:spPr>
        <a:xfrm>
          <a:off x="3952447" y="10673"/>
          <a:ext cx="987901" cy="395160"/>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Market</a:t>
          </a:r>
        </a:p>
      </dsp:txBody>
      <dsp:txXfrm>
        <a:off x="4150027" y="10673"/>
        <a:ext cx="592741" cy="395160"/>
      </dsp:txXfrm>
    </dsp:sp>
    <dsp:sp modelId="{591E4C22-343D-4A2C-AC9B-07668F4B4E56}">
      <dsp:nvSpPr>
        <dsp:cNvPr id="0" name=""/>
        <dsp:cNvSpPr/>
      </dsp:nvSpPr>
      <dsp:spPr>
        <a:xfrm>
          <a:off x="4742768" y="10673"/>
          <a:ext cx="987901" cy="395160"/>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lang="en-GB" sz="700" kern="1200"/>
            <a:t>Development</a:t>
          </a:r>
        </a:p>
      </dsp:txBody>
      <dsp:txXfrm>
        <a:off x="4940348" y="10673"/>
        <a:ext cx="592741" cy="39516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FD9-6C5C-114B-A7A0-ED0CFA8C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8919</Words>
  <Characters>50844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Moore</dc:creator>
  <cp:keywords/>
  <dc:description/>
  <cp:lastModifiedBy>Microsoft Office User</cp:lastModifiedBy>
  <cp:revision>4</cp:revision>
  <cp:lastPrinted>2016-10-21T07:29:00Z</cp:lastPrinted>
  <dcterms:created xsi:type="dcterms:W3CDTF">2020-08-14T10:36:00Z</dcterms:created>
  <dcterms:modified xsi:type="dcterms:W3CDTF">2020-08-14T10:38:00Z</dcterms:modified>
</cp:coreProperties>
</file>