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68560" w14:textId="77777777" w:rsidR="00FC2953" w:rsidRDefault="00FC2953" w:rsidP="00FC2953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Black &amp; white version Figure 1</w:t>
      </w:r>
    </w:p>
    <w:p w14:paraId="3AC79369" w14:textId="77777777" w:rsidR="00FC2953" w:rsidRDefault="00FC2953" w:rsidP="00FC2953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F4665A7" wp14:editId="2AB6A524">
            <wp:extent cx="5731510" cy="4282440"/>
            <wp:effectExtent l="0" t="0" r="2540" b="381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56EED54" w14:textId="77777777" w:rsidR="00FC2953" w:rsidRDefault="00FC2953" w:rsidP="00FC2953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B935C3F" w14:textId="77777777" w:rsidR="00FC2953" w:rsidRDefault="00FC2953" w:rsidP="00FC2953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F46C796" w14:textId="77777777" w:rsidR="00FC2953" w:rsidRPr="007A0C04" w:rsidRDefault="00FC2953" w:rsidP="00FC2953">
      <w:pPr>
        <w:spacing w:line="480" w:lineRule="auto"/>
      </w:pPr>
    </w:p>
    <w:p w14:paraId="19639226" w14:textId="77777777" w:rsidR="00FC2953" w:rsidRPr="007A0C04" w:rsidRDefault="00FC2953" w:rsidP="00FC2953">
      <w:pPr>
        <w:spacing w:line="480" w:lineRule="auto"/>
      </w:pPr>
    </w:p>
    <w:p w14:paraId="1BEA6851" w14:textId="77777777" w:rsidR="00FC2953" w:rsidRDefault="00FC2953" w:rsidP="00FC2953">
      <w:pPr>
        <w:spacing w:line="480" w:lineRule="auto"/>
      </w:pPr>
    </w:p>
    <w:p w14:paraId="0AB09ADC" w14:textId="77777777" w:rsidR="00FC2953" w:rsidRPr="007A0C04" w:rsidRDefault="00FC2953" w:rsidP="00FC2953">
      <w:pPr>
        <w:spacing w:line="480" w:lineRule="auto"/>
      </w:pPr>
    </w:p>
    <w:p w14:paraId="34319C93" w14:textId="77777777" w:rsidR="00FC2953" w:rsidRPr="007A0C04" w:rsidRDefault="00FC2953" w:rsidP="00FC2953">
      <w:pPr>
        <w:spacing w:line="480" w:lineRule="auto"/>
      </w:pPr>
    </w:p>
    <w:p w14:paraId="6E508526" w14:textId="77777777" w:rsidR="00FC2953" w:rsidRDefault="00FC2953" w:rsidP="00FC2953">
      <w:pPr>
        <w:spacing w:line="480" w:lineRule="auto"/>
      </w:pPr>
    </w:p>
    <w:p w14:paraId="2210E32A" w14:textId="77777777" w:rsidR="00FC2953" w:rsidRDefault="00FC2953" w:rsidP="00FC2953">
      <w:pPr>
        <w:spacing w:line="480" w:lineRule="auto"/>
      </w:pPr>
    </w:p>
    <w:p w14:paraId="7CE78C82" w14:textId="77777777" w:rsidR="00FC2953" w:rsidRPr="007D42D4" w:rsidRDefault="00FC2953" w:rsidP="00FC2953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A0C04">
        <w:rPr>
          <w:rFonts w:asciiTheme="majorBidi" w:hAnsiTheme="majorBidi" w:cstheme="majorBidi"/>
          <w:b/>
          <w:bCs/>
          <w:sz w:val="24"/>
          <w:szCs w:val="24"/>
        </w:rPr>
        <w:lastRenderedPageBreak/>
        <w:t>Colour</w:t>
      </w:r>
      <w:r w:rsidRPr="007D42D4">
        <w:rPr>
          <w:rFonts w:asciiTheme="majorBidi" w:hAnsiTheme="majorBidi" w:cstheme="majorBidi"/>
          <w:b/>
          <w:bCs/>
          <w:sz w:val="24"/>
          <w:szCs w:val="24"/>
        </w:rPr>
        <w:t xml:space="preserve"> version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Figure 1</w:t>
      </w:r>
    </w:p>
    <w:p w14:paraId="5A0657A7" w14:textId="77777777" w:rsidR="00FC2953" w:rsidRPr="009C2A88" w:rsidRDefault="00FC2953" w:rsidP="00FC2953">
      <w:pPr>
        <w:spacing w:line="480" w:lineRule="auto"/>
      </w:pPr>
      <w:r>
        <w:rPr>
          <w:noProof/>
        </w:rPr>
        <w:drawing>
          <wp:inline distT="0" distB="0" distL="0" distR="0" wp14:anchorId="3BEA1804" wp14:editId="1EA8254D">
            <wp:extent cx="5731510" cy="4222750"/>
            <wp:effectExtent l="0" t="0" r="2540" b="635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05D8865" w14:textId="77777777" w:rsidR="00FC2953" w:rsidRDefault="00FC2953" w:rsidP="00FC2953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1D841AC3" w14:textId="77777777" w:rsidR="00500204" w:rsidRDefault="00500204"/>
    <w:sectPr w:rsidR="00500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53"/>
    <w:rsid w:val="00500204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FDEFA"/>
  <w15:chartTrackingRefBased/>
  <w15:docId w15:val="{F6F8EBB9-F23E-43BF-BB91-64D568FA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95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c1sbut\Desktop\Sheffield%20Docs%2011.11.20\Outputs\Functioning_life%20satisfaction\New%20final%20analyses\5%20factor,%207%20class,%2019%20items\LPA%20better%20worse%20new%20BW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c1sbut\Desktop\Sheffield%20Docs%2011.11.20\Outputs\Functioning_life%20satisfaction\New%20final%20analyses\5%20factor,%207%20class,%2019%20items\LPA%20better%20worse%20new%20colou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803829002084352E-2"/>
          <c:y val="2.1662603080729186E-2"/>
          <c:w val="0.87424338812126279"/>
          <c:h val="0.769404831067516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Class 1 (3.3%)</c:v>
                </c:pt>
              </c:strCache>
            </c:strRef>
          </c:tx>
          <c:spPr>
            <a:ln w="22225" cap="rnd">
              <a:solidFill>
                <a:schemeClr val="tx1"/>
              </a:solidFill>
              <a:prstDash val="lgDash"/>
              <a:round/>
            </a:ln>
            <a:effectLst/>
          </c:spPr>
          <c:marker>
            <c:symbol val="square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Sheet1!$A$2:$A$6</c:f>
              <c:strCache>
                <c:ptCount val="5"/>
                <c:pt idx="0">
                  <c:v>Partner relationship</c:v>
                </c:pt>
                <c:pt idx="1">
                  <c:v>Healthy lifestyle</c:v>
                </c:pt>
                <c:pt idx="2">
                  <c:v>Work life</c:v>
                </c:pt>
                <c:pt idx="3">
                  <c:v>Family &amp; friends</c:v>
                </c:pt>
                <c:pt idx="4">
                  <c:v>Personal &amp; social activities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-2.109</c:v>
                </c:pt>
                <c:pt idx="1">
                  <c:v>-1.2769999999999999</c:v>
                </c:pt>
                <c:pt idx="2">
                  <c:v>-1.8859999999999999</c:v>
                </c:pt>
                <c:pt idx="3">
                  <c:v>-1.2989999999999999</c:v>
                </c:pt>
                <c:pt idx="4">
                  <c:v>-1.998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A0E-4908-8D09-106D0A1E2B2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Class 2 (6.0%)</c:v>
                </c:pt>
              </c:strCache>
            </c:strRef>
          </c:tx>
          <c:spPr>
            <a:ln w="22225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triangle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Sheet1!$A$2:$A$6</c:f>
              <c:strCache>
                <c:ptCount val="5"/>
                <c:pt idx="0">
                  <c:v>Partner relationship</c:v>
                </c:pt>
                <c:pt idx="1">
                  <c:v>Healthy lifestyle</c:v>
                </c:pt>
                <c:pt idx="2">
                  <c:v>Work life</c:v>
                </c:pt>
                <c:pt idx="3">
                  <c:v>Family &amp; friends</c:v>
                </c:pt>
                <c:pt idx="4">
                  <c:v>Personal &amp; social activities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0.186</c:v>
                </c:pt>
                <c:pt idx="1">
                  <c:v>0.91100000000000003</c:v>
                </c:pt>
                <c:pt idx="2">
                  <c:v>1.016</c:v>
                </c:pt>
                <c:pt idx="3">
                  <c:v>0.58599999999999997</c:v>
                </c:pt>
                <c:pt idx="4">
                  <c:v>1.4179999999999999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A0E-4908-8D09-106D0A1E2B2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Class 3 (2.5%)</c:v>
                </c:pt>
              </c:strCache>
            </c:strRef>
          </c:tx>
          <c:spPr>
            <a:ln w="22225" cap="rnd">
              <a:solidFill>
                <a:schemeClr val="bg2">
                  <a:lumMod val="75000"/>
                </a:schemeClr>
              </a:solidFill>
              <a:prstDash val="sysDash"/>
              <a:round/>
            </a:ln>
            <a:effectLst/>
          </c:spPr>
          <c:marker>
            <c:symbol val="circle"/>
            <c:size val="6"/>
            <c:spPr>
              <a:solidFill>
                <a:schemeClr val="bg2">
                  <a:lumMod val="75000"/>
                </a:schemeClr>
              </a:solidFill>
              <a:ln w="9525">
                <a:solidFill>
                  <a:schemeClr val="bg2">
                    <a:lumMod val="75000"/>
                  </a:schemeClr>
                </a:solidFill>
              </a:ln>
              <a:effectLst/>
            </c:spPr>
          </c:marker>
          <c:cat>
            <c:strRef>
              <c:f>Sheet1!$A$2:$A$6</c:f>
              <c:strCache>
                <c:ptCount val="5"/>
                <c:pt idx="0">
                  <c:v>Partner relationship</c:v>
                </c:pt>
                <c:pt idx="1">
                  <c:v>Healthy lifestyle</c:v>
                </c:pt>
                <c:pt idx="2">
                  <c:v>Work life</c:v>
                </c:pt>
                <c:pt idx="3">
                  <c:v>Family &amp; friends</c:v>
                </c:pt>
                <c:pt idx="4">
                  <c:v>Personal &amp; social activities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2.238</c:v>
                </c:pt>
                <c:pt idx="1">
                  <c:v>1.1060000000000001</c:v>
                </c:pt>
                <c:pt idx="2">
                  <c:v>1.8169999999999999</c:v>
                </c:pt>
                <c:pt idx="3">
                  <c:v>1.236</c:v>
                </c:pt>
                <c:pt idx="4">
                  <c:v>1.994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A0E-4908-8D09-106D0A1E2B2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Class 4 (9.5%)</c:v>
                </c:pt>
              </c:strCache>
            </c:strRef>
          </c:tx>
          <c:spPr>
            <a:ln w="22225" cap="rnd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triangle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Sheet1!$A$2:$A$6</c:f>
              <c:strCache>
                <c:ptCount val="5"/>
                <c:pt idx="0">
                  <c:v>Partner relationship</c:v>
                </c:pt>
                <c:pt idx="1">
                  <c:v>Healthy lifestyle</c:v>
                </c:pt>
                <c:pt idx="2">
                  <c:v>Work life</c:v>
                </c:pt>
                <c:pt idx="3">
                  <c:v>Family &amp; friends</c:v>
                </c:pt>
                <c:pt idx="4">
                  <c:v>Personal &amp; social activities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-1.9370000000000001</c:v>
                </c:pt>
                <c:pt idx="1">
                  <c:v>-0.109</c:v>
                </c:pt>
                <c:pt idx="2">
                  <c:v>-4.0000000000000001E-3</c:v>
                </c:pt>
                <c:pt idx="3">
                  <c:v>-0.871</c:v>
                </c:pt>
                <c:pt idx="4">
                  <c:v>-4.0000000000000001E-3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A0E-4908-8D09-106D0A1E2B26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Class 5 (4.3%)</c:v>
                </c:pt>
              </c:strCache>
            </c:strRef>
          </c:tx>
          <c:spPr>
            <a:ln w="22225" cap="rnd">
              <a:solidFill>
                <a:schemeClr val="bg2">
                  <a:lumMod val="75000"/>
                </a:schemeClr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bg2">
                  <a:lumMod val="75000"/>
                </a:schemeClr>
              </a:solidFill>
              <a:ln w="9525">
                <a:solidFill>
                  <a:schemeClr val="bg2">
                    <a:lumMod val="75000"/>
                  </a:schemeClr>
                </a:solidFill>
              </a:ln>
              <a:effectLst/>
            </c:spPr>
          </c:marker>
          <c:cat>
            <c:strRef>
              <c:f>Sheet1!$A$2:$A$6</c:f>
              <c:strCache>
                <c:ptCount val="5"/>
                <c:pt idx="0">
                  <c:v>Partner relationship</c:v>
                </c:pt>
                <c:pt idx="1">
                  <c:v>Healthy lifestyle</c:v>
                </c:pt>
                <c:pt idx="2">
                  <c:v>Work life</c:v>
                </c:pt>
                <c:pt idx="3">
                  <c:v>Family &amp; friends</c:v>
                </c:pt>
                <c:pt idx="4">
                  <c:v>Personal &amp; social activities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0">
                  <c:v>-5.3999999999999999E-2</c:v>
                </c:pt>
                <c:pt idx="1">
                  <c:v>-0.96299999999999997</c:v>
                </c:pt>
                <c:pt idx="2">
                  <c:v>-1.002</c:v>
                </c:pt>
                <c:pt idx="3">
                  <c:v>-0.441</c:v>
                </c:pt>
                <c:pt idx="4">
                  <c:v>-1.39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A0E-4908-8D09-106D0A1E2B26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Class 6 (67.9%)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Sheet1!$A$2:$A$6</c:f>
              <c:strCache>
                <c:ptCount val="5"/>
                <c:pt idx="0">
                  <c:v>Partner relationship</c:v>
                </c:pt>
                <c:pt idx="1">
                  <c:v>Healthy lifestyle</c:v>
                </c:pt>
                <c:pt idx="2">
                  <c:v>Work life</c:v>
                </c:pt>
                <c:pt idx="3">
                  <c:v>Family &amp; friends</c:v>
                </c:pt>
                <c:pt idx="4">
                  <c:v>Personal &amp; social activities</c:v>
                </c:pt>
              </c:strCache>
            </c:strRef>
          </c:cat>
          <c:val>
            <c:numRef>
              <c:f>Sheet1!$G$2:$G$6</c:f>
              <c:numCache>
                <c:formatCode>General</c:formatCode>
                <c:ptCount val="5"/>
                <c:pt idx="0">
                  <c:v>6.6000000000000003E-2</c:v>
                </c:pt>
                <c:pt idx="1">
                  <c:v>4.0000000000000001E-3</c:v>
                </c:pt>
                <c:pt idx="2">
                  <c:v>-0.01</c:v>
                </c:pt>
                <c:pt idx="3">
                  <c:v>8.5999999999999993E-2</c:v>
                </c:pt>
                <c:pt idx="4">
                  <c:v>2E-3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A0E-4908-8D09-106D0A1E2B26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Class 7 (6.5%)</c:v>
                </c:pt>
              </c:strCache>
            </c:strRef>
          </c:tx>
          <c:spPr>
            <a:ln w="28575" cap="rnd">
              <a:solidFill>
                <a:schemeClr val="bg2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2">
                  <a:lumMod val="75000"/>
                </a:schemeClr>
              </a:solidFill>
              <a:ln w="9525">
                <a:solidFill>
                  <a:schemeClr val="bg2">
                    <a:lumMod val="75000"/>
                  </a:schemeClr>
                </a:solidFill>
              </a:ln>
              <a:effectLst/>
            </c:spPr>
          </c:marker>
          <c:cat>
            <c:strRef>
              <c:f>Sheet1!$A$2:$A$6</c:f>
              <c:strCache>
                <c:ptCount val="5"/>
                <c:pt idx="0">
                  <c:v>Partner relationship</c:v>
                </c:pt>
                <c:pt idx="1">
                  <c:v>Healthy lifestyle</c:v>
                </c:pt>
                <c:pt idx="2">
                  <c:v>Work life</c:v>
                </c:pt>
                <c:pt idx="3">
                  <c:v>Family &amp; friends</c:v>
                </c:pt>
                <c:pt idx="4">
                  <c:v>Personal &amp; social activities</c:v>
                </c:pt>
              </c:strCache>
            </c:strRef>
          </c:cat>
          <c:val>
            <c:numRef>
              <c:f>Sheet1!$H$2:$H$6</c:f>
              <c:numCache>
                <c:formatCode>General</c:formatCode>
                <c:ptCount val="5"/>
                <c:pt idx="0">
                  <c:v>2.085</c:v>
                </c:pt>
                <c:pt idx="1">
                  <c:v>0.33600000000000002</c:v>
                </c:pt>
                <c:pt idx="2">
                  <c:v>8.6999999999999994E-2</c:v>
                </c:pt>
                <c:pt idx="3">
                  <c:v>0.37</c:v>
                </c:pt>
                <c:pt idx="4">
                  <c:v>6.3E-2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0A0E-4908-8D09-106D0A1E2B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228352"/>
        <c:axId val="84242816"/>
      </c:lineChart>
      <c:catAx>
        <c:axId val="8422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2">
                <a:lumMod val="9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4242816"/>
        <c:crosses val="autoZero"/>
        <c:auto val="1"/>
        <c:lblAlgn val="ctr"/>
        <c:lblOffset val="100"/>
        <c:noMultiLvlLbl val="0"/>
      </c:catAx>
      <c:valAx>
        <c:axId val="8424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sz="1000">
                    <a:latin typeface="Arial" panose="020B0604020202020204" pitchFamily="34" charset="0"/>
                    <a:cs typeface="Arial" panose="020B0604020202020204" pitchFamily="34" charset="0"/>
                  </a:rPr>
                  <a:t>Factor</a:t>
                </a:r>
                <a:r>
                  <a:rPr lang="en-GB" sz="1000" baseline="0">
                    <a:latin typeface="Arial" panose="020B0604020202020204" pitchFamily="34" charset="0"/>
                    <a:cs typeface="Arial" panose="020B0604020202020204" pitchFamily="34" charset="0"/>
                  </a:rPr>
                  <a:t> Scores</a:t>
                </a:r>
                <a:endParaRPr lang="en-GB" sz="10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25400">
            <a:solidFill>
              <a:schemeClr val="bg2">
                <a:lumMod val="9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4228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366393847345641E-2"/>
          <c:y val="0.91007369630397628"/>
          <c:w val="0.91761211268932619"/>
          <c:h val="8.17158243091846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tx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667124370366625E-2"/>
          <c:y val="3.3692735776448997E-2"/>
          <c:w val="0.87424338812126279"/>
          <c:h val="0.769404831067516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Class 1 (3.3%)</c:v>
                </c:pt>
              </c:strCache>
            </c:strRef>
          </c:tx>
          <c:spPr>
            <a:ln w="22225" cap="rnd">
              <a:solidFill>
                <a:srgbClr val="00B0F0"/>
              </a:solidFill>
              <a:prstDash val="lgDash"/>
              <a:round/>
            </a:ln>
            <a:effectLst/>
          </c:spPr>
          <c:marker>
            <c:symbol val="square"/>
            <c:size val="6"/>
            <c:spPr>
              <a:solidFill>
                <a:srgbClr val="00B0F0"/>
              </a:solidFill>
              <a:ln w="9525">
                <a:solidFill>
                  <a:srgbClr val="00B0F0"/>
                </a:solidFill>
              </a:ln>
              <a:effectLst/>
            </c:spPr>
          </c:marker>
          <c:cat>
            <c:strRef>
              <c:f>Sheet1!$A$2:$A$6</c:f>
              <c:strCache>
                <c:ptCount val="5"/>
                <c:pt idx="0">
                  <c:v>Partner relationship</c:v>
                </c:pt>
                <c:pt idx="1">
                  <c:v>Healthy lifestyle</c:v>
                </c:pt>
                <c:pt idx="2">
                  <c:v>Work life</c:v>
                </c:pt>
                <c:pt idx="3">
                  <c:v>Family &amp; friends</c:v>
                </c:pt>
                <c:pt idx="4">
                  <c:v>Personal &amp; social activities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-2.109</c:v>
                </c:pt>
                <c:pt idx="1">
                  <c:v>-1.2769999999999999</c:v>
                </c:pt>
                <c:pt idx="2">
                  <c:v>-1.8859999999999999</c:v>
                </c:pt>
                <c:pt idx="3">
                  <c:v>-1.2989999999999999</c:v>
                </c:pt>
                <c:pt idx="4">
                  <c:v>-1.998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0B1-4959-91AF-3DB24B00C39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Class 2 (6.0%)</c:v>
                </c:pt>
              </c:strCache>
            </c:strRef>
          </c:tx>
          <c:spPr>
            <a:ln w="22225" cap="rnd">
              <a:solidFill>
                <a:srgbClr val="002060"/>
              </a:solidFill>
              <a:prstDash val="sysDash"/>
              <a:round/>
            </a:ln>
            <a:effectLst/>
          </c:spPr>
          <c:marker>
            <c:symbol val="triangle"/>
            <c:size val="6"/>
            <c:spPr>
              <a:solidFill>
                <a:srgbClr val="002060"/>
              </a:solidFill>
              <a:ln w="9525">
                <a:solidFill>
                  <a:srgbClr val="002060"/>
                </a:solidFill>
              </a:ln>
              <a:effectLst/>
            </c:spPr>
          </c:marker>
          <c:cat>
            <c:strRef>
              <c:f>Sheet1!$A$2:$A$6</c:f>
              <c:strCache>
                <c:ptCount val="5"/>
                <c:pt idx="0">
                  <c:v>Partner relationship</c:v>
                </c:pt>
                <c:pt idx="1">
                  <c:v>Healthy lifestyle</c:v>
                </c:pt>
                <c:pt idx="2">
                  <c:v>Work life</c:v>
                </c:pt>
                <c:pt idx="3">
                  <c:v>Family &amp; friends</c:v>
                </c:pt>
                <c:pt idx="4">
                  <c:v>Personal &amp; social activities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0.186</c:v>
                </c:pt>
                <c:pt idx="1">
                  <c:v>0.91100000000000003</c:v>
                </c:pt>
                <c:pt idx="2">
                  <c:v>1.016</c:v>
                </c:pt>
                <c:pt idx="3">
                  <c:v>0.58599999999999997</c:v>
                </c:pt>
                <c:pt idx="4">
                  <c:v>1.4179999999999999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0B1-4959-91AF-3DB24B00C39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Class 3 (2.5%)</c:v>
                </c:pt>
              </c:strCache>
            </c:strRef>
          </c:tx>
          <c:spPr>
            <a:ln w="22225" cap="rnd">
              <a:solidFill>
                <a:srgbClr val="FFC000"/>
              </a:solidFill>
              <a:prstDash val="sysDash"/>
              <a:round/>
            </a:ln>
            <a:effectLst/>
          </c:spPr>
          <c:marker>
            <c:symbol val="circle"/>
            <c:size val="6"/>
            <c:spPr>
              <a:solidFill>
                <a:srgbClr val="FFC000"/>
              </a:solidFill>
              <a:ln w="9525">
                <a:solidFill>
                  <a:srgbClr val="FFC000"/>
                </a:solidFill>
              </a:ln>
              <a:effectLst/>
            </c:spPr>
          </c:marker>
          <c:cat>
            <c:strRef>
              <c:f>Sheet1!$A$2:$A$6</c:f>
              <c:strCache>
                <c:ptCount val="5"/>
                <c:pt idx="0">
                  <c:v>Partner relationship</c:v>
                </c:pt>
                <c:pt idx="1">
                  <c:v>Healthy lifestyle</c:v>
                </c:pt>
                <c:pt idx="2">
                  <c:v>Work life</c:v>
                </c:pt>
                <c:pt idx="3">
                  <c:v>Family &amp; friends</c:v>
                </c:pt>
                <c:pt idx="4">
                  <c:v>Personal &amp; social activities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2.238</c:v>
                </c:pt>
                <c:pt idx="1">
                  <c:v>1.1060000000000001</c:v>
                </c:pt>
                <c:pt idx="2">
                  <c:v>1.8169999999999999</c:v>
                </c:pt>
                <c:pt idx="3">
                  <c:v>1.236</c:v>
                </c:pt>
                <c:pt idx="4">
                  <c:v>1.994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0B1-4959-91AF-3DB24B00C39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Class 4 (9.5%)</c:v>
                </c:pt>
              </c:strCache>
            </c:strRef>
          </c:tx>
          <c:spPr>
            <a:ln w="22225" cap="rnd">
              <a:solidFill>
                <a:srgbClr val="FF33CC"/>
              </a:solidFill>
              <a:prstDash val="solid"/>
              <a:round/>
            </a:ln>
            <a:effectLst/>
          </c:spPr>
          <c:marker>
            <c:symbol val="triangle"/>
            <c:size val="6"/>
            <c:spPr>
              <a:solidFill>
                <a:srgbClr val="FF33CC"/>
              </a:solidFill>
              <a:ln w="9525">
                <a:solidFill>
                  <a:srgbClr val="FF33CC"/>
                </a:solidFill>
              </a:ln>
              <a:effectLst/>
            </c:spPr>
          </c:marker>
          <c:cat>
            <c:strRef>
              <c:f>Sheet1!$A$2:$A$6</c:f>
              <c:strCache>
                <c:ptCount val="5"/>
                <c:pt idx="0">
                  <c:v>Partner relationship</c:v>
                </c:pt>
                <c:pt idx="1">
                  <c:v>Healthy lifestyle</c:v>
                </c:pt>
                <c:pt idx="2">
                  <c:v>Work life</c:v>
                </c:pt>
                <c:pt idx="3">
                  <c:v>Family &amp; friends</c:v>
                </c:pt>
                <c:pt idx="4">
                  <c:v>Personal &amp; social activities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-1.9370000000000001</c:v>
                </c:pt>
                <c:pt idx="1">
                  <c:v>-0.109</c:v>
                </c:pt>
                <c:pt idx="2">
                  <c:v>-4.0000000000000001E-3</c:v>
                </c:pt>
                <c:pt idx="3">
                  <c:v>-0.871</c:v>
                </c:pt>
                <c:pt idx="4">
                  <c:v>-4.0000000000000001E-3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0B1-4959-91AF-3DB24B00C399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Class 5 (4.3%)</c:v>
                </c:pt>
              </c:strCache>
            </c:strRef>
          </c:tx>
          <c:spPr>
            <a:ln w="22225" cap="rnd">
              <a:solidFill>
                <a:schemeClr val="bg2">
                  <a:lumMod val="75000"/>
                </a:schemeClr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bg2">
                  <a:lumMod val="75000"/>
                </a:schemeClr>
              </a:solidFill>
              <a:ln w="9525">
                <a:solidFill>
                  <a:schemeClr val="bg2">
                    <a:lumMod val="75000"/>
                  </a:schemeClr>
                </a:solidFill>
              </a:ln>
              <a:effectLst/>
            </c:spPr>
          </c:marker>
          <c:cat>
            <c:strRef>
              <c:f>Sheet1!$A$2:$A$6</c:f>
              <c:strCache>
                <c:ptCount val="5"/>
                <c:pt idx="0">
                  <c:v>Partner relationship</c:v>
                </c:pt>
                <c:pt idx="1">
                  <c:v>Healthy lifestyle</c:v>
                </c:pt>
                <c:pt idx="2">
                  <c:v>Work life</c:v>
                </c:pt>
                <c:pt idx="3">
                  <c:v>Family &amp; friends</c:v>
                </c:pt>
                <c:pt idx="4">
                  <c:v>Personal &amp; social activities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0">
                  <c:v>-5.3999999999999999E-2</c:v>
                </c:pt>
                <c:pt idx="1">
                  <c:v>-0.96299999999999997</c:v>
                </c:pt>
                <c:pt idx="2">
                  <c:v>-1.002</c:v>
                </c:pt>
                <c:pt idx="3">
                  <c:v>-0.441</c:v>
                </c:pt>
                <c:pt idx="4">
                  <c:v>-1.39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0B1-4959-91AF-3DB24B00C399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Class 6 (67.9%)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Sheet1!$A$2:$A$6</c:f>
              <c:strCache>
                <c:ptCount val="5"/>
                <c:pt idx="0">
                  <c:v>Partner relationship</c:v>
                </c:pt>
                <c:pt idx="1">
                  <c:v>Healthy lifestyle</c:v>
                </c:pt>
                <c:pt idx="2">
                  <c:v>Work life</c:v>
                </c:pt>
                <c:pt idx="3">
                  <c:v>Family &amp; friends</c:v>
                </c:pt>
                <c:pt idx="4">
                  <c:v>Personal &amp; social activities</c:v>
                </c:pt>
              </c:strCache>
            </c:strRef>
          </c:cat>
          <c:val>
            <c:numRef>
              <c:f>Sheet1!$G$2:$G$6</c:f>
              <c:numCache>
                <c:formatCode>General</c:formatCode>
                <c:ptCount val="5"/>
                <c:pt idx="0">
                  <c:v>6.6000000000000003E-2</c:v>
                </c:pt>
                <c:pt idx="1">
                  <c:v>4.0000000000000001E-3</c:v>
                </c:pt>
                <c:pt idx="2">
                  <c:v>-0.01</c:v>
                </c:pt>
                <c:pt idx="3">
                  <c:v>8.5999999999999993E-2</c:v>
                </c:pt>
                <c:pt idx="4">
                  <c:v>2E-3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0B1-4959-91AF-3DB24B00C399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Class 7 (6.5%)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cat>
            <c:strRef>
              <c:f>Sheet1!$A$2:$A$6</c:f>
              <c:strCache>
                <c:ptCount val="5"/>
                <c:pt idx="0">
                  <c:v>Partner relationship</c:v>
                </c:pt>
                <c:pt idx="1">
                  <c:v>Healthy lifestyle</c:v>
                </c:pt>
                <c:pt idx="2">
                  <c:v>Work life</c:v>
                </c:pt>
                <c:pt idx="3">
                  <c:v>Family &amp; friends</c:v>
                </c:pt>
                <c:pt idx="4">
                  <c:v>Personal &amp; social activities</c:v>
                </c:pt>
              </c:strCache>
            </c:strRef>
          </c:cat>
          <c:val>
            <c:numRef>
              <c:f>Sheet1!$H$2:$H$6</c:f>
              <c:numCache>
                <c:formatCode>General</c:formatCode>
                <c:ptCount val="5"/>
                <c:pt idx="0">
                  <c:v>2.085</c:v>
                </c:pt>
                <c:pt idx="1">
                  <c:v>0.33600000000000002</c:v>
                </c:pt>
                <c:pt idx="2">
                  <c:v>8.6999999999999994E-2</c:v>
                </c:pt>
                <c:pt idx="3">
                  <c:v>0.37</c:v>
                </c:pt>
                <c:pt idx="4">
                  <c:v>6.3E-2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90B1-4959-91AF-3DB24B00C3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228352"/>
        <c:axId val="84242816"/>
      </c:lineChart>
      <c:catAx>
        <c:axId val="8422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2">
                <a:lumMod val="9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4242816"/>
        <c:crosses val="autoZero"/>
        <c:auto val="1"/>
        <c:lblAlgn val="ctr"/>
        <c:lblOffset val="100"/>
        <c:noMultiLvlLbl val="0"/>
      </c:catAx>
      <c:valAx>
        <c:axId val="8424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sz="1000">
                    <a:latin typeface="Arial" panose="020B0604020202020204" pitchFamily="34" charset="0"/>
                    <a:cs typeface="Arial" panose="020B0604020202020204" pitchFamily="34" charset="0"/>
                  </a:rPr>
                  <a:t>Factor</a:t>
                </a:r>
                <a:r>
                  <a:rPr lang="en-GB" sz="1000" baseline="0">
                    <a:latin typeface="Arial" panose="020B0604020202020204" pitchFamily="34" charset="0"/>
                    <a:cs typeface="Arial" panose="020B0604020202020204" pitchFamily="34" charset="0"/>
                  </a:rPr>
                  <a:t> Scores</a:t>
                </a:r>
                <a:endParaRPr lang="en-GB" sz="10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25400">
            <a:solidFill>
              <a:schemeClr val="bg2">
                <a:lumMod val="9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4228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071468077347854E-2"/>
          <c:y val="0.91617263631519741"/>
          <c:w val="0.92603310471411548"/>
          <c:h val="8.17158243091846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tx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60</Characters>
  <Application>Microsoft Office Word</Application>
  <DocSecurity>0</DocSecurity>
  <Lines>1</Lines>
  <Paragraphs>1</Paragraphs>
  <ScaleCrop>false</ScaleCrop>
  <Company>The University of Sheffield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Butter</dc:creator>
  <cp:keywords/>
  <dc:description/>
  <cp:lastModifiedBy>Sarah Butter</cp:lastModifiedBy>
  <cp:revision>1</cp:revision>
  <dcterms:created xsi:type="dcterms:W3CDTF">2021-03-12T17:36:00Z</dcterms:created>
  <dcterms:modified xsi:type="dcterms:W3CDTF">2021-03-12T17:38:00Z</dcterms:modified>
</cp:coreProperties>
</file>