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B1EB" w14:textId="77777777" w:rsidR="00522304" w:rsidRPr="006453D9" w:rsidRDefault="00522304" w:rsidP="00456CD8">
      <w:pPr>
        <w:pStyle w:val="MDPI11articletype"/>
      </w:pPr>
      <w:r w:rsidRPr="006453D9">
        <w:t>Article</w:t>
      </w:r>
    </w:p>
    <w:p w14:paraId="345F5705" w14:textId="77777777" w:rsidR="00522304" w:rsidRPr="003B1AF1" w:rsidRDefault="00C35FF6" w:rsidP="00456CD8">
      <w:pPr>
        <w:pStyle w:val="MDPI12title"/>
      </w:pPr>
      <w:r w:rsidRPr="00C35FF6">
        <w:t>The impact of demographic, socio-economic and geographic factors on mortality risk among people living with dementia in England (2002-2016)</w:t>
      </w:r>
    </w:p>
    <w:p w14:paraId="489A1BB4" w14:textId="77777777" w:rsidR="00904094" w:rsidRDefault="00C35FF6" w:rsidP="00522304">
      <w:pPr>
        <w:pStyle w:val="MDPI13authornames"/>
      </w:pPr>
      <w:r>
        <w:t>James Watson</w:t>
      </w:r>
      <w:r w:rsidR="00456CD8">
        <w:t xml:space="preserve"> </w:t>
      </w:r>
      <w:proofErr w:type="gramStart"/>
      <w:r w:rsidR="00522304" w:rsidRPr="001F31D1">
        <w:rPr>
          <w:vertAlign w:val="superscript"/>
        </w:rPr>
        <w:t>1</w:t>
      </w:r>
      <w:r w:rsidR="00456CD8">
        <w:rPr>
          <w:vertAlign w:val="superscript"/>
        </w:rPr>
        <w:t>,</w:t>
      </w:r>
      <w:r w:rsidRPr="00C35FF6">
        <w:t>*</w:t>
      </w:r>
      <w:proofErr w:type="gramEnd"/>
      <w:r w:rsidR="00522304" w:rsidRPr="00C35FF6">
        <w:t xml:space="preserve">, </w:t>
      </w:r>
      <w:r w:rsidRPr="00C35FF6">
        <w:rPr>
          <w:rFonts w:cs="Arial"/>
        </w:rPr>
        <w:t>Frances Darlington-Pollock</w:t>
      </w:r>
      <w:r w:rsidR="00456CD8">
        <w:rPr>
          <w:rFonts w:cs="Arial"/>
        </w:rPr>
        <w:t xml:space="preserve"> </w:t>
      </w:r>
      <w:r w:rsidRPr="00C35FF6">
        <w:rPr>
          <w:rFonts w:cs="Arial"/>
          <w:vertAlign w:val="superscript"/>
        </w:rPr>
        <w:t>2</w:t>
      </w:r>
      <w:r w:rsidRPr="00C35FF6">
        <w:rPr>
          <w:rFonts w:cs="Arial"/>
        </w:rPr>
        <w:t>, Mark Green</w:t>
      </w:r>
      <w:r w:rsidR="00456CD8">
        <w:rPr>
          <w:rFonts w:cs="Arial"/>
        </w:rPr>
        <w:t xml:space="preserve"> </w:t>
      </w:r>
      <w:r w:rsidRPr="00C35FF6">
        <w:rPr>
          <w:rFonts w:cs="Arial"/>
          <w:vertAlign w:val="superscript"/>
        </w:rPr>
        <w:t>3</w:t>
      </w:r>
      <w:r w:rsidRPr="00C35FF6">
        <w:rPr>
          <w:rFonts w:cs="Arial"/>
        </w:rPr>
        <w:t>, Clarissa Giebel</w:t>
      </w:r>
      <w:r w:rsidR="00456CD8">
        <w:rPr>
          <w:rFonts w:cs="Arial"/>
        </w:rPr>
        <w:t xml:space="preserve"> </w:t>
      </w:r>
      <w:r w:rsidRPr="00C35FF6">
        <w:rPr>
          <w:rFonts w:cs="Arial"/>
          <w:vertAlign w:val="superscript"/>
        </w:rPr>
        <w:t>4,5</w:t>
      </w:r>
      <w:r w:rsidRPr="00C35FF6">
        <w:rPr>
          <w:rFonts w:cs="Arial"/>
        </w:rPr>
        <w:t>, Asan Akpan</w:t>
      </w:r>
      <w:r w:rsidR="00456CD8">
        <w:rPr>
          <w:rFonts w:cs="Arial"/>
        </w:rPr>
        <w:t xml:space="preserve"> </w:t>
      </w:r>
      <w:r w:rsidRPr="00C35FF6">
        <w:rPr>
          <w:rFonts w:cs="Arial"/>
          <w:vertAlign w:val="superscript"/>
        </w:rPr>
        <w:t>6</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904094" w:rsidRPr="006331AD" w14:paraId="384920AD" w14:textId="77777777" w:rsidTr="002F4201">
        <w:tc>
          <w:tcPr>
            <w:tcW w:w="2410" w:type="dxa"/>
            <w:shd w:val="clear" w:color="auto" w:fill="auto"/>
          </w:tcPr>
          <w:p w14:paraId="5B25ADC4" w14:textId="77777777" w:rsidR="00904094" w:rsidRPr="00183AB8" w:rsidRDefault="00904094" w:rsidP="002F4201">
            <w:pPr>
              <w:pStyle w:val="MDPI61Citation"/>
              <w:spacing w:line="240" w:lineRule="exact"/>
            </w:pPr>
            <w:r w:rsidRPr="00183AB8">
              <w:rPr>
                <w:b/>
              </w:rPr>
              <w:t>Citation:</w:t>
            </w:r>
            <w:r w:rsidRPr="006331AD">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Int. J. Environ. Res. Public Health </w:t>
            </w:r>
            <w:r w:rsidRPr="00527484">
              <w:rPr>
                <w:b/>
              </w:rPr>
              <w:t>2021</w:t>
            </w:r>
            <w:r>
              <w:t xml:space="preserve">, </w:t>
            </w:r>
            <w:r w:rsidRPr="00527484">
              <w:rPr>
                <w:i/>
              </w:rPr>
              <w:t>18</w:t>
            </w:r>
            <w:r>
              <w:t>, x. https://doi.org/10.3390/xxxxx</w:t>
            </w:r>
          </w:p>
          <w:p w14:paraId="4F882F30" w14:textId="77777777" w:rsidR="00904094" w:rsidRDefault="00904094" w:rsidP="002F4201">
            <w:pPr>
              <w:pStyle w:val="MDPI14history"/>
              <w:spacing w:before="240" w:after="24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14:paraId="36872F5C" w14:textId="77777777" w:rsidR="00904094" w:rsidRPr="00D30D71" w:rsidRDefault="00904094" w:rsidP="002F4201">
            <w:pPr>
              <w:pStyle w:val="MDPI14history"/>
              <w:rPr>
                <w:rFonts w:ascii="SimSun" w:eastAsia="SimSun" w:hAnsi="SimSun" w:cs="SimSun"/>
              </w:rPr>
            </w:pPr>
            <w:r w:rsidRPr="00550626">
              <w:rPr>
                <w:szCs w:val="14"/>
              </w:rPr>
              <w:t xml:space="preserve">Received: </w:t>
            </w:r>
            <w:r w:rsidRPr="00D945EC">
              <w:rPr>
                <w:szCs w:val="14"/>
              </w:rPr>
              <w:t>date</w:t>
            </w:r>
          </w:p>
          <w:p w14:paraId="7B30BDFA" w14:textId="77777777" w:rsidR="00904094" w:rsidRPr="00550626" w:rsidRDefault="00904094" w:rsidP="002F4201">
            <w:pPr>
              <w:pStyle w:val="MDPI14history"/>
              <w:rPr>
                <w:szCs w:val="14"/>
              </w:rPr>
            </w:pPr>
            <w:r w:rsidRPr="00550626">
              <w:rPr>
                <w:szCs w:val="14"/>
              </w:rPr>
              <w:t xml:space="preserve">Accepted: </w:t>
            </w:r>
            <w:r w:rsidRPr="00D945EC">
              <w:rPr>
                <w:szCs w:val="14"/>
              </w:rPr>
              <w:t>date</w:t>
            </w:r>
          </w:p>
          <w:p w14:paraId="17F50CB2" w14:textId="77777777" w:rsidR="00904094" w:rsidRPr="00550626" w:rsidRDefault="00904094" w:rsidP="002F4201">
            <w:pPr>
              <w:pStyle w:val="MDPI14history"/>
              <w:spacing w:after="240"/>
              <w:rPr>
                <w:szCs w:val="14"/>
              </w:rPr>
            </w:pPr>
            <w:r w:rsidRPr="00550626">
              <w:rPr>
                <w:szCs w:val="14"/>
              </w:rPr>
              <w:t xml:space="preserve">Published: </w:t>
            </w:r>
            <w:r w:rsidRPr="00D945EC">
              <w:rPr>
                <w:szCs w:val="14"/>
              </w:rPr>
              <w:t>date</w:t>
            </w:r>
          </w:p>
          <w:p w14:paraId="2EF4B94B" w14:textId="77777777" w:rsidR="00904094" w:rsidRPr="006331AD" w:rsidRDefault="00904094" w:rsidP="002F4201">
            <w:pPr>
              <w:pStyle w:val="MDPI63Notes"/>
              <w:jc w:val="both"/>
            </w:pPr>
            <w:r w:rsidRPr="006331AD">
              <w:rPr>
                <w:b/>
              </w:rPr>
              <w:t>Publisher’s Note:</w:t>
            </w:r>
            <w:r w:rsidRPr="006331AD">
              <w:t xml:space="preserve"> MDPI stays neutral with regard to jurisdictional claims in published maps and institutional affiliations.</w:t>
            </w:r>
          </w:p>
          <w:p w14:paraId="7D7547A9" w14:textId="77777777" w:rsidR="00904094" w:rsidRPr="006331AD" w:rsidRDefault="00904094" w:rsidP="002F4201">
            <w:pPr>
              <w:adjustRightInd w:val="0"/>
              <w:snapToGrid w:val="0"/>
              <w:spacing w:before="240" w:line="240" w:lineRule="atLeast"/>
              <w:ind w:right="113"/>
              <w:jc w:val="left"/>
              <w:rPr>
                <w:rFonts w:eastAsia="DengXian"/>
                <w:bCs/>
                <w:sz w:val="14"/>
                <w:szCs w:val="14"/>
                <w:lang w:bidi="en-US"/>
              </w:rPr>
            </w:pPr>
            <w:r w:rsidRPr="006331AD">
              <w:rPr>
                <w:rFonts w:eastAsia="DengXian"/>
              </w:rPr>
              <w:drawing>
                <wp:inline distT="0" distB="0" distL="0" distR="0" wp14:anchorId="3D1E1ED6" wp14:editId="4791C2F8">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74B214C" w14:textId="77777777" w:rsidR="00904094" w:rsidRPr="006331AD" w:rsidRDefault="00904094" w:rsidP="002F4201">
            <w:pPr>
              <w:adjustRightInd w:val="0"/>
              <w:snapToGrid w:val="0"/>
              <w:spacing w:before="60" w:line="240" w:lineRule="atLeast"/>
              <w:ind w:right="113"/>
              <w:rPr>
                <w:rFonts w:eastAsia="DengXian"/>
                <w:bCs/>
                <w:sz w:val="14"/>
                <w:szCs w:val="14"/>
                <w:lang w:bidi="en-US"/>
              </w:rPr>
            </w:pPr>
            <w:r w:rsidRPr="006331AD">
              <w:rPr>
                <w:rFonts w:eastAsia="DengXian"/>
                <w:b/>
                <w:bCs/>
                <w:sz w:val="14"/>
                <w:szCs w:val="14"/>
                <w:lang w:bidi="en-US"/>
              </w:rPr>
              <w:t>Copyright:</w:t>
            </w:r>
            <w:r w:rsidRPr="006331AD">
              <w:rPr>
                <w:rFonts w:eastAsia="DengXian"/>
                <w:bCs/>
                <w:sz w:val="14"/>
                <w:szCs w:val="14"/>
                <w:lang w:bidi="en-US"/>
              </w:rPr>
              <w:t xml:space="preserve"> </w:t>
            </w:r>
            <w:r>
              <w:rPr>
                <w:rFonts w:eastAsia="DengXian"/>
                <w:bCs/>
                <w:sz w:val="14"/>
                <w:szCs w:val="14"/>
                <w:lang w:bidi="en-US"/>
              </w:rPr>
              <w:t>© 2021</w:t>
            </w:r>
            <w:r w:rsidRPr="006331AD">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331AD">
              <w:rPr>
                <w:rFonts w:eastAsia="DengXian"/>
                <w:bCs/>
                <w:sz w:val="14"/>
                <w:szCs w:val="14"/>
                <w:lang w:bidi="en-US"/>
              </w:rPr>
              <w:t>Attribution (CC BY) license (</w:t>
            </w:r>
            <w:r>
              <w:rPr>
                <w:rFonts w:eastAsia="DengXian"/>
                <w:bCs/>
                <w:sz w:val="14"/>
                <w:szCs w:val="14"/>
                <w:lang w:bidi="en-US"/>
              </w:rPr>
              <w:t>https://</w:t>
            </w:r>
            <w:r w:rsidRPr="006331AD">
              <w:rPr>
                <w:rFonts w:eastAsia="DengXian"/>
                <w:bCs/>
                <w:sz w:val="14"/>
                <w:szCs w:val="14"/>
                <w:lang w:bidi="en-US"/>
              </w:rPr>
              <w:t>creativecommons.org/licenses/by/4.0/).</w:t>
            </w:r>
          </w:p>
        </w:tc>
      </w:tr>
    </w:tbl>
    <w:p w14:paraId="68774BEF" w14:textId="77777777" w:rsidR="00C35FF6" w:rsidRDefault="00B670B5" w:rsidP="00456CD8">
      <w:pPr>
        <w:pStyle w:val="MDPI16affiliation"/>
      </w:pPr>
      <w:r w:rsidRPr="00456CD8">
        <w:rPr>
          <w:vertAlign w:val="superscript"/>
        </w:rPr>
        <w:t>1</w:t>
      </w:r>
      <w:r w:rsidR="00522304" w:rsidRPr="00456CD8">
        <w:tab/>
      </w:r>
      <w:r w:rsidR="00C35FF6">
        <w:t>PhD Researcher, School of Environmental Sciences, The University of Liverpool, UK</w:t>
      </w:r>
      <w:r w:rsidR="00522304" w:rsidRPr="00D945EC">
        <w:t>;</w:t>
      </w:r>
    </w:p>
    <w:p w14:paraId="43A90DC7" w14:textId="77777777" w:rsidR="00522304" w:rsidRPr="00D945EC" w:rsidRDefault="00C35FF6" w:rsidP="00456CD8">
      <w:pPr>
        <w:pStyle w:val="MDPI16affiliation"/>
        <w:ind w:firstLine="0"/>
      </w:pPr>
      <w:r>
        <w:t>james.watson@liverpool.ac.uk</w:t>
      </w:r>
    </w:p>
    <w:p w14:paraId="47827218" w14:textId="77777777" w:rsidR="00C35FF6" w:rsidRDefault="00522304" w:rsidP="00522304">
      <w:pPr>
        <w:pStyle w:val="MDPI16affiliation"/>
      </w:pPr>
      <w:r w:rsidRPr="00D945EC">
        <w:rPr>
          <w:vertAlign w:val="superscript"/>
        </w:rPr>
        <w:t>2</w:t>
      </w:r>
      <w:r w:rsidRPr="00D945EC">
        <w:tab/>
      </w:r>
      <w:r w:rsidR="00C35FF6" w:rsidRPr="00C35FF6">
        <w:t>Lecturer in Population Geography, School of Environmental Sciences, The University of Liverpool, UK</w:t>
      </w:r>
    </w:p>
    <w:p w14:paraId="725FE4A6" w14:textId="77777777" w:rsidR="00C35FF6" w:rsidRDefault="00C35FF6" w:rsidP="00522304">
      <w:pPr>
        <w:pStyle w:val="MDPI16affiliation"/>
      </w:pPr>
      <w:r>
        <w:t>³</w:t>
      </w:r>
      <w:r>
        <w:tab/>
      </w:r>
      <w:r w:rsidRPr="00C35FF6">
        <w:t>Senior Lecturer in Health Geography, School of Environmental Sciences, The University of Liverpool, UK</w:t>
      </w:r>
    </w:p>
    <w:p w14:paraId="63D39DA7" w14:textId="77777777" w:rsidR="00C35FF6" w:rsidRDefault="00C35FF6" w:rsidP="00456CD8">
      <w:pPr>
        <w:pStyle w:val="MDPI16affiliation"/>
      </w:pPr>
      <w:r>
        <w:t>⁴</w:t>
      </w:r>
      <w:r>
        <w:tab/>
      </w:r>
      <w:r w:rsidRPr="00C35FF6">
        <w:t>Department of Primary Care and Mental Health, University of Liverpool, UK</w:t>
      </w:r>
    </w:p>
    <w:p w14:paraId="4853F87E" w14:textId="77777777" w:rsidR="00C35FF6" w:rsidRDefault="00C35FF6" w:rsidP="00522304">
      <w:pPr>
        <w:pStyle w:val="MDPI16affiliation"/>
      </w:pPr>
      <w:r>
        <w:t>⁵</w:t>
      </w:r>
      <w:r>
        <w:tab/>
      </w:r>
      <w:r w:rsidRPr="00C35FF6">
        <w:t>Senior Research Fellow, NIHR ARC NWC, UK</w:t>
      </w:r>
    </w:p>
    <w:p w14:paraId="5870D808" w14:textId="77777777" w:rsidR="00C35FF6" w:rsidRPr="00C35FF6" w:rsidRDefault="00C35FF6" w:rsidP="00522304">
      <w:pPr>
        <w:pStyle w:val="MDPI16affiliation"/>
        <w:rPr>
          <w:vertAlign w:val="superscript"/>
        </w:rPr>
      </w:pPr>
      <w:r w:rsidRPr="00C35FF6">
        <w:rPr>
          <w:vertAlign w:val="superscript"/>
        </w:rPr>
        <w:t>6</w:t>
      </w:r>
      <w:r>
        <w:rPr>
          <w:vertAlign w:val="superscript"/>
        </w:rPr>
        <w:tab/>
      </w:r>
      <w:r w:rsidRPr="00C35FF6">
        <w:t>Consultant Geriatrician Liverpool University Hospital NHS FT; Visiting Professor, University of Cumbria; Hon Clinical Associate Professor, The University of Liverpool; Ageing SRGL, NIHR CRN NWC</w:t>
      </w:r>
    </w:p>
    <w:p w14:paraId="7C1C9813" w14:textId="77777777" w:rsidR="00522304" w:rsidRPr="00550626" w:rsidRDefault="00522304" w:rsidP="00522304">
      <w:pPr>
        <w:pStyle w:val="MDPI16affiliation"/>
      </w:pPr>
      <w:r w:rsidRPr="000946E3">
        <w:rPr>
          <w:b/>
        </w:rPr>
        <w:t>*</w:t>
      </w:r>
      <w:r w:rsidRPr="00D945EC">
        <w:tab/>
        <w:t xml:space="preserve">Correspondence: </w:t>
      </w:r>
      <w:r w:rsidR="00C35FF6">
        <w:t>james.watson@liverpool.ac.uk</w:t>
      </w:r>
    </w:p>
    <w:p w14:paraId="700303B1" w14:textId="77777777" w:rsidR="00522304" w:rsidRPr="00550626" w:rsidRDefault="00522304" w:rsidP="00044A60">
      <w:pPr>
        <w:pStyle w:val="MDPI17abstract"/>
      </w:pPr>
      <w:r w:rsidRPr="00044A60">
        <w:rPr>
          <w:b/>
        </w:rPr>
        <w:t xml:space="preserve">Abstract: </w:t>
      </w:r>
      <w:r w:rsidR="00C35FF6" w:rsidRPr="00C35FF6">
        <w:t>Increasing numbers of people living with dementia (PLWD), and a pressured health and social care system, will exacerbate inequalities in mortality for PLWD. There is a dearth of research examining multiple factors in mortality risk among PLWD, including application of large administrative datasets to investigate these issues. This study explored variation mortality risk variation among people diagnosed with dementia between 2002-2016, based on: age, sex, ethnicity, deprivation, geography and General Practice (GP) contacts. Data were derived from electronic health records from a cohort of Clinical Practice Research Datalink GP patients in England (n=142,340). Cox Proportional Hazards regression modelled mortality risk separately for people with early- and later- onset dementia. Few social inequalities were observed in early-onset dementia; men had greater risk of mortality. For early- and later-onset, higher rates of GP observations – and for later-onset only dementia medications - are associated with increased mortality risk. Social inequalities were evident in later-onset dementia. Accounting for other explanatory factors, Black and Mixed/Other ethnicity groups had lower mortality risk, more deprived areas had greater mortality risk, and higher mortality was observed in North East, South Central and South West GP regions. This study provides novel evidence of the extent of mortality risk inequalities among PLWD. Variance in mortality risk was observed by social, demographic and geographic factors, and frequency of GP contact. Findings illustrate need for greater person-</w:t>
      </w:r>
      <w:proofErr w:type="spellStart"/>
      <w:r w:rsidR="00C35FF6" w:rsidRPr="00C35FF6">
        <w:t>centred</w:t>
      </w:r>
      <w:proofErr w:type="spellEnd"/>
      <w:r w:rsidR="00C35FF6" w:rsidRPr="00C35FF6">
        <w:t xml:space="preserve"> care discussions, </w:t>
      </w:r>
      <w:proofErr w:type="spellStart"/>
      <w:r w:rsidR="00C35FF6" w:rsidRPr="00C35FF6">
        <w:t>prioritising</w:t>
      </w:r>
      <w:proofErr w:type="spellEnd"/>
      <w:r w:rsidR="00C35FF6" w:rsidRPr="00C35FF6">
        <w:t xml:space="preserve"> tackling inequalities among PLWD. Future research should explore more outcomes for PLWD, and more explanatory factors of health outcomes.</w:t>
      </w:r>
    </w:p>
    <w:p w14:paraId="3EB181A1" w14:textId="77777777" w:rsidR="00522304" w:rsidRPr="00550626" w:rsidRDefault="00044A60" w:rsidP="00044A60">
      <w:pPr>
        <w:pStyle w:val="MDPI18keywords"/>
      </w:pPr>
      <w:r w:rsidRPr="00044A60">
        <w:rPr>
          <w:b/>
        </w:rPr>
        <w:t>Keywords:</w:t>
      </w:r>
      <w:r w:rsidR="00522304" w:rsidRPr="00044A60">
        <w:rPr>
          <w:b/>
        </w:rPr>
        <w:t xml:space="preserve"> </w:t>
      </w:r>
      <w:r w:rsidR="00C35FF6">
        <w:t>dementia</w:t>
      </w:r>
      <w:r w:rsidR="00522304" w:rsidRPr="00D945EC">
        <w:t xml:space="preserve">; </w:t>
      </w:r>
      <w:r w:rsidR="00C35FF6">
        <w:t xml:space="preserve">early-onset; later-onset; mortality; healthcare; inequalities; </w:t>
      </w:r>
      <w:r w:rsidR="00C35FF6" w:rsidRPr="00044A60">
        <w:t>social</w:t>
      </w:r>
      <w:r w:rsidRPr="00044A60">
        <w:t xml:space="preserve">; </w:t>
      </w:r>
      <w:r w:rsidR="00C35FF6">
        <w:t>spatial</w:t>
      </w:r>
    </w:p>
    <w:p w14:paraId="3AC6DFB8" w14:textId="77777777" w:rsidR="00522304" w:rsidRPr="00550626" w:rsidRDefault="00522304" w:rsidP="00044A60">
      <w:pPr>
        <w:pStyle w:val="MDPI19line"/>
        <w:pBdr>
          <w:bottom w:val="single" w:sz="4" w:space="1" w:color="000000"/>
        </w:pBdr>
      </w:pPr>
    </w:p>
    <w:p w14:paraId="7A8174B3" w14:textId="77777777" w:rsidR="00522304" w:rsidRDefault="00D575B2" w:rsidP="00D575B2">
      <w:pPr>
        <w:pStyle w:val="MDPI21heading1"/>
      </w:pPr>
      <w:r>
        <w:t xml:space="preserve">1. </w:t>
      </w:r>
      <w:r w:rsidR="00522304" w:rsidRPr="007F2582">
        <w:t>Introduction</w:t>
      </w:r>
    </w:p>
    <w:p w14:paraId="5366F595" w14:textId="77777777" w:rsidR="00C35FF6" w:rsidRDefault="00C35FF6" w:rsidP="00D575B2">
      <w:pPr>
        <w:pStyle w:val="MDPI31text"/>
      </w:pPr>
      <w:r>
        <w:t xml:space="preserve">There are inequalities in mortality for people living with dementia (PLWD) by various socio-economic and geographic factors (van de Vorst et al., 2016; Korhonen et al., 2020). People from the most disadvantaged socio-economic groups are most likely to have unmet care needs and experience poorer health outcomes (Wu et al., 2018). Government policy has </w:t>
      </w:r>
      <w:proofErr w:type="spellStart"/>
      <w:r>
        <w:t>prioritised</w:t>
      </w:r>
      <w:proofErr w:type="spellEnd"/>
      <w:r>
        <w:t xml:space="preserve"> narrowing inequalities in access to dementia diagnosis, post-diagnostic support, treatment, and health and social outcomes (Department of Health and Social Care, 2016).</w:t>
      </w:r>
    </w:p>
    <w:p w14:paraId="2FE82707" w14:textId="77777777" w:rsidR="00C35FF6" w:rsidRDefault="00C35FF6" w:rsidP="00D575B2">
      <w:pPr>
        <w:pStyle w:val="MDPI31text"/>
      </w:pPr>
      <w:r>
        <w:lastRenderedPageBreak/>
        <w:t xml:space="preserve">PLWD are more likely than the general population to have comorbidities, and as their condition progresses, a greater need for support with activities of daily living. Increased care need, care home closures and fewer care home places, and social care funding changes, means PLWD with comorbidities are more reliant on informal </w:t>
      </w:r>
      <w:proofErr w:type="spellStart"/>
      <w:r>
        <w:t>carers</w:t>
      </w:r>
      <w:proofErr w:type="spellEnd"/>
      <w:r>
        <w:t xml:space="preserve"> (Bennett et al., 2018). PLWD pay more out-of-pocket for social care (Alzheimer’s Society, 2020) and use healthcare services more than those without dementia (Shepherd et al., 2019). Increased use of acute and unplanned healthcare is associated with greater financial cost to services and poorer outcomes for PLWD (Briggs et al., 2016; van de Vorst et al., 2015). However, current UK health and social care funding is strained, with a reliance on the individual to fund, and the third sector to provide a substantial proportion of dementia services (Ogden, 2017). Appropriate health and social care can slow dementia progression, improve outcomes, benefit informal </w:t>
      </w:r>
      <w:proofErr w:type="spellStart"/>
      <w:r>
        <w:t>carers</w:t>
      </w:r>
      <w:proofErr w:type="spellEnd"/>
      <w:r>
        <w:t xml:space="preserve"> and maintain independence for PLWD (Handley et al., 2017; de </w:t>
      </w:r>
      <w:proofErr w:type="spellStart"/>
      <w:r>
        <w:t>Vugt</w:t>
      </w:r>
      <w:proofErr w:type="spellEnd"/>
      <w:r>
        <w:t xml:space="preserve"> and </w:t>
      </w:r>
      <w:proofErr w:type="spellStart"/>
      <w:r>
        <w:t>Verhey</w:t>
      </w:r>
      <w:proofErr w:type="spellEnd"/>
      <w:r>
        <w:t>, 2013). UK strategies and policy recommendations are not reflected in service provision, and recent Government commitments to increase dementia funding have not been enacted (Local Government Association, 2021).</w:t>
      </w:r>
    </w:p>
    <w:p w14:paraId="782DFF79" w14:textId="794C510B" w:rsidR="00C35FF6" w:rsidRDefault="00F26AF4" w:rsidP="00D575B2">
      <w:pPr>
        <w:pStyle w:val="MDPI31text"/>
      </w:pPr>
      <w:bookmarkStart w:id="0" w:name="_Hlk90568181"/>
      <w:bookmarkStart w:id="1" w:name="_Hlk90550115"/>
      <w:bookmarkStart w:id="2" w:name="_Hlk90549949"/>
      <w:r>
        <w:t>T</w:t>
      </w:r>
      <w:r w:rsidR="00C35FF6">
        <w:t xml:space="preserve">he number of PLWD in the UK is estimated to increase from ~920,000 in 2020, to over 1 million by 2024. The reflected financial health and social care cost is anticipated to increase threefold (Wittenberg et al., 2019). The majority of PLWD are aged 65 and over, and the greatest increase will be among those with severe dementia, who often have the greatest needs </w:t>
      </w:r>
      <w:r>
        <w:t>(</w:t>
      </w:r>
      <w:r w:rsidR="00C35FF6">
        <w:t>for support with routine daily activities</w:t>
      </w:r>
      <w:r>
        <w:t>),</w:t>
      </w:r>
      <w:r w:rsidR="00C35FF6">
        <w:t xml:space="preserve"> </w:t>
      </w:r>
      <w:r>
        <w:t xml:space="preserve">poorest </w:t>
      </w:r>
      <w:r w:rsidR="00C35FF6">
        <w:t>prognosis (Wittenberg et al., 2019) and greatest service cost</w:t>
      </w:r>
      <w:r>
        <w:t>s</w:t>
      </w:r>
      <w:r w:rsidR="00C35FF6">
        <w:t xml:space="preserve"> (Andersen et al., 2003). </w:t>
      </w:r>
      <w:r>
        <w:t xml:space="preserve">As dementia progresses, and health deteriorates, PLWD are likely to need greater levels of healthcare involvement, both in relation to dementia, and comorbidities (van de Vorst et al., 2020). A further shift towards an older population and increased numbers of PLWD, more severe symptomology and poorer health will result in greater mortality risk (van de Vorst et al., 2016). These factors will impact some social groups more acutely, particularly older PLWD (Watson et al., 2020). </w:t>
      </w:r>
      <w:r w:rsidR="00C35FF6">
        <w:t xml:space="preserve">Without additional funding and support, dementia services struggling to cope with current demand - and further impacted by the COVID-19 pandemic (Giebel., 2021) - are unlikely to be able to effectively care for and treat increased numbers of PLWD (Alzheimer’s Society, 2020(2)). </w:t>
      </w:r>
      <w:r>
        <w:t>Increased demand for healthcare will</w:t>
      </w:r>
      <w:r w:rsidDel="00F26AF4">
        <w:t xml:space="preserve"> </w:t>
      </w:r>
      <w:r w:rsidR="00C35FF6">
        <w:t>exacerbate issues with care and treatment, which will likely have a disproportionate impact (Government Office for Science, 2016), resulting in worse outcomes, including poorer survival and greater mortality (Cooper et al., 2016).</w:t>
      </w:r>
      <w:bookmarkEnd w:id="1"/>
      <w:bookmarkEnd w:id="2"/>
      <w:r w:rsidR="00C35FF6">
        <w:t xml:space="preserve"> </w:t>
      </w:r>
      <w:r w:rsidR="00F54C0F" w:rsidRPr="00F54C0F">
        <w:t>Due to inequalities in service availability, access and quality of care, the most disadvantaged will likely be impacted disproportionately (Nuffield Trust, 2020).</w:t>
      </w:r>
    </w:p>
    <w:bookmarkEnd w:id="0"/>
    <w:p w14:paraId="17AEAD2F" w14:textId="489B05DE" w:rsidR="00C35FF6" w:rsidRDefault="00C35FF6" w:rsidP="00D575B2">
      <w:pPr>
        <w:pStyle w:val="MDPI31text"/>
      </w:pPr>
      <w:r>
        <w:t xml:space="preserve">In order to address current inequalities, and prevent inequalities widening due to increased demand and struggling services, we need to employ administrative data to better support improved decision-making. </w:t>
      </w:r>
      <w:r w:rsidR="007858D0">
        <w:t xml:space="preserve">Mortality is a definitive outcome, which can illustrate both ill-health and </w:t>
      </w:r>
      <w:r w:rsidR="00AB14F7">
        <w:t>effectiveness of</w:t>
      </w:r>
      <w:r w:rsidR="007858D0">
        <w:t xml:space="preserve"> care and symptom management throughout the trajectory of an illness (</w:t>
      </w:r>
      <w:proofErr w:type="spellStart"/>
      <w:r w:rsidR="007858D0">
        <w:t>Rait</w:t>
      </w:r>
      <w:proofErr w:type="spellEnd"/>
      <w:r w:rsidR="007858D0">
        <w:t xml:space="preserve"> et al., 2010; van de Vorst et al., 2020). During times of restricted funding and service availability, inequalities in mortality and differences in life expectancy across social groups widen (Daly and Allen, 2016). As such, it is critical we explore current inequalities as a matter of course to understanding how we can negate the differences experiences by people as a result of belonging to specific social groups. </w:t>
      </w:r>
      <w:r>
        <w:t xml:space="preserve">Electronic Health Records (EHR) can be employed to identify healthcare use and outcomes among specified, large patient groups, which may not be possible through other means (Casey et al., 2016; </w:t>
      </w:r>
      <w:proofErr w:type="spellStart"/>
      <w:r>
        <w:t>Manca</w:t>
      </w:r>
      <w:proofErr w:type="spellEnd"/>
      <w:r>
        <w:t xml:space="preserve">, 2015). </w:t>
      </w:r>
      <w:r w:rsidR="007858D0">
        <w:t>T</w:t>
      </w:r>
      <w:r>
        <w:t>hough EHRs have evidenced mortality risk among PLWD, there is limited use in evidencing social, demographic and geographic inequalities (Watson et al., 2020). With policy-makers and service commissioners increasingly aware of the need for patients’ social context in their experience of a disease, there is an urgent need to better employ EHRs to evidence variation in outcomes for PLWD. This study addresses these evidence gaps.</w:t>
      </w:r>
    </w:p>
    <w:p w14:paraId="2336B107" w14:textId="77777777" w:rsidR="00522304" w:rsidRDefault="00C35FF6" w:rsidP="00D575B2">
      <w:pPr>
        <w:pStyle w:val="MDPI31text"/>
      </w:pPr>
      <w:r>
        <w:lastRenderedPageBreak/>
        <w:t>The aim of this study is to examine the extent to which demographic, socioeconomic, geographic and healthcare factors are associated with mortality for PLWD, using large-scale, longitudinal EHRs.</w:t>
      </w:r>
    </w:p>
    <w:p w14:paraId="043221ED" w14:textId="77777777" w:rsidR="00522304" w:rsidRPr="00FA04F1" w:rsidRDefault="00D575B2" w:rsidP="00D575B2">
      <w:pPr>
        <w:pStyle w:val="MDPI21heading1"/>
      </w:pPr>
      <w:r>
        <w:rPr>
          <w:lang w:eastAsia="zh-CN"/>
        </w:rPr>
        <w:t xml:space="preserve">2. </w:t>
      </w:r>
      <w:r w:rsidR="00522304" w:rsidRPr="00FA04F1">
        <w:t>Materials and Methods</w:t>
      </w:r>
    </w:p>
    <w:p w14:paraId="124C4669" w14:textId="77777777" w:rsidR="00D35A98" w:rsidRPr="00D575B2" w:rsidRDefault="00D575B2" w:rsidP="00D575B2">
      <w:pPr>
        <w:pStyle w:val="MDPI22heading2"/>
      </w:pPr>
      <w:r w:rsidRPr="00D575B2">
        <w:t xml:space="preserve">2.1. </w:t>
      </w:r>
      <w:r w:rsidR="00D35A98" w:rsidRPr="00D575B2">
        <w:t>Data Access and Ethical Approval</w:t>
      </w:r>
    </w:p>
    <w:p w14:paraId="1335DE4C" w14:textId="77777777" w:rsidR="00D35A98" w:rsidRDefault="00D35A98" w:rsidP="00D575B2">
      <w:pPr>
        <w:pStyle w:val="MDPI31text"/>
      </w:pPr>
      <w:r>
        <w:t xml:space="preserve">Clinical Practice Research Datalink (CPRD) collects </w:t>
      </w:r>
      <w:proofErr w:type="spellStart"/>
      <w:r>
        <w:t>anonymised</w:t>
      </w:r>
      <w:proofErr w:type="spellEnd"/>
      <w:r>
        <w:t xml:space="preserve"> EHR from ~2000 General Practices (GPs) across the UK, with ~16 million registered patients included, representing 25% of the UK’s population. GPs apply to CPRD to register for their data to be collected, resulting in potential uneven geographic coverage. CPRD has been employed previously to investigate socio-economic and demographic factors in variation in care of physical and mental health conditions (Chan et al., 2019; Hawkins et al., 2012). Data access was granted by CPRD and use of CPRD Aurum for research purposes approved by the University of Liverpool Research Ethics board (Reference: 7922). The CPRD Aurum database contains routinely-collected, longitudinal EHRs from CPRD-registered GPs, providing records of patient-GP contacts and some socio-economic and geographic variables. For reference, in this paper, a “patient-GP contact” is a single record of a discussion between or regarding a patient – whether that be face-to-face or otherwise - or record of a medication prescribed to a patient – whether that be an initial medication or repeat prescription.</w:t>
      </w:r>
    </w:p>
    <w:p w14:paraId="149DCD46" w14:textId="77777777" w:rsidR="00D35A98" w:rsidRPr="00D575B2" w:rsidRDefault="00D35A98" w:rsidP="00D575B2">
      <w:pPr>
        <w:pStyle w:val="MDPI22heading2"/>
        <w:spacing w:before="240"/>
      </w:pPr>
      <w:r w:rsidRPr="00D575B2">
        <w:t>2.2</w:t>
      </w:r>
      <w:r w:rsidR="00D575B2" w:rsidRPr="00D575B2">
        <w:t xml:space="preserve">. </w:t>
      </w:r>
      <w:r w:rsidRPr="00D575B2">
        <w:t>Outcome variable</w:t>
      </w:r>
    </w:p>
    <w:p w14:paraId="04D8AABC" w14:textId="77777777" w:rsidR="00D35A98" w:rsidRDefault="00D35A98" w:rsidP="00D575B2">
      <w:pPr>
        <w:pStyle w:val="MDPI31text"/>
      </w:pPr>
      <w:r>
        <w:t>Mortality, is a binary outcome variable, based on the presence of date of death in CPRD.</w:t>
      </w:r>
    </w:p>
    <w:p w14:paraId="071A9989" w14:textId="77777777" w:rsidR="00D35A98" w:rsidRPr="00D575B2" w:rsidRDefault="00D35A98" w:rsidP="00D575B2">
      <w:pPr>
        <w:pStyle w:val="MDPI22heading2"/>
        <w:spacing w:before="240"/>
      </w:pPr>
      <w:r w:rsidRPr="00D575B2">
        <w:t>2.3</w:t>
      </w:r>
      <w:r w:rsidR="00D575B2" w:rsidRPr="00D575B2">
        <w:t xml:space="preserve">. </w:t>
      </w:r>
      <w:r w:rsidRPr="00D575B2">
        <w:t>Explanatory variables</w:t>
      </w:r>
    </w:p>
    <w:p w14:paraId="2280C8D4" w14:textId="77777777" w:rsidR="00D35A98" w:rsidRDefault="00D35A98" w:rsidP="00D575B2">
      <w:pPr>
        <w:pStyle w:val="MDPI31text"/>
      </w:pPr>
      <w:r>
        <w:t xml:space="preserve">CPRD Aurum contains three primary datasets for patients’ contacts with their GP: consultations, observations and drug issue (medication) records (CPRD, 2021). Observation records include clinical measurements, symptoms, laboratory results or diagnoses, and multiple observation records can occur at a single consultation. Consultation records do not contain such granularity, so observation records were selected for analysis. Drug issue records contain medications prescribed. Dementia-specific medications include prescriptions for four drugs advised for use by the NHS for PLWD (NHS, 2020): Donepezil, Galantamine, Rivastigmine and Memantine. Non-dementia medications refer to all remaining drugs prescribed to the sample population. Rates per year of three patient-GP contacts types were calculated: dementia medications, non-dementia medications and observations. </w:t>
      </w:r>
    </w:p>
    <w:p w14:paraId="41A53F5D" w14:textId="77777777" w:rsidR="00D35A98" w:rsidRDefault="00D35A98" w:rsidP="00D575B2">
      <w:pPr>
        <w:pStyle w:val="MDPI31text"/>
      </w:pPr>
      <w:r>
        <w:t>Date of diagnosis is not specified in CPRD (Figure 2). Previous research using CPRD calculated date of diagnosis as the first GP observation record with the condition under investigation specified (</w:t>
      </w:r>
      <w:proofErr w:type="spellStart"/>
      <w:r>
        <w:t>Kuan</w:t>
      </w:r>
      <w:proofErr w:type="spellEnd"/>
      <w:r>
        <w:t xml:space="preserve"> et al., 2019). We defined date of diagnosis as the date of the individuals’ first dementia-specific observation, based on the any of the following diagnosis terms noted: “dementia”, “Alzheimer”, “</w:t>
      </w:r>
      <w:proofErr w:type="spellStart"/>
      <w:r>
        <w:t>cogniti</w:t>
      </w:r>
      <w:proofErr w:type="spellEnd"/>
      <w:r>
        <w:t xml:space="preserve">”, or “memory”. These terms relate to specific codes entered into the GP system and reflect a patient presentation to GP. Using this date as date of diagnosis will both </w:t>
      </w:r>
      <w:proofErr w:type="spellStart"/>
      <w:r>
        <w:t>standardise</w:t>
      </w:r>
      <w:proofErr w:type="spellEnd"/>
      <w:r>
        <w:t xml:space="preserve"> diagnosis date across the sample population, and define the first date at which a dementia-specific event was observable within an individuals’ GP records. Diagnosis date was set as ‘year 0’ for each person in the study. We include only patient-GP contact records after the date of diagnosis.</w:t>
      </w:r>
    </w:p>
    <w:p w14:paraId="7B7C9E29" w14:textId="2ECFCEA8" w:rsidR="00D35A98" w:rsidRDefault="00D35A98" w:rsidP="00D575B2">
      <w:pPr>
        <w:pStyle w:val="MDPI31text"/>
      </w:pPr>
      <w:r>
        <w:t>Number of years people were present in the data was calculated by subtracting the year of their diagnosis, from the year of their final GP contact. Patient-GP contact rates were calculated by dividing their total GP contacts by the total years of GP-contact data available.</w:t>
      </w:r>
      <w:r w:rsidR="007858D0">
        <w:t xml:space="preserve"> </w:t>
      </w:r>
      <w:bookmarkStart w:id="3" w:name="_Hlk90396360"/>
      <w:r w:rsidR="007858D0" w:rsidRPr="00963C3A">
        <w:t xml:space="preserve">Healthcare use variables (GP observations and dementia/non-dementia medication rates) have been included to measure an individual’s experiences with healthcare. Effective treatment and management of dementia and comorbidities has been illustrated </w:t>
      </w:r>
      <w:r w:rsidR="007858D0" w:rsidRPr="00963C3A">
        <w:lastRenderedPageBreak/>
        <w:t xml:space="preserve">to impact survival rates among PLWD (van de Vorst et al., 2020; Watson et al., 2020). High observations may also act as a proxy for health status, since individuals who require more observations may have greater needs (rather than only reflecting effective treatment). We use these three primary healthcare use variables as explanatory factors, to identify how use of such services and medications can impact </w:t>
      </w:r>
      <w:r w:rsidR="005D571E">
        <w:t>mortality risk</w:t>
      </w:r>
      <w:r w:rsidR="007858D0" w:rsidRPr="00963C3A">
        <w:t>.</w:t>
      </w:r>
      <w:bookmarkEnd w:id="3"/>
    </w:p>
    <w:p w14:paraId="76CC80C1" w14:textId="4587DB91" w:rsidR="00D35A98" w:rsidRDefault="00D35A98" w:rsidP="00D575B2">
      <w:pPr>
        <w:pStyle w:val="MDPI31text"/>
      </w:pPr>
      <w:r>
        <w:t xml:space="preserve">Individuals’ age at diagnosis – and dementia onset - sex and GP region were available from their GP records. Ethnicity was available from individuals’ secondary healthcare records. 2011 GP urban/rural classification and 2019 Indices of Multiple Deprivation (IMD) quintile were available through data linkage. </w:t>
      </w:r>
      <w:bookmarkStart w:id="4" w:name="_Hlk90569833"/>
      <w:r w:rsidR="00B30228" w:rsidRPr="00B30228">
        <w:t>Inequalities in dementia and dementia outcomes have been illustrated across spatial contexts – including where somebody lives, the levels of deprivation in the area they live, and where their GP is based (Russ et al., 2012</w:t>
      </w:r>
      <w:r w:rsidR="001C5B17">
        <w:t>; Russ et al., 2016</w:t>
      </w:r>
      <w:r w:rsidR="00B30228" w:rsidRPr="00B30228">
        <w:t xml:space="preserve">; Watson et al., 2020). Such variations can exist due to the social gradient in wider determinants of health, differences in local funding and service equity, the make-up of local healthcare systems and regional differences in population composition (Dahlgren and Whitehead, 2006; Goddard et al., 2001; </w:t>
      </w:r>
      <w:proofErr w:type="spellStart"/>
      <w:r w:rsidR="00B30228" w:rsidRPr="00B30228">
        <w:t>Kerpershoek</w:t>
      </w:r>
      <w:proofErr w:type="spellEnd"/>
      <w:r w:rsidR="00B30228" w:rsidRPr="00B30228">
        <w:t xml:space="preserve"> et al., 2020; Marmot et al., 2020). As a result, GP region, Urban/Rural GP classification and IMD 2015 deprivation quintile were considered as explanatory factors for variance in mortality risk among PLWD.</w:t>
      </w:r>
      <w:bookmarkEnd w:id="4"/>
    </w:p>
    <w:p w14:paraId="1E7461AE" w14:textId="77777777" w:rsidR="00D35A98" w:rsidRPr="00D575B2" w:rsidRDefault="00D35A98" w:rsidP="00D575B2">
      <w:pPr>
        <w:pStyle w:val="MDPI22heading2"/>
        <w:spacing w:before="240"/>
      </w:pPr>
      <w:r w:rsidRPr="00D575B2">
        <w:t>2.4</w:t>
      </w:r>
      <w:r w:rsidR="00D575B2" w:rsidRPr="00D575B2">
        <w:t xml:space="preserve">. </w:t>
      </w:r>
      <w:r w:rsidRPr="00D575B2">
        <w:t>Missing data</w:t>
      </w:r>
    </w:p>
    <w:p w14:paraId="71D40389" w14:textId="4394B203" w:rsidR="00816B72" w:rsidRDefault="00D35A98" w:rsidP="00D575B2">
      <w:pPr>
        <w:pStyle w:val="MDPI31text"/>
      </w:pPr>
      <w:r>
        <w:t>Ethnicity was missing for 7,421 (5.2%) people, and 276 (0.2%) people had no available IMD 2015 deprivation (</w:t>
      </w:r>
      <w:r w:rsidRPr="00D35A98">
        <w:rPr>
          <w:b/>
        </w:rPr>
        <w:t>Table 1</w:t>
      </w:r>
      <w:r>
        <w:t>). Statistical analyses including variables with missing data will remove those individuals with missing data.</w:t>
      </w:r>
    </w:p>
    <w:p w14:paraId="3A7E0338" w14:textId="77777777" w:rsidR="00816B72" w:rsidRDefault="00816B72">
      <w:pPr>
        <w:spacing w:line="240" w:lineRule="auto"/>
        <w:jc w:val="left"/>
        <w:rPr>
          <w:rFonts w:eastAsia="Times New Roman"/>
          <w:noProof w:val="0"/>
          <w:snapToGrid w:val="0"/>
          <w:szCs w:val="22"/>
          <w:lang w:eastAsia="de-DE" w:bidi="en-US"/>
        </w:rPr>
      </w:pPr>
      <w:r>
        <w:br w:type="page"/>
      </w:r>
    </w:p>
    <w:p w14:paraId="6D9888DE" w14:textId="77777777" w:rsidR="00522304" w:rsidRPr="00D35A98" w:rsidRDefault="00A33784" w:rsidP="00A33784">
      <w:pPr>
        <w:pStyle w:val="MDPI41tablecaption"/>
        <w:ind w:left="425" w:right="425"/>
        <w:jc w:val="center"/>
      </w:pPr>
      <w:r w:rsidRPr="00A33784">
        <w:rPr>
          <w:b/>
        </w:rPr>
        <w:lastRenderedPageBreak/>
        <w:t xml:space="preserve">Table 1. </w:t>
      </w:r>
      <w:r w:rsidR="00D35A98" w:rsidRPr="00D35A98">
        <w:t>Available/missing explanatory variables data for sample population</w:t>
      </w:r>
      <w:r>
        <w:t>.</w:t>
      </w:r>
    </w:p>
    <w:tbl>
      <w:tblPr>
        <w:tblStyle w:val="TableGrid"/>
        <w:tblW w:w="10465" w:type="dxa"/>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66"/>
        <w:gridCol w:w="2308"/>
        <w:gridCol w:w="1952"/>
        <w:gridCol w:w="1739"/>
      </w:tblGrid>
      <w:tr w:rsidR="00D35A98" w:rsidRPr="00A33784" w14:paraId="441EF411" w14:textId="77777777" w:rsidTr="00452E7C">
        <w:trPr>
          <w:jc w:val="center"/>
        </w:trPr>
        <w:tc>
          <w:tcPr>
            <w:tcW w:w="3567" w:type="dxa"/>
            <w:tcBorders>
              <w:top w:val="single" w:sz="8" w:space="0" w:color="auto"/>
              <w:bottom w:val="single" w:sz="4" w:space="0" w:color="auto"/>
            </w:tcBorders>
            <w:shd w:val="clear" w:color="auto" w:fill="auto"/>
            <w:vAlign w:val="center"/>
          </w:tcPr>
          <w:p w14:paraId="0FC78E49" w14:textId="77777777" w:rsidR="00D35A98" w:rsidRPr="00A33784" w:rsidRDefault="00D35A98" w:rsidP="00A33784">
            <w:pPr>
              <w:autoSpaceDE w:val="0"/>
              <w:autoSpaceDN w:val="0"/>
              <w:adjustRightInd w:val="0"/>
              <w:snapToGrid w:val="0"/>
              <w:spacing w:line="240" w:lineRule="auto"/>
              <w:jc w:val="center"/>
              <w:rPr>
                <w:b/>
                <w:szCs w:val="16"/>
              </w:rPr>
            </w:pPr>
            <w:r w:rsidRPr="00A33784">
              <w:rPr>
                <w:b/>
                <w:szCs w:val="16"/>
              </w:rPr>
              <w:t>Group</w:t>
            </w:r>
          </w:p>
        </w:tc>
        <w:tc>
          <w:tcPr>
            <w:tcW w:w="1843" w:type="dxa"/>
            <w:tcBorders>
              <w:top w:val="single" w:sz="8" w:space="0" w:color="auto"/>
              <w:bottom w:val="single" w:sz="4" w:space="0" w:color="auto"/>
            </w:tcBorders>
            <w:shd w:val="clear" w:color="auto" w:fill="auto"/>
            <w:vAlign w:val="center"/>
          </w:tcPr>
          <w:p w14:paraId="75AA2DB4" w14:textId="77777777" w:rsidR="00D35A98" w:rsidRPr="00A33784" w:rsidRDefault="00D35A98" w:rsidP="00A33784">
            <w:pPr>
              <w:autoSpaceDE w:val="0"/>
              <w:autoSpaceDN w:val="0"/>
              <w:adjustRightInd w:val="0"/>
              <w:snapToGrid w:val="0"/>
              <w:spacing w:line="240" w:lineRule="auto"/>
              <w:jc w:val="center"/>
              <w:rPr>
                <w:b/>
                <w:szCs w:val="16"/>
              </w:rPr>
            </w:pPr>
            <w:r w:rsidRPr="00A33784">
              <w:rPr>
                <w:b/>
                <w:szCs w:val="16"/>
              </w:rPr>
              <w:t>Population (n)</w:t>
            </w:r>
          </w:p>
        </w:tc>
        <w:tc>
          <w:tcPr>
            <w:tcW w:w="1559" w:type="dxa"/>
            <w:tcBorders>
              <w:top w:val="single" w:sz="8" w:space="0" w:color="auto"/>
              <w:bottom w:val="single" w:sz="4" w:space="0" w:color="auto"/>
            </w:tcBorders>
            <w:shd w:val="clear" w:color="auto" w:fill="auto"/>
            <w:vAlign w:val="center"/>
          </w:tcPr>
          <w:p w14:paraId="1CA85285" w14:textId="77777777" w:rsidR="00D35A98" w:rsidRPr="00A33784" w:rsidRDefault="00D35A98" w:rsidP="00A33784">
            <w:pPr>
              <w:autoSpaceDE w:val="0"/>
              <w:autoSpaceDN w:val="0"/>
              <w:adjustRightInd w:val="0"/>
              <w:snapToGrid w:val="0"/>
              <w:spacing w:line="240" w:lineRule="auto"/>
              <w:jc w:val="center"/>
              <w:rPr>
                <w:b/>
                <w:szCs w:val="16"/>
              </w:rPr>
            </w:pPr>
            <w:r w:rsidRPr="00A33784">
              <w:rPr>
                <w:b/>
                <w:szCs w:val="16"/>
              </w:rPr>
              <w:t>% Present</w:t>
            </w:r>
          </w:p>
        </w:tc>
        <w:tc>
          <w:tcPr>
            <w:tcW w:w="1389" w:type="dxa"/>
            <w:tcBorders>
              <w:top w:val="single" w:sz="8" w:space="0" w:color="auto"/>
              <w:bottom w:val="single" w:sz="4" w:space="0" w:color="auto"/>
            </w:tcBorders>
            <w:shd w:val="clear" w:color="auto" w:fill="auto"/>
            <w:vAlign w:val="center"/>
          </w:tcPr>
          <w:p w14:paraId="0072832D" w14:textId="77777777" w:rsidR="00D35A98" w:rsidRPr="00A33784" w:rsidRDefault="00D35A98" w:rsidP="00A33784">
            <w:pPr>
              <w:autoSpaceDE w:val="0"/>
              <w:autoSpaceDN w:val="0"/>
              <w:adjustRightInd w:val="0"/>
              <w:snapToGrid w:val="0"/>
              <w:spacing w:line="240" w:lineRule="auto"/>
              <w:jc w:val="center"/>
              <w:rPr>
                <w:b/>
                <w:szCs w:val="16"/>
              </w:rPr>
            </w:pPr>
            <w:r w:rsidRPr="00A33784">
              <w:rPr>
                <w:b/>
                <w:szCs w:val="16"/>
              </w:rPr>
              <w:t>Missing (n)</w:t>
            </w:r>
          </w:p>
        </w:tc>
      </w:tr>
      <w:tr w:rsidR="00D35A98" w:rsidRPr="00A33784" w14:paraId="5B38082C" w14:textId="77777777" w:rsidTr="00452E7C">
        <w:trPr>
          <w:jc w:val="center"/>
        </w:trPr>
        <w:tc>
          <w:tcPr>
            <w:tcW w:w="3567" w:type="dxa"/>
            <w:tcBorders>
              <w:top w:val="single" w:sz="4" w:space="0" w:color="auto"/>
            </w:tcBorders>
            <w:shd w:val="clear" w:color="auto" w:fill="auto"/>
            <w:vAlign w:val="center"/>
          </w:tcPr>
          <w:p w14:paraId="72861C25"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Total sample population</w:t>
            </w:r>
          </w:p>
        </w:tc>
        <w:tc>
          <w:tcPr>
            <w:tcW w:w="1843" w:type="dxa"/>
            <w:tcBorders>
              <w:top w:val="single" w:sz="4" w:space="0" w:color="auto"/>
            </w:tcBorders>
            <w:shd w:val="clear" w:color="auto" w:fill="auto"/>
            <w:vAlign w:val="center"/>
          </w:tcPr>
          <w:p w14:paraId="1DF2B94B"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142,340</w:t>
            </w:r>
          </w:p>
        </w:tc>
        <w:tc>
          <w:tcPr>
            <w:tcW w:w="1559" w:type="dxa"/>
            <w:tcBorders>
              <w:top w:val="single" w:sz="4" w:space="0" w:color="auto"/>
            </w:tcBorders>
            <w:shd w:val="clear" w:color="auto" w:fill="auto"/>
            <w:vAlign w:val="center"/>
          </w:tcPr>
          <w:p w14:paraId="03BB43D9"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t>
            </w:r>
          </w:p>
        </w:tc>
        <w:tc>
          <w:tcPr>
            <w:tcW w:w="1389" w:type="dxa"/>
            <w:tcBorders>
              <w:top w:val="single" w:sz="4" w:space="0" w:color="auto"/>
            </w:tcBorders>
            <w:shd w:val="clear" w:color="auto" w:fill="auto"/>
            <w:vAlign w:val="center"/>
          </w:tcPr>
          <w:p w14:paraId="422687E4"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t>
            </w:r>
          </w:p>
        </w:tc>
      </w:tr>
      <w:tr w:rsidR="00D35A98" w:rsidRPr="00A33784" w14:paraId="450BE7AB" w14:textId="77777777" w:rsidTr="00452E7C">
        <w:trPr>
          <w:jc w:val="center"/>
        </w:trPr>
        <w:tc>
          <w:tcPr>
            <w:tcW w:w="3567" w:type="dxa"/>
            <w:shd w:val="clear" w:color="auto" w:fill="auto"/>
            <w:vAlign w:val="center"/>
          </w:tcPr>
          <w:p w14:paraId="0F9E71BB"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With ethnicity stated</w:t>
            </w:r>
          </w:p>
        </w:tc>
        <w:tc>
          <w:tcPr>
            <w:tcW w:w="1843" w:type="dxa"/>
            <w:shd w:val="clear" w:color="auto" w:fill="auto"/>
            <w:vAlign w:val="center"/>
          </w:tcPr>
          <w:p w14:paraId="4C7DBC12"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134,919</w:t>
            </w:r>
          </w:p>
        </w:tc>
        <w:tc>
          <w:tcPr>
            <w:tcW w:w="1559" w:type="dxa"/>
            <w:shd w:val="clear" w:color="auto" w:fill="auto"/>
            <w:vAlign w:val="center"/>
          </w:tcPr>
          <w:p w14:paraId="0EA4CDAB"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94.8%</w:t>
            </w:r>
          </w:p>
        </w:tc>
        <w:tc>
          <w:tcPr>
            <w:tcW w:w="1389" w:type="dxa"/>
            <w:shd w:val="clear" w:color="auto" w:fill="auto"/>
            <w:vAlign w:val="center"/>
          </w:tcPr>
          <w:p w14:paraId="6372C567"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7,421</w:t>
            </w:r>
          </w:p>
        </w:tc>
      </w:tr>
      <w:tr w:rsidR="00D35A98" w:rsidRPr="00A33784" w14:paraId="37FA445C" w14:textId="77777777" w:rsidTr="00452E7C">
        <w:trPr>
          <w:jc w:val="center"/>
        </w:trPr>
        <w:tc>
          <w:tcPr>
            <w:tcW w:w="3567" w:type="dxa"/>
            <w:shd w:val="clear" w:color="auto" w:fill="auto"/>
            <w:vAlign w:val="center"/>
          </w:tcPr>
          <w:p w14:paraId="74C3707F"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With fields present to calculate age</w:t>
            </w:r>
          </w:p>
        </w:tc>
        <w:tc>
          <w:tcPr>
            <w:tcW w:w="1843" w:type="dxa"/>
            <w:shd w:val="clear" w:color="auto" w:fill="auto"/>
            <w:vAlign w:val="center"/>
          </w:tcPr>
          <w:p w14:paraId="08BFAF20"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142,340</w:t>
            </w:r>
          </w:p>
        </w:tc>
        <w:tc>
          <w:tcPr>
            <w:tcW w:w="1559" w:type="dxa"/>
            <w:shd w:val="clear" w:color="auto" w:fill="auto"/>
            <w:vAlign w:val="center"/>
          </w:tcPr>
          <w:p w14:paraId="3CAE232F"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100%</w:t>
            </w:r>
          </w:p>
        </w:tc>
        <w:tc>
          <w:tcPr>
            <w:tcW w:w="1389" w:type="dxa"/>
            <w:shd w:val="clear" w:color="auto" w:fill="auto"/>
            <w:vAlign w:val="center"/>
          </w:tcPr>
          <w:p w14:paraId="7F88A3A1"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t>
            </w:r>
          </w:p>
        </w:tc>
      </w:tr>
      <w:tr w:rsidR="00D35A98" w:rsidRPr="00A33784" w14:paraId="23648961" w14:textId="77777777" w:rsidTr="00452E7C">
        <w:trPr>
          <w:jc w:val="center"/>
        </w:trPr>
        <w:tc>
          <w:tcPr>
            <w:tcW w:w="3567" w:type="dxa"/>
            <w:shd w:val="clear" w:color="auto" w:fill="auto"/>
            <w:vAlign w:val="center"/>
          </w:tcPr>
          <w:p w14:paraId="171D546B"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With gender stated</w:t>
            </w:r>
          </w:p>
        </w:tc>
        <w:tc>
          <w:tcPr>
            <w:tcW w:w="1843" w:type="dxa"/>
            <w:shd w:val="clear" w:color="auto" w:fill="auto"/>
            <w:vAlign w:val="center"/>
          </w:tcPr>
          <w:p w14:paraId="5B3C3BED"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142,340</w:t>
            </w:r>
          </w:p>
        </w:tc>
        <w:tc>
          <w:tcPr>
            <w:tcW w:w="1559" w:type="dxa"/>
            <w:shd w:val="clear" w:color="auto" w:fill="auto"/>
            <w:vAlign w:val="center"/>
          </w:tcPr>
          <w:p w14:paraId="30D3CFA3"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100%</w:t>
            </w:r>
          </w:p>
        </w:tc>
        <w:tc>
          <w:tcPr>
            <w:tcW w:w="1389" w:type="dxa"/>
            <w:shd w:val="clear" w:color="auto" w:fill="auto"/>
            <w:vAlign w:val="center"/>
          </w:tcPr>
          <w:p w14:paraId="48D16034"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t>
            </w:r>
          </w:p>
        </w:tc>
      </w:tr>
      <w:tr w:rsidR="00D35A98" w:rsidRPr="00A33784" w14:paraId="2DC25E54" w14:textId="77777777" w:rsidTr="00452E7C">
        <w:trPr>
          <w:jc w:val="center"/>
        </w:trPr>
        <w:tc>
          <w:tcPr>
            <w:tcW w:w="3567" w:type="dxa"/>
            <w:shd w:val="clear" w:color="auto" w:fill="auto"/>
            <w:vAlign w:val="center"/>
          </w:tcPr>
          <w:p w14:paraId="62F70396"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With IMD 2015 deprivation quintile stated</w:t>
            </w:r>
          </w:p>
        </w:tc>
        <w:tc>
          <w:tcPr>
            <w:tcW w:w="1843" w:type="dxa"/>
            <w:shd w:val="clear" w:color="auto" w:fill="auto"/>
            <w:vAlign w:val="center"/>
          </w:tcPr>
          <w:p w14:paraId="395177EB"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142,064</w:t>
            </w:r>
          </w:p>
        </w:tc>
        <w:tc>
          <w:tcPr>
            <w:tcW w:w="1559" w:type="dxa"/>
            <w:shd w:val="clear" w:color="auto" w:fill="auto"/>
            <w:vAlign w:val="center"/>
          </w:tcPr>
          <w:p w14:paraId="057257D4"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99.8%</w:t>
            </w:r>
          </w:p>
        </w:tc>
        <w:tc>
          <w:tcPr>
            <w:tcW w:w="1389" w:type="dxa"/>
            <w:shd w:val="clear" w:color="auto" w:fill="auto"/>
            <w:vAlign w:val="center"/>
          </w:tcPr>
          <w:p w14:paraId="0EA0113F" w14:textId="77777777" w:rsidR="00D35A98" w:rsidRPr="00A33784" w:rsidRDefault="00D35A98" w:rsidP="00A33784">
            <w:pPr>
              <w:autoSpaceDE w:val="0"/>
              <w:autoSpaceDN w:val="0"/>
              <w:adjustRightInd w:val="0"/>
              <w:snapToGrid w:val="0"/>
              <w:spacing w:line="240" w:lineRule="auto"/>
              <w:jc w:val="center"/>
              <w:rPr>
                <w:szCs w:val="16"/>
              </w:rPr>
            </w:pPr>
          </w:p>
        </w:tc>
      </w:tr>
      <w:tr w:rsidR="00D35A98" w:rsidRPr="00A33784" w14:paraId="4552CAEB" w14:textId="77777777" w:rsidTr="00452E7C">
        <w:trPr>
          <w:jc w:val="center"/>
        </w:trPr>
        <w:tc>
          <w:tcPr>
            <w:tcW w:w="3567" w:type="dxa"/>
            <w:shd w:val="clear" w:color="auto" w:fill="auto"/>
            <w:vAlign w:val="center"/>
          </w:tcPr>
          <w:p w14:paraId="14A97816"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With General Practice (GP) region stated</w:t>
            </w:r>
          </w:p>
        </w:tc>
        <w:tc>
          <w:tcPr>
            <w:tcW w:w="1843" w:type="dxa"/>
            <w:shd w:val="clear" w:color="auto" w:fill="auto"/>
            <w:vAlign w:val="center"/>
          </w:tcPr>
          <w:p w14:paraId="4470A6FA"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142,340</w:t>
            </w:r>
          </w:p>
        </w:tc>
        <w:tc>
          <w:tcPr>
            <w:tcW w:w="1559" w:type="dxa"/>
            <w:shd w:val="clear" w:color="auto" w:fill="auto"/>
            <w:vAlign w:val="center"/>
          </w:tcPr>
          <w:p w14:paraId="30C2AD7F"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100%</w:t>
            </w:r>
          </w:p>
        </w:tc>
        <w:tc>
          <w:tcPr>
            <w:tcW w:w="1389" w:type="dxa"/>
            <w:shd w:val="clear" w:color="auto" w:fill="auto"/>
            <w:vAlign w:val="center"/>
          </w:tcPr>
          <w:p w14:paraId="3786B176"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t>
            </w:r>
          </w:p>
        </w:tc>
      </w:tr>
      <w:tr w:rsidR="00D35A98" w:rsidRPr="00A33784" w14:paraId="5C7D170B" w14:textId="77777777" w:rsidTr="00452E7C">
        <w:trPr>
          <w:jc w:val="center"/>
        </w:trPr>
        <w:tc>
          <w:tcPr>
            <w:tcW w:w="3567" w:type="dxa"/>
            <w:shd w:val="clear" w:color="auto" w:fill="auto"/>
            <w:vAlign w:val="center"/>
          </w:tcPr>
          <w:p w14:paraId="143F650D"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With Urban-Rural GP classification stated</w:t>
            </w:r>
          </w:p>
        </w:tc>
        <w:tc>
          <w:tcPr>
            <w:tcW w:w="1843" w:type="dxa"/>
            <w:shd w:val="clear" w:color="auto" w:fill="auto"/>
            <w:vAlign w:val="center"/>
          </w:tcPr>
          <w:p w14:paraId="5F1468BB"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142,340</w:t>
            </w:r>
          </w:p>
        </w:tc>
        <w:tc>
          <w:tcPr>
            <w:tcW w:w="1559" w:type="dxa"/>
            <w:shd w:val="clear" w:color="auto" w:fill="auto"/>
            <w:vAlign w:val="center"/>
          </w:tcPr>
          <w:p w14:paraId="2D02B2F0"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100%</w:t>
            </w:r>
          </w:p>
        </w:tc>
        <w:tc>
          <w:tcPr>
            <w:tcW w:w="1389" w:type="dxa"/>
            <w:shd w:val="clear" w:color="auto" w:fill="auto"/>
            <w:vAlign w:val="center"/>
          </w:tcPr>
          <w:p w14:paraId="5B977555" w14:textId="77777777" w:rsidR="00D35A98" w:rsidRPr="00A33784" w:rsidRDefault="00D35A98" w:rsidP="00A33784">
            <w:pPr>
              <w:autoSpaceDE w:val="0"/>
              <w:autoSpaceDN w:val="0"/>
              <w:adjustRightInd w:val="0"/>
              <w:snapToGrid w:val="0"/>
              <w:spacing w:line="240" w:lineRule="auto"/>
              <w:jc w:val="center"/>
              <w:rPr>
                <w:szCs w:val="16"/>
              </w:rPr>
            </w:pPr>
            <w:r w:rsidRPr="00A33784">
              <w:rPr>
                <w:szCs w:val="16"/>
              </w:rPr>
              <w:t>-</w:t>
            </w:r>
          </w:p>
        </w:tc>
      </w:tr>
    </w:tbl>
    <w:p w14:paraId="45E9E0AE" w14:textId="77777777" w:rsidR="00D35A98" w:rsidRPr="00A33784" w:rsidRDefault="00D35A98" w:rsidP="00A33784">
      <w:pPr>
        <w:pStyle w:val="MDPI22heading2"/>
        <w:spacing w:before="240"/>
      </w:pPr>
      <w:r w:rsidRPr="00A33784">
        <w:t>2.5</w:t>
      </w:r>
      <w:r w:rsidR="00A33784" w:rsidRPr="00A33784">
        <w:t xml:space="preserve">. </w:t>
      </w:r>
      <w:r w:rsidRPr="00A33784">
        <w:t>Sample Population</w:t>
      </w:r>
    </w:p>
    <w:p w14:paraId="385D4B54" w14:textId="77777777" w:rsidR="00D35A98" w:rsidRDefault="00D35A98" w:rsidP="00A33784">
      <w:pPr>
        <w:pStyle w:val="MDPI31text"/>
      </w:pPr>
      <w:r>
        <w:t>Our analytical sample size was 142,340 people (Figure 1). Individuals with missing ethnicity or IMD quintile were not included regression models, with data assumed missing completely at random. We defined the sample population as patients registered at GPs in England, diagnosed with dementia between 2002-2016, with at least two years of GP follow-up data.</w:t>
      </w:r>
    </w:p>
    <w:p w14:paraId="6E1FA05E" w14:textId="77777777" w:rsidR="00D35A98" w:rsidRDefault="00D35A98" w:rsidP="00A33784">
      <w:pPr>
        <w:pStyle w:val="MDPI52figure"/>
        <w:ind w:left="2608"/>
        <w:jc w:val="left"/>
      </w:pPr>
      <w:r>
        <w:rPr>
          <w:noProof/>
        </w:rPr>
        <w:drawing>
          <wp:inline distT="0" distB="0" distL="0" distR="0" wp14:anchorId="6772F40C" wp14:editId="4009719C">
            <wp:extent cx="3977247" cy="30384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79" t="3004" r="537" b="6008"/>
                    <a:stretch/>
                  </pic:blipFill>
                  <pic:spPr bwMode="auto">
                    <a:xfrm>
                      <a:off x="0" y="0"/>
                      <a:ext cx="4015751" cy="3067891"/>
                    </a:xfrm>
                    <a:prstGeom prst="rect">
                      <a:avLst/>
                    </a:prstGeom>
                    <a:noFill/>
                    <a:ln>
                      <a:noFill/>
                    </a:ln>
                    <a:extLst>
                      <a:ext uri="{53640926-AAD7-44D8-BBD7-CCE9431645EC}">
                        <a14:shadowObscured xmlns:a14="http://schemas.microsoft.com/office/drawing/2010/main"/>
                      </a:ext>
                    </a:extLst>
                  </pic:spPr>
                </pic:pic>
              </a:graphicData>
            </a:graphic>
          </wp:inline>
        </w:drawing>
      </w:r>
    </w:p>
    <w:p w14:paraId="4E582198" w14:textId="77777777" w:rsidR="00D35A98" w:rsidRPr="00D35A98" w:rsidRDefault="00A33784" w:rsidP="00A33784">
      <w:pPr>
        <w:pStyle w:val="MDPI51figurecaption"/>
      </w:pPr>
      <w:r w:rsidRPr="00A33784">
        <w:rPr>
          <w:b/>
        </w:rPr>
        <w:t xml:space="preserve">Figure 1. </w:t>
      </w:r>
      <w:r w:rsidR="00D35A98" w:rsidRPr="00D35A98">
        <w:t>Sample population flowchart inclusion/exclusion criteria</w:t>
      </w:r>
      <w:r>
        <w:t>.</w:t>
      </w:r>
    </w:p>
    <w:p w14:paraId="260DB058" w14:textId="77777777" w:rsidR="00D35A98" w:rsidRPr="00A33784" w:rsidRDefault="00D35A98" w:rsidP="00A33784">
      <w:pPr>
        <w:pStyle w:val="MDPI22heading2"/>
        <w:spacing w:before="240"/>
      </w:pPr>
      <w:r w:rsidRPr="00A33784">
        <w:t>2.6</w:t>
      </w:r>
      <w:r w:rsidR="00A33784" w:rsidRPr="00A33784">
        <w:t xml:space="preserve">. </w:t>
      </w:r>
      <w:r w:rsidRPr="00A33784">
        <w:t>Statistical analysis</w:t>
      </w:r>
    </w:p>
    <w:p w14:paraId="7632D790" w14:textId="77777777" w:rsidR="00D35A98" w:rsidRDefault="00D35A98" w:rsidP="003E7386">
      <w:pPr>
        <w:pStyle w:val="MDPI31text"/>
      </w:pPr>
      <w:r>
        <w:t xml:space="preserve">Analysis was conducted in R, with descriptive statistics calculated to </w:t>
      </w:r>
      <w:proofErr w:type="spellStart"/>
      <w:r>
        <w:t>summarise</w:t>
      </w:r>
      <w:proofErr w:type="spellEnd"/>
      <w:r>
        <w:t xml:space="preserve"> the dataset. Inequalities in mortality risk were examined using Cox Proportional Hazards (CPH) regression models, with Bonferroni correction applied to derived p-values to account for the potential for Type I errors when calculating multiple, simultaneous statistical tests. CPH demonstrate simultaneous impact of multiple explanatory factors on the occurrence of an event (i.e. mortality). Separate models were applied to early- and later-onset dementia, generating hazard risk values for mortality risk by explanatory factors.</w:t>
      </w:r>
    </w:p>
    <w:p w14:paraId="1784A6FA" w14:textId="77777777" w:rsidR="00522304" w:rsidRPr="001F31D1" w:rsidRDefault="003E7386" w:rsidP="003E7386">
      <w:pPr>
        <w:pStyle w:val="MDPI21heading1"/>
      </w:pPr>
      <w:r>
        <w:t xml:space="preserve">3. </w:t>
      </w:r>
      <w:r w:rsidR="00522304" w:rsidRPr="001F31D1">
        <w:t>Results</w:t>
      </w:r>
    </w:p>
    <w:p w14:paraId="57067B71" w14:textId="77777777" w:rsidR="00522304" w:rsidRPr="003E7386" w:rsidRDefault="003E7386" w:rsidP="003E7386">
      <w:pPr>
        <w:pStyle w:val="MDPI22heading2"/>
      </w:pPr>
      <w:r w:rsidRPr="003E7386">
        <w:t xml:space="preserve">3.1. </w:t>
      </w:r>
      <w:r w:rsidR="00D35A98" w:rsidRPr="003E7386">
        <w:t>Sample population characteristics</w:t>
      </w:r>
    </w:p>
    <w:p w14:paraId="60D8738E" w14:textId="77777777" w:rsidR="0066102C" w:rsidRDefault="0066102C">
      <w:pPr>
        <w:spacing w:line="240" w:lineRule="auto"/>
        <w:jc w:val="left"/>
        <w:rPr>
          <w:rFonts w:eastAsia="Times New Roman" w:cs="Cordia New"/>
          <w:b/>
          <w:noProof w:val="0"/>
          <w:sz w:val="18"/>
          <w:szCs w:val="22"/>
          <w:lang w:eastAsia="de-DE" w:bidi="en-US"/>
        </w:rPr>
      </w:pPr>
      <w:r>
        <w:rPr>
          <w:b/>
        </w:rPr>
        <w:br w:type="page"/>
      </w:r>
    </w:p>
    <w:p w14:paraId="2EBA87DA" w14:textId="352B7FF4" w:rsidR="00522304" w:rsidRDefault="003E7386" w:rsidP="003E7386">
      <w:pPr>
        <w:pStyle w:val="MDPI41tablecaption"/>
      </w:pPr>
      <w:r w:rsidRPr="003E7386">
        <w:rPr>
          <w:b/>
        </w:rPr>
        <w:lastRenderedPageBreak/>
        <w:t xml:space="preserve">Table 2. </w:t>
      </w:r>
      <w:r w:rsidR="00D35A98" w:rsidRPr="00D35A98">
        <w:t>Demographics of UK dementia population vs. sample population</w:t>
      </w:r>
      <w:r>
        <w:t>.</w:t>
      </w:r>
    </w:p>
    <w:tbl>
      <w:tblPr>
        <w:tblW w:w="7857" w:type="dxa"/>
        <w:tblInd w:w="2608" w:type="dxa"/>
        <w:tblLayout w:type="fixed"/>
        <w:tblCellMar>
          <w:left w:w="0" w:type="dxa"/>
          <w:right w:w="0" w:type="dxa"/>
        </w:tblCellMar>
        <w:tblLook w:val="04A0" w:firstRow="1" w:lastRow="0" w:firstColumn="1" w:lastColumn="0" w:noHBand="0" w:noVBand="1"/>
      </w:tblPr>
      <w:tblGrid>
        <w:gridCol w:w="3745"/>
        <w:gridCol w:w="1749"/>
        <w:gridCol w:w="1446"/>
        <w:gridCol w:w="917"/>
      </w:tblGrid>
      <w:tr w:rsidR="00D35A98" w:rsidRPr="003E7386" w14:paraId="1F201D70" w14:textId="77777777" w:rsidTr="00C25545">
        <w:tc>
          <w:tcPr>
            <w:tcW w:w="2860" w:type="dxa"/>
            <w:vMerge w:val="restart"/>
            <w:tcBorders>
              <w:top w:val="single" w:sz="8" w:space="0" w:color="auto"/>
              <w:left w:val="nil"/>
              <w:bottom w:val="single" w:sz="8" w:space="0" w:color="000000"/>
            </w:tcBorders>
            <w:shd w:val="clear" w:color="auto" w:fill="auto"/>
            <w:noWrap/>
            <w:vAlign w:val="center"/>
            <w:hideMark/>
          </w:tcPr>
          <w:p w14:paraId="44FA7BF4"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tab/>
            </w:r>
            <w:r w:rsidRPr="003E7386">
              <w:tab/>
            </w:r>
            <w:r w:rsidRPr="003E7386">
              <w:tab/>
            </w:r>
            <w:r w:rsidRPr="003E7386">
              <w:tab/>
            </w:r>
            <w:r w:rsidRPr="003E7386">
              <w:tab/>
            </w:r>
            <w:bookmarkStart w:id="5" w:name="_Hlk88138530"/>
            <w:r w:rsidRPr="003E7386">
              <w:rPr>
                <w:rFonts w:eastAsia="Times New Roman" w:cs="Arial"/>
                <w:b/>
                <w:bCs/>
                <w:i/>
                <w:iCs/>
                <w:szCs w:val="16"/>
                <w:lang w:eastAsia="en-GB"/>
              </w:rPr>
              <w:t>Demographic</w:t>
            </w:r>
          </w:p>
        </w:tc>
        <w:tc>
          <w:tcPr>
            <w:tcW w:w="2440" w:type="dxa"/>
            <w:gridSpan w:val="2"/>
            <w:tcBorders>
              <w:top w:val="single" w:sz="8" w:space="0" w:color="auto"/>
              <w:bottom w:val="nil"/>
            </w:tcBorders>
            <w:shd w:val="clear" w:color="auto" w:fill="auto"/>
            <w:noWrap/>
            <w:vAlign w:val="center"/>
            <w:hideMark/>
          </w:tcPr>
          <w:p w14:paraId="58721D9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Study cohort</w:t>
            </w:r>
          </w:p>
        </w:tc>
        <w:tc>
          <w:tcPr>
            <w:tcW w:w="700" w:type="dxa"/>
            <w:tcBorders>
              <w:top w:val="single" w:sz="8" w:space="0" w:color="auto"/>
              <w:bottom w:val="nil"/>
              <w:right w:val="nil"/>
            </w:tcBorders>
            <w:shd w:val="clear" w:color="auto" w:fill="auto"/>
            <w:noWrap/>
            <w:vAlign w:val="center"/>
            <w:hideMark/>
          </w:tcPr>
          <w:p w14:paraId="2CE66E3E" w14:textId="427B5D0F"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UK</w:t>
            </w:r>
            <w:r w:rsidR="000A1068">
              <w:rPr>
                <w:rStyle w:val="FootnoteReference"/>
                <w:rFonts w:eastAsia="Times New Roman" w:cs="Arial"/>
                <w:szCs w:val="16"/>
                <w:lang w:eastAsia="en-GB"/>
              </w:rPr>
              <w:footnoteReference w:id="1"/>
            </w:r>
          </w:p>
        </w:tc>
      </w:tr>
      <w:tr w:rsidR="00D35A98" w:rsidRPr="003E7386" w14:paraId="62076044" w14:textId="77777777" w:rsidTr="00C25545">
        <w:tc>
          <w:tcPr>
            <w:tcW w:w="2860" w:type="dxa"/>
            <w:vMerge/>
            <w:tcBorders>
              <w:top w:val="nil"/>
              <w:left w:val="nil"/>
              <w:bottom w:val="single" w:sz="8" w:space="0" w:color="000000"/>
            </w:tcBorders>
            <w:shd w:val="clear" w:color="auto" w:fill="auto"/>
            <w:vAlign w:val="center"/>
            <w:hideMark/>
          </w:tcPr>
          <w:p w14:paraId="2E160E28"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p>
        </w:tc>
        <w:tc>
          <w:tcPr>
            <w:tcW w:w="1336" w:type="dxa"/>
            <w:tcBorders>
              <w:top w:val="nil"/>
              <w:bottom w:val="single" w:sz="8" w:space="0" w:color="auto"/>
            </w:tcBorders>
            <w:shd w:val="clear" w:color="auto" w:fill="auto"/>
            <w:noWrap/>
            <w:vAlign w:val="center"/>
            <w:hideMark/>
          </w:tcPr>
          <w:p w14:paraId="1F29DE6A"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n</w:t>
            </w:r>
          </w:p>
        </w:tc>
        <w:tc>
          <w:tcPr>
            <w:tcW w:w="1104" w:type="dxa"/>
            <w:tcBorders>
              <w:top w:val="nil"/>
              <w:bottom w:val="single" w:sz="8" w:space="0" w:color="auto"/>
            </w:tcBorders>
            <w:shd w:val="clear" w:color="auto" w:fill="auto"/>
            <w:noWrap/>
            <w:vAlign w:val="center"/>
            <w:hideMark/>
          </w:tcPr>
          <w:p w14:paraId="24463FBB"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w:t>
            </w:r>
          </w:p>
        </w:tc>
        <w:tc>
          <w:tcPr>
            <w:tcW w:w="700" w:type="dxa"/>
            <w:tcBorders>
              <w:top w:val="nil"/>
              <w:bottom w:val="single" w:sz="8" w:space="0" w:color="auto"/>
              <w:right w:val="nil"/>
            </w:tcBorders>
            <w:shd w:val="clear" w:color="auto" w:fill="auto"/>
            <w:noWrap/>
            <w:vAlign w:val="center"/>
            <w:hideMark/>
          </w:tcPr>
          <w:p w14:paraId="3607BDC1"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w:t>
            </w:r>
          </w:p>
        </w:tc>
      </w:tr>
      <w:tr w:rsidR="00D35A98" w:rsidRPr="003E7386" w14:paraId="0345A350" w14:textId="77777777" w:rsidTr="00C25545">
        <w:tc>
          <w:tcPr>
            <w:tcW w:w="2860" w:type="dxa"/>
            <w:tcBorders>
              <w:top w:val="nil"/>
              <w:left w:val="nil"/>
              <w:bottom w:val="nil"/>
            </w:tcBorders>
            <w:shd w:val="clear" w:color="auto" w:fill="auto"/>
            <w:noWrap/>
            <w:vAlign w:val="center"/>
            <w:hideMark/>
          </w:tcPr>
          <w:p w14:paraId="5004F1A9" w14:textId="77777777" w:rsidR="00D35A98" w:rsidRPr="00462C1A" w:rsidRDefault="00D35A98" w:rsidP="003E7386">
            <w:pPr>
              <w:autoSpaceDE w:val="0"/>
              <w:autoSpaceDN w:val="0"/>
              <w:adjustRightInd w:val="0"/>
              <w:snapToGrid w:val="0"/>
              <w:spacing w:line="240" w:lineRule="auto"/>
              <w:jc w:val="center"/>
              <w:rPr>
                <w:rFonts w:eastAsia="Times New Roman" w:cs="Arial"/>
                <w:bCs/>
                <w:i/>
                <w:iCs/>
                <w:szCs w:val="16"/>
                <w:lang w:eastAsia="en-GB"/>
              </w:rPr>
            </w:pPr>
            <w:r w:rsidRPr="00462C1A">
              <w:rPr>
                <w:rFonts w:eastAsia="Times New Roman" w:cs="Arial"/>
                <w:bCs/>
                <w:i/>
                <w:iCs/>
                <w:szCs w:val="16"/>
                <w:lang w:eastAsia="en-GB"/>
              </w:rPr>
              <w:t>Total study population</w:t>
            </w:r>
          </w:p>
        </w:tc>
        <w:tc>
          <w:tcPr>
            <w:tcW w:w="1336" w:type="dxa"/>
            <w:tcBorders>
              <w:top w:val="nil"/>
              <w:bottom w:val="nil"/>
            </w:tcBorders>
            <w:shd w:val="clear" w:color="auto" w:fill="auto"/>
            <w:noWrap/>
            <w:vAlign w:val="center"/>
            <w:hideMark/>
          </w:tcPr>
          <w:p w14:paraId="68B7BBE1" w14:textId="77777777" w:rsidR="00D35A98" w:rsidRPr="00462C1A" w:rsidRDefault="00D35A98" w:rsidP="003E7386">
            <w:pPr>
              <w:autoSpaceDE w:val="0"/>
              <w:autoSpaceDN w:val="0"/>
              <w:adjustRightInd w:val="0"/>
              <w:snapToGrid w:val="0"/>
              <w:spacing w:line="240" w:lineRule="auto"/>
              <w:jc w:val="center"/>
              <w:rPr>
                <w:rFonts w:eastAsia="Times New Roman" w:cs="Arial"/>
                <w:bCs/>
                <w:i/>
                <w:iCs/>
                <w:szCs w:val="16"/>
                <w:lang w:eastAsia="en-GB"/>
              </w:rPr>
            </w:pPr>
            <w:r w:rsidRPr="00462C1A">
              <w:rPr>
                <w:rFonts w:eastAsia="Times New Roman" w:cs="Arial"/>
                <w:bCs/>
                <w:i/>
                <w:iCs/>
                <w:szCs w:val="16"/>
                <w:lang w:eastAsia="en-GB"/>
              </w:rPr>
              <w:t>142340</w:t>
            </w:r>
          </w:p>
        </w:tc>
        <w:tc>
          <w:tcPr>
            <w:tcW w:w="1104" w:type="dxa"/>
            <w:tcBorders>
              <w:top w:val="nil"/>
              <w:bottom w:val="nil"/>
            </w:tcBorders>
            <w:shd w:val="clear" w:color="auto" w:fill="auto"/>
            <w:noWrap/>
            <w:vAlign w:val="center"/>
            <w:hideMark/>
          </w:tcPr>
          <w:p w14:paraId="6BAF9E9F" w14:textId="77777777" w:rsidR="00D35A98" w:rsidRPr="00462C1A" w:rsidRDefault="00D35A98" w:rsidP="003E7386">
            <w:pPr>
              <w:autoSpaceDE w:val="0"/>
              <w:autoSpaceDN w:val="0"/>
              <w:adjustRightInd w:val="0"/>
              <w:snapToGrid w:val="0"/>
              <w:spacing w:line="240" w:lineRule="auto"/>
              <w:jc w:val="center"/>
              <w:rPr>
                <w:rFonts w:eastAsia="Times New Roman" w:cs="Arial"/>
                <w:bCs/>
                <w:i/>
                <w:iCs/>
                <w:szCs w:val="16"/>
                <w:lang w:eastAsia="en-GB"/>
              </w:rPr>
            </w:pPr>
            <w:r w:rsidRPr="00462C1A">
              <w:rPr>
                <w:rFonts w:eastAsia="Times New Roman" w:cs="Arial"/>
                <w:bCs/>
                <w:i/>
                <w:iCs/>
                <w:szCs w:val="16"/>
                <w:lang w:eastAsia="en-GB"/>
              </w:rPr>
              <w:t> </w:t>
            </w:r>
          </w:p>
        </w:tc>
        <w:tc>
          <w:tcPr>
            <w:tcW w:w="700" w:type="dxa"/>
            <w:tcBorders>
              <w:top w:val="nil"/>
              <w:bottom w:val="nil"/>
              <w:right w:val="nil"/>
            </w:tcBorders>
            <w:shd w:val="clear" w:color="auto" w:fill="auto"/>
            <w:noWrap/>
            <w:vAlign w:val="center"/>
            <w:hideMark/>
          </w:tcPr>
          <w:p w14:paraId="4B652B94" w14:textId="77777777" w:rsidR="00D35A98" w:rsidRPr="00462C1A" w:rsidRDefault="00D35A98" w:rsidP="003E7386">
            <w:pPr>
              <w:autoSpaceDE w:val="0"/>
              <w:autoSpaceDN w:val="0"/>
              <w:adjustRightInd w:val="0"/>
              <w:snapToGrid w:val="0"/>
              <w:spacing w:line="240" w:lineRule="auto"/>
              <w:jc w:val="center"/>
              <w:rPr>
                <w:rFonts w:eastAsia="Times New Roman" w:cs="Arial"/>
                <w:bCs/>
                <w:i/>
                <w:iCs/>
                <w:szCs w:val="16"/>
                <w:lang w:eastAsia="en-GB"/>
              </w:rPr>
            </w:pPr>
            <w:r w:rsidRPr="00462C1A">
              <w:rPr>
                <w:rFonts w:eastAsia="Times New Roman" w:cs="Arial"/>
                <w:bCs/>
                <w:i/>
                <w:iCs/>
                <w:szCs w:val="16"/>
                <w:lang w:eastAsia="en-GB"/>
              </w:rPr>
              <w:t> </w:t>
            </w:r>
          </w:p>
        </w:tc>
      </w:tr>
      <w:tr w:rsidR="00D35A98" w:rsidRPr="003E7386" w14:paraId="340F9863" w14:textId="77777777" w:rsidTr="00C25545">
        <w:tc>
          <w:tcPr>
            <w:tcW w:w="6000" w:type="dxa"/>
            <w:gridSpan w:val="4"/>
            <w:tcBorders>
              <w:top w:val="nil"/>
              <w:left w:val="nil"/>
              <w:bottom w:val="single" w:sz="4" w:space="0" w:color="auto"/>
              <w:right w:val="nil"/>
            </w:tcBorders>
            <w:shd w:val="clear" w:color="auto" w:fill="auto"/>
            <w:noWrap/>
            <w:vAlign w:val="center"/>
            <w:hideMark/>
          </w:tcPr>
          <w:p w14:paraId="2196DFAC" w14:textId="77777777" w:rsidR="00D35A98" w:rsidRPr="00462C1A" w:rsidRDefault="00D35A98" w:rsidP="003E7386">
            <w:pPr>
              <w:autoSpaceDE w:val="0"/>
              <w:autoSpaceDN w:val="0"/>
              <w:adjustRightInd w:val="0"/>
              <w:snapToGrid w:val="0"/>
              <w:spacing w:line="240" w:lineRule="auto"/>
              <w:jc w:val="center"/>
              <w:rPr>
                <w:rFonts w:eastAsia="Times New Roman" w:cs="Arial"/>
                <w:bCs/>
                <w:i/>
                <w:iCs/>
                <w:szCs w:val="16"/>
                <w:lang w:eastAsia="en-GB"/>
              </w:rPr>
            </w:pPr>
            <w:r w:rsidRPr="00462C1A">
              <w:rPr>
                <w:rFonts w:eastAsia="Times New Roman" w:cs="Arial"/>
                <w:bCs/>
                <w:i/>
                <w:iCs/>
                <w:szCs w:val="16"/>
                <w:lang w:eastAsia="en-GB"/>
              </w:rPr>
              <w:t>Sex</w:t>
            </w:r>
          </w:p>
        </w:tc>
      </w:tr>
      <w:tr w:rsidR="00D35A98" w:rsidRPr="003E7386" w14:paraId="49C13AC9" w14:textId="77777777" w:rsidTr="00C25545">
        <w:tc>
          <w:tcPr>
            <w:tcW w:w="2860" w:type="dxa"/>
            <w:tcBorders>
              <w:top w:val="nil"/>
              <w:left w:val="nil"/>
              <w:bottom w:val="nil"/>
            </w:tcBorders>
            <w:shd w:val="clear" w:color="auto" w:fill="auto"/>
            <w:noWrap/>
            <w:vAlign w:val="center"/>
            <w:hideMark/>
          </w:tcPr>
          <w:p w14:paraId="5555E2B5"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Female</w:t>
            </w:r>
          </w:p>
        </w:tc>
        <w:tc>
          <w:tcPr>
            <w:tcW w:w="1336" w:type="dxa"/>
            <w:tcBorders>
              <w:top w:val="nil"/>
              <w:bottom w:val="nil"/>
            </w:tcBorders>
            <w:shd w:val="clear" w:color="auto" w:fill="auto"/>
            <w:noWrap/>
            <w:vAlign w:val="center"/>
            <w:hideMark/>
          </w:tcPr>
          <w:p w14:paraId="5AE7244D"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94060</w:t>
            </w:r>
          </w:p>
        </w:tc>
        <w:tc>
          <w:tcPr>
            <w:tcW w:w="1104" w:type="dxa"/>
            <w:tcBorders>
              <w:top w:val="nil"/>
              <w:bottom w:val="nil"/>
            </w:tcBorders>
            <w:shd w:val="clear" w:color="auto" w:fill="auto"/>
            <w:noWrap/>
            <w:vAlign w:val="center"/>
            <w:hideMark/>
          </w:tcPr>
          <w:p w14:paraId="7068830C"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66.1%</w:t>
            </w:r>
          </w:p>
        </w:tc>
        <w:tc>
          <w:tcPr>
            <w:tcW w:w="700" w:type="dxa"/>
            <w:tcBorders>
              <w:top w:val="nil"/>
              <w:bottom w:val="nil"/>
              <w:right w:val="nil"/>
            </w:tcBorders>
            <w:shd w:val="clear" w:color="auto" w:fill="auto"/>
            <w:noWrap/>
            <w:vAlign w:val="center"/>
            <w:hideMark/>
          </w:tcPr>
          <w:p w14:paraId="747864D5"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65.0%</w:t>
            </w:r>
          </w:p>
        </w:tc>
      </w:tr>
      <w:tr w:rsidR="00D35A98" w:rsidRPr="003E7386" w14:paraId="094B5B4E" w14:textId="77777777" w:rsidTr="00C25545">
        <w:tc>
          <w:tcPr>
            <w:tcW w:w="2860" w:type="dxa"/>
            <w:tcBorders>
              <w:top w:val="nil"/>
              <w:left w:val="nil"/>
              <w:bottom w:val="dashed" w:sz="8" w:space="0" w:color="auto"/>
            </w:tcBorders>
            <w:shd w:val="clear" w:color="auto" w:fill="auto"/>
            <w:noWrap/>
            <w:vAlign w:val="center"/>
            <w:hideMark/>
          </w:tcPr>
          <w:p w14:paraId="14F91128"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Male</w:t>
            </w:r>
          </w:p>
        </w:tc>
        <w:tc>
          <w:tcPr>
            <w:tcW w:w="1336" w:type="dxa"/>
            <w:tcBorders>
              <w:top w:val="nil"/>
              <w:bottom w:val="dashed" w:sz="8" w:space="0" w:color="auto"/>
            </w:tcBorders>
            <w:shd w:val="clear" w:color="auto" w:fill="auto"/>
            <w:noWrap/>
            <w:vAlign w:val="center"/>
            <w:hideMark/>
          </w:tcPr>
          <w:p w14:paraId="3213E0BB"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48280</w:t>
            </w:r>
          </w:p>
        </w:tc>
        <w:tc>
          <w:tcPr>
            <w:tcW w:w="1104" w:type="dxa"/>
            <w:tcBorders>
              <w:top w:val="nil"/>
              <w:bottom w:val="dashed" w:sz="8" w:space="0" w:color="auto"/>
            </w:tcBorders>
            <w:shd w:val="clear" w:color="auto" w:fill="auto"/>
            <w:noWrap/>
            <w:vAlign w:val="center"/>
            <w:hideMark/>
          </w:tcPr>
          <w:p w14:paraId="3FA13E6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33.9%</w:t>
            </w:r>
          </w:p>
        </w:tc>
        <w:tc>
          <w:tcPr>
            <w:tcW w:w="700" w:type="dxa"/>
            <w:tcBorders>
              <w:top w:val="nil"/>
              <w:bottom w:val="dashed" w:sz="8" w:space="0" w:color="auto"/>
              <w:right w:val="nil"/>
            </w:tcBorders>
            <w:shd w:val="clear" w:color="auto" w:fill="auto"/>
            <w:noWrap/>
            <w:vAlign w:val="center"/>
            <w:hideMark/>
          </w:tcPr>
          <w:p w14:paraId="27E4A2E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35.0%</w:t>
            </w:r>
          </w:p>
        </w:tc>
      </w:tr>
      <w:tr w:rsidR="00D35A98" w:rsidRPr="003E7386" w14:paraId="6812E4B4" w14:textId="77777777" w:rsidTr="00C25545">
        <w:tc>
          <w:tcPr>
            <w:tcW w:w="6000" w:type="dxa"/>
            <w:gridSpan w:val="4"/>
            <w:tcBorders>
              <w:top w:val="nil"/>
              <w:left w:val="nil"/>
              <w:bottom w:val="single" w:sz="4" w:space="0" w:color="auto"/>
              <w:right w:val="nil"/>
            </w:tcBorders>
            <w:shd w:val="clear" w:color="auto" w:fill="auto"/>
            <w:noWrap/>
            <w:vAlign w:val="center"/>
            <w:hideMark/>
          </w:tcPr>
          <w:p w14:paraId="2AFA86D2"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Age Group</w:t>
            </w:r>
          </w:p>
        </w:tc>
      </w:tr>
      <w:tr w:rsidR="00D35A98" w:rsidRPr="003E7386" w14:paraId="2045A7CD" w14:textId="77777777" w:rsidTr="00C25545">
        <w:tc>
          <w:tcPr>
            <w:tcW w:w="2860" w:type="dxa"/>
            <w:tcBorders>
              <w:top w:val="nil"/>
              <w:left w:val="nil"/>
              <w:bottom w:val="nil"/>
            </w:tcBorders>
            <w:shd w:val="clear" w:color="auto" w:fill="auto"/>
            <w:noWrap/>
            <w:vAlign w:val="center"/>
            <w:hideMark/>
          </w:tcPr>
          <w:p w14:paraId="37DCB2F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Under45</w:t>
            </w:r>
          </w:p>
        </w:tc>
        <w:tc>
          <w:tcPr>
            <w:tcW w:w="1336" w:type="dxa"/>
            <w:tcBorders>
              <w:top w:val="nil"/>
              <w:bottom w:val="nil"/>
            </w:tcBorders>
            <w:shd w:val="clear" w:color="auto" w:fill="auto"/>
            <w:noWrap/>
            <w:vAlign w:val="center"/>
            <w:hideMark/>
          </w:tcPr>
          <w:p w14:paraId="28CB9FC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104</w:t>
            </w:r>
          </w:p>
        </w:tc>
        <w:tc>
          <w:tcPr>
            <w:tcW w:w="1104" w:type="dxa"/>
            <w:tcBorders>
              <w:top w:val="nil"/>
              <w:bottom w:val="nil"/>
            </w:tcBorders>
            <w:shd w:val="clear" w:color="auto" w:fill="auto"/>
            <w:noWrap/>
            <w:vAlign w:val="center"/>
            <w:hideMark/>
          </w:tcPr>
          <w:p w14:paraId="26BE5A0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0.1%</w:t>
            </w:r>
          </w:p>
        </w:tc>
        <w:tc>
          <w:tcPr>
            <w:tcW w:w="700" w:type="dxa"/>
            <w:tcBorders>
              <w:top w:val="nil"/>
              <w:bottom w:val="nil"/>
              <w:right w:val="nil"/>
            </w:tcBorders>
            <w:shd w:val="clear" w:color="auto" w:fill="auto"/>
            <w:noWrap/>
            <w:vAlign w:val="center"/>
            <w:hideMark/>
          </w:tcPr>
          <w:p w14:paraId="6F90C79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0.2%</w:t>
            </w:r>
          </w:p>
        </w:tc>
      </w:tr>
      <w:tr w:rsidR="00D35A98" w:rsidRPr="003E7386" w14:paraId="34BC6B20" w14:textId="77777777" w:rsidTr="00C25545">
        <w:tc>
          <w:tcPr>
            <w:tcW w:w="2860" w:type="dxa"/>
            <w:tcBorders>
              <w:top w:val="nil"/>
              <w:left w:val="nil"/>
              <w:bottom w:val="nil"/>
            </w:tcBorders>
            <w:shd w:val="clear" w:color="auto" w:fill="auto"/>
            <w:noWrap/>
            <w:vAlign w:val="center"/>
            <w:hideMark/>
          </w:tcPr>
          <w:p w14:paraId="2B4322F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45-54</w:t>
            </w:r>
          </w:p>
        </w:tc>
        <w:tc>
          <w:tcPr>
            <w:tcW w:w="1336" w:type="dxa"/>
            <w:tcBorders>
              <w:top w:val="nil"/>
              <w:bottom w:val="nil"/>
            </w:tcBorders>
            <w:shd w:val="clear" w:color="auto" w:fill="auto"/>
            <w:noWrap/>
            <w:vAlign w:val="center"/>
            <w:hideMark/>
          </w:tcPr>
          <w:p w14:paraId="49A02542"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870</w:t>
            </w:r>
          </w:p>
        </w:tc>
        <w:tc>
          <w:tcPr>
            <w:tcW w:w="1104" w:type="dxa"/>
            <w:tcBorders>
              <w:top w:val="nil"/>
              <w:bottom w:val="nil"/>
            </w:tcBorders>
            <w:shd w:val="clear" w:color="auto" w:fill="auto"/>
            <w:noWrap/>
            <w:vAlign w:val="center"/>
            <w:hideMark/>
          </w:tcPr>
          <w:p w14:paraId="1FC2272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0.6%</w:t>
            </w:r>
          </w:p>
        </w:tc>
        <w:tc>
          <w:tcPr>
            <w:tcW w:w="700" w:type="dxa"/>
            <w:tcBorders>
              <w:top w:val="nil"/>
              <w:bottom w:val="nil"/>
              <w:right w:val="nil"/>
            </w:tcBorders>
            <w:shd w:val="clear" w:color="auto" w:fill="auto"/>
            <w:noWrap/>
            <w:vAlign w:val="center"/>
            <w:hideMark/>
          </w:tcPr>
          <w:p w14:paraId="7665A6C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0.5%</w:t>
            </w:r>
          </w:p>
        </w:tc>
      </w:tr>
      <w:tr w:rsidR="00D35A98" w:rsidRPr="003E7386" w14:paraId="613274C3" w14:textId="77777777" w:rsidTr="00C25545">
        <w:tc>
          <w:tcPr>
            <w:tcW w:w="2860" w:type="dxa"/>
            <w:tcBorders>
              <w:top w:val="nil"/>
              <w:left w:val="nil"/>
              <w:bottom w:val="nil"/>
            </w:tcBorders>
            <w:shd w:val="clear" w:color="auto" w:fill="auto"/>
            <w:noWrap/>
            <w:vAlign w:val="center"/>
            <w:hideMark/>
          </w:tcPr>
          <w:p w14:paraId="3B66791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55-64</w:t>
            </w:r>
          </w:p>
        </w:tc>
        <w:tc>
          <w:tcPr>
            <w:tcW w:w="1336" w:type="dxa"/>
            <w:tcBorders>
              <w:top w:val="nil"/>
              <w:bottom w:val="nil"/>
            </w:tcBorders>
            <w:shd w:val="clear" w:color="auto" w:fill="auto"/>
            <w:noWrap/>
            <w:vAlign w:val="center"/>
            <w:hideMark/>
          </w:tcPr>
          <w:p w14:paraId="653FAE8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4237</w:t>
            </w:r>
          </w:p>
        </w:tc>
        <w:tc>
          <w:tcPr>
            <w:tcW w:w="1104" w:type="dxa"/>
            <w:tcBorders>
              <w:top w:val="nil"/>
              <w:bottom w:val="nil"/>
            </w:tcBorders>
            <w:shd w:val="clear" w:color="auto" w:fill="auto"/>
            <w:noWrap/>
            <w:vAlign w:val="center"/>
            <w:hideMark/>
          </w:tcPr>
          <w:p w14:paraId="571889E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3.0%</w:t>
            </w:r>
          </w:p>
        </w:tc>
        <w:tc>
          <w:tcPr>
            <w:tcW w:w="700" w:type="dxa"/>
            <w:tcBorders>
              <w:top w:val="nil"/>
              <w:bottom w:val="nil"/>
              <w:right w:val="nil"/>
            </w:tcBorders>
            <w:shd w:val="clear" w:color="auto" w:fill="auto"/>
            <w:noWrap/>
            <w:vAlign w:val="center"/>
            <w:hideMark/>
          </w:tcPr>
          <w:p w14:paraId="63702B1A"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4.5%</w:t>
            </w:r>
          </w:p>
        </w:tc>
      </w:tr>
      <w:tr w:rsidR="00D35A98" w:rsidRPr="003E7386" w14:paraId="4CAF4285" w14:textId="77777777" w:rsidTr="00C25545">
        <w:tc>
          <w:tcPr>
            <w:tcW w:w="2860" w:type="dxa"/>
            <w:tcBorders>
              <w:top w:val="nil"/>
              <w:left w:val="nil"/>
              <w:bottom w:val="nil"/>
            </w:tcBorders>
            <w:shd w:val="clear" w:color="auto" w:fill="auto"/>
            <w:noWrap/>
            <w:vAlign w:val="center"/>
            <w:hideMark/>
          </w:tcPr>
          <w:p w14:paraId="67B64164"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65-74</w:t>
            </w:r>
          </w:p>
        </w:tc>
        <w:tc>
          <w:tcPr>
            <w:tcW w:w="1336" w:type="dxa"/>
            <w:tcBorders>
              <w:top w:val="nil"/>
              <w:bottom w:val="nil"/>
            </w:tcBorders>
            <w:shd w:val="clear" w:color="auto" w:fill="auto"/>
            <w:noWrap/>
            <w:vAlign w:val="center"/>
            <w:hideMark/>
          </w:tcPr>
          <w:p w14:paraId="55F7906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20516</w:t>
            </w:r>
          </w:p>
        </w:tc>
        <w:tc>
          <w:tcPr>
            <w:tcW w:w="1104" w:type="dxa"/>
            <w:tcBorders>
              <w:top w:val="nil"/>
              <w:bottom w:val="nil"/>
            </w:tcBorders>
            <w:shd w:val="clear" w:color="auto" w:fill="auto"/>
            <w:noWrap/>
            <w:vAlign w:val="center"/>
            <w:hideMark/>
          </w:tcPr>
          <w:p w14:paraId="156B17DC"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14.4%</w:t>
            </w:r>
          </w:p>
        </w:tc>
        <w:tc>
          <w:tcPr>
            <w:tcW w:w="700" w:type="dxa"/>
            <w:tcBorders>
              <w:top w:val="nil"/>
              <w:bottom w:val="nil"/>
              <w:right w:val="nil"/>
            </w:tcBorders>
            <w:shd w:val="clear" w:color="auto" w:fill="auto"/>
            <w:noWrap/>
            <w:vAlign w:val="center"/>
            <w:hideMark/>
          </w:tcPr>
          <w:p w14:paraId="487F09F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16.6%</w:t>
            </w:r>
          </w:p>
        </w:tc>
      </w:tr>
      <w:tr w:rsidR="00D35A98" w:rsidRPr="003E7386" w14:paraId="244F8F9F" w14:textId="77777777" w:rsidTr="00C25545">
        <w:tc>
          <w:tcPr>
            <w:tcW w:w="2860" w:type="dxa"/>
            <w:tcBorders>
              <w:top w:val="nil"/>
              <w:left w:val="nil"/>
              <w:bottom w:val="nil"/>
            </w:tcBorders>
            <w:shd w:val="clear" w:color="auto" w:fill="auto"/>
            <w:noWrap/>
            <w:vAlign w:val="center"/>
            <w:hideMark/>
          </w:tcPr>
          <w:p w14:paraId="7A97BBB5"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75-84</w:t>
            </w:r>
          </w:p>
        </w:tc>
        <w:tc>
          <w:tcPr>
            <w:tcW w:w="1336" w:type="dxa"/>
            <w:tcBorders>
              <w:top w:val="nil"/>
              <w:bottom w:val="nil"/>
            </w:tcBorders>
            <w:shd w:val="clear" w:color="auto" w:fill="auto"/>
            <w:noWrap/>
            <w:vAlign w:val="center"/>
            <w:hideMark/>
          </w:tcPr>
          <w:p w14:paraId="2A091554"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63236</w:t>
            </w:r>
          </w:p>
        </w:tc>
        <w:tc>
          <w:tcPr>
            <w:tcW w:w="1104" w:type="dxa"/>
            <w:tcBorders>
              <w:top w:val="nil"/>
              <w:bottom w:val="nil"/>
            </w:tcBorders>
            <w:shd w:val="clear" w:color="auto" w:fill="auto"/>
            <w:noWrap/>
            <w:vAlign w:val="center"/>
            <w:hideMark/>
          </w:tcPr>
          <w:p w14:paraId="3983F3A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44.4%</w:t>
            </w:r>
          </w:p>
        </w:tc>
        <w:tc>
          <w:tcPr>
            <w:tcW w:w="700" w:type="dxa"/>
            <w:tcBorders>
              <w:top w:val="nil"/>
              <w:bottom w:val="nil"/>
              <w:right w:val="nil"/>
            </w:tcBorders>
            <w:shd w:val="clear" w:color="auto" w:fill="auto"/>
            <w:noWrap/>
            <w:vAlign w:val="center"/>
            <w:hideMark/>
          </w:tcPr>
          <w:p w14:paraId="162854F2"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36.5%</w:t>
            </w:r>
          </w:p>
        </w:tc>
      </w:tr>
      <w:tr w:rsidR="00D35A98" w:rsidRPr="003E7386" w14:paraId="77613152" w14:textId="77777777" w:rsidTr="00C25545">
        <w:tc>
          <w:tcPr>
            <w:tcW w:w="2860" w:type="dxa"/>
            <w:tcBorders>
              <w:top w:val="nil"/>
              <w:left w:val="nil"/>
              <w:bottom w:val="nil"/>
            </w:tcBorders>
            <w:shd w:val="clear" w:color="auto" w:fill="auto"/>
            <w:noWrap/>
            <w:vAlign w:val="center"/>
            <w:hideMark/>
          </w:tcPr>
          <w:p w14:paraId="1B459A1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85-94</w:t>
            </w:r>
          </w:p>
        </w:tc>
        <w:tc>
          <w:tcPr>
            <w:tcW w:w="1336" w:type="dxa"/>
            <w:tcBorders>
              <w:top w:val="nil"/>
              <w:bottom w:val="nil"/>
            </w:tcBorders>
            <w:shd w:val="clear" w:color="auto" w:fill="auto"/>
            <w:noWrap/>
            <w:vAlign w:val="center"/>
            <w:hideMark/>
          </w:tcPr>
          <w:p w14:paraId="5834F0D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49086</w:t>
            </w:r>
          </w:p>
        </w:tc>
        <w:tc>
          <w:tcPr>
            <w:tcW w:w="1104" w:type="dxa"/>
            <w:tcBorders>
              <w:top w:val="nil"/>
              <w:bottom w:val="nil"/>
            </w:tcBorders>
            <w:shd w:val="clear" w:color="auto" w:fill="auto"/>
            <w:noWrap/>
            <w:vAlign w:val="center"/>
            <w:hideMark/>
          </w:tcPr>
          <w:p w14:paraId="02095B4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34.5%</w:t>
            </w:r>
          </w:p>
        </w:tc>
        <w:tc>
          <w:tcPr>
            <w:tcW w:w="700" w:type="dxa"/>
            <w:tcBorders>
              <w:top w:val="nil"/>
              <w:bottom w:val="nil"/>
              <w:right w:val="nil"/>
            </w:tcBorders>
            <w:shd w:val="clear" w:color="auto" w:fill="auto"/>
            <w:noWrap/>
            <w:vAlign w:val="center"/>
            <w:hideMark/>
          </w:tcPr>
          <w:p w14:paraId="3C006CF8"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36.2%</w:t>
            </w:r>
          </w:p>
        </w:tc>
      </w:tr>
      <w:tr w:rsidR="00D35A98" w:rsidRPr="003E7386" w14:paraId="445F9933" w14:textId="77777777" w:rsidTr="00C25545">
        <w:tc>
          <w:tcPr>
            <w:tcW w:w="2860" w:type="dxa"/>
            <w:tcBorders>
              <w:top w:val="nil"/>
              <w:left w:val="nil"/>
              <w:bottom w:val="nil"/>
            </w:tcBorders>
            <w:shd w:val="clear" w:color="auto" w:fill="auto"/>
            <w:noWrap/>
            <w:vAlign w:val="center"/>
            <w:hideMark/>
          </w:tcPr>
          <w:p w14:paraId="66AE15B7"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95+</w:t>
            </w:r>
          </w:p>
        </w:tc>
        <w:tc>
          <w:tcPr>
            <w:tcW w:w="1336" w:type="dxa"/>
            <w:tcBorders>
              <w:top w:val="nil"/>
              <w:bottom w:val="nil"/>
            </w:tcBorders>
            <w:shd w:val="clear" w:color="auto" w:fill="auto"/>
            <w:noWrap/>
            <w:vAlign w:val="center"/>
            <w:hideMark/>
          </w:tcPr>
          <w:p w14:paraId="3F84024B"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4291</w:t>
            </w:r>
          </w:p>
        </w:tc>
        <w:tc>
          <w:tcPr>
            <w:tcW w:w="1104" w:type="dxa"/>
            <w:tcBorders>
              <w:top w:val="nil"/>
              <w:bottom w:val="nil"/>
            </w:tcBorders>
            <w:shd w:val="clear" w:color="auto" w:fill="auto"/>
            <w:noWrap/>
            <w:vAlign w:val="center"/>
            <w:hideMark/>
          </w:tcPr>
          <w:p w14:paraId="4658D7E7"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3.0%</w:t>
            </w:r>
          </w:p>
        </w:tc>
        <w:tc>
          <w:tcPr>
            <w:tcW w:w="700" w:type="dxa"/>
            <w:tcBorders>
              <w:top w:val="nil"/>
              <w:bottom w:val="nil"/>
              <w:right w:val="nil"/>
            </w:tcBorders>
            <w:shd w:val="clear" w:color="auto" w:fill="auto"/>
            <w:noWrap/>
            <w:vAlign w:val="center"/>
            <w:hideMark/>
          </w:tcPr>
          <w:p w14:paraId="595F9EE5"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5.5%</w:t>
            </w:r>
          </w:p>
        </w:tc>
      </w:tr>
      <w:tr w:rsidR="00D35A98" w:rsidRPr="003E7386" w14:paraId="63E36A3C" w14:textId="77777777" w:rsidTr="00C25545">
        <w:tc>
          <w:tcPr>
            <w:tcW w:w="6000" w:type="dxa"/>
            <w:gridSpan w:val="4"/>
            <w:tcBorders>
              <w:top w:val="dashed" w:sz="8" w:space="0" w:color="auto"/>
              <w:left w:val="nil"/>
              <w:bottom w:val="single" w:sz="4" w:space="0" w:color="auto"/>
              <w:right w:val="nil"/>
            </w:tcBorders>
            <w:shd w:val="clear" w:color="auto" w:fill="auto"/>
            <w:noWrap/>
            <w:vAlign w:val="center"/>
            <w:hideMark/>
          </w:tcPr>
          <w:p w14:paraId="2285037C"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Onset</w:t>
            </w:r>
          </w:p>
        </w:tc>
      </w:tr>
      <w:tr w:rsidR="00D35A98" w:rsidRPr="003E7386" w14:paraId="35352BAE" w14:textId="77777777" w:rsidTr="00C25545">
        <w:tc>
          <w:tcPr>
            <w:tcW w:w="2860" w:type="dxa"/>
            <w:tcBorders>
              <w:top w:val="nil"/>
              <w:left w:val="nil"/>
              <w:bottom w:val="nil"/>
            </w:tcBorders>
            <w:shd w:val="clear" w:color="auto" w:fill="auto"/>
            <w:noWrap/>
            <w:vAlign w:val="center"/>
            <w:hideMark/>
          </w:tcPr>
          <w:p w14:paraId="266F76DC"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Early (&lt;65)</w:t>
            </w:r>
          </w:p>
        </w:tc>
        <w:tc>
          <w:tcPr>
            <w:tcW w:w="1336" w:type="dxa"/>
            <w:tcBorders>
              <w:top w:val="nil"/>
              <w:bottom w:val="nil"/>
            </w:tcBorders>
            <w:shd w:val="clear" w:color="auto" w:fill="auto"/>
            <w:noWrap/>
            <w:vAlign w:val="center"/>
            <w:hideMark/>
          </w:tcPr>
          <w:p w14:paraId="1D2FA174"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5211</w:t>
            </w:r>
          </w:p>
        </w:tc>
        <w:tc>
          <w:tcPr>
            <w:tcW w:w="1104" w:type="dxa"/>
            <w:tcBorders>
              <w:top w:val="nil"/>
              <w:bottom w:val="nil"/>
            </w:tcBorders>
            <w:shd w:val="clear" w:color="auto" w:fill="auto"/>
            <w:noWrap/>
            <w:vAlign w:val="center"/>
            <w:hideMark/>
          </w:tcPr>
          <w:p w14:paraId="47519636"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3.7%</w:t>
            </w:r>
          </w:p>
        </w:tc>
        <w:tc>
          <w:tcPr>
            <w:tcW w:w="700" w:type="dxa"/>
            <w:tcBorders>
              <w:top w:val="nil"/>
              <w:bottom w:val="nil"/>
              <w:right w:val="nil"/>
            </w:tcBorders>
            <w:shd w:val="clear" w:color="auto" w:fill="auto"/>
            <w:noWrap/>
            <w:vAlign w:val="center"/>
            <w:hideMark/>
          </w:tcPr>
          <w:p w14:paraId="1FFC82DD"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5.2%</w:t>
            </w:r>
          </w:p>
        </w:tc>
      </w:tr>
      <w:tr w:rsidR="00D35A98" w:rsidRPr="003E7386" w14:paraId="0FD062AE" w14:textId="77777777" w:rsidTr="00C25545">
        <w:tc>
          <w:tcPr>
            <w:tcW w:w="2860" w:type="dxa"/>
            <w:tcBorders>
              <w:top w:val="nil"/>
              <w:left w:val="nil"/>
              <w:bottom w:val="dashed" w:sz="8" w:space="0" w:color="auto"/>
            </w:tcBorders>
            <w:shd w:val="clear" w:color="auto" w:fill="auto"/>
            <w:noWrap/>
            <w:vAlign w:val="center"/>
            <w:hideMark/>
          </w:tcPr>
          <w:p w14:paraId="53D9926B"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Later (65+</w:t>
            </w:r>
          </w:p>
        </w:tc>
        <w:tc>
          <w:tcPr>
            <w:tcW w:w="1336" w:type="dxa"/>
            <w:tcBorders>
              <w:top w:val="nil"/>
              <w:bottom w:val="dashed" w:sz="8" w:space="0" w:color="auto"/>
            </w:tcBorders>
            <w:shd w:val="clear" w:color="auto" w:fill="auto"/>
            <w:noWrap/>
            <w:vAlign w:val="center"/>
            <w:hideMark/>
          </w:tcPr>
          <w:p w14:paraId="5CD2F56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137129</w:t>
            </w:r>
          </w:p>
        </w:tc>
        <w:tc>
          <w:tcPr>
            <w:tcW w:w="1104" w:type="dxa"/>
            <w:tcBorders>
              <w:top w:val="nil"/>
              <w:bottom w:val="dashed" w:sz="8" w:space="0" w:color="auto"/>
            </w:tcBorders>
            <w:shd w:val="clear" w:color="auto" w:fill="auto"/>
            <w:noWrap/>
            <w:vAlign w:val="center"/>
            <w:hideMark/>
          </w:tcPr>
          <w:p w14:paraId="241D44CA"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96.3%</w:t>
            </w:r>
          </w:p>
        </w:tc>
        <w:tc>
          <w:tcPr>
            <w:tcW w:w="700" w:type="dxa"/>
            <w:tcBorders>
              <w:top w:val="nil"/>
              <w:bottom w:val="dashed" w:sz="8" w:space="0" w:color="auto"/>
              <w:right w:val="nil"/>
            </w:tcBorders>
            <w:shd w:val="clear" w:color="auto" w:fill="auto"/>
            <w:noWrap/>
            <w:vAlign w:val="center"/>
            <w:hideMark/>
          </w:tcPr>
          <w:p w14:paraId="11E4C118"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94.8%</w:t>
            </w:r>
          </w:p>
        </w:tc>
      </w:tr>
      <w:tr w:rsidR="00D35A98" w:rsidRPr="003E7386" w14:paraId="1A8112A6" w14:textId="77777777" w:rsidTr="00C25545">
        <w:tc>
          <w:tcPr>
            <w:tcW w:w="6000" w:type="dxa"/>
            <w:gridSpan w:val="4"/>
            <w:tcBorders>
              <w:top w:val="dashed" w:sz="8" w:space="0" w:color="auto"/>
              <w:left w:val="nil"/>
              <w:bottom w:val="single" w:sz="4" w:space="0" w:color="auto"/>
              <w:right w:val="nil"/>
            </w:tcBorders>
            <w:shd w:val="clear" w:color="auto" w:fill="auto"/>
            <w:noWrap/>
            <w:vAlign w:val="center"/>
            <w:hideMark/>
          </w:tcPr>
          <w:p w14:paraId="48666016"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Urban/Rural GP Classification</w:t>
            </w:r>
          </w:p>
        </w:tc>
      </w:tr>
      <w:tr w:rsidR="00D35A98" w:rsidRPr="003E7386" w14:paraId="0F2B7833" w14:textId="77777777" w:rsidTr="00C25545">
        <w:tc>
          <w:tcPr>
            <w:tcW w:w="2860" w:type="dxa"/>
            <w:tcBorders>
              <w:top w:val="nil"/>
              <w:left w:val="nil"/>
              <w:bottom w:val="nil"/>
            </w:tcBorders>
            <w:shd w:val="clear" w:color="auto" w:fill="auto"/>
            <w:noWrap/>
            <w:vAlign w:val="center"/>
            <w:hideMark/>
          </w:tcPr>
          <w:p w14:paraId="64B517EF"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Urban</w:t>
            </w:r>
          </w:p>
        </w:tc>
        <w:tc>
          <w:tcPr>
            <w:tcW w:w="1336" w:type="dxa"/>
            <w:tcBorders>
              <w:top w:val="nil"/>
              <w:bottom w:val="nil"/>
            </w:tcBorders>
            <w:shd w:val="clear" w:color="auto" w:fill="auto"/>
            <w:noWrap/>
            <w:vAlign w:val="center"/>
            <w:hideMark/>
          </w:tcPr>
          <w:p w14:paraId="12641D6B"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121612</w:t>
            </w:r>
          </w:p>
        </w:tc>
        <w:tc>
          <w:tcPr>
            <w:tcW w:w="1104" w:type="dxa"/>
            <w:tcBorders>
              <w:top w:val="nil"/>
              <w:bottom w:val="nil"/>
            </w:tcBorders>
            <w:shd w:val="clear" w:color="auto" w:fill="auto"/>
            <w:noWrap/>
            <w:vAlign w:val="center"/>
            <w:hideMark/>
          </w:tcPr>
          <w:p w14:paraId="25C9536F"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85.4%</w:t>
            </w:r>
          </w:p>
        </w:tc>
        <w:tc>
          <w:tcPr>
            <w:tcW w:w="700" w:type="dxa"/>
            <w:tcBorders>
              <w:top w:val="nil"/>
              <w:bottom w:val="nil"/>
              <w:right w:val="nil"/>
            </w:tcBorders>
            <w:shd w:val="clear" w:color="auto" w:fill="auto"/>
            <w:noWrap/>
            <w:vAlign w:val="center"/>
            <w:hideMark/>
          </w:tcPr>
          <w:p w14:paraId="3792A0B1"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 </w:t>
            </w:r>
          </w:p>
        </w:tc>
      </w:tr>
      <w:tr w:rsidR="00D35A98" w:rsidRPr="003E7386" w14:paraId="1CDC6941" w14:textId="77777777" w:rsidTr="00C25545">
        <w:tc>
          <w:tcPr>
            <w:tcW w:w="2860" w:type="dxa"/>
            <w:tcBorders>
              <w:top w:val="nil"/>
              <w:left w:val="nil"/>
              <w:bottom w:val="dashed" w:sz="8" w:space="0" w:color="auto"/>
            </w:tcBorders>
            <w:shd w:val="clear" w:color="auto" w:fill="auto"/>
            <w:noWrap/>
            <w:vAlign w:val="center"/>
            <w:hideMark/>
          </w:tcPr>
          <w:p w14:paraId="11AF047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Rural</w:t>
            </w:r>
          </w:p>
        </w:tc>
        <w:tc>
          <w:tcPr>
            <w:tcW w:w="1336" w:type="dxa"/>
            <w:tcBorders>
              <w:top w:val="nil"/>
              <w:bottom w:val="dashed" w:sz="8" w:space="0" w:color="auto"/>
            </w:tcBorders>
            <w:shd w:val="clear" w:color="auto" w:fill="auto"/>
            <w:noWrap/>
            <w:vAlign w:val="center"/>
            <w:hideMark/>
          </w:tcPr>
          <w:p w14:paraId="024AE4BC"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20728</w:t>
            </w:r>
          </w:p>
        </w:tc>
        <w:tc>
          <w:tcPr>
            <w:tcW w:w="1104" w:type="dxa"/>
            <w:tcBorders>
              <w:top w:val="nil"/>
              <w:bottom w:val="dashed" w:sz="8" w:space="0" w:color="auto"/>
            </w:tcBorders>
            <w:shd w:val="clear" w:color="auto" w:fill="auto"/>
            <w:noWrap/>
            <w:vAlign w:val="center"/>
            <w:hideMark/>
          </w:tcPr>
          <w:p w14:paraId="0E35A6D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14.6%</w:t>
            </w:r>
          </w:p>
        </w:tc>
        <w:tc>
          <w:tcPr>
            <w:tcW w:w="700" w:type="dxa"/>
            <w:tcBorders>
              <w:top w:val="nil"/>
              <w:bottom w:val="dashed" w:sz="8" w:space="0" w:color="auto"/>
              <w:right w:val="nil"/>
            </w:tcBorders>
            <w:shd w:val="clear" w:color="auto" w:fill="auto"/>
            <w:noWrap/>
            <w:vAlign w:val="center"/>
            <w:hideMark/>
          </w:tcPr>
          <w:p w14:paraId="3B4D3AFA"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 </w:t>
            </w:r>
          </w:p>
        </w:tc>
      </w:tr>
      <w:tr w:rsidR="00D35A98" w:rsidRPr="003E7386" w14:paraId="05002EF3" w14:textId="77777777" w:rsidTr="00C25545">
        <w:tc>
          <w:tcPr>
            <w:tcW w:w="6000" w:type="dxa"/>
            <w:gridSpan w:val="4"/>
            <w:tcBorders>
              <w:top w:val="dashed" w:sz="8" w:space="0" w:color="auto"/>
              <w:left w:val="nil"/>
              <w:bottom w:val="single" w:sz="4" w:space="0" w:color="auto"/>
              <w:right w:val="nil"/>
            </w:tcBorders>
            <w:shd w:val="clear" w:color="auto" w:fill="auto"/>
            <w:noWrap/>
            <w:vAlign w:val="center"/>
            <w:hideMark/>
          </w:tcPr>
          <w:p w14:paraId="4EBEB3AF" w14:textId="11ADF34D"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Ethnicity</w:t>
            </w:r>
          </w:p>
        </w:tc>
      </w:tr>
      <w:tr w:rsidR="00D35A98" w:rsidRPr="003E7386" w14:paraId="5BA04764" w14:textId="77777777" w:rsidTr="00C25545">
        <w:tc>
          <w:tcPr>
            <w:tcW w:w="2860" w:type="dxa"/>
            <w:tcBorders>
              <w:top w:val="nil"/>
              <w:left w:val="nil"/>
              <w:bottom w:val="nil"/>
            </w:tcBorders>
            <w:shd w:val="clear" w:color="auto" w:fill="auto"/>
            <w:noWrap/>
            <w:vAlign w:val="center"/>
            <w:hideMark/>
          </w:tcPr>
          <w:p w14:paraId="7315C2BE"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White</w:t>
            </w:r>
          </w:p>
        </w:tc>
        <w:tc>
          <w:tcPr>
            <w:tcW w:w="1336" w:type="dxa"/>
            <w:tcBorders>
              <w:top w:val="nil"/>
              <w:bottom w:val="nil"/>
            </w:tcBorders>
            <w:shd w:val="clear" w:color="auto" w:fill="auto"/>
            <w:noWrap/>
            <w:vAlign w:val="center"/>
            <w:hideMark/>
          </w:tcPr>
          <w:p w14:paraId="24DCE225"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129653</w:t>
            </w:r>
          </w:p>
        </w:tc>
        <w:tc>
          <w:tcPr>
            <w:tcW w:w="1104" w:type="dxa"/>
            <w:tcBorders>
              <w:top w:val="nil"/>
              <w:bottom w:val="nil"/>
            </w:tcBorders>
            <w:shd w:val="clear" w:color="auto" w:fill="auto"/>
            <w:noWrap/>
            <w:vAlign w:val="center"/>
            <w:hideMark/>
          </w:tcPr>
          <w:p w14:paraId="48DC674E"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96.1%</w:t>
            </w:r>
          </w:p>
        </w:tc>
        <w:tc>
          <w:tcPr>
            <w:tcW w:w="700" w:type="dxa"/>
            <w:tcBorders>
              <w:top w:val="nil"/>
              <w:bottom w:val="nil"/>
              <w:right w:val="nil"/>
            </w:tcBorders>
            <w:shd w:val="clear" w:color="auto" w:fill="auto"/>
            <w:noWrap/>
            <w:vAlign w:val="center"/>
            <w:hideMark/>
          </w:tcPr>
          <w:p w14:paraId="4A73E836"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94.5%</w:t>
            </w:r>
          </w:p>
        </w:tc>
      </w:tr>
      <w:tr w:rsidR="00D35A98" w:rsidRPr="003E7386" w14:paraId="37B5AEEB" w14:textId="77777777" w:rsidTr="00C25545">
        <w:tc>
          <w:tcPr>
            <w:tcW w:w="2860" w:type="dxa"/>
            <w:tcBorders>
              <w:top w:val="nil"/>
              <w:left w:val="nil"/>
              <w:bottom w:val="nil"/>
            </w:tcBorders>
            <w:shd w:val="clear" w:color="auto" w:fill="auto"/>
            <w:noWrap/>
            <w:vAlign w:val="center"/>
            <w:hideMark/>
          </w:tcPr>
          <w:p w14:paraId="2EDFB71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Asian</w:t>
            </w:r>
          </w:p>
        </w:tc>
        <w:tc>
          <w:tcPr>
            <w:tcW w:w="1336" w:type="dxa"/>
            <w:tcBorders>
              <w:top w:val="nil"/>
              <w:bottom w:val="nil"/>
            </w:tcBorders>
            <w:shd w:val="clear" w:color="auto" w:fill="auto"/>
            <w:noWrap/>
            <w:vAlign w:val="center"/>
            <w:hideMark/>
          </w:tcPr>
          <w:p w14:paraId="5780FA6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1939</w:t>
            </w:r>
          </w:p>
        </w:tc>
        <w:tc>
          <w:tcPr>
            <w:tcW w:w="1104" w:type="dxa"/>
            <w:tcBorders>
              <w:top w:val="nil"/>
              <w:bottom w:val="nil"/>
            </w:tcBorders>
            <w:shd w:val="clear" w:color="auto" w:fill="auto"/>
            <w:noWrap/>
            <w:vAlign w:val="center"/>
            <w:hideMark/>
          </w:tcPr>
          <w:p w14:paraId="0A13089A"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1.4%</w:t>
            </w:r>
          </w:p>
        </w:tc>
        <w:tc>
          <w:tcPr>
            <w:tcW w:w="700" w:type="dxa"/>
            <w:tcBorders>
              <w:top w:val="nil"/>
              <w:bottom w:val="nil"/>
              <w:right w:val="nil"/>
            </w:tcBorders>
            <w:shd w:val="clear" w:color="auto" w:fill="auto"/>
            <w:noWrap/>
            <w:vAlign w:val="center"/>
            <w:hideMark/>
          </w:tcPr>
          <w:p w14:paraId="173DC4DA"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1.5%</w:t>
            </w:r>
          </w:p>
        </w:tc>
      </w:tr>
      <w:tr w:rsidR="00D35A98" w:rsidRPr="003E7386" w14:paraId="43AB95F8" w14:textId="77777777" w:rsidTr="00C25545">
        <w:tc>
          <w:tcPr>
            <w:tcW w:w="2860" w:type="dxa"/>
            <w:tcBorders>
              <w:top w:val="nil"/>
              <w:left w:val="nil"/>
              <w:bottom w:val="nil"/>
            </w:tcBorders>
            <w:shd w:val="clear" w:color="auto" w:fill="auto"/>
            <w:noWrap/>
            <w:vAlign w:val="center"/>
            <w:hideMark/>
          </w:tcPr>
          <w:p w14:paraId="5004516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Black</w:t>
            </w:r>
          </w:p>
        </w:tc>
        <w:tc>
          <w:tcPr>
            <w:tcW w:w="1336" w:type="dxa"/>
            <w:tcBorders>
              <w:top w:val="nil"/>
              <w:bottom w:val="nil"/>
            </w:tcBorders>
            <w:shd w:val="clear" w:color="auto" w:fill="auto"/>
            <w:noWrap/>
            <w:vAlign w:val="center"/>
            <w:hideMark/>
          </w:tcPr>
          <w:p w14:paraId="50B3A2B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2247</w:t>
            </w:r>
          </w:p>
        </w:tc>
        <w:tc>
          <w:tcPr>
            <w:tcW w:w="1104" w:type="dxa"/>
            <w:tcBorders>
              <w:top w:val="nil"/>
              <w:bottom w:val="nil"/>
            </w:tcBorders>
            <w:shd w:val="clear" w:color="auto" w:fill="auto"/>
            <w:noWrap/>
            <w:vAlign w:val="center"/>
            <w:hideMark/>
          </w:tcPr>
          <w:p w14:paraId="16759568"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1.7%</w:t>
            </w:r>
          </w:p>
        </w:tc>
        <w:tc>
          <w:tcPr>
            <w:tcW w:w="700" w:type="dxa"/>
            <w:tcBorders>
              <w:top w:val="nil"/>
              <w:bottom w:val="nil"/>
              <w:right w:val="nil"/>
            </w:tcBorders>
            <w:shd w:val="clear" w:color="auto" w:fill="auto"/>
            <w:noWrap/>
            <w:vAlign w:val="center"/>
            <w:hideMark/>
          </w:tcPr>
          <w:p w14:paraId="37F16B3B"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2.7%</w:t>
            </w:r>
          </w:p>
        </w:tc>
      </w:tr>
      <w:tr w:rsidR="00D35A98" w:rsidRPr="003E7386" w14:paraId="5513CAB3" w14:textId="77777777" w:rsidTr="00C25545">
        <w:tc>
          <w:tcPr>
            <w:tcW w:w="2860" w:type="dxa"/>
            <w:tcBorders>
              <w:top w:val="nil"/>
              <w:left w:val="nil"/>
              <w:bottom w:val="nil"/>
            </w:tcBorders>
            <w:shd w:val="clear" w:color="auto" w:fill="auto"/>
            <w:noWrap/>
            <w:vAlign w:val="center"/>
            <w:hideMark/>
          </w:tcPr>
          <w:p w14:paraId="28A5154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Mixed/Other</w:t>
            </w:r>
          </w:p>
        </w:tc>
        <w:tc>
          <w:tcPr>
            <w:tcW w:w="1336" w:type="dxa"/>
            <w:tcBorders>
              <w:top w:val="nil"/>
              <w:bottom w:val="nil"/>
            </w:tcBorders>
            <w:shd w:val="clear" w:color="auto" w:fill="auto"/>
            <w:noWrap/>
            <w:vAlign w:val="center"/>
            <w:hideMark/>
          </w:tcPr>
          <w:p w14:paraId="602DF18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1080</w:t>
            </w:r>
          </w:p>
        </w:tc>
        <w:tc>
          <w:tcPr>
            <w:tcW w:w="1104" w:type="dxa"/>
            <w:tcBorders>
              <w:top w:val="nil"/>
              <w:bottom w:val="nil"/>
            </w:tcBorders>
            <w:shd w:val="clear" w:color="auto" w:fill="auto"/>
            <w:noWrap/>
            <w:vAlign w:val="center"/>
            <w:hideMark/>
          </w:tcPr>
          <w:p w14:paraId="5D978C6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0.8%</w:t>
            </w:r>
          </w:p>
        </w:tc>
        <w:tc>
          <w:tcPr>
            <w:tcW w:w="700" w:type="dxa"/>
            <w:tcBorders>
              <w:top w:val="nil"/>
              <w:bottom w:val="nil"/>
              <w:right w:val="nil"/>
            </w:tcBorders>
            <w:shd w:val="clear" w:color="auto" w:fill="auto"/>
            <w:noWrap/>
            <w:vAlign w:val="center"/>
            <w:hideMark/>
          </w:tcPr>
          <w:p w14:paraId="19F131E4"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1.3%</w:t>
            </w:r>
          </w:p>
        </w:tc>
      </w:tr>
      <w:tr w:rsidR="00D35A98" w:rsidRPr="003E7386" w14:paraId="4EC535E2" w14:textId="77777777" w:rsidTr="00C25545">
        <w:tc>
          <w:tcPr>
            <w:tcW w:w="2860" w:type="dxa"/>
            <w:tcBorders>
              <w:top w:val="nil"/>
              <w:left w:val="nil"/>
              <w:bottom w:val="dashed" w:sz="8" w:space="0" w:color="auto"/>
            </w:tcBorders>
            <w:shd w:val="clear" w:color="auto" w:fill="auto"/>
            <w:noWrap/>
            <w:vAlign w:val="center"/>
            <w:hideMark/>
          </w:tcPr>
          <w:p w14:paraId="73540AD1"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Missing</w:t>
            </w:r>
          </w:p>
        </w:tc>
        <w:tc>
          <w:tcPr>
            <w:tcW w:w="1336" w:type="dxa"/>
            <w:tcBorders>
              <w:top w:val="nil"/>
              <w:bottom w:val="dashed" w:sz="8" w:space="0" w:color="auto"/>
            </w:tcBorders>
            <w:shd w:val="clear" w:color="auto" w:fill="auto"/>
            <w:noWrap/>
            <w:vAlign w:val="center"/>
            <w:hideMark/>
          </w:tcPr>
          <w:p w14:paraId="7A2FF34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7421</w:t>
            </w:r>
          </w:p>
        </w:tc>
        <w:tc>
          <w:tcPr>
            <w:tcW w:w="1104" w:type="dxa"/>
            <w:tcBorders>
              <w:top w:val="nil"/>
              <w:bottom w:val="dashed" w:sz="8" w:space="0" w:color="auto"/>
            </w:tcBorders>
            <w:shd w:val="clear" w:color="auto" w:fill="auto"/>
            <w:noWrap/>
            <w:vAlign w:val="center"/>
            <w:hideMark/>
          </w:tcPr>
          <w:p w14:paraId="1C95C91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5.2%</w:t>
            </w:r>
          </w:p>
        </w:tc>
        <w:tc>
          <w:tcPr>
            <w:tcW w:w="700" w:type="dxa"/>
            <w:tcBorders>
              <w:top w:val="nil"/>
              <w:bottom w:val="dashed" w:sz="8" w:space="0" w:color="auto"/>
              <w:right w:val="nil"/>
            </w:tcBorders>
            <w:shd w:val="clear" w:color="auto" w:fill="auto"/>
            <w:noWrap/>
            <w:vAlign w:val="center"/>
            <w:hideMark/>
          </w:tcPr>
          <w:p w14:paraId="39500B10"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 </w:t>
            </w:r>
          </w:p>
        </w:tc>
      </w:tr>
      <w:tr w:rsidR="00D35A98" w:rsidRPr="003E7386" w14:paraId="695EA3C9" w14:textId="77777777" w:rsidTr="00C25545">
        <w:tc>
          <w:tcPr>
            <w:tcW w:w="6000" w:type="dxa"/>
            <w:gridSpan w:val="4"/>
            <w:tcBorders>
              <w:top w:val="dashed" w:sz="8" w:space="0" w:color="auto"/>
              <w:left w:val="nil"/>
              <w:bottom w:val="single" w:sz="4" w:space="0" w:color="auto"/>
              <w:right w:val="nil"/>
            </w:tcBorders>
            <w:shd w:val="clear" w:color="auto" w:fill="auto"/>
            <w:noWrap/>
            <w:vAlign w:val="center"/>
            <w:hideMark/>
          </w:tcPr>
          <w:p w14:paraId="7EB10D78"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IMD 2015 Deprivation Quintile</w:t>
            </w:r>
          </w:p>
        </w:tc>
      </w:tr>
      <w:tr w:rsidR="00D35A98" w:rsidRPr="003E7386" w14:paraId="4F56A5E2" w14:textId="77777777" w:rsidTr="00C25545">
        <w:tc>
          <w:tcPr>
            <w:tcW w:w="2860" w:type="dxa"/>
            <w:tcBorders>
              <w:top w:val="nil"/>
              <w:left w:val="nil"/>
              <w:bottom w:val="nil"/>
            </w:tcBorders>
            <w:shd w:val="clear" w:color="auto" w:fill="auto"/>
            <w:noWrap/>
            <w:vAlign w:val="center"/>
            <w:hideMark/>
          </w:tcPr>
          <w:p w14:paraId="6EBE4523"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 (least deprived)</w:t>
            </w:r>
          </w:p>
        </w:tc>
        <w:tc>
          <w:tcPr>
            <w:tcW w:w="1336" w:type="dxa"/>
            <w:tcBorders>
              <w:top w:val="nil"/>
              <w:bottom w:val="nil"/>
            </w:tcBorders>
            <w:shd w:val="clear" w:color="auto" w:fill="auto"/>
            <w:noWrap/>
            <w:vAlign w:val="center"/>
            <w:hideMark/>
          </w:tcPr>
          <w:p w14:paraId="146F37DE"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33370</w:t>
            </w:r>
          </w:p>
        </w:tc>
        <w:tc>
          <w:tcPr>
            <w:tcW w:w="1104" w:type="dxa"/>
            <w:tcBorders>
              <w:top w:val="nil"/>
              <w:bottom w:val="nil"/>
            </w:tcBorders>
            <w:shd w:val="clear" w:color="auto" w:fill="auto"/>
            <w:noWrap/>
            <w:vAlign w:val="center"/>
            <w:hideMark/>
          </w:tcPr>
          <w:p w14:paraId="09BF05B6"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23.5%</w:t>
            </w:r>
          </w:p>
        </w:tc>
        <w:tc>
          <w:tcPr>
            <w:tcW w:w="700" w:type="dxa"/>
            <w:tcBorders>
              <w:top w:val="nil"/>
              <w:bottom w:val="nil"/>
              <w:right w:val="nil"/>
            </w:tcBorders>
            <w:shd w:val="clear" w:color="auto" w:fill="auto"/>
            <w:noWrap/>
            <w:vAlign w:val="center"/>
            <w:hideMark/>
          </w:tcPr>
          <w:p w14:paraId="004AC43A"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26.5%</w:t>
            </w:r>
          </w:p>
        </w:tc>
      </w:tr>
      <w:tr w:rsidR="00D35A98" w:rsidRPr="003E7386" w14:paraId="740CAAE4" w14:textId="77777777" w:rsidTr="00C25545">
        <w:tc>
          <w:tcPr>
            <w:tcW w:w="2860" w:type="dxa"/>
            <w:tcBorders>
              <w:top w:val="nil"/>
              <w:left w:val="nil"/>
              <w:bottom w:val="nil"/>
            </w:tcBorders>
            <w:shd w:val="clear" w:color="auto" w:fill="auto"/>
            <w:noWrap/>
            <w:vAlign w:val="center"/>
            <w:hideMark/>
          </w:tcPr>
          <w:p w14:paraId="4A26AD8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w:t>
            </w:r>
          </w:p>
        </w:tc>
        <w:tc>
          <w:tcPr>
            <w:tcW w:w="1336" w:type="dxa"/>
            <w:tcBorders>
              <w:top w:val="nil"/>
              <w:bottom w:val="nil"/>
            </w:tcBorders>
            <w:shd w:val="clear" w:color="auto" w:fill="auto"/>
            <w:noWrap/>
            <w:vAlign w:val="center"/>
            <w:hideMark/>
          </w:tcPr>
          <w:p w14:paraId="48DB5DB8"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32786</w:t>
            </w:r>
          </w:p>
        </w:tc>
        <w:tc>
          <w:tcPr>
            <w:tcW w:w="1104" w:type="dxa"/>
            <w:tcBorders>
              <w:top w:val="nil"/>
              <w:bottom w:val="nil"/>
            </w:tcBorders>
            <w:shd w:val="clear" w:color="auto" w:fill="auto"/>
            <w:noWrap/>
            <w:vAlign w:val="center"/>
            <w:hideMark/>
          </w:tcPr>
          <w:p w14:paraId="22A7419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23.1%</w:t>
            </w:r>
          </w:p>
        </w:tc>
        <w:tc>
          <w:tcPr>
            <w:tcW w:w="700" w:type="dxa"/>
            <w:tcBorders>
              <w:top w:val="nil"/>
              <w:bottom w:val="nil"/>
              <w:right w:val="nil"/>
            </w:tcBorders>
            <w:shd w:val="clear" w:color="auto" w:fill="auto"/>
            <w:noWrap/>
            <w:vAlign w:val="center"/>
            <w:hideMark/>
          </w:tcPr>
          <w:p w14:paraId="058C57B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23.4%</w:t>
            </w:r>
          </w:p>
        </w:tc>
      </w:tr>
      <w:tr w:rsidR="00D35A98" w:rsidRPr="003E7386" w14:paraId="4BC14CBD" w14:textId="77777777" w:rsidTr="00C25545">
        <w:tc>
          <w:tcPr>
            <w:tcW w:w="2860" w:type="dxa"/>
            <w:tcBorders>
              <w:top w:val="nil"/>
              <w:left w:val="nil"/>
              <w:bottom w:val="nil"/>
            </w:tcBorders>
            <w:shd w:val="clear" w:color="auto" w:fill="auto"/>
            <w:noWrap/>
            <w:vAlign w:val="center"/>
            <w:hideMark/>
          </w:tcPr>
          <w:p w14:paraId="2504D04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w:t>
            </w:r>
          </w:p>
        </w:tc>
        <w:tc>
          <w:tcPr>
            <w:tcW w:w="1336" w:type="dxa"/>
            <w:tcBorders>
              <w:top w:val="nil"/>
              <w:bottom w:val="nil"/>
            </w:tcBorders>
            <w:shd w:val="clear" w:color="auto" w:fill="auto"/>
            <w:noWrap/>
            <w:vAlign w:val="center"/>
            <w:hideMark/>
          </w:tcPr>
          <w:p w14:paraId="44B64F5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28610</w:t>
            </w:r>
          </w:p>
        </w:tc>
        <w:tc>
          <w:tcPr>
            <w:tcW w:w="1104" w:type="dxa"/>
            <w:tcBorders>
              <w:top w:val="nil"/>
              <w:bottom w:val="nil"/>
            </w:tcBorders>
            <w:shd w:val="clear" w:color="auto" w:fill="auto"/>
            <w:noWrap/>
            <w:vAlign w:val="center"/>
            <w:hideMark/>
          </w:tcPr>
          <w:p w14:paraId="210D9A0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20.1%</w:t>
            </w:r>
          </w:p>
        </w:tc>
        <w:tc>
          <w:tcPr>
            <w:tcW w:w="700" w:type="dxa"/>
            <w:tcBorders>
              <w:top w:val="nil"/>
              <w:bottom w:val="nil"/>
              <w:right w:val="nil"/>
            </w:tcBorders>
            <w:shd w:val="clear" w:color="auto" w:fill="auto"/>
            <w:noWrap/>
            <w:vAlign w:val="center"/>
            <w:hideMark/>
          </w:tcPr>
          <w:p w14:paraId="21DA38C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20.5%</w:t>
            </w:r>
          </w:p>
        </w:tc>
      </w:tr>
      <w:tr w:rsidR="00D35A98" w:rsidRPr="003E7386" w14:paraId="3A47E0B2" w14:textId="77777777" w:rsidTr="00C25545">
        <w:tc>
          <w:tcPr>
            <w:tcW w:w="2860" w:type="dxa"/>
            <w:tcBorders>
              <w:top w:val="nil"/>
              <w:left w:val="nil"/>
              <w:bottom w:val="nil"/>
            </w:tcBorders>
            <w:shd w:val="clear" w:color="auto" w:fill="auto"/>
            <w:noWrap/>
            <w:vAlign w:val="center"/>
            <w:hideMark/>
          </w:tcPr>
          <w:p w14:paraId="51A9C0B5"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w:t>
            </w:r>
          </w:p>
        </w:tc>
        <w:tc>
          <w:tcPr>
            <w:tcW w:w="1336" w:type="dxa"/>
            <w:tcBorders>
              <w:top w:val="nil"/>
              <w:bottom w:val="nil"/>
            </w:tcBorders>
            <w:shd w:val="clear" w:color="auto" w:fill="auto"/>
            <w:noWrap/>
            <w:vAlign w:val="center"/>
            <w:hideMark/>
          </w:tcPr>
          <w:p w14:paraId="7852B59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24932</w:t>
            </w:r>
          </w:p>
        </w:tc>
        <w:tc>
          <w:tcPr>
            <w:tcW w:w="1104" w:type="dxa"/>
            <w:tcBorders>
              <w:top w:val="nil"/>
              <w:bottom w:val="nil"/>
            </w:tcBorders>
            <w:shd w:val="clear" w:color="auto" w:fill="auto"/>
            <w:noWrap/>
            <w:vAlign w:val="center"/>
            <w:hideMark/>
          </w:tcPr>
          <w:p w14:paraId="180E74B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17.5%</w:t>
            </w:r>
          </w:p>
        </w:tc>
        <w:tc>
          <w:tcPr>
            <w:tcW w:w="700" w:type="dxa"/>
            <w:tcBorders>
              <w:top w:val="nil"/>
              <w:bottom w:val="nil"/>
              <w:right w:val="nil"/>
            </w:tcBorders>
            <w:shd w:val="clear" w:color="auto" w:fill="auto"/>
            <w:noWrap/>
            <w:vAlign w:val="center"/>
            <w:hideMark/>
          </w:tcPr>
          <w:p w14:paraId="7DA19115"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16.6%</w:t>
            </w:r>
          </w:p>
        </w:tc>
      </w:tr>
      <w:tr w:rsidR="00D35A98" w:rsidRPr="003E7386" w14:paraId="20E7BDAC" w14:textId="77777777" w:rsidTr="00C25545">
        <w:tc>
          <w:tcPr>
            <w:tcW w:w="2860" w:type="dxa"/>
            <w:tcBorders>
              <w:top w:val="nil"/>
              <w:left w:val="nil"/>
              <w:bottom w:val="nil"/>
            </w:tcBorders>
            <w:shd w:val="clear" w:color="auto" w:fill="auto"/>
            <w:noWrap/>
            <w:vAlign w:val="center"/>
            <w:hideMark/>
          </w:tcPr>
          <w:p w14:paraId="7283CF1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 (most deprived)</w:t>
            </w:r>
          </w:p>
        </w:tc>
        <w:tc>
          <w:tcPr>
            <w:tcW w:w="1336" w:type="dxa"/>
            <w:tcBorders>
              <w:top w:val="nil"/>
              <w:bottom w:val="nil"/>
            </w:tcBorders>
            <w:shd w:val="clear" w:color="auto" w:fill="auto"/>
            <w:noWrap/>
            <w:vAlign w:val="center"/>
            <w:hideMark/>
          </w:tcPr>
          <w:p w14:paraId="45ADDCE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22366</w:t>
            </w:r>
          </w:p>
        </w:tc>
        <w:tc>
          <w:tcPr>
            <w:tcW w:w="1104" w:type="dxa"/>
            <w:tcBorders>
              <w:top w:val="nil"/>
              <w:bottom w:val="nil"/>
            </w:tcBorders>
            <w:shd w:val="clear" w:color="auto" w:fill="auto"/>
            <w:noWrap/>
            <w:vAlign w:val="center"/>
            <w:hideMark/>
          </w:tcPr>
          <w:p w14:paraId="39FFB76C"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15.7%</w:t>
            </w:r>
          </w:p>
        </w:tc>
        <w:tc>
          <w:tcPr>
            <w:tcW w:w="700" w:type="dxa"/>
            <w:tcBorders>
              <w:top w:val="nil"/>
              <w:bottom w:val="nil"/>
              <w:right w:val="nil"/>
            </w:tcBorders>
            <w:shd w:val="clear" w:color="auto" w:fill="auto"/>
            <w:noWrap/>
            <w:vAlign w:val="center"/>
            <w:hideMark/>
          </w:tcPr>
          <w:p w14:paraId="222C849A"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10.7%</w:t>
            </w:r>
          </w:p>
        </w:tc>
      </w:tr>
      <w:tr w:rsidR="00D35A98" w:rsidRPr="003E7386" w14:paraId="3B320939" w14:textId="77777777" w:rsidTr="00C25545">
        <w:tc>
          <w:tcPr>
            <w:tcW w:w="2860" w:type="dxa"/>
            <w:tcBorders>
              <w:top w:val="nil"/>
              <w:left w:val="nil"/>
              <w:bottom w:val="dashed" w:sz="8" w:space="0" w:color="auto"/>
            </w:tcBorders>
            <w:shd w:val="clear" w:color="auto" w:fill="auto"/>
            <w:noWrap/>
            <w:vAlign w:val="center"/>
            <w:hideMark/>
          </w:tcPr>
          <w:p w14:paraId="75642C0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Missing</w:t>
            </w:r>
          </w:p>
        </w:tc>
        <w:tc>
          <w:tcPr>
            <w:tcW w:w="1336" w:type="dxa"/>
            <w:tcBorders>
              <w:top w:val="nil"/>
              <w:bottom w:val="dashed" w:sz="8" w:space="0" w:color="auto"/>
            </w:tcBorders>
            <w:shd w:val="clear" w:color="auto" w:fill="auto"/>
            <w:noWrap/>
            <w:vAlign w:val="center"/>
            <w:hideMark/>
          </w:tcPr>
          <w:p w14:paraId="1EF9D965"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276</w:t>
            </w:r>
          </w:p>
        </w:tc>
        <w:tc>
          <w:tcPr>
            <w:tcW w:w="1104" w:type="dxa"/>
            <w:tcBorders>
              <w:top w:val="nil"/>
              <w:bottom w:val="dashed" w:sz="8" w:space="0" w:color="auto"/>
            </w:tcBorders>
            <w:shd w:val="clear" w:color="auto" w:fill="auto"/>
            <w:noWrap/>
            <w:vAlign w:val="center"/>
            <w:hideMark/>
          </w:tcPr>
          <w:p w14:paraId="7215AAD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0.2%</w:t>
            </w:r>
          </w:p>
        </w:tc>
        <w:tc>
          <w:tcPr>
            <w:tcW w:w="700" w:type="dxa"/>
            <w:tcBorders>
              <w:top w:val="nil"/>
              <w:bottom w:val="dashed" w:sz="8" w:space="0" w:color="auto"/>
              <w:right w:val="nil"/>
            </w:tcBorders>
            <w:shd w:val="clear" w:color="auto" w:fill="auto"/>
            <w:noWrap/>
            <w:vAlign w:val="center"/>
            <w:hideMark/>
          </w:tcPr>
          <w:p w14:paraId="4448E2C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2.4%</w:t>
            </w:r>
          </w:p>
        </w:tc>
      </w:tr>
      <w:tr w:rsidR="00D35A98" w:rsidRPr="003E7386" w14:paraId="40CCD01C" w14:textId="77777777" w:rsidTr="00C25545">
        <w:tc>
          <w:tcPr>
            <w:tcW w:w="6000" w:type="dxa"/>
            <w:gridSpan w:val="4"/>
            <w:tcBorders>
              <w:top w:val="dashed" w:sz="8" w:space="0" w:color="auto"/>
              <w:left w:val="nil"/>
              <w:bottom w:val="single" w:sz="4" w:space="0" w:color="auto"/>
              <w:right w:val="nil"/>
            </w:tcBorders>
            <w:shd w:val="clear" w:color="auto" w:fill="auto"/>
            <w:noWrap/>
            <w:vAlign w:val="center"/>
            <w:hideMark/>
          </w:tcPr>
          <w:p w14:paraId="0998AA60" w14:textId="77777777" w:rsidR="00D35A98" w:rsidRPr="003E7386" w:rsidRDefault="00D35A98" w:rsidP="003E7386">
            <w:pPr>
              <w:autoSpaceDE w:val="0"/>
              <w:autoSpaceDN w:val="0"/>
              <w:adjustRightInd w:val="0"/>
              <w:snapToGrid w:val="0"/>
              <w:spacing w:line="240" w:lineRule="auto"/>
              <w:jc w:val="center"/>
              <w:rPr>
                <w:rFonts w:eastAsia="Times New Roman" w:cs="Arial"/>
                <w:b/>
                <w:bCs/>
                <w:i/>
                <w:iCs/>
                <w:szCs w:val="16"/>
                <w:lang w:eastAsia="en-GB"/>
              </w:rPr>
            </w:pPr>
            <w:r w:rsidRPr="003E7386">
              <w:rPr>
                <w:rFonts w:eastAsia="Times New Roman" w:cs="Arial"/>
                <w:b/>
                <w:bCs/>
                <w:i/>
                <w:iCs/>
                <w:szCs w:val="16"/>
                <w:lang w:eastAsia="en-GB"/>
              </w:rPr>
              <w:t>GP Practice Region</w:t>
            </w:r>
          </w:p>
        </w:tc>
      </w:tr>
      <w:tr w:rsidR="00D35A98" w:rsidRPr="003E7386" w14:paraId="151D989F" w14:textId="77777777" w:rsidTr="00C25545">
        <w:tc>
          <w:tcPr>
            <w:tcW w:w="2860" w:type="dxa"/>
            <w:tcBorders>
              <w:top w:val="nil"/>
              <w:left w:val="nil"/>
              <w:bottom w:val="nil"/>
            </w:tcBorders>
            <w:shd w:val="clear" w:color="auto" w:fill="auto"/>
            <w:noWrap/>
            <w:vAlign w:val="center"/>
            <w:hideMark/>
          </w:tcPr>
          <w:p w14:paraId="0C589499"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South East Coast</w:t>
            </w:r>
          </w:p>
        </w:tc>
        <w:tc>
          <w:tcPr>
            <w:tcW w:w="1336" w:type="dxa"/>
            <w:tcBorders>
              <w:top w:val="nil"/>
              <w:bottom w:val="nil"/>
            </w:tcBorders>
            <w:shd w:val="clear" w:color="auto" w:fill="auto"/>
            <w:noWrap/>
            <w:vAlign w:val="center"/>
            <w:hideMark/>
          </w:tcPr>
          <w:p w14:paraId="3D495D91"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12057</w:t>
            </w:r>
          </w:p>
        </w:tc>
        <w:tc>
          <w:tcPr>
            <w:tcW w:w="1104" w:type="dxa"/>
            <w:tcBorders>
              <w:top w:val="nil"/>
              <w:bottom w:val="nil"/>
            </w:tcBorders>
            <w:shd w:val="clear" w:color="auto" w:fill="auto"/>
            <w:noWrap/>
            <w:vAlign w:val="center"/>
            <w:hideMark/>
          </w:tcPr>
          <w:p w14:paraId="42974F0E"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8.5%</w:t>
            </w:r>
          </w:p>
        </w:tc>
        <w:tc>
          <w:tcPr>
            <w:tcW w:w="700" w:type="dxa"/>
            <w:tcBorders>
              <w:top w:val="nil"/>
              <w:bottom w:val="nil"/>
              <w:right w:val="nil"/>
            </w:tcBorders>
            <w:shd w:val="clear" w:color="auto" w:fill="auto"/>
            <w:noWrap/>
            <w:vAlign w:val="center"/>
            <w:hideMark/>
          </w:tcPr>
          <w:p w14:paraId="41C09B96" w14:textId="77777777" w:rsidR="00D35A98" w:rsidRPr="003E7386" w:rsidRDefault="00D35A98" w:rsidP="003E7386">
            <w:pPr>
              <w:autoSpaceDE w:val="0"/>
              <w:autoSpaceDN w:val="0"/>
              <w:adjustRightInd w:val="0"/>
              <w:snapToGrid w:val="0"/>
              <w:spacing w:line="240" w:lineRule="auto"/>
              <w:jc w:val="center"/>
              <w:rPr>
                <w:rFonts w:eastAsia="Times New Roman" w:cs="Arial"/>
                <w:i/>
                <w:iCs/>
                <w:szCs w:val="16"/>
                <w:lang w:eastAsia="en-GB"/>
              </w:rPr>
            </w:pPr>
            <w:r w:rsidRPr="003E7386">
              <w:rPr>
                <w:rFonts w:eastAsia="Times New Roman" w:cs="Arial"/>
                <w:i/>
                <w:iCs/>
                <w:szCs w:val="16"/>
                <w:lang w:eastAsia="en-GB"/>
              </w:rPr>
              <w:t>17.3%</w:t>
            </w:r>
          </w:p>
        </w:tc>
      </w:tr>
      <w:tr w:rsidR="00D35A98" w:rsidRPr="003E7386" w14:paraId="55653713" w14:textId="77777777" w:rsidTr="00C25545">
        <w:tc>
          <w:tcPr>
            <w:tcW w:w="2860" w:type="dxa"/>
            <w:tcBorders>
              <w:top w:val="nil"/>
              <w:left w:val="nil"/>
              <w:bottom w:val="nil"/>
            </w:tcBorders>
            <w:shd w:val="clear" w:color="auto" w:fill="auto"/>
            <w:noWrap/>
            <w:vAlign w:val="center"/>
            <w:hideMark/>
          </w:tcPr>
          <w:p w14:paraId="2B74B80C"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North East</w:t>
            </w:r>
          </w:p>
        </w:tc>
        <w:tc>
          <w:tcPr>
            <w:tcW w:w="1336" w:type="dxa"/>
            <w:tcBorders>
              <w:top w:val="nil"/>
              <w:bottom w:val="nil"/>
            </w:tcBorders>
            <w:shd w:val="clear" w:color="auto" w:fill="auto"/>
            <w:noWrap/>
            <w:vAlign w:val="center"/>
            <w:hideMark/>
          </w:tcPr>
          <w:p w14:paraId="37C5654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7428</w:t>
            </w:r>
          </w:p>
        </w:tc>
        <w:tc>
          <w:tcPr>
            <w:tcW w:w="1104" w:type="dxa"/>
            <w:tcBorders>
              <w:top w:val="nil"/>
              <w:bottom w:val="nil"/>
            </w:tcBorders>
            <w:shd w:val="clear" w:color="auto" w:fill="auto"/>
            <w:noWrap/>
            <w:vAlign w:val="center"/>
            <w:hideMark/>
          </w:tcPr>
          <w:p w14:paraId="2ACA0744"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5.2%</w:t>
            </w:r>
          </w:p>
        </w:tc>
        <w:tc>
          <w:tcPr>
            <w:tcW w:w="700" w:type="dxa"/>
            <w:tcBorders>
              <w:top w:val="nil"/>
              <w:bottom w:val="nil"/>
              <w:right w:val="nil"/>
            </w:tcBorders>
            <w:shd w:val="clear" w:color="auto" w:fill="auto"/>
            <w:noWrap/>
            <w:vAlign w:val="center"/>
            <w:hideMark/>
          </w:tcPr>
          <w:p w14:paraId="23858C54"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5.3%</w:t>
            </w:r>
          </w:p>
        </w:tc>
      </w:tr>
      <w:tr w:rsidR="00D35A98" w:rsidRPr="003E7386" w14:paraId="7F9E3FD1" w14:textId="77777777" w:rsidTr="00C25545">
        <w:tc>
          <w:tcPr>
            <w:tcW w:w="2860" w:type="dxa"/>
            <w:tcBorders>
              <w:top w:val="nil"/>
              <w:left w:val="nil"/>
              <w:bottom w:val="nil"/>
            </w:tcBorders>
            <w:shd w:val="clear" w:color="auto" w:fill="auto"/>
            <w:noWrap/>
            <w:vAlign w:val="center"/>
            <w:hideMark/>
          </w:tcPr>
          <w:p w14:paraId="26FEB57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North West</w:t>
            </w:r>
          </w:p>
        </w:tc>
        <w:tc>
          <w:tcPr>
            <w:tcW w:w="1336" w:type="dxa"/>
            <w:tcBorders>
              <w:top w:val="nil"/>
              <w:bottom w:val="nil"/>
            </w:tcBorders>
            <w:shd w:val="clear" w:color="auto" w:fill="auto"/>
            <w:noWrap/>
            <w:vAlign w:val="center"/>
            <w:hideMark/>
          </w:tcPr>
          <w:p w14:paraId="14843661"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25427</w:t>
            </w:r>
          </w:p>
        </w:tc>
        <w:tc>
          <w:tcPr>
            <w:tcW w:w="1104" w:type="dxa"/>
            <w:tcBorders>
              <w:top w:val="nil"/>
              <w:bottom w:val="nil"/>
            </w:tcBorders>
            <w:shd w:val="clear" w:color="auto" w:fill="auto"/>
            <w:noWrap/>
            <w:vAlign w:val="center"/>
            <w:hideMark/>
          </w:tcPr>
          <w:p w14:paraId="2F26D7CB"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17.9%</w:t>
            </w:r>
          </w:p>
        </w:tc>
        <w:tc>
          <w:tcPr>
            <w:tcW w:w="700" w:type="dxa"/>
            <w:tcBorders>
              <w:top w:val="nil"/>
              <w:bottom w:val="nil"/>
              <w:right w:val="nil"/>
            </w:tcBorders>
            <w:shd w:val="clear" w:color="auto" w:fill="auto"/>
            <w:noWrap/>
            <w:vAlign w:val="center"/>
            <w:hideMark/>
          </w:tcPr>
          <w:p w14:paraId="0031553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13.5%</w:t>
            </w:r>
          </w:p>
        </w:tc>
      </w:tr>
      <w:tr w:rsidR="00D35A98" w:rsidRPr="003E7386" w14:paraId="5B8A2071" w14:textId="77777777" w:rsidTr="00C25545">
        <w:tc>
          <w:tcPr>
            <w:tcW w:w="2860" w:type="dxa"/>
            <w:tcBorders>
              <w:top w:val="nil"/>
              <w:left w:val="nil"/>
              <w:bottom w:val="nil"/>
            </w:tcBorders>
            <w:shd w:val="clear" w:color="auto" w:fill="auto"/>
            <w:noWrap/>
            <w:vAlign w:val="center"/>
            <w:hideMark/>
          </w:tcPr>
          <w:p w14:paraId="75034144"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Yorkshire And The Humber</w:t>
            </w:r>
          </w:p>
        </w:tc>
        <w:tc>
          <w:tcPr>
            <w:tcW w:w="1336" w:type="dxa"/>
            <w:tcBorders>
              <w:top w:val="nil"/>
              <w:bottom w:val="nil"/>
            </w:tcBorders>
            <w:shd w:val="clear" w:color="auto" w:fill="auto"/>
            <w:noWrap/>
            <w:vAlign w:val="center"/>
            <w:hideMark/>
          </w:tcPr>
          <w:p w14:paraId="18EBBE2C"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6139</w:t>
            </w:r>
          </w:p>
        </w:tc>
        <w:tc>
          <w:tcPr>
            <w:tcW w:w="1104" w:type="dxa"/>
            <w:tcBorders>
              <w:top w:val="nil"/>
              <w:bottom w:val="nil"/>
            </w:tcBorders>
            <w:shd w:val="clear" w:color="auto" w:fill="auto"/>
            <w:noWrap/>
            <w:vAlign w:val="center"/>
            <w:hideMark/>
          </w:tcPr>
          <w:p w14:paraId="26EB6A3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4.3%</w:t>
            </w:r>
          </w:p>
        </w:tc>
        <w:tc>
          <w:tcPr>
            <w:tcW w:w="700" w:type="dxa"/>
            <w:tcBorders>
              <w:top w:val="nil"/>
              <w:bottom w:val="nil"/>
              <w:right w:val="nil"/>
            </w:tcBorders>
            <w:shd w:val="clear" w:color="auto" w:fill="auto"/>
            <w:noWrap/>
            <w:vAlign w:val="center"/>
            <w:hideMark/>
          </w:tcPr>
          <w:p w14:paraId="305582D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9.9%</w:t>
            </w:r>
          </w:p>
        </w:tc>
      </w:tr>
      <w:tr w:rsidR="00D35A98" w:rsidRPr="003E7386" w14:paraId="0C962EB7" w14:textId="77777777" w:rsidTr="00C25545">
        <w:tc>
          <w:tcPr>
            <w:tcW w:w="2860" w:type="dxa"/>
            <w:tcBorders>
              <w:top w:val="nil"/>
              <w:left w:val="nil"/>
              <w:bottom w:val="nil"/>
            </w:tcBorders>
            <w:shd w:val="clear" w:color="auto" w:fill="auto"/>
            <w:noWrap/>
            <w:vAlign w:val="center"/>
            <w:hideMark/>
          </w:tcPr>
          <w:p w14:paraId="5D0B65D1"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East Midlands</w:t>
            </w:r>
          </w:p>
        </w:tc>
        <w:tc>
          <w:tcPr>
            <w:tcW w:w="1336" w:type="dxa"/>
            <w:tcBorders>
              <w:top w:val="nil"/>
              <w:bottom w:val="nil"/>
            </w:tcBorders>
            <w:shd w:val="clear" w:color="auto" w:fill="auto"/>
            <w:noWrap/>
            <w:vAlign w:val="center"/>
            <w:hideMark/>
          </w:tcPr>
          <w:p w14:paraId="194DE9C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3020</w:t>
            </w:r>
          </w:p>
        </w:tc>
        <w:tc>
          <w:tcPr>
            <w:tcW w:w="1104" w:type="dxa"/>
            <w:tcBorders>
              <w:top w:val="nil"/>
              <w:bottom w:val="nil"/>
            </w:tcBorders>
            <w:shd w:val="clear" w:color="auto" w:fill="auto"/>
            <w:noWrap/>
            <w:vAlign w:val="center"/>
            <w:hideMark/>
          </w:tcPr>
          <w:p w14:paraId="5D0F465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2.1%</w:t>
            </w:r>
          </w:p>
        </w:tc>
        <w:tc>
          <w:tcPr>
            <w:tcW w:w="700" w:type="dxa"/>
            <w:tcBorders>
              <w:top w:val="nil"/>
              <w:bottom w:val="nil"/>
              <w:right w:val="nil"/>
            </w:tcBorders>
            <w:shd w:val="clear" w:color="auto" w:fill="auto"/>
            <w:noWrap/>
            <w:vAlign w:val="center"/>
            <w:hideMark/>
          </w:tcPr>
          <w:p w14:paraId="2E0B8FB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9.3%</w:t>
            </w:r>
          </w:p>
        </w:tc>
      </w:tr>
      <w:tr w:rsidR="00D35A98" w:rsidRPr="003E7386" w14:paraId="15930C76" w14:textId="77777777" w:rsidTr="00C25545">
        <w:tc>
          <w:tcPr>
            <w:tcW w:w="2860" w:type="dxa"/>
            <w:tcBorders>
              <w:top w:val="nil"/>
              <w:left w:val="nil"/>
              <w:bottom w:val="nil"/>
            </w:tcBorders>
            <w:shd w:val="clear" w:color="auto" w:fill="auto"/>
            <w:noWrap/>
            <w:vAlign w:val="center"/>
            <w:hideMark/>
          </w:tcPr>
          <w:p w14:paraId="788AC8EA"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East of England</w:t>
            </w:r>
          </w:p>
        </w:tc>
        <w:tc>
          <w:tcPr>
            <w:tcW w:w="1336" w:type="dxa"/>
            <w:tcBorders>
              <w:top w:val="nil"/>
              <w:bottom w:val="nil"/>
            </w:tcBorders>
            <w:shd w:val="clear" w:color="auto" w:fill="auto"/>
            <w:noWrap/>
            <w:vAlign w:val="center"/>
            <w:hideMark/>
          </w:tcPr>
          <w:p w14:paraId="7F4AC02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8261</w:t>
            </w:r>
          </w:p>
        </w:tc>
        <w:tc>
          <w:tcPr>
            <w:tcW w:w="1104" w:type="dxa"/>
            <w:tcBorders>
              <w:top w:val="nil"/>
              <w:bottom w:val="nil"/>
            </w:tcBorders>
            <w:shd w:val="clear" w:color="auto" w:fill="auto"/>
            <w:noWrap/>
            <w:vAlign w:val="center"/>
            <w:hideMark/>
          </w:tcPr>
          <w:p w14:paraId="71BB7242"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5.8%</w:t>
            </w:r>
          </w:p>
        </w:tc>
        <w:tc>
          <w:tcPr>
            <w:tcW w:w="700" w:type="dxa"/>
            <w:tcBorders>
              <w:top w:val="nil"/>
              <w:bottom w:val="nil"/>
              <w:right w:val="nil"/>
            </w:tcBorders>
            <w:shd w:val="clear" w:color="auto" w:fill="auto"/>
            <w:noWrap/>
            <w:vAlign w:val="center"/>
            <w:hideMark/>
          </w:tcPr>
          <w:p w14:paraId="3F1B4E2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11.8%</w:t>
            </w:r>
          </w:p>
        </w:tc>
      </w:tr>
      <w:tr w:rsidR="00D35A98" w:rsidRPr="003E7386" w14:paraId="134F4DA6" w14:textId="77777777" w:rsidTr="00C25545">
        <w:tc>
          <w:tcPr>
            <w:tcW w:w="2860" w:type="dxa"/>
            <w:tcBorders>
              <w:top w:val="nil"/>
              <w:left w:val="nil"/>
              <w:bottom w:val="nil"/>
            </w:tcBorders>
            <w:shd w:val="clear" w:color="auto" w:fill="auto"/>
            <w:noWrap/>
            <w:vAlign w:val="center"/>
            <w:hideMark/>
          </w:tcPr>
          <w:p w14:paraId="4551C4DD"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West Midlands</w:t>
            </w:r>
          </w:p>
        </w:tc>
        <w:tc>
          <w:tcPr>
            <w:tcW w:w="1336" w:type="dxa"/>
            <w:tcBorders>
              <w:top w:val="nil"/>
              <w:bottom w:val="nil"/>
            </w:tcBorders>
            <w:shd w:val="clear" w:color="auto" w:fill="auto"/>
            <w:noWrap/>
            <w:vAlign w:val="center"/>
            <w:hideMark/>
          </w:tcPr>
          <w:p w14:paraId="6CFA1C63"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24779</w:t>
            </w:r>
          </w:p>
        </w:tc>
        <w:tc>
          <w:tcPr>
            <w:tcW w:w="1104" w:type="dxa"/>
            <w:tcBorders>
              <w:top w:val="nil"/>
              <w:bottom w:val="nil"/>
            </w:tcBorders>
            <w:shd w:val="clear" w:color="auto" w:fill="auto"/>
            <w:noWrap/>
            <w:vAlign w:val="center"/>
            <w:hideMark/>
          </w:tcPr>
          <w:p w14:paraId="521FF474"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17.4%</w:t>
            </w:r>
          </w:p>
        </w:tc>
        <w:tc>
          <w:tcPr>
            <w:tcW w:w="700" w:type="dxa"/>
            <w:tcBorders>
              <w:top w:val="nil"/>
              <w:bottom w:val="nil"/>
              <w:right w:val="nil"/>
            </w:tcBorders>
            <w:shd w:val="clear" w:color="auto" w:fill="auto"/>
            <w:noWrap/>
            <w:vAlign w:val="center"/>
            <w:hideMark/>
          </w:tcPr>
          <w:p w14:paraId="2EF1F4F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10.2%</w:t>
            </w:r>
          </w:p>
        </w:tc>
      </w:tr>
      <w:tr w:rsidR="00D35A98" w:rsidRPr="003E7386" w14:paraId="47870301" w14:textId="77777777" w:rsidTr="00C25545">
        <w:tc>
          <w:tcPr>
            <w:tcW w:w="2860" w:type="dxa"/>
            <w:tcBorders>
              <w:top w:val="nil"/>
              <w:left w:val="nil"/>
              <w:bottom w:val="nil"/>
            </w:tcBorders>
            <w:shd w:val="clear" w:color="auto" w:fill="auto"/>
            <w:noWrap/>
            <w:vAlign w:val="center"/>
            <w:hideMark/>
          </w:tcPr>
          <w:p w14:paraId="64628955"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London</w:t>
            </w:r>
          </w:p>
        </w:tc>
        <w:tc>
          <w:tcPr>
            <w:tcW w:w="1336" w:type="dxa"/>
            <w:tcBorders>
              <w:top w:val="nil"/>
              <w:bottom w:val="nil"/>
            </w:tcBorders>
            <w:shd w:val="clear" w:color="auto" w:fill="auto"/>
            <w:noWrap/>
            <w:vAlign w:val="center"/>
            <w:hideMark/>
          </w:tcPr>
          <w:p w14:paraId="333B6C47"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14830</w:t>
            </w:r>
          </w:p>
        </w:tc>
        <w:tc>
          <w:tcPr>
            <w:tcW w:w="1104" w:type="dxa"/>
            <w:tcBorders>
              <w:top w:val="nil"/>
              <w:bottom w:val="nil"/>
            </w:tcBorders>
            <w:shd w:val="clear" w:color="auto" w:fill="auto"/>
            <w:noWrap/>
            <w:vAlign w:val="center"/>
            <w:hideMark/>
          </w:tcPr>
          <w:p w14:paraId="09B5B6F0"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10.4%</w:t>
            </w:r>
          </w:p>
        </w:tc>
        <w:tc>
          <w:tcPr>
            <w:tcW w:w="700" w:type="dxa"/>
            <w:tcBorders>
              <w:top w:val="nil"/>
              <w:bottom w:val="nil"/>
              <w:right w:val="nil"/>
            </w:tcBorders>
            <w:shd w:val="clear" w:color="auto" w:fill="auto"/>
            <w:noWrap/>
            <w:vAlign w:val="center"/>
            <w:hideMark/>
          </w:tcPr>
          <w:p w14:paraId="1B37D22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11.0%</w:t>
            </w:r>
          </w:p>
        </w:tc>
      </w:tr>
      <w:tr w:rsidR="00D35A98" w:rsidRPr="003E7386" w14:paraId="6EF2D447" w14:textId="77777777" w:rsidTr="00C25545">
        <w:tc>
          <w:tcPr>
            <w:tcW w:w="2860" w:type="dxa"/>
            <w:tcBorders>
              <w:top w:val="nil"/>
              <w:left w:val="nil"/>
              <w:bottom w:val="nil"/>
            </w:tcBorders>
            <w:shd w:val="clear" w:color="auto" w:fill="auto"/>
            <w:noWrap/>
            <w:vAlign w:val="center"/>
            <w:hideMark/>
          </w:tcPr>
          <w:p w14:paraId="218B2477" w14:textId="595B8532"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South Central</w:t>
            </w:r>
            <w:r w:rsidR="00AC05C9">
              <w:rPr>
                <w:rStyle w:val="FootnoteReference"/>
                <w:rFonts w:eastAsia="Times New Roman" w:cs="Arial"/>
                <w:szCs w:val="16"/>
                <w:lang w:eastAsia="en-GB"/>
              </w:rPr>
              <w:footnoteReference w:id="2"/>
            </w:r>
          </w:p>
        </w:tc>
        <w:tc>
          <w:tcPr>
            <w:tcW w:w="1336" w:type="dxa"/>
            <w:tcBorders>
              <w:top w:val="nil"/>
              <w:bottom w:val="nil"/>
            </w:tcBorders>
            <w:shd w:val="clear" w:color="auto" w:fill="auto"/>
            <w:noWrap/>
            <w:vAlign w:val="center"/>
            <w:hideMark/>
          </w:tcPr>
          <w:p w14:paraId="7202C0AB"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19584</w:t>
            </w:r>
          </w:p>
        </w:tc>
        <w:tc>
          <w:tcPr>
            <w:tcW w:w="1104" w:type="dxa"/>
            <w:tcBorders>
              <w:top w:val="nil"/>
              <w:bottom w:val="nil"/>
            </w:tcBorders>
            <w:shd w:val="clear" w:color="auto" w:fill="auto"/>
            <w:noWrap/>
            <w:vAlign w:val="center"/>
            <w:hideMark/>
          </w:tcPr>
          <w:p w14:paraId="6EA65F5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13.8%</w:t>
            </w:r>
          </w:p>
        </w:tc>
        <w:tc>
          <w:tcPr>
            <w:tcW w:w="700" w:type="dxa"/>
            <w:tcBorders>
              <w:top w:val="nil"/>
              <w:bottom w:val="nil"/>
              <w:right w:val="nil"/>
            </w:tcBorders>
            <w:shd w:val="clear" w:color="auto" w:fill="auto"/>
            <w:noWrap/>
            <w:vAlign w:val="center"/>
            <w:hideMark/>
          </w:tcPr>
          <w:p w14:paraId="7FA4C3A7"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w:t>
            </w:r>
          </w:p>
        </w:tc>
      </w:tr>
      <w:tr w:rsidR="00D35A98" w:rsidRPr="003E7386" w14:paraId="20C7495C" w14:textId="77777777" w:rsidTr="00C25545">
        <w:tc>
          <w:tcPr>
            <w:tcW w:w="2860" w:type="dxa"/>
            <w:tcBorders>
              <w:top w:val="nil"/>
              <w:left w:val="nil"/>
              <w:bottom w:val="single" w:sz="8" w:space="0" w:color="auto"/>
            </w:tcBorders>
            <w:shd w:val="clear" w:color="auto" w:fill="auto"/>
            <w:noWrap/>
            <w:vAlign w:val="center"/>
            <w:hideMark/>
          </w:tcPr>
          <w:p w14:paraId="74C6964F"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South West</w:t>
            </w:r>
          </w:p>
        </w:tc>
        <w:tc>
          <w:tcPr>
            <w:tcW w:w="1336" w:type="dxa"/>
            <w:tcBorders>
              <w:top w:val="nil"/>
              <w:bottom w:val="single" w:sz="8" w:space="0" w:color="auto"/>
            </w:tcBorders>
            <w:shd w:val="clear" w:color="auto" w:fill="auto"/>
            <w:noWrap/>
            <w:vAlign w:val="center"/>
            <w:hideMark/>
          </w:tcPr>
          <w:p w14:paraId="018151E9"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20815</w:t>
            </w:r>
          </w:p>
        </w:tc>
        <w:tc>
          <w:tcPr>
            <w:tcW w:w="1104" w:type="dxa"/>
            <w:tcBorders>
              <w:top w:val="nil"/>
              <w:bottom w:val="single" w:sz="8" w:space="0" w:color="auto"/>
            </w:tcBorders>
            <w:shd w:val="clear" w:color="auto" w:fill="auto"/>
            <w:noWrap/>
            <w:vAlign w:val="center"/>
            <w:hideMark/>
          </w:tcPr>
          <w:p w14:paraId="592FF8D6"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14.6%</w:t>
            </w:r>
          </w:p>
        </w:tc>
        <w:tc>
          <w:tcPr>
            <w:tcW w:w="700" w:type="dxa"/>
            <w:tcBorders>
              <w:top w:val="nil"/>
              <w:bottom w:val="single" w:sz="8" w:space="0" w:color="auto"/>
              <w:right w:val="nil"/>
            </w:tcBorders>
            <w:shd w:val="clear" w:color="auto" w:fill="auto"/>
            <w:noWrap/>
            <w:vAlign w:val="center"/>
            <w:hideMark/>
          </w:tcPr>
          <w:p w14:paraId="206A157E" w14:textId="77777777" w:rsidR="00D35A98" w:rsidRPr="003E7386" w:rsidRDefault="00D35A98" w:rsidP="003E7386">
            <w:pPr>
              <w:autoSpaceDE w:val="0"/>
              <w:autoSpaceDN w:val="0"/>
              <w:adjustRightInd w:val="0"/>
              <w:snapToGrid w:val="0"/>
              <w:spacing w:line="240" w:lineRule="auto"/>
              <w:jc w:val="center"/>
              <w:rPr>
                <w:rFonts w:eastAsia="Times New Roman" w:cs="Arial"/>
                <w:szCs w:val="16"/>
                <w:lang w:eastAsia="en-GB"/>
              </w:rPr>
            </w:pPr>
            <w:r w:rsidRPr="003E7386">
              <w:rPr>
                <w:rFonts w:eastAsia="Times New Roman" w:cs="Arial"/>
                <w:szCs w:val="16"/>
                <w:lang w:eastAsia="en-GB"/>
              </w:rPr>
              <w:t>11.7%</w:t>
            </w:r>
          </w:p>
        </w:tc>
      </w:tr>
    </w:tbl>
    <w:bookmarkEnd w:id="5"/>
    <w:p w14:paraId="185605F2" w14:textId="77777777" w:rsidR="00D36BF8" w:rsidRDefault="00D36BF8" w:rsidP="00947553">
      <w:pPr>
        <w:pStyle w:val="MDPI31text"/>
        <w:spacing w:before="120"/>
      </w:pPr>
      <w:r>
        <w:lastRenderedPageBreak/>
        <w:t>Two-thirds of the sample population are female (Table 2), less than 4% are of non-White ethnicities, ~80% are aged 75-94 years and a more live in the more deprived quintiles.</w:t>
      </w:r>
    </w:p>
    <w:p w14:paraId="372EDF3E" w14:textId="77777777" w:rsidR="00C25ED4" w:rsidRDefault="00D36BF8" w:rsidP="00947553">
      <w:pPr>
        <w:pStyle w:val="MDPI31text"/>
      </w:pPr>
      <w:r>
        <w:t>Older age groups and areas with increased levels of deprivation had the highest rates of mortality (Table 3). There were differences in mortality by geographic region; greatest mortality was in the North East (57.2%), and lowest in London (44.3%). Asian (43.6%), Black (40.0%) and Mixed/Other (41.9%) groups had lower mortality than White (51.5%).</w:t>
      </w:r>
    </w:p>
    <w:p w14:paraId="0C01E00C" w14:textId="77777777" w:rsidR="00D36BF8" w:rsidRPr="00FA04F1" w:rsidRDefault="00C25ED4" w:rsidP="00C25ED4">
      <w:pPr>
        <w:pStyle w:val="MDPI41tablecaption"/>
        <w:ind w:left="425" w:right="425"/>
        <w:jc w:val="both"/>
      </w:pPr>
      <w:r w:rsidRPr="00C25ED4">
        <w:rPr>
          <w:b/>
        </w:rPr>
        <w:t xml:space="preserve">Table 3. </w:t>
      </w:r>
      <w:r w:rsidR="00D36BF8" w:rsidRPr="00D36BF8">
        <w:t>Sample population mortality and available years of data (from year of diagnosis to date of final recorded GP contact/death), by socio-economic and geographic variables</w:t>
      </w:r>
      <w:r>
        <w:t>.</w:t>
      </w:r>
    </w:p>
    <w:tbl>
      <w:tblPr>
        <w:tblW w:w="10465" w:type="dxa"/>
        <w:jc w:val="center"/>
        <w:tblLayout w:type="fixed"/>
        <w:tblCellMar>
          <w:left w:w="0" w:type="dxa"/>
          <w:right w:w="0" w:type="dxa"/>
        </w:tblCellMar>
        <w:tblLook w:val="04A0" w:firstRow="1" w:lastRow="0" w:firstColumn="1" w:lastColumn="0" w:noHBand="0" w:noVBand="1"/>
      </w:tblPr>
      <w:tblGrid>
        <w:gridCol w:w="366"/>
        <w:gridCol w:w="3663"/>
        <w:gridCol w:w="1038"/>
        <w:gridCol w:w="1053"/>
        <w:gridCol w:w="1496"/>
        <w:gridCol w:w="1714"/>
        <w:gridCol w:w="1135"/>
      </w:tblGrid>
      <w:tr w:rsidR="00D36BF8" w:rsidRPr="00C25ED4" w14:paraId="4B1C4195" w14:textId="77777777" w:rsidTr="00C25545">
        <w:trPr>
          <w:jc w:val="center"/>
        </w:trPr>
        <w:tc>
          <w:tcPr>
            <w:tcW w:w="2999" w:type="dxa"/>
            <w:gridSpan w:val="2"/>
            <w:tcBorders>
              <w:top w:val="single" w:sz="8" w:space="0" w:color="auto"/>
              <w:left w:val="nil"/>
              <w:bottom w:val="single" w:sz="8" w:space="0" w:color="auto"/>
            </w:tcBorders>
            <w:shd w:val="clear" w:color="auto" w:fill="auto"/>
            <w:vAlign w:val="center"/>
            <w:hideMark/>
          </w:tcPr>
          <w:p w14:paraId="3EFCD366" w14:textId="77777777" w:rsidR="00D36BF8" w:rsidRPr="00C25ED4" w:rsidRDefault="00D36BF8" w:rsidP="00C25ED4">
            <w:pPr>
              <w:autoSpaceDE w:val="0"/>
              <w:autoSpaceDN w:val="0"/>
              <w:adjustRightInd w:val="0"/>
              <w:snapToGrid w:val="0"/>
              <w:spacing w:line="240" w:lineRule="auto"/>
              <w:jc w:val="center"/>
              <w:rPr>
                <w:rFonts w:eastAsia="Times New Roman" w:cs="Arial"/>
                <w:b/>
                <w:bCs/>
                <w:sz w:val="18"/>
                <w:szCs w:val="16"/>
                <w:lang w:eastAsia="en-GB"/>
              </w:rPr>
            </w:pPr>
            <w:r w:rsidRPr="00C25ED4">
              <w:rPr>
                <w:rFonts w:eastAsia="Times New Roman" w:cs="Arial"/>
                <w:b/>
                <w:bCs/>
                <w:sz w:val="18"/>
                <w:szCs w:val="16"/>
                <w:lang w:eastAsia="en-GB"/>
              </w:rPr>
              <w:t>Group</w:t>
            </w:r>
          </w:p>
        </w:tc>
        <w:tc>
          <w:tcPr>
            <w:tcW w:w="773" w:type="dxa"/>
            <w:tcBorders>
              <w:top w:val="single" w:sz="8" w:space="0" w:color="auto"/>
              <w:bottom w:val="single" w:sz="8" w:space="0" w:color="auto"/>
            </w:tcBorders>
            <w:shd w:val="clear" w:color="auto" w:fill="auto"/>
            <w:vAlign w:val="center"/>
            <w:hideMark/>
          </w:tcPr>
          <w:p w14:paraId="0446BBE3" w14:textId="77777777" w:rsidR="00D36BF8" w:rsidRPr="00C25ED4" w:rsidRDefault="00D36BF8" w:rsidP="00C25ED4">
            <w:pPr>
              <w:autoSpaceDE w:val="0"/>
              <w:autoSpaceDN w:val="0"/>
              <w:adjustRightInd w:val="0"/>
              <w:snapToGrid w:val="0"/>
              <w:spacing w:line="240" w:lineRule="auto"/>
              <w:jc w:val="center"/>
              <w:rPr>
                <w:rFonts w:eastAsia="Times New Roman" w:cs="Arial"/>
                <w:b/>
                <w:bCs/>
                <w:sz w:val="18"/>
                <w:szCs w:val="16"/>
                <w:lang w:eastAsia="en-GB"/>
              </w:rPr>
            </w:pPr>
            <w:r w:rsidRPr="00C25ED4">
              <w:rPr>
                <w:rFonts w:eastAsia="Times New Roman" w:cs="Arial"/>
                <w:b/>
                <w:bCs/>
                <w:sz w:val="18"/>
                <w:szCs w:val="16"/>
                <w:lang w:eastAsia="en-GB"/>
              </w:rPr>
              <w:t>Died</w:t>
            </w:r>
          </w:p>
        </w:tc>
        <w:tc>
          <w:tcPr>
            <w:tcW w:w="784" w:type="dxa"/>
            <w:tcBorders>
              <w:top w:val="single" w:sz="8" w:space="0" w:color="auto"/>
              <w:bottom w:val="single" w:sz="8" w:space="0" w:color="auto"/>
            </w:tcBorders>
            <w:shd w:val="clear" w:color="auto" w:fill="auto"/>
            <w:vAlign w:val="center"/>
            <w:hideMark/>
          </w:tcPr>
          <w:p w14:paraId="28A2A00D" w14:textId="77777777" w:rsidR="00D36BF8" w:rsidRPr="00C25ED4" w:rsidRDefault="00D36BF8" w:rsidP="00C25ED4">
            <w:pPr>
              <w:autoSpaceDE w:val="0"/>
              <w:autoSpaceDN w:val="0"/>
              <w:adjustRightInd w:val="0"/>
              <w:snapToGrid w:val="0"/>
              <w:spacing w:line="240" w:lineRule="auto"/>
              <w:jc w:val="center"/>
              <w:rPr>
                <w:rFonts w:eastAsia="Times New Roman" w:cs="Arial"/>
                <w:b/>
                <w:bCs/>
                <w:sz w:val="18"/>
                <w:szCs w:val="16"/>
                <w:lang w:eastAsia="en-GB"/>
              </w:rPr>
            </w:pPr>
            <w:r w:rsidRPr="00C25ED4">
              <w:rPr>
                <w:rFonts w:eastAsia="Times New Roman" w:cs="Arial"/>
                <w:b/>
                <w:bCs/>
                <w:sz w:val="18"/>
                <w:szCs w:val="16"/>
                <w:lang w:eastAsia="en-GB"/>
              </w:rPr>
              <w:t>% Died</w:t>
            </w:r>
          </w:p>
        </w:tc>
        <w:tc>
          <w:tcPr>
            <w:tcW w:w="1114" w:type="dxa"/>
            <w:tcBorders>
              <w:top w:val="single" w:sz="8" w:space="0" w:color="auto"/>
              <w:bottom w:val="single" w:sz="8" w:space="0" w:color="auto"/>
            </w:tcBorders>
            <w:shd w:val="clear" w:color="auto" w:fill="auto"/>
            <w:vAlign w:val="center"/>
            <w:hideMark/>
          </w:tcPr>
          <w:p w14:paraId="01E2C920" w14:textId="77777777" w:rsidR="00D36BF8" w:rsidRPr="00C25ED4" w:rsidRDefault="00D36BF8" w:rsidP="00C25ED4">
            <w:pPr>
              <w:autoSpaceDE w:val="0"/>
              <w:autoSpaceDN w:val="0"/>
              <w:adjustRightInd w:val="0"/>
              <w:snapToGrid w:val="0"/>
              <w:spacing w:line="240" w:lineRule="auto"/>
              <w:jc w:val="center"/>
              <w:rPr>
                <w:rFonts w:eastAsia="Times New Roman" w:cs="Arial"/>
                <w:b/>
                <w:bCs/>
                <w:sz w:val="18"/>
                <w:szCs w:val="16"/>
                <w:lang w:eastAsia="en-GB"/>
              </w:rPr>
            </w:pPr>
            <w:r w:rsidRPr="00C25ED4">
              <w:rPr>
                <w:rFonts w:eastAsia="Times New Roman" w:cs="Arial"/>
                <w:b/>
                <w:bCs/>
                <w:sz w:val="18"/>
                <w:szCs w:val="16"/>
                <w:lang w:eastAsia="en-GB"/>
              </w:rPr>
              <w:t>Total Data Years</w:t>
            </w:r>
          </w:p>
        </w:tc>
        <w:tc>
          <w:tcPr>
            <w:tcW w:w="1276" w:type="dxa"/>
            <w:tcBorders>
              <w:top w:val="single" w:sz="8" w:space="0" w:color="auto"/>
              <w:bottom w:val="single" w:sz="8" w:space="0" w:color="auto"/>
            </w:tcBorders>
            <w:shd w:val="clear" w:color="auto" w:fill="auto"/>
            <w:vAlign w:val="center"/>
            <w:hideMark/>
          </w:tcPr>
          <w:p w14:paraId="744A7F27" w14:textId="77777777" w:rsidR="00D36BF8" w:rsidRPr="00C25ED4" w:rsidRDefault="00D36BF8" w:rsidP="00C25ED4">
            <w:pPr>
              <w:autoSpaceDE w:val="0"/>
              <w:autoSpaceDN w:val="0"/>
              <w:adjustRightInd w:val="0"/>
              <w:snapToGrid w:val="0"/>
              <w:spacing w:line="240" w:lineRule="auto"/>
              <w:jc w:val="center"/>
              <w:rPr>
                <w:rFonts w:eastAsia="Times New Roman" w:cs="Arial"/>
                <w:b/>
                <w:bCs/>
                <w:sz w:val="18"/>
                <w:szCs w:val="16"/>
                <w:lang w:eastAsia="en-GB"/>
              </w:rPr>
            </w:pPr>
            <w:r w:rsidRPr="00C25ED4">
              <w:rPr>
                <w:rFonts w:eastAsia="Times New Roman" w:cs="Arial"/>
                <w:b/>
                <w:bCs/>
                <w:sz w:val="18"/>
                <w:szCs w:val="16"/>
                <w:lang w:eastAsia="en-GB"/>
              </w:rPr>
              <w:t>Data Years Per Patient</w:t>
            </w:r>
          </w:p>
        </w:tc>
        <w:tc>
          <w:tcPr>
            <w:tcW w:w="845" w:type="dxa"/>
            <w:tcBorders>
              <w:top w:val="single" w:sz="8" w:space="0" w:color="auto"/>
              <w:bottom w:val="single" w:sz="8" w:space="0" w:color="auto"/>
              <w:right w:val="nil"/>
            </w:tcBorders>
            <w:shd w:val="clear" w:color="auto" w:fill="auto"/>
            <w:vAlign w:val="center"/>
            <w:hideMark/>
          </w:tcPr>
          <w:p w14:paraId="68FCF3A7" w14:textId="77777777" w:rsidR="00D36BF8" w:rsidRPr="00C25ED4" w:rsidRDefault="00D36BF8" w:rsidP="00C25ED4">
            <w:pPr>
              <w:autoSpaceDE w:val="0"/>
              <w:autoSpaceDN w:val="0"/>
              <w:adjustRightInd w:val="0"/>
              <w:snapToGrid w:val="0"/>
              <w:spacing w:line="240" w:lineRule="auto"/>
              <w:jc w:val="center"/>
              <w:rPr>
                <w:rFonts w:eastAsia="Times New Roman" w:cs="Arial"/>
                <w:b/>
                <w:bCs/>
                <w:sz w:val="18"/>
                <w:szCs w:val="16"/>
                <w:lang w:eastAsia="en-GB"/>
              </w:rPr>
            </w:pPr>
            <w:r w:rsidRPr="00C25ED4">
              <w:rPr>
                <w:rFonts w:eastAsia="Times New Roman" w:cs="Arial"/>
                <w:b/>
                <w:bCs/>
                <w:sz w:val="18"/>
                <w:szCs w:val="16"/>
                <w:lang w:eastAsia="en-GB"/>
              </w:rPr>
              <w:t>Total Patients</w:t>
            </w:r>
          </w:p>
        </w:tc>
      </w:tr>
      <w:tr w:rsidR="00D36BF8" w:rsidRPr="00C25ED4" w14:paraId="03D07DE6" w14:textId="77777777" w:rsidTr="00C25545">
        <w:trPr>
          <w:jc w:val="center"/>
        </w:trPr>
        <w:tc>
          <w:tcPr>
            <w:tcW w:w="7791" w:type="dxa"/>
            <w:gridSpan w:val="7"/>
            <w:tcBorders>
              <w:top w:val="nil"/>
              <w:left w:val="nil"/>
              <w:bottom w:val="single" w:sz="4" w:space="0" w:color="auto"/>
              <w:right w:val="nil"/>
            </w:tcBorders>
            <w:shd w:val="clear" w:color="auto" w:fill="auto"/>
            <w:noWrap/>
            <w:vAlign w:val="center"/>
            <w:hideMark/>
          </w:tcPr>
          <w:p w14:paraId="160CCAE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Sex</w:t>
            </w:r>
          </w:p>
        </w:tc>
      </w:tr>
      <w:tr w:rsidR="00D36BF8" w:rsidRPr="00C25ED4" w14:paraId="5A132633" w14:textId="77777777" w:rsidTr="00C25545">
        <w:trPr>
          <w:jc w:val="center"/>
        </w:trPr>
        <w:tc>
          <w:tcPr>
            <w:tcW w:w="272" w:type="dxa"/>
            <w:tcBorders>
              <w:top w:val="single" w:sz="4" w:space="0" w:color="auto"/>
              <w:left w:val="nil"/>
              <w:bottom w:val="nil"/>
            </w:tcBorders>
            <w:shd w:val="clear" w:color="auto" w:fill="auto"/>
            <w:noWrap/>
            <w:vAlign w:val="center"/>
            <w:hideMark/>
          </w:tcPr>
          <w:p w14:paraId="707A97B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single" w:sz="4" w:space="0" w:color="auto"/>
              <w:bottom w:val="nil"/>
            </w:tcBorders>
            <w:shd w:val="clear" w:color="auto" w:fill="auto"/>
            <w:noWrap/>
            <w:vAlign w:val="center"/>
            <w:hideMark/>
          </w:tcPr>
          <w:p w14:paraId="2A1AA23E"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Female</w:t>
            </w:r>
          </w:p>
        </w:tc>
        <w:tc>
          <w:tcPr>
            <w:tcW w:w="773" w:type="dxa"/>
            <w:tcBorders>
              <w:top w:val="single" w:sz="4" w:space="0" w:color="auto"/>
              <w:bottom w:val="nil"/>
            </w:tcBorders>
            <w:shd w:val="clear" w:color="auto" w:fill="auto"/>
            <w:noWrap/>
            <w:vAlign w:val="center"/>
            <w:hideMark/>
          </w:tcPr>
          <w:p w14:paraId="5ACEF3DF"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47655</w:t>
            </w:r>
          </w:p>
        </w:tc>
        <w:tc>
          <w:tcPr>
            <w:tcW w:w="784" w:type="dxa"/>
            <w:tcBorders>
              <w:top w:val="single" w:sz="4" w:space="0" w:color="auto"/>
              <w:bottom w:val="nil"/>
            </w:tcBorders>
            <w:shd w:val="clear" w:color="auto" w:fill="auto"/>
            <w:noWrap/>
            <w:vAlign w:val="center"/>
            <w:hideMark/>
          </w:tcPr>
          <w:p w14:paraId="506E9990"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50.7%</w:t>
            </w:r>
          </w:p>
        </w:tc>
        <w:tc>
          <w:tcPr>
            <w:tcW w:w="1114" w:type="dxa"/>
            <w:tcBorders>
              <w:top w:val="single" w:sz="4" w:space="0" w:color="auto"/>
              <w:bottom w:val="nil"/>
            </w:tcBorders>
            <w:shd w:val="clear" w:color="auto" w:fill="auto"/>
            <w:noWrap/>
            <w:vAlign w:val="center"/>
            <w:hideMark/>
          </w:tcPr>
          <w:p w14:paraId="3E06043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1037575</w:t>
            </w:r>
          </w:p>
        </w:tc>
        <w:tc>
          <w:tcPr>
            <w:tcW w:w="1276" w:type="dxa"/>
            <w:tcBorders>
              <w:top w:val="single" w:sz="4" w:space="0" w:color="auto"/>
              <w:bottom w:val="nil"/>
            </w:tcBorders>
            <w:shd w:val="clear" w:color="auto" w:fill="auto"/>
            <w:noWrap/>
            <w:vAlign w:val="center"/>
            <w:hideMark/>
          </w:tcPr>
          <w:p w14:paraId="07DBFF0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11.03</w:t>
            </w:r>
          </w:p>
        </w:tc>
        <w:tc>
          <w:tcPr>
            <w:tcW w:w="845" w:type="dxa"/>
            <w:tcBorders>
              <w:top w:val="single" w:sz="4" w:space="0" w:color="auto"/>
              <w:bottom w:val="nil"/>
              <w:right w:val="nil"/>
            </w:tcBorders>
            <w:shd w:val="clear" w:color="auto" w:fill="auto"/>
            <w:noWrap/>
            <w:vAlign w:val="center"/>
            <w:hideMark/>
          </w:tcPr>
          <w:p w14:paraId="1DD39BF7"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94060</w:t>
            </w:r>
          </w:p>
        </w:tc>
      </w:tr>
      <w:tr w:rsidR="00D36BF8" w:rsidRPr="00C25ED4" w14:paraId="579EAF6E" w14:textId="77777777" w:rsidTr="00C25545">
        <w:trPr>
          <w:jc w:val="center"/>
        </w:trPr>
        <w:tc>
          <w:tcPr>
            <w:tcW w:w="272" w:type="dxa"/>
            <w:tcBorders>
              <w:top w:val="nil"/>
              <w:left w:val="nil"/>
              <w:bottom w:val="single" w:sz="4" w:space="0" w:color="auto"/>
            </w:tcBorders>
            <w:shd w:val="clear" w:color="auto" w:fill="auto"/>
            <w:noWrap/>
            <w:vAlign w:val="center"/>
            <w:hideMark/>
          </w:tcPr>
          <w:p w14:paraId="2BAD59B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single" w:sz="4" w:space="0" w:color="auto"/>
            </w:tcBorders>
            <w:shd w:val="clear" w:color="auto" w:fill="auto"/>
            <w:noWrap/>
            <w:vAlign w:val="center"/>
            <w:hideMark/>
          </w:tcPr>
          <w:p w14:paraId="34572CC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Male</w:t>
            </w:r>
          </w:p>
        </w:tc>
        <w:tc>
          <w:tcPr>
            <w:tcW w:w="773" w:type="dxa"/>
            <w:tcBorders>
              <w:top w:val="nil"/>
              <w:bottom w:val="single" w:sz="4" w:space="0" w:color="auto"/>
            </w:tcBorders>
            <w:shd w:val="clear" w:color="auto" w:fill="auto"/>
            <w:noWrap/>
            <w:vAlign w:val="center"/>
            <w:hideMark/>
          </w:tcPr>
          <w:p w14:paraId="0F5E893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25114</w:t>
            </w:r>
          </w:p>
        </w:tc>
        <w:tc>
          <w:tcPr>
            <w:tcW w:w="784" w:type="dxa"/>
            <w:tcBorders>
              <w:top w:val="nil"/>
              <w:bottom w:val="single" w:sz="4" w:space="0" w:color="auto"/>
            </w:tcBorders>
            <w:shd w:val="clear" w:color="auto" w:fill="auto"/>
            <w:noWrap/>
            <w:vAlign w:val="center"/>
            <w:hideMark/>
          </w:tcPr>
          <w:p w14:paraId="38C2ED8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52.0%</w:t>
            </w:r>
          </w:p>
        </w:tc>
        <w:tc>
          <w:tcPr>
            <w:tcW w:w="1114" w:type="dxa"/>
            <w:tcBorders>
              <w:top w:val="nil"/>
              <w:bottom w:val="single" w:sz="4" w:space="0" w:color="auto"/>
            </w:tcBorders>
            <w:shd w:val="clear" w:color="auto" w:fill="auto"/>
            <w:noWrap/>
            <w:vAlign w:val="center"/>
            <w:hideMark/>
          </w:tcPr>
          <w:p w14:paraId="291F391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545912</w:t>
            </w:r>
          </w:p>
        </w:tc>
        <w:tc>
          <w:tcPr>
            <w:tcW w:w="1276" w:type="dxa"/>
            <w:tcBorders>
              <w:top w:val="nil"/>
              <w:bottom w:val="single" w:sz="4" w:space="0" w:color="auto"/>
            </w:tcBorders>
            <w:shd w:val="clear" w:color="auto" w:fill="auto"/>
            <w:noWrap/>
            <w:vAlign w:val="center"/>
            <w:hideMark/>
          </w:tcPr>
          <w:p w14:paraId="2DDF356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11.31</w:t>
            </w:r>
          </w:p>
        </w:tc>
        <w:tc>
          <w:tcPr>
            <w:tcW w:w="845" w:type="dxa"/>
            <w:tcBorders>
              <w:top w:val="nil"/>
              <w:bottom w:val="single" w:sz="4" w:space="0" w:color="auto"/>
              <w:right w:val="nil"/>
            </w:tcBorders>
            <w:shd w:val="clear" w:color="auto" w:fill="auto"/>
            <w:noWrap/>
            <w:vAlign w:val="center"/>
            <w:hideMark/>
          </w:tcPr>
          <w:p w14:paraId="670F78E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48280</w:t>
            </w:r>
          </w:p>
        </w:tc>
      </w:tr>
      <w:tr w:rsidR="00D36BF8" w:rsidRPr="00C25ED4" w14:paraId="52729B32" w14:textId="77777777" w:rsidTr="00C25545">
        <w:trPr>
          <w:jc w:val="center"/>
        </w:trPr>
        <w:tc>
          <w:tcPr>
            <w:tcW w:w="7791" w:type="dxa"/>
            <w:gridSpan w:val="7"/>
            <w:tcBorders>
              <w:top w:val="nil"/>
              <w:left w:val="nil"/>
              <w:bottom w:val="nil"/>
              <w:right w:val="nil"/>
            </w:tcBorders>
            <w:shd w:val="clear" w:color="auto" w:fill="auto"/>
            <w:noWrap/>
            <w:vAlign w:val="center"/>
            <w:hideMark/>
          </w:tcPr>
          <w:p w14:paraId="7DBCE38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Dementia Onset</w:t>
            </w:r>
          </w:p>
        </w:tc>
      </w:tr>
      <w:tr w:rsidR="00D36BF8" w:rsidRPr="00C25ED4" w14:paraId="35ABA6DD" w14:textId="77777777" w:rsidTr="00C25545">
        <w:trPr>
          <w:jc w:val="center"/>
        </w:trPr>
        <w:tc>
          <w:tcPr>
            <w:tcW w:w="272" w:type="dxa"/>
            <w:tcBorders>
              <w:top w:val="nil"/>
              <w:left w:val="nil"/>
              <w:bottom w:val="nil"/>
            </w:tcBorders>
            <w:shd w:val="clear" w:color="auto" w:fill="auto"/>
            <w:noWrap/>
            <w:vAlign w:val="center"/>
            <w:hideMark/>
          </w:tcPr>
          <w:p w14:paraId="11B8BA7D"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nil"/>
              <w:bottom w:val="nil"/>
            </w:tcBorders>
            <w:shd w:val="clear" w:color="auto" w:fill="auto"/>
            <w:noWrap/>
            <w:vAlign w:val="center"/>
            <w:hideMark/>
          </w:tcPr>
          <w:p w14:paraId="76D7016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Early Onset</w:t>
            </w:r>
          </w:p>
        </w:tc>
        <w:tc>
          <w:tcPr>
            <w:tcW w:w="773" w:type="dxa"/>
            <w:tcBorders>
              <w:top w:val="nil"/>
              <w:bottom w:val="nil"/>
            </w:tcBorders>
            <w:shd w:val="clear" w:color="auto" w:fill="auto"/>
            <w:noWrap/>
            <w:vAlign w:val="center"/>
            <w:hideMark/>
          </w:tcPr>
          <w:p w14:paraId="315DF53C"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1727</w:t>
            </w:r>
          </w:p>
        </w:tc>
        <w:tc>
          <w:tcPr>
            <w:tcW w:w="784" w:type="dxa"/>
            <w:tcBorders>
              <w:top w:val="nil"/>
              <w:bottom w:val="nil"/>
            </w:tcBorders>
            <w:shd w:val="clear" w:color="auto" w:fill="auto"/>
            <w:noWrap/>
            <w:vAlign w:val="center"/>
            <w:hideMark/>
          </w:tcPr>
          <w:p w14:paraId="7C95BB69"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33.1%</w:t>
            </w:r>
          </w:p>
        </w:tc>
        <w:tc>
          <w:tcPr>
            <w:tcW w:w="1114" w:type="dxa"/>
            <w:tcBorders>
              <w:top w:val="nil"/>
              <w:bottom w:val="nil"/>
            </w:tcBorders>
            <w:shd w:val="clear" w:color="auto" w:fill="auto"/>
            <w:noWrap/>
            <w:vAlign w:val="center"/>
            <w:hideMark/>
          </w:tcPr>
          <w:p w14:paraId="1743A954"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59550</w:t>
            </w:r>
          </w:p>
        </w:tc>
        <w:tc>
          <w:tcPr>
            <w:tcW w:w="1276" w:type="dxa"/>
            <w:tcBorders>
              <w:top w:val="nil"/>
              <w:bottom w:val="nil"/>
            </w:tcBorders>
            <w:shd w:val="clear" w:color="auto" w:fill="auto"/>
            <w:noWrap/>
            <w:vAlign w:val="center"/>
            <w:hideMark/>
          </w:tcPr>
          <w:p w14:paraId="19C3AA80"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11.43</w:t>
            </w:r>
          </w:p>
        </w:tc>
        <w:tc>
          <w:tcPr>
            <w:tcW w:w="845" w:type="dxa"/>
            <w:tcBorders>
              <w:top w:val="nil"/>
              <w:bottom w:val="nil"/>
              <w:right w:val="nil"/>
            </w:tcBorders>
            <w:shd w:val="clear" w:color="auto" w:fill="auto"/>
            <w:noWrap/>
            <w:vAlign w:val="center"/>
            <w:hideMark/>
          </w:tcPr>
          <w:p w14:paraId="02709FB5"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5211</w:t>
            </w:r>
          </w:p>
        </w:tc>
      </w:tr>
      <w:tr w:rsidR="00D36BF8" w:rsidRPr="00C25ED4" w14:paraId="0FAABE12" w14:textId="77777777" w:rsidTr="00C25545">
        <w:trPr>
          <w:jc w:val="center"/>
        </w:trPr>
        <w:tc>
          <w:tcPr>
            <w:tcW w:w="272" w:type="dxa"/>
            <w:tcBorders>
              <w:top w:val="nil"/>
              <w:left w:val="nil"/>
              <w:bottom w:val="nil"/>
            </w:tcBorders>
            <w:shd w:val="clear" w:color="auto" w:fill="auto"/>
            <w:noWrap/>
            <w:vAlign w:val="center"/>
            <w:hideMark/>
          </w:tcPr>
          <w:p w14:paraId="152D4A6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058BFAE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Later Onset</w:t>
            </w:r>
          </w:p>
        </w:tc>
        <w:tc>
          <w:tcPr>
            <w:tcW w:w="773" w:type="dxa"/>
            <w:tcBorders>
              <w:top w:val="nil"/>
              <w:bottom w:val="nil"/>
            </w:tcBorders>
            <w:shd w:val="clear" w:color="auto" w:fill="auto"/>
            <w:noWrap/>
            <w:vAlign w:val="center"/>
            <w:hideMark/>
          </w:tcPr>
          <w:p w14:paraId="6626481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71042</w:t>
            </w:r>
          </w:p>
        </w:tc>
        <w:tc>
          <w:tcPr>
            <w:tcW w:w="784" w:type="dxa"/>
            <w:tcBorders>
              <w:top w:val="nil"/>
              <w:bottom w:val="single" w:sz="4" w:space="0" w:color="auto"/>
            </w:tcBorders>
            <w:shd w:val="clear" w:color="auto" w:fill="auto"/>
            <w:noWrap/>
            <w:vAlign w:val="center"/>
            <w:hideMark/>
          </w:tcPr>
          <w:p w14:paraId="65A7723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51.8%</w:t>
            </w:r>
          </w:p>
        </w:tc>
        <w:tc>
          <w:tcPr>
            <w:tcW w:w="1114" w:type="dxa"/>
            <w:tcBorders>
              <w:top w:val="nil"/>
              <w:bottom w:val="single" w:sz="4" w:space="0" w:color="auto"/>
            </w:tcBorders>
            <w:shd w:val="clear" w:color="auto" w:fill="auto"/>
            <w:noWrap/>
            <w:vAlign w:val="center"/>
            <w:hideMark/>
          </w:tcPr>
          <w:p w14:paraId="63D5911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1523937</w:t>
            </w:r>
          </w:p>
        </w:tc>
        <w:tc>
          <w:tcPr>
            <w:tcW w:w="1276" w:type="dxa"/>
            <w:tcBorders>
              <w:top w:val="nil"/>
              <w:bottom w:val="single" w:sz="4" w:space="0" w:color="auto"/>
            </w:tcBorders>
            <w:shd w:val="clear" w:color="auto" w:fill="auto"/>
            <w:noWrap/>
            <w:vAlign w:val="center"/>
            <w:hideMark/>
          </w:tcPr>
          <w:p w14:paraId="132C8C9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11.11</w:t>
            </w:r>
          </w:p>
        </w:tc>
        <w:tc>
          <w:tcPr>
            <w:tcW w:w="845" w:type="dxa"/>
            <w:tcBorders>
              <w:top w:val="nil"/>
              <w:bottom w:val="nil"/>
              <w:right w:val="nil"/>
            </w:tcBorders>
            <w:shd w:val="clear" w:color="auto" w:fill="auto"/>
            <w:noWrap/>
            <w:vAlign w:val="center"/>
            <w:hideMark/>
          </w:tcPr>
          <w:p w14:paraId="2F19E67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137129</w:t>
            </w:r>
          </w:p>
        </w:tc>
      </w:tr>
      <w:tr w:rsidR="00D36BF8" w:rsidRPr="00C25ED4" w14:paraId="5594AD55" w14:textId="77777777" w:rsidTr="00C25545">
        <w:trPr>
          <w:jc w:val="center"/>
        </w:trPr>
        <w:tc>
          <w:tcPr>
            <w:tcW w:w="7791" w:type="dxa"/>
            <w:gridSpan w:val="7"/>
            <w:tcBorders>
              <w:top w:val="single" w:sz="4" w:space="0" w:color="auto"/>
              <w:left w:val="nil"/>
              <w:bottom w:val="nil"/>
              <w:right w:val="nil"/>
            </w:tcBorders>
            <w:shd w:val="clear" w:color="auto" w:fill="auto"/>
            <w:noWrap/>
            <w:vAlign w:val="center"/>
            <w:hideMark/>
          </w:tcPr>
          <w:p w14:paraId="244A686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Urban/Rural GP Classification</w:t>
            </w:r>
          </w:p>
        </w:tc>
      </w:tr>
      <w:tr w:rsidR="00D36BF8" w:rsidRPr="00C25ED4" w14:paraId="56D385B3" w14:textId="77777777" w:rsidTr="00C25545">
        <w:trPr>
          <w:jc w:val="center"/>
        </w:trPr>
        <w:tc>
          <w:tcPr>
            <w:tcW w:w="272" w:type="dxa"/>
            <w:tcBorders>
              <w:top w:val="nil"/>
              <w:left w:val="nil"/>
              <w:bottom w:val="nil"/>
            </w:tcBorders>
            <w:shd w:val="clear" w:color="auto" w:fill="auto"/>
            <w:noWrap/>
            <w:vAlign w:val="center"/>
            <w:hideMark/>
          </w:tcPr>
          <w:p w14:paraId="43CA754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nil"/>
              <w:bottom w:val="nil"/>
            </w:tcBorders>
            <w:shd w:val="clear" w:color="auto" w:fill="auto"/>
            <w:noWrap/>
            <w:vAlign w:val="center"/>
            <w:hideMark/>
          </w:tcPr>
          <w:p w14:paraId="49016DF2"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Urban</w:t>
            </w:r>
          </w:p>
        </w:tc>
        <w:tc>
          <w:tcPr>
            <w:tcW w:w="773" w:type="dxa"/>
            <w:tcBorders>
              <w:top w:val="nil"/>
              <w:bottom w:val="nil"/>
            </w:tcBorders>
            <w:shd w:val="clear" w:color="auto" w:fill="auto"/>
            <w:noWrap/>
            <w:vAlign w:val="center"/>
            <w:hideMark/>
          </w:tcPr>
          <w:p w14:paraId="56E3B840"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62120</w:t>
            </w:r>
          </w:p>
        </w:tc>
        <w:tc>
          <w:tcPr>
            <w:tcW w:w="784" w:type="dxa"/>
            <w:tcBorders>
              <w:top w:val="nil"/>
              <w:bottom w:val="nil"/>
            </w:tcBorders>
            <w:shd w:val="clear" w:color="auto" w:fill="auto"/>
            <w:noWrap/>
            <w:vAlign w:val="center"/>
            <w:hideMark/>
          </w:tcPr>
          <w:p w14:paraId="79205932"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51.1%</w:t>
            </w:r>
          </w:p>
        </w:tc>
        <w:tc>
          <w:tcPr>
            <w:tcW w:w="1114" w:type="dxa"/>
            <w:tcBorders>
              <w:top w:val="nil"/>
              <w:bottom w:val="nil"/>
            </w:tcBorders>
            <w:shd w:val="clear" w:color="auto" w:fill="auto"/>
            <w:noWrap/>
            <w:vAlign w:val="center"/>
            <w:hideMark/>
          </w:tcPr>
          <w:p w14:paraId="690ACD3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1355230</w:t>
            </w:r>
          </w:p>
        </w:tc>
        <w:tc>
          <w:tcPr>
            <w:tcW w:w="1276" w:type="dxa"/>
            <w:tcBorders>
              <w:top w:val="nil"/>
              <w:bottom w:val="nil"/>
            </w:tcBorders>
            <w:shd w:val="clear" w:color="auto" w:fill="auto"/>
            <w:noWrap/>
            <w:vAlign w:val="center"/>
            <w:hideMark/>
          </w:tcPr>
          <w:p w14:paraId="5E6FD980"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11.14</w:t>
            </w:r>
          </w:p>
        </w:tc>
        <w:tc>
          <w:tcPr>
            <w:tcW w:w="845" w:type="dxa"/>
            <w:tcBorders>
              <w:top w:val="nil"/>
              <w:bottom w:val="nil"/>
              <w:right w:val="nil"/>
            </w:tcBorders>
            <w:shd w:val="clear" w:color="auto" w:fill="auto"/>
            <w:noWrap/>
            <w:vAlign w:val="center"/>
            <w:hideMark/>
          </w:tcPr>
          <w:p w14:paraId="03F7DC85"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121612</w:t>
            </w:r>
          </w:p>
        </w:tc>
      </w:tr>
      <w:tr w:rsidR="00D36BF8" w:rsidRPr="00C25ED4" w14:paraId="7EABFA93" w14:textId="77777777" w:rsidTr="00C25545">
        <w:trPr>
          <w:jc w:val="center"/>
        </w:trPr>
        <w:tc>
          <w:tcPr>
            <w:tcW w:w="272" w:type="dxa"/>
            <w:tcBorders>
              <w:top w:val="nil"/>
              <w:left w:val="nil"/>
              <w:bottom w:val="single" w:sz="4" w:space="0" w:color="auto"/>
            </w:tcBorders>
            <w:shd w:val="clear" w:color="auto" w:fill="auto"/>
            <w:noWrap/>
            <w:vAlign w:val="center"/>
            <w:hideMark/>
          </w:tcPr>
          <w:p w14:paraId="0BBD046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single" w:sz="4" w:space="0" w:color="auto"/>
            </w:tcBorders>
            <w:shd w:val="clear" w:color="auto" w:fill="auto"/>
            <w:noWrap/>
            <w:vAlign w:val="center"/>
            <w:hideMark/>
          </w:tcPr>
          <w:p w14:paraId="6D5E141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Rural</w:t>
            </w:r>
          </w:p>
        </w:tc>
        <w:tc>
          <w:tcPr>
            <w:tcW w:w="773" w:type="dxa"/>
            <w:tcBorders>
              <w:top w:val="nil"/>
              <w:bottom w:val="single" w:sz="4" w:space="0" w:color="auto"/>
            </w:tcBorders>
            <w:shd w:val="clear" w:color="auto" w:fill="auto"/>
            <w:noWrap/>
            <w:vAlign w:val="center"/>
            <w:hideMark/>
          </w:tcPr>
          <w:p w14:paraId="4D34C2A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10649</w:t>
            </w:r>
          </w:p>
        </w:tc>
        <w:tc>
          <w:tcPr>
            <w:tcW w:w="784" w:type="dxa"/>
            <w:tcBorders>
              <w:top w:val="nil"/>
              <w:bottom w:val="single" w:sz="4" w:space="0" w:color="auto"/>
            </w:tcBorders>
            <w:shd w:val="clear" w:color="auto" w:fill="auto"/>
            <w:noWrap/>
            <w:vAlign w:val="center"/>
            <w:hideMark/>
          </w:tcPr>
          <w:p w14:paraId="7C1CE29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51.4%</w:t>
            </w:r>
          </w:p>
        </w:tc>
        <w:tc>
          <w:tcPr>
            <w:tcW w:w="1114" w:type="dxa"/>
            <w:tcBorders>
              <w:top w:val="nil"/>
              <w:bottom w:val="single" w:sz="4" w:space="0" w:color="auto"/>
            </w:tcBorders>
            <w:shd w:val="clear" w:color="auto" w:fill="auto"/>
            <w:noWrap/>
            <w:vAlign w:val="center"/>
            <w:hideMark/>
          </w:tcPr>
          <w:p w14:paraId="7B2D140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228257</w:t>
            </w:r>
          </w:p>
        </w:tc>
        <w:tc>
          <w:tcPr>
            <w:tcW w:w="1276" w:type="dxa"/>
            <w:tcBorders>
              <w:top w:val="nil"/>
              <w:bottom w:val="single" w:sz="4" w:space="0" w:color="auto"/>
            </w:tcBorders>
            <w:shd w:val="clear" w:color="auto" w:fill="auto"/>
            <w:noWrap/>
            <w:vAlign w:val="center"/>
            <w:hideMark/>
          </w:tcPr>
          <w:p w14:paraId="0B66C08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11.01</w:t>
            </w:r>
          </w:p>
        </w:tc>
        <w:tc>
          <w:tcPr>
            <w:tcW w:w="845" w:type="dxa"/>
            <w:tcBorders>
              <w:top w:val="nil"/>
              <w:bottom w:val="single" w:sz="4" w:space="0" w:color="auto"/>
              <w:right w:val="nil"/>
            </w:tcBorders>
            <w:shd w:val="clear" w:color="auto" w:fill="auto"/>
            <w:noWrap/>
            <w:vAlign w:val="center"/>
            <w:hideMark/>
          </w:tcPr>
          <w:p w14:paraId="7FF5402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20728</w:t>
            </w:r>
          </w:p>
        </w:tc>
      </w:tr>
      <w:tr w:rsidR="00D36BF8" w:rsidRPr="00C25ED4" w14:paraId="1D725632" w14:textId="77777777" w:rsidTr="00C25545">
        <w:trPr>
          <w:jc w:val="center"/>
        </w:trPr>
        <w:tc>
          <w:tcPr>
            <w:tcW w:w="7791" w:type="dxa"/>
            <w:gridSpan w:val="7"/>
            <w:tcBorders>
              <w:top w:val="nil"/>
              <w:left w:val="nil"/>
              <w:bottom w:val="nil"/>
              <w:right w:val="nil"/>
            </w:tcBorders>
            <w:shd w:val="clear" w:color="auto" w:fill="auto"/>
            <w:noWrap/>
            <w:vAlign w:val="center"/>
            <w:hideMark/>
          </w:tcPr>
          <w:p w14:paraId="26B8DFE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Age Group</w:t>
            </w:r>
          </w:p>
        </w:tc>
      </w:tr>
      <w:tr w:rsidR="00D36BF8" w:rsidRPr="00C25ED4" w14:paraId="46B1674E" w14:textId="77777777" w:rsidTr="00C25545">
        <w:trPr>
          <w:jc w:val="center"/>
        </w:trPr>
        <w:tc>
          <w:tcPr>
            <w:tcW w:w="272" w:type="dxa"/>
            <w:tcBorders>
              <w:top w:val="nil"/>
              <w:left w:val="nil"/>
              <w:bottom w:val="nil"/>
            </w:tcBorders>
            <w:shd w:val="clear" w:color="auto" w:fill="auto"/>
            <w:noWrap/>
            <w:vAlign w:val="center"/>
            <w:hideMark/>
          </w:tcPr>
          <w:p w14:paraId="4661754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23DC4E8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Under45</w:t>
            </w:r>
          </w:p>
        </w:tc>
        <w:tc>
          <w:tcPr>
            <w:tcW w:w="773" w:type="dxa"/>
            <w:tcBorders>
              <w:top w:val="nil"/>
              <w:bottom w:val="nil"/>
            </w:tcBorders>
            <w:shd w:val="clear" w:color="auto" w:fill="auto"/>
            <w:noWrap/>
            <w:vAlign w:val="center"/>
            <w:hideMark/>
          </w:tcPr>
          <w:p w14:paraId="55BE4E7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29</w:t>
            </w:r>
          </w:p>
        </w:tc>
        <w:tc>
          <w:tcPr>
            <w:tcW w:w="784" w:type="dxa"/>
            <w:tcBorders>
              <w:top w:val="nil"/>
              <w:bottom w:val="nil"/>
            </w:tcBorders>
            <w:shd w:val="clear" w:color="auto" w:fill="auto"/>
            <w:noWrap/>
            <w:vAlign w:val="center"/>
            <w:hideMark/>
          </w:tcPr>
          <w:p w14:paraId="00D4090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27.9%</w:t>
            </w:r>
          </w:p>
        </w:tc>
        <w:tc>
          <w:tcPr>
            <w:tcW w:w="1114" w:type="dxa"/>
            <w:tcBorders>
              <w:top w:val="nil"/>
              <w:bottom w:val="nil"/>
            </w:tcBorders>
            <w:shd w:val="clear" w:color="auto" w:fill="auto"/>
            <w:noWrap/>
            <w:vAlign w:val="center"/>
            <w:hideMark/>
          </w:tcPr>
          <w:p w14:paraId="616A884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1133</w:t>
            </w:r>
          </w:p>
        </w:tc>
        <w:tc>
          <w:tcPr>
            <w:tcW w:w="1276" w:type="dxa"/>
            <w:tcBorders>
              <w:top w:val="nil"/>
              <w:bottom w:val="nil"/>
            </w:tcBorders>
            <w:shd w:val="clear" w:color="auto" w:fill="auto"/>
            <w:noWrap/>
            <w:vAlign w:val="center"/>
            <w:hideMark/>
          </w:tcPr>
          <w:p w14:paraId="4EFA59D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10.89</w:t>
            </w:r>
          </w:p>
        </w:tc>
        <w:tc>
          <w:tcPr>
            <w:tcW w:w="845" w:type="dxa"/>
            <w:tcBorders>
              <w:top w:val="nil"/>
              <w:bottom w:val="nil"/>
              <w:right w:val="nil"/>
            </w:tcBorders>
            <w:shd w:val="clear" w:color="auto" w:fill="auto"/>
            <w:noWrap/>
            <w:vAlign w:val="center"/>
            <w:hideMark/>
          </w:tcPr>
          <w:p w14:paraId="7554864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104</w:t>
            </w:r>
          </w:p>
        </w:tc>
      </w:tr>
      <w:tr w:rsidR="00D36BF8" w:rsidRPr="00C25ED4" w14:paraId="486E66E0" w14:textId="77777777" w:rsidTr="00C25545">
        <w:trPr>
          <w:jc w:val="center"/>
        </w:trPr>
        <w:tc>
          <w:tcPr>
            <w:tcW w:w="272" w:type="dxa"/>
            <w:tcBorders>
              <w:top w:val="nil"/>
              <w:left w:val="nil"/>
              <w:bottom w:val="nil"/>
            </w:tcBorders>
            <w:shd w:val="clear" w:color="auto" w:fill="auto"/>
            <w:noWrap/>
            <w:vAlign w:val="center"/>
            <w:hideMark/>
          </w:tcPr>
          <w:p w14:paraId="1ED4F6A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6B080E6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45-54</w:t>
            </w:r>
          </w:p>
        </w:tc>
        <w:tc>
          <w:tcPr>
            <w:tcW w:w="773" w:type="dxa"/>
            <w:tcBorders>
              <w:top w:val="nil"/>
              <w:bottom w:val="nil"/>
            </w:tcBorders>
            <w:shd w:val="clear" w:color="auto" w:fill="auto"/>
            <w:noWrap/>
            <w:vAlign w:val="center"/>
            <w:hideMark/>
          </w:tcPr>
          <w:p w14:paraId="2F1E8C0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278</w:t>
            </w:r>
          </w:p>
        </w:tc>
        <w:tc>
          <w:tcPr>
            <w:tcW w:w="784" w:type="dxa"/>
            <w:tcBorders>
              <w:top w:val="nil"/>
              <w:bottom w:val="nil"/>
            </w:tcBorders>
            <w:shd w:val="clear" w:color="auto" w:fill="auto"/>
            <w:noWrap/>
            <w:vAlign w:val="center"/>
            <w:hideMark/>
          </w:tcPr>
          <w:p w14:paraId="41EE719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32.0%</w:t>
            </w:r>
          </w:p>
        </w:tc>
        <w:tc>
          <w:tcPr>
            <w:tcW w:w="1114" w:type="dxa"/>
            <w:tcBorders>
              <w:top w:val="nil"/>
              <w:bottom w:val="nil"/>
            </w:tcBorders>
            <w:shd w:val="clear" w:color="auto" w:fill="auto"/>
            <w:noWrap/>
            <w:vAlign w:val="center"/>
            <w:hideMark/>
          </w:tcPr>
          <w:p w14:paraId="738946A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9564</w:t>
            </w:r>
          </w:p>
        </w:tc>
        <w:tc>
          <w:tcPr>
            <w:tcW w:w="1276" w:type="dxa"/>
            <w:tcBorders>
              <w:top w:val="nil"/>
              <w:bottom w:val="nil"/>
            </w:tcBorders>
            <w:shd w:val="clear" w:color="auto" w:fill="auto"/>
            <w:noWrap/>
            <w:vAlign w:val="center"/>
            <w:hideMark/>
          </w:tcPr>
          <w:p w14:paraId="74699FA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10.99</w:t>
            </w:r>
          </w:p>
        </w:tc>
        <w:tc>
          <w:tcPr>
            <w:tcW w:w="845" w:type="dxa"/>
            <w:tcBorders>
              <w:top w:val="nil"/>
              <w:bottom w:val="nil"/>
              <w:right w:val="nil"/>
            </w:tcBorders>
            <w:shd w:val="clear" w:color="auto" w:fill="auto"/>
            <w:noWrap/>
            <w:vAlign w:val="center"/>
            <w:hideMark/>
          </w:tcPr>
          <w:p w14:paraId="131FDD0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870</w:t>
            </w:r>
          </w:p>
        </w:tc>
      </w:tr>
      <w:tr w:rsidR="00D36BF8" w:rsidRPr="00C25ED4" w14:paraId="7B649E5C" w14:textId="77777777" w:rsidTr="00C25545">
        <w:trPr>
          <w:jc w:val="center"/>
        </w:trPr>
        <w:tc>
          <w:tcPr>
            <w:tcW w:w="272" w:type="dxa"/>
            <w:tcBorders>
              <w:top w:val="nil"/>
              <w:left w:val="nil"/>
              <w:bottom w:val="nil"/>
            </w:tcBorders>
            <w:shd w:val="clear" w:color="auto" w:fill="auto"/>
            <w:noWrap/>
            <w:vAlign w:val="center"/>
            <w:hideMark/>
          </w:tcPr>
          <w:p w14:paraId="4E6D6E5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572F376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55-64</w:t>
            </w:r>
          </w:p>
        </w:tc>
        <w:tc>
          <w:tcPr>
            <w:tcW w:w="773" w:type="dxa"/>
            <w:tcBorders>
              <w:top w:val="nil"/>
              <w:bottom w:val="nil"/>
            </w:tcBorders>
            <w:shd w:val="clear" w:color="auto" w:fill="auto"/>
            <w:noWrap/>
            <w:vAlign w:val="center"/>
            <w:hideMark/>
          </w:tcPr>
          <w:p w14:paraId="496D59E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1420</w:t>
            </w:r>
          </w:p>
        </w:tc>
        <w:tc>
          <w:tcPr>
            <w:tcW w:w="784" w:type="dxa"/>
            <w:tcBorders>
              <w:top w:val="nil"/>
              <w:bottom w:val="nil"/>
            </w:tcBorders>
            <w:shd w:val="clear" w:color="auto" w:fill="auto"/>
            <w:noWrap/>
            <w:vAlign w:val="center"/>
            <w:hideMark/>
          </w:tcPr>
          <w:p w14:paraId="031F244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33.5%</w:t>
            </w:r>
          </w:p>
        </w:tc>
        <w:tc>
          <w:tcPr>
            <w:tcW w:w="1114" w:type="dxa"/>
            <w:tcBorders>
              <w:top w:val="nil"/>
              <w:bottom w:val="nil"/>
            </w:tcBorders>
            <w:shd w:val="clear" w:color="auto" w:fill="auto"/>
            <w:noWrap/>
            <w:vAlign w:val="center"/>
            <w:hideMark/>
          </w:tcPr>
          <w:p w14:paraId="5CBF691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48853</w:t>
            </w:r>
          </w:p>
        </w:tc>
        <w:tc>
          <w:tcPr>
            <w:tcW w:w="1276" w:type="dxa"/>
            <w:tcBorders>
              <w:top w:val="nil"/>
              <w:bottom w:val="nil"/>
            </w:tcBorders>
            <w:shd w:val="clear" w:color="auto" w:fill="auto"/>
            <w:noWrap/>
            <w:vAlign w:val="center"/>
            <w:hideMark/>
          </w:tcPr>
          <w:p w14:paraId="362FAB7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11.53</w:t>
            </w:r>
          </w:p>
        </w:tc>
        <w:tc>
          <w:tcPr>
            <w:tcW w:w="845" w:type="dxa"/>
            <w:tcBorders>
              <w:top w:val="nil"/>
              <w:bottom w:val="nil"/>
              <w:right w:val="nil"/>
            </w:tcBorders>
            <w:shd w:val="clear" w:color="auto" w:fill="auto"/>
            <w:noWrap/>
            <w:vAlign w:val="center"/>
            <w:hideMark/>
          </w:tcPr>
          <w:p w14:paraId="5DD2CF3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4237</w:t>
            </w:r>
          </w:p>
        </w:tc>
      </w:tr>
      <w:tr w:rsidR="00D36BF8" w:rsidRPr="00C25ED4" w14:paraId="21855D53" w14:textId="77777777" w:rsidTr="00C25545">
        <w:trPr>
          <w:jc w:val="center"/>
        </w:trPr>
        <w:tc>
          <w:tcPr>
            <w:tcW w:w="272" w:type="dxa"/>
            <w:tcBorders>
              <w:top w:val="nil"/>
              <w:left w:val="nil"/>
              <w:bottom w:val="nil"/>
            </w:tcBorders>
            <w:shd w:val="clear" w:color="auto" w:fill="auto"/>
            <w:noWrap/>
            <w:vAlign w:val="center"/>
            <w:hideMark/>
          </w:tcPr>
          <w:p w14:paraId="5E1C3BC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nil"/>
              <w:bottom w:val="nil"/>
            </w:tcBorders>
            <w:shd w:val="clear" w:color="auto" w:fill="auto"/>
            <w:noWrap/>
            <w:vAlign w:val="center"/>
            <w:hideMark/>
          </w:tcPr>
          <w:p w14:paraId="7C2D89EB"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65-74</w:t>
            </w:r>
          </w:p>
        </w:tc>
        <w:tc>
          <w:tcPr>
            <w:tcW w:w="773" w:type="dxa"/>
            <w:tcBorders>
              <w:top w:val="nil"/>
              <w:bottom w:val="nil"/>
            </w:tcBorders>
            <w:shd w:val="clear" w:color="auto" w:fill="auto"/>
            <w:noWrap/>
            <w:vAlign w:val="center"/>
            <w:hideMark/>
          </w:tcPr>
          <w:p w14:paraId="7A10F3A7"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8001</w:t>
            </w:r>
          </w:p>
        </w:tc>
        <w:tc>
          <w:tcPr>
            <w:tcW w:w="784" w:type="dxa"/>
            <w:tcBorders>
              <w:top w:val="nil"/>
              <w:bottom w:val="nil"/>
            </w:tcBorders>
            <w:shd w:val="clear" w:color="auto" w:fill="auto"/>
            <w:noWrap/>
            <w:vAlign w:val="center"/>
            <w:hideMark/>
          </w:tcPr>
          <w:p w14:paraId="77605476"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39.0%</w:t>
            </w:r>
          </w:p>
        </w:tc>
        <w:tc>
          <w:tcPr>
            <w:tcW w:w="1114" w:type="dxa"/>
            <w:tcBorders>
              <w:top w:val="nil"/>
              <w:bottom w:val="nil"/>
            </w:tcBorders>
            <w:shd w:val="clear" w:color="auto" w:fill="auto"/>
            <w:noWrap/>
            <w:vAlign w:val="center"/>
            <w:hideMark/>
          </w:tcPr>
          <w:p w14:paraId="45952A6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242220</w:t>
            </w:r>
          </w:p>
        </w:tc>
        <w:tc>
          <w:tcPr>
            <w:tcW w:w="1276" w:type="dxa"/>
            <w:tcBorders>
              <w:top w:val="nil"/>
              <w:bottom w:val="nil"/>
            </w:tcBorders>
            <w:shd w:val="clear" w:color="auto" w:fill="auto"/>
            <w:noWrap/>
            <w:vAlign w:val="center"/>
            <w:hideMark/>
          </w:tcPr>
          <w:p w14:paraId="06879A4B"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11.81</w:t>
            </w:r>
          </w:p>
        </w:tc>
        <w:tc>
          <w:tcPr>
            <w:tcW w:w="845" w:type="dxa"/>
            <w:tcBorders>
              <w:top w:val="nil"/>
              <w:bottom w:val="nil"/>
              <w:right w:val="nil"/>
            </w:tcBorders>
            <w:shd w:val="clear" w:color="auto" w:fill="auto"/>
            <w:noWrap/>
            <w:vAlign w:val="center"/>
            <w:hideMark/>
          </w:tcPr>
          <w:p w14:paraId="1B36D490"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20516</w:t>
            </w:r>
          </w:p>
        </w:tc>
      </w:tr>
      <w:tr w:rsidR="00D36BF8" w:rsidRPr="00C25ED4" w14:paraId="0EF5EB29" w14:textId="77777777" w:rsidTr="00C25545">
        <w:trPr>
          <w:jc w:val="center"/>
        </w:trPr>
        <w:tc>
          <w:tcPr>
            <w:tcW w:w="272" w:type="dxa"/>
            <w:tcBorders>
              <w:top w:val="nil"/>
              <w:left w:val="nil"/>
              <w:bottom w:val="nil"/>
            </w:tcBorders>
            <w:shd w:val="clear" w:color="auto" w:fill="auto"/>
            <w:noWrap/>
            <w:vAlign w:val="center"/>
            <w:hideMark/>
          </w:tcPr>
          <w:p w14:paraId="1459F7C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5A83FAE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75-84</w:t>
            </w:r>
          </w:p>
        </w:tc>
        <w:tc>
          <w:tcPr>
            <w:tcW w:w="773" w:type="dxa"/>
            <w:tcBorders>
              <w:top w:val="nil"/>
              <w:bottom w:val="nil"/>
            </w:tcBorders>
            <w:shd w:val="clear" w:color="auto" w:fill="auto"/>
            <w:noWrap/>
            <w:vAlign w:val="center"/>
            <w:hideMark/>
          </w:tcPr>
          <w:p w14:paraId="143CD5F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30652</w:t>
            </w:r>
          </w:p>
        </w:tc>
        <w:tc>
          <w:tcPr>
            <w:tcW w:w="784" w:type="dxa"/>
            <w:tcBorders>
              <w:top w:val="nil"/>
              <w:bottom w:val="nil"/>
            </w:tcBorders>
            <w:shd w:val="clear" w:color="auto" w:fill="auto"/>
            <w:noWrap/>
            <w:vAlign w:val="center"/>
            <w:hideMark/>
          </w:tcPr>
          <w:p w14:paraId="7CEA50F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48.5%</w:t>
            </w:r>
          </w:p>
        </w:tc>
        <w:tc>
          <w:tcPr>
            <w:tcW w:w="1114" w:type="dxa"/>
            <w:tcBorders>
              <w:top w:val="nil"/>
              <w:bottom w:val="nil"/>
            </w:tcBorders>
            <w:shd w:val="clear" w:color="auto" w:fill="auto"/>
            <w:noWrap/>
            <w:vAlign w:val="center"/>
            <w:hideMark/>
          </w:tcPr>
          <w:p w14:paraId="44309F1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720722</w:t>
            </w:r>
          </w:p>
        </w:tc>
        <w:tc>
          <w:tcPr>
            <w:tcW w:w="1276" w:type="dxa"/>
            <w:tcBorders>
              <w:top w:val="nil"/>
              <w:bottom w:val="nil"/>
            </w:tcBorders>
            <w:shd w:val="clear" w:color="auto" w:fill="auto"/>
            <w:noWrap/>
            <w:vAlign w:val="center"/>
            <w:hideMark/>
          </w:tcPr>
          <w:p w14:paraId="1855331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11.40</w:t>
            </w:r>
          </w:p>
        </w:tc>
        <w:tc>
          <w:tcPr>
            <w:tcW w:w="845" w:type="dxa"/>
            <w:tcBorders>
              <w:top w:val="nil"/>
              <w:bottom w:val="nil"/>
              <w:right w:val="nil"/>
            </w:tcBorders>
            <w:shd w:val="clear" w:color="auto" w:fill="auto"/>
            <w:noWrap/>
            <w:vAlign w:val="center"/>
            <w:hideMark/>
          </w:tcPr>
          <w:p w14:paraId="1796CAF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63236</w:t>
            </w:r>
          </w:p>
        </w:tc>
      </w:tr>
      <w:tr w:rsidR="00D36BF8" w:rsidRPr="00C25ED4" w14:paraId="7DF8DC79" w14:textId="77777777" w:rsidTr="00C25545">
        <w:trPr>
          <w:jc w:val="center"/>
        </w:trPr>
        <w:tc>
          <w:tcPr>
            <w:tcW w:w="272" w:type="dxa"/>
            <w:tcBorders>
              <w:top w:val="nil"/>
              <w:left w:val="nil"/>
              <w:bottom w:val="nil"/>
            </w:tcBorders>
            <w:shd w:val="clear" w:color="auto" w:fill="auto"/>
            <w:noWrap/>
            <w:vAlign w:val="center"/>
            <w:hideMark/>
          </w:tcPr>
          <w:p w14:paraId="0B4B2D8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5E1F7A2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85-94</w:t>
            </w:r>
          </w:p>
        </w:tc>
        <w:tc>
          <w:tcPr>
            <w:tcW w:w="773" w:type="dxa"/>
            <w:tcBorders>
              <w:top w:val="nil"/>
              <w:bottom w:val="nil"/>
            </w:tcBorders>
            <w:shd w:val="clear" w:color="auto" w:fill="auto"/>
            <w:noWrap/>
            <w:vAlign w:val="center"/>
            <w:hideMark/>
          </w:tcPr>
          <w:p w14:paraId="789CF9C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29234</w:t>
            </w:r>
          </w:p>
        </w:tc>
        <w:tc>
          <w:tcPr>
            <w:tcW w:w="784" w:type="dxa"/>
            <w:tcBorders>
              <w:top w:val="nil"/>
              <w:bottom w:val="nil"/>
            </w:tcBorders>
            <w:shd w:val="clear" w:color="auto" w:fill="auto"/>
            <w:noWrap/>
            <w:vAlign w:val="center"/>
            <w:hideMark/>
          </w:tcPr>
          <w:p w14:paraId="39277DE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59.6%</w:t>
            </w:r>
          </w:p>
        </w:tc>
        <w:tc>
          <w:tcPr>
            <w:tcW w:w="1114" w:type="dxa"/>
            <w:tcBorders>
              <w:top w:val="nil"/>
              <w:bottom w:val="nil"/>
            </w:tcBorders>
            <w:shd w:val="clear" w:color="auto" w:fill="auto"/>
            <w:noWrap/>
            <w:vAlign w:val="center"/>
            <w:hideMark/>
          </w:tcPr>
          <w:p w14:paraId="3B1586F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518774</w:t>
            </w:r>
          </w:p>
        </w:tc>
        <w:tc>
          <w:tcPr>
            <w:tcW w:w="1276" w:type="dxa"/>
            <w:tcBorders>
              <w:top w:val="nil"/>
              <w:bottom w:val="nil"/>
            </w:tcBorders>
            <w:shd w:val="clear" w:color="auto" w:fill="auto"/>
            <w:noWrap/>
            <w:vAlign w:val="center"/>
            <w:hideMark/>
          </w:tcPr>
          <w:p w14:paraId="43E89F1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10.57</w:t>
            </w:r>
          </w:p>
        </w:tc>
        <w:tc>
          <w:tcPr>
            <w:tcW w:w="845" w:type="dxa"/>
            <w:tcBorders>
              <w:top w:val="nil"/>
              <w:bottom w:val="nil"/>
              <w:right w:val="nil"/>
            </w:tcBorders>
            <w:shd w:val="clear" w:color="auto" w:fill="auto"/>
            <w:noWrap/>
            <w:vAlign w:val="center"/>
            <w:hideMark/>
          </w:tcPr>
          <w:p w14:paraId="4E2BB62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49086</w:t>
            </w:r>
          </w:p>
        </w:tc>
      </w:tr>
      <w:tr w:rsidR="00D36BF8" w:rsidRPr="00C25ED4" w14:paraId="44614B75" w14:textId="77777777" w:rsidTr="00C25545">
        <w:trPr>
          <w:jc w:val="center"/>
        </w:trPr>
        <w:tc>
          <w:tcPr>
            <w:tcW w:w="272" w:type="dxa"/>
            <w:tcBorders>
              <w:top w:val="nil"/>
              <w:left w:val="nil"/>
              <w:bottom w:val="single" w:sz="4" w:space="0" w:color="auto"/>
            </w:tcBorders>
            <w:shd w:val="clear" w:color="auto" w:fill="auto"/>
            <w:noWrap/>
            <w:vAlign w:val="center"/>
            <w:hideMark/>
          </w:tcPr>
          <w:p w14:paraId="4F2EFF0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single" w:sz="4" w:space="0" w:color="auto"/>
            </w:tcBorders>
            <w:shd w:val="clear" w:color="auto" w:fill="auto"/>
            <w:noWrap/>
            <w:vAlign w:val="center"/>
            <w:hideMark/>
          </w:tcPr>
          <w:p w14:paraId="58FA66C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95+</w:t>
            </w:r>
          </w:p>
        </w:tc>
        <w:tc>
          <w:tcPr>
            <w:tcW w:w="773" w:type="dxa"/>
            <w:tcBorders>
              <w:top w:val="nil"/>
              <w:bottom w:val="single" w:sz="4" w:space="0" w:color="auto"/>
            </w:tcBorders>
            <w:shd w:val="clear" w:color="auto" w:fill="auto"/>
            <w:noWrap/>
            <w:vAlign w:val="center"/>
            <w:hideMark/>
          </w:tcPr>
          <w:p w14:paraId="1945420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3155</w:t>
            </w:r>
          </w:p>
        </w:tc>
        <w:tc>
          <w:tcPr>
            <w:tcW w:w="784" w:type="dxa"/>
            <w:tcBorders>
              <w:top w:val="nil"/>
              <w:bottom w:val="single" w:sz="4" w:space="0" w:color="auto"/>
            </w:tcBorders>
            <w:shd w:val="clear" w:color="auto" w:fill="auto"/>
            <w:noWrap/>
            <w:vAlign w:val="center"/>
            <w:hideMark/>
          </w:tcPr>
          <w:p w14:paraId="1102AB5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73.5%</w:t>
            </w:r>
          </w:p>
        </w:tc>
        <w:tc>
          <w:tcPr>
            <w:tcW w:w="1114" w:type="dxa"/>
            <w:tcBorders>
              <w:top w:val="nil"/>
              <w:bottom w:val="single" w:sz="4" w:space="0" w:color="auto"/>
            </w:tcBorders>
            <w:shd w:val="clear" w:color="auto" w:fill="auto"/>
            <w:noWrap/>
            <w:vAlign w:val="center"/>
            <w:hideMark/>
          </w:tcPr>
          <w:p w14:paraId="2E73BCD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42221</w:t>
            </w:r>
          </w:p>
        </w:tc>
        <w:tc>
          <w:tcPr>
            <w:tcW w:w="1276" w:type="dxa"/>
            <w:tcBorders>
              <w:top w:val="nil"/>
              <w:bottom w:val="single" w:sz="4" w:space="0" w:color="auto"/>
            </w:tcBorders>
            <w:shd w:val="clear" w:color="auto" w:fill="auto"/>
            <w:noWrap/>
            <w:vAlign w:val="center"/>
            <w:hideMark/>
          </w:tcPr>
          <w:p w14:paraId="2920393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9.84</w:t>
            </w:r>
          </w:p>
        </w:tc>
        <w:tc>
          <w:tcPr>
            <w:tcW w:w="845" w:type="dxa"/>
            <w:tcBorders>
              <w:top w:val="nil"/>
              <w:bottom w:val="single" w:sz="4" w:space="0" w:color="auto"/>
              <w:right w:val="nil"/>
            </w:tcBorders>
            <w:shd w:val="clear" w:color="auto" w:fill="auto"/>
            <w:noWrap/>
            <w:vAlign w:val="center"/>
            <w:hideMark/>
          </w:tcPr>
          <w:p w14:paraId="54405DF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4291</w:t>
            </w:r>
          </w:p>
        </w:tc>
      </w:tr>
      <w:tr w:rsidR="00D36BF8" w:rsidRPr="00C25ED4" w14:paraId="70F12475" w14:textId="77777777" w:rsidTr="00C25545">
        <w:trPr>
          <w:jc w:val="center"/>
        </w:trPr>
        <w:tc>
          <w:tcPr>
            <w:tcW w:w="7791" w:type="dxa"/>
            <w:gridSpan w:val="7"/>
            <w:tcBorders>
              <w:top w:val="nil"/>
              <w:left w:val="nil"/>
              <w:bottom w:val="nil"/>
              <w:right w:val="nil"/>
            </w:tcBorders>
            <w:shd w:val="clear" w:color="auto" w:fill="auto"/>
            <w:noWrap/>
            <w:vAlign w:val="center"/>
            <w:hideMark/>
          </w:tcPr>
          <w:p w14:paraId="63989DF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Ethnicity Group</w:t>
            </w:r>
          </w:p>
        </w:tc>
      </w:tr>
      <w:tr w:rsidR="00D36BF8" w:rsidRPr="00C25ED4" w14:paraId="6143180C" w14:textId="77777777" w:rsidTr="00C25545">
        <w:trPr>
          <w:jc w:val="center"/>
        </w:trPr>
        <w:tc>
          <w:tcPr>
            <w:tcW w:w="272" w:type="dxa"/>
            <w:tcBorders>
              <w:top w:val="nil"/>
              <w:left w:val="nil"/>
              <w:bottom w:val="nil"/>
            </w:tcBorders>
            <w:shd w:val="clear" w:color="auto" w:fill="auto"/>
            <w:noWrap/>
            <w:vAlign w:val="center"/>
            <w:hideMark/>
          </w:tcPr>
          <w:p w14:paraId="6E1095E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nil"/>
              <w:bottom w:val="nil"/>
            </w:tcBorders>
            <w:shd w:val="clear" w:color="auto" w:fill="auto"/>
            <w:noWrap/>
            <w:vAlign w:val="center"/>
            <w:hideMark/>
          </w:tcPr>
          <w:p w14:paraId="0D53093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White</w:t>
            </w:r>
          </w:p>
        </w:tc>
        <w:tc>
          <w:tcPr>
            <w:tcW w:w="773" w:type="dxa"/>
            <w:tcBorders>
              <w:top w:val="nil"/>
              <w:bottom w:val="nil"/>
            </w:tcBorders>
            <w:shd w:val="clear" w:color="auto" w:fill="auto"/>
            <w:noWrap/>
            <w:vAlign w:val="center"/>
            <w:hideMark/>
          </w:tcPr>
          <w:p w14:paraId="4594940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66817</w:t>
            </w:r>
          </w:p>
        </w:tc>
        <w:tc>
          <w:tcPr>
            <w:tcW w:w="784" w:type="dxa"/>
            <w:tcBorders>
              <w:top w:val="nil"/>
              <w:bottom w:val="nil"/>
            </w:tcBorders>
            <w:shd w:val="clear" w:color="auto" w:fill="auto"/>
            <w:noWrap/>
            <w:vAlign w:val="center"/>
            <w:hideMark/>
          </w:tcPr>
          <w:p w14:paraId="6FFF108D"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51.5%</w:t>
            </w:r>
          </w:p>
        </w:tc>
        <w:tc>
          <w:tcPr>
            <w:tcW w:w="1114" w:type="dxa"/>
            <w:tcBorders>
              <w:top w:val="nil"/>
              <w:bottom w:val="nil"/>
            </w:tcBorders>
            <w:shd w:val="clear" w:color="auto" w:fill="auto"/>
            <w:noWrap/>
            <w:vAlign w:val="center"/>
            <w:hideMark/>
          </w:tcPr>
          <w:p w14:paraId="272AECC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1443890</w:t>
            </w:r>
          </w:p>
        </w:tc>
        <w:tc>
          <w:tcPr>
            <w:tcW w:w="1276" w:type="dxa"/>
            <w:tcBorders>
              <w:top w:val="nil"/>
              <w:bottom w:val="nil"/>
            </w:tcBorders>
            <w:shd w:val="clear" w:color="auto" w:fill="auto"/>
            <w:noWrap/>
            <w:vAlign w:val="center"/>
            <w:hideMark/>
          </w:tcPr>
          <w:p w14:paraId="34CA7C5D"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11.14</w:t>
            </w:r>
          </w:p>
        </w:tc>
        <w:tc>
          <w:tcPr>
            <w:tcW w:w="845" w:type="dxa"/>
            <w:tcBorders>
              <w:top w:val="nil"/>
              <w:bottom w:val="nil"/>
              <w:right w:val="nil"/>
            </w:tcBorders>
            <w:shd w:val="clear" w:color="auto" w:fill="auto"/>
            <w:noWrap/>
            <w:vAlign w:val="center"/>
            <w:hideMark/>
          </w:tcPr>
          <w:p w14:paraId="5711CF1B"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129653</w:t>
            </w:r>
          </w:p>
        </w:tc>
      </w:tr>
      <w:tr w:rsidR="00D36BF8" w:rsidRPr="00C25ED4" w14:paraId="1ED82671" w14:textId="77777777" w:rsidTr="00C25545">
        <w:trPr>
          <w:jc w:val="center"/>
        </w:trPr>
        <w:tc>
          <w:tcPr>
            <w:tcW w:w="272" w:type="dxa"/>
            <w:tcBorders>
              <w:top w:val="nil"/>
              <w:left w:val="nil"/>
              <w:bottom w:val="nil"/>
            </w:tcBorders>
            <w:shd w:val="clear" w:color="auto" w:fill="auto"/>
            <w:noWrap/>
            <w:vAlign w:val="center"/>
            <w:hideMark/>
          </w:tcPr>
          <w:p w14:paraId="65FE6B0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6C5C261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Asian</w:t>
            </w:r>
          </w:p>
        </w:tc>
        <w:tc>
          <w:tcPr>
            <w:tcW w:w="773" w:type="dxa"/>
            <w:tcBorders>
              <w:top w:val="nil"/>
              <w:bottom w:val="nil"/>
            </w:tcBorders>
            <w:shd w:val="clear" w:color="auto" w:fill="auto"/>
            <w:noWrap/>
            <w:vAlign w:val="center"/>
            <w:hideMark/>
          </w:tcPr>
          <w:p w14:paraId="262DE53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845</w:t>
            </w:r>
          </w:p>
        </w:tc>
        <w:tc>
          <w:tcPr>
            <w:tcW w:w="784" w:type="dxa"/>
            <w:tcBorders>
              <w:top w:val="nil"/>
              <w:bottom w:val="nil"/>
            </w:tcBorders>
            <w:shd w:val="clear" w:color="auto" w:fill="auto"/>
            <w:noWrap/>
            <w:vAlign w:val="center"/>
            <w:hideMark/>
          </w:tcPr>
          <w:p w14:paraId="49BF7D4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43.6%</w:t>
            </w:r>
          </w:p>
        </w:tc>
        <w:tc>
          <w:tcPr>
            <w:tcW w:w="1114" w:type="dxa"/>
            <w:tcBorders>
              <w:top w:val="nil"/>
              <w:bottom w:val="nil"/>
            </w:tcBorders>
            <w:shd w:val="clear" w:color="auto" w:fill="auto"/>
            <w:noWrap/>
            <w:vAlign w:val="center"/>
            <w:hideMark/>
          </w:tcPr>
          <w:p w14:paraId="5235976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23629</w:t>
            </w:r>
          </w:p>
        </w:tc>
        <w:tc>
          <w:tcPr>
            <w:tcW w:w="1276" w:type="dxa"/>
            <w:tcBorders>
              <w:top w:val="nil"/>
              <w:bottom w:val="nil"/>
            </w:tcBorders>
            <w:shd w:val="clear" w:color="auto" w:fill="auto"/>
            <w:noWrap/>
            <w:vAlign w:val="center"/>
            <w:hideMark/>
          </w:tcPr>
          <w:p w14:paraId="6CFF4F3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12.19</w:t>
            </w:r>
          </w:p>
        </w:tc>
        <w:tc>
          <w:tcPr>
            <w:tcW w:w="845" w:type="dxa"/>
            <w:tcBorders>
              <w:top w:val="nil"/>
              <w:bottom w:val="nil"/>
              <w:right w:val="nil"/>
            </w:tcBorders>
            <w:shd w:val="clear" w:color="auto" w:fill="auto"/>
            <w:noWrap/>
            <w:vAlign w:val="center"/>
            <w:hideMark/>
          </w:tcPr>
          <w:p w14:paraId="198F05A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1939</w:t>
            </w:r>
          </w:p>
        </w:tc>
      </w:tr>
      <w:tr w:rsidR="00D36BF8" w:rsidRPr="00C25ED4" w14:paraId="7CC80E69" w14:textId="77777777" w:rsidTr="00C25545">
        <w:trPr>
          <w:jc w:val="center"/>
        </w:trPr>
        <w:tc>
          <w:tcPr>
            <w:tcW w:w="272" w:type="dxa"/>
            <w:tcBorders>
              <w:top w:val="nil"/>
              <w:left w:val="nil"/>
              <w:bottom w:val="nil"/>
            </w:tcBorders>
            <w:shd w:val="clear" w:color="auto" w:fill="auto"/>
            <w:noWrap/>
            <w:vAlign w:val="center"/>
            <w:hideMark/>
          </w:tcPr>
          <w:p w14:paraId="654789E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048330E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Black</w:t>
            </w:r>
          </w:p>
        </w:tc>
        <w:tc>
          <w:tcPr>
            <w:tcW w:w="773" w:type="dxa"/>
            <w:tcBorders>
              <w:top w:val="nil"/>
              <w:bottom w:val="nil"/>
            </w:tcBorders>
            <w:shd w:val="clear" w:color="auto" w:fill="auto"/>
            <w:noWrap/>
            <w:vAlign w:val="center"/>
            <w:hideMark/>
          </w:tcPr>
          <w:p w14:paraId="37F6CAC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899</w:t>
            </w:r>
          </w:p>
        </w:tc>
        <w:tc>
          <w:tcPr>
            <w:tcW w:w="784" w:type="dxa"/>
            <w:tcBorders>
              <w:top w:val="nil"/>
              <w:bottom w:val="nil"/>
            </w:tcBorders>
            <w:shd w:val="clear" w:color="auto" w:fill="auto"/>
            <w:noWrap/>
            <w:vAlign w:val="center"/>
            <w:hideMark/>
          </w:tcPr>
          <w:p w14:paraId="11CF1AF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40.0%</w:t>
            </w:r>
          </w:p>
        </w:tc>
        <w:tc>
          <w:tcPr>
            <w:tcW w:w="1114" w:type="dxa"/>
            <w:tcBorders>
              <w:top w:val="nil"/>
              <w:bottom w:val="nil"/>
            </w:tcBorders>
            <w:shd w:val="clear" w:color="auto" w:fill="auto"/>
            <w:noWrap/>
            <w:vAlign w:val="center"/>
            <w:hideMark/>
          </w:tcPr>
          <w:p w14:paraId="514AB00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26023</w:t>
            </w:r>
          </w:p>
        </w:tc>
        <w:tc>
          <w:tcPr>
            <w:tcW w:w="1276" w:type="dxa"/>
            <w:tcBorders>
              <w:top w:val="nil"/>
              <w:bottom w:val="nil"/>
            </w:tcBorders>
            <w:shd w:val="clear" w:color="auto" w:fill="auto"/>
            <w:noWrap/>
            <w:vAlign w:val="center"/>
            <w:hideMark/>
          </w:tcPr>
          <w:p w14:paraId="394EDF4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11.58</w:t>
            </w:r>
          </w:p>
        </w:tc>
        <w:tc>
          <w:tcPr>
            <w:tcW w:w="845" w:type="dxa"/>
            <w:tcBorders>
              <w:top w:val="nil"/>
              <w:bottom w:val="nil"/>
              <w:right w:val="nil"/>
            </w:tcBorders>
            <w:shd w:val="clear" w:color="auto" w:fill="auto"/>
            <w:noWrap/>
            <w:vAlign w:val="center"/>
            <w:hideMark/>
          </w:tcPr>
          <w:p w14:paraId="21D829C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2247</w:t>
            </w:r>
          </w:p>
        </w:tc>
      </w:tr>
      <w:tr w:rsidR="00D36BF8" w:rsidRPr="00C25ED4" w14:paraId="7506695C" w14:textId="77777777" w:rsidTr="00C25545">
        <w:trPr>
          <w:jc w:val="center"/>
        </w:trPr>
        <w:tc>
          <w:tcPr>
            <w:tcW w:w="272" w:type="dxa"/>
            <w:tcBorders>
              <w:top w:val="nil"/>
              <w:left w:val="nil"/>
              <w:bottom w:val="single" w:sz="4" w:space="0" w:color="auto"/>
            </w:tcBorders>
            <w:shd w:val="clear" w:color="auto" w:fill="auto"/>
            <w:noWrap/>
            <w:vAlign w:val="center"/>
            <w:hideMark/>
          </w:tcPr>
          <w:p w14:paraId="21DDBEC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single" w:sz="4" w:space="0" w:color="auto"/>
            </w:tcBorders>
            <w:shd w:val="clear" w:color="auto" w:fill="auto"/>
            <w:noWrap/>
            <w:vAlign w:val="center"/>
            <w:hideMark/>
          </w:tcPr>
          <w:p w14:paraId="52ED33E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Mixed/Other</w:t>
            </w:r>
          </w:p>
        </w:tc>
        <w:tc>
          <w:tcPr>
            <w:tcW w:w="773" w:type="dxa"/>
            <w:tcBorders>
              <w:top w:val="nil"/>
              <w:bottom w:val="single" w:sz="4" w:space="0" w:color="auto"/>
            </w:tcBorders>
            <w:shd w:val="clear" w:color="auto" w:fill="auto"/>
            <w:noWrap/>
            <w:vAlign w:val="center"/>
            <w:hideMark/>
          </w:tcPr>
          <w:p w14:paraId="70ED340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453</w:t>
            </w:r>
          </w:p>
        </w:tc>
        <w:tc>
          <w:tcPr>
            <w:tcW w:w="784" w:type="dxa"/>
            <w:tcBorders>
              <w:top w:val="nil"/>
              <w:bottom w:val="single" w:sz="4" w:space="0" w:color="auto"/>
            </w:tcBorders>
            <w:shd w:val="clear" w:color="auto" w:fill="auto"/>
            <w:noWrap/>
            <w:vAlign w:val="center"/>
            <w:hideMark/>
          </w:tcPr>
          <w:p w14:paraId="56F1EE3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41.9%</w:t>
            </w:r>
          </w:p>
        </w:tc>
        <w:tc>
          <w:tcPr>
            <w:tcW w:w="1114" w:type="dxa"/>
            <w:tcBorders>
              <w:top w:val="nil"/>
              <w:bottom w:val="single" w:sz="4" w:space="0" w:color="auto"/>
            </w:tcBorders>
            <w:shd w:val="clear" w:color="auto" w:fill="auto"/>
            <w:noWrap/>
            <w:vAlign w:val="center"/>
            <w:hideMark/>
          </w:tcPr>
          <w:p w14:paraId="1A4BE58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12114</w:t>
            </w:r>
          </w:p>
        </w:tc>
        <w:tc>
          <w:tcPr>
            <w:tcW w:w="1276" w:type="dxa"/>
            <w:tcBorders>
              <w:top w:val="nil"/>
              <w:bottom w:val="single" w:sz="4" w:space="0" w:color="auto"/>
            </w:tcBorders>
            <w:shd w:val="clear" w:color="auto" w:fill="auto"/>
            <w:noWrap/>
            <w:vAlign w:val="center"/>
            <w:hideMark/>
          </w:tcPr>
          <w:p w14:paraId="6CB1656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11.22</w:t>
            </w:r>
          </w:p>
        </w:tc>
        <w:tc>
          <w:tcPr>
            <w:tcW w:w="845" w:type="dxa"/>
            <w:tcBorders>
              <w:top w:val="nil"/>
              <w:bottom w:val="single" w:sz="4" w:space="0" w:color="auto"/>
              <w:right w:val="nil"/>
            </w:tcBorders>
            <w:shd w:val="clear" w:color="auto" w:fill="auto"/>
            <w:noWrap/>
            <w:vAlign w:val="center"/>
            <w:hideMark/>
          </w:tcPr>
          <w:p w14:paraId="6C8CEA5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1080</w:t>
            </w:r>
          </w:p>
        </w:tc>
      </w:tr>
      <w:tr w:rsidR="00D36BF8" w:rsidRPr="00C25ED4" w14:paraId="6237C263" w14:textId="77777777" w:rsidTr="00C25545">
        <w:trPr>
          <w:jc w:val="center"/>
        </w:trPr>
        <w:tc>
          <w:tcPr>
            <w:tcW w:w="7791" w:type="dxa"/>
            <w:gridSpan w:val="7"/>
            <w:tcBorders>
              <w:top w:val="nil"/>
              <w:left w:val="nil"/>
              <w:bottom w:val="nil"/>
              <w:right w:val="nil"/>
            </w:tcBorders>
            <w:shd w:val="clear" w:color="auto" w:fill="auto"/>
            <w:noWrap/>
            <w:vAlign w:val="center"/>
            <w:hideMark/>
          </w:tcPr>
          <w:p w14:paraId="1204EE5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IMD 2015 Deprivation Quintile</w:t>
            </w:r>
          </w:p>
        </w:tc>
      </w:tr>
      <w:tr w:rsidR="00D36BF8" w:rsidRPr="00C25ED4" w14:paraId="4A038CB2" w14:textId="77777777" w:rsidTr="00C25545">
        <w:trPr>
          <w:jc w:val="center"/>
        </w:trPr>
        <w:tc>
          <w:tcPr>
            <w:tcW w:w="272" w:type="dxa"/>
            <w:tcBorders>
              <w:top w:val="nil"/>
              <w:left w:val="nil"/>
              <w:bottom w:val="nil"/>
            </w:tcBorders>
            <w:shd w:val="clear" w:color="auto" w:fill="auto"/>
            <w:noWrap/>
            <w:vAlign w:val="center"/>
            <w:hideMark/>
          </w:tcPr>
          <w:p w14:paraId="102940CF"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nil"/>
              <w:bottom w:val="nil"/>
            </w:tcBorders>
            <w:shd w:val="clear" w:color="auto" w:fill="auto"/>
            <w:noWrap/>
            <w:vAlign w:val="center"/>
            <w:hideMark/>
          </w:tcPr>
          <w:p w14:paraId="19A80DCF"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 Least Deprived</w:t>
            </w:r>
          </w:p>
        </w:tc>
        <w:tc>
          <w:tcPr>
            <w:tcW w:w="773" w:type="dxa"/>
            <w:tcBorders>
              <w:top w:val="nil"/>
              <w:bottom w:val="nil"/>
            </w:tcBorders>
            <w:shd w:val="clear" w:color="auto" w:fill="auto"/>
            <w:noWrap/>
            <w:vAlign w:val="center"/>
            <w:hideMark/>
          </w:tcPr>
          <w:p w14:paraId="5F26720C"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16404</w:t>
            </w:r>
          </w:p>
        </w:tc>
        <w:tc>
          <w:tcPr>
            <w:tcW w:w="784" w:type="dxa"/>
            <w:tcBorders>
              <w:top w:val="nil"/>
              <w:bottom w:val="nil"/>
            </w:tcBorders>
            <w:shd w:val="clear" w:color="auto" w:fill="auto"/>
            <w:noWrap/>
            <w:vAlign w:val="center"/>
            <w:hideMark/>
          </w:tcPr>
          <w:p w14:paraId="60F22ADF"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49.2%</w:t>
            </w:r>
          </w:p>
        </w:tc>
        <w:tc>
          <w:tcPr>
            <w:tcW w:w="1114" w:type="dxa"/>
            <w:tcBorders>
              <w:top w:val="nil"/>
              <w:bottom w:val="nil"/>
            </w:tcBorders>
            <w:shd w:val="clear" w:color="auto" w:fill="auto"/>
            <w:noWrap/>
            <w:vAlign w:val="center"/>
            <w:hideMark/>
          </w:tcPr>
          <w:p w14:paraId="4563982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377391</w:t>
            </w:r>
          </w:p>
        </w:tc>
        <w:tc>
          <w:tcPr>
            <w:tcW w:w="1276" w:type="dxa"/>
            <w:tcBorders>
              <w:top w:val="nil"/>
              <w:bottom w:val="nil"/>
            </w:tcBorders>
            <w:shd w:val="clear" w:color="auto" w:fill="auto"/>
            <w:noWrap/>
            <w:vAlign w:val="center"/>
            <w:hideMark/>
          </w:tcPr>
          <w:p w14:paraId="18D12CFF"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11.31</w:t>
            </w:r>
          </w:p>
        </w:tc>
        <w:tc>
          <w:tcPr>
            <w:tcW w:w="845" w:type="dxa"/>
            <w:tcBorders>
              <w:top w:val="nil"/>
              <w:bottom w:val="nil"/>
              <w:right w:val="nil"/>
            </w:tcBorders>
            <w:shd w:val="clear" w:color="auto" w:fill="auto"/>
            <w:noWrap/>
            <w:vAlign w:val="center"/>
            <w:hideMark/>
          </w:tcPr>
          <w:p w14:paraId="2BB7ECC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33370</w:t>
            </w:r>
          </w:p>
        </w:tc>
      </w:tr>
      <w:tr w:rsidR="00D36BF8" w:rsidRPr="00C25ED4" w14:paraId="1CF3FF26" w14:textId="77777777" w:rsidTr="00C25545">
        <w:trPr>
          <w:jc w:val="center"/>
        </w:trPr>
        <w:tc>
          <w:tcPr>
            <w:tcW w:w="272" w:type="dxa"/>
            <w:tcBorders>
              <w:top w:val="nil"/>
              <w:left w:val="nil"/>
              <w:bottom w:val="nil"/>
            </w:tcBorders>
            <w:shd w:val="clear" w:color="auto" w:fill="auto"/>
            <w:noWrap/>
            <w:vAlign w:val="center"/>
            <w:hideMark/>
          </w:tcPr>
          <w:p w14:paraId="053972E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07FA443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w:t>
            </w:r>
          </w:p>
        </w:tc>
        <w:tc>
          <w:tcPr>
            <w:tcW w:w="773" w:type="dxa"/>
            <w:tcBorders>
              <w:top w:val="nil"/>
              <w:bottom w:val="nil"/>
            </w:tcBorders>
            <w:shd w:val="clear" w:color="auto" w:fill="auto"/>
            <w:noWrap/>
            <w:vAlign w:val="center"/>
            <w:hideMark/>
          </w:tcPr>
          <w:p w14:paraId="2717B73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16851</w:t>
            </w:r>
          </w:p>
        </w:tc>
        <w:tc>
          <w:tcPr>
            <w:tcW w:w="784" w:type="dxa"/>
            <w:tcBorders>
              <w:top w:val="nil"/>
              <w:bottom w:val="nil"/>
            </w:tcBorders>
            <w:shd w:val="clear" w:color="auto" w:fill="auto"/>
            <w:noWrap/>
            <w:vAlign w:val="center"/>
            <w:hideMark/>
          </w:tcPr>
          <w:p w14:paraId="53DC8C8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51.4%</w:t>
            </w:r>
          </w:p>
        </w:tc>
        <w:tc>
          <w:tcPr>
            <w:tcW w:w="1114" w:type="dxa"/>
            <w:tcBorders>
              <w:top w:val="nil"/>
              <w:bottom w:val="nil"/>
            </w:tcBorders>
            <w:shd w:val="clear" w:color="auto" w:fill="auto"/>
            <w:noWrap/>
            <w:vAlign w:val="center"/>
            <w:hideMark/>
          </w:tcPr>
          <w:p w14:paraId="4F07DED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364830</w:t>
            </w:r>
          </w:p>
        </w:tc>
        <w:tc>
          <w:tcPr>
            <w:tcW w:w="1276" w:type="dxa"/>
            <w:tcBorders>
              <w:top w:val="nil"/>
              <w:bottom w:val="nil"/>
            </w:tcBorders>
            <w:shd w:val="clear" w:color="auto" w:fill="auto"/>
            <w:noWrap/>
            <w:vAlign w:val="center"/>
            <w:hideMark/>
          </w:tcPr>
          <w:p w14:paraId="7BFC1EF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11.13</w:t>
            </w:r>
          </w:p>
        </w:tc>
        <w:tc>
          <w:tcPr>
            <w:tcW w:w="845" w:type="dxa"/>
            <w:tcBorders>
              <w:top w:val="nil"/>
              <w:bottom w:val="nil"/>
              <w:right w:val="nil"/>
            </w:tcBorders>
            <w:shd w:val="clear" w:color="auto" w:fill="auto"/>
            <w:noWrap/>
            <w:vAlign w:val="center"/>
            <w:hideMark/>
          </w:tcPr>
          <w:p w14:paraId="123BD8A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32786</w:t>
            </w:r>
          </w:p>
        </w:tc>
      </w:tr>
      <w:tr w:rsidR="00D36BF8" w:rsidRPr="00C25ED4" w14:paraId="2001938F" w14:textId="77777777" w:rsidTr="00C25545">
        <w:trPr>
          <w:jc w:val="center"/>
        </w:trPr>
        <w:tc>
          <w:tcPr>
            <w:tcW w:w="272" w:type="dxa"/>
            <w:tcBorders>
              <w:top w:val="nil"/>
              <w:left w:val="nil"/>
              <w:bottom w:val="nil"/>
            </w:tcBorders>
            <w:shd w:val="clear" w:color="auto" w:fill="auto"/>
            <w:noWrap/>
            <w:vAlign w:val="center"/>
            <w:hideMark/>
          </w:tcPr>
          <w:p w14:paraId="5790254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4FF2F1C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w:t>
            </w:r>
          </w:p>
        </w:tc>
        <w:tc>
          <w:tcPr>
            <w:tcW w:w="773" w:type="dxa"/>
            <w:tcBorders>
              <w:top w:val="nil"/>
              <w:bottom w:val="nil"/>
            </w:tcBorders>
            <w:shd w:val="clear" w:color="auto" w:fill="auto"/>
            <w:noWrap/>
            <w:vAlign w:val="center"/>
            <w:hideMark/>
          </w:tcPr>
          <w:p w14:paraId="3632491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14841</w:t>
            </w:r>
          </w:p>
        </w:tc>
        <w:tc>
          <w:tcPr>
            <w:tcW w:w="784" w:type="dxa"/>
            <w:tcBorders>
              <w:top w:val="nil"/>
              <w:bottom w:val="nil"/>
            </w:tcBorders>
            <w:shd w:val="clear" w:color="auto" w:fill="auto"/>
            <w:noWrap/>
            <w:vAlign w:val="center"/>
            <w:hideMark/>
          </w:tcPr>
          <w:p w14:paraId="422AE37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51.9%</w:t>
            </w:r>
          </w:p>
        </w:tc>
        <w:tc>
          <w:tcPr>
            <w:tcW w:w="1114" w:type="dxa"/>
            <w:tcBorders>
              <w:top w:val="nil"/>
              <w:bottom w:val="nil"/>
            </w:tcBorders>
            <w:shd w:val="clear" w:color="auto" w:fill="auto"/>
            <w:noWrap/>
            <w:vAlign w:val="center"/>
            <w:hideMark/>
          </w:tcPr>
          <w:p w14:paraId="02659D4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319408</w:t>
            </w:r>
          </w:p>
        </w:tc>
        <w:tc>
          <w:tcPr>
            <w:tcW w:w="1276" w:type="dxa"/>
            <w:tcBorders>
              <w:top w:val="nil"/>
              <w:bottom w:val="nil"/>
            </w:tcBorders>
            <w:shd w:val="clear" w:color="auto" w:fill="auto"/>
            <w:noWrap/>
            <w:vAlign w:val="center"/>
            <w:hideMark/>
          </w:tcPr>
          <w:p w14:paraId="0F4FA47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11.16</w:t>
            </w:r>
          </w:p>
        </w:tc>
        <w:tc>
          <w:tcPr>
            <w:tcW w:w="845" w:type="dxa"/>
            <w:tcBorders>
              <w:top w:val="nil"/>
              <w:bottom w:val="nil"/>
              <w:right w:val="nil"/>
            </w:tcBorders>
            <w:shd w:val="clear" w:color="auto" w:fill="auto"/>
            <w:noWrap/>
            <w:vAlign w:val="center"/>
            <w:hideMark/>
          </w:tcPr>
          <w:p w14:paraId="7D64D30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28610</w:t>
            </w:r>
          </w:p>
        </w:tc>
      </w:tr>
      <w:tr w:rsidR="00D36BF8" w:rsidRPr="00C25ED4" w14:paraId="2B4D5C8C" w14:textId="77777777" w:rsidTr="00C25545">
        <w:trPr>
          <w:jc w:val="center"/>
        </w:trPr>
        <w:tc>
          <w:tcPr>
            <w:tcW w:w="272" w:type="dxa"/>
            <w:tcBorders>
              <w:top w:val="nil"/>
              <w:left w:val="nil"/>
              <w:bottom w:val="nil"/>
            </w:tcBorders>
            <w:shd w:val="clear" w:color="auto" w:fill="auto"/>
            <w:noWrap/>
            <w:vAlign w:val="center"/>
            <w:hideMark/>
          </w:tcPr>
          <w:p w14:paraId="778695E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0131F7F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w:t>
            </w:r>
          </w:p>
        </w:tc>
        <w:tc>
          <w:tcPr>
            <w:tcW w:w="773" w:type="dxa"/>
            <w:tcBorders>
              <w:top w:val="nil"/>
              <w:bottom w:val="nil"/>
            </w:tcBorders>
            <w:shd w:val="clear" w:color="auto" w:fill="auto"/>
            <w:noWrap/>
            <w:vAlign w:val="center"/>
            <w:hideMark/>
          </w:tcPr>
          <w:p w14:paraId="750397E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12687</w:t>
            </w:r>
          </w:p>
        </w:tc>
        <w:tc>
          <w:tcPr>
            <w:tcW w:w="784" w:type="dxa"/>
            <w:tcBorders>
              <w:top w:val="nil"/>
              <w:bottom w:val="nil"/>
            </w:tcBorders>
            <w:shd w:val="clear" w:color="auto" w:fill="auto"/>
            <w:noWrap/>
            <w:vAlign w:val="center"/>
            <w:hideMark/>
          </w:tcPr>
          <w:p w14:paraId="25E831F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50.9%</w:t>
            </w:r>
          </w:p>
        </w:tc>
        <w:tc>
          <w:tcPr>
            <w:tcW w:w="1114" w:type="dxa"/>
            <w:tcBorders>
              <w:top w:val="nil"/>
              <w:bottom w:val="nil"/>
            </w:tcBorders>
            <w:shd w:val="clear" w:color="auto" w:fill="auto"/>
            <w:noWrap/>
            <w:vAlign w:val="center"/>
            <w:hideMark/>
          </w:tcPr>
          <w:p w14:paraId="57D1D86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274378</w:t>
            </w:r>
          </w:p>
        </w:tc>
        <w:tc>
          <w:tcPr>
            <w:tcW w:w="1276" w:type="dxa"/>
            <w:tcBorders>
              <w:top w:val="nil"/>
              <w:bottom w:val="nil"/>
            </w:tcBorders>
            <w:shd w:val="clear" w:color="auto" w:fill="auto"/>
            <w:noWrap/>
            <w:vAlign w:val="center"/>
            <w:hideMark/>
          </w:tcPr>
          <w:p w14:paraId="2868A59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11.01</w:t>
            </w:r>
          </w:p>
        </w:tc>
        <w:tc>
          <w:tcPr>
            <w:tcW w:w="845" w:type="dxa"/>
            <w:tcBorders>
              <w:top w:val="nil"/>
              <w:bottom w:val="nil"/>
              <w:right w:val="nil"/>
            </w:tcBorders>
            <w:shd w:val="clear" w:color="auto" w:fill="auto"/>
            <w:noWrap/>
            <w:vAlign w:val="center"/>
            <w:hideMark/>
          </w:tcPr>
          <w:p w14:paraId="51A4689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24932</w:t>
            </w:r>
          </w:p>
        </w:tc>
      </w:tr>
      <w:tr w:rsidR="00D36BF8" w:rsidRPr="00C25ED4" w14:paraId="6CFB969E" w14:textId="77777777" w:rsidTr="00C25545">
        <w:trPr>
          <w:jc w:val="center"/>
        </w:trPr>
        <w:tc>
          <w:tcPr>
            <w:tcW w:w="272" w:type="dxa"/>
            <w:tcBorders>
              <w:top w:val="nil"/>
              <w:left w:val="nil"/>
              <w:bottom w:val="single" w:sz="4" w:space="0" w:color="auto"/>
            </w:tcBorders>
            <w:shd w:val="clear" w:color="auto" w:fill="auto"/>
            <w:noWrap/>
            <w:vAlign w:val="center"/>
            <w:hideMark/>
          </w:tcPr>
          <w:p w14:paraId="51E42BB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single" w:sz="4" w:space="0" w:color="auto"/>
            </w:tcBorders>
            <w:shd w:val="clear" w:color="auto" w:fill="auto"/>
            <w:noWrap/>
            <w:vAlign w:val="center"/>
            <w:hideMark/>
          </w:tcPr>
          <w:p w14:paraId="396E08E9"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 Most Deprived</w:t>
            </w:r>
          </w:p>
        </w:tc>
        <w:tc>
          <w:tcPr>
            <w:tcW w:w="773" w:type="dxa"/>
            <w:tcBorders>
              <w:top w:val="nil"/>
              <w:bottom w:val="single" w:sz="4" w:space="0" w:color="auto"/>
            </w:tcBorders>
            <w:shd w:val="clear" w:color="auto" w:fill="auto"/>
            <w:noWrap/>
            <w:vAlign w:val="center"/>
            <w:hideMark/>
          </w:tcPr>
          <w:p w14:paraId="4D58AF0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11853</w:t>
            </w:r>
          </w:p>
        </w:tc>
        <w:tc>
          <w:tcPr>
            <w:tcW w:w="784" w:type="dxa"/>
            <w:tcBorders>
              <w:top w:val="nil"/>
              <w:bottom w:val="single" w:sz="4" w:space="0" w:color="auto"/>
            </w:tcBorders>
            <w:shd w:val="clear" w:color="auto" w:fill="auto"/>
            <w:noWrap/>
            <w:vAlign w:val="center"/>
            <w:hideMark/>
          </w:tcPr>
          <w:p w14:paraId="5E3F9E5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53.0%</w:t>
            </w:r>
          </w:p>
        </w:tc>
        <w:tc>
          <w:tcPr>
            <w:tcW w:w="1114" w:type="dxa"/>
            <w:tcBorders>
              <w:top w:val="nil"/>
              <w:bottom w:val="single" w:sz="4" w:space="0" w:color="auto"/>
            </w:tcBorders>
            <w:shd w:val="clear" w:color="auto" w:fill="auto"/>
            <w:noWrap/>
            <w:vAlign w:val="center"/>
            <w:hideMark/>
          </w:tcPr>
          <w:p w14:paraId="49A9968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244494</w:t>
            </w:r>
          </w:p>
        </w:tc>
        <w:tc>
          <w:tcPr>
            <w:tcW w:w="1276" w:type="dxa"/>
            <w:tcBorders>
              <w:top w:val="nil"/>
              <w:bottom w:val="single" w:sz="4" w:space="0" w:color="auto"/>
            </w:tcBorders>
            <w:shd w:val="clear" w:color="auto" w:fill="auto"/>
            <w:noWrap/>
            <w:vAlign w:val="center"/>
            <w:hideMark/>
          </w:tcPr>
          <w:p w14:paraId="0A0020E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10.93</w:t>
            </w:r>
          </w:p>
        </w:tc>
        <w:tc>
          <w:tcPr>
            <w:tcW w:w="845" w:type="dxa"/>
            <w:tcBorders>
              <w:top w:val="nil"/>
              <w:bottom w:val="single" w:sz="4" w:space="0" w:color="auto"/>
              <w:right w:val="nil"/>
            </w:tcBorders>
            <w:shd w:val="clear" w:color="auto" w:fill="auto"/>
            <w:noWrap/>
            <w:vAlign w:val="center"/>
            <w:hideMark/>
          </w:tcPr>
          <w:p w14:paraId="41FB9E7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22366</w:t>
            </w:r>
          </w:p>
        </w:tc>
      </w:tr>
      <w:tr w:rsidR="00D36BF8" w:rsidRPr="00C25ED4" w14:paraId="21858F0A" w14:textId="77777777" w:rsidTr="00C25545">
        <w:trPr>
          <w:jc w:val="center"/>
        </w:trPr>
        <w:tc>
          <w:tcPr>
            <w:tcW w:w="7791" w:type="dxa"/>
            <w:gridSpan w:val="7"/>
            <w:tcBorders>
              <w:top w:val="nil"/>
              <w:left w:val="nil"/>
              <w:bottom w:val="nil"/>
              <w:right w:val="nil"/>
            </w:tcBorders>
            <w:shd w:val="clear" w:color="auto" w:fill="auto"/>
            <w:noWrap/>
            <w:vAlign w:val="center"/>
            <w:hideMark/>
          </w:tcPr>
          <w:p w14:paraId="0ACE259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GP Region</w:t>
            </w:r>
          </w:p>
        </w:tc>
      </w:tr>
      <w:tr w:rsidR="00D36BF8" w:rsidRPr="00C25ED4" w14:paraId="1F7AEE82" w14:textId="77777777" w:rsidTr="00C25545">
        <w:trPr>
          <w:jc w:val="center"/>
        </w:trPr>
        <w:tc>
          <w:tcPr>
            <w:tcW w:w="272" w:type="dxa"/>
            <w:tcBorders>
              <w:top w:val="nil"/>
              <w:left w:val="nil"/>
              <w:bottom w:val="nil"/>
            </w:tcBorders>
            <w:shd w:val="clear" w:color="auto" w:fill="auto"/>
            <w:noWrap/>
            <w:vAlign w:val="center"/>
            <w:hideMark/>
          </w:tcPr>
          <w:p w14:paraId="1BCD436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p>
        </w:tc>
        <w:tc>
          <w:tcPr>
            <w:tcW w:w="2727" w:type="dxa"/>
            <w:tcBorders>
              <w:top w:val="nil"/>
              <w:bottom w:val="nil"/>
            </w:tcBorders>
            <w:shd w:val="clear" w:color="auto" w:fill="auto"/>
            <w:noWrap/>
            <w:vAlign w:val="center"/>
            <w:hideMark/>
          </w:tcPr>
          <w:p w14:paraId="2C9FBF47"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South East Coast</w:t>
            </w:r>
          </w:p>
        </w:tc>
        <w:tc>
          <w:tcPr>
            <w:tcW w:w="773" w:type="dxa"/>
            <w:tcBorders>
              <w:top w:val="nil"/>
              <w:bottom w:val="nil"/>
            </w:tcBorders>
            <w:shd w:val="clear" w:color="auto" w:fill="auto"/>
            <w:noWrap/>
            <w:vAlign w:val="center"/>
            <w:hideMark/>
          </w:tcPr>
          <w:p w14:paraId="0779E01C"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5816</w:t>
            </w:r>
          </w:p>
        </w:tc>
        <w:tc>
          <w:tcPr>
            <w:tcW w:w="784" w:type="dxa"/>
            <w:tcBorders>
              <w:top w:val="nil"/>
              <w:bottom w:val="nil"/>
            </w:tcBorders>
            <w:shd w:val="clear" w:color="auto" w:fill="auto"/>
            <w:noWrap/>
            <w:vAlign w:val="center"/>
            <w:hideMark/>
          </w:tcPr>
          <w:p w14:paraId="6997596D"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48.2%</w:t>
            </w:r>
          </w:p>
        </w:tc>
        <w:tc>
          <w:tcPr>
            <w:tcW w:w="1114" w:type="dxa"/>
            <w:tcBorders>
              <w:top w:val="nil"/>
              <w:bottom w:val="nil"/>
            </w:tcBorders>
            <w:shd w:val="clear" w:color="auto" w:fill="auto"/>
            <w:noWrap/>
            <w:vAlign w:val="center"/>
            <w:hideMark/>
          </w:tcPr>
          <w:p w14:paraId="6E4EA0D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136116</w:t>
            </w:r>
          </w:p>
        </w:tc>
        <w:tc>
          <w:tcPr>
            <w:tcW w:w="1276" w:type="dxa"/>
            <w:tcBorders>
              <w:top w:val="nil"/>
              <w:bottom w:val="nil"/>
            </w:tcBorders>
            <w:shd w:val="clear" w:color="auto" w:fill="auto"/>
            <w:noWrap/>
            <w:vAlign w:val="center"/>
            <w:hideMark/>
          </w:tcPr>
          <w:p w14:paraId="597CFD58"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11.29</w:t>
            </w:r>
          </w:p>
        </w:tc>
        <w:tc>
          <w:tcPr>
            <w:tcW w:w="845" w:type="dxa"/>
            <w:tcBorders>
              <w:top w:val="nil"/>
              <w:bottom w:val="nil"/>
              <w:right w:val="nil"/>
            </w:tcBorders>
            <w:shd w:val="clear" w:color="auto" w:fill="auto"/>
            <w:noWrap/>
            <w:vAlign w:val="center"/>
            <w:hideMark/>
          </w:tcPr>
          <w:p w14:paraId="2B0FFD73"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12057</w:t>
            </w:r>
          </w:p>
        </w:tc>
      </w:tr>
      <w:tr w:rsidR="00D36BF8" w:rsidRPr="00C25ED4" w14:paraId="32233756" w14:textId="77777777" w:rsidTr="00C25545">
        <w:trPr>
          <w:jc w:val="center"/>
        </w:trPr>
        <w:tc>
          <w:tcPr>
            <w:tcW w:w="272" w:type="dxa"/>
            <w:tcBorders>
              <w:top w:val="nil"/>
              <w:left w:val="nil"/>
              <w:bottom w:val="nil"/>
            </w:tcBorders>
            <w:shd w:val="clear" w:color="auto" w:fill="auto"/>
            <w:noWrap/>
            <w:vAlign w:val="center"/>
            <w:hideMark/>
          </w:tcPr>
          <w:p w14:paraId="4A1CC0E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4C202E6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North East</w:t>
            </w:r>
          </w:p>
        </w:tc>
        <w:tc>
          <w:tcPr>
            <w:tcW w:w="773" w:type="dxa"/>
            <w:tcBorders>
              <w:top w:val="nil"/>
              <w:bottom w:val="nil"/>
            </w:tcBorders>
            <w:shd w:val="clear" w:color="auto" w:fill="auto"/>
            <w:noWrap/>
            <w:vAlign w:val="center"/>
            <w:hideMark/>
          </w:tcPr>
          <w:p w14:paraId="09A2491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4252</w:t>
            </w:r>
          </w:p>
        </w:tc>
        <w:tc>
          <w:tcPr>
            <w:tcW w:w="784" w:type="dxa"/>
            <w:tcBorders>
              <w:top w:val="nil"/>
              <w:bottom w:val="nil"/>
            </w:tcBorders>
            <w:shd w:val="clear" w:color="auto" w:fill="auto"/>
            <w:noWrap/>
            <w:vAlign w:val="center"/>
            <w:hideMark/>
          </w:tcPr>
          <w:p w14:paraId="31DADF5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57.2%</w:t>
            </w:r>
          </w:p>
        </w:tc>
        <w:tc>
          <w:tcPr>
            <w:tcW w:w="1114" w:type="dxa"/>
            <w:tcBorders>
              <w:top w:val="nil"/>
              <w:bottom w:val="nil"/>
            </w:tcBorders>
            <w:shd w:val="clear" w:color="auto" w:fill="auto"/>
            <w:noWrap/>
            <w:vAlign w:val="center"/>
            <w:hideMark/>
          </w:tcPr>
          <w:p w14:paraId="34B78465" w14:textId="77777777" w:rsidR="00D36BF8" w:rsidRPr="00C25ED4" w:rsidRDefault="00D36BF8" w:rsidP="00C25ED4">
            <w:pPr>
              <w:autoSpaceDE w:val="0"/>
              <w:autoSpaceDN w:val="0"/>
              <w:adjustRightInd w:val="0"/>
              <w:snapToGrid w:val="0"/>
              <w:spacing w:line="240" w:lineRule="auto"/>
              <w:jc w:val="center"/>
              <w:rPr>
                <w:rFonts w:eastAsia="Times New Roman" w:cs="Arial"/>
                <w:i/>
                <w:iCs/>
                <w:sz w:val="18"/>
                <w:szCs w:val="16"/>
                <w:lang w:eastAsia="en-GB"/>
              </w:rPr>
            </w:pPr>
            <w:r w:rsidRPr="00C25ED4">
              <w:rPr>
                <w:rFonts w:eastAsia="Times New Roman" w:cs="Arial"/>
                <w:i/>
                <w:iCs/>
                <w:sz w:val="18"/>
                <w:szCs w:val="16"/>
                <w:lang w:eastAsia="en-GB"/>
              </w:rPr>
              <w:t>85681</w:t>
            </w:r>
          </w:p>
        </w:tc>
        <w:tc>
          <w:tcPr>
            <w:tcW w:w="1276" w:type="dxa"/>
            <w:tcBorders>
              <w:top w:val="nil"/>
              <w:bottom w:val="nil"/>
            </w:tcBorders>
            <w:shd w:val="clear" w:color="auto" w:fill="auto"/>
            <w:noWrap/>
            <w:vAlign w:val="center"/>
            <w:hideMark/>
          </w:tcPr>
          <w:p w14:paraId="7F5EE47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11.53</w:t>
            </w:r>
          </w:p>
        </w:tc>
        <w:tc>
          <w:tcPr>
            <w:tcW w:w="845" w:type="dxa"/>
            <w:tcBorders>
              <w:top w:val="nil"/>
              <w:bottom w:val="nil"/>
              <w:right w:val="nil"/>
            </w:tcBorders>
            <w:shd w:val="clear" w:color="auto" w:fill="auto"/>
            <w:noWrap/>
            <w:vAlign w:val="center"/>
            <w:hideMark/>
          </w:tcPr>
          <w:p w14:paraId="766F97E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7428</w:t>
            </w:r>
          </w:p>
        </w:tc>
      </w:tr>
      <w:tr w:rsidR="00D36BF8" w:rsidRPr="00C25ED4" w14:paraId="045F43C2" w14:textId="77777777" w:rsidTr="00C25545">
        <w:trPr>
          <w:jc w:val="center"/>
        </w:trPr>
        <w:tc>
          <w:tcPr>
            <w:tcW w:w="272" w:type="dxa"/>
            <w:tcBorders>
              <w:top w:val="nil"/>
              <w:left w:val="nil"/>
              <w:bottom w:val="nil"/>
            </w:tcBorders>
            <w:shd w:val="clear" w:color="auto" w:fill="auto"/>
            <w:noWrap/>
            <w:vAlign w:val="center"/>
            <w:hideMark/>
          </w:tcPr>
          <w:p w14:paraId="0C0E9D8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27BF3D1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North West</w:t>
            </w:r>
          </w:p>
        </w:tc>
        <w:tc>
          <w:tcPr>
            <w:tcW w:w="773" w:type="dxa"/>
            <w:tcBorders>
              <w:top w:val="nil"/>
              <w:bottom w:val="nil"/>
            </w:tcBorders>
            <w:shd w:val="clear" w:color="auto" w:fill="auto"/>
            <w:noWrap/>
            <w:vAlign w:val="center"/>
            <w:hideMark/>
          </w:tcPr>
          <w:p w14:paraId="6E97291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13418</w:t>
            </w:r>
          </w:p>
        </w:tc>
        <w:tc>
          <w:tcPr>
            <w:tcW w:w="784" w:type="dxa"/>
            <w:tcBorders>
              <w:top w:val="nil"/>
              <w:bottom w:val="nil"/>
            </w:tcBorders>
            <w:shd w:val="clear" w:color="auto" w:fill="auto"/>
            <w:noWrap/>
            <w:vAlign w:val="center"/>
            <w:hideMark/>
          </w:tcPr>
          <w:p w14:paraId="380F543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52.8%</w:t>
            </w:r>
          </w:p>
        </w:tc>
        <w:tc>
          <w:tcPr>
            <w:tcW w:w="1114" w:type="dxa"/>
            <w:tcBorders>
              <w:top w:val="nil"/>
              <w:bottom w:val="nil"/>
            </w:tcBorders>
            <w:shd w:val="clear" w:color="auto" w:fill="auto"/>
            <w:noWrap/>
            <w:vAlign w:val="center"/>
            <w:hideMark/>
          </w:tcPr>
          <w:p w14:paraId="3F1F3A5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289817</w:t>
            </w:r>
          </w:p>
        </w:tc>
        <w:tc>
          <w:tcPr>
            <w:tcW w:w="1276" w:type="dxa"/>
            <w:tcBorders>
              <w:top w:val="nil"/>
              <w:bottom w:val="nil"/>
            </w:tcBorders>
            <w:shd w:val="clear" w:color="auto" w:fill="auto"/>
            <w:noWrap/>
            <w:vAlign w:val="center"/>
            <w:hideMark/>
          </w:tcPr>
          <w:p w14:paraId="2C0F074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11.40</w:t>
            </w:r>
          </w:p>
        </w:tc>
        <w:tc>
          <w:tcPr>
            <w:tcW w:w="845" w:type="dxa"/>
            <w:tcBorders>
              <w:top w:val="nil"/>
              <w:bottom w:val="nil"/>
              <w:right w:val="nil"/>
            </w:tcBorders>
            <w:shd w:val="clear" w:color="auto" w:fill="auto"/>
            <w:noWrap/>
            <w:vAlign w:val="center"/>
            <w:hideMark/>
          </w:tcPr>
          <w:p w14:paraId="57982F6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25427</w:t>
            </w:r>
          </w:p>
        </w:tc>
      </w:tr>
      <w:tr w:rsidR="00D36BF8" w:rsidRPr="00C25ED4" w14:paraId="1CC7A949" w14:textId="77777777" w:rsidTr="00C25545">
        <w:trPr>
          <w:jc w:val="center"/>
        </w:trPr>
        <w:tc>
          <w:tcPr>
            <w:tcW w:w="272" w:type="dxa"/>
            <w:tcBorders>
              <w:top w:val="nil"/>
              <w:left w:val="nil"/>
              <w:bottom w:val="nil"/>
            </w:tcBorders>
            <w:shd w:val="clear" w:color="auto" w:fill="auto"/>
            <w:noWrap/>
            <w:vAlign w:val="center"/>
            <w:hideMark/>
          </w:tcPr>
          <w:p w14:paraId="55B72BF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6F1D747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Yorkshire And The Humber</w:t>
            </w:r>
          </w:p>
        </w:tc>
        <w:tc>
          <w:tcPr>
            <w:tcW w:w="773" w:type="dxa"/>
            <w:tcBorders>
              <w:top w:val="nil"/>
              <w:bottom w:val="nil"/>
            </w:tcBorders>
            <w:shd w:val="clear" w:color="auto" w:fill="auto"/>
            <w:noWrap/>
            <w:vAlign w:val="center"/>
            <w:hideMark/>
          </w:tcPr>
          <w:p w14:paraId="5809269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3082</w:t>
            </w:r>
          </w:p>
        </w:tc>
        <w:tc>
          <w:tcPr>
            <w:tcW w:w="784" w:type="dxa"/>
            <w:tcBorders>
              <w:top w:val="nil"/>
              <w:bottom w:val="nil"/>
            </w:tcBorders>
            <w:shd w:val="clear" w:color="auto" w:fill="auto"/>
            <w:noWrap/>
            <w:vAlign w:val="center"/>
            <w:hideMark/>
          </w:tcPr>
          <w:p w14:paraId="721A14F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50.2%</w:t>
            </w:r>
          </w:p>
        </w:tc>
        <w:tc>
          <w:tcPr>
            <w:tcW w:w="1114" w:type="dxa"/>
            <w:tcBorders>
              <w:top w:val="nil"/>
              <w:bottom w:val="nil"/>
            </w:tcBorders>
            <w:shd w:val="clear" w:color="auto" w:fill="auto"/>
            <w:noWrap/>
            <w:vAlign w:val="center"/>
            <w:hideMark/>
          </w:tcPr>
          <w:p w14:paraId="6DA43F91"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68595</w:t>
            </w:r>
          </w:p>
        </w:tc>
        <w:tc>
          <w:tcPr>
            <w:tcW w:w="1276" w:type="dxa"/>
            <w:tcBorders>
              <w:top w:val="nil"/>
              <w:bottom w:val="nil"/>
            </w:tcBorders>
            <w:shd w:val="clear" w:color="auto" w:fill="auto"/>
            <w:noWrap/>
            <w:vAlign w:val="center"/>
            <w:hideMark/>
          </w:tcPr>
          <w:p w14:paraId="5127A21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11.17</w:t>
            </w:r>
          </w:p>
        </w:tc>
        <w:tc>
          <w:tcPr>
            <w:tcW w:w="845" w:type="dxa"/>
            <w:tcBorders>
              <w:top w:val="nil"/>
              <w:bottom w:val="nil"/>
              <w:right w:val="nil"/>
            </w:tcBorders>
            <w:shd w:val="clear" w:color="auto" w:fill="auto"/>
            <w:noWrap/>
            <w:vAlign w:val="center"/>
            <w:hideMark/>
          </w:tcPr>
          <w:p w14:paraId="78818B3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6139</w:t>
            </w:r>
          </w:p>
        </w:tc>
      </w:tr>
      <w:tr w:rsidR="00D36BF8" w:rsidRPr="00C25ED4" w14:paraId="228E3DCA" w14:textId="77777777" w:rsidTr="00C25545">
        <w:trPr>
          <w:jc w:val="center"/>
        </w:trPr>
        <w:tc>
          <w:tcPr>
            <w:tcW w:w="272" w:type="dxa"/>
            <w:tcBorders>
              <w:top w:val="nil"/>
              <w:left w:val="nil"/>
              <w:bottom w:val="nil"/>
            </w:tcBorders>
            <w:shd w:val="clear" w:color="auto" w:fill="auto"/>
            <w:noWrap/>
            <w:vAlign w:val="center"/>
            <w:hideMark/>
          </w:tcPr>
          <w:p w14:paraId="32B60E6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0D52E70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East Midlands</w:t>
            </w:r>
          </w:p>
        </w:tc>
        <w:tc>
          <w:tcPr>
            <w:tcW w:w="773" w:type="dxa"/>
            <w:tcBorders>
              <w:top w:val="nil"/>
              <w:bottom w:val="nil"/>
            </w:tcBorders>
            <w:shd w:val="clear" w:color="auto" w:fill="auto"/>
            <w:noWrap/>
            <w:vAlign w:val="center"/>
            <w:hideMark/>
          </w:tcPr>
          <w:p w14:paraId="4074A83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1410</w:t>
            </w:r>
          </w:p>
        </w:tc>
        <w:tc>
          <w:tcPr>
            <w:tcW w:w="784" w:type="dxa"/>
            <w:tcBorders>
              <w:top w:val="nil"/>
              <w:bottom w:val="nil"/>
            </w:tcBorders>
            <w:shd w:val="clear" w:color="auto" w:fill="auto"/>
            <w:noWrap/>
            <w:vAlign w:val="center"/>
            <w:hideMark/>
          </w:tcPr>
          <w:p w14:paraId="56662F2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46.7%</w:t>
            </w:r>
          </w:p>
        </w:tc>
        <w:tc>
          <w:tcPr>
            <w:tcW w:w="1114" w:type="dxa"/>
            <w:tcBorders>
              <w:top w:val="nil"/>
              <w:bottom w:val="nil"/>
            </w:tcBorders>
            <w:shd w:val="clear" w:color="auto" w:fill="auto"/>
            <w:noWrap/>
            <w:vAlign w:val="center"/>
            <w:hideMark/>
          </w:tcPr>
          <w:p w14:paraId="292CD27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32825</w:t>
            </w:r>
          </w:p>
        </w:tc>
        <w:tc>
          <w:tcPr>
            <w:tcW w:w="1276" w:type="dxa"/>
            <w:tcBorders>
              <w:top w:val="nil"/>
              <w:bottom w:val="nil"/>
            </w:tcBorders>
            <w:shd w:val="clear" w:color="auto" w:fill="auto"/>
            <w:noWrap/>
            <w:vAlign w:val="center"/>
            <w:hideMark/>
          </w:tcPr>
          <w:p w14:paraId="37925E5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10.87</w:t>
            </w:r>
          </w:p>
        </w:tc>
        <w:tc>
          <w:tcPr>
            <w:tcW w:w="845" w:type="dxa"/>
            <w:tcBorders>
              <w:top w:val="nil"/>
              <w:bottom w:val="nil"/>
              <w:right w:val="nil"/>
            </w:tcBorders>
            <w:shd w:val="clear" w:color="auto" w:fill="auto"/>
            <w:noWrap/>
            <w:vAlign w:val="center"/>
            <w:hideMark/>
          </w:tcPr>
          <w:p w14:paraId="053A244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3020</w:t>
            </w:r>
          </w:p>
        </w:tc>
      </w:tr>
      <w:tr w:rsidR="00D36BF8" w:rsidRPr="00C25ED4" w14:paraId="241CFD6E" w14:textId="77777777" w:rsidTr="00C25545">
        <w:trPr>
          <w:jc w:val="center"/>
        </w:trPr>
        <w:tc>
          <w:tcPr>
            <w:tcW w:w="272" w:type="dxa"/>
            <w:tcBorders>
              <w:top w:val="nil"/>
              <w:left w:val="nil"/>
              <w:bottom w:val="nil"/>
            </w:tcBorders>
            <w:shd w:val="clear" w:color="auto" w:fill="auto"/>
            <w:noWrap/>
            <w:vAlign w:val="center"/>
            <w:hideMark/>
          </w:tcPr>
          <w:p w14:paraId="45E5363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055EA36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East of England</w:t>
            </w:r>
          </w:p>
        </w:tc>
        <w:tc>
          <w:tcPr>
            <w:tcW w:w="773" w:type="dxa"/>
            <w:tcBorders>
              <w:top w:val="nil"/>
              <w:bottom w:val="nil"/>
            </w:tcBorders>
            <w:shd w:val="clear" w:color="auto" w:fill="auto"/>
            <w:noWrap/>
            <w:vAlign w:val="center"/>
            <w:hideMark/>
          </w:tcPr>
          <w:p w14:paraId="1AB010D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4135</w:t>
            </w:r>
          </w:p>
        </w:tc>
        <w:tc>
          <w:tcPr>
            <w:tcW w:w="784" w:type="dxa"/>
            <w:tcBorders>
              <w:top w:val="nil"/>
              <w:bottom w:val="nil"/>
            </w:tcBorders>
            <w:shd w:val="clear" w:color="auto" w:fill="auto"/>
            <w:noWrap/>
            <w:vAlign w:val="center"/>
            <w:hideMark/>
          </w:tcPr>
          <w:p w14:paraId="6F83FC0C"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50.1%</w:t>
            </w:r>
          </w:p>
        </w:tc>
        <w:tc>
          <w:tcPr>
            <w:tcW w:w="1114" w:type="dxa"/>
            <w:tcBorders>
              <w:top w:val="nil"/>
              <w:bottom w:val="nil"/>
            </w:tcBorders>
            <w:shd w:val="clear" w:color="auto" w:fill="auto"/>
            <w:noWrap/>
            <w:vAlign w:val="center"/>
            <w:hideMark/>
          </w:tcPr>
          <w:p w14:paraId="35694BA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91006</w:t>
            </w:r>
          </w:p>
        </w:tc>
        <w:tc>
          <w:tcPr>
            <w:tcW w:w="1276" w:type="dxa"/>
            <w:tcBorders>
              <w:top w:val="nil"/>
              <w:bottom w:val="nil"/>
            </w:tcBorders>
            <w:shd w:val="clear" w:color="auto" w:fill="auto"/>
            <w:noWrap/>
            <w:vAlign w:val="center"/>
            <w:hideMark/>
          </w:tcPr>
          <w:p w14:paraId="2388F44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11.02</w:t>
            </w:r>
          </w:p>
        </w:tc>
        <w:tc>
          <w:tcPr>
            <w:tcW w:w="845" w:type="dxa"/>
            <w:tcBorders>
              <w:top w:val="nil"/>
              <w:bottom w:val="nil"/>
              <w:right w:val="nil"/>
            </w:tcBorders>
            <w:shd w:val="clear" w:color="auto" w:fill="auto"/>
            <w:noWrap/>
            <w:vAlign w:val="center"/>
            <w:hideMark/>
          </w:tcPr>
          <w:p w14:paraId="5811209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8261</w:t>
            </w:r>
          </w:p>
        </w:tc>
      </w:tr>
      <w:tr w:rsidR="00D36BF8" w:rsidRPr="00C25ED4" w14:paraId="2A34069A" w14:textId="77777777" w:rsidTr="00C25545">
        <w:trPr>
          <w:jc w:val="center"/>
        </w:trPr>
        <w:tc>
          <w:tcPr>
            <w:tcW w:w="272" w:type="dxa"/>
            <w:tcBorders>
              <w:top w:val="nil"/>
              <w:left w:val="nil"/>
              <w:bottom w:val="nil"/>
            </w:tcBorders>
            <w:shd w:val="clear" w:color="auto" w:fill="auto"/>
            <w:noWrap/>
            <w:vAlign w:val="center"/>
            <w:hideMark/>
          </w:tcPr>
          <w:p w14:paraId="0733290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50B895C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West Midlands</w:t>
            </w:r>
          </w:p>
        </w:tc>
        <w:tc>
          <w:tcPr>
            <w:tcW w:w="773" w:type="dxa"/>
            <w:tcBorders>
              <w:top w:val="nil"/>
              <w:bottom w:val="nil"/>
            </w:tcBorders>
            <w:shd w:val="clear" w:color="auto" w:fill="auto"/>
            <w:noWrap/>
            <w:vAlign w:val="center"/>
            <w:hideMark/>
          </w:tcPr>
          <w:p w14:paraId="5456D6A6"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12307</w:t>
            </w:r>
          </w:p>
        </w:tc>
        <w:tc>
          <w:tcPr>
            <w:tcW w:w="784" w:type="dxa"/>
            <w:tcBorders>
              <w:top w:val="nil"/>
              <w:bottom w:val="nil"/>
            </w:tcBorders>
            <w:shd w:val="clear" w:color="auto" w:fill="auto"/>
            <w:noWrap/>
            <w:vAlign w:val="center"/>
            <w:hideMark/>
          </w:tcPr>
          <w:p w14:paraId="2275729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49.7%</w:t>
            </w:r>
          </w:p>
        </w:tc>
        <w:tc>
          <w:tcPr>
            <w:tcW w:w="1114" w:type="dxa"/>
            <w:tcBorders>
              <w:top w:val="nil"/>
              <w:bottom w:val="nil"/>
            </w:tcBorders>
            <w:shd w:val="clear" w:color="auto" w:fill="auto"/>
            <w:noWrap/>
            <w:vAlign w:val="center"/>
            <w:hideMark/>
          </w:tcPr>
          <w:p w14:paraId="0EBA3EB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275161</w:t>
            </w:r>
          </w:p>
        </w:tc>
        <w:tc>
          <w:tcPr>
            <w:tcW w:w="1276" w:type="dxa"/>
            <w:tcBorders>
              <w:top w:val="nil"/>
              <w:bottom w:val="nil"/>
            </w:tcBorders>
            <w:shd w:val="clear" w:color="auto" w:fill="auto"/>
            <w:noWrap/>
            <w:vAlign w:val="center"/>
            <w:hideMark/>
          </w:tcPr>
          <w:p w14:paraId="1A03970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11.10</w:t>
            </w:r>
          </w:p>
        </w:tc>
        <w:tc>
          <w:tcPr>
            <w:tcW w:w="845" w:type="dxa"/>
            <w:tcBorders>
              <w:top w:val="nil"/>
              <w:bottom w:val="nil"/>
              <w:right w:val="nil"/>
            </w:tcBorders>
            <w:shd w:val="clear" w:color="auto" w:fill="auto"/>
            <w:noWrap/>
            <w:vAlign w:val="center"/>
            <w:hideMark/>
          </w:tcPr>
          <w:p w14:paraId="16C54D5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24779</w:t>
            </w:r>
          </w:p>
        </w:tc>
      </w:tr>
      <w:tr w:rsidR="00D36BF8" w:rsidRPr="00C25ED4" w14:paraId="6941B544" w14:textId="77777777" w:rsidTr="00C25545">
        <w:trPr>
          <w:jc w:val="center"/>
        </w:trPr>
        <w:tc>
          <w:tcPr>
            <w:tcW w:w="272" w:type="dxa"/>
            <w:tcBorders>
              <w:top w:val="nil"/>
              <w:left w:val="nil"/>
              <w:bottom w:val="nil"/>
            </w:tcBorders>
            <w:shd w:val="clear" w:color="auto" w:fill="auto"/>
            <w:noWrap/>
            <w:vAlign w:val="center"/>
            <w:hideMark/>
          </w:tcPr>
          <w:p w14:paraId="28EE042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4E23486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London</w:t>
            </w:r>
          </w:p>
        </w:tc>
        <w:tc>
          <w:tcPr>
            <w:tcW w:w="773" w:type="dxa"/>
            <w:tcBorders>
              <w:top w:val="nil"/>
              <w:bottom w:val="nil"/>
            </w:tcBorders>
            <w:shd w:val="clear" w:color="auto" w:fill="auto"/>
            <w:noWrap/>
            <w:vAlign w:val="center"/>
            <w:hideMark/>
          </w:tcPr>
          <w:p w14:paraId="3A9E7722"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6573</w:t>
            </w:r>
          </w:p>
        </w:tc>
        <w:tc>
          <w:tcPr>
            <w:tcW w:w="784" w:type="dxa"/>
            <w:tcBorders>
              <w:top w:val="nil"/>
              <w:bottom w:val="nil"/>
            </w:tcBorders>
            <w:shd w:val="clear" w:color="auto" w:fill="auto"/>
            <w:noWrap/>
            <w:vAlign w:val="center"/>
            <w:hideMark/>
          </w:tcPr>
          <w:p w14:paraId="6C4D1EA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44.3%</w:t>
            </w:r>
          </w:p>
        </w:tc>
        <w:tc>
          <w:tcPr>
            <w:tcW w:w="1114" w:type="dxa"/>
            <w:tcBorders>
              <w:top w:val="nil"/>
              <w:bottom w:val="nil"/>
            </w:tcBorders>
            <w:shd w:val="clear" w:color="auto" w:fill="auto"/>
            <w:noWrap/>
            <w:vAlign w:val="center"/>
            <w:hideMark/>
          </w:tcPr>
          <w:p w14:paraId="659DDB8F"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165344</w:t>
            </w:r>
          </w:p>
        </w:tc>
        <w:tc>
          <w:tcPr>
            <w:tcW w:w="1276" w:type="dxa"/>
            <w:tcBorders>
              <w:top w:val="nil"/>
              <w:bottom w:val="nil"/>
            </w:tcBorders>
            <w:shd w:val="clear" w:color="auto" w:fill="auto"/>
            <w:noWrap/>
            <w:vAlign w:val="center"/>
            <w:hideMark/>
          </w:tcPr>
          <w:p w14:paraId="73FCF68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11.15</w:t>
            </w:r>
          </w:p>
        </w:tc>
        <w:tc>
          <w:tcPr>
            <w:tcW w:w="845" w:type="dxa"/>
            <w:tcBorders>
              <w:top w:val="nil"/>
              <w:bottom w:val="nil"/>
              <w:right w:val="nil"/>
            </w:tcBorders>
            <w:shd w:val="clear" w:color="auto" w:fill="auto"/>
            <w:noWrap/>
            <w:vAlign w:val="center"/>
            <w:hideMark/>
          </w:tcPr>
          <w:p w14:paraId="4A8B9E38"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14830</w:t>
            </w:r>
          </w:p>
        </w:tc>
      </w:tr>
      <w:tr w:rsidR="00D36BF8" w:rsidRPr="00C25ED4" w14:paraId="7AEE57E2" w14:textId="77777777" w:rsidTr="00C25545">
        <w:trPr>
          <w:jc w:val="center"/>
        </w:trPr>
        <w:tc>
          <w:tcPr>
            <w:tcW w:w="272" w:type="dxa"/>
            <w:tcBorders>
              <w:top w:val="nil"/>
              <w:left w:val="nil"/>
              <w:bottom w:val="nil"/>
            </w:tcBorders>
            <w:shd w:val="clear" w:color="auto" w:fill="auto"/>
            <w:noWrap/>
            <w:vAlign w:val="center"/>
            <w:hideMark/>
          </w:tcPr>
          <w:p w14:paraId="18D3D34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nil"/>
            </w:tcBorders>
            <w:shd w:val="clear" w:color="auto" w:fill="auto"/>
            <w:noWrap/>
            <w:vAlign w:val="center"/>
            <w:hideMark/>
          </w:tcPr>
          <w:p w14:paraId="115C77D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South Central</w:t>
            </w:r>
          </w:p>
        </w:tc>
        <w:tc>
          <w:tcPr>
            <w:tcW w:w="773" w:type="dxa"/>
            <w:tcBorders>
              <w:top w:val="nil"/>
              <w:bottom w:val="nil"/>
            </w:tcBorders>
            <w:shd w:val="clear" w:color="auto" w:fill="auto"/>
            <w:noWrap/>
            <w:vAlign w:val="center"/>
            <w:hideMark/>
          </w:tcPr>
          <w:p w14:paraId="236E96C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10695</w:t>
            </w:r>
          </w:p>
        </w:tc>
        <w:tc>
          <w:tcPr>
            <w:tcW w:w="784" w:type="dxa"/>
            <w:tcBorders>
              <w:top w:val="nil"/>
              <w:bottom w:val="nil"/>
            </w:tcBorders>
            <w:shd w:val="clear" w:color="auto" w:fill="auto"/>
            <w:noWrap/>
            <w:vAlign w:val="center"/>
            <w:hideMark/>
          </w:tcPr>
          <w:p w14:paraId="649A123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54.6%</w:t>
            </w:r>
          </w:p>
        </w:tc>
        <w:tc>
          <w:tcPr>
            <w:tcW w:w="1114" w:type="dxa"/>
            <w:tcBorders>
              <w:top w:val="nil"/>
              <w:bottom w:val="nil"/>
            </w:tcBorders>
            <w:shd w:val="clear" w:color="auto" w:fill="auto"/>
            <w:noWrap/>
            <w:vAlign w:val="center"/>
            <w:hideMark/>
          </w:tcPr>
          <w:p w14:paraId="05B90F30"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215802</w:t>
            </w:r>
          </w:p>
        </w:tc>
        <w:tc>
          <w:tcPr>
            <w:tcW w:w="1276" w:type="dxa"/>
            <w:tcBorders>
              <w:top w:val="nil"/>
              <w:bottom w:val="nil"/>
            </w:tcBorders>
            <w:shd w:val="clear" w:color="auto" w:fill="auto"/>
            <w:noWrap/>
            <w:vAlign w:val="center"/>
            <w:hideMark/>
          </w:tcPr>
          <w:p w14:paraId="2788640E"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11.02</w:t>
            </w:r>
          </w:p>
        </w:tc>
        <w:tc>
          <w:tcPr>
            <w:tcW w:w="845" w:type="dxa"/>
            <w:tcBorders>
              <w:top w:val="nil"/>
              <w:bottom w:val="nil"/>
              <w:right w:val="nil"/>
            </w:tcBorders>
            <w:shd w:val="clear" w:color="auto" w:fill="auto"/>
            <w:noWrap/>
            <w:vAlign w:val="center"/>
            <w:hideMark/>
          </w:tcPr>
          <w:p w14:paraId="367328BB"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19584</w:t>
            </w:r>
          </w:p>
        </w:tc>
      </w:tr>
      <w:tr w:rsidR="00D36BF8" w:rsidRPr="00C25ED4" w14:paraId="3C9A4B1E" w14:textId="77777777" w:rsidTr="00C25545">
        <w:trPr>
          <w:jc w:val="center"/>
        </w:trPr>
        <w:tc>
          <w:tcPr>
            <w:tcW w:w="272" w:type="dxa"/>
            <w:tcBorders>
              <w:top w:val="nil"/>
              <w:left w:val="nil"/>
              <w:bottom w:val="single" w:sz="8" w:space="0" w:color="auto"/>
            </w:tcBorders>
            <w:shd w:val="clear" w:color="auto" w:fill="auto"/>
            <w:noWrap/>
            <w:vAlign w:val="center"/>
            <w:hideMark/>
          </w:tcPr>
          <w:p w14:paraId="24AE8405"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p>
        </w:tc>
        <w:tc>
          <w:tcPr>
            <w:tcW w:w="2727" w:type="dxa"/>
            <w:tcBorders>
              <w:top w:val="nil"/>
              <w:bottom w:val="single" w:sz="8" w:space="0" w:color="auto"/>
            </w:tcBorders>
            <w:shd w:val="clear" w:color="auto" w:fill="auto"/>
            <w:noWrap/>
            <w:vAlign w:val="center"/>
            <w:hideMark/>
          </w:tcPr>
          <w:p w14:paraId="560B84A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South West</w:t>
            </w:r>
          </w:p>
        </w:tc>
        <w:tc>
          <w:tcPr>
            <w:tcW w:w="773" w:type="dxa"/>
            <w:tcBorders>
              <w:top w:val="nil"/>
              <w:bottom w:val="single" w:sz="8" w:space="0" w:color="auto"/>
            </w:tcBorders>
            <w:shd w:val="clear" w:color="auto" w:fill="auto"/>
            <w:noWrap/>
            <w:vAlign w:val="center"/>
            <w:hideMark/>
          </w:tcPr>
          <w:p w14:paraId="12ED473A"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11081</w:t>
            </w:r>
          </w:p>
        </w:tc>
        <w:tc>
          <w:tcPr>
            <w:tcW w:w="784" w:type="dxa"/>
            <w:tcBorders>
              <w:top w:val="nil"/>
              <w:bottom w:val="single" w:sz="8" w:space="0" w:color="auto"/>
            </w:tcBorders>
            <w:shd w:val="clear" w:color="auto" w:fill="auto"/>
            <w:noWrap/>
            <w:vAlign w:val="center"/>
            <w:hideMark/>
          </w:tcPr>
          <w:p w14:paraId="33D22AE7"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53.2%</w:t>
            </w:r>
          </w:p>
        </w:tc>
        <w:tc>
          <w:tcPr>
            <w:tcW w:w="1114" w:type="dxa"/>
            <w:tcBorders>
              <w:top w:val="nil"/>
              <w:bottom w:val="single" w:sz="8" w:space="0" w:color="auto"/>
            </w:tcBorders>
            <w:shd w:val="clear" w:color="auto" w:fill="auto"/>
            <w:noWrap/>
            <w:vAlign w:val="center"/>
            <w:hideMark/>
          </w:tcPr>
          <w:p w14:paraId="20C4A78D"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223140</w:t>
            </w:r>
          </w:p>
        </w:tc>
        <w:tc>
          <w:tcPr>
            <w:tcW w:w="1276" w:type="dxa"/>
            <w:tcBorders>
              <w:top w:val="nil"/>
              <w:bottom w:val="single" w:sz="8" w:space="0" w:color="auto"/>
            </w:tcBorders>
            <w:shd w:val="clear" w:color="auto" w:fill="auto"/>
            <w:noWrap/>
            <w:vAlign w:val="center"/>
            <w:hideMark/>
          </w:tcPr>
          <w:p w14:paraId="335C9893"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10.72</w:t>
            </w:r>
          </w:p>
        </w:tc>
        <w:tc>
          <w:tcPr>
            <w:tcW w:w="845" w:type="dxa"/>
            <w:tcBorders>
              <w:top w:val="nil"/>
              <w:bottom w:val="single" w:sz="8" w:space="0" w:color="auto"/>
              <w:right w:val="nil"/>
            </w:tcBorders>
            <w:shd w:val="clear" w:color="auto" w:fill="auto"/>
            <w:noWrap/>
            <w:vAlign w:val="center"/>
            <w:hideMark/>
          </w:tcPr>
          <w:p w14:paraId="02561CC4" w14:textId="77777777" w:rsidR="00D36BF8" w:rsidRPr="00C25ED4" w:rsidRDefault="00D36BF8" w:rsidP="00C25ED4">
            <w:pPr>
              <w:autoSpaceDE w:val="0"/>
              <w:autoSpaceDN w:val="0"/>
              <w:adjustRightInd w:val="0"/>
              <w:snapToGrid w:val="0"/>
              <w:spacing w:line="240" w:lineRule="auto"/>
              <w:jc w:val="center"/>
              <w:rPr>
                <w:rFonts w:eastAsia="Times New Roman" w:cs="Arial"/>
                <w:sz w:val="18"/>
                <w:szCs w:val="16"/>
                <w:lang w:eastAsia="en-GB"/>
              </w:rPr>
            </w:pPr>
            <w:r w:rsidRPr="00C25ED4">
              <w:rPr>
                <w:rFonts w:eastAsia="Times New Roman" w:cs="Arial"/>
                <w:sz w:val="18"/>
                <w:szCs w:val="16"/>
                <w:lang w:eastAsia="en-GB"/>
              </w:rPr>
              <w:t>20815</w:t>
            </w:r>
          </w:p>
        </w:tc>
      </w:tr>
    </w:tbl>
    <w:p w14:paraId="0640956C" w14:textId="77777777" w:rsidR="00D36BF8" w:rsidRPr="00C25545" w:rsidRDefault="00D36BF8" w:rsidP="00C25545">
      <w:pPr>
        <w:pStyle w:val="MDPI22heading2"/>
        <w:spacing w:before="240"/>
      </w:pPr>
      <w:r w:rsidRPr="00C25545">
        <w:t>3.2</w:t>
      </w:r>
      <w:r w:rsidR="00C25545" w:rsidRPr="00C25545">
        <w:t xml:space="preserve">. </w:t>
      </w:r>
      <w:r w:rsidRPr="00C25545">
        <w:t xml:space="preserve">Mortality inequalities in Early-Onset Dementia </w:t>
      </w:r>
    </w:p>
    <w:p w14:paraId="76B0FA57" w14:textId="77777777" w:rsidR="002F4201" w:rsidRDefault="00D36BF8" w:rsidP="00C25545">
      <w:pPr>
        <w:pStyle w:val="MDPI31text"/>
      </w:pPr>
      <w:r>
        <w:t xml:space="preserve">Regression analyses found few factors had a significant impact on mortality risk among those with early-onset dementia (Table 4). Accounting for covariates (age at </w:t>
      </w:r>
      <w:r>
        <w:lastRenderedPageBreak/>
        <w:t>diagnosis, ethnicity, IMD 2015 deprivation quintile, urban-rural GP classification, GP region and patient-GP contact rates), men had significantly greater mortality risk than women and, higher rates of GP observations were significantly associated with greater mortality risk.</w:t>
      </w:r>
    </w:p>
    <w:p w14:paraId="30F62084" w14:textId="494FA365" w:rsidR="00D36BF8" w:rsidRDefault="002F4201" w:rsidP="007C7621">
      <w:bookmarkStart w:id="6" w:name="_GoBack"/>
      <w:bookmarkEnd w:id="6"/>
      <w:r w:rsidRPr="002F4201">
        <w:rPr>
          <w:b/>
        </w:rPr>
        <w:t xml:space="preserve">Table 4. </w:t>
      </w:r>
      <w:r w:rsidR="00D36BF8" w:rsidRPr="00D36BF8">
        <w:t>Fully-adjusted for covariates¹ Cox Proportional Hazards Model for sample population with Early- and Later-Onset Dementia, by explanatory factors</w:t>
      </w:r>
      <w:r>
        <w:t>.</w:t>
      </w:r>
    </w:p>
    <w:tbl>
      <w:tblPr>
        <w:tblW w:w="10465" w:type="dxa"/>
        <w:jc w:val="center"/>
        <w:tblLayout w:type="fixed"/>
        <w:tblCellMar>
          <w:left w:w="0" w:type="dxa"/>
          <w:right w:w="0" w:type="dxa"/>
        </w:tblCellMar>
        <w:tblLook w:val="04A0" w:firstRow="1" w:lastRow="0" w:firstColumn="1" w:lastColumn="0" w:noHBand="0" w:noVBand="1"/>
      </w:tblPr>
      <w:tblGrid>
        <w:gridCol w:w="316"/>
        <w:gridCol w:w="2570"/>
        <w:gridCol w:w="849"/>
        <w:gridCol w:w="1337"/>
        <w:gridCol w:w="1010"/>
        <w:gridCol w:w="505"/>
        <w:gridCol w:w="955"/>
        <w:gridCol w:w="1409"/>
        <w:gridCol w:w="841"/>
        <w:gridCol w:w="673"/>
      </w:tblGrid>
      <w:tr w:rsidR="00D36BF8" w:rsidRPr="002F4201" w14:paraId="7C799948" w14:textId="77777777" w:rsidTr="002F4201">
        <w:trPr>
          <w:jc w:val="center"/>
        </w:trPr>
        <w:tc>
          <w:tcPr>
            <w:tcW w:w="2886" w:type="dxa"/>
            <w:gridSpan w:val="2"/>
            <w:tcBorders>
              <w:top w:val="single" w:sz="8" w:space="0" w:color="auto"/>
              <w:left w:val="nil"/>
              <w:bottom w:val="single" w:sz="8" w:space="0" w:color="auto"/>
            </w:tcBorders>
            <w:shd w:val="clear" w:color="auto" w:fill="auto"/>
            <w:noWrap/>
            <w:vAlign w:val="center"/>
            <w:hideMark/>
          </w:tcPr>
          <w:p w14:paraId="6D4A34C1"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Group</w:t>
            </w:r>
          </w:p>
        </w:tc>
        <w:tc>
          <w:tcPr>
            <w:tcW w:w="3701" w:type="dxa"/>
            <w:gridSpan w:val="4"/>
            <w:tcBorders>
              <w:top w:val="single" w:sz="8" w:space="0" w:color="auto"/>
              <w:bottom w:val="single" w:sz="8" w:space="0" w:color="auto"/>
            </w:tcBorders>
            <w:shd w:val="clear" w:color="auto" w:fill="auto"/>
            <w:vAlign w:val="center"/>
            <w:hideMark/>
          </w:tcPr>
          <w:p w14:paraId="52D6B0EB"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Early-Onset Dementia</w:t>
            </w:r>
          </w:p>
        </w:tc>
        <w:tc>
          <w:tcPr>
            <w:tcW w:w="3878" w:type="dxa"/>
            <w:gridSpan w:val="4"/>
            <w:tcBorders>
              <w:top w:val="single" w:sz="8" w:space="0" w:color="auto"/>
              <w:bottom w:val="single" w:sz="8" w:space="0" w:color="auto"/>
              <w:right w:val="nil"/>
            </w:tcBorders>
            <w:shd w:val="clear" w:color="auto" w:fill="auto"/>
            <w:vAlign w:val="center"/>
            <w:hideMark/>
          </w:tcPr>
          <w:p w14:paraId="114E1B4A"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Later-Onset Dementia</w:t>
            </w:r>
          </w:p>
        </w:tc>
      </w:tr>
      <w:tr w:rsidR="002F4201" w:rsidRPr="002F4201" w14:paraId="2AEA01D8" w14:textId="77777777" w:rsidTr="002F4201">
        <w:trPr>
          <w:jc w:val="center"/>
        </w:trPr>
        <w:tc>
          <w:tcPr>
            <w:tcW w:w="2886" w:type="dxa"/>
            <w:gridSpan w:val="2"/>
            <w:tcBorders>
              <w:top w:val="nil"/>
              <w:left w:val="nil"/>
              <w:bottom w:val="nil"/>
            </w:tcBorders>
            <w:shd w:val="clear" w:color="auto" w:fill="auto"/>
            <w:noWrap/>
            <w:vAlign w:val="center"/>
            <w:hideMark/>
          </w:tcPr>
          <w:p w14:paraId="5FFA5039"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Sex</w:t>
            </w:r>
          </w:p>
        </w:tc>
        <w:tc>
          <w:tcPr>
            <w:tcW w:w="849" w:type="dxa"/>
            <w:tcBorders>
              <w:top w:val="nil"/>
              <w:bottom w:val="nil"/>
            </w:tcBorders>
            <w:shd w:val="clear" w:color="auto" w:fill="auto"/>
            <w:noWrap/>
            <w:vAlign w:val="center"/>
            <w:hideMark/>
          </w:tcPr>
          <w:p w14:paraId="20E4784B"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HR</w:t>
            </w:r>
          </w:p>
        </w:tc>
        <w:tc>
          <w:tcPr>
            <w:tcW w:w="1337" w:type="dxa"/>
            <w:tcBorders>
              <w:top w:val="nil"/>
              <w:bottom w:val="nil"/>
            </w:tcBorders>
            <w:shd w:val="clear" w:color="auto" w:fill="auto"/>
            <w:noWrap/>
            <w:vAlign w:val="center"/>
            <w:hideMark/>
          </w:tcPr>
          <w:p w14:paraId="77E7AA1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95% CI</w:t>
            </w:r>
          </w:p>
        </w:tc>
        <w:tc>
          <w:tcPr>
            <w:tcW w:w="1515" w:type="dxa"/>
            <w:gridSpan w:val="2"/>
            <w:tcBorders>
              <w:top w:val="single" w:sz="8" w:space="0" w:color="auto"/>
              <w:bottom w:val="nil"/>
            </w:tcBorders>
            <w:shd w:val="clear" w:color="auto" w:fill="auto"/>
            <w:noWrap/>
            <w:vAlign w:val="center"/>
            <w:hideMark/>
          </w:tcPr>
          <w:p w14:paraId="0D74195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Adjusted p-value²</w:t>
            </w:r>
          </w:p>
        </w:tc>
        <w:tc>
          <w:tcPr>
            <w:tcW w:w="955" w:type="dxa"/>
            <w:tcBorders>
              <w:top w:val="nil"/>
              <w:bottom w:val="nil"/>
            </w:tcBorders>
            <w:shd w:val="clear" w:color="auto" w:fill="auto"/>
            <w:noWrap/>
            <w:vAlign w:val="center"/>
            <w:hideMark/>
          </w:tcPr>
          <w:p w14:paraId="39FC8C8C"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HR</w:t>
            </w:r>
          </w:p>
        </w:tc>
        <w:tc>
          <w:tcPr>
            <w:tcW w:w="1409" w:type="dxa"/>
            <w:tcBorders>
              <w:top w:val="nil"/>
              <w:bottom w:val="nil"/>
            </w:tcBorders>
            <w:shd w:val="clear" w:color="auto" w:fill="auto"/>
            <w:noWrap/>
            <w:vAlign w:val="center"/>
            <w:hideMark/>
          </w:tcPr>
          <w:p w14:paraId="28A8B95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CI (95%)</w:t>
            </w:r>
          </w:p>
        </w:tc>
        <w:tc>
          <w:tcPr>
            <w:tcW w:w="1514" w:type="dxa"/>
            <w:gridSpan w:val="2"/>
            <w:tcBorders>
              <w:top w:val="single" w:sz="8" w:space="0" w:color="auto"/>
              <w:bottom w:val="nil"/>
              <w:right w:val="nil"/>
            </w:tcBorders>
            <w:shd w:val="clear" w:color="auto" w:fill="auto"/>
            <w:noWrap/>
            <w:vAlign w:val="center"/>
            <w:hideMark/>
          </w:tcPr>
          <w:p w14:paraId="6BDA25D3"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Adjusted p-values</w:t>
            </w:r>
          </w:p>
        </w:tc>
      </w:tr>
      <w:tr w:rsidR="002F4201" w:rsidRPr="002F4201" w14:paraId="5335177C" w14:textId="77777777" w:rsidTr="002F4201">
        <w:trPr>
          <w:jc w:val="center"/>
        </w:trPr>
        <w:tc>
          <w:tcPr>
            <w:tcW w:w="316" w:type="dxa"/>
            <w:tcBorders>
              <w:top w:val="nil"/>
              <w:left w:val="nil"/>
              <w:bottom w:val="nil"/>
            </w:tcBorders>
            <w:shd w:val="clear" w:color="auto" w:fill="auto"/>
            <w:noWrap/>
            <w:vAlign w:val="center"/>
            <w:hideMark/>
          </w:tcPr>
          <w:p w14:paraId="6E558E6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2570" w:type="dxa"/>
            <w:tcBorders>
              <w:top w:val="nil"/>
              <w:bottom w:val="nil"/>
            </w:tcBorders>
            <w:shd w:val="clear" w:color="auto" w:fill="auto"/>
            <w:noWrap/>
            <w:vAlign w:val="center"/>
            <w:hideMark/>
          </w:tcPr>
          <w:p w14:paraId="6345554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Female</w:t>
            </w:r>
          </w:p>
        </w:tc>
        <w:tc>
          <w:tcPr>
            <w:tcW w:w="849" w:type="dxa"/>
            <w:tcBorders>
              <w:top w:val="nil"/>
              <w:bottom w:val="nil"/>
            </w:tcBorders>
            <w:shd w:val="clear" w:color="auto" w:fill="auto"/>
            <w:noWrap/>
            <w:vAlign w:val="center"/>
            <w:hideMark/>
          </w:tcPr>
          <w:p w14:paraId="75E50D1B"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337" w:type="dxa"/>
            <w:tcBorders>
              <w:top w:val="nil"/>
              <w:bottom w:val="nil"/>
            </w:tcBorders>
            <w:shd w:val="clear" w:color="auto" w:fill="auto"/>
            <w:noWrap/>
            <w:vAlign w:val="center"/>
            <w:hideMark/>
          </w:tcPr>
          <w:p w14:paraId="6F34CB3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1010" w:type="dxa"/>
            <w:tcBorders>
              <w:top w:val="nil"/>
              <w:bottom w:val="nil"/>
            </w:tcBorders>
            <w:shd w:val="clear" w:color="auto" w:fill="auto"/>
            <w:noWrap/>
            <w:vAlign w:val="center"/>
            <w:hideMark/>
          </w:tcPr>
          <w:p w14:paraId="57656B2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505" w:type="dxa"/>
            <w:tcBorders>
              <w:top w:val="nil"/>
              <w:bottom w:val="nil"/>
            </w:tcBorders>
            <w:shd w:val="clear" w:color="auto" w:fill="auto"/>
            <w:noWrap/>
            <w:vAlign w:val="center"/>
            <w:hideMark/>
          </w:tcPr>
          <w:p w14:paraId="68CD87F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2FE62124"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409" w:type="dxa"/>
            <w:tcBorders>
              <w:top w:val="nil"/>
              <w:bottom w:val="nil"/>
            </w:tcBorders>
            <w:shd w:val="clear" w:color="auto" w:fill="auto"/>
            <w:noWrap/>
            <w:vAlign w:val="center"/>
            <w:hideMark/>
          </w:tcPr>
          <w:p w14:paraId="2A92391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841" w:type="dxa"/>
            <w:tcBorders>
              <w:top w:val="nil"/>
              <w:bottom w:val="nil"/>
            </w:tcBorders>
            <w:shd w:val="clear" w:color="auto" w:fill="auto"/>
            <w:noWrap/>
            <w:vAlign w:val="center"/>
            <w:hideMark/>
          </w:tcPr>
          <w:p w14:paraId="46A43CF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673" w:type="dxa"/>
            <w:tcBorders>
              <w:top w:val="nil"/>
              <w:bottom w:val="nil"/>
              <w:right w:val="nil"/>
            </w:tcBorders>
            <w:shd w:val="clear" w:color="auto" w:fill="auto"/>
            <w:noWrap/>
            <w:vAlign w:val="center"/>
            <w:hideMark/>
          </w:tcPr>
          <w:p w14:paraId="25C35F8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5958633A" w14:textId="77777777" w:rsidTr="002F4201">
        <w:trPr>
          <w:jc w:val="center"/>
        </w:trPr>
        <w:tc>
          <w:tcPr>
            <w:tcW w:w="316" w:type="dxa"/>
            <w:tcBorders>
              <w:top w:val="nil"/>
              <w:left w:val="nil"/>
              <w:bottom w:val="single" w:sz="4" w:space="0" w:color="auto"/>
            </w:tcBorders>
            <w:shd w:val="clear" w:color="auto" w:fill="auto"/>
            <w:noWrap/>
            <w:vAlign w:val="center"/>
            <w:hideMark/>
          </w:tcPr>
          <w:p w14:paraId="36D2CE88"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504A131E"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Male</w:t>
            </w:r>
          </w:p>
        </w:tc>
        <w:tc>
          <w:tcPr>
            <w:tcW w:w="849" w:type="dxa"/>
            <w:tcBorders>
              <w:top w:val="nil"/>
              <w:bottom w:val="single" w:sz="4" w:space="0" w:color="auto"/>
            </w:tcBorders>
            <w:shd w:val="clear" w:color="auto" w:fill="auto"/>
            <w:noWrap/>
            <w:vAlign w:val="center"/>
            <w:hideMark/>
          </w:tcPr>
          <w:p w14:paraId="44CC4C53"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1.24**</w:t>
            </w:r>
          </w:p>
        </w:tc>
        <w:tc>
          <w:tcPr>
            <w:tcW w:w="1337" w:type="dxa"/>
            <w:tcBorders>
              <w:top w:val="nil"/>
              <w:bottom w:val="single" w:sz="4" w:space="0" w:color="auto"/>
            </w:tcBorders>
            <w:shd w:val="clear" w:color="auto" w:fill="auto"/>
            <w:noWrap/>
            <w:vAlign w:val="center"/>
            <w:hideMark/>
          </w:tcPr>
          <w:p w14:paraId="6C98F19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(1.09-1.41)</w:t>
            </w:r>
          </w:p>
        </w:tc>
        <w:tc>
          <w:tcPr>
            <w:tcW w:w="1010" w:type="dxa"/>
            <w:tcBorders>
              <w:top w:val="nil"/>
              <w:bottom w:val="single" w:sz="4" w:space="0" w:color="auto"/>
            </w:tcBorders>
            <w:shd w:val="clear" w:color="auto" w:fill="auto"/>
            <w:noWrap/>
            <w:vAlign w:val="center"/>
            <w:hideMark/>
          </w:tcPr>
          <w:p w14:paraId="42799EE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0.032</w:t>
            </w:r>
          </w:p>
        </w:tc>
        <w:tc>
          <w:tcPr>
            <w:tcW w:w="505" w:type="dxa"/>
            <w:tcBorders>
              <w:top w:val="nil"/>
              <w:bottom w:val="single" w:sz="4" w:space="0" w:color="auto"/>
            </w:tcBorders>
            <w:shd w:val="clear" w:color="auto" w:fill="auto"/>
            <w:noWrap/>
            <w:vAlign w:val="center"/>
            <w:hideMark/>
          </w:tcPr>
          <w:p w14:paraId="4ED1C46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c>
          <w:tcPr>
            <w:tcW w:w="955" w:type="dxa"/>
            <w:tcBorders>
              <w:top w:val="nil"/>
              <w:bottom w:val="single" w:sz="4" w:space="0" w:color="auto"/>
            </w:tcBorders>
            <w:shd w:val="clear" w:color="auto" w:fill="auto"/>
            <w:noWrap/>
            <w:vAlign w:val="center"/>
            <w:hideMark/>
          </w:tcPr>
          <w:p w14:paraId="606998DC"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1.11***</w:t>
            </w:r>
          </w:p>
        </w:tc>
        <w:tc>
          <w:tcPr>
            <w:tcW w:w="1409" w:type="dxa"/>
            <w:tcBorders>
              <w:top w:val="nil"/>
              <w:bottom w:val="single" w:sz="4" w:space="0" w:color="auto"/>
            </w:tcBorders>
            <w:shd w:val="clear" w:color="auto" w:fill="auto"/>
            <w:noWrap/>
            <w:vAlign w:val="center"/>
            <w:hideMark/>
          </w:tcPr>
          <w:p w14:paraId="4E1A152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(1.09-1.14)</w:t>
            </w:r>
          </w:p>
        </w:tc>
        <w:tc>
          <w:tcPr>
            <w:tcW w:w="841" w:type="dxa"/>
            <w:tcBorders>
              <w:top w:val="nil"/>
              <w:bottom w:val="single" w:sz="4" w:space="0" w:color="auto"/>
            </w:tcBorders>
            <w:shd w:val="clear" w:color="auto" w:fill="auto"/>
            <w:noWrap/>
            <w:vAlign w:val="center"/>
            <w:hideMark/>
          </w:tcPr>
          <w:p w14:paraId="59AA3BD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72C70D5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D36BF8" w:rsidRPr="002F4201" w14:paraId="78E4D3C9" w14:textId="77777777" w:rsidTr="002F4201">
        <w:trPr>
          <w:jc w:val="center"/>
        </w:trPr>
        <w:tc>
          <w:tcPr>
            <w:tcW w:w="8951" w:type="dxa"/>
            <w:gridSpan w:val="8"/>
            <w:tcBorders>
              <w:top w:val="nil"/>
              <w:left w:val="nil"/>
              <w:bottom w:val="nil"/>
              <w:right w:val="nil"/>
            </w:tcBorders>
            <w:shd w:val="clear" w:color="auto" w:fill="auto"/>
            <w:noWrap/>
            <w:vAlign w:val="center"/>
            <w:hideMark/>
          </w:tcPr>
          <w:p w14:paraId="2EE39BFC"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Age</w:t>
            </w:r>
          </w:p>
        </w:tc>
        <w:tc>
          <w:tcPr>
            <w:tcW w:w="841" w:type="dxa"/>
            <w:tcBorders>
              <w:top w:val="nil"/>
              <w:left w:val="nil"/>
              <w:bottom w:val="nil"/>
              <w:right w:val="nil"/>
            </w:tcBorders>
            <w:shd w:val="clear" w:color="auto" w:fill="auto"/>
            <w:noWrap/>
            <w:vAlign w:val="center"/>
            <w:hideMark/>
          </w:tcPr>
          <w:p w14:paraId="6CE3EC4F"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c>
          <w:tcPr>
            <w:tcW w:w="673" w:type="dxa"/>
            <w:tcBorders>
              <w:top w:val="single" w:sz="4" w:space="0" w:color="auto"/>
              <w:left w:val="nil"/>
              <w:bottom w:val="nil"/>
              <w:right w:val="nil"/>
            </w:tcBorders>
            <w:shd w:val="clear" w:color="auto" w:fill="auto"/>
            <w:noWrap/>
            <w:vAlign w:val="center"/>
            <w:hideMark/>
          </w:tcPr>
          <w:p w14:paraId="7EED83C3"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r>
      <w:tr w:rsidR="002F4201" w:rsidRPr="002F4201" w14:paraId="375852F4" w14:textId="77777777" w:rsidTr="002F4201">
        <w:trPr>
          <w:jc w:val="center"/>
        </w:trPr>
        <w:tc>
          <w:tcPr>
            <w:tcW w:w="316" w:type="dxa"/>
            <w:tcBorders>
              <w:top w:val="nil"/>
              <w:left w:val="nil"/>
              <w:bottom w:val="single" w:sz="4" w:space="0" w:color="auto"/>
            </w:tcBorders>
            <w:shd w:val="clear" w:color="auto" w:fill="auto"/>
            <w:noWrap/>
            <w:vAlign w:val="center"/>
            <w:hideMark/>
          </w:tcPr>
          <w:p w14:paraId="7D9DC146"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280C92FE"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Age At Diagnosis</w:t>
            </w:r>
          </w:p>
        </w:tc>
        <w:tc>
          <w:tcPr>
            <w:tcW w:w="849" w:type="dxa"/>
            <w:tcBorders>
              <w:top w:val="nil"/>
              <w:bottom w:val="single" w:sz="4" w:space="0" w:color="auto"/>
            </w:tcBorders>
            <w:shd w:val="clear" w:color="auto" w:fill="auto"/>
            <w:noWrap/>
            <w:vAlign w:val="center"/>
            <w:hideMark/>
          </w:tcPr>
          <w:p w14:paraId="056FD7CB"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1.00</w:t>
            </w:r>
          </w:p>
        </w:tc>
        <w:tc>
          <w:tcPr>
            <w:tcW w:w="1337" w:type="dxa"/>
            <w:tcBorders>
              <w:top w:val="nil"/>
              <w:bottom w:val="single" w:sz="4" w:space="0" w:color="auto"/>
            </w:tcBorders>
            <w:shd w:val="clear" w:color="auto" w:fill="auto"/>
            <w:noWrap/>
            <w:vAlign w:val="center"/>
            <w:hideMark/>
          </w:tcPr>
          <w:p w14:paraId="2EB63F18"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(0.99-1.01)</w:t>
            </w:r>
          </w:p>
        </w:tc>
        <w:tc>
          <w:tcPr>
            <w:tcW w:w="1010" w:type="dxa"/>
            <w:tcBorders>
              <w:top w:val="nil"/>
              <w:bottom w:val="single" w:sz="4" w:space="0" w:color="auto"/>
            </w:tcBorders>
            <w:shd w:val="clear" w:color="auto" w:fill="auto"/>
            <w:noWrap/>
            <w:vAlign w:val="center"/>
            <w:hideMark/>
          </w:tcPr>
          <w:p w14:paraId="209F45FA"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1.000</w:t>
            </w:r>
          </w:p>
        </w:tc>
        <w:tc>
          <w:tcPr>
            <w:tcW w:w="505" w:type="dxa"/>
            <w:tcBorders>
              <w:top w:val="nil"/>
              <w:bottom w:val="single" w:sz="4" w:space="0" w:color="auto"/>
            </w:tcBorders>
            <w:shd w:val="clear" w:color="auto" w:fill="auto"/>
            <w:noWrap/>
            <w:vAlign w:val="center"/>
            <w:hideMark/>
          </w:tcPr>
          <w:p w14:paraId="194C3B86"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955" w:type="dxa"/>
            <w:tcBorders>
              <w:top w:val="nil"/>
              <w:bottom w:val="single" w:sz="4" w:space="0" w:color="auto"/>
            </w:tcBorders>
            <w:shd w:val="clear" w:color="auto" w:fill="auto"/>
            <w:noWrap/>
            <w:vAlign w:val="center"/>
            <w:hideMark/>
          </w:tcPr>
          <w:p w14:paraId="1C9443E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1.04***</w:t>
            </w:r>
          </w:p>
        </w:tc>
        <w:tc>
          <w:tcPr>
            <w:tcW w:w="1409" w:type="dxa"/>
            <w:tcBorders>
              <w:top w:val="nil"/>
              <w:bottom w:val="single" w:sz="4" w:space="0" w:color="auto"/>
            </w:tcBorders>
            <w:shd w:val="clear" w:color="auto" w:fill="auto"/>
            <w:noWrap/>
            <w:vAlign w:val="center"/>
            <w:hideMark/>
          </w:tcPr>
          <w:p w14:paraId="7EFD753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(1.04-1.05)</w:t>
            </w:r>
          </w:p>
        </w:tc>
        <w:tc>
          <w:tcPr>
            <w:tcW w:w="841" w:type="dxa"/>
            <w:tcBorders>
              <w:top w:val="nil"/>
              <w:bottom w:val="single" w:sz="4" w:space="0" w:color="auto"/>
            </w:tcBorders>
            <w:shd w:val="clear" w:color="auto" w:fill="auto"/>
            <w:noWrap/>
            <w:vAlign w:val="center"/>
            <w:hideMark/>
          </w:tcPr>
          <w:p w14:paraId="5C86B4B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36CED1E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D36BF8" w:rsidRPr="002F4201" w14:paraId="70CA111D" w14:textId="77777777" w:rsidTr="002F4201">
        <w:trPr>
          <w:jc w:val="center"/>
        </w:trPr>
        <w:tc>
          <w:tcPr>
            <w:tcW w:w="8951" w:type="dxa"/>
            <w:gridSpan w:val="8"/>
            <w:tcBorders>
              <w:top w:val="nil"/>
              <w:left w:val="nil"/>
              <w:bottom w:val="nil"/>
              <w:right w:val="nil"/>
            </w:tcBorders>
            <w:shd w:val="clear" w:color="auto" w:fill="auto"/>
            <w:noWrap/>
            <w:vAlign w:val="center"/>
            <w:hideMark/>
          </w:tcPr>
          <w:p w14:paraId="52733D0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Ethnicity</w:t>
            </w:r>
          </w:p>
        </w:tc>
        <w:tc>
          <w:tcPr>
            <w:tcW w:w="841" w:type="dxa"/>
            <w:tcBorders>
              <w:top w:val="nil"/>
              <w:left w:val="nil"/>
              <w:bottom w:val="nil"/>
              <w:right w:val="nil"/>
            </w:tcBorders>
            <w:shd w:val="clear" w:color="auto" w:fill="auto"/>
            <w:noWrap/>
            <w:vAlign w:val="center"/>
            <w:hideMark/>
          </w:tcPr>
          <w:p w14:paraId="29F8D59D"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c>
          <w:tcPr>
            <w:tcW w:w="673" w:type="dxa"/>
            <w:tcBorders>
              <w:top w:val="single" w:sz="4" w:space="0" w:color="auto"/>
              <w:left w:val="nil"/>
              <w:bottom w:val="nil"/>
              <w:right w:val="nil"/>
            </w:tcBorders>
            <w:shd w:val="clear" w:color="auto" w:fill="auto"/>
            <w:noWrap/>
            <w:vAlign w:val="center"/>
            <w:hideMark/>
          </w:tcPr>
          <w:p w14:paraId="4A27B7FC"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r>
      <w:tr w:rsidR="002F4201" w:rsidRPr="002F4201" w14:paraId="4FD319CA" w14:textId="77777777" w:rsidTr="002F4201">
        <w:trPr>
          <w:jc w:val="center"/>
        </w:trPr>
        <w:tc>
          <w:tcPr>
            <w:tcW w:w="316" w:type="dxa"/>
            <w:tcBorders>
              <w:top w:val="nil"/>
              <w:left w:val="nil"/>
              <w:bottom w:val="nil"/>
            </w:tcBorders>
            <w:shd w:val="clear" w:color="auto" w:fill="auto"/>
            <w:noWrap/>
            <w:vAlign w:val="center"/>
            <w:hideMark/>
          </w:tcPr>
          <w:p w14:paraId="12FF8C2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2570" w:type="dxa"/>
            <w:tcBorders>
              <w:top w:val="nil"/>
              <w:bottom w:val="nil"/>
            </w:tcBorders>
            <w:shd w:val="clear" w:color="auto" w:fill="auto"/>
            <w:noWrap/>
            <w:vAlign w:val="center"/>
            <w:hideMark/>
          </w:tcPr>
          <w:p w14:paraId="70B1AA4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White</w:t>
            </w:r>
          </w:p>
        </w:tc>
        <w:tc>
          <w:tcPr>
            <w:tcW w:w="849" w:type="dxa"/>
            <w:tcBorders>
              <w:top w:val="nil"/>
              <w:bottom w:val="nil"/>
            </w:tcBorders>
            <w:shd w:val="clear" w:color="auto" w:fill="auto"/>
            <w:noWrap/>
            <w:vAlign w:val="center"/>
            <w:hideMark/>
          </w:tcPr>
          <w:p w14:paraId="6ADE89BC"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337" w:type="dxa"/>
            <w:tcBorders>
              <w:top w:val="nil"/>
              <w:bottom w:val="nil"/>
            </w:tcBorders>
            <w:shd w:val="clear" w:color="auto" w:fill="auto"/>
            <w:noWrap/>
            <w:vAlign w:val="center"/>
            <w:hideMark/>
          </w:tcPr>
          <w:p w14:paraId="7656DB9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1010" w:type="dxa"/>
            <w:tcBorders>
              <w:top w:val="nil"/>
              <w:bottom w:val="nil"/>
            </w:tcBorders>
            <w:shd w:val="clear" w:color="auto" w:fill="auto"/>
            <w:noWrap/>
            <w:vAlign w:val="center"/>
            <w:hideMark/>
          </w:tcPr>
          <w:p w14:paraId="7D34330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505" w:type="dxa"/>
            <w:tcBorders>
              <w:top w:val="nil"/>
              <w:bottom w:val="nil"/>
            </w:tcBorders>
            <w:shd w:val="clear" w:color="auto" w:fill="auto"/>
            <w:noWrap/>
            <w:vAlign w:val="center"/>
            <w:hideMark/>
          </w:tcPr>
          <w:p w14:paraId="5695C23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4A49C1BA"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409" w:type="dxa"/>
            <w:tcBorders>
              <w:top w:val="nil"/>
              <w:bottom w:val="nil"/>
            </w:tcBorders>
            <w:shd w:val="clear" w:color="auto" w:fill="auto"/>
            <w:noWrap/>
            <w:vAlign w:val="center"/>
            <w:hideMark/>
          </w:tcPr>
          <w:p w14:paraId="0A99EA6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841" w:type="dxa"/>
            <w:tcBorders>
              <w:top w:val="nil"/>
              <w:bottom w:val="nil"/>
            </w:tcBorders>
            <w:shd w:val="clear" w:color="auto" w:fill="auto"/>
            <w:noWrap/>
            <w:vAlign w:val="center"/>
            <w:hideMark/>
          </w:tcPr>
          <w:p w14:paraId="4DC2C94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673" w:type="dxa"/>
            <w:tcBorders>
              <w:top w:val="nil"/>
              <w:bottom w:val="nil"/>
              <w:right w:val="nil"/>
            </w:tcBorders>
            <w:shd w:val="clear" w:color="auto" w:fill="auto"/>
            <w:noWrap/>
            <w:vAlign w:val="center"/>
            <w:hideMark/>
          </w:tcPr>
          <w:p w14:paraId="44B0DB1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0FE93912" w14:textId="77777777" w:rsidTr="002F4201">
        <w:trPr>
          <w:jc w:val="center"/>
        </w:trPr>
        <w:tc>
          <w:tcPr>
            <w:tcW w:w="316" w:type="dxa"/>
            <w:tcBorders>
              <w:top w:val="nil"/>
              <w:left w:val="nil"/>
              <w:bottom w:val="nil"/>
            </w:tcBorders>
            <w:shd w:val="clear" w:color="auto" w:fill="auto"/>
            <w:noWrap/>
            <w:vAlign w:val="center"/>
            <w:hideMark/>
          </w:tcPr>
          <w:p w14:paraId="709138F1"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0E42583C"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Asian</w:t>
            </w:r>
          </w:p>
        </w:tc>
        <w:tc>
          <w:tcPr>
            <w:tcW w:w="849" w:type="dxa"/>
            <w:tcBorders>
              <w:top w:val="nil"/>
              <w:bottom w:val="nil"/>
            </w:tcBorders>
            <w:shd w:val="clear" w:color="auto" w:fill="auto"/>
            <w:noWrap/>
            <w:vAlign w:val="center"/>
            <w:hideMark/>
          </w:tcPr>
          <w:p w14:paraId="223FB1D1"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0.64</w:t>
            </w:r>
          </w:p>
        </w:tc>
        <w:tc>
          <w:tcPr>
            <w:tcW w:w="1337" w:type="dxa"/>
            <w:tcBorders>
              <w:top w:val="nil"/>
              <w:bottom w:val="nil"/>
            </w:tcBorders>
            <w:shd w:val="clear" w:color="auto" w:fill="auto"/>
            <w:noWrap/>
            <w:vAlign w:val="center"/>
            <w:hideMark/>
          </w:tcPr>
          <w:p w14:paraId="0095655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(0.39-1.02)</w:t>
            </w:r>
          </w:p>
        </w:tc>
        <w:tc>
          <w:tcPr>
            <w:tcW w:w="1010" w:type="dxa"/>
            <w:tcBorders>
              <w:top w:val="nil"/>
              <w:bottom w:val="nil"/>
            </w:tcBorders>
            <w:shd w:val="clear" w:color="auto" w:fill="auto"/>
            <w:noWrap/>
            <w:vAlign w:val="center"/>
            <w:hideMark/>
          </w:tcPr>
          <w:p w14:paraId="7E5E4A5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0257F11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02C89E74"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0.80***</w:t>
            </w:r>
          </w:p>
        </w:tc>
        <w:tc>
          <w:tcPr>
            <w:tcW w:w="1409" w:type="dxa"/>
            <w:tcBorders>
              <w:top w:val="nil"/>
              <w:bottom w:val="nil"/>
            </w:tcBorders>
            <w:shd w:val="clear" w:color="auto" w:fill="auto"/>
            <w:noWrap/>
            <w:vAlign w:val="center"/>
            <w:hideMark/>
          </w:tcPr>
          <w:p w14:paraId="65738A3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(0.72-0.89)</w:t>
            </w:r>
          </w:p>
        </w:tc>
        <w:tc>
          <w:tcPr>
            <w:tcW w:w="841" w:type="dxa"/>
            <w:tcBorders>
              <w:top w:val="nil"/>
              <w:bottom w:val="nil"/>
            </w:tcBorders>
            <w:shd w:val="clear" w:color="auto" w:fill="auto"/>
            <w:noWrap/>
            <w:vAlign w:val="center"/>
            <w:hideMark/>
          </w:tcPr>
          <w:p w14:paraId="1C8ACBD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0.095</w:t>
            </w:r>
          </w:p>
        </w:tc>
        <w:tc>
          <w:tcPr>
            <w:tcW w:w="673" w:type="dxa"/>
            <w:tcBorders>
              <w:top w:val="nil"/>
              <w:bottom w:val="nil"/>
              <w:right w:val="nil"/>
            </w:tcBorders>
            <w:shd w:val="clear" w:color="auto" w:fill="auto"/>
            <w:noWrap/>
            <w:vAlign w:val="center"/>
            <w:hideMark/>
          </w:tcPr>
          <w:p w14:paraId="13BB34E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1EF03DA7" w14:textId="77777777" w:rsidTr="002F4201">
        <w:trPr>
          <w:jc w:val="center"/>
        </w:trPr>
        <w:tc>
          <w:tcPr>
            <w:tcW w:w="316" w:type="dxa"/>
            <w:tcBorders>
              <w:top w:val="nil"/>
              <w:left w:val="nil"/>
              <w:bottom w:val="nil"/>
            </w:tcBorders>
            <w:shd w:val="clear" w:color="auto" w:fill="auto"/>
            <w:noWrap/>
            <w:vAlign w:val="center"/>
            <w:hideMark/>
          </w:tcPr>
          <w:p w14:paraId="013F0F08"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6B304ED1"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Black</w:t>
            </w:r>
          </w:p>
        </w:tc>
        <w:tc>
          <w:tcPr>
            <w:tcW w:w="849" w:type="dxa"/>
            <w:tcBorders>
              <w:top w:val="nil"/>
              <w:bottom w:val="nil"/>
            </w:tcBorders>
            <w:shd w:val="clear" w:color="auto" w:fill="auto"/>
            <w:noWrap/>
            <w:vAlign w:val="center"/>
            <w:hideMark/>
          </w:tcPr>
          <w:p w14:paraId="374C8883"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0.88</w:t>
            </w:r>
          </w:p>
        </w:tc>
        <w:tc>
          <w:tcPr>
            <w:tcW w:w="1337" w:type="dxa"/>
            <w:tcBorders>
              <w:top w:val="nil"/>
              <w:bottom w:val="nil"/>
            </w:tcBorders>
            <w:shd w:val="clear" w:color="auto" w:fill="auto"/>
            <w:noWrap/>
            <w:vAlign w:val="center"/>
            <w:hideMark/>
          </w:tcPr>
          <w:p w14:paraId="0E1DCDD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(0.54-1.43)</w:t>
            </w:r>
          </w:p>
        </w:tc>
        <w:tc>
          <w:tcPr>
            <w:tcW w:w="1010" w:type="dxa"/>
            <w:tcBorders>
              <w:top w:val="nil"/>
              <w:bottom w:val="nil"/>
            </w:tcBorders>
            <w:shd w:val="clear" w:color="auto" w:fill="auto"/>
            <w:noWrap/>
            <w:vAlign w:val="center"/>
            <w:hideMark/>
          </w:tcPr>
          <w:p w14:paraId="286EE9E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420F33B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5C40625A"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0.71***</w:t>
            </w:r>
          </w:p>
        </w:tc>
        <w:tc>
          <w:tcPr>
            <w:tcW w:w="1409" w:type="dxa"/>
            <w:tcBorders>
              <w:top w:val="nil"/>
              <w:bottom w:val="nil"/>
            </w:tcBorders>
            <w:shd w:val="clear" w:color="auto" w:fill="auto"/>
            <w:noWrap/>
            <w:vAlign w:val="center"/>
            <w:hideMark/>
          </w:tcPr>
          <w:p w14:paraId="2D09F33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(0.64-0.79)</w:t>
            </w:r>
          </w:p>
        </w:tc>
        <w:tc>
          <w:tcPr>
            <w:tcW w:w="841" w:type="dxa"/>
            <w:tcBorders>
              <w:top w:val="nil"/>
              <w:bottom w:val="nil"/>
            </w:tcBorders>
            <w:shd w:val="clear" w:color="auto" w:fill="auto"/>
            <w:noWrap/>
            <w:vAlign w:val="center"/>
            <w:hideMark/>
          </w:tcPr>
          <w:p w14:paraId="71C504C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2E55718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4EEDABD9" w14:textId="77777777" w:rsidTr="002F4201">
        <w:trPr>
          <w:jc w:val="center"/>
        </w:trPr>
        <w:tc>
          <w:tcPr>
            <w:tcW w:w="316" w:type="dxa"/>
            <w:tcBorders>
              <w:top w:val="nil"/>
              <w:left w:val="nil"/>
              <w:bottom w:val="single" w:sz="4" w:space="0" w:color="auto"/>
            </w:tcBorders>
            <w:shd w:val="clear" w:color="auto" w:fill="auto"/>
            <w:noWrap/>
            <w:vAlign w:val="center"/>
            <w:hideMark/>
          </w:tcPr>
          <w:p w14:paraId="0179F6B4"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3EFA125C"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Mixed/Other</w:t>
            </w:r>
          </w:p>
        </w:tc>
        <w:tc>
          <w:tcPr>
            <w:tcW w:w="849" w:type="dxa"/>
            <w:tcBorders>
              <w:top w:val="nil"/>
              <w:bottom w:val="single" w:sz="4" w:space="0" w:color="auto"/>
            </w:tcBorders>
            <w:shd w:val="clear" w:color="auto" w:fill="auto"/>
            <w:noWrap/>
            <w:vAlign w:val="center"/>
            <w:hideMark/>
          </w:tcPr>
          <w:p w14:paraId="1A9F2B64"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1.18</w:t>
            </w:r>
          </w:p>
        </w:tc>
        <w:tc>
          <w:tcPr>
            <w:tcW w:w="1337" w:type="dxa"/>
            <w:tcBorders>
              <w:top w:val="nil"/>
              <w:bottom w:val="single" w:sz="4" w:space="0" w:color="auto"/>
            </w:tcBorders>
            <w:shd w:val="clear" w:color="auto" w:fill="auto"/>
            <w:noWrap/>
            <w:vAlign w:val="center"/>
            <w:hideMark/>
          </w:tcPr>
          <w:p w14:paraId="675063B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(0.53-2.66)</w:t>
            </w:r>
          </w:p>
        </w:tc>
        <w:tc>
          <w:tcPr>
            <w:tcW w:w="1010" w:type="dxa"/>
            <w:tcBorders>
              <w:top w:val="nil"/>
              <w:bottom w:val="single" w:sz="4" w:space="0" w:color="auto"/>
            </w:tcBorders>
            <w:shd w:val="clear" w:color="auto" w:fill="auto"/>
            <w:noWrap/>
            <w:vAlign w:val="center"/>
            <w:hideMark/>
          </w:tcPr>
          <w:p w14:paraId="120E026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single" w:sz="4" w:space="0" w:color="auto"/>
            </w:tcBorders>
            <w:shd w:val="clear" w:color="auto" w:fill="auto"/>
            <w:noWrap/>
            <w:vAlign w:val="center"/>
            <w:hideMark/>
          </w:tcPr>
          <w:p w14:paraId="3E7FEA1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single" w:sz="4" w:space="0" w:color="auto"/>
            </w:tcBorders>
            <w:shd w:val="clear" w:color="auto" w:fill="auto"/>
            <w:noWrap/>
            <w:vAlign w:val="center"/>
            <w:hideMark/>
          </w:tcPr>
          <w:p w14:paraId="4C451E32"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0.74***</w:t>
            </w:r>
          </w:p>
        </w:tc>
        <w:tc>
          <w:tcPr>
            <w:tcW w:w="1409" w:type="dxa"/>
            <w:tcBorders>
              <w:top w:val="nil"/>
              <w:bottom w:val="single" w:sz="4" w:space="0" w:color="auto"/>
            </w:tcBorders>
            <w:shd w:val="clear" w:color="auto" w:fill="auto"/>
            <w:noWrap/>
            <w:vAlign w:val="center"/>
            <w:hideMark/>
          </w:tcPr>
          <w:p w14:paraId="12A43ED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(0.65-0.86)</w:t>
            </w:r>
          </w:p>
        </w:tc>
        <w:tc>
          <w:tcPr>
            <w:tcW w:w="841" w:type="dxa"/>
            <w:tcBorders>
              <w:top w:val="nil"/>
              <w:bottom w:val="nil"/>
            </w:tcBorders>
            <w:shd w:val="clear" w:color="auto" w:fill="auto"/>
            <w:noWrap/>
            <w:vAlign w:val="center"/>
            <w:hideMark/>
          </w:tcPr>
          <w:p w14:paraId="420B1C9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0.004</w:t>
            </w:r>
          </w:p>
        </w:tc>
        <w:tc>
          <w:tcPr>
            <w:tcW w:w="673" w:type="dxa"/>
            <w:tcBorders>
              <w:top w:val="nil"/>
              <w:bottom w:val="nil"/>
              <w:right w:val="nil"/>
            </w:tcBorders>
            <w:shd w:val="clear" w:color="auto" w:fill="auto"/>
            <w:noWrap/>
            <w:vAlign w:val="center"/>
            <w:hideMark/>
          </w:tcPr>
          <w:p w14:paraId="3F55857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D36BF8" w:rsidRPr="002F4201" w14:paraId="73B800A4" w14:textId="77777777" w:rsidTr="002F4201">
        <w:trPr>
          <w:jc w:val="center"/>
        </w:trPr>
        <w:tc>
          <w:tcPr>
            <w:tcW w:w="8951" w:type="dxa"/>
            <w:gridSpan w:val="8"/>
            <w:tcBorders>
              <w:top w:val="nil"/>
              <w:left w:val="nil"/>
              <w:bottom w:val="nil"/>
              <w:right w:val="nil"/>
            </w:tcBorders>
            <w:shd w:val="clear" w:color="auto" w:fill="auto"/>
            <w:noWrap/>
            <w:vAlign w:val="center"/>
            <w:hideMark/>
          </w:tcPr>
          <w:p w14:paraId="0EE69594"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IMD 2015 deprivation quintile</w:t>
            </w:r>
          </w:p>
        </w:tc>
        <w:tc>
          <w:tcPr>
            <w:tcW w:w="841" w:type="dxa"/>
            <w:tcBorders>
              <w:top w:val="single" w:sz="4" w:space="0" w:color="auto"/>
              <w:left w:val="nil"/>
              <w:bottom w:val="nil"/>
              <w:right w:val="nil"/>
            </w:tcBorders>
            <w:shd w:val="clear" w:color="auto" w:fill="auto"/>
            <w:noWrap/>
            <w:vAlign w:val="center"/>
            <w:hideMark/>
          </w:tcPr>
          <w:p w14:paraId="3F04F7E7"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c>
          <w:tcPr>
            <w:tcW w:w="673" w:type="dxa"/>
            <w:tcBorders>
              <w:top w:val="single" w:sz="4" w:space="0" w:color="auto"/>
              <w:left w:val="nil"/>
              <w:bottom w:val="nil"/>
              <w:right w:val="nil"/>
            </w:tcBorders>
            <w:shd w:val="clear" w:color="auto" w:fill="auto"/>
            <w:noWrap/>
            <w:vAlign w:val="center"/>
            <w:hideMark/>
          </w:tcPr>
          <w:p w14:paraId="3CA7280B"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r>
      <w:tr w:rsidR="002F4201" w:rsidRPr="002F4201" w14:paraId="2BCCB6EA" w14:textId="77777777" w:rsidTr="002F4201">
        <w:trPr>
          <w:jc w:val="center"/>
        </w:trPr>
        <w:tc>
          <w:tcPr>
            <w:tcW w:w="316" w:type="dxa"/>
            <w:tcBorders>
              <w:top w:val="nil"/>
              <w:left w:val="nil"/>
              <w:bottom w:val="nil"/>
            </w:tcBorders>
            <w:shd w:val="clear" w:color="auto" w:fill="auto"/>
            <w:noWrap/>
            <w:vAlign w:val="center"/>
            <w:hideMark/>
          </w:tcPr>
          <w:p w14:paraId="74FD7AD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2570" w:type="dxa"/>
            <w:tcBorders>
              <w:top w:val="nil"/>
              <w:bottom w:val="nil"/>
            </w:tcBorders>
            <w:shd w:val="clear" w:color="auto" w:fill="auto"/>
            <w:noWrap/>
            <w:vAlign w:val="center"/>
            <w:hideMark/>
          </w:tcPr>
          <w:p w14:paraId="3B5DFC8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Quintile 1: Least Deprived</w:t>
            </w:r>
          </w:p>
        </w:tc>
        <w:tc>
          <w:tcPr>
            <w:tcW w:w="849" w:type="dxa"/>
            <w:tcBorders>
              <w:top w:val="nil"/>
              <w:bottom w:val="nil"/>
            </w:tcBorders>
            <w:shd w:val="clear" w:color="auto" w:fill="auto"/>
            <w:noWrap/>
            <w:vAlign w:val="center"/>
            <w:hideMark/>
          </w:tcPr>
          <w:p w14:paraId="1FAE3F22"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337" w:type="dxa"/>
            <w:tcBorders>
              <w:top w:val="nil"/>
              <w:bottom w:val="nil"/>
            </w:tcBorders>
            <w:shd w:val="clear" w:color="auto" w:fill="auto"/>
            <w:noWrap/>
            <w:vAlign w:val="center"/>
            <w:hideMark/>
          </w:tcPr>
          <w:p w14:paraId="7AB8BEA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1010" w:type="dxa"/>
            <w:tcBorders>
              <w:top w:val="nil"/>
              <w:bottom w:val="nil"/>
            </w:tcBorders>
            <w:shd w:val="clear" w:color="auto" w:fill="auto"/>
            <w:noWrap/>
            <w:vAlign w:val="center"/>
            <w:hideMark/>
          </w:tcPr>
          <w:p w14:paraId="1C76516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505" w:type="dxa"/>
            <w:tcBorders>
              <w:top w:val="nil"/>
              <w:bottom w:val="nil"/>
            </w:tcBorders>
            <w:shd w:val="clear" w:color="auto" w:fill="auto"/>
            <w:noWrap/>
            <w:vAlign w:val="center"/>
            <w:hideMark/>
          </w:tcPr>
          <w:p w14:paraId="021D9C5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45034065"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409" w:type="dxa"/>
            <w:tcBorders>
              <w:top w:val="nil"/>
              <w:bottom w:val="nil"/>
            </w:tcBorders>
            <w:shd w:val="clear" w:color="auto" w:fill="auto"/>
            <w:noWrap/>
            <w:vAlign w:val="center"/>
            <w:hideMark/>
          </w:tcPr>
          <w:p w14:paraId="28CA428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841" w:type="dxa"/>
            <w:tcBorders>
              <w:top w:val="nil"/>
              <w:bottom w:val="nil"/>
            </w:tcBorders>
            <w:shd w:val="clear" w:color="auto" w:fill="auto"/>
            <w:noWrap/>
            <w:vAlign w:val="center"/>
            <w:hideMark/>
          </w:tcPr>
          <w:p w14:paraId="72670BB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673" w:type="dxa"/>
            <w:tcBorders>
              <w:top w:val="nil"/>
              <w:bottom w:val="nil"/>
              <w:right w:val="nil"/>
            </w:tcBorders>
            <w:shd w:val="clear" w:color="auto" w:fill="auto"/>
            <w:noWrap/>
            <w:vAlign w:val="center"/>
            <w:hideMark/>
          </w:tcPr>
          <w:p w14:paraId="763A0B3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59ACFEEC" w14:textId="77777777" w:rsidTr="002F4201">
        <w:trPr>
          <w:jc w:val="center"/>
        </w:trPr>
        <w:tc>
          <w:tcPr>
            <w:tcW w:w="316" w:type="dxa"/>
            <w:tcBorders>
              <w:top w:val="nil"/>
              <w:left w:val="nil"/>
              <w:bottom w:val="nil"/>
            </w:tcBorders>
            <w:shd w:val="clear" w:color="auto" w:fill="auto"/>
            <w:noWrap/>
            <w:vAlign w:val="center"/>
            <w:hideMark/>
          </w:tcPr>
          <w:p w14:paraId="6791ED92"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6453ED94"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Quintile 2</w:t>
            </w:r>
          </w:p>
        </w:tc>
        <w:tc>
          <w:tcPr>
            <w:tcW w:w="849" w:type="dxa"/>
            <w:tcBorders>
              <w:top w:val="nil"/>
              <w:bottom w:val="nil"/>
            </w:tcBorders>
            <w:shd w:val="clear" w:color="auto" w:fill="auto"/>
            <w:noWrap/>
            <w:vAlign w:val="center"/>
            <w:hideMark/>
          </w:tcPr>
          <w:p w14:paraId="02CE240E"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1.18</w:t>
            </w:r>
          </w:p>
        </w:tc>
        <w:tc>
          <w:tcPr>
            <w:tcW w:w="1337" w:type="dxa"/>
            <w:tcBorders>
              <w:top w:val="nil"/>
              <w:bottom w:val="nil"/>
            </w:tcBorders>
            <w:shd w:val="clear" w:color="auto" w:fill="auto"/>
            <w:noWrap/>
            <w:vAlign w:val="center"/>
            <w:hideMark/>
          </w:tcPr>
          <w:p w14:paraId="3949E60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(0.97-1.45)</w:t>
            </w:r>
          </w:p>
        </w:tc>
        <w:tc>
          <w:tcPr>
            <w:tcW w:w="1010" w:type="dxa"/>
            <w:tcBorders>
              <w:top w:val="nil"/>
              <w:bottom w:val="nil"/>
            </w:tcBorders>
            <w:shd w:val="clear" w:color="auto" w:fill="auto"/>
            <w:noWrap/>
            <w:vAlign w:val="center"/>
            <w:hideMark/>
          </w:tcPr>
          <w:p w14:paraId="630A9C8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292476F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76F47582"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1.08***</w:t>
            </w:r>
          </w:p>
        </w:tc>
        <w:tc>
          <w:tcPr>
            <w:tcW w:w="1409" w:type="dxa"/>
            <w:tcBorders>
              <w:top w:val="nil"/>
              <w:bottom w:val="nil"/>
            </w:tcBorders>
            <w:shd w:val="clear" w:color="auto" w:fill="auto"/>
            <w:noWrap/>
            <w:vAlign w:val="center"/>
            <w:hideMark/>
          </w:tcPr>
          <w:p w14:paraId="1B4CFAA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(1.04-1.11)</w:t>
            </w:r>
          </w:p>
        </w:tc>
        <w:tc>
          <w:tcPr>
            <w:tcW w:w="841" w:type="dxa"/>
            <w:tcBorders>
              <w:top w:val="nil"/>
              <w:bottom w:val="nil"/>
            </w:tcBorders>
            <w:shd w:val="clear" w:color="auto" w:fill="auto"/>
            <w:noWrap/>
            <w:vAlign w:val="center"/>
            <w:hideMark/>
          </w:tcPr>
          <w:p w14:paraId="7337DCC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0.012</w:t>
            </w:r>
          </w:p>
        </w:tc>
        <w:tc>
          <w:tcPr>
            <w:tcW w:w="673" w:type="dxa"/>
            <w:tcBorders>
              <w:top w:val="nil"/>
              <w:bottom w:val="nil"/>
              <w:right w:val="nil"/>
            </w:tcBorders>
            <w:shd w:val="clear" w:color="auto" w:fill="auto"/>
            <w:noWrap/>
            <w:vAlign w:val="center"/>
            <w:hideMark/>
          </w:tcPr>
          <w:p w14:paraId="411EE7B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52F84917" w14:textId="77777777" w:rsidTr="002F4201">
        <w:trPr>
          <w:jc w:val="center"/>
        </w:trPr>
        <w:tc>
          <w:tcPr>
            <w:tcW w:w="316" w:type="dxa"/>
            <w:tcBorders>
              <w:top w:val="nil"/>
              <w:left w:val="nil"/>
              <w:bottom w:val="nil"/>
            </w:tcBorders>
            <w:shd w:val="clear" w:color="auto" w:fill="auto"/>
            <w:noWrap/>
            <w:vAlign w:val="center"/>
            <w:hideMark/>
          </w:tcPr>
          <w:p w14:paraId="5CBC8597"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475DD43C"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Quintile 3</w:t>
            </w:r>
          </w:p>
        </w:tc>
        <w:tc>
          <w:tcPr>
            <w:tcW w:w="849" w:type="dxa"/>
            <w:tcBorders>
              <w:top w:val="nil"/>
              <w:bottom w:val="nil"/>
            </w:tcBorders>
            <w:shd w:val="clear" w:color="auto" w:fill="auto"/>
            <w:noWrap/>
            <w:vAlign w:val="center"/>
            <w:hideMark/>
          </w:tcPr>
          <w:p w14:paraId="75A3EE97"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1.09</w:t>
            </w:r>
          </w:p>
        </w:tc>
        <w:tc>
          <w:tcPr>
            <w:tcW w:w="1337" w:type="dxa"/>
            <w:tcBorders>
              <w:top w:val="nil"/>
              <w:bottom w:val="nil"/>
            </w:tcBorders>
            <w:shd w:val="clear" w:color="auto" w:fill="auto"/>
            <w:noWrap/>
            <w:vAlign w:val="center"/>
            <w:hideMark/>
          </w:tcPr>
          <w:p w14:paraId="2D050D2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(0.88-1.35)</w:t>
            </w:r>
          </w:p>
        </w:tc>
        <w:tc>
          <w:tcPr>
            <w:tcW w:w="1010" w:type="dxa"/>
            <w:tcBorders>
              <w:top w:val="nil"/>
              <w:bottom w:val="nil"/>
            </w:tcBorders>
            <w:shd w:val="clear" w:color="auto" w:fill="auto"/>
            <w:noWrap/>
            <w:vAlign w:val="center"/>
            <w:hideMark/>
          </w:tcPr>
          <w:p w14:paraId="35D6FD4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13BF00F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2194760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1.07***</w:t>
            </w:r>
          </w:p>
        </w:tc>
        <w:tc>
          <w:tcPr>
            <w:tcW w:w="1409" w:type="dxa"/>
            <w:tcBorders>
              <w:top w:val="nil"/>
              <w:bottom w:val="nil"/>
            </w:tcBorders>
            <w:shd w:val="clear" w:color="auto" w:fill="auto"/>
            <w:noWrap/>
            <w:vAlign w:val="center"/>
            <w:hideMark/>
          </w:tcPr>
          <w:p w14:paraId="57806E7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(1.03-1.11)</w:t>
            </w:r>
          </w:p>
        </w:tc>
        <w:tc>
          <w:tcPr>
            <w:tcW w:w="841" w:type="dxa"/>
            <w:tcBorders>
              <w:top w:val="nil"/>
              <w:bottom w:val="nil"/>
            </w:tcBorders>
            <w:shd w:val="clear" w:color="auto" w:fill="auto"/>
            <w:noWrap/>
            <w:vAlign w:val="center"/>
            <w:hideMark/>
          </w:tcPr>
          <w:p w14:paraId="7519A99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748CA73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400F5375" w14:textId="77777777" w:rsidTr="002F4201">
        <w:trPr>
          <w:jc w:val="center"/>
        </w:trPr>
        <w:tc>
          <w:tcPr>
            <w:tcW w:w="316" w:type="dxa"/>
            <w:tcBorders>
              <w:top w:val="nil"/>
              <w:left w:val="nil"/>
              <w:bottom w:val="nil"/>
            </w:tcBorders>
            <w:shd w:val="clear" w:color="auto" w:fill="auto"/>
            <w:noWrap/>
            <w:vAlign w:val="center"/>
            <w:hideMark/>
          </w:tcPr>
          <w:p w14:paraId="1A18DC49"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46C7A9B2"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Quintile 4</w:t>
            </w:r>
          </w:p>
        </w:tc>
        <w:tc>
          <w:tcPr>
            <w:tcW w:w="849" w:type="dxa"/>
            <w:tcBorders>
              <w:top w:val="nil"/>
              <w:bottom w:val="nil"/>
            </w:tcBorders>
            <w:shd w:val="clear" w:color="auto" w:fill="auto"/>
            <w:noWrap/>
            <w:vAlign w:val="center"/>
            <w:hideMark/>
          </w:tcPr>
          <w:p w14:paraId="74C5EEF2"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1.10</w:t>
            </w:r>
          </w:p>
        </w:tc>
        <w:tc>
          <w:tcPr>
            <w:tcW w:w="1337" w:type="dxa"/>
            <w:tcBorders>
              <w:top w:val="nil"/>
              <w:bottom w:val="nil"/>
            </w:tcBorders>
            <w:shd w:val="clear" w:color="auto" w:fill="auto"/>
            <w:noWrap/>
            <w:vAlign w:val="center"/>
            <w:hideMark/>
          </w:tcPr>
          <w:p w14:paraId="686CBF9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(0.89-1.38)</w:t>
            </w:r>
          </w:p>
        </w:tc>
        <w:tc>
          <w:tcPr>
            <w:tcW w:w="1010" w:type="dxa"/>
            <w:tcBorders>
              <w:top w:val="nil"/>
              <w:bottom w:val="nil"/>
            </w:tcBorders>
            <w:shd w:val="clear" w:color="auto" w:fill="auto"/>
            <w:noWrap/>
            <w:vAlign w:val="center"/>
            <w:hideMark/>
          </w:tcPr>
          <w:p w14:paraId="2EFEB92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7D11067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11312CFE"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1.09***</w:t>
            </w:r>
          </w:p>
        </w:tc>
        <w:tc>
          <w:tcPr>
            <w:tcW w:w="1409" w:type="dxa"/>
            <w:tcBorders>
              <w:top w:val="nil"/>
              <w:bottom w:val="nil"/>
            </w:tcBorders>
            <w:shd w:val="clear" w:color="auto" w:fill="auto"/>
            <w:noWrap/>
            <w:vAlign w:val="center"/>
            <w:hideMark/>
          </w:tcPr>
          <w:p w14:paraId="2697BD3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(1.05-1.13)</w:t>
            </w:r>
          </w:p>
        </w:tc>
        <w:tc>
          <w:tcPr>
            <w:tcW w:w="841" w:type="dxa"/>
            <w:tcBorders>
              <w:top w:val="nil"/>
              <w:bottom w:val="nil"/>
            </w:tcBorders>
            <w:shd w:val="clear" w:color="auto" w:fill="auto"/>
            <w:noWrap/>
            <w:vAlign w:val="center"/>
            <w:hideMark/>
          </w:tcPr>
          <w:p w14:paraId="26423ED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0.055</w:t>
            </w:r>
          </w:p>
        </w:tc>
        <w:tc>
          <w:tcPr>
            <w:tcW w:w="673" w:type="dxa"/>
            <w:tcBorders>
              <w:top w:val="nil"/>
              <w:bottom w:val="nil"/>
              <w:right w:val="nil"/>
            </w:tcBorders>
            <w:shd w:val="clear" w:color="auto" w:fill="auto"/>
            <w:noWrap/>
            <w:vAlign w:val="center"/>
            <w:hideMark/>
          </w:tcPr>
          <w:p w14:paraId="5670CA5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3C69FE56" w14:textId="77777777" w:rsidTr="002F4201">
        <w:trPr>
          <w:jc w:val="center"/>
        </w:trPr>
        <w:tc>
          <w:tcPr>
            <w:tcW w:w="316" w:type="dxa"/>
            <w:tcBorders>
              <w:top w:val="nil"/>
              <w:left w:val="nil"/>
              <w:bottom w:val="single" w:sz="4" w:space="0" w:color="auto"/>
            </w:tcBorders>
            <w:shd w:val="clear" w:color="auto" w:fill="auto"/>
            <w:noWrap/>
            <w:vAlign w:val="center"/>
            <w:hideMark/>
          </w:tcPr>
          <w:p w14:paraId="27017FE7"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7F9496EF"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Quintile 5: Most Deprived</w:t>
            </w:r>
          </w:p>
        </w:tc>
        <w:tc>
          <w:tcPr>
            <w:tcW w:w="849" w:type="dxa"/>
            <w:tcBorders>
              <w:top w:val="nil"/>
              <w:bottom w:val="single" w:sz="4" w:space="0" w:color="auto"/>
            </w:tcBorders>
            <w:shd w:val="clear" w:color="auto" w:fill="auto"/>
            <w:noWrap/>
            <w:vAlign w:val="center"/>
            <w:hideMark/>
          </w:tcPr>
          <w:p w14:paraId="026F3CC0"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1.06</w:t>
            </w:r>
          </w:p>
        </w:tc>
        <w:tc>
          <w:tcPr>
            <w:tcW w:w="1337" w:type="dxa"/>
            <w:tcBorders>
              <w:top w:val="nil"/>
              <w:bottom w:val="single" w:sz="4" w:space="0" w:color="auto"/>
            </w:tcBorders>
            <w:shd w:val="clear" w:color="auto" w:fill="auto"/>
            <w:noWrap/>
            <w:vAlign w:val="center"/>
            <w:hideMark/>
          </w:tcPr>
          <w:p w14:paraId="007A30D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(0.85-1.34)</w:t>
            </w:r>
          </w:p>
        </w:tc>
        <w:tc>
          <w:tcPr>
            <w:tcW w:w="1010" w:type="dxa"/>
            <w:tcBorders>
              <w:top w:val="nil"/>
              <w:bottom w:val="single" w:sz="4" w:space="0" w:color="auto"/>
            </w:tcBorders>
            <w:shd w:val="clear" w:color="auto" w:fill="auto"/>
            <w:noWrap/>
            <w:vAlign w:val="center"/>
            <w:hideMark/>
          </w:tcPr>
          <w:p w14:paraId="6AB0B6E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single" w:sz="4" w:space="0" w:color="auto"/>
            </w:tcBorders>
            <w:shd w:val="clear" w:color="auto" w:fill="auto"/>
            <w:noWrap/>
            <w:vAlign w:val="center"/>
            <w:hideMark/>
          </w:tcPr>
          <w:p w14:paraId="18664E2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single" w:sz="4" w:space="0" w:color="auto"/>
            </w:tcBorders>
            <w:shd w:val="clear" w:color="auto" w:fill="auto"/>
            <w:noWrap/>
            <w:vAlign w:val="center"/>
            <w:hideMark/>
          </w:tcPr>
          <w:p w14:paraId="27D0ED69"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1.20***</w:t>
            </w:r>
          </w:p>
        </w:tc>
        <w:tc>
          <w:tcPr>
            <w:tcW w:w="1409" w:type="dxa"/>
            <w:tcBorders>
              <w:top w:val="nil"/>
              <w:bottom w:val="single" w:sz="4" w:space="0" w:color="auto"/>
            </w:tcBorders>
            <w:shd w:val="clear" w:color="auto" w:fill="auto"/>
            <w:noWrap/>
            <w:vAlign w:val="center"/>
            <w:hideMark/>
          </w:tcPr>
          <w:p w14:paraId="1530945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(1.15-1.24)</w:t>
            </w:r>
          </w:p>
        </w:tc>
        <w:tc>
          <w:tcPr>
            <w:tcW w:w="841" w:type="dxa"/>
            <w:tcBorders>
              <w:top w:val="nil"/>
              <w:bottom w:val="single" w:sz="4" w:space="0" w:color="auto"/>
            </w:tcBorders>
            <w:shd w:val="clear" w:color="auto" w:fill="auto"/>
            <w:noWrap/>
            <w:vAlign w:val="center"/>
            <w:hideMark/>
          </w:tcPr>
          <w:p w14:paraId="03B67943"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single" w:sz="4" w:space="0" w:color="auto"/>
              <w:right w:val="nil"/>
            </w:tcBorders>
            <w:shd w:val="clear" w:color="auto" w:fill="auto"/>
            <w:noWrap/>
            <w:vAlign w:val="center"/>
            <w:hideMark/>
          </w:tcPr>
          <w:p w14:paraId="0A56BBA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D36BF8" w:rsidRPr="002F4201" w14:paraId="1521D388" w14:textId="77777777" w:rsidTr="002F4201">
        <w:trPr>
          <w:jc w:val="center"/>
        </w:trPr>
        <w:tc>
          <w:tcPr>
            <w:tcW w:w="8951" w:type="dxa"/>
            <w:gridSpan w:val="8"/>
            <w:tcBorders>
              <w:top w:val="nil"/>
              <w:left w:val="nil"/>
              <w:bottom w:val="nil"/>
              <w:right w:val="nil"/>
            </w:tcBorders>
            <w:shd w:val="clear" w:color="auto" w:fill="auto"/>
            <w:noWrap/>
            <w:vAlign w:val="center"/>
            <w:hideMark/>
          </w:tcPr>
          <w:p w14:paraId="494F0F12"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Urban/Rural GP Classification</w:t>
            </w:r>
          </w:p>
        </w:tc>
        <w:tc>
          <w:tcPr>
            <w:tcW w:w="841" w:type="dxa"/>
            <w:tcBorders>
              <w:top w:val="nil"/>
              <w:left w:val="nil"/>
              <w:bottom w:val="nil"/>
              <w:right w:val="nil"/>
            </w:tcBorders>
            <w:shd w:val="clear" w:color="auto" w:fill="auto"/>
            <w:noWrap/>
            <w:vAlign w:val="center"/>
            <w:hideMark/>
          </w:tcPr>
          <w:p w14:paraId="7901F99B"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c>
          <w:tcPr>
            <w:tcW w:w="673" w:type="dxa"/>
            <w:tcBorders>
              <w:top w:val="nil"/>
              <w:left w:val="nil"/>
              <w:bottom w:val="nil"/>
              <w:right w:val="nil"/>
            </w:tcBorders>
            <w:shd w:val="clear" w:color="auto" w:fill="auto"/>
            <w:noWrap/>
            <w:vAlign w:val="center"/>
            <w:hideMark/>
          </w:tcPr>
          <w:p w14:paraId="5BD1A7DE"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r>
      <w:tr w:rsidR="002F4201" w:rsidRPr="002F4201" w14:paraId="759D7A01" w14:textId="77777777" w:rsidTr="002F4201">
        <w:trPr>
          <w:jc w:val="center"/>
        </w:trPr>
        <w:tc>
          <w:tcPr>
            <w:tcW w:w="316" w:type="dxa"/>
            <w:tcBorders>
              <w:top w:val="nil"/>
              <w:left w:val="nil"/>
              <w:bottom w:val="nil"/>
            </w:tcBorders>
            <w:shd w:val="clear" w:color="auto" w:fill="auto"/>
            <w:noWrap/>
            <w:vAlign w:val="center"/>
            <w:hideMark/>
          </w:tcPr>
          <w:p w14:paraId="4DBCC0C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2570" w:type="dxa"/>
            <w:tcBorders>
              <w:top w:val="nil"/>
              <w:bottom w:val="nil"/>
            </w:tcBorders>
            <w:shd w:val="clear" w:color="auto" w:fill="auto"/>
            <w:noWrap/>
            <w:vAlign w:val="center"/>
            <w:hideMark/>
          </w:tcPr>
          <w:p w14:paraId="5D3B765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Urban</w:t>
            </w:r>
          </w:p>
        </w:tc>
        <w:tc>
          <w:tcPr>
            <w:tcW w:w="849" w:type="dxa"/>
            <w:tcBorders>
              <w:top w:val="nil"/>
              <w:bottom w:val="nil"/>
            </w:tcBorders>
            <w:shd w:val="clear" w:color="auto" w:fill="auto"/>
            <w:noWrap/>
            <w:vAlign w:val="center"/>
            <w:hideMark/>
          </w:tcPr>
          <w:p w14:paraId="4D38CE36"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337" w:type="dxa"/>
            <w:tcBorders>
              <w:top w:val="nil"/>
              <w:bottom w:val="nil"/>
            </w:tcBorders>
            <w:shd w:val="clear" w:color="auto" w:fill="auto"/>
            <w:noWrap/>
            <w:vAlign w:val="center"/>
            <w:hideMark/>
          </w:tcPr>
          <w:p w14:paraId="174BD43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1010" w:type="dxa"/>
            <w:tcBorders>
              <w:top w:val="nil"/>
              <w:bottom w:val="nil"/>
            </w:tcBorders>
            <w:shd w:val="clear" w:color="auto" w:fill="auto"/>
            <w:noWrap/>
            <w:vAlign w:val="center"/>
            <w:hideMark/>
          </w:tcPr>
          <w:p w14:paraId="53184F3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505" w:type="dxa"/>
            <w:tcBorders>
              <w:top w:val="nil"/>
              <w:bottom w:val="nil"/>
            </w:tcBorders>
            <w:shd w:val="clear" w:color="auto" w:fill="auto"/>
            <w:noWrap/>
            <w:vAlign w:val="center"/>
            <w:hideMark/>
          </w:tcPr>
          <w:p w14:paraId="66A2DA2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1097CB5C"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409" w:type="dxa"/>
            <w:tcBorders>
              <w:top w:val="nil"/>
              <w:bottom w:val="nil"/>
            </w:tcBorders>
            <w:shd w:val="clear" w:color="auto" w:fill="auto"/>
            <w:noWrap/>
            <w:vAlign w:val="center"/>
            <w:hideMark/>
          </w:tcPr>
          <w:p w14:paraId="2A613CF3"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841" w:type="dxa"/>
            <w:tcBorders>
              <w:top w:val="nil"/>
              <w:bottom w:val="nil"/>
            </w:tcBorders>
            <w:shd w:val="clear" w:color="auto" w:fill="auto"/>
            <w:noWrap/>
            <w:vAlign w:val="center"/>
            <w:hideMark/>
          </w:tcPr>
          <w:p w14:paraId="6F6BF66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673" w:type="dxa"/>
            <w:tcBorders>
              <w:top w:val="nil"/>
              <w:bottom w:val="nil"/>
              <w:right w:val="nil"/>
            </w:tcBorders>
            <w:shd w:val="clear" w:color="auto" w:fill="auto"/>
            <w:noWrap/>
            <w:vAlign w:val="center"/>
            <w:hideMark/>
          </w:tcPr>
          <w:p w14:paraId="1BD92CE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1D1F3676" w14:textId="77777777" w:rsidTr="002F4201">
        <w:trPr>
          <w:jc w:val="center"/>
        </w:trPr>
        <w:tc>
          <w:tcPr>
            <w:tcW w:w="316" w:type="dxa"/>
            <w:tcBorders>
              <w:top w:val="nil"/>
              <w:left w:val="nil"/>
              <w:bottom w:val="single" w:sz="4" w:space="0" w:color="auto"/>
            </w:tcBorders>
            <w:shd w:val="clear" w:color="auto" w:fill="auto"/>
            <w:noWrap/>
            <w:vAlign w:val="center"/>
            <w:hideMark/>
          </w:tcPr>
          <w:p w14:paraId="355E6682"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018F63AB"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Rural</w:t>
            </w:r>
          </w:p>
        </w:tc>
        <w:tc>
          <w:tcPr>
            <w:tcW w:w="849" w:type="dxa"/>
            <w:tcBorders>
              <w:top w:val="nil"/>
              <w:bottom w:val="single" w:sz="4" w:space="0" w:color="auto"/>
            </w:tcBorders>
            <w:shd w:val="clear" w:color="auto" w:fill="auto"/>
            <w:noWrap/>
            <w:vAlign w:val="center"/>
            <w:hideMark/>
          </w:tcPr>
          <w:p w14:paraId="74EF53CF"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0.96</w:t>
            </w:r>
          </w:p>
        </w:tc>
        <w:tc>
          <w:tcPr>
            <w:tcW w:w="1337" w:type="dxa"/>
            <w:tcBorders>
              <w:top w:val="nil"/>
              <w:bottom w:val="single" w:sz="4" w:space="0" w:color="auto"/>
            </w:tcBorders>
            <w:shd w:val="clear" w:color="auto" w:fill="auto"/>
            <w:noWrap/>
            <w:vAlign w:val="center"/>
            <w:hideMark/>
          </w:tcPr>
          <w:p w14:paraId="1C6F315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(0.78-1.16)</w:t>
            </w:r>
          </w:p>
        </w:tc>
        <w:tc>
          <w:tcPr>
            <w:tcW w:w="1010" w:type="dxa"/>
            <w:tcBorders>
              <w:top w:val="nil"/>
              <w:bottom w:val="single" w:sz="4" w:space="0" w:color="auto"/>
            </w:tcBorders>
            <w:shd w:val="clear" w:color="auto" w:fill="auto"/>
            <w:noWrap/>
            <w:vAlign w:val="center"/>
            <w:hideMark/>
          </w:tcPr>
          <w:p w14:paraId="70C5002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single" w:sz="4" w:space="0" w:color="auto"/>
            </w:tcBorders>
            <w:shd w:val="clear" w:color="auto" w:fill="auto"/>
            <w:noWrap/>
            <w:vAlign w:val="center"/>
            <w:hideMark/>
          </w:tcPr>
          <w:p w14:paraId="50A44D7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single" w:sz="4" w:space="0" w:color="auto"/>
            </w:tcBorders>
            <w:shd w:val="clear" w:color="auto" w:fill="auto"/>
            <w:noWrap/>
            <w:vAlign w:val="center"/>
            <w:hideMark/>
          </w:tcPr>
          <w:p w14:paraId="4A3D5C32"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1.01</w:t>
            </w:r>
          </w:p>
        </w:tc>
        <w:tc>
          <w:tcPr>
            <w:tcW w:w="1409" w:type="dxa"/>
            <w:tcBorders>
              <w:top w:val="nil"/>
              <w:bottom w:val="single" w:sz="4" w:space="0" w:color="auto"/>
            </w:tcBorders>
            <w:shd w:val="clear" w:color="auto" w:fill="auto"/>
            <w:noWrap/>
            <w:vAlign w:val="center"/>
            <w:hideMark/>
          </w:tcPr>
          <w:p w14:paraId="2F06D55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(0.97-1.04)</w:t>
            </w:r>
          </w:p>
        </w:tc>
        <w:tc>
          <w:tcPr>
            <w:tcW w:w="841" w:type="dxa"/>
            <w:tcBorders>
              <w:top w:val="nil"/>
              <w:bottom w:val="single" w:sz="4" w:space="0" w:color="auto"/>
            </w:tcBorders>
            <w:shd w:val="clear" w:color="auto" w:fill="auto"/>
            <w:noWrap/>
            <w:vAlign w:val="center"/>
            <w:hideMark/>
          </w:tcPr>
          <w:p w14:paraId="34322E2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673" w:type="dxa"/>
            <w:tcBorders>
              <w:top w:val="nil"/>
              <w:bottom w:val="nil"/>
              <w:right w:val="nil"/>
            </w:tcBorders>
            <w:shd w:val="clear" w:color="auto" w:fill="auto"/>
            <w:noWrap/>
            <w:vAlign w:val="center"/>
            <w:hideMark/>
          </w:tcPr>
          <w:p w14:paraId="0421BB6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D36BF8" w:rsidRPr="002F4201" w14:paraId="309F99BA" w14:textId="77777777" w:rsidTr="002F4201">
        <w:trPr>
          <w:jc w:val="center"/>
        </w:trPr>
        <w:tc>
          <w:tcPr>
            <w:tcW w:w="8951" w:type="dxa"/>
            <w:gridSpan w:val="8"/>
            <w:tcBorders>
              <w:top w:val="nil"/>
              <w:left w:val="nil"/>
              <w:bottom w:val="nil"/>
              <w:right w:val="nil"/>
            </w:tcBorders>
            <w:shd w:val="clear" w:color="auto" w:fill="auto"/>
            <w:noWrap/>
            <w:vAlign w:val="center"/>
            <w:hideMark/>
          </w:tcPr>
          <w:p w14:paraId="517910C0"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GP Region</w:t>
            </w:r>
          </w:p>
        </w:tc>
        <w:tc>
          <w:tcPr>
            <w:tcW w:w="841" w:type="dxa"/>
            <w:tcBorders>
              <w:top w:val="nil"/>
              <w:left w:val="nil"/>
              <w:bottom w:val="nil"/>
              <w:right w:val="nil"/>
            </w:tcBorders>
            <w:shd w:val="clear" w:color="auto" w:fill="auto"/>
            <w:noWrap/>
            <w:vAlign w:val="center"/>
            <w:hideMark/>
          </w:tcPr>
          <w:p w14:paraId="2C848552"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c>
          <w:tcPr>
            <w:tcW w:w="673" w:type="dxa"/>
            <w:tcBorders>
              <w:top w:val="single" w:sz="4" w:space="0" w:color="auto"/>
              <w:left w:val="nil"/>
              <w:bottom w:val="nil"/>
              <w:right w:val="nil"/>
            </w:tcBorders>
            <w:shd w:val="clear" w:color="auto" w:fill="auto"/>
            <w:noWrap/>
            <w:vAlign w:val="center"/>
            <w:hideMark/>
          </w:tcPr>
          <w:p w14:paraId="72FB600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r>
      <w:tr w:rsidR="002F4201" w:rsidRPr="002F4201" w14:paraId="7C49F955" w14:textId="77777777" w:rsidTr="002F4201">
        <w:trPr>
          <w:jc w:val="center"/>
        </w:trPr>
        <w:tc>
          <w:tcPr>
            <w:tcW w:w="316" w:type="dxa"/>
            <w:tcBorders>
              <w:top w:val="nil"/>
              <w:left w:val="nil"/>
              <w:bottom w:val="nil"/>
            </w:tcBorders>
            <w:shd w:val="clear" w:color="auto" w:fill="auto"/>
            <w:noWrap/>
            <w:vAlign w:val="center"/>
            <w:hideMark/>
          </w:tcPr>
          <w:p w14:paraId="75D93C6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2570" w:type="dxa"/>
            <w:tcBorders>
              <w:top w:val="nil"/>
              <w:bottom w:val="nil"/>
            </w:tcBorders>
            <w:shd w:val="clear" w:color="auto" w:fill="auto"/>
            <w:noWrap/>
            <w:vAlign w:val="center"/>
            <w:hideMark/>
          </w:tcPr>
          <w:p w14:paraId="29F002D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South East Coast</w:t>
            </w:r>
          </w:p>
        </w:tc>
        <w:tc>
          <w:tcPr>
            <w:tcW w:w="849" w:type="dxa"/>
            <w:tcBorders>
              <w:top w:val="nil"/>
              <w:bottom w:val="nil"/>
            </w:tcBorders>
            <w:shd w:val="clear" w:color="auto" w:fill="auto"/>
            <w:noWrap/>
            <w:vAlign w:val="center"/>
            <w:hideMark/>
          </w:tcPr>
          <w:p w14:paraId="77AA5CB4"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337" w:type="dxa"/>
            <w:tcBorders>
              <w:top w:val="nil"/>
              <w:bottom w:val="nil"/>
            </w:tcBorders>
            <w:shd w:val="clear" w:color="auto" w:fill="auto"/>
            <w:noWrap/>
            <w:vAlign w:val="center"/>
            <w:hideMark/>
          </w:tcPr>
          <w:p w14:paraId="5DB35AB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1010" w:type="dxa"/>
            <w:tcBorders>
              <w:top w:val="nil"/>
              <w:bottom w:val="nil"/>
            </w:tcBorders>
            <w:shd w:val="clear" w:color="auto" w:fill="auto"/>
            <w:noWrap/>
            <w:vAlign w:val="center"/>
            <w:hideMark/>
          </w:tcPr>
          <w:p w14:paraId="44AC7CC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505" w:type="dxa"/>
            <w:tcBorders>
              <w:top w:val="nil"/>
              <w:bottom w:val="nil"/>
            </w:tcBorders>
            <w:shd w:val="clear" w:color="auto" w:fill="auto"/>
            <w:noWrap/>
            <w:vAlign w:val="center"/>
            <w:hideMark/>
          </w:tcPr>
          <w:p w14:paraId="283C4ED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2CA85DF3" w14:textId="77777777" w:rsidR="00D36BF8" w:rsidRPr="002F4201" w:rsidRDefault="00D36BF8" w:rsidP="002F4201">
            <w:pPr>
              <w:autoSpaceDE w:val="0"/>
              <w:autoSpaceDN w:val="0"/>
              <w:adjustRightInd w:val="0"/>
              <w:snapToGrid w:val="0"/>
              <w:spacing w:line="240" w:lineRule="auto"/>
              <w:jc w:val="center"/>
              <w:rPr>
                <w:rFonts w:eastAsia="Times New Roman" w:cs="Arial"/>
                <w:b/>
                <w:bCs/>
                <w:i/>
                <w:iCs/>
                <w:sz w:val="18"/>
                <w:szCs w:val="16"/>
                <w:lang w:eastAsia="en-GB"/>
              </w:rPr>
            </w:pPr>
            <w:r w:rsidRPr="002F4201">
              <w:rPr>
                <w:rFonts w:eastAsia="Times New Roman" w:cs="Arial"/>
                <w:b/>
                <w:bCs/>
                <w:i/>
                <w:iCs/>
                <w:sz w:val="18"/>
                <w:szCs w:val="16"/>
                <w:lang w:eastAsia="en-GB"/>
              </w:rPr>
              <w:t>1.00</w:t>
            </w:r>
          </w:p>
        </w:tc>
        <w:tc>
          <w:tcPr>
            <w:tcW w:w="1409" w:type="dxa"/>
            <w:tcBorders>
              <w:top w:val="nil"/>
              <w:bottom w:val="nil"/>
            </w:tcBorders>
            <w:shd w:val="clear" w:color="auto" w:fill="auto"/>
            <w:noWrap/>
            <w:vAlign w:val="center"/>
            <w:hideMark/>
          </w:tcPr>
          <w:p w14:paraId="52290BB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841" w:type="dxa"/>
            <w:tcBorders>
              <w:top w:val="nil"/>
              <w:bottom w:val="nil"/>
            </w:tcBorders>
            <w:shd w:val="clear" w:color="auto" w:fill="auto"/>
            <w:noWrap/>
            <w:vAlign w:val="center"/>
            <w:hideMark/>
          </w:tcPr>
          <w:p w14:paraId="0BB26C0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673" w:type="dxa"/>
            <w:tcBorders>
              <w:top w:val="nil"/>
              <w:bottom w:val="nil"/>
              <w:right w:val="nil"/>
            </w:tcBorders>
            <w:shd w:val="clear" w:color="auto" w:fill="auto"/>
            <w:noWrap/>
            <w:vAlign w:val="center"/>
            <w:hideMark/>
          </w:tcPr>
          <w:p w14:paraId="56E7238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4DC4DB7D" w14:textId="77777777" w:rsidTr="002F4201">
        <w:trPr>
          <w:jc w:val="center"/>
        </w:trPr>
        <w:tc>
          <w:tcPr>
            <w:tcW w:w="316" w:type="dxa"/>
            <w:tcBorders>
              <w:top w:val="nil"/>
              <w:left w:val="nil"/>
              <w:bottom w:val="nil"/>
            </w:tcBorders>
            <w:shd w:val="clear" w:color="auto" w:fill="auto"/>
            <w:noWrap/>
            <w:vAlign w:val="center"/>
            <w:hideMark/>
          </w:tcPr>
          <w:p w14:paraId="3CEF1A2E"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3BCC2A8E"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North East</w:t>
            </w:r>
          </w:p>
        </w:tc>
        <w:tc>
          <w:tcPr>
            <w:tcW w:w="849" w:type="dxa"/>
            <w:tcBorders>
              <w:top w:val="nil"/>
              <w:bottom w:val="nil"/>
            </w:tcBorders>
            <w:shd w:val="clear" w:color="auto" w:fill="auto"/>
            <w:noWrap/>
            <w:vAlign w:val="center"/>
            <w:hideMark/>
          </w:tcPr>
          <w:p w14:paraId="22896D3E"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0.96</w:t>
            </w:r>
          </w:p>
        </w:tc>
        <w:tc>
          <w:tcPr>
            <w:tcW w:w="1337" w:type="dxa"/>
            <w:tcBorders>
              <w:top w:val="nil"/>
              <w:bottom w:val="nil"/>
            </w:tcBorders>
            <w:shd w:val="clear" w:color="auto" w:fill="auto"/>
            <w:noWrap/>
            <w:vAlign w:val="center"/>
            <w:hideMark/>
          </w:tcPr>
          <w:p w14:paraId="0D30AD5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(0.65-1.43)</w:t>
            </w:r>
          </w:p>
        </w:tc>
        <w:tc>
          <w:tcPr>
            <w:tcW w:w="1010" w:type="dxa"/>
            <w:tcBorders>
              <w:top w:val="nil"/>
              <w:bottom w:val="nil"/>
            </w:tcBorders>
            <w:shd w:val="clear" w:color="auto" w:fill="auto"/>
            <w:noWrap/>
            <w:vAlign w:val="center"/>
            <w:hideMark/>
          </w:tcPr>
          <w:p w14:paraId="1F764623"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176D5F4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59ED8B06"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1.10**</w:t>
            </w:r>
          </w:p>
        </w:tc>
        <w:tc>
          <w:tcPr>
            <w:tcW w:w="1409" w:type="dxa"/>
            <w:tcBorders>
              <w:top w:val="nil"/>
              <w:bottom w:val="nil"/>
            </w:tcBorders>
            <w:shd w:val="clear" w:color="auto" w:fill="auto"/>
            <w:noWrap/>
            <w:vAlign w:val="center"/>
            <w:hideMark/>
          </w:tcPr>
          <w:p w14:paraId="08FB49A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(1.03-1.16)</w:t>
            </w:r>
          </w:p>
        </w:tc>
        <w:tc>
          <w:tcPr>
            <w:tcW w:w="841" w:type="dxa"/>
            <w:tcBorders>
              <w:top w:val="nil"/>
              <w:bottom w:val="nil"/>
            </w:tcBorders>
            <w:shd w:val="clear" w:color="auto" w:fill="auto"/>
            <w:noWrap/>
            <w:vAlign w:val="center"/>
            <w:hideMark/>
          </w:tcPr>
          <w:p w14:paraId="2B45A22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2969754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4DB7F9E3" w14:textId="77777777" w:rsidTr="002F4201">
        <w:trPr>
          <w:jc w:val="center"/>
        </w:trPr>
        <w:tc>
          <w:tcPr>
            <w:tcW w:w="316" w:type="dxa"/>
            <w:tcBorders>
              <w:top w:val="nil"/>
              <w:left w:val="nil"/>
              <w:bottom w:val="nil"/>
            </w:tcBorders>
            <w:shd w:val="clear" w:color="auto" w:fill="auto"/>
            <w:noWrap/>
            <w:vAlign w:val="center"/>
            <w:hideMark/>
          </w:tcPr>
          <w:p w14:paraId="14253B2E"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735C1558"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North West</w:t>
            </w:r>
          </w:p>
        </w:tc>
        <w:tc>
          <w:tcPr>
            <w:tcW w:w="849" w:type="dxa"/>
            <w:tcBorders>
              <w:top w:val="nil"/>
              <w:bottom w:val="nil"/>
            </w:tcBorders>
            <w:shd w:val="clear" w:color="auto" w:fill="auto"/>
            <w:noWrap/>
            <w:vAlign w:val="center"/>
            <w:hideMark/>
          </w:tcPr>
          <w:p w14:paraId="2EABD5AB"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1.09</w:t>
            </w:r>
          </w:p>
        </w:tc>
        <w:tc>
          <w:tcPr>
            <w:tcW w:w="1337" w:type="dxa"/>
            <w:tcBorders>
              <w:top w:val="nil"/>
              <w:bottom w:val="nil"/>
            </w:tcBorders>
            <w:shd w:val="clear" w:color="auto" w:fill="auto"/>
            <w:noWrap/>
            <w:vAlign w:val="center"/>
            <w:hideMark/>
          </w:tcPr>
          <w:p w14:paraId="1130CEF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(0.81-1.48)</w:t>
            </w:r>
          </w:p>
        </w:tc>
        <w:tc>
          <w:tcPr>
            <w:tcW w:w="1010" w:type="dxa"/>
            <w:tcBorders>
              <w:top w:val="nil"/>
              <w:bottom w:val="nil"/>
            </w:tcBorders>
            <w:shd w:val="clear" w:color="auto" w:fill="auto"/>
            <w:noWrap/>
            <w:vAlign w:val="center"/>
            <w:hideMark/>
          </w:tcPr>
          <w:p w14:paraId="1880F5B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265FE78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484191F6"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1.04</w:t>
            </w:r>
          </w:p>
        </w:tc>
        <w:tc>
          <w:tcPr>
            <w:tcW w:w="1409" w:type="dxa"/>
            <w:tcBorders>
              <w:top w:val="nil"/>
              <w:bottom w:val="nil"/>
            </w:tcBorders>
            <w:shd w:val="clear" w:color="auto" w:fill="auto"/>
            <w:noWrap/>
            <w:vAlign w:val="center"/>
            <w:hideMark/>
          </w:tcPr>
          <w:p w14:paraId="1689707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(0.99-1.09)</w:t>
            </w:r>
          </w:p>
        </w:tc>
        <w:tc>
          <w:tcPr>
            <w:tcW w:w="841" w:type="dxa"/>
            <w:tcBorders>
              <w:top w:val="nil"/>
              <w:bottom w:val="nil"/>
            </w:tcBorders>
            <w:shd w:val="clear" w:color="auto" w:fill="auto"/>
            <w:noWrap/>
            <w:vAlign w:val="center"/>
            <w:hideMark/>
          </w:tcPr>
          <w:p w14:paraId="31AD81B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6856318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1C5DB9DA" w14:textId="77777777" w:rsidTr="002F4201">
        <w:trPr>
          <w:jc w:val="center"/>
        </w:trPr>
        <w:tc>
          <w:tcPr>
            <w:tcW w:w="316" w:type="dxa"/>
            <w:tcBorders>
              <w:top w:val="nil"/>
              <w:left w:val="nil"/>
              <w:bottom w:val="nil"/>
            </w:tcBorders>
            <w:shd w:val="clear" w:color="auto" w:fill="auto"/>
            <w:noWrap/>
            <w:vAlign w:val="center"/>
            <w:hideMark/>
          </w:tcPr>
          <w:p w14:paraId="25FA697C"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12AD82BB"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Yorkshire And The Humber</w:t>
            </w:r>
          </w:p>
        </w:tc>
        <w:tc>
          <w:tcPr>
            <w:tcW w:w="849" w:type="dxa"/>
            <w:tcBorders>
              <w:top w:val="nil"/>
              <w:bottom w:val="nil"/>
            </w:tcBorders>
            <w:shd w:val="clear" w:color="auto" w:fill="auto"/>
            <w:noWrap/>
            <w:vAlign w:val="center"/>
            <w:hideMark/>
          </w:tcPr>
          <w:p w14:paraId="257CFAC1"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1.22</w:t>
            </w:r>
          </w:p>
        </w:tc>
        <w:tc>
          <w:tcPr>
            <w:tcW w:w="1337" w:type="dxa"/>
            <w:tcBorders>
              <w:top w:val="nil"/>
              <w:bottom w:val="nil"/>
            </w:tcBorders>
            <w:shd w:val="clear" w:color="auto" w:fill="auto"/>
            <w:noWrap/>
            <w:vAlign w:val="center"/>
            <w:hideMark/>
          </w:tcPr>
          <w:p w14:paraId="46AC882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(0.80-1.87)</w:t>
            </w:r>
          </w:p>
        </w:tc>
        <w:tc>
          <w:tcPr>
            <w:tcW w:w="1010" w:type="dxa"/>
            <w:tcBorders>
              <w:top w:val="nil"/>
              <w:bottom w:val="nil"/>
            </w:tcBorders>
            <w:shd w:val="clear" w:color="auto" w:fill="auto"/>
            <w:noWrap/>
            <w:vAlign w:val="center"/>
            <w:hideMark/>
          </w:tcPr>
          <w:p w14:paraId="63EFB89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7E89B88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0478B896"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1.06</w:t>
            </w:r>
          </w:p>
        </w:tc>
        <w:tc>
          <w:tcPr>
            <w:tcW w:w="1409" w:type="dxa"/>
            <w:tcBorders>
              <w:top w:val="nil"/>
              <w:bottom w:val="nil"/>
            </w:tcBorders>
            <w:shd w:val="clear" w:color="auto" w:fill="auto"/>
            <w:noWrap/>
            <w:vAlign w:val="center"/>
            <w:hideMark/>
          </w:tcPr>
          <w:p w14:paraId="264E061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(0.99-1.13)</w:t>
            </w:r>
          </w:p>
        </w:tc>
        <w:tc>
          <w:tcPr>
            <w:tcW w:w="841" w:type="dxa"/>
            <w:tcBorders>
              <w:top w:val="nil"/>
              <w:bottom w:val="nil"/>
            </w:tcBorders>
            <w:shd w:val="clear" w:color="auto" w:fill="auto"/>
            <w:noWrap/>
            <w:vAlign w:val="center"/>
            <w:hideMark/>
          </w:tcPr>
          <w:p w14:paraId="1A4D8C8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0.962</w:t>
            </w:r>
          </w:p>
        </w:tc>
        <w:tc>
          <w:tcPr>
            <w:tcW w:w="673" w:type="dxa"/>
            <w:tcBorders>
              <w:top w:val="nil"/>
              <w:bottom w:val="nil"/>
              <w:right w:val="nil"/>
            </w:tcBorders>
            <w:shd w:val="clear" w:color="auto" w:fill="auto"/>
            <w:noWrap/>
            <w:vAlign w:val="center"/>
            <w:hideMark/>
          </w:tcPr>
          <w:p w14:paraId="2C14286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438AE84F" w14:textId="77777777" w:rsidTr="002F4201">
        <w:trPr>
          <w:jc w:val="center"/>
        </w:trPr>
        <w:tc>
          <w:tcPr>
            <w:tcW w:w="316" w:type="dxa"/>
            <w:tcBorders>
              <w:top w:val="nil"/>
              <w:left w:val="nil"/>
              <w:bottom w:val="nil"/>
            </w:tcBorders>
            <w:shd w:val="clear" w:color="auto" w:fill="auto"/>
            <w:noWrap/>
            <w:vAlign w:val="center"/>
            <w:hideMark/>
          </w:tcPr>
          <w:p w14:paraId="52AFA4E7"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3756216A"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East Midlands</w:t>
            </w:r>
          </w:p>
        </w:tc>
        <w:tc>
          <w:tcPr>
            <w:tcW w:w="849" w:type="dxa"/>
            <w:tcBorders>
              <w:top w:val="nil"/>
              <w:bottom w:val="nil"/>
            </w:tcBorders>
            <w:shd w:val="clear" w:color="auto" w:fill="auto"/>
            <w:noWrap/>
            <w:vAlign w:val="center"/>
            <w:hideMark/>
          </w:tcPr>
          <w:p w14:paraId="7E4C9DC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0.97</w:t>
            </w:r>
          </w:p>
        </w:tc>
        <w:tc>
          <w:tcPr>
            <w:tcW w:w="1337" w:type="dxa"/>
            <w:tcBorders>
              <w:top w:val="nil"/>
              <w:bottom w:val="nil"/>
            </w:tcBorders>
            <w:shd w:val="clear" w:color="auto" w:fill="auto"/>
            <w:noWrap/>
            <w:vAlign w:val="center"/>
            <w:hideMark/>
          </w:tcPr>
          <w:p w14:paraId="5C4D8C98"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(0.60-1.57)</w:t>
            </w:r>
          </w:p>
        </w:tc>
        <w:tc>
          <w:tcPr>
            <w:tcW w:w="1010" w:type="dxa"/>
            <w:tcBorders>
              <w:top w:val="nil"/>
              <w:bottom w:val="nil"/>
            </w:tcBorders>
            <w:shd w:val="clear" w:color="auto" w:fill="auto"/>
            <w:noWrap/>
            <w:vAlign w:val="center"/>
            <w:hideMark/>
          </w:tcPr>
          <w:p w14:paraId="2617912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7127D77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2081AB5A"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1.03</w:t>
            </w:r>
          </w:p>
        </w:tc>
        <w:tc>
          <w:tcPr>
            <w:tcW w:w="1409" w:type="dxa"/>
            <w:tcBorders>
              <w:top w:val="nil"/>
              <w:bottom w:val="nil"/>
            </w:tcBorders>
            <w:shd w:val="clear" w:color="auto" w:fill="auto"/>
            <w:noWrap/>
            <w:vAlign w:val="center"/>
            <w:hideMark/>
          </w:tcPr>
          <w:p w14:paraId="29975B5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(0.94-1.13)</w:t>
            </w:r>
          </w:p>
        </w:tc>
        <w:tc>
          <w:tcPr>
            <w:tcW w:w="841" w:type="dxa"/>
            <w:tcBorders>
              <w:top w:val="nil"/>
              <w:bottom w:val="nil"/>
            </w:tcBorders>
            <w:shd w:val="clear" w:color="auto" w:fill="auto"/>
            <w:noWrap/>
            <w:vAlign w:val="center"/>
            <w:hideMark/>
          </w:tcPr>
          <w:p w14:paraId="2E96C7B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673" w:type="dxa"/>
            <w:tcBorders>
              <w:top w:val="nil"/>
              <w:bottom w:val="nil"/>
              <w:right w:val="nil"/>
            </w:tcBorders>
            <w:shd w:val="clear" w:color="auto" w:fill="auto"/>
            <w:noWrap/>
            <w:vAlign w:val="center"/>
            <w:hideMark/>
          </w:tcPr>
          <w:p w14:paraId="697834B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6699CEB0" w14:textId="77777777" w:rsidTr="002F4201">
        <w:trPr>
          <w:jc w:val="center"/>
        </w:trPr>
        <w:tc>
          <w:tcPr>
            <w:tcW w:w="316" w:type="dxa"/>
            <w:tcBorders>
              <w:top w:val="nil"/>
              <w:left w:val="nil"/>
              <w:bottom w:val="nil"/>
            </w:tcBorders>
            <w:shd w:val="clear" w:color="auto" w:fill="auto"/>
            <w:noWrap/>
            <w:vAlign w:val="center"/>
            <w:hideMark/>
          </w:tcPr>
          <w:p w14:paraId="42FEEF66"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4932E795"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East of England</w:t>
            </w:r>
          </w:p>
        </w:tc>
        <w:tc>
          <w:tcPr>
            <w:tcW w:w="849" w:type="dxa"/>
            <w:tcBorders>
              <w:top w:val="nil"/>
              <w:bottom w:val="nil"/>
            </w:tcBorders>
            <w:shd w:val="clear" w:color="auto" w:fill="auto"/>
            <w:noWrap/>
            <w:vAlign w:val="center"/>
            <w:hideMark/>
          </w:tcPr>
          <w:p w14:paraId="40EB1C91"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0.96</w:t>
            </w:r>
          </w:p>
        </w:tc>
        <w:tc>
          <w:tcPr>
            <w:tcW w:w="1337" w:type="dxa"/>
            <w:tcBorders>
              <w:top w:val="nil"/>
              <w:bottom w:val="nil"/>
            </w:tcBorders>
            <w:shd w:val="clear" w:color="auto" w:fill="auto"/>
            <w:noWrap/>
            <w:vAlign w:val="center"/>
            <w:hideMark/>
          </w:tcPr>
          <w:p w14:paraId="16B3AD9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(0.63-1.47)</w:t>
            </w:r>
          </w:p>
        </w:tc>
        <w:tc>
          <w:tcPr>
            <w:tcW w:w="1010" w:type="dxa"/>
            <w:tcBorders>
              <w:top w:val="nil"/>
              <w:bottom w:val="nil"/>
            </w:tcBorders>
            <w:shd w:val="clear" w:color="auto" w:fill="auto"/>
            <w:noWrap/>
            <w:vAlign w:val="center"/>
            <w:hideMark/>
          </w:tcPr>
          <w:p w14:paraId="06161A5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18FD822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5077DAE1"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1.06</w:t>
            </w:r>
          </w:p>
        </w:tc>
        <w:tc>
          <w:tcPr>
            <w:tcW w:w="1409" w:type="dxa"/>
            <w:tcBorders>
              <w:top w:val="nil"/>
              <w:bottom w:val="nil"/>
            </w:tcBorders>
            <w:shd w:val="clear" w:color="auto" w:fill="auto"/>
            <w:noWrap/>
            <w:vAlign w:val="center"/>
            <w:hideMark/>
          </w:tcPr>
          <w:p w14:paraId="2114BE1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(0.99-1.13)</w:t>
            </w:r>
          </w:p>
        </w:tc>
        <w:tc>
          <w:tcPr>
            <w:tcW w:w="841" w:type="dxa"/>
            <w:tcBorders>
              <w:top w:val="nil"/>
              <w:bottom w:val="nil"/>
            </w:tcBorders>
            <w:shd w:val="clear" w:color="auto" w:fill="auto"/>
            <w:noWrap/>
            <w:vAlign w:val="center"/>
            <w:hideMark/>
          </w:tcPr>
          <w:p w14:paraId="33CDFFE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673" w:type="dxa"/>
            <w:tcBorders>
              <w:top w:val="nil"/>
              <w:bottom w:val="nil"/>
              <w:right w:val="nil"/>
            </w:tcBorders>
            <w:shd w:val="clear" w:color="auto" w:fill="auto"/>
            <w:noWrap/>
            <w:vAlign w:val="center"/>
            <w:hideMark/>
          </w:tcPr>
          <w:p w14:paraId="00DE2E1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150CF44D" w14:textId="77777777" w:rsidTr="002F4201">
        <w:trPr>
          <w:jc w:val="center"/>
        </w:trPr>
        <w:tc>
          <w:tcPr>
            <w:tcW w:w="316" w:type="dxa"/>
            <w:tcBorders>
              <w:top w:val="nil"/>
              <w:left w:val="nil"/>
              <w:bottom w:val="nil"/>
            </w:tcBorders>
            <w:shd w:val="clear" w:color="auto" w:fill="auto"/>
            <w:noWrap/>
            <w:vAlign w:val="center"/>
            <w:hideMark/>
          </w:tcPr>
          <w:p w14:paraId="359B1C97"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1AA4AC51"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West Midlands</w:t>
            </w:r>
          </w:p>
        </w:tc>
        <w:tc>
          <w:tcPr>
            <w:tcW w:w="849" w:type="dxa"/>
            <w:tcBorders>
              <w:top w:val="nil"/>
              <w:bottom w:val="nil"/>
            </w:tcBorders>
            <w:shd w:val="clear" w:color="auto" w:fill="auto"/>
            <w:noWrap/>
            <w:vAlign w:val="center"/>
            <w:hideMark/>
          </w:tcPr>
          <w:p w14:paraId="3A7362A3"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0.88</w:t>
            </w:r>
          </w:p>
        </w:tc>
        <w:tc>
          <w:tcPr>
            <w:tcW w:w="1337" w:type="dxa"/>
            <w:tcBorders>
              <w:top w:val="nil"/>
              <w:bottom w:val="nil"/>
            </w:tcBorders>
            <w:shd w:val="clear" w:color="auto" w:fill="auto"/>
            <w:noWrap/>
            <w:vAlign w:val="center"/>
            <w:hideMark/>
          </w:tcPr>
          <w:p w14:paraId="779BDE6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(0.64-1.22)</w:t>
            </w:r>
          </w:p>
        </w:tc>
        <w:tc>
          <w:tcPr>
            <w:tcW w:w="1010" w:type="dxa"/>
            <w:tcBorders>
              <w:top w:val="nil"/>
              <w:bottom w:val="nil"/>
            </w:tcBorders>
            <w:shd w:val="clear" w:color="auto" w:fill="auto"/>
            <w:noWrap/>
            <w:vAlign w:val="center"/>
            <w:hideMark/>
          </w:tcPr>
          <w:p w14:paraId="31B10C49"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70311CC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272979A6"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1.03</w:t>
            </w:r>
          </w:p>
        </w:tc>
        <w:tc>
          <w:tcPr>
            <w:tcW w:w="1409" w:type="dxa"/>
            <w:tcBorders>
              <w:top w:val="nil"/>
              <w:bottom w:val="nil"/>
            </w:tcBorders>
            <w:shd w:val="clear" w:color="auto" w:fill="auto"/>
            <w:noWrap/>
            <w:vAlign w:val="center"/>
            <w:hideMark/>
          </w:tcPr>
          <w:p w14:paraId="7D2CA54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(0.98-1.08)</w:t>
            </w:r>
          </w:p>
        </w:tc>
        <w:tc>
          <w:tcPr>
            <w:tcW w:w="841" w:type="dxa"/>
            <w:tcBorders>
              <w:top w:val="nil"/>
              <w:bottom w:val="nil"/>
            </w:tcBorders>
            <w:shd w:val="clear" w:color="auto" w:fill="auto"/>
            <w:noWrap/>
            <w:vAlign w:val="center"/>
            <w:hideMark/>
          </w:tcPr>
          <w:p w14:paraId="34CC812F"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673" w:type="dxa"/>
            <w:tcBorders>
              <w:top w:val="nil"/>
              <w:bottom w:val="nil"/>
              <w:right w:val="nil"/>
            </w:tcBorders>
            <w:shd w:val="clear" w:color="auto" w:fill="auto"/>
            <w:noWrap/>
            <w:vAlign w:val="center"/>
            <w:hideMark/>
          </w:tcPr>
          <w:p w14:paraId="2484C88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7BE12FAF" w14:textId="77777777" w:rsidTr="002F4201">
        <w:trPr>
          <w:jc w:val="center"/>
        </w:trPr>
        <w:tc>
          <w:tcPr>
            <w:tcW w:w="316" w:type="dxa"/>
            <w:tcBorders>
              <w:top w:val="nil"/>
              <w:left w:val="nil"/>
              <w:bottom w:val="nil"/>
            </w:tcBorders>
            <w:shd w:val="clear" w:color="auto" w:fill="auto"/>
            <w:noWrap/>
            <w:vAlign w:val="center"/>
            <w:hideMark/>
          </w:tcPr>
          <w:p w14:paraId="2D04F5FB"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325D6704"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London</w:t>
            </w:r>
          </w:p>
        </w:tc>
        <w:tc>
          <w:tcPr>
            <w:tcW w:w="849" w:type="dxa"/>
            <w:tcBorders>
              <w:top w:val="nil"/>
              <w:bottom w:val="nil"/>
            </w:tcBorders>
            <w:shd w:val="clear" w:color="auto" w:fill="auto"/>
            <w:noWrap/>
            <w:vAlign w:val="center"/>
            <w:hideMark/>
          </w:tcPr>
          <w:p w14:paraId="4445CD3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1.09</w:t>
            </w:r>
          </w:p>
        </w:tc>
        <w:tc>
          <w:tcPr>
            <w:tcW w:w="1337" w:type="dxa"/>
            <w:tcBorders>
              <w:top w:val="nil"/>
              <w:bottom w:val="nil"/>
            </w:tcBorders>
            <w:shd w:val="clear" w:color="auto" w:fill="auto"/>
            <w:noWrap/>
            <w:vAlign w:val="center"/>
            <w:hideMark/>
          </w:tcPr>
          <w:p w14:paraId="44DE526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(0.77-1.52)</w:t>
            </w:r>
          </w:p>
        </w:tc>
        <w:tc>
          <w:tcPr>
            <w:tcW w:w="1010" w:type="dxa"/>
            <w:tcBorders>
              <w:top w:val="nil"/>
              <w:bottom w:val="nil"/>
            </w:tcBorders>
            <w:shd w:val="clear" w:color="auto" w:fill="auto"/>
            <w:noWrap/>
            <w:vAlign w:val="center"/>
            <w:hideMark/>
          </w:tcPr>
          <w:p w14:paraId="200C25B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nil"/>
            </w:tcBorders>
            <w:shd w:val="clear" w:color="auto" w:fill="auto"/>
            <w:noWrap/>
            <w:vAlign w:val="center"/>
            <w:hideMark/>
          </w:tcPr>
          <w:p w14:paraId="0D0EBCD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096F26CD"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0.95</w:t>
            </w:r>
          </w:p>
        </w:tc>
        <w:tc>
          <w:tcPr>
            <w:tcW w:w="1409" w:type="dxa"/>
            <w:tcBorders>
              <w:top w:val="nil"/>
              <w:bottom w:val="nil"/>
            </w:tcBorders>
            <w:shd w:val="clear" w:color="auto" w:fill="auto"/>
            <w:noWrap/>
            <w:vAlign w:val="center"/>
            <w:hideMark/>
          </w:tcPr>
          <w:p w14:paraId="08303DC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(0.90-1.00)</w:t>
            </w:r>
          </w:p>
        </w:tc>
        <w:tc>
          <w:tcPr>
            <w:tcW w:w="841" w:type="dxa"/>
            <w:tcBorders>
              <w:top w:val="nil"/>
              <w:bottom w:val="nil"/>
            </w:tcBorders>
            <w:shd w:val="clear" w:color="auto" w:fill="auto"/>
            <w:noWrap/>
            <w:vAlign w:val="center"/>
            <w:hideMark/>
          </w:tcPr>
          <w:p w14:paraId="3DBE8A5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673" w:type="dxa"/>
            <w:tcBorders>
              <w:top w:val="nil"/>
              <w:bottom w:val="nil"/>
              <w:right w:val="nil"/>
            </w:tcBorders>
            <w:shd w:val="clear" w:color="auto" w:fill="auto"/>
            <w:noWrap/>
            <w:vAlign w:val="center"/>
            <w:hideMark/>
          </w:tcPr>
          <w:p w14:paraId="51CE8C1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r w:rsidR="002F4201" w:rsidRPr="002F4201" w14:paraId="4F282957" w14:textId="77777777" w:rsidTr="002F4201">
        <w:trPr>
          <w:jc w:val="center"/>
        </w:trPr>
        <w:tc>
          <w:tcPr>
            <w:tcW w:w="316" w:type="dxa"/>
            <w:tcBorders>
              <w:top w:val="nil"/>
              <w:left w:val="nil"/>
              <w:bottom w:val="nil"/>
            </w:tcBorders>
            <w:shd w:val="clear" w:color="auto" w:fill="auto"/>
            <w:noWrap/>
            <w:vAlign w:val="center"/>
            <w:hideMark/>
          </w:tcPr>
          <w:p w14:paraId="08EF4AE8"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5F196359"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South Central</w:t>
            </w:r>
          </w:p>
        </w:tc>
        <w:tc>
          <w:tcPr>
            <w:tcW w:w="849" w:type="dxa"/>
            <w:tcBorders>
              <w:top w:val="nil"/>
              <w:bottom w:val="nil"/>
            </w:tcBorders>
            <w:shd w:val="clear" w:color="auto" w:fill="auto"/>
            <w:noWrap/>
            <w:vAlign w:val="center"/>
            <w:hideMark/>
          </w:tcPr>
          <w:p w14:paraId="6C052898"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1.39*</w:t>
            </w:r>
          </w:p>
        </w:tc>
        <w:tc>
          <w:tcPr>
            <w:tcW w:w="1337" w:type="dxa"/>
            <w:tcBorders>
              <w:top w:val="nil"/>
              <w:bottom w:val="nil"/>
            </w:tcBorders>
            <w:shd w:val="clear" w:color="auto" w:fill="auto"/>
            <w:noWrap/>
            <w:vAlign w:val="center"/>
            <w:hideMark/>
          </w:tcPr>
          <w:p w14:paraId="1CF3323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(1.02-1.88)</w:t>
            </w:r>
          </w:p>
        </w:tc>
        <w:tc>
          <w:tcPr>
            <w:tcW w:w="1010" w:type="dxa"/>
            <w:tcBorders>
              <w:top w:val="nil"/>
              <w:bottom w:val="nil"/>
            </w:tcBorders>
            <w:shd w:val="clear" w:color="auto" w:fill="auto"/>
            <w:noWrap/>
            <w:vAlign w:val="center"/>
            <w:hideMark/>
          </w:tcPr>
          <w:p w14:paraId="38D9A66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0.727</w:t>
            </w:r>
          </w:p>
        </w:tc>
        <w:tc>
          <w:tcPr>
            <w:tcW w:w="505" w:type="dxa"/>
            <w:tcBorders>
              <w:top w:val="nil"/>
              <w:bottom w:val="nil"/>
            </w:tcBorders>
            <w:shd w:val="clear" w:color="auto" w:fill="auto"/>
            <w:noWrap/>
            <w:vAlign w:val="center"/>
            <w:hideMark/>
          </w:tcPr>
          <w:p w14:paraId="10D2333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nil"/>
            </w:tcBorders>
            <w:shd w:val="clear" w:color="auto" w:fill="auto"/>
            <w:noWrap/>
            <w:vAlign w:val="center"/>
            <w:hideMark/>
          </w:tcPr>
          <w:p w14:paraId="6B026385"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1.23***</w:t>
            </w:r>
          </w:p>
        </w:tc>
        <w:tc>
          <w:tcPr>
            <w:tcW w:w="1409" w:type="dxa"/>
            <w:tcBorders>
              <w:top w:val="nil"/>
              <w:bottom w:val="nil"/>
            </w:tcBorders>
            <w:shd w:val="clear" w:color="auto" w:fill="auto"/>
            <w:noWrap/>
            <w:vAlign w:val="center"/>
            <w:hideMark/>
          </w:tcPr>
          <w:p w14:paraId="55B0D02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(1.17-1.29)</w:t>
            </w:r>
          </w:p>
        </w:tc>
        <w:tc>
          <w:tcPr>
            <w:tcW w:w="841" w:type="dxa"/>
            <w:tcBorders>
              <w:top w:val="nil"/>
              <w:bottom w:val="nil"/>
            </w:tcBorders>
            <w:shd w:val="clear" w:color="auto" w:fill="auto"/>
            <w:noWrap/>
            <w:vAlign w:val="center"/>
            <w:hideMark/>
          </w:tcPr>
          <w:p w14:paraId="7B2EB5F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4A08D03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76B12637" w14:textId="77777777" w:rsidTr="002F4201">
        <w:trPr>
          <w:jc w:val="center"/>
        </w:trPr>
        <w:tc>
          <w:tcPr>
            <w:tcW w:w="316" w:type="dxa"/>
            <w:tcBorders>
              <w:top w:val="nil"/>
              <w:left w:val="nil"/>
              <w:bottom w:val="single" w:sz="4" w:space="0" w:color="auto"/>
            </w:tcBorders>
            <w:shd w:val="clear" w:color="auto" w:fill="auto"/>
            <w:noWrap/>
            <w:vAlign w:val="center"/>
            <w:hideMark/>
          </w:tcPr>
          <w:p w14:paraId="52C6CF43"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300A2352"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South West</w:t>
            </w:r>
          </w:p>
        </w:tc>
        <w:tc>
          <w:tcPr>
            <w:tcW w:w="849" w:type="dxa"/>
            <w:tcBorders>
              <w:top w:val="nil"/>
              <w:bottom w:val="single" w:sz="4" w:space="0" w:color="auto"/>
            </w:tcBorders>
            <w:shd w:val="clear" w:color="auto" w:fill="auto"/>
            <w:noWrap/>
            <w:vAlign w:val="center"/>
            <w:hideMark/>
          </w:tcPr>
          <w:p w14:paraId="0FF9BC6F"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1.30</w:t>
            </w:r>
          </w:p>
        </w:tc>
        <w:tc>
          <w:tcPr>
            <w:tcW w:w="1337" w:type="dxa"/>
            <w:tcBorders>
              <w:top w:val="nil"/>
              <w:bottom w:val="single" w:sz="4" w:space="0" w:color="auto"/>
            </w:tcBorders>
            <w:shd w:val="clear" w:color="auto" w:fill="auto"/>
            <w:noWrap/>
            <w:vAlign w:val="center"/>
            <w:hideMark/>
          </w:tcPr>
          <w:p w14:paraId="7ABEB84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(0.95-1.78)</w:t>
            </w:r>
          </w:p>
        </w:tc>
        <w:tc>
          <w:tcPr>
            <w:tcW w:w="1010" w:type="dxa"/>
            <w:tcBorders>
              <w:top w:val="nil"/>
              <w:bottom w:val="single" w:sz="4" w:space="0" w:color="auto"/>
            </w:tcBorders>
            <w:shd w:val="clear" w:color="auto" w:fill="auto"/>
            <w:noWrap/>
            <w:vAlign w:val="center"/>
            <w:hideMark/>
          </w:tcPr>
          <w:p w14:paraId="01B0605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505" w:type="dxa"/>
            <w:tcBorders>
              <w:top w:val="nil"/>
              <w:bottom w:val="single" w:sz="4" w:space="0" w:color="auto"/>
            </w:tcBorders>
            <w:shd w:val="clear" w:color="auto" w:fill="auto"/>
            <w:noWrap/>
            <w:vAlign w:val="center"/>
            <w:hideMark/>
          </w:tcPr>
          <w:p w14:paraId="666D072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single" w:sz="4" w:space="0" w:color="auto"/>
            </w:tcBorders>
            <w:shd w:val="clear" w:color="auto" w:fill="auto"/>
            <w:noWrap/>
            <w:vAlign w:val="center"/>
            <w:hideMark/>
          </w:tcPr>
          <w:p w14:paraId="7FB9492D"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1.17***</w:t>
            </w:r>
          </w:p>
        </w:tc>
        <w:tc>
          <w:tcPr>
            <w:tcW w:w="1409" w:type="dxa"/>
            <w:tcBorders>
              <w:top w:val="nil"/>
              <w:bottom w:val="single" w:sz="4" w:space="0" w:color="auto"/>
            </w:tcBorders>
            <w:shd w:val="clear" w:color="auto" w:fill="auto"/>
            <w:noWrap/>
            <w:vAlign w:val="center"/>
            <w:hideMark/>
          </w:tcPr>
          <w:p w14:paraId="02392F8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(1.11-1.23)</w:t>
            </w:r>
          </w:p>
        </w:tc>
        <w:tc>
          <w:tcPr>
            <w:tcW w:w="841" w:type="dxa"/>
            <w:tcBorders>
              <w:top w:val="nil"/>
              <w:bottom w:val="nil"/>
            </w:tcBorders>
            <w:shd w:val="clear" w:color="auto" w:fill="auto"/>
            <w:noWrap/>
            <w:vAlign w:val="center"/>
            <w:hideMark/>
          </w:tcPr>
          <w:p w14:paraId="66E1CC6C"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single" w:sz="4" w:space="0" w:color="auto"/>
              <w:right w:val="nil"/>
            </w:tcBorders>
            <w:shd w:val="clear" w:color="auto" w:fill="auto"/>
            <w:noWrap/>
            <w:vAlign w:val="center"/>
            <w:hideMark/>
          </w:tcPr>
          <w:p w14:paraId="7F6C3EC6"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D36BF8" w:rsidRPr="002F4201" w14:paraId="27CA90D4" w14:textId="77777777" w:rsidTr="002F4201">
        <w:trPr>
          <w:jc w:val="center"/>
        </w:trPr>
        <w:tc>
          <w:tcPr>
            <w:tcW w:w="8951" w:type="dxa"/>
            <w:gridSpan w:val="8"/>
            <w:tcBorders>
              <w:top w:val="nil"/>
              <w:left w:val="nil"/>
              <w:bottom w:val="nil"/>
              <w:right w:val="nil"/>
            </w:tcBorders>
            <w:shd w:val="clear" w:color="auto" w:fill="auto"/>
            <w:noWrap/>
            <w:vAlign w:val="center"/>
            <w:hideMark/>
          </w:tcPr>
          <w:p w14:paraId="05140897"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Patient-GP Contact rates per year / 100</w:t>
            </w:r>
          </w:p>
        </w:tc>
        <w:tc>
          <w:tcPr>
            <w:tcW w:w="841" w:type="dxa"/>
            <w:tcBorders>
              <w:top w:val="single" w:sz="4" w:space="0" w:color="auto"/>
              <w:left w:val="nil"/>
              <w:bottom w:val="nil"/>
              <w:right w:val="nil"/>
            </w:tcBorders>
            <w:shd w:val="clear" w:color="auto" w:fill="auto"/>
            <w:noWrap/>
            <w:vAlign w:val="center"/>
            <w:hideMark/>
          </w:tcPr>
          <w:p w14:paraId="6C9A3F07"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c>
          <w:tcPr>
            <w:tcW w:w="673" w:type="dxa"/>
            <w:tcBorders>
              <w:top w:val="nil"/>
              <w:left w:val="nil"/>
              <w:bottom w:val="nil"/>
              <w:right w:val="nil"/>
            </w:tcBorders>
            <w:shd w:val="clear" w:color="auto" w:fill="auto"/>
            <w:noWrap/>
            <w:vAlign w:val="center"/>
            <w:hideMark/>
          </w:tcPr>
          <w:p w14:paraId="7470D5E4"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 </w:t>
            </w:r>
          </w:p>
        </w:tc>
      </w:tr>
      <w:tr w:rsidR="002F4201" w:rsidRPr="002F4201" w14:paraId="0B8CD5D2" w14:textId="77777777" w:rsidTr="002F4201">
        <w:trPr>
          <w:jc w:val="center"/>
        </w:trPr>
        <w:tc>
          <w:tcPr>
            <w:tcW w:w="316" w:type="dxa"/>
            <w:tcBorders>
              <w:top w:val="nil"/>
              <w:left w:val="nil"/>
              <w:bottom w:val="nil"/>
            </w:tcBorders>
            <w:shd w:val="clear" w:color="auto" w:fill="auto"/>
            <w:noWrap/>
            <w:vAlign w:val="center"/>
            <w:hideMark/>
          </w:tcPr>
          <w:p w14:paraId="2122D861"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nil"/>
            </w:tcBorders>
            <w:shd w:val="clear" w:color="auto" w:fill="auto"/>
            <w:noWrap/>
            <w:vAlign w:val="center"/>
            <w:hideMark/>
          </w:tcPr>
          <w:p w14:paraId="50D3C007"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Observations</w:t>
            </w:r>
          </w:p>
        </w:tc>
        <w:tc>
          <w:tcPr>
            <w:tcW w:w="849" w:type="dxa"/>
            <w:tcBorders>
              <w:top w:val="nil"/>
              <w:bottom w:val="nil"/>
            </w:tcBorders>
            <w:shd w:val="clear" w:color="auto" w:fill="auto"/>
            <w:noWrap/>
            <w:vAlign w:val="center"/>
            <w:hideMark/>
          </w:tcPr>
          <w:p w14:paraId="667AAE9F"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1.67***</w:t>
            </w:r>
          </w:p>
        </w:tc>
        <w:tc>
          <w:tcPr>
            <w:tcW w:w="1337" w:type="dxa"/>
            <w:tcBorders>
              <w:top w:val="nil"/>
              <w:bottom w:val="nil"/>
            </w:tcBorders>
            <w:shd w:val="clear" w:color="auto" w:fill="auto"/>
            <w:noWrap/>
            <w:vAlign w:val="center"/>
            <w:hideMark/>
          </w:tcPr>
          <w:p w14:paraId="0B8A010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(1.44-1.92)</w:t>
            </w:r>
          </w:p>
        </w:tc>
        <w:tc>
          <w:tcPr>
            <w:tcW w:w="1010" w:type="dxa"/>
            <w:tcBorders>
              <w:top w:val="nil"/>
              <w:bottom w:val="nil"/>
            </w:tcBorders>
            <w:shd w:val="clear" w:color="auto" w:fill="auto"/>
            <w:noWrap/>
            <w:vAlign w:val="center"/>
            <w:hideMark/>
          </w:tcPr>
          <w:p w14:paraId="485709C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505" w:type="dxa"/>
            <w:tcBorders>
              <w:top w:val="nil"/>
              <w:bottom w:val="nil"/>
            </w:tcBorders>
            <w:shd w:val="clear" w:color="auto" w:fill="auto"/>
            <w:noWrap/>
            <w:vAlign w:val="center"/>
            <w:hideMark/>
          </w:tcPr>
          <w:p w14:paraId="4E1F81D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c>
          <w:tcPr>
            <w:tcW w:w="955" w:type="dxa"/>
            <w:tcBorders>
              <w:top w:val="nil"/>
              <w:bottom w:val="nil"/>
            </w:tcBorders>
            <w:shd w:val="clear" w:color="auto" w:fill="auto"/>
            <w:noWrap/>
            <w:vAlign w:val="center"/>
            <w:hideMark/>
          </w:tcPr>
          <w:p w14:paraId="29C41D4C"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1.94***</w:t>
            </w:r>
          </w:p>
        </w:tc>
        <w:tc>
          <w:tcPr>
            <w:tcW w:w="1409" w:type="dxa"/>
            <w:tcBorders>
              <w:top w:val="nil"/>
              <w:bottom w:val="nil"/>
            </w:tcBorders>
            <w:shd w:val="clear" w:color="auto" w:fill="auto"/>
            <w:noWrap/>
            <w:vAlign w:val="center"/>
            <w:hideMark/>
          </w:tcPr>
          <w:p w14:paraId="63A4B570"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(1.91-1.97)</w:t>
            </w:r>
          </w:p>
        </w:tc>
        <w:tc>
          <w:tcPr>
            <w:tcW w:w="841" w:type="dxa"/>
            <w:tcBorders>
              <w:top w:val="nil"/>
              <w:bottom w:val="nil"/>
            </w:tcBorders>
            <w:shd w:val="clear" w:color="auto" w:fill="auto"/>
            <w:noWrap/>
            <w:vAlign w:val="center"/>
            <w:hideMark/>
          </w:tcPr>
          <w:p w14:paraId="40D178CE"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bottom w:val="nil"/>
              <w:right w:val="nil"/>
            </w:tcBorders>
            <w:shd w:val="clear" w:color="auto" w:fill="auto"/>
            <w:noWrap/>
            <w:vAlign w:val="center"/>
            <w:hideMark/>
          </w:tcPr>
          <w:p w14:paraId="3F145EF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394ACF9E" w14:textId="77777777" w:rsidTr="002F4201">
        <w:trPr>
          <w:jc w:val="center"/>
        </w:trPr>
        <w:tc>
          <w:tcPr>
            <w:tcW w:w="316" w:type="dxa"/>
            <w:tcBorders>
              <w:top w:val="nil"/>
              <w:left w:val="nil"/>
            </w:tcBorders>
            <w:shd w:val="clear" w:color="auto" w:fill="auto"/>
            <w:noWrap/>
            <w:vAlign w:val="center"/>
            <w:hideMark/>
          </w:tcPr>
          <w:p w14:paraId="34F39ED3"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tcBorders>
            <w:shd w:val="clear" w:color="auto" w:fill="auto"/>
            <w:noWrap/>
            <w:vAlign w:val="center"/>
            <w:hideMark/>
          </w:tcPr>
          <w:p w14:paraId="0120CDB6"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Dementia Medications</w:t>
            </w:r>
          </w:p>
        </w:tc>
        <w:tc>
          <w:tcPr>
            <w:tcW w:w="849" w:type="dxa"/>
            <w:tcBorders>
              <w:top w:val="nil"/>
            </w:tcBorders>
            <w:shd w:val="clear" w:color="auto" w:fill="auto"/>
            <w:noWrap/>
            <w:vAlign w:val="center"/>
            <w:hideMark/>
          </w:tcPr>
          <w:p w14:paraId="6280766A"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6.44**</w:t>
            </w:r>
          </w:p>
        </w:tc>
        <w:tc>
          <w:tcPr>
            <w:tcW w:w="1337" w:type="dxa"/>
            <w:tcBorders>
              <w:top w:val="nil"/>
            </w:tcBorders>
            <w:shd w:val="clear" w:color="auto" w:fill="auto"/>
            <w:noWrap/>
            <w:vAlign w:val="center"/>
            <w:hideMark/>
          </w:tcPr>
          <w:p w14:paraId="754B9C4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(1.73-23.69)</w:t>
            </w:r>
          </w:p>
        </w:tc>
        <w:tc>
          <w:tcPr>
            <w:tcW w:w="1010" w:type="dxa"/>
            <w:tcBorders>
              <w:top w:val="nil"/>
            </w:tcBorders>
            <w:shd w:val="clear" w:color="auto" w:fill="auto"/>
            <w:noWrap/>
            <w:vAlign w:val="center"/>
            <w:hideMark/>
          </w:tcPr>
          <w:p w14:paraId="70B7E21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0.112</w:t>
            </w:r>
          </w:p>
        </w:tc>
        <w:tc>
          <w:tcPr>
            <w:tcW w:w="505" w:type="dxa"/>
            <w:tcBorders>
              <w:top w:val="nil"/>
            </w:tcBorders>
            <w:shd w:val="clear" w:color="auto" w:fill="auto"/>
            <w:noWrap/>
            <w:vAlign w:val="center"/>
            <w:hideMark/>
          </w:tcPr>
          <w:p w14:paraId="5969FF3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tcBorders>
            <w:shd w:val="clear" w:color="auto" w:fill="auto"/>
            <w:noWrap/>
            <w:vAlign w:val="center"/>
            <w:hideMark/>
          </w:tcPr>
          <w:p w14:paraId="527015D4"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21.48***</w:t>
            </w:r>
          </w:p>
        </w:tc>
        <w:tc>
          <w:tcPr>
            <w:tcW w:w="1409" w:type="dxa"/>
            <w:tcBorders>
              <w:top w:val="nil"/>
            </w:tcBorders>
            <w:shd w:val="clear" w:color="auto" w:fill="auto"/>
            <w:noWrap/>
            <w:vAlign w:val="center"/>
            <w:hideMark/>
          </w:tcPr>
          <w:p w14:paraId="310238BD"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(17.62-26.19)</w:t>
            </w:r>
          </w:p>
        </w:tc>
        <w:tc>
          <w:tcPr>
            <w:tcW w:w="841" w:type="dxa"/>
            <w:tcBorders>
              <w:top w:val="nil"/>
            </w:tcBorders>
            <w:shd w:val="clear" w:color="auto" w:fill="auto"/>
            <w:noWrap/>
            <w:vAlign w:val="center"/>
            <w:hideMark/>
          </w:tcPr>
          <w:p w14:paraId="3D477284"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0.000</w:t>
            </w:r>
          </w:p>
        </w:tc>
        <w:tc>
          <w:tcPr>
            <w:tcW w:w="673" w:type="dxa"/>
            <w:tcBorders>
              <w:top w:val="nil"/>
              <w:right w:val="nil"/>
            </w:tcBorders>
            <w:shd w:val="clear" w:color="auto" w:fill="auto"/>
            <w:noWrap/>
            <w:vAlign w:val="center"/>
            <w:hideMark/>
          </w:tcPr>
          <w:p w14:paraId="79011335"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w:t>
            </w:r>
          </w:p>
        </w:tc>
      </w:tr>
      <w:tr w:rsidR="002F4201" w:rsidRPr="002F4201" w14:paraId="7CCEAC9B" w14:textId="77777777" w:rsidTr="002F4201">
        <w:trPr>
          <w:jc w:val="center"/>
        </w:trPr>
        <w:tc>
          <w:tcPr>
            <w:tcW w:w="316" w:type="dxa"/>
            <w:tcBorders>
              <w:top w:val="nil"/>
              <w:left w:val="nil"/>
              <w:bottom w:val="single" w:sz="4" w:space="0" w:color="auto"/>
            </w:tcBorders>
            <w:shd w:val="clear" w:color="auto" w:fill="auto"/>
            <w:noWrap/>
            <w:vAlign w:val="center"/>
            <w:hideMark/>
          </w:tcPr>
          <w:p w14:paraId="060BA184"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 </w:t>
            </w:r>
          </w:p>
        </w:tc>
        <w:tc>
          <w:tcPr>
            <w:tcW w:w="2570" w:type="dxa"/>
            <w:tcBorders>
              <w:top w:val="nil"/>
              <w:bottom w:val="single" w:sz="4" w:space="0" w:color="auto"/>
            </w:tcBorders>
            <w:shd w:val="clear" w:color="auto" w:fill="auto"/>
            <w:noWrap/>
            <w:vAlign w:val="center"/>
            <w:hideMark/>
          </w:tcPr>
          <w:p w14:paraId="073FF283" w14:textId="77777777" w:rsidR="00D36BF8" w:rsidRPr="002F4201" w:rsidRDefault="00D36BF8" w:rsidP="002F4201">
            <w:pPr>
              <w:autoSpaceDE w:val="0"/>
              <w:autoSpaceDN w:val="0"/>
              <w:adjustRightInd w:val="0"/>
              <w:snapToGrid w:val="0"/>
              <w:spacing w:line="240" w:lineRule="auto"/>
              <w:jc w:val="center"/>
              <w:rPr>
                <w:rFonts w:eastAsia="Times New Roman" w:cs="Arial"/>
                <w:sz w:val="18"/>
                <w:szCs w:val="16"/>
                <w:lang w:eastAsia="en-GB"/>
              </w:rPr>
            </w:pPr>
            <w:r w:rsidRPr="002F4201">
              <w:rPr>
                <w:rFonts w:eastAsia="Times New Roman" w:cs="Arial"/>
                <w:sz w:val="18"/>
                <w:szCs w:val="16"/>
                <w:lang w:eastAsia="en-GB"/>
              </w:rPr>
              <w:t>Non-Dementia Medications</w:t>
            </w:r>
          </w:p>
        </w:tc>
        <w:tc>
          <w:tcPr>
            <w:tcW w:w="849" w:type="dxa"/>
            <w:tcBorders>
              <w:top w:val="nil"/>
              <w:bottom w:val="single" w:sz="4" w:space="0" w:color="auto"/>
            </w:tcBorders>
            <w:shd w:val="clear" w:color="auto" w:fill="auto"/>
            <w:noWrap/>
            <w:vAlign w:val="center"/>
            <w:hideMark/>
          </w:tcPr>
          <w:p w14:paraId="3B474FDA"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0.86*</w:t>
            </w:r>
          </w:p>
        </w:tc>
        <w:tc>
          <w:tcPr>
            <w:tcW w:w="1337" w:type="dxa"/>
            <w:tcBorders>
              <w:top w:val="nil"/>
              <w:bottom w:val="single" w:sz="4" w:space="0" w:color="auto"/>
            </w:tcBorders>
            <w:shd w:val="clear" w:color="auto" w:fill="auto"/>
            <w:noWrap/>
            <w:vAlign w:val="center"/>
            <w:hideMark/>
          </w:tcPr>
          <w:p w14:paraId="39CF23E1"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(0.78-0.98)</w:t>
            </w:r>
          </w:p>
        </w:tc>
        <w:tc>
          <w:tcPr>
            <w:tcW w:w="1010" w:type="dxa"/>
            <w:tcBorders>
              <w:top w:val="nil"/>
              <w:bottom w:val="single" w:sz="4" w:space="0" w:color="auto"/>
            </w:tcBorders>
            <w:shd w:val="clear" w:color="auto" w:fill="auto"/>
            <w:noWrap/>
            <w:vAlign w:val="center"/>
            <w:hideMark/>
          </w:tcPr>
          <w:p w14:paraId="5AA045BB"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0.613</w:t>
            </w:r>
          </w:p>
        </w:tc>
        <w:tc>
          <w:tcPr>
            <w:tcW w:w="505" w:type="dxa"/>
            <w:tcBorders>
              <w:top w:val="nil"/>
              <w:bottom w:val="single" w:sz="4" w:space="0" w:color="auto"/>
            </w:tcBorders>
            <w:shd w:val="clear" w:color="auto" w:fill="auto"/>
            <w:noWrap/>
            <w:vAlign w:val="center"/>
            <w:hideMark/>
          </w:tcPr>
          <w:p w14:paraId="519FEC5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c>
          <w:tcPr>
            <w:tcW w:w="955" w:type="dxa"/>
            <w:tcBorders>
              <w:top w:val="nil"/>
              <w:bottom w:val="single" w:sz="4" w:space="0" w:color="auto"/>
            </w:tcBorders>
            <w:shd w:val="clear" w:color="auto" w:fill="auto"/>
            <w:noWrap/>
            <w:vAlign w:val="center"/>
            <w:hideMark/>
          </w:tcPr>
          <w:p w14:paraId="7F3B153A" w14:textId="77777777" w:rsidR="00D36BF8" w:rsidRPr="002F4201" w:rsidRDefault="00D36BF8" w:rsidP="002F4201">
            <w:pPr>
              <w:autoSpaceDE w:val="0"/>
              <w:autoSpaceDN w:val="0"/>
              <w:adjustRightInd w:val="0"/>
              <w:snapToGrid w:val="0"/>
              <w:spacing w:line="240" w:lineRule="auto"/>
              <w:jc w:val="center"/>
              <w:rPr>
                <w:rFonts w:eastAsia="Times New Roman" w:cs="Arial"/>
                <w:b/>
                <w:bCs/>
                <w:sz w:val="18"/>
                <w:szCs w:val="16"/>
                <w:lang w:eastAsia="en-GB"/>
              </w:rPr>
            </w:pPr>
            <w:r w:rsidRPr="002F4201">
              <w:rPr>
                <w:rFonts w:eastAsia="Times New Roman" w:cs="Arial"/>
                <w:b/>
                <w:bCs/>
                <w:sz w:val="18"/>
                <w:szCs w:val="16"/>
                <w:lang w:eastAsia="en-GB"/>
              </w:rPr>
              <w:t>0.84***</w:t>
            </w:r>
          </w:p>
        </w:tc>
        <w:tc>
          <w:tcPr>
            <w:tcW w:w="1409" w:type="dxa"/>
            <w:tcBorders>
              <w:top w:val="nil"/>
              <w:bottom w:val="single" w:sz="4" w:space="0" w:color="auto"/>
            </w:tcBorders>
            <w:shd w:val="clear" w:color="auto" w:fill="auto"/>
            <w:noWrap/>
            <w:vAlign w:val="center"/>
            <w:hideMark/>
          </w:tcPr>
          <w:p w14:paraId="18AA5ECA"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(0.82-0.85)</w:t>
            </w:r>
          </w:p>
        </w:tc>
        <w:tc>
          <w:tcPr>
            <w:tcW w:w="841" w:type="dxa"/>
            <w:tcBorders>
              <w:top w:val="nil"/>
              <w:bottom w:val="single" w:sz="4" w:space="0" w:color="auto"/>
            </w:tcBorders>
            <w:shd w:val="clear" w:color="auto" w:fill="auto"/>
            <w:noWrap/>
            <w:vAlign w:val="center"/>
            <w:hideMark/>
          </w:tcPr>
          <w:p w14:paraId="5B0323A7"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1.000</w:t>
            </w:r>
          </w:p>
        </w:tc>
        <w:tc>
          <w:tcPr>
            <w:tcW w:w="673" w:type="dxa"/>
            <w:tcBorders>
              <w:top w:val="nil"/>
              <w:bottom w:val="single" w:sz="4" w:space="0" w:color="auto"/>
              <w:right w:val="nil"/>
            </w:tcBorders>
            <w:shd w:val="clear" w:color="auto" w:fill="auto"/>
            <w:noWrap/>
            <w:vAlign w:val="center"/>
            <w:hideMark/>
          </w:tcPr>
          <w:p w14:paraId="227BA752" w14:textId="77777777" w:rsidR="00D36BF8" w:rsidRPr="002F4201" w:rsidRDefault="00D36BF8" w:rsidP="002F4201">
            <w:pPr>
              <w:autoSpaceDE w:val="0"/>
              <w:autoSpaceDN w:val="0"/>
              <w:adjustRightInd w:val="0"/>
              <w:snapToGrid w:val="0"/>
              <w:spacing w:line="240" w:lineRule="auto"/>
              <w:jc w:val="center"/>
              <w:rPr>
                <w:rFonts w:eastAsia="Times New Roman" w:cs="Arial"/>
                <w:i/>
                <w:iCs/>
                <w:sz w:val="18"/>
                <w:szCs w:val="16"/>
                <w:lang w:eastAsia="en-GB"/>
              </w:rPr>
            </w:pPr>
            <w:r w:rsidRPr="002F4201">
              <w:rPr>
                <w:rFonts w:eastAsia="Times New Roman" w:cs="Arial"/>
                <w:i/>
                <w:iCs/>
                <w:sz w:val="18"/>
                <w:szCs w:val="16"/>
                <w:lang w:eastAsia="en-GB"/>
              </w:rPr>
              <w:t> </w:t>
            </w:r>
          </w:p>
        </w:tc>
      </w:tr>
    </w:tbl>
    <w:p w14:paraId="1FC0C2E0" w14:textId="77777777" w:rsidR="002F4201" w:rsidRDefault="002F4201" w:rsidP="00C42825">
      <w:pPr>
        <w:pStyle w:val="MDPI43tablefooter"/>
        <w:ind w:left="425" w:right="425"/>
        <w:jc w:val="both"/>
      </w:pPr>
      <w:r w:rsidRPr="002F4201">
        <w:t>¹Covariates accounted for: age, sex, ethnicity, deprivation quintile, urban/rural GP, GP region and healthcare contacts</w:t>
      </w:r>
      <w:r>
        <w:t xml:space="preserve">; </w:t>
      </w:r>
      <w:r w:rsidRPr="002F4201">
        <w:t>²Adjusted p-values for from Cox Proportional Hazards with Bonferroni adjustments applied</w:t>
      </w:r>
      <w:r>
        <w:t xml:space="preserve">; </w:t>
      </w:r>
      <w:r w:rsidRPr="002F4201">
        <w:t>Significance level codes: ‘***’ 0.001 (99.9%); ‘**’ 0.01 (99%); ‘*’ 0.05 (95%)</w:t>
      </w:r>
      <w:r>
        <w:t xml:space="preserve">; </w:t>
      </w:r>
      <w:r w:rsidRPr="002F4201">
        <w:t>Note: reference group for each explanatory factor in italics</w:t>
      </w:r>
      <w:r w:rsidR="00C42825">
        <w:t>.</w:t>
      </w:r>
    </w:p>
    <w:p w14:paraId="4100DBEC" w14:textId="77777777" w:rsidR="00D36BF8" w:rsidRPr="00C44120" w:rsidRDefault="00D36BF8" w:rsidP="00C44120">
      <w:pPr>
        <w:pStyle w:val="MDPI22heading2"/>
        <w:spacing w:before="240"/>
      </w:pPr>
      <w:r w:rsidRPr="00C44120">
        <w:t>3.3</w:t>
      </w:r>
      <w:r w:rsidR="00C44120" w:rsidRPr="00C44120">
        <w:t xml:space="preserve">. </w:t>
      </w:r>
      <w:r w:rsidRPr="00C44120">
        <w:t>Mortality Inequalities in Late-Onset Dementia</w:t>
      </w:r>
    </w:p>
    <w:p w14:paraId="5901D0B0" w14:textId="77777777" w:rsidR="00D36BF8" w:rsidRDefault="00D36BF8" w:rsidP="00C44120">
      <w:pPr>
        <w:pStyle w:val="MDPI31text"/>
      </w:pPr>
      <w:r>
        <w:t>Regression analysis for later-onset dementia found distinct, significant demographic inequalities. When accounting for covariates (Table 4), men had significantly greater mortality risk than women. Age was significantly, positively associated with mortality risk, with each year of age associated with 4% (Hazard Risk (HR): 1.04; Confidence Intervals: 1.04-1.05) greater likelihood of dying in the study. Significant variance in mortality risk was found among ethnic groups, with Black (HR: 0.71; 0.64-0.79) and Mixed/Other (HR: 0.75; 0.65-0.86) people having lower mortality risk than White people.</w:t>
      </w:r>
    </w:p>
    <w:p w14:paraId="35AFD59E" w14:textId="77777777" w:rsidR="00D36BF8" w:rsidRDefault="00D36BF8" w:rsidP="00C44120">
      <w:pPr>
        <w:pStyle w:val="MDPI31text"/>
      </w:pPr>
      <w:r>
        <w:t xml:space="preserve">Deprivation was also significantly associated with mortality risk. Compared to the least deprived quintile (Quintile 1), each quintile had significantly increased mortality risk </w:t>
      </w:r>
      <w:r>
        <w:lastRenderedPageBreak/>
        <w:t>with a dose-response relationship; the most deprived quintile (quintile 5) had a 20% increased risk of mortality (HR: 1.20; 1.15-1.24) compared to the least deprived. Significant differences were found across geographic regions. Compared to the South East Coast region, mortality risk was greater in the South Central (HR: 1.23; 1.17-1.29), South West (HR: 1.17; 1.11-1.23), North East (HR: 1.10; 1.03-1.16).</w:t>
      </w:r>
    </w:p>
    <w:p w14:paraId="35A2D488" w14:textId="77777777" w:rsidR="00D36BF8" w:rsidRPr="00D36BF8" w:rsidRDefault="00D36BF8" w:rsidP="00C44120">
      <w:pPr>
        <w:pStyle w:val="MDPI31text"/>
      </w:pPr>
      <w:r>
        <w:t>Rates of GP observations and dementia medications were also associated with significantly greater risk of mortality among people living with late-onset dementia.</w:t>
      </w:r>
    </w:p>
    <w:p w14:paraId="42C03FD8" w14:textId="488310ED" w:rsidR="00522304" w:rsidRDefault="00C44120" w:rsidP="00C44120">
      <w:pPr>
        <w:pStyle w:val="MDPI21heading1"/>
      </w:pPr>
      <w:r>
        <w:t xml:space="preserve">4. </w:t>
      </w:r>
      <w:r w:rsidR="00522304" w:rsidRPr="00325902">
        <w:t>Discussion</w:t>
      </w:r>
    </w:p>
    <w:p w14:paraId="672D3B46" w14:textId="6DF19C55" w:rsidR="007858D0" w:rsidRPr="00325902" w:rsidRDefault="007858D0" w:rsidP="00C44120">
      <w:pPr>
        <w:pStyle w:val="MDPI21heading1"/>
      </w:pPr>
      <w:r w:rsidRPr="000629CB">
        <w:rPr>
          <w:b w:val="0"/>
          <w:i/>
        </w:rPr>
        <w:t>4.1. Key Findings</w:t>
      </w:r>
    </w:p>
    <w:p w14:paraId="645E2486" w14:textId="66827D5C" w:rsidR="00D36BF8" w:rsidRDefault="00D36BF8" w:rsidP="00C44120">
      <w:pPr>
        <w:pStyle w:val="MDPI31text"/>
      </w:pPr>
      <w:r w:rsidRPr="00D36BF8">
        <w:t>This study presents one of the first to apply large EHRs in exploring numerous causes of inequalities in dementia-related mortality. In early- and late-onset dementia, increasing rates of GP observation contacts – and for late-onset, dementia medications - are associated with increased mortality risk. Additionally, men with early-onset have higher mortality risk. For people with later-onset dementia, however, those of Black and Mixed/Other ethnicity had lower mortality risk. Additionally, the most deprived areas had greatest mortality risk and higher mortality was observed in North East, South Central and South West GP regions.</w:t>
      </w:r>
    </w:p>
    <w:p w14:paraId="398917A2" w14:textId="77777777" w:rsidR="007858D0" w:rsidRDefault="007858D0" w:rsidP="007858D0">
      <w:pPr>
        <w:pStyle w:val="MDPI31text"/>
        <w:ind w:left="0" w:firstLine="0"/>
        <w:rPr>
          <w:i/>
        </w:rPr>
      </w:pPr>
    </w:p>
    <w:p w14:paraId="371015B4" w14:textId="7AC6D93E" w:rsidR="007858D0" w:rsidRPr="00D36BF8" w:rsidRDefault="007858D0" w:rsidP="007C7621">
      <w:pPr>
        <w:pStyle w:val="MDPI31text"/>
        <w:ind w:left="2040" w:firstLine="510"/>
      </w:pPr>
      <w:r w:rsidRPr="000629CB">
        <w:rPr>
          <w:i/>
        </w:rPr>
        <w:t>4.2. Research Context</w:t>
      </w:r>
    </w:p>
    <w:p w14:paraId="0AAC0778" w14:textId="77777777" w:rsidR="00D36BF8" w:rsidRPr="00D36BF8" w:rsidRDefault="00D36BF8" w:rsidP="00C44120">
      <w:pPr>
        <w:pStyle w:val="MDPI31text"/>
      </w:pPr>
      <w:r w:rsidRPr="00D36BF8">
        <w:t xml:space="preserve">Existing research examines the impact of few social, demographic or geographic factors in mortality risk among PLWD (van de Vorst et al., 2016; Korhonen et al., 2020; Co et al., 2021). Yet none focus on multiple risk factors or investigate healthcare contacts as explanatory factors in health outcomes for PLWD. Despite continuing evidence of dementia care inequalities (Watson et al., 2020) and UK Strategies </w:t>
      </w:r>
      <w:proofErr w:type="spellStart"/>
      <w:r w:rsidRPr="00D36BF8">
        <w:t>prioritising</w:t>
      </w:r>
      <w:proofErr w:type="spellEnd"/>
      <w:r w:rsidRPr="00D36BF8">
        <w:t xml:space="preserve"> narrowing inequalities (Department of Health, 2016), issues persist, and have been exacerbated throughout the COVID-19 pandemic (Giebel et al., 2021). Our findings progress previous research, highlighting social, demographic, geographic and healthcare inequalities in mortality risk, accounting for a greater range of explanatory factors.</w:t>
      </w:r>
    </w:p>
    <w:p w14:paraId="04A73175" w14:textId="77777777" w:rsidR="00D36BF8" w:rsidRPr="00D36BF8" w:rsidRDefault="00D36BF8" w:rsidP="00C44120">
      <w:pPr>
        <w:pStyle w:val="MDPI31text"/>
      </w:pPr>
      <w:r w:rsidRPr="00D36BF8">
        <w:t>In areas of greatest deprivation, there are more diagnosed and undiagnosed PLWD (</w:t>
      </w:r>
      <w:proofErr w:type="spellStart"/>
      <w:r w:rsidRPr="00D36BF8">
        <w:t>Pujades</w:t>
      </w:r>
      <w:proofErr w:type="spellEnd"/>
      <w:r w:rsidRPr="00D36BF8">
        <w:t>-Rodriguez et al., 2018). People from the most deprived areas receive less, and inadequate care and treatment (Cooper et al., 2017; Nuffield Trust, 2020). In dementia, this leads to later diagnosis, with PLWD from deprived areas more likely to experience faster disease progression, use emergency healthcare with more severe symptoms (</w:t>
      </w:r>
      <w:proofErr w:type="spellStart"/>
      <w:r w:rsidRPr="00D36BF8">
        <w:t>Sommerlad</w:t>
      </w:r>
      <w:proofErr w:type="spellEnd"/>
      <w:r w:rsidRPr="00D36BF8">
        <w:t xml:space="preserve"> et al., 2019), have shorter survival and greater mortality risk (van de Vorst et al., 2019).</w:t>
      </w:r>
    </w:p>
    <w:p w14:paraId="1D210516" w14:textId="77777777" w:rsidR="00D36BF8" w:rsidRPr="00D36BF8" w:rsidRDefault="00D36BF8" w:rsidP="00C44120">
      <w:pPr>
        <w:pStyle w:val="MDPI31text"/>
      </w:pPr>
      <w:r w:rsidRPr="00D36BF8">
        <w:t>People registered with North East, South Central and South East GPs had greater mortality risk. The North East – along with higher prevalence of poor health (UK Parliament, 2016) and lowest life expectancy in England (</w:t>
      </w:r>
      <w:proofErr w:type="spellStart"/>
      <w:r w:rsidRPr="00D36BF8">
        <w:t>Corris</w:t>
      </w:r>
      <w:proofErr w:type="spellEnd"/>
      <w:r w:rsidRPr="00D36BF8">
        <w:t xml:space="preserve"> et al., 2020) - contains some of the most socio-economically deprived areas in England (Ministry of Housing, Communities &amp; Local Government, 2019), likely contributing to higher mortality risk for. Greater dementia mortality risk in South Central and South East regions is reflective of demographic and systemic factors. The South of England tends to be more affluent, with greater life expectancy (ONS, 2020). However, pockets of deprivation may be hidden in regional analyses. Greater mortality risk for older PLWD was observed, and White people had higher mortality risk than other ethnicities. With increased mortality risk observed in GP regions with varied levels of deprivation, mortality risk may be more likely a result of the regions’ population composition, rather than the geographic region itself. The South Central and South East regions are older and less ethnically diverse (Local Government Association, 2017). An older population, with reduced mobility and further to travel to access care, will have less frequent healthcare contact, limited treatment options, faster disease progression, and greater risk of negative health outcomes (Innes et al., 2020; </w:t>
      </w:r>
      <w:proofErr w:type="spellStart"/>
      <w:r w:rsidRPr="00D36BF8">
        <w:t>Szymczynska</w:t>
      </w:r>
      <w:proofErr w:type="spellEnd"/>
      <w:r w:rsidRPr="00D36BF8">
        <w:t xml:space="preserve"> et al., 2011).</w:t>
      </w:r>
    </w:p>
    <w:p w14:paraId="16CCDD95" w14:textId="28F1FB59" w:rsidR="00D36BF8" w:rsidRDefault="00D36BF8" w:rsidP="00C44120">
      <w:pPr>
        <w:pStyle w:val="MDPI31text"/>
      </w:pPr>
      <w:r w:rsidRPr="00D36BF8">
        <w:lastRenderedPageBreak/>
        <w:t>Black and Mixed/Other groups had lower mortality risk than White people; findings similar to UK dementia-related mortality (ONS, 2020(2)). White populations in the UK have lower life expectancy than other ethnic groups (</w:t>
      </w:r>
      <w:proofErr w:type="spellStart"/>
      <w:r w:rsidRPr="00D36BF8">
        <w:t>Gruer</w:t>
      </w:r>
      <w:proofErr w:type="spellEnd"/>
      <w:r w:rsidRPr="00D36BF8">
        <w:t xml:space="preserve"> et al., 2016), reflective of minority ethnic groups having younger population demography (ONS, 2018). Differences in mortality risk by ethnicity are associated with demographic, systemic and cultural factors. Cultural differences mean greater familial care provision for PLWD among minority ethnic communities. Familial care in ethnic minority communities can be seen as obligatory, and provided by multiple, younger family members, more capable of providing physical care, better support and enabling longer time at home (Parveen and Oyebode, 2008).</w:t>
      </w:r>
    </w:p>
    <w:p w14:paraId="66445BB9" w14:textId="77777777" w:rsidR="003140B9" w:rsidRDefault="003140B9" w:rsidP="00C44120">
      <w:pPr>
        <w:pStyle w:val="MDPI31text"/>
      </w:pPr>
    </w:p>
    <w:p w14:paraId="00028797" w14:textId="22EF83FF" w:rsidR="003140B9" w:rsidRPr="00D36BF8" w:rsidRDefault="003140B9" w:rsidP="007C7621">
      <w:pPr>
        <w:pStyle w:val="MDPI31text"/>
        <w:ind w:left="2040" w:firstLine="510"/>
      </w:pPr>
      <w:r w:rsidRPr="000629CB">
        <w:rPr>
          <w:i/>
        </w:rPr>
        <w:t>4.3. Implications for Policy, Practice and Research</w:t>
      </w:r>
    </w:p>
    <w:p w14:paraId="4C5D66A2" w14:textId="77777777" w:rsidR="00D36BF8" w:rsidRPr="00D36BF8" w:rsidRDefault="00D36BF8" w:rsidP="00C44120">
      <w:pPr>
        <w:pStyle w:val="MDPI31text"/>
      </w:pPr>
      <w:r w:rsidRPr="00D36BF8">
        <w:t>This study illustrates increasing frequency of patient-GP contact and rates of dementia medications are associated with greater mortality risk among PLWD. Previous research highlights later diagnosis, faster disease progression and greater mortality risk associated with differential healthcare use (</w:t>
      </w:r>
      <w:proofErr w:type="spellStart"/>
      <w:r w:rsidRPr="00D36BF8">
        <w:t>Rait</w:t>
      </w:r>
      <w:proofErr w:type="spellEnd"/>
      <w:r w:rsidRPr="00D36BF8">
        <w:t xml:space="preserve"> et al., 2010; Rountree et al., 2013). Different medications for dementia subtypes (O’Brien et al., 2017), inappropriate medications and primary healthcare use, and increased secondary healthcare contact, all impact outcomes (Banerjee, 2009; Goddard et al., 2016; Fogg et al., 2017). PLWD also have high comorbidities, particularly older PLWD, </w:t>
      </w:r>
      <w:proofErr w:type="spellStart"/>
      <w:r w:rsidRPr="00D36BF8">
        <w:t>emphasising</w:t>
      </w:r>
      <w:proofErr w:type="spellEnd"/>
      <w:r w:rsidRPr="00D36BF8">
        <w:t xml:space="preserve"> how vital treating dementia and comorbidities is to maintaining health and quality of life (Griffith et al., 2016; Rees et al., 2020). Furthermore, holistic care, involving non-medicative treatments can be beneficial (de Oliveira et al., 2015; James et al., 2021).</w:t>
      </w:r>
    </w:p>
    <w:p w14:paraId="363735F6" w14:textId="30B19C20" w:rsidR="00D36BF8" w:rsidRDefault="00D36BF8" w:rsidP="00C44120">
      <w:pPr>
        <w:pStyle w:val="MDPI31text"/>
      </w:pPr>
      <w:r w:rsidRPr="00D36BF8">
        <w:t>There is a growing need to improve understanding of health inequalities for PLWD (</w:t>
      </w:r>
      <w:proofErr w:type="spellStart"/>
      <w:r w:rsidRPr="00D36BF8">
        <w:t>Gliklich</w:t>
      </w:r>
      <w:proofErr w:type="spellEnd"/>
      <w:r w:rsidRPr="00D36BF8">
        <w:t xml:space="preserve"> et al., 2019). This study illustrates the potential and importance of using existing EHRs to explore health inequalities. Further use of EHRs to evidence inequalities in various outcomes for PLWD can benefit policy-makers, service commissioners and providers and clinicians. </w:t>
      </w:r>
      <w:bookmarkStart w:id="7" w:name="_Hlk90550084"/>
      <w:r w:rsidR="003140B9" w:rsidRPr="007A3371">
        <w:rPr>
          <w:szCs w:val="20"/>
        </w:rPr>
        <w:t xml:space="preserve">Developing </w:t>
      </w:r>
      <w:r w:rsidR="00C00685">
        <w:rPr>
          <w:szCs w:val="20"/>
        </w:rPr>
        <w:t xml:space="preserve">further on this </w:t>
      </w:r>
      <w:r w:rsidR="003140B9" w:rsidRPr="007A3371">
        <w:rPr>
          <w:szCs w:val="20"/>
        </w:rPr>
        <w:t xml:space="preserve">study, future research should develop understanding of variation in primary and secondary healthcare use among PLWD. Exploring numerous dementia-specific, and non-dementia healthcare contact types is important to identify inequalities in the need and use of healthcare services among PLWD. Future research </w:t>
      </w:r>
      <w:r w:rsidR="00C00685">
        <w:rPr>
          <w:szCs w:val="20"/>
        </w:rPr>
        <w:t>can</w:t>
      </w:r>
      <w:r w:rsidR="003140B9" w:rsidRPr="007A3371">
        <w:rPr>
          <w:szCs w:val="20"/>
        </w:rPr>
        <w:t xml:space="preserve"> extend this work through examining the healthcare pathways, and temporal service use changes among PLWD. For example, by clustering PLWD based on type and frequency of use of different healthcare services, one can identify social, demographic and geographic groups most likely to need and use different services. This can help us to explain why inequalities exist, building on more descriptive work exploring the extent of inequalities.</w:t>
      </w:r>
      <w:bookmarkEnd w:id="7"/>
      <w:r w:rsidR="003140B9" w:rsidRPr="00D36BF8">
        <w:t xml:space="preserve"> Additionally, EHRs can be used to identify care pathways, helping to illuminate patterns in care usage and associations with positive or negative outcomes. Knowledge of the pathways more likely to elicit positive outcomes can guide future service provision and care decision-making.</w:t>
      </w:r>
    </w:p>
    <w:p w14:paraId="7F1DE16D" w14:textId="1F298196" w:rsidR="00D36BF8" w:rsidRPr="00C44120" w:rsidRDefault="003140B9" w:rsidP="00C44120">
      <w:pPr>
        <w:pStyle w:val="MDPI22heading2"/>
        <w:spacing w:before="240"/>
      </w:pPr>
      <w:r>
        <w:t xml:space="preserve">4.4 </w:t>
      </w:r>
      <w:r w:rsidR="00D36BF8" w:rsidRPr="00C44120">
        <w:t>Limitations</w:t>
      </w:r>
    </w:p>
    <w:p w14:paraId="385E023E" w14:textId="31FD092D" w:rsidR="00D36BF8" w:rsidRPr="00D36BF8" w:rsidRDefault="00D36BF8" w:rsidP="00C44120">
      <w:pPr>
        <w:pStyle w:val="MDPI31text"/>
      </w:pPr>
      <w:r w:rsidRPr="00D36BF8">
        <w:t>There are potential explanatory factors of outcome inequalities for PLWD which are not available through CPRD. There is a need to improve data collection for PLWD; routine data of EHRs should be more inclusionary and representative, aiming to be more complete in existing metrics and expanding social, demographic and geographic metrics recorded.</w:t>
      </w:r>
      <w:r w:rsidR="003140B9" w:rsidRPr="003140B9">
        <w:t xml:space="preserve"> </w:t>
      </w:r>
      <w:bookmarkStart w:id="8" w:name="_Hlk90550035"/>
      <w:r w:rsidR="003140B9" w:rsidRPr="00963C3A">
        <w:t xml:space="preserve">There are issues around the representativeness of the sample population within CPRD. </w:t>
      </w:r>
      <w:bookmarkStart w:id="9" w:name="_Hlk90550182"/>
      <w:r w:rsidR="003140B9" w:rsidRPr="0000766F">
        <w:t xml:space="preserve">Although the population in our study is relatively representative of the UK dementia population for most social and demographic variables - as seen in Tables 2 and 3 – there are differences between the GP region of the sample population compared to the UK dementia population. Over/under-representation of certain regions may introduce selection bias into our analyses, which may limit the </w:t>
      </w:r>
      <w:proofErr w:type="spellStart"/>
      <w:r w:rsidR="003140B9" w:rsidRPr="0000766F">
        <w:t>generalisability</w:t>
      </w:r>
      <w:proofErr w:type="spellEnd"/>
      <w:r w:rsidR="003140B9" w:rsidRPr="0000766F">
        <w:t xml:space="preserve"> of our findings (especially the inequalities by region we identify). CPRD holds only data from GPs who have registered to send their practice data to CPRD. If those GPs engaging with data sharing </w:t>
      </w:r>
      <w:r w:rsidR="003140B9" w:rsidRPr="0000766F">
        <w:lastRenderedPageBreak/>
        <w:t>are not random and socially/geographically patterned, this may contribute to the bias in our data.</w:t>
      </w:r>
      <w:bookmarkEnd w:id="8"/>
      <w:bookmarkEnd w:id="9"/>
    </w:p>
    <w:p w14:paraId="0988D0E1" w14:textId="77777777" w:rsidR="00D36BF8" w:rsidRPr="00D36BF8" w:rsidRDefault="00D36BF8" w:rsidP="00C44120">
      <w:pPr>
        <w:pStyle w:val="MDPI31text"/>
      </w:pPr>
      <w:r w:rsidRPr="00D36BF8">
        <w:t>Given the nature of the condition, date of dementia diagnosis is difficult to define. Though screening and testing can indicate dementia symptomology, there is a reliance on clinical judgement during healthcare interactions (</w:t>
      </w:r>
      <w:proofErr w:type="spellStart"/>
      <w:r w:rsidRPr="00D36BF8">
        <w:t>Brodaty</w:t>
      </w:r>
      <w:proofErr w:type="spellEnd"/>
      <w:r w:rsidRPr="00D36BF8">
        <w:t xml:space="preserve"> et al., 1994). Lack of GP confidence in diagnosing, or lack of knowledge of dementia in primary care may result in issues around dementia diagnosis, resulting in issues with defining dementia date of diagnosis (Phillips et al., 2012). There is currently no way to negate this, however in </w:t>
      </w:r>
      <w:proofErr w:type="spellStart"/>
      <w:r w:rsidRPr="00D36BF8">
        <w:t>standardising</w:t>
      </w:r>
      <w:proofErr w:type="spellEnd"/>
      <w:r w:rsidRPr="00D36BF8">
        <w:t xml:space="preserve"> date of diagnosis in the sample population, adds a greater degree of precision.</w:t>
      </w:r>
    </w:p>
    <w:p w14:paraId="60C1FEBC" w14:textId="77777777" w:rsidR="00D36BF8" w:rsidRPr="00D36BF8" w:rsidRDefault="00D36BF8" w:rsidP="00C44120">
      <w:pPr>
        <w:pStyle w:val="MDPI31text"/>
      </w:pPr>
      <w:r w:rsidRPr="00D36BF8">
        <w:t>Evidence points to greater prevalence of diagnosed and undiagnosed dementia among some minority ethnic groups (Pham et al., 2018), and in areas of greatest deprivation (Connolly et al., 2011). Furthermore, less reliance on formal care for PLWD among some communities (Williams and Cooper, 2019), inadequate collection of socio-economic and demographic information and historic under-representation in EHRs and research among some communities (</w:t>
      </w:r>
      <w:proofErr w:type="spellStart"/>
      <w:r w:rsidRPr="00D36BF8">
        <w:t>Hindorff</w:t>
      </w:r>
      <w:proofErr w:type="spellEnd"/>
      <w:r w:rsidRPr="00D36BF8">
        <w:t xml:space="preserve"> et al., 2018), means true prevalence among certain population groups may not be discovered (Klinger et al., 2015). Potential lack of representation in CPRD may impact potential findings and conclusions.</w:t>
      </w:r>
    </w:p>
    <w:p w14:paraId="0D565894" w14:textId="0F3F11FC" w:rsidR="00B81CF2" w:rsidRDefault="00D36BF8" w:rsidP="00C44120">
      <w:pPr>
        <w:pStyle w:val="MDPI31text"/>
      </w:pPr>
      <w:r w:rsidRPr="00D36BF8">
        <w:t>For the sample population, there are fewer dementia medication records (~2.5% of all recorded patient-GP) than GP observation or non-dementia medication records. In early- and later-onset dementia there are fewer than 2.4 and 2.9 dementia medication records per patient year respectively. This may help explain wider confidence intervals for dementia medication contacts as an explanatory factor for mortality risk in the sample population.</w:t>
      </w:r>
    </w:p>
    <w:p w14:paraId="01A1AD65" w14:textId="36C8E194" w:rsidR="00B81CF2" w:rsidRDefault="00B81CF2">
      <w:pPr>
        <w:spacing w:line="240" w:lineRule="auto"/>
        <w:jc w:val="left"/>
        <w:rPr>
          <w:rFonts w:eastAsia="Times New Roman"/>
          <w:noProof w:val="0"/>
          <w:snapToGrid w:val="0"/>
          <w:szCs w:val="22"/>
          <w:lang w:eastAsia="de-DE" w:bidi="en-US"/>
        </w:rPr>
      </w:pPr>
    </w:p>
    <w:p w14:paraId="4490D6EB" w14:textId="77777777" w:rsidR="00522304" w:rsidRDefault="00C44120" w:rsidP="00C44120">
      <w:pPr>
        <w:pStyle w:val="MDPI21heading1"/>
      </w:pPr>
      <w:r>
        <w:t xml:space="preserve">5. </w:t>
      </w:r>
      <w:r w:rsidR="00522304">
        <w:t>Conclusions</w:t>
      </w:r>
    </w:p>
    <w:p w14:paraId="0391D535" w14:textId="77777777" w:rsidR="00D36BF8" w:rsidRPr="00D36BF8" w:rsidRDefault="00D36BF8" w:rsidP="00C44120">
      <w:pPr>
        <w:pStyle w:val="MDPI31text"/>
      </w:pPr>
      <w:r w:rsidRPr="00D36BF8">
        <w:t>Findings from this study suggest substantial differential mortality risk among PLWD, due to demographic, social and geographic factors, and use of primary healthcare. These findings have ramifications for future research and services. Reducing inequalities in mortality for PLWD requires systemic, societal and cultural measures. In areas of greatest deprivation, expansion of health and social care provision, alongside improved links between primary healthcare and post-diagnostic support, can make services more accessible. Additionally, commitment to person-</w:t>
      </w:r>
      <w:proofErr w:type="spellStart"/>
      <w:r w:rsidRPr="00D36BF8">
        <w:t>centred</w:t>
      </w:r>
      <w:proofErr w:type="spellEnd"/>
      <w:r w:rsidRPr="00D36BF8">
        <w:t xml:space="preserve"> care discussions are essential, with pragmatic inclusion of medicative and non-medicative treatments. Better access to, and support in using health technologies, alongside improved transport infrastructure can enable more equitable service access for remote and older populations. Future research should explore more health and social outcomes for PLWD. This study was the first to incorporate numerous socio-economic and geographic factors, and healthcare contacts as factors in mortality risk among PLWD. Future research should include broader healthcare contact types, and socio-economic and geographic characteristics as explanatory factors of health outcomes for PLWD.</w:t>
      </w:r>
    </w:p>
    <w:p w14:paraId="0CAD11F2" w14:textId="77777777" w:rsidR="00522304" w:rsidRPr="00613B31" w:rsidRDefault="00C44120" w:rsidP="00C44120">
      <w:pPr>
        <w:pStyle w:val="MDPI62BackMatter"/>
        <w:spacing w:before="240"/>
      </w:pPr>
      <w:r w:rsidRPr="00C44120">
        <w:rPr>
          <w:b/>
        </w:rPr>
        <w:t>Author Contribution</w:t>
      </w:r>
      <w:r w:rsidR="00522304" w:rsidRPr="00C44120">
        <w:rPr>
          <w:b/>
        </w:rPr>
        <w:t xml:space="preserve">s: </w:t>
      </w:r>
      <w:r w:rsidR="00D36BF8">
        <w:t>Watson. J: designed the study, conducted data exploration/analysis, and article writing.</w:t>
      </w:r>
      <w:r>
        <w:t xml:space="preserve"> </w:t>
      </w:r>
      <w:r w:rsidR="00D36BF8">
        <w:t>Darlington Pollock, F: designed the study, supervised analyses, assisted with article writing.</w:t>
      </w:r>
      <w:r>
        <w:t xml:space="preserve"> </w:t>
      </w:r>
      <w:r w:rsidR="00D36BF8">
        <w:t>Green, M: designed the study, supervised analyses, assisted with article writing.</w:t>
      </w:r>
      <w:r>
        <w:t xml:space="preserve"> </w:t>
      </w:r>
      <w:r w:rsidR="00D36BF8">
        <w:t>Giebel. C: supervised the design of the study and assisted with writing of the article.</w:t>
      </w:r>
      <w:r>
        <w:t xml:space="preserve"> </w:t>
      </w:r>
      <w:r w:rsidR="00D36BF8">
        <w:t>Akpan. A: supervised the design of the study and assisted with writing of the article.</w:t>
      </w:r>
    </w:p>
    <w:p w14:paraId="66963386" w14:textId="77777777" w:rsidR="00522304" w:rsidRPr="00613B31" w:rsidRDefault="00522304" w:rsidP="004F46E9">
      <w:pPr>
        <w:pStyle w:val="MDPI62BackMatter"/>
      </w:pPr>
      <w:r w:rsidRPr="004F46E9">
        <w:rPr>
          <w:b/>
        </w:rPr>
        <w:t>Funding:</w:t>
      </w:r>
      <w:r w:rsidR="00D36BF8">
        <w:t xml:space="preserve"> </w:t>
      </w:r>
      <w:r w:rsidR="00D36BF8" w:rsidRPr="00D36BF8">
        <w:t>Clarissa Giebel is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2B4387E1" w14:textId="77777777" w:rsidR="00484C66" w:rsidRPr="007D75A8" w:rsidRDefault="00484C66" w:rsidP="004F46E9">
      <w:pPr>
        <w:pStyle w:val="MDPI62BackMatter"/>
        <w:rPr>
          <w:b/>
        </w:rPr>
      </w:pPr>
      <w:bookmarkStart w:id="10" w:name="_Hlk60054323"/>
      <w:r w:rsidRPr="004F46E9">
        <w:rPr>
          <w:b/>
        </w:rPr>
        <w:t xml:space="preserve">Institutional Review Board Statement: </w:t>
      </w:r>
      <w:r w:rsidR="00D36BF8" w:rsidRPr="00D36BF8">
        <w:t>Use of CPRD data was approved by the University of Liverpool Research Ethics Board (Ref: 7922).</w:t>
      </w:r>
    </w:p>
    <w:p w14:paraId="58C0814D" w14:textId="77777777" w:rsidR="00484C66" w:rsidRPr="007D75A8" w:rsidRDefault="00484C66" w:rsidP="004F46E9">
      <w:pPr>
        <w:pStyle w:val="MDPI62BackMatter"/>
      </w:pPr>
      <w:r w:rsidRPr="004F46E9">
        <w:rPr>
          <w:b/>
        </w:rPr>
        <w:lastRenderedPageBreak/>
        <w:t xml:space="preserve">Informed Consent Statement: </w:t>
      </w:r>
      <w:r w:rsidR="00D36BF8" w:rsidRPr="00D36BF8">
        <w:t>Individual patient consent is no applicable or necessary. Data access was granted by CPRD and use of CPRD Aurum for research purposes approved by the University of Liverpool Research Ethics board (Reference: 7922). The CPRD Aurum database contains routinely-collected, longitudinal EHRs from CPRD-registered GPs</w:t>
      </w:r>
      <w:r w:rsidR="00D36BF8" w:rsidRPr="00E47315">
        <w:t xml:space="preserve">. Researchers have to demonstrate the applicability of their research </w:t>
      </w:r>
      <w:r w:rsidR="00E47315" w:rsidRPr="00E47315">
        <w:t>in an application to CPRD to gain access to data for public health research purposes.</w:t>
      </w:r>
    </w:p>
    <w:p w14:paraId="6C2D5A82" w14:textId="77777777" w:rsidR="00484C66" w:rsidRPr="00613B31" w:rsidRDefault="00484C66" w:rsidP="005518A2">
      <w:pPr>
        <w:pStyle w:val="MDPI62BackMatter"/>
      </w:pPr>
      <w:r w:rsidRPr="005518A2">
        <w:rPr>
          <w:b/>
        </w:rPr>
        <w:t xml:space="preserve">Data Availability Statement: </w:t>
      </w:r>
      <w:r w:rsidR="00E47315">
        <w:t>Data is not publicly available.</w:t>
      </w:r>
    </w:p>
    <w:bookmarkEnd w:id="10"/>
    <w:p w14:paraId="22F630E1" w14:textId="77777777" w:rsidR="00522304" w:rsidRPr="00613B31" w:rsidRDefault="00522304" w:rsidP="005518A2">
      <w:pPr>
        <w:pStyle w:val="MDPI62BackMatter"/>
      </w:pPr>
      <w:r w:rsidRPr="005518A2">
        <w:rPr>
          <w:b/>
        </w:rPr>
        <w:t xml:space="preserve">Conflicts of Interest: </w:t>
      </w:r>
      <w:r w:rsidRPr="00613B31">
        <w:t>The authors declare no conflict of interest.</w:t>
      </w:r>
    </w:p>
    <w:p w14:paraId="59BDE0C2" w14:textId="77777777" w:rsidR="00522304" w:rsidRPr="00FA04F1" w:rsidRDefault="00522304" w:rsidP="00183AB8">
      <w:pPr>
        <w:pStyle w:val="MDPI21heading1"/>
        <w:ind w:left="0"/>
      </w:pPr>
      <w:r w:rsidRPr="00FA04F1">
        <w:t>References</w:t>
      </w:r>
    </w:p>
    <w:p w14:paraId="64645515" w14:textId="77777777" w:rsidR="00E47315" w:rsidRPr="005518A2" w:rsidRDefault="00E47315" w:rsidP="005518A2">
      <w:pPr>
        <w:pStyle w:val="MDPI71References"/>
        <w:numPr>
          <w:ilvl w:val="0"/>
          <w:numId w:val="4"/>
        </w:numPr>
        <w:ind w:left="425" w:hanging="425"/>
      </w:pPr>
      <w:r w:rsidRPr="005518A2">
        <w:t xml:space="preserve">ALLAN, R., WILLIAMSON, P. and KULU, H., 2017. Unravelling urban–rural health disparities in England. </w:t>
      </w:r>
      <w:proofErr w:type="spellStart"/>
      <w:r w:rsidRPr="005518A2">
        <w:t>Popul</w:t>
      </w:r>
      <w:proofErr w:type="spellEnd"/>
      <w:r w:rsidRPr="005518A2">
        <w:t xml:space="preserve"> Space Place, 23, e2073. DOI: 10.1002/psp.2073</w:t>
      </w:r>
    </w:p>
    <w:p w14:paraId="6E0EAE05" w14:textId="77777777" w:rsidR="00B30228" w:rsidRDefault="00B30228" w:rsidP="00B30228">
      <w:pPr>
        <w:pStyle w:val="MDPI71References"/>
        <w:numPr>
          <w:ilvl w:val="0"/>
          <w:numId w:val="4"/>
        </w:numPr>
        <w:ind w:left="425" w:hanging="425"/>
      </w:pPr>
      <w:r>
        <w:t xml:space="preserve">ALZHEIMERS RESEARCH UK, 2020. Dementia Statistics Hub. [Online] Available from: </w:t>
      </w:r>
      <w:hyperlink r:id="rId10" w:history="1">
        <w:r w:rsidRPr="009A59D7">
          <w:rPr>
            <w:rStyle w:val="Hyperlink"/>
          </w:rPr>
          <w:t>https://www.dementiastatistics.org/</w:t>
        </w:r>
      </w:hyperlink>
      <w:r>
        <w:t xml:space="preserve"> Accessed: 16/12/2021</w:t>
      </w:r>
    </w:p>
    <w:p w14:paraId="7820E1F7" w14:textId="5B193BD7" w:rsidR="00E47315" w:rsidRPr="005518A2" w:rsidRDefault="00EB79D9" w:rsidP="005518A2">
      <w:pPr>
        <w:pStyle w:val="MDPI71References"/>
        <w:numPr>
          <w:ilvl w:val="0"/>
          <w:numId w:val="4"/>
        </w:numPr>
        <w:ind w:left="425" w:hanging="425"/>
      </w:pPr>
      <w:r w:rsidRPr="005518A2">
        <w:t>ALZHEIMER’S SOCIETY</w:t>
      </w:r>
      <w:r>
        <w:t xml:space="preserve">, </w:t>
      </w:r>
      <w:r w:rsidRPr="005518A2">
        <w:t>2020</w:t>
      </w:r>
      <w:r>
        <w:t>.</w:t>
      </w:r>
      <w:r w:rsidRPr="005518A2">
        <w:t xml:space="preserve"> How much does dementia care cost? [Online] Available from: https://www.alzheimers.org.uk/blog/how-much-does-dementia-care-cost Accessed 08/09/2021</w:t>
      </w:r>
    </w:p>
    <w:p w14:paraId="2089AAAE" w14:textId="72199612" w:rsidR="00E47315" w:rsidRPr="005518A2" w:rsidRDefault="00EB79D9" w:rsidP="005518A2">
      <w:pPr>
        <w:pStyle w:val="MDPI71References"/>
        <w:numPr>
          <w:ilvl w:val="0"/>
          <w:numId w:val="4"/>
        </w:numPr>
        <w:ind w:left="425" w:hanging="425"/>
      </w:pPr>
      <w:r w:rsidRPr="005518A2">
        <w:t>ALZHEIMER’S SOCIETY</w:t>
      </w:r>
      <w:r>
        <w:t xml:space="preserve">, </w:t>
      </w:r>
      <w:r w:rsidRPr="005518A2">
        <w:t>2020(2)</w:t>
      </w:r>
      <w:r>
        <w:t xml:space="preserve">. </w:t>
      </w:r>
      <w:r w:rsidRPr="005518A2">
        <w:t>Worst hit: dementia during coronavirus. [Online] Available from: https://www.alzheimers.org.uk/sites/default/files/2020-09/Worst-hit-Dementia-during-coronavirus-report.pdf Accessed 08/09/2021</w:t>
      </w:r>
    </w:p>
    <w:p w14:paraId="5C65A90E" w14:textId="77777777" w:rsidR="00E47315" w:rsidRPr="005518A2" w:rsidRDefault="00E47315" w:rsidP="005518A2">
      <w:pPr>
        <w:pStyle w:val="MDPI71References"/>
        <w:numPr>
          <w:ilvl w:val="0"/>
          <w:numId w:val="4"/>
        </w:numPr>
        <w:ind w:left="425" w:hanging="425"/>
      </w:pPr>
      <w:r w:rsidRPr="005518A2">
        <w:t>ANDERSEN, C.K., LAURIDSEN, J., ANDERSEN, K. and KRAGH-SØRENSEN, P., 2003. Cost of dementia: impact of disease progression estimated in longitudinal data. Scandinavian Journal of Public Health, 31(2), pp. 119-125. DOI: 10.1080/14034940210134059</w:t>
      </w:r>
    </w:p>
    <w:p w14:paraId="431361BE" w14:textId="77777777" w:rsidR="00E47315" w:rsidRPr="005518A2" w:rsidRDefault="00E47315" w:rsidP="005518A2">
      <w:pPr>
        <w:pStyle w:val="MDPI71References"/>
        <w:numPr>
          <w:ilvl w:val="0"/>
          <w:numId w:val="4"/>
        </w:numPr>
        <w:ind w:left="425" w:hanging="425"/>
      </w:pPr>
      <w:r w:rsidRPr="005518A2">
        <w:t xml:space="preserve">BANERJEE, S., 2009. The use of antipsychotic medication for people with dementia: Time for action. A report for the Minister of State for Care Services by Professor </w:t>
      </w:r>
      <w:proofErr w:type="spellStart"/>
      <w:r w:rsidRPr="005518A2">
        <w:t>Sube</w:t>
      </w:r>
      <w:proofErr w:type="spellEnd"/>
      <w:r w:rsidRPr="005518A2">
        <w:t xml:space="preserve"> Banerjee. [Online] Available from: http://psychrights.org/research/digest/nlps/BanerjeeReportOnGeriatricNeurolepticUse.pdf Accessed: 08/09/2021</w:t>
      </w:r>
    </w:p>
    <w:p w14:paraId="59997FD4" w14:textId="282C1A0D" w:rsidR="00E47315" w:rsidRPr="005518A2" w:rsidRDefault="00EB79D9" w:rsidP="005518A2">
      <w:pPr>
        <w:pStyle w:val="MDPI71References"/>
        <w:numPr>
          <w:ilvl w:val="0"/>
          <w:numId w:val="4"/>
        </w:numPr>
        <w:ind w:left="425" w:hanging="425"/>
      </w:pPr>
      <w:r w:rsidRPr="005518A2">
        <w:t>BENNETT, H.Q.</w:t>
      </w:r>
      <w:r>
        <w:t>, NORTON, S., BUNN, F., ROBINSON, L., RAIT, G., GOODWIN, C., BRAYNE, C. and MATTHEWS., F.E.</w:t>
      </w:r>
      <w:r w:rsidRPr="005518A2">
        <w:t>, 2018. The impact of dementia on service use by individuals with a comorbid health condition: A comparison of two cross-sectional analyses conducted approximately 10 years apart. BMC Medicine, 16(1), 114. DOI: 10.1186/S12916-018-1105-8</w:t>
      </w:r>
    </w:p>
    <w:p w14:paraId="70C9BEA1" w14:textId="1E753054" w:rsidR="00E47315" w:rsidRPr="005518A2" w:rsidRDefault="00EB79D9" w:rsidP="005518A2">
      <w:pPr>
        <w:pStyle w:val="MDPI71References"/>
        <w:numPr>
          <w:ilvl w:val="0"/>
          <w:numId w:val="4"/>
        </w:numPr>
        <w:ind w:left="425" w:hanging="425"/>
      </w:pPr>
      <w:r w:rsidRPr="005518A2">
        <w:t>B</w:t>
      </w:r>
      <w:r>
        <w:t>RIGGS,</w:t>
      </w:r>
      <w:r w:rsidRPr="005518A2">
        <w:t xml:space="preserve"> R</w:t>
      </w:r>
      <w:r>
        <w:t>., DYER, A., NABEEL, S., COLLINS, R., DOHERTY, J., COUGHLAN, T., O’NEILL and KENNELLY, S.P., D</w:t>
      </w:r>
      <w:r w:rsidRPr="005518A2">
        <w:t xml:space="preserve">2017. Dementia in the acute hospital: the prevalence and clinical outcomes of acutely unwell patients with dementia. QJM;110(1):33-37. </w:t>
      </w:r>
      <w:proofErr w:type="spellStart"/>
      <w:r w:rsidRPr="005518A2">
        <w:t>doi</w:t>
      </w:r>
      <w:proofErr w:type="spellEnd"/>
      <w:r w:rsidRPr="005518A2">
        <w:t>: 10.1093/</w:t>
      </w:r>
      <w:proofErr w:type="spellStart"/>
      <w:r w:rsidRPr="005518A2">
        <w:t>qjmed</w:t>
      </w:r>
      <w:proofErr w:type="spellEnd"/>
      <w:r w:rsidRPr="005518A2">
        <w:t>/hcw114</w:t>
      </w:r>
    </w:p>
    <w:p w14:paraId="06A325CC" w14:textId="77777777" w:rsidR="00E47315" w:rsidRPr="005518A2" w:rsidRDefault="00E47315" w:rsidP="005518A2">
      <w:pPr>
        <w:pStyle w:val="MDPI71References"/>
        <w:numPr>
          <w:ilvl w:val="0"/>
          <w:numId w:val="4"/>
        </w:numPr>
        <w:ind w:left="425" w:hanging="425"/>
      </w:pPr>
      <w:r w:rsidRPr="005518A2">
        <w:t>BRODATY, H., HOWARTH, G. C and CURRIE, S. E., 1994. General practice and dementia. Medical Journal of Australia, 160(1), pp. 10-14.</w:t>
      </w:r>
    </w:p>
    <w:p w14:paraId="3BEDA79A" w14:textId="77777777" w:rsidR="00E47315" w:rsidRPr="005518A2" w:rsidRDefault="00E47315" w:rsidP="005518A2">
      <w:pPr>
        <w:pStyle w:val="MDPI71References"/>
        <w:numPr>
          <w:ilvl w:val="0"/>
          <w:numId w:val="4"/>
        </w:numPr>
        <w:ind w:left="425" w:hanging="425"/>
      </w:pPr>
      <w:r w:rsidRPr="005518A2">
        <w:t xml:space="preserve">CASEY, J.A., SCHWARTZ, B.S., STEWART, W.F. and ADLER, N.E., 2016. Using Electronic Health Records for Population Health Research: A Review of Methods and Applications. Annual Review of Public Health, 37, pp. 61-81. </w:t>
      </w:r>
      <w:proofErr w:type="spellStart"/>
      <w:r w:rsidRPr="005518A2">
        <w:t>doi</w:t>
      </w:r>
      <w:proofErr w:type="spellEnd"/>
      <w:r w:rsidRPr="005518A2">
        <w:t>: 10.1146/annurev-publhealth-032315-021353</w:t>
      </w:r>
    </w:p>
    <w:p w14:paraId="27438408" w14:textId="77777777" w:rsidR="00E47315" w:rsidRPr="005518A2" w:rsidRDefault="00E47315" w:rsidP="005518A2">
      <w:pPr>
        <w:pStyle w:val="MDPI71References"/>
        <w:numPr>
          <w:ilvl w:val="0"/>
          <w:numId w:val="4"/>
        </w:numPr>
        <w:ind w:left="425" w:hanging="425"/>
      </w:pPr>
      <w:r w:rsidRPr="005518A2">
        <w:t xml:space="preserve">CHAN, M.S. et al., 2019. Socio-economic inequalities in life expectancy of older adults with and without multimorbidity: a record linkage study of 1.1 million people in England. International journal of epidemiology, 48(4), pp. 1340-1351. </w:t>
      </w:r>
      <w:proofErr w:type="spellStart"/>
      <w:r w:rsidRPr="005518A2">
        <w:t>doi</w:t>
      </w:r>
      <w:proofErr w:type="spellEnd"/>
      <w:r w:rsidRPr="005518A2">
        <w:t>: 10.1093/</w:t>
      </w:r>
      <w:proofErr w:type="spellStart"/>
      <w:r w:rsidRPr="005518A2">
        <w:t>ije</w:t>
      </w:r>
      <w:proofErr w:type="spellEnd"/>
      <w:r w:rsidRPr="005518A2">
        <w:t xml:space="preserve">/dyz052 </w:t>
      </w:r>
    </w:p>
    <w:p w14:paraId="642CEC83" w14:textId="77777777" w:rsidR="00E47315" w:rsidRPr="005518A2" w:rsidRDefault="00E47315" w:rsidP="005518A2">
      <w:pPr>
        <w:pStyle w:val="MDPI71References"/>
        <w:numPr>
          <w:ilvl w:val="0"/>
          <w:numId w:val="4"/>
        </w:numPr>
        <w:ind w:left="425" w:hanging="425"/>
      </w:pPr>
      <w:r w:rsidRPr="005518A2">
        <w:t xml:space="preserve">CO, M., COUCH, E., GAO, Q., MARTINEZ, A., DAS-MUNSHI, J. and PRINA, M., 2021. Differences in survival and mortality in minority ethnic groups with dementia: A systematic review and meta-analysis. International journal of geriatric psychiatry, 2021; 1-24. </w:t>
      </w:r>
      <w:proofErr w:type="spellStart"/>
      <w:r w:rsidRPr="005518A2">
        <w:t>doi</w:t>
      </w:r>
      <w:proofErr w:type="spellEnd"/>
      <w:r w:rsidRPr="005518A2">
        <w:t>: 10.1002/gps.5590</w:t>
      </w:r>
    </w:p>
    <w:p w14:paraId="2A7A53FA" w14:textId="77777777" w:rsidR="00E47315" w:rsidRPr="005518A2" w:rsidRDefault="00E47315" w:rsidP="005518A2">
      <w:pPr>
        <w:pStyle w:val="MDPI71References"/>
        <w:numPr>
          <w:ilvl w:val="0"/>
          <w:numId w:val="4"/>
        </w:numPr>
        <w:ind w:left="425" w:hanging="425"/>
      </w:pPr>
      <w:r w:rsidRPr="005518A2">
        <w:t xml:space="preserve">CONNOLLY, A., GAEHL, E., MARTIN, H., MORRIS, J., PURNDARE, N., 2011. Underdiagnosis of dementia in primary care: variations in the observed prevalence and comparisons to the expected prevalence. Aging </w:t>
      </w:r>
      <w:proofErr w:type="spellStart"/>
      <w:r w:rsidRPr="005518A2">
        <w:t>Ment</w:t>
      </w:r>
      <w:proofErr w:type="spellEnd"/>
      <w:r w:rsidRPr="005518A2">
        <w:t xml:space="preserve"> Health, 15(8); 978-84. </w:t>
      </w:r>
      <w:proofErr w:type="spellStart"/>
      <w:r w:rsidRPr="005518A2">
        <w:t>doi</w:t>
      </w:r>
      <w:proofErr w:type="spellEnd"/>
      <w:r w:rsidRPr="005518A2">
        <w:t>: 10.1080/13607863.2011.596805</w:t>
      </w:r>
    </w:p>
    <w:p w14:paraId="767CC4C4" w14:textId="77777777" w:rsidR="00EB79D9" w:rsidRPr="005518A2" w:rsidRDefault="00EB79D9" w:rsidP="00EB79D9">
      <w:pPr>
        <w:pStyle w:val="MDPI71References"/>
        <w:numPr>
          <w:ilvl w:val="0"/>
          <w:numId w:val="4"/>
        </w:numPr>
        <w:ind w:left="425" w:hanging="425"/>
      </w:pPr>
      <w:bookmarkStart w:id="11" w:name="_Hlk90477983"/>
      <w:r w:rsidRPr="005518A2">
        <w:t>COOPER, C.</w:t>
      </w:r>
      <w:r>
        <w:t xml:space="preserve">, LODWICK, R., WALTERS, K., RAINE, R., MANTHORPE, J., ILIFFE, S. and PETERSEN, I., </w:t>
      </w:r>
      <w:r w:rsidRPr="005518A2">
        <w:t xml:space="preserve">2016. Observational cohort study: deprivation and access to anti-dementia drugs in the UK. Age Ageing, 45(1), pp.148-54. </w:t>
      </w:r>
      <w:proofErr w:type="spellStart"/>
      <w:r w:rsidRPr="005518A2">
        <w:t>doi</w:t>
      </w:r>
      <w:proofErr w:type="spellEnd"/>
      <w:r w:rsidRPr="005518A2">
        <w:t>: 10.1093/ageing/afv15</w:t>
      </w:r>
    </w:p>
    <w:p w14:paraId="2B9579A2" w14:textId="77777777" w:rsidR="00EB79D9" w:rsidRPr="005518A2" w:rsidRDefault="00EB79D9" w:rsidP="00EB79D9">
      <w:pPr>
        <w:pStyle w:val="MDPI71References"/>
        <w:numPr>
          <w:ilvl w:val="0"/>
          <w:numId w:val="4"/>
        </w:numPr>
        <w:ind w:left="425" w:hanging="425"/>
      </w:pPr>
      <w:r w:rsidRPr="005518A2">
        <w:t>COOPER, C.</w:t>
      </w:r>
      <w:r>
        <w:t xml:space="preserve">, LODWICK, R., WALTERS, K., RAINE, R., MANTHORPE, J., ILIFFE, S. and PETERSEN, I., </w:t>
      </w:r>
      <w:r w:rsidRPr="005518A2">
        <w:t xml:space="preserve">2017. Inequalities in receipt of mental and physical healthcare in people with dementia in the UK. Age and Ageing, 46(3), pp.393-400. </w:t>
      </w:r>
      <w:proofErr w:type="spellStart"/>
      <w:r w:rsidRPr="005518A2">
        <w:t>doi</w:t>
      </w:r>
      <w:proofErr w:type="spellEnd"/>
      <w:r w:rsidRPr="005518A2">
        <w:t>: 10.1093/ageing/afw208</w:t>
      </w:r>
    </w:p>
    <w:bookmarkEnd w:id="11"/>
    <w:p w14:paraId="661B9E00" w14:textId="55F14997" w:rsidR="00E47315" w:rsidRPr="005518A2" w:rsidRDefault="00EB79D9" w:rsidP="005518A2">
      <w:pPr>
        <w:pStyle w:val="MDPI71References"/>
        <w:numPr>
          <w:ilvl w:val="0"/>
          <w:numId w:val="4"/>
        </w:numPr>
        <w:ind w:left="425" w:hanging="425"/>
      </w:pPr>
      <w:r w:rsidRPr="005518A2">
        <w:t>CORRIS, V</w:t>
      </w:r>
      <w:r>
        <w:t xml:space="preserve">., DORMER, E., BROWN, A., WHITTY, P., COLLINGWOOD, P., BAMBRA, C. and NEWTON, J.L., </w:t>
      </w:r>
      <w:r w:rsidRPr="005518A2">
        <w:t xml:space="preserve">2020. Health inequalities are worsening in the North East of England. British medical bulletin, 134(1), pp. 63-72. </w:t>
      </w:r>
      <w:proofErr w:type="spellStart"/>
      <w:r w:rsidRPr="005518A2">
        <w:t>doi</w:t>
      </w:r>
      <w:proofErr w:type="spellEnd"/>
      <w:r w:rsidRPr="005518A2">
        <w:t>: 10.1093/</w:t>
      </w:r>
      <w:proofErr w:type="spellStart"/>
      <w:r w:rsidRPr="005518A2">
        <w:t>bmb</w:t>
      </w:r>
      <w:proofErr w:type="spellEnd"/>
      <w:r w:rsidRPr="005518A2">
        <w:t>/ldaa008</w:t>
      </w:r>
    </w:p>
    <w:p w14:paraId="4C895917" w14:textId="50D431F2" w:rsidR="00E47315" w:rsidRPr="005518A2" w:rsidRDefault="00EB79D9" w:rsidP="005518A2">
      <w:pPr>
        <w:pStyle w:val="MDPI71References"/>
        <w:numPr>
          <w:ilvl w:val="0"/>
          <w:numId w:val="4"/>
        </w:numPr>
        <w:ind w:left="425" w:hanging="425"/>
      </w:pPr>
      <w:r w:rsidRPr="005518A2">
        <w:t>CPRD</w:t>
      </w:r>
      <w:r>
        <w:t xml:space="preserve">, </w:t>
      </w:r>
      <w:r w:rsidRPr="005518A2">
        <w:t>2021</w:t>
      </w:r>
      <w:r>
        <w:t>.</w:t>
      </w:r>
      <w:r w:rsidRPr="005518A2">
        <w:t xml:space="preserve"> CPRD Aurum Data Specification: Version 2.5: Date: 21 January 2021. [Online] Available from: https://www.cprd.com/sites/default/files/CPRD%20Aurum%20Data%20Specification%20v2.6.pdf Accessed: 08/09/2021</w:t>
      </w:r>
      <w:r w:rsidR="00E47315" w:rsidRPr="005518A2">
        <w:t xml:space="preserve"> </w:t>
      </w:r>
    </w:p>
    <w:p w14:paraId="7E8302A9" w14:textId="3ECBFAFA" w:rsidR="00B30228" w:rsidRDefault="00B30228" w:rsidP="005518A2">
      <w:pPr>
        <w:pStyle w:val="MDPI71References"/>
        <w:numPr>
          <w:ilvl w:val="0"/>
          <w:numId w:val="4"/>
        </w:numPr>
        <w:ind w:left="425" w:hanging="425"/>
      </w:pPr>
      <w:r w:rsidRPr="00B30228">
        <w:t xml:space="preserve">WHITEHEAD, M., </w:t>
      </w:r>
      <w:r>
        <w:t>and</w:t>
      </w:r>
      <w:r w:rsidRPr="00B30228">
        <w:t xml:space="preserve"> DAHLGREN, G</w:t>
      </w:r>
      <w:r>
        <w:t xml:space="preserve">., </w:t>
      </w:r>
      <w:r w:rsidRPr="00B30228">
        <w:t>2006. Concepts and principles for tackling social inequities in health: Levelling up Part 1. World Health Organization: Studies on social and economic determinants of population health, 2, 460-474.</w:t>
      </w:r>
    </w:p>
    <w:p w14:paraId="4C2BA132" w14:textId="494B2102" w:rsidR="00E47315" w:rsidRPr="005518A2" w:rsidRDefault="00E47315" w:rsidP="005518A2">
      <w:pPr>
        <w:pStyle w:val="MDPI71References"/>
        <w:numPr>
          <w:ilvl w:val="0"/>
          <w:numId w:val="4"/>
        </w:numPr>
        <w:ind w:left="425" w:hanging="425"/>
      </w:pPr>
      <w:r w:rsidRPr="005518A2">
        <w:t>DEPARTMENT OF HEALTH AND SOCIAL CARE</w:t>
      </w:r>
      <w:r w:rsidR="00EB79D9">
        <w:t>, 2016</w:t>
      </w:r>
      <w:r w:rsidRPr="005518A2">
        <w:t>. Prime Minister’s challenge on Dementia 2020: Implementation Plan. 2016. [Online] Available from: https://www.gov.uk/government/publications/challenge-on-dementia-2020-implementation-plan Accessed: 08/09/2021</w:t>
      </w:r>
    </w:p>
    <w:p w14:paraId="6B2145E1" w14:textId="77777777" w:rsidR="00EB79D9" w:rsidRPr="005518A2" w:rsidRDefault="00EB79D9" w:rsidP="00EB79D9">
      <w:pPr>
        <w:pStyle w:val="MDPI71References"/>
        <w:numPr>
          <w:ilvl w:val="0"/>
          <w:numId w:val="4"/>
        </w:numPr>
        <w:ind w:left="425" w:hanging="425"/>
      </w:pPr>
      <w:bookmarkStart w:id="12" w:name="_Hlk90477996"/>
      <w:r>
        <w:lastRenderedPageBreak/>
        <w:t>DE OLIVEIRA, A.M., RADANOVIC, M., DE MELLO, P.C., BUCHAIN, P.C., VIZZOTTO, A.D., CELESTINO, D.L., STELLA, F., PIERSOL, C.V., and FORLENZA, O.V.,</w:t>
      </w:r>
      <w:r w:rsidRPr="005518A2">
        <w:t xml:space="preserve"> 2015. Nonpharmacological Interventions to Reduce Behavioral and Psychological Symptoms of Dementia: A Systematic Review. BioMed research international, 2015, pp. 218980.  </w:t>
      </w:r>
      <w:proofErr w:type="spellStart"/>
      <w:r w:rsidRPr="005518A2">
        <w:t>doi</w:t>
      </w:r>
      <w:proofErr w:type="spellEnd"/>
      <w:r w:rsidRPr="005518A2">
        <w:t>: 10.1155/2015/218980</w:t>
      </w:r>
    </w:p>
    <w:bookmarkEnd w:id="12"/>
    <w:p w14:paraId="40D3CCD6" w14:textId="0C375C7C" w:rsidR="00E47315" w:rsidRPr="005518A2" w:rsidRDefault="00E47315" w:rsidP="005518A2">
      <w:pPr>
        <w:pStyle w:val="MDPI71References"/>
        <w:numPr>
          <w:ilvl w:val="0"/>
          <w:numId w:val="4"/>
        </w:numPr>
        <w:ind w:left="425" w:hanging="425"/>
      </w:pPr>
    </w:p>
    <w:p w14:paraId="18660722" w14:textId="77777777" w:rsidR="00E47315" w:rsidRPr="005518A2" w:rsidRDefault="00E47315" w:rsidP="005518A2">
      <w:pPr>
        <w:pStyle w:val="MDPI71References"/>
        <w:numPr>
          <w:ilvl w:val="0"/>
          <w:numId w:val="4"/>
        </w:numPr>
        <w:ind w:left="425" w:hanging="425"/>
      </w:pPr>
      <w:r w:rsidRPr="005518A2">
        <w:t xml:space="preserve">DE VUGT, M.E. and VERHEY, F.R.J., 2013. The impact of early dementia diagnosis and intervention on informal caregivers. Progress in neurobiology, 110, pp. 54-62. </w:t>
      </w:r>
      <w:proofErr w:type="spellStart"/>
      <w:r w:rsidRPr="005518A2">
        <w:t>doi</w:t>
      </w:r>
      <w:proofErr w:type="spellEnd"/>
      <w:r w:rsidRPr="005518A2">
        <w:t>: 10.1016/j.pneurobio.2013.04.005.</w:t>
      </w:r>
    </w:p>
    <w:p w14:paraId="1D2C7194" w14:textId="77777777" w:rsidR="00E47315" w:rsidRPr="005518A2" w:rsidRDefault="00E47315" w:rsidP="005518A2">
      <w:pPr>
        <w:pStyle w:val="MDPI71References"/>
        <w:numPr>
          <w:ilvl w:val="0"/>
          <w:numId w:val="4"/>
        </w:numPr>
        <w:ind w:left="425" w:hanging="425"/>
      </w:pPr>
      <w:r w:rsidRPr="005518A2">
        <w:t xml:space="preserve">FOGG, C., MEREDITH, P., BRIDGES, J., GOULD, G.P. and GRIFFITHS, P., 2017. The relationship between cognitive impairment, mortality and discharge characteristics in a large cohort of older adults with unscheduled admissions to an acute hospital: a retrospective observational study. Age and Ageing, 46(5), pp.794-807. </w:t>
      </w:r>
      <w:proofErr w:type="spellStart"/>
      <w:r w:rsidRPr="005518A2">
        <w:t>doi</w:t>
      </w:r>
      <w:proofErr w:type="spellEnd"/>
      <w:r w:rsidRPr="005518A2">
        <w:t>: 0.1093/ageing/afx022</w:t>
      </w:r>
    </w:p>
    <w:p w14:paraId="4D0E0685" w14:textId="37404B72" w:rsidR="00E47315" w:rsidRPr="005518A2" w:rsidRDefault="00EB79D9" w:rsidP="005518A2">
      <w:pPr>
        <w:pStyle w:val="MDPI71References"/>
        <w:numPr>
          <w:ilvl w:val="0"/>
          <w:numId w:val="4"/>
        </w:numPr>
        <w:ind w:left="425" w:hanging="425"/>
      </w:pPr>
      <w:r w:rsidRPr="005518A2">
        <w:t>GIEBEL, C</w:t>
      </w:r>
      <w:r>
        <w:t>., HANNA, K., TETLOW, H., WARD, K., SHENTON, J., CANNON, J., BUTCHARD, S., KOMURAVELLI, A., GAUGHAN, A., ELEY, R., ROGERS, C., RAJAGOPAL, M., LIMBERT, S., CALLAGHAN, S., WHITTINGTON, R., SHAW, L. and GABBAY, M.,</w:t>
      </w:r>
      <w:r w:rsidRPr="005518A2">
        <w:t xml:space="preserve"> 2021. “A piece of paper is not the same as having someone to talk to”: accessing post-diagnostic dementia care before and since COVID-19 and associated inequalities. International Journal for Equity in Health, 20(1):76. </w:t>
      </w:r>
      <w:proofErr w:type="spellStart"/>
      <w:r w:rsidRPr="005518A2">
        <w:t>doi</w:t>
      </w:r>
      <w:proofErr w:type="spellEnd"/>
      <w:r w:rsidRPr="005518A2">
        <w:t>: 10.1186/s12939-021-01418-1</w:t>
      </w:r>
    </w:p>
    <w:p w14:paraId="2E1CE84C" w14:textId="77777777" w:rsidR="00E47315" w:rsidRPr="005518A2" w:rsidRDefault="00E47315" w:rsidP="005518A2">
      <w:pPr>
        <w:pStyle w:val="MDPI71References"/>
        <w:numPr>
          <w:ilvl w:val="0"/>
          <w:numId w:val="4"/>
        </w:numPr>
        <w:ind w:left="425" w:hanging="425"/>
      </w:pPr>
      <w:r w:rsidRPr="005518A2">
        <w:t xml:space="preserve">GLIKLICH, R.E., LEAVY, M.B., DREYER, N.A., L&amp;M POLICY RESEARCH, L. and CHRISTIAN, J., 2018. 21st Century Patient Registries: </w:t>
      </w:r>
      <w:proofErr w:type="spellStart"/>
      <w:r w:rsidRPr="005518A2">
        <w:t>EBook</w:t>
      </w:r>
      <w:proofErr w:type="spellEnd"/>
      <w:r w:rsidRPr="005518A2">
        <w:t xml:space="preserve"> Addendum to Registries for Evaluating Patient Outcomes: A User's Guide, 3rd Edition. Agency for Healthcare Research and Quality. [Online] Available from: https://effectivehealthcare.ahrq.gov/products/registries-guide-3rd-edition-addendum/research-2018</w:t>
      </w:r>
    </w:p>
    <w:p w14:paraId="26086621" w14:textId="77777777" w:rsidR="00E47315" w:rsidRPr="005518A2" w:rsidRDefault="00E47315" w:rsidP="005518A2">
      <w:pPr>
        <w:pStyle w:val="MDPI71References"/>
        <w:numPr>
          <w:ilvl w:val="0"/>
          <w:numId w:val="4"/>
        </w:numPr>
        <w:ind w:left="425" w:hanging="425"/>
      </w:pPr>
      <w:r w:rsidRPr="005518A2">
        <w:t xml:space="preserve">GODDARD, M., KASTERIDIS, P., JACOBS, R., SANTOS, R. and MASON, A., 2016. Bridging the gap: The impact of quality of primary care on duration of hospital stay for people with dementia. Journal of Integrated Care, 24(1), pp. 15-25. </w:t>
      </w:r>
    </w:p>
    <w:p w14:paraId="2B42D482" w14:textId="4CBA6DE8" w:rsidR="00E47315" w:rsidRPr="005518A2" w:rsidRDefault="00E47315" w:rsidP="005518A2">
      <w:pPr>
        <w:pStyle w:val="MDPI71References"/>
        <w:numPr>
          <w:ilvl w:val="0"/>
          <w:numId w:val="4"/>
        </w:numPr>
        <w:ind w:left="425" w:hanging="425"/>
      </w:pPr>
      <w:r w:rsidRPr="005518A2">
        <w:t>GOVERNMENT OFFICE FOR SCIENCE</w:t>
      </w:r>
      <w:r w:rsidR="00EB79D9">
        <w:t>, 2016</w:t>
      </w:r>
      <w:r w:rsidRPr="005518A2">
        <w:t>. Future of an Ageing Population. Oxford, England: Oxford Institute of Population Ageing; 2016:124.</w:t>
      </w:r>
    </w:p>
    <w:p w14:paraId="3DDF54DF" w14:textId="305952AE" w:rsidR="00E47315" w:rsidRPr="005518A2" w:rsidRDefault="00EB79D9" w:rsidP="005518A2">
      <w:pPr>
        <w:pStyle w:val="MDPI71References"/>
        <w:numPr>
          <w:ilvl w:val="0"/>
          <w:numId w:val="4"/>
        </w:numPr>
        <w:ind w:left="425" w:hanging="425"/>
      </w:pPr>
      <w:r w:rsidRPr="005518A2">
        <w:t>GRIFFITH, L.E.</w:t>
      </w:r>
      <w:r>
        <w:t xml:space="preserve">, GRUNEIR, A., FISHER, K., PANJWANI, D., GANDHI, S., SHENG, L., GAFNI, A., PATTERSON, C., MARKEL-REID, M. and PLOEG, J., </w:t>
      </w:r>
      <w:r w:rsidRPr="005518A2">
        <w:t xml:space="preserve">2016. Patterns of health service use in community living older adults with dementia and comorbid conditions: a population-based retrospective cohort study in Ontario, Canada. BMC Geriatrics, 16. </w:t>
      </w:r>
      <w:proofErr w:type="spellStart"/>
      <w:r w:rsidRPr="005518A2">
        <w:t>doi</w:t>
      </w:r>
      <w:proofErr w:type="spellEnd"/>
      <w:r w:rsidRPr="005518A2">
        <w:t>: 10.1186/s12877-016-0351-x</w:t>
      </w:r>
    </w:p>
    <w:p w14:paraId="3BC7BA17" w14:textId="5348F3B3" w:rsidR="00E47315" w:rsidRPr="005518A2" w:rsidRDefault="00EB79D9" w:rsidP="005518A2">
      <w:pPr>
        <w:pStyle w:val="MDPI71References"/>
        <w:numPr>
          <w:ilvl w:val="0"/>
          <w:numId w:val="4"/>
        </w:numPr>
        <w:ind w:left="425" w:hanging="425"/>
      </w:pPr>
      <w:r w:rsidRPr="005518A2">
        <w:t>GRUER, L</w:t>
      </w:r>
      <w:r>
        <w:t xml:space="preserve">., </w:t>
      </w:r>
      <w:r w:rsidRPr="00281AB6">
        <w:t xml:space="preserve">CÉZARD, C., CLARK, E., DOUGLAS, A., STEINER, M., MILLARD, A., BUCHANAN, D., VITTAL KATIKIREDDI, S., SHEIKH, A. AND BHOPAL, R., </w:t>
      </w:r>
      <w:r w:rsidRPr="005518A2">
        <w:t xml:space="preserve">2016. Life expectancy of different ethnic groups using death records linked to population census data for 4.62 million people in Scotland. Journal of epidemiology and community health, 70(12), pp. 1251-1254. </w:t>
      </w:r>
      <w:proofErr w:type="spellStart"/>
      <w:r w:rsidRPr="005518A2">
        <w:t>doi</w:t>
      </w:r>
      <w:proofErr w:type="spellEnd"/>
      <w:r w:rsidRPr="005518A2">
        <w:t>: 10.1136/jech-2016-207426</w:t>
      </w:r>
    </w:p>
    <w:p w14:paraId="783ADE57" w14:textId="77777777" w:rsidR="00E47315" w:rsidRPr="005518A2" w:rsidRDefault="00E47315" w:rsidP="005518A2">
      <w:pPr>
        <w:pStyle w:val="MDPI71References"/>
        <w:numPr>
          <w:ilvl w:val="0"/>
          <w:numId w:val="4"/>
        </w:numPr>
        <w:ind w:left="425" w:hanging="425"/>
      </w:pPr>
      <w:r w:rsidRPr="005518A2">
        <w:t xml:space="preserve">HANDLEY, M., BUNN, F. and GOODMAN, C., 2017. Dementia-friendly interventions to improve the care of people living with dementia admitted to hospitals: a realist review. BMJ OPEN, 7(7), pp. e015257. </w:t>
      </w:r>
      <w:proofErr w:type="spellStart"/>
      <w:r w:rsidRPr="005518A2">
        <w:t>doi</w:t>
      </w:r>
      <w:proofErr w:type="spellEnd"/>
      <w:r w:rsidRPr="005518A2">
        <w:t>: 10.1136/bmjopen-2016-015257</w:t>
      </w:r>
    </w:p>
    <w:p w14:paraId="0570B595" w14:textId="67F8A6E3" w:rsidR="00E47315" w:rsidRPr="005518A2" w:rsidRDefault="00EB79D9" w:rsidP="005518A2">
      <w:pPr>
        <w:pStyle w:val="MDPI71References"/>
        <w:numPr>
          <w:ilvl w:val="0"/>
          <w:numId w:val="4"/>
        </w:numPr>
        <w:ind w:left="425" w:hanging="425"/>
      </w:pPr>
      <w:r w:rsidRPr="005518A2">
        <w:t>HAWKINS, N.M</w:t>
      </w:r>
      <w:r>
        <w:t>., SCHOLES, S., BAJEKAL, M., LOVE, H., O’FLAHERTY, M., RAINE, R. and CAPEWELL, S.,</w:t>
      </w:r>
      <w:r w:rsidRPr="005518A2">
        <w:t xml:space="preserve"> 2012. Community Care in England: Reducing Socioeconomic Inequalities in Heart Failure. Circulation (New York, N.Y.), 126(9), pp. 1050-1057. </w:t>
      </w:r>
      <w:proofErr w:type="spellStart"/>
      <w:r w:rsidRPr="005518A2">
        <w:t>doi</w:t>
      </w:r>
      <w:proofErr w:type="spellEnd"/>
      <w:r w:rsidRPr="005518A2">
        <w:t>: 10.1161/CIRCULATIONAHA.111.088047</w:t>
      </w:r>
    </w:p>
    <w:p w14:paraId="4FF2BFEA" w14:textId="77777777" w:rsidR="00E47315" w:rsidRPr="005518A2" w:rsidRDefault="00E47315" w:rsidP="005518A2">
      <w:pPr>
        <w:pStyle w:val="MDPI71References"/>
        <w:numPr>
          <w:ilvl w:val="0"/>
          <w:numId w:val="4"/>
        </w:numPr>
        <w:ind w:left="425" w:hanging="425"/>
      </w:pPr>
      <w:r w:rsidRPr="005518A2">
        <w:t xml:space="preserve">HINDORFF, L.A., BONHAM, V.L. and OHNO-MACHADO, L., 2018. Enhancing diversity to reduce health information disparities and build an evidence base for genomic medicine. PERSONALIZED MEDICINE, 15(5), pp. 403-412.  </w:t>
      </w:r>
      <w:proofErr w:type="spellStart"/>
      <w:r w:rsidRPr="005518A2">
        <w:t>doi</w:t>
      </w:r>
      <w:proofErr w:type="spellEnd"/>
      <w:r w:rsidRPr="005518A2">
        <w:t>: 10.2217/pme-2018-0037</w:t>
      </w:r>
    </w:p>
    <w:p w14:paraId="2EB942FC" w14:textId="0A76AD80" w:rsidR="00E47315" w:rsidRPr="005518A2" w:rsidRDefault="00EB79D9" w:rsidP="005518A2">
      <w:pPr>
        <w:pStyle w:val="MDPI71References"/>
        <w:numPr>
          <w:ilvl w:val="0"/>
          <w:numId w:val="4"/>
        </w:numPr>
        <w:ind w:left="425" w:hanging="425"/>
      </w:pPr>
      <w:r w:rsidRPr="005518A2">
        <w:t>I</w:t>
      </w:r>
      <w:r>
        <w:t>NNES</w:t>
      </w:r>
      <w:r w:rsidR="00E47315" w:rsidRPr="005518A2">
        <w:t xml:space="preserve">, A., </w:t>
      </w:r>
      <w:r w:rsidRPr="005518A2">
        <w:t>M</w:t>
      </w:r>
      <w:r>
        <w:t>ORGAN</w:t>
      </w:r>
      <w:r w:rsidR="00E47315" w:rsidRPr="005518A2">
        <w:t xml:space="preserve">, D., &amp; </w:t>
      </w:r>
      <w:r w:rsidRPr="005518A2">
        <w:t>F</w:t>
      </w:r>
      <w:r>
        <w:t>ARMER</w:t>
      </w:r>
      <w:r w:rsidR="00E47315" w:rsidRPr="005518A2">
        <w:t>, J. (Eds.)</w:t>
      </w:r>
      <w:r>
        <w:t xml:space="preserve">, </w:t>
      </w:r>
      <w:r w:rsidR="00E47315" w:rsidRPr="005518A2">
        <w:t xml:space="preserve">2020. Remote and Rural Dementia Care: Policy, Research and Practice. Bristol University Press. doi:10.46692/9781447344964 </w:t>
      </w:r>
    </w:p>
    <w:p w14:paraId="144B8242" w14:textId="77777777" w:rsidR="00E47315" w:rsidRPr="005518A2" w:rsidRDefault="00E47315" w:rsidP="005518A2">
      <w:pPr>
        <w:pStyle w:val="MDPI71References"/>
        <w:numPr>
          <w:ilvl w:val="0"/>
          <w:numId w:val="4"/>
        </w:numPr>
        <w:ind w:left="425" w:hanging="425"/>
      </w:pPr>
      <w:r w:rsidRPr="005518A2">
        <w:t xml:space="preserve">JAMES, T., MUKADAM, N., SOMMERLAD, A., GUERRA CEBALLOS, S. and LIVINGSTON, G., 2021. Culturally tailored therapeutic interventions for people affected by dementia: a systematic review and new conceptual model. The Lancet Healthy Longevity, 2(3), pp. e171-e179. </w:t>
      </w:r>
      <w:proofErr w:type="spellStart"/>
      <w:r w:rsidRPr="005518A2">
        <w:t>doi</w:t>
      </w:r>
      <w:proofErr w:type="spellEnd"/>
      <w:r w:rsidRPr="005518A2">
        <w:t>: 10.1016/S2666-7568(21)00001-5</w:t>
      </w:r>
    </w:p>
    <w:p w14:paraId="2FD0E71C" w14:textId="18140601" w:rsidR="00E47315" w:rsidRPr="005518A2" w:rsidRDefault="00EB79D9" w:rsidP="005518A2">
      <w:pPr>
        <w:pStyle w:val="MDPI71References"/>
        <w:numPr>
          <w:ilvl w:val="0"/>
          <w:numId w:val="4"/>
        </w:numPr>
        <w:ind w:left="425" w:hanging="425"/>
      </w:pPr>
      <w:r w:rsidRPr="005518A2">
        <w:t>KLINGER, E.V.,</w:t>
      </w:r>
      <w:r>
        <w:t xml:space="preserve"> CARLINI, S.V., GONZALEZ, I., HUBERT, S.S., LINDER, J.A., RIGOTTI, N.A., PARK, E.R., MARINACCI, L.X. and HAAS, J.S.,</w:t>
      </w:r>
      <w:r w:rsidRPr="005518A2">
        <w:t xml:space="preserve"> 2015. Accuracy of race, ethnicity, and language preference in an electronic health record. Journal of general internal medicine, 30(6), pp. 719-723. </w:t>
      </w:r>
      <w:proofErr w:type="spellStart"/>
      <w:r w:rsidRPr="005518A2">
        <w:t>doi</w:t>
      </w:r>
      <w:proofErr w:type="spellEnd"/>
      <w:r w:rsidRPr="005518A2">
        <w:t>: 10.1007/s11606-014-3102-8</w:t>
      </w:r>
    </w:p>
    <w:p w14:paraId="7C3EDB6F" w14:textId="77777777" w:rsidR="00E47315" w:rsidRPr="005518A2" w:rsidRDefault="00E47315" w:rsidP="005518A2">
      <w:pPr>
        <w:pStyle w:val="MDPI71References"/>
        <w:numPr>
          <w:ilvl w:val="0"/>
          <w:numId w:val="4"/>
        </w:numPr>
        <w:ind w:left="425" w:hanging="425"/>
      </w:pPr>
      <w:r w:rsidRPr="005518A2">
        <w:t xml:space="preserve">KORHONEN, K., EINIÖ, E., TARKIAINEN, L., MARTIKAINEN, P. and LEINONEN, T., 2020. Midlife socioeconomic position and old-age dementia mortality: A large prospective register-based study from Finland. BMJ Open, 10(1). </w:t>
      </w:r>
      <w:proofErr w:type="spellStart"/>
      <w:r w:rsidRPr="005518A2">
        <w:t>doi</w:t>
      </w:r>
      <w:proofErr w:type="spellEnd"/>
      <w:r w:rsidRPr="005518A2">
        <w:t xml:space="preserve"> 10.1136/bmjopen-2019-033234</w:t>
      </w:r>
    </w:p>
    <w:p w14:paraId="12752F5B" w14:textId="045C5071" w:rsidR="00E47315" w:rsidRPr="005518A2" w:rsidRDefault="00EB79D9" w:rsidP="005518A2">
      <w:pPr>
        <w:pStyle w:val="MDPI71References"/>
        <w:numPr>
          <w:ilvl w:val="0"/>
          <w:numId w:val="4"/>
        </w:numPr>
        <w:ind w:left="425" w:hanging="425"/>
      </w:pPr>
      <w:r w:rsidRPr="00281AB6">
        <w:t xml:space="preserve">KUAN, V., DENAZAS, S., GONZALEZ-IZQIERDO, A., DIREK, K., BHATTI, O., HUSAIN, S., SUTARIA, S., HINGORANI, M., NITSCH, D., PARASINOS, C.A., LUMBERS, R.T., MATHUR, R., SOFAT, R., CASALAN, J.P., WONG, C.K., HEMINGWAY, H. and HINGORANI, A.D., </w:t>
      </w:r>
      <w:r w:rsidRPr="005518A2">
        <w:t xml:space="preserve">2019. A chronological map of 308 physical and mental health conditions from 4 million individuals in the English National Health Service. The Lancet Digital Health, 1(2), pp. e63-e77. </w:t>
      </w:r>
      <w:proofErr w:type="spellStart"/>
      <w:r w:rsidRPr="005518A2">
        <w:t>doi</w:t>
      </w:r>
      <w:proofErr w:type="spellEnd"/>
      <w:r w:rsidRPr="005518A2">
        <w:t>: 10.1016/S2589-7500(19)30012-3</w:t>
      </w:r>
    </w:p>
    <w:p w14:paraId="34A67D9E" w14:textId="1D5963C7" w:rsidR="00E47315" w:rsidRPr="005518A2" w:rsidRDefault="00E47315" w:rsidP="005518A2">
      <w:pPr>
        <w:pStyle w:val="MDPI71References"/>
        <w:numPr>
          <w:ilvl w:val="0"/>
          <w:numId w:val="4"/>
        </w:numPr>
        <w:ind w:left="425" w:hanging="425"/>
      </w:pPr>
      <w:r w:rsidRPr="005518A2">
        <w:t>LOCAL GOVERNMENT ASSOCIATION</w:t>
      </w:r>
      <w:r w:rsidR="00EB79D9">
        <w:t xml:space="preserve">, </w:t>
      </w:r>
      <w:r w:rsidRPr="005518A2">
        <w:t>2017. Health and Wellbeing in rural areas. [Online] Available from: https://www.local.gov.uk/sites/default/files/documents/1.39_Health%20in%20rural%20areas_WEB.pdf Accessed: 08/09/2021</w:t>
      </w:r>
    </w:p>
    <w:p w14:paraId="722DDBC8" w14:textId="34718BC2" w:rsidR="00E47315" w:rsidRPr="005518A2" w:rsidRDefault="00E47315" w:rsidP="005518A2">
      <w:pPr>
        <w:pStyle w:val="MDPI71References"/>
        <w:numPr>
          <w:ilvl w:val="0"/>
          <w:numId w:val="4"/>
        </w:numPr>
        <w:ind w:left="425" w:hanging="425"/>
      </w:pPr>
      <w:r w:rsidRPr="005518A2">
        <w:t>LOCAL GOVERNMENT ASSOCIATION</w:t>
      </w:r>
      <w:r w:rsidR="00EB79D9">
        <w:t xml:space="preserve">, </w:t>
      </w:r>
      <w:r w:rsidRPr="005518A2">
        <w:t>2021. Dementia Action Week, House of Commons, 27 May 2021. [Online] Available from: http://www.local.gov.uk/parliament/briefings-and-responses/dementia-action-week-house-commons-27-may-2021 Accessed: 08/09/2021</w:t>
      </w:r>
    </w:p>
    <w:p w14:paraId="64556923" w14:textId="77777777" w:rsidR="00E47315" w:rsidRPr="005518A2" w:rsidRDefault="00E47315" w:rsidP="005518A2">
      <w:pPr>
        <w:pStyle w:val="MDPI71References"/>
        <w:numPr>
          <w:ilvl w:val="0"/>
          <w:numId w:val="4"/>
        </w:numPr>
        <w:ind w:left="425" w:hanging="425"/>
      </w:pPr>
      <w:r w:rsidRPr="005518A2">
        <w:t xml:space="preserve">MANCA, D.P., 2015. Rebuttal: Do electronic medical records improve quality of care? Yes. Canadian family physician </w:t>
      </w:r>
      <w:proofErr w:type="spellStart"/>
      <w:r w:rsidRPr="005518A2">
        <w:t>Medecin</w:t>
      </w:r>
      <w:proofErr w:type="spellEnd"/>
      <w:r w:rsidRPr="005518A2">
        <w:t xml:space="preserve"> de </w:t>
      </w:r>
      <w:proofErr w:type="spellStart"/>
      <w:r w:rsidRPr="005518A2">
        <w:t>famille</w:t>
      </w:r>
      <w:proofErr w:type="spellEnd"/>
      <w:r w:rsidRPr="005518A2">
        <w:t xml:space="preserve"> </w:t>
      </w:r>
      <w:proofErr w:type="spellStart"/>
      <w:r w:rsidRPr="005518A2">
        <w:t>canadien</w:t>
      </w:r>
      <w:proofErr w:type="spellEnd"/>
      <w:r w:rsidRPr="005518A2">
        <w:t xml:space="preserve">, 61(10), pp. e435. </w:t>
      </w:r>
    </w:p>
    <w:p w14:paraId="3BAF49B1" w14:textId="6793FA6F" w:rsidR="00E47315" w:rsidRPr="005518A2" w:rsidRDefault="00E47315" w:rsidP="005518A2">
      <w:pPr>
        <w:pStyle w:val="MDPI71References"/>
        <w:numPr>
          <w:ilvl w:val="0"/>
          <w:numId w:val="4"/>
        </w:numPr>
        <w:ind w:left="425" w:hanging="425"/>
      </w:pPr>
    </w:p>
    <w:p w14:paraId="4EAAED4E" w14:textId="6F65593F" w:rsidR="00E47315" w:rsidRPr="005518A2" w:rsidRDefault="00E47315" w:rsidP="005518A2">
      <w:pPr>
        <w:pStyle w:val="MDPI71References"/>
        <w:numPr>
          <w:ilvl w:val="0"/>
          <w:numId w:val="4"/>
        </w:numPr>
        <w:ind w:left="425" w:hanging="425"/>
      </w:pPr>
      <w:r w:rsidRPr="005518A2">
        <w:t>MINISTRY OF HOUSING, COMMUNITIES &amp; LOCAL GOVERNMENT</w:t>
      </w:r>
      <w:r w:rsidR="00EB79D9">
        <w:t xml:space="preserve">, </w:t>
      </w:r>
      <w:r w:rsidRPr="005518A2">
        <w:t>2019. The English Indices of Deprivation 2019 (IoD2019). [Online] Available from: https://www.gov.uk/government/statistics/english-indices-of-deprivation-2019 Accessed: 08/09/2021</w:t>
      </w:r>
    </w:p>
    <w:p w14:paraId="0E5EB9A8" w14:textId="76A9F915" w:rsidR="00E47315" w:rsidRPr="005518A2" w:rsidRDefault="00E47315" w:rsidP="005518A2">
      <w:pPr>
        <w:pStyle w:val="MDPI71References"/>
        <w:numPr>
          <w:ilvl w:val="0"/>
          <w:numId w:val="4"/>
        </w:numPr>
        <w:ind w:left="425" w:hanging="425"/>
      </w:pPr>
      <w:r w:rsidRPr="005518A2">
        <w:t>NHS</w:t>
      </w:r>
      <w:r w:rsidR="00EB79D9">
        <w:t xml:space="preserve">, </w:t>
      </w:r>
      <w:r w:rsidRPr="005518A2">
        <w:t>2020. What are the treatments for dementia? [Online] Available from: https://www.nhs.uk/conditions/dementia/treatment/</w:t>
      </w:r>
    </w:p>
    <w:p w14:paraId="63052038" w14:textId="44A690FE" w:rsidR="00E47315" w:rsidRPr="005518A2" w:rsidRDefault="00E47315" w:rsidP="005518A2">
      <w:pPr>
        <w:pStyle w:val="MDPI71References"/>
        <w:numPr>
          <w:ilvl w:val="0"/>
          <w:numId w:val="4"/>
        </w:numPr>
        <w:ind w:left="425" w:hanging="425"/>
      </w:pPr>
      <w:r w:rsidRPr="005518A2">
        <w:t>NUFFIELD TRUST</w:t>
      </w:r>
      <w:r w:rsidR="00EB79D9">
        <w:t xml:space="preserve">, </w:t>
      </w:r>
      <w:r w:rsidRPr="005518A2">
        <w:t xml:space="preserve">2020. Poorest get worse quality of NHS care in England, new research finds. [Online] Available from: https://www.nuffieldtrust.org.uk/news-item/poorest-get-worse-quality-of-nhs-care-in-england-new-research-finds Accessed: 08/09/2021 </w:t>
      </w:r>
    </w:p>
    <w:p w14:paraId="56B1FB67" w14:textId="5818D697" w:rsidR="00E47315" w:rsidRPr="005518A2" w:rsidRDefault="00EB79D9" w:rsidP="005518A2">
      <w:pPr>
        <w:pStyle w:val="MDPI71References"/>
        <w:numPr>
          <w:ilvl w:val="0"/>
          <w:numId w:val="4"/>
        </w:numPr>
        <w:ind w:left="425" w:hanging="425"/>
      </w:pPr>
      <w:r w:rsidRPr="005518A2">
        <w:t>O'BRIEN, J.T</w:t>
      </w:r>
      <w:r>
        <w:t>.</w:t>
      </w:r>
      <w:r w:rsidRPr="005518A2">
        <w:t>,</w:t>
      </w:r>
      <w:r>
        <w:t xml:space="preserve"> HOLMES, C., JONES, M., JONES, R., LIVINGSTON, G., MCKEITH, I., MITTLER, P., PASSMORE, P., RITCHIE, C., ROBINSON, L., SAMPSON, E.L., TAYLOR, J.P., THOMAS, A and BURNS, A.,</w:t>
      </w:r>
      <w:r w:rsidRPr="005518A2">
        <w:t xml:space="preserve"> 2017. Clinical practice with anti-dementia drugs: A revised (third) consensus statement from the British Association for Psychopharmacology. JOURNAL OF PSYCHOPHARMACOLOGY, 31(2), pp. 147-168. </w:t>
      </w:r>
      <w:proofErr w:type="spellStart"/>
      <w:r w:rsidRPr="005518A2">
        <w:t>doi</w:t>
      </w:r>
      <w:proofErr w:type="spellEnd"/>
      <w:r w:rsidRPr="005518A2">
        <w:t>: 10.1177/0269881116680924</w:t>
      </w:r>
    </w:p>
    <w:p w14:paraId="05069050" w14:textId="77777777" w:rsidR="00E47315" w:rsidRPr="005518A2" w:rsidRDefault="00E47315" w:rsidP="005518A2">
      <w:pPr>
        <w:pStyle w:val="MDPI71References"/>
        <w:numPr>
          <w:ilvl w:val="0"/>
          <w:numId w:val="4"/>
        </w:numPr>
        <w:ind w:left="425" w:hanging="425"/>
      </w:pPr>
      <w:r w:rsidRPr="005518A2">
        <w:t xml:space="preserve">OGDEN, J., 2017. Rising cost of dementia care risks social care funding crisis. Progress in neurology and psychiatry, 21(1), pp. 5. </w:t>
      </w:r>
      <w:proofErr w:type="spellStart"/>
      <w:r w:rsidRPr="005518A2">
        <w:t>doi</w:t>
      </w:r>
      <w:proofErr w:type="spellEnd"/>
      <w:r w:rsidRPr="005518A2">
        <w:t>: 10.1002/pnp.454</w:t>
      </w:r>
    </w:p>
    <w:p w14:paraId="67DB0422" w14:textId="66151CCD" w:rsidR="00E47315" w:rsidRPr="005518A2" w:rsidRDefault="00E47315" w:rsidP="005518A2">
      <w:pPr>
        <w:pStyle w:val="MDPI71References"/>
        <w:numPr>
          <w:ilvl w:val="0"/>
          <w:numId w:val="4"/>
        </w:numPr>
        <w:ind w:left="425" w:hanging="425"/>
      </w:pPr>
      <w:r w:rsidRPr="005518A2">
        <w:t>ONS</w:t>
      </w:r>
      <w:r w:rsidR="00EB79D9">
        <w:t xml:space="preserve">, </w:t>
      </w:r>
      <w:r w:rsidRPr="005518A2">
        <w:t>2018. UK population by ethnicity. [Online] Available from: https://www.ethnicity-facts-figures.service.gov.uk/uk-population-by-ethnicity Accessed: 08/09/2021</w:t>
      </w:r>
    </w:p>
    <w:p w14:paraId="583A7999" w14:textId="13E8BCF1" w:rsidR="00E47315" w:rsidRPr="005518A2" w:rsidRDefault="00E47315" w:rsidP="005518A2">
      <w:pPr>
        <w:pStyle w:val="MDPI71References"/>
        <w:numPr>
          <w:ilvl w:val="0"/>
          <w:numId w:val="4"/>
        </w:numPr>
        <w:ind w:left="425" w:hanging="425"/>
      </w:pPr>
      <w:r w:rsidRPr="005518A2">
        <w:t>ONS</w:t>
      </w:r>
      <w:r w:rsidR="00EB79D9">
        <w:t xml:space="preserve">, </w:t>
      </w:r>
      <w:r w:rsidRPr="005518A2">
        <w:t>2020. Life expectancy for local areas of the UK: between 2001 to 2003 and 2017 to 2019. [Online] Available from: https://www.ons.gov.uk/peoplepopulationandcommunity/healthandsocialcare/healthandlifeexpectancies/bulletins/lifeexpectancyforlocalareasoftheuk/between2001to2003and2017to2019</w:t>
      </w:r>
    </w:p>
    <w:p w14:paraId="5657B5FA" w14:textId="749F1878" w:rsidR="00E47315" w:rsidRPr="005518A2" w:rsidRDefault="00E47315" w:rsidP="005518A2">
      <w:pPr>
        <w:pStyle w:val="MDPI71References"/>
        <w:numPr>
          <w:ilvl w:val="0"/>
          <w:numId w:val="4"/>
        </w:numPr>
        <w:ind w:left="425" w:hanging="425"/>
      </w:pPr>
      <w:r w:rsidRPr="005518A2">
        <w:t>ONS</w:t>
      </w:r>
      <w:r w:rsidR="00EB79D9">
        <w:t xml:space="preserve">, </w:t>
      </w:r>
      <w:r w:rsidRPr="005518A2">
        <w:t>2020(2). Dementia and Alzheimer’s disease deaths including comorbidities, England and Wales: 2019 registrations. [Online] Available from: https://www.ons.gov.uk/peoplepopulationandcommunity/birthsdeathsandmarriages/deaths/bulletins/dementiaandalzheimersdiseasedeathsincludingcomorbiditiesenglandandwales/2019registrations Accessed: 08/09/2021</w:t>
      </w:r>
    </w:p>
    <w:p w14:paraId="7DED1806" w14:textId="77777777" w:rsidR="00E47315" w:rsidRPr="005518A2" w:rsidRDefault="00E47315" w:rsidP="005518A2">
      <w:pPr>
        <w:pStyle w:val="MDPI71References"/>
        <w:numPr>
          <w:ilvl w:val="0"/>
          <w:numId w:val="4"/>
        </w:numPr>
        <w:ind w:left="425" w:hanging="425"/>
      </w:pPr>
      <w:r w:rsidRPr="005518A2">
        <w:t xml:space="preserve">PARVEEN, S., Oyebode, J.R., Better health briefing 46 dementia and minority ethnic </w:t>
      </w:r>
      <w:proofErr w:type="spellStart"/>
      <w:r w:rsidRPr="005518A2">
        <w:t>carers</w:t>
      </w:r>
      <w:proofErr w:type="spellEnd"/>
      <w:r w:rsidRPr="005518A2">
        <w:t>. 2018. http://raceequalityfoundation.org.uk/wp-content/uploads/2018/07/REF-Better-Health-463.pdf.  Accessed: 08/09/2021</w:t>
      </w:r>
    </w:p>
    <w:p w14:paraId="0BBFA714" w14:textId="167AA9E9" w:rsidR="00E47315" w:rsidRPr="005518A2" w:rsidRDefault="00EB79D9" w:rsidP="005518A2">
      <w:pPr>
        <w:pStyle w:val="MDPI71References"/>
        <w:numPr>
          <w:ilvl w:val="0"/>
          <w:numId w:val="4"/>
        </w:numPr>
        <w:ind w:left="425" w:hanging="425"/>
      </w:pPr>
      <w:r>
        <w:t>PHAM, T. M., PETERSEN, I., WALTERS, K., RAINE, R., MANTHORPE, J., MUKADAM, N., and COOPER, C.</w:t>
      </w:r>
      <w:r w:rsidRPr="005518A2">
        <w:t xml:space="preserve">, 2018. Trends in dementia diagnosis rates in UK ethnic groups: analysis of UK primary care data. Clinical epidemiology, 10, 949–960. </w:t>
      </w:r>
      <w:proofErr w:type="spellStart"/>
      <w:r w:rsidRPr="005518A2">
        <w:t>doi</w:t>
      </w:r>
      <w:proofErr w:type="spellEnd"/>
      <w:r w:rsidRPr="005518A2">
        <w:t>: 10.2147/CLEP.S152647</w:t>
      </w:r>
    </w:p>
    <w:p w14:paraId="52795859" w14:textId="55130CBC" w:rsidR="00E47315" w:rsidRDefault="00E47315" w:rsidP="005518A2">
      <w:pPr>
        <w:pStyle w:val="MDPI71References"/>
        <w:numPr>
          <w:ilvl w:val="0"/>
          <w:numId w:val="4"/>
        </w:numPr>
        <w:ind w:left="425" w:hanging="425"/>
      </w:pPr>
      <w:r w:rsidRPr="005518A2">
        <w:t xml:space="preserve">PHILLIPS, J. et al., (2012). Difficulties in disclosing the diagnosis of dementia: a qualitative study in general practice. The British journal of general practice: the journal of the Royal College of General Practitioners, 62(601), e546–e553. </w:t>
      </w:r>
      <w:proofErr w:type="spellStart"/>
      <w:r w:rsidRPr="005518A2">
        <w:t>doi</w:t>
      </w:r>
      <w:proofErr w:type="spellEnd"/>
      <w:r w:rsidRPr="005518A2">
        <w:t>: 10.3399/bjgp12X653598</w:t>
      </w:r>
    </w:p>
    <w:p w14:paraId="56DC722B" w14:textId="7B24A086" w:rsidR="003D427C" w:rsidRDefault="003D427C" w:rsidP="005518A2">
      <w:pPr>
        <w:pStyle w:val="MDPI71References"/>
        <w:numPr>
          <w:ilvl w:val="0"/>
          <w:numId w:val="4"/>
        </w:numPr>
        <w:ind w:left="425" w:hanging="425"/>
      </w:pPr>
      <w:r>
        <w:t xml:space="preserve">PUBLIC HEALTH ENGLAND, 2020. </w:t>
      </w:r>
      <w:r w:rsidR="00EE6CE9">
        <w:t xml:space="preserve">Fingertips Health Profiles. [Online] Available from: </w:t>
      </w:r>
      <w:r w:rsidR="00EE6CE9" w:rsidRPr="00EE6CE9">
        <w:t>https://fingertips.phe.org.uk/profile-group/mental-health/profile/dementia</w:t>
      </w:r>
    </w:p>
    <w:p w14:paraId="654BB599" w14:textId="06F1FF6D" w:rsidR="00EB79D9" w:rsidRPr="005518A2" w:rsidRDefault="00EB79D9" w:rsidP="005518A2">
      <w:pPr>
        <w:pStyle w:val="MDPI71References"/>
        <w:numPr>
          <w:ilvl w:val="0"/>
          <w:numId w:val="4"/>
        </w:numPr>
        <w:ind w:left="425" w:hanging="425"/>
      </w:pPr>
      <w:r w:rsidRPr="005415ED">
        <w:t>PUJADES-RODRIGUEZ M, GUTTMANN OP, GONZALEZ-IZQUIERDO A, DUYX B, O'MAHONY C, ELLIOTT P, HEMINGWAY H</w:t>
      </w:r>
      <w:r w:rsidRPr="005518A2">
        <w:t xml:space="preserve">, 2018. Identifying unmet clinical need in hypertrophic cardiomyopathy using national electronic health records. </w:t>
      </w:r>
      <w:proofErr w:type="spellStart"/>
      <w:r w:rsidRPr="005518A2">
        <w:t>PLoS</w:t>
      </w:r>
      <w:proofErr w:type="spellEnd"/>
      <w:r w:rsidRPr="005518A2">
        <w:t xml:space="preserve"> ONE, 13(1), pp. e0191214-e0191214. </w:t>
      </w:r>
      <w:proofErr w:type="spellStart"/>
      <w:r w:rsidRPr="005518A2">
        <w:t>doi</w:t>
      </w:r>
      <w:proofErr w:type="spellEnd"/>
      <w:r w:rsidRPr="005518A2">
        <w:t>: 10.1371/journal.pone.0191214</w:t>
      </w:r>
    </w:p>
    <w:p w14:paraId="143F1D02" w14:textId="77777777" w:rsidR="00E47315" w:rsidRPr="005518A2" w:rsidRDefault="00E47315" w:rsidP="005518A2">
      <w:pPr>
        <w:pStyle w:val="MDPI71References"/>
        <w:numPr>
          <w:ilvl w:val="0"/>
          <w:numId w:val="4"/>
        </w:numPr>
        <w:ind w:left="425" w:hanging="425"/>
      </w:pPr>
      <w:r w:rsidRPr="005518A2">
        <w:t xml:space="preserve">RAIT, G., NAZARETH, I., WALTERS, K., BOTTOMLEY, C., PETERSEN, I. and ILIFFE, S, 2010. Survival of people with clinical diagnosis of dementia in primary care: Cohort study. BMJ (Online), 341(7768), pp. 337. </w:t>
      </w:r>
      <w:proofErr w:type="spellStart"/>
      <w:r w:rsidRPr="005518A2">
        <w:t>doi</w:t>
      </w:r>
      <w:proofErr w:type="spellEnd"/>
      <w:r w:rsidRPr="005518A2">
        <w:t>: 10.1136/bmj.c3584</w:t>
      </w:r>
    </w:p>
    <w:p w14:paraId="5448A4ED" w14:textId="57D19A59" w:rsidR="00E47315" w:rsidRPr="005518A2" w:rsidRDefault="00EB79D9" w:rsidP="005518A2">
      <w:pPr>
        <w:pStyle w:val="MDPI71References"/>
        <w:numPr>
          <w:ilvl w:val="0"/>
          <w:numId w:val="4"/>
        </w:numPr>
        <w:ind w:left="425" w:hanging="425"/>
      </w:pPr>
      <w:r w:rsidRPr="005518A2">
        <w:t xml:space="preserve">REES, J.L., </w:t>
      </w:r>
      <w:r>
        <w:t xml:space="preserve">BURTON, A., WALTERS, K.R., LEVERTON, M., RAPAPORT, P., HERAT GUNURATNE, R., BERESFORD-DENT, J. and COOPER, C., </w:t>
      </w:r>
      <w:r w:rsidRPr="005518A2">
        <w:t xml:space="preserve">2020. Exploring how people with dementia can be best supported to manage long-term conditions: a qualitative study of stakeholder perspectives. BMJ open, 10(10), pp. e041873. </w:t>
      </w:r>
      <w:proofErr w:type="spellStart"/>
      <w:r w:rsidRPr="005518A2">
        <w:t>doi</w:t>
      </w:r>
      <w:proofErr w:type="spellEnd"/>
      <w:r w:rsidRPr="005518A2">
        <w:t>: 10.1136/bmjopen-2020-041873</w:t>
      </w:r>
    </w:p>
    <w:p w14:paraId="01EBF1B7" w14:textId="53A9EC11" w:rsidR="00E47315" w:rsidRDefault="00E47315" w:rsidP="005518A2">
      <w:pPr>
        <w:pStyle w:val="MDPI71References"/>
        <w:numPr>
          <w:ilvl w:val="0"/>
          <w:numId w:val="4"/>
        </w:numPr>
        <w:ind w:left="425" w:hanging="425"/>
      </w:pPr>
      <w:r w:rsidRPr="005518A2">
        <w:t xml:space="preserve">ROUNTREE, S.D., DOODY, R.S., ATRI, A. and LOPEZ, O.L., 2012. Effectiveness of antidementia drugs in delaying Alzheimer disease progression. Alzheimer's and Dementia, 9(3): pp. 338-345. </w:t>
      </w:r>
      <w:proofErr w:type="spellStart"/>
      <w:r w:rsidRPr="005518A2">
        <w:t>doi</w:t>
      </w:r>
      <w:proofErr w:type="spellEnd"/>
      <w:r w:rsidRPr="005518A2">
        <w:t>: 10.1016/j.jalz.2012.01.002</w:t>
      </w:r>
    </w:p>
    <w:p w14:paraId="38D23859" w14:textId="581DDF07" w:rsidR="00B30228" w:rsidRDefault="00B30228" w:rsidP="00B30228">
      <w:pPr>
        <w:pStyle w:val="MDPI71References"/>
        <w:numPr>
          <w:ilvl w:val="0"/>
          <w:numId w:val="4"/>
        </w:numPr>
        <w:ind w:left="425" w:hanging="425"/>
        <w:jc w:val="left"/>
      </w:pPr>
      <w:r>
        <w:t xml:space="preserve">RUSS, T. C., BATTY, G.D., HEARNSHAW, G.F., FENTON, C. and STARR, J.M., 2012. </w:t>
      </w:r>
      <w:r w:rsidRPr="00B30228">
        <w:t>Geographical variation in dementia: systematic review with meta-analysis</w:t>
      </w:r>
      <w:r>
        <w:t xml:space="preserve">. </w:t>
      </w:r>
      <w:r w:rsidRPr="00B30228">
        <w:t>International Journal of Epidemiology, 41</w:t>
      </w:r>
      <w:r>
        <w:t>(</w:t>
      </w:r>
      <w:r w:rsidRPr="00B30228">
        <w:t>4</w:t>
      </w:r>
      <w:r>
        <w:t>)</w:t>
      </w:r>
      <w:r w:rsidRPr="00B30228">
        <w:t>,</w:t>
      </w:r>
      <w:r>
        <w:t xml:space="preserve"> pp.</w:t>
      </w:r>
      <w:r w:rsidRPr="00B30228">
        <w:t>1012–1032</w:t>
      </w:r>
      <w:r>
        <w:t>.</w:t>
      </w:r>
      <w:r w:rsidRPr="00B30228">
        <w:t xml:space="preserve"> </w:t>
      </w:r>
      <w:hyperlink r:id="rId11" w:history="1">
        <w:r w:rsidR="001C5B17" w:rsidRPr="00BA42BE">
          <w:rPr>
            <w:rStyle w:val="Hyperlink"/>
          </w:rPr>
          <w:t>https://doi.org/10.1093/ije/dys103</w:t>
        </w:r>
      </w:hyperlink>
    </w:p>
    <w:p w14:paraId="6DE251ED" w14:textId="6870CD58" w:rsidR="001C5B17" w:rsidRPr="005518A2" w:rsidRDefault="001C5B17" w:rsidP="00B30228">
      <w:pPr>
        <w:pStyle w:val="MDPI71References"/>
        <w:numPr>
          <w:ilvl w:val="0"/>
          <w:numId w:val="4"/>
        </w:numPr>
        <w:ind w:left="425" w:hanging="425"/>
        <w:jc w:val="left"/>
      </w:pPr>
      <w:r>
        <w:t xml:space="preserve">RUSS, T. C., MURIANNI, L., ICAZA, G., SLACHEVSKY, A. and STARR, K.M., 2016. </w:t>
      </w:r>
      <w:r w:rsidRPr="001C5B17">
        <w:t xml:space="preserve">Geographical Variation in Dementia Mortality in Italy, New Zealand, and Chile: The Impact of Latitude, Vitamin D, and Air Pollution. Dement </w:t>
      </w:r>
      <w:proofErr w:type="spellStart"/>
      <w:r w:rsidRPr="001C5B17">
        <w:t>Geriatr</w:t>
      </w:r>
      <w:proofErr w:type="spellEnd"/>
      <w:r w:rsidRPr="001C5B17">
        <w:t xml:space="preserve"> </w:t>
      </w:r>
      <w:proofErr w:type="spellStart"/>
      <w:r w:rsidRPr="001C5B17">
        <w:t>Cogn</w:t>
      </w:r>
      <w:proofErr w:type="spellEnd"/>
      <w:r w:rsidRPr="001C5B17">
        <w:t xml:space="preserve"> </w:t>
      </w:r>
      <w:proofErr w:type="spellStart"/>
      <w:r w:rsidRPr="001C5B17">
        <w:t>Disord</w:t>
      </w:r>
      <w:proofErr w:type="spellEnd"/>
      <w:r>
        <w:t xml:space="preserve">, </w:t>
      </w:r>
      <w:r w:rsidRPr="001C5B17">
        <w:t>42</w:t>
      </w:r>
      <w:r>
        <w:t>, pp.</w:t>
      </w:r>
      <w:r w:rsidRPr="001C5B17">
        <w:t>31-41</w:t>
      </w:r>
      <w:r>
        <w:t>.</w:t>
      </w:r>
      <w:r w:rsidRPr="001C5B17">
        <w:t xml:space="preserve"> </w:t>
      </w:r>
      <w:proofErr w:type="spellStart"/>
      <w:r w:rsidRPr="001C5B17">
        <w:t>doi</w:t>
      </w:r>
      <w:proofErr w:type="spellEnd"/>
      <w:r w:rsidRPr="001C5B17">
        <w:t>: 10.1159/000447449</w:t>
      </w:r>
    </w:p>
    <w:p w14:paraId="53A4B63F" w14:textId="77777777" w:rsidR="00E47315" w:rsidRPr="005518A2" w:rsidRDefault="00E47315" w:rsidP="005518A2">
      <w:pPr>
        <w:pStyle w:val="MDPI71References"/>
        <w:numPr>
          <w:ilvl w:val="0"/>
          <w:numId w:val="4"/>
        </w:numPr>
        <w:ind w:left="425" w:hanging="425"/>
      </w:pPr>
      <w:r w:rsidRPr="005518A2">
        <w:t xml:space="preserve">SHEPHERD, H., LIVINGSTON, G., CHAN, J. and SOMMERLAD, A., 2019. </w:t>
      </w:r>
      <w:proofErr w:type="spellStart"/>
      <w:r w:rsidRPr="005518A2">
        <w:t>Hospitalisation</w:t>
      </w:r>
      <w:proofErr w:type="spellEnd"/>
      <w:r w:rsidRPr="005518A2">
        <w:t xml:space="preserve"> rates and predictors in people with dementia: a systematic review and meta-analysis. BMC medicine, 17(1), pp. 130. </w:t>
      </w:r>
      <w:proofErr w:type="spellStart"/>
      <w:r w:rsidRPr="005518A2">
        <w:t>doi</w:t>
      </w:r>
      <w:proofErr w:type="spellEnd"/>
      <w:r w:rsidRPr="005518A2">
        <w:t>: 10.1186/s12916-019-1369-7</w:t>
      </w:r>
    </w:p>
    <w:p w14:paraId="70F074A4" w14:textId="1F1B2DDD" w:rsidR="00E47315" w:rsidRPr="005518A2" w:rsidRDefault="00EB79D9" w:rsidP="005518A2">
      <w:pPr>
        <w:pStyle w:val="MDPI71References"/>
        <w:numPr>
          <w:ilvl w:val="0"/>
          <w:numId w:val="4"/>
        </w:numPr>
        <w:ind w:left="425" w:hanging="425"/>
      </w:pPr>
      <w:r w:rsidRPr="005518A2">
        <w:t xml:space="preserve">SOMMERLAD, A., </w:t>
      </w:r>
      <w:r>
        <w:t xml:space="preserve">PERERA, C., MUELLER, C., SINGH-MANOUZ, A., LEWIS, G., STEWART, R. and LIVINGSTON, G., </w:t>
      </w:r>
      <w:r w:rsidRPr="005518A2">
        <w:t xml:space="preserve">2019. </w:t>
      </w:r>
      <w:proofErr w:type="spellStart"/>
      <w:r w:rsidRPr="005518A2">
        <w:t>Hospitalisation</w:t>
      </w:r>
      <w:proofErr w:type="spellEnd"/>
      <w:r w:rsidRPr="005518A2">
        <w:t xml:space="preserve"> of people with dementia: evidence from English electronic health records from 2008 to 2016. European journal of epidemiology, 34(6), pp. 567. </w:t>
      </w:r>
      <w:proofErr w:type="spellStart"/>
      <w:r w:rsidRPr="005518A2">
        <w:t>doi</w:t>
      </w:r>
      <w:proofErr w:type="spellEnd"/>
      <w:r w:rsidRPr="005518A2">
        <w:t>: 10.1007/s10654-019-00481-x</w:t>
      </w:r>
    </w:p>
    <w:p w14:paraId="53B79BAE" w14:textId="77777777" w:rsidR="00E47315" w:rsidRPr="005518A2" w:rsidRDefault="00E47315" w:rsidP="005518A2">
      <w:pPr>
        <w:pStyle w:val="MDPI71References"/>
        <w:numPr>
          <w:ilvl w:val="0"/>
          <w:numId w:val="4"/>
        </w:numPr>
        <w:ind w:left="425" w:hanging="425"/>
      </w:pPr>
      <w:r w:rsidRPr="005518A2">
        <w:t xml:space="preserve">SZYMCZYNSKA, P., INNES, A., MASON, A. and STARK, C., 2011. A Review of Diagnostic Process and </w:t>
      </w:r>
      <w:proofErr w:type="spellStart"/>
      <w:r w:rsidRPr="005518A2">
        <w:t>Postdiagnostic</w:t>
      </w:r>
      <w:proofErr w:type="spellEnd"/>
      <w:r w:rsidRPr="005518A2">
        <w:t xml:space="preserve"> Support for People </w:t>
      </w:r>
      <w:proofErr w:type="gramStart"/>
      <w:r w:rsidRPr="005518A2">
        <w:t>With</w:t>
      </w:r>
      <w:proofErr w:type="gramEnd"/>
      <w:r w:rsidRPr="005518A2">
        <w:t xml:space="preserve"> Dementia in Rural Areas. Journal of Primary Care &amp; Community Health, 2(4), pp. 262-276. </w:t>
      </w:r>
      <w:proofErr w:type="spellStart"/>
      <w:r w:rsidRPr="005518A2">
        <w:t>doi</w:t>
      </w:r>
      <w:proofErr w:type="spellEnd"/>
      <w:r w:rsidRPr="005518A2">
        <w:t>: 10.1177/2150131911404705</w:t>
      </w:r>
    </w:p>
    <w:p w14:paraId="45DC55D3" w14:textId="5819645D" w:rsidR="00E47315" w:rsidRPr="005518A2" w:rsidRDefault="00E47315" w:rsidP="005518A2">
      <w:pPr>
        <w:pStyle w:val="MDPI71References"/>
        <w:numPr>
          <w:ilvl w:val="0"/>
          <w:numId w:val="4"/>
        </w:numPr>
        <w:ind w:left="425" w:hanging="425"/>
      </w:pPr>
      <w:r w:rsidRPr="005518A2">
        <w:t>UK PARLIAMENT</w:t>
      </w:r>
      <w:r w:rsidR="00EB79D9">
        <w:t xml:space="preserve">, </w:t>
      </w:r>
      <w:r w:rsidRPr="005518A2">
        <w:t>2016. Dementia: age and deprivation differences. [Online] Available from: https://commonslibrary.parliament.uk/dementia-age-and-deprivation-differences/ Accessed: 08/09/2021</w:t>
      </w:r>
    </w:p>
    <w:p w14:paraId="30D563E8" w14:textId="77777777" w:rsidR="00E47315" w:rsidRPr="005518A2" w:rsidRDefault="00E47315" w:rsidP="005518A2">
      <w:pPr>
        <w:pStyle w:val="MDPI71References"/>
        <w:numPr>
          <w:ilvl w:val="0"/>
          <w:numId w:val="4"/>
        </w:numPr>
        <w:ind w:left="425" w:hanging="425"/>
      </w:pPr>
      <w:r w:rsidRPr="005518A2">
        <w:lastRenderedPageBreak/>
        <w:t xml:space="preserve">VAN DE VORST, I. E., VAARTIES, I., GEERLINGS M. I., BOTS, M. L., KOEK, H. L., 2015. Prognosis of patients with dementia: results from a prospective nationwide registry linkage study in the Netherlands. BMJ Open 2015; </w:t>
      </w:r>
      <w:proofErr w:type="gramStart"/>
      <w:r w:rsidRPr="005518A2">
        <w:t>5:e</w:t>
      </w:r>
      <w:proofErr w:type="gramEnd"/>
      <w:r w:rsidRPr="005518A2">
        <w:t xml:space="preserve">008897. </w:t>
      </w:r>
      <w:proofErr w:type="spellStart"/>
      <w:r w:rsidRPr="005518A2">
        <w:t>doi</w:t>
      </w:r>
      <w:proofErr w:type="spellEnd"/>
      <w:r w:rsidRPr="005518A2">
        <w:t>: 10.1136/bmjopen-2015-008897</w:t>
      </w:r>
    </w:p>
    <w:p w14:paraId="05669679" w14:textId="77777777" w:rsidR="00E47315" w:rsidRPr="005518A2" w:rsidRDefault="00E47315" w:rsidP="005518A2">
      <w:pPr>
        <w:pStyle w:val="MDPI71References"/>
        <w:numPr>
          <w:ilvl w:val="0"/>
          <w:numId w:val="4"/>
        </w:numPr>
        <w:ind w:left="425" w:hanging="425"/>
      </w:pPr>
      <w:r w:rsidRPr="005518A2">
        <w:t xml:space="preserve">VAN DE VORST, I. E., KOEK, H.L., STEIN, C.E., BOTS, M.L. and VAARTJES, I., 2016. Socioeconomic Disparities and Mortality After a Diagnosis of Dementia: Results </w:t>
      </w:r>
      <w:proofErr w:type="gramStart"/>
      <w:r w:rsidRPr="005518A2">
        <w:t>From</w:t>
      </w:r>
      <w:proofErr w:type="gramEnd"/>
      <w:r w:rsidRPr="005518A2">
        <w:t xml:space="preserve"> a Nationwide Registry Linkage Study. American Journal of Epidemiology, 184(3), pp.219–226. </w:t>
      </w:r>
      <w:proofErr w:type="spellStart"/>
      <w:r w:rsidRPr="005518A2">
        <w:t>doi</w:t>
      </w:r>
      <w:proofErr w:type="spellEnd"/>
      <w:r w:rsidRPr="005518A2">
        <w:t>: 10.1093/</w:t>
      </w:r>
      <w:proofErr w:type="spellStart"/>
      <w:r w:rsidRPr="005518A2">
        <w:t>aje</w:t>
      </w:r>
      <w:proofErr w:type="spellEnd"/>
      <w:r w:rsidRPr="005518A2">
        <w:t>/kwv319</w:t>
      </w:r>
    </w:p>
    <w:p w14:paraId="4BA7559B" w14:textId="77777777" w:rsidR="00E47315" w:rsidRPr="005518A2" w:rsidRDefault="00E47315" w:rsidP="005518A2">
      <w:pPr>
        <w:pStyle w:val="MDPI71References"/>
        <w:numPr>
          <w:ilvl w:val="0"/>
          <w:numId w:val="4"/>
        </w:numPr>
        <w:ind w:left="425" w:hanging="425"/>
      </w:pPr>
      <w:r w:rsidRPr="005518A2">
        <w:t xml:space="preserve">VORST, I.E., VAARTJES, I., BOTS, M.L. and KOEK, H.L., 2019. Increased mortality and hospital readmission risk in patients with dementia and a history of cardiovascular disease: Results from a nationwide registry linkage study. International journal of geriatric psychiatry, 34(3), pp. 488. </w:t>
      </w:r>
      <w:proofErr w:type="spellStart"/>
      <w:r w:rsidRPr="005518A2">
        <w:t>doi</w:t>
      </w:r>
      <w:proofErr w:type="spellEnd"/>
      <w:r w:rsidRPr="005518A2">
        <w:t>: 10.1002/gps.5044</w:t>
      </w:r>
    </w:p>
    <w:p w14:paraId="6D8BF73E" w14:textId="77777777" w:rsidR="00E47315" w:rsidRPr="005518A2" w:rsidRDefault="00E47315" w:rsidP="005518A2">
      <w:pPr>
        <w:pStyle w:val="MDPI71References"/>
        <w:numPr>
          <w:ilvl w:val="0"/>
          <w:numId w:val="4"/>
        </w:numPr>
        <w:ind w:left="425" w:hanging="425"/>
      </w:pPr>
      <w:r w:rsidRPr="005518A2">
        <w:t xml:space="preserve">WATSON, J., GIEBEL, C., GREEN, M., DARLINGTON-POLLOCK, F. and AKPAN, A., 2021. Use of routine and cohort data globally in exploring dementia care pathways and inequalities: A systematic review. International journal of geriatric psychiatry, 36(2), pp. 252. </w:t>
      </w:r>
      <w:proofErr w:type="spellStart"/>
      <w:r w:rsidRPr="005518A2">
        <w:t>doi</w:t>
      </w:r>
      <w:proofErr w:type="spellEnd"/>
      <w:r w:rsidRPr="005518A2">
        <w:t>: 10.1002/gps.5419</w:t>
      </w:r>
    </w:p>
    <w:p w14:paraId="2D9900DB" w14:textId="77777777" w:rsidR="00E47315" w:rsidRPr="005518A2" w:rsidRDefault="00E47315" w:rsidP="005518A2">
      <w:pPr>
        <w:pStyle w:val="MDPI71References"/>
        <w:numPr>
          <w:ilvl w:val="0"/>
          <w:numId w:val="4"/>
        </w:numPr>
        <w:ind w:left="425" w:hanging="425"/>
      </w:pPr>
      <w:r w:rsidRPr="005518A2">
        <w:t xml:space="preserve">WILLIAMS, D.R. and COOPER, L.A., 2019. Reducing Racial Inequities in Health: Using What We Already Know to </w:t>
      </w:r>
      <w:proofErr w:type="gramStart"/>
      <w:r w:rsidRPr="005518A2">
        <w:t>Take Action</w:t>
      </w:r>
      <w:proofErr w:type="gramEnd"/>
      <w:r w:rsidRPr="005518A2">
        <w:t xml:space="preserve">. International journal of environmental research and public health, 16(4), pp. 606. </w:t>
      </w:r>
      <w:proofErr w:type="spellStart"/>
      <w:r w:rsidRPr="005518A2">
        <w:t>doi</w:t>
      </w:r>
      <w:proofErr w:type="spellEnd"/>
      <w:r w:rsidRPr="005518A2">
        <w:t>: 10.3390/ijerph16040606</w:t>
      </w:r>
    </w:p>
    <w:p w14:paraId="61C2AACC" w14:textId="77777777" w:rsidR="00E47315" w:rsidRPr="005518A2" w:rsidRDefault="00E47315" w:rsidP="005518A2">
      <w:pPr>
        <w:pStyle w:val="MDPI71References"/>
        <w:numPr>
          <w:ilvl w:val="0"/>
          <w:numId w:val="4"/>
        </w:numPr>
        <w:ind w:left="425" w:hanging="425"/>
      </w:pPr>
      <w:r w:rsidRPr="005518A2">
        <w:t xml:space="preserve">WITTENBERG, R., HU, B., BARRAZA-ARAIZA, L., REHILL, A. Projections of care for older people with dementia in England: 2015 to 2040. Age and Ageing, 49(2), pp.264–269. </w:t>
      </w:r>
      <w:proofErr w:type="spellStart"/>
      <w:r w:rsidRPr="005518A2">
        <w:t>doi</w:t>
      </w:r>
      <w:proofErr w:type="spellEnd"/>
      <w:r w:rsidRPr="005518A2">
        <w:t>: 10.1093/ageing/afz154</w:t>
      </w:r>
    </w:p>
    <w:p w14:paraId="041F3AC4" w14:textId="17C10007" w:rsidR="00522304" w:rsidRPr="005518A2" w:rsidRDefault="00EB79D9" w:rsidP="005518A2">
      <w:pPr>
        <w:pStyle w:val="MDPI71References"/>
        <w:numPr>
          <w:ilvl w:val="0"/>
          <w:numId w:val="4"/>
        </w:numPr>
        <w:ind w:left="425" w:hanging="425"/>
      </w:pPr>
      <w:bookmarkStart w:id="13" w:name="_Hlk90478060"/>
      <w:r w:rsidRPr="005518A2">
        <w:t xml:space="preserve">WU, Y., </w:t>
      </w:r>
      <w:r>
        <w:t xml:space="preserve">CLARE, L., JONES, I.R., MARTYR, A., NELIS, S.M., QUINN, C., VICTOR, C.R., LAMONT, R.A., RIPPON, I. and MATTHEWS, F.E., </w:t>
      </w:r>
      <w:r w:rsidRPr="005518A2">
        <w:t xml:space="preserve">2018. Inequalities in living well with dementia-The impact of deprivation on well-being, quality of life and life satisfaction: Results from the improving the experience of dementia and enhancing active life study. International journal of geriatric psychiatry, 33(12), pp. 173. </w:t>
      </w:r>
      <w:proofErr w:type="spellStart"/>
      <w:r w:rsidRPr="005518A2">
        <w:t>doi</w:t>
      </w:r>
      <w:proofErr w:type="spellEnd"/>
      <w:r w:rsidRPr="005518A2">
        <w:t>: 10.1002/gps.4998</w:t>
      </w:r>
      <w:bookmarkEnd w:id="13"/>
    </w:p>
    <w:sectPr w:rsidR="00522304" w:rsidRPr="005518A2" w:rsidSect="00284BE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5F90" w14:textId="77777777" w:rsidR="009E5E05" w:rsidRDefault="009E5E05">
      <w:pPr>
        <w:spacing w:line="240" w:lineRule="auto"/>
      </w:pPr>
      <w:r>
        <w:separator/>
      </w:r>
    </w:p>
  </w:endnote>
  <w:endnote w:type="continuationSeparator" w:id="0">
    <w:p w14:paraId="1B204239" w14:textId="77777777" w:rsidR="009E5E05" w:rsidRDefault="009E5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F9DE" w14:textId="77777777" w:rsidR="009E5E05" w:rsidRDefault="009E5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C33A" w14:textId="77777777" w:rsidR="009E5E05" w:rsidRPr="00590BF9" w:rsidRDefault="009E5E05" w:rsidP="00E9098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9830" w14:textId="77777777" w:rsidR="009E5E05" w:rsidRDefault="009E5E05" w:rsidP="00F32F04">
    <w:pPr>
      <w:pStyle w:val="MDPIfooterfirstpage"/>
      <w:pBdr>
        <w:top w:val="single" w:sz="4" w:space="0" w:color="000000"/>
      </w:pBdr>
      <w:adjustRightInd w:val="0"/>
      <w:snapToGrid w:val="0"/>
      <w:spacing w:before="480" w:line="100" w:lineRule="exact"/>
      <w:rPr>
        <w:i/>
        <w:szCs w:val="16"/>
      </w:rPr>
    </w:pPr>
  </w:p>
  <w:p w14:paraId="7DB45854" w14:textId="77777777" w:rsidR="009E5E05" w:rsidRPr="008B308E" w:rsidRDefault="009E5E05"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482E" w14:textId="77777777" w:rsidR="009E5E05" w:rsidRDefault="009E5E05">
      <w:pPr>
        <w:spacing w:line="240" w:lineRule="auto"/>
      </w:pPr>
      <w:r>
        <w:separator/>
      </w:r>
    </w:p>
  </w:footnote>
  <w:footnote w:type="continuationSeparator" w:id="0">
    <w:p w14:paraId="1AF5DB22" w14:textId="77777777" w:rsidR="009E5E05" w:rsidRDefault="009E5E05">
      <w:pPr>
        <w:spacing w:line="240" w:lineRule="auto"/>
      </w:pPr>
      <w:r>
        <w:continuationSeparator/>
      </w:r>
    </w:p>
  </w:footnote>
  <w:footnote w:id="1">
    <w:p w14:paraId="0BDAC6ED" w14:textId="090E81EB" w:rsidR="009E5E05" w:rsidRPr="007C7621" w:rsidRDefault="009E5E05" w:rsidP="007C7621">
      <w:pPr>
        <w:pStyle w:val="FootnoteText"/>
        <w:jc w:val="left"/>
        <w:rPr>
          <w:lang w:val="en-GB"/>
        </w:rPr>
      </w:pPr>
      <w:r>
        <w:rPr>
          <w:rStyle w:val="FootnoteReference"/>
        </w:rPr>
        <w:footnoteRef/>
      </w:r>
      <w:r>
        <w:t xml:space="preserve"> </w:t>
      </w:r>
      <w:r w:rsidRPr="007C7621">
        <w:rPr>
          <w:sz w:val="16"/>
          <w:szCs w:val="16"/>
        </w:rPr>
        <w:t xml:space="preserve">UK prevalence by explanatory factors </w:t>
      </w:r>
      <w:r w:rsidRPr="007C7621">
        <w:rPr>
          <w:sz w:val="16"/>
          <w:szCs w:val="16"/>
          <w:lang w:val="en-GB"/>
        </w:rPr>
        <w:t>Alzheimer’s Research UK</w:t>
      </w:r>
      <w:r w:rsidRPr="003D427C">
        <w:rPr>
          <w:sz w:val="16"/>
          <w:szCs w:val="16"/>
          <w:lang w:val="en-GB"/>
        </w:rPr>
        <w:t xml:space="preserve"> (</w:t>
      </w:r>
      <w:r w:rsidRPr="007C7621">
        <w:rPr>
          <w:sz w:val="16"/>
          <w:szCs w:val="16"/>
          <w:lang w:val="en-GB"/>
        </w:rPr>
        <w:t>2020</w:t>
      </w:r>
      <w:r w:rsidRPr="003D427C">
        <w:rPr>
          <w:sz w:val="16"/>
          <w:szCs w:val="16"/>
          <w:lang w:val="en-GB"/>
        </w:rPr>
        <w:t>)</w:t>
      </w:r>
    </w:p>
  </w:footnote>
  <w:footnote w:id="2">
    <w:p w14:paraId="308420DF" w14:textId="13ED1EAB" w:rsidR="009E5E05" w:rsidRPr="007C7621" w:rsidRDefault="009E5E05" w:rsidP="007C7621">
      <w:pPr>
        <w:pStyle w:val="FootnoteText"/>
        <w:jc w:val="left"/>
        <w:rPr>
          <w:sz w:val="16"/>
          <w:lang w:val="en-GB"/>
        </w:rPr>
      </w:pPr>
      <w:r>
        <w:rPr>
          <w:rStyle w:val="FootnoteReference"/>
        </w:rPr>
        <w:footnoteRef/>
      </w:r>
      <w:r>
        <w:t xml:space="preserve"> </w:t>
      </w:r>
      <w:r w:rsidRPr="007C7621">
        <w:rPr>
          <w:sz w:val="16"/>
          <w:szCs w:val="16"/>
        </w:rPr>
        <w:t>GP regions for UK data based on GP regions from d</w:t>
      </w:r>
      <w:r w:rsidRPr="003D427C">
        <w:rPr>
          <w:sz w:val="16"/>
          <w:szCs w:val="16"/>
          <w:lang w:val="en-GB"/>
        </w:rPr>
        <w:t>ementia prevalence estimates (Fingertips Health Profiles,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E3DC" w14:textId="77777777" w:rsidR="009E5E05" w:rsidRDefault="009E5E05"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F11B" w14:textId="77777777" w:rsidR="009E5E05" w:rsidRDefault="009E5E05"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00C07D66" w14:textId="77777777" w:rsidR="009E5E05" w:rsidRPr="00305CED" w:rsidRDefault="009E5E05"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9E5E05" w:rsidRPr="00B200C8" w14:paraId="1E053AE4" w14:textId="77777777" w:rsidTr="00B200C8">
      <w:trPr>
        <w:trHeight w:val="686"/>
      </w:trPr>
      <w:tc>
        <w:tcPr>
          <w:tcW w:w="3679" w:type="dxa"/>
          <w:shd w:val="clear" w:color="auto" w:fill="auto"/>
          <w:vAlign w:val="center"/>
        </w:tcPr>
        <w:p w14:paraId="70480905" w14:textId="77777777" w:rsidR="009E5E05" w:rsidRPr="006331AD" w:rsidRDefault="009E5E05" w:rsidP="00B200C8">
          <w:pPr>
            <w:pStyle w:val="Header"/>
            <w:pBdr>
              <w:bottom w:val="none" w:sz="0" w:space="0" w:color="auto"/>
            </w:pBdr>
            <w:jc w:val="left"/>
            <w:rPr>
              <w:rFonts w:eastAsia="DengXian"/>
              <w:b/>
              <w:bCs/>
            </w:rPr>
          </w:pPr>
          <w:r w:rsidRPr="006331AD">
            <w:rPr>
              <w:rFonts w:eastAsia="DengXian"/>
              <w:b/>
              <w:bCs/>
            </w:rPr>
            <w:drawing>
              <wp:inline distT="0" distB="0" distL="0" distR="0" wp14:anchorId="058DECD7" wp14:editId="30C39D3E">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168F04DF" w14:textId="77777777" w:rsidR="009E5E05" w:rsidRPr="006331AD" w:rsidRDefault="009E5E05" w:rsidP="00B200C8">
          <w:pPr>
            <w:pStyle w:val="Header"/>
            <w:pBdr>
              <w:bottom w:val="none" w:sz="0" w:space="0" w:color="auto"/>
            </w:pBdr>
            <w:rPr>
              <w:rFonts w:eastAsia="DengXian"/>
              <w:b/>
              <w:bCs/>
            </w:rPr>
          </w:pPr>
        </w:p>
      </w:tc>
      <w:tc>
        <w:tcPr>
          <w:tcW w:w="2273" w:type="dxa"/>
          <w:shd w:val="clear" w:color="auto" w:fill="auto"/>
          <w:vAlign w:val="center"/>
        </w:tcPr>
        <w:p w14:paraId="07BAA2D3" w14:textId="77777777" w:rsidR="009E5E05" w:rsidRPr="006331AD" w:rsidRDefault="009E5E05" w:rsidP="00B200C8">
          <w:pPr>
            <w:pStyle w:val="Header"/>
            <w:pBdr>
              <w:bottom w:val="none" w:sz="0" w:space="0" w:color="auto"/>
            </w:pBdr>
            <w:jc w:val="right"/>
            <w:rPr>
              <w:rFonts w:eastAsia="DengXian"/>
              <w:b/>
              <w:bCs/>
            </w:rPr>
          </w:pPr>
          <w:r w:rsidRPr="006331AD">
            <w:rPr>
              <w:rFonts w:eastAsia="DengXian"/>
              <w:b/>
              <w:bCs/>
            </w:rPr>
            <w:drawing>
              <wp:inline distT="0" distB="0" distL="0" distR="0" wp14:anchorId="5B7422A5" wp14:editId="11620CF4">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49B1062F" w14:textId="77777777" w:rsidR="009E5E05" w:rsidRPr="00953C94" w:rsidRDefault="009E5E05"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554A"/>
    <w:rsid w:val="0003183D"/>
    <w:rsid w:val="00041937"/>
    <w:rsid w:val="00044A60"/>
    <w:rsid w:val="00047C14"/>
    <w:rsid w:val="00062D64"/>
    <w:rsid w:val="00070BC3"/>
    <w:rsid w:val="00072F70"/>
    <w:rsid w:val="000946E3"/>
    <w:rsid w:val="000A1068"/>
    <w:rsid w:val="000C3D95"/>
    <w:rsid w:val="000D4CAC"/>
    <w:rsid w:val="001035B5"/>
    <w:rsid w:val="00113A18"/>
    <w:rsid w:val="00121956"/>
    <w:rsid w:val="001228BC"/>
    <w:rsid w:val="00177995"/>
    <w:rsid w:val="00183AB8"/>
    <w:rsid w:val="00194C32"/>
    <w:rsid w:val="001957FA"/>
    <w:rsid w:val="001C5B17"/>
    <w:rsid w:val="001D41F9"/>
    <w:rsid w:val="001E2AEB"/>
    <w:rsid w:val="001F0C32"/>
    <w:rsid w:val="001F53CA"/>
    <w:rsid w:val="001F6D18"/>
    <w:rsid w:val="002019E5"/>
    <w:rsid w:val="0020566A"/>
    <w:rsid w:val="00205AC7"/>
    <w:rsid w:val="0020625A"/>
    <w:rsid w:val="00214A6A"/>
    <w:rsid w:val="00223336"/>
    <w:rsid w:val="00257BA9"/>
    <w:rsid w:val="00284BEB"/>
    <w:rsid w:val="0028607E"/>
    <w:rsid w:val="002D57A5"/>
    <w:rsid w:val="002E1EA0"/>
    <w:rsid w:val="002E3019"/>
    <w:rsid w:val="002F3D49"/>
    <w:rsid w:val="002F4201"/>
    <w:rsid w:val="00306807"/>
    <w:rsid w:val="003140B9"/>
    <w:rsid w:val="00322BD2"/>
    <w:rsid w:val="00326141"/>
    <w:rsid w:val="003663D4"/>
    <w:rsid w:val="003877C9"/>
    <w:rsid w:val="0039002C"/>
    <w:rsid w:val="003938DA"/>
    <w:rsid w:val="003C77A7"/>
    <w:rsid w:val="003D427C"/>
    <w:rsid w:val="003E7386"/>
    <w:rsid w:val="00401B3A"/>
    <w:rsid w:val="00401D30"/>
    <w:rsid w:val="00407587"/>
    <w:rsid w:val="00414DE1"/>
    <w:rsid w:val="00417958"/>
    <w:rsid w:val="00421077"/>
    <w:rsid w:val="0042738E"/>
    <w:rsid w:val="0044332B"/>
    <w:rsid w:val="00452508"/>
    <w:rsid w:val="00452E7C"/>
    <w:rsid w:val="00456CD8"/>
    <w:rsid w:val="00462C1A"/>
    <w:rsid w:val="0046726B"/>
    <w:rsid w:val="00470CB2"/>
    <w:rsid w:val="00484C66"/>
    <w:rsid w:val="004A751A"/>
    <w:rsid w:val="004B5280"/>
    <w:rsid w:val="004C56E9"/>
    <w:rsid w:val="004D5A80"/>
    <w:rsid w:val="004D6B8D"/>
    <w:rsid w:val="004F3CF3"/>
    <w:rsid w:val="004F46E9"/>
    <w:rsid w:val="00514646"/>
    <w:rsid w:val="00522304"/>
    <w:rsid w:val="00527484"/>
    <w:rsid w:val="00547C19"/>
    <w:rsid w:val="005518A2"/>
    <w:rsid w:val="00576272"/>
    <w:rsid w:val="005940DE"/>
    <w:rsid w:val="005B0E8A"/>
    <w:rsid w:val="005B6C3D"/>
    <w:rsid w:val="005D571E"/>
    <w:rsid w:val="005D71B5"/>
    <w:rsid w:val="005E04FC"/>
    <w:rsid w:val="005E213E"/>
    <w:rsid w:val="00615FFE"/>
    <w:rsid w:val="006211DD"/>
    <w:rsid w:val="006331AD"/>
    <w:rsid w:val="0066102C"/>
    <w:rsid w:val="00662E41"/>
    <w:rsid w:val="006822FA"/>
    <w:rsid w:val="00686327"/>
    <w:rsid w:val="00692393"/>
    <w:rsid w:val="006B7994"/>
    <w:rsid w:val="006C61EE"/>
    <w:rsid w:val="00703107"/>
    <w:rsid w:val="00711C0C"/>
    <w:rsid w:val="00713758"/>
    <w:rsid w:val="007858D0"/>
    <w:rsid w:val="007A0755"/>
    <w:rsid w:val="007B3E14"/>
    <w:rsid w:val="007C437A"/>
    <w:rsid w:val="007C7621"/>
    <w:rsid w:val="007D1435"/>
    <w:rsid w:val="007E5A5B"/>
    <w:rsid w:val="00816B72"/>
    <w:rsid w:val="00826149"/>
    <w:rsid w:val="00850D1D"/>
    <w:rsid w:val="00854CC7"/>
    <w:rsid w:val="0088318A"/>
    <w:rsid w:val="008A7DD9"/>
    <w:rsid w:val="008B4E46"/>
    <w:rsid w:val="008C5CBF"/>
    <w:rsid w:val="008E00B4"/>
    <w:rsid w:val="008E3B5E"/>
    <w:rsid w:val="00904094"/>
    <w:rsid w:val="009313EF"/>
    <w:rsid w:val="00947553"/>
    <w:rsid w:val="00950618"/>
    <w:rsid w:val="00953C94"/>
    <w:rsid w:val="00985746"/>
    <w:rsid w:val="00997B86"/>
    <w:rsid w:val="009A52C8"/>
    <w:rsid w:val="009B03B9"/>
    <w:rsid w:val="009B152D"/>
    <w:rsid w:val="009E5E05"/>
    <w:rsid w:val="009F274E"/>
    <w:rsid w:val="009F70E6"/>
    <w:rsid w:val="00A0136F"/>
    <w:rsid w:val="00A02301"/>
    <w:rsid w:val="00A146C0"/>
    <w:rsid w:val="00A33784"/>
    <w:rsid w:val="00A41EC8"/>
    <w:rsid w:val="00A64950"/>
    <w:rsid w:val="00AB14F7"/>
    <w:rsid w:val="00AC05C9"/>
    <w:rsid w:val="00AC61B4"/>
    <w:rsid w:val="00AD2D7B"/>
    <w:rsid w:val="00AE0E14"/>
    <w:rsid w:val="00AE348C"/>
    <w:rsid w:val="00AF44C1"/>
    <w:rsid w:val="00B00E09"/>
    <w:rsid w:val="00B06823"/>
    <w:rsid w:val="00B200C8"/>
    <w:rsid w:val="00B230E1"/>
    <w:rsid w:val="00B30228"/>
    <w:rsid w:val="00B432DE"/>
    <w:rsid w:val="00B670B5"/>
    <w:rsid w:val="00B81CF2"/>
    <w:rsid w:val="00B91113"/>
    <w:rsid w:val="00BE6750"/>
    <w:rsid w:val="00BF437C"/>
    <w:rsid w:val="00C00685"/>
    <w:rsid w:val="00C13470"/>
    <w:rsid w:val="00C22823"/>
    <w:rsid w:val="00C243C9"/>
    <w:rsid w:val="00C25545"/>
    <w:rsid w:val="00C25ED4"/>
    <w:rsid w:val="00C35FF6"/>
    <w:rsid w:val="00C42825"/>
    <w:rsid w:val="00C44120"/>
    <w:rsid w:val="00C639EA"/>
    <w:rsid w:val="00C65B0B"/>
    <w:rsid w:val="00C82596"/>
    <w:rsid w:val="00CA7505"/>
    <w:rsid w:val="00CB597B"/>
    <w:rsid w:val="00CC3BD2"/>
    <w:rsid w:val="00CC57CC"/>
    <w:rsid w:val="00D1351A"/>
    <w:rsid w:val="00D35A98"/>
    <w:rsid w:val="00D36BF8"/>
    <w:rsid w:val="00D412C1"/>
    <w:rsid w:val="00D575B2"/>
    <w:rsid w:val="00D75394"/>
    <w:rsid w:val="00D81521"/>
    <w:rsid w:val="00D84E70"/>
    <w:rsid w:val="00D96023"/>
    <w:rsid w:val="00DC7F54"/>
    <w:rsid w:val="00DD5900"/>
    <w:rsid w:val="00DE050A"/>
    <w:rsid w:val="00E04E7D"/>
    <w:rsid w:val="00E47315"/>
    <w:rsid w:val="00E66088"/>
    <w:rsid w:val="00E706A1"/>
    <w:rsid w:val="00E755FF"/>
    <w:rsid w:val="00E90986"/>
    <w:rsid w:val="00EB79D9"/>
    <w:rsid w:val="00ED1BAB"/>
    <w:rsid w:val="00EE6CE9"/>
    <w:rsid w:val="00F005AA"/>
    <w:rsid w:val="00F01EEE"/>
    <w:rsid w:val="00F22F3D"/>
    <w:rsid w:val="00F26AF4"/>
    <w:rsid w:val="00F32F04"/>
    <w:rsid w:val="00F35C92"/>
    <w:rsid w:val="00F54C0F"/>
    <w:rsid w:val="00F62C5C"/>
    <w:rsid w:val="00F71EC5"/>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71A21"/>
  <w15:chartTrackingRefBased/>
  <w15:docId w15:val="{CD230C2B-829A-461A-8125-F32E71C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jc w:val="both"/>
    </w:pPr>
    <w:rPr>
      <w:rFonts w:ascii="Palatino Linotype" w:eastAsiaTheme="minorEastAsia" w:hAnsi="Palatino Linotype"/>
      <w:noProof/>
      <w:color w:val="000000"/>
      <w:sz w:val="18"/>
    </w:rPr>
  </w:style>
  <w:style w:type="character" w:styleId="FootnoteReference">
    <w:name w:val="footnote reference"/>
    <w:basedOn w:val="DefaultParagraphFont"/>
    <w:uiPriority w:val="99"/>
    <w:semiHidden/>
    <w:unhideWhenUsed/>
    <w:rsid w:val="000A1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ije/dys1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ementiastatistic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jr\AppData\Local\Temp\ijerph-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0D17-B3D9-475D-90C9-EECF4D7C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ijerph-template-1.dot</Template>
  <TotalTime>1</TotalTime>
  <Pages>15</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Watson, James [watsonjr]</dc:creator>
  <cp:keywords/>
  <dc:description/>
  <cp:lastModifiedBy>Watson, James [watsonjr]</cp:lastModifiedBy>
  <cp:revision>2</cp:revision>
  <cp:lastPrinted>2021-11-19T04:13:00Z</cp:lastPrinted>
  <dcterms:created xsi:type="dcterms:W3CDTF">2021-12-17T11:52:00Z</dcterms:created>
  <dcterms:modified xsi:type="dcterms:W3CDTF">2021-12-17T11:52:00Z</dcterms:modified>
</cp:coreProperties>
</file>