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9A5152" w14:textId="09B895C5" w:rsidR="00DA2079" w:rsidRPr="00964EE7" w:rsidRDefault="00CA7CB2" w:rsidP="00614941">
      <w:pPr>
        <w:pStyle w:val="Title"/>
        <w:spacing w:before="240" w:after="240" w:line="480" w:lineRule="auto"/>
        <w:contextualSpacing w:val="0"/>
        <w:jc w:val="center"/>
        <w:rPr>
          <w:rFonts w:ascii="Arial" w:hAnsi="Arial" w:cs="Arial"/>
          <w:b/>
          <w:sz w:val="36"/>
          <w:szCs w:val="40"/>
        </w:rPr>
      </w:pPr>
      <w:bookmarkStart w:id="0" w:name="_Hlk80869947"/>
      <w:r w:rsidRPr="00964EE7">
        <w:rPr>
          <w:rFonts w:ascii="Arial" w:hAnsi="Arial" w:cs="Arial"/>
          <w:b/>
          <w:sz w:val="36"/>
          <w:szCs w:val="40"/>
        </w:rPr>
        <w:t>The provenance of Danubian loess</w:t>
      </w:r>
    </w:p>
    <w:bookmarkEnd w:id="0"/>
    <w:p w14:paraId="0F9AB22C" w14:textId="388C765A" w:rsidR="00614941" w:rsidRPr="00614941" w:rsidRDefault="291094AA" w:rsidP="00614941">
      <w:pPr>
        <w:spacing w:line="360" w:lineRule="auto"/>
        <w:jc w:val="both"/>
        <w:rPr>
          <w:rFonts w:ascii="Arial" w:hAnsi="Arial" w:cs="Arial"/>
        </w:rPr>
      </w:pPr>
      <w:r w:rsidRPr="291094AA">
        <w:rPr>
          <w:rFonts w:ascii="Arial" w:hAnsi="Arial" w:cs="Arial"/>
        </w:rPr>
        <w:t>Fenn, Kaja</w:t>
      </w:r>
      <w:r w:rsidRPr="291094AA">
        <w:rPr>
          <w:rFonts w:ascii="Arial" w:hAnsi="Arial" w:cs="Arial"/>
          <w:vertAlign w:val="superscript"/>
        </w:rPr>
        <w:t>a,b,*</w:t>
      </w:r>
      <w:r w:rsidRPr="291094AA">
        <w:rPr>
          <w:rFonts w:ascii="Arial" w:hAnsi="Arial" w:cs="Arial"/>
        </w:rPr>
        <w:t>, Millar, Ian L.</w:t>
      </w:r>
      <w:r w:rsidRPr="291094AA">
        <w:rPr>
          <w:rFonts w:ascii="Arial" w:hAnsi="Arial" w:cs="Arial"/>
          <w:vertAlign w:val="superscript"/>
        </w:rPr>
        <w:t>c</w:t>
      </w:r>
      <w:r w:rsidRPr="291094AA">
        <w:rPr>
          <w:rFonts w:ascii="Arial" w:hAnsi="Arial" w:cs="Arial"/>
        </w:rPr>
        <w:t>, Durcan, Julie A.</w:t>
      </w:r>
      <w:r w:rsidRPr="291094AA">
        <w:rPr>
          <w:rFonts w:ascii="Arial" w:hAnsi="Arial" w:cs="Arial"/>
          <w:vertAlign w:val="superscript"/>
        </w:rPr>
        <w:t>b</w:t>
      </w:r>
      <w:r w:rsidRPr="291094AA">
        <w:rPr>
          <w:rFonts w:ascii="Arial" w:hAnsi="Arial" w:cs="Arial"/>
        </w:rPr>
        <w:t>, Thomas, David S.G.</w:t>
      </w:r>
      <w:r w:rsidRPr="291094AA">
        <w:rPr>
          <w:rFonts w:ascii="Arial" w:hAnsi="Arial" w:cs="Arial"/>
          <w:vertAlign w:val="superscript"/>
        </w:rPr>
        <w:t>b,</w:t>
      </w:r>
      <w:r w:rsidRPr="291094AA">
        <w:rPr>
          <w:rFonts w:ascii="Arial" w:hAnsi="Arial" w:cs="Arial"/>
        </w:rPr>
        <w:t>, Banak, Adriano</w:t>
      </w:r>
      <w:r w:rsidRPr="291094AA">
        <w:rPr>
          <w:rFonts w:ascii="Arial" w:hAnsi="Arial" w:cs="Arial"/>
          <w:vertAlign w:val="superscript"/>
        </w:rPr>
        <w:t>d</w:t>
      </w:r>
      <w:r w:rsidRPr="291094AA">
        <w:rPr>
          <w:rFonts w:ascii="Arial" w:hAnsi="Arial" w:cs="Arial"/>
        </w:rPr>
        <w:t>, Marković, Slobodan B.</w:t>
      </w:r>
      <w:r w:rsidRPr="291094AA">
        <w:rPr>
          <w:rFonts w:ascii="Arial" w:hAnsi="Arial" w:cs="Arial"/>
          <w:vertAlign w:val="superscript"/>
        </w:rPr>
        <w:t>e</w:t>
      </w:r>
      <w:r w:rsidRPr="291094AA">
        <w:rPr>
          <w:rFonts w:ascii="Arial" w:hAnsi="Arial" w:cs="Arial"/>
        </w:rPr>
        <w:t>, Veres, Daniel</w:t>
      </w:r>
      <w:r w:rsidRPr="291094AA">
        <w:rPr>
          <w:rFonts w:ascii="Arial" w:hAnsi="Arial" w:cs="Arial"/>
          <w:vertAlign w:val="superscript"/>
        </w:rPr>
        <w:t>f</w:t>
      </w:r>
      <w:r w:rsidRPr="291094AA">
        <w:rPr>
          <w:rFonts w:ascii="Arial" w:hAnsi="Arial" w:cs="Arial"/>
        </w:rPr>
        <w:t>, Stevens, Thomas</w:t>
      </w:r>
      <w:r w:rsidRPr="291094AA">
        <w:rPr>
          <w:rFonts w:ascii="Arial" w:hAnsi="Arial" w:cs="Arial"/>
          <w:vertAlign w:val="superscript"/>
        </w:rPr>
        <w:t>g</w:t>
      </w:r>
    </w:p>
    <w:p w14:paraId="67D60E30" w14:textId="676F9ADA" w:rsidR="00A818D6" w:rsidRDefault="00614941" w:rsidP="00614941">
      <w:pPr>
        <w:spacing w:line="360" w:lineRule="auto"/>
        <w:jc w:val="both"/>
        <w:rPr>
          <w:rFonts w:ascii="Arial" w:hAnsi="Arial" w:cs="Arial"/>
        </w:rPr>
      </w:pPr>
      <w:r w:rsidRPr="00614941">
        <w:rPr>
          <w:rFonts w:ascii="Arial" w:hAnsi="Arial" w:cs="Arial"/>
          <w:vertAlign w:val="superscript"/>
        </w:rPr>
        <w:t>a</w:t>
      </w:r>
      <w:r w:rsidRPr="00614941">
        <w:rPr>
          <w:rFonts w:ascii="Arial" w:hAnsi="Arial" w:cs="Arial"/>
        </w:rPr>
        <w:t xml:space="preserve"> </w:t>
      </w:r>
      <w:r w:rsidR="00A818D6" w:rsidRPr="001D0EB6">
        <w:rPr>
          <w:rFonts w:ascii="Arial" w:hAnsi="Arial" w:cs="Arial"/>
        </w:rPr>
        <w:t>Department of Geography and Planning, University of Liverpool</w:t>
      </w:r>
      <w:r w:rsidR="00A818D6">
        <w:rPr>
          <w:rFonts w:ascii="Arial" w:hAnsi="Arial" w:cs="Arial"/>
        </w:rPr>
        <w:t xml:space="preserve">, Liverpool </w:t>
      </w:r>
      <w:r w:rsidR="00A818D6" w:rsidRPr="001D0EB6">
        <w:rPr>
          <w:rFonts w:ascii="Arial" w:hAnsi="Arial" w:cs="Arial"/>
        </w:rPr>
        <w:t>L69 7ZT</w:t>
      </w:r>
    </w:p>
    <w:p w14:paraId="3CB20139" w14:textId="43DC99F7" w:rsidR="00614941" w:rsidRPr="00614941" w:rsidRDefault="00A818D6" w:rsidP="00614941">
      <w:pPr>
        <w:spacing w:line="360" w:lineRule="auto"/>
        <w:jc w:val="both"/>
        <w:rPr>
          <w:rFonts w:ascii="Arial" w:hAnsi="Arial" w:cs="Arial"/>
        </w:rPr>
      </w:pPr>
      <w:r w:rsidRPr="00614941">
        <w:rPr>
          <w:rFonts w:ascii="Arial" w:hAnsi="Arial" w:cs="Arial"/>
          <w:vertAlign w:val="superscript"/>
        </w:rPr>
        <w:t>b</w:t>
      </w:r>
      <w:r w:rsidRPr="00614941">
        <w:rPr>
          <w:rFonts w:ascii="Arial" w:hAnsi="Arial" w:cs="Arial"/>
        </w:rPr>
        <w:t xml:space="preserve"> </w:t>
      </w:r>
      <w:r w:rsidR="00614941" w:rsidRPr="00614941">
        <w:rPr>
          <w:rFonts w:ascii="Arial" w:hAnsi="Arial" w:cs="Arial"/>
        </w:rPr>
        <w:t>Oxford University Centre for the Environment, South Parks Road, Oxford OX1 3QY, UK</w:t>
      </w:r>
    </w:p>
    <w:p w14:paraId="13E5CD3D" w14:textId="537CAED1" w:rsidR="00614941" w:rsidRPr="00614941" w:rsidRDefault="00A818D6" w:rsidP="00614941">
      <w:pPr>
        <w:spacing w:line="360" w:lineRule="auto"/>
        <w:jc w:val="both"/>
        <w:rPr>
          <w:rFonts w:ascii="Arial" w:hAnsi="Arial" w:cs="Arial"/>
        </w:rPr>
      </w:pPr>
      <w:r>
        <w:rPr>
          <w:rFonts w:ascii="Arial" w:hAnsi="Arial" w:cs="Arial"/>
          <w:vertAlign w:val="superscript"/>
        </w:rPr>
        <w:t>c</w:t>
      </w:r>
      <w:r w:rsidRPr="00614941">
        <w:rPr>
          <w:rFonts w:ascii="Arial" w:hAnsi="Arial" w:cs="Arial"/>
        </w:rPr>
        <w:t xml:space="preserve"> </w:t>
      </w:r>
      <w:r w:rsidR="00614941" w:rsidRPr="00614941">
        <w:rPr>
          <w:rFonts w:ascii="Arial" w:hAnsi="Arial" w:cs="Arial"/>
        </w:rPr>
        <w:t>Geochronology and Tracers Facility, British Geological Survey, Keyworth, Nottingham NG12 5GG, UK</w:t>
      </w:r>
    </w:p>
    <w:p w14:paraId="00E7D50A" w14:textId="07B3678E" w:rsidR="00614941" w:rsidRPr="00614941" w:rsidRDefault="00A818D6" w:rsidP="00614941">
      <w:pPr>
        <w:spacing w:line="360" w:lineRule="auto"/>
        <w:jc w:val="both"/>
        <w:rPr>
          <w:rFonts w:ascii="Arial" w:hAnsi="Arial" w:cs="Arial"/>
        </w:rPr>
      </w:pPr>
      <w:r>
        <w:rPr>
          <w:rFonts w:ascii="Arial" w:hAnsi="Arial" w:cs="Arial"/>
          <w:vertAlign w:val="superscript"/>
        </w:rPr>
        <w:t>d</w:t>
      </w:r>
      <w:r w:rsidRPr="00614941">
        <w:rPr>
          <w:rFonts w:ascii="Arial" w:hAnsi="Arial" w:cs="Arial"/>
        </w:rPr>
        <w:t xml:space="preserve"> </w:t>
      </w:r>
      <w:r w:rsidR="00614941" w:rsidRPr="00614941">
        <w:rPr>
          <w:rFonts w:ascii="Arial" w:hAnsi="Arial" w:cs="Arial"/>
        </w:rPr>
        <w:t>Croatian Geological Survey, Department of Geology, Sachsova 2, HR-10000 Zagreb, Croatia</w:t>
      </w:r>
    </w:p>
    <w:p w14:paraId="626877F6" w14:textId="1B071C92" w:rsidR="00614941" w:rsidRPr="00614941" w:rsidRDefault="00A818D6" w:rsidP="00614941">
      <w:pPr>
        <w:spacing w:line="360" w:lineRule="auto"/>
        <w:jc w:val="both"/>
        <w:rPr>
          <w:rFonts w:ascii="Arial" w:hAnsi="Arial" w:cs="Arial"/>
        </w:rPr>
      </w:pPr>
      <w:r w:rsidRPr="00614941">
        <w:rPr>
          <w:rFonts w:ascii="Arial" w:hAnsi="Arial" w:cs="Arial"/>
          <w:vertAlign w:val="superscript"/>
        </w:rPr>
        <w:t>e</w:t>
      </w:r>
      <w:r w:rsidRPr="00614941">
        <w:rPr>
          <w:rFonts w:ascii="Arial" w:hAnsi="Arial" w:cs="Arial"/>
        </w:rPr>
        <w:t xml:space="preserve"> </w:t>
      </w:r>
      <w:r w:rsidR="00614941" w:rsidRPr="00614941">
        <w:rPr>
          <w:rFonts w:ascii="Arial" w:hAnsi="Arial" w:cs="Arial"/>
        </w:rPr>
        <w:t>Faculty of Sciences, University of Novi Sad, Trg Dositeja Obradovića 3, 21000 Novi Sad, Serbia</w:t>
      </w:r>
    </w:p>
    <w:p w14:paraId="54E0514A" w14:textId="285A342B" w:rsidR="00614941" w:rsidRDefault="00A818D6" w:rsidP="00614941">
      <w:pPr>
        <w:spacing w:line="360" w:lineRule="auto"/>
        <w:jc w:val="both"/>
        <w:rPr>
          <w:rFonts w:ascii="Arial" w:hAnsi="Arial" w:cs="Arial"/>
        </w:rPr>
      </w:pPr>
      <w:r w:rsidRPr="00614941">
        <w:rPr>
          <w:rFonts w:ascii="Arial" w:hAnsi="Arial" w:cs="Arial"/>
          <w:vertAlign w:val="superscript"/>
        </w:rPr>
        <w:t>f</w:t>
      </w:r>
      <w:r w:rsidRPr="00614941">
        <w:rPr>
          <w:rFonts w:ascii="Arial" w:hAnsi="Arial" w:cs="Arial"/>
        </w:rPr>
        <w:t xml:space="preserve"> </w:t>
      </w:r>
      <w:r w:rsidR="00614941" w:rsidRPr="00614941">
        <w:rPr>
          <w:rFonts w:ascii="Arial" w:hAnsi="Arial" w:cs="Arial"/>
        </w:rPr>
        <w:t>Romanian Academy, Institute of Speleology, Clinicilor 5, 400006, Cluj-Napoca, Romania</w:t>
      </w:r>
    </w:p>
    <w:p w14:paraId="28F502C8" w14:textId="6249CD4C" w:rsidR="00614941" w:rsidRPr="00614941" w:rsidRDefault="00A818D6" w:rsidP="00614941">
      <w:pPr>
        <w:spacing w:line="360" w:lineRule="auto"/>
        <w:jc w:val="both"/>
        <w:rPr>
          <w:rFonts w:ascii="Arial" w:hAnsi="Arial" w:cs="Arial"/>
        </w:rPr>
      </w:pPr>
      <w:r>
        <w:rPr>
          <w:rFonts w:ascii="Arial" w:hAnsi="Arial" w:cs="Arial"/>
          <w:vertAlign w:val="superscript"/>
        </w:rPr>
        <w:t>g</w:t>
      </w:r>
      <w:r w:rsidRPr="00614941">
        <w:rPr>
          <w:rFonts w:ascii="Arial" w:hAnsi="Arial" w:cs="Arial"/>
        </w:rPr>
        <w:t xml:space="preserve"> </w:t>
      </w:r>
      <w:r w:rsidR="00614941" w:rsidRPr="00614941">
        <w:rPr>
          <w:rFonts w:ascii="Arial" w:hAnsi="Arial" w:cs="Arial"/>
        </w:rPr>
        <w:t>Department of Earth Sciences, Uppsala Universit</w:t>
      </w:r>
      <w:r w:rsidR="005578AD">
        <w:rPr>
          <w:rFonts w:ascii="Arial" w:hAnsi="Arial" w:cs="Arial"/>
        </w:rPr>
        <w:t>y</w:t>
      </w:r>
      <w:r w:rsidR="00614941" w:rsidRPr="00614941">
        <w:rPr>
          <w:rFonts w:ascii="Arial" w:hAnsi="Arial" w:cs="Arial"/>
        </w:rPr>
        <w:t>, Villavägen 16, 752 36 Uppsala, Sweden</w:t>
      </w:r>
    </w:p>
    <w:p w14:paraId="5A78811B" w14:textId="1EE7B84D" w:rsidR="00614941" w:rsidRDefault="00614941" w:rsidP="00614941">
      <w:pPr>
        <w:spacing w:line="360" w:lineRule="auto"/>
        <w:jc w:val="both"/>
        <w:rPr>
          <w:rFonts w:ascii="Arial" w:hAnsi="Arial" w:cs="Arial"/>
        </w:rPr>
      </w:pPr>
      <w:r w:rsidRPr="00614941">
        <w:rPr>
          <w:rFonts w:ascii="Arial" w:hAnsi="Arial" w:cs="Arial"/>
        </w:rPr>
        <w:t xml:space="preserve">* Corresponding author: </w:t>
      </w:r>
      <w:hyperlink r:id="rId8" w:history="1">
        <w:r w:rsidR="00A818D6" w:rsidRPr="000144AB">
          <w:rPr>
            <w:rStyle w:val="Hyperlink"/>
            <w:rFonts w:ascii="Arial" w:hAnsi="Arial" w:cs="Arial"/>
          </w:rPr>
          <w:t>kaja.fenn@liverpool.ac.uk</w:t>
        </w:r>
      </w:hyperlink>
    </w:p>
    <w:p w14:paraId="43944C4F" w14:textId="77777777" w:rsidR="001342A1" w:rsidRPr="00614941" w:rsidRDefault="001342A1" w:rsidP="00614941">
      <w:pPr>
        <w:spacing w:line="360" w:lineRule="auto"/>
        <w:jc w:val="both"/>
        <w:rPr>
          <w:rFonts w:ascii="Arial" w:hAnsi="Arial" w:cs="Arial"/>
        </w:rPr>
      </w:pPr>
    </w:p>
    <w:p w14:paraId="6BA4F719" w14:textId="06C37894" w:rsidR="00FA260C" w:rsidRPr="00964EE7" w:rsidRDefault="00FA260C" w:rsidP="00614941">
      <w:pPr>
        <w:pStyle w:val="Heading1"/>
        <w:spacing w:before="120" w:after="120" w:line="480" w:lineRule="auto"/>
        <w:jc w:val="both"/>
        <w:rPr>
          <w:rFonts w:ascii="Arial" w:hAnsi="Arial" w:cs="Arial"/>
          <w:b/>
          <w:color w:val="auto"/>
          <w:sz w:val="24"/>
        </w:rPr>
      </w:pPr>
      <w:r w:rsidRPr="00964EE7">
        <w:rPr>
          <w:rFonts w:ascii="Arial" w:hAnsi="Arial" w:cs="Arial"/>
          <w:b/>
          <w:color w:val="auto"/>
          <w:sz w:val="24"/>
        </w:rPr>
        <w:t>Abstract</w:t>
      </w:r>
    </w:p>
    <w:p w14:paraId="2093C8C7" w14:textId="18E4E8C6" w:rsidR="0081214D" w:rsidRDefault="00DD670B" w:rsidP="0081214D">
      <w:pPr>
        <w:spacing w:before="120" w:after="120" w:line="480" w:lineRule="auto"/>
        <w:jc w:val="both"/>
        <w:rPr>
          <w:rFonts w:ascii="Arial" w:hAnsi="Arial" w:cs="Arial"/>
        </w:rPr>
      </w:pPr>
      <w:bookmarkStart w:id="1" w:name="_Hlk75354086"/>
      <w:r>
        <w:rPr>
          <w:rFonts w:ascii="Arial" w:hAnsi="Arial" w:cs="Arial"/>
        </w:rPr>
        <w:t>With one of the largest watersheds in Europe draining complex geological terrains within the Alps, Bohemian Massif, Carpathians, Dinarides, and the Balkan M</w:t>
      </w:r>
      <w:r w:rsidR="009F6D90">
        <w:rPr>
          <w:rFonts w:ascii="Arial" w:hAnsi="Arial" w:cs="Arial"/>
        </w:rPr>
        <w:t>ountains</w:t>
      </w:r>
      <w:r>
        <w:rPr>
          <w:rFonts w:ascii="Arial" w:hAnsi="Arial" w:cs="Arial"/>
        </w:rPr>
        <w:t>, the Danube River valley has long been linked to the formation of thick loess deposits, particularly within the Middle and Lower Danube basins. However, u</w:t>
      </w:r>
      <w:r w:rsidR="0081214D">
        <w:rPr>
          <w:rFonts w:ascii="Arial" w:hAnsi="Arial" w:cs="Arial"/>
        </w:rPr>
        <w:t>ncertainty over the provenance of loess-palaeosol sequences along the Danube impacts our understanding of sediment generation mechanisms and hinders interpretation of paleoenvironmental proxies preserved in loess. To date</w:t>
      </w:r>
      <w:r>
        <w:rPr>
          <w:rFonts w:ascii="Arial" w:hAnsi="Arial" w:cs="Arial"/>
        </w:rPr>
        <w:t>,</w:t>
      </w:r>
      <w:r w:rsidR="0081214D">
        <w:rPr>
          <w:rFonts w:ascii="Arial" w:hAnsi="Arial" w:cs="Arial"/>
        </w:rPr>
        <w:t xml:space="preserve"> most of the studies investigating loess provenance in Europe have not attempted a </w:t>
      </w:r>
      <w:r w:rsidR="00A41AC0">
        <w:rPr>
          <w:rFonts w:ascii="Arial" w:hAnsi="Arial" w:cs="Arial"/>
        </w:rPr>
        <w:t xml:space="preserve">standardised </w:t>
      </w:r>
      <w:r w:rsidR="0081214D">
        <w:rPr>
          <w:rFonts w:ascii="Arial" w:hAnsi="Arial" w:cs="Arial"/>
        </w:rPr>
        <w:t xml:space="preserve">characterisation and synthesis of loess deposits with </w:t>
      </w:r>
      <w:r w:rsidR="005578AD">
        <w:rPr>
          <w:rFonts w:ascii="Arial" w:hAnsi="Arial" w:cs="Arial"/>
        </w:rPr>
        <w:t xml:space="preserve">potential </w:t>
      </w:r>
      <w:r w:rsidR="0081214D">
        <w:rPr>
          <w:rFonts w:ascii="Arial" w:hAnsi="Arial" w:cs="Arial"/>
        </w:rPr>
        <w:t xml:space="preserve">source rocks. </w:t>
      </w:r>
      <w:bookmarkStart w:id="2" w:name="_Hlk64887351"/>
      <w:r w:rsidR="0081214D">
        <w:rPr>
          <w:rFonts w:ascii="Arial" w:hAnsi="Arial" w:cs="Arial"/>
        </w:rPr>
        <w:t>Further</w:t>
      </w:r>
      <w:r>
        <w:rPr>
          <w:rFonts w:ascii="Arial" w:hAnsi="Arial" w:cs="Arial"/>
        </w:rPr>
        <w:t>,</w:t>
      </w:r>
      <w:r w:rsidR="0081214D">
        <w:rPr>
          <w:rFonts w:ascii="Arial" w:hAnsi="Arial" w:cs="Arial"/>
        </w:rPr>
        <w:t xml:space="preserve"> despite clear links identified between loess and rivers in </w:t>
      </w:r>
      <w:r w:rsidR="00185740">
        <w:rPr>
          <w:rFonts w:ascii="Arial" w:hAnsi="Arial" w:cs="Arial"/>
        </w:rPr>
        <w:t>Asia and Europe</w:t>
      </w:r>
      <w:r w:rsidR="0081214D">
        <w:rPr>
          <w:rFonts w:ascii="Arial" w:hAnsi="Arial" w:cs="Arial"/>
        </w:rPr>
        <w:t xml:space="preserve">, </w:t>
      </w:r>
      <w:r w:rsidR="008D294C">
        <w:rPr>
          <w:rFonts w:ascii="Arial" w:hAnsi="Arial" w:cs="Arial"/>
        </w:rPr>
        <w:t>detrital zircons have not</w:t>
      </w:r>
      <w:r w:rsidR="005578AD">
        <w:rPr>
          <w:rFonts w:ascii="Arial" w:hAnsi="Arial" w:cs="Arial"/>
        </w:rPr>
        <w:t xml:space="preserve"> yet</w:t>
      </w:r>
      <w:r w:rsidR="008D294C">
        <w:rPr>
          <w:rFonts w:ascii="Arial" w:hAnsi="Arial" w:cs="Arial"/>
        </w:rPr>
        <w:t xml:space="preserve"> been used </w:t>
      </w:r>
      <w:r>
        <w:rPr>
          <w:rFonts w:ascii="Arial" w:hAnsi="Arial" w:cs="Arial"/>
        </w:rPr>
        <w:t xml:space="preserve">systematically </w:t>
      </w:r>
      <w:r w:rsidR="008D294C">
        <w:rPr>
          <w:rFonts w:ascii="Arial" w:hAnsi="Arial" w:cs="Arial"/>
        </w:rPr>
        <w:t xml:space="preserve">to investigate </w:t>
      </w:r>
      <w:r w:rsidR="0081214D">
        <w:rPr>
          <w:rFonts w:ascii="Arial" w:hAnsi="Arial" w:cs="Arial"/>
        </w:rPr>
        <w:t xml:space="preserve">the relationship between loess </w:t>
      </w:r>
      <w:r w:rsidR="0081214D">
        <w:rPr>
          <w:rFonts w:ascii="Arial" w:hAnsi="Arial" w:cs="Arial"/>
        </w:rPr>
        <w:lastRenderedPageBreak/>
        <w:t>and the fluvial sediments of the Danube and its tributaries</w:t>
      </w:r>
      <w:bookmarkEnd w:id="2"/>
      <w:r w:rsidR="0081214D" w:rsidRPr="00E0504E">
        <w:rPr>
          <w:rFonts w:ascii="Arial" w:hAnsi="Arial" w:cs="Arial"/>
        </w:rPr>
        <w:t>.</w:t>
      </w:r>
      <w:r w:rsidR="0081214D">
        <w:rPr>
          <w:rFonts w:ascii="Arial" w:hAnsi="Arial" w:cs="Arial"/>
        </w:rPr>
        <w:t xml:space="preserve"> Finally, </w:t>
      </w:r>
      <w:r w:rsidR="00185740">
        <w:rPr>
          <w:rFonts w:ascii="Arial" w:hAnsi="Arial" w:cs="Arial"/>
        </w:rPr>
        <w:t>in European loess research</w:t>
      </w:r>
      <w:r>
        <w:rPr>
          <w:rFonts w:ascii="Arial" w:hAnsi="Arial" w:cs="Arial"/>
        </w:rPr>
        <w:t>, provenance</w:t>
      </w:r>
      <w:r w:rsidR="00185740">
        <w:rPr>
          <w:rFonts w:ascii="Arial" w:hAnsi="Arial" w:cs="Arial"/>
        </w:rPr>
        <w:t xml:space="preserve"> </w:t>
      </w:r>
      <w:r w:rsidR="0081214D">
        <w:rPr>
          <w:rFonts w:ascii="Arial" w:hAnsi="Arial" w:cs="Arial"/>
        </w:rPr>
        <w:t xml:space="preserve">fingerprinting </w:t>
      </w:r>
      <w:r w:rsidR="005578AD">
        <w:rPr>
          <w:rFonts w:ascii="Arial" w:hAnsi="Arial" w:cs="Arial"/>
        </w:rPr>
        <w:t>h</w:t>
      </w:r>
      <w:r w:rsidR="00185740">
        <w:rPr>
          <w:rFonts w:ascii="Arial" w:hAnsi="Arial" w:cs="Arial"/>
        </w:rPr>
        <w:t>as</w:t>
      </w:r>
      <w:r w:rsidR="0081214D">
        <w:rPr>
          <w:rFonts w:ascii="Arial" w:hAnsi="Arial" w:cs="Arial"/>
        </w:rPr>
        <w:t xml:space="preserve"> often </w:t>
      </w:r>
      <w:r w:rsidR="005578AD">
        <w:rPr>
          <w:rFonts w:ascii="Arial" w:hAnsi="Arial" w:cs="Arial"/>
        </w:rPr>
        <w:t xml:space="preserve">been </w:t>
      </w:r>
      <w:r w:rsidR="0081214D">
        <w:rPr>
          <w:rFonts w:ascii="Arial" w:hAnsi="Arial" w:cs="Arial"/>
        </w:rPr>
        <w:t xml:space="preserve">conducted using </w:t>
      </w:r>
      <w:r w:rsidR="0081214D" w:rsidRPr="003823F6">
        <w:rPr>
          <w:rFonts w:ascii="Arial" w:hAnsi="Arial" w:cs="Arial"/>
        </w:rPr>
        <w:t>indirect approaches</w:t>
      </w:r>
      <w:r w:rsidR="0081214D">
        <w:rPr>
          <w:rFonts w:ascii="Arial" w:hAnsi="Arial" w:cs="Arial"/>
        </w:rPr>
        <w:t xml:space="preserve"> or bulk </w:t>
      </w:r>
      <w:r w:rsidR="0081214D" w:rsidRPr="003823F6">
        <w:rPr>
          <w:rFonts w:ascii="Arial" w:hAnsi="Arial" w:cs="Arial"/>
        </w:rPr>
        <w:t>sample geochemical analyses,</w:t>
      </w:r>
      <w:r w:rsidR="0081214D">
        <w:rPr>
          <w:rFonts w:ascii="Arial" w:hAnsi="Arial" w:cs="Arial"/>
        </w:rPr>
        <w:t xml:space="preserve"> which have been shown to have a limited application in well mixed sedimentary bodies such as loess. </w:t>
      </w:r>
    </w:p>
    <w:p w14:paraId="608A3350" w14:textId="466AB3C0" w:rsidR="0081214D" w:rsidRDefault="0081214D" w:rsidP="0081214D">
      <w:pPr>
        <w:spacing w:before="120" w:after="120" w:line="480" w:lineRule="auto"/>
        <w:jc w:val="both"/>
        <w:rPr>
          <w:rFonts w:ascii="Arial" w:hAnsi="Arial" w:cs="Arial"/>
        </w:rPr>
      </w:pPr>
      <w:r>
        <w:rPr>
          <w:rFonts w:ascii="Arial" w:hAnsi="Arial" w:cs="Arial"/>
        </w:rPr>
        <w:t xml:space="preserve">This provenance study of loess along the Danube River integrates existing zircon U-Pb ages and Hf datasets for loess, rivers, and bedrock, with new loess zircon U-Pb and Hf results from </w:t>
      </w:r>
      <w:r w:rsidR="00DD670B">
        <w:rPr>
          <w:rFonts w:ascii="Arial" w:hAnsi="Arial" w:cs="Arial"/>
        </w:rPr>
        <w:t xml:space="preserve">loess sequences in </w:t>
      </w:r>
      <w:r>
        <w:rPr>
          <w:rFonts w:ascii="Arial" w:hAnsi="Arial" w:cs="Arial"/>
        </w:rPr>
        <w:t xml:space="preserve">Croatia, Serbia and Bulgaria. </w:t>
      </w:r>
      <w:bookmarkStart w:id="3" w:name="_Hlk64894349"/>
      <w:r>
        <w:rPr>
          <w:rFonts w:ascii="Arial" w:hAnsi="Arial" w:cs="Arial"/>
        </w:rPr>
        <w:t>The results show that all surrounding mountain belts</w:t>
      </w:r>
      <w:r w:rsidR="00DD670B">
        <w:rPr>
          <w:rFonts w:ascii="Arial" w:hAnsi="Arial" w:cs="Arial"/>
        </w:rPr>
        <w:t xml:space="preserve"> drained by the Danube</w:t>
      </w:r>
      <w:r>
        <w:rPr>
          <w:rFonts w:ascii="Arial" w:hAnsi="Arial" w:cs="Arial"/>
        </w:rPr>
        <w:t xml:space="preserve"> (</w:t>
      </w:r>
      <w:r w:rsidR="00DD670B">
        <w:rPr>
          <w:rFonts w:ascii="Arial" w:hAnsi="Arial" w:cs="Arial"/>
        </w:rPr>
        <w:t xml:space="preserve">i.e., </w:t>
      </w:r>
      <w:r>
        <w:rPr>
          <w:rFonts w:ascii="Arial" w:hAnsi="Arial" w:cs="Arial"/>
        </w:rPr>
        <w:t>the Alps, Bohemian Massif, Carpathians</w:t>
      </w:r>
      <w:r w:rsidR="008960B5">
        <w:rPr>
          <w:rFonts w:ascii="Arial" w:hAnsi="Arial" w:cs="Arial"/>
        </w:rPr>
        <w:t>,</w:t>
      </w:r>
      <w:r w:rsidRPr="00E0504E">
        <w:rPr>
          <w:rFonts w:ascii="Arial" w:hAnsi="Arial" w:cs="Arial"/>
        </w:rPr>
        <w:t xml:space="preserve"> </w:t>
      </w:r>
      <w:r w:rsidR="00B90034" w:rsidRPr="00E0504E">
        <w:rPr>
          <w:rFonts w:ascii="Arial" w:hAnsi="Arial" w:cs="Arial"/>
        </w:rPr>
        <w:t>Dinarides</w:t>
      </w:r>
      <w:r w:rsidR="008960B5">
        <w:rPr>
          <w:rFonts w:ascii="Arial" w:hAnsi="Arial" w:cs="Arial"/>
        </w:rPr>
        <w:t xml:space="preserve"> Alps</w:t>
      </w:r>
      <w:r w:rsidR="00B90034">
        <w:rPr>
          <w:rFonts w:ascii="Arial" w:hAnsi="Arial" w:cs="Arial"/>
        </w:rPr>
        <w:t xml:space="preserve">, </w:t>
      </w:r>
      <w:r>
        <w:rPr>
          <w:rFonts w:ascii="Arial" w:hAnsi="Arial" w:cs="Arial"/>
        </w:rPr>
        <w:t>and Balkan</w:t>
      </w:r>
      <w:r w:rsidR="008960B5">
        <w:rPr>
          <w:rFonts w:ascii="Arial" w:hAnsi="Arial" w:cs="Arial"/>
        </w:rPr>
        <w:t xml:space="preserve"> Mountains</w:t>
      </w:r>
      <w:r>
        <w:rPr>
          <w:rFonts w:ascii="Arial" w:hAnsi="Arial" w:cs="Arial"/>
        </w:rPr>
        <w:t xml:space="preserve">) contribute </w:t>
      </w:r>
      <w:r w:rsidR="00DD670B">
        <w:rPr>
          <w:rFonts w:ascii="Arial" w:hAnsi="Arial" w:cs="Arial"/>
        </w:rPr>
        <w:t xml:space="preserve">primary </w:t>
      </w:r>
      <w:r>
        <w:rPr>
          <w:rFonts w:ascii="Arial" w:hAnsi="Arial" w:cs="Arial"/>
        </w:rPr>
        <w:t xml:space="preserve">sediment to loess deposits in the Danube valley via its </w:t>
      </w:r>
      <w:r w:rsidR="00185740">
        <w:rPr>
          <w:rFonts w:ascii="Arial" w:hAnsi="Arial" w:cs="Arial"/>
        </w:rPr>
        <w:t xml:space="preserve">modern </w:t>
      </w:r>
      <w:r>
        <w:rPr>
          <w:rFonts w:ascii="Arial" w:hAnsi="Arial" w:cs="Arial"/>
        </w:rPr>
        <w:t>tributary network</w:t>
      </w:r>
      <w:bookmarkEnd w:id="3"/>
      <w:r>
        <w:rPr>
          <w:rFonts w:ascii="Arial" w:hAnsi="Arial" w:cs="Arial"/>
        </w:rPr>
        <w:t xml:space="preserve">. </w:t>
      </w:r>
      <w:bookmarkStart w:id="4" w:name="_Hlk64894566"/>
      <w:bookmarkStart w:id="5" w:name="_Hlk75353937"/>
      <w:r>
        <w:rPr>
          <w:rFonts w:ascii="Arial" w:hAnsi="Arial" w:cs="Arial"/>
        </w:rPr>
        <w:t xml:space="preserve">Critically </w:t>
      </w:r>
      <w:r w:rsidR="00450066">
        <w:rPr>
          <w:rFonts w:ascii="Arial" w:hAnsi="Arial" w:cs="Arial"/>
        </w:rPr>
        <w:t xml:space="preserve">sedimentary </w:t>
      </w:r>
      <w:r>
        <w:rPr>
          <w:rFonts w:ascii="Arial" w:hAnsi="Arial" w:cs="Arial"/>
        </w:rPr>
        <w:t xml:space="preserve">sources remain relatively homogenous along the river, with no apparent </w:t>
      </w:r>
      <w:r w:rsidR="00DD670B">
        <w:rPr>
          <w:rFonts w:ascii="Arial" w:hAnsi="Arial" w:cs="Arial"/>
        </w:rPr>
        <w:t xml:space="preserve">major </w:t>
      </w:r>
      <w:r>
        <w:rPr>
          <w:rFonts w:ascii="Arial" w:hAnsi="Arial" w:cs="Arial"/>
        </w:rPr>
        <w:t>change in source with tributar</w:t>
      </w:r>
      <w:r w:rsidR="005578AD">
        <w:rPr>
          <w:rFonts w:ascii="Arial" w:hAnsi="Arial" w:cs="Arial"/>
        </w:rPr>
        <w:t>y confluence</w:t>
      </w:r>
      <w:bookmarkEnd w:id="4"/>
      <w:r w:rsidR="00185740">
        <w:rPr>
          <w:rFonts w:ascii="Arial" w:hAnsi="Arial" w:cs="Arial"/>
        </w:rPr>
        <w:t xml:space="preserve">, further highlighting the role of </w:t>
      </w:r>
      <w:r w:rsidR="00DD670B">
        <w:rPr>
          <w:rFonts w:ascii="Arial" w:hAnsi="Arial" w:cs="Arial"/>
        </w:rPr>
        <w:t>fluvial transport</w:t>
      </w:r>
      <w:r w:rsidR="00185740">
        <w:rPr>
          <w:rFonts w:ascii="Arial" w:hAnsi="Arial" w:cs="Arial"/>
        </w:rPr>
        <w:t xml:space="preserve"> in homogenising sediment prior to final aeolian deposition</w:t>
      </w:r>
      <w:bookmarkEnd w:id="5"/>
      <w:r>
        <w:rPr>
          <w:rFonts w:ascii="Arial" w:hAnsi="Arial" w:cs="Arial"/>
        </w:rPr>
        <w:t>.</w:t>
      </w:r>
      <w:r w:rsidR="00185740">
        <w:rPr>
          <w:rFonts w:ascii="Arial" w:hAnsi="Arial" w:cs="Arial"/>
        </w:rPr>
        <w:t xml:space="preserve"> </w:t>
      </w:r>
      <w:r w:rsidR="00DD670B">
        <w:rPr>
          <w:rFonts w:ascii="Arial" w:hAnsi="Arial" w:cs="Arial"/>
        </w:rPr>
        <w:t>Whilst some small site variations</w:t>
      </w:r>
      <w:bookmarkStart w:id="6" w:name="_Hlk75353987"/>
      <w:r w:rsidR="00DD670B">
        <w:rPr>
          <w:rFonts w:ascii="Arial" w:hAnsi="Arial" w:cs="Arial"/>
        </w:rPr>
        <w:t xml:space="preserve"> can be observed, they are likely explained by contributions restricted to very local rock outcrops. </w:t>
      </w:r>
      <w:bookmarkEnd w:id="6"/>
      <w:r w:rsidR="00A36BF6">
        <w:rPr>
          <w:rFonts w:ascii="Arial" w:hAnsi="Arial" w:cs="Arial"/>
        </w:rPr>
        <w:t>Moreover, g</w:t>
      </w:r>
      <w:r w:rsidR="00185740">
        <w:rPr>
          <w:rFonts w:ascii="Arial" w:hAnsi="Arial" w:cs="Arial"/>
        </w:rPr>
        <w:t xml:space="preserve">eomorphological results support </w:t>
      </w:r>
      <w:r w:rsidR="00185740" w:rsidRPr="00E0504E">
        <w:rPr>
          <w:rFonts w:ascii="Arial" w:hAnsi="Arial" w:cs="Arial"/>
        </w:rPr>
        <w:t>floodplain</w:t>
      </w:r>
      <w:r w:rsidR="00185740">
        <w:rPr>
          <w:rFonts w:ascii="Arial" w:hAnsi="Arial" w:cs="Arial"/>
        </w:rPr>
        <w:t xml:space="preserve"> sediments as the proximal </w:t>
      </w:r>
      <w:r w:rsidR="00A36BF6">
        <w:rPr>
          <w:rFonts w:ascii="Arial" w:hAnsi="Arial" w:cs="Arial"/>
        </w:rPr>
        <w:t xml:space="preserve">sediment </w:t>
      </w:r>
      <w:r w:rsidR="00185740">
        <w:rPr>
          <w:rFonts w:ascii="Arial" w:hAnsi="Arial" w:cs="Arial"/>
        </w:rPr>
        <w:t xml:space="preserve">source and suggest that short-distance aeolian transport dominates sediment delivery to loess sequences, challenging distant sources hypotheses such as </w:t>
      </w:r>
      <w:r w:rsidR="00A36BF6">
        <w:rPr>
          <w:rFonts w:ascii="Arial" w:hAnsi="Arial" w:cs="Arial"/>
        </w:rPr>
        <w:t xml:space="preserve">major </w:t>
      </w:r>
      <w:r w:rsidR="00185740">
        <w:rPr>
          <w:rFonts w:ascii="Arial" w:hAnsi="Arial" w:cs="Arial"/>
        </w:rPr>
        <w:t>Sahara</w:t>
      </w:r>
      <w:r w:rsidR="00A36BF6">
        <w:rPr>
          <w:rFonts w:ascii="Arial" w:hAnsi="Arial" w:cs="Arial"/>
        </w:rPr>
        <w:t>n sources</w:t>
      </w:r>
      <w:r w:rsidR="00185740">
        <w:rPr>
          <w:rFonts w:ascii="Arial" w:hAnsi="Arial" w:cs="Arial"/>
        </w:rPr>
        <w:t>.</w:t>
      </w:r>
      <w:r>
        <w:rPr>
          <w:rFonts w:ascii="Arial" w:hAnsi="Arial" w:cs="Arial"/>
        </w:rPr>
        <w:t xml:space="preserve"> </w:t>
      </w:r>
      <w:bookmarkStart w:id="7" w:name="_Hlk64894900"/>
      <w:bookmarkStart w:id="8" w:name="_Hlk75354026"/>
      <w:r>
        <w:rPr>
          <w:rFonts w:ascii="Arial" w:hAnsi="Arial" w:cs="Arial"/>
        </w:rPr>
        <w:t xml:space="preserve">The identification of </w:t>
      </w:r>
      <w:r w:rsidR="00A36BF6">
        <w:rPr>
          <w:rFonts w:ascii="Arial" w:hAnsi="Arial" w:cs="Arial"/>
        </w:rPr>
        <w:t xml:space="preserve">sediment sourced from </w:t>
      </w:r>
      <w:r w:rsidR="00450066">
        <w:rPr>
          <w:rFonts w:ascii="Arial" w:hAnsi="Arial" w:cs="Arial"/>
        </w:rPr>
        <w:t>lower elevation</w:t>
      </w:r>
      <w:r>
        <w:rPr>
          <w:rFonts w:ascii="Arial" w:hAnsi="Arial" w:cs="Arial"/>
        </w:rPr>
        <w:t xml:space="preserve"> regions such as the Bohemian Massif, </w:t>
      </w:r>
      <w:r w:rsidRPr="00E0504E">
        <w:rPr>
          <w:rFonts w:ascii="Arial" w:hAnsi="Arial" w:cs="Arial"/>
        </w:rPr>
        <w:t>Dinarides</w:t>
      </w:r>
      <w:r>
        <w:rPr>
          <w:rFonts w:ascii="Arial" w:hAnsi="Arial" w:cs="Arial"/>
        </w:rPr>
        <w:t xml:space="preserve">, and Balkans, which did not support ice-caps, suggests that the role of glacial action in silt-size sediment production has been previously </w:t>
      </w:r>
      <w:r w:rsidRPr="0066019B">
        <w:rPr>
          <w:rFonts w:ascii="Arial" w:hAnsi="Arial" w:cs="Arial"/>
        </w:rPr>
        <w:t>exaggerated</w:t>
      </w:r>
      <w:bookmarkEnd w:id="7"/>
      <w:r>
        <w:rPr>
          <w:rFonts w:ascii="Arial" w:hAnsi="Arial" w:cs="Arial"/>
        </w:rPr>
        <w:t xml:space="preserve">. </w:t>
      </w:r>
      <w:bookmarkEnd w:id="8"/>
      <w:r>
        <w:rPr>
          <w:rFonts w:ascii="Arial" w:hAnsi="Arial" w:cs="Arial"/>
        </w:rPr>
        <w:t>Therefore, the glacial and desert loess division ina</w:t>
      </w:r>
      <w:r w:rsidR="005578AD">
        <w:rPr>
          <w:rFonts w:ascii="Arial" w:hAnsi="Arial" w:cs="Arial"/>
        </w:rPr>
        <w:t>dequately</w:t>
      </w:r>
      <w:r>
        <w:rPr>
          <w:rFonts w:ascii="Arial" w:hAnsi="Arial" w:cs="Arial"/>
        </w:rPr>
        <w:t xml:space="preserve"> separates and describes sediment generation processes. </w:t>
      </w:r>
      <w:bookmarkStart w:id="9" w:name="_Hlk64895386"/>
      <w:bookmarkStart w:id="10" w:name="_Hlk75354064"/>
      <w:r>
        <w:rPr>
          <w:rFonts w:ascii="Arial" w:hAnsi="Arial" w:cs="Arial"/>
        </w:rPr>
        <w:t>This research supports and furthers previous work</w:t>
      </w:r>
      <w:r w:rsidR="00A36BF6">
        <w:rPr>
          <w:rFonts w:ascii="Arial" w:hAnsi="Arial" w:cs="Arial"/>
        </w:rPr>
        <w:t>,</w:t>
      </w:r>
      <w:r>
        <w:rPr>
          <w:rFonts w:ascii="Arial" w:hAnsi="Arial" w:cs="Arial"/>
        </w:rPr>
        <w:t xml:space="preserve"> which suggests </w:t>
      </w:r>
      <w:r w:rsidR="00246111">
        <w:rPr>
          <w:rFonts w:ascii="Arial" w:hAnsi="Arial" w:cs="Arial"/>
        </w:rPr>
        <w:t>“</w:t>
      </w:r>
      <w:r>
        <w:rPr>
          <w:rFonts w:ascii="Arial" w:hAnsi="Arial" w:cs="Arial"/>
        </w:rPr>
        <w:t>mountain</w:t>
      </w:r>
      <w:r w:rsidR="00B95B99">
        <w:rPr>
          <w:rFonts w:ascii="Arial" w:hAnsi="Arial" w:cs="Arial"/>
        </w:rPr>
        <w:t xml:space="preserve"> sourced and transported by-rivers</w:t>
      </w:r>
      <w:r w:rsidR="00246111">
        <w:rPr>
          <w:rFonts w:ascii="Arial" w:hAnsi="Arial" w:cs="Arial"/>
        </w:rPr>
        <w:t>”</w:t>
      </w:r>
      <w:r w:rsidR="00B95B99">
        <w:rPr>
          <w:rFonts w:ascii="Arial" w:hAnsi="Arial" w:cs="Arial"/>
        </w:rPr>
        <w:t xml:space="preserve"> </w:t>
      </w:r>
      <w:r>
        <w:rPr>
          <w:rFonts w:ascii="Arial" w:hAnsi="Arial" w:cs="Arial"/>
        </w:rPr>
        <w:t>as a more appropriate term</w:t>
      </w:r>
      <w:bookmarkEnd w:id="9"/>
      <w:r w:rsidR="00A36BF6">
        <w:rPr>
          <w:rFonts w:ascii="Arial" w:hAnsi="Arial" w:cs="Arial"/>
        </w:rPr>
        <w:t xml:space="preserve"> for the particles forming loess</w:t>
      </w:r>
      <w:r w:rsidR="005578AD">
        <w:rPr>
          <w:rFonts w:ascii="Arial" w:hAnsi="Arial" w:cs="Arial"/>
        </w:rPr>
        <w:t>, at least in the Danube basin</w:t>
      </w:r>
      <w:r>
        <w:rPr>
          <w:rFonts w:ascii="Arial" w:hAnsi="Arial" w:cs="Arial"/>
        </w:rPr>
        <w:t xml:space="preserve">. </w:t>
      </w:r>
      <w:bookmarkEnd w:id="1"/>
      <w:bookmarkEnd w:id="10"/>
    </w:p>
    <w:p w14:paraId="2649409C" w14:textId="3B19B682" w:rsidR="0013386D" w:rsidRDefault="0013386D" w:rsidP="00614941">
      <w:pPr>
        <w:pStyle w:val="Heading1"/>
        <w:spacing w:before="120" w:after="120" w:line="480" w:lineRule="auto"/>
        <w:jc w:val="both"/>
        <w:rPr>
          <w:rFonts w:ascii="Arial" w:hAnsi="Arial" w:cs="Arial"/>
          <w:b/>
          <w:color w:val="auto"/>
          <w:sz w:val="24"/>
        </w:rPr>
      </w:pPr>
      <w:r w:rsidRPr="00964EE7">
        <w:rPr>
          <w:rFonts w:ascii="Arial" w:hAnsi="Arial" w:cs="Arial"/>
          <w:b/>
          <w:color w:val="auto"/>
          <w:sz w:val="24"/>
        </w:rPr>
        <w:t>Keywords</w:t>
      </w:r>
    </w:p>
    <w:p w14:paraId="23462C83" w14:textId="5C5F4472" w:rsidR="009526E8" w:rsidRDefault="009526E8" w:rsidP="00614941">
      <w:pPr>
        <w:spacing w:before="120" w:after="120" w:line="480" w:lineRule="auto"/>
        <w:jc w:val="both"/>
        <w:rPr>
          <w:rFonts w:ascii="Arial" w:hAnsi="Arial" w:cs="Arial"/>
        </w:rPr>
      </w:pPr>
      <w:r>
        <w:rPr>
          <w:rFonts w:ascii="Arial" w:hAnsi="Arial" w:cs="Arial"/>
        </w:rPr>
        <w:t>Geochronology</w:t>
      </w:r>
    </w:p>
    <w:p w14:paraId="53CE1204" w14:textId="4053D4E5" w:rsidR="00EA4C61" w:rsidRDefault="009526E8" w:rsidP="00614941">
      <w:pPr>
        <w:spacing w:before="120" w:after="120" w:line="480" w:lineRule="auto"/>
        <w:jc w:val="both"/>
        <w:rPr>
          <w:rFonts w:ascii="Arial" w:hAnsi="Arial" w:cs="Arial"/>
        </w:rPr>
      </w:pPr>
      <w:r>
        <w:rPr>
          <w:rFonts w:ascii="Arial" w:hAnsi="Arial" w:cs="Arial"/>
        </w:rPr>
        <w:t xml:space="preserve">Zircon </w:t>
      </w:r>
      <w:r w:rsidR="00322B7E">
        <w:rPr>
          <w:rFonts w:ascii="Arial" w:hAnsi="Arial" w:cs="Arial"/>
        </w:rPr>
        <w:t>geochronology</w:t>
      </w:r>
    </w:p>
    <w:p w14:paraId="6B1B2942" w14:textId="17696646" w:rsidR="00322B7E" w:rsidRDefault="00322B7E" w:rsidP="00614941">
      <w:pPr>
        <w:spacing w:before="120" w:after="120" w:line="480" w:lineRule="auto"/>
        <w:jc w:val="both"/>
        <w:rPr>
          <w:rFonts w:ascii="Arial" w:hAnsi="Arial" w:cs="Arial"/>
        </w:rPr>
      </w:pPr>
      <w:r>
        <w:rPr>
          <w:rFonts w:ascii="Arial" w:hAnsi="Arial" w:cs="Arial"/>
        </w:rPr>
        <w:lastRenderedPageBreak/>
        <w:t>U-Pb</w:t>
      </w:r>
    </w:p>
    <w:p w14:paraId="5436EEA6" w14:textId="0FF58344" w:rsidR="009526E8" w:rsidRDefault="00322B7E" w:rsidP="00614941">
      <w:pPr>
        <w:spacing w:before="120" w:after="120" w:line="480" w:lineRule="auto"/>
        <w:jc w:val="both"/>
        <w:rPr>
          <w:rFonts w:ascii="Arial" w:hAnsi="Arial" w:cs="Arial"/>
        </w:rPr>
      </w:pPr>
      <w:r>
        <w:rPr>
          <w:rFonts w:ascii="Arial" w:hAnsi="Arial" w:cs="Arial"/>
        </w:rPr>
        <w:t>Hf isotopes</w:t>
      </w:r>
    </w:p>
    <w:p w14:paraId="524BA35F" w14:textId="1A9E87B4" w:rsidR="00941F18" w:rsidRDefault="00F368FD" w:rsidP="00ED2554">
      <w:pPr>
        <w:spacing w:before="120" w:after="120" w:line="480" w:lineRule="auto"/>
        <w:jc w:val="both"/>
        <w:rPr>
          <w:rFonts w:ascii="Arial" w:hAnsi="Arial" w:cs="Arial"/>
        </w:rPr>
        <w:sectPr w:rsidR="00941F18" w:rsidSect="00273F3F">
          <w:footerReference w:type="default" r:id="rId9"/>
          <w:pgSz w:w="11906" w:h="16838"/>
          <w:pgMar w:top="1440" w:right="1440" w:bottom="1440" w:left="1440" w:header="708" w:footer="708" w:gutter="0"/>
          <w:lnNumType w:countBy="1" w:restart="continuous"/>
          <w:cols w:space="708"/>
          <w:docGrid w:linePitch="360"/>
        </w:sectPr>
      </w:pPr>
      <w:r>
        <w:rPr>
          <w:rFonts w:ascii="Arial" w:hAnsi="Arial" w:cs="Arial"/>
        </w:rPr>
        <w:t>Quaternary</w:t>
      </w:r>
    </w:p>
    <w:p w14:paraId="587BF236" w14:textId="02F901B5" w:rsidR="007574BE" w:rsidRPr="00964EE7" w:rsidRDefault="00DA2079" w:rsidP="00987B6C">
      <w:pPr>
        <w:pStyle w:val="Heading1"/>
        <w:numPr>
          <w:ilvl w:val="0"/>
          <w:numId w:val="34"/>
        </w:numPr>
        <w:spacing w:before="120" w:after="120" w:line="480" w:lineRule="auto"/>
        <w:ind w:left="567" w:hanging="567"/>
        <w:jc w:val="both"/>
        <w:rPr>
          <w:rFonts w:ascii="Arial" w:hAnsi="Arial" w:cs="Arial"/>
          <w:b/>
          <w:color w:val="auto"/>
          <w:sz w:val="24"/>
        </w:rPr>
      </w:pPr>
      <w:r w:rsidRPr="00964EE7">
        <w:rPr>
          <w:rFonts w:ascii="Arial" w:hAnsi="Arial" w:cs="Arial"/>
          <w:b/>
          <w:color w:val="auto"/>
          <w:sz w:val="24"/>
        </w:rPr>
        <w:lastRenderedPageBreak/>
        <w:t>Introduction</w:t>
      </w:r>
    </w:p>
    <w:p w14:paraId="2FB023FC" w14:textId="082A54CE" w:rsidR="004C339E" w:rsidRDefault="00C71C93" w:rsidP="00614941">
      <w:pPr>
        <w:spacing w:before="120" w:after="120" w:line="480" w:lineRule="auto"/>
        <w:jc w:val="both"/>
        <w:rPr>
          <w:rFonts w:ascii="Arial" w:hAnsi="Arial" w:cs="Arial"/>
        </w:rPr>
      </w:pPr>
      <w:r>
        <w:rPr>
          <w:rFonts w:ascii="Arial" w:hAnsi="Arial" w:cs="Arial"/>
        </w:rPr>
        <w:t>Loess deposits along the Danube river have been accumulating</w:t>
      </w:r>
      <w:r w:rsidR="004F243C">
        <w:rPr>
          <w:rFonts w:ascii="Arial" w:hAnsi="Arial" w:cs="Arial"/>
        </w:rPr>
        <w:t xml:space="preserve"> since</w:t>
      </w:r>
      <w:r w:rsidR="00ED2554">
        <w:rPr>
          <w:rFonts w:ascii="Arial" w:hAnsi="Arial" w:cs="Arial"/>
        </w:rPr>
        <w:t xml:space="preserve"> at least</w:t>
      </w:r>
      <w:r w:rsidR="004F243C">
        <w:rPr>
          <w:rFonts w:ascii="Arial" w:hAnsi="Arial" w:cs="Arial"/>
        </w:rPr>
        <w:t xml:space="preserve"> the mid-Quaternary </w:t>
      </w:r>
      <w:r w:rsidR="004F243C">
        <w:rPr>
          <w:rFonts w:ascii="Arial" w:hAnsi="Arial" w:cs="Arial"/>
        </w:rPr>
        <w:fldChar w:fldCharType="begin" w:fldLock="1"/>
      </w:r>
      <w:r w:rsidR="00345B71">
        <w:rPr>
          <w:rFonts w:ascii="Arial" w:hAnsi="Arial" w:cs="Arial"/>
        </w:rPr>
        <w:instrText>ADDIN CSL_CITATION {"citationItems":[{"id":"ITEM-1","itemData":{"DOI":"10.1016/j.quascirev.2011.02.004","author":[{"dropping-particle":"","family":"Marković","given":"Slobodan B.","non-dropping-particle":"","parse-names":false,"suffix":""},{"dropping-particle":"","family":"Hambach","given":"Ulrich","non-dropping-particle":"","parse-names":false,"suffix":""},{"dropping-particle":"","family":"Stevens","given":"Thomas","non-dropping-particle":"","parse-names":false,"suffix":""},{"dropping-particle":"","family":"Kukla","given":"George J.","non-dropping-particle":"","parse-names":false,"suffix":""},{"dropping-particle":"","family":"Heller","given":"Friedrich","non-dropping-particle":"","parse-names":false,"suffix":""},{"dropping-particle":"","family":"McCoy","given":"William D.","non-dropping-particle":"","parse-names":false,"suffix":""},{"dropping-particle":"","family":"Oches","given":"Eric A.","non-dropping-particle":"","parse-names":false,"suffix":""},{"dropping-particle":"","family":"Buggle","given":"Björn","non-dropping-particle":"","parse-names":false,"suffix":""},{"dropping-particle":"","family":"Zöller","given":"Ludwig","non-dropping-particle":"","parse-names":false,"suffix":""}],"container-title":"Quaternary Science Reviews","id":"ITEM-1","issued":{"date-parts":[["2011"]]},"page":"1142-1154","title":"The last million years recorded at the Stari Slankamen (North Serbia) loess-paleosol sequence: Revised chronostratigraphy and long-term environmental trends","type":"article-journal","volume":"30"},"uris":["http://www.mendeley.com/documents/?uuid=92f7b6fc-b16e-4616-ad50-801981dbc6e7"]},{"id":"ITEM-2","itemData":{"DOI":"10.1016/j.pepi.2008.02.008","ISSN":"00319201","abstract":"The results of a palaeomagnetic investigation of a 27 m thick loess/palaeosol sequence in Viatovo (NE Bulgaria) are presented in this paper. The sequence consists of topsoil S0, seven loess horizons (L1-L7) and six interbedded palaeosols (S1-S6) overlying a red clay (terra rossa) complex. Magnetic viscosity experiments, IRM acquisition, AMS analysis and NRM stepwise alternating and thermal demagnetisation experiments of pilot samples were implemented for precise determination of the characteristic remanence and construction of a reliable magnetostratigraphical scheme. Analysis of IRM acquisition curves using the expectation - maximization algorithm of Heslop et al. [Heslop, D., Dekkers, M., Kruiver, P., van Oorschot, H., 2002. Analysis of isothermal remanent magnetization acquisition curves using the expectation - maximization algorithm. Geophys. J. Int., 148, 58-64] suggests that the best fitting is obtained by three coercivity components. Component 1 corresponds to SD maghemite/magnetite, while component 2 is probably related to the presence of oxidised detrital magnetites. The third component shows varying coercivities depending on the degree of pedogenic alteration of the samples and probably reflects the presence of detrital magnetite grains oxidised at different degree. The relevance of the Viatovo section as a key representative sequence for the loess cover in the Danube basin is confirmed by the presence of geomagnetic polarity changes in the lower part of the sequence. The youngest one recorded in the seventh loess unit L7 can be identified as corresponding to the Matuyama/Brunhes palaeomagnetic polarity transition. Two normal magnetozones were found in the red clay complex, probably corresponding to the Jaramillo and Olduvai subchronozones of the Matuyama chron. ?? 2008 Elsevier B.V. All rights reserved.","author":[{"dropping-particle":"","family":"Jordanova","given":"Diana","non-dropping-particle":"","parse-names":false,"suffix":""},{"dropping-particle":"","family":"Hus","given":"Jozef","non-dropping-particle":"","parse-names":false,"suffix":""},{"dropping-particle":"","family":"Evlogiev","given":"Jordan","non-dropping-particle":"","parse-names":false,"suffix":""},{"dropping-particle":"","family":"Geeraerts","given":"Raoul","non-dropping-particle":"","parse-names":false,"suffix":""}],"container-title":"Physics of the Earth and Planetary Interiors","id":"ITEM-2","issued":{"date-parts":[["2008"]]},"page":"71-83","title":"Palaeomagnetism of the loess/palaeosol sequence in Viatovo (NE Bulgaria) in the Danube basin","type":"article-journal","volume":"167"},"uris":["http://www.mendeley.com/documents/?uuid=b07163ff-ecba-4adb-8e74-f0b2815cf1db"]}],"mendeley":{"formattedCitation":"(Jordanova et al., 2008; Marković et al., 2011)","plainTextFormattedCitation":"(Jordanova et al., 2008; Marković et al., 2011)","previouslyFormattedCitation":"(Jordanova et al., 2008; Marković et al., 2011)"},"properties":{"noteIndex":0},"schema":"https://github.com/citation-style-language/schema/raw/master/csl-citation.json"}</w:instrText>
      </w:r>
      <w:r w:rsidR="004F243C">
        <w:rPr>
          <w:rFonts w:ascii="Arial" w:hAnsi="Arial" w:cs="Arial"/>
        </w:rPr>
        <w:fldChar w:fldCharType="separate"/>
      </w:r>
      <w:r w:rsidR="00753D74" w:rsidRPr="00753D74">
        <w:rPr>
          <w:rFonts w:ascii="Arial" w:hAnsi="Arial" w:cs="Arial"/>
          <w:noProof/>
        </w:rPr>
        <w:t>(Jordanova et al., 2008; Marković et al., 2011)</w:t>
      </w:r>
      <w:r w:rsidR="004F243C">
        <w:rPr>
          <w:rFonts w:ascii="Arial" w:hAnsi="Arial" w:cs="Arial"/>
        </w:rPr>
        <w:fldChar w:fldCharType="end"/>
      </w:r>
      <w:r w:rsidR="00B7187F">
        <w:rPr>
          <w:rFonts w:ascii="Arial" w:hAnsi="Arial" w:cs="Arial"/>
        </w:rPr>
        <w:t xml:space="preserve"> </w:t>
      </w:r>
      <w:r w:rsidR="00ED2554">
        <w:rPr>
          <w:rFonts w:ascii="Arial" w:hAnsi="Arial" w:cs="Arial"/>
        </w:rPr>
        <w:t xml:space="preserve">and </w:t>
      </w:r>
      <w:r w:rsidR="004F243C">
        <w:rPr>
          <w:rFonts w:ascii="Arial" w:hAnsi="Arial" w:cs="Arial"/>
        </w:rPr>
        <w:t>preserve some of the longest terrestrial records of palaeoenvironmental and palaeoclimatic change</w:t>
      </w:r>
      <w:r w:rsidR="005F569F">
        <w:rPr>
          <w:rFonts w:ascii="Arial" w:hAnsi="Arial" w:cs="Arial"/>
        </w:rPr>
        <w:t>s</w:t>
      </w:r>
      <w:r w:rsidR="004F243C">
        <w:rPr>
          <w:rFonts w:ascii="Arial" w:hAnsi="Arial" w:cs="Arial"/>
        </w:rPr>
        <w:t xml:space="preserve"> in Central and Southeastern Europe</w:t>
      </w:r>
      <w:r w:rsidR="009603F9">
        <w:rPr>
          <w:rFonts w:ascii="Arial" w:hAnsi="Arial" w:cs="Arial"/>
        </w:rPr>
        <w:t xml:space="preserve"> </w:t>
      </w:r>
      <w:r w:rsidR="009603F9">
        <w:rPr>
          <w:rFonts w:ascii="Arial" w:hAnsi="Arial" w:cs="Arial"/>
        </w:rPr>
        <w:fldChar w:fldCharType="begin" w:fldLock="1"/>
      </w:r>
      <w:r w:rsidR="002B1926">
        <w:rPr>
          <w:rFonts w:ascii="Arial" w:hAnsi="Arial" w:cs="Arial"/>
        </w:rPr>
        <w:instrText>ADDIN CSL_CITATION {"citationItems":[{"id":"ITEM-1","itemData":{"DOI":"10.1016/j.earscirev.2015.06.005","ISSN":"00128252","abstract":"The Danube River drainage basin is the second largest river catchment in Europe and contains a significant and extensive region of thick loess deposits that preserve a record of a wide variety of recent and past environments. Indeed, the Danube River and tributaries may themselves be responsible for the transportation of large volumes of silt that ultimately drive loess formation in the middle and lower reaches of this large catchment. However, this vast loess province lacks a unified stratigraphic scheme. European loess research started in the late 17th century in the Danube Basin with the work of Count Luigi Ferdinand Marsigli. Since that time numerous investigations provided the basis for the pioneering stratigraphic framework proposed initially by Kukla (1970, 1977) in his correlations of loess with deep-sea sediments. Loess-palaeosol sequences in the middle and lower reaches of the Danube River basin were a key part of this framework and contain some of the longest and most complete continental climate records in Europe, covering more than the last million years. However, the very size of the Danube loess belt and the large number of countries it covers presents a major limiting factor in developing a unified approach that enables continental scale analysis of the deposits. Local loess-palaeosol stratigraphic schemes have been defined separately in different countries and the difficulties in correlating such schemes, which often change significantly with advances in age-dating, have limited the number of basin-wide studies. A unified basin-wide stratigraphic model would greatly alleviate these difficulties and facilitate research into the wider significance of these loess records. Therefore we review the existing stratigraphic schemes and define a new Danube Basin wide loess stratigraphy based around a synthetic type section of the Mošorin and Stari Slankamen sites in Serbia. We present a detailed comparison with the sedimentological and palaeoclimatic records preserved in sediments of the Chinese Loess Plateau, with the oxygen isotope records from deep-sea sediments, and with classic European Pleistocene stratigraphic subdivisions. The hierarchy of Danubian stratigraphic units is determined by climatically controlled environmental shifts, in a similar way to the Chinese loess stratigraphic scheme. A new unified Danube loess stratigraphic model has a number of advantages, including preventing confusion resulting from the use of multiple national sc…","author":[{"dropping-particle":"","family":"Marković","given":"Slobodan B.","non-dropping-particle":"","parse-names":false,"suffix":""},{"dropping-particle":"","family":"Stevens","given":"Thomas","non-dropping-particle":"","parse-names":false,"suffix":""},{"dropping-particle":"","family":"Kukla","given":"George J.","non-dropping-particle":"","parse-names":false,"suffix":""},{"dropping-particle":"","family":"Hambach","given":"Ulrich","non-dropping-particle":"","parse-names":false,"suffix":""},{"dropping-particle":"","family":"Fitzsimmons","given":"Kathryn E.","non-dropping-particle":"","parse-names":false,"suffix":""},{"dropping-particle":"","family":"Gibbard","given":"Philip L.","non-dropping-particle":"","parse-names":false,"suffix":""},{"dropping-particle":"","family":"Buggle","given":"Björn","non-dropping-particle":"","parse-names":false,"suffix":""},{"dropping-particle":"","family":"Zech","given":"Michael","non-dropping-particle":"","parse-names":false,"suffix":""},{"dropping-particle":"","family":"Guo","given":"Zhengtang","non-dropping-particle":"","parse-names":false,"suffix":""},{"dropping-particle":"","family":"Hao","given":"Qingzhen","non-dropping-particle":"","parse-names":false,"suffix":""},{"dropping-particle":"","family":"Wu","given":"Haibin","non-dropping-particle":"","parse-names":false,"suffix":""},{"dropping-particle":"","family":"O'Hara-Dhand","given":"Ken","non-dropping-particle":"","parse-names":false,"suffix":""},{"dropping-particle":"","family":"Smalley","given":"Ian J.","non-dropping-particle":"","parse-names":false,"suffix":""},{"dropping-particle":"","family":"Újvári","given":"Gábor","non-dropping-particle":"","parse-names":false,"suffix":""},{"dropping-particle":"","family":"Sümegi","given":"Pál","non-dropping-particle":"","parse-names":false,"suffix":""},{"dropping-particle":"","family":"Timar-Gabor","given":"Alida","non-dropping-particle":"","parse-names":false,"suffix":""},{"dropping-particle":"","family":"Veres","given":"Daniel","non-dropping-particle":"","parse-names":false,"suffix":""},{"dropping-particle":"","family":"Sirocko","given":"Frank","non-dropping-particle":"","parse-names":false,"suffix":""},{"dropping-particle":"","family":"Vasiljević","given":"Djordjije A.","non-dropping-particle":"","parse-names":false,"suffix":""},{"dropping-particle":"","family":"Jary","given":"Zdzisław","non-dropping-particle":"","parse-names":false,"suffix":""},{"dropping-particle":"","family":"Svensson","given":"Anders M.","non-dropping-particle":"","parse-names":false,"suffix":""},{"dropping-particle":"","family":"Jović","given":"Vidojko","non-dropping-particle":"","parse-names":false,"suffix":""},{"dropping-particle":"","family":"Lehmkuhl","given":"Frank","non-dropping-particle":"","parse-names":false,"suffix":""},{"dropping-particle":"","family":"Kovács","given":"János I.","non-dropping-particle":"","parse-names":false,"suffix":""},{"dropping-particle":"","family":"Svirčev","given":"Zorica","non-dropping-particle":"","parse-names":false,"suffix":""}],"container-title":"Earth-Science Reviews","id":"ITEM-1","issued":{"date-parts":[["2015"]]},"note":"Begins with the overview of the key characteristics and issues in this area. Focus on plateau locations in the Danube region. Reviews stratigraphic models to date based on pedostratigraphy, MS, AAR, OSL.\n\nAlso offers comparisons with Greenland and the German Corring Project (Sirocco et al ) as well with the Chinese Loess Plateau stratigraphy\n\nMany parts refer to mid pleistocene cetions and long term Quaternary record. \n\nFinally it compares European loess sequences with other European records including long term ones such as stratigraphy schemes in GB, Poland, North sea, Russia, MIS, ","page":"228-258","title":"Danube loess stratigraphy - Towards a pan-European loess stratigraphic model","type":"article-journal","volume":"148"},"uris":["http://www.mendeley.com/documents/?uuid=8662fb21-d1f9-46f0-aa3d-6c6d23260de4"]}],"mendeley":{"formattedCitation":"(Marković et al., 2015)","plainTextFormattedCitation":"(Marković et al., 2015)","previouslyFormattedCitation":"(Marković et al., 2015)"},"properties":{"noteIndex":0},"schema":"https://github.com/citation-style-language/schema/raw/master/csl-citation.json"}</w:instrText>
      </w:r>
      <w:r w:rsidR="009603F9">
        <w:rPr>
          <w:rFonts w:ascii="Arial" w:hAnsi="Arial" w:cs="Arial"/>
        </w:rPr>
        <w:fldChar w:fldCharType="separate"/>
      </w:r>
      <w:r w:rsidR="002B1926" w:rsidRPr="002B1926">
        <w:rPr>
          <w:rFonts w:ascii="Arial" w:hAnsi="Arial" w:cs="Arial"/>
          <w:noProof/>
        </w:rPr>
        <w:t>(Marković et al., 2015)</w:t>
      </w:r>
      <w:r w:rsidR="009603F9">
        <w:rPr>
          <w:rFonts w:ascii="Arial" w:hAnsi="Arial" w:cs="Arial"/>
        </w:rPr>
        <w:fldChar w:fldCharType="end"/>
      </w:r>
      <w:r w:rsidR="00852F61">
        <w:rPr>
          <w:rFonts w:ascii="Arial" w:hAnsi="Arial" w:cs="Arial"/>
        </w:rPr>
        <w:t xml:space="preserve">. </w:t>
      </w:r>
      <w:r w:rsidR="00077C5D">
        <w:rPr>
          <w:rFonts w:ascii="Arial" w:hAnsi="Arial" w:cs="Arial"/>
        </w:rPr>
        <w:t>The</w:t>
      </w:r>
      <w:r w:rsidR="00852F61">
        <w:rPr>
          <w:rFonts w:ascii="Arial" w:hAnsi="Arial" w:cs="Arial"/>
        </w:rPr>
        <w:t xml:space="preserve"> </w:t>
      </w:r>
      <w:r w:rsidR="00F2098B">
        <w:rPr>
          <w:rFonts w:ascii="Arial" w:hAnsi="Arial" w:cs="Arial"/>
        </w:rPr>
        <w:t xml:space="preserve">primary </w:t>
      </w:r>
      <w:r w:rsidR="00852F61">
        <w:rPr>
          <w:rFonts w:ascii="Arial" w:hAnsi="Arial" w:cs="Arial"/>
        </w:rPr>
        <w:t>sources</w:t>
      </w:r>
      <w:r w:rsidR="00852F61" w:rsidRPr="004F243C">
        <w:rPr>
          <w:rFonts w:ascii="Arial" w:hAnsi="Arial" w:cs="Arial"/>
        </w:rPr>
        <w:t xml:space="preserve"> </w:t>
      </w:r>
      <w:r w:rsidR="00077C5D">
        <w:rPr>
          <w:rFonts w:ascii="Arial" w:hAnsi="Arial" w:cs="Arial"/>
        </w:rPr>
        <w:t>of</w:t>
      </w:r>
      <w:r w:rsidR="002B1926">
        <w:rPr>
          <w:rFonts w:ascii="Arial" w:hAnsi="Arial" w:cs="Arial"/>
        </w:rPr>
        <w:t xml:space="preserve"> the silt-sized particles forming the majority of the</w:t>
      </w:r>
      <w:r w:rsidR="00077C5D">
        <w:rPr>
          <w:rFonts w:ascii="Arial" w:hAnsi="Arial" w:cs="Arial"/>
        </w:rPr>
        <w:t xml:space="preserve"> Danubian loess </w:t>
      </w:r>
      <w:r w:rsidR="00852F61">
        <w:rPr>
          <w:rFonts w:ascii="Arial" w:hAnsi="Arial" w:cs="Arial"/>
        </w:rPr>
        <w:t xml:space="preserve">in previously ice-covered </w:t>
      </w:r>
      <w:r w:rsidR="002B1926">
        <w:rPr>
          <w:rFonts w:ascii="Arial" w:hAnsi="Arial" w:cs="Arial"/>
        </w:rPr>
        <w:t>mountainous</w:t>
      </w:r>
      <w:r w:rsidR="00852F61">
        <w:rPr>
          <w:rFonts w:ascii="Arial" w:hAnsi="Arial" w:cs="Arial"/>
        </w:rPr>
        <w:t xml:space="preserve"> regions </w:t>
      </w:r>
      <w:r w:rsidR="00852F61">
        <w:rPr>
          <w:rFonts w:ascii="Arial" w:hAnsi="Arial" w:cs="Arial"/>
        </w:rPr>
        <w:fldChar w:fldCharType="begin" w:fldLock="1"/>
      </w:r>
      <w:r w:rsidR="002B1926">
        <w:rPr>
          <w:rFonts w:ascii="Arial" w:hAnsi="Arial" w:cs="Arial"/>
        </w:rPr>
        <w:instrText>ADDIN CSL_CITATION {"citationItems":[{"id":"ITEM-1","itemData":{"DOI":"10.1016/j.quascirev.2008.01.018","ISBN":"0277-3791","ISSN":"02773791","abstract":"The loess/paleosol sections of Batajnica/Stari Slankamen (Serbia), Mircea Voda (Romania) and Stary Kaydaky (Ukraine) were geochemically characterized based on discriminant analysis of major and trace elements, the ratios of Al/Ti, Fe/Ti and Al/Fe, the A-CN-K ternary plot and element enrichment/depletion relative to the average composition of the upper continental crust. The origin of the loess material in the southern Pannonian Basin (Vojvodina), the lower Danube Basin/Dobrudja and the Dnieper area was evaluated by comparison with the representative element composition of possible source areas and by considering the geomorphodynamic setting. Also the background values of the initial magnetic susceptibility of the loesses were taken into account. For the lower Danube Basin, Dobrudja and the Ukraine, paleowind direction was reconstructed based on the geographic distribution of sandy soil texture and dunes related to river systems. Finally, loesses were evaluated as possible samples of the average upper continental crust. Our results show that Danube and Dnieper loess areas can be clearly distinguished. The former reveal higher Al and Fe contents, the latter higher Si, Zr, Hf content and indications of effective mineral and grain size sorting. We can confirm that Vojvodina loess originated from Danube alluvial material and loess of the Dnieper area from glaciofluvial sediments of the Fennoscandinavian ice sheet. The Dobrudja loess derived also predominantly from Danube alluvium, but shows significant contribution of a second loess source, probably the glaciofluvial sediments of the Ukraine. This was forced by northerly katabatic winds from the Fennoscandinavian ice sheet, whereas WNW winds prevailed in the Western Walachian plain. The studied loesses reflect the average composition of the upper continental crust. Yet, biases exist due to selective mineral/element enrichment and depletion in the course of previous sedimentary recycling phases, respectively. Material of all studied loess deposits seems to derive originally from sedimentary rocks.","author":[{"dropping-particle":"","family":"Buggle","given":"Björn","non-dropping-particle":"","parse-names":false,"suffix":""},{"dropping-particle":"","family":"Glaser","given":"Bruno","non-dropping-particle":"","parse-names":false,"suffix":""},{"dropping-particle":"","family":"Zöller","given":"Ludwig","non-dropping-particle":"","parse-names":false,"suffix":""},{"dropping-particle":"","family":"Hambach","given":"Ulrich","non-dropping-particle":"","parse-names":false,"suffix":""},{"dropping-particle":"","family":"Marković","given":"Slobodan B.","non-dropping-particle":"","parse-names":false,"suffix":""},{"dropping-particle":"","family":"Glaser","given":"Irina","non-dropping-particle":"","parse-names":false,"suffix":""},{"dropping-particle":"","family":"Gerasimenko","given":"Natalia P.","non-dropping-particle":"","parse-names":false,"suffix":""}],"container-title":"Quaternary Science Reviews","id":"ITEM-1","issue":"9-10","issued":{"date-parts":[["2008"]]},"page":"1058-1075","title":"Geochemical characterization and origin of Southeastern and Eastern European loesses (Serbia, Romania, Ukraine)","type":"article-journal","volume":"27"},"uris":["http://www.mendeley.com/documents/?uuid=193d86ce-b241-49e3-a1ef-f8a8bd32eeb3"]},{"id":"ITEM-2","itemData":{"DOI":"10.1016/j.yqres.2008.02.001","ISBN":"0033-5894","ISSN":"00335894","abstract":"Loess geochemistry generally reflects paleo-weathering conditions and it can be used to determine the average composition of the upper continental crust (UCC). In this study, major and trace element concentrations were analyzed on loess samples from southwestern Hungary to determine the factors influencing their chemical compositions and to propose new average loess compositions. All studied loess samples had nearly uniform chemical composition, suggesting similar alteration history of these deposits. Chemical Index of Alteration values (58-69) suggested a weak to moderate degree of weathering in a felsic source area. Typical non-steady state weathering conditions were shown on the Al2O3-CaO + Na2O-K2O patterns, indicating active tectonism of the Alpine-Carpathian system during the Pleistocene. Whole-rock element budgets were controlled by heavy minerals derived from a felsic magmatic or reworked sedimentary provenance. Geochemical parameters indicated that dust particles must have been recycled and well homogenized during fluvial and eolian transport processes. © 2008 University of Washington.","author":[{"dropping-particle":"","family":"Újvári","given":"Gábor","non-dropping-particle":"","parse-names":false,"suffix":""},{"dropping-particle":"","family":"Varga","given":"Andrea","non-dropping-particle":"","parse-names":false,"suffix":""},{"dropping-particle":"","family":"Balogh-Brunstad","given":"Zsuzsanna","non-dropping-particle":"","parse-names":false,"suffix":""}],"container-title":"Quaternary Research","id":"ITEM-2","issued":{"date-parts":[["2008"]]},"page":"421-437","title":"Origin, weathering, and geochemical composition of loess in southwestern Hungary","type":"article-journal","volume":"69"},"uris":["http://www.mendeley.com/documents/?uuid=afc5a18e-4f68-40cc-856d-2e4620dca8ee"]},{"id":"ITEM-3","itemData":{"DOI":"10.1515/geo-2015-0048","ISSN":"2391-5447","abstract":"There are several competing hypotheses for the origin of loess in Europe but quantitative evidence is still rare. Here, Sr-Nd isotopic and bulk elemental composition of loess from Marine Isotope Stages 2 and 3 from three study regions in Central Europe – Nussloch (Germany), Grub (Austria) and Tokaj (Hungary) - are analyzed. This study aims at examining differences and similarities of loess deposits throughout Europe, correlating loess with potential source rocks from major mountain ranges and comparing loess with floodplain sediments from main rivers as integrated samples of the drainage areas. The results show that European loess deposits are largely uniform and that sediment sources have been rather stable in the Southern and Eastern parts of Central Europe and more variable in West Central Europe. However, the methods used are not sufficient to unequivocally confirm and reject potential sediment sources but, in combination, help to identify the most likely sediment origins. While a direct correlation of loess and potential source rocks is dif- ficult, the comparison with floodplain sediments is most promising and confirms previous hypotheses. Loess from Tokaj and Grub is most likely a mix of material transported by the Danube River and sediments from the surrounding mountains. Rhine River sediments are probably the main source of loess at Nussloch.","author":[{"dropping-particle":"","family":"Schatz","given":"Ann-Kathrin","non-dropping-particle":"","parse-names":false,"suffix":""},{"dropping-particle":"","family":"Qi","given":"Yue","non-dropping-particle":"","parse-names":false,"suffix":""},{"dropping-particle":"","family":"Siebel","given":"Wolfgang","non-dropping-particle":"","parse-names":false,"suffix":""},{"dropping-particle":"","family":"Wu","given":"Jiade","non-dropping-particle":"","parse-names":false,"suffix":""},{"dropping-particle":"","family":"Zöller","given":"Ludwig","non-dropping-particle":"","parse-names":false,"suffix":""}],"container-title":"Open Geosciences","id":"ITEM-3","issue":"1","issued":{"date-parts":[["2015"]]},"page":"678-720","title":"Tracking potential source areas of Central European loess: examples from Tokaj (HU), Nussloch (D) and Grub (AT)","type":"article-journal","volume":"7"},"uris":["http://www.mendeley.com/documents/?uuid=a0030f70-30b4-4a17-a600-2fcf3134248a"]},{"id":"ITEM-4","itemData":{"DOI":"10.1007/s00531-014-1139-x","ISSN":"1437-3254","abstract":"Loess sediments in Austria deposited ca. 30–20 ka ago yield different zircon age signatures for samples collected around Krems (SE Bohemian Massif; samples K23 and S1) and Wels (halfway between the Bohemian Massif and the Eastern Alps; sample A16). Cathodoluminescence (CL) imaging reveals both old, multistage zircons with complex growth histories and inherited cores, and young, first-cycle magmatic zircons. Paleoproterozoic ages between 2,200 and 1,800 Ma (K23 and S1), an age gap of 1,800–1,000 Ma for S1 and abundant Cadomian grains, indicate NW African/North Gondwanan derivation of these zircons. Also, A16 yields ages between 630 and 600 Ma that can be attributed to “Pan-African” orogenic processes. Significant differences are seen for the &lt;500 Ma part of the age spectra with major age peaks at 493–494 and 344–335 Ma (K23 and S1), and 477 and 287 Ma (A16). All three samples show negative initial ɛHf signatures (−25 to −10, except one grain with +9.4) implying zircon crystallization from magmas derived by recycling of older continental crust. Hf isotopic compositions of 330- to 320-Ma-old zircons from S1 and K23 preclude a derivation from Bavarian Forest granites and intermediate granitoids. Rather, all the data suggest strong contributions of eroded local rocks (South Bohemian pluton, Gföhl unit) to loess material at the SE edge of the Bohemian Massif (K23 and S1) and sourcing of zircons from sediment donor regions in the Eastern Alps for loess at Wels (A16). We tentatively infer primary fluvial transport and secondary eolian reworking and re-deposition of detritus from western/southwestern directions. Finally, our data highlight that loess zircon ages are fundamentally influenced by fluvial transport, its directions, the interplay of sediment donor regions through the mixing of detritus and zircon fertility of rocks, rather than Paleowind directions.","author":[{"dropping-particle":"","family":"Újvári","given":"Gábor","non-dropping-particle":"","parse-names":false,"suffix":""},{"dropping-particle":"","family":"Klötzli","given":"Urs","non-dropping-particle":"","parse-names":false,"suffix":""}],"container-title":"International Journal of Earth Sciences","id":"ITEM-4","issue":"5","issued":{"date-parts":[["2015","7","14"]]},"page":"1365-1385","publisher":"Springer Berlin Heidelberg","title":"U–Pb ages and Hf isotopic composition of zircons in Austrian last glacial loess: constraints on heavy mineral sources and sediment transport pathways","type":"article-journal","volume":"104"},"uris":["http://www.mendeley.com/documents/?uuid=96557a3a-95d5-41f2-be41-c4c0a3128257"]},{"id":"ITEM-5","itemData":{"DOI":"10.1016/j.quaint.2013.06.008","ISSN":"10406182","author":[{"dropping-particle":"","family":"Jipa","given":"Dan C.","non-dropping-particle":"","parse-names":false,"suffix":""}],"container-title":"Quaternary International","id":"ITEM-5","issued":{"date-parts":[["2014"]]},"note":"Good geomorph re-analysis to create region wide model. Good maps of thickness along and across the Lower Danube. Some suggestions for provenance of the region though based predominantly on very old heavy mineral work. Though this supports the idea that material is mizeed and sourced both from local mountains and Danube's alluvium","page":"14-24","publisher":"Elsevier Ltd and INQUA","title":"The conceptual sedimentary model of the Lower Danube loess basin: Sedimentogenetic implications","type":"article-journal","volume":"351"},"uris":["http://www.mendeley.com/documents/?uuid=a634a6ac-0e8e-4810-90eb-9395e147e0db"]},{"id":"ITEM-6","itemData":{"DOI":"10.1016/0037-0738(78)90031-3","ISBN":"0037-0738","ISSN":"00370738","abstract":"Within the Danube basin significant loess deposits are located: 1. (1) north of the Alps, near the western end of the basin, 2. (2) around Vienna and stretching away in a northeasterly direction through the Moravian depression, 3. (3) on either side of the south-flowing Danube in Hungary and in northern Yugoslavia, and 4. (4) on the Walachian plain between Romania and Bulgaria. These deposits can be distinguished from the belt of glacial loess extending roughly west-east from Paris/Brussels via Köln, Leipzig, Wroclaw to Krakow and beyond, and obviously related to the North European glaciations. Other sources of material must be invoked to explain the presence of loess (and loess-like sediments) in the Danube basin. Material comes from three major sources: 1. (1) the Alpine glaciers, 2. (2) North European glacial debris carried through the Moravian depression by meltwater, and 3. (3) silt derived from flysch and related rocks in the Carpathian mountains. There is no simple primary loess in the Danube basin in any significant amount; deposits of typical aeolian loess which do exist are often derived from Danube floodplains and formed from material from several sources. This is particularly true of the deposits in the lower Danube region (on the Walachian plain). Since the deposits in the Danube basin are so diverse in type and origin particular care is needed in the use of loess terms and in chronological and stratigraphic investigations. This is particularly so since several countries are involved and national usage tends to differ in many ways. A particular problem is to distinguish (physically and terminologically) materials which have been derived from a typical loess by some ‘degradation’ process and materials which have never been a true loess but have assumed certain loessic characteristics by soil-forming processes. This occurs particularly in the Pannonian basin where there is an abundance of weathered material.","author":[{"dropping-particle":"","family":"Smalley","given":"Ian J.","non-dropping-particle":"","parse-names":false,"suffix":""},{"dropping-particle":"","family":"Leach","given":"J. A.","non-dropping-particle":"","parse-names":false,"suffix":""}],"container-title":"Sedimentary Geology","id":"ITEM-6","issue":"1","issued":{"date-parts":[["1978"]]},"page":"1-26","title":"The origin and distribution of the loess in the Danube basin and associated regions of East-Central Europe — A review","type":"article-journal","volume":"21"},"uris":["http://www.mendeley.com/documents/?uuid=0abdb656-7475-420e-973b-31f43619db05"]},{"id":"ITEM-7","itemData":{"DOI":"10.1016/j.earscirev.2020.103496","ISSN":"00128252","abstract":"Paleoenvironmental reconstructions on a (supra-)regional scale have gained attention in Quaternary sciences during the last decades. In terrestrial realms, loess deposits and especially intercalations of loess and buried soils, so called loess-paleosol sequences (LPS) are important archives to unravel the terrestrial response to e.g. climatic fluctuations and reconstruct paleoenvironments during the Pleistocene. The analysis of LPS requires the knowledge of several key factors, such as the distribution of the aeolian sediments, their location relative to (potential) source areas, the climate conditions that led to their emplacement and the topography of the sink area. These factors strongly influence the sedimentological and paleoenvironmental characteristics of LPS and show broad variations throughout Europe, leading to a distinct distribution pattern throughout the continent. We present a new map of the distribution of aeolian sediments (mainly loess) and major potential source areas for Europe. The map was compiled combining geodata of different mapping approaches. Most of the used geodata stems from accurate national maps of 27 different countries. Problematic aspects such as different nomenclatures across administrative borders were carefully investigated and revised. The result is a seamless map, which comprises pedological, geological, and geomorphological data and can be used for paleoenvironmental and archeological studies and other applications. We use the resulting map and data from key geomorphological cross-sections to discuss the various influences of geomorphology and paleoenvironment on the deposition and preservation of Late Pleistocene loess throughout Europe. We divided the loess areas into 6 main loess domains and 17 subdomains to understand and explain the factors controlling their distribution and characteristics. For the subdivision we used the following criteria: (1) influence of silt production areas, (2) affiliation to subcatchments, as rivers are very important regional silt transport agents, (3) occurrence of past periglacial activity with characteristic overprinting of the deposits. Additionally, the sediment distribution is combined with elevation data, to investigate the loess distribution statistically as well as visually. Throughout Europe, the variations, and differences of the loess domains are the results of a complex interplay of changing paleoenvironmental conditions and related geomorphologic processes, controlling…","author":[{"dropping-particle":"","family":"Lehmkuhl","given":"Frank","non-dropping-particle":"","parse-names":false,"suffix":""},{"dropping-particle":"","family":"Nett","given":"J","non-dropping-particle":"","parse-names":false,"suffix":""},{"dropping-particle":"","family":"Pötter","given":"Stephan","non-dropping-particle":"","parse-names":false,"suffix":""},{"dropping-particle":"","family":"Schulte","given":"Philipp","non-dropping-particle":"","parse-names":false,"suffix":""},{"dropping-particle":"","family":"Sprafke","given":"Tobias","non-dropping-particle":"","parse-names":false,"suffix":""},{"dropping-particle":"","family":"Jary","given":"Zdzisław","non-dropping-particle":"","parse-names":false,"suffix":""},{"dropping-particle":"","family":"Antoine","given":"Pierre","non-dropping-particle":"","parse-names":false,"suffix":""},{"dropping-particle":"","family":"Wacha","given":"Lara","non-dropping-particle":"","parse-names":false,"suffix":""},{"dropping-particle":"","family":"Wolf","given":"Daniel","non-dropping-particle":"","parse-names":false,"suffix":""},{"dropping-particle":"","family":"Zerboni","given":"A.","non-dropping-particle":"","parse-names":false,"suffix":""},{"dropping-particle":"","family":"Hošek","given":"Jan","non-dropping-particle":"","parse-names":false,"suffix":""},{"dropping-particle":"","family":"Marković","given":"Slobodan B.","non-dropping-particle":"","parse-names":false,"suffix":""},{"dropping-particle":"","family":"Obreht","given":"Igor","non-dropping-particle":"","parse-names":false,"suffix":""},{"dropping-particle":"","family":"Sümegi","given":"Pál","non-dropping-particle":"","parse-names":false,"suffix":""},{"dropping-particle":"","family":"Veres","given":"Daniel","non-dropping-particle":"","parse-names":false,"suffix":""},{"dropping-particle":"","family":"Zeeden","given":"Christian","non-dropping-particle":"","parse-names":false,"suffix":""},{"dropping-particle":"","family":"Boemke","given":"B.","non-dropping-particle":"","parse-names":false,"suffix":""},{"dropping-particle":"","family":"Schaubert","given":"V.","non-dropping-particle":"","parse-names":false,"suffix":""},{"dropping-particle":"","family":"Viehweger","given":"J.","non-dropping-particle":"","parse-names":false,"suffix":""},{"dropping-particle":"","family":"Hambach","given":"Ulrich","non-dropping-particle":"","parse-names":false,"suffix":""}],"container-title":"Earth-Science Reviews","id":"ITEM-7","issued":{"date-parts":[["2021"]]},"title":"Loess landscapes of Europe – Mapping, geomorphology, and zonal differentiation","type":"article-journal","volume":"215"},"uris":["http://www.mendeley.com/documents/?uuid=13730527-f6b6-47d1-a75b-d9622613d442"]}],"mendeley":{"formattedCitation":"(Buggle et al., 2008; Jipa, 2014; Lehmkuhl et al., 2021; Schatz et al., 2015; Smalley and Leach, 1978; Újvári et al., 2008; Újvári and Klötzli, 2015)","plainTextFormattedCitation":"(Buggle et al., 2008; Jipa, 2014; Lehmkuhl et al., 2021; Schatz et al., 2015; Smalley and Leach, 1978; Újvári et al., 2008; Újvári and Klötzli, 2015)","previouslyFormattedCitation":"(Buggle et al., 2008; Jipa, 2014; Lehmkuhl et al., 2021; Schatz et al., 2015; Smalley and Leach, 1978; Újvári et al., 2008; Újvári and Klötzli, 2015)"},"properties":{"noteIndex":0},"schema":"https://github.com/citation-style-language/schema/raw/master/csl-citation.json"}</w:instrText>
      </w:r>
      <w:r w:rsidR="00852F61">
        <w:rPr>
          <w:rFonts w:ascii="Arial" w:hAnsi="Arial" w:cs="Arial"/>
        </w:rPr>
        <w:fldChar w:fldCharType="separate"/>
      </w:r>
      <w:r w:rsidR="002B1926" w:rsidRPr="002B1926">
        <w:rPr>
          <w:rFonts w:ascii="Arial" w:hAnsi="Arial" w:cs="Arial"/>
          <w:noProof/>
        </w:rPr>
        <w:t>(Buggle et al., 2008; Jipa, 2014; Lehmkuhl et al., 2021; Schatz et al., 2015; Smalley and Leach, 1978; Újvári et al., 2008; Újvári and Klötzli, 2015)</w:t>
      </w:r>
      <w:r w:rsidR="00852F61">
        <w:rPr>
          <w:rFonts w:ascii="Arial" w:hAnsi="Arial" w:cs="Arial"/>
        </w:rPr>
        <w:fldChar w:fldCharType="end"/>
      </w:r>
      <w:r w:rsidR="00852F61">
        <w:rPr>
          <w:rFonts w:ascii="Arial" w:hAnsi="Arial" w:cs="Arial"/>
        </w:rPr>
        <w:t xml:space="preserve"> are still debated, which impacts our understanding of sediment generation mechanisms</w:t>
      </w:r>
      <w:r w:rsidR="002B1926">
        <w:rPr>
          <w:rFonts w:ascii="Arial" w:hAnsi="Arial" w:cs="Arial"/>
        </w:rPr>
        <w:t xml:space="preserve"> and its regional dispersal by fluvial activity and other processes </w:t>
      </w:r>
      <w:r w:rsidR="002B1926">
        <w:rPr>
          <w:rFonts w:ascii="Arial" w:hAnsi="Arial" w:cs="Arial"/>
        </w:rPr>
        <w:fldChar w:fldCharType="begin" w:fldLock="1"/>
      </w:r>
      <w:r w:rsidR="00BA1FF5">
        <w:rPr>
          <w:rFonts w:ascii="Arial" w:hAnsi="Arial" w:cs="Arial"/>
        </w:rPr>
        <w:instrText>ADDIN CSL_CITATION {"citationItems":[{"id":"ITEM-1","itemData":{"DOI":"10.1016/j.gloplacha.2013.01.003","ISSN":"09218181","abstract":"A source to sink systemdescribes the natural link betweenmountains, plains and deltas, by analysing the (re)distribution ofmaterial at shallowcrustal depth and at the Earth's surface, exploring the links between coupled tectonic and surface processes. Sediment fluxes are the product of erosion and movement of material in and from sources (mountains), the transport and movement of sediments and solutes by river systems to the plains, and deposition and storage in sink zones. The ESF-EUROCORES TOPO-EUROPE SourceSink programme is a fully integrated research effort to significantly advance our predictive capabilities on the quantitative analyses of coupled active and past drainage systems bymeans of step-wise 4D reconstructions of sedimentsmass transfer, integrating geophysics, geology, geomorphology, state of the art high-resolution dating, and numerical and analoguemodelling. The area selected for this programme is the Danube River Basin-Black Sea source to sink system, aworld-class natural laboratory that is uniquely suited in the heart of Europe's topography, covering almost half of its surface, providing opportunities for excellent field sites to study in integration surface and subsurface data that cover the complete chain of source, carrier and sink. Quantifying andmodelling the complete systemin relation to the controlling parameters has resulted in significant understanding of forcing factors and linking temporal and spatial scales across multiple orogen and basin systems. This research has provided the opportunity to widen the geographical scope to other natural scenarios, where a number of mountain chains with similar geodynamic genesis separate sedimentary basins with comparable evolution. © 2013 Elsevier B.V. All rights reserved.","author":[{"dropping-particle":"","family":"Matenco","given":"Liviu","non-dropping-particle":"","parse-names":false,"suffix":""},{"dropping-particle":"","family":"Andriessen","given":"Paul A. M.","non-dropping-particle":"","parse-names":false,"suffix":""},{"dropping-particle":"","family":"Avram","given":"C.","non-dropping-particle":"","parse-names":false,"suffix":""},{"dropping-particle":"","family":"Bada","given":"Gábor","non-dropping-particle":"","parse-names":false,"suffix":""},{"dropping-particle":"","family":"Beekman","given":"F.","non-dropping-particle":"","parse-names":false,"suffix":""},{"dropping-particle":"","family":"Bielik","given":"M.","non-dropping-particle":"","parse-names":false,"suffix":""},{"dropping-particle":"","family":"Borgh","given":"M.","non-dropping-particle":"Ter","parse-names":false,"suffix":""},{"dropping-particle":"","family":"Cifci","given":"G.","non-dropping-particle":"","parse-names":false,"suffix":""},{"dropping-particle":"","family":"Cvetković","given":"Vladica","non-dropping-particle":"","parse-names":false,"suffix":""},{"dropping-particle":"","family":"Dinu","given":"C.","non-dropping-particle":"","parse-names":false,"suffix":""},{"dropping-particle":"","family":"Dombradi","given":"E.","non-dropping-particle":"","parse-names":false,"suffix":""},{"dropping-particle":"","family":"Dondurur","given":"D.","non-dropping-particle":"","parse-names":false,"suffix":""},{"dropping-particle":"","family":"Ergun","given":"M.","non-dropping-particle":"","parse-names":false,"suffix":""},{"dropping-particle":"","family":"Francu","given":"J.","non-dropping-particle":"","parse-names":false,"suffix":""},{"dropping-particle":"","family":"Fügenschuh","given":"Bernhard","non-dropping-particle":"","parse-names":false,"suffix":""},{"dropping-particle":"","family":"Garcia-Castellanos","given":"D.","non-dropping-particle":"","parse-names":false,"suffix":""},{"dropping-particle":"","family":"Götz","given":"J.","non-dropping-particle":"","parse-names":false,"suffix":""},{"dropping-particle":"","family":"Horváth","given":"Frank","non-dropping-particle":"","parse-names":false,"suffix":""},{"dropping-particle":"","family":"Houseman","given":"G.","non-dropping-particle":"","parse-names":false,"suffix":""},{"dropping-particle":"","family":"Knežević","given":"S.","non-dropping-particle":"","parse-names":false,"suffix":""},{"dropping-particle":"","family":"Kovac","given":"M.","non-dropping-particle":"","parse-names":false,"suffix":""},{"dropping-particle":"","family":"Kralikova","given":"S.","non-dropping-particle":"","parse-names":false,"suffix":""},{"dropping-particle":"","family":"Krijgsman","given":"W.","non-dropping-particle":"","parse-names":false,"suffix":""},{"dropping-particle":"","family":"Kucuk","given":"M.","non-dropping-particle":"","parse-names":false,"suffix":""},{"dropping-particle":"","family":"Legosteva","given":"O.","non-dropping-particle":"","parse-names":false,"suffix":""},{"dropping-particle":"","family":"Lericolais","given":"Gilles","non-dropping-particle":"","parse-names":false,"suffix":""},{"dropping-particle":"","family":"Jipa","given":"Dan C.","non-dropping-particle":"","parse-names":false,"suffix":""},{"dropping-particle":"","family":"Maximov","given":"G.","non-dropping-particle":"","parse-names":false,"suffix":""},{"dropping-particle":"","family":"Melinte","given":"M.","non-dropping-particle":"","parse-names":false,"suffix":""},{"dropping-particle":"","family":"Minar","given":"J.","non-dropping-particle":"","parse-names":false,"suffix":""},{"dropping-particle":"","family":"Munteanu","given":"I.","non-dropping-particle":"","parse-names":false,"suffix":""},{"dropping-particle":"","family":"Munt","given":"I. J.","non-dropping-particle":"","parse-names":false,"suffix":""},{"dropping-particle":"","family":"Olariu","given":"C.","non-dropping-particle":"","parse-names":false,"suffix":""},{"dropping-particle":"","family":"Otto","given":"J. C.","non-dropping-particle":"","parse-names":false,"suffix":""},{"dropping-particle":"","family":"Panin","given":"N.","non-dropping-particle":"","parse-names":false,"suffix":""},{"dropping-particle":"","family":"Plašienka","given":"Dušan","non-dropping-particle":"","parse-names":false,"suffix":""},{"dropping-particle":"","family":"Reiser","given":"M.","non-dropping-particle":"","parse-names":false,"suffix":""},{"dropping-particle":"","family":"Rundić","given":"L.","non-dropping-particle":"","parse-names":false,"suffix":""},{"dropping-particle":"","family":"Rupprechter","given":"M.","non-dropping-particle":"","parse-names":false,"suffix":""},{"dropping-particle":"","family":"Safanda","given":"J.","non-dropping-particle":"","parse-names":false,"suffix":""},{"dropping-particle":"","family":"Schmid","given":"Stefan Martin","non-dropping-particle":"","parse-names":false,"suffix":""},{"dropping-particle":"","family":"Schrott","given":"L.","non-dropping-particle":"","parse-names":false,"suffix":""},{"dropping-particle":"","family":"Schuster","given":"Ralf","non-dropping-particle":"","parse-names":false,"suffix":""},{"dropping-particle":"","family":"Starostenko","given":"V.","non-dropping-particle":"","parse-names":false,"suffix":""},{"dropping-particle":"","family":"Steel","given":"R. J.","non-dropping-particle":"","parse-names":false,"suffix":""},{"dropping-particle":"","family":"Stephenson","given":"Randell A.","non-dropping-particle":"","parse-names":false,"suffix":""},{"dropping-particle":"","family":"Stovba","given":"S.","non-dropping-particle":"","parse-names":false,"suffix":""},{"dropping-particle":"","family":"Sokoutis","given":"D.","non-dropping-particle":"","parse-names":false,"suffix":""},{"dropping-particle":"","family":"Stankoviansky","given":"M.","non-dropping-particle":"","parse-names":false,"suffix":""},{"dropping-particle":"","family":"Stoica","given":"Adriana M.","non-dropping-particle":"","parse-names":false,"suffix":""},{"dropping-particle":"","family":"Stojadinović","given":"Uroš","non-dropping-particle":"","parse-names":false,"suffix":""},{"dropping-particle":"","family":"Toljić","given":"Marinko","non-dropping-particle":"","parse-names":false,"suffix":""},{"dropping-particle":"","family":"Tomljenović","given":"Bruno","non-dropping-particle":"","parse-names":false,"suffix":""},{"dropping-particle":"","family":"Voorde","given":"M.","non-dropping-particle":"Ter","parse-names":false,"suffix":""},{"dropping-particle":"","family":"Wong","given":"H.","non-dropping-particle":"","parse-names":false,"suffix":""}],"container-title":"Global and Planetary Change","id":"ITEM-1","issue":"1","issued":{"date-parts":[["2013"]]},"page":"1-18","publisher":"Elsevier B.V.","title":"Quantifying the mass transfer from mountain ranges to deposition in sedimentary basins: Source to sink studies in the Danube basin-black sea system","type":"article-journal","volume":"103"},"uris":["http://www.mendeley.com/documents/?uuid=4c1a8188-4b94-4a22-acee-3d1b3be673e7"]}],"mendeley":{"formattedCitation":"(Matenco et al., 2013)","plainTextFormattedCitation":"(Matenco et al., 2013)","previouslyFormattedCitation":"(Matenco et al., 2013)"},"properties":{"noteIndex":0},"schema":"https://github.com/citation-style-language/schema/raw/master/csl-citation.json"}</w:instrText>
      </w:r>
      <w:r w:rsidR="002B1926">
        <w:rPr>
          <w:rFonts w:ascii="Arial" w:hAnsi="Arial" w:cs="Arial"/>
        </w:rPr>
        <w:fldChar w:fldCharType="separate"/>
      </w:r>
      <w:r w:rsidR="002B1926" w:rsidRPr="002B1926">
        <w:rPr>
          <w:rFonts w:ascii="Arial" w:hAnsi="Arial" w:cs="Arial"/>
          <w:noProof/>
        </w:rPr>
        <w:t>(Matenco et al., 2013)</w:t>
      </w:r>
      <w:r w:rsidR="002B1926">
        <w:rPr>
          <w:rFonts w:ascii="Arial" w:hAnsi="Arial" w:cs="Arial"/>
        </w:rPr>
        <w:fldChar w:fldCharType="end"/>
      </w:r>
      <w:r w:rsidR="00852F61">
        <w:rPr>
          <w:rFonts w:ascii="Arial" w:hAnsi="Arial" w:cs="Arial"/>
        </w:rPr>
        <w:t xml:space="preserve">. </w:t>
      </w:r>
      <w:bookmarkStart w:id="11" w:name="_Hlk64896794"/>
      <w:r w:rsidR="00FF65CF">
        <w:rPr>
          <w:rFonts w:ascii="Arial" w:hAnsi="Arial" w:cs="Arial"/>
        </w:rPr>
        <w:t>A</w:t>
      </w:r>
      <w:r w:rsidR="00077C5D">
        <w:rPr>
          <w:rFonts w:ascii="Arial" w:hAnsi="Arial" w:cs="Arial"/>
        </w:rPr>
        <w:t>dditionally a</w:t>
      </w:r>
      <w:r w:rsidR="00FF65CF">
        <w:rPr>
          <w:rFonts w:ascii="Arial" w:hAnsi="Arial" w:cs="Arial"/>
        </w:rPr>
        <w:t xml:space="preserve"> </w:t>
      </w:r>
      <w:r w:rsidR="00852F61">
        <w:rPr>
          <w:rFonts w:ascii="Arial" w:hAnsi="Arial" w:cs="Arial"/>
        </w:rPr>
        <w:t xml:space="preserve">lack of consensus over the </w:t>
      </w:r>
      <w:r w:rsidR="002B1926">
        <w:rPr>
          <w:rFonts w:ascii="Arial" w:hAnsi="Arial" w:cs="Arial"/>
        </w:rPr>
        <w:t xml:space="preserve">dynamics of the </w:t>
      </w:r>
      <w:r w:rsidR="00852F61">
        <w:rPr>
          <w:rFonts w:ascii="Arial" w:hAnsi="Arial" w:cs="Arial"/>
        </w:rPr>
        <w:t xml:space="preserve">secondary, geomorphological </w:t>
      </w:r>
      <w:r w:rsidR="002B1926">
        <w:rPr>
          <w:rFonts w:ascii="Arial" w:hAnsi="Arial" w:cs="Arial"/>
        </w:rPr>
        <w:t xml:space="preserve">sediment storage pools </w:t>
      </w:r>
      <w:r w:rsidR="00852F61">
        <w:rPr>
          <w:rFonts w:ascii="Arial" w:hAnsi="Arial" w:cs="Arial"/>
        </w:rPr>
        <w:t>(temporary holding areas)</w:t>
      </w:r>
      <w:r w:rsidR="002B1926">
        <w:rPr>
          <w:rFonts w:ascii="Arial" w:hAnsi="Arial" w:cs="Arial"/>
        </w:rPr>
        <w:t>,</w:t>
      </w:r>
      <w:r w:rsidR="00852F61">
        <w:rPr>
          <w:rFonts w:ascii="Arial" w:hAnsi="Arial" w:cs="Arial"/>
        </w:rPr>
        <w:t xml:space="preserve"> </w:t>
      </w:r>
      <w:r w:rsidR="00BF5F1A" w:rsidRPr="004F243C">
        <w:rPr>
          <w:rFonts w:ascii="Arial" w:hAnsi="Arial" w:cs="Arial"/>
        </w:rPr>
        <w:t xml:space="preserve">e.g. </w:t>
      </w:r>
      <w:r w:rsidR="002E753E">
        <w:rPr>
          <w:rFonts w:ascii="Arial" w:hAnsi="Arial" w:cs="Arial"/>
        </w:rPr>
        <w:t xml:space="preserve">deflation from </w:t>
      </w:r>
      <w:r w:rsidR="00BF5F1A" w:rsidRPr="004F243C">
        <w:rPr>
          <w:rFonts w:ascii="Arial" w:hAnsi="Arial" w:cs="Arial"/>
        </w:rPr>
        <w:t xml:space="preserve">river terraces, floodplains, periglacial </w:t>
      </w:r>
      <w:r w:rsidR="00A126E4">
        <w:rPr>
          <w:rFonts w:ascii="Arial" w:hAnsi="Arial" w:cs="Arial"/>
        </w:rPr>
        <w:t>environments</w:t>
      </w:r>
      <w:r w:rsidR="00A75C85">
        <w:rPr>
          <w:rFonts w:ascii="Arial" w:hAnsi="Arial" w:cs="Arial"/>
        </w:rPr>
        <w:t>,</w:t>
      </w:r>
      <w:r w:rsidR="00A126E4">
        <w:rPr>
          <w:rFonts w:ascii="Arial" w:hAnsi="Arial" w:cs="Arial"/>
        </w:rPr>
        <w:t xml:space="preserve"> or</w:t>
      </w:r>
      <w:r w:rsidR="00BF5F1A" w:rsidRPr="004F243C">
        <w:rPr>
          <w:rFonts w:ascii="Arial" w:hAnsi="Arial" w:cs="Arial"/>
        </w:rPr>
        <w:t xml:space="preserve"> glacially derived deposits</w:t>
      </w:r>
      <w:r w:rsidR="00D91CFF">
        <w:rPr>
          <w:rFonts w:ascii="Arial" w:hAnsi="Arial" w:cs="Arial"/>
        </w:rPr>
        <w:t xml:space="preserve"> </w:t>
      </w:r>
      <w:r w:rsidR="00BF5F1A" w:rsidRPr="004F243C">
        <w:rPr>
          <w:rFonts w:ascii="Arial" w:hAnsi="Arial" w:cs="Arial"/>
        </w:rPr>
        <w:fldChar w:fldCharType="begin" w:fldLock="1"/>
      </w:r>
      <w:r w:rsidR="00345B71">
        <w:rPr>
          <w:rFonts w:ascii="Arial" w:hAnsi="Arial" w:cs="Arial"/>
        </w:rPr>
        <w:instrText>ADDIN CSL_CITATION {"citationItems":[{"id":"ITEM-1","itemData":{"DOI":"10.1306/74d7153c-2b21-11d7-8648000102c1865d","ISSN":"1527-1404","author":[{"dropping-particle":"","family":"Smalley","given":"Ian J.","non-dropping-particle":"","parse-names":false,"suffix":""}],"container-title":"Journal of Sedimentary Research","id":"ITEM-1","issue":"3","issued":{"date-parts":[["1966"]]},"page":"669-676","title":"The Properties of Glacial Loess and the Formation of Loess Deposits","type":"article-journal","volume":"Vol. 36"},"uris":["http://www.mendeley.com/documents/?uuid=61e7f9af-64c9-4fb0-9e74-f7b0408eaffa"]},{"id":"ITEM-2","itemData":{"abstract":"Detailed mineralogical analysis of the fine and very fine sand fractions (63-250 pm) in the Dreihausen Loess Sequence shows the presence of numerous glacially crushed grains, including a significant amount of quartz. Previous theories regarding the origin of loesses in central Germany held that all sediments were derived locally, following short-distance transport from nearby sandstone outcrops. New data presented here show that many quartz and feldspar grains were glacially crushed, weathered, crushed again, transported, and emplaced by aeolian processes at Dreihausen. Crushing features observed are compatible with transport in both continental and alpine glaciers; some clasts show the effects of abrasion by both water and ice transport, while others are partly rounded presumably by Ruvial and/or aeolian processes. Stronger paleowind systems during the Pleistocene presumably contributed to the transport and emplacement of glacial grains from ice centers in both the Alps and the Baltic areas, and also possibly from the Rhine Basin.","author":[{"dropping-particle":"","family":"Mahaney","given":"William C.","non-dropping-particle":"","parse-names":false,"suffix":""},{"dropping-particle":"","family":"Andres","given":"Wolfgang","non-dropping-particle":"","parse-names":false,"suffix":""}],"container-title":"Boreas","id":"ITEM-2","issued":{"date-parts":[["1991"]]},"page":"231-239","title":"Glacially crushed quartz grains","type":"article-journal","volume":"20"},"uris":["http://www.mendeley.com/documents/?uuid=fbed379e-1367-44ab-9e6d-364c3ed16459"]},{"id":"ITEM-3","itemData":{"DOI":"10.1016/j.quaint.2012.06.019","ISSN":"10406182","abstract":"The classical research of Smalley and Leach, investigating the origin of silty material for loess, paid attention to its possible relationship with valleys of the major Central European rivers. In contrast to loess occurring adjacent to the rivers Rhine, Danube, or Dnieper, the origin of silty material in the Central European Highlands and to the Carpathians was not believed to be related to the river valleys, but rather to the extent of the Weichselian Glaciation. The sources of the silt were to be the periglacial deserts at the margins of ice sheets. However, the duration of the loess-forming processes significantly exceeded the time that the ice sheet resided on the Central European Lowlands. Investigations of Late Pleistocene localities in brown coal mines in Lusatia have shed new light on the locations from where the silty material was derived. Research in the Lusatian ice-marginal valley has documented the presence of a large river flowing through the area from Eemian to Late Pleniglacial times. As fluvial deposits now overlie fluvioglacial sediments of the Warthe Stage, a river flowed during post-glacial times through a depression constituted by the Wrocław-Magdeburg-Bremen ice-marginal valley. The deeply incised ice-marginal valley transformed into a fluvial tract. Analyses of sediments and landforms in Lusatia and western Silesia indicate that in Late Pleniglacial times, a radical change of the river network must have occurred in this area. The Odra River, which had earlier headed to the North Sea, was captured by a glacial river flowing in new-formed Baruth-Głogów ice-marginal valley during the Leszno/Brandenburg Phase of the Last Glaciation. At the end of the Last Glacial, the Odra diverted to the north and eventually flowed to the Baltic Sea. The change in the course of the major river caused its tributaries coming from the mountains to bury its former valley with sediments. Deposition of eroded and weathered material took place in the Great Odra Valley under highly changing climatic conditions. Under periglacial conditions, this dry fine-grained material was eroded, transported, and deposited on the areas in front of the mountains, forming the Northern Loess Belt. Its alimentation area was thus the valley of one of the longest European rivers, active from the Warthe Stage until the Late Pleniglacial times (MIS 2-6), and not only a periglacial desert at the foreland to the Last Glacial Maximum (LGM). © 2012 Elsevier Ltd and INQUA.","author":[{"dropping-particle":"","family":"Badura","given":"Janusz","non-dropping-particle":"","parse-names":false,"suffix":""},{"dropping-particle":"","family":"Jary","given":"Zdzisław","non-dropping-particle":"","parse-names":false,"suffix":""},{"dropping-particle":"","family":"Smalley","given":"Ian J.","non-dropping-particle":"","parse-names":false,"suffix":""}],"container-title":"Quaternary International","id":"ITEM-3","issued":{"date-parts":[["2013"]]},"page":"15-22","title":"Sources of loess material for deposits in Poland and parts of Central Europe: The lost Big River","type":"article-journal","volume":"296"},"uris":["http://www.mendeley.com/documents/?uuid=c86768e0-9e3c-4a87-92f3-757d688fdcdd"]},{"id":"ITEM-4","itemData":{"DOI":"10.1016/B978-0-12-374739-6.00302-X","ISBN":"9780080885223","abstract":"Loess is aeolian silt visible in the field as a sedimentary body. It covers a significant portion of the land surface of the Earth. Loess thickness, particle size, and carbonate content decrease downwind from sources, useful trends for paleowinds. Many loess sections consist of relatively thick deposits of mostly unaltered sediment with intercalated paleosols. Paleosols represent periods of landscape stability when loess deposition slowed significantly. Loess in most regions was deposited during glacial periods and paleosols formed during interglacial periods. Loess has the potential to record the timing and environment of glacial-interglacial cycles of the Quaternary on many continents. © 2013 Published by Elsevier Inc.","author":[{"dropping-particle":"","family":"Muhs","given":"Daniel R.","non-dropping-particle":"","parse-names":false,"suffix":""}],"container-title":"Treatise on Geomorphology","editor":[{"dropping-particle":"","family":"Shroder","given":"John F.","non-dropping-particle":"","parse-names":false,"suffix":""},{"dropping-particle":"","family":"Lancaster","given":"Nicholas","non-dropping-particle":"","parse-names":false,"suffix":""},{"dropping-particle":"","family":"Sherman","given":"Douglas J.","non-dropping-particle":"","parse-names":false,"suffix":""},{"dropping-particle":"","family":"Baas","given":"Andreas C. W.","non-dropping-particle":"","parse-names":false,"suffix":""}],"id":"ITEM-4","issued":{"date-parts":[["2013"]]},"page":"149-183","publisher":"Academic Press","title":"Loess and its Geomorphic, Stratigraphic, and Paleoclimatic Significance in the Quaternary","type":"chapter","volume":"11"},"uris":["http://www.mendeley.com/documents/?uuid=8ad68fc6-0287-4928-885f-874b7fd9f115"]}],"mendeley":{"formattedCitation":"(Badura et al., 2013; Mahaney and Andres, 1991; Muhs, 2013a; Smalley, 1966)","plainTextFormattedCitation":"(Badura et al., 2013; Mahaney and Andres, 1991; Muhs, 2013a; Smalley, 1966)","previouslyFormattedCitation":"(Badura et al., 2013; Mahaney and Andres, 1991; Muhs, 2013a; Smalley, 1966)"},"properties":{"noteIndex":0},"schema":"https://github.com/citation-style-language/schema/raw/master/csl-citation.json"}</w:instrText>
      </w:r>
      <w:r w:rsidR="00BF5F1A" w:rsidRPr="004F243C">
        <w:rPr>
          <w:rFonts w:ascii="Arial" w:hAnsi="Arial" w:cs="Arial"/>
        </w:rPr>
        <w:fldChar w:fldCharType="separate"/>
      </w:r>
      <w:r w:rsidR="00345B71" w:rsidRPr="00345B71">
        <w:rPr>
          <w:rFonts w:ascii="Arial" w:hAnsi="Arial" w:cs="Arial"/>
          <w:noProof/>
        </w:rPr>
        <w:t>(Badura et al., 2013; Mahaney and Andres, 1991; Muhs, 2013a; Smalley, 1966)</w:t>
      </w:r>
      <w:r w:rsidR="00BF5F1A" w:rsidRPr="004F243C">
        <w:rPr>
          <w:rFonts w:ascii="Arial" w:hAnsi="Arial" w:cs="Arial"/>
        </w:rPr>
        <w:fldChar w:fldCharType="end"/>
      </w:r>
      <w:r w:rsidR="00852F61">
        <w:rPr>
          <w:rFonts w:ascii="Arial" w:hAnsi="Arial" w:cs="Arial"/>
        </w:rPr>
        <w:t>,</w:t>
      </w:r>
      <w:r w:rsidR="00F2098B">
        <w:rPr>
          <w:rFonts w:ascii="Arial" w:hAnsi="Arial" w:cs="Arial"/>
        </w:rPr>
        <w:t xml:space="preserve"> </w:t>
      </w:r>
      <w:r w:rsidR="00077C5D">
        <w:rPr>
          <w:rFonts w:ascii="Arial" w:hAnsi="Arial" w:cs="Arial"/>
        </w:rPr>
        <w:t>further</w:t>
      </w:r>
      <w:r w:rsidR="005A31D6">
        <w:rPr>
          <w:rFonts w:ascii="Arial" w:hAnsi="Arial" w:cs="Arial"/>
        </w:rPr>
        <w:t xml:space="preserve"> hinders efforts to</w:t>
      </w:r>
      <w:r w:rsidR="002B1926">
        <w:rPr>
          <w:rFonts w:ascii="Arial" w:hAnsi="Arial" w:cs="Arial"/>
        </w:rPr>
        <w:t xml:space="preserve"> reliably constrain</w:t>
      </w:r>
      <w:r w:rsidR="00852F61">
        <w:rPr>
          <w:rFonts w:ascii="Arial" w:hAnsi="Arial" w:cs="Arial"/>
        </w:rPr>
        <w:t xml:space="preserve"> the sediment transport mechanisms</w:t>
      </w:r>
      <w:r w:rsidR="005A31D6">
        <w:rPr>
          <w:rFonts w:ascii="Arial" w:hAnsi="Arial" w:cs="Arial"/>
        </w:rPr>
        <w:t xml:space="preserve"> and pathways</w:t>
      </w:r>
      <w:bookmarkEnd w:id="11"/>
      <w:r w:rsidR="002B1926">
        <w:rPr>
          <w:rFonts w:ascii="Arial" w:hAnsi="Arial" w:cs="Arial"/>
        </w:rPr>
        <w:t xml:space="preserve"> of mineral particles (mainly silt-sized) forming loess deposits</w:t>
      </w:r>
      <w:r w:rsidR="00852F61">
        <w:rPr>
          <w:rFonts w:ascii="Arial" w:hAnsi="Arial" w:cs="Arial"/>
        </w:rPr>
        <w:t xml:space="preserve">. Together these </w:t>
      </w:r>
      <w:r w:rsidR="009613AF" w:rsidRPr="009613AF">
        <w:rPr>
          <w:rFonts w:ascii="Arial" w:hAnsi="Arial" w:cs="Arial"/>
        </w:rPr>
        <w:t>supposition</w:t>
      </w:r>
      <w:r w:rsidR="00FF65CF">
        <w:rPr>
          <w:rFonts w:ascii="Arial" w:hAnsi="Arial" w:cs="Arial"/>
        </w:rPr>
        <w:t>s</w:t>
      </w:r>
      <w:r w:rsidR="00852F61">
        <w:rPr>
          <w:rFonts w:ascii="Arial" w:hAnsi="Arial" w:cs="Arial"/>
        </w:rPr>
        <w:t xml:space="preserve"> </w:t>
      </w:r>
      <w:r w:rsidR="003B63F8">
        <w:rPr>
          <w:rFonts w:ascii="Arial" w:hAnsi="Arial" w:cs="Arial"/>
        </w:rPr>
        <w:t>limit</w:t>
      </w:r>
      <w:r w:rsidR="00D77B0B">
        <w:rPr>
          <w:rFonts w:ascii="Arial" w:hAnsi="Arial" w:cs="Arial"/>
        </w:rPr>
        <w:t xml:space="preserve"> the application of</w:t>
      </w:r>
      <w:r w:rsidR="003B63F8">
        <w:rPr>
          <w:rFonts w:ascii="Arial" w:hAnsi="Arial" w:cs="Arial"/>
        </w:rPr>
        <w:t xml:space="preserve"> loess</w:t>
      </w:r>
      <w:r w:rsidR="004F243C">
        <w:rPr>
          <w:rFonts w:ascii="Arial" w:hAnsi="Arial" w:cs="Arial"/>
        </w:rPr>
        <w:t xml:space="preserve"> </w:t>
      </w:r>
      <w:r w:rsidR="00D77B0B">
        <w:rPr>
          <w:rFonts w:ascii="Arial" w:hAnsi="Arial" w:cs="Arial"/>
        </w:rPr>
        <w:t>studies to furthering our</w:t>
      </w:r>
      <w:r w:rsidR="004F243C" w:rsidRPr="004F243C">
        <w:rPr>
          <w:rFonts w:ascii="Arial" w:hAnsi="Arial" w:cs="Arial"/>
        </w:rPr>
        <w:t xml:space="preserve"> understanding </w:t>
      </w:r>
      <w:r w:rsidR="002B1926">
        <w:rPr>
          <w:rFonts w:ascii="Arial" w:hAnsi="Arial" w:cs="Arial"/>
        </w:rPr>
        <w:t xml:space="preserve">of </w:t>
      </w:r>
      <w:r w:rsidR="00C5593C">
        <w:rPr>
          <w:rFonts w:ascii="Arial" w:hAnsi="Arial" w:cs="Arial"/>
        </w:rPr>
        <w:t xml:space="preserve">atmospheric </w:t>
      </w:r>
      <w:r w:rsidR="004F243C" w:rsidRPr="004F243C">
        <w:rPr>
          <w:rFonts w:ascii="Arial" w:hAnsi="Arial" w:cs="Arial"/>
        </w:rPr>
        <w:t xml:space="preserve">dust </w:t>
      </w:r>
      <w:r w:rsidR="00C5593C">
        <w:rPr>
          <w:rFonts w:ascii="Arial" w:hAnsi="Arial" w:cs="Arial"/>
        </w:rPr>
        <w:t>activity and impedes interpretation of certain loess environmental proxies such as grain-size</w:t>
      </w:r>
      <w:r w:rsidR="004F243C" w:rsidRPr="004F243C">
        <w:rPr>
          <w:rFonts w:ascii="Arial" w:hAnsi="Arial" w:cs="Arial"/>
        </w:rPr>
        <w:t>.</w:t>
      </w:r>
      <w:r w:rsidR="004F243C">
        <w:rPr>
          <w:rFonts w:ascii="Arial" w:hAnsi="Arial" w:cs="Arial"/>
        </w:rPr>
        <w:t xml:space="preserve"> </w:t>
      </w:r>
    </w:p>
    <w:p w14:paraId="66D94693" w14:textId="72D6A974" w:rsidR="00E51566" w:rsidRDefault="00A75C85" w:rsidP="00614941">
      <w:pPr>
        <w:spacing w:before="120" w:after="120" w:line="480" w:lineRule="auto"/>
        <w:jc w:val="both"/>
        <w:rPr>
          <w:rFonts w:ascii="Arial" w:hAnsi="Arial" w:cs="Arial"/>
        </w:rPr>
      </w:pPr>
      <w:r>
        <w:rPr>
          <w:rFonts w:ascii="Arial" w:hAnsi="Arial" w:cs="Arial"/>
        </w:rPr>
        <w:t>While debate still persist</w:t>
      </w:r>
      <w:r w:rsidR="00FF65CF">
        <w:rPr>
          <w:rFonts w:ascii="Arial" w:hAnsi="Arial" w:cs="Arial"/>
        </w:rPr>
        <w:t>s</w:t>
      </w:r>
      <w:r>
        <w:rPr>
          <w:rFonts w:ascii="Arial" w:hAnsi="Arial" w:cs="Arial"/>
        </w:rPr>
        <w:t xml:space="preserve"> in the literature, g</w:t>
      </w:r>
      <w:r w:rsidR="00D77B0B">
        <w:rPr>
          <w:rFonts w:ascii="Arial" w:hAnsi="Arial" w:cs="Arial"/>
        </w:rPr>
        <w:t>laci</w:t>
      </w:r>
      <w:r w:rsidR="00EC2F31">
        <w:rPr>
          <w:rFonts w:ascii="Arial" w:hAnsi="Arial" w:cs="Arial"/>
        </w:rPr>
        <w:t xml:space="preserve">al grinding </w:t>
      </w:r>
      <w:r w:rsidR="006236F7">
        <w:rPr>
          <w:rFonts w:ascii="Arial" w:hAnsi="Arial" w:cs="Arial"/>
        </w:rPr>
        <w:t>and cold-climate weathering processes</w:t>
      </w:r>
      <w:r>
        <w:rPr>
          <w:rFonts w:ascii="Arial" w:hAnsi="Arial" w:cs="Arial"/>
        </w:rPr>
        <w:t xml:space="preserve"> are </w:t>
      </w:r>
      <w:r w:rsidR="00A126E4">
        <w:rPr>
          <w:rFonts w:ascii="Arial" w:hAnsi="Arial" w:cs="Arial"/>
        </w:rPr>
        <w:t xml:space="preserve">widely </w:t>
      </w:r>
      <w:r>
        <w:rPr>
          <w:rFonts w:ascii="Arial" w:hAnsi="Arial" w:cs="Arial"/>
        </w:rPr>
        <w:t>thought</w:t>
      </w:r>
      <w:r w:rsidR="00A126E4">
        <w:rPr>
          <w:rFonts w:ascii="Arial" w:hAnsi="Arial" w:cs="Arial"/>
        </w:rPr>
        <w:t xml:space="preserve"> to be </w:t>
      </w:r>
      <w:r w:rsidR="00EC2F31">
        <w:rPr>
          <w:rFonts w:ascii="Arial" w:hAnsi="Arial" w:cs="Arial"/>
        </w:rPr>
        <w:t xml:space="preserve">the </w:t>
      </w:r>
      <w:r w:rsidR="00A126E4">
        <w:rPr>
          <w:rFonts w:ascii="Arial" w:hAnsi="Arial" w:cs="Arial"/>
        </w:rPr>
        <w:t>primary</w:t>
      </w:r>
      <w:r w:rsidR="00947958">
        <w:rPr>
          <w:rFonts w:ascii="Arial" w:hAnsi="Arial" w:cs="Arial"/>
        </w:rPr>
        <w:t xml:space="preserve"> </w:t>
      </w:r>
      <w:r w:rsidR="00EC2F31">
        <w:rPr>
          <w:rFonts w:ascii="Arial" w:hAnsi="Arial" w:cs="Arial"/>
        </w:rPr>
        <w:t>process</w:t>
      </w:r>
      <w:r w:rsidR="00FF65CF">
        <w:rPr>
          <w:rFonts w:ascii="Arial" w:hAnsi="Arial" w:cs="Arial"/>
        </w:rPr>
        <w:t>es</w:t>
      </w:r>
      <w:r w:rsidR="00A126E4">
        <w:rPr>
          <w:rFonts w:ascii="Arial" w:hAnsi="Arial" w:cs="Arial"/>
        </w:rPr>
        <w:t xml:space="preserve"> generat</w:t>
      </w:r>
      <w:r w:rsidR="000031FA">
        <w:rPr>
          <w:rFonts w:ascii="Arial" w:hAnsi="Arial" w:cs="Arial"/>
        </w:rPr>
        <w:t>ing</w:t>
      </w:r>
      <w:r w:rsidR="00A126E4">
        <w:rPr>
          <w:rFonts w:ascii="Arial" w:hAnsi="Arial" w:cs="Arial"/>
        </w:rPr>
        <w:t xml:space="preserve"> the fine particles that </w:t>
      </w:r>
      <w:r w:rsidR="002B1926">
        <w:rPr>
          <w:rFonts w:ascii="Arial" w:hAnsi="Arial" w:cs="Arial"/>
        </w:rPr>
        <w:t xml:space="preserve">form </w:t>
      </w:r>
      <w:r w:rsidR="00A126E4">
        <w:rPr>
          <w:rFonts w:ascii="Arial" w:hAnsi="Arial" w:cs="Arial"/>
        </w:rPr>
        <w:t>loess</w:t>
      </w:r>
      <w:r w:rsidR="00EC2F31">
        <w:rPr>
          <w:rFonts w:ascii="Arial" w:hAnsi="Arial" w:cs="Arial"/>
        </w:rPr>
        <w:t>, especially in high latitudes</w:t>
      </w:r>
      <w:r>
        <w:rPr>
          <w:rFonts w:ascii="Arial" w:hAnsi="Arial" w:cs="Arial"/>
        </w:rPr>
        <w:t xml:space="preserve"> </w:t>
      </w:r>
      <w:r w:rsidR="00B4765A">
        <w:rPr>
          <w:rFonts w:ascii="Arial" w:hAnsi="Arial" w:cs="Arial"/>
        </w:rPr>
        <w:t xml:space="preserve">and mountain environments </w:t>
      </w:r>
      <w:r w:rsidR="00E51566" w:rsidRPr="004043FB">
        <w:rPr>
          <w:rFonts w:ascii="Arial" w:hAnsi="Arial" w:cs="Arial"/>
        </w:rPr>
        <w:fldChar w:fldCharType="begin" w:fldLock="1"/>
      </w:r>
      <w:r w:rsidR="00235524">
        <w:rPr>
          <w:rFonts w:ascii="Arial" w:hAnsi="Arial" w:cs="Arial"/>
        </w:rPr>
        <w:instrText>ADDIN CSL_CITATION {"citationItems":[{"id":"ITEM-1","itemData":{"DOI":"10.1306/74d7153c-2b21-11d7-8648000102c1865d","ISSN":"1527-1404","author":[{"dropping-particle":"","family":"Smalley","given":"Ian J.","non-dropping-particle":"","parse-names":false,"suffix":""}],"container-title":"Journal of Sedimentary Research","id":"ITEM-1","issue":"3","issued":{"date-parts":[["1966"]]},"page":"669-676","title":"The Properties of Glacial Loess and the Formation of Loess Deposits","type":"article-journal","volume":"Vol. 36"},"uris":["http://www.mendeley.com/documents/?uuid=61e7f9af-64c9-4fb0-9e74-f7b0408eaffa"]},{"id":"ITEM-2","itemData":{"abstract":"Detailed mineralogical analysis of the fine and very fine sand fractions (63-250 pm) in the Dreihausen Loess Sequence shows the presence of numerous glacially crushed grains, including a significant amount of quartz. Previous theories regarding the origin of loesses in central Germany held that all sediments were derived locally, following short-distance transport from nearby sandstone outcrops. New data presented here show that many quartz and feldspar grains were glacially crushed, weathered, crushed again, transported, and emplaced by aeolian processes at Dreihausen. Crushing features observed are compatible with transport in both continental and alpine glaciers; some clasts show the effects of abrasion by both water and ice transport, while others are partly rounded presumably by Ruvial and/or aeolian processes. Stronger paleowind systems during the Pleistocene presumably contributed to the transport and emplacement of glacial grains from ice centers in both the Alps and the Baltic areas, and also possibly from the Rhine Basin.","author":[{"dropping-particle":"","family":"Mahaney","given":"William C.","non-dropping-particle":"","parse-names":false,"suffix":""},{"dropping-particle":"","family":"Andres","given":"Wolfgang","non-dropping-particle":"","parse-names":false,"suffix":""}],"container-title":"Boreas","id":"ITEM-2","issued":{"date-parts":[["1991"]]},"page":"231-239","title":"Glacially crushed quartz grains","type":"article-journal","volume":"20"},"uris":["http://www.mendeley.com/documents/?uuid=fbed379e-1367-44ab-9e6d-364c3ed16459"]},{"id":"ITEM-3","itemData":{"DOI":"10.1016/j.aeolia.2012.08.001","ISBN":"1875-9637","ISSN":"18759637","abstract":"Study of geologic records of dust composition, sources and deposition rates is important for understanding the role of dust in the overall planetary radiation balance, fertilization of organisms in the world's oceans, nutrient additions to the terrestrial biosphere and soils, and for paleoclimatic reconstructions. Both glacial and non-glacial processes produce fine-grained particles that can be transported by the wind. Geologic records of dust flux occur in a number of depositional archives for sediments: (1) loess deposits; (2) lake sediments; (3) soils; (4) deep-ocean basins; and (5) ice sheets and smaller glaciers. These archives have several characteristics that make them highly suitable for understanding the dynamics of dust entrainment, transport, and deposition. First, they are often distributed over wide geographic areas, which permits reconstruction of spatial variation of dust flux. Second, a number of dating methods can be applied to sediment archives, which allows identification of specific periods of greater or lesser dust flux. Third, aeolian sediment particle size and composition can be determined so that dust source areas can be ascertained and dust transport pathways can be reconstructed. Over much of the Earth's surface, dust deposition rates were greater during the last glacial period than during the present interglacial period. A dustier Earth during glacial periods is likely due to increased source areas, greater aridity, less vegetation, lower soil moisture, possibly stronger winds, a decreased intensity of the hydrologic cycle, and greater production of dust-sized particles from expanded ice sheets and glaciers. © 2012 .","author":[{"dropping-particle":"","family":"Muhs","given":"Daniel R.","non-dropping-particle":"","parse-names":false,"suffix":""}],"container-title":"Aeolian Research","id":"ITEM-3","issued":{"date-parts":[["2013"]]},"page":"3-48","publisher":"Elsevier B.V.","title":"The geologic records of dust in the Quaternary","type":"article-journal","volume":"9"},"uris":["http://www.mendeley.com/documents/?uuid=669c882c-0b14-43a3-8b0e-3c292fa159b6"]},{"id":"ITEM-4","itemData":{"DOI":"10.1002/esp.3315","ISSN":"01979337","abstract":"The importance of glacigenic dust in the Earth's system during glacial periods is widely acknowledged. Under contemporary conditions, the world's largest dust sources are in low-lying, hot, arid regions and this is where most aeolian research is focused. However the processes of dust production and emissions are still operating in cold climate regions, particularly in proglacial areas. This paper assesses current understanding of the relationship between glacierised landscapes and dust emissions and inputs to the global dust cycle. It focuses on how elements in the glacial and aeolian geomorphic sub-systems interact to determine the magnitude, frequency and timing of aeolian dust emissions, and on feedback mechanisms between the systems. Where they have been measured, dust emission intensity and deposition rates in glacierised catchments are very high, in some cases far exceeding those in lower latitudes, however, few studies span long time scales. The impact of future glacier retreat on the balance between sediment supply, availability and aeolian transport capacity and implications for glacigenic dust emissions is also considered. This balance depends on relative spatial and temporal changes in meltwater suspended sediment concentration and wind strengths, which promote dust emissions, and patterns and rates of soil development and vegetation succession on recently-deglaciated terrain which protect sediments from deflation. Retreat of the Antarctic ice sheet could mean that in future glacigenic contributions to the dust cycle exceed those of non-glacigenic sources in the southern hemisphere. © 2012 John Wiley &amp; Sons, Ltd.","author":[{"dropping-particle":"","family":"Bullard","given":"Joanna E.","non-dropping-particle":"","parse-names":false,"suffix":""}],"container-title":"Earth Surface Processes and Landforms","id":"ITEM-4","issued":{"date-parts":[["2013"]]},"page":"71-89","title":"Contemporary glacigenic inputs to the dust cycle","type":"article-journal","volume":"38"},"uris":["http://www.mendeley.com/documents/?uuid=5d09e41e-2f29-4d05-98be-0018f1cccfaa"]}],"mendeley":{"formattedCitation":"(Bullard, 2013; Mahaney and Andres, 1991; Muhs, 2013b; Smalley, 1966)","plainTextFormattedCitation":"(Bullard, 2013; Mahaney and Andres, 1991; Muhs, 2013b; Smalley, 1966)","previouslyFormattedCitation":"(Bullard, 2013; Mahaney and Andres, 1991; Muhs, 2013b; Smalley, 1966)"},"properties":{"noteIndex":0},"schema":"https://github.com/citation-style-language/schema/raw/master/csl-citation.json"}</w:instrText>
      </w:r>
      <w:r w:rsidR="00E51566" w:rsidRPr="004043FB">
        <w:rPr>
          <w:rFonts w:ascii="Arial" w:hAnsi="Arial" w:cs="Arial"/>
        </w:rPr>
        <w:fldChar w:fldCharType="separate"/>
      </w:r>
      <w:r w:rsidR="002E753E" w:rsidRPr="002E753E">
        <w:rPr>
          <w:rFonts w:ascii="Arial" w:hAnsi="Arial" w:cs="Arial"/>
          <w:noProof/>
        </w:rPr>
        <w:t>(Bullard, 2013; Mahaney and Andres, 1991; Muhs, 2013b; Smalley, 1966)</w:t>
      </w:r>
      <w:r w:rsidR="00E51566" w:rsidRPr="004043FB">
        <w:rPr>
          <w:rFonts w:ascii="Arial" w:hAnsi="Arial" w:cs="Arial"/>
        </w:rPr>
        <w:fldChar w:fldCharType="end"/>
      </w:r>
      <w:r w:rsidR="00E51566">
        <w:rPr>
          <w:rFonts w:ascii="Arial" w:hAnsi="Arial" w:cs="Arial"/>
        </w:rPr>
        <w:t>.</w:t>
      </w:r>
      <w:r w:rsidR="00E51566" w:rsidRPr="004043FB">
        <w:rPr>
          <w:rFonts w:ascii="Arial" w:hAnsi="Arial" w:cs="Arial"/>
        </w:rPr>
        <w:t xml:space="preserve"> </w:t>
      </w:r>
      <w:bookmarkStart w:id="12" w:name="_Hlk64896964"/>
      <w:r w:rsidR="00E51566" w:rsidRPr="004043FB">
        <w:rPr>
          <w:rFonts w:ascii="Arial" w:hAnsi="Arial" w:cs="Arial"/>
        </w:rPr>
        <w:t xml:space="preserve">Consequently, </w:t>
      </w:r>
      <w:r w:rsidR="00052388" w:rsidRPr="00052388">
        <w:rPr>
          <w:rFonts w:ascii="Arial" w:hAnsi="Arial" w:cs="Arial"/>
        </w:rPr>
        <w:t>glacial grinding under</w:t>
      </w:r>
      <w:r w:rsidR="00052388">
        <w:rPr>
          <w:rFonts w:ascii="Arial" w:hAnsi="Arial" w:cs="Arial"/>
        </w:rPr>
        <w:t xml:space="preserve"> </w:t>
      </w:r>
      <w:r w:rsidR="00E51566" w:rsidRPr="004043FB">
        <w:rPr>
          <w:rFonts w:ascii="Arial" w:hAnsi="Arial" w:cs="Arial"/>
        </w:rPr>
        <w:t xml:space="preserve">the Fennoscandian Ice-Sheet </w:t>
      </w:r>
      <w:r w:rsidR="00077C5D">
        <w:rPr>
          <w:rFonts w:ascii="Arial" w:hAnsi="Arial" w:cs="Arial"/>
        </w:rPr>
        <w:t xml:space="preserve">was seen as </w:t>
      </w:r>
      <w:r w:rsidR="00077C5D" w:rsidRPr="004043FB">
        <w:rPr>
          <w:rFonts w:ascii="Arial" w:hAnsi="Arial" w:cs="Arial"/>
        </w:rPr>
        <w:t>capable of generating large quantities</w:t>
      </w:r>
      <w:r w:rsidR="00077C5D">
        <w:rPr>
          <w:rFonts w:ascii="Arial" w:hAnsi="Arial" w:cs="Arial"/>
        </w:rPr>
        <w:t xml:space="preserve"> of silt size sediment. As a result</w:t>
      </w:r>
      <w:r w:rsidR="002B1926">
        <w:rPr>
          <w:rFonts w:ascii="Arial" w:hAnsi="Arial" w:cs="Arial"/>
        </w:rPr>
        <w:t>,</w:t>
      </w:r>
      <w:r w:rsidR="00077C5D">
        <w:rPr>
          <w:rFonts w:ascii="Arial" w:hAnsi="Arial" w:cs="Arial"/>
        </w:rPr>
        <w:t xml:space="preserve"> the Scandinavian Mountains and Shield were </w:t>
      </w:r>
      <w:r w:rsidR="00E51566">
        <w:rPr>
          <w:rFonts w:ascii="Arial" w:hAnsi="Arial" w:cs="Arial"/>
        </w:rPr>
        <w:t>proposed</w:t>
      </w:r>
      <w:r w:rsidR="00D77B0B">
        <w:rPr>
          <w:rFonts w:ascii="Arial" w:hAnsi="Arial" w:cs="Arial"/>
        </w:rPr>
        <w:t xml:space="preserve"> as an important </w:t>
      </w:r>
      <w:r w:rsidR="00077C5D">
        <w:rPr>
          <w:rFonts w:ascii="Arial" w:hAnsi="Arial" w:cs="Arial"/>
        </w:rPr>
        <w:t>source area</w:t>
      </w:r>
      <w:r w:rsidR="003245F2">
        <w:rPr>
          <w:rFonts w:ascii="Arial" w:hAnsi="Arial" w:cs="Arial"/>
        </w:rPr>
        <w:t xml:space="preserve"> of Danubian loess</w:t>
      </w:r>
      <w:r w:rsidR="004568CA">
        <w:rPr>
          <w:rFonts w:ascii="Arial" w:hAnsi="Arial" w:cs="Arial"/>
        </w:rPr>
        <w:t xml:space="preserve"> </w:t>
      </w:r>
      <w:r w:rsidR="004568CA" w:rsidRPr="004043FB">
        <w:rPr>
          <w:rFonts w:ascii="Arial" w:hAnsi="Arial" w:cs="Arial"/>
        </w:rPr>
        <w:fldChar w:fldCharType="begin" w:fldLock="1"/>
      </w:r>
      <w:r w:rsidR="004568CA">
        <w:rPr>
          <w:rFonts w:ascii="Arial" w:hAnsi="Arial" w:cs="Arial"/>
        </w:rPr>
        <w:instrText>ADDIN CSL_CITATION {"citationItems":[{"id":"ITEM-1","itemData":{"DOI":"10.1016/0037-0738(78)90031-3","ISBN":"0037-0738","ISSN":"00370738","abstract":"Within the Danube basin significant loess deposits are located: 1. (1) north of the Alps, near the western end of the basin, 2. (2) around Vienna and stretching away in a northeasterly direction through the Moravian depression, 3. (3) on either side of the south-flowing Danube in Hungary and in northern Yugoslavia, and 4. (4) on the Walachian plain between Romania and Bulgaria. These deposits can be distinguished from the belt of glacial loess extending roughly west-east from Paris/Brussels via Köln, Leipzig, Wroclaw to Krakow and beyond, and obviously related to the North European glaciations. Other sources of material must be invoked to explain the presence of loess (and loess-like sediments) in the Danube basin. Material comes from three major sources: 1. (1) the Alpine glaciers, 2. (2) North European glacial debris carried through the Moravian depression by meltwater, and 3. (3) silt derived from flysch and related rocks in the Carpathian mountains. There is no simple primary loess in the Danube basin in any significant amount; deposits of typical aeolian loess which do exist are often derived from Danube floodplains and formed from material from several sources. This is particularly true of the deposits in the lower Danube region (on the Walachian plain). Since the deposits in the Danube basin are so diverse in type and origin particular care is needed in the use of loess terms and in chronological and stratigraphic investigations. This is particularly so since several countries are involved and national usage tends to differ in many ways. A particular problem is to distinguish (physically and terminologically) materials which have been derived from a typical loess by some ‘degradation’ process and materials which have never been a true loess but have assumed certain loessic characteristics by soil-forming processes. This occurs particularly in the Pannonian basin where there is an abundance of weathered material.","author":[{"dropping-particle":"","family":"Smalley","given":"Ian J.","non-dropping-particle":"","parse-names":false,"suffix":""},{"dropping-particle":"","family":"Leach","given":"J. A.","non-dropping-particle":"","parse-names":false,"suffix":""}],"container-title":"Sedimentary Geology","id":"ITEM-1","issue":"1","issued":{"date-parts":[["1978"]]},"page":"1-26","title":"The origin and distribution of the loess in the Danube basin and associated regions of East-Central Europe — A review","type":"article-journal","volume":"21"},"uris":["http://www.mendeley.com/documents/?uuid=0abdb656-7475-420e-973b-31f43619db05"]}],"mendeley":{"formattedCitation":"(Smalley and Leach, 1978)","plainTextFormattedCitation":"(Smalley and Leach, 1978)","previouslyFormattedCitation":"(Smalley and Leach, 1978)"},"properties":{"noteIndex":0},"schema":"https://github.com/citation-style-language/schema/raw/master/csl-citation.json"}</w:instrText>
      </w:r>
      <w:r w:rsidR="004568CA" w:rsidRPr="004043FB">
        <w:rPr>
          <w:rFonts w:ascii="Arial" w:hAnsi="Arial" w:cs="Arial"/>
        </w:rPr>
        <w:fldChar w:fldCharType="separate"/>
      </w:r>
      <w:r w:rsidR="004568CA" w:rsidRPr="008612C3">
        <w:rPr>
          <w:rFonts w:ascii="Arial" w:hAnsi="Arial" w:cs="Arial"/>
          <w:noProof/>
        </w:rPr>
        <w:t>(Smalley and Leach, 1978)</w:t>
      </w:r>
      <w:r w:rsidR="004568CA" w:rsidRPr="004043FB">
        <w:rPr>
          <w:rFonts w:ascii="Arial" w:hAnsi="Arial" w:cs="Arial"/>
        </w:rPr>
        <w:fldChar w:fldCharType="end"/>
      </w:r>
      <w:r w:rsidR="00E51566" w:rsidRPr="004043FB">
        <w:rPr>
          <w:rFonts w:ascii="Arial" w:hAnsi="Arial" w:cs="Arial"/>
        </w:rPr>
        <w:t xml:space="preserve">, </w:t>
      </w:r>
      <w:r w:rsidR="00077C5D">
        <w:rPr>
          <w:rFonts w:ascii="Arial" w:hAnsi="Arial" w:cs="Arial"/>
        </w:rPr>
        <w:t>with sediment</w:t>
      </w:r>
      <w:r w:rsidR="004568CA">
        <w:rPr>
          <w:rFonts w:ascii="Arial" w:hAnsi="Arial" w:cs="Arial"/>
        </w:rPr>
        <w:t xml:space="preserve"> deliver</w:t>
      </w:r>
      <w:r w:rsidR="00077C5D">
        <w:rPr>
          <w:rFonts w:ascii="Arial" w:hAnsi="Arial" w:cs="Arial"/>
        </w:rPr>
        <w:t>ed by</w:t>
      </w:r>
      <w:r w:rsidR="004568CA">
        <w:rPr>
          <w:rFonts w:ascii="Arial" w:hAnsi="Arial" w:cs="Arial"/>
        </w:rPr>
        <w:t xml:space="preserve"> </w:t>
      </w:r>
      <w:r w:rsidR="004568CA" w:rsidRPr="004043FB">
        <w:rPr>
          <w:rFonts w:ascii="Arial" w:hAnsi="Arial" w:cs="Arial"/>
        </w:rPr>
        <w:t xml:space="preserve">glacial meltwater into the Danube River </w:t>
      </w:r>
      <w:r w:rsidR="00214929">
        <w:rPr>
          <w:rFonts w:ascii="Arial" w:hAnsi="Arial" w:cs="Arial"/>
        </w:rPr>
        <w:t>catchment area</w:t>
      </w:r>
      <w:r w:rsidR="00214929" w:rsidRPr="004043FB">
        <w:rPr>
          <w:rFonts w:ascii="Arial" w:hAnsi="Arial" w:cs="Arial"/>
        </w:rPr>
        <w:t xml:space="preserve"> </w:t>
      </w:r>
      <w:r w:rsidR="004568CA" w:rsidRPr="004043FB">
        <w:rPr>
          <w:rFonts w:ascii="Arial" w:hAnsi="Arial" w:cs="Arial"/>
        </w:rPr>
        <w:t>via the Moravian depression</w:t>
      </w:r>
      <w:bookmarkEnd w:id="12"/>
      <w:r w:rsidR="004568CA">
        <w:rPr>
          <w:rFonts w:ascii="Arial" w:hAnsi="Arial" w:cs="Arial"/>
        </w:rPr>
        <w:t>.</w:t>
      </w:r>
      <w:r>
        <w:rPr>
          <w:rFonts w:ascii="Arial" w:hAnsi="Arial" w:cs="Arial"/>
        </w:rPr>
        <w:t xml:space="preserve"> H</w:t>
      </w:r>
      <w:r w:rsidR="00BC2A04">
        <w:rPr>
          <w:rFonts w:ascii="Arial" w:hAnsi="Arial" w:cs="Arial"/>
        </w:rPr>
        <w:t>owever</w:t>
      </w:r>
      <w:r w:rsidR="00D77B0B">
        <w:rPr>
          <w:rFonts w:ascii="Arial" w:hAnsi="Arial" w:cs="Arial"/>
        </w:rPr>
        <w:t>,</w:t>
      </w:r>
      <w:r w:rsidR="004C339E">
        <w:rPr>
          <w:rFonts w:ascii="Arial" w:hAnsi="Arial" w:cs="Arial"/>
        </w:rPr>
        <w:t xml:space="preserve"> </w:t>
      </w:r>
      <w:r w:rsidR="004C339E">
        <w:rPr>
          <w:rFonts w:ascii="Arial" w:hAnsi="Arial" w:cs="Arial"/>
        </w:rPr>
        <w:lastRenderedPageBreak/>
        <w:t xml:space="preserve">based on </w:t>
      </w:r>
      <w:r w:rsidR="009F3DC0">
        <w:rPr>
          <w:rFonts w:ascii="Arial" w:hAnsi="Arial" w:cs="Arial"/>
        </w:rPr>
        <w:t>loess</w:t>
      </w:r>
      <w:r w:rsidR="004C339E">
        <w:rPr>
          <w:rFonts w:ascii="Arial" w:hAnsi="Arial" w:cs="Arial"/>
        </w:rPr>
        <w:t xml:space="preserve"> bulk sample geochemistry</w:t>
      </w:r>
      <w:r w:rsidR="00947958">
        <w:rPr>
          <w:rFonts w:ascii="Arial" w:hAnsi="Arial" w:cs="Arial"/>
        </w:rPr>
        <w:t>,</w:t>
      </w:r>
      <w:r w:rsidR="00BC2A04">
        <w:rPr>
          <w:rFonts w:ascii="Arial" w:hAnsi="Arial" w:cs="Arial"/>
        </w:rPr>
        <w:t xml:space="preserve"> </w:t>
      </w:r>
      <w:r w:rsidR="00BC2A04" w:rsidRPr="004043FB">
        <w:rPr>
          <w:rFonts w:ascii="Arial" w:hAnsi="Arial" w:cs="Arial"/>
        </w:rPr>
        <w:fldChar w:fldCharType="begin" w:fldLock="1"/>
      </w:r>
      <w:r w:rsidR="004F5F90">
        <w:rPr>
          <w:rFonts w:ascii="Arial" w:hAnsi="Arial" w:cs="Arial"/>
        </w:rPr>
        <w:instrText>ADDIN CSL_CITATION {"citationItems":[{"id":"ITEM-1","itemData":{"DOI":"10.1016/j.quascirev.2008.01.018","ISBN":"0277-3791","ISSN":"02773791","abstract":"The loess/paleosol sections of Batajnica/Stari Slankamen (Serbia), Mircea Voda (Romania) and Stary Kaydaky (Ukraine) were geochemically characterized based on discriminant analysis of major and trace elements, the ratios of Al/Ti, Fe/Ti and Al/Fe, the A-CN-K ternary plot and element enrichment/depletion relative to the average composition of the upper continental crust. The origin of the loess material in the southern Pannonian Basin (Vojvodina), the lower Danube Basin/Dobrudja and the Dnieper area was evaluated by comparison with the representative element composition of possible source areas and by considering the geomorphodynamic setting. Also the background values of the initial magnetic susceptibility of the loesses were taken into account. For the lower Danube Basin, Dobrudja and the Ukraine, paleowind direction was reconstructed based on the geographic distribution of sandy soil texture and dunes related to river systems. Finally, loesses were evaluated as possible samples of the average upper continental crust. Our results show that Danube and Dnieper loess areas can be clearly distinguished. The former reveal higher Al and Fe contents, the latter higher Si, Zr, Hf content and indications of effective mineral and grain size sorting. We can confirm that Vojvodina loess originated from Danube alluvial material and loess of the Dnieper area from glaciofluvial sediments of the Fennoscandinavian ice sheet. The Dobrudja loess derived also predominantly from Danube alluvium, but shows significant contribution of a second loess source, probably the glaciofluvial sediments of the Ukraine. This was forced by northerly katabatic winds from the Fennoscandinavian ice sheet, whereas WNW winds prevailed in the Western Walachian plain. The studied loesses reflect the average composition of the upper continental crust. Yet, biases exist due to selective mineral/element enrichment and depletion in the course of previous sedimentary recycling phases, respectively. Material of all studied loess deposits seems to derive originally from sedimentary rocks.","author":[{"dropping-particle":"","family":"Buggle","given":"Björn","non-dropping-particle":"","parse-names":false,"suffix":""},{"dropping-particle":"","family":"Glaser","given":"Bruno","non-dropping-particle":"","parse-names":false,"suffix":""},{"dropping-particle":"","family":"Zöller","given":"Ludwig","non-dropping-particle":"","parse-names":false,"suffix":""},{"dropping-particle":"","family":"Hambach","given":"Ulrich","non-dropping-particle":"","parse-names":false,"suffix":""},{"dropping-particle":"","family":"Marković","given":"Slobodan B.","non-dropping-particle":"","parse-names":false,"suffix":""},{"dropping-particle":"","family":"Glaser","given":"Irina","non-dropping-particle":"","parse-names":false,"suffix":""},{"dropping-particle":"","family":"Gerasimenko","given":"Natalia P.","non-dropping-particle":"","parse-names":false,"suffix":""}],"container-title":"Quaternary Science Reviews","id":"ITEM-1","issue":"9-10","issued":{"date-parts":[["2008"]]},"page":"1058-1075","title":"Geochemical characterization and origin of Southeastern and Eastern European loesses (Serbia, Romania, Ukraine)","type":"article-journal","volume":"27"},"uris":["http://www.mendeley.com/documents/?uuid=193d86ce-b241-49e3-a1ef-f8a8bd32eeb3"]}],"mendeley":{"formattedCitation":"(Buggle et al., 2008)","manualFormatting":"Buggle et al. (2008)","plainTextFormattedCitation":"(Buggle et al., 2008)","previouslyFormattedCitation":"(Buggle et al., 2008)"},"properties":{"noteIndex":0},"schema":"https://github.com/citation-style-language/schema/raw/master/csl-citation.json"}</w:instrText>
      </w:r>
      <w:r w:rsidR="00BC2A04" w:rsidRPr="004043FB">
        <w:rPr>
          <w:rFonts w:ascii="Arial" w:hAnsi="Arial" w:cs="Arial"/>
        </w:rPr>
        <w:fldChar w:fldCharType="separate"/>
      </w:r>
      <w:r w:rsidR="00BC2A04" w:rsidRPr="004043FB">
        <w:rPr>
          <w:rFonts w:ascii="Arial" w:hAnsi="Arial" w:cs="Arial"/>
          <w:noProof/>
        </w:rPr>
        <w:t>Buggle et al. (2008)</w:t>
      </w:r>
      <w:r w:rsidR="00BC2A04" w:rsidRPr="004043FB">
        <w:rPr>
          <w:rFonts w:ascii="Arial" w:hAnsi="Arial" w:cs="Arial"/>
        </w:rPr>
        <w:fldChar w:fldCharType="end"/>
      </w:r>
      <w:r w:rsidR="00BC2A04" w:rsidRPr="004043FB">
        <w:rPr>
          <w:rFonts w:ascii="Arial" w:hAnsi="Arial" w:cs="Arial"/>
        </w:rPr>
        <w:t xml:space="preserve"> excluded contributions from</w:t>
      </w:r>
      <w:r w:rsidR="00BC2A04">
        <w:rPr>
          <w:rFonts w:ascii="Arial" w:hAnsi="Arial" w:cs="Arial"/>
        </w:rPr>
        <w:t xml:space="preserve"> </w:t>
      </w:r>
      <w:r w:rsidR="007F1168">
        <w:rPr>
          <w:rFonts w:ascii="Arial" w:hAnsi="Arial" w:cs="Arial"/>
        </w:rPr>
        <w:t>Scandinavian proto-</w:t>
      </w:r>
      <w:r w:rsidR="00BC2A04">
        <w:rPr>
          <w:rFonts w:ascii="Arial" w:hAnsi="Arial" w:cs="Arial"/>
        </w:rPr>
        <w:t>sources</w:t>
      </w:r>
      <w:r w:rsidR="00F23FA5">
        <w:rPr>
          <w:rFonts w:ascii="Arial" w:hAnsi="Arial" w:cs="Arial"/>
        </w:rPr>
        <w:t>, at least</w:t>
      </w:r>
      <w:r w:rsidR="005F5621">
        <w:rPr>
          <w:rFonts w:ascii="Arial" w:hAnsi="Arial" w:cs="Arial"/>
        </w:rPr>
        <w:t xml:space="preserve"> for loess investigated</w:t>
      </w:r>
      <w:r>
        <w:rPr>
          <w:rFonts w:ascii="Arial" w:hAnsi="Arial" w:cs="Arial"/>
        </w:rPr>
        <w:t xml:space="preserve"> </w:t>
      </w:r>
      <w:r w:rsidR="00BC2A04" w:rsidRPr="004043FB">
        <w:rPr>
          <w:rFonts w:ascii="Arial" w:hAnsi="Arial" w:cs="Arial"/>
        </w:rPr>
        <w:t xml:space="preserve">in Serbia. </w:t>
      </w:r>
    </w:p>
    <w:p w14:paraId="00401E63" w14:textId="374DD55D" w:rsidR="002B0829" w:rsidRDefault="007F1168" w:rsidP="00614941">
      <w:pPr>
        <w:spacing w:before="120" w:after="120" w:line="480" w:lineRule="auto"/>
        <w:jc w:val="both"/>
        <w:rPr>
          <w:rFonts w:ascii="Arial" w:hAnsi="Arial" w:cs="Arial"/>
        </w:rPr>
      </w:pPr>
      <w:bookmarkStart w:id="13" w:name="_Hlk64898690"/>
      <w:bookmarkStart w:id="14" w:name="_Hlk64897118"/>
      <w:bookmarkStart w:id="15" w:name="_Hlk75349023"/>
      <w:r>
        <w:rPr>
          <w:rFonts w:ascii="Arial" w:hAnsi="Arial" w:cs="Arial"/>
        </w:rPr>
        <w:t xml:space="preserve">The </w:t>
      </w:r>
      <w:r w:rsidR="00052388" w:rsidRPr="00052388">
        <w:rPr>
          <w:rFonts w:ascii="Arial" w:hAnsi="Arial" w:cs="Arial"/>
        </w:rPr>
        <w:t>Alps and Carpathians</w:t>
      </w:r>
      <w:r w:rsidR="00052388" w:rsidRPr="00052388" w:rsidDel="00052388">
        <w:rPr>
          <w:rFonts w:ascii="Arial" w:hAnsi="Arial" w:cs="Arial"/>
        </w:rPr>
        <w:t xml:space="preserve"> </w:t>
      </w:r>
      <w:r w:rsidR="00D661B6" w:rsidRPr="004043FB">
        <w:rPr>
          <w:rFonts w:ascii="Arial" w:hAnsi="Arial" w:cs="Arial"/>
        </w:rPr>
        <w:t>have</w:t>
      </w:r>
      <w:r w:rsidR="00672FAF">
        <w:rPr>
          <w:rFonts w:ascii="Arial" w:hAnsi="Arial" w:cs="Arial"/>
        </w:rPr>
        <w:t xml:space="preserve"> also</w:t>
      </w:r>
      <w:r w:rsidR="00D661B6" w:rsidRPr="004043FB">
        <w:rPr>
          <w:rFonts w:ascii="Arial" w:hAnsi="Arial" w:cs="Arial"/>
        </w:rPr>
        <w:t xml:space="preserve"> been </w:t>
      </w:r>
      <w:r w:rsidR="004568CA">
        <w:rPr>
          <w:rFonts w:ascii="Arial" w:hAnsi="Arial" w:cs="Arial"/>
        </w:rPr>
        <w:t xml:space="preserve">suggested </w:t>
      </w:r>
      <w:r w:rsidR="00CF3AF2">
        <w:rPr>
          <w:rFonts w:ascii="Arial" w:hAnsi="Arial" w:cs="Arial"/>
        </w:rPr>
        <w:t xml:space="preserve">to be </w:t>
      </w:r>
      <w:r w:rsidR="00A4428B">
        <w:rPr>
          <w:rFonts w:ascii="Arial" w:hAnsi="Arial" w:cs="Arial"/>
        </w:rPr>
        <w:t>the</w:t>
      </w:r>
      <w:r w:rsidR="00672FAF" w:rsidRPr="004043FB">
        <w:rPr>
          <w:rFonts w:ascii="Arial" w:hAnsi="Arial" w:cs="Arial"/>
        </w:rPr>
        <w:t xml:space="preserve"> </w:t>
      </w:r>
      <w:r w:rsidR="00743B26">
        <w:rPr>
          <w:rFonts w:ascii="Arial" w:hAnsi="Arial" w:cs="Arial"/>
        </w:rPr>
        <w:t xml:space="preserve">primary </w:t>
      </w:r>
      <w:r>
        <w:rPr>
          <w:rFonts w:ascii="Arial" w:hAnsi="Arial" w:cs="Arial"/>
        </w:rPr>
        <w:t xml:space="preserve">source </w:t>
      </w:r>
      <w:r w:rsidR="00672FAF" w:rsidRPr="004043FB">
        <w:rPr>
          <w:rFonts w:ascii="Arial" w:hAnsi="Arial" w:cs="Arial"/>
        </w:rPr>
        <w:t>regions</w:t>
      </w:r>
      <w:r w:rsidR="00084CB2">
        <w:rPr>
          <w:rFonts w:ascii="Arial" w:hAnsi="Arial" w:cs="Arial"/>
        </w:rPr>
        <w:t xml:space="preserve"> for </w:t>
      </w:r>
      <w:r w:rsidR="00E37FF7">
        <w:rPr>
          <w:rFonts w:ascii="Arial" w:hAnsi="Arial" w:cs="Arial"/>
        </w:rPr>
        <w:t>Danube loess</w:t>
      </w:r>
      <w:r w:rsidR="008B52B8">
        <w:rPr>
          <w:rFonts w:ascii="Arial" w:hAnsi="Arial" w:cs="Arial"/>
        </w:rPr>
        <w:t xml:space="preserve">, based on </w:t>
      </w:r>
      <w:r w:rsidR="008F193B">
        <w:rPr>
          <w:rFonts w:ascii="Arial" w:hAnsi="Arial" w:cs="Arial"/>
        </w:rPr>
        <w:t>conceptual models</w:t>
      </w:r>
      <w:r w:rsidR="008B52B8">
        <w:rPr>
          <w:rFonts w:ascii="Arial" w:hAnsi="Arial" w:cs="Arial"/>
        </w:rPr>
        <w:t xml:space="preserve"> </w:t>
      </w:r>
      <w:r w:rsidR="00D661B6" w:rsidRPr="004043FB">
        <w:rPr>
          <w:rFonts w:ascii="Arial" w:hAnsi="Arial" w:cs="Arial"/>
        </w:rPr>
        <w:fldChar w:fldCharType="begin" w:fldLock="1"/>
      </w:r>
      <w:r w:rsidR="00AF6426">
        <w:rPr>
          <w:rFonts w:ascii="Arial" w:hAnsi="Arial" w:cs="Arial"/>
        </w:rPr>
        <w:instrText>ADDIN CSL_CITATION {"citationItems":[{"id":"ITEM-1","itemData":{"DOI":"10.1016/0037-0738(78)90031-3","ISBN":"0037-0738","ISSN":"00370738","abstract":"Within the Danube basin significant loess deposits are located: 1. (1) north of the Alps, near the western end of the basin, 2. (2) around Vienna and stretching away in a northeasterly direction through the Moravian depression, 3. (3) on either side of the south-flowing Danube in Hungary and in northern Yugoslavia, and 4. (4) on the Walachian plain between Romania and Bulgaria. These deposits can be distinguished from the belt of glacial loess extending roughly west-east from Paris/Brussels via Köln, Leipzig, Wroclaw to Krakow and beyond, and obviously related to the North European glaciations. Other sources of material must be invoked to explain the presence of loess (and loess-like sediments) in the Danube basin. Material comes from three major sources: 1. (1) the Alpine glaciers, 2. (2) North European glacial debris carried through the Moravian depression by meltwater, and 3. (3) silt derived from flysch and related rocks in the Carpathian mountains. There is no simple primary loess in the Danube basin in any significant amount; deposits of typical aeolian loess which do exist are often derived from Danube floodplains and formed from material from several sources. This is particularly true of the deposits in the lower Danube region (on the Walachian plain). Since the deposits in the Danube basin are so diverse in type and origin particular care is needed in the use of loess terms and in chronological and stratigraphic investigations. This is particularly so since several countries are involved and national usage tends to differ in many ways. A particular problem is to distinguish (physically and terminologically) materials which have been derived from a typical loess by some ‘degradation’ process and materials which have never been a true loess but have assumed certain loessic characteristics by soil-forming processes. This occurs particularly in the Pannonian basin where there is an abundance of weathered material.","author":[{"dropping-particle":"","family":"Smalley","given":"Ian J.","non-dropping-particle":"","parse-names":false,"suffix":""},{"dropping-particle":"","family":"Leach","given":"J. A.","non-dropping-particle":"","parse-names":false,"suffix":""}],"container-title":"Sedimentary Geology","id":"ITEM-1","issue":"1","issued":{"date-parts":[["1978"]]},"page":"1-26","title":"The origin and distribution of the loess in the Danube basin and associated regions of East-Central Europe — A review","type":"article-journal","volume":"21"},"uris":["http://www.mendeley.com/documents/?uuid=0abdb656-7475-420e-973b-31f43619db05"]},{"id":"ITEM-2","itemData":{"DOI":"10.1016/j.quaint.2008.06.009","ISBN":"1040-6182","ISSN":"10406182","abstract":"Rivers are essential for loess deposit formation. River systems which relate directly to loess deposit formation include the Danube and the Rhine; the Mississippi and the Missouri; the Thames and the Medway; the Indus, Ganges and Brahmaputra; the Dnepr, Don and Volga; the Clutha, Mataura and Rakaia-New Zealand rivers; the Yellow River; rivers in South America; Siberian rivers (flowing north); the Odra and the Wisla (between the mountains and the ice); the Syr-Darya and Amu-Darya (into the desert). The contention is that rivers are not just important in major loess deposit formation, they are mandatory (necessary, imperative, obligatory, essential, indispensable, requisite). For a complete and satisfactory study of a loess deposit, we need to know how the material is produced; how it is transported and distributed across the landscape; how intermediate deposits are formed; how transportation provides the defining properties (i.e., open structure, collapsibility, draping across the landscape); and what may happen post-deposition (e.g., chernozemisation, fragipan formation, increased collapsibility, etc.). If rivers are essential then it would appear that the British loess is probably Alpine material delivered by the proto-Rhine and the Polish loess is not derived from the ice-sheet to the north but from the mountains to the south. The lack of loess in Canada is explained by the absence of suitable rivers. The loess in Russia and neighbouring countries can be classified (as Jefferson et al. [Jefferson, I.F., Evstatiev, D., Karastenev, D., Mavlyanova, N.G., Smalley, I.J., 2003b. The engineering geology of loess and loess-like deposits: a commentary on the Russian literature. Engineering Geology 68, 333-351] suggested) on the basis of associated rivers. A 'new' deposit of glacial loess is recognised-associated with the Dnepr, Don and Volga rivers (the USWR loess). The Smalley-Leach [Smalley, I.J., Leach, J.A., 1978. The origin and distribution of the loess in the Danube basin and associated regions of East-Central Europe: a review. Sedimentary Geology 21, 1-26. Available from: ???www.geo.edu.ro/sgr/mod/downloads/PDF/Smalley-SedGeo-1978.pdf??? ] vision of the loess in the Danube basin and East-Central Europe is probably misconceived. They assigned a great significance to glacial action and put loess in a 'northern band'. It appears that this proposed glacial influence is minimal and that the Danube loess is essentially mountain loess-derived from the Alps, th…","author":[{"dropping-particle":"","family":"Smalley","given":"Ian J.","non-dropping-particle":"","parse-names":false,"suffix":""},{"dropping-particle":"","family":"O'Hara-Dhand","given":"Ken","non-dropping-particle":"","parse-names":false,"suffix":""},{"dropping-particle":"","family":"Wint","given":"Jo","non-dropping-particle":"","parse-names":false,"suffix":""},{"dropping-particle":"","family":"Machalett","given":"Björn","non-dropping-particle":"","parse-names":false,"suffix":""},{"dropping-particle":"","family":"Jary","given":"Zdzisław","non-dropping-particle":"","parse-names":false,"suffix":""},{"dropping-particle":"","family":"Jefferson","given":"Ian F.","non-dropping-particle":"","parse-names":false,"suffix":""}],"container-title":"Quaternary International","id":"ITEM-2","issue":"1-2","issued":{"date-parts":[["2009"]]},"page":"7-18","title":"Rivers and loess: The significance of long river transportation in the complex event-sequence approach to loess deposit formation","type":"article-journal","volume":"198"},"uris":["http://www.mendeley.com/documents/?uuid=3e563e4d-6c8c-4bfe-bb0f-0ef519642126"]}],"mendeley":{"formattedCitation":"(Smalley et al., 2009; Smalley and Leach, 1978)","plainTextFormattedCitation":"(Smalley et al., 2009; Smalley and Leach, 1978)","previouslyFormattedCitation":"(Smalley et al., 2009; Smalley and Leach, 1978)"},"properties":{"noteIndex":0},"schema":"https://github.com/citation-style-language/schema/raw/master/csl-citation.json"}</w:instrText>
      </w:r>
      <w:r w:rsidR="00D661B6" w:rsidRPr="004043FB">
        <w:rPr>
          <w:rFonts w:ascii="Arial" w:hAnsi="Arial" w:cs="Arial"/>
        </w:rPr>
        <w:fldChar w:fldCharType="separate"/>
      </w:r>
      <w:r w:rsidR="008B52B8" w:rsidRPr="008B52B8">
        <w:rPr>
          <w:rFonts w:ascii="Arial" w:hAnsi="Arial" w:cs="Arial"/>
          <w:noProof/>
        </w:rPr>
        <w:t>(Smalley et al., 2009; Smalley and Leach, 1978)</w:t>
      </w:r>
      <w:r w:rsidR="00D661B6" w:rsidRPr="004043FB">
        <w:rPr>
          <w:rFonts w:ascii="Arial" w:hAnsi="Arial" w:cs="Arial"/>
        </w:rPr>
        <w:fldChar w:fldCharType="end"/>
      </w:r>
      <w:r w:rsidR="00743B26">
        <w:rPr>
          <w:rFonts w:ascii="Arial" w:hAnsi="Arial" w:cs="Arial"/>
        </w:rPr>
        <w:t xml:space="preserve">, </w:t>
      </w:r>
      <w:r w:rsidR="008B52B8" w:rsidRPr="004043FB">
        <w:rPr>
          <w:rFonts w:ascii="Arial" w:hAnsi="Arial" w:cs="Arial"/>
        </w:rPr>
        <w:t xml:space="preserve">bulk sample </w:t>
      </w:r>
      <w:r w:rsidR="00077C5D">
        <w:rPr>
          <w:rFonts w:ascii="Arial" w:hAnsi="Arial" w:cs="Arial"/>
        </w:rPr>
        <w:t>elemental composition of loess</w:t>
      </w:r>
      <w:r w:rsidR="008B52B8" w:rsidRPr="004043FB">
        <w:rPr>
          <w:rFonts w:ascii="Arial" w:hAnsi="Arial" w:cs="Arial"/>
        </w:rPr>
        <w:t xml:space="preserve"> from Serbia </w:t>
      </w:r>
      <w:r w:rsidR="008B52B8" w:rsidRPr="004043FB">
        <w:rPr>
          <w:rFonts w:ascii="Arial" w:hAnsi="Arial" w:cs="Arial"/>
        </w:rPr>
        <w:fldChar w:fldCharType="begin" w:fldLock="1"/>
      </w:r>
      <w:r w:rsidR="008B52B8">
        <w:rPr>
          <w:rFonts w:ascii="Arial" w:hAnsi="Arial" w:cs="Arial"/>
        </w:rPr>
        <w:instrText>ADDIN CSL_CITATION {"citationItems":[{"id":"ITEM-1","itemData":{"DOI":"10.1016/j.quascirev.2008.01.018","ISBN":"0277-3791","ISSN":"02773791","abstract":"The loess/paleosol sections of Batajnica/Stari Slankamen (Serbia), Mircea Voda (Romania) and Stary Kaydaky (Ukraine) were geochemically characterized based on discriminant analysis of major and trace elements, the ratios of Al/Ti, Fe/Ti and Al/Fe, the A-CN-K ternary plot and element enrichment/depletion relative to the average composition of the upper continental crust. The origin of the loess material in the southern Pannonian Basin (Vojvodina), the lower Danube Basin/Dobrudja and the Dnieper area was evaluated by comparison with the representative element composition of possible source areas and by considering the geomorphodynamic setting. Also the background values of the initial magnetic susceptibility of the loesses were taken into account. For the lower Danube Basin, Dobrudja and the Ukraine, paleowind direction was reconstructed based on the geographic distribution of sandy soil texture and dunes related to river systems. Finally, loesses were evaluated as possible samples of the average upper continental crust. Our results show that Danube and Dnieper loess areas can be clearly distinguished. The former reveal higher Al and Fe contents, the latter higher Si, Zr, Hf content and indications of effective mineral and grain size sorting. We can confirm that Vojvodina loess originated from Danube alluvial material and loess of the Dnieper area from glaciofluvial sediments of the Fennoscandinavian ice sheet. The Dobrudja loess derived also predominantly from Danube alluvium, but shows significant contribution of a second loess source, probably the glaciofluvial sediments of the Ukraine. This was forced by northerly katabatic winds from the Fennoscandinavian ice sheet, whereas WNW winds prevailed in the Western Walachian plain. The studied loesses reflect the average composition of the upper continental crust. Yet, biases exist due to selective mineral/element enrichment and depletion in the course of previous sedimentary recycling phases, respectively. Material of all studied loess deposits seems to derive originally from sedimentary rocks.","author":[{"dropping-particle":"","family":"Buggle","given":"Björn","non-dropping-particle":"","parse-names":false,"suffix":""},{"dropping-particle":"","family":"Glaser","given":"Bruno","non-dropping-particle":"","parse-names":false,"suffix":""},{"dropping-particle":"","family":"Zöller","given":"Ludwig","non-dropping-particle":"","parse-names":false,"suffix":""},{"dropping-particle":"","family":"Hambach","given":"Ulrich","non-dropping-particle":"","parse-names":false,"suffix":""},{"dropping-particle":"","family":"Marković","given":"Slobodan B.","non-dropping-particle":"","parse-names":false,"suffix":""},{"dropping-particle":"","family":"Glaser","given":"Irina","non-dropping-particle":"","parse-names":false,"suffix":""},{"dropping-particle":"","family":"Gerasimenko","given":"Natalia P.","non-dropping-particle":"","parse-names":false,"suffix":""}],"container-title":"Quaternary Science Reviews","id":"ITEM-1","issue":"9-10","issued":{"date-parts":[["2008"]]},"page":"1058-1075","title":"Geochemical characterization and origin of Southeastern and Eastern European loesses (Serbia, Romania, Ukraine)","type":"article-journal","volume":"27"},"uris":["http://www.mendeley.com/documents/?uuid=193d86ce-b241-49e3-a1ef-f8a8bd32eeb3"]}],"mendeley":{"formattedCitation":"(Buggle et al., 2008)","plainTextFormattedCitation":"(Buggle et al., 2008)","previouslyFormattedCitation":"(Buggle et al., 2008)"},"properties":{"noteIndex":0},"schema":"https://github.com/citation-style-language/schema/raw/master/csl-citation.json"}</w:instrText>
      </w:r>
      <w:r w:rsidR="008B52B8" w:rsidRPr="004043FB">
        <w:rPr>
          <w:rFonts w:ascii="Arial" w:hAnsi="Arial" w:cs="Arial"/>
        </w:rPr>
        <w:fldChar w:fldCharType="separate"/>
      </w:r>
      <w:r w:rsidR="008B52B8" w:rsidRPr="008612C3">
        <w:rPr>
          <w:rFonts w:ascii="Arial" w:hAnsi="Arial" w:cs="Arial"/>
          <w:noProof/>
        </w:rPr>
        <w:t>(Buggle et al., 2008)</w:t>
      </w:r>
      <w:r w:rsidR="008B52B8" w:rsidRPr="004043FB">
        <w:rPr>
          <w:rFonts w:ascii="Arial" w:hAnsi="Arial" w:cs="Arial"/>
        </w:rPr>
        <w:fldChar w:fldCharType="end"/>
      </w:r>
      <w:r w:rsidR="00743B26">
        <w:rPr>
          <w:rFonts w:ascii="Arial" w:hAnsi="Arial" w:cs="Arial"/>
        </w:rPr>
        <w:t xml:space="preserve"> and Hungary </w:t>
      </w:r>
      <w:r w:rsidR="00743B26">
        <w:rPr>
          <w:rFonts w:ascii="Arial" w:hAnsi="Arial" w:cs="Arial"/>
        </w:rPr>
        <w:fldChar w:fldCharType="begin" w:fldLock="1"/>
      </w:r>
      <w:r w:rsidR="00743B26">
        <w:rPr>
          <w:rFonts w:ascii="Arial" w:hAnsi="Arial" w:cs="Arial"/>
        </w:rPr>
        <w:instrText>ADDIN CSL_CITATION {"citationItems":[{"id":"ITEM-1","itemData":{"DOI":"10.1016/j.yqres.2008.02.001","ISBN":"0033-5894","ISSN":"00335894","abstract":"Loess geochemistry generally reflects paleo-weathering conditions and it can be used to determine the average composition of the upper continental crust (UCC). In this study, major and trace element concentrations were analyzed on loess samples from southwestern Hungary to determine the factors influencing their chemical compositions and to propose new average loess compositions. All studied loess samples had nearly uniform chemical composition, suggesting similar alteration history of these deposits. Chemical Index of Alteration values (58-69) suggested a weak to moderate degree of weathering in a felsic source area. Typical non-steady state weathering conditions were shown on the Al2O3-CaO + Na2O-K2O patterns, indicating active tectonism of the Alpine-Carpathian system during the Pleistocene. Whole-rock element budgets were controlled by heavy minerals derived from a felsic magmatic or reworked sedimentary provenance. Geochemical parameters indicated that dust particles must have been recycled and well homogenized during fluvial and eolian transport processes. © 2008 University of Washington.","author":[{"dropping-particle":"","family":"Újvári","given":"Gábor","non-dropping-particle":"","parse-names":false,"suffix":""},{"dropping-particle":"","family":"Varga","given":"Andrea","non-dropping-particle":"","parse-names":false,"suffix":""},{"dropping-particle":"","family":"Balogh-Brunstad","given":"Zsuzsanna","non-dropping-particle":"","parse-names":false,"suffix":""}],"container-title":"Quaternary Research","id":"ITEM-1","issued":{"date-parts":[["2008"]]},"page":"421-437","title":"Origin, weathering, and geochemical composition of loess in southwestern Hungary","type":"article-journal","volume":"69"},"uris":["http://www.mendeley.com/documents/?uuid=afc5a18e-4f68-40cc-856d-2e4620dca8ee"]}],"mendeley":{"formattedCitation":"(Újvári et al., 2008)","plainTextFormattedCitation":"(Újvári et al., 2008)","previouslyFormattedCitation":"(Újvári et al., 2008)"},"properties":{"noteIndex":0},"schema":"https://github.com/citation-style-language/schema/raw/master/csl-citation.json"}</w:instrText>
      </w:r>
      <w:r w:rsidR="00743B26">
        <w:rPr>
          <w:rFonts w:ascii="Arial" w:hAnsi="Arial" w:cs="Arial"/>
        </w:rPr>
        <w:fldChar w:fldCharType="separate"/>
      </w:r>
      <w:r w:rsidR="00743B26" w:rsidRPr="00743B26">
        <w:rPr>
          <w:rFonts w:ascii="Arial" w:hAnsi="Arial" w:cs="Arial"/>
          <w:noProof/>
        </w:rPr>
        <w:t>(Újvári et al., 2008)</w:t>
      </w:r>
      <w:r w:rsidR="00743B26">
        <w:rPr>
          <w:rFonts w:ascii="Arial" w:hAnsi="Arial" w:cs="Arial"/>
        </w:rPr>
        <w:fldChar w:fldCharType="end"/>
      </w:r>
      <w:r w:rsidR="00743B26">
        <w:rPr>
          <w:rFonts w:ascii="Arial" w:hAnsi="Arial" w:cs="Arial"/>
        </w:rPr>
        <w:t xml:space="preserve">, and </w:t>
      </w:r>
      <w:r w:rsidR="00077C5D">
        <w:rPr>
          <w:rFonts w:ascii="Arial" w:hAnsi="Arial" w:cs="Arial"/>
        </w:rPr>
        <w:t xml:space="preserve">loess </w:t>
      </w:r>
      <w:r w:rsidR="00743B26">
        <w:rPr>
          <w:rFonts w:ascii="Arial" w:hAnsi="Arial" w:cs="Arial"/>
        </w:rPr>
        <w:t xml:space="preserve">bulk sample Sr-Nd isotopes and detrital zircon U-Pb ages </w:t>
      </w:r>
      <w:r w:rsidR="00743B26">
        <w:rPr>
          <w:rFonts w:ascii="Arial" w:hAnsi="Arial" w:cs="Arial"/>
        </w:rPr>
        <w:fldChar w:fldCharType="begin" w:fldLock="1"/>
      </w:r>
      <w:r w:rsidR="00F72EC8">
        <w:rPr>
          <w:rFonts w:ascii="Arial" w:hAnsi="Arial" w:cs="Arial"/>
        </w:rPr>
        <w:instrText>ADDIN CSL_CITATION {"citationItems":[{"id":"ITEM-1","itemData":{"DOI":"10.1016/j.chemgeo.2012.02.007","ISBN":"0009-2541","ISSN":"00092541","abstract":"Multiple competing hypotheses have been proposed to explain the source of loess dust in the Carpathian Basin yet none has been demonstrated. Here bulk and grain-size differentiated Nd and Sr isotopic and bulk and clay mineralogical compositions, together with detrital zircon ages and morphologies from loess along the Danube in the Carpathian Basin are used to demonstrate that no single method is capable of unequivocally isolating sources, yet combined, they allow for discriminating likely provenance. Zircon ages indicate multiple sources for Carpathian Basin loess, restricting the use of bulk or grain-size differentiation methods. Ambiguities are further highlighted by the fact that the Sr-Nd isotopic composition of Greenland dust is very similar to Carpathian loess. This match demonstrates that such methods are not always capable of unequivocally excluding unlikely potential source areas and implies that current hypotheses regarding the origin of Greenland dust require further evaluation. Sr isotopes are also limited by high dolomite contents of loess, while palygorskite is of questionable utility as a Saharan dust indicator due to its rapid weathering under typical Carpathian climates. In terms of specific Carpathian loess sources, alluvial fans of the Danube River likely contribute, but detrital zircon ages and morphologies suggest that a proportion directly originates from eroded uplands and local rocks throughout the basin, while detrital dolomite implies local, primary sources such as the Transdanubian Range. An upper limit of 5-10% is placed on the North African contribution to fine dust in loess of the mid-Carpathian Basin based on mineralogy and grain size. Overall, results suggest that the single grain (zircon) approach is likely the most diagnostic method to identify sources in loess studies, although to solve complex provenance issues, simultaneous consideration of the isotopic characteristics of more than one heavy (or light) mineral is required. ?? 2012 Elsevier B.V.","author":[{"dropping-particle":"","family":"Újvári","given":"Gábor","non-dropping-particle":"","parse-names":false,"suffix":""},{"dropping-particle":"","family":"Varga","given":"Andrea","non-dropping-particle":"","parse-names":false,"suffix":""},{"dropping-particle":"","family":"Ramos","given":"Frank C.","non-dropping-particle":"","parse-names":false,"suffix":""},{"dropping-particle":"","family":"Kovács","given":"János I.","non-dropping-particle":"","parse-names":false,"suffix":""},{"dropping-particle":"","family":"Németh","given":"Tibor","non-dropping-particle":"","parse-names":false,"suffix":""},{"dropping-particle":"","family":"Stevens","given":"Thomas","non-dropping-particle":"","parse-names":false,"suffix":""}],"container-title":"Chemical Geology","id":"ITEM-1","issued":{"date-parts":[["2012"]]},"page":"83-96","publisher":"Elsevier B.V.","title":"Evaluating the use of clay mineralogy, Sr-Nd isotopes and zircon U-Pb ages in tracking dust provenance: An example from loess of the Carpathian Basin","type":"article-journal","volume":"304-305"},"uris":["http://www.mendeley.com/documents/?uuid=4972a163-3568-4a70-9213-d604a9054fec"]}],"mendeley":{"formattedCitation":"(Újvári et al., 2012)","plainTextFormattedCitation":"(Újvári et al., 2012)","previouslyFormattedCitation":"(Újvári et al., 2012)"},"properties":{"noteIndex":0},"schema":"https://github.com/citation-style-language/schema/raw/master/csl-citation.json"}</w:instrText>
      </w:r>
      <w:r w:rsidR="00743B26">
        <w:rPr>
          <w:rFonts w:ascii="Arial" w:hAnsi="Arial" w:cs="Arial"/>
        </w:rPr>
        <w:fldChar w:fldCharType="separate"/>
      </w:r>
      <w:r w:rsidR="00743B26" w:rsidRPr="00743B26">
        <w:rPr>
          <w:rFonts w:ascii="Arial" w:hAnsi="Arial" w:cs="Arial"/>
          <w:noProof/>
        </w:rPr>
        <w:t>(Újvári et al., 2012)</w:t>
      </w:r>
      <w:r w:rsidR="00743B26">
        <w:rPr>
          <w:rFonts w:ascii="Arial" w:hAnsi="Arial" w:cs="Arial"/>
        </w:rPr>
        <w:fldChar w:fldCharType="end"/>
      </w:r>
      <w:bookmarkEnd w:id="13"/>
      <w:r w:rsidR="008B52B8">
        <w:rPr>
          <w:rFonts w:ascii="Arial" w:hAnsi="Arial" w:cs="Arial"/>
        </w:rPr>
        <w:t>.</w:t>
      </w:r>
      <w:bookmarkEnd w:id="14"/>
      <w:r w:rsidR="008B52B8">
        <w:rPr>
          <w:rFonts w:ascii="Arial" w:hAnsi="Arial" w:cs="Arial"/>
        </w:rPr>
        <w:t xml:space="preserve"> </w:t>
      </w:r>
      <w:bookmarkEnd w:id="15"/>
      <w:r w:rsidR="00903338">
        <w:rPr>
          <w:rFonts w:ascii="Arial" w:hAnsi="Arial" w:cs="Arial"/>
        </w:rPr>
        <w:t>Some researchers</w:t>
      </w:r>
      <w:r w:rsidR="00CE2078">
        <w:rPr>
          <w:rFonts w:ascii="Arial" w:hAnsi="Arial" w:cs="Arial"/>
        </w:rPr>
        <w:t xml:space="preserve"> have since</w:t>
      </w:r>
      <w:r w:rsidR="00903338">
        <w:rPr>
          <w:rFonts w:ascii="Arial" w:hAnsi="Arial" w:cs="Arial"/>
        </w:rPr>
        <w:t xml:space="preserve"> advocated </w:t>
      </w:r>
      <w:r w:rsidR="00FF65CF">
        <w:rPr>
          <w:rFonts w:ascii="Arial" w:hAnsi="Arial" w:cs="Arial"/>
        </w:rPr>
        <w:t xml:space="preserve">for </w:t>
      </w:r>
      <w:r w:rsidR="00903338">
        <w:rPr>
          <w:rFonts w:ascii="Arial" w:hAnsi="Arial" w:cs="Arial"/>
        </w:rPr>
        <w:t>the importance of smaller, more proximal</w:t>
      </w:r>
      <w:r w:rsidR="00947958">
        <w:rPr>
          <w:rFonts w:ascii="Arial" w:hAnsi="Arial" w:cs="Arial"/>
        </w:rPr>
        <w:t>,</w:t>
      </w:r>
      <w:r w:rsidR="00903338">
        <w:rPr>
          <w:rFonts w:ascii="Arial" w:hAnsi="Arial" w:cs="Arial"/>
        </w:rPr>
        <w:t xml:space="preserve"> mountainous regions as sediment producers</w:t>
      </w:r>
      <w:r w:rsidR="00CE2078">
        <w:rPr>
          <w:rFonts w:ascii="Arial" w:hAnsi="Arial" w:cs="Arial"/>
        </w:rPr>
        <w:t>,</w:t>
      </w:r>
      <w:r w:rsidR="00903338">
        <w:rPr>
          <w:rFonts w:ascii="Arial" w:hAnsi="Arial" w:cs="Arial"/>
        </w:rPr>
        <w:t xml:space="preserve"> </w:t>
      </w:r>
      <w:r w:rsidR="00E37FF7">
        <w:rPr>
          <w:rFonts w:ascii="Arial" w:hAnsi="Arial" w:cs="Arial"/>
        </w:rPr>
        <w:t>such as</w:t>
      </w:r>
      <w:r w:rsidR="00903338">
        <w:rPr>
          <w:rFonts w:ascii="Arial" w:hAnsi="Arial" w:cs="Arial"/>
        </w:rPr>
        <w:t xml:space="preserve"> </w:t>
      </w:r>
      <w:r w:rsidR="00EA22FE">
        <w:rPr>
          <w:rFonts w:ascii="Arial" w:hAnsi="Arial" w:cs="Arial"/>
        </w:rPr>
        <w:t xml:space="preserve">the </w:t>
      </w:r>
      <w:r w:rsidR="00903338" w:rsidRPr="004043FB">
        <w:rPr>
          <w:rFonts w:ascii="Arial" w:hAnsi="Arial" w:cs="Arial"/>
        </w:rPr>
        <w:t>Bohemian Massif</w:t>
      </w:r>
      <w:r w:rsidR="00903338">
        <w:rPr>
          <w:rFonts w:ascii="Arial" w:hAnsi="Arial" w:cs="Arial"/>
        </w:rPr>
        <w:t xml:space="preserve"> </w:t>
      </w:r>
      <w:r w:rsidR="00903338" w:rsidRPr="004043FB">
        <w:rPr>
          <w:rFonts w:ascii="Arial" w:hAnsi="Arial" w:cs="Arial"/>
        </w:rPr>
        <w:fldChar w:fldCharType="begin" w:fldLock="1"/>
      </w:r>
      <w:r w:rsidR="00AE6272">
        <w:rPr>
          <w:rFonts w:ascii="Arial" w:hAnsi="Arial" w:cs="Arial"/>
        </w:rPr>
        <w:instrText>ADDIN CSL_CITATION {"citationItems":[{"id":"ITEM-1","itemData":{"DOI":"10.1016/j.quascirev.2013.06.002","ISBN":"0277-3791","ISSN":"02773791","abstract":"Trace element (Cr, Nb, Zr) geochemistry and U-Pb geochronology of detrital rutile grains provide constraints on the nature of potential metamorphic sources of loess in Austria. Cr and Nb compositions reveal rutile sources with a predominance of metapelitic lithologies for all three loess samples. By contrast, Zr-in-rutile geothermometry indicates that formation temperatures for loess rutiles around Krems (at the Bohemian Massif=BM) proved to be ca 100-125°C higher (Tmedian=717 and 737°C for two samples from Stratzing and Krems) than those at Wels (close to the Eastern Alps=EA; Tmedian=612°C), implying that rutiles in loess at Wels were derived from Alpine lower amphibolite-grade rocks, while those in loess around Krems from rocks formed under upper amphibolite to granulite-grade conditions. Metamorphic temperatures recorded in rutiles from loess at the BM closely match the 'two-reaction' thermobarometry estimates of the last high-T overprint (7-11kbar and 700-800°C) of rocks making up the Varied series and Gföhl units around Krems. This event dated at 340 to 350Ma is believed to be captured by the detrital rutile U-Pb data as well (e.g. 349±21 and 352±32 Ma). All these data demonstrate the significance of proximal BM sources (Varied series and Gföhl unit drained by the Danube) in loess formation around Krems. Fluvial transport is believed to have played a substantial role in entraining and accumulating rutiles for subsequent aeolian deflation for loess near Wels. While the ultimate sources of these grains are likely to be in the Eastern Alps, the recycling of these rutiles from the flysch zone of the EA cannot be ruled out.Despite the uncertainties of Cr-Nb-based source discriminations in some cases and the potential decoupling of Zr- and U-Pb systematics recognized in rutiles, this study demonstrates that rutiles may provide unique details on the nature and metamorphic history of their parent rocks, if used with caution and by knowing its limitations under certain conditions. It is anticipated that, beyond zircon, rutile geochemistry will become a powerful provenance tracer in loess studies too. This seems to be particularly important to gain a better understanding on the erosion and rutile fertility of different metamorphic terrains and their contributions to loess material, issues that have not been adequately addressed thus far. © 2013 Elsevier Ltd.","author":[{"dropping-particle":"","family":"Újvári","given":"Gábor","non-dropping-particle":"","parse-names":false,"suffix":""},{"dropping-particle":"","family":"Klötzli","given":"Urs","non-dropping-particle":"","parse-names":false,"suffix":""},{"dropping-particle":"","family":"Kiraly","given":"Franz","non-dropping-particle":"","parse-names":false,"suffix":""},{"dropping-particle":"","family":"Ntaflos","given":"Theodoros","non-dropping-particle":"","parse-names":false,"suffix":""}],"container-title":"Quaternary Science Reviews","id":"ITEM-1","issued":{"date-parts":[["2013","9"]]},"page":"132-142","title":"Towards identifying the origin of metamorphic components in Austrian loess: insights from detrital rutile chemistry, thermometry and U–Pb geochronology","type":"article-journal","volume":"75"},"uris":["http://www.mendeley.com/documents/?uuid=41cd2ef6-a28c-4f98-850b-d076cff714eb"]},{"id":"ITEM-2","itemData":{"DOI":"10.1007/s00531-014-1139-x","ISSN":"1437-3254","abstract":"Loess sediments in Austria deposited ca. 30–20 ka ago yield different zircon age signatures for samples collected around Krems (SE Bohemian Massif; samples K23 and S1) and Wels (halfway between the Bohemian Massif and the Eastern Alps; sample A16). Cathodoluminescence (CL) imaging reveals both old, multistage zircons with complex growth histories and inherited cores, and young, first-cycle magmatic zircons. Paleoproterozoic ages between 2,200 and 1,800 Ma (K23 and S1), an age gap of 1,800–1,000 Ma for S1 and abundant Cadomian grains, indicate NW African/North Gondwanan derivation of these zircons. Also, A16 yields ages between 630 and 600 Ma that can be attributed to “Pan-African” orogenic processes. Significant differences are seen for the &lt;500 Ma part of the age spectra with major age peaks at 493–494 and 344–335 Ma (K23 and S1), and 477 and 287 Ma (A16). All three samples show negative initial ɛHf signatures (−25 to −10, except one grain with +9.4) implying zircon crystallization from magmas derived by recycling of older continental crust. Hf isotopic compositions of 330- to 320-Ma-old zircons from S1 and K23 preclude a derivation from Bavarian Forest granites and intermediate granitoids. Rather, all the data suggest strong contributions of eroded local rocks (South Bohemian pluton, Gföhl unit) to loess material at the SE edge of the Bohemian Massif (K23 and S1) and sourcing of zircons from sediment donor regions in the Eastern Alps for loess at Wels (A16). We tentatively infer primary fluvial transport and secondary eolian reworking and re-deposition of detritus from western/southwestern directions. Finally, our data highlight that loess zircon ages are fundamentally influenced by fluvial transport, its directions, the interplay of sediment donor regions through the mixing of detritus and zircon fertility of rocks, rather than Paleowind directions.","author":[{"dropping-particle":"","family":"Újvári","given":"Gábor","non-dropping-particle":"","parse-names":false,"suffix":""},{"dropping-particle":"","family":"Klötzli","given":"Urs","non-dropping-particle":"","parse-names":false,"suffix":""}],"container-title":"International Journal of Earth Sciences","id":"ITEM-2","issue":"5","issued":{"date-parts":[["2015","7","14"]]},"page":"1365-1385","publisher":"Springer Berlin Heidelberg","title":"U–Pb ages and Hf isotopic composition of zircons in Austrian last glacial loess: constraints on heavy mineral sources and sediment transport pathways","type":"article-journal","volume":"104"},"uris":["http://www.mendeley.com/documents/?uuid=96557a3a-95d5-41f2-be41-c4c0a3128257"]}],"mendeley":{"formattedCitation":"(Újvári et al., 2013; Újvári and Klötzli, 2015)","plainTextFormattedCitation":"(Újvári et al., 2013; Újvári and Klötzli, 2015)","previouslyFormattedCitation":"(Újvári et al., 2013; Újvári and Klötzli, 2015)"},"properties":{"noteIndex":0},"schema":"https://github.com/citation-style-language/schema/raw/master/csl-citation.json"}</w:instrText>
      </w:r>
      <w:r w:rsidR="00903338" w:rsidRPr="004043FB">
        <w:rPr>
          <w:rFonts w:ascii="Arial" w:hAnsi="Arial" w:cs="Arial"/>
        </w:rPr>
        <w:fldChar w:fldCharType="separate"/>
      </w:r>
      <w:r w:rsidR="004B56B4" w:rsidRPr="004B56B4">
        <w:rPr>
          <w:rFonts w:ascii="Arial" w:hAnsi="Arial" w:cs="Arial"/>
          <w:noProof/>
        </w:rPr>
        <w:t>(Újvári et al., 2013; Újvári and Klötzli, 2015)</w:t>
      </w:r>
      <w:r w:rsidR="00903338" w:rsidRPr="004043FB">
        <w:rPr>
          <w:rFonts w:ascii="Arial" w:hAnsi="Arial" w:cs="Arial"/>
        </w:rPr>
        <w:fldChar w:fldCharType="end"/>
      </w:r>
      <w:r w:rsidR="00903338" w:rsidRPr="004043FB">
        <w:rPr>
          <w:rFonts w:ascii="Arial" w:hAnsi="Arial" w:cs="Arial"/>
        </w:rPr>
        <w:t>, Transdanubian Central Range</w:t>
      </w:r>
      <w:r w:rsidR="00903338">
        <w:rPr>
          <w:rFonts w:ascii="Arial" w:hAnsi="Arial" w:cs="Arial"/>
        </w:rPr>
        <w:t xml:space="preserve"> </w:t>
      </w:r>
      <w:r w:rsidR="00903338" w:rsidRPr="004043FB">
        <w:rPr>
          <w:rFonts w:ascii="Arial" w:hAnsi="Arial" w:cs="Arial"/>
        </w:rPr>
        <w:fldChar w:fldCharType="begin" w:fldLock="1"/>
      </w:r>
      <w:r w:rsidR="00903338">
        <w:rPr>
          <w:rFonts w:ascii="Arial" w:hAnsi="Arial" w:cs="Arial"/>
        </w:rPr>
        <w:instrText>ADDIN CSL_CITATION {"citationItems":[{"id":"ITEM-1","itemData":{"DOI":"10.1016/j.quaint.2013.04.030","ISBN":"1040-6182","ISSN":"10406182","abstract":"Heavy mineral composition of the fine sand fraction in the Hungarian loess sediments provides important data about the closer sources of the loess in the Carpathian Basin. Quantitative detrital heavy mineral compositions of 216 loess, loess-like sediment, and paleosol samples were compared to each other, and to recent fluvial sands and different Cenozoic sands and sandstones of Hungary using statistical methods: cluster analysis, principal component analysis and discriminant analysis.Usually, garnet is the most frequent detrital heavy mineral in the studied loess sections, followed by chlorite, magnetite, epidote, and amphiboles. Old Loess and Young Loess have similar compositions, indicating uniform or similar sources. Based on the similarities, the garnet-rich loess sediments could originate from aeolian reworking of the floodplain sediments of the Danube and other rivers of Transdanubia, and the local Cenozoic sands of the uplifting Transdanubian Central Range and Transdanubian Hilly Region. The biotite- and tourmaline-rich loess in South Transdanubia, and the loess with high pyroxene content in the North Hungarian Range, had some material from nearby sources: weathered granitoids and volcanic rocks, respectively, or sediments of local rivers, which carried detritus of these rocks. The new results presented in this paper confirm numerous earlier ideas about the origin of loess in the Carpathian Basin, but also suggest newly identified sources of the loess particles at several locations. © 2013 Elsevier Ltd and INQUA.","author":[{"dropping-particle":"","family":"Thamó-Bozsó","given":"Edit","non-dropping-particle":"","parse-names":false,"suffix":""},{"dropping-particle":"","family":"Kovács","given":"Lajos Ó.","non-dropping-particle":"","parse-names":false,"suffix":""},{"dropping-particle":"","family":"Magyari","given":"Árpád","non-dropping-particle":"","parse-names":false,"suffix":""},{"dropping-particle":"","family":"Marsi","given":"István","non-dropping-particle":"","parse-names":false,"suffix":""}],"container-title":"Quaternary International","id":"ITEM-1","issued":{"date-parts":[["2014"]]},"page":"11-21","publisher":"Elsevier Ltd and INQUA","title":"Tracing the origin of loess in Hungary with the help of heavy mineral composition data","type":"article-journal","volume":"319"},"uris":["http://www.mendeley.com/documents/?uuid=1ed20842-cfe8-44d8-99dc-cec5635ebc6c"]}],"mendeley":{"formattedCitation":"(Thamó-Bozsó et al., 2014)","plainTextFormattedCitation":"(Thamó-Bozsó et al., 2014)","previouslyFormattedCitation":"(Thamó-Bozsó et al., 2014)"},"properties":{"noteIndex":0},"schema":"https://github.com/citation-style-language/schema/raw/master/csl-citation.json"}</w:instrText>
      </w:r>
      <w:r w:rsidR="00903338" w:rsidRPr="004043FB">
        <w:rPr>
          <w:rFonts w:ascii="Arial" w:hAnsi="Arial" w:cs="Arial"/>
        </w:rPr>
        <w:fldChar w:fldCharType="separate"/>
      </w:r>
      <w:r w:rsidR="00903338" w:rsidRPr="008612C3">
        <w:rPr>
          <w:rFonts w:ascii="Arial" w:hAnsi="Arial" w:cs="Arial"/>
          <w:noProof/>
        </w:rPr>
        <w:t>(Thamó-Bozsó et al., 2014)</w:t>
      </w:r>
      <w:r w:rsidR="00903338" w:rsidRPr="004043FB">
        <w:rPr>
          <w:rFonts w:ascii="Arial" w:hAnsi="Arial" w:cs="Arial"/>
        </w:rPr>
        <w:fldChar w:fldCharType="end"/>
      </w:r>
      <w:r w:rsidR="00903338" w:rsidRPr="004043FB">
        <w:rPr>
          <w:rFonts w:ascii="Arial" w:hAnsi="Arial" w:cs="Arial"/>
        </w:rPr>
        <w:t>,</w:t>
      </w:r>
      <w:r w:rsidR="00903338">
        <w:rPr>
          <w:rFonts w:ascii="Arial" w:hAnsi="Arial" w:cs="Arial"/>
        </w:rPr>
        <w:t xml:space="preserve"> </w:t>
      </w:r>
      <w:r w:rsidR="00903338" w:rsidRPr="004043FB">
        <w:rPr>
          <w:rFonts w:ascii="Arial" w:hAnsi="Arial" w:cs="Arial"/>
        </w:rPr>
        <w:t xml:space="preserve">Slavonian Mountains </w:t>
      </w:r>
      <w:r w:rsidR="00903338" w:rsidRPr="004043FB">
        <w:rPr>
          <w:rFonts w:ascii="Arial" w:hAnsi="Arial" w:cs="Arial"/>
        </w:rPr>
        <w:fldChar w:fldCharType="begin" w:fldLock="1"/>
      </w:r>
      <w:r w:rsidR="008073AF">
        <w:rPr>
          <w:rFonts w:ascii="Arial" w:hAnsi="Arial" w:cs="Arial"/>
        </w:rPr>
        <w:instrText>ADDIN CSL_CITATION {"citationItems":[{"id":"ITEM-1","itemData":{"DOI":"10.4154/gc.2013.05","ISSN":"1330-030X","abstract":"The Zmajevac loess-palaeosol succession (LPS) of the northeastern Baranja loess plateau is exposed along the south- ern slope of Bansko Brdo, on the western bank of the Danube River. The investigated 17.5-m-thick section shows 4 palaeosol, 1 loess-like and 6 loess horizons. Their integrative palaeoenvironmental analysis combines quantified da- ta from the mollusc record, magnetic susceptibility, grain-size, calcimetry and mineral abundances to reconstruct the pattern of regional palaeoclimate evolution. This result combined with infrared optically stimulated luminescence age estimates by GALOVIĆ et al. (2009) enabled correlation of the depositional units to Middle to the Late Pleis- tocene Marine Isotope Stages (MIS) 6 to 2. Magnetic susceptibility measurements show strong peaks in the palaeosol horizons pointing to increased concentrations of pedogenic ferrimagnetic minerals. Sedimentological and minera- logical parameters are in good agreement with other Pannonian Basin LPS. Terrestrial gastropod palaeoecology based on 1705 specimens of 13 species counted from loess and loess-like horizons documents cyclic transitions between cryophilous to cold resistant and mesophilous to thermophilous assemblage types. Whereas Helicopsis striata, Arianta arbustorum and Chondrula tridens are common throughout the succession, the typical loess representatives Pupilla sp., Vallonia tenuilabris and Columella columella are abundant only in certain horizons. Nevertheless, species tolerat- ing open and dry habitats are abundant throughout the succession. The faunal spectra for the samples prove the dominance of transitional palaeoecological assemblage types, whereas uniformly defined types are rare. One of these, the Columella columella assemblage from the base of the section proved to be indicative of the Penultimate Glacial Maximum.","author":[{"dropping-particle":"","family":"Banak","given":"Adriano","non-dropping-particle":"","parse-names":false,"suffix":""},{"dropping-particle":"","family":"Mandic","given":"Oleg","non-dropping-particle":"","parse-names":false,"suffix":""},{"dropping-particle":"","family":"Kovačić","given":"Marijan","non-dropping-particle":"","parse-names":false,"suffix":""},{"dropping-particle":"","family":"Pavelić","given":"Davor","non-dropping-particle":"","parse-names":false,"suffix":""}],"container-title":"Geologia Croatica","id":"ITEM-1","issue":"3","issued":{"date-parts":[["2012"]]},"page":"411-422","title":"Late Pleistocene climate history of the Baranja loess plateau – evidence from the Zmajevac loess-paleosol section (northeastern Croatia)","type":"article-journal","volume":"65"},"uris":["http://www.mendeley.com/documents/?uuid=a92e9a5a-d330-4ebf-969c-0a7e688cce61"]}],"mendeley":{"formattedCitation":"(Banak et al., 2012)","plainTextFormattedCitation":"(Banak et al., 2012)","previouslyFormattedCitation":"(Banak et al., 2012)"},"properties":{"noteIndex":0},"schema":"https://github.com/citation-style-language/schema/raw/master/csl-citation.json"}</w:instrText>
      </w:r>
      <w:r w:rsidR="00903338" w:rsidRPr="004043FB">
        <w:rPr>
          <w:rFonts w:ascii="Arial" w:hAnsi="Arial" w:cs="Arial"/>
        </w:rPr>
        <w:fldChar w:fldCharType="separate"/>
      </w:r>
      <w:r w:rsidR="008073AF" w:rsidRPr="008073AF">
        <w:rPr>
          <w:rFonts w:ascii="Arial" w:hAnsi="Arial" w:cs="Arial"/>
          <w:noProof/>
        </w:rPr>
        <w:t>(Banak et al., 2012)</w:t>
      </w:r>
      <w:r w:rsidR="00903338" w:rsidRPr="004043FB">
        <w:rPr>
          <w:rFonts w:ascii="Arial" w:hAnsi="Arial" w:cs="Arial"/>
        </w:rPr>
        <w:fldChar w:fldCharType="end"/>
      </w:r>
      <w:r w:rsidR="00903338">
        <w:rPr>
          <w:rFonts w:ascii="Arial" w:hAnsi="Arial" w:cs="Arial"/>
        </w:rPr>
        <w:t xml:space="preserve">, and Balkan Mountains </w:t>
      </w:r>
      <w:r w:rsidR="00903338">
        <w:rPr>
          <w:rFonts w:ascii="Arial" w:hAnsi="Arial" w:cs="Arial"/>
        </w:rPr>
        <w:fldChar w:fldCharType="begin" w:fldLock="1"/>
      </w:r>
      <w:r w:rsidR="00903338">
        <w:rPr>
          <w:rFonts w:ascii="Arial" w:hAnsi="Arial" w:cs="Arial"/>
        </w:rPr>
        <w:instrText>ADDIN CSL_CITATION {"citationItems":[{"id":"ITEM-1","itemData":{"DOI":"10.1016/j.quaint.2013.06.008","ISSN":"10406182","author":[{"dropping-particle":"","family":"Jipa","given":"Dan C.","non-dropping-particle":"","parse-names":false,"suffix":""}],"container-title":"Quaternary International","id":"ITEM-1","issued":{"date-parts":[["2014"]]},"note":"Good geomorph re-analysis to create region wide model. Good maps of thickness along and across the Lower Danube. Some suggestions for provenance of the region though based predominantly on very old heavy mineral work. Though this supports the idea that material is mizeed and sourced both from local mountains and Danube's alluvium","page":"14-24","publisher":"Elsevier Ltd and INQUA","title":"The conceptual sedimentary model of the Lower Danube loess basin: Sedimentogenetic implications","type":"article-journal","volume":"351"},"uris":["http://www.mendeley.com/documents/?uuid=a634a6ac-0e8e-4810-90eb-9395e147e0db"]}],"mendeley":{"formattedCitation":"(Jipa, 2014)","plainTextFormattedCitation":"(Jipa, 2014)","previouslyFormattedCitation":"(Jipa, 2014)"},"properties":{"noteIndex":0},"schema":"https://github.com/citation-style-language/schema/raw/master/csl-citation.json"}</w:instrText>
      </w:r>
      <w:r w:rsidR="00903338">
        <w:rPr>
          <w:rFonts w:ascii="Arial" w:hAnsi="Arial" w:cs="Arial"/>
        </w:rPr>
        <w:fldChar w:fldCharType="separate"/>
      </w:r>
      <w:r w:rsidR="00903338" w:rsidRPr="008612C3">
        <w:rPr>
          <w:rFonts w:ascii="Arial" w:hAnsi="Arial" w:cs="Arial"/>
          <w:noProof/>
        </w:rPr>
        <w:t>(Jipa, 2014)</w:t>
      </w:r>
      <w:r w:rsidR="00903338">
        <w:rPr>
          <w:rFonts w:ascii="Arial" w:hAnsi="Arial" w:cs="Arial"/>
        </w:rPr>
        <w:fldChar w:fldCharType="end"/>
      </w:r>
      <w:r w:rsidR="00903338">
        <w:rPr>
          <w:rFonts w:ascii="Arial" w:hAnsi="Arial" w:cs="Arial"/>
        </w:rPr>
        <w:t xml:space="preserve">. </w:t>
      </w:r>
      <w:r w:rsidR="00D661B6" w:rsidRPr="004043FB">
        <w:rPr>
          <w:rFonts w:ascii="Arial" w:hAnsi="Arial" w:cs="Arial"/>
        </w:rPr>
        <w:t>While</w:t>
      </w:r>
      <w:r w:rsidR="00CE2078">
        <w:rPr>
          <w:rFonts w:ascii="Arial" w:hAnsi="Arial" w:cs="Arial"/>
        </w:rPr>
        <w:t xml:space="preserve"> </w:t>
      </w:r>
      <w:r w:rsidR="00D661B6" w:rsidRPr="004043FB">
        <w:rPr>
          <w:rFonts w:ascii="Arial" w:hAnsi="Arial" w:cs="Arial"/>
        </w:rPr>
        <w:t>the</w:t>
      </w:r>
      <w:r>
        <w:rPr>
          <w:rFonts w:ascii="Arial" w:hAnsi="Arial" w:cs="Arial"/>
        </w:rPr>
        <w:t xml:space="preserve"> Alps were covered by</w:t>
      </w:r>
      <w:r w:rsidR="004C339E">
        <w:rPr>
          <w:rFonts w:ascii="Arial" w:hAnsi="Arial" w:cs="Arial"/>
        </w:rPr>
        <w:t xml:space="preserve"> </w:t>
      </w:r>
      <w:r>
        <w:rPr>
          <w:rFonts w:ascii="Arial" w:hAnsi="Arial" w:cs="Arial"/>
        </w:rPr>
        <w:t xml:space="preserve">an </w:t>
      </w:r>
      <w:r w:rsidR="00D661B6" w:rsidRPr="004043FB">
        <w:rPr>
          <w:rFonts w:ascii="Arial" w:hAnsi="Arial" w:cs="Arial"/>
        </w:rPr>
        <w:t>ice-cap</w:t>
      </w:r>
      <w:r>
        <w:rPr>
          <w:rFonts w:ascii="Arial" w:hAnsi="Arial" w:cs="Arial"/>
        </w:rPr>
        <w:t xml:space="preserve">, which </w:t>
      </w:r>
      <w:r w:rsidR="00084CB2">
        <w:rPr>
          <w:rFonts w:ascii="Arial" w:hAnsi="Arial" w:cs="Arial"/>
        </w:rPr>
        <w:t>was</w:t>
      </w:r>
      <w:r w:rsidR="00CE2078">
        <w:rPr>
          <w:rFonts w:ascii="Arial" w:hAnsi="Arial" w:cs="Arial"/>
        </w:rPr>
        <w:t xml:space="preserve"> able </w:t>
      </w:r>
      <w:r w:rsidR="00D661B6" w:rsidRPr="004043FB">
        <w:rPr>
          <w:rFonts w:ascii="Arial" w:hAnsi="Arial" w:cs="Arial"/>
        </w:rPr>
        <w:t xml:space="preserve">to generate </w:t>
      </w:r>
      <w:r w:rsidR="00CE2078">
        <w:rPr>
          <w:rFonts w:ascii="Arial" w:hAnsi="Arial" w:cs="Arial"/>
        </w:rPr>
        <w:t xml:space="preserve">large volumes of </w:t>
      </w:r>
      <w:r w:rsidR="005F5621">
        <w:rPr>
          <w:rFonts w:ascii="Arial" w:hAnsi="Arial" w:cs="Arial"/>
        </w:rPr>
        <w:t xml:space="preserve">fine gained </w:t>
      </w:r>
      <w:r w:rsidR="00D661B6" w:rsidRPr="004043FB">
        <w:rPr>
          <w:rFonts w:ascii="Arial" w:hAnsi="Arial" w:cs="Arial"/>
        </w:rPr>
        <w:t>sediment,</w:t>
      </w:r>
      <w:r w:rsidR="00CE2078">
        <w:rPr>
          <w:rFonts w:ascii="Arial" w:hAnsi="Arial" w:cs="Arial"/>
        </w:rPr>
        <w:t xml:space="preserve"> the extent</w:t>
      </w:r>
      <w:r w:rsidR="00D661B6" w:rsidRPr="004043FB">
        <w:rPr>
          <w:rFonts w:ascii="Arial" w:hAnsi="Arial" w:cs="Arial"/>
        </w:rPr>
        <w:t xml:space="preserve"> to </w:t>
      </w:r>
      <w:r w:rsidR="00CE2078">
        <w:rPr>
          <w:rFonts w:ascii="Arial" w:hAnsi="Arial" w:cs="Arial"/>
        </w:rPr>
        <w:t>which</w:t>
      </w:r>
      <w:r w:rsidR="00D661B6" w:rsidRPr="004043FB">
        <w:rPr>
          <w:rFonts w:ascii="Arial" w:hAnsi="Arial" w:cs="Arial"/>
        </w:rPr>
        <w:t xml:space="preserve"> the Carpathian </w:t>
      </w:r>
      <w:r w:rsidR="00903338">
        <w:rPr>
          <w:rFonts w:ascii="Arial" w:hAnsi="Arial" w:cs="Arial"/>
        </w:rPr>
        <w:t xml:space="preserve">and Balkan </w:t>
      </w:r>
      <w:r w:rsidR="00D661B6" w:rsidRPr="004043FB">
        <w:rPr>
          <w:rFonts w:ascii="Arial" w:hAnsi="Arial" w:cs="Arial"/>
        </w:rPr>
        <w:t>Mountains</w:t>
      </w:r>
      <w:r w:rsidR="00282131">
        <w:rPr>
          <w:rFonts w:ascii="Arial" w:hAnsi="Arial" w:cs="Arial"/>
        </w:rPr>
        <w:t xml:space="preserve"> or Bohemian Massif </w:t>
      </w:r>
      <w:r w:rsidR="00D661B6" w:rsidRPr="004043FB">
        <w:rPr>
          <w:rFonts w:ascii="Arial" w:hAnsi="Arial" w:cs="Arial"/>
        </w:rPr>
        <w:t xml:space="preserve">supported features larger than unconnected glacier </w:t>
      </w:r>
      <w:r w:rsidR="00672FAF">
        <w:rPr>
          <w:rFonts w:ascii="Arial" w:hAnsi="Arial" w:cs="Arial"/>
        </w:rPr>
        <w:t xml:space="preserve">lobes </w:t>
      </w:r>
      <w:r w:rsidR="00D661B6" w:rsidRPr="004043FB">
        <w:rPr>
          <w:rFonts w:ascii="Arial" w:hAnsi="Arial" w:cs="Arial"/>
        </w:rPr>
        <w:t>during glacial periods</w:t>
      </w:r>
      <w:r w:rsidR="00CE2078">
        <w:rPr>
          <w:rFonts w:ascii="Arial" w:hAnsi="Arial" w:cs="Arial"/>
        </w:rPr>
        <w:t xml:space="preserve"> is debated</w:t>
      </w:r>
      <w:r w:rsidR="00D661B6" w:rsidRPr="004043FB">
        <w:rPr>
          <w:rFonts w:ascii="Arial" w:hAnsi="Arial" w:cs="Arial"/>
        </w:rPr>
        <w:t xml:space="preserve"> </w:t>
      </w:r>
      <w:r w:rsidR="00D661B6" w:rsidRPr="004043FB">
        <w:rPr>
          <w:rFonts w:ascii="Arial" w:hAnsi="Arial" w:cs="Arial"/>
        </w:rPr>
        <w:fldChar w:fldCharType="begin" w:fldLock="1"/>
      </w:r>
      <w:r w:rsidR="005F5621">
        <w:rPr>
          <w:rFonts w:ascii="Arial" w:hAnsi="Arial" w:cs="Arial"/>
        </w:rPr>
        <w:instrText>ADDIN CSL_CITATION {"citationItems":[{"id":"ITEM-1","itemData":{"DOI":"10.1016/B978-0-444-53447-7.00024-6","ISBN":"9780444534477","ISSN":"15710866","abstract":"Contrary to the ideas promoted during the 1960-1980s, the authors consider that the Pleistocene glaciation was more extensive in the Romanian Carpathians.After field investigations and mapping, based on topographic maps (1:25,000), aerial photographs (1:10,000), digitally orthorectified aerial photographs and satellite images 570 glacial entities (glaciers, niche glaciers, ice aprons, wall-sided glaciers, avalanche-cone glaciers, firn fields) have been reconstructed to estimate their areas, lengths, volumes-based on Fox equation-and palaeo-equilibrium-line altitudes (ELAs) using a toe-to-headwall altitude ratio or THAR, in 17 mountain units of Romanian Carpathians (9 in Eastern Carpathains with 315 glacial entities, 5 in Southern Carpathians with 219 entities, 3 mountain units in Apuseni Mountains with 36 reconstructed entities). © 2011 Elsevier B.V.","author":[{"dropping-particle":"","family":"Urdea","given":"Petru","non-dropping-particle":"","parse-names":false,"suffix":""},{"dropping-particle":"","family":"Onaca","given":"Alexandru","non-dropping-particle":"","parse-names":false,"suffix":""},{"dropping-particle":"","family":"Ardelean","given":"Florina","non-dropping-particle":"","parse-names":false,"suffix":""},{"dropping-particle":"","family":"Ardelean","given":"Mircea","non-dropping-particle":"","parse-names":false,"suffix":""}],"container-title":"Developments in Quaternary Science","id":"ITEM-1","issued":{"date-parts":[["2011"]]},"page":"305-322","title":"New evidence on the quaternary glaciation in the Romanian carpathians","type":"article-journal","volume":"2"},"uris":["http://www.mendeley.com/documents/?uuid=779d21a5-8b38-4be6-b558-c78154dfa68c"]},{"id":"ITEM-2","itemData":{"DOI":"10.1144/SP433.14","ISSN":"03058719","abstract":"The Mediterranean mountains were repeatedly glaciated during the Pleistocene. Glaciers were present in most of the major mountains areas from Morocco in the west to the Black Sea coast of Turkey in the east. Some mountains supported extensive ice caps and ice fields with valley glaciers tens of kilometres long. Other massifs sustained only small-scale ice masses, although this was the exception rather than the norm. Glaciers still exist today and there is evidence that small glaciers were a common sight in many regions during the Little Ice Age. The Mediterranean mountains are important for palaeoclimate research because of their position in the mid-latitudes and sensitivity to changes in the climate regimes of adjacent areas including the North Atlantic. These mountains are also important areas of biodiversity and long-term biological change through the Quaternary ice age. All of this provided challenges and opportunities for Palaeolithic societies. This paper reviews the history of the study of glaciation in the Mediterranean mountains from pioneer nineteenth century observations through to the detailed geomorphological mapping and advanced geochronological datasets of recent times. We also review the current state of knowledge to frame the contributions presented in this volume. Lastly, this new synthesis then identifies outstanding research problems and assesses the prospects for new studies of glaciation in the Mediterranean mountains.","author":[{"dropping-particle":"","family":"Hughes","given":"Philip D.","non-dropping-particle":"","parse-names":false,"suffix":""},{"dropping-particle":"","family":"Woodward","given":"Jamie C.","non-dropping-particle":"","parse-names":false,"suffix":""}],"container-title":"Geological Society Special Publication","id":"ITEM-2","issue":"1","issued":{"date-parts":[["2017"]]},"page":"1-23","title":"Quaternary glaciation in the Mediterranean mountains: A new synthesis","type":"article-journal","volume":"433"},"uris":["http://www.mendeley.com/documents/?uuid=8c5b06a9-82bc-4e2c-b8e1-be8498ea6e49"]},{"id":"ITEM-3","itemData":{"DOI":"10.1016/j.geomorph.2016.12.008","ISSN":"0169555X","abstract":"The Jizerské hory Mountains in the Czech Republic have traditionally been considered to be a highland that lay beyond the limits of Quaternary glaciations. Recent work on cirque-like valley heads in the central part of the range has shown that niche glaciers could form during the Quaternary. Here we report geomorphological and sedimentary evidence for a small glacier in the Pytlácká jáma Hollow that represents one of the most-enclosed valley heads within the range. Shape and size characteristics of this landform indicate that the hollow is a glacial cirque at a degraded stage of development. Boulder accumulations at the downslope side of the hollow probably represent a relic of terminal moraines, and the grain size distribution of clasts together with micromorphology of quartz grains from the hollow indicate the glacial environment of a small glacier. This glacier represents the lowermost located such system in central Europe and provides evidence for the presence of niche or small cirque glaciers probably during pre-Weichselian glacial periods. The glaciation limit (1000 m asl) and paleo-ELA (900 m asl) proposed for the Jizerské hory Mountains implies that central European ranges lower than 1100 m asl were probably glaciated during the Quaternary.","author":[{"dropping-particle":"","family":"Engel","given":"Zbyněk","non-dropping-particle":"","parse-names":false,"suffix":""},{"dropping-particle":"","family":"Křížek","given":"Marek","non-dropping-particle":"","parse-names":false,"suffix":""},{"dropping-particle":"","family":"Kasprzak","given":"Marek","non-dropping-particle":"","parse-names":false,"suffix":""},{"dropping-particle":"","family":"Traczyk","given":"Andrzej","non-dropping-particle":"","parse-names":false,"suffix":""},{"dropping-particle":"","family":"Hložek","given":"Martin","non-dropping-particle":"","parse-names":false,"suffix":""},{"dropping-particle":"","family":"Krbcová","given":"Klára","non-dropping-particle":"","parse-names":false,"suffix":""}],"container-title":"Geomorphology","id":"ITEM-3","issued":{"date-parts":[["2017"]]},"page":"39-50","title":"Geomorphological and sedimentary evidence of probable glaciation in the Jizerské hory Mountains, Central Europe","type":"article-journal","volume":"280"},"uris":["http://www.mendeley.com/documents/?uuid=53b5e4a2-f0a0-4553-b901-bd0506339ade"]},{"id":"ITEM-4","itemData":{"DOI":"10.1016/j.quascirev.2013.01.020","ISSN":"02773791","abstract":"A glacial chronology based on in situ-produced 10Be surface exposure dating of moraines in the Bohemian Forest (Central Europe) was established. Eleven exposure ages obtained for moraine boulders in the PráŠilské Lake and Laka Lake valleys (Czech Republic) were complemented by 10Be ages from Kleiner Arbersee (Germany) recalculated according to recently calibrated production rates in the Northern Hemisphere. The glacial phases in the Bohemian Forest occurred during the Last Glacial Maximum around 24.1 ± 2.5, 23.6 ± 2.4, 21.8 ± 2.0 and 19.5 ± 2.1 ka. Following phases of local glaciation occurred during the Northern Hemisphere deglaciation period around 16 ka and 14 ka. The last indicated phase may correlate with Older Dryas. The glacial chronology of the Bohemian Forest is in agreement with local glaciation chronologies in the Giant Mts. (KrkonoŠe Mts.) and the Eastern Alps. © 2013 Elsevier Ltd.","author":[{"dropping-particle":"","family":"Mentlík","given":"Pavel","non-dropping-particle":"","parse-names":false,"suffix":""},{"dropping-particle":"","family":"Engel","given":"Zbyněk","non-dropping-particle":"","parse-names":false,"suffix":""},{"dropping-particle":"","family":"Braucher","given":"Régis","non-dropping-particle":"","parse-names":false,"suffix":""},{"dropping-particle":"","family":"Léanni","given":"Laetitia","non-dropping-particle":"","parse-names":false,"suffix":""},{"dropping-particle":"","family":"Arnold","given":"Maurice","non-dropping-particle":"","parse-names":false,"suffix":""},{"dropping-particle":"","family":"Aumaître","given":"Georges","non-dropping-particle":"","parse-names":false,"suffix":""},{"dropping-particle":"","family":"Bourlés","given":"Didier","non-dropping-particle":"","parse-names":false,"suffix":""},{"dropping-particle":"","family":"Keddadouche","given":"Karim","non-dropping-particle":"","parse-names":false,"suffix":""}],"container-title":"Quaternary Science Reviews","id":"ITEM-4","issued":{"date-parts":[["2013"]]},"page":"120-128","title":"Chronology of the Late Weichselian glaciation in the Bohemian Forest in Central Europe","type":"article-journal","volume":"65"},"uris":["http://www.mendeley.com/documents/?uuid=999424a5-97fe-4b8b-a4f7-0df2bbc6d723"]},{"id":"ITEM-5","itemData":{"DOI":"10.1017/qua.2020.90","ISSN":"0033-5894","abstract":"In the eastern Carpathians the legacy of glaciation is preserved in several isolated mountain massifs. This paper presents new mapping results of glaciated valley land systems in the Rodna Mountains, the highest part of the eastern Carpathians (2303 m above seal level). In most of the glacial valleys, the maximal Pleistocene extent is marked by freshly shaped moraines, which are referred in this study as the Pietroasa glacial stage and regarded as the last glacial maximum (LGM) advance. Only in three valleys do older Şesura glacial stage moraines (pre-LGM, likely Marine Oxygen Isotope Stage 6) occur. On the basis of the geomorphological record, we reconstruct the extent, surface geometry, and equilibrium line altitude (ELA) of Pietroasa-stage glaciers. The local ELA pattern of north-exposed glaciers in the Rodna Mountains shows a rising trend towards the southeast, which suggests dominant snow-bearing winds and orographically induced precipitation from the west. This finding fits well with the dominant palaeo-wind direction inferred from other Carpathian proxies and confirms the dominance of zonal circulation pattern during the global LGM in central eastern Europe.","author":[{"dropping-particle":"","family":"Kłapyta","given":"Piotr","non-dropping-particle":"","parse-names":false,"suffix":""},{"dropping-particle":"","family":"Mîndrescu","given":"Marcel","non-dropping-particle":"","parse-names":false,"suffix":""},{"dropping-particle":"","family":"Zasadni","given":"Jerzy","non-dropping-particle":"","parse-names":false,"suffix":""}],"container-title":"Quaternary Research","id":"ITEM-5","issue":"2013","issued":{"date-parts":[["2021"]]},"page":"1-20","title":"Geomorphological record and equilibrium line altitude of glaciers during the last glacial maximum in the Rodna Mountains (eastern Carpathians)","type":"article-journal","volume":"100"},"uris":["http://www.mendeley.com/documents/?uuid=d45a2ec8-7418-46e7-b023-9bacd4929b31"]}],"mendeley":{"formattedCitation":"(Engel et al., 2017; Hughes and Woodward, 2017; Kłapyta et al., 2021; Mentlík et al., 2013; Urdea et al., 2011)","plainTextFormattedCitation":"(Engel et al., 2017; Hughes and Woodward, 2017; Kłapyta et al., 2021; Mentlík et al., 2013; Urdea et al., 2011)","previouslyFormattedCitation":"(Engel et al., 2017; Hughes and Woodward, 2017; Kłapyta et al., 2021; Mentlík et al., 2013; Urdea et al., 2011)"},"properties":{"noteIndex":0},"schema":"https://github.com/citation-style-language/schema/raw/master/csl-citation.json"}</w:instrText>
      </w:r>
      <w:r w:rsidR="00D661B6" w:rsidRPr="004043FB">
        <w:rPr>
          <w:rFonts w:ascii="Arial" w:hAnsi="Arial" w:cs="Arial"/>
        </w:rPr>
        <w:fldChar w:fldCharType="separate"/>
      </w:r>
      <w:r w:rsidR="005F5621" w:rsidRPr="005F5621">
        <w:rPr>
          <w:rFonts w:ascii="Arial" w:hAnsi="Arial" w:cs="Arial"/>
          <w:noProof/>
        </w:rPr>
        <w:t>(Engel et al., 2017; Hughes and Woodward, 2017; Kłapyta et al., 2021; Mentlík et al., 2013; Urdea et al., 2011)</w:t>
      </w:r>
      <w:r w:rsidR="00D661B6" w:rsidRPr="004043FB">
        <w:rPr>
          <w:rFonts w:ascii="Arial" w:hAnsi="Arial" w:cs="Arial"/>
        </w:rPr>
        <w:fldChar w:fldCharType="end"/>
      </w:r>
      <w:r w:rsidR="004C339E">
        <w:rPr>
          <w:rFonts w:ascii="Arial" w:hAnsi="Arial" w:cs="Arial"/>
        </w:rPr>
        <w:t xml:space="preserve">, and </w:t>
      </w:r>
      <w:r w:rsidR="00CE2078">
        <w:rPr>
          <w:rFonts w:ascii="Arial" w:hAnsi="Arial" w:cs="Arial"/>
        </w:rPr>
        <w:t xml:space="preserve">by implication it is unclear </w:t>
      </w:r>
      <w:r w:rsidR="00FF65CF">
        <w:rPr>
          <w:rFonts w:ascii="Arial" w:hAnsi="Arial" w:cs="Arial"/>
        </w:rPr>
        <w:t>whether</w:t>
      </w:r>
      <w:r w:rsidR="008B52B8">
        <w:rPr>
          <w:rFonts w:ascii="Arial" w:hAnsi="Arial" w:cs="Arial"/>
        </w:rPr>
        <w:t xml:space="preserve"> they </w:t>
      </w:r>
      <w:r w:rsidR="00FF65CF">
        <w:rPr>
          <w:rFonts w:ascii="Arial" w:hAnsi="Arial" w:cs="Arial"/>
        </w:rPr>
        <w:t>could</w:t>
      </w:r>
      <w:r w:rsidR="008B52B8">
        <w:rPr>
          <w:rFonts w:ascii="Arial" w:hAnsi="Arial" w:cs="Arial"/>
        </w:rPr>
        <w:t xml:space="preserve"> </w:t>
      </w:r>
      <w:r w:rsidR="005F5621">
        <w:rPr>
          <w:rFonts w:ascii="Arial" w:hAnsi="Arial" w:cs="Arial"/>
        </w:rPr>
        <w:t xml:space="preserve">have </w:t>
      </w:r>
      <w:r w:rsidR="008B52B8">
        <w:rPr>
          <w:rFonts w:ascii="Arial" w:hAnsi="Arial" w:cs="Arial"/>
        </w:rPr>
        <w:t>generate</w:t>
      </w:r>
      <w:r w:rsidR="005F5621">
        <w:rPr>
          <w:rFonts w:ascii="Arial" w:hAnsi="Arial" w:cs="Arial"/>
        </w:rPr>
        <w:t>d</w:t>
      </w:r>
      <w:r w:rsidR="008B52B8">
        <w:rPr>
          <w:rFonts w:ascii="Arial" w:hAnsi="Arial" w:cs="Arial"/>
        </w:rPr>
        <w:t xml:space="preserve"> </w:t>
      </w:r>
      <w:r w:rsidR="00CE2078">
        <w:rPr>
          <w:rFonts w:ascii="Arial" w:hAnsi="Arial" w:cs="Arial"/>
        </w:rPr>
        <w:t xml:space="preserve">the </w:t>
      </w:r>
      <w:r w:rsidR="008B52B8">
        <w:rPr>
          <w:rFonts w:ascii="Arial" w:hAnsi="Arial" w:cs="Arial"/>
        </w:rPr>
        <w:t xml:space="preserve">large quantities of </w:t>
      </w:r>
      <w:r w:rsidR="00077C5D">
        <w:rPr>
          <w:rFonts w:ascii="Arial" w:hAnsi="Arial" w:cs="Arial"/>
        </w:rPr>
        <w:t xml:space="preserve">silt size </w:t>
      </w:r>
      <w:r w:rsidR="008B52B8">
        <w:rPr>
          <w:rFonts w:ascii="Arial" w:hAnsi="Arial" w:cs="Arial"/>
        </w:rPr>
        <w:t>sediment</w:t>
      </w:r>
      <w:r w:rsidR="00CE2078">
        <w:rPr>
          <w:rFonts w:ascii="Arial" w:hAnsi="Arial" w:cs="Arial"/>
        </w:rPr>
        <w:t xml:space="preserve"> sufficient to form</w:t>
      </w:r>
      <w:r w:rsidR="005F5621">
        <w:rPr>
          <w:rFonts w:ascii="Arial" w:hAnsi="Arial" w:cs="Arial"/>
        </w:rPr>
        <w:t xml:space="preserve"> the extensive Danube</w:t>
      </w:r>
      <w:r w:rsidR="00CE2078">
        <w:rPr>
          <w:rFonts w:ascii="Arial" w:hAnsi="Arial" w:cs="Arial"/>
        </w:rPr>
        <w:t xml:space="preserve"> loess</w:t>
      </w:r>
      <w:r w:rsidR="005F5621">
        <w:rPr>
          <w:rFonts w:ascii="Arial" w:hAnsi="Arial" w:cs="Arial"/>
        </w:rPr>
        <w:t xml:space="preserve"> deposits</w:t>
      </w:r>
      <w:r w:rsidR="00D661B6" w:rsidRPr="004043FB">
        <w:rPr>
          <w:rFonts w:ascii="Arial" w:hAnsi="Arial" w:cs="Arial"/>
        </w:rPr>
        <w:t xml:space="preserve">. </w:t>
      </w:r>
      <w:r w:rsidR="00672FAF">
        <w:rPr>
          <w:rFonts w:ascii="Arial" w:hAnsi="Arial" w:cs="Arial"/>
        </w:rPr>
        <w:t xml:space="preserve">If </w:t>
      </w:r>
      <w:r w:rsidR="00CE2078">
        <w:rPr>
          <w:rFonts w:ascii="Arial" w:hAnsi="Arial" w:cs="Arial"/>
        </w:rPr>
        <w:t>areas without large ice sheets are</w:t>
      </w:r>
      <w:r w:rsidR="00A4428B">
        <w:rPr>
          <w:rFonts w:ascii="Arial" w:hAnsi="Arial" w:cs="Arial"/>
        </w:rPr>
        <w:t xml:space="preserve"> </w:t>
      </w:r>
      <w:r w:rsidR="005F5621">
        <w:rPr>
          <w:rFonts w:ascii="Arial" w:hAnsi="Arial" w:cs="Arial"/>
        </w:rPr>
        <w:t xml:space="preserve">also </w:t>
      </w:r>
      <w:r w:rsidR="00672FAF">
        <w:rPr>
          <w:rFonts w:ascii="Arial" w:hAnsi="Arial" w:cs="Arial"/>
        </w:rPr>
        <w:t xml:space="preserve">confirmed </w:t>
      </w:r>
      <w:r w:rsidR="00514407">
        <w:rPr>
          <w:rFonts w:ascii="Arial" w:hAnsi="Arial" w:cs="Arial"/>
        </w:rPr>
        <w:t>as source</w:t>
      </w:r>
      <w:r w:rsidR="00672FAF">
        <w:rPr>
          <w:rFonts w:ascii="Arial" w:hAnsi="Arial" w:cs="Arial"/>
        </w:rPr>
        <w:t xml:space="preserve"> regions for </w:t>
      </w:r>
      <w:r w:rsidR="005F5621">
        <w:rPr>
          <w:rFonts w:ascii="Arial" w:hAnsi="Arial" w:cs="Arial"/>
        </w:rPr>
        <w:t xml:space="preserve">the </w:t>
      </w:r>
      <w:r w:rsidR="00E37FF7">
        <w:rPr>
          <w:rFonts w:ascii="Arial" w:hAnsi="Arial" w:cs="Arial"/>
        </w:rPr>
        <w:t xml:space="preserve">Danube </w:t>
      </w:r>
      <w:r w:rsidR="00672FAF">
        <w:rPr>
          <w:rFonts w:ascii="Arial" w:hAnsi="Arial" w:cs="Arial"/>
        </w:rPr>
        <w:t>loess deposits</w:t>
      </w:r>
      <w:r w:rsidR="00A4428B">
        <w:rPr>
          <w:rFonts w:ascii="Arial" w:hAnsi="Arial" w:cs="Arial"/>
        </w:rPr>
        <w:t>,</w:t>
      </w:r>
      <w:r w:rsidR="00672FAF">
        <w:rPr>
          <w:rFonts w:ascii="Arial" w:hAnsi="Arial" w:cs="Arial"/>
        </w:rPr>
        <w:t xml:space="preserve"> </w:t>
      </w:r>
      <w:r w:rsidR="00D661B6" w:rsidRPr="004043FB">
        <w:rPr>
          <w:rFonts w:ascii="Arial" w:hAnsi="Arial" w:cs="Arial"/>
        </w:rPr>
        <w:t>th</w:t>
      </w:r>
      <w:r w:rsidR="005A0C6C">
        <w:rPr>
          <w:rFonts w:ascii="Arial" w:hAnsi="Arial" w:cs="Arial"/>
        </w:rPr>
        <w:t>en</w:t>
      </w:r>
      <w:r w:rsidR="00D661B6" w:rsidRPr="004043FB">
        <w:rPr>
          <w:rFonts w:ascii="Arial" w:hAnsi="Arial" w:cs="Arial"/>
        </w:rPr>
        <w:t xml:space="preserve"> the </w:t>
      </w:r>
      <w:r w:rsidR="005F5621">
        <w:rPr>
          <w:rFonts w:ascii="Arial" w:hAnsi="Arial" w:cs="Arial"/>
        </w:rPr>
        <w:t xml:space="preserve">postulated </w:t>
      </w:r>
      <w:r w:rsidR="008B52B8">
        <w:rPr>
          <w:rFonts w:ascii="Arial" w:hAnsi="Arial" w:cs="Arial"/>
        </w:rPr>
        <w:t>need for</w:t>
      </w:r>
      <w:r w:rsidR="00D661B6" w:rsidRPr="004043FB">
        <w:rPr>
          <w:rFonts w:ascii="Arial" w:hAnsi="Arial" w:cs="Arial"/>
        </w:rPr>
        <w:t xml:space="preserve"> </w:t>
      </w:r>
      <w:r w:rsidR="005F5621">
        <w:rPr>
          <w:rFonts w:ascii="Arial" w:hAnsi="Arial" w:cs="Arial"/>
        </w:rPr>
        <w:t xml:space="preserve">extensive </w:t>
      </w:r>
      <w:r w:rsidR="00D661B6" w:rsidRPr="004043FB">
        <w:rPr>
          <w:rFonts w:ascii="Arial" w:hAnsi="Arial" w:cs="Arial"/>
        </w:rPr>
        <w:t>glaci</w:t>
      </w:r>
      <w:r w:rsidR="00D670B7">
        <w:rPr>
          <w:rFonts w:ascii="Arial" w:hAnsi="Arial" w:cs="Arial"/>
        </w:rPr>
        <w:t>al</w:t>
      </w:r>
      <w:r w:rsidR="00D661B6" w:rsidRPr="004043FB">
        <w:rPr>
          <w:rFonts w:ascii="Arial" w:hAnsi="Arial" w:cs="Arial"/>
        </w:rPr>
        <w:t xml:space="preserve"> </w:t>
      </w:r>
      <w:r w:rsidR="005F5621">
        <w:rPr>
          <w:rFonts w:ascii="Arial" w:hAnsi="Arial" w:cs="Arial"/>
        </w:rPr>
        <w:t xml:space="preserve">activity </w:t>
      </w:r>
      <w:r w:rsidR="00D661B6" w:rsidRPr="004043FB">
        <w:rPr>
          <w:rFonts w:ascii="Arial" w:hAnsi="Arial" w:cs="Arial"/>
        </w:rPr>
        <w:t xml:space="preserve">in </w:t>
      </w:r>
      <w:r w:rsidR="005F5621">
        <w:rPr>
          <w:rFonts w:ascii="Arial" w:hAnsi="Arial" w:cs="Arial"/>
        </w:rPr>
        <w:t>silt</w:t>
      </w:r>
      <w:r w:rsidR="00D661B6" w:rsidRPr="004043FB">
        <w:rPr>
          <w:rFonts w:ascii="Arial" w:hAnsi="Arial" w:cs="Arial"/>
        </w:rPr>
        <w:t xml:space="preserve"> production </w:t>
      </w:r>
      <w:r w:rsidR="005F5621">
        <w:rPr>
          <w:rFonts w:ascii="Arial" w:hAnsi="Arial" w:cs="Arial"/>
        </w:rPr>
        <w:t xml:space="preserve">and ultimately loess formation </w:t>
      </w:r>
      <w:r w:rsidR="00672FAF">
        <w:rPr>
          <w:rFonts w:ascii="Arial" w:hAnsi="Arial" w:cs="Arial"/>
        </w:rPr>
        <w:t xml:space="preserve">may have been </w:t>
      </w:r>
      <w:r w:rsidR="00672FAF" w:rsidRPr="004043FB">
        <w:rPr>
          <w:rFonts w:ascii="Arial" w:hAnsi="Arial" w:cs="Arial"/>
        </w:rPr>
        <w:t>previously</w:t>
      </w:r>
      <w:r w:rsidR="00D661B6" w:rsidRPr="004043FB">
        <w:rPr>
          <w:rFonts w:ascii="Arial" w:hAnsi="Arial" w:cs="Arial"/>
        </w:rPr>
        <w:t xml:space="preserve"> exaggerated</w:t>
      </w:r>
      <w:r w:rsidR="00CE2078">
        <w:rPr>
          <w:rFonts w:ascii="Arial" w:hAnsi="Arial" w:cs="Arial"/>
        </w:rPr>
        <w:t>.</w:t>
      </w:r>
    </w:p>
    <w:p w14:paraId="387BE5DA" w14:textId="5CCD17DB" w:rsidR="00EA14F1" w:rsidRDefault="00783C1C" w:rsidP="00614941">
      <w:pPr>
        <w:spacing w:before="120" w:after="120" w:line="480" w:lineRule="auto"/>
        <w:jc w:val="both"/>
        <w:rPr>
          <w:rFonts w:ascii="Arial" w:hAnsi="Arial" w:cs="Arial"/>
        </w:rPr>
      </w:pPr>
      <w:r>
        <w:rPr>
          <w:rFonts w:ascii="Arial" w:hAnsi="Arial" w:cs="Arial"/>
        </w:rPr>
        <w:t>A</w:t>
      </w:r>
      <w:r w:rsidR="00EA14F1">
        <w:rPr>
          <w:rFonts w:ascii="Arial" w:hAnsi="Arial" w:cs="Arial"/>
        </w:rPr>
        <w:t xml:space="preserve">lluvium has often </w:t>
      </w:r>
      <w:r w:rsidR="005A0C6C">
        <w:rPr>
          <w:rFonts w:ascii="Arial" w:hAnsi="Arial" w:cs="Arial"/>
        </w:rPr>
        <w:t xml:space="preserve">been </w:t>
      </w:r>
      <w:r w:rsidR="00EA14F1">
        <w:rPr>
          <w:rFonts w:ascii="Arial" w:hAnsi="Arial" w:cs="Arial"/>
        </w:rPr>
        <w:t>emphasi</w:t>
      </w:r>
      <w:r w:rsidR="005A0C6C">
        <w:rPr>
          <w:rFonts w:ascii="Arial" w:hAnsi="Arial" w:cs="Arial"/>
        </w:rPr>
        <w:t>s</w:t>
      </w:r>
      <w:r w:rsidR="00EA14F1">
        <w:rPr>
          <w:rFonts w:ascii="Arial" w:hAnsi="Arial" w:cs="Arial"/>
        </w:rPr>
        <w:t>ed as</w:t>
      </w:r>
      <w:r w:rsidR="00CE2078">
        <w:rPr>
          <w:rFonts w:ascii="Arial" w:hAnsi="Arial" w:cs="Arial"/>
        </w:rPr>
        <w:t xml:space="preserve"> a major</w:t>
      </w:r>
      <w:r w:rsidR="00EA14F1">
        <w:rPr>
          <w:rFonts w:ascii="Arial" w:hAnsi="Arial" w:cs="Arial"/>
        </w:rPr>
        <w:t xml:space="preserve"> </w:t>
      </w:r>
      <w:r w:rsidR="00F17F0C">
        <w:rPr>
          <w:rFonts w:ascii="Arial" w:hAnsi="Arial" w:cs="Arial"/>
        </w:rPr>
        <w:t xml:space="preserve">immediate, </w:t>
      </w:r>
      <w:r w:rsidR="00EA14F1">
        <w:rPr>
          <w:rFonts w:ascii="Arial" w:hAnsi="Arial" w:cs="Arial"/>
        </w:rPr>
        <w:t xml:space="preserve">geomorphological source of loess deposits </w:t>
      </w:r>
      <w:r w:rsidR="00EA14F1">
        <w:rPr>
          <w:rFonts w:ascii="Arial" w:hAnsi="Arial" w:cs="Arial"/>
        </w:rPr>
        <w:fldChar w:fldCharType="begin" w:fldLock="1"/>
      </w:r>
      <w:r w:rsidR="005F5621">
        <w:rPr>
          <w:rFonts w:ascii="Arial" w:hAnsi="Arial" w:cs="Arial"/>
        </w:rPr>
        <w:instrText>ADDIN CSL_CITATION {"citationItems":[{"id":"ITEM-1","itemData":{"DOI":"10.1016/j.quaint.2008.06.009","ISBN":"1040-6182","ISSN":"10406182","abstract":"Rivers are essential for loess deposit formation. River systems which relate directly to loess deposit formation include the Danube and the Rhine; the Mississippi and the Missouri; the Thames and the Medway; the Indus, Ganges and Brahmaputra; the Dnepr, Don and Volga; the Clutha, Mataura and Rakaia-New Zealand rivers; the Yellow River; rivers in South America; Siberian rivers (flowing north); the Odra and the Wisla (between the mountains and the ice); the Syr-Darya and Amu-Darya (into the desert). The contention is that rivers are not just important in major loess deposit formation, they are mandatory (necessary, imperative, obligatory, essential, indispensable, requisite). For a complete and satisfactory study of a loess deposit, we need to know how the material is produced; how it is transported and distributed across the landscape; how intermediate deposits are formed; how transportation provides the defining properties (i.e., open structure, collapsibility, draping across the landscape); and what may happen post-deposition (e.g., chernozemisation, fragipan formation, increased collapsibility, etc.). If rivers are essential then it would appear that the British loess is probably Alpine material delivered by the proto-Rhine and the Polish loess is not derived from the ice-sheet to the north but from the mountains to the south. The lack of loess in Canada is explained by the absence of suitable rivers. The loess in Russia and neighbouring countries can be classified (as Jefferson et al. [Jefferson, I.F., Evstatiev, D., Karastenev, D., Mavlyanova, N.G., Smalley, I.J., 2003b. The engineering geology of loess and loess-like deposits: a commentary on the Russian literature. Engineering Geology 68, 333-351] suggested) on the basis of associated rivers. A 'new' deposit of glacial loess is recognised-associated with the Dnepr, Don and Volga rivers (the USWR loess). The Smalley-Leach [Smalley, I.J., Leach, J.A., 1978. The origin and distribution of the loess in the Danube basin and associated regions of East-Central Europe: a review. Sedimentary Geology 21, 1-26. Available from: ???www.geo.edu.ro/sgr/mod/downloads/PDF/Smalley-SedGeo-1978.pdf??? ] vision of the loess in the Danube basin and East-Central Europe is probably misconceived. They assigned a great significance to glacial action and put loess in a 'northern band'. It appears that this proposed glacial influence is minimal and that the Danube loess is essentially mountain loess-derived from the Alps, th…","author":[{"dropping-particle":"","family":"Smalley","given":"Ian J.","non-dropping-particle":"","parse-names":false,"suffix":""},{"dropping-particle":"","family":"O'Hara-Dhand","given":"Ken","non-dropping-particle":"","parse-names":false,"suffix":""},{"dropping-particle":"","family":"Wint","given":"Jo","non-dropping-particle":"","parse-names":false,"suffix":""},{"dropping-particle":"","family":"Machalett","given":"Björn","non-dropping-particle":"","parse-names":false,"suffix":""},{"dropping-particle":"","family":"Jary","given":"Zdzisław","non-dropping-particle":"","parse-names":false,"suffix":""},{"dropping-particle":"","family":"Jefferson","given":"Ian F.","non-dropping-particle":"","parse-names":false,"suffix":""}],"container-title":"Quaternary International","id":"ITEM-1","issue":"1-2","issued":{"date-parts":[["2009"]]},"page":"7-18","title":"Rivers and loess: The significance of long river transportation in the complex event-sequence approach to loess deposit formation","type":"article-journal","volume":"198"},"uris":["http://www.mendeley.com/documents/?uuid=3e563e4d-6c8c-4bfe-bb0f-0ef519642126"]},{"id":"ITEM-2","itemData":{"DOI":"10.1016/j.quascirev.2016.10.008","ISSN":"02773791","abstract":"Pleistocene loess and loess derivates are distributed along the mountain front of the Central European Mountain Belt in northern and central Germany. Examples from two regions, the Lower Rhine Embayment (LRE) and the Northern foreland of the Harz Mountains (FHM) show that the distribution of loess and the development of loess-paleosol sequences (LPS) are controlled by relief, climate, tectonics, the distance to large river systems, the distance to the Scandinavian ice sheet and the distance to the shelf of the North Sea. In the oceanic LRE higher humidity enhanced the periglacial processes which increased erosion, but also led to preservation in accumulative positions. In contrast, in the more continental FHM the sediments were affected by less intensive periglacial processes and no solifluction can be detected. New loess distribution maps are presented for both key areas, and key sections, especially for the last glacial cycle, are compared and summarized. Both study regions are located in the west – east trending loess belt north of the Central European Mountain belt (in front of the Rhenish Shield = Ardennes-Eifel and Harz Mountains). Finally, a synthesis of typical sediment sequences for both regions is given as an example of paleoenvironmental (landscape) development in northern Central Europe.","author":[{"dropping-particle":"","family":"Lehmkuhl","given":"Frank","non-dropping-particle":"","parse-names":false,"suffix":""},{"dropping-particle":"","family":"Zens","given":"Joerg","non-dropping-particle":"","parse-names":false,"suffix":""},{"dropping-particle":"","family":"Krauß","given":"Lydia","non-dropping-particle":"","parse-names":false,"suffix":""},{"dropping-particle":"","family":"Schulte","given":"Philipp","non-dropping-particle":"","parse-names":false,"suffix":""},{"dropping-particle":"","family":"Kels","given":"Holger","non-dropping-particle":"","parse-names":false,"suffix":""}],"container-title":"Quaternary Science Reviews","id":"ITEM-2","issued":{"date-parts":[["2016"]]},"page":"11-30","publisher":"Elsevier Ltd","title":"Loess-paleosol sequences at the northern European loess belt in Germany: Distribution, geomorphology and stratigraphy","type":"article-journal","volume":"153"},"uris":["http://www.mendeley.com/documents/?uuid=1db4e7b1-f921-4f0d-8837-26b425c2aab6"]},{"id":"ITEM-3","itemData":{"DOI":"10.1016/j.earscirev.2020.103496","ISSN":"00128252","abstract":"Paleoenvironmental reconstructions on a (supra-)regional scale have gained attention in Quaternary sciences during the last decades. In terrestrial realms, loess deposits and especially intercalations of loess and buried soils, so called loess-paleosol sequences (LPS) are important archives to unravel the terrestrial response to e.g. climatic fluctuations and reconstruct paleoenvironments during the Pleistocene. The analysis of LPS requires the knowledge of several key factors, such as the distribution of the aeolian sediments, their location relative to (potential) source areas, the climate conditions that led to their emplacement and the topography of the sink area. These factors strongly influence the sedimentological and paleoenvironmental characteristics of LPS and show broad variations throughout Europe, leading to a distinct distribution pattern throughout the continent. We present a new map of the distribution of aeolian sediments (mainly loess) and major potential source areas for Europe. The map was compiled combining geodata of different mapping approaches. Most of the used geodata stems from accurate national maps of 27 different countries. Problematic aspects such as different nomenclatures across administrative borders were carefully investigated and revised. The result is a seamless map, which comprises pedological, geological, and geomorphological data and can be used for paleoenvironmental and archeological studies and other applications. We use the resulting map and data from key geomorphological cross-sections to discuss the various influences of geomorphology and paleoenvironment on the deposition and preservation of Late Pleistocene loess throughout Europe. We divided the loess areas into 6 main loess domains and 17 subdomains to understand and explain the factors controlling their distribution and characteristics. For the subdivision we used the following criteria: (1) influence of silt production areas, (2) affiliation to subcatchments, as rivers are very important regional silt transport agents, (3) occurrence of past periglacial activity with characteristic overprinting of the deposits. Additionally, the sediment distribution is combined with elevation data, to investigate the loess distribution statistically as well as visually. Throughout Europe, the variations, and differences of the loess domains are the results of a complex interplay of changing paleoenvironmental conditions and related geomorphologic processes, controlling…","author":[{"dropping-particle":"","family":"Lehmkuhl","given":"Frank","non-dropping-particle":"","parse-names":false,"suffix":""},{"dropping-particle":"","family":"Nett","given":"J","non-dropping-particle":"","parse-names":false,"suffix":""},{"dropping-particle":"","family":"Pötter","given":"Stephan","non-dropping-particle":"","parse-names":false,"suffix":""},{"dropping-particle":"","family":"Schulte","given":"Philipp","non-dropping-particle":"","parse-names":false,"suffix":""},{"dropping-particle":"","family":"Sprafke","given":"Tobias","non-dropping-particle":"","parse-names":false,"suffix":""},{"dropping-particle":"","family":"Jary","given":"Zdzisław","non-dropping-particle":"","parse-names":false,"suffix":""},{"dropping-particle":"","family":"Antoine","given":"Pierre","non-dropping-particle":"","parse-names":false,"suffix":""},{"dropping-particle":"","family":"Wacha","given":"Lara","non-dropping-particle":"","parse-names":false,"suffix":""},{"dropping-particle":"","family":"Wolf","given":"Daniel","non-dropping-particle":"","parse-names":false,"suffix":""},{"dropping-particle":"","family":"Zerboni","given":"A.","non-dropping-particle":"","parse-names":false,"suffix":""},{"dropping-particle":"","family":"Hošek","given":"Jan","non-dropping-particle":"","parse-names":false,"suffix":""},{"dropping-particle":"","family":"Marković","given":"Slobodan B.","non-dropping-particle":"","parse-names":false,"suffix":""},{"dropping-particle":"","family":"Obreht","given":"Igor","non-dropping-particle":"","parse-names":false,"suffix":""},{"dropping-particle":"","family":"Sümegi","given":"Pál","non-dropping-particle":"","parse-names":false,"suffix":""},{"dropping-particle":"","family":"Veres","given":"Daniel","non-dropping-particle":"","parse-names":false,"suffix":""},{"dropping-particle":"","family":"Zeeden","given":"Christian","non-dropping-particle":"","parse-names":false,"suffix":""},{"dropping-particle":"","family":"Boemke","given":"B.","non-dropping-particle":"","parse-names":false,"suffix":""},{"dropping-particle":"","family":"Schaubert","given":"V.","non-dropping-particle":"","parse-names":false,"suffix":""},{"dropping-particle":"","family":"Viehweger","given":"J.","non-dropping-particle":"","parse-names":false,"suffix":""},{"dropping-particle":"","family":"Hambach","given":"Ulrich","non-dropping-particle":"","parse-names":false,"suffix":""}],"container-title":"Earth-Science Reviews","id":"ITEM-3","issued":{"date-parts":[["2021"]]},"title":"Loess landscapes of Europe – Mapping, geomorphology, and zonal differentiation","type":"article-journal","volume":"215"},"uris":["http://www.mendeley.com/documents/?uuid=13730527-f6b6-47d1-a75b-d9622613d442"]}],"mendeley":{"formattedCitation":"(Lehmkuhl et al., 2021, 2016; Smalley et al., 2009)","plainTextFormattedCitation":"(Lehmkuhl et al., 2021, 2016; Smalley et al., 2009)","previouslyFormattedCitation":"(Lehmkuhl et al., 2021, 2016; Smalley et al., 2009)"},"properties":{"noteIndex":0},"schema":"https://github.com/citation-style-language/schema/raw/master/csl-citation.json"}</w:instrText>
      </w:r>
      <w:r w:rsidR="00EA14F1">
        <w:rPr>
          <w:rFonts w:ascii="Arial" w:hAnsi="Arial" w:cs="Arial"/>
        </w:rPr>
        <w:fldChar w:fldCharType="separate"/>
      </w:r>
      <w:r w:rsidR="005F5621" w:rsidRPr="005F5621">
        <w:rPr>
          <w:rFonts w:ascii="Arial" w:hAnsi="Arial" w:cs="Arial"/>
          <w:noProof/>
        </w:rPr>
        <w:t>(Lehmkuhl et al., 2021, 2016; Smalley et al., 2009)</w:t>
      </w:r>
      <w:r w:rsidR="00EA14F1">
        <w:rPr>
          <w:rFonts w:ascii="Arial" w:hAnsi="Arial" w:cs="Arial"/>
        </w:rPr>
        <w:fldChar w:fldCharType="end"/>
      </w:r>
      <w:r w:rsidR="00EA14F1">
        <w:rPr>
          <w:rFonts w:ascii="Arial" w:hAnsi="Arial" w:cs="Arial"/>
        </w:rPr>
        <w:t xml:space="preserve">. </w:t>
      </w:r>
      <w:bookmarkStart w:id="16" w:name="_Hlk64898906"/>
      <w:r>
        <w:rPr>
          <w:rFonts w:ascii="Arial" w:hAnsi="Arial" w:cs="Arial"/>
        </w:rPr>
        <w:t xml:space="preserve">The </w:t>
      </w:r>
      <w:r w:rsidR="00EA14F1">
        <w:rPr>
          <w:rFonts w:ascii="Arial" w:hAnsi="Arial" w:cs="Arial"/>
        </w:rPr>
        <w:t xml:space="preserve">Danube’s floodplains </w:t>
      </w:r>
      <w:r w:rsidR="00C364A1">
        <w:rPr>
          <w:rFonts w:ascii="Arial" w:hAnsi="Arial" w:cs="Arial"/>
        </w:rPr>
        <w:t xml:space="preserve">have been </w:t>
      </w:r>
      <w:r w:rsidR="00947958">
        <w:rPr>
          <w:rFonts w:ascii="Arial" w:hAnsi="Arial" w:cs="Arial"/>
        </w:rPr>
        <w:t>identified</w:t>
      </w:r>
      <w:r w:rsidR="00C364A1">
        <w:rPr>
          <w:rFonts w:ascii="Arial" w:hAnsi="Arial" w:cs="Arial"/>
        </w:rPr>
        <w:t xml:space="preserve"> </w:t>
      </w:r>
      <w:r w:rsidR="00CE2078">
        <w:rPr>
          <w:rFonts w:ascii="Arial" w:hAnsi="Arial" w:cs="Arial"/>
        </w:rPr>
        <w:t>as loess sources</w:t>
      </w:r>
      <w:r w:rsidR="00C364A1">
        <w:rPr>
          <w:rFonts w:ascii="Arial" w:hAnsi="Arial" w:cs="Arial"/>
        </w:rPr>
        <w:t xml:space="preserve"> by numerous researche</w:t>
      </w:r>
      <w:r>
        <w:rPr>
          <w:rFonts w:ascii="Arial" w:hAnsi="Arial" w:cs="Arial"/>
        </w:rPr>
        <w:t>r</w:t>
      </w:r>
      <w:r w:rsidR="00C364A1">
        <w:rPr>
          <w:rFonts w:ascii="Arial" w:hAnsi="Arial" w:cs="Arial"/>
        </w:rPr>
        <w:t xml:space="preserve">s </w:t>
      </w:r>
      <w:r w:rsidR="00EA14F1" w:rsidRPr="004043FB">
        <w:rPr>
          <w:rFonts w:ascii="Arial" w:hAnsi="Arial" w:cs="Arial"/>
        </w:rPr>
        <w:fldChar w:fldCharType="begin" w:fldLock="1"/>
      </w:r>
      <w:r w:rsidR="00BA1FF5">
        <w:rPr>
          <w:rFonts w:ascii="Arial" w:hAnsi="Arial" w:cs="Arial"/>
        </w:rPr>
        <w:instrText>ADDIN CSL_CITATION {"citationItems":[{"id":"ITEM-1","itemData":{"DOI":"10.1016/j.quaint.2013.06.008","ISSN":"10406182","author":[{"dropping-particle":"","family":"Jipa","given":"Dan C.","non-dropping-particle":"","parse-names":false,"suffix":""}],"container-title":"Quaternary International","id":"ITEM-1","issued":{"date-parts":[["2014"]]},"note":"Good geomorph re-analysis to create region wide model. Good maps of thickness along and across the Lower Danube. Some suggestions for provenance of the region though based predominantly on very old heavy mineral work. Though this supports the idea that material is mizeed and sourced both from local mountains and Danube's alluvium","page":"14-24","publisher":"Elsevier Ltd and INQUA","title":"The conceptual sedimentary model of the Lower Danube loess basin: Sedimentogenetic implications","type":"article-journal","volume":"351"},"uris":["http://www.mendeley.com/documents/?uuid=a634a6ac-0e8e-4810-90eb-9395e147e0db"]},{"id":"ITEM-2","itemData":{"DOI":"10.1016/j.quaint.2012.04.004","ISSN":"10406182","author":[{"dropping-particle":"","family":"Újvári","given":"Gábor","non-dropping-particle":"","parse-names":false,"suffix":""},{"dropping-particle":"","family":"Varga","given":"Andrea","non-dropping-particle":"","parse-names":false,"suffix":""},{"dropping-particle":"","family":"Raucsik","given":"Béla","non-dropping-particle":"","parse-names":false,"suffix":""},{"dropping-particle":"","family":"Kovács","given":"János I.","non-dropping-particle":"","parse-names":false,"suffix":""}],"container-title":"Quaternary International","id":"ITEM-2","issued":{"date-parts":[["2014"]]},"note":"Geochemical characterisation of Paks profile. Very detailed and high resolution. Focus more on weathering history and changes over long-time scale (0.8Ma)\nPotential for comparisons with other sites described in Ujvari et ak 2008\n\nAs for provenance the main suggestion is that its likely sourced from alluvium and local geologies agin contradicting Smalley et al 2009","page":"22-37","publisher":"Elsevier Ltd and INQUA","title":"The Paks loess-paleosol sequence: A record of chemical weathering and provenance for the last 800ka in the mid-Carpathian Basin","type":"article-journal","volume":"319"},"uris":["http://www.mendeley.com/documents/?uuid=bd86c3ac-b715-443e-be1a-56e65203fd23"]},{"id":"ITEM-3","itemData":{"DOI":"10.1016/j.gloplacha.2012.11.007","ISSN":"0921-8181","author":[{"dropping-particle":"","family":"Varga","given":"György","non-dropping-particle":"","parse-names":false,"suffix":""},{"dropping-particle":"","family":"Kovács","given":"János I.","non-dropping-particle":"","parse-names":false,"suffix":""},{"dropping-particle":"","family":"Újvári","given":"Gábor","non-dropping-particle":"","parse-names":false,"suffix":""}],"container-title":"Global and Planetary Change","id":"ITEM-3","issued":{"date-parts":[["2013"]]},"page":"333-342","publisher":"Elsevier B.V.","title":"Analysis of Saharan dust intrusions into the Carpathian Basin (Central Europe) over the period of 1979 – 2011","type":"article-journal","volume":"100"},"uris":["http://www.mendeley.com/documents/?uuid=bd5b5bd8-adc3-495f-9f69-1face03b3fc9"]},{"id":"ITEM-4","itemData":{"DOI":"10.1016/j.quaint.2013.04.030","ISBN":"1040-6182","ISSN":"10406182","abstract":"Heavy mineral composition of the fine sand fraction in the Hungarian loess sediments provides important data about the closer sources of the loess in the Carpathian Basin. Quantitative detrital heavy mineral compositions of 216 loess, loess-like sediment, and paleosol samples were compared to each other, and to recent fluvial sands and different Cenozoic sands and sandstones of Hungary using statistical methods: cluster analysis, principal component analysis and discriminant analysis.Usually, garnet is the most frequent detrital heavy mineral in the studied loess sections, followed by chlorite, magnetite, epidote, and amphiboles. Old Loess and Young Loess have similar compositions, indicating uniform or similar sources. Based on the similarities, the garnet-rich loess sediments could originate from aeolian reworking of the floodplain sediments of the Danube and other rivers of Transdanubia, and the local Cenozoic sands of the uplifting Transdanubian Central Range and Transdanubian Hilly Region. The biotite- and tourmaline-rich loess in South Transdanubia, and the loess with high pyroxene content in the North Hungarian Range, had some material from nearby sources: weathered granitoids and volcanic rocks, respectively, or sediments of local rivers, which carried detritus of these rocks. The new results presented in this paper confirm numerous earlier ideas about the origin of loess in the Carpathian Basin, but also suggest newly identified sources of the loess particles at several locations. © 2013 Elsevier Ltd and INQUA.","author":[{"dropping-particle":"","family":"Thamó-Bozsó","given":"Edit","non-dropping-particle":"","parse-names":false,"suffix":""},{"dropping-particle":"","family":"Kovács","given":"Lajos Ó.","non-dropping-particle":"","parse-names":false,"suffix":""},{"dropping-particle":"","family":"Magyari","given":"Árpád","non-dropping-particle":"","parse-names":false,"suffix":""},{"dropping-particle":"","family":"Marsi","given":"István","non-dropping-particle":"","parse-names":false,"suffix":""}],"container-title":"Quaternary International","id":"ITEM-4","issued":{"date-parts":[["2014"]]},"page":"11-21","publisher":"Elsevier Ltd and INQUA","title":"Tracing the origin of loess in Hungary with the help of heavy mineral composition data","type":"article-journal","volume":"319"},"uris":["http://www.mendeley.com/documents/?uuid=1ed20842-cfe8-44d8-99dc-cec5635ebc6c"]},{"id":"ITEM-5","itemData":{"DOI":"10.3389/feart.2021.600010","ISSN":"22966463","abstract":"The source of aeolian sediments such as loess has been investigated since decades. Reliable knowledge on potential dust sources is crucial to understand past climatic and environmental conditions accompanying the dispersal of early modern humans (EMH) into Europe. Provenance studies are usually performed on small sample sets and most established methods are expensive and time-consuming. Here, we present the results of high-resolution geochemical analyses performed on five loess-palaeosol sequences from the Lower Danube Basin (LDB), a region, despite its importance as a trajectory for EMH, largely underrepresented in loess provenance studies. We compare our results with geochemical data of loess-palaeosol sequences from Austria, Hungary, Serbia, and Ukraine. Based on published literature, we thus evaluate five plausible sedimentary pathways for the LDB loess: 1) the Danube alluvium (DA) pathway, which constrains the transport and re-deposition of detrital material by the Danube and its tributaries; 2) the Carpathian Bending (CB) pathway, where sediment is mainly transported from the Cretaceous to Neogene flysch of the Eastern Carpathian Bending; 3) the Eastern Carpathian (EC) pathway, in which sediment is eroded from the flysch of the Outer Eastern Carpathians, transported by rivers, and deflated by northwesterly to westerly winds; 4) the glaciofluvial (GF) pathway, where dust is deflated from glacial outwash plains in nowadays Ukraine, and 5) the Black Sea (BS) pathway, where dust originates from the exposed shelf of the Black Sea. Based on geochemical data, we consider the DA pathway to be the major sediment trajectory for loess in the LDB. Especially the sequences located close to the Danube and the Dobrogea show similarities to sites in Central and Northeast Hungary as well as Northern Serbia. For the northeastern part of the LDB, we demonstrate that dust input is mainly sourced from primary material from the Eastern Carpathians. Mineralogical estimations and geochemical data render the CB pathway as an additional substantial source of detrital material for the loess of this area. We consider the influence of the GF pathway in the LDB as negligible, whereas some minor influences of the BS pathway cannot be ruled out based on geochemical data.","author":[{"dropping-particle":"","family":"Pötter","given":"Stephan","non-dropping-particle":"","parse-names":false,"suffix":""},{"dropping-particle":"","family":"Veres","given":"Daniel","non-dropping-particle":"","parse-names":false,"suffix":""},{"dropping-particle":"","family":"Baykal","given":"Yunus","non-dropping-particle":"","parse-names":false,"suffix":""},{"dropping-particle":"","family":"Nett","given":"Janina J.","non-dropping-particle":"","parse-names":false,"suffix":""},{"dropping-particle":"","family":"Schulte","given":"Philipp","non-dropping-particle":"","parse-names":false,"suffix":""},{"dropping-particle":"","family":"Hambach","given":"Ulrich","non-dropping-particle":"","parse-names":false,"suffix":""},{"dropping-particle":"","family":"Lehmkuhl","given":"Frank","non-dropping-particle":"","parse-names":false,"suffix":""}],"container-title":"Frontiers in Earth Science","id":"ITEM-5","issue":"April","issued":{"date-parts":[["2021"]]},"page":"1-25","title":"Disentangling Sedimentary Pathways for the Pleniglacial Lower Danube Loess Based on Geochemical Signatures","type":"article-journal","volume":"9"},"uris":["http://www.mendeley.com/documents/?uuid=1f55868d-cbcb-471e-afc3-101d38835891"]}],"mendeley":{"formattedCitation":"(Jipa, 2014; Pötter et al., 2021; Thamó-Bozsó et al., 2014; Újvári et al., 2014; Varga et al., 2013)","plainTextFormattedCitation":"(Jipa, 2014; Pötter et al., 2021; Thamó-Bozsó et al., 2014; Újvári et al., 2014; Varga et al., 2013)","previouslyFormattedCitation":"(Jipa, 2014; Pötter et al., 2021; Thamó-Bozsó et al., 2014; Újvári et al., 2014; Varga et al., 2013)"},"properties":{"noteIndex":0},"schema":"https://github.com/citation-style-language/schema/raw/master/csl-citation.json"}</w:instrText>
      </w:r>
      <w:r w:rsidR="00EA14F1" w:rsidRPr="004043FB">
        <w:rPr>
          <w:rFonts w:ascii="Arial" w:hAnsi="Arial" w:cs="Arial"/>
        </w:rPr>
        <w:fldChar w:fldCharType="separate"/>
      </w:r>
      <w:r w:rsidR="00E945CA" w:rsidRPr="00E945CA">
        <w:rPr>
          <w:rFonts w:ascii="Arial" w:hAnsi="Arial" w:cs="Arial"/>
          <w:noProof/>
        </w:rPr>
        <w:t>(Jipa, 2014; Pötter et al., 2021; Thamó-Bozsó et al., 2014; Újvári et al., 2014; Varga et al., 2013)</w:t>
      </w:r>
      <w:r w:rsidR="00EA14F1" w:rsidRPr="004043FB">
        <w:rPr>
          <w:rFonts w:ascii="Arial" w:hAnsi="Arial" w:cs="Arial"/>
        </w:rPr>
        <w:fldChar w:fldCharType="end"/>
      </w:r>
      <w:r w:rsidR="00C364A1">
        <w:rPr>
          <w:rFonts w:ascii="Arial" w:hAnsi="Arial" w:cs="Arial"/>
        </w:rPr>
        <w:t xml:space="preserve"> </w:t>
      </w:r>
      <w:r w:rsidR="00640F42">
        <w:rPr>
          <w:rFonts w:ascii="Arial" w:hAnsi="Arial" w:cs="Arial"/>
        </w:rPr>
        <w:t>implying</w:t>
      </w:r>
      <w:r w:rsidR="00C364A1">
        <w:rPr>
          <w:rFonts w:ascii="Arial" w:hAnsi="Arial" w:cs="Arial"/>
        </w:rPr>
        <w:t xml:space="preserve"> they </w:t>
      </w:r>
      <w:r w:rsidR="005F5621">
        <w:rPr>
          <w:rFonts w:ascii="Arial" w:hAnsi="Arial" w:cs="Arial"/>
        </w:rPr>
        <w:t xml:space="preserve">temporarily </w:t>
      </w:r>
      <w:r w:rsidR="00CA150E">
        <w:rPr>
          <w:rFonts w:ascii="Arial" w:hAnsi="Arial" w:cs="Arial"/>
        </w:rPr>
        <w:t xml:space="preserve">store </w:t>
      </w:r>
      <w:r w:rsidR="00CE2078">
        <w:rPr>
          <w:rFonts w:ascii="Arial" w:hAnsi="Arial" w:cs="Arial"/>
        </w:rPr>
        <w:t xml:space="preserve">sediment </w:t>
      </w:r>
      <w:r w:rsidR="005F5621">
        <w:rPr>
          <w:rFonts w:ascii="Arial" w:hAnsi="Arial" w:cs="Arial"/>
        </w:rPr>
        <w:t xml:space="preserve">derived </w:t>
      </w:r>
      <w:r w:rsidR="00CE2078">
        <w:rPr>
          <w:rFonts w:ascii="Arial" w:hAnsi="Arial" w:cs="Arial"/>
        </w:rPr>
        <w:t>from</w:t>
      </w:r>
      <w:r>
        <w:rPr>
          <w:rFonts w:ascii="Arial" w:hAnsi="Arial" w:cs="Arial"/>
        </w:rPr>
        <w:t xml:space="preserve"> </w:t>
      </w:r>
      <w:r w:rsidR="005F5621">
        <w:rPr>
          <w:rFonts w:ascii="Arial" w:hAnsi="Arial" w:cs="Arial"/>
        </w:rPr>
        <w:t xml:space="preserve">the </w:t>
      </w:r>
      <w:r w:rsidR="00C364A1">
        <w:rPr>
          <w:rFonts w:ascii="Arial" w:hAnsi="Arial" w:cs="Arial"/>
        </w:rPr>
        <w:t xml:space="preserve">Alpine or Carpathian </w:t>
      </w:r>
      <w:r w:rsidR="00CA150E">
        <w:rPr>
          <w:rFonts w:ascii="Arial" w:hAnsi="Arial" w:cs="Arial"/>
        </w:rPr>
        <w:t>regions</w:t>
      </w:r>
      <w:bookmarkEnd w:id="16"/>
      <w:r w:rsidR="00C364A1">
        <w:rPr>
          <w:rFonts w:ascii="Arial" w:hAnsi="Arial" w:cs="Arial"/>
        </w:rPr>
        <w:t>.</w:t>
      </w:r>
      <w:r w:rsidR="003A2F61">
        <w:rPr>
          <w:rFonts w:ascii="Arial" w:hAnsi="Arial" w:cs="Arial"/>
        </w:rPr>
        <w:t xml:space="preserve"> </w:t>
      </w:r>
      <w:r w:rsidR="00243379">
        <w:rPr>
          <w:rFonts w:ascii="Arial" w:hAnsi="Arial" w:cs="Arial"/>
        </w:rPr>
        <w:t>These source</w:t>
      </w:r>
      <w:r w:rsidR="003A2F61">
        <w:rPr>
          <w:rFonts w:ascii="Arial" w:hAnsi="Arial" w:cs="Arial"/>
        </w:rPr>
        <w:t xml:space="preserve"> signatures were </w:t>
      </w:r>
      <w:r w:rsidR="00947958">
        <w:rPr>
          <w:rFonts w:ascii="Arial" w:hAnsi="Arial" w:cs="Arial"/>
        </w:rPr>
        <w:t>noted</w:t>
      </w:r>
      <w:r w:rsidR="003A2F61">
        <w:rPr>
          <w:rFonts w:ascii="Arial" w:hAnsi="Arial" w:cs="Arial"/>
        </w:rPr>
        <w:t xml:space="preserve"> in Danubian alluvium </w:t>
      </w:r>
      <w:r w:rsidR="003A2F61" w:rsidRPr="004043FB">
        <w:rPr>
          <w:rFonts w:ascii="Arial" w:hAnsi="Arial" w:cs="Arial"/>
        </w:rPr>
        <w:t xml:space="preserve">in Serbia </w:t>
      </w:r>
      <w:r w:rsidR="003A2F61" w:rsidRPr="004043FB">
        <w:rPr>
          <w:rFonts w:ascii="Arial" w:hAnsi="Arial" w:cs="Arial"/>
        </w:rPr>
        <w:fldChar w:fldCharType="begin" w:fldLock="1"/>
      </w:r>
      <w:r w:rsidR="004F5F90">
        <w:rPr>
          <w:rFonts w:ascii="Arial" w:hAnsi="Arial" w:cs="Arial"/>
        </w:rPr>
        <w:instrText>ADDIN CSL_CITATION {"citationItems":[{"id":"ITEM-1","itemData":{"DOI":"10.1016/j.quascirev.2008.01.018","ISBN":"0277-3791","ISSN":"02773791","abstract":"The loess/paleosol sections of Batajnica/Stari Slankamen (Serbia), Mircea Voda (Romania) and Stary Kaydaky (Ukraine) were geochemically characterized based on discriminant analysis of major and trace elements, the ratios of Al/Ti, Fe/Ti and Al/Fe, the A-CN-K ternary plot and element enrichment/depletion relative to the average composition of the upper continental crust. The origin of the loess material in the southern Pannonian Basin (Vojvodina), the lower Danube Basin/Dobrudja and the Dnieper area was evaluated by comparison with the representative element composition of possible source areas and by considering the geomorphodynamic setting. Also the background values of the initial magnetic susceptibility of the loesses were taken into account. For the lower Danube Basin, Dobrudja and the Ukraine, paleowind direction was reconstructed based on the geographic distribution of sandy soil texture and dunes related to river systems. Finally, loesses were evaluated as possible samples of the average upper continental crust. Our results show that Danube and Dnieper loess areas can be clearly distinguished. The former reveal higher Al and Fe contents, the latter higher Si, Zr, Hf content and indications of effective mineral and grain size sorting. We can confirm that Vojvodina loess originated from Danube alluvial material and loess of the Dnieper area from glaciofluvial sediments of the Fennoscandinavian ice sheet. The Dobrudja loess derived also predominantly from Danube alluvium, but shows significant contribution of a second loess source, probably the glaciofluvial sediments of the Ukraine. This was forced by northerly katabatic winds from the Fennoscandinavian ice sheet, whereas WNW winds prevailed in the Western Walachian plain. The studied loesses reflect the average composition of the upper continental crust. Yet, biases exist due to selective mineral/element enrichment and depletion in the course of previous sedimentary recycling phases, respectively. Material of all studied loess deposits seems to derive originally from sedimentary rocks.","author":[{"dropping-particle":"","family":"Buggle","given":"Björn","non-dropping-particle":"","parse-names":false,"suffix":""},{"dropping-particle":"","family":"Glaser","given":"Bruno","non-dropping-particle":"","parse-names":false,"suffix":""},{"dropping-particle":"","family":"Zöller","given":"Ludwig","non-dropping-particle":"","parse-names":false,"suffix":""},{"dropping-particle":"","family":"Hambach","given":"Ulrich","non-dropping-particle":"","parse-names":false,"suffix":""},{"dropping-particle":"","family":"Marković","given":"Slobodan B.","non-dropping-particle":"","parse-names":false,"suffix":""},{"dropping-particle":"","family":"Glaser","given":"Irina","non-dropping-particle":"","parse-names":false,"suffix":""},{"dropping-particle":"","family":"Gerasimenko","given":"Natalia P.","non-dropping-particle":"","parse-names":false,"suffix":""}],"container-title":"Quaternary Science Reviews","id":"ITEM-1","issue":"9-10","issued":{"date-parts":[["2008"]]},"page":"1058-1075","title":"Geochemical characterization and origin of Southeastern and Eastern European loesses (Serbia, Romania, Ukraine)","type":"article-journal","volume":"27"},"uris":["http://www.mendeley.com/documents/?uuid=193d86ce-b241-49e3-a1ef-f8a8bd32eeb3"]}],"mendeley":{"formattedCitation":"(Buggle et al., 2008)","plainTextFormattedCitation":"(Buggle et al., 2008)","previouslyFormattedCitation":"(Buggle et al., 2008)"},"properties":{"noteIndex":0},"schema":"https://github.com/citation-style-language/schema/raw/master/csl-citation.json"}</w:instrText>
      </w:r>
      <w:r w:rsidR="003A2F61" w:rsidRPr="004043FB">
        <w:rPr>
          <w:rFonts w:ascii="Arial" w:hAnsi="Arial" w:cs="Arial"/>
        </w:rPr>
        <w:fldChar w:fldCharType="separate"/>
      </w:r>
      <w:r w:rsidR="008612C3" w:rsidRPr="008612C3">
        <w:rPr>
          <w:rFonts w:ascii="Arial" w:hAnsi="Arial" w:cs="Arial"/>
          <w:noProof/>
        </w:rPr>
        <w:t>(Buggle et al., 2008)</w:t>
      </w:r>
      <w:r w:rsidR="003A2F61" w:rsidRPr="004043FB">
        <w:rPr>
          <w:rFonts w:ascii="Arial" w:hAnsi="Arial" w:cs="Arial"/>
        </w:rPr>
        <w:fldChar w:fldCharType="end"/>
      </w:r>
      <w:r w:rsidR="003A2F61" w:rsidRPr="004043FB">
        <w:rPr>
          <w:rFonts w:ascii="Arial" w:hAnsi="Arial" w:cs="Arial"/>
        </w:rPr>
        <w:t xml:space="preserve"> and Hungary </w:t>
      </w:r>
      <w:r w:rsidR="003A2F61" w:rsidRPr="004043FB">
        <w:rPr>
          <w:rFonts w:ascii="Arial" w:hAnsi="Arial" w:cs="Arial"/>
        </w:rPr>
        <w:fldChar w:fldCharType="begin" w:fldLock="1"/>
      </w:r>
      <w:r w:rsidR="004F5F90">
        <w:rPr>
          <w:rFonts w:ascii="Arial" w:hAnsi="Arial" w:cs="Arial"/>
        </w:rPr>
        <w:instrText>ADDIN CSL_CITATION {"citationItems":[{"id":"ITEM-1","itemData":{"DOI":"10.1016/j.yqres.2008.02.001","ISBN":"0033-5894","ISSN":"00335894","abstract":"Loess geochemistry generally reflects paleo-weathering conditions and it can be used to determine the average composition of the upper continental crust (UCC). In this study, major and trace element concentrations were analyzed on loess samples from southwestern Hungary to determine the factors influencing their chemical compositions and to propose new average loess compositions. All studied loess samples had nearly uniform chemical composition, suggesting similar alteration history of these deposits. Chemical Index of Alteration values (58-69) suggested a weak to moderate degree of weathering in a felsic source area. Typical non-steady state weathering conditions were shown on the Al2O3-CaO + Na2O-K2O patterns, indicating active tectonism of the Alpine-Carpathian system during the Pleistocene. Whole-rock element budgets were controlled by heavy minerals derived from a felsic magmatic or reworked sedimentary provenance. Geochemical parameters indicated that dust particles must have been recycled and well homogenized during fluvial and eolian transport processes. © 2008 University of Washington.","author":[{"dropping-particle":"","family":"Újvári","given":"Gábor","non-dropping-particle":"","parse-names":false,"suffix":""},{"dropping-particle":"","family":"Varga","given":"Andrea","non-dropping-particle":"","parse-names":false,"suffix":""},{"dropping-particle":"","family":"Balogh-Brunstad","given":"Zsuzsanna","non-dropping-particle":"","parse-names":false,"suffix":""}],"container-title":"Quaternary Research","id":"ITEM-1","issued":{"date-parts":[["2008"]]},"page":"421-437","title":"Origin, weathering, and geochemical composition of loess in southwestern Hungary","type":"article-journal","volume":"69"},"uris":["http://www.mendeley.com/documents/?uuid=afc5a18e-4f68-40cc-856d-2e4620dca8ee"]}],"mendeley":{"formattedCitation":"(Újvári et al., 2008)","plainTextFormattedCitation":"(Újvári et al., 2008)","previouslyFormattedCitation":"(Újvári et al., 2008)"},"properties":{"noteIndex":0},"schema":"https://github.com/citation-style-language/schema/raw/master/csl-citation.json"}</w:instrText>
      </w:r>
      <w:r w:rsidR="003A2F61" w:rsidRPr="004043FB">
        <w:rPr>
          <w:rFonts w:ascii="Arial" w:hAnsi="Arial" w:cs="Arial"/>
        </w:rPr>
        <w:fldChar w:fldCharType="separate"/>
      </w:r>
      <w:r w:rsidR="008612C3" w:rsidRPr="008612C3">
        <w:rPr>
          <w:rFonts w:ascii="Arial" w:hAnsi="Arial" w:cs="Arial"/>
          <w:noProof/>
        </w:rPr>
        <w:t>(Újvári et al., 2008)</w:t>
      </w:r>
      <w:r w:rsidR="003A2F61" w:rsidRPr="004043FB">
        <w:rPr>
          <w:rFonts w:ascii="Arial" w:hAnsi="Arial" w:cs="Arial"/>
        </w:rPr>
        <w:fldChar w:fldCharType="end"/>
      </w:r>
      <w:r w:rsidR="003A2F61">
        <w:rPr>
          <w:rFonts w:ascii="Arial" w:hAnsi="Arial" w:cs="Arial"/>
        </w:rPr>
        <w:t>, which was subsequently considered</w:t>
      </w:r>
      <w:r w:rsidR="00243379">
        <w:rPr>
          <w:rFonts w:ascii="Arial" w:hAnsi="Arial" w:cs="Arial"/>
        </w:rPr>
        <w:t xml:space="preserve"> as</w:t>
      </w:r>
      <w:r w:rsidR="003A2F61">
        <w:rPr>
          <w:rFonts w:ascii="Arial" w:hAnsi="Arial" w:cs="Arial"/>
        </w:rPr>
        <w:t xml:space="preserve"> a</w:t>
      </w:r>
      <w:r w:rsidR="00243379">
        <w:rPr>
          <w:rFonts w:ascii="Arial" w:hAnsi="Arial" w:cs="Arial"/>
        </w:rPr>
        <w:t xml:space="preserve"> proximal</w:t>
      </w:r>
      <w:r w:rsidR="003A2F61">
        <w:rPr>
          <w:rFonts w:ascii="Arial" w:hAnsi="Arial" w:cs="Arial"/>
        </w:rPr>
        <w:t xml:space="preserve"> </w:t>
      </w:r>
      <w:r w:rsidR="00640F42">
        <w:rPr>
          <w:rFonts w:ascii="Arial" w:hAnsi="Arial" w:cs="Arial"/>
        </w:rPr>
        <w:t xml:space="preserve">loess </w:t>
      </w:r>
      <w:r w:rsidR="003A2F61">
        <w:rPr>
          <w:rFonts w:ascii="Arial" w:hAnsi="Arial" w:cs="Arial"/>
        </w:rPr>
        <w:t xml:space="preserve">source at both localities. </w:t>
      </w:r>
      <w:r w:rsidR="00243379">
        <w:rPr>
          <w:rFonts w:ascii="Arial" w:hAnsi="Arial" w:cs="Arial"/>
        </w:rPr>
        <w:t>Other</w:t>
      </w:r>
      <w:r w:rsidR="00947958">
        <w:rPr>
          <w:rFonts w:ascii="Arial" w:hAnsi="Arial" w:cs="Arial"/>
        </w:rPr>
        <w:t xml:space="preserve"> l</w:t>
      </w:r>
      <w:r w:rsidR="00C364A1">
        <w:rPr>
          <w:rFonts w:ascii="Arial" w:hAnsi="Arial" w:cs="Arial"/>
        </w:rPr>
        <w:t xml:space="preserve">arger tributaries (e.g. </w:t>
      </w:r>
      <w:r w:rsidR="00C364A1" w:rsidRPr="004043FB">
        <w:rPr>
          <w:rFonts w:ascii="Arial" w:hAnsi="Arial" w:cs="Arial"/>
        </w:rPr>
        <w:t>Tisza, Drava, Sava, Olt</w:t>
      </w:r>
      <w:r w:rsidR="00AF6426">
        <w:rPr>
          <w:rFonts w:ascii="Arial" w:hAnsi="Arial" w:cs="Arial"/>
        </w:rPr>
        <w:t>,</w:t>
      </w:r>
      <w:r w:rsidR="00C364A1" w:rsidRPr="004043FB">
        <w:rPr>
          <w:rFonts w:ascii="Arial" w:hAnsi="Arial" w:cs="Arial"/>
        </w:rPr>
        <w:t xml:space="preserve"> or Jiu</w:t>
      </w:r>
      <w:r w:rsidR="00C364A1">
        <w:rPr>
          <w:rFonts w:ascii="Arial" w:hAnsi="Arial" w:cs="Arial"/>
        </w:rPr>
        <w:t xml:space="preserve">) are seen as delivery routes for sediment </w:t>
      </w:r>
      <w:r w:rsidR="00EA14F1" w:rsidRPr="004043FB">
        <w:rPr>
          <w:rFonts w:ascii="Arial" w:hAnsi="Arial" w:cs="Arial"/>
        </w:rPr>
        <w:t xml:space="preserve">from </w:t>
      </w:r>
      <w:r w:rsidR="00CE2078">
        <w:rPr>
          <w:rFonts w:ascii="Arial" w:hAnsi="Arial" w:cs="Arial"/>
        </w:rPr>
        <w:lastRenderedPageBreak/>
        <w:t>additional</w:t>
      </w:r>
      <w:r w:rsidR="00EA14F1" w:rsidRPr="004043FB">
        <w:rPr>
          <w:rFonts w:ascii="Arial" w:hAnsi="Arial" w:cs="Arial"/>
        </w:rPr>
        <w:t xml:space="preserve"> smaller source regions </w:t>
      </w:r>
      <w:r w:rsidR="00EA14F1" w:rsidRPr="004043FB">
        <w:rPr>
          <w:rFonts w:ascii="Arial" w:hAnsi="Arial" w:cs="Arial"/>
        </w:rPr>
        <w:fldChar w:fldCharType="begin" w:fldLock="1"/>
      </w:r>
      <w:r w:rsidR="00A26462">
        <w:rPr>
          <w:rFonts w:ascii="Arial" w:hAnsi="Arial" w:cs="Arial"/>
        </w:rPr>
        <w:instrText>ADDIN CSL_CITATION {"citationItems":[{"id":"ITEM-1","itemData":{"DOI":"10.1016/j.quaint.2013.06.008","ISSN":"10406182","author":[{"dropping-particle":"","family":"Jipa","given":"Dan C.","non-dropping-particle":"","parse-names":false,"suffix":""}],"container-title":"Quaternary International","id":"ITEM-1","issued":{"date-parts":[["2014"]]},"note":"Good geomorph re-analysis to create region wide model. Good maps of thickness along and across the Lower Danube. Some suggestions for provenance of the region though based predominantly on very old heavy mineral work. Though this supports the idea that material is mizeed and sourced both from local mountains and Danube's alluvium","page":"14-24","publisher":"Elsevier Ltd and INQUA","title":"The conceptual sedimentary model of the Lower Danube loess basin: Sedimentogenetic implications","type":"article-journal","volume":"351"},"uris":["http://www.mendeley.com/documents/?uuid=a634a6ac-0e8e-4810-90eb-9395e147e0db"]},{"id":"ITEM-2","itemData":{"DOI":"10.1016/j.quaint.2017.12.008","ISSN":"10406182","abstract":"The Bodrogkeresztúr loess-paleosol sequence in northeastern Hungary was investigated to improve our understanding of the paleoenvironmental conditions at the foothills of the Carpathians and their impact on the Gravettian population. The main part of the section is comprised of eolian deposits that enable the reconstruction of the paleoenvironmental conditions. This study comprises grain size, geochemical, color and rock magnetic analysis, as well as luminescence and radiocarbon dating. The chronological data place this section from later MIS 3 until present, but also suggest erosion of the sediment in the late MIS 2 and the (early) Holocene. Moreover, generally more humid conditions during late MIS3 and early MIS2 are observed, in comparison to other regions in the Carpathian Basin. Main dust source was most likely the Tisza floodplain, and the material was probably transported to the site from a northeastern wind direction. Increased weathering led to the formation of a well-developed MIS3 paleosol. The loess exhibits elevated values of frequency dependent magnetic susceptibility that highlight the relatively mild conditions during loess formation. Nevertheless, two loess layers with high sand abundance in the profile indicate colder and dryer conditions with increased eolian dynamics during short periods within MIS2. Finally, the Bodrogkeresztúr section highlights the unique microclimatic conditions at the foothill areas of the Carpathian Basin, which may have offered a favorable environment for the Gravettian population.","author":[{"dropping-particle":"","family":"Bösken","given":"Janina","non-dropping-particle":"","parse-names":false,"suffix":""},{"dropping-particle":"","family":"Obreht","given":"Igor","non-dropping-particle":"","parse-names":false,"suffix":""},{"dropping-particle":"","family":"Zeeden","given":"Christian","non-dropping-particle":"","parse-names":false,"suffix":""},{"dropping-particle":"","family":"Klasen","given":"Nicole","non-dropping-particle":"","parse-names":false,"suffix":""},{"dropping-particle":"","family":"Hambach","given":"Ulrich","non-dropping-particle":"","parse-names":false,"suffix":""},{"dropping-particle":"","family":"Sümegi","given":"Pál","non-dropping-particle":"","parse-names":false,"suffix":""},{"dropping-particle":"","family":"Lehmkuhl","given":"Frank","non-dropping-particle":"","parse-names":false,"suffix":""}],"container-title":"Quaternary International","id":"ITEM-2","issued":{"date-parts":[["2019"]]},"page":"95-107","title":"High-resolution paleoclimatic proxy data from the MIS3/2 transition recorded in northeastern Hungarian loess","type":"article-journal","volume":"502"},"uris":["http://www.mendeley.com/documents/?uuid=94f94a08-a899-4139-b8f7-737961b0c588"]},{"id":"ITEM-3","itemData":{"DOI":"10.1515/geo-2015-0048","ISSN":"2391-5447","abstract":"There are several competing hypotheses for the origin of loess in Europe but quantitative evidence is still rare. Here, Sr-Nd isotopic and bulk elemental composition of loess from Marine Isotope Stages 2 and 3 from three study regions in Central Europe – Nussloch (Germany), Grub (Austria) and Tokaj (Hungary) - are analyzed. This study aims at examining differences and similarities of loess deposits throughout Europe, correlating loess with potential source rocks from major mountain ranges and comparing loess with floodplain sediments from main rivers as integrated samples of the drainage areas. The results show that European loess deposits are largely uniform and that sediment sources have been rather stable in the Southern and Eastern parts of Central Europe and more variable in West Central Europe. However, the methods used are not sufficient to unequivocally confirm and reject potential sediment sources but, in combination, help to identify the most likely sediment origins. While a direct correlation of loess and potential source rocks is dif- ficult, the comparison with floodplain sediments is most promising and confirms previous hypotheses. Loess from Tokaj and Grub is most likely a mix of material transported by the Danube River and sediments from the surrounding mountains. Rhine River sediments are probably the main source of loess at Nussloch.","author":[{"dropping-particle":"","family":"Schatz","given":"Ann-Kathrin","non-dropping-particle":"","parse-names":false,"suffix":""},{"dropping-particle":"","family":"Qi","given":"Yue","non-dropping-particle":"","parse-names":false,"suffix":""},{"dropping-particle":"","family":"Siebel","given":"Wolfgang","non-dropping-particle":"","parse-names":false,"suffix":""},{"dropping-particle":"","family":"Wu","given":"Jiade","non-dropping-particle":"","parse-names":false,"suffix":""},{"dropping-particle":"","family":"Zöller","given":"Ludwig","non-dropping-particle":"","parse-names":false,"suffix":""}],"container-title":"Open Geosciences","id":"ITEM-3","issue":"1","issued":{"date-parts":[["2015"]]},"page":"678-720","title":"Tracking potential source areas of Central European loess: examples from Tokaj (HU), Nussloch (D) and Grub (AT)","type":"article-journal","volume":"7"},"uris":["http://www.mendeley.com/documents/?uuid=a0030f70-30b4-4a17-a600-2fcf3134248a"]},{"id":"ITEM-4","itemData":{"DOI":"10.3389/feart.2021.600010","ISSN":"22966463","abstract":"The source of aeolian sediments such as loess has been investigated since decades. Reliable knowledge on potential dust sources is crucial to understand past climatic and environmental conditions accompanying the dispersal of early modern humans (EMH) into Europe. Provenance studies are usually performed on small sample sets and most established methods are expensive and time-consuming. Here, we present the results of high-resolution geochemical analyses performed on five loess-palaeosol sequences from the Lower Danube Basin (LDB), a region, despite its importance as a trajectory for EMH, largely underrepresented in loess provenance studies. We compare our results with geochemical data of loess-palaeosol sequences from Austria, Hungary, Serbia, and Ukraine. Based on published literature, we thus evaluate five plausible sedimentary pathways for the LDB loess: 1) the Danube alluvium (DA) pathway, which constrains the transport and re-deposition of detrital material by the Danube and its tributaries; 2) the Carpathian Bending (CB) pathway, where sediment is mainly transported from the Cretaceous to Neogene flysch of the Eastern Carpathian Bending; 3) the Eastern Carpathian (EC) pathway, in which sediment is eroded from the flysch of the Outer Eastern Carpathians, transported by rivers, and deflated by northwesterly to westerly winds; 4) the glaciofluvial (GF) pathway, where dust is deflated from glacial outwash plains in nowadays Ukraine, and 5) the Black Sea (BS) pathway, where dust originates from the exposed shelf of the Black Sea. Based on geochemical data, we consider the DA pathway to be the major sediment trajectory for loess in the LDB. Especially the sequences located close to the Danube and the Dobrogea show similarities to sites in Central and Northeast Hungary as well as Northern Serbia. For the northeastern part of the LDB, we demonstrate that dust input is mainly sourced from primary material from the Eastern Carpathians. Mineralogical estimations and geochemical data render the CB pathway as an additional substantial source of detrital material for the loess of this area. We consider the influence of the GF pathway in the LDB as negligible, whereas some minor influences of the BS pathway cannot be ruled out based on geochemical data.","author":[{"dropping-particle":"","family":"Pötter","given":"Stephan","non-dropping-particle":"","parse-names":false,"suffix":""},{"dropping-particle":"","family":"Veres","given":"Daniel","non-dropping-particle":"","parse-names":false,"suffix":""},{"dropping-particle":"","family":"Baykal","given":"Yunus","non-dropping-particle":"","parse-names":false,"suffix":""},{"dropping-particle":"","family":"Nett","given":"Janina J.","non-dropping-particle":"","parse-names":false,"suffix":""},{"dropping-particle":"","family":"Schulte","given":"Philipp","non-dropping-particle":"","parse-names":false,"suffix":""},{"dropping-particle":"","family":"Hambach","given":"Ulrich","non-dropping-particle":"","parse-names":false,"suffix":""},{"dropping-particle":"","family":"Lehmkuhl","given":"Frank","non-dropping-particle":"","parse-names":false,"suffix":""}],"container-title":"Frontiers in Earth Science","id":"ITEM-4","issue":"April","issued":{"date-parts":[["2021"]]},"page":"1-25","title":"Disentangling Sedimentary Pathways for the Pleniglacial Lower Danube Loess Based on Geochemical Signatures","type":"article-journal","volume":"9"},"uris":["http://www.mendeley.com/documents/?uuid=1f55868d-cbcb-471e-afc3-101d38835891"]}],"mendeley":{"formattedCitation":"(Bösken et al., 2019; Jipa, 2014; Pötter et al., 2021; Schatz et al., 2015)","plainTextFormattedCitation":"(Bösken et al., 2019; Jipa, 2014; Pötter et al., 2021; Schatz et al., 2015)","previouslyFormattedCitation":"(Bösken et al., 2019; Jipa, 2014; Pötter et al., 2021; Schatz et al., 2015)"},"properties":{"noteIndex":0},"schema":"https://github.com/citation-style-language/schema/raw/master/csl-citation.json"}</w:instrText>
      </w:r>
      <w:r w:rsidR="00EA14F1" w:rsidRPr="004043FB">
        <w:rPr>
          <w:rFonts w:ascii="Arial" w:hAnsi="Arial" w:cs="Arial"/>
        </w:rPr>
        <w:fldChar w:fldCharType="separate"/>
      </w:r>
      <w:r w:rsidR="005F5621" w:rsidRPr="005F5621">
        <w:rPr>
          <w:rFonts w:ascii="Arial" w:hAnsi="Arial" w:cs="Arial"/>
          <w:noProof/>
        </w:rPr>
        <w:t>(Bösken et al., 2019; Jipa, 2014; Pötter et al., 2021; Schatz et al., 2015)</w:t>
      </w:r>
      <w:r w:rsidR="00EA14F1" w:rsidRPr="004043FB">
        <w:rPr>
          <w:rFonts w:ascii="Arial" w:hAnsi="Arial" w:cs="Arial"/>
        </w:rPr>
        <w:fldChar w:fldCharType="end"/>
      </w:r>
      <w:r w:rsidR="00243379">
        <w:rPr>
          <w:rFonts w:ascii="Arial" w:hAnsi="Arial" w:cs="Arial"/>
        </w:rPr>
        <w:t xml:space="preserve">, however their </w:t>
      </w:r>
      <w:r w:rsidR="005F5621">
        <w:rPr>
          <w:rFonts w:ascii="Arial" w:hAnsi="Arial" w:cs="Arial"/>
        </w:rPr>
        <w:t xml:space="preserve">isotopic </w:t>
      </w:r>
      <w:r w:rsidR="00243379">
        <w:rPr>
          <w:rFonts w:ascii="Arial" w:hAnsi="Arial" w:cs="Arial"/>
        </w:rPr>
        <w:t>source signatures have not been compared with the Danubian loess deposit</w:t>
      </w:r>
      <w:r w:rsidR="00D670B7">
        <w:rPr>
          <w:rFonts w:ascii="Arial" w:hAnsi="Arial" w:cs="Arial"/>
        </w:rPr>
        <w:t>s</w:t>
      </w:r>
      <w:r w:rsidR="00243379">
        <w:rPr>
          <w:rFonts w:ascii="Arial" w:hAnsi="Arial" w:cs="Arial"/>
        </w:rPr>
        <w:t xml:space="preserve"> and therefore little is known about their contributions. </w:t>
      </w:r>
    </w:p>
    <w:p w14:paraId="27F3BD76" w14:textId="64E50BCC" w:rsidR="005152C6" w:rsidRDefault="00987B60" w:rsidP="00614941">
      <w:pPr>
        <w:spacing w:before="120" w:after="120" w:line="480" w:lineRule="auto"/>
        <w:jc w:val="both"/>
        <w:rPr>
          <w:rFonts w:ascii="Arial" w:hAnsi="Arial" w:cs="Arial"/>
        </w:rPr>
      </w:pPr>
      <w:r>
        <w:rPr>
          <w:rFonts w:ascii="Arial" w:hAnsi="Arial" w:cs="Arial"/>
          <w:noProof/>
        </w:rPr>
        <w:drawing>
          <wp:inline distT="0" distB="0" distL="0" distR="0" wp14:anchorId="420287F2" wp14:editId="0E14C35C">
            <wp:extent cx="5731510" cy="6726897"/>
            <wp:effectExtent l="0" t="0" r="2540" b="0"/>
            <wp:docPr id="1"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rotWithShape="1">
                    <a:blip r:embed="rId10" cstate="hqprint">
                      <a:extLst>
                        <a:ext uri="{28A0092B-C50C-407E-A947-70E740481C1C}">
                          <a14:useLocalDpi xmlns:a14="http://schemas.microsoft.com/office/drawing/2010/main"/>
                        </a:ext>
                      </a:extLst>
                    </a:blip>
                    <a:srcRect/>
                    <a:stretch/>
                  </pic:blipFill>
                  <pic:spPr bwMode="auto">
                    <a:xfrm>
                      <a:off x="0" y="0"/>
                      <a:ext cx="5731510" cy="6726897"/>
                    </a:xfrm>
                    <a:prstGeom prst="rect">
                      <a:avLst/>
                    </a:prstGeom>
                    <a:ln>
                      <a:noFill/>
                    </a:ln>
                    <a:extLst>
                      <a:ext uri="{53640926-AAD7-44D8-BBD7-CCE9431645EC}">
                        <a14:shadowObscured xmlns:a14="http://schemas.microsoft.com/office/drawing/2010/main"/>
                      </a:ext>
                    </a:extLst>
                  </pic:spPr>
                </pic:pic>
              </a:graphicData>
            </a:graphic>
          </wp:inline>
        </w:drawing>
      </w:r>
    </w:p>
    <w:p w14:paraId="1A978EF6" w14:textId="3FFF1858" w:rsidR="00723EAC" w:rsidRDefault="0079202E" w:rsidP="00614941">
      <w:pPr>
        <w:spacing w:before="120" w:after="120" w:line="480" w:lineRule="auto"/>
        <w:jc w:val="both"/>
        <w:rPr>
          <w:rFonts w:ascii="Arial" w:hAnsi="Arial"/>
          <w14:numForm w14:val="lining"/>
        </w:rPr>
      </w:pPr>
      <w:bookmarkStart w:id="17" w:name="_Hlk64899873"/>
      <w:r w:rsidRPr="00585C6B">
        <w:rPr>
          <w:rFonts w:ascii="Arial" w:hAnsi="Arial"/>
          <w:b/>
          <w14:numForm w14:val="lining"/>
        </w:rPr>
        <w:t xml:space="preserve">Figure </w:t>
      </w:r>
      <w:r w:rsidR="00A123CE" w:rsidRPr="00585C6B">
        <w:rPr>
          <w:rFonts w:ascii="Arial" w:hAnsi="Arial"/>
          <w:b/>
          <w14:numForm w14:val="lining"/>
        </w:rPr>
        <w:t>1</w:t>
      </w:r>
      <w:r w:rsidR="004C7112" w:rsidRPr="00585C6B">
        <w:rPr>
          <w:rFonts w:ascii="Arial" w:hAnsi="Arial"/>
          <w:b/>
          <w14:numForm w14:val="lining"/>
        </w:rPr>
        <w:t>.</w:t>
      </w:r>
      <w:r w:rsidRPr="00585C6B">
        <w:rPr>
          <w:rFonts w:ascii="Arial" w:hAnsi="Arial"/>
          <w:b/>
          <w14:numForm w14:val="lining"/>
        </w:rPr>
        <w:t xml:space="preserve"> </w:t>
      </w:r>
      <w:r w:rsidR="00163215" w:rsidRPr="00585C6B">
        <w:rPr>
          <w:rFonts w:ascii="Arial" w:hAnsi="Arial"/>
          <w14:numForm w14:val="lining"/>
        </w:rPr>
        <w:t>A) Location of lo</w:t>
      </w:r>
      <w:r w:rsidR="00947958" w:rsidRPr="00585C6B">
        <w:rPr>
          <w:rFonts w:ascii="Arial" w:hAnsi="Arial"/>
          <w14:numForm w14:val="lining"/>
        </w:rPr>
        <w:t>e</w:t>
      </w:r>
      <w:r w:rsidR="00163215" w:rsidRPr="00585C6B">
        <w:rPr>
          <w:rFonts w:ascii="Arial" w:hAnsi="Arial"/>
          <w14:numForm w14:val="lining"/>
        </w:rPr>
        <w:t xml:space="preserve">ss profiles, modern rivers, </w:t>
      </w:r>
      <w:r w:rsidR="00543838">
        <w:rPr>
          <w:rFonts w:ascii="Arial" w:hAnsi="Arial"/>
          <w14:numForm w14:val="lining"/>
        </w:rPr>
        <w:t xml:space="preserve">fluvial sediment </w:t>
      </w:r>
      <w:r w:rsidR="00163215" w:rsidRPr="00585C6B">
        <w:rPr>
          <w:rFonts w:ascii="Arial" w:hAnsi="Arial"/>
          <w14:numForm w14:val="lining"/>
        </w:rPr>
        <w:t xml:space="preserve">and the catchments of </w:t>
      </w:r>
      <w:r w:rsidR="003D2F93" w:rsidRPr="00585C6B">
        <w:rPr>
          <w:rFonts w:ascii="Arial" w:hAnsi="Arial"/>
          <w14:numForm w14:val="lining"/>
        </w:rPr>
        <w:t xml:space="preserve">the </w:t>
      </w:r>
      <w:r w:rsidR="00163215" w:rsidRPr="00585C6B">
        <w:rPr>
          <w:rFonts w:ascii="Arial" w:hAnsi="Arial"/>
          <w14:numForm w14:val="lining"/>
        </w:rPr>
        <w:t xml:space="preserve">Danube and </w:t>
      </w:r>
      <w:r w:rsidR="007E6F8F" w:rsidRPr="00585C6B">
        <w:rPr>
          <w:rFonts w:ascii="Arial" w:hAnsi="Arial"/>
          <w14:numForm w14:val="lining"/>
        </w:rPr>
        <w:t>its</w:t>
      </w:r>
      <w:r w:rsidR="00163215" w:rsidRPr="00585C6B">
        <w:rPr>
          <w:rFonts w:ascii="Arial" w:hAnsi="Arial"/>
          <w14:numForm w14:val="lining"/>
        </w:rPr>
        <w:t xml:space="preserve"> main tributaries</w:t>
      </w:r>
      <w:r w:rsidR="005578AD">
        <w:rPr>
          <w:rFonts w:ascii="Arial" w:hAnsi="Arial"/>
          <w14:numForm w14:val="lining"/>
        </w:rPr>
        <w:t xml:space="preserve"> mentioned in the text</w:t>
      </w:r>
      <w:r w:rsidR="00163215" w:rsidRPr="00585C6B">
        <w:rPr>
          <w:rFonts w:ascii="Arial" w:hAnsi="Arial"/>
          <w14:numForm w14:val="lining"/>
        </w:rPr>
        <w:t xml:space="preserve">. </w:t>
      </w:r>
      <w:r w:rsidR="00585C6B" w:rsidRPr="00585C6B">
        <w:rPr>
          <w:rFonts w:ascii="Arial" w:hAnsi="Arial"/>
          <w14:numForm w14:val="lining"/>
        </w:rPr>
        <w:t xml:space="preserve">B) </w:t>
      </w:r>
      <w:r w:rsidR="000E7E43">
        <w:rPr>
          <w:rFonts w:ascii="Arial" w:hAnsi="Arial"/>
          <w14:numForm w14:val="lining"/>
        </w:rPr>
        <w:t xml:space="preserve">Location of primary source rocks, </w:t>
      </w:r>
      <w:r w:rsidR="000E7E43" w:rsidRPr="00585C6B">
        <w:rPr>
          <w:rFonts w:ascii="Arial" w:hAnsi="Arial"/>
          <w14:numForm w14:val="lining"/>
        </w:rPr>
        <w:t xml:space="preserve">modern </w:t>
      </w:r>
      <w:r w:rsidR="000E7E43">
        <w:rPr>
          <w:rFonts w:ascii="Arial" w:hAnsi="Arial"/>
          <w14:numForm w14:val="lining"/>
        </w:rPr>
        <w:t>rivers,</w:t>
      </w:r>
      <w:r w:rsidR="00543838">
        <w:rPr>
          <w:rFonts w:ascii="Arial" w:hAnsi="Arial"/>
          <w14:numForm w14:val="lining"/>
        </w:rPr>
        <w:t xml:space="preserve"> fluvial sediment</w:t>
      </w:r>
      <w:r w:rsidR="000E7E43">
        <w:rPr>
          <w:rFonts w:ascii="Arial" w:hAnsi="Arial"/>
          <w14:numForm w14:val="lining"/>
        </w:rPr>
        <w:t xml:space="preserve"> and loess profiles</w:t>
      </w:r>
      <w:r w:rsidR="005578AD">
        <w:rPr>
          <w:rFonts w:ascii="Arial" w:hAnsi="Arial"/>
          <w14:numForm w14:val="lining"/>
        </w:rPr>
        <w:t xml:space="preserve"> mentioned in the text</w:t>
      </w:r>
      <w:r w:rsidR="00585C6B" w:rsidRPr="00585C6B">
        <w:rPr>
          <w:rFonts w:ascii="Arial" w:hAnsi="Arial"/>
          <w14:numForm w14:val="lining"/>
        </w:rPr>
        <w:t xml:space="preserve">. </w:t>
      </w:r>
      <w:r w:rsidR="00543838">
        <w:rPr>
          <w:rFonts w:ascii="Arial" w:hAnsi="Arial"/>
          <w14:numForm w14:val="lining"/>
        </w:rPr>
        <w:t xml:space="preserve">Loess and fluvial sites </w:t>
      </w:r>
      <w:r w:rsidR="00543838">
        <w:rPr>
          <w:rFonts w:ascii="Arial" w:hAnsi="Arial"/>
          <w14:numForm w14:val="lining"/>
        </w:rPr>
        <w:lastRenderedPageBreak/>
        <w:t xml:space="preserve">analysed in this study are in bold. </w:t>
      </w:r>
      <w:r w:rsidR="00EF5931">
        <w:rPr>
          <w:rFonts w:ascii="Arial" w:hAnsi="Arial" w:cs="Arial"/>
          <w14:numForm w14:val="lining"/>
        </w:rPr>
        <w:t>Capital letters refer to loess profiles A</w:t>
      </w:r>
      <w:r w:rsidR="00966E1D">
        <w:rPr>
          <w:rFonts w:ascii="Arial" w:hAnsi="Arial" w:cs="Arial"/>
          <w14:numForm w14:val="lining"/>
        </w:rPr>
        <w:t xml:space="preserve"> </w:t>
      </w:r>
      <w:r w:rsidR="00EF5931">
        <w:rPr>
          <w:rFonts w:ascii="Arial" w:hAnsi="Arial" w:cs="Arial"/>
          <w14:numForm w14:val="lining"/>
        </w:rPr>
        <w:t xml:space="preserve">- </w:t>
      </w:r>
      <w:r w:rsidR="00EF5931" w:rsidRPr="00C1555F">
        <w:rPr>
          <w:rFonts w:ascii="Arial" w:hAnsi="Arial" w:cs="Arial"/>
        </w:rPr>
        <w:t>Stratzing and Krems</w:t>
      </w:r>
      <w:r w:rsidR="00EF5931">
        <w:rPr>
          <w:rFonts w:ascii="Arial" w:hAnsi="Arial" w:cs="Arial"/>
          <w14:numForm w14:val="lining"/>
        </w:rPr>
        <w:t xml:space="preserve">, B- </w:t>
      </w:r>
      <w:r w:rsidR="00966E1D">
        <w:rPr>
          <w:rFonts w:ascii="Arial" w:hAnsi="Arial" w:cs="Arial"/>
          <w14:numForm w14:val="lining"/>
        </w:rPr>
        <w:t xml:space="preserve">Wels, C - </w:t>
      </w:r>
      <w:r w:rsidR="00EF5931" w:rsidRPr="00C1555F">
        <w:rPr>
          <w:rFonts w:ascii="Arial" w:hAnsi="Arial" w:cs="Arial"/>
        </w:rPr>
        <w:t>Basaharc</w:t>
      </w:r>
      <w:r w:rsidR="00EF5931">
        <w:rPr>
          <w:rFonts w:ascii="Arial" w:hAnsi="Arial" w:cs="Arial"/>
          <w14:numForm w14:val="lining"/>
        </w:rPr>
        <w:t xml:space="preserve">, </w:t>
      </w:r>
      <w:r w:rsidR="00966E1D">
        <w:rPr>
          <w:rFonts w:ascii="Arial" w:hAnsi="Arial" w:cs="Arial"/>
          <w14:numForm w14:val="lining"/>
        </w:rPr>
        <w:t xml:space="preserve">D </w:t>
      </w:r>
      <w:r w:rsidR="00EF5931">
        <w:rPr>
          <w:rFonts w:ascii="Arial" w:hAnsi="Arial" w:cs="Arial"/>
          <w14:numForm w14:val="lining"/>
        </w:rPr>
        <w:t xml:space="preserve">- </w:t>
      </w:r>
      <w:r w:rsidR="00EF5931" w:rsidRPr="00C1555F">
        <w:rPr>
          <w:rFonts w:ascii="Arial" w:hAnsi="Arial" w:cs="Arial"/>
        </w:rPr>
        <w:t>Mend</w:t>
      </w:r>
      <w:r w:rsidR="00EF5931">
        <w:rPr>
          <w:rFonts w:ascii="Arial" w:hAnsi="Arial" w:cs="Arial"/>
        </w:rPr>
        <w:t>e</w:t>
      </w:r>
      <w:r w:rsidR="00EF5931">
        <w:rPr>
          <w:rFonts w:ascii="Arial" w:hAnsi="Arial" w:cs="Arial"/>
          <w14:numForm w14:val="lining"/>
        </w:rPr>
        <w:t xml:space="preserve">, </w:t>
      </w:r>
      <w:r w:rsidR="00966E1D">
        <w:rPr>
          <w:rFonts w:ascii="Arial" w:hAnsi="Arial" w:cs="Arial"/>
          <w14:numForm w14:val="lining"/>
        </w:rPr>
        <w:t xml:space="preserve">E </w:t>
      </w:r>
      <w:r w:rsidR="00EF5931">
        <w:rPr>
          <w:rFonts w:ascii="Arial" w:hAnsi="Arial" w:cs="Arial"/>
          <w14:numForm w14:val="lining"/>
        </w:rPr>
        <w:t xml:space="preserve">- Paks, </w:t>
      </w:r>
      <w:r w:rsidR="00966E1D">
        <w:rPr>
          <w:rFonts w:ascii="Arial" w:hAnsi="Arial" w:cs="Arial"/>
          <w14:numForm w14:val="lining"/>
        </w:rPr>
        <w:t xml:space="preserve">F </w:t>
      </w:r>
      <w:r w:rsidR="00EF5931">
        <w:rPr>
          <w:rFonts w:ascii="Arial" w:hAnsi="Arial" w:cs="Arial"/>
          <w14:numForm w14:val="lining"/>
        </w:rPr>
        <w:t xml:space="preserve">- </w:t>
      </w:r>
      <w:r w:rsidR="00EF5931" w:rsidRPr="00C1555F">
        <w:rPr>
          <w:rFonts w:ascii="Arial" w:hAnsi="Arial" w:cs="Arial"/>
        </w:rPr>
        <w:t>Zmajevac</w:t>
      </w:r>
      <w:r w:rsidR="00EF5931">
        <w:rPr>
          <w:rFonts w:ascii="Arial" w:hAnsi="Arial" w:cs="Arial"/>
          <w14:numForm w14:val="lining"/>
        </w:rPr>
        <w:t xml:space="preserve">, </w:t>
      </w:r>
      <w:r w:rsidR="00966E1D">
        <w:rPr>
          <w:rFonts w:ascii="Arial" w:hAnsi="Arial" w:cs="Arial"/>
          <w14:numForm w14:val="lining"/>
        </w:rPr>
        <w:t xml:space="preserve">G </w:t>
      </w:r>
      <w:r w:rsidR="00EF5931">
        <w:rPr>
          <w:rFonts w:ascii="Arial" w:hAnsi="Arial" w:cs="Arial"/>
          <w14:numForm w14:val="lining"/>
        </w:rPr>
        <w:t xml:space="preserve">- Erdut, </w:t>
      </w:r>
      <w:r w:rsidR="00966E1D">
        <w:rPr>
          <w:rFonts w:ascii="Arial" w:hAnsi="Arial" w:cs="Arial"/>
          <w14:numForm w14:val="lining"/>
        </w:rPr>
        <w:t xml:space="preserve">H </w:t>
      </w:r>
      <w:r w:rsidR="008A2B85">
        <w:rPr>
          <w:rFonts w:ascii="Arial" w:hAnsi="Arial" w:cs="Arial"/>
          <w14:numForm w14:val="lining"/>
        </w:rPr>
        <w:t>–</w:t>
      </w:r>
      <w:r w:rsidR="00EF5931">
        <w:rPr>
          <w:rFonts w:ascii="Arial" w:hAnsi="Arial" w:cs="Arial"/>
          <w14:numForm w14:val="lining"/>
        </w:rPr>
        <w:t xml:space="preserve"> Surduk</w:t>
      </w:r>
      <w:r w:rsidR="008A2B85">
        <w:rPr>
          <w:rFonts w:ascii="Arial" w:hAnsi="Arial" w:cs="Arial"/>
          <w14:numForm w14:val="lining"/>
        </w:rPr>
        <w:t xml:space="preserve"> 2</w:t>
      </w:r>
      <w:r w:rsidR="00EF5931">
        <w:rPr>
          <w:rFonts w:ascii="Arial" w:hAnsi="Arial" w:cs="Arial"/>
          <w14:numForm w14:val="lining"/>
        </w:rPr>
        <w:t xml:space="preserve">, </w:t>
      </w:r>
      <w:r w:rsidR="00966E1D">
        <w:rPr>
          <w:rFonts w:ascii="Arial" w:hAnsi="Arial" w:cs="Arial"/>
          <w14:numForm w14:val="lining"/>
        </w:rPr>
        <w:t xml:space="preserve">I </w:t>
      </w:r>
      <w:r w:rsidR="00EF5931">
        <w:rPr>
          <w:rFonts w:ascii="Arial" w:hAnsi="Arial" w:cs="Arial"/>
          <w14:numForm w14:val="lining"/>
        </w:rPr>
        <w:t>- Slivata. Numbers refer to r</w:t>
      </w:r>
      <w:r w:rsidR="00EF5931" w:rsidRPr="004C7112">
        <w:rPr>
          <w:rFonts w:ascii="Arial" w:hAnsi="Arial" w:cs="Arial"/>
          <w14:numForm w14:val="lining"/>
        </w:rPr>
        <w:t>iver</w:t>
      </w:r>
      <w:r w:rsidR="00EF5931">
        <w:rPr>
          <w:rFonts w:ascii="Arial" w:hAnsi="Arial" w:cs="Arial"/>
          <w14:numForm w14:val="lining"/>
        </w:rPr>
        <w:t xml:space="preserve"> sites</w:t>
      </w:r>
      <w:r w:rsidR="00EF5931" w:rsidRPr="00585C6B">
        <w:rPr>
          <w:rFonts w:ascii="Arial" w:hAnsi="Arial"/>
          <w14:numForm w14:val="lining"/>
        </w:rPr>
        <w:t xml:space="preserve">: 1- Basaharc fluvial sands, 2- Tisza, 3- </w:t>
      </w:r>
      <w:r w:rsidR="00636665" w:rsidRPr="00585C6B">
        <w:rPr>
          <w:rFonts w:ascii="Arial" w:hAnsi="Arial"/>
          <w14:numForm w14:val="lining"/>
        </w:rPr>
        <w:t>Danita puszta fluvial sands</w:t>
      </w:r>
      <w:r w:rsidR="00EF5931" w:rsidRPr="00585C6B">
        <w:rPr>
          <w:rFonts w:ascii="Arial" w:hAnsi="Arial"/>
          <w14:numForm w14:val="lining"/>
        </w:rPr>
        <w:t>, 4-</w:t>
      </w:r>
      <w:r w:rsidR="00636665">
        <w:rPr>
          <w:rFonts w:ascii="Arial" w:hAnsi="Arial"/>
          <w14:numForm w14:val="lining"/>
        </w:rPr>
        <w:t xml:space="preserve"> Drava, </w:t>
      </w:r>
      <w:r w:rsidR="00EF5931" w:rsidRPr="00585C6B">
        <w:rPr>
          <w:rFonts w:ascii="Arial" w:hAnsi="Arial"/>
          <w14:numForm w14:val="lining"/>
        </w:rPr>
        <w:t xml:space="preserve">5- </w:t>
      </w:r>
      <w:r w:rsidR="00636665">
        <w:rPr>
          <w:rFonts w:ascii="Arial" w:hAnsi="Arial"/>
          <w14:numForm w14:val="lining"/>
        </w:rPr>
        <w:t xml:space="preserve">Tisza, 6- </w:t>
      </w:r>
      <w:r w:rsidR="00EF5931" w:rsidRPr="00585C6B">
        <w:rPr>
          <w:rFonts w:ascii="Arial" w:hAnsi="Arial"/>
          <w14:numForm w14:val="lining"/>
        </w:rPr>
        <w:t xml:space="preserve">Sebeșel, </w:t>
      </w:r>
      <w:r w:rsidR="00636665">
        <w:rPr>
          <w:rFonts w:ascii="Arial" w:hAnsi="Arial"/>
          <w14:numForm w14:val="lining"/>
        </w:rPr>
        <w:t>7</w:t>
      </w:r>
      <w:r w:rsidR="00EF5931" w:rsidRPr="00585C6B">
        <w:rPr>
          <w:rFonts w:ascii="Arial" w:hAnsi="Arial"/>
          <w14:numForm w14:val="lining"/>
        </w:rPr>
        <w:t xml:space="preserve">- Jiu, </w:t>
      </w:r>
      <w:r w:rsidR="00636665">
        <w:rPr>
          <w:rFonts w:ascii="Arial" w:hAnsi="Arial"/>
          <w14:numForm w14:val="lining"/>
        </w:rPr>
        <w:t>8</w:t>
      </w:r>
      <w:r w:rsidR="00EF5931" w:rsidRPr="00585C6B">
        <w:rPr>
          <w:rFonts w:ascii="Arial" w:hAnsi="Arial"/>
          <w14:numForm w14:val="lining"/>
        </w:rPr>
        <w:t xml:space="preserve">- Olt, </w:t>
      </w:r>
      <w:r w:rsidR="00636665">
        <w:rPr>
          <w:rFonts w:ascii="Arial" w:hAnsi="Arial"/>
          <w14:numForm w14:val="lining"/>
        </w:rPr>
        <w:t>9</w:t>
      </w:r>
      <w:r w:rsidR="00EF5931" w:rsidRPr="00585C6B">
        <w:rPr>
          <w:rFonts w:ascii="Arial" w:hAnsi="Arial"/>
          <w14:numForm w14:val="lining"/>
        </w:rPr>
        <w:t xml:space="preserve">- Turnu, </w:t>
      </w:r>
      <w:r w:rsidR="00636665">
        <w:rPr>
          <w:rFonts w:ascii="Arial" w:hAnsi="Arial"/>
          <w14:numForm w14:val="lining"/>
        </w:rPr>
        <w:t>10</w:t>
      </w:r>
      <w:r w:rsidR="00EF5931" w:rsidRPr="00585C6B">
        <w:rPr>
          <w:rFonts w:ascii="Arial" w:hAnsi="Arial"/>
          <w14:numForm w14:val="lining"/>
        </w:rPr>
        <w:t>- Tulcea, 1</w:t>
      </w:r>
      <w:r w:rsidR="00636665">
        <w:rPr>
          <w:rFonts w:ascii="Arial" w:hAnsi="Arial"/>
          <w14:numForm w14:val="lining"/>
        </w:rPr>
        <w:t>1</w:t>
      </w:r>
      <w:r w:rsidR="00EF5931" w:rsidRPr="00585C6B">
        <w:rPr>
          <w:rFonts w:ascii="Arial" w:hAnsi="Arial"/>
          <w14:numForm w14:val="lining"/>
        </w:rPr>
        <w:t>- Siret, 1</w:t>
      </w:r>
      <w:r w:rsidR="00636665">
        <w:rPr>
          <w:rFonts w:ascii="Arial" w:hAnsi="Arial"/>
          <w14:numForm w14:val="lining"/>
        </w:rPr>
        <w:t>2</w:t>
      </w:r>
      <w:r w:rsidR="00EF5931" w:rsidRPr="00585C6B">
        <w:rPr>
          <w:rFonts w:ascii="Arial" w:hAnsi="Arial"/>
          <w14:numForm w14:val="lining"/>
        </w:rPr>
        <w:t xml:space="preserve">- Braila. </w:t>
      </w:r>
      <w:r w:rsidR="000F1594">
        <w:rPr>
          <w:rFonts w:ascii="Arial" w:hAnsi="Arial"/>
          <w14:numForm w14:val="lining"/>
        </w:rPr>
        <w:t>The black square mark</w:t>
      </w:r>
      <w:r w:rsidR="00640F42">
        <w:rPr>
          <w:rFonts w:ascii="Arial" w:hAnsi="Arial"/>
          <w14:numForm w14:val="lining"/>
        </w:rPr>
        <w:t>s</w:t>
      </w:r>
      <w:r w:rsidR="000F1594">
        <w:rPr>
          <w:rFonts w:ascii="Arial" w:hAnsi="Arial"/>
          <w14:numForm w14:val="lining"/>
        </w:rPr>
        <w:t xml:space="preserve"> the location of the Tauern Window. </w:t>
      </w:r>
      <w:r w:rsidRPr="00585C6B">
        <w:rPr>
          <w:rFonts w:ascii="Arial" w:hAnsi="Arial"/>
          <w14:numForm w14:val="lining"/>
        </w:rPr>
        <w:t>For source</w:t>
      </w:r>
      <w:r w:rsidR="007E6F8F" w:rsidRPr="00585C6B">
        <w:rPr>
          <w:rFonts w:ascii="Arial" w:hAnsi="Arial"/>
          <w14:numForm w14:val="lining"/>
        </w:rPr>
        <w:t xml:space="preserve"> meta</w:t>
      </w:r>
      <w:r w:rsidRPr="00585C6B">
        <w:rPr>
          <w:rFonts w:ascii="Arial" w:hAnsi="Arial"/>
          <w14:numForm w14:val="lining"/>
        </w:rPr>
        <w:t xml:space="preserve">data see </w:t>
      </w:r>
      <w:r w:rsidR="00C950D1">
        <w:rPr>
          <w:rFonts w:ascii="Arial" w:hAnsi="Arial"/>
          <w14:numForm w14:val="lining"/>
        </w:rPr>
        <w:t xml:space="preserve">Supplementary </w:t>
      </w:r>
      <w:r w:rsidRPr="00215526">
        <w:rPr>
          <w:rFonts w:ascii="Arial" w:hAnsi="Arial"/>
          <w14:numForm w14:val="lining"/>
        </w:rPr>
        <w:t xml:space="preserve">Table </w:t>
      </w:r>
      <w:r w:rsidR="00C950D1">
        <w:rPr>
          <w:rFonts w:ascii="Arial" w:hAnsi="Arial"/>
          <w14:numForm w14:val="lining"/>
        </w:rPr>
        <w:t>S</w:t>
      </w:r>
      <w:r w:rsidR="007E6F8F" w:rsidRPr="00215526">
        <w:rPr>
          <w:rFonts w:ascii="Arial" w:hAnsi="Arial"/>
          <w14:numForm w14:val="lining"/>
        </w:rPr>
        <w:t>1</w:t>
      </w:r>
      <w:r w:rsidR="00C950D1">
        <w:rPr>
          <w:rFonts w:ascii="Arial" w:hAnsi="Arial"/>
          <w14:numForm w14:val="lining"/>
        </w:rPr>
        <w:t xml:space="preserve"> and S2</w:t>
      </w:r>
      <w:r w:rsidRPr="00585C6B">
        <w:rPr>
          <w:rFonts w:ascii="Arial" w:hAnsi="Arial"/>
          <w14:numForm w14:val="lining"/>
        </w:rPr>
        <w:t>.</w:t>
      </w:r>
      <w:r w:rsidR="00D65967">
        <w:rPr>
          <w:rFonts w:ascii="Arial" w:hAnsi="Arial"/>
          <w14:numForm w14:val="lining"/>
        </w:rPr>
        <w:t xml:space="preserve"> </w:t>
      </w:r>
      <w:r w:rsidR="00D65967" w:rsidRPr="00D65967">
        <w:rPr>
          <w:rFonts w:ascii="Arial" w:hAnsi="Arial"/>
          <w14:numForm w14:val="lining"/>
        </w:rPr>
        <w:t>(DEM Source: ©JAXA).</w:t>
      </w:r>
    </w:p>
    <w:bookmarkEnd w:id="17"/>
    <w:p w14:paraId="7C8DC672" w14:textId="553E85AB" w:rsidR="00A778E5" w:rsidRPr="004043FB" w:rsidRDefault="00A778E5" w:rsidP="00A778E5">
      <w:pPr>
        <w:spacing w:before="120" w:after="120" w:line="480" w:lineRule="auto"/>
        <w:jc w:val="both"/>
        <w:rPr>
          <w:rFonts w:ascii="Arial" w:hAnsi="Arial" w:cs="Arial"/>
        </w:rPr>
      </w:pPr>
      <w:r>
        <w:rPr>
          <w:rFonts w:ascii="Arial" w:hAnsi="Arial" w:cs="Arial"/>
        </w:rPr>
        <w:t>Lastly</w:t>
      </w:r>
      <w:r w:rsidRPr="004043FB">
        <w:rPr>
          <w:rFonts w:ascii="Arial" w:hAnsi="Arial" w:cs="Arial"/>
        </w:rPr>
        <w:t>,</w:t>
      </w:r>
      <w:r>
        <w:rPr>
          <w:rFonts w:ascii="Arial" w:hAnsi="Arial" w:cs="Arial"/>
        </w:rPr>
        <w:t xml:space="preserve"> distal sediment holding areas, such as</w:t>
      </w:r>
      <w:r w:rsidRPr="004043FB">
        <w:rPr>
          <w:rFonts w:ascii="Arial" w:hAnsi="Arial" w:cs="Arial"/>
        </w:rPr>
        <w:t xml:space="preserve"> the Sahara Desert, </w:t>
      </w:r>
      <w:r>
        <w:rPr>
          <w:rFonts w:ascii="Arial" w:hAnsi="Arial" w:cs="Arial"/>
        </w:rPr>
        <w:t xml:space="preserve">have also been suggested </w:t>
      </w:r>
      <w:r w:rsidRPr="004043FB">
        <w:rPr>
          <w:rFonts w:ascii="Arial" w:hAnsi="Arial" w:cs="Arial"/>
        </w:rPr>
        <w:t xml:space="preserve">based on analysis of particle size and modern dust sources </w:t>
      </w:r>
      <w:r w:rsidRPr="004043FB">
        <w:rPr>
          <w:rFonts w:ascii="Arial" w:hAnsi="Arial" w:cs="Arial"/>
        </w:rPr>
        <w:fldChar w:fldCharType="begin" w:fldLock="1"/>
      </w:r>
      <w:r>
        <w:rPr>
          <w:rFonts w:ascii="Arial" w:hAnsi="Arial" w:cs="Arial"/>
        </w:rPr>
        <w:instrText>ADDIN CSL_CITATION {"citationItems":[{"id":"ITEM-1","itemData":{"DOI":"10.1016/j.quaint.2008.10.007","ISBN":"10406182","ISSN":"10406182","abstract":"A conceptual model is presented for the provenance and dispersal patterns of small dust that falls on Europe. Generally its sources are in North Africa, and it is distributed across all Europe. Several key sources can be distinguished: 'Sahelian' dust comes largely from the old Lake Chad region-this is a clay-rich unimodal material. 'Saharan' dust comes from the great sand sheets-it contains small monomineralic particles and may have a bimodal size range. Three simple deposition zones can be recognised; a D1a zone where sufficient dust is deposited to form a discrete soil layer (not well classified as a Rendoll), in the extreme south of Europe; a D1b zone where the airborne dust simply provided a silty admixture to soil systems-across Middle Europe; and a northern zone D1c where the dust is a fugitive cloud, but very occasionally forms noticeable deposits. Two particle formation methods can be noted. Particle control in Sahelian dust is via the sedimentation in the original lake. This gives an open structure which can be modelled using a simple Monte Carlo approach. The open structure ensures that only small particles are produced; size control is via particle packing. A chipping mechanism can produce fine quartz particles from sandy deserts. The aeolian energy is, by and large, not sufficient to cause major impact fracturing but small mineral chips can be produced in the small dust size (fine and very fine silt), which go into high-level suspension and travel to Europe and beyond. The Saharan material can have a wider, more variable size distribution than the Sahelian material. The Canary Islands 'loess' is largely Sahelian material; the Cape Verde Islands deposits, from the nearby sandy regions, are Saharan deposits. Large dust has fallen on Europe, and produced widespread loess deposits. Large dust is essentially an 'in-continent' deposit; small dust comes from outside-from Africa. ?? 2008 Elsevier Ltd and INQUA.","author":[{"dropping-particle":"","family":"Stuut","given":"Jan Berend","non-dropping-particle":"","parse-names":false,"suffix":""},{"dropping-particle":"","family":"Smalley","given":"Ian J.","non-dropping-particle":"","parse-names":false,"suffix":""},{"dropping-particle":"","family":"O'Hara-Dhand","given":"Ken","non-dropping-particle":"","parse-names":false,"suffix":""}],"container-title":"Quaternary International","id":"ITEM-1","issue":"1-2","issued":{"date-parts":[["2009"]]},"page":"234-245","title":"Aeolian dust in Europe: African sources and European deposits","type":"article-journal","volume":"198"},"uris":["http://www.mendeley.com/documents/?uuid=9755164b-7c44-4a5f-90f3-c0783115d7b8"]},{"id":"ITEM-2","itemData":{"DOI":"10.1016/j.gloplacha.2012.11.007","ISSN":"0921-8181","author":[{"dropping-particle":"","family":"Varga","given":"György","non-dropping-particle":"","parse-names":false,"suffix":""},{"dropping-particle":"","family":"Kovács","given":"János I.","non-dropping-particle":"","parse-names":false,"suffix":""},{"dropping-particle":"","family":"Újvári","given":"Gábor","non-dropping-particle":"","parse-names":false,"suffix":""}],"container-title":"Global and Planetary Change","id":"ITEM-2","issued":{"date-parts":[["2013"]]},"page":"333-342","publisher":"Elsevier B.V.","title":"Analysis of Saharan dust intrusions into the Carpathian Basin (Central Europe) over the period of 1979 – 2011","type":"article-journal","volume":"100"},"uris":["http://www.mendeley.com/documents/?uuid=bd5b5bd8-adc3-495f-9f69-1face03b3fc9"]}],"mendeley":{"formattedCitation":"(Stuut et al., 2009; Varga et al., 2013)","plainTextFormattedCitation":"(Stuut et al., 2009; Varga et al., 2013)","previouslyFormattedCitation":"(Stuut et al., 2009; Varga et al., 2013)"},"properties":{"noteIndex":0},"schema":"https://github.com/citation-style-language/schema/raw/master/csl-citation.json"}</w:instrText>
      </w:r>
      <w:r w:rsidRPr="004043FB">
        <w:rPr>
          <w:rFonts w:ascii="Arial" w:hAnsi="Arial" w:cs="Arial"/>
        </w:rPr>
        <w:fldChar w:fldCharType="separate"/>
      </w:r>
      <w:r w:rsidRPr="00EA22FE">
        <w:rPr>
          <w:rFonts w:ascii="Arial" w:hAnsi="Arial" w:cs="Arial"/>
          <w:noProof/>
        </w:rPr>
        <w:t>(Stuut et al., 2009; Varga et al., 2013)</w:t>
      </w:r>
      <w:r w:rsidRPr="004043FB">
        <w:rPr>
          <w:rFonts w:ascii="Arial" w:hAnsi="Arial" w:cs="Arial"/>
        </w:rPr>
        <w:fldChar w:fldCharType="end"/>
      </w:r>
      <w:r w:rsidRPr="004043FB">
        <w:rPr>
          <w:rFonts w:ascii="Arial" w:hAnsi="Arial" w:cs="Arial"/>
        </w:rPr>
        <w:t>, past contributions to palaeosol</w:t>
      </w:r>
      <w:r>
        <w:rPr>
          <w:rFonts w:ascii="Arial" w:hAnsi="Arial" w:cs="Arial"/>
        </w:rPr>
        <w:t>s</w:t>
      </w:r>
      <w:r w:rsidRPr="004043FB">
        <w:rPr>
          <w:rFonts w:ascii="Arial" w:hAnsi="Arial" w:cs="Arial"/>
        </w:rPr>
        <w:t xml:space="preserve"> </w:t>
      </w:r>
      <w:r w:rsidRPr="004043FB">
        <w:rPr>
          <w:rFonts w:ascii="Arial" w:hAnsi="Arial" w:cs="Arial"/>
        </w:rPr>
        <w:fldChar w:fldCharType="begin" w:fldLock="1"/>
      </w:r>
      <w:r>
        <w:rPr>
          <w:rFonts w:ascii="Arial" w:hAnsi="Arial" w:cs="Arial"/>
        </w:rPr>
        <w:instrText>ADDIN CSL_CITATION {"citationItems":[{"id":"ITEM-1","itemData":{"DOI":"10.1016/j.aeolia.2016.05.004","author":[{"dropping-particle":"","family":"Varga","given":"György","non-dropping-particle":"","parse-names":false,"suffix":""},{"dropping-particle":"","family":"Cserháti","given":"Csaba","non-dropping-particle":"","parse-names":false,"suffix":""},{"dropping-particle":"","family":"Kovács","given":"János I.","non-dropping-particle":"","parse-names":false,"suffix":""},{"dropping-particle":"","family":"Szalai","given":"Zoltán","non-dropping-particle":"","parse-names":false,"suffix":""}],"container-title":"Aeolian Research","id":"ITEM-1","issued":{"date-parts":[["2016"]]},"page":"1-12","title":"Saharan dust deposition in the Carpathian Basin and its possible effects on interglacial soil formation","type":"article-journal","volume":"22"},"uris":["http://www.mendeley.com/documents/?uuid=2cf1538b-45a1-41f2-8516-0b70de4443eb"]}],"mendeley":{"formattedCitation":"(Varga et al., 2016)","plainTextFormattedCitation":"(Varga et al., 2016)","previouslyFormattedCitation":"(Varga et al., 2016)"},"properties":{"noteIndex":0},"schema":"https://github.com/citation-style-language/schema/raw/master/csl-citation.json"}</w:instrText>
      </w:r>
      <w:r w:rsidRPr="004043FB">
        <w:rPr>
          <w:rFonts w:ascii="Arial" w:hAnsi="Arial" w:cs="Arial"/>
        </w:rPr>
        <w:fldChar w:fldCharType="separate"/>
      </w:r>
      <w:r w:rsidRPr="008612C3">
        <w:rPr>
          <w:rFonts w:ascii="Arial" w:hAnsi="Arial" w:cs="Arial"/>
          <w:noProof/>
        </w:rPr>
        <w:t>(Varga et al., 2016)</w:t>
      </w:r>
      <w:r w:rsidRPr="004043FB">
        <w:rPr>
          <w:rFonts w:ascii="Arial" w:hAnsi="Arial" w:cs="Arial"/>
        </w:rPr>
        <w:fldChar w:fldCharType="end"/>
      </w:r>
      <w:r>
        <w:rPr>
          <w:rFonts w:ascii="Arial" w:hAnsi="Arial" w:cs="Arial"/>
        </w:rPr>
        <w:t xml:space="preserve">, </w:t>
      </w:r>
      <w:r w:rsidRPr="004043FB">
        <w:rPr>
          <w:rFonts w:ascii="Arial" w:hAnsi="Arial" w:cs="Arial"/>
        </w:rPr>
        <w:t xml:space="preserve">and dust flux and elemental composition in </w:t>
      </w:r>
      <w:r w:rsidR="00E945CA">
        <w:rPr>
          <w:rFonts w:ascii="Arial" w:hAnsi="Arial" w:cs="Arial"/>
        </w:rPr>
        <w:t xml:space="preserve">Carpathian </w:t>
      </w:r>
      <w:r w:rsidRPr="004043FB">
        <w:rPr>
          <w:rFonts w:ascii="Arial" w:hAnsi="Arial" w:cs="Arial"/>
        </w:rPr>
        <w:t xml:space="preserve">peat bogs </w:t>
      </w:r>
      <w:r w:rsidRPr="004043FB">
        <w:rPr>
          <w:rFonts w:ascii="Arial" w:hAnsi="Arial" w:cs="Arial"/>
        </w:rPr>
        <w:fldChar w:fldCharType="begin" w:fldLock="1"/>
      </w:r>
      <w:r>
        <w:rPr>
          <w:rFonts w:ascii="Arial" w:hAnsi="Arial" w:cs="Arial"/>
        </w:rPr>
        <w:instrText>ADDIN CSL_CITATION {"citationItems":[{"id":"ITEM-1","itemData":{"DOI":"10.5194/cp-13-897-2017","ISSN":"18149332","abstract":"Reconstructions of dust flux have been used to produce valuable global records of changes in atmospheric circulation and aridity. These studies have highlighted the importance of atmospheric dust in marine and terrestrial biogeochemistry and nutrient cycling. By investigating a 10&amp;amp;thinsp;800-year long paleoclimate archive from the Eastern Carpathians (Romania) we present the first peat record of changing dust deposition over the Holocene for the Carpathian-Balkan region. Using qualitative (XRF core scanning) and quantitative (ICP-OES) measurements of lithogenic (Fe, K, Si, Ti) elements, we identify 11 periods of major dust deposition between: 9500&amp;amp;ndash;9100, 8400&amp;amp;ndash;8100, 7720&amp;amp;ndash;7250, 6350&amp;amp;ndash;6000, 5450&amp;amp;ndash;5050, 4130&amp;amp;ndash;3770, 3450&amp;amp;ndash;2850, 2100&amp;amp;ndash;1450, 800&amp;amp;ndash;620, and 60&amp;amp;thinsp;cal&amp;amp;thinsp;yr BP to present. In addition, we used testate amoeba assemblages preserved within the peat to infer local palaeohydroclimate conditions. Our record highlights several discrepancies between eastern and western European dust depositional records, and the impact of highly complex hydrological regimes in the Carpathian region. After 6100&amp;amp;thinsp;cal&amp;amp;thinsp;yr BP, we find that the geochemical indicators of dust flux become uncoupled from the local hydrology. This coincides with the appearance of millennial-scale cycles in the dust input and changes in geochemical composition of dust. We suggest this is indicative of a shift in dust provenance from local/regional (likely loess-related) to distal (Saharan) sources which coincide with the end of the African Humid Period and the onset of Saharan desertification.","author":[{"dropping-particle":"","family":"Longman","given":"Jack","non-dropping-particle":"","parse-names":false,"suffix":""},{"dropping-particle":"","family":"Veres","given":"Daniel","non-dropping-particle":"","parse-names":false,"suffix":""},{"dropping-particle":"","family":"Ersek","given":"Vasile","non-dropping-particle":"","parse-names":false,"suffix":""},{"dropping-particle":"","family":"Salzmann","given":"Ulrich","non-dropping-particle":"","parse-names":false,"suffix":""},{"dropping-particle":"","family":"Hubay","given":"Katalin","non-dropping-particle":"","parse-names":false,"suffix":""},{"dropping-particle":"","family":"Bormann","given":"Marc","non-dropping-particle":"","parse-names":false,"suffix":""},{"dropping-particle":"","family":"Wennrich","given":"Volker","non-dropping-particle":"","parse-names":false,"suffix":""},{"dropping-particle":"","family":"Schäbitz","given":"Frank","non-dropping-particle":"","parse-names":false,"suffix":""}],"container-title":"Climate of the Past","id":"ITEM-1","issue":"7","issued":{"date-parts":[["2017"]]},"page":"897-917","title":"Periodic input of dust over the Eastern Carpathians during the Holocene linked with Saharan desertification and human impact","type":"article-journal","volume":"13"},"uris":["http://www.mendeley.com/documents/?uuid=2fdb9ac5-fc68-4ff4-b911-7a0cd3c8c97e"]}],"mendeley":{"formattedCitation":"(Longman et al., 2017)","plainTextFormattedCitation":"(Longman et al., 2017)","previouslyFormattedCitation":"(Longman et al., 2017)"},"properties":{"noteIndex":0},"schema":"https://github.com/citation-style-language/schema/raw/master/csl-citation.json"}</w:instrText>
      </w:r>
      <w:r w:rsidRPr="004043FB">
        <w:rPr>
          <w:rFonts w:ascii="Arial" w:hAnsi="Arial" w:cs="Arial"/>
        </w:rPr>
        <w:fldChar w:fldCharType="separate"/>
      </w:r>
      <w:r w:rsidRPr="008612C3">
        <w:rPr>
          <w:rFonts w:ascii="Arial" w:hAnsi="Arial" w:cs="Arial"/>
          <w:noProof/>
        </w:rPr>
        <w:t>(Longman et al., 2017)</w:t>
      </w:r>
      <w:r w:rsidRPr="004043FB">
        <w:rPr>
          <w:rFonts w:ascii="Arial" w:hAnsi="Arial" w:cs="Arial"/>
        </w:rPr>
        <w:fldChar w:fldCharType="end"/>
      </w:r>
      <w:r w:rsidRPr="004043FB">
        <w:rPr>
          <w:rFonts w:ascii="Arial" w:hAnsi="Arial" w:cs="Arial"/>
        </w:rPr>
        <w:t xml:space="preserve">. </w:t>
      </w:r>
      <w:r>
        <w:rPr>
          <w:rFonts w:ascii="Arial" w:hAnsi="Arial" w:cs="Arial"/>
        </w:rPr>
        <w:t xml:space="preserve">The </w:t>
      </w:r>
      <w:r w:rsidRPr="004043FB">
        <w:rPr>
          <w:rFonts w:ascii="Arial" w:hAnsi="Arial" w:cs="Arial"/>
        </w:rPr>
        <w:t xml:space="preserve">increased frequency and magnitude of dust storms </w:t>
      </w:r>
      <w:r>
        <w:rPr>
          <w:rFonts w:ascii="Arial" w:hAnsi="Arial" w:cs="Arial"/>
        </w:rPr>
        <w:t>originating</w:t>
      </w:r>
      <w:r w:rsidRPr="004043FB">
        <w:rPr>
          <w:rFonts w:ascii="Arial" w:hAnsi="Arial" w:cs="Arial"/>
        </w:rPr>
        <w:t xml:space="preserve"> from Africa</w:t>
      </w:r>
      <w:r>
        <w:rPr>
          <w:rFonts w:ascii="Arial" w:hAnsi="Arial" w:cs="Arial"/>
        </w:rPr>
        <w:t xml:space="preserve"> during the glacial period are thought to be the mechanism behind </w:t>
      </w:r>
      <w:r w:rsidR="00987B60">
        <w:rPr>
          <w:rFonts w:ascii="Arial" w:hAnsi="Arial" w:cs="Arial"/>
        </w:rPr>
        <w:t xml:space="preserve">any </w:t>
      </w:r>
      <w:r>
        <w:rPr>
          <w:rFonts w:ascii="Arial" w:hAnsi="Arial" w:cs="Arial"/>
        </w:rPr>
        <w:t>additional sediment delivery from the Sahara</w:t>
      </w:r>
      <w:r w:rsidRPr="004043FB">
        <w:rPr>
          <w:rFonts w:ascii="Arial" w:hAnsi="Arial" w:cs="Arial"/>
        </w:rPr>
        <w:t xml:space="preserve"> </w:t>
      </w:r>
      <w:r w:rsidRPr="004043FB">
        <w:rPr>
          <w:rFonts w:ascii="Arial" w:hAnsi="Arial" w:cs="Arial"/>
        </w:rPr>
        <w:fldChar w:fldCharType="begin" w:fldLock="1"/>
      </w:r>
      <w:r>
        <w:rPr>
          <w:rFonts w:ascii="Arial" w:hAnsi="Arial" w:cs="Arial"/>
        </w:rPr>
        <w:instrText>ADDIN CSL_CITATION {"citationItems":[{"id":"ITEM-1","itemData":{"DOI":"10.1016/S0012-8252(01)00067-8","ISBN":"0012-8252","ISSN":"00128252","abstract":"This paper reviews recent work on the role of Saharan dust in environmental change, the location and strength of source areas, the transport paths of material away from the desert, the rates of Saharan dust deposition, the nature of that material (including PeriSaharan loess) and the changing rates of dust activity in response to long and short-term climatic changes. The Sahara produces more aeolian soil dust than any other world desert, and Saharan dust has an important impact on climatic processes, nutrient cycles, soil formation and sediment cycles. These influences spread far beyond Africa, thanks to the great distances over which Saharan dust is transported. The precise locations of Saharan dust source areas are not well known, but data from the Total Ozone Mapping Spectrometer (TOMS) suggest two major source areas: the Bod??l?? depression and an area covering eastern Mauritania, western Mali and southern Algeria. Trajectories of long-distance transport are relatively well documented, but the links between source areas and seasonal Saharan dust pathways are not. However, it is possible that Harmattan dust from the Bod??l?? depression may not be the source of the prominent winter plume over the tropical North Atlantic, as is often suggested in the literature. Few of the data on particle size characteristics of Saharan dust are derived from major source areas or from Africa itself. Saharan dusts sampled from the Harmattan plume and over Europe are dominated by SiO2 and Al2O3, a characteristic they share with North American and Chinese dusts. The concentrations of these two major elements are similar to those found in world rocks. PeriSaharan loess is conspicuous by its relative absence, considering the Sahara's dominance of the global desert dust cycle both in the contemporary era and through the geological past. In recent decades, the frequency of Saharan dust events has varied markedly in response to climatic factors such as drought and anthropogenic disturbance of desert marginal surfaces. Nonetheless, the Sahara's two major dust sources are little affected by human activities and are in fact located in areas that receive very low rainfall totals. Hence, the Sahara does not fit the postulated global picture of a peak in dust storm activity in the 100-200-mm mean annual rainfall zone. ?? 2001 Elsevier Science B.V. All rights reserved.","author":[{"dropping-particle":"","family":"Goudie","given":"Andrew S.","non-dropping-particle":"","parse-names":false,"suffix":""},{"dropping-particle":"","family":"Middleton","given":"Nicholas J.","non-dropping-particle":"","parse-names":false,"suffix":""}],"container-title":"Earth-Science Reviews","id":"ITEM-1","issue":"1-4","issued":{"date-parts":[["2001"]]},"page":"179-204","title":"Saharan dust storms: Nature and consequences","type":"article-journal","volume":"56"},"uris":["http://www.mendeley.com/documents/?uuid=18905154-aca0-430e-b9a1-8cb06b6bdc53"]}],"mendeley":{"formattedCitation":"(Goudie and Middleton, 2001)","plainTextFormattedCitation":"(Goudie and Middleton, 2001)","previouslyFormattedCitation":"(Goudie and Middleton, 2001)"},"properties":{"noteIndex":0},"schema":"https://github.com/citation-style-language/schema/raw/master/csl-citation.json"}</w:instrText>
      </w:r>
      <w:r w:rsidRPr="004043FB">
        <w:rPr>
          <w:rFonts w:ascii="Arial" w:hAnsi="Arial" w:cs="Arial"/>
        </w:rPr>
        <w:fldChar w:fldCharType="separate"/>
      </w:r>
      <w:r w:rsidRPr="008612C3">
        <w:rPr>
          <w:rFonts w:ascii="Arial" w:hAnsi="Arial" w:cs="Arial"/>
          <w:noProof/>
        </w:rPr>
        <w:t>(Goudie and Middleton, 2001)</w:t>
      </w:r>
      <w:r w:rsidRPr="004043FB">
        <w:rPr>
          <w:rFonts w:ascii="Arial" w:hAnsi="Arial" w:cs="Arial"/>
        </w:rPr>
        <w:fldChar w:fldCharType="end"/>
      </w:r>
      <w:r w:rsidRPr="004043FB">
        <w:rPr>
          <w:rFonts w:ascii="Arial" w:hAnsi="Arial" w:cs="Arial"/>
        </w:rPr>
        <w:t xml:space="preserve">. However, so far </w:t>
      </w:r>
      <w:r>
        <w:rPr>
          <w:rFonts w:ascii="Arial" w:hAnsi="Arial" w:cs="Arial"/>
        </w:rPr>
        <w:t xml:space="preserve">Saharan geochemical signatures cannot definitively be confirmed </w:t>
      </w:r>
      <w:r w:rsidRPr="004043FB">
        <w:rPr>
          <w:rFonts w:ascii="Arial" w:hAnsi="Arial" w:cs="Arial"/>
        </w:rPr>
        <w:t xml:space="preserve">in </w:t>
      </w:r>
      <w:r>
        <w:rPr>
          <w:rFonts w:ascii="Arial" w:hAnsi="Arial" w:cs="Arial"/>
        </w:rPr>
        <w:t>Danubian</w:t>
      </w:r>
      <w:r w:rsidRPr="004043FB">
        <w:rPr>
          <w:rFonts w:ascii="Arial" w:hAnsi="Arial" w:cs="Arial"/>
        </w:rPr>
        <w:t xml:space="preserve"> loess deposits </w:t>
      </w:r>
      <w:r>
        <w:rPr>
          <w:rFonts w:ascii="Arial" w:hAnsi="Arial" w:cs="Arial"/>
        </w:rPr>
        <w:t xml:space="preserve">due to the </w:t>
      </w:r>
      <w:r w:rsidRPr="004043FB">
        <w:rPr>
          <w:rFonts w:ascii="Arial" w:hAnsi="Arial" w:cs="Arial"/>
        </w:rPr>
        <w:t xml:space="preserve">absence of indicator minerals </w:t>
      </w:r>
      <w:r w:rsidRPr="004043FB">
        <w:rPr>
          <w:rFonts w:ascii="Arial" w:hAnsi="Arial" w:cs="Arial"/>
        </w:rPr>
        <w:fldChar w:fldCharType="begin" w:fldLock="1"/>
      </w:r>
      <w:r>
        <w:rPr>
          <w:rFonts w:ascii="Arial" w:hAnsi="Arial" w:cs="Arial"/>
        </w:rPr>
        <w:instrText>ADDIN CSL_CITATION {"citationItems":[{"id":"ITEM-1","itemData":{"DOI":"10.1016/j.chemgeo.2012.02.007","ISBN":"0009-2541","ISSN":"00092541","abstract":"Multiple competing hypotheses have been proposed to explain the source of loess dust in the Carpathian Basin yet none has been demonstrated. Here bulk and grain-size differentiated Nd and Sr isotopic and bulk and clay mineralogical compositions, together with detrital zircon ages and morphologies from loess along the Danube in the Carpathian Basin are used to demonstrate that no single method is capable of unequivocally isolating sources, yet combined, they allow for discriminating likely provenance. Zircon ages indicate multiple sources for Carpathian Basin loess, restricting the use of bulk or grain-size differentiation methods. Ambiguities are further highlighted by the fact that the Sr-Nd isotopic composition of Greenland dust is very similar to Carpathian loess. This match demonstrates that such methods are not always capable of unequivocally excluding unlikely potential source areas and implies that current hypotheses regarding the origin of Greenland dust require further evaluation. Sr isotopes are also limited by high dolomite contents of loess, while palygorskite is of questionable utility as a Saharan dust indicator due to its rapid weathering under typical Carpathian climates. In terms of specific Carpathian loess sources, alluvial fans of the Danube River likely contribute, but detrital zircon ages and morphologies suggest that a proportion directly originates from eroded uplands and local rocks throughout the basin, while detrital dolomite implies local, primary sources such as the Transdanubian Range. An upper limit of 5-10% is placed on the North African contribution to fine dust in loess of the mid-Carpathian Basin based on mineralogy and grain size. Overall, results suggest that the single grain (zircon) approach is likely the most diagnostic method to identify sources in loess studies, although to solve complex provenance issues, simultaneous consideration of the isotopic characteristics of more than one heavy (or light) mineral is required. ?? 2012 Elsevier B.V.","author":[{"dropping-particle":"","family":"Újvári","given":"Gábor","non-dropping-particle":"","parse-names":false,"suffix":""},{"dropping-particle":"","family":"Varga","given":"Andrea","non-dropping-particle":"","parse-names":false,"suffix":""},{"dropping-particle":"","family":"Ramos","given":"Frank C.","non-dropping-particle":"","parse-names":false,"suffix":""},{"dropping-particle":"","family":"Kovács","given":"János I.","non-dropping-particle":"","parse-names":false,"suffix":""},{"dropping-particle":"","family":"Németh","given":"Tibor","non-dropping-particle":"","parse-names":false,"suffix":""},{"dropping-particle":"","family":"Stevens","given":"Thomas","non-dropping-particle":"","parse-names":false,"suffix":""}],"container-title":"Chemical Geology","id":"ITEM-1","issued":{"date-parts":[["2012"]]},"page":"83-96","publisher":"Elsevier B.V.","title":"Evaluating the use of clay mineralogy, Sr-Nd isotopes and zircon U-Pb ages in tracking dust provenance: An example from loess of the Carpathian Basin","type":"article-journal","volume":"304-305"},"uris":["http://www.mendeley.com/documents/?uuid=4972a163-3568-4a70-9213-d604a9054fec"]}],"mendeley":{"formattedCitation":"(Újvári et al., 2012)","plainTextFormattedCitation":"(Újvári et al., 2012)","previouslyFormattedCitation":"(Újvári et al., 2012)"},"properties":{"noteIndex":0},"schema":"https://github.com/citation-style-language/schema/raw/master/csl-citation.json"}</w:instrText>
      </w:r>
      <w:r w:rsidRPr="004043FB">
        <w:rPr>
          <w:rFonts w:ascii="Arial" w:hAnsi="Arial" w:cs="Arial"/>
        </w:rPr>
        <w:fldChar w:fldCharType="separate"/>
      </w:r>
      <w:r w:rsidRPr="008612C3">
        <w:rPr>
          <w:rFonts w:ascii="Arial" w:hAnsi="Arial" w:cs="Arial"/>
          <w:noProof/>
        </w:rPr>
        <w:t>(Újvári et al., 2012)</w:t>
      </w:r>
      <w:r w:rsidRPr="004043FB">
        <w:rPr>
          <w:rFonts w:ascii="Arial" w:hAnsi="Arial" w:cs="Arial"/>
        </w:rPr>
        <w:fldChar w:fldCharType="end"/>
      </w:r>
      <w:r w:rsidRPr="004043FB">
        <w:rPr>
          <w:rFonts w:ascii="Arial" w:hAnsi="Arial" w:cs="Arial"/>
        </w:rPr>
        <w:t xml:space="preserve">. </w:t>
      </w:r>
    </w:p>
    <w:p w14:paraId="486602A4" w14:textId="5C7F3549" w:rsidR="00987B60" w:rsidRDefault="00E06256" w:rsidP="00235524">
      <w:pPr>
        <w:spacing w:before="360" w:after="120" w:line="480" w:lineRule="auto"/>
        <w:jc w:val="both"/>
        <w:rPr>
          <w:rFonts w:ascii="Arial" w:hAnsi="Arial" w:cs="Arial"/>
        </w:rPr>
      </w:pPr>
      <w:r>
        <w:rPr>
          <w:rFonts w:ascii="Arial" w:hAnsi="Arial" w:cs="Arial"/>
        </w:rPr>
        <w:t>Potential v</w:t>
      </w:r>
      <w:r w:rsidR="007E6F8F">
        <w:rPr>
          <w:rFonts w:ascii="Arial" w:hAnsi="Arial" w:cs="Arial"/>
        </w:rPr>
        <w:t xml:space="preserve">ariation of loess source material </w:t>
      </w:r>
      <w:r w:rsidR="000E7E43">
        <w:rPr>
          <w:rFonts w:ascii="Arial" w:hAnsi="Arial" w:cs="Arial"/>
        </w:rPr>
        <w:t xml:space="preserve">across </w:t>
      </w:r>
      <w:r w:rsidR="007E6F8F">
        <w:rPr>
          <w:rFonts w:ascii="Arial" w:hAnsi="Arial" w:cs="Arial"/>
        </w:rPr>
        <w:t>the</w:t>
      </w:r>
      <w:r w:rsidR="000E7E43">
        <w:rPr>
          <w:rFonts w:ascii="Arial" w:hAnsi="Arial" w:cs="Arial"/>
        </w:rPr>
        <w:t xml:space="preserve"> Pannonian</w:t>
      </w:r>
      <w:r w:rsidR="007E6F8F">
        <w:rPr>
          <w:rFonts w:ascii="Arial" w:hAnsi="Arial" w:cs="Arial"/>
        </w:rPr>
        <w:t xml:space="preserve"> Basin</w:t>
      </w:r>
      <w:r w:rsidR="007E6F8F" w:rsidDel="00C50E09">
        <w:rPr>
          <w:rFonts w:ascii="Arial" w:hAnsi="Arial" w:cs="Arial"/>
        </w:rPr>
        <w:t xml:space="preserve"> </w:t>
      </w:r>
      <w:r w:rsidR="007E6F8F">
        <w:rPr>
          <w:rFonts w:ascii="Arial" w:hAnsi="Arial" w:cs="Arial"/>
        </w:rPr>
        <w:t>has only been briefly touched on</w:t>
      </w:r>
      <w:r>
        <w:rPr>
          <w:rFonts w:ascii="Arial" w:hAnsi="Arial" w:cs="Arial"/>
        </w:rPr>
        <w:t xml:space="preserve"> in previous research</w:t>
      </w:r>
      <w:r w:rsidR="007E6F8F">
        <w:rPr>
          <w:rFonts w:ascii="Arial" w:hAnsi="Arial" w:cs="Arial"/>
        </w:rPr>
        <w:t xml:space="preserve">, despite its relevance </w:t>
      </w:r>
      <w:r w:rsidR="009613AF">
        <w:rPr>
          <w:rFonts w:ascii="Arial" w:hAnsi="Arial" w:cs="Arial"/>
        </w:rPr>
        <w:t>to</w:t>
      </w:r>
      <w:r w:rsidR="007E6F8F">
        <w:rPr>
          <w:rFonts w:ascii="Arial" w:hAnsi="Arial" w:cs="Arial"/>
        </w:rPr>
        <w:t xml:space="preserve"> </w:t>
      </w:r>
      <w:r w:rsidR="007E6F8F" w:rsidRPr="004043FB">
        <w:rPr>
          <w:rFonts w:ascii="Arial" w:hAnsi="Arial" w:cs="Arial"/>
        </w:rPr>
        <w:t>understanding dust</w:t>
      </w:r>
      <w:r w:rsidR="00987B60">
        <w:rPr>
          <w:rFonts w:ascii="Arial" w:hAnsi="Arial" w:cs="Arial"/>
        </w:rPr>
        <w:t xml:space="preserve"> and</w:t>
      </w:r>
      <w:r w:rsidR="00514407">
        <w:rPr>
          <w:rFonts w:ascii="Arial" w:hAnsi="Arial" w:cs="Arial"/>
        </w:rPr>
        <w:t xml:space="preserve"> </w:t>
      </w:r>
      <w:r w:rsidR="007E6F8F" w:rsidRPr="004043FB">
        <w:rPr>
          <w:rFonts w:ascii="Arial" w:hAnsi="Arial" w:cs="Arial"/>
        </w:rPr>
        <w:t>sediment transport pathways</w:t>
      </w:r>
      <w:r w:rsidR="000D7994">
        <w:rPr>
          <w:rFonts w:ascii="Arial" w:hAnsi="Arial" w:cs="Arial"/>
        </w:rPr>
        <w:t>. In a</w:t>
      </w:r>
      <w:r w:rsidR="007E6F8F">
        <w:rPr>
          <w:rFonts w:ascii="Arial" w:hAnsi="Arial" w:cs="Arial"/>
        </w:rPr>
        <w:t xml:space="preserve"> </w:t>
      </w:r>
      <w:r w:rsidR="007E6F8F" w:rsidRPr="004043FB">
        <w:rPr>
          <w:rFonts w:ascii="Arial" w:hAnsi="Arial" w:cs="Arial"/>
        </w:rPr>
        <w:t>theoretical</w:t>
      </w:r>
      <w:r w:rsidR="007E6F8F">
        <w:rPr>
          <w:rFonts w:ascii="Arial" w:hAnsi="Arial" w:cs="Arial"/>
        </w:rPr>
        <w:t xml:space="preserve"> analysis</w:t>
      </w:r>
      <w:r w:rsidR="000D7994">
        <w:rPr>
          <w:rFonts w:ascii="Arial" w:hAnsi="Arial" w:cs="Arial"/>
        </w:rPr>
        <w:t xml:space="preserve">, </w:t>
      </w:r>
      <w:r w:rsidR="007E6F8F" w:rsidRPr="004043FB">
        <w:rPr>
          <w:rFonts w:ascii="Arial" w:hAnsi="Arial" w:cs="Arial"/>
        </w:rPr>
        <w:fldChar w:fldCharType="begin" w:fldLock="1"/>
      </w:r>
      <w:r w:rsidR="007E6F8F">
        <w:rPr>
          <w:rFonts w:ascii="Arial" w:hAnsi="Arial" w:cs="Arial"/>
        </w:rPr>
        <w:instrText>ADDIN CSL_CITATION {"citationItems":[{"id":"ITEM-1","itemData":{"DOI":"10.1016/0037-0738(78)90031-3","ISBN":"0037-0738","ISSN":"00370738","abstract":"Within the Danube basin significant loess deposits are located: 1. (1) north of the Alps, near the western end of the basin, 2. (2) around Vienna and stretching away in a northeasterly direction through the Moravian depression, 3. (3) on either side of the south-flowing Danube in Hungary and in northern Yugoslavia, and 4. (4) on the Walachian plain between Romania and Bulgaria. These deposits can be distinguished from the belt of glacial loess extending roughly west-east from Paris/Brussels via Köln, Leipzig, Wroclaw to Krakow and beyond, and obviously related to the North European glaciations. Other sources of material must be invoked to explain the presence of loess (and loess-like sediments) in the Danube basin. Material comes from three major sources: 1. (1) the Alpine glaciers, 2. (2) North European glacial debris carried through the Moravian depression by meltwater, and 3. (3) silt derived from flysch and related rocks in the Carpathian mountains. There is no simple primary loess in the Danube basin in any significant amount; deposits of typical aeolian loess which do exist are often derived from Danube floodplains and formed from material from several sources. This is particularly true of the deposits in the lower Danube region (on the Walachian plain). Since the deposits in the Danube basin are so diverse in type and origin particular care is needed in the use of loess terms and in chronological and stratigraphic investigations. This is particularly so since several countries are involved and national usage tends to differ in many ways. A particular problem is to distinguish (physically and terminologically) materials which have been derived from a typical loess by some ‘degradation’ process and materials which have never been a true loess but have assumed certain loessic characteristics by soil-forming processes. This occurs particularly in the Pannonian basin where there is an abundance of weathered material.","author":[{"dropping-particle":"","family":"Smalley","given":"Ian J.","non-dropping-particle":"","parse-names":false,"suffix":""},{"dropping-particle":"","family":"Leach","given":"J. A.","non-dropping-particle":"","parse-names":false,"suffix":""}],"container-title":"Sedimentary Geology","id":"ITEM-1","issue":"1","issued":{"date-parts":[["1978"]]},"page":"1-26","title":"The origin and distribution of the loess in the Danube basin and associated regions of East-Central Europe — A review","type":"article-journal","volume":"21"},"uris":["http://www.mendeley.com/documents/?uuid=0abdb656-7475-420e-973b-31f43619db05"]}],"mendeley":{"formattedCitation":"(Smalley and Leach, 1978)","manualFormatting":"Smalley and Leach (1978)","plainTextFormattedCitation":"(Smalley and Leach, 1978)","previouslyFormattedCitation":"(Smalley and Leach, 1978)"},"properties":{"noteIndex":0},"schema":"https://github.com/citation-style-language/schema/raw/master/csl-citation.json"}</w:instrText>
      </w:r>
      <w:r w:rsidR="007E6F8F" w:rsidRPr="004043FB">
        <w:rPr>
          <w:rFonts w:ascii="Arial" w:hAnsi="Arial" w:cs="Arial"/>
        </w:rPr>
        <w:fldChar w:fldCharType="separate"/>
      </w:r>
      <w:r w:rsidR="007E6F8F" w:rsidRPr="008612C3">
        <w:rPr>
          <w:rFonts w:ascii="Arial" w:hAnsi="Arial" w:cs="Arial"/>
          <w:noProof/>
        </w:rPr>
        <w:t xml:space="preserve">Smalley and Leach </w:t>
      </w:r>
      <w:r w:rsidR="007E6F8F">
        <w:rPr>
          <w:rFonts w:ascii="Arial" w:hAnsi="Arial" w:cs="Arial"/>
          <w:noProof/>
        </w:rPr>
        <w:t>(</w:t>
      </w:r>
      <w:r w:rsidR="007E6F8F" w:rsidRPr="008612C3">
        <w:rPr>
          <w:rFonts w:ascii="Arial" w:hAnsi="Arial" w:cs="Arial"/>
          <w:noProof/>
        </w:rPr>
        <w:t>1978)</w:t>
      </w:r>
      <w:r w:rsidR="007E6F8F" w:rsidRPr="004043FB">
        <w:rPr>
          <w:rFonts w:ascii="Arial" w:hAnsi="Arial" w:cs="Arial"/>
        </w:rPr>
        <w:fldChar w:fldCharType="end"/>
      </w:r>
      <w:r w:rsidR="007E6F8F">
        <w:rPr>
          <w:rFonts w:ascii="Arial" w:hAnsi="Arial" w:cs="Arial"/>
        </w:rPr>
        <w:t xml:space="preserve"> argued </w:t>
      </w:r>
      <w:r w:rsidR="007E6F8F" w:rsidRPr="004043FB">
        <w:rPr>
          <w:rFonts w:ascii="Arial" w:hAnsi="Arial" w:cs="Arial"/>
        </w:rPr>
        <w:t xml:space="preserve">shifts </w:t>
      </w:r>
      <w:r w:rsidR="000D7994">
        <w:rPr>
          <w:rFonts w:ascii="Arial" w:hAnsi="Arial" w:cs="Arial"/>
        </w:rPr>
        <w:t>in loess source likely</w:t>
      </w:r>
      <w:r w:rsidR="007E6F8F" w:rsidRPr="004043FB">
        <w:rPr>
          <w:rFonts w:ascii="Arial" w:hAnsi="Arial" w:cs="Arial"/>
        </w:rPr>
        <w:t xml:space="preserve"> </w:t>
      </w:r>
      <w:r w:rsidR="007E6F8F">
        <w:rPr>
          <w:rFonts w:ascii="Arial" w:hAnsi="Arial" w:cs="Arial"/>
        </w:rPr>
        <w:t>occurred where</w:t>
      </w:r>
      <w:r w:rsidR="007E6F8F" w:rsidRPr="004043FB">
        <w:rPr>
          <w:rFonts w:ascii="Arial" w:hAnsi="Arial" w:cs="Arial"/>
        </w:rPr>
        <w:t xml:space="preserve"> new tributaries ente</w:t>
      </w:r>
      <w:r w:rsidR="007E6F8F">
        <w:rPr>
          <w:rFonts w:ascii="Arial" w:hAnsi="Arial" w:cs="Arial"/>
        </w:rPr>
        <w:t>red</w:t>
      </w:r>
      <w:r w:rsidR="007E6F8F" w:rsidRPr="004043FB">
        <w:rPr>
          <w:rFonts w:ascii="Arial" w:hAnsi="Arial" w:cs="Arial"/>
        </w:rPr>
        <w:t xml:space="preserve"> the Danube’s system, e.g. the Moravian gate or Tisza</w:t>
      </w:r>
      <w:r w:rsidR="000D7994">
        <w:rPr>
          <w:rFonts w:ascii="Arial" w:hAnsi="Arial" w:cs="Arial"/>
        </w:rPr>
        <w:t xml:space="preserve"> confluence</w:t>
      </w:r>
      <w:r w:rsidR="00A778E5">
        <w:rPr>
          <w:rFonts w:ascii="Arial" w:hAnsi="Arial" w:cs="Arial"/>
        </w:rPr>
        <w:t>.</w:t>
      </w:r>
      <w:r w:rsidR="007E6F8F">
        <w:rPr>
          <w:rFonts w:ascii="Arial" w:hAnsi="Arial" w:cs="Arial"/>
        </w:rPr>
        <w:t xml:space="preserve"> </w:t>
      </w:r>
      <w:r w:rsidR="00A778E5">
        <w:rPr>
          <w:rFonts w:ascii="Arial" w:hAnsi="Arial" w:cs="Arial"/>
        </w:rPr>
        <w:t xml:space="preserve">Similarly </w:t>
      </w:r>
      <w:r w:rsidR="00A778E5" w:rsidRPr="004043FB">
        <w:rPr>
          <w:rFonts w:ascii="Arial" w:hAnsi="Arial" w:cs="Arial"/>
        </w:rPr>
        <w:fldChar w:fldCharType="begin" w:fldLock="1"/>
      </w:r>
      <w:r w:rsidR="00AE6272">
        <w:rPr>
          <w:rFonts w:ascii="Arial" w:hAnsi="Arial" w:cs="Arial"/>
        </w:rPr>
        <w:instrText>ADDIN CSL_CITATION {"citationItems":[{"id":"ITEM-1","itemData":{"author":[{"dropping-particle":"","family":"Nemecz","given":"Erno","non-dropping-particle":"","parse-names":false,"suffix":""},{"dropping-particle":"","family":"Pésci","given":"Márton","non-dropping-particle":"","parse-names":false,"suffix":""},{"dropping-particle":"","family":"Hartyani","given":"Zsuzsa","non-dropping-particle":"","parse-names":false,"suffix":""},{"dropping-particle":"","family":"Horváth","given":"Timea","non-dropping-particle":"","parse-names":false,"suffix":""}],"container-title":"Quaternary International","id":"ITEM-1","issued":{"date-parts":[["2000"]]},"page":"199-208","title":"The origin of the silt size quartz grains and minerals in loess","type":"article-journal","volume":"68-71"},"uris":["http://www.mendeley.com/documents/?uuid=6cd1fbd9-52eb-4ab2-ab2c-56cfb544188a"]}],"mendeley":{"formattedCitation":"(Nemecz et al., 2000)","manualFormatting":"Nemecz et al. (2000)","plainTextFormattedCitation":"(Nemecz et al., 2000)","previouslyFormattedCitation":"(Nemecz et al., 2000)"},"properties":{"noteIndex":0},"schema":"https://github.com/citation-style-language/schema/raw/master/csl-citation.json"}</w:instrText>
      </w:r>
      <w:r w:rsidR="00A778E5" w:rsidRPr="004043FB">
        <w:rPr>
          <w:rFonts w:ascii="Arial" w:hAnsi="Arial" w:cs="Arial"/>
        </w:rPr>
        <w:fldChar w:fldCharType="separate"/>
      </w:r>
      <w:r w:rsidR="00A778E5" w:rsidRPr="008073AF">
        <w:rPr>
          <w:rFonts w:ascii="Arial" w:hAnsi="Arial" w:cs="Arial"/>
          <w:noProof/>
        </w:rPr>
        <w:t xml:space="preserve">Nemecz et al. </w:t>
      </w:r>
      <w:r w:rsidR="00A778E5">
        <w:rPr>
          <w:rFonts w:ascii="Arial" w:hAnsi="Arial" w:cs="Arial"/>
          <w:noProof/>
        </w:rPr>
        <w:t>(</w:t>
      </w:r>
      <w:r w:rsidR="00A778E5" w:rsidRPr="008073AF">
        <w:rPr>
          <w:rFonts w:ascii="Arial" w:hAnsi="Arial" w:cs="Arial"/>
          <w:noProof/>
        </w:rPr>
        <w:t>2000)</w:t>
      </w:r>
      <w:r w:rsidR="00A778E5" w:rsidRPr="004043FB">
        <w:rPr>
          <w:rFonts w:ascii="Arial" w:hAnsi="Arial" w:cs="Arial"/>
        </w:rPr>
        <w:fldChar w:fldCharType="end"/>
      </w:r>
      <w:r w:rsidR="00A778E5">
        <w:rPr>
          <w:rFonts w:ascii="Arial" w:hAnsi="Arial" w:cs="Arial"/>
        </w:rPr>
        <w:t xml:space="preserve"> compared </w:t>
      </w:r>
      <w:r w:rsidR="00D670B7">
        <w:rPr>
          <w:rFonts w:ascii="Arial" w:hAnsi="Arial" w:cs="Arial"/>
        </w:rPr>
        <w:t xml:space="preserve">the </w:t>
      </w:r>
      <w:r w:rsidR="00A778E5">
        <w:rPr>
          <w:rFonts w:ascii="Arial" w:hAnsi="Arial" w:cs="Arial"/>
        </w:rPr>
        <w:t xml:space="preserve">dolomite to calcite ratio in Hungarian and Serbian loess </w:t>
      </w:r>
      <w:r w:rsidR="0039651C">
        <w:rPr>
          <w:rFonts w:ascii="Arial" w:hAnsi="Arial" w:cs="Arial"/>
        </w:rPr>
        <w:t xml:space="preserve">and </w:t>
      </w:r>
      <w:r w:rsidR="007E6F8F">
        <w:rPr>
          <w:rFonts w:ascii="Arial" w:hAnsi="Arial" w:cs="Arial"/>
        </w:rPr>
        <w:t xml:space="preserve">argued </w:t>
      </w:r>
      <w:r w:rsidR="00A778E5">
        <w:rPr>
          <w:rFonts w:ascii="Arial" w:hAnsi="Arial" w:cs="Arial"/>
        </w:rPr>
        <w:t xml:space="preserve">that </w:t>
      </w:r>
      <w:r w:rsidR="00A778E5" w:rsidRPr="004043FB">
        <w:rPr>
          <w:rFonts w:ascii="Arial" w:hAnsi="Arial" w:cs="Arial"/>
        </w:rPr>
        <w:t>one of the tributaries</w:t>
      </w:r>
      <w:r w:rsidR="00A778E5">
        <w:rPr>
          <w:rFonts w:ascii="Arial" w:hAnsi="Arial" w:cs="Arial"/>
        </w:rPr>
        <w:t xml:space="preserve"> (</w:t>
      </w:r>
      <w:r w:rsidR="00A778E5" w:rsidRPr="004043FB">
        <w:rPr>
          <w:rFonts w:ascii="Arial" w:hAnsi="Arial" w:cs="Arial"/>
        </w:rPr>
        <w:t>the Drava or Tisza</w:t>
      </w:r>
      <w:r w:rsidR="00A778E5">
        <w:rPr>
          <w:rFonts w:ascii="Arial" w:hAnsi="Arial" w:cs="Arial"/>
        </w:rPr>
        <w:t>)</w:t>
      </w:r>
      <w:r w:rsidR="00A778E5" w:rsidRPr="004043FB">
        <w:rPr>
          <w:rFonts w:ascii="Arial" w:hAnsi="Arial" w:cs="Arial"/>
        </w:rPr>
        <w:t xml:space="preserve"> </w:t>
      </w:r>
      <w:r w:rsidR="00A778E5">
        <w:rPr>
          <w:rFonts w:ascii="Arial" w:hAnsi="Arial" w:cs="Arial"/>
        </w:rPr>
        <w:t xml:space="preserve">delivers more calcite to loess in Serbia, </w:t>
      </w:r>
      <w:r w:rsidR="00A778E5" w:rsidRPr="004043FB">
        <w:rPr>
          <w:rFonts w:ascii="Arial" w:hAnsi="Arial" w:cs="Arial"/>
        </w:rPr>
        <w:t>diluting</w:t>
      </w:r>
      <w:r w:rsidR="00A778E5">
        <w:rPr>
          <w:rFonts w:ascii="Arial" w:hAnsi="Arial" w:cs="Arial"/>
        </w:rPr>
        <w:t xml:space="preserve"> </w:t>
      </w:r>
      <w:r w:rsidR="00D670B7">
        <w:rPr>
          <w:rFonts w:ascii="Arial" w:hAnsi="Arial" w:cs="Arial"/>
        </w:rPr>
        <w:t xml:space="preserve">the </w:t>
      </w:r>
      <w:r w:rsidR="00A778E5">
        <w:rPr>
          <w:rFonts w:ascii="Arial" w:hAnsi="Arial" w:cs="Arial"/>
        </w:rPr>
        <w:t xml:space="preserve">dolomite to calcite ratio, </w:t>
      </w:r>
      <w:r w:rsidR="0039651C">
        <w:rPr>
          <w:rFonts w:ascii="Arial" w:hAnsi="Arial" w:cs="Arial"/>
        </w:rPr>
        <w:t xml:space="preserve">or </w:t>
      </w:r>
      <w:r w:rsidR="00C3694C">
        <w:rPr>
          <w:rFonts w:ascii="Arial" w:hAnsi="Arial" w:cs="Arial"/>
        </w:rPr>
        <w:t xml:space="preserve">that </w:t>
      </w:r>
      <w:r w:rsidR="000D7994">
        <w:rPr>
          <w:rFonts w:ascii="Arial" w:hAnsi="Arial" w:cs="Arial"/>
        </w:rPr>
        <w:t>loess in</w:t>
      </w:r>
      <w:r w:rsidR="007E6F8F">
        <w:rPr>
          <w:rFonts w:ascii="Arial" w:hAnsi="Arial" w:cs="Arial"/>
        </w:rPr>
        <w:t xml:space="preserve"> </w:t>
      </w:r>
      <w:r w:rsidR="007E6F8F" w:rsidRPr="004043FB">
        <w:rPr>
          <w:rFonts w:ascii="Arial" w:hAnsi="Arial" w:cs="Arial"/>
        </w:rPr>
        <w:t>Hungary</w:t>
      </w:r>
      <w:r w:rsidR="007E6F8F">
        <w:rPr>
          <w:rFonts w:ascii="Arial" w:hAnsi="Arial" w:cs="Arial"/>
        </w:rPr>
        <w:t xml:space="preserve"> receives larger</w:t>
      </w:r>
      <w:r w:rsidR="007E6F8F" w:rsidRPr="004043FB">
        <w:rPr>
          <w:rFonts w:ascii="Arial" w:hAnsi="Arial" w:cs="Arial"/>
        </w:rPr>
        <w:t xml:space="preserve"> inputs of dolomite </w:t>
      </w:r>
      <w:r w:rsidR="007E6F8F">
        <w:rPr>
          <w:rFonts w:ascii="Arial" w:hAnsi="Arial" w:cs="Arial"/>
        </w:rPr>
        <w:t xml:space="preserve">than </w:t>
      </w:r>
      <w:r w:rsidR="000D7994">
        <w:rPr>
          <w:rFonts w:ascii="Arial" w:hAnsi="Arial" w:cs="Arial"/>
        </w:rPr>
        <w:t xml:space="preserve">loess in </w:t>
      </w:r>
      <w:r w:rsidR="007E6F8F">
        <w:rPr>
          <w:rFonts w:ascii="Arial" w:hAnsi="Arial" w:cs="Arial"/>
        </w:rPr>
        <w:t xml:space="preserve">Serbia </w:t>
      </w:r>
      <w:r w:rsidR="007E6F8F" w:rsidRPr="004043FB">
        <w:rPr>
          <w:rFonts w:ascii="Arial" w:hAnsi="Arial" w:cs="Arial"/>
        </w:rPr>
        <w:fldChar w:fldCharType="begin" w:fldLock="1"/>
      </w:r>
      <w:r w:rsidR="007E6F8F">
        <w:rPr>
          <w:rFonts w:ascii="Arial" w:hAnsi="Arial" w:cs="Arial"/>
        </w:rPr>
        <w:instrText>ADDIN CSL_CITATION {"citationItems":[{"id":"ITEM-1","itemData":{"abstract":"Profiles with multiple paleosols developed in loess at Kapela-Batajnica and Stalac were studied ´ by chemical, physical and mineralogical methods to determine paleoclimatic changes through the Pleistocene. The cyclic nature of sedimentary and pedogenetic processes is indicated by the CaCO content and silt and clay mineralogy. Stalac is 200 km south of Kapela-Batajnica, and 3 ´ differences between individual paleosols at the two sites are attributed to local differences in soil parent material composition, weathering intensity or erosion of the paleosols. The profile at Stalac ´ provides an important link between typical Middle European and SE European loess–paleosol sequences, and indicates the relative influences of the Mediterranean and continental climates. Statistical analysis of values for the hydrolytic alteration index of Thorez and other mineral ratios calculated at 0.5-m vertical intervals suggests a steady decrease in interglacial weathering rates since Ž.the GunzrMindel pedocomplexes F8 and F9 and a gradual change from warm humid to ¨ temperate dry conditions. The climatic curve for the Kapela-Batajnica sequence suggests continen- tal conditions and correlates well with the NW European climatic curve up to the GunzrMindel ¨ InterglacialŽ. pedocomplex F8 . The curve for the lower part of the Stalac sequence shows a ´ stronger Mediterranean influence and correlates well with the curve for Greece, but the upper part of the Stalac sequence above the Riss 1rRiss 2 pedocomplex F6 shows an increased continental climatic influence","author":[{"dropping-particle":"","family":"Kostić","given":"Nikola S.","non-dropping-particle":"","parse-names":false,"suffix":""},{"dropping-particle":"","family":"Protić","given":"N.","non-dropping-particle":"","parse-names":false,"suffix":""}],"container-title":"Catena","id":"ITEM-1","issued":{"date-parts":[["2000"]]},"page":"217-227","title":"Pedology and mineralogy of loess profiles at Kapela-Batajnica and Stalac , Serbia","type":"article-journal","volume":"41"},"uris":["http://www.mendeley.com/documents/?uuid=a8f0f272-dcd4-4e46-aef6-1c1360f3bb63"]}],"mendeley":{"formattedCitation":"(Kostić and Protić, 2000)","plainTextFormattedCitation":"(Kostić and Protić, 2000)","previouslyFormattedCitation":"(Kostić and Protić, 2000)"},"properties":{"noteIndex":0},"schema":"https://github.com/citation-style-language/schema/raw/master/csl-citation.json"}</w:instrText>
      </w:r>
      <w:r w:rsidR="007E6F8F" w:rsidRPr="004043FB">
        <w:rPr>
          <w:rFonts w:ascii="Arial" w:hAnsi="Arial" w:cs="Arial"/>
        </w:rPr>
        <w:fldChar w:fldCharType="separate"/>
      </w:r>
      <w:r w:rsidR="007E6F8F" w:rsidRPr="008612C3">
        <w:rPr>
          <w:rFonts w:ascii="Arial" w:hAnsi="Arial" w:cs="Arial"/>
          <w:noProof/>
        </w:rPr>
        <w:t>(Kostić and Protić, 2000)</w:t>
      </w:r>
      <w:r w:rsidR="007E6F8F" w:rsidRPr="004043FB">
        <w:rPr>
          <w:rFonts w:ascii="Arial" w:hAnsi="Arial" w:cs="Arial"/>
        </w:rPr>
        <w:fldChar w:fldCharType="end"/>
      </w:r>
      <w:r w:rsidR="007E6F8F">
        <w:rPr>
          <w:rFonts w:ascii="Arial" w:hAnsi="Arial" w:cs="Arial"/>
        </w:rPr>
        <w:t xml:space="preserve">. </w:t>
      </w:r>
      <w:r w:rsidR="0039651C">
        <w:rPr>
          <w:rFonts w:ascii="Arial" w:hAnsi="Arial" w:cs="Arial"/>
        </w:rPr>
        <w:t xml:space="preserve">In Croatian loess </w:t>
      </w:r>
      <w:r w:rsidR="000D7994">
        <w:rPr>
          <w:rFonts w:ascii="Arial" w:hAnsi="Arial" w:cs="Arial"/>
        </w:rPr>
        <w:t>t</w:t>
      </w:r>
      <w:r w:rsidR="007E6F8F">
        <w:rPr>
          <w:rFonts w:ascii="Arial" w:hAnsi="Arial" w:cs="Arial"/>
        </w:rPr>
        <w:t xml:space="preserve">he </w:t>
      </w:r>
      <w:r w:rsidR="000D7994">
        <w:rPr>
          <w:rFonts w:ascii="Arial" w:hAnsi="Arial" w:cs="Arial"/>
        </w:rPr>
        <w:t>potential</w:t>
      </w:r>
      <w:r w:rsidR="007E6F8F">
        <w:rPr>
          <w:rFonts w:ascii="Arial" w:hAnsi="Arial" w:cs="Arial"/>
        </w:rPr>
        <w:t xml:space="preserve"> importance of tributaries in shifting the</w:t>
      </w:r>
      <w:r w:rsidR="000D7994">
        <w:rPr>
          <w:rFonts w:ascii="Arial" w:hAnsi="Arial" w:cs="Arial"/>
        </w:rPr>
        <w:t xml:space="preserve"> loess</w:t>
      </w:r>
      <w:r w:rsidR="007E6F8F">
        <w:rPr>
          <w:rFonts w:ascii="Arial" w:hAnsi="Arial" w:cs="Arial"/>
        </w:rPr>
        <w:t xml:space="preserve"> provenance signal was demonstrated</w:t>
      </w:r>
      <w:r w:rsidR="003D2F93">
        <w:rPr>
          <w:rFonts w:ascii="Arial" w:hAnsi="Arial" w:cs="Arial"/>
        </w:rPr>
        <w:t>,</w:t>
      </w:r>
      <w:r w:rsidR="007E6F8F">
        <w:rPr>
          <w:rFonts w:ascii="Arial" w:hAnsi="Arial" w:cs="Arial"/>
        </w:rPr>
        <w:t xml:space="preserve"> where</w:t>
      </w:r>
      <w:r w:rsidR="007E6F8F" w:rsidRPr="004043FB">
        <w:rPr>
          <w:rFonts w:ascii="Arial" w:hAnsi="Arial" w:cs="Arial"/>
        </w:rPr>
        <w:t xml:space="preserve"> proximity to the</w:t>
      </w:r>
      <w:r w:rsidR="00F85A0A">
        <w:rPr>
          <w:rFonts w:ascii="Arial" w:hAnsi="Arial" w:cs="Arial"/>
        </w:rPr>
        <w:t xml:space="preserve"> </w:t>
      </w:r>
      <w:r w:rsidR="007E6F8F" w:rsidRPr="004043FB">
        <w:rPr>
          <w:rFonts w:ascii="Arial" w:hAnsi="Arial" w:cs="Arial"/>
        </w:rPr>
        <w:t xml:space="preserve">Sava’s alluvium and regionally exposed bedrock </w:t>
      </w:r>
      <w:r w:rsidR="000D7994">
        <w:rPr>
          <w:rFonts w:ascii="Arial" w:hAnsi="Arial" w:cs="Arial"/>
        </w:rPr>
        <w:t>likely</w:t>
      </w:r>
      <w:r w:rsidR="007E6F8F">
        <w:rPr>
          <w:rFonts w:ascii="Arial" w:hAnsi="Arial" w:cs="Arial"/>
        </w:rPr>
        <w:t xml:space="preserve"> cause</w:t>
      </w:r>
      <w:r w:rsidR="000D7994">
        <w:rPr>
          <w:rFonts w:ascii="Arial" w:hAnsi="Arial" w:cs="Arial"/>
        </w:rPr>
        <w:t>d</w:t>
      </w:r>
      <w:r w:rsidR="007E6F8F">
        <w:rPr>
          <w:rFonts w:ascii="Arial" w:hAnsi="Arial" w:cs="Arial"/>
        </w:rPr>
        <w:t xml:space="preserve"> slights shifts in </w:t>
      </w:r>
      <w:r w:rsidR="000D7994">
        <w:rPr>
          <w:rFonts w:ascii="Arial" w:hAnsi="Arial" w:cs="Arial"/>
        </w:rPr>
        <w:t>loess</w:t>
      </w:r>
      <w:r w:rsidR="007E6F8F">
        <w:rPr>
          <w:rFonts w:ascii="Arial" w:hAnsi="Arial" w:cs="Arial"/>
        </w:rPr>
        <w:t xml:space="preserve"> </w:t>
      </w:r>
      <w:r w:rsidR="007E6F8F" w:rsidRPr="004043FB">
        <w:rPr>
          <w:rFonts w:ascii="Arial" w:hAnsi="Arial" w:cs="Arial"/>
        </w:rPr>
        <w:t>mineral assemblages</w:t>
      </w:r>
      <w:r w:rsidR="0039651C">
        <w:rPr>
          <w:rFonts w:ascii="Arial" w:hAnsi="Arial" w:cs="Arial"/>
        </w:rPr>
        <w:t xml:space="preserve"> </w:t>
      </w:r>
      <w:r w:rsidR="0039651C" w:rsidRPr="004043FB">
        <w:rPr>
          <w:rFonts w:ascii="Arial" w:hAnsi="Arial" w:cs="Arial"/>
        </w:rPr>
        <w:fldChar w:fldCharType="begin" w:fldLock="1"/>
      </w:r>
      <w:r w:rsidR="0039651C">
        <w:rPr>
          <w:rFonts w:ascii="Arial" w:hAnsi="Arial" w:cs="Arial"/>
        </w:rPr>
        <w:instrText>ADDIN CSL_CITATION {"citationItems":[{"id":"ITEM-1","itemData":{"DOI":"10.1016/j.aeolia.2013.08.002","ISSN":"18759637","abstract":"Loess is a type of terrestrial clastic sediment formed by the accumulation of wind-blown dust, composed dominantly of silt-sized particles. It is usually inter-bedded with soil horizons forming loess-palaeosol successions (LPS). The thickest LPS in Croatia are found in Baranja, a region bounded by two large rivers, the Danube and the Drava. The results of grain-size and modal analysis provide information about source material and wind direction in different time periods during the Pleistocene. Grain-size distribution is in good accordance with other loess localities in the Pannonian Basin. Garnet, epidote and amphibole are the most abundant heavy minerals in samples of Danube river sediment. The comparison of heavy mineral assemblages (HMF) from LPS with that of the Danube river, shows that the main source area for loess in Baranja was in the Danube flood plain sediments. Main transport direction was from North or Northwest. Nevertheless the higher concentration of amphiboles in LPS (mean 26.3% in HMF) than in the Danube plain suggests an additional source area. Although the Western Carpathians with Neogene calc-alkaline volcanic rocks are the major source for amphiboles in the Pannonian Basin, those minerals may partly originated also from locally exposed volcanic and metamorphic rocks of the southward Slavonian Mountains. Mount Krndija and Mount Papuk, which of all Slavonian Mts. are closest to Baranja, consist indeed of amphibolites. In that case, a small amount of silt material for Baranja loess would be transported by WSW winds. Results obtained from sedimentological and SEM analyses show fairly good congruence with results from other LPS in the Pannonian Basin, with some differences in mineral composition which imply diversity and shifting of source area for Baranja loess during the Late Pleistocene. © 2013 Elsevier B.V.","author":[{"dropping-particle":"","family":"Banak","given":"Adriano","non-dropping-particle":"","parse-names":false,"suffix":""},{"dropping-particle":"","family":"Pavelić","given":"Davor","non-dropping-particle":"","parse-names":false,"suffix":""},{"dropping-particle":"","family":"Kovačić","given":"Marijan","non-dropping-particle":"","parse-names":false,"suffix":""},{"dropping-particle":"","family":"Mandic","given":"Oleg","non-dropping-particle":"","parse-names":false,"suffix":""}],"container-title":"Aeolian Research","id":"ITEM-1","issued":{"date-parts":[["2013"]]},"page":"129-139","title":"Sedimentary characteristics and source of loess in Baranja (Eastern Croatia)","type":"article-journal","volume":"11"},"uris":["http://www.mendeley.com/documents/?uuid=c17f6f9f-2bd9-432d-93c2-a5da87fc710d"]}],"mendeley":{"formattedCitation":"(Banak et al., 2013)","plainTextFormattedCitation":"(Banak et al., 2013)","previouslyFormattedCitation":"(Banak et al., 2013)"},"properties":{"noteIndex":0},"schema":"https://github.com/citation-style-language/schema/raw/master/csl-citation.json"}</w:instrText>
      </w:r>
      <w:r w:rsidR="0039651C" w:rsidRPr="004043FB">
        <w:rPr>
          <w:rFonts w:ascii="Arial" w:hAnsi="Arial" w:cs="Arial"/>
        </w:rPr>
        <w:fldChar w:fldCharType="separate"/>
      </w:r>
      <w:r w:rsidR="0039651C" w:rsidRPr="00483C44">
        <w:rPr>
          <w:rFonts w:ascii="Arial" w:hAnsi="Arial" w:cs="Arial"/>
          <w:noProof/>
        </w:rPr>
        <w:t>(Banak et al., 2013)</w:t>
      </w:r>
      <w:r w:rsidR="0039651C" w:rsidRPr="004043FB">
        <w:rPr>
          <w:rFonts w:ascii="Arial" w:hAnsi="Arial" w:cs="Arial"/>
        </w:rPr>
        <w:fldChar w:fldCharType="end"/>
      </w:r>
      <w:r w:rsidR="007E6F8F">
        <w:rPr>
          <w:rFonts w:ascii="Arial" w:hAnsi="Arial" w:cs="Arial"/>
        </w:rPr>
        <w:t xml:space="preserve">. </w:t>
      </w:r>
      <w:r w:rsidR="007E6F8F" w:rsidRPr="00DB011E">
        <w:rPr>
          <w:rFonts w:ascii="Arial" w:hAnsi="Arial" w:cs="Arial"/>
        </w:rPr>
        <w:fldChar w:fldCharType="begin" w:fldLock="1"/>
      </w:r>
      <w:r w:rsidR="007E6F8F" w:rsidRPr="00DB011E">
        <w:rPr>
          <w:rFonts w:ascii="Arial" w:hAnsi="Arial" w:cs="Arial"/>
        </w:rPr>
        <w:instrText>ADDIN CSL_CITATION {"citationItems":[{"id":"ITEM-1","itemData":{"DOI":"10.1016/j.quascirev.2008.01.018","ISBN":"0277-3791","ISSN":"02773791","abstract":"The loess/paleosol sections of Batajnica/Stari Slankamen (Serbia), Mircea Voda (Romania) and Stary Kaydaky (Ukraine) were geochemically characterized based on discriminant analysis of major and trace elements, the ratios of Al/Ti, Fe/Ti and Al/Fe, the A-CN-K ternary plot and element enrichment/depletion relative to the average composition of the upper continental crust. The origin of the loess material in the southern Pannonian Basin (Vojvodina), the lower Danube Basin/Dobrudja and the Dnieper area was evaluated by comparison with the representative element composition of possible source areas and by considering the geomorphodynamic setting. Also the background values of the initial magnetic susceptibility of the loesses were taken into account. For the lower Danube Basin, Dobrudja and the Ukraine, paleowind direction was reconstructed based on the geographic distribution of sandy soil texture and dunes related to river systems. Finally, loesses were evaluated as possible samples of the average upper continental crust. Our results show that Danube and Dnieper loess areas can be clearly distinguished. The former reveal higher Al and Fe contents, the latter higher Si, Zr, Hf content and indications of effective mineral and grain size sorting. We can confirm that Vojvodina loess originated from Danube alluvial material and loess of the Dnieper area from glaciofluvial sediments of the Fennoscandinavian ice sheet. The Dobrudja loess derived also predominantly from Danube alluvium, but shows significant contribution of a second loess source, probably the glaciofluvial sediments of the Ukraine. This was forced by northerly katabatic winds from the Fennoscandinavian ice sheet, whereas WNW winds prevailed in the Western Walachian plain. The studied loesses reflect the average composition of the upper continental crust. Yet, biases exist due to selective mineral/element enrichment and depletion in the course of previous sedimentary recycling phases, respectively. Material of all studied loess deposits seems to derive originally from sedimentary rocks.","author":[{"dropping-particle":"","family":"Buggle","given":"Björn","non-dropping-particle":"","parse-names":false,"suffix":""},{"dropping-particle":"","family":"Glaser","given":"Bruno","non-dropping-particle":"","parse-names":false,"suffix":""},{"dropping-particle":"","family":"Zöller","given":"Ludwig","non-dropping-particle":"","parse-names":false,"suffix":""},{"dropping-particle":"","family":"Hambach","given":"Ulrich","non-dropping-particle":"","parse-names":false,"suffix":""},{"dropping-particle":"","family":"Marković","given":"Slobodan B.","non-dropping-particle":"","parse-names":false,"suffix":""},{"dropping-particle":"","family":"Glaser","given":"Irina","non-dropping-particle":"","parse-names":false,"suffix":""},{"dropping-particle":"","family":"Gerasimenko","given":"Natalia P.","non-dropping-particle":"","parse-names":false,"suffix":""}],"container-title":"Quaternary Science Reviews","id":"ITEM-1","issue":"9-10","issued":{"date-parts":[["2008"]]},"page":"1058-1075","title":"Geochemical characterization and origin of Southeastern and Eastern European loesses (Serbia, Romania, Ukraine)","type":"article-journal","volume":"27"},"uris":["http://www.mendeley.com/documents/?uuid=193d86ce-b241-49e3-a1ef-f8a8bd32eeb3"]}],"mendeley":{"formattedCitation":"(Buggle et al., 2008)","manualFormatting":"Buggle et al. (2008)","plainTextFormattedCitation":"(Buggle et al., 2008)","previouslyFormattedCitation":"(Buggle et al., 2008)"},"properties":{"noteIndex":0},"schema":"https://github.com/citation-style-language/schema/raw/master/csl-citation.json"}</w:instrText>
      </w:r>
      <w:r w:rsidR="007E6F8F" w:rsidRPr="00DB011E">
        <w:rPr>
          <w:rFonts w:ascii="Arial" w:hAnsi="Arial" w:cs="Arial"/>
        </w:rPr>
        <w:fldChar w:fldCharType="separate"/>
      </w:r>
      <w:r w:rsidR="007E6F8F" w:rsidRPr="00DB011E">
        <w:rPr>
          <w:rFonts w:ascii="Arial" w:hAnsi="Arial" w:cs="Arial"/>
          <w:noProof/>
        </w:rPr>
        <w:t>Buggle et al. (2008)</w:t>
      </w:r>
      <w:r w:rsidR="007E6F8F" w:rsidRPr="00DB011E">
        <w:rPr>
          <w:rFonts w:ascii="Arial" w:hAnsi="Arial" w:cs="Arial"/>
        </w:rPr>
        <w:fldChar w:fldCharType="end"/>
      </w:r>
      <w:r w:rsidR="007E6F8F" w:rsidRPr="00DB011E">
        <w:rPr>
          <w:rFonts w:ascii="Arial" w:hAnsi="Arial" w:cs="Arial"/>
        </w:rPr>
        <w:t xml:space="preserve"> </w:t>
      </w:r>
      <w:r w:rsidR="0039651C">
        <w:rPr>
          <w:rFonts w:ascii="Arial" w:hAnsi="Arial" w:cs="Arial"/>
        </w:rPr>
        <w:t xml:space="preserve">compared bulk sample elemental composition </w:t>
      </w:r>
      <w:r w:rsidR="007E6F8F" w:rsidRPr="00DB011E">
        <w:rPr>
          <w:rFonts w:ascii="Arial" w:hAnsi="Arial" w:cs="Arial"/>
        </w:rPr>
        <w:t xml:space="preserve">between loess </w:t>
      </w:r>
      <w:r w:rsidR="000E7E43" w:rsidRPr="00DB011E">
        <w:rPr>
          <w:rFonts w:ascii="Arial" w:hAnsi="Arial" w:cs="Arial"/>
        </w:rPr>
        <w:t>in the</w:t>
      </w:r>
      <w:r w:rsidR="00DB011E" w:rsidRPr="00DB011E">
        <w:rPr>
          <w:rFonts w:ascii="Arial" w:hAnsi="Arial" w:cs="Arial"/>
        </w:rPr>
        <w:t xml:space="preserve"> Dobrogea </w:t>
      </w:r>
      <w:r w:rsidR="00DB011E" w:rsidRPr="00DB011E">
        <w:rPr>
          <w:rFonts w:ascii="Arial" w:hAnsi="Arial" w:cs="Arial"/>
        </w:rPr>
        <w:lastRenderedPageBreak/>
        <w:t>(Romania) and Pannonia</w:t>
      </w:r>
      <w:r w:rsidR="00246111">
        <w:rPr>
          <w:rFonts w:ascii="Arial" w:hAnsi="Arial" w:cs="Arial"/>
        </w:rPr>
        <w:t>n</w:t>
      </w:r>
      <w:r w:rsidR="00DB011E" w:rsidRPr="00DB011E">
        <w:rPr>
          <w:rFonts w:ascii="Arial" w:hAnsi="Arial" w:cs="Arial"/>
        </w:rPr>
        <w:t xml:space="preserve"> Basin (Serbia)</w:t>
      </w:r>
      <w:r w:rsidR="0039651C">
        <w:rPr>
          <w:rFonts w:ascii="Arial" w:hAnsi="Arial" w:cs="Arial"/>
        </w:rPr>
        <w:t xml:space="preserve"> and argued for source variability</w:t>
      </w:r>
      <w:r w:rsidR="00DB011E" w:rsidRPr="00DB011E">
        <w:rPr>
          <w:rFonts w:ascii="Arial" w:hAnsi="Arial" w:cs="Arial"/>
        </w:rPr>
        <w:t xml:space="preserve">, </w:t>
      </w:r>
      <w:r w:rsidR="007E6F8F" w:rsidRPr="00DB011E">
        <w:rPr>
          <w:rFonts w:ascii="Arial" w:hAnsi="Arial" w:cs="Arial"/>
        </w:rPr>
        <w:t>attributing the difference</w:t>
      </w:r>
      <w:r w:rsidR="000D7994" w:rsidRPr="00DB011E">
        <w:rPr>
          <w:rFonts w:ascii="Arial" w:hAnsi="Arial" w:cs="Arial"/>
        </w:rPr>
        <w:t xml:space="preserve">s </w:t>
      </w:r>
      <w:r w:rsidR="009613AF">
        <w:rPr>
          <w:rFonts w:ascii="Arial" w:hAnsi="Arial" w:cs="Arial"/>
        </w:rPr>
        <w:t xml:space="preserve">in the </w:t>
      </w:r>
      <w:r w:rsidR="009613AF" w:rsidRPr="00DB011E">
        <w:rPr>
          <w:rFonts w:ascii="Arial" w:hAnsi="Arial" w:cs="Arial"/>
        </w:rPr>
        <w:t xml:space="preserve">Dobrogea loess </w:t>
      </w:r>
      <w:r w:rsidR="00DB011E" w:rsidRPr="00DB011E">
        <w:rPr>
          <w:rFonts w:ascii="Arial" w:hAnsi="Arial" w:cs="Arial"/>
        </w:rPr>
        <w:t xml:space="preserve">to </w:t>
      </w:r>
      <w:r w:rsidR="007E6F8F" w:rsidRPr="00DB011E">
        <w:rPr>
          <w:rFonts w:ascii="Arial" w:hAnsi="Arial" w:cs="Arial"/>
        </w:rPr>
        <w:t>inputs</w:t>
      </w:r>
      <w:r w:rsidR="000E7E43" w:rsidRPr="00DB011E">
        <w:rPr>
          <w:rFonts w:ascii="Arial" w:hAnsi="Arial" w:cs="Arial"/>
        </w:rPr>
        <w:t xml:space="preserve"> </w:t>
      </w:r>
      <w:r w:rsidR="007E6F8F" w:rsidRPr="00DB011E">
        <w:rPr>
          <w:rFonts w:ascii="Arial" w:hAnsi="Arial" w:cs="Arial"/>
        </w:rPr>
        <w:t xml:space="preserve">from other large glaciofluvial sources in Ukraine. </w:t>
      </w:r>
      <w:bookmarkStart w:id="18" w:name="_Hlk64901143"/>
      <w:r w:rsidR="00842E15">
        <w:rPr>
          <w:rFonts w:ascii="Arial" w:hAnsi="Arial" w:cs="Arial"/>
        </w:rPr>
        <w:t>Th</w:t>
      </w:r>
      <w:r w:rsidR="00D87EC7">
        <w:rPr>
          <w:rFonts w:ascii="Arial" w:hAnsi="Arial" w:cs="Arial"/>
        </w:rPr>
        <w:t>is</w:t>
      </w:r>
      <w:r w:rsidR="0040234B">
        <w:rPr>
          <w:rFonts w:ascii="Arial" w:hAnsi="Arial" w:cs="Arial"/>
        </w:rPr>
        <w:t xml:space="preserve"> </w:t>
      </w:r>
      <w:r w:rsidR="00842E15">
        <w:rPr>
          <w:rFonts w:ascii="Arial" w:hAnsi="Arial" w:cs="Arial"/>
        </w:rPr>
        <w:t xml:space="preserve">result </w:t>
      </w:r>
      <w:r w:rsidR="0039651C">
        <w:rPr>
          <w:rFonts w:ascii="Arial" w:hAnsi="Arial" w:cs="Arial"/>
        </w:rPr>
        <w:t>wa</w:t>
      </w:r>
      <w:r w:rsidR="0040234B">
        <w:rPr>
          <w:rFonts w:ascii="Arial" w:hAnsi="Arial" w:cs="Arial"/>
        </w:rPr>
        <w:t xml:space="preserve">s </w:t>
      </w:r>
      <w:r w:rsidR="007E6F8F" w:rsidRPr="00DB011E">
        <w:rPr>
          <w:rFonts w:ascii="Arial" w:hAnsi="Arial" w:cs="Arial"/>
        </w:rPr>
        <w:t>further corroborated</w:t>
      </w:r>
      <w:r w:rsidR="00D670B7">
        <w:rPr>
          <w:rFonts w:ascii="Arial" w:hAnsi="Arial" w:cs="Arial"/>
        </w:rPr>
        <w:t xml:space="preserve"> by</w:t>
      </w:r>
      <w:r w:rsidR="00345B71">
        <w:rPr>
          <w:rFonts w:ascii="Arial" w:hAnsi="Arial" w:cs="Arial"/>
        </w:rPr>
        <w:t xml:space="preserve"> </w:t>
      </w:r>
      <w:r w:rsidR="007E6F8F" w:rsidRPr="00DB011E">
        <w:rPr>
          <w:rFonts w:ascii="Arial" w:hAnsi="Arial" w:cs="Arial"/>
        </w:rPr>
        <w:fldChar w:fldCharType="begin" w:fldLock="1"/>
      </w:r>
      <w:r w:rsidR="007E6F8F" w:rsidRPr="00DB011E">
        <w:rPr>
          <w:rFonts w:ascii="Arial" w:hAnsi="Arial" w:cs="Arial"/>
        </w:rPr>
        <w:instrText>ADDIN CSL_CITATION {"citationItems":[{"id":"ITEM-1","itemData":{"DOI":"10.1016/j.quaint.2013.06.008","ISSN":"10406182","author":[{"dropping-particle":"","family":"Jipa","given":"Dan C.","non-dropping-particle":"","parse-names":false,"suffix":""}],"container-title":"Quaternary International","id":"ITEM-1","issued":{"date-parts":[["2014"]]},"note":"Good geomorph re-analysis to create region wide model. Good maps of thickness along and across the Lower Danube. Some suggestions for provenance of the region though based predominantly on very old heavy mineral work. Though this supports the idea that material is mizeed and sourced both from local mountains and Danube's alluvium","page":"14-24","publisher":"Elsevier Ltd and INQUA","title":"The conceptual sedimentary model of the Lower Danube loess basin: Sedimentogenetic implications","type":"article-journal","volume":"351"},"uris":["http://www.mendeley.com/documents/?uuid=a634a6ac-0e8e-4810-90eb-9395e147e0db"]}],"mendeley":{"formattedCitation":"(Jipa, 2014)","manualFormatting":"Jipa's (2014)","plainTextFormattedCitation":"(Jipa, 2014)","previouslyFormattedCitation":"(Jipa, 2014)"},"properties":{"noteIndex":0},"schema":"https://github.com/citation-style-language/schema/raw/master/csl-citation.json"}</w:instrText>
      </w:r>
      <w:r w:rsidR="007E6F8F" w:rsidRPr="00DB011E">
        <w:rPr>
          <w:rFonts w:ascii="Arial" w:hAnsi="Arial" w:cs="Arial"/>
        </w:rPr>
        <w:fldChar w:fldCharType="separate"/>
      </w:r>
      <w:r w:rsidR="007E6F8F" w:rsidRPr="00DB011E">
        <w:rPr>
          <w:rFonts w:ascii="Arial" w:hAnsi="Arial" w:cs="Arial"/>
          <w:noProof/>
        </w:rPr>
        <w:t>Jipa's (2014)</w:t>
      </w:r>
      <w:r w:rsidR="007E6F8F" w:rsidRPr="00DB011E">
        <w:rPr>
          <w:rFonts w:ascii="Arial" w:hAnsi="Arial" w:cs="Arial"/>
        </w:rPr>
        <w:fldChar w:fldCharType="end"/>
      </w:r>
      <w:r w:rsidR="007E6F8F" w:rsidRPr="00DB011E">
        <w:rPr>
          <w:rFonts w:ascii="Arial" w:hAnsi="Arial" w:cs="Arial"/>
        </w:rPr>
        <w:t xml:space="preserve"> Lower Danube sediment transport model</w:t>
      </w:r>
      <w:r w:rsidR="000D7994" w:rsidRPr="00DB011E">
        <w:rPr>
          <w:rFonts w:ascii="Arial" w:hAnsi="Arial" w:cs="Arial"/>
        </w:rPr>
        <w:t>, which</w:t>
      </w:r>
      <w:r w:rsidR="007E6F8F" w:rsidRPr="00DB011E">
        <w:rPr>
          <w:rFonts w:ascii="Arial" w:hAnsi="Arial" w:cs="Arial"/>
        </w:rPr>
        <w:t xml:space="preserve"> </w:t>
      </w:r>
      <w:r w:rsidR="0039651C">
        <w:rPr>
          <w:rFonts w:ascii="Arial" w:hAnsi="Arial" w:cs="Arial"/>
        </w:rPr>
        <w:t xml:space="preserve">indicated </w:t>
      </w:r>
      <w:r w:rsidR="007E6F8F" w:rsidRPr="00DB011E">
        <w:rPr>
          <w:rFonts w:ascii="Arial" w:hAnsi="Arial" w:cs="Arial"/>
        </w:rPr>
        <w:t xml:space="preserve">that despite </w:t>
      </w:r>
      <w:r w:rsidR="00D34AAC" w:rsidRPr="00DB011E">
        <w:rPr>
          <w:rFonts w:ascii="Arial" w:hAnsi="Arial" w:cs="Arial"/>
        </w:rPr>
        <w:t>similarities,</w:t>
      </w:r>
      <w:r w:rsidR="007E6F8F" w:rsidRPr="00DB011E">
        <w:rPr>
          <w:rFonts w:ascii="Arial" w:hAnsi="Arial" w:cs="Arial"/>
        </w:rPr>
        <w:t xml:space="preserve"> </w:t>
      </w:r>
      <w:r w:rsidR="000D7994" w:rsidRPr="00DB011E">
        <w:rPr>
          <w:rFonts w:ascii="Arial" w:hAnsi="Arial" w:cs="Arial"/>
        </w:rPr>
        <w:t xml:space="preserve">source </w:t>
      </w:r>
      <w:r w:rsidR="007E6F8F" w:rsidRPr="00DB011E">
        <w:rPr>
          <w:rFonts w:ascii="Arial" w:hAnsi="Arial" w:cs="Arial"/>
        </w:rPr>
        <w:t>variation</w:t>
      </w:r>
      <w:r w:rsidR="00DB011E" w:rsidRPr="00DB011E">
        <w:rPr>
          <w:rFonts w:ascii="Arial" w:hAnsi="Arial" w:cs="Arial"/>
        </w:rPr>
        <w:t xml:space="preserve"> between sites in Bulgaria and Romania could be observed and attributed to inputs from different tributaries and therefore </w:t>
      </w:r>
      <w:r w:rsidR="00987B60">
        <w:rPr>
          <w:rFonts w:ascii="Arial" w:hAnsi="Arial" w:cs="Arial"/>
        </w:rPr>
        <w:t xml:space="preserve">laterally </w:t>
      </w:r>
      <w:r w:rsidR="00DB011E" w:rsidRPr="00DB011E">
        <w:rPr>
          <w:rFonts w:ascii="Arial" w:hAnsi="Arial" w:cs="Arial"/>
        </w:rPr>
        <w:t xml:space="preserve">changing geologies. </w:t>
      </w:r>
      <w:bookmarkEnd w:id="18"/>
      <w:r w:rsidR="00987B60">
        <w:rPr>
          <w:rFonts w:ascii="Arial" w:hAnsi="Arial" w:cs="Arial"/>
        </w:rPr>
        <w:t xml:space="preserve">Recent </w:t>
      </w:r>
      <w:r w:rsidR="00A26462">
        <w:rPr>
          <w:rFonts w:ascii="Arial" w:hAnsi="Arial" w:cs="Arial"/>
        </w:rPr>
        <w:t xml:space="preserve">bulk sample XRF analysis of the Lower Danubian loess </w:t>
      </w:r>
      <w:r w:rsidR="00987B60">
        <w:rPr>
          <w:rFonts w:ascii="Arial" w:hAnsi="Arial" w:cs="Arial"/>
        </w:rPr>
        <w:t>by P</w:t>
      </w:r>
      <w:r w:rsidR="00987B60" w:rsidRPr="006401EC">
        <w:rPr>
          <w:rFonts w:ascii="Arial" w:hAnsi="Arial" w:cs="Arial"/>
        </w:rPr>
        <w:t>ö</w:t>
      </w:r>
      <w:r w:rsidR="00987B60">
        <w:rPr>
          <w:rFonts w:ascii="Arial" w:hAnsi="Arial" w:cs="Arial"/>
        </w:rPr>
        <w:t xml:space="preserve">tter et al. (2021) </w:t>
      </w:r>
      <w:r w:rsidR="00A26462">
        <w:rPr>
          <w:rFonts w:ascii="Arial" w:hAnsi="Arial" w:cs="Arial"/>
        </w:rPr>
        <w:t xml:space="preserve">showed that while local contributions can be discerned in loess records further from the Danube, the majority of the loess geochemical signal follows a consistent pattern corresponding to the Danube alluvium. </w:t>
      </w:r>
    </w:p>
    <w:p w14:paraId="6919F411" w14:textId="17670F7E" w:rsidR="007E6F8F" w:rsidRDefault="00A26462" w:rsidP="00614941">
      <w:pPr>
        <w:spacing w:before="120" w:after="120" w:line="480" w:lineRule="auto"/>
        <w:jc w:val="both"/>
        <w:rPr>
          <w:rFonts w:ascii="Arial" w:hAnsi="Arial" w:cs="Arial"/>
        </w:rPr>
      </w:pPr>
      <w:r>
        <w:rPr>
          <w:rFonts w:ascii="Arial" w:hAnsi="Arial" w:cs="Arial"/>
        </w:rPr>
        <w:t>Consequently</w:t>
      </w:r>
      <w:r w:rsidR="007E6F8F">
        <w:rPr>
          <w:rFonts w:ascii="Arial" w:hAnsi="Arial" w:cs="Arial"/>
        </w:rPr>
        <w:t xml:space="preserve">, source homogeneity across a region </w:t>
      </w:r>
      <w:r w:rsidR="00B2557B">
        <w:rPr>
          <w:rFonts w:ascii="Arial" w:hAnsi="Arial" w:cs="Arial"/>
        </w:rPr>
        <w:t xml:space="preserve">as </w:t>
      </w:r>
      <w:r w:rsidR="004F0BBF">
        <w:rPr>
          <w:rFonts w:ascii="Arial" w:hAnsi="Arial" w:cs="Arial"/>
        </w:rPr>
        <w:t xml:space="preserve">large </w:t>
      </w:r>
      <w:r w:rsidR="00640F42">
        <w:rPr>
          <w:rFonts w:ascii="Arial" w:hAnsi="Arial" w:cs="Arial"/>
        </w:rPr>
        <w:t xml:space="preserve">as </w:t>
      </w:r>
      <w:r w:rsidR="00B2557B">
        <w:rPr>
          <w:rFonts w:ascii="Arial" w:hAnsi="Arial" w:cs="Arial"/>
        </w:rPr>
        <w:t xml:space="preserve">the </w:t>
      </w:r>
      <w:r>
        <w:rPr>
          <w:rFonts w:ascii="Arial" w:hAnsi="Arial" w:cs="Arial"/>
        </w:rPr>
        <w:t xml:space="preserve">entire </w:t>
      </w:r>
      <w:r w:rsidR="00B2557B">
        <w:rPr>
          <w:rFonts w:ascii="Arial" w:hAnsi="Arial" w:cs="Arial"/>
        </w:rPr>
        <w:t xml:space="preserve">Danube Basin </w:t>
      </w:r>
      <w:r w:rsidR="007E6F8F">
        <w:rPr>
          <w:rFonts w:ascii="Arial" w:hAnsi="Arial" w:cs="Arial"/>
        </w:rPr>
        <w:t xml:space="preserve">would suggest </w:t>
      </w:r>
      <w:r w:rsidR="008A5BBB">
        <w:rPr>
          <w:rFonts w:ascii="Arial" w:hAnsi="Arial" w:cs="Arial"/>
        </w:rPr>
        <w:t xml:space="preserve">that </w:t>
      </w:r>
      <w:r w:rsidR="007E6F8F">
        <w:rPr>
          <w:rFonts w:ascii="Arial" w:hAnsi="Arial" w:cs="Arial"/>
        </w:rPr>
        <w:t xml:space="preserve">either there is one dominant </w:t>
      </w:r>
      <w:r w:rsidR="00640F42">
        <w:rPr>
          <w:rFonts w:ascii="Arial" w:hAnsi="Arial" w:cs="Arial"/>
        </w:rPr>
        <w:t xml:space="preserve">sediment </w:t>
      </w:r>
      <w:r w:rsidR="007E6F8F">
        <w:rPr>
          <w:rFonts w:ascii="Arial" w:hAnsi="Arial" w:cs="Arial"/>
        </w:rPr>
        <w:t>source contributing to the region</w:t>
      </w:r>
      <w:r w:rsidR="004F0BBF">
        <w:rPr>
          <w:rFonts w:ascii="Arial" w:hAnsi="Arial" w:cs="Arial"/>
        </w:rPr>
        <w:t xml:space="preserve"> and supressing other signatures</w:t>
      </w:r>
      <w:r w:rsidR="007E6F8F">
        <w:rPr>
          <w:rFonts w:ascii="Arial" w:hAnsi="Arial" w:cs="Arial"/>
        </w:rPr>
        <w:t>, or large scale sediment mixing is taking place</w:t>
      </w:r>
      <w:r w:rsidR="00D87EC7">
        <w:rPr>
          <w:rFonts w:ascii="Arial" w:hAnsi="Arial" w:cs="Arial"/>
        </w:rPr>
        <w:t>,</w:t>
      </w:r>
      <w:r w:rsidR="007E6F8F">
        <w:rPr>
          <w:rFonts w:ascii="Arial" w:hAnsi="Arial" w:cs="Arial"/>
        </w:rPr>
        <w:t xml:space="preserve"> </w:t>
      </w:r>
      <w:r w:rsidR="008A5BBB">
        <w:rPr>
          <w:rFonts w:ascii="Arial" w:hAnsi="Arial" w:cs="Arial"/>
        </w:rPr>
        <w:t>which</w:t>
      </w:r>
      <w:r w:rsidR="007E6F8F">
        <w:rPr>
          <w:rFonts w:ascii="Arial" w:hAnsi="Arial" w:cs="Arial"/>
        </w:rPr>
        <w:t xml:space="preserve"> provides an “averaged” homogenous provenance signal in all deposits. </w:t>
      </w:r>
      <w:r w:rsidR="007E6F8F" w:rsidRPr="004043FB">
        <w:rPr>
          <w:rFonts w:ascii="Arial" w:hAnsi="Arial" w:cs="Arial"/>
        </w:rPr>
        <w:fldChar w:fldCharType="begin" w:fldLock="1"/>
      </w:r>
      <w:r w:rsidR="007E6F8F">
        <w:rPr>
          <w:rFonts w:ascii="Arial" w:hAnsi="Arial" w:cs="Arial"/>
        </w:rPr>
        <w:instrText>ADDIN CSL_CITATION {"citationItems":[{"id":"ITEM-1","itemData":{"DOI":"10.1016/j.yqres.2008.02.001","ISBN":"0033-5894","ISSN":"00335894","abstract":"Loess geochemistry generally reflects paleo-weathering conditions and it can be used to determine the average composition of the upper continental crust (UCC). In this study, major and trace element concentrations were analyzed on loess samples from southwestern Hungary to determine the factors influencing their chemical compositions and to propose new average loess compositions. All studied loess samples had nearly uniform chemical composition, suggesting similar alteration history of these deposits. Chemical Index of Alteration values (58-69) suggested a weak to moderate degree of weathering in a felsic source area. Typical non-steady state weathering conditions were shown on the Al2O3-CaO + Na2O-K2O patterns, indicating active tectonism of the Alpine-Carpathian system during the Pleistocene. Whole-rock element budgets were controlled by heavy minerals derived from a felsic magmatic or reworked sedimentary provenance. Geochemical parameters indicated that dust particles must have been recycled and well homogenized during fluvial and eolian transport processes. © 2008 University of Washington.","author":[{"dropping-particle":"","family":"Újvári","given":"Gábor","non-dropping-particle":"","parse-names":false,"suffix":""},{"dropping-particle":"","family":"Varga","given":"Andrea","non-dropping-particle":"","parse-names":false,"suffix":""},{"dropping-particle":"","family":"Balogh-Brunstad","given":"Zsuzsanna","non-dropping-particle":"","parse-names":false,"suffix":""}],"container-title":"Quaternary Research","id":"ITEM-1","issued":{"date-parts":[["2008"]]},"page":"421-437","title":"Origin, weathering, and geochemical composition of loess in southwestern Hungary","type":"article-journal","volume":"69"},"uris":["http://www.mendeley.com/documents/?uuid=afc5a18e-4f68-40cc-856d-2e4620dca8ee"]}],"mendeley":{"formattedCitation":"(Újvári et al., 2008)","manualFormatting":"Újvári et al. (2008)","plainTextFormattedCitation":"(Újvári et al., 2008)","previouslyFormattedCitation":"(Újvári et al., 2008)"},"properties":{"noteIndex":0},"schema":"https://github.com/citation-style-language/schema/raw/master/csl-citation.json"}</w:instrText>
      </w:r>
      <w:r w:rsidR="007E6F8F" w:rsidRPr="004043FB">
        <w:rPr>
          <w:rFonts w:ascii="Arial" w:hAnsi="Arial" w:cs="Arial"/>
        </w:rPr>
        <w:fldChar w:fldCharType="separate"/>
      </w:r>
      <w:r w:rsidR="007E6F8F" w:rsidRPr="004043FB">
        <w:rPr>
          <w:rFonts w:ascii="Arial" w:hAnsi="Arial" w:cs="Arial"/>
          <w:noProof/>
        </w:rPr>
        <w:t xml:space="preserve">Újvári </w:t>
      </w:r>
      <w:r w:rsidR="007E6F8F" w:rsidRPr="004043FB">
        <w:rPr>
          <w:rFonts w:ascii="Arial" w:hAnsi="Arial" w:cs="Arial"/>
          <w:i/>
          <w:iCs/>
          <w:noProof/>
        </w:rPr>
        <w:t>et al</w:t>
      </w:r>
      <w:r w:rsidR="007E6F8F" w:rsidRPr="004043FB">
        <w:rPr>
          <w:rFonts w:ascii="Arial" w:hAnsi="Arial" w:cs="Arial"/>
          <w:noProof/>
        </w:rPr>
        <w:t>. (2008)</w:t>
      </w:r>
      <w:r w:rsidR="007E6F8F" w:rsidRPr="004043FB">
        <w:rPr>
          <w:rFonts w:ascii="Arial" w:hAnsi="Arial" w:cs="Arial"/>
        </w:rPr>
        <w:fldChar w:fldCharType="end"/>
      </w:r>
      <w:r w:rsidR="007E6F8F" w:rsidRPr="004043FB">
        <w:rPr>
          <w:rFonts w:ascii="Arial" w:hAnsi="Arial" w:cs="Arial"/>
        </w:rPr>
        <w:t xml:space="preserve"> supported </w:t>
      </w:r>
      <w:r w:rsidR="003F7D39">
        <w:rPr>
          <w:rFonts w:ascii="Arial" w:hAnsi="Arial" w:cs="Arial"/>
        </w:rPr>
        <w:t xml:space="preserve">this </w:t>
      </w:r>
      <w:r>
        <w:rPr>
          <w:rFonts w:ascii="Arial" w:hAnsi="Arial" w:cs="Arial"/>
        </w:rPr>
        <w:t xml:space="preserve">latter </w:t>
      </w:r>
      <w:r w:rsidR="00B2557B">
        <w:rPr>
          <w:rFonts w:ascii="Arial" w:hAnsi="Arial" w:cs="Arial"/>
        </w:rPr>
        <w:t>idea</w:t>
      </w:r>
      <w:r w:rsidR="007E6F8F" w:rsidRPr="004043FB">
        <w:rPr>
          <w:rFonts w:ascii="Arial" w:hAnsi="Arial" w:cs="Arial"/>
        </w:rPr>
        <w:t xml:space="preserve">, showing bulk sample geochemical </w:t>
      </w:r>
      <w:r w:rsidR="007E6F8F">
        <w:rPr>
          <w:rFonts w:ascii="Arial" w:hAnsi="Arial" w:cs="Arial"/>
        </w:rPr>
        <w:t>uniformity</w:t>
      </w:r>
      <w:r w:rsidR="007E6F8F" w:rsidRPr="004043FB">
        <w:rPr>
          <w:rFonts w:ascii="Arial" w:hAnsi="Arial" w:cs="Arial"/>
        </w:rPr>
        <w:t xml:space="preserve"> between numerous loess-palaeosol profiles across southwestern Hungary.</w:t>
      </w:r>
      <w:r w:rsidR="007E6F8F">
        <w:rPr>
          <w:rFonts w:ascii="Arial" w:hAnsi="Arial" w:cs="Arial"/>
        </w:rPr>
        <w:t xml:space="preserve"> </w:t>
      </w:r>
      <w:r w:rsidR="003F7D39" w:rsidRPr="004043FB">
        <w:rPr>
          <w:rFonts w:ascii="Arial" w:hAnsi="Arial" w:cs="Arial"/>
        </w:rPr>
        <w:fldChar w:fldCharType="begin" w:fldLock="1"/>
      </w:r>
      <w:r w:rsidR="00AE6272">
        <w:rPr>
          <w:rFonts w:ascii="Arial" w:hAnsi="Arial" w:cs="Arial"/>
        </w:rPr>
        <w:instrText>ADDIN CSL_CITATION {"citationItems":[{"id":"ITEM-1","itemData":{"DOI":"10.1515/geo-2015-0048","ISSN":"2391-5447","abstract":"There are several competing hypotheses for the origin of loess in Europe but quantitative evidence is still rare. Here, Sr-Nd isotopic and bulk elemental composition of loess from Marine Isotope Stages 2 and 3 from three study regions in Central Europe – Nussloch (Germany), Grub (Austria) and Tokaj (Hungary) - are analyzed. This study aims at examining differences and similarities of loess deposits throughout Europe, correlating loess with potential source rocks from major mountain ranges and comparing loess with floodplain sediments from main rivers as integrated samples of the drainage areas. The results show that European loess deposits are largely uniform and that sediment sources have been rather stable in the Southern and Eastern parts of Central Europe and more variable in West Central Europe. However, the methods used are not sufficient to unequivocally confirm and reject potential sediment sources but, in combination, help to identify the most likely sediment origins. While a direct correlation of loess and potential source rocks is dif- ficult, the comparison with floodplain sediments is most promising and confirms previous hypotheses. Loess from Tokaj and Grub is most likely a mix of material transported by the Danube River and sediments from the surrounding mountains. Rhine River sediments are probably the main source of loess at Nussloch.","author":[{"dropping-particle":"","family":"Schatz","given":"Ann-Kathrin","non-dropping-particle":"","parse-names":false,"suffix":""},{"dropping-particle":"","family":"Qi","given":"Yue","non-dropping-particle":"","parse-names":false,"suffix":""},{"dropping-particle":"","family":"Siebel","given":"Wolfgang","non-dropping-particle":"","parse-names":false,"suffix":""},{"dropping-particle":"","family":"Wu","given":"Jiade","non-dropping-particle":"","parse-names":false,"suffix":""},{"dropping-particle":"","family":"Zöller","given":"Ludwig","non-dropping-particle":"","parse-names":false,"suffix":""}],"container-title":"Open Geosciences","id":"ITEM-1","issue":"1","issued":{"date-parts":[["2015"]]},"page":"678-720","title":"Tracking potential source areas of Central European loess: examples from Tokaj (HU), Nussloch (D) and Grub (AT)","type":"article-journal","volume":"7"},"uris":["http://www.mendeley.com/documents/?uuid=a0030f70-30b4-4a17-a600-2fcf3134248a"]}],"mendeley":{"formattedCitation":"(Schatz et al., 2015)","manualFormatting":"Schatz et al. (2015)","plainTextFormattedCitation":"(Schatz et al., 2015)","previouslyFormattedCitation":"(Schatz et al., 2015)"},"properties":{"noteIndex":0},"schema":"https://github.com/citation-style-language/schema/raw/master/csl-citation.json"}</w:instrText>
      </w:r>
      <w:r w:rsidR="003F7D39" w:rsidRPr="004043FB">
        <w:rPr>
          <w:rFonts w:ascii="Arial" w:hAnsi="Arial" w:cs="Arial"/>
        </w:rPr>
        <w:fldChar w:fldCharType="separate"/>
      </w:r>
      <w:r w:rsidR="003F7D39" w:rsidRPr="008612C3">
        <w:rPr>
          <w:rFonts w:ascii="Arial" w:hAnsi="Arial" w:cs="Arial"/>
          <w:noProof/>
        </w:rPr>
        <w:t xml:space="preserve">Schatz et al. </w:t>
      </w:r>
      <w:r w:rsidR="003F7D39">
        <w:rPr>
          <w:rFonts w:ascii="Arial" w:hAnsi="Arial" w:cs="Arial"/>
          <w:noProof/>
        </w:rPr>
        <w:t>(</w:t>
      </w:r>
      <w:r w:rsidR="003F7D39" w:rsidRPr="008612C3">
        <w:rPr>
          <w:rFonts w:ascii="Arial" w:hAnsi="Arial" w:cs="Arial"/>
          <w:noProof/>
        </w:rPr>
        <w:t>2015)</w:t>
      </w:r>
      <w:r w:rsidR="003F7D39" w:rsidRPr="004043FB">
        <w:rPr>
          <w:rFonts w:ascii="Arial" w:hAnsi="Arial" w:cs="Arial"/>
        </w:rPr>
        <w:fldChar w:fldCharType="end"/>
      </w:r>
      <w:r w:rsidR="007E6F8F" w:rsidRPr="004043FB">
        <w:rPr>
          <w:rFonts w:ascii="Arial" w:hAnsi="Arial" w:cs="Arial"/>
        </w:rPr>
        <w:t xml:space="preserve"> </w:t>
      </w:r>
      <w:r w:rsidR="003F7D39">
        <w:rPr>
          <w:rFonts w:ascii="Arial" w:hAnsi="Arial" w:cs="Arial"/>
        </w:rPr>
        <w:t xml:space="preserve">also argued for sediment homogeneity of loess in Tokaj, Hungary (Pannonian Basin) and Grub, Austria (Vienna Basin) based on </w:t>
      </w:r>
      <w:r w:rsidR="007E6F8F" w:rsidRPr="004043FB">
        <w:rPr>
          <w:rFonts w:ascii="Arial" w:hAnsi="Arial" w:cs="Arial"/>
        </w:rPr>
        <w:t xml:space="preserve">bulk sediment </w:t>
      </w:r>
      <w:r w:rsidR="003F7D39">
        <w:rPr>
          <w:rFonts w:ascii="Arial" w:hAnsi="Arial" w:cs="Arial"/>
        </w:rPr>
        <w:t xml:space="preserve">elemental </w:t>
      </w:r>
      <w:r w:rsidR="007E6F8F" w:rsidRPr="004043FB">
        <w:rPr>
          <w:rFonts w:ascii="Arial" w:hAnsi="Arial" w:cs="Arial"/>
        </w:rPr>
        <w:t>and isotopic</w:t>
      </w:r>
      <w:r w:rsidR="003F7D39">
        <w:rPr>
          <w:rFonts w:ascii="Arial" w:hAnsi="Arial" w:cs="Arial"/>
        </w:rPr>
        <w:t xml:space="preserve"> composition</w:t>
      </w:r>
      <w:r w:rsidR="007E6F8F">
        <w:rPr>
          <w:rFonts w:ascii="Arial" w:hAnsi="Arial" w:cs="Arial"/>
        </w:rPr>
        <w:t xml:space="preserve">. </w:t>
      </w:r>
      <w:bookmarkStart w:id="19" w:name="_Hlk64901845"/>
      <w:bookmarkStart w:id="20" w:name="_Hlk75354335"/>
      <w:r w:rsidR="007E6F8F" w:rsidRPr="00B04530">
        <w:rPr>
          <w:rFonts w:ascii="Arial" w:hAnsi="Arial" w:cs="Arial"/>
        </w:rPr>
        <w:t xml:space="preserve">However, </w:t>
      </w:r>
      <w:r w:rsidR="00832E12">
        <w:rPr>
          <w:rFonts w:ascii="Arial" w:hAnsi="Arial" w:cs="Arial"/>
        </w:rPr>
        <w:t xml:space="preserve">as the former is located </w:t>
      </w:r>
      <w:r w:rsidR="00D670B7">
        <w:rPr>
          <w:rFonts w:ascii="Arial" w:hAnsi="Arial" w:cs="Arial"/>
        </w:rPr>
        <w:t xml:space="preserve">in </w:t>
      </w:r>
      <w:r w:rsidR="00832E12">
        <w:rPr>
          <w:rFonts w:ascii="Arial" w:hAnsi="Arial" w:cs="Arial"/>
        </w:rPr>
        <w:t>t</w:t>
      </w:r>
      <w:r w:rsidR="00832E12" w:rsidRPr="00832E12">
        <w:rPr>
          <w:rFonts w:ascii="Arial" w:hAnsi="Arial" w:cs="Arial"/>
        </w:rPr>
        <w:t xml:space="preserve">he </w:t>
      </w:r>
      <w:r w:rsidR="00832E12">
        <w:rPr>
          <w:rFonts w:ascii="Arial" w:hAnsi="Arial" w:cs="Arial"/>
        </w:rPr>
        <w:t xml:space="preserve">foothills of the </w:t>
      </w:r>
      <w:r w:rsidR="00832E12" w:rsidRPr="00832E12">
        <w:rPr>
          <w:rFonts w:ascii="Arial" w:hAnsi="Arial" w:cs="Arial"/>
        </w:rPr>
        <w:t>North Hungarian Mountains</w:t>
      </w:r>
      <w:r w:rsidR="00832E12">
        <w:rPr>
          <w:rFonts w:ascii="Arial" w:hAnsi="Arial" w:cs="Arial"/>
        </w:rPr>
        <w:t xml:space="preserve"> (West Carpathians) and the la</w:t>
      </w:r>
      <w:r w:rsidR="002036E7">
        <w:rPr>
          <w:rFonts w:ascii="Arial" w:hAnsi="Arial" w:cs="Arial"/>
        </w:rPr>
        <w:t>t</w:t>
      </w:r>
      <w:r w:rsidR="00832E12">
        <w:rPr>
          <w:rFonts w:ascii="Arial" w:hAnsi="Arial" w:cs="Arial"/>
        </w:rPr>
        <w:t>ter in the foothills of the Alps</w:t>
      </w:r>
      <w:r w:rsidR="007E6F8F" w:rsidRPr="00B04530">
        <w:rPr>
          <w:rFonts w:ascii="Arial" w:hAnsi="Arial" w:cs="Arial"/>
        </w:rPr>
        <w:t xml:space="preserve">, </w:t>
      </w:r>
      <w:r w:rsidR="007E6F8F">
        <w:rPr>
          <w:rFonts w:ascii="Arial" w:hAnsi="Arial" w:cs="Arial"/>
        </w:rPr>
        <w:t>it is</w:t>
      </w:r>
      <w:r w:rsidR="007E6F8F" w:rsidRPr="00B04530">
        <w:rPr>
          <w:rFonts w:ascii="Arial" w:hAnsi="Arial" w:cs="Arial"/>
        </w:rPr>
        <w:t xml:space="preserve"> </w:t>
      </w:r>
      <w:r w:rsidR="00912A3E">
        <w:rPr>
          <w:rFonts w:ascii="Arial" w:hAnsi="Arial" w:cs="Arial"/>
        </w:rPr>
        <w:t xml:space="preserve">unlikely </w:t>
      </w:r>
      <w:r w:rsidR="007E6F8F" w:rsidRPr="00B04530">
        <w:rPr>
          <w:rFonts w:ascii="Arial" w:hAnsi="Arial" w:cs="Arial"/>
        </w:rPr>
        <w:t>that these sites</w:t>
      </w:r>
      <w:r w:rsidR="00345B71">
        <w:rPr>
          <w:rFonts w:ascii="Arial" w:hAnsi="Arial" w:cs="Arial"/>
        </w:rPr>
        <w:t xml:space="preserve"> </w:t>
      </w:r>
      <w:r w:rsidR="007E6F8F" w:rsidRPr="00B04530">
        <w:rPr>
          <w:rFonts w:ascii="Arial" w:hAnsi="Arial" w:cs="Arial"/>
        </w:rPr>
        <w:t xml:space="preserve">share </w:t>
      </w:r>
      <w:r w:rsidR="00743B26">
        <w:rPr>
          <w:rFonts w:ascii="Arial" w:hAnsi="Arial" w:cs="Arial"/>
        </w:rPr>
        <w:t>primary</w:t>
      </w:r>
      <w:r w:rsidR="0040234B">
        <w:rPr>
          <w:rFonts w:ascii="Arial" w:hAnsi="Arial" w:cs="Arial"/>
        </w:rPr>
        <w:t xml:space="preserve"> </w:t>
      </w:r>
      <w:r w:rsidR="007E6F8F" w:rsidRPr="00B04530">
        <w:rPr>
          <w:rFonts w:ascii="Arial" w:hAnsi="Arial" w:cs="Arial"/>
        </w:rPr>
        <w:t>sources</w:t>
      </w:r>
      <w:r w:rsidR="00B2557B">
        <w:rPr>
          <w:rFonts w:ascii="Arial" w:hAnsi="Arial" w:cs="Arial"/>
        </w:rPr>
        <w:t>, but rather that</w:t>
      </w:r>
      <w:r w:rsidR="002036E7">
        <w:rPr>
          <w:rFonts w:ascii="Arial" w:hAnsi="Arial" w:cs="Arial"/>
        </w:rPr>
        <w:t xml:space="preserve"> their respective</w:t>
      </w:r>
      <w:r w:rsidR="007E6F8F">
        <w:rPr>
          <w:rFonts w:ascii="Arial" w:hAnsi="Arial" w:cs="Arial"/>
        </w:rPr>
        <w:t xml:space="preserve"> source rocks have similar composition</w:t>
      </w:r>
      <w:r w:rsidR="002036E7">
        <w:rPr>
          <w:rFonts w:ascii="Arial" w:hAnsi="Arial" w:cs="Arial"/>
        </w:rPr>
        <w:t>s</w:t>
      </w:r>
      <w:r w:rsidR="00B2557B">
        <w:rPr>
          <w:rFonts w:ascii="Arial" w:hAnsi="Arial" w:cs="Arial"/>
        </w:rPr>
        <w:t>,</w:t>
      </w:r>
      <w:r w:rsidR="007E6F8F">
        <w:rPr>
          <w:rFonts w:ascii="Arial" w:hAnsi="Arial" w:cs="Arial"/>
        </w:rPr>
        <w:t xml:space="preserve"> which bulk sample geochemistry is not able to separate</w:t>
      </w:r>
      <w:bookmarkEnd w:id="19"/>
      <w:r w:rsidR="007E6F8F">
        <w:rPr>
          <w:rFonts w:ascii="Arial" w:hAnsi="Arial" w:cs="Arial"/>
        </w:rPr>
        <w:t xml:space="preserve">. </w:t>
      </w:r>
      <w:bookmarkEnd w:id="20"/>
      <w:r w:rsidR="007E6F8F">
        <w:rPr>
          <w:rFonts w:ascii="Arial" w:hAnsi="Arial" w:cs="Arial"/>
        </w:rPr>
        <w:t xml:space="preserve">Additionally, the </w:t>
      </w:r>
      <w:r w:rsidR="00B2557B">
        <w:rPr>
          <w:rFonts w:ascii="Arial" w:hAnsi="Arial" w:cs="Arial"/>
        </w:rPr>
        <w:t xml:space="preserve">hypothesis of </w:t>
      </w:r>
      <w:r w:rsidR="007E6F8F">
        <w:rPr>
          <w:rFonts w:ascii="Arial" w:hAnsi="Arial" w:cs="Arial"/>
        </w:rPr>
        <w:t>multiple source</w:t>
      </w:r>
      <w:r w:rsidR="00B2557B">
        <w:rPr>
          <w:rFonts w:ascii="Arial" w:hAnsi="Arial" w:cs="Arial"/>
        </w:rPr>
        <w:t>s implies</w:t>
      </w:r>
      <w:r w:rsidR="008A5BBB">
        <w:rPr>
          <w:rFonts w:ascii="Arial" w:hAnsi="Arial" w:cs="Arial"/>
        </w:rPr>
        <w:t xml:space="preserve"> </w:t>
      </w:r>
      <w:r w:rsidR="007E6F8F" w:rsidRPr="004043FB">
        <w:rPr>
          <w:rFonts w:ascii="Arial" w:hAnsi="Arial" w:cs="Arial"/>
        </w:rPr>
        <w:t xml:space="preserve">there could be </w:t>
      </w:r>
      <w:r w:rsidR="00B2557B">
        <w:rPr>
          <w:rFonts w:ascii="Arial" w:hAnsi="Arial" w:cs="Arial"/>
        </w:rPr>
        <w:t>numerous</w:t>
      </w:r>
      <w:r w:rsidR="007E6F8F" w:rsidRPr="004043FB">
        <w:rPr>
          <w:rFonts w:ascii="Arial" w:hAnsi="Arial" w:cs="Arial"/>
        </w:rPr>
        <w:t xml:space="preserve"> end</w:t>
      </w:r>
      <w:r w:rsidR="00B762F9">
        <w:rPr>
          <w:rFonts w:ascii="Arial" w:hAnsi="Arial" w:cs="Arial"/>
        </w:rPr>
        <w:t>-</w:t>
      </w:r>
      <w:r w:rsidR="007E6F8F" w:rsidRPr="004043FB">
        <w:rPr>
          <w:rFonts w:ascii="Arial" w:hAnsi="Arial" w:cs="Arial"/>
        </w:rPr>
        <w:t>members for each given site that either contribute equally or are found on a mixing line</w:t>
      </w:r>
      <w:r w:rsidR="007E6F8F">
        <w:rPr>
          <w:rFonts w:ascii="Arial" w:hAnsi="Arial" w:cs="Arial"/>
        </w:rPr>
        <w:t xml:space="preserve">. </w:t>
      </w:r>
      <w:bookmarkStart w:id="21" w:name="_Hlk75354369"/>
      <w:bookmarkStart w:id="22" w:name="_Hlk64902123"/>
      <w:r w:rsidR="00D65F3D">
        <w:rPr>
          <w:rFonts w:ascii="Arial" w:hAnsi="Arial" w:cs="Arial"/>
        </w:rPr>
        <w:t>Loess b</w:t>
      </w:r>
      <w:r w:rsidR="007E6F8F">
        <w:rPr>
          <w:rFonts w:ascii="Arial" w:hAnsi="Arial" w:cs="Arial"/>
        </w:rPr>
        <w:t xml:space="preserve">ulk sample geochemistry may </w:t>
      </w:r>
      <w:r w:rsidR="00151E00">
        <w:rPr>
          <w:rFonts w:ascii="Arial" w:hAnsi="Arial" w:cs="Arial"/>
        </w:rPr>
        <w:t xml:space="preserve">therefore </w:t>
      </w:r>
      <w:r w:rsidR="007E6F8F">
        <w:rPr>
          <w:rFonts w:ascii="Arial" w:hAnsi="Arial" w:cs="Arial"/>
        </w:rPr>
        <w:t xml:space="preserve">not be an appropriate methodological approach </w:t>
      </w:r>
      <w:r w:rsidR="003217C9">
        <w:rPr>
          <w:rFonts w:ascii="Arial" w:hAnsi="Arial" w:cs="Arial"/>
        </w:rPr>
        <w:t xml:space="preserve">for </w:t>
      </w:r>
      <w:r>
        <w:rPr>
          <w:rFonts w:ascii="Arial" w:hAnsi="Arial" w:cs="Arial"/>
        </w:rPr>
        <w:t xml:space="preserve">identifying sources of sediments </w:t>
      </w:r>
      <w:r w:rsidR="00F72EC8">
        <w:rPr>
          <w:rFonts w:ascii="Arial" w:hAnsi="Arial" w:cs="Arial"/>
        </w:rPr>
        <w:t xml:space="preserve">that </w:t>
      </w:r>
      <w:r>
        <w:rPr>
          <w:rFonts w:ascii="Arial" w:hAnsi="Arial" w:cs="Arial"/>
        </w:rPr>
        <w:t>are</w:t>
      </w:r>
      <w:r w:rsidR="00F72EC8">
        <w:rPr>
          <w:rFonts w:ascii="Arial" w:hAnsi="Arial" w:cs="Arial"/>
        </w:rPr>
        <w:t xml:space="preserve"> typically well </w:t>
      </w:r>
      <w:r w:rsidR="003217C9">
        <w:rPr>
          <w:rFonts w:ascii="Arial" w:hAnsi="Arial" w:cs="Arial"/>
        </w:rPr>
        <w:t xml:space="preserve">mixed </w:t>
      </w:r>
      <w:r w:rsidR="007E6F8F">
        <w:rPr>
          <w:rFonts w:ascii="Arial" w:hAnsi="Arial" w:cs="Arial"/>
        </w:rPr>
        <w:t>as discussed by</w:t>
      </w:r>
      <w:r w:rsidR="003D2F93">
        <w:rPr>
          <w:rFonts w:ascii="Arial" w:hAnsi="Arial" w:cs="Arial"/>
        </w:rPr>
        <w:t>,</w:t>
      </w:r>
      <w:r w:rsidR="007E6F8F">
        <w:rPr>
          <w:rFonts w:ascii="Arial" w:hAnsi="Arial" w:cs="Arial"/>
        </w:rPr>
        <w:t xml:space="preserve"> e.g. </w:t>
      </w:r>
      <w:r w:rsidR="007E6F8F">
        <w:rPr>
          <w:rFonts w:ascii="Arial" w:hAnsi="Arial" w:cs="Arial"/>
        </w:rPr>
        <w:fldChar w:fldCharType="begin" w:fldLock="1"/>
      </w:r>
      <w:r w:rsidR="00743B26">
        <w:rPr>
          <w:rFonts w:ascii="Arial" w:hAnsi="Arial" w:cs="Arial"/>
        </w:rPr>
        <w:instrText>ADDIN CSL_CITATION {"citationItems":[{"id":"ITEM-1","itemData":{"DOI":"10.1130/B30102.1","ISBN":"0016-7606","ISSN":"0016-7606","abstract":"Chinese loess is regarded as one of the most detailed and long-term archives of climate on land. However, there is still significant controversy over the deposit's origin, limiting interpretation of the sedimentological and paleoclimatic mechanisms responsible for its emplacement. Here this is addressed through morphology and the first laser ablation–inductively coupled plasma–mass spectrometer (LA-ICP-MS) U-Pb ages of detrital zircons from loess (last glacial age; northern Loess Plateau). These are compared to zircon U-Pb age spectra from desert and sandy lands surrounding the Loess Plateau. Surface samples were taken from the Tengger and Mu Us deserts, as well as the Horqin and Otindag sandy lands. The results demonstrate that zircon U-Pb ages can discriminate between potential source areas and highlight both similarities and differences in age spectra for the desert and sandy land samples. Most significantly, the loess age spectrum shows no single affinity to any of these regions and exhibits zircon ages associated with granitoid rocks representing tectonic events in both west and east northern China. Furthermore, and in contrast to proximal deserts, a significant proportion of zircons from the loess show affinities with rocks cropping out in the Qilian Mountains. The euhedral form of many of these grains further suggests direct transport from these crystalline source rocks, in contrast to previously hypothesized production or storage in deserts. Thus, dust-transporting storms tracked from the west during the last glacial maximum, although this does not explain all the zircon variability and implies multiple sources and storm-track variation over the depositional period.","author":[{"dropping-particle":"","family":"Stevens","given":"Thomas","non-dropping-particle":"","parse-names":false,"suffix":""},{"dropping-particle":"","family":"Palk","given":"Carl","non-dropping-particle":"","parse-names":false,"suffix":""},{"dropping-particle":"","family":"Carter","given":"Andrew","non-dropping-particle":"","parse-names":false,"suffix":""},{"dropping-particle":"","family":"Lu","given":"Huayu","non-dropping-particle":"","parse-names":false,"suffix":""},{"dropping-particle":"","family":"Clift","given":"Peter D.","non-dropping-particle":"","parse-names":false,"suffix":""}],"container-title":"Geological Society of America Bulletin","id":"ITEM-1","issue":"7-8","issued":{"date-parts":[["2010","7"]]},"page":"1331-1344","title":"Assessing the provenance of loess and desert sediments in northern China using U-Pb dating and morphology of detrital zircons","type":"article-journal","volume":"122"},"uris":["http://www.mendeley.com/documents/?uuid=80e71a59-ec63-4ba1-931f-a6b02690e094"]}],"mendeley":{"formattedCitation":"(Stevens et al., 2010)","manualFormatting":"Stevens et al. (2010)","plainTextFormattedCitation":"(Stevens et al., 2010)","previouslyFormattedCitation":"(Stevens et al., 2010)"},"properties":{"noteIndex":0},"schema":"https://github.com/citation-style-language/schema/raw/master/csl-citation.json"}</w:instrText>
      </w:r>
      <w:r w:rsidR="007E6F8F">
        <w:rPr>
          <w:rFonts w:ascii="Arial" w:hAnsi="Arial" w:cs="Arial"/>
        </w:rPr>
        <w:fldChar w:fldCharType="separate"/>
      </w:r>
      <w:r w:rsidR="007E6F8F" w:rsidRPr="0065368A">
        <w:rPr>
          <w:rFonts w:ascii="Arial" w:hAnsi="Arial" w:cs="Arial"/>
          <w:noProof/>
        </w:rPr>
        <w:t xml:space="preserve">Stevens et al. </w:t>
      </w:r>
      <w:r w:rsidR="007E6F8F">
        <w:rPr>
          <w:rFonts w:ascii="Arial" w:hAnsi="Arial" w:cs="Arial"/>
          <w:noProof/>
        </w:rPr>
        <w:t>(</w:t>
      </w:r>
      <w:r w:rsidR="007E6F8F" w:rsidRPr="0065368A">
        <w:rPr>
          <w:rFonts w:ascii="Arial" w:hAnsi="Arial" w:cs="Arial"/>
          <w:noProof/>
        </w:rPr>
        <w:t>2010)</w:t>
      </w:r>
      <w:r w:rsidR="007E6F8F">
        <w:rPr>
          <w:rFonts w:ascii="Arial" w:hAnsi="Arial" w:cs="Arial"/>
        </w:rPr>
        <w:fldChar w:fldCharType="end"/>
      </w:r>
      <w:r w:rsidR="003D2F93">
        <w:rPr>
          <w:rFonts w:ascii="Arial" w:hAnsi="Arial" w:cs="Arial"/>
        </w:rPr>
        <w:t>,</w:t>
      </w:r>
      <w:r w:rsidR="007E6F8F">
        <w:rPr>
          <w:rFonts w:ascii="Arial" w:hAnsi="Arial" w:cs="Arial"/>
        </w:rPr>
        <w:t xml:space="preserve"> based on the analysis of loess from </w:t>
      </w:r>
      <w:r w:rsidR="003D2F93">
        <w:rPr>
          <w:rFonts w:ascii="Arial" w:hAnsi="Arial" w:cs="Arial"/>
        </w:rPr>
        <w:t xml:space="preserve">the </w:t>
      </w:r>
      <w:r w:rsidR="007E6F8F">
        <w:rPr>
          <w:rFonts w:ascii="Arial" w:hAnsi="Arial" w:cs="Arial"/>
        </w:rPr>
        <w:t xml:space="preserve">Chinese Loess Plateau. </w:t>
      </w:r>
      <w:bookmarkEnd w:id="21"/>
    </w:p>
    <w:bookmarkEnd w:id="22"/>
    <w:p w14:paraId="36523AC2" w14:textId="76550A3D" w:rsidR="000D7994" w:rsidRDefault="003217C9" w:rsidP="00614941">
      <w:pPr>
        <w:spacing w:before="120" w:after="120" w:line="480" w:lineRule="auto"/>
        <w:jc w:val="both"/>
        <w:rPr>
          <w:rFonts w:ascii="Arial" w:hAnsi="Arial" w:cs="Arial"/>
        </w:rPr>
      </w:pPr>
      <w:r>
        <w:rPr>
          <w:rFonts w:ascii="Arial" w:hAnsi="Arial" w:cs="Arial"/>
        </w:rPr>
        <w:lastRenderedPageBreak/>
        <w:t xml:space="preserve">U-Pb </w:t>
      </w:r>
      <w:r w:rsidR="00394C96">
        <w:rPr>
          <w:rFonts w:ascii="Arial" w:hAnsi="Arial" w:cs="Arial"/>
        </w:rPr>
        <w:t xml:space="preserve">isotope </w:t>
      </w:r>
      <w:r>
        <w:rPr>
          <w:rFonts w:ascii="Arial" w:hAnsi="Arial" w:cs="Arial"/>
        </w:rPr>
        <w:t>analysis of zircon represents a powerful and widely used technique to analyse multiple single grains and assign multiple sediment sources to sediments, overcom</w:t>
      </w:r>
      <w:r w:rsidR="0089701A">
        <w:rPr>
          <w:rFonts w:ascii="Arial" w:hAnsi="Arial" w:cs="Arial"/>
        </w:rPr>
        <w:t xml:space="preserve">ing </w:t>
      </w:r>
      <w:r>
        <w:rPr>
          <w:rFonts w:ascii="Arial" w:hAnsi="Arial" w:cs="Arial"/>
        </w:rPr>
        <w:t xml:space="preserve">many of the limitations of </w:t>
      </w:r>
      <w:r w:rsidR="001A1928">
        <w:rPr>
          <w:rFonts w:ascii="Arial" w:hAnsi="Arial" w:cs="Arial"/>
        </w:rPr>
        <w:t xml:space="preserve">bulk geochemical analyses </w:t>
      </w:r>
      <w:r w:rsidR="0089701A">
        <w:rPr>
          <w:rFonts w:ascii="Arial" w:hAnsi="Arial" w:cs="Arial"/>
        </w:rPr>
        <w:fldChar w:fldCharType="begin" w:fldLock="1"/>
      </w:r>
      <w:r w:rsidR="00743B26">
        <w:rPr>
          <w:rFonts w:ascii="Arial" w:hAnsi="Arial" w:cs="Arial"/>
        </w:rPr>
        <w:instrText>ADDIN CSL_CITATION {"citationItems":[{"id":"ITEM-1","itemData":{"DOI":"10.1130/B30102.1","ISBN":"0016-7606","ISSN":"0016-7606","abstract":"Chinese loess is regarded as one of the most detailed and long-term archives of climate on land. However, there is still significant controversy over the deposit's origin, limiting interpretation of the sedimentological and paleoclimatic mechanisms responsible for its emplacement. Here this is addressed through morphology and the first laser ablation–inductively coupled plasma–mass spectrometer (LA-ICP-MS) U-Pb ages of detrital zircons from loess (last glacial age; northern Loess Plateau). These are compared to zircon U-Pb age spectra from desert and sandy lands surrounding the Loess Plateau. Surface samples were taken from the Tengger and Mu Us deserts, as well as the Horqin and Otindag sandy lands. The results demonstrate that zircon U-Pb ages can discriminate between potential source areas and highlight both similarities and differences in age spectra for the desert and sandy land samples. Most significantly, the loess age spectrum shows no single affinity to any of these regions and exhibits zircon ages associated with granitoid rocks representing tectonic events in both west and east northern China. Furthermore, and in contrast to proximal deserts, a significant proportion of zircons from the loess show affinities with rocks cropping out in the Qilian Mountains. The euhedral form of many of these grains further suggests direct transport from these crystalline source rocks, in contrast to previously hypothesized production or storage in deserts. Thus, dust-transporting storms tracked from the west during the last glacial maximum, although this does not explain all the zircon variability and implies multiple sources and storm-track variation over the depositional period.","author":[{"dropping-particle":"","family":"Stevens","given":"Thomas","non-dropping-particle":"","parse-names":false,"suffix":""},{"dropping-particle":"","family":"Palk","given":"Carl","non-dropping-particle":"","parse-names":false,"suffix":""},{"dropping-particle":"","family":"Carter","given":"Andrew","non-dropping-particle":"","parse-names":false,"suffix":""},{"dropping-particle":"","family":"Lu","given":"Huayu","non-dropping-particle":"","parse-names":false,"suffix":""},{"dropping-particle":"","family":"Clift","given":"Peter D.","non-dropping-particle":"","parse-names":false,"suffix":""}],"container-title":"Geological Society of America Bulletin","id":"ITEM-1","issue":"7-8","issued":{"date-parts":[["2010","7"]]},"page":"1331-1344","title":"Assessing the provenance of loess and desert sediments in northern China using U-Pb dating and morphology of detrital zircons","type":"article-journal","volume":"122"},"uris":["http://www.mendeley.com/documents/?uuid=80e71a59-ec63-4ba1-931f-a6b02690e094"]}],"mendeley":{"formattedCitation":"(Stevens et al., 2010)","plainTextFormattedCitation":"(Stevens et al., 2010)","previouslyFormattedCitation":"(Stevens et al., 2010)"},"properties":{"noteIndex":0},"schema":"https://github.com/citation-style-language/schema/raw/master/csl-citation.json"}</w:instrText>
      </w:r>
      <w:r w:rsidR="0089701A">
        <w:rPr>
          <w:rFonts w:ascii="Arial" w:hAnsi="Arial" w:cs="Arial"/>
        </w:rPr>
        <w:fldChar w:fldCharType="separate"/>
      </w:r>
      <w:r w:rsidR="0089701A" w:rsidRPr="0089701A">
        <w:rPr>
          <w:rFonts w:ascii="Arial" w:hAnsi="Arial" w:cs="Arial"/>
          <w:noProof/>
        </w:rPr>
        <w:t>(Stevens et al., 2010)</w:t>
      </w:r>
      <w:r w:rsidR="0089701A">
        <w:rPr>
          <w:rFonts w:ascii="Arial" w:hAnsi="Arial" w:cs="Arial"/>
        </w:rPr>
        <w:fldChar w:fldCharType="end"/>
      </w:r>
      <w:r>
        <w:rPr>
          <w:rFonts w:ascii="Arial" w:hAnsi="Arial" w:cs="Arial"/>
        </w:rPr>
        <w:t xml:space="preserve">. While </w:t>
      </w:r>
      <w:r w:rsidR="00B70951">
        <w:rPr>
          <w:rFonts w:ascii="Arial" w:hAnsi="Arial" w:cs="Arial"/>
        </w:rPr>
        <w:t>extensively</w:t>
      </w:r>
      <w:r>
        <w:rPr>
          <w:rFonts w:ascii="Arial" w:hAnsi="Arial" w:cs="Arial"/>
        </w:rPr>
        <w:t xml:space="preserve"> used in Chinese loess</w:t>
      </w:r>
      <w:r w:rsidR="0089701A">
        <w:rPr>
          <w:rFonts w:ascii="Arial" w:hAnsi="Arial" w:cs="Arial"/>
        </w:rPr>
        <w:t xml:space="preserve"> </w:t>
      </w:r>
      <w:r w:rsidR="0089701A">
        <w:rPr>
          <w:rFonts w:ascii="Arial" w:hAnsi="Arial" w:cs="Arial"/>
        </w:rPr>
        <w:fldChar w:fldCharType="begin" w:fldLock="1"/>
      </w:r>
      <w:r w:rsidR="00D22D21">
        <w:rPr>
          <w:rFonts w:ascii="Arial" w:hAnsi="Arial" w:cs="Arial"/>
        </w:rPr>
        <w:instrText>ADDIN CSL_CITATION {"citationItems":[{"id":"ITEM-1","itemData":{"DOI":"10.1017/qua.2017.86","ISSN":"10960287","abstract":"Copyright © University of Washington. Published by Cambridge University Press, 2017. The Chinese Loess Plateau, the world's largest and oldest loess record, preserves evidence of Asia's long-term dust source dynamics, but there is uncertainty over the source of the deposits. Recent single-grain detrital zircon U-Pb age analysis has progressed this issue, but debates remain about source changes, and the generation and interpretation of zircon data. To address this, we analyze different groupings of new and existing datasets from the Loess Plateau and potential sources. We also present the results of a first high resolution sampling, multi-proxy provenance analysis of Beiguoyuan loess using U-Pb dating of detrital zircons and detrital garnet geochemistry. The data shows that some small source differences seem to exist between different areas on the Loess Plateau. However, sediment source appears to be unchanging between loess and palaeosols, supporting a recent material recycling hypothesis. Our zircon and garnet data demonstrates, however, that Beiguoyuan experienced a temporary, abrupt source shift during the last glacial maximum, implying that local dust sources became periodically active during the Quaternary. Our results highlight that grouping data to achieve bigger datasets could cause identification of misleading trends. Additionally, we suggest that multi-proxy single-grain approaches are required to gain further insight into Chinese Loess Plateau dust sources.","author":[{"dropping-particle":"","family":"Fenn","given":"Kaja","non-dropping-particle":"","parse-names":false,"suffix":""},{"dropping-particle":"","family":"Stevens","given":"Thomas","non-dropping-particle":"","parse-names":false,"suffix":""},{"dropping-particle":"","family":"Bird","given":"Anna F.","non-dropping-particle":"","parse-names":false,"suffix":""},{"dropping-particle":"","family":"Limonta","given":"Mara","non-dropping-particle":"","parse-names":false,"suffix":""},{"dropping-particle":"","family":"Rittner","given":"Martin","non-dropping-particle":"","parse-names":false,"suffix":""},{"dropping-particle":"","family":"Vermeesch","given":"Pieter","non-dropping-particle":"","parse-names":false,"suffix":""},{"dropping-particle":"","family":"Andò","given":"Sergio","non-dropping-particle":"","parse-names":false,"suffix":""},{"dropping-particle":"","family":"Garzanti","given":"Eduardo","non-dropping-particle":"","parse-names":false,"suffix":""},{"dropping-particle":"","family":"Lu","given":"Huayu","non-dropping-particle":"","parse-names":false,"suffix":""},{"dropping-particle":"","family":"Zhang","given":"Hanzhi","non-dropping-particle":"","parse-names":false,"suffix":""},{"dropping-particle":"","family":"Lin","given":"Z.","non-dropping-particle":"","parse-names":false,"suffix":""}],"container-title":"Quaternary Research","id":"ITEM-1","issue":"3","issued":{"date-parts":[["2018"]]},"title":"Insights into the provenance of the Chinese Loess Plateau from joint zircon U-Pb and garnet geochemical analysis of last glacial loess","type":"article-journal","volume":"89"},"uris":["http://www.mendeley.com/documents/?uuid=8b29aad1-fceb-3d26-a2de-f3b69e3fda4f"]},{"id":"ITEM-2","itemData":{"DOI":"10.1130/B30102.1","ISBN":"0016-7606","ISSN":"0016-7606","abstract":"Chinese loess is regarded as one of the most detailed and long-term archives of climate on land. However, there is still significant controversy over the deposit's origin, limiting interpretation of the sedimentological and paleoclimatic mechanisms responsible for its emplacement. Here this is addressed through morphology and the first laser ablation–inductively coupled plasma–mass spectrometer (LA-ICP-MS) U-Pb ages of detrital zircons from loess (last glacial age; northern Loess Plateau). These are compared to zircon U-Pb age spectra from desert and sandy lands surrounding the Loess Plateau. Surface samples were taken from the Tengger and Mu Us deserts, as well as the Horqin and Otindag sandy lands. The results demonstrate that zircon U-Pb ages can discriminate between potential source areas and highlight both similarities and differences in age spectra for the desert and sandy land samples. Most significantly, the loess age spectrum shows no single affinity to any of these regions and exhibits zircon ages associated with granitoid rocks representing tectonic events in both west and east northern China. Furthermore, and in contrast to proximal deserts, a significant proportion of zircons from the loess show affinities with rocks cropping out in the Qilian Mountains. The euhedral form of many of these grains further suggests direct transport from these crystalline source rocks, in contrast to previously hypothesized production or storage in deserts. Thus, dust-transporting storms tracked from the west during the last glacial maximum, although this does not explain all the zircon variability and implies multiple sources and storm-track variation over the depositional period.","author":[{"dropping-particle":"","family":"Stevens","given":"Thomas","non-dropping-particle":"","parse-names":false,"suffix":""},{"dropping-particle":"","family":"Palk","given":"Carl","non-dropping-particle":"","parse-names":false,"suffix":""},{"dropping-particle":"","family":"Carter","given":"Andrew","non-dropping-particle":"","parse-names":false,"suffix":""},{"dropping-particle":"","family":"Lu","given":"Huayu","non-dropping-particle":"","parse-names":false,"suffix":""},{"dropping-particle":"","family":"Clift","given":"Peter D.","non-dropping-particle":"","parse-names":false,"suffix":""}],"container-title":"Geological Society of America Bulletin","id":"ITEM-2","issue":"7-8","issued":{"date-parts":[["2010","7"]]},"page":"1331-1344","title":"Assessing the provenance of loess and desert sediments in northern China using U-Pb dating and morphology of detrital zircons","type":"article-journal","volume":"122"},"uris":["http://www.mendeley.com/documents/?uuid=80e71a59-ec63-4ba1-931f-a6b02690e094"]},{"id":"ITEM-3","itemData":{"DOI":"10.1038/ncomms9511","abstract":"Marine accumulations of terrigenous sediment are widely assumed to accurately record climatic- and tectonic-controlled mountain denudation and play an important role in understanding late Cenozoic mountain uplift and global cooling. Underpinning this is the assumption that the majority of sediment eroded from hinterland orogenic belts is transported to and ultimately stored in marine basins with little lag between erosion and deposition. Here we use a detailed and multi-technique sedimentary provenance dataset from the Yellow River to show that substantial amounts of sediment eroded from Northeast Tibet and carried by the river’s upper reach are stored in the Chinese Loess Plateau and the western Mu Us desert. This finding revises our understanding of the origin of the Chinese Loess Plateau and provides a potential solution for mismatches between late Cenozoic terrestrial sedimentation and marine geochemistry records, as well as between global CO2 and erosion records.","author":[{"dropping-particle":"","family":"Nie","given":"Junsheng","non-dropping-particle":"","parse-names":false,"suffix":""},{"dropping-particle":"","family":"Stevens","given":"Thomas","non-dropping-particle":"","parse-names":false,"suffix":""},{"dropping-particle":"","family":"Rittner","given":"Martin","non-dropping-particle":"","parse-names":false,"suffix":""},{"dropping-particle":"","family":"Stockli","given":"Daniel F.","non-dropping-particle":"","parse-names":false,"suffix":""},{"dropping-particle":"","family":"Garzanti","given":"Eduardo","non-dropping-particle":"","parse-names":false,"suffix":""},{"dropping-particle":"","family":"Limonta","given":"Mara","non-dropping-particle":"","parse-names":false,"suffix":""},{"dropping-particle":"","family":"Vermeesch","given":"Pieter","non-dropping-particle":"","parse-names":false,"suffix":""},{"dropping-particle":"","family":"Saylor","given":"Joel E.","non-dropping-particle":"","parse-names":false,"suffix":""},{"dropping-particle":"","family":"Lu","given":"Huayu","non-dropping-particle":"","parse-names":false,"suffix":""},{"dropping-particle":"","family":"Breecker","given":"Daniel","non-dropping-particle":"","parse-names":false,"suffix":""},{"dropping-particle":"","family":"Hu","given":"Xiaofei","non-dropping-particle":"","parse-names":false,"suffix":""},{"dropping-particle":"","family":"Bird","given":"Anna F.","non-dropping-particle":"","parse-names":false,"suffix":""},{"dropping-particle":"","family":"Ando","given":"Sergio","non-dropping-particle":"","parse-names":false,"suffix":""},{"dropping-particle":"","family":"Liu","given":"Shanpin","non-dropping-particle":"","parse-names":false,"suffix":""},{"dropping-particle":"","family":"Resentini","given":"Alberto","non-dropping-particle":"","parse-names":false,"suffix":""},{"dropping-particle":"","family":"Vezzoli","given":"Giovanni","non-dropping-particle":"","parse-names":false,"suffix":""},{"dropping-particle":"","family":"Peng","given":"Wenbin","non-dropping-particle":"","parse-names":false,"suffix":""},{"dropping-particle":"","family":"Carter","given":"Andrew","non-dropping-particle":"","parse-names":false,"suffix":""},{"dropping-particle":"","family":"Ji","given":"Shunchuan","non-dropping-particle":"","parse-names":false,"suffix":""},{"dropping-particle":"","family":"Pan","given":"Baotian","non-dropping-particle":"","parse-names":false,"suffix":""}],"container-title":"Nature Communications","id":"ITEM-3","issued":{"date-parts":[["2015"]]},"title":"Loess Plateau storage of Northeastern Tibetan Plateau-derived Yellow River sediment","type":"article-journal","volume":"6"},"uris":["http://www.mendeley.com/documents/?uuid=2a84c5b0-8d86-40c9-bd7b-441b4e1599d9"]},{"id":"ITEM-4","itemData":{"DOI":"10.1016/j.palaeo.2015.06.024","ISSN":"00310182","abstract":"The Chinese Loess Plateau in north central China contains one of the most valuable Cenozoic climate archives on land. Establishing the origin of this substantial archive of aeolian sediments is critical for the interpretation of loess climate proxies, past atmospheric wind patterns and changing climatic/tectonic controls on erosion over potentially the past 25. Ma. Despite this significance there are a number of disagreements over the precise source areas and the extent to which these vary through time and across the plateau. To address this, we utilize a multi-technique, approach of combined detrital single-grain zircon U-Pb dating and heavy mineral analysis to establish the sources of loess through the Quaternary and constrain their variation geographically across the Loess Plateau. We combine our data with suitable published single-grain datasets from loess and possible source regions. The results demonstrate a dramatic spatial heterogeneity of dust sources across the plateau. Sites to the west of the Loess Plateau show strong affinity to the Yellow River and the northern Tibetan Plateau, while further east the influence of North-China-Craton-derived material becomes more significant (Fig. 1). This spatial variability in source implies a far more complex relationship to dust sources than previously envisioned. The provenance of loess/soil units also varies through time, although there is no consistent relationship between these shifts and changing glacial/interglacial periods, as hypothesized previously. This variation demonstrates highly dynamic and variable dust sources and transport modes that are influenced by abrupt climate shifts within individual glacial-interglacial episodes, and potentially the dynamics of the Yellow River system.","author":[{"dropping-particle":"","family":"Bird","given":"Anna F.","non-dropping-particle":"","parse-names":false,"suffix":""},{"dropping-particle":"","family":"Stevens","given":"Thomas","non-dropping-particle":"","parse-names":false,"suffix":""},{"dropping-particle":"","family":"Rittner","given":"Martin","non-dropping-particle":"","parse-names":false,"suffix":""},{"dropping-particle":"","family":"Vermeesch","given":"Pieter","non-dropping-particle":"","parse-names":false,"suffix":""},{"dropping-particle":"","family":"Carter","given":"Andrew","non-dropping-particle":"","parse-names":false,"suffix":""},{"dropping-particle":"","family":"Andò","given":"Sergio","non-dropping-particle":"","parse-names":false,"suffix":""},{"dropping-particle":"","family":"Garzanti","given":"Eduardo","non-dropping-particle":"","parse-names":false,"suffix":""},{"dropping-particle":"","family":"Lu","given":"Huayu","non-dropping-particle":"","parse-names":false,"suffix":""},{"dropping-particle":"","family":"Nie","given":"Junsheng","non-dropping-particle":"","parse-names":false,"suffix":""},{"dropping-particle":"","family":"Zeng","given":"Lin","non-dropping-particle":"","parse-names":false,"suffix":""},{"dropping-particle":"","family":"Zhang","given":"Hanzhi","non-dropping-particle":"","parse-names":false,"suffix":""},{"dropping-particle":"","family":"Xu","given":"Zhiwei","non-dropping-particle":"","parse-names":false,"suffix":""}],"container-title":"Palaeogeography, Palaeoclimatology, Palaeoecology","id":"ITEM-4","issued":{"date-parts":[["2015"]]},"page":"254-264","publisher":"Elsevier B.V.","title":"Quaternary dust source variation across the Chinese Loess Plateau","type":"article-journal","volume":"435"},"uris":["http://www.mendeley.com/documents/?uuid=eddda689-13ad-4072-b78a-ed6e8b22f7e4"]},{"id":"ITEM-5","itemData":{"DOI":"10.1016/j.yqres.2013.05.007","ISSN":"00335894","author":[{"dropping-particle":"","family":"Che","given":"Xudong","non-dropping-particle":"","parse-names":false,"suffix":""},{"dropping-particle":"","family":"Li","given":"Gaojun","non-dropping-particle":"","parse-names":false,"suffix":""}],"container-title":"Quaternary Research","id":"ITEM-5","issue":"3","issued":{"date-parts":[["2013"]]},"page":"545-551","publisher":"University of Washington","title":"Binary sources of loess on the Chinese Loess Plateau revealed by U–Pb ages of zircon","type":"article-journal","volume":"80"},"uris":["http://www.mendeley.com/documents/?uuid=d5aa1ca2-0bd0-42b0-9381-232488e66d08"]},{"id":"ITEM-6","itemData":{"DOI":"10.1130/g48867.1","ISSN":"0091-7613","abstract":"Loess sequences of the Chinese Loess Plateau (CLP) compose one of the most complete Neogene–Quaternary terrestrial paleoclimatic archives. Understanding the CLP’s sediment sources is critical to tracing Asian aridification, atmospheric circulation patterns, and Asian monsoon evolution. Commonly, the sediments that compose the Quaternary strata of the CLP are considered largely homogeneous, and thus numerous studies have applied a uniform source model when attempting to use CLP-derived proxies as paleoclimate indicators. Here we present large-n detrital zircon U-Pb geochronology data from the Quaternary CLP. These data support spatial variability in sediment provenance across the CLP. At least three distinct provenance zones are recognized for Quaternary loess strata: central western, eastern, and northeastern. These zones received sediment primarily from their neighboring river systems. This finding conflicts with the classic views that attribute the Quaternary loess principally to the deserts north and west of the CLP. We conclude that fluvial processes, and thus precipitation, played an important and previously underemphasized role in Quaternary dust production in northern China. Furthermore, nonuniformity in CLP Quaternary sediment provenance raises questions about the validity of using paleoclimate information archived in the CLP to make sweeping regional interpretations.","author":[{"dropping-particle":"","family":"Zhang","given":"Haobo","non-dropping-particle":"","parse-names":false,"suffix":""},{"dropping-particle":"","family":"Nie","given":"Junsheng","non-dropping-particle":"","parse-names":false,"suffix":""},{"dropping-particle":"","family":"Liu","given":"Xiangjun","non-dropping-particle":"","parse-names":false,"suffix":""},{"dropping-particle":"","family":"Pullen","given":"Alex","non-dropping-particle":"","parse-names":false,"suffix":""},{"dropping-particle":"","family":"Li","given":"Guoqiang","non-dropping-particle":"","parse-names":false,"suffix":""},{"dropping-particle":"","family":"Peng","given":"Wenbin","non-dropping-particle":"","parse-names":false,"suffix":""},{"dropping-particle":"","family":"Zhang","given":"Hanzhi","non-dropping-particle":"","parse-names":false,"suffix":""}],"container-title":"Geology","id":"ITEM-6","issue":"Xx","issued":{"date-parts":[["2021"]]},"page":"1-5","title":"Spatially variable provenance of the Chinese Loess Plateau","type":"article-journal","volume":"XX"},"uris":["http://www.mendeley.com/documents/?uuid=cdaf4fac-c5f6-44ab-98c2-1e8bc283b31f"]},{"id":"ITEM-7","itemData":{"DOI":"10.1130/B31375.1","ISSN":"0016-7606","author":[{"dropping-particle":"","family":"Licht","given":"Alexis","non-dropping-particle":"","parse-names":false,"suffix":""},{"dropping-particle":"","family":"Pullen","given":"Alex","non-dropping-particle":"","parse-names":false,"suffix":""},{"dropping-particle":"","family":"Kapp","given":"Paul","non-dropping-particle":"","parse-names":false,"suffix":""},{"dropping-particle":"","family":"Abell","given":"J.","non-dropping-particle":"","parse-names":false,"suffix":""},{"dropping-particle":"","family":"Giesler","given":"Nicky","non-dropping-particle":"","parse-names":false,"suffix":""}],"container-title":"GSA Bulletin","id":"ITEM-7","issue":"5-6","issued":{"date-parts":[["2016"]]},"page":"944-956","title":"Eolian cannibalism : Reworked loess and fluvial sediment as the main sources of the Chinese Loess Plateau","type":"article-journal","volume":"128"},"uris":["http://www.mendeley.com/documents/?uuid=2d57a9f4-660f-42a7-9ccd-81951e305e51"]}],"mendeley":{"formattedCitation":"(Bird et al., 2015; Che and Li, 2013; Fenn et al., 2018; Licht et al., 2016; Nie et al., 2015; Stevens et al., 2010; Zhang et al., 2021)","plainTextFormattedCitation":"(Bird et al., 2015; Che and Li, 2013; Fenn et al., 2018; Licht et al., 2016; Nie et al., 2015; Stevens et al., 2010; Zhang et al., 2021)","previouslyFormattedCitation":"(Bird et al., 2015; Fenn et al., 2018; Nie et al., 2015; Stevens et al., 2010)"},"properties":{"noteIndex":0},"schema":"https://github.com/citation-style-language/schema/raw/master/csl-citation.json"}</w:instrText>
      </w:r>
      <w:r w:rsidR="0089701A">
        <w:rPr>
          <w:rFonts w:ascii="Arial" w:hAnsi="Arial" w:cs="Arial"/>
        </w:rPr>
        <w:fldChar w:fldCharType="separate"/>
      </w:r>
      <w:r w:rsidR="00D22D21" w:rsidRPr="00D22D21">
        <w:rPr>
          <w:rFonts w:ascii="Arial" w:hAnsi="Arial" w:cs="Arial"/>
          <w:noProof/>
        </w:rPr>
        <w:t>(Bird et al., 2015; Che and Li, 2013; Fenn et al., 2018; Licht et al., 2016; Nie et al., 2015; Stevens et al., 2010; Zhang et al., 2021)</w:t>
      </w:r>
      <w:r w:rsidR="0089701A">
        <w:rPr>
          <w:rFonts w:ascii="Arial" w:hAnsi="Arial" w:cs="Arial"/>
        </w:rPr>
        <w:fldChar w:fldCharType="end"/>
      </w:r>
      <w:r>
        <w:rPr>
          <w:rFonts w:ascii="Arial" w:hAnsi="Arial" w:cs="Arial"/>
        </w:rPr>
        <w:t xml:space="preserve">, to date </w:t>
      </w:r>
      <w:r w:rsidR="007E6F8F">
        <w:rPr>
          <w:rFonts w:ascii="Arial" w:hAnsi="Arial" w:cs="Arial"/>
        </w:rPr>
        <w:t>only</w:t>
      </w:r>
      <w:r w:rsidR="009606C3">
        <w:rPr>
          <w:rFonts w:ascii="Arial" w:hAnsi="Arial" w:cs="Arial"/>
        </w:rPr>
        <w:t xml:space="preserve"> a handful of zircon U-Pb loess provenance</w:t>
      </w:r>
      <w:r w:rsidR="00D5116F">
        <w:rPr>
          <w:rFonts w:ascii="Arial" w:hAnsi="Arial" w:cs="Arial"/>
        </w:rPr>
        <w:t xml:space="preserve"> studies have been conducted</w:t>
      </w:r>
      <w:r w:rsidR="009606C3">
        <w:rPr>
          <w:rFonts w:ascii="Arial" w:hAnsi="Arial" w:cs="Arial"/>
        </w:rPr>
        <w:t xml:space="preserve"> in Europe </w:t>
      </w:r>
      <w:r w:rsidR="009606C3">
        <w:rPr>
          <w:rFonts w:ascii="Arial" w:hAnsi="Arial" w:cs="Arial"/>
        </w:rPr>
        <w:fldChar w:fldCharType="begin" w:fldLock="1"/>
      </w:r>
      <w:r w:rsidR="00D22D21">
        <w:rPr>
          <w:rFonts w:ascii="Arial" w:hAnsi="Arial" w:cs="Arial"/>
        </w:rPr>
        <w:instrText>ADDIN CSL_CITATION {"citationItems":[{"id":"ITEM-1","itemData":{"DOI":"10.1016/j.aeolia.2020.100598","author":[{"dropping-particle":"","family":"Pańczyk","given":"Magdalena","non-dropping-particle":"","parse-names":false,"suffix":""},{"dropping-particle":"","family":"Nawrocki","given":"Jerzy","non-dropping-particle":"","parse-names":false,"suffix":""},{"dropping-particle":"","family":"Bogucki","given":"Andriy B.","non-dropping-particle":"","parse-names":false,"suffix":""},{"dropping-particle":"","family":"Gozhik","given":"Petro","non-dropping-particle":"","parse-names":false,"suffix":""},{"dropping-particle":"","family":"Łanczont","given":"Maria","non-dropping-particle":"","parse-names":false,"suffix":""}],"container-title":"Aeolian Research","id":"ITEM-1","issue":"100598","issued":{"date-parts":[["2020"]]},"page":"A provenance study was carried out on loess deposi","title":"Possible sources and transport pathways of loess deposited in Poland and Ukraine from detrital zircon U-Pb age spectra","type":"article-journal","volume":"45"},"uris":["http://www.mendeley.com/documents/?uuid=9cf10ff3-7b86-4203-962f-26500fbb2b25"]},{"id":"ITEM-2","itemData":{"DOI":"10.1016/j.quascirev.2021.107265","abstract":"Loess deposits along the northern fringe of the European loess belt potentially record past changes in dust emission from areas proximal to former ice sheets. Recent chronologies from loess deposits across this region generally agree on greatly enhanced dust deposition rates when the Fennoscandian Ice Sheet reached its maximum extent during the late last glacial. However, uncertainties over the material's source and origin limit understanding of the causes of this enhanced dust activity. In particular, loess in southwestern Poland has been attributed to multiple origins, mainly involving glaciofluvial outwash plains along the Fennoscandian Ice Sheet margin and/or local sources in the mountainous areas of the Sudetes and Western Carpathians. Here we apply detrital zircon UePb age analyses for a large number of grains recovered from four loess samples taken from different stratigraphic units exposed at BiałyKo?sci?oł in southwestern Poland, previously luminescence dated to MIS 4e2, to assess loess provenance as well as its temporal evolution during last glacial Fennoscandian Ice Sheet fluctuations. Furthermore, we analysed the detrital zircon UePb age spectra of five samples from potential source sediments to constrain the history of sediment recycling and mixing within the Northern European Plain prior to deflation and loess deposition. The broad range of zircon age components detected in the four loess samples suggests both Fennoscandian and closer Peri-Gondwanan proto-sources while a narrow, dominant Carboniferous age peak is consistent with sourcing from the local Strzelin Hills in the Sudetic foreland. However, the presence of both Fennoscandian and Peri-Gondwanan derived grains in samples from potential source sediments reveals that this mixture of sediment sources is widespread across the Northern European Plain, as a result of long-term glacial and fluvial reworking of cover sediments in the proglacial area throughout the Quaternary. Local rivers draining the Sudetic foreland transported this Fennoscandian- Peri-Gondwanan sediment mixture along with particles denuded from the Strzelin Hills, resulting in a nearby, temporally stable dust source for the BiałyKo?sci?oł loess during MIS 4e2, while dust emission rates were substantially increased during the last glacial maximum. Given that our model for loess formation at BiałyKo?sci?oł essentially involves sediment distribution via rivers prior to short distance aeolian transport, we infer that the pr…","author":[{"dropping-particle":"","family":"Baykal","given":"Yunus","non-dropping-particle":"","parse-names":false,"suffix":""},{"dropping-particle":"","family":"Stevens","given":"Thomas","non-dropping-particle":"","parse-names":false,"suffix":""},{"dropping-particle":"","family":"Engströom-Johansson","given":"Alexandra","non-dropping-particle":"","parse-names":false,"suffix":""},{"dropping-particle":"","family":"Skurzyński","given":"Jacek","non-dropping-particle":"","parse-names":false,"suffix":""},{"dropping-particle":"","family":"Zhang","given":"Hanzhi","non-dropping-particle":"","parse-names":false,"suffix":""},{"dropping-particle":"","family":"He","given":"Jing","non-dropping-particle":"","parse-names":false,"suffix":""},{"dropping-particle":"","family":"Adamiec","given":"Grzegorz","non-dropping-particle":"","parse-names":false,"suffix":""},{"dropping-particle":"","family":"Költringer","given":"Chiara","non-dropping-particle":"","parse-names":false,"suffix":""},{"dropping-particle":"","family":"Jary","given":"Zdzisław","non-dropping-particle":"","parse-names":false,"suffix":""}],"container-title":"Quaternary Science Reviews","id":"ITEM-2","issued":{"date-parts":[["2021"]]},"title":"Detrital zircon U-Pb age analysis of last glacial loess sources and proglacial sediment dynamics in the Northern European Plain","type":"article-journal","volume":"274"},"uris":["http://www.mendeley.com/documents/?uuid=300cebaf-8687-4e90-8859-3b7c53c05cbe"]}],"mendeley":{"formattedCitation":"(Baykal et al., 2021; Pańczyk et al., 2020)","plainTextFormattedCitation":"(Baykal et al., 2021; Pańczyk et al., 2020)","previouslyFormattedCitation":"(Baykal et al., 2021; Pańczyk et al., 2020)"},"properties":{"noteIndex":0},"schema":"https://github.com/citation-style-language/schema/raw/master/csl-citation.json"}</w:instrText>
      </w:r>
      <w:r w:rsidR="009606C3">
        <w:rPr>
          <w:rFonts w:ascii="Arial" w:hAnsi="Arial" w:cs="Arial"/>
        </w:rPr>
        <w:fldChar w:fldCharType="separate"/>
      </w:r>
      <w:r w:rsidR="009606C3" w:rsidRPr="009606C3">
        <w:rPr>
          <w:rFonts w:ascii="Arial" w:hAnsi="Arial" w:cs="Arial"/>
          <w:noProof/>
        </w:rPr>
        <w:t>(Baykal et al., 2021; Pańczyk et al., 2020)</w:t>
      </w:r>
      <w:r w:rsidR="009606C3">
        <w:rPr>
          <w:rFonts w:ascii="Arial" w:hAnsi="Arial" w:cs="Arial"/>
        </w:rPr>
        <w:fldChar w:fldCharType="end"/>
      </w:r>
      <w:r w:rsidR="009606C3">
        <w:rPr>
          <w:rFonts w:ascii="Arial" w:hAnsi="Arial" w:cs="Arial"/>
        </w:rPr>
        <w:t xml:space="preserve"> with</w:t>
      </w:r>
      <w:r w:rsidR="007E6F8F">
        <w:rPr>
          <w:rFonts w:ascii="Arial" w:hAnsi="Arial" w:cs="Arial"/>
        </w:rPr>
        <w:t xml:space="preserve"> two </w:t>
      </w:r>
      <w:r>
        <w:rPr>
          <w:rFonts w:ascii="Arial" w:hAnsi="Arial" w:cs="Arial"/>
        </w:rPr>
        <w:t xml:space="preserve">on Danube </w:t>
      </w:r>
      <w:r w:rsidR="007E6F8F">
        <w:rPr>
          <w:rFonts w:ascii="Arial" w:hAnsi="Arial" w:cs="Arial"/>
        </w:rPr>
        <w:fldChar w:fldCharType="begin" w:fldLock="1"/>
      </w:r>
      <w:r w:rsidR="00AE6272">
        <w:rPr>
          <w:rFonts w:ascii="Arial" w:hAnsi="Arial" w:cs="Arial"/>
        </w:rPr>
        <w:instrText>ADDIN CSL_CITATION {"citationItems":[{"id":"ITEM-1","itemData":{"DOI":"10.1016/j.chemgeo.2012.02.007","ISBN":"0009-2541","ISSN":"00092541","abstract":"Multiple competing hypotheses have been proposed to explain the source of loess dust in the Carpathian Basin yet none has been demonstrated. Here bulk and grain-size differentiated Nd and Sr isotopic and bulk and clay mineralogical compositions, together with detrital zircon ages and morphologies from loess along the Danube in the Carpathian Basin are used to demonstrate that no single method is capable of unequivocally isolating sources, yet combined, they allow for discriminating likely provenance. Zircon ages indicate multiple sources for Carpathian Basin loess, restricting the use of bulk or grain-size differentiation methods. Ambiguities are further highlighted by the fact that the Sr-Nd isotopic composition of Greenland dust is very similar to Carpathian loess. This match demonstrates that such methods are not always capable of unequivocally excluding unlikely potential source areas and implies that current hypotheses regarding the origin of Greenland dust require further evaluation. Sr isotopes are also limited by high dolomite contents of loess, while palygorskite is of questionable utility as a Saharan dust indicator due to its rapid weathering under typical Carpathian climates. In terms of specific Carpathian loess sources, alluvial fans of the Danube River likely contribute, but detrital zircon ages and morphologies suggest that a proportion directly originates from eroded uplands and local rocks throughout the basin, while detrital dolomite implies local, primary sources such as the Transdanubian Range. An upper limit of 5-10% is placed on the North African contribution to fine dust in loess of the mid-Carpathian Basin based on mineralogy and grain size. Overall, results suggest that the single grain (zircon) approach is likely the most diagnostic method to identify sources in loess studies, although to solve complex provenance issues, simultaneous consideration of the isotopic characteristics of more than one heavy (or light) mineral is required. ?? 2012 Elsevier B.V.","author":[{"dropping-particle":"","family":"Újvári","given":"Gábor","non-dropping-particle":"","parse-names":false,"suffix":""},{"dropping-particle":"","family":"Varga","given":"Andrea","non-dropping-particle":"","parse-names":false,"suffix":""},{"dropping-particle":"","family":"Ramos","given":"Frank C.","non-dropping-particle":"","parse-names":false,"suffix":""},{"dropping-particle":"","family":"Kovács","given":"János I.","non-dropping-particle":"","parse-names":false,"suffix":""},{"dropping-particle":"","family":"Németh","given":"Tibor","non-dropping-particle":"","parse-names":false,"suffix":""},{"dropping-particle":"","family":"Stevens","given":"Thomas","non-dropping-particle":"","parse-names":false,"suffix":""}],"container-title":"Chemical Geology","id":"ITEM-1","issued":{"date-parts":[["2012"]]},"page":"83-96","publisher":"Elsevier B.V.","title":"Evaluating the use of clay mineralogy, Sr-Nd isotopes and zircon U-Pb ages in tracking dust provenance: An example from loess of the Carpathian Basin","type":"article-journal","volume":"304-305"},"uris":["http://www.mendeley.com/documents/?uuid=4972a163-3568-4a70-9213-d604a9054fec"]},{"id":"ITEM-2","itemData":{"DOI":"10.1007/s00531-014-1139-x","ISSN":"1437-3254","abstract":"Loess sediments in Austria deposited ca. 30–20 ka ago yield different zircon age signatures for samples collected around Krems (SE Bohemian Massif; samples K23 and S1) and Wels (halfway between the Bohemian Massif and the Eastern Alps; sample A16). Cathodoluminescence (CL) imaging reveals both old, multistage zircons with complex growth histories and inherited cores, and young, first-cycle magmatic zircons. Paleoproterozoic ages between 2,200 and 1,800 Ma (K23 and S1), an age gap of 1,800–1,000 Ma for S1 and abundant Cadomian grains, indicate NW African/North Gondwanan derivation of these zircons. Also, A16 yields ages between 630 and 600 Ma that can be attributed to “Pan-African” orogenic processes. Significant differences are seen for the &lt;500 Ma part of the age spectra with major age peaks at 493–494 and 344–335 Ma (K23 and S1), and 477 and 287 Ma (A16). All three samples show negative initial ɛHf signatures (−25 to −10, except one grain with +9.4) implying zircon crystallization from magmas derived by recycling of older continental crust. Hf isotopic compositions of 330- to 320-Ma-old zircons from S1 and K23 preclude a derivation from Bavarian Forest granites and intermediate granitoids. Rather, all the data suggest strong contributions of eroded local rocks (South Bohemian pluton, Gföhl unit) to loess material at the SE edge of the Bohemian Massif (K23 and S1) and sourcing of zircons from sediment donor regions in the Eastern Alps for loess at Wels (A16). We tentatively infer primary fluvial transport and secondary eolian reworking and re-deposition of detritus from western/southwestern directions. Finally, our data highlight that loess zircon ages are fundamentally influenced by fluvial transport, its directions, the interplay of sediment donor regions through the mixing of detritus and zircon fertility of rocks, rather than Paleowind directions.","author":[{"dropping-particle":"","family":"Újvári","given":"Gábor","non-dropping-particle":"","parse-names":false,"suffix":""},{"dropping-particle":"","family":"Klötzli","given":"Urs","non-dropping-particle":"","parse-names":false,"suffix":""}],"container-title":"International Journal of Earth Sciences","id":"ITEM-2","issue":"5","issued":{"date-parts":[["2015","7","14"]]},"page":"1365-1385","publisher":"Springer Berlin Heidelberg","title":"U–Pb ages and Hf isotopic composition of zircons in Austrian last glacial loess: constraints on heavy mineral sources and sediment transport pathways","type":"article-journal","volume":"104"},"uris":["http://www.mendeley.com/documents/?uuid=96557a3a-95d5-41f2-be41-c4c0a3128257"]}],"mendeley":{"formattedCitation":"(Újvári et al., 2012; Újvári and Klötzli, 2015)","plainTextFormattedCitation":"(Újvári et al., 2012; Újvári and Klötzli, 2015)","previouslyFormattedCitation":"(Újvári et al., 2012; Újvári and Klötzli, 2015)"},"properties":{"noteIndex":0},"schema":"https://github.com/citation-style-language/schema/raw/master/csl-citation.json"}</w:instrText>
      </w:r>
      <w:r w:rsidR="007E6F8F">
        <w:rPr>
          <w:rFonts w:ascii="Arial" w:hAnsi="Arial" w:cs="Arial"/>
        </w:rPr>
        <w:fldChar w:fldCharType="separate"/>
      </w:r>
      <w:r w:rsidR="007E6F8F" w:rsidRPr="008F6870">
        <w:rPr>
          <w:rFonts w:ascii="Arial" w:hAnsi="Arial" w:cs="Arial"/>
          <w:noProof/>
        </w:rPr>
        <w:t>(Újvári et al., 2012; Újvári and Klötzli, 2015)</w:t>
      </w:r>
      <w:r w:rsidR="007E6F8F">
        <w:rPr>
          <w:rFonts w:ascii="Arial" w:hAnsi="Arial" w:cs="Arial"/>
        </w:rPr>
        <w:fldChar w:fldCharType="end"/>
      </w:r>
      <w:r w:rsidR="009606C3">
        <w:rPr>
          <w:rFonts w:ascii="Arial" w:hAnsi="Arial" w:cs="Arial"/>
        </w:rPr>
        <w:t xml:space="preserve"> and</w:t>
      </w:r>
      <w:r w:rsidR="007E6F8F">
        <w:rPr>
          <w:rFonts w:ascii="Arial" w:hAnsi="Arial" w:cs="Arial"/>
        </w:rPr>
        <w:t xml:space="preserve"> </w:t>
      </w:r>
      <w:r w:rsidR="00877F18">
        <w:rPr>
          <w:rFonts w:ascii="Arial" w:hAnsi="Arial" w:cs="Arial"/>
        </w:rPr>
        <w:t xml:space="preserve">only </w:t>
      </w:r>
      <w:r w:rsidR="007E6F8F">
        <w:rPr>
          <w:rFonts w:ascii="Arial" w:hAnsi="Arial" w:cs="Arial"/>
        </w:rPr>
        <w:t xml:space="preserve">one of them presenting results of zircon Hf </w:t>
      </w:r>
      <w:r w:rsidR="00394C96">
        <w:rPr>
          <w:rFonts w:ascii="Arial" w:hAnsi="Arial" w:cs="Arial"/>
        </w:rPr>
        <w:t xml:space="preserve">isotope </w:t>
      </w:r>
      <w:r w:rsidR="007E6F8F">
        <w:rPr>
          <w:rFonts w:ascii="Arial" w:hAnsi="Arial" w:cs="Arial"/>
        </w:rPr>
        <w:t xml:space="preserve">analysis. </w:t>
      </w:r>
      <w:bookmarkStart w:id="23" w:name="_Hlk64903066"/>
      <w:r w:rsidR="00151E00" w:rsidRPr="003823F6">
        <w:rPr>
          <w:rFonts w:ascii="Arial" w:hAnsi="Arial" w:cs="Arial"/>
        </w:rPr>
        <w:t>T</w:t>
      </w:r>
      <w:r w:rsidR="003D2F93" w:rsidRPr="003823F6">
        <w:rPr>
          <w:rFonts w:ascii="Arial" w:hAnsi="Arial" w:cs="Arial"/>
        </w:rPr>
        <w:t xml:space="preserve">he </w:t>
      </w:r>
      <w:r w:rsidR="007E6F8F" w:rsidRPr="003823F6">
        <w:rPr>
          <w:rFonts w:ascii="Arial" w:hAnsi="Arial" w:cs="Arial"/>
        </w:rPr>
        <w:t xml:space="preserve">majority of studies use bulk sample </w:t>
      </w:r>
      <w:r w:rsidR="00980268">
        <w:rPr>
          <w:rFonts w:ascii="Arial" w:hAnsi="Arial" w:cs="Arial"/>
        </w:rPr>
        <w:t>elemental composition</w:t>
      </w:r>
      <w:r w:rsidR="00F72EC8">
        <w:rPr>
          <w:rFonts w:ascii="Arial" w:hAnsi="Arial" w:cs="Arial"/>
        </w:rPr>
        <w:t xml:space="preserve"> </w:t>
      </w:r>
      <w:r w:rsidR="00F72EC8">
        <w:rPr>
          <w:rFonts w:ascii="Arial" w:hAnsi="Arial" w:cs="Arial"/>
        </w:rPr>
        <w:fldChar w:fldCharType="begin" w:fldLock="1"/>
      </w:r>
      <w:r w:rsidR="007A5B91">
        <w:rPr>
          <w:rFonts w:ascii="Arial" w:hAnsi="Arial" w:cs="Arial"/>
        </w:rPr>
        <w:instrText>ADDIN CSL_CITATION {"citationItems":[{"id":"ITEM-1","itemData":{"DOI":"10.1016/j.yqres.2008.02.001","ISBN":"0033-5894","ISSN":"00335894","abstract":"Loess geochemistry generally reflects paleo-weathering conditions and it can be used to determine the average composition of the upper continental crust (UCC). In this study, major and trace element concentrations were analyzed on loess samples from southwestern Hungary to determine the factors influencing their chemical compositions and to propose new average loess compositions. All studied loess samples had nearly uniform chemical composition, suggesting similar alteration history of these deposits. Chemical Index of Alteration values (58-69) suggested a weak to moderate degree of weathering in a felsic source area. Typical non-steady state weathering conditions were shown on the Al2O3-CaO + Na2O-K2O patterns, indicating active tectonism of the Alpine-Carpathian system during the Pleistocene. Whole-rock element budgets were controlled by heavy minerals derived from a felsic magmatic or reworked sedimentary provenance. Geochemical parameters indicated that dust particles must have been recycled and well homogenized during fluvial and eolian transport processes. © 2008 University of Washington.","author":[{"dropping-particle":"","family":"Újvári","given":"Gábor","non-dropping-particle":"","parse-names":false,"suffix":""},{"dropping-particle":"","family":"Varga","given":"Andrea","non-dropping-particle":"","parse-names":false,"suffix":""},{"dropping-particle":"","family":"Balogh-Brunstad","given":"Zsuzsanna","non-dropping-particle":"","parse-names":false,"suffix":""}],"container-title":"Quaternary Research","id":"ITEM-1","issued":{"date-parts":[["2008"]]},"page":"421-437","title":"Origin, weathering, and geochemical composition of loess in southwestern Hungary","type":"article-journal","volume":"69"},"uris":["http://www.mendeley.com/documents/?uuid=afc5a18e-4f68-40cc-856d-2e4620dca8ee"]},{"id":"ITEM-2","itemData":{"DOI":"10.1016/j.quascirev.2008.01.018","ISBN":"0277-3791","ISSN":"02773791","abstract":"The loess/paleosol sections of Batajnica/Stari Slankamen (Serbia), Mircea Voda (Romania) and Stary Kaydaky (Ukraine) were geochemically characterized based on discriminant analysis of major and trace elements, the ratios of Al/Ti, Fe/Ti and Al/Fe, the A-CN-K ternary plot and element enrichment/depletion relative to the average composition of the upper continental crust. The origin of the loess material in the southern Pannonian Basin (Vojvodina), the lower Danube Basin/Dobrudja and the Dnieper area was evaluated by comparison with the representative element composition of possible source areas and by considering the geomorphodynamic setting. Also the background values of the initial magnetic susceptibility of the loesses were taken into account. For the lower Danube Basin, Dobrudja and the Ukraine, paleowind direction was reconstructed based on the geographic distribution of sandy soil texture and dunes related to river systems. Finally, loesses were evaluated as possible samples of the average upper continental crust. Our results show that Danube and Dnieper loess areas can be clearly distinguished. The former reveal higher Al and Fe contents, the latter higher Si, Zr, Hf content and indications of effective mineral and grain size sorting. We can confirm that Vojvodina loess originated from Danube alluvial material and loess of the Dnieper area from glaciofluvial sediments of the Fennoscandinavian ice sheet. The Dobrudja loess derived also predominantly from Danube alluvium, but shows significant contribution of a second loess source, probably the glaciofluvial sediments of the Ukraine. This was forced by northerly katabatic winds from the Fennoscandinavian ice sheet, whereas WNW winds prevailed in the Western Walachian plain. The studied loesses reflect the average composition of the upper continental crust. Yet, biases exist due to selective mineral/element enrichment and depletion in the course of previous sedimentary recycling phases, respectively. Material of all studied loess deposits seems to derive originally from sedimentary rocks.","author":[{"dropping-particle":"","family":"Buggle","given":"Björn","non-dropping-particle":"","parse-names":false,"suffix":""},{"dropping-particle":"","family":"Glaser","given":"Bruno","non-dropping-particle":"","parse-names":false,"suffix":""},{"dropping-particle":"","family":"Zöller","given":"Ludwig","non-dropping-particle":"","parse-names":false,"suffix":""},{"dropping-particle":"","family":"Hambach","given":"Ulrich","non-dropping-particle":"","parse-names":false,"suffix":""},{"dropping-particle":"","family":"Marković","given":"Slobodan B.","non-dropping-particle":"","parse-names":false,"suffix":""},{"dropping-particle":"","family":"Glaser","given":"Irina","non-dropping-particle":"","parse-names":false,"suffix":""},{"dropping-particle":"","family":"Gerasimenko","given":"Natalia P.","non-dropping-particle":"","parse-names":false,"suffix":""}],"container-title":"Quaternary Science Reviews","id":"ITEM-2","issue":"9-10","issued":{"date-parts":[["2008"]]},"page":"1058-1075","title":"Geochemical characterization and origin of Southeastern and Eastern European loesses (Serbia, Romania, Ukraine)","type":"article-journal","volume":"27"},"uris":["http://www.mendeley.com/documents/?uuid=193d86ce-b241-49e3-a1ef-f8a8bd32eeb3"]},{"id":"ITEM-3","itemData":{"DOI":"10.1016/j.aeolia.2015.06.004","ISSN":"18759637","abstract":"Previous investigations showed that the Orlovat loess-paleosol section, northern Serbia, is characterized by irregularities in sedimentological properties, magnetic susceptibility and color of the sediment. Here, we applied granulometric analysis and X-ray fluorescence (XRF) analyses to study how the sedimentation at the Orlovat site was conditioned by specific geomorphological or climatic conditions. Grain-size analysis is an established method and one of the most frequently used paleoenvironmental proxies of loess deposits, and is complemented here with high resolution XRF analysis on sand-free samples to obtain a more detailed insight into paleoenvironmental conditions and weathering during the past ~160 ka. The geomorphological conditions of the surrounding area and variations in wind speed over time are of great importance for a better understanding of loess-paleosol deposits. The Orlovat section was exposed to special depositional conditions, which differ from other sections studied in the Carpathian Basin. Sand was delivered during interglacials, most probably from the Deliblato Sands by the southeast Košava wind. This study highlights the importance of an integrated sedimentological approach for reliable paleoenvironmental reconstruction.","author":[{"dropping-particle":"","family":"Obreht","given":"Igor","non-dropping-particle":"","parse-names":false,"suffix":""},{"dropping-particle":"","family":"Zeeden","given":"Christian","non-dropping-particle":"","parse-names":false,"suffix":""},{"dropping-particle":"","family":"Schulte","given":"Philipp","non-dropping-particle":"","parse-names":false,"suffix":""},{"dropping-particle":"","family":"Hambach","given":"Ulrich","non-dropping-particle":"","parse-names":false,"suffix":""},{"dropping-particle":"","family":"Eckmeier","given":"Eileen","non-dropping-particle":"","parse-names":false,"suffix":""},{"dropping-particle":"","family":"Timar-Gabor","given":"Alida","non-dropping-particle":"","parse-names":false,"suffix":""},{"dropping-particle":"","family":"Lehmkuhl","given":"Frank","non-dropping-particle":"","parse-names":false,"suffix":""}],"container-title":"Aeolian Research","id":"ITEM-3","issued":{"date-parts":[["2015"]]},"page":"69-81","publisher":"Elsevier B.V.","title":"Aeolian dynamics at the Orlovat loess-paleosol sequence, northern Serbia, based on detailed textural and geochemical evidence","type":"article-journal","volume":"18"},"uris":["http://www.mendeley.com/documents/?uuid=8dd1e654-ad28-4483-9eeb-1eb669757bd4"]},{"id":"ITEM-4","itemData":{"DOI":"10.3389/feart.2021.600010","ISSN":"22966463","abstract":"The source of aeolian sediments such as loess has been investigated since decades. Reliable knowledge on potential dust sources is crucial to understand past climatic and environmental conditions accompanying the dispersal of early modern humans (EMH) into Europe. Provenance studies are usually performed on small sample sets and most established methods are expensive and time-consuming. Here, we present the results of high-resolution geochemical analyses performed on five loess-palaeosol sequences from the Lower Danube Basin (LDB), a region, despite its importance as a trajectory for EMH, largely underrepresented in loess provenance studies. We compare our results with geochemical data of loess-palaeosol sequences from Austria, Hungary, Serbia, and Ukraine. Based on published literature, we thus evaluate five plausible sedimentary pathways for the LDB loess: 1) the Danube alluvium (DA) pathway, which constrains the transport and re-deposition of detrital material by the Danube and its tributaries; 2) the Carpathian Bending (CB) pathway, where sediment is mainly transported from the Cretaceous to Neogene flysch of the Eastern Carpathian Bending; 3) the Eastern Carpathian (EC) pathway, in which sediment is eroded from the flysch of the Outer Eastern Carpathians, transported by rivers, and deflated by northwesterly to westerly winds; 4) the glaciofluvial (GF) pathway, where dust is deflated from glacial outwash plains in nowadays Ukraine, and 5) the Black Sea (BS) pathway, where dust originates from the exposed shelf of the Black Sea. Based on geochemical data, we consider the DA pathway to be the major sediment trajectory for loess in the LDB. Especially the sequences located close to the Danube and the Dobrogea show similarities to sites in Central and Northeast Hungary as well as Northern Serbia. For the northeastern part of the LDB, we demonstrate that dust input is mainly sourced from primary material from the Eastern Carpathians. Mineralogical estimations and geochemical data render the CB pathway as an additional substantial source of detrital material for the loess of this area. We consider the influence of the GF pathway in the LDB as negligible, whereas some minor influences of the BS pathway cannot be ruled out based on geochemical data.","author":[{"dropping-particle":"","family":"Pötter","given":"Stephan","non-dropping-particle":"","parse-names":false,"suffix":""},{"dropping-particle":"","family":"Veres","given":"Daniel","non-dropping-particle":"","parse-names":false,"suffix":""},{"dropping-particle":"","family":"Baykal","given":"Yunus","non-dropping-particle":"","parse-names":false,"suffix":""},{"dropping-particle":"","family":"Nett","given":"Janina J.","non-dropping-particle":"","parse-names":false,"suffix":""},{"dropping-particle":"","family":"Schulte","given":"Philipp","non-dropping-particle":"","parse-names":false,"suffix":""},{"dropping-particle":"","family":"Hambach","given":"Ulrich","non-dropping-particle":"","parse-names":false,"suffix":""},{"dropping-particle":"","family":"Lehmkuhl","given":"Frank","non-dropping-particle":"","parse-names":false,"suffix":""}],"container-title":"Frontiers in Earth Science","id":"ITEM-4","issue":"April","issued":{"date-parts":[["2021"]]},"page":"1-25","title":"Disentangling Sedimentary Pathways for the Pleniglacial Lower Danube Loess Based on Geochemical Signatures","type":"article-journal","volume":"9"},"uris":["http://www.mendeley.com/documents/?uuid=1f55868d-cbcb-471e-afc3-101d38835891"]}],"mendeley":{"formattedCitation":"(Buggle et al., 2008; Obreht et al., 2015; Pötter et al., 2021; Újvári et al., 2008)","plainTextFormattedCitation":"(Buggle et al., 2008; Obreht et al., 2015; Pötter et al., 2021; Újvári et al., 2008)","previouslyFormattedCitation":"(Buggle et al., 2008; Obreht et al., 2015; Pötter et al., 2021; Újvári et al., 2008)"},"properties":{"noteIndex":0},"schema":"https://github.com/citation-style-language/schema/raw/master/csl-citation.json"}</w:instrText>
      </w:r>
      <w:r w:rsidR="00F72EC8">
        <w:rPr>
          <w:rFonts w:ascii="Arial" w:hAnsi="Arial" w:cs="Arial"/>
        </w:rPr>
        <w:fldChar w:fldCharType="separate"/>
      </w:r>
      <w:r w:rsidR="00A26462" w:rsidRPr="00A26462">
        <w:rPr>
          <w:rFonts w:ascii="Arial" w:hAnsi="Arial" w:cs="Arial"/>
          <w:noProof/>
        </w:rPr>
        <w:t>(Buggle et al., 2008; Obreht et al., 2015; Pötter et al., 2021; Újvári et al., 2008)</w:t>
      </w:r>
      <w:r w:rsidR="00F72EC8">
        <w:rPr>
          <w:rFonts w:ascii="Arial" w:hAnsi="Arial" w:cs="Arial"/>
        </w:rPr>
        <w:fldChar w:fldCharType="end"/>
      </w:r>
      <w:r w:rsidR="007E6F8F" w:rsidRPr="003823F6">
        <w:rPr>
          <w:rFonts w:ascii="Arial" w:hAnsi="Arial" w:cs="Arial"/>
        </w:rPr>
        <w:t>, or indirect approaches</w:t>
      </w:r>
      <w:r w:rsidR="00F72EC8">
        <w:rPr>
          <w:rFonts w:ascii="Arial" w:hAnsi="Arial" w:cs="Arial"/>
        </w:rPr>
        <w:t xml:space="preserve"> (such as geomorphological </w:t>
      </w:r>
      <w:r w:rsidR="00E945CA">
        <w:rPr>
          <w:rFonts w:ascii="Arial" w:hAnsi="Arial" w:cs="Arial"/>
        </w:rPr>
        <w:t xml:space="preserve">and mineralogical </w:t>
      </w:r>
      <w:r w:rsidR="00F72EC8">
        <w:rPr>
          <w:rFonts w:ascii="Arial" w:hAnsi="Arial" w:cs="Arial"/>
        </w:rPr>
        <w:t xml:space="preserve">mapping </w:t>
      </w:r>
      <w:r w:rsidR="00F72EC8">
        <w:rPr>
          <w:rFonts w:ascii="Arial" w:hAnsi="Arial" w:cs="Arial"/>
        </w:rPr>
        <w:fldChar w:fldCharType="begin" w:fldLock="1"/>
      </w:r>
      <w:r w:rsidR="00F62737">
        <w:rPr>
          <w:rFonts w:ascii="Arial" w:hAnsi="Arial" w:cs="Arial"/>
        </w:rPr>
        <w:instrText>ADDIN CSL_CITATION {"citationItems":[{"id":"ITEM-1","itemData":{"DOI":"10.1016/j.quaint.2013.06.008","ISSN":"10406182","author":[{"dropping-particle":"","family":"Jipa","given":"Dan C.","non-dropping-particle":"","parse-names":false,"suffix":""}],"container-title":"Quaternary International","id":"ITEM-1","issued":{"date-parts":[["2014"]]},"note":"Good geomorph re-analysis to create region wide model. Good maps of thickness along and across the Lower Danube. Some suggestions for provenance of the region though based predominantly on very old heavy mineral work. Though this supports the idea that material is mizeed and sourced both from local mountains and Danube's alluvium","page":"14-24","publisher":"Elsevier Ltd and INQUA","title":"The conceptual sedimentary model of the Lower Danube loess basin: Sedimentogenetic implications","type":"article-journal","volume":"351"},"uris":["http://www.mendeley.com/documents/?uuid=a634a6ac-0e8e-4810-90eb-9395e147e0db"]}],"mendeley":{"formattedCitation":"(Jipa, 2014)","plainTextFormattedCitation":"(Jipa, 2014)","previouslyFormattedCitation":"(Jipa, 2014)"},"properties":{"noteIndex":0},"schema":"https://github.com/citation-style-language/schema/raw/master/csl-citation.json"}</w:instrText>
      </w:r>
      <w:r w:rsidR="00F72EC8">
        <w:rPr>
          <w:rFonts w:ascii="Arial" w:hAnsi="Arial" w:cs="Arial"/>
        </w:rPr>
        <w:fldChar w:fldCharType="separate"/>
      </w:r>
      <w:r w:rsidR="00F72EC8" w:rsidRPr="00F72EC8">
        <w:rPr>
          <w:rFonts w:ascii="Arial" w:hAnsi="Arial" w:cs="Arial"/>
          <w:noProof/>
        </w:rPr>
        <w:t>(Jipa, 2014)</w:t>
      </w:r>
      <w:r w:rsidR="00F72EC8">
        <w:rPr>
          <w:rFonts w:ascii="Arial" w:hAnsi="Arial" w:cs="Arial"/>
        </w:rPr>
        <w:fldChar w:fldCharType="end"/>
      </w:r>
      <w:r w:rsidR="00F62737">
        <w:rPr>
          <w:rFonts w:ascii="Arial" w:hAnsi="Arial" w:cs="Arial"/>
        </w:rPr>
        <w:t xml:space="preserve">, </w:t>
      </w:r>
      <w:r w:rsidR="00F72EC8">
        <w:rPr>
          <w:rFonts w:ascii="Arial" w:hAnsi="Arial" w:cs="Arial"/>
        </w:rPr>
        <w:t xml:space="preserve">theoretical approaches </w:t>
      </w:r>
      <w:r w:rsidR="00F72EC8">
        <w:rPr>
          <w:rFonts w:ascii="Arial" w:hAnsi="Arial" w:cs="Arial"/>
        </w:rPr>
        <w:fldChar w:fldCharType="begin" w:fldLock="1"/>
      </w:r>
      <w:r w:rsidR="00F72EC8">
        <w:rPr>
          <w:rFonts w:ascii="Arial" w:hAnsi="Arial" w:cs="Arial"/>
        </w:rPr>
        <w:instrText>ADDIN CSL_CITATION {"citationItems":[{"id":"ITEM-1","itemData":{"DOI":"10.1016/j.quaint.2008.06.009","ISBN":"1040-6182","ISSN":"10406182","abstract":"Rivers are essential for loess deposit formation. River systems which relate directly to loess deposit formation include the Danube and the Rhine; the Mississippi and the Missouri; the Thames and the Medway; the Indus, Ganges and Brahmaputra; the Dnepr, Don and Volga; the Clutha, Mataura and Rakaia-New Zealand rivers; the Yellow River; rivers in South America; Siberian rivers (flowing north); the Odra and the Wisla (between the mountains and the ice); the Syr-Darya and Amu-Darya (into the desert). The contention is that rivers are not just important in major loess deposit formation, they are mandatory (necessary, imperative, obligatory, essential, indispensable, requisite). For a complete and satisfactory study of a loess deposit, we need to know how the material is produced; how it is transported and distributed across the landscape; how intermediate deposits are formed; how transportation provides the defining properties (i.e., open structure, collapsibility, draping across the landscape); and what may happen post-deposition (e.g., chernozemisation, fragipan formation, increased collapsibility, etc.). If rivers are essential then it would appear that the British loess is probably Alpine material delivered by the proto-Rhine and the Polish loess is not derived from the ice-sheet to the north but from the mountains to the south. The lack of loess in Canada is explained by the absence of suitable rivers. The loess in Russia and neighbouring countries can be classified (as Jefferson et al. [Jefferson, I.F., Evstatiev, D., Karastenev, D., Mavlyanova, N.G., Smalley, I.J., 2003b. The engineering geology of loess and loess-like deposits: a commentary on the Russian literature. Engineering Geology 68, 333-351] suggested) on the basis of associated rivers. A 'new' deposit of glacial loess is recognised-associated with the Dnepr, Don and Volga rivers (the USWR loess). The Smalley-Leach [Smalley, I.J., Leach, J.A., 1978. The origin and distribution of the loess in the Danube basin and associated regions of East-Central Europe: a review. Sedimentary Geology 21, 1-26. Available from: ???www.geo.edu.ro/sgr/mod/downloads/PDF/Smalley-SedGeo-1978.pdf??? ] vision of the loess in the Danube basin and East-Central Europe is probably misconceived. They assigned a great significance to glacial action and put loess in a 'northern band'. It appears that this proposed glacial influence is minimal and that the Danube loess is essentially mountain loess-derived from the Alps, th…","author":[{"dropping-particle":"","family":"Smalley","given":"Ian J.","non-dropping-particle":"","parse-names":false,"suffix":""},{"dropping-particle":"","family":"O'Hara-Dhand","given":"Ken","non-dropping-particle":"","parse-names":false,"suffix":""},{"dropping-particle":"","family":"Wint","given":"Jo","non-dropping-particle":"","parse-names":false,"suffix":""},{"dropping-particle":"","family":"Machalett","given":"Björn","non-dropping-particle":"","parse-names":false,"suffix":""},{"dropping-particle":"","family":"Jary","given":"Zdzisław","non-dropping-particle":"","parse-names":false,"suffix":""},{"dropping-particle":"","family":"Jefferson","given":"Ian F.","non-dropping-particle":"","parse-names":false,"suffix":""}],"container-title":"Quaternary International","id":"ITEM-1","issue":"1-2","issued":{"date-parts":[["2009"]]},"page":"7-18","title":"Rivers and loess: The significance of long river transportation in the complex event-sequence approach to loess deposit formation","type":"article-journal","volume":"198"},"uris":["http://www.mendeley.com/documents/?uuid=3e563e4d-6c8c-4bfe-bb0f-0ef519642126"]},{"id":"ITEM-2","itemData":{"DOI":"10.1016/0037-0738(78)90031-3","ISBN":"0037-0738","ISSN":"00370738","abstract":"Within the Danube basin significant loess deposits are located: 1. (1) north of the Alps, near the western end of the basin, 2. (2) around Vienna and stretching away in a northeasterly direction through the Moravian depression, 3. (3) on either side of the south-flowing Danube in Hungary and in northern Yugoslavia, and 4. (4) on the Walachian plain between Romania and Bulgaria. These deposits can be distinguished from the belt of glacial loess extending roughly west-east from Paris/Brussels via Köln, Leipzig, Wroclaw to Krakow and beyond, and obviously related to the North European glaciations. Other sources of material must be invoked to explain the presence of loess (and loess-like sediments) in the Danube basin. Material comes from three major sources: 1. (1) the Alpine glaciers, 2. (2) North European glacial debris carried through the Moravian depression by meltwater, and 3. (3) silt derived from flysch and related rocks in the Carpathian mountains. There is no simple primary loess in the Danube basin in any significant amount; deposits of typical aeolian loess which do exist are often derived from Danube floodplains and formed from material from several sources. This is particularly true of the deposits in the lower Danube region (on the Walachian plain). Since the deposits in the Danube basin are so diverse in type and origin particular care is needed in the use of loess terms and in chronological and stratigraphic investigations. This is particularly so since several countries are involved and national usage tends to differ in many ways. A particular problem is to distinguish (physically and terminologically) materials which have been derived from a typical loess by some ‘degradation’ process and materials which have never been a true loess but have assumed certain loessic characteristics by soil-forming processes. This occurs particularly in the Pannonian basin where there is an abundance of weathered material.","author":[{"dropping-particle":"","family":"Smalley","given":"Ian J.","non-dropping-particle":"","parse-names":false,"suffix":""},{"dropping-particle":"","family":"Leach","given":"J. A.","non-dropping-particle":"","parse-names":false,"suffix":""}],"container-title":"Sedimentary Geology","id":"ITEM-2","issue":"1","issued":{"date-parts":[["1978"]]},"page":"1-26","title":"The origin and distribution of the loess in the Danube basin and associated regions of East-Central Europe — A review","type":"article-journal","volume":"21"},"uris":["http://www.mendeley.com/documents/?uuid=0abdb656-7475-420e-973b-31f43619db05"]}],"mendeley":{"formattedCitation":"(Smalley et al., 2009; Smalley and Leach, 1978)","plainTextFormattedCitation":"(Smalley et al., 2009; Smalley and Leach, 1978)","previouslyFormattedCitation":"(Smalley et al., 2009; Smalley and Leach, 1978)"},"properties":{"noteIndex":0},"schema":"https://github.com/citation-style-language/schema/raw/master/csl-citation.json"}</w:instrText>
      </w:r>
      <w:r w:rsidR="00F72EC8">
        <w:rPr>
          <w:rFonts w:ascii="Arial" w:hAnsi="Arial" w:cs="Arial"/>
        </w:rPr>
        <w:fldChar w:fldCharType="separate"/>
      </w:r>
      <w:r w:rsidR="00F72EC8" w:rsidRPr="00F72EC8">
        <w:rPr>
          <w:rFonts w:ascii="Arial" w:hAnsi="Arial" w:cs="Arial"/>
          <w:noProof/>
        </w:rPr>
        <w:t>(Smalley et al., 2009; Smalley and Leach, 1978)</w:t>
      </w:r>
      <w:r w:rsidR="00F72EC8">
        <w:rPr>
          <w:rFonts w:ascii="Arial" w:hAnsi="Arial" w:cs="Arial"/>
        </w:rPr>
        <w:fldChar w:fldCharType="end"/>
      </w:r>
      <w:r w:rsidR="00F62737">
        <w:rPr>
          <w:rFonts w:ascii="Arial" w:hAnsi="Arial" w:cs="Arial"/>
        </w:rPr>
        <w:t xml:space="preserve">, or particle size </w:t>
      </w:r>
      <w:r w:rsidR="00F62737">
        <w:rPr>
          <w:rFonts w:ascii="Arial" w:hAnsi="Arial" w:cs="Arial"/>
        </w:rPr>
        <w:fldChar w:fldCharType="begin" w:fldLock="1"/>
      </w:r>
      <w:r w:rsidR="00F62737">
        <w:rPr>
          <w:rFonts w:ascii="Arial" w:hAnsi="Arial" w:cs="Arial"/>
        </w:rPr>
        <w:instrText>ADDIN CSL_CITATION {"citationItems":[{"id":"ITEM-1","itemData":{"DOI":"10.1016/j.quaint.2010.07.018","ISSN":"10406182","author":[{"dropping-particle":"","family":"Bokhorst","given":"Mark P.","non-dropping-particle":"","parse-names":false,"suffix":""},{"dropping-particle":"","family":"Vandenberghe","given":"Jef","non-dropping-particle":"","parse-names":false,"suffix":""},{"dropping-particle":"","family":"Sümegi","given":"Pál","non-dropping-particle":"","parse-names":false,"suffix":""},{"dropping-particle":"","family":"Łanczont","given":"Maria","non-dropping-particle":"","parse-names":false,"suffix":""},{"dropping-particle":"","family":"Gerasimenko","given":"Natalia P.","non-dropping-particle":"","parse-names":false,"suffix":""},{"dropping-particle":"","family":"Matviishina","given":"Z. N.","non-dropping-particle":"","parse-names":false,"suffix":""},{"dropping-particle":"","family":"Marković","given":"Slobodan B.","non-dropping-particle":"","parse-names":false,"suffix":""},{"dropping-particle":"","family":"Frechen","given":"Manfred","non-dropping-particle":"","parse-names":false,"suffix":""}],"container-title":"Quaternary International","id":"ITEM-1","issue":"1-2","issued":{"date-parts":[["2011"]]},"note":"Defines stages boundaries acros six sites in Central Europe in attempt to correlate the sites. However the grain size ratio used along with sparce dates (average 4 per site). \n\nThis further attempts do determine aource area and wind direction for an averaged periods of Early, Middle, Late Glacial. \n\n","page":"62-74","title":"Atmospheric circulation patterns in central and eastern Europe during the Weichselian Pleniglacial inferred from loess grain-size records","type":"article-journal","volume":"234"},"uris":["http://www.mendeley.com/documents/?uuid=d263b004-dcc4-497e-b3b3-07fceea43922"]}],"mendeley":{"formattedCitation":"(Bokhorst et al., 2011)","plainTextFormattedCitation":"(Bokhorst et al., 2011)","previouslyFormattedCitation":"(Bokhorst et al., 2011)"},"properties":{"noteIndex":0},"schema":"https://github.com/citation-style-language/schema/raw/master/csl-citation.json"}</w:instrText>
      </w:r>
      <w:r w:rsidR="00F62737">
        <w:rPr>
          <w:rFonts w:ascii="Arial" w:hAnsi="Arial" w:cs="Arial"/>
        </w:rPr>
        <w:fldChar w:fldCharType="separate"/>
      </w:r>
      <w:r w:rsidR="00F62737" w:rsidRPr="00F62737">
        <w:rPr>
          <w:rFonts w:ascii="Arial" w:hAnsi="Arial" w:cs="Arial"/>
          <w:noProof/>
        </w:rPr>
        <w:t>(Bokhorst et al., 2011)</w:t>
      </w:r>
      <w:r w:rsidR="00F62737">
        <w:rPr>
          <w:rFonts w:ascii="Arial" w:hAnsi="Arial" w:cs="Arial"/>
        </w:rPr>
        <w:fldChar w:fldCharType="end"/>
      </w:r>
      <w:r w:rsidR="00F72EC8">
        <w:rPr>
          <w:rFonts w:ascii="Arial" w:hAnsi="Arial" w:cs="Arial"/>
        </w:rPr>
        <w:t>)</w:t>
      </w:r>
      <w:r w:rsidR="005702E9" w:rsidRPr="003823F6">
        <w:rPr>
          <w:rFonts w:ascii="Arial" w:hAnsi="Arial" w:cs="Arial"/>
        </w:rPr>
        <w:t xml:space="preserve">, and </w:t>
      </w:r>
      <w:r w:rsidR="007E6F8F" w:rsidRPr="003823F6">
        <w:rPr>
          <w:rFonts w:ascii="Arial" w:hAnsi="Arial" w:cs="Arial"/>
        </w:rPr>
        <w:t xml:space="preserve">do not carry out comparisons </w:t>
      </w:r>
      <w:r w:rsidR="003D2F93" w:rsidRPr="003823F6">
        <w:rPr>
          <w:rFonts w:ascii="Arial" w:hAnsi="Arial" w:cs="Arial"/>
        </w:rPr>
        <w:t>with</w:t>
      </w:r>
      <w:r w:rsidR="007E6F8F" w:rsidRPr="003823F6">
        <w:rPr>
          <w:rFonts w:ascii="Arial" w:hAnsi="Arial" w:cs="Arial"/>
        </w:rPr>
        <w:t xml:space="preserve"> source rocks, or previous geochemical studies.</w:t>
      </w:r>
      <w:bookmarkEnd w:id="23"/>
      <w:r w:rsidR="007E6F8F" w:rsidRPr="003823F6">
        <w:rPr>
          <w:rFonts w:ascii="Arial" w:hAnsi="Arial" w:cs="Arial"/>
        </w:rPr>
        <w:t xml:space="preserve"> Therefore</w:t>
      </w:r>
      <w:r w:rsidR="007E6F8F">
        <w:rPr>
          <w:rFonts w:ascii="Arial" w:hAnsi="Arial" w:cs="Arial"/>
        </w:rPr>
        <w:t xml:space="preserve">, they do not consider the </w:t>
      </w:r>
      <w:r w:rsidR="003D2F93">
        <w:rPr>
          <w:rFonts w:ascii="Arial" w:hAnsi="Arial" w:cs="Arial"/>
        </w:rPr>
        <w:t xml:space="preserve">full </w:t>
      </w:r>
      <w:r w:rsidR="007E6F8F">
        <w:rPr>
          <w:rFonts w:ascii="Arial" w:hAnsi="Arial" w:cs="Arial"/>
        </w:rPr>
        <w:t xml:space="preserve">implications for palaeoclimate and sediment production on a broader sedimentary basin scale. </w:t>
      </w:r>
      <w:r w:rsidR="001A1928">
        <w:rPr>
          <w:rFonts w:ascii="Arial" w:hAnsi="Arial" w:cs="Arial"/>
        </w:rPr>
        <w:t>Critically, while</w:t>
      </w:r>
      <w:r w:rsidR="0089701A">
        <w:rPr>
          <w:rFonts w:ascii="Arial" w:hAnsi="Arial" w:cs="Arial"/>
        </w:rPr>
        <w:t xml:space="preserve"> </w:t>
      </w:r>
      <w:r w:rsidR="0089701A">
        <w:rPr>
          <w:rFonts w:ascii="Arial" w:hAnsi="Arial" w:cs="Arial"/>
        </w:rPr>
        <w:fldChar w:fldCharType="begin" w:fldLock="1"/>
      </w:r>
      <w:r w:rsidR="0089701A">
        <w:rPr>
          <w:rFonts w:ascii="Arial" w:hAnsi="Arial" w:cs="Arial"/>
        </w:rPr>
        <w:instrText>ADDIN CSL_CITATION {"citationItems":[{"id":"ITEM-1","itemData":{"DOI":"10.1029/2018GC007659","ISSN":"15252027","abstract":"We performed a detrital zircon (DZ) U-Pb geochronologic survey of the lower parts of the Danube River approaching its Danube delta, Black Sea sink, and a few large tributaries (Tisza, Jiu, Olt, and Siret) originating in the nearby Carpathian Mountains. Samples are modern sediments. DZ age spectra reflect the geology and specifically the crustal age formation of the source area, which in this case is primarily the Romanian Carpathians and their foreland with contributions from the Balkan Mountains to the south of Danube and the East European Craton. The zircon cargo of these rivers suggests a source area that formed during the latest Proterozoic and mostly into the Cambrian and Ordovician as island arcs and back-arc basins in a Peri-Gondwanan subduction setting (~600–440 Ma). The Inner Carpathian units are dominated by a U-Pb DZ peak in the Ordovician (460–470 Ma) and little inheritance from the nearby continental masses, whereas the Outer Carpathian units and the foreland have two main peaks, one Ediacaran (570–610 Ma) and one in the earliest Permian (290–300 Ma), corresponding to granitic rocks known regionally. A prominent igneous Variscan peak (320–350 Ma) in the Danube's and tributaries DZ zircon record is difficult to explain and points out to either an extra Carpathian source or major unknown gaps in our understanding of Carpathian geology. Younger peaks corresponding to arc magmatism during the Alpine period make up as much as about 10% of the DZ archive, consistent with the magnitude and surface exposure of Mesozoic and Cenozoic arcs.","author":[{"dropping-particle":"","family":"Ducea","given":"Mihai N.","non-dropping-particle":"","parse-names":false,"suffix":""},{"dropping-particle":"","family":"Giosan","given":"Liviu","non-dropping-particle":"","parse-names":false,"suffix":""},{"dropping-particle":"","family":"Carter","given":"Andrew","non-dropping-particle":"","parse-names":false,"suffix":""},{"dropping-particle":"","family":"Balica","given":"Constantin","non-dropping-particle":"","parse-names":false,"suffix":""},{"dropping-particle":"","family":"Stoica","given":"Adriana M.","non-dropping-particle":"","parse-names":false,"suffix":""},{"dropping-particle":"","family":"Roban","given":"Relu D.","non-dropping-particle":"","parse-names":false,"suffix":""},{"dropping-particle":"","family":"Balintoni","given":"Ioan","non-dropping-particle":"","parse-names":false,"suffix":""},{"dropping-particle":"","family":"Filip","given":"Florin","non-dropping-particle":"","parse-names":false,"suffix":""},{"dropping-particle":"","family":"Petrescu","given":"Lucian","non-dropping-particle":"","parse-names":false,"suffix":""}],"container-title":"Geochemistry, Geophysics, Geosystems","id":"ITEM-1","issue":"9","issued":{"date-parts":[["2018"]]},"page":"3208-3223","title":"U-PB Detrital Zircon Geochronology of the Lower Danube and Its Tributaries: Implications for the Geology of the Carpathians","type":"article-journal","volume":"19"},"uris":["http://www.mendeley.com/documents/?uuid=4c451cda-85db-4062-9306-34551fc6f55c"]}],"mendeley":{"formattedCitation":"(Ducea et al., 2018)","manualFormatting":"Ducea et al. (2018)","plainTextFormattedCitation":"(Ducea et al., 2018)","previouslyFormattedCitation":"(Ducea et al., 2018)"},"properties":{"noteIndex":0},"schema":"https://github.com/citation-style-language/schema/raw/master/csl-citation.json"}</w:instrText>
      </w:r>
      <w:r w:rsidR="0089701A">
        <w:rPr>
          <w:rFonts w:ascii="Arial" w:hAnsi="Arial" w:cs="Arial"/>
        </w:rPr>
        <w:fldChar w:fldCharType="separate"/>
      </w:r>
      <w:r w:rsidR="0089701A" w:rsidRPr="0089701A">
        <w:rPr>
          <w:rFonts w:ascii="Arial" w:hAnsi="Arial" w:cs="Arial"/>
          <w:noProof/>
        </w:rPr>
        <w:t xml:space="preserve">Ducea et al. </w:t>
      </w:r>
      <w:r w:rsidR="0089701A">
        <w:rPr>
          <w:rFonts w:ascii="Arial" w:hAnsi="Arial" w:cs="Arial"/>
          <w:noProof/>
        </w:rPr>
        <w:t>(</w:t>
      </w:r>
      <w:r w:rsidR="0089701A" w:rsidRPr="0089701A">
        <w:rPr>
          <w:rFonts w:ascii="Arial" w:hAnsi="Arial" w:cs="Arial"/>
          <w:noProof/>
        </w:rPr>
        <w:t>2018)</w:t>
      </w:r>
      <w:r w:rsidR="0089701A">
        <w:rPr>
          <w:rFonts w:ascii="Arial" w:hAnsi="Arial" w:cs="Arial"/>
        </w:rPr>
        <w:fldChar w:fldCharType="end"/>
      </w:r>
      <w:r w:rsidR="001A1928">
        <w:rPr>
          <w:rFonts w:ascii="Arial" w:hAnsi="Arial" w:cs="Arial"/>
        </w:rPr>
        <w:t xml:space="preserve"> </w:t>
      </w:r>
      <w:r w:rsidR="00105C69">
        <w:rPr>
          <w:rFonts w:ascii="Arial" w:hAnsi="Arial" w:cs="Arial"/>
        </w:rPr>
        <w:t xml:space="preserve">have examined </w:t>
      </w:r>
      <w:r w:rsidR="00A26462">
        <w:rPr>
          <w:rFonts w:ascii="Arial" w:hAnsi="Arial" w:cs="Arial"/>
        </w:rPr>
        <w:t>L</w:t>
      </w:r>
      <w:r w:rsidR="00105C69">
        <w:rPr>
          <w:rFonts w:ascii="Arial" w:hAnsi="Arial" w:cs="Arial"/>
        </w:rPr>
        <w:t>ower Danube detrital zircon signatures</w:t>
      </w:r>
      <w:r w:rsidR="00A26462">
        <w:rPr>
          <w:rFonts w:ascii="Arial" w:hAnsi="Arial" w:cs="Arial"/>
        </w:rPr>
        <w:t xml:space="preserve"> within river sediments</w:t>
      </w:r>
      <w:r w:rsidR="00105C69">
        <w:rPr>
          <w:rFonts w:ascii="Arial" w:hAnsi="Arial" w:cs="Arial"/>
        </w:rPr>
        <w:t xml:space="preserve">, no </w:t>
      </w:r>
      <w:r w:rsidR="001A1928">
        <w:rPr>
          <w:rFonts w:ascii="Arial" w:hAnsi="Arial" w:cs="Arial"/>
        </w:rPr>
        <w:t xml:space="preserve">detailed </w:t>
      </w:r>
      <w:r w:rsidR="00105C69">
        <w:rPr>
          <w:rFonts w:ascii="Arial" w:hAnsi="Arial" w:cs="Arial"/>
        </w:rPr>
        <w:t xml:space="preserve">synthesis or </w:t>
      </w:r>
      <w:r w:rsidR="001A1928">
        <w:rPr>
          <w:rFonts w:ascii="Arial" w:hAnsi="Arial" w:cs="Arial"/>
        </w:rPr>
        <w:t>analysis of river sediment</w:t>
      </w:r>
      <w:r w:rsidR="00151E00">
        <w:rPr>
          <w:rFonts w:ascii="Arial" w:hAnsi="Arial" w:cs="Arial"/>
        </w:rPr>
        <w:t xml:space="preserve"> provenance</w:t>
      </w:r>
      <w:r w:rsidR="001A1928">
        <w:rPr>
          <w:rFonts w:ascii="Arial" w:hAnsi="Arial" w:cs="Arial"/>
        </w:rPr>
        <w:t xml:space="preserve"> from </w:t>
      </w:r>
      <w:r w:rsidR="00105C69">
        <w:rPr>
          <w:rFonts w:ascii="Arial" w:hAnsi="Arial" w:cs="Arial"/>
        </w:rPr>
        <w:t xml:space="preserve">the entire </w:t>
      </w:r>
      <w:r w:rsidR="001A1928">
        <w:rPr>
          <w:rFonts w:ascii="Arial" w:hAnsi="Arial" w:cs="Arial"/>
        </w:rPr>
        <w:t xml:space="preserve">Danube and tributaries currently </w:t>
      </w:r>
      <w:r w:rsidR="00105C69">
        <w:rPr>
          <w:rFonts w:ascii="Arial" w:hAnsi="Arial" w:cs="Arial"/>
        </w:rPr>
        <w:t>exists</w:t>
      </w:r>
      <w:r w:rsidR="007E6F8F">
        <w:rPr>
          <w:rFonts w:ascii="Arial" w:hAnsi="Arial" w:cs="Arial"/>
        </w:rPr>
        <w:t>.</w:t>
      </w:r>
      <w:r w:rsidR="00105C69">
        <w:rPr>
          <w:rFonts w:ascii="Arial" w:hAnsi="Arial" w:cs="Arial"/>
        </w:rPr>
        <w:t xml:space="preserve"> </w:t>
      </w:r>
      <w:bookmarkStart w:id="24" w:name="_Hlk51159277"/>
      <w:r w:rsidR="00151E00">
        <w:rPr>
          <w:rFonts w:ascii="Arial" w:hAnsi="Arial" w:cs="Arial"/>
        </w:rPr>
        <w:t>The s</w:t>
      </w:r>
      <w:r w:rsidR="00105C69">
        <w:rPr>
          <w:rFonts w:ascii="Arial" w:hAnsi="Arial" w:cs="Arial"/>
        </w:rPr>
        <w:t xml:space="preserve">tudy of sediment provenance in major rivers in loess </w:t>
      </w:r>
      <w:bookmarkEnd w:id="24"/>
      <w:r w:rsidR="00105C69">
        <w:rPr>
          <w:rFonts w:ascii="Arial" w:hAnsi="Arial" w:cs="Arial"/>
        </w:rPr>
        <w:t>areas has been shown to be critical in resolving questions over sediment routing in the Chinese Loess Plateau</w:t>
      </w:r>
      <w:r w:rsidR="0089701A">
        <w:rPr>
          <w:rFonts w:ascii="Arial" w:hAnsi="Arial" w:cs="Arial"/>
        </w:rPr>
        <w:t xml:space="preserve"> </w:t>
      </w:r>
      <w:r w:rsidR="0089701A">
        <w:rPr>
          <w:rFonts w:ascii="Arial" w:hAnsi="Arial" w:cs="Arial"/>
        </w:rPr>
        <w:fldChar w:fldCharType="begin" w:fldLock="1"/>
      </w:r>
      <w:r w:rsidR="000C5F79">
        <w:rPr>
          <w:rFonts w:ascii="Arial" w:hAnsi="Arial" w:cs="Arial"/>
        </w:rPr>
        <w:instrText>ADDIN CSL_CITATION {"citationItems":[{"id":"ITEM-1","itemData":{"DOI":"10.1016/j.quascirev.2012.11.032","ISSN":"02773791","author":[{"dropping-particle":"","family":"Stevens","given":"Thomas","non-dropping-particle":"","parse-names":false,"suffix":""},{"dropping-particle":"","family":"Carter","given":"Andrew","non-dropping-particle":"","parse-names":false,"suffix":""},{"dropping-particle":"","family":"Watson","given":"T. P.","non-dropping-particle":"","parse-names":false,"suffix":""},{"dropping-particle":"","family":"Vermeesch","given":"Pieter","non-dropping-particle":"","parse-names":false,"suffix":""},{"dropping-particle":"","family":"Andò","given":"Sergio","non-dropping-particle":"","parse-names":false,"suffix":""},{"dropping-particle":"","family":"Bird","given":"Anna F.","non-dropping-particle":"","parse-names":false,"suffix":""},{"dropping-particle":"","family":"Lu","given":"Huayu","non-dropping-particle":"","parse-names":false,"suffix":""},{"dropping-particle":"","family":"Garzanti","given":"Eduardo","non-dropping-particle":"","parse-names":false,"suffix":""},{"dropping-particle":"","family":"Cottam","given":"M. A.","non-dropping-particle":"","parse-names":false,"suffix":""},{"dropping-particle":"","family":"Sevastjanova","given":"I.","non-dropping-particle":"","parse-names":false,"suffix":""}],"container-title":"Quaternary Science Reviews","id":"ITEM-1","issued":{"date-parts":[["2013"]]},"page":"355-368","title":"Genetic linkage between the Yellow River, the Mu Us desert and the Chinese Loess Plateau","type":"article-journal","volume":"78"},"uris":["http://www.mendeley.com/documents/?uuid=a343d92d-e6e1-433c-992e-f5f6024f8cfe"]},{"id":"ITEM-2","itemData":{"DOI":"10.1038/ncomms9511","abstract":"Marine accumulations of terrigenous sediment are widely assumed to accurately record climatic- and tectonic-controlled mountain denudation and play an important role in understanding late Cenozoic mountain uplift and global cooling. Underpinning this is the assumption that the majority of sediment eroded from hinterland orogenic belts is transported to and ultimately stored in marine basins with little lag between erosion and deposition. Here we use a detailed and multi-technique sedimentary provenance dataset from the Yellow River to show that substantial amounts of sediment eroded from Northeast Tibet and carried by the river’s upper reach are stored in the Chinese Loess Plateau and the western Mu Us desert. This finding revises our understanding of the origin of the Chinese Loess Plateau and provides a potential solution for mismatches between late Cenozoic terrestrial sedimentation and marine geochemistry records, as well as between global CO2 and erosion records.","author":[{"dropping-particle":"","family":"Nie","given":"Junsheng","non-dropping-particle":"","parse-names":false,"suffix":""},{"dropping-particle":"","family":"Stevens","given":"Thomas","non-dropping-particle":"","parse-names":false,"suffix":""},{"dropping-particle":"","family":"Rittner","given":"Martin","non-dropping-particle":"","parse-names":false,"suffix":""},{"dropping-particle":"","family":"Stockli","given":"Daniel F.","non-dropping-particle":"","parse-names":false,"suffix":""},{"dropping-particle":"","family":"Garzanti","given":"Eduardo","non-dropping-particle":"","parse-names":false,"suffix":""},{"dropping-particle":"","family":"Limonta","given":"Mara","non-dropping-particle":"","parse-names":false,"suffix":""},{"dropping-particle":"","family":"Vermeesch","given":"Pieter","non-dropping-particle":"","parse-names":false,"suffix":""},{"dropping-particle":"","family":"Saylor","given":"Joel E.","non-dropping-particle":"","parse-names":false,"suffix":""},{"dropping-particle":"","family":"Lu","given":"Huayu","non-dropping-particle":"","parse-names":false,"suffix":""},{"dropping-particle":"","family":"Breecker","given":"Daniel","non-dropping-particle":"","parse-names":false,"suffix":""},{"dropping-particle":"","family":"Hu","given":"Xiaofei","non-dropping-particle":"","parse-names":false,"suffix":""},{"dropping-particle":"","family":"Bird","given":"Anna F.","non-dropping-particle":"","parse-names":false,"suffix":""},{"dropping-particle":"","family":"Ando","given":"Sergio","non-dropping-particle":"","parse-names":false,"suffix":""},{"dropping-particle":"","family":"Liu","given":"Shanpin","non-dropping-particle":"","parse-names":false,"suffix":""},{"dropping-particle":"","family":"Resentini","given":"Alberto","non-dropping-particle":"","parse-names":false,"suffix":""},{"dropping-particle":"","family":"Vezzoli","given":"Giovanni","non-dropping-particle":"","parse-names":false,"suffix":""},{"dropping-particle":"","family":"Peng","given":"Wenbin","non-dropping-particle":"","parse-names":false,"suffix":""},{"dropping-particle":"","family":"Carter","given":"Andrew","non-dropping-particle":"","parse-names":false,"suffix":""},{"dropping-particle":"","family":"Ji","given":"Shunchuan","non-dropping-particle":"","parse-names":false,"suffix":""},{"dropping-particle":"","family":"Pan","given":"Baotian","non-dropping-particle":"","parse-names":false,"suffix":""}],"container-title":"Nature Communications","id":"ITEM-2","issued":{"date-parts":[["2015"]]},"title":"Loess Plateau storage of Northeastern Tibetan Plateau-derived Yellow River sediment","type":"article-journal","volume":"6"},"uris":["http://www.mendeley.com/documents/?uuid=2a84c5b0-8d86-40c9-bd7b-441b4e1599d9"]}],"mendeley":{"formattedCitation":"(Nie et al., 2015; Stevens et al., 2013)","plainTextFormattedCitation":"(Nie et al., 2015; Stevens et al., 2013)","previouslyFormattedCitation":"(Nie et al., 2015; Stevens et al., 2013)"},"properties":{"noteIndex":0},"schema":"https://github.com/citation-style-language/schema/raw/master/csl-citation.json"}</w:instrText>
      </w:r>
      <w:r w:rsidR="0089701A">
        <w:rPr>
          <w:rFonts w:ascii="Arial" w:hAnsi="Arial" w:cs="Arial"/>
        </w:rPr>
        <w:fldChar w:fldCharType="separate"/>
      </w:r>
      <w:r w:rsidR="0089701A" w:rsidRPr="0089701A">
        <w:rPr>
          <w:rFonts w:ascii="Arial" w:hAnsi="Arial" w:cs="Arial"/>
          <w:noProof/>
        </w:rPr>
        <w:t>(Nie et al., 2015; Stevens et al., 2013)</w:t>
      </w:r>
      <w:r w:rsidR="0089701A">
        <w:rPr>
          <w:rFonts w:ascii="Arial" w:hAnsi="Arial" w:cs="Arial"/>
        </w:rPr>
        <w:fldChar w:fldCharType="end"/>
      </w:r>
      <w:r w:rsidR="0089701A">
        <w:rPr>
          <w:rFonts w:ascii="Arial" w:hAnsi="Arial" w:cs="Arial"/>
        </w:rPr>
        <w:t xml:space="preserve">. </w:t>
      </w:r>
      <w:bookmarkStart w:id="25" w:name="_Hlk64962005"/>
      <w:r w:rsidR="007E6F8F">
        <w:rPr>
          <w:rFonts w:ascii="Arial" w:hAnsi="Arial" w:cs="Arial"/>
        </w:rPr>
        <w:t>T</w:t>
      </w:r>
      <w:r w:rsidR="00105C69">
        <w:rPr>
          <w:rFonts w:ascii="Arial" w:hAnsi="Arial" w:cs="Arial"/>
        </w:rPr>
        <w:t xml:space="preserve">o overcome these limitations and systematically investigate the provenance of Danube </w:t>
      </w:r>
      <w:r w:rsidR="00A26462">
        <w:rPr>
          <w:rFonts w:ascii="Arial" w:hAnsi="Arial" w:cs="Arial"/>
        </w:rPr>
        <w:t>R</w:t>
      </w:r>
      <w:r w:rsidR="00105C69">
        <w:rPr>
          <w:rFonts w:ascii="Arial" w:hAnsi="Arial" w:cs="Arial"/>
        </w:rPr>
        <w:t>iver and associated loess sediments, t</w:t>
      </w:r>
      <w:r w:rsidR="007E6F8F">
        <w:rPr>
          <w:rFonts w:ascii="Arial" w:hAnsi="Arial" w:cs="Arial"/>
        </w:rPr>
        <w:t>his study presents new detrital zircon U-Pb (3453 grains) results from 31 loess, palaeosol</w:t>
      </w:r>
      <w:r w:rsidR="00B70951">
        <w:rPr>
          <w:rFonts w:ascii="Arial" w:hAnsi="Arial" w:cs="Arial"/>
        </w:rPr>
        <w:t>,</w:t>
      </w:r>
      <w:r w:rsidR="007E6F8F">
        <w:rPr>
          <w:rFonts w:ascii="Arial" w:hAnsi="Arial" w:cs="Arial"/>
        </w:rPr>
        <w:t xml:space="preserve"> and fluvial samples </w:t>
      </w:r>
      <w:r w:rsidR="00394C96">
        <w:rPr>
          <w:rFonts w:ascii="Arial" w:hAnsi="Arial" w:cs="Arial"/>
        </w:rPr>
        <w:t xml:space="preserve">complemented </w:t>
      </w:r>
      <w:r w:rsidR="007E6F8F">
        <w:rPr>
          <w:rFonts w:ascii="Arial" w:hAnsi="Arial" w:cs="Arial"/>
        </w:rPr>
        <w:t>by 210 existing loess, fluvial, and</w:t>
      </w:r>
      <w:r w:rsidR="00743B26">
        <w:rPr>
          <w:rFonts w:ascii="Arial" w:hAnsi="Arial" w:cs="Arial"/>
        </w:rPr>
        <w:t xml:space="preserve"> </w:t>
      </w:r>
      <w:r w:rsidR="00394C96">
        <w:rPr>
          <w:rFonts w:ascii="Arial" w:hAnsi="Arial" w:cs="Arial"/>
        </w:rPr>
        <w:t xml:space="preserve">potential </w:t>
      </w:r>
      <w:r w:rsidR="00743B26">
        <w:rPr>
          <w:rFonts w:ascii="Arial" w:hAnsi="Arial" w:cs="Arial"/>
        </w:rPr>
        <w:t>primary</w:t>
      </w:r>
      <w:r w:rsidR="00394C96">
        <w:rPr>
          <w:rFonts w:ascii="Arial" w:hAnsi="Arial" w:cs="Arial"/>
        </w:rPr>
        <w:t xml:space="preserve"> </w:t>
      </w:r>
      <w:r w:rsidR="007E6F8F">
        <w:rPr>
          <w:rFonts w:ascii="Arial" w:hAnsi="Arial" w:cs="Arial"/>
        </w:rPr>
        <w:t xml:space="preserve">source rock datasets to constrain the source regions for loess material along the Danube </w:t>
      </w:r>
      <w:r w:rsidR="00A26462">
        <w:rPr>
          <w:rFonts w:ascii="Arial" w:hAnsi="Arial" w:cs="Arial"/>
        </w:rPr>
        <w:t>R</w:t>
      </w:r>
      <w:r w:rsidR="007E6F8F">
        <w:rPr>
          <w:rFonts w:ascii="Arial" w:hAnsi="Arial" w:cs="Arial"/>
        </w:rPr>
        <w:t xml:space="preserve">iver (Figure 1) and explore spatial variability between sites. </w:t>
      </w:r>
      <w:bookmarkEnd w:id="25"/>
      <w:r w:rsidR="00105C69">
        <w:rPr>
          <w:rFonts w:ascii="Arial" w:hAnsi="Arial" w:cs="Arial"/>
        </w:rPr>
        <w:t>To overcome potential homogeneity of detrital zircon U-Pb ages between source regions, in addition to U-Pb dating, analysis of zircon Hf isotopes (3089 grains) is also conducte</w:t>
      </w:r>
      <w:r w:rsidR="00566A3B">
        <w:rPr>
          <w:rFonts w:ascii="Arial" w:hAnsi="Arial" w:cs="Arial"/>
        </w:rPr>
        <w:t>d</w:t>
      </w:r>
      <w:r w:rsidR="008F59E9">
        <w:rPr>
          <w:rFonts w:ascii="Arial" w:hAnsi="Arial" w:cs="Arial"/>
        </w:rPr>
        <w:t xml:space="preserve">. The results of Hf isotope analysis are further compared to 57 published loess and primary source rock datasets. </w:t>
      </w:r>
      <w:bookmarkStart w:id="26" w:name="_Hlk74137980"/>
    </w:p>
    <w:p w14:paraId="4DD1669E" w14:textId="58DD465C" w:rsidR="00CD0C5D" w:rsidRPr="00964EE7" w:rsidRDefault="000F4ED1" w:rsidP="00CD0C5D">
      <w:pPr>
        <w:pStyle w:val="Heading1"/>
        <w:numPr>
          <w:ilvl w:val="0"/>
          <w:numId w:val="34"/>
        </w:numPr>
        <w:spacing w:before="120" w:after="120" w:line="480" w:lineRule="auto"/>
        <w:ind w:left="567" w:hanging="567"/>
        <w:jc w:val="both"/>
        <w:rPr>
          <w:rFonts w:ascii="Arial" w:hAnsi="Arial" w:cs="Arial"/>
          <w:b/>
          <w:color w:val="auto"/>
          <w:sz w:val="24"/>
        </w:rPr>
      </w:pPr>
      <w:bookmarkStart w:id="27" w:name="_Hlk64962457"/>
      <w:r>
        <w:rPr>
          <w:rFonts w:ascii="Arial" w:hAnsi="Arial" w:cs="Arial"/>
          <w:b/>
          <w:color w:val="auto"/>
          <w:sz w:val="24"/>
        </w:rPr>
        <w:lastRenderedPageBreak/>
        <w:t>Geologic</w:t>
      </w:r>
      <w:r w:rsidR="00CD0C5D">
        <w:rPr>
          <w:rFonts w:ascii="Arial" w:hAnsi="Arial" w:cs="Arial"/>
          <w:b/>
          <w:color w:val="auto"/>
          <w:sz w:val="24"/>
        </w:rPr>
        <w:t xml:space="preserve"> setting</w:t>
      </w:r>
    </w:p>
    <w:p w14:paraId="0805965C" w14:textId="6D0FBA7C" w:rsidR="00241973" w:rsidRDefault="00241973" w:rsidP="00EC4BCA">
      <w:pPr>
        <w:spacing w:before="120" w:after="120" w:line="480" w:lineRule="auto"/>
        <w:jc w:val="both"/>
        <w:rPr>
          <w:rFonts w:ascii="Arial" w:hAnsi="Arial" w:cs="Arial"/>
        </w:rPr>
      </w:pPr>
      <w:bookmarkStart w:id="28" w:name="_Hlk75353754"/>
      <w:bookmarkEnd w:id="27"/>
      <w:r w:rsidRPr="00241973">
        <w:rPr>
          <w:rFonts w:ascii="Arial" w:hAnsi="Arial" w:cs="Arial"/>
        </w:rPr>
        <w:t xml:space="preserve">Central and Eastern Europe </w:t>
      </w:r>
      <w:r w:rsidR="0051799E">
        <w:rPr>
          <w:rFonts w:ascii="Arial" w:hAnsi="Arial" w:cs="Arial"/>
        </w:rPr>
        <w:t xml:space="preserve">(Figure 2) </w:t>
      </w:r>
      <w:r w:rsidRPr="00241973">
        <w:rPr>
          <w:rFonts w:ascii="Arial" w:hAnsi="Arial" w:cs="Arial"/>
        </w:rPr>
        <w:t>has a very complex geological history</w:t>
      </w:r>
      <w:r w:rsidR="00875091">
        <w:rPr>
          <w:rFonts w:ascii="Arial" w:hAnsi="Arial" w:cs="Arial"/>
        </w:rPr>
        <w:t xml:space="preserve"> and is</w:t>
      </w:r>
      <w:r w:rsidR="00875091" w:rsidRPr="007B442E">
        <w:rPr>
          <w:rFonts w:ascii="Arial" w:hAnsi="Arial" w:cs="Arial"/>
        </w:rPr>
        <w:t xml:space="preserve"> broadly composed of twelve tectonic units </w:t>
      </w:r>
      <w:r w:rsidR="00875091" w:rsidRPr="007B442E">
        <w:rPr>
          <w:rFonts w:ascii="Arial" w:hAnsi="Arial" w:cs="Arial"/>
        </w:rPr>
        <w:fldChar w:fldCharType="begin" w:fldLock="1"/>
      </w:r>
      <w:r w:rsidR="00875091">
        <w:rPr>
          <w:rFonts w:ascii="Arial" w:hAnsi="Arial" w:cs="Arial"/>
        </w:rPr>
        <w:instrText>ADDIN CSL_CITATION {"citationItems":[{"id":"ITEM-1","itemData":{"DOI":"10.1007/s00015-008-1247-3","ISBN":"1661-8726","ISSN":"1661-8726","PMID":"23551","abstract":"A correlation of tectonic units of the Alpine-Carpathian-Dinaridic system of orogens, including the substrate of the Pannonian and Transylvanian basins, is presented in the form of a map. Combined with a series of crustal-scale cross sections this correlation of tectonic units yields a clearer picture of the three-dimensional architecture of this system of orogens that owes its considerable complexity to multiple overprinting of earlier by younger deformations. The synthesis advanced here indicates that none of the branches of the Alpine Tethys and Neotethys extended eastward into the Dobrogea Orogen. Instead, the main branch of the Alpine Tethys linked up with the Meliata-Maliac-Vardar branch of the Neotethys into the area of the present-day Inner Dinarides. More easterly and subsidiary branches of the Alpine Tethys separated Tisza completely, and Dacia partially, from the European continent. Remnants of the Triassic parts of Neotethys (Meliata-Maliac) are preserved only as ophiolitic melanges present below obducted Jurassic Neotethyan (Vardar) ophiolites. The opening of the Alpine Tethys was largely contemporaneous with the Latest Jurassic to Early Cretaceous obduction of parts of the Jurassic Vardar ophiolites. Closure of the Meliata-Maliac Ocean in the Alps and West Carpathians led to Cretaceous-age orogeny associated with an eclogitic overprint of the adjacent continental margin. The Triassic Meliata-Maliac and Jurassic Western and Eastern Vardar ophiolites were derived from one single branch of Neotethys: the Meliata-Maliac-Vardar Ocean. Complex geometries resulting from out-of-sequence thrusting during Cretaceous and Cenozoic orogenic phases underlay a variety of multi-ocean hypotheses, that were advanced in the literature and that we regard as incompatible with the field evidence. The present-day configuration of tectonic units suggests that a former connection between ophiolitic units in West Carpathians and Dinarides was disrupted by substantial Miocene-age dislocations along the Mid-Hungarian Fault Zone, hiding a former lateral change in subduction polarity between West Carpathians and Dinarides. The SW-facing Dinaridic Orogen, mainly structured in Cretaceous and Palaeogene times, was juxtaposed with the Tisza and Dacia Mega-Units along a NW-dipping suture (Sava Zone) in latest Cretaceous to Palaeogene times. The Dacia Mega-Unit (East and South Carpathian Orogen, including the Carpatho-Balkan Orogen and the Biharia nappe system of the Apuseni…","author":[{"dropping-particle":"","family":"Schmid","given":"Stefan Martin","non-dropping-particle":"","parse-names":false,"suffix":""},{"dropping-particle":"","family":"Bernoulli","given":"Daniel","non-dropping-particle":"","parse-names":false,"suffix":""},{"dropping-particle":"","family":"Fügenschuh","given":"Bernhard","non-dropping-particle":"","parse-names":false,"suffix":""},{"dropping-particle":"","family":"Matenco","given":"Liviu","non-dropping-particle":"","parse-names":false,"suffix":""},{"dropping-particle":"","family":"Schefer","given":"Senecio","non-dropping-particle":"","parse-names":false,"suffix":""},{"dropping-particle":"","family":"Schuster","given":"Ralf","non-dropping-particle":"","parse-names":false,"suffix":""},{"dropping-particle":"","family":"Tischler","given":"Matthias","non-dropping-particle":"","parse-names":false,"suffix":""},{"dropping-particle":"","family":"Ustaszewski","given":"Kamil","non-dropping-particle":"","parse-names":false,"suffix":""}],"container-title":"Swiss Journal of Geosciences","id":"ITEM-1","issue":"1","issued":{"date-parts":[["2008","5","24"]]},"page":"139-183","title":"The Alpine-Carpathian-Dinaridic orogenic system: correlation and evolution of tectonic units","type":"article-journal","volume":"101"},"uris":["http://www.mendeley.com/documents/?uuid=34bc6653-a91a-4f4e-b7b6-62d3796fdd37"]}],"mendeley":{"formattedCitation":"(Schmid et al., 2008)","plainTextFormattedCitation":"(Schmid et al., 2008)","previouslyFormattedCitation":"(Schmid et al., 2008)"},"properties":{"noteIndex":0},"schema":"https://github.com/citation-style-language/schema/raw/master/csl-citation.json"}</w:instrText>
      </w:r>
      <w:r w:rsidR="00875091" w:rsidRPr="007B442E">
        <w:rPr>
          <w:rFonts w:ascii="Arial" w:hAnsi="Arial" w:cs="Arial"/>
        </w:rPr>
        <w:fldChar w:fldCharType="separate"/>
      </w:r>
      <w:r w:rsidR="00875091" w:rsidRPr="007B442E">
        <w:rPr>
          <w:rFonts w:ascii="Arial" w:hAnsi="Arial" w:cs="Arial"/>
          <w:noProof/>
        </w:rPr>
        <w:t>(Schmid et al., 2008)</w:t>
      </w:r>
      <w:r w:rsidR="00875091" w:rsidRPr="007B442E">
        <w:rPr>
          <w:rFonts w:ascii="Arial" w:hAnsi="Arial" w:cs="Arial"/>
        </w:rPr>
        <w:fldChar w:fldCharType="end"/>
      </w:r>
      <w:r w:rsidR="00875091">
        <w:rPr>
          <w:rFonts w:ascii="Arial" w:hAnsi="Arial" w:cs="Arial"/>
        </w:rPr>
        <w:t>.. The region was</w:t>
      </w:r>
      <w:r>
        <w:rPr>
          <w:rFonts w:ascii="Arial" w:hAnsi="Arial" w:cs="Arial"/>
        </w:rPr>
        <w:t xml:space="preserve"> shaped by</w:t>
      </w:r>
      <w:r w:rsidRPr="00241973">
        <w:rPr>
          <w:rFonts w:ascii="Arial" w:hAnsi="Arial" w:cs="Arial"/>
        </w:rPr>
        <w:t xml:space="preserve"> several continental collision</w:t>
      </w:r>
      <w:r w:rsidR="00E20FA4">
        <w:rPr>
          <w:rFonts w:ascii="Arial" w:hAnsi="Arial" w:cs="Arial"/>
        </w:rPr>
        <w:t>s</w:t>
      </w:r>
      <w:r w:rsidR="00817C15">
        <w:rPr>
          <w:rFonts w:ascii="Arial" w:hAnsi="Arial" w:cs="Arial"/>
        </w:rPr>
        <w:t>,</w:t>
      </w:r>
      <w:r w:rsidRPr="00241973">
        <w:rPr>
          <w:rFonts w:ascii="Arial" w:hAnsi="Arial" w:cs="Arial"/>
        </w:rPr>
        <w:t xml:space="preserve"> </w:t>
      </w:r>
      <w:r w:rsidR="007E379D">
        <w:rPr>
          <w:rFonts w:ascii="Arial" w:hAnsi="Arial" w:cs="Arial"/>
        </w:rPr>
        <w:t>rifting</w:t>
      </w:r>
      <w:r w:rsidRPr="00241973">
        <w:rPr>
          <w:rFonts w:ascii="Arial" w:hAnsi="Arial" w:cs="Arial"/>
        </w:rPr>
        <w:t xml:space="preserve">, </w:t>
      </w:r>
      <w:r w:rsidR="00817C15">
        <w:rPr>
          <w:rFonts w:ascii="Arial" w:hAnsi="Arial" w:cs="Arial"/>
        </w:rPr>
        <w:t xml:space="preserve">and </w:t>
      </w:r>
      <w:r w:rsidRPr="00241973">
        <w:rPr>
          <w:rFonts w:ascii="Arial" w:hAnsi="Arial" w:cs="Arial"/>
        </w:rPr>
        <w:t>mountain building events</w:t>
      </w:r>
      <w:r w:rsidR="00875091">
        <w:rPr>
          <w:rFonts w:ascii="Arial" w:hAnsi="Arial" w:cs="Arial"/>
        </w:rPr>
        <w:t xml:space="preserve">, which </w:t>
      </w:r>
      <w:r>
        <w:rPr>
          <w:rFonts w:ascii="Arial" w:hAnsi="Arial" w:cs="Arial"/>
        </w:rPr>
        <w:t xml:space="preserve"> culminat</w:t>
      </w:r>
      <w:r w:rsidR="00817C15">
        <w:rPr>
          <w:rFonts w:ascii="Arial" w:hAnsi="Arial" w:cs="Arial"/>
        </w:rPr>
        <w:t>ed</w:t>
      </w:r>
      <w:r>
        <w:rPr>
          <w:rFonts w:ascii="Arial" w:hAnsi="Arial" w:cs="Arial"/>
        </w:rPr>
        <w:t xml:space="preserve"> with the collision of Africa and Eurasia, </w:t>
      </w:r>
      <w:r w:rsidR="00E20FA4">
        <w:rPr>
          <w:rFonts w:ascii="Arial" w:hAnsi="Arial" w:cs="Arial"/>
        </w:rPr>
        <w:t xml:space="preserve">the </w:t>
      </w:r>
      <w:r>
        <w:rPr>
          <w:rFonts w:ascii="Arial" w:hAnsi="Arial" w:cs="Arial"/>
        </w:rPr>
        <w:t>closure of the</w:t>
      </w:r>
      <w:r w:rsidRPr="00241973">
        <w:rPr>
          <w:rFonts w:ascii="Arial" w:hAnsi="Arial" w:cs="Arial"/>
        </w:rPr>
        <w:t xml:space="preserve"> Tethys Ocean</w:t>
      </w:r>
      <w:r>
        <w:rPr>
          <w:rFonts w:ascii="Arial" w:hAnsi="Arial" w:cs="Arial"/>
        </w:rPr>
        <w:t xml:space="preserve">, and associated </w:t>
      </w:r>
      <w:r w:rsidRPr="00241973">
        <w:rPr>
          <w:rFonts w:ascii="Arial" w:hAnsi="Arial" w:cs="Arial"/>
        </w:rPr>
        <w:t>Alpine Orogeny</w:t>
      </w:r>
      <w:r>
        <w:rPr>
          <w:rFonts w:ascii="Arial" w:hAnsi="Arial" w:cs="Arial"/>
        </w:rPr>
        <w:t xml:space="preserve"> (2.5-65 Ma) responsible for the uplift of the </w:t>
      </w:r>
      <w:r w:rsidRPr="00241973">
        <w:rPr>
          <w:rFonts w:ascii="Arial" w:hAnsi="Arial" w:cs="Arial"/>
        </w:rPr>
        <w:t>Alps, Carpathian</w:t>
      </w:r>
      <w:r w:rsidR="00E20FA4">
        <w:rPr>
          <w:rFonts w:ascii="Arial" w:hAnsi="Arial" w:cs="Arial"/>
        </w:rPr>
        <w:t>s</w:t>
      </w:r>
      <w:r w:rsidRPr="00241973">
        <w:rPr>
          <w:rFonts w:ascii="Arial" w:hAnsi="Arial" w:cs="Arial"/>
        </w:rPr>
        <w:t>, Dinaric Alps and Balkan Mountains that now surround the Pannonian Basin</w:t>
      </w:r>
      <w:r>
        <w:rPr>
          <w:rFonts w:ascii="Arial" w:hAnsi="Arial" w:cs="Arial"/>
        </w:rPr>
        <w:t xml:space="preserve"> </w:t>
      </w:r>
      <w:r>
        <w:rPr>
          <w:rFonts w:ascii="Arial" w:hAnsi="Arial" w:cs="Arial"/>
        </w:rPr>
        <w:fldChar w:fldCharType="begin" w:fldLock="1"/>
      </w:r>
      <w:r w:rsidR="00A85BC3">
        <w:rPr>
          <w:rFonts w:ascii="Arial" w:hAnsi="Arial" w:cs="Arial"/>
        </w:rPr>
        <w:instrText>ADDIN CSL_CITATION {"citationItems":[{"id":"ITEM-1","itemData":{"DOI":"10.1007/s00015-008-1247-3","ISBN":"1661-8726","ISSN":"1661-8726","PMID":"23551","abstract":"A correlation of tectonic units of the Alpine-Carpathian-Dinaridic system of orogens, including the substrate of the Pannonian and Transylvanian basins, is presented in the form of a map. Combined with a series of crustal-scale cross sections this correlation of tectonic units yields a clearer picture of the three-dimensional architecture of this system of orogens that owes its considerable complexity to multiple overprinting of earlier by younger deformations. The synthesis advanced here indicates that none of the branches of the Alpine Tethys and Neotethys extended eastward into the Dobrogea Orogen. Instead, the main branch of the Alpine Tethys linked up with the Meliata-Maliac-Vardar branch of the Neotethys into the area of the present-day Inner Dinarides. More easterly and subsidiary branches of the Alpine Tethys separated Tisza completely, and Dacia partially, from the European continent. Remnants of the Triassic parts of Neotethys (Meliata-Maliac) are preserved only as ophiolitic melanges present below obducted Jurassic Neotethyan (Vardar) ophiolites. The opening of the Alpine Tethys was largely contemporaneous with the Latest Jurassic to Early Cretaceous obduction of parts of the Jurassic Vardar ophiolites. Closure of the Meliata-Maliac Ocean in the Alps and West Carpathians led to Cretaceous-age orogeny associated with an eclogitic overprint of the adjacent continental margin. The Triassic Meliata-Maliac and Jurassic Western and Eastern Vardar ophiolites were derived from one single branch of Neotethys: the Meliata-Maliac-Vardar Ocean. Complex geometries resulting from out-of-sequence thrusting during Cretaceous and Cenozoic orogenic phases underlay a variety of multi-ocean hypotheses, that were advanced in the literature and that we regard as incompatible with the field evidence. The present-day configuration of tectonic units suggests that a former connection between ophiolitic units in West Carpathians and Dinarides was disrupted by substantial Miocene-age dislocations along the Mid-Hungarian Fault Zone, hiding a former lateral change in subduction polarity between West Carpathians and Dinarides. The SW-facing Dinaridic Orogen, mainly structured in Cretaceous and Palaeogene times, was juxtaposed with the Tisza and Dacia Mega-Units along a NW-dipping suture (Sava Zone) in latest Cretaceous to Palaeogene times. The Dacia Mega-Unit (East and South Carpathian Orogen, including the Carpatho-Balkan Orogen and the Biharia nappe system of the Apuseni…","author":[{"dropping-particle":"","family":"Schmid","given":"Stefan Martin","non-dropping-particle":"","parse-names":false,"suffix":""},{"dropping-particle":"","family":"Bernoulli","given":"Daniel","non-dropping-particle":"","parse-names":false,"suffix":""},{"dropping-particle":"","family":"Fügenschuh","given":"Bernhard","non-dropping-particle":"","parse-names":false,"suffix":""},{"dropping-particle":"","family":"Matenco","given":"Liviu","non-dropping-particle":"","parse-names":false,"suffix":""},{"dropping-particle":"","family":"Schefer","given":"Senecio","non-dropping-particle":"","parse-names":false,"suffix":""},{"dropping-particle":"","family":"Schuster","given":"Ralf","non-dropping-particle":"","parse-names":false,"suffix":""},{"dropping-particle":"","family":"Tischler","given":"Matthias","non-dropping-particle":"","parse-names":false,"suffix":""},{"dropping-particle":"","family":"Ustaszewski","given":"Kamil","non-dropping-particle":"","parse-names":false,"suffix":""}],"container-title":"Swiss Journal of Geosciences","id":"ITEM-1","issue":"1","issued":{"date-parts":[["2008","5","24"]]},"page":"139-183","title":"The Alpine-Carpathian-Dinaridic orogenic system: correlation and evolution of tectonic units","type":"article-journal","volume":"101"},"uris":["http://www.mendeley.com/documents/?uuid=34bc6653-a91a-4f4e-b7b6-62d3796fdd37"]},{"id":"ITEM-2","itemData":{"DOI":"10.1016/j.gr.2019.07.005","ISSN":"1342937X","abstract":"We present a map that correlates tectonic units between Alps and western Turkey accompanied by a text providing access to literature data, explaining the concepts used for defining the mapped tectonic units, and first-order paleogeographic inferences. Along-strike similarities and differences of the Alpine-Eastern Mediterranean orogenic system are discussed. The map allows (1) for superimposing additional information, such as e.g., post-tectonic sedimentary basins, manifestations of magmatic activity, onto a coherent tectonic framework and (2) for outlining the major features of the Alpine-Eastern Mediterranean orogen. Dinarides-Hellenides, Anatolides and Taurides are orogens of opposite subduction polarity and direction of major transport with respect to Alps and Carpathians, and polarity switches across the Mid-Hungarian fault zone. The Dinarides-Hellenides-Taurides (and Apennines) consist of nappes detached from the Greater Adriatic continental margin during Cretaceous and Cenozoic orogeny. Internal units form composite nappes that passively carry ophiolites obducted in the latest Jurassic–earliest Cretaceous or during the Late Cretaceous on top of the Greater Adriatic margin successions. The ophiolites on top of composite nappes do not represent oceanic sutures zones, but root in the suture zones of Neotethys that formed after obduction. Suturing between Greater Adria and the northern and eastern Neotethys margin occupied by the Tisza and Dacia mega-units and the Pontides occurred in the latest Cretaceous along the Sava-İzmir-Ankara-Erzincan suture zones. The Rhodopian orogen is interpreted as a deep-crustal nappe stack formed in tandem with the Carpatho-Balkanides fold-thrust belt, now exposed in a giant core complex exhumed in late Eocene to Miocene times from below the Carpatho-Balkan orogen and the Circum-Rhodope unit. Its tectonic position is similar to that of the Sakarya unit of the Pontides. We infer that the Rhodope nappe stack formed due to north-directed thrusting. Both Rhodopes and Pontides are suspected to preserve the westernmost relics of the suture zone of Paleotethys.","author":[{"dropping-particle":"","family":"Schmid","given":"Stefan Martin","non-dropping-particle":"","parse-names":false,"suffix":""},{"dropping-particle":"","family":"Fügenschuh","given":"Bernhard","non-dropping-particle":"","parse-names":false,"suffix":""},{"dropping-particle":"","family":"Kounov","given":"Alexandre","non-dropping-particle":"","parse-names":false,"suffix":""},{"dropping-particle":"","family":"Maţenco","given":"Liviu","non-dropping-particle":"","parse-names":false,"suffix":""},{"dropping-particle":"","family":"Nievergelt","given":"Peter","non-dropping-particle":"","parse-names":false,"suffix":""},{"dropping-particle":"","family":"Oberhänsli","given":"Roland","non-dropping-particle":"","parse-names":false,"suffix":""},{"dropping-particle":"","family":"Pleuger","given":"Jan","non-dropping-particle":"","parse-names":false,"suffix":""},{"dropping-particle":"","family":"Schefer","given":"Senecio","non-dropping-particle":"","parse-names":false,"suffix":""},{"dropping-particle":"","family":"Schuster","given":"Ralf","non-dropping-particle":"","parse-names":false,"suffix":""},{"dropping-particle":"","family":"Tomljenović","given":"Bruno","non-dropping-particle":"","parse-names":false,"suffix":""},{"dropping-particle":"","family":"Ustaszewski","given":"Kamil","non-dropping-particle":"","parse-names":false,"suffix":""},{"dropping-particle":"","family":"Hinsbergen","given":"Douwe J.J.","non-dropping-particle":"van","parse-names":false,"suffix":""}],"container-title":"Gondwana Research","id":"ITEM-2","issued":{"date-parts":[["2020","2"]]},"page":"308-374","title":"Tectonic units of the Alpine collision zone between Eastern Alps and western Turkey","type":"article-journal","volume":"78"},"uris":["http://www.mendeley.com/documents/?uuid=69401dc2-711e-4009-8a57-dc669601fa40"]},{"id":"ITEM-3","itemData":{"DOI":"10.1016/j.gr.2019.07.009","ISSN":"1342937X","abstract":"The basins and orogens of the Mediterranean region ultimately result from the opening of oceans during the early break-up of Pangea since the Triassic, and their subsequent destruction by subduction accommodating convergence between the African and Eurasian Plates since the Jurassic. The region has been the cradle for the development of geodynamic concepts that link crustal evolution to continental break-up, oceanic and continental subduction, and mantle dynamics in general. The development of such concepts requires a first-order understanding of the kinematic evolution of the region for which a multitude of reconstructions have previously been proposed. In this paper, we use advances made in kinematic restoration software in the last decade with a systematic reconstruction protocol for developing a more quantitative restoration of the Mediterranean region for the last 240 million years. This restoration is constructed for the first time with the GPlates plate reconstruction software and uses a systematic reconstruction protocol that limits input data to marine magnetic anomaly reconstructions of ocean basins, structural geological constraints quantifying timing, direction, and magnitude of tectonic motion, and tests and iterations against paleomagnetic data. This approach leads to a reconstruction that is reproducible, and updatable with future constraints. We first review constraints on the opening history of the Atlantic (and Red Sea) oceans and the Bay of Biscay. We then provide a comprehensive overview of the architecture of the Mediterranean orogens, from the Pyrenees and Betic-Rif orogen in the west to the Caucasus in the east and identify structural geological constraints on tectonic motions. We subsequently analyze a newly constructed database of some 2300 published paleomagnetic sites from the Mediterranean region and test the reconstruction against these constraints. We provide the reconstruction in the form of 12 maps being snapshots from 240 to 0 Ma, outline the main features in each time-slice, and identify differences from previous reconstructions, which are discussed in the final section.","author":[{"dropping-particle":"","family":"Hinsbergen","given":"Douwe J.J.","non-dropping-particle":"van","parse-names":false,"suffix":""},{"dropping-particle":"","family":"Torsvik","given":"Trond H.","non-dropping-particle":"","parse-names":false,"suffix":""},{"dropping-particle":"","family":"Schmid","given":"Stefan Martin","non-dropping-particle":"","parse-names":false,"suffix":""},{"dropping-particle":"","family":"Maţenco","given":"Liviu C.","non-dropping-particle":"","parse-names":false,"suffix":""},{"dropping-particle":"","family":"Maffione","given":"Marco","non-dropping-particle":"","parse-names":false,"suffix":""},{"dropping-particle":"","family":"Vissers","given":"Reinoud L.M.","non-dropping-particle":"","parse-names":false,"suffix":""},{"dropping-particle":"","family":"Gürer","given":"Derya","non-dropping-particle":"","parse-names":false,"suffix":""},{"dropping-particle":"","family":"Spakman","given":"Wim","non-dropping-particle":"","parse-names":false,"suffix":""}],"container-title":"Gondwana Research","id":"ITEM-3","issued":{"date-parts":[["2020","5"]]},"page":"79-229","title":"Orogenic architecture of the Mediterranean region and kinematic reconstruction of its tectonic evolution since the Triassic","type":"article-journal","volume":"81"},"uris":["http://www.mendeley.com/documents/?uuid=d14f11a1-2934-4b61-88fe-3e05b2f778a2"]}],"mendeley":{"formattedCitation":"(Schmid et al., 2020, 2008; van Hinsbergen et al., 2020)","plainTextFormattedCitation":"(Schmid et al., 2020, 2008; van Hinsbergen et al., 2020)","previouslyFormattedCitation":"(Schmid et al., 2020, 2008; van Hinsbergen et al., 2020)"},"properties":{"noteIndex":0},"schema":"https://github.com/citation-style-language/schema/raw/master/csl-citation.json"}</w:instrText>
      </w:r>
      <w:r>
        <w:rPr>
          <w:rFonts w:ascii="Arial" w:hAnsi="Arial" w:cs="Arial"/>
        </w:rPr>
        <w:fldChar w:fldCharType="separate"/>
      </w:r>
      <w:r w:rsidR="00A85BC3" w:rsidRPr="00A85BC3">
        <w:rPr>
          <w:rFonts w:ascii="Arial" w:hAnsi="Arial" w:cs="Arial"/>
          <w:noProof/>
        </w:rPr>
        <w:t>(Schmid et al., 2020, 2008; van Hinsbergen et al., 2020)</w:t>
      </w:r>
      <w:r>
        <w:rPr>
          <w:rFonts w:ascii="Arial" w:hAnsi="Arial" w:cs="Arial"/>
        </w:rPr>
        <w:fldChar w:fldCharType="end"/>
      </w:r>
      <w:r>
        <w:rPr>
          <w:rFonts w:ascii="Arial" w:hAnsi="Arial" w:cs="Arial"/>
        </w:rPr>
        <w:t>.</w:t>
      </w:r>
      <w:r w:rsidR="00695981">
        <w:rPr>
          <w:rFonts w:ascii="Arial" w:hAnsi="Arial" w:cs="Arial"/>
        </w:rPr>
        <w:t xml:space="preserve"> Whilst this tectonic activity is responsible for the present-day continental geography</w:t>
      </w:r>
      <w:r w:rsidR="00E20FA4">
        <w:rPr>
          <w:rFonts w:ascii="Arial" w:hAnsi="Arial" w:cs="Arial"/>
        </w:rPr>
        <w:t>,</w:t>
      </w:r>
      <w:r w:rsidR="00695981">
        <w:rPr>
          <w:rFonts w:ascii="Arial" w:hAnsi="Arial" w:cs="Arial"/>
        </w:rPr>
        <w:t xml:space="preserve"> many of the terranes were subject to multiple cycles of continental and oceanic</w:t>
      </w:r>
      <w:r w:rsidR="00C97018">
        <w:rPr>
          <w:rFonts w:ascii="Arial" w:hAnsi="Arial" w:cs="Arial"/>
        </w:rPr>
        <w:t xml:space="preserve"> pre-Alpine</w:t>
      </w:r>
      <w:r w:rsidR="00695981">
        <w:rPr>
          <w:rFonts w:ascii="Arial" w:hAnsi="Arial" w:cs="Arial"/>
        </w:rPr>
        <w:t xml:space="preserve"> crustal and sedimentary reworking </w:t>
      </w:r>
      <w:r w:rsidR="00695981">
        <w:rPr>
          <w:rFonts w:ascii="Arial" w:hAnsi="Arial" w:cs="Arial"/>
        </w:rPr>
        <w:fldChar w:fldCharType="begin" w:fldLock="1"/>
      </w:r>
      <w:r w:rsidR="00CC4B02">
        <w:rPr>
          <w:rFonts w:ascii="Arial" w:hAnsi="Arial" w:cs="Arial"/>
        </w:rPr>
        <w:instrText>ADDIN CSL_CITATION {"citationItems":[{"id":"ITEM-1","itemData":{"DOI":"10.1130/G34520.1","abstract":"The geologic records associated with the formation of the super- continents Rodinia and Gondwana have markedly different seawa- ter Sr and zircon Hf isotopic signatures. Rodinia-related (Grenville- Sveconorwegian-Sunsas) orogens display signifi cantly less enriched crustal signatures than Gondwana-related (Pan-African) orogens. Seawater Sr isotope ratios also exhibit a more pronounced crustal sig- nal during the span of the Gondwana supercontinent than at the time of Rodinia. Such isotopic differences are attributed to the age and nature of the continental margins involved in the collisional assem- bly, and specifi cally to the depleted mantle model ages, and hence the isotope ratios of the material weathered into the oceans. In our preferred model the isotopic signatures of Rodinia-suturing orogens refl ect the closure of ocean basins with dual subduction zones verging in opposite directions, analogous to the modern Pacifi c basin. This would have resulted in the juxtaposition of juvenile continental and island arc terrains on both margins of the colliding plates, thus fur- ther reworking juvenile crust. Conversely, the assembly of Gondwana was accomplished primarily via a number of single-sided subduction zones that involved greater reworking of ancient cratonic litholo- gies within the collisional sutures. The proposed geodynamic mod- els of the assembly of Rodinia and Gondwana provide a connection between the geodynamic confi guration of supercontinent assembly and its resulting isotopic signature","author":[{"dropping-particle":"","family":"Spencer","given":"Christopher J.","non-dropping-particle":"","parse-names":false,"suffix":""},{"dropping-particle":"","family":"Hawkesworth","given":"Chris J.","non-dropping-particle":"","parse-names":false,"suffix":""},{"dropping-particle":"","family":"Cawood","given":"Peter A.","non-dropping-particle":"","parse-names":false,"suffix":""},{"dropping-particle":"","family":"Dhuime","given":"Bruno","non-dropping-particle":"","parse-names":false,"suffix":""}],"container-title":"Geology","id":"ITEM-1","issue":"7","issued":{"date-parts":[["2013"]]},"page":"795-798","title":"Not all supercontinents are created equal : Gondwana-Rodinia case study","type":"article-journal","volume":"41"},"uris":["http://www.mendeley.com/documents/?uuid=f6122f29-caf7-4d5f-8d34-021d06db39fd"]},{"id":"ITEM-2","itemData":{"DOI":"10.1016/j.gr.2011.12.002","ISSN":"1342937X","abstract":"Supercontinents play an important role in Earth's history. The exact definition of what constitutes a supercontinent is difficult to establish. Here the argument is made, using Pangæa as a model, that any supercontinent should include ~. 75% of the preserved continental crust relevant to the time of maximum packing. As an example, Rodinia reached maximum packing at about 1.0. Ga and therefore should include 75% of all continental crust older than 1.0. Ga. In attempting to 'name' any supercontinent, there is a clear precedent for models that provide a name along with a testable reconstruction within a reasonable temporal framework. Both Pangæa and Rodinia are near universally accepted names for the late Paleozoic and Neoproterozoic supercontinent respectively; however, there is a recent push to change the Paleo-Mesoproterozoic supercontinent moniker from \". Columbia\" to \". Nuna\". A careful examination of the \". Nuna\" and \". Columbia\" proposals reveals that although the term \". Nuna\" was published prior to \". Columbia\", the \". Nuna\" proposal is a bit nebulous in terms of the constitution of the giant continent. Details of \". Nuna\" given in the original manuscript appear to be principally based on previously published connections between Laurentia, Baltica and, to a lesser extent the Angara craton of Siberia (i.e. \"the lands bordering the northern oceans\"). Therefore the proposal is made that \". Columbia\" consists of several core elements one of which is \". Nuna\". © 2011 International Association for Gondwana Research.","author":[{"dropping-particle":"","family":"Meert","given":"Joseph G.","non-dropping-particle":"","parse-names":false,"suffix":""}],"container-title":"Gondwana Research","id":"ITEM-2","issue":"4","issued":{"date-parts":[["2012"]]},"page":"987-993","publisher":"International Association for Gondwana Research","title":"What's in a name? The Columbia (Paleopangaea/Nuna) supercontinent","type":"article-journal","volume":"21"},"uris":["http://www.mendeley.com/documents/?uuid=0d8705a0-b15d-4131-92f9-616edbcdce08"]},{"id":"ITEM-3","itemData":{"DOI":"10.1016/j.gr.2012.05.003","ISSN":"1342937X","abstract":"We present a synopsis of detrital zircon U-Pb ages of sandstones from North Africa and neighboring Israel and Jordan, which allows us to identify zones with characteristic sediment provenance along the northern Gondwana margin (in present-day coordinates) in Cambrian-Ordovician times, and helps us to unravel the peri-Gondwana jigsaw puzzle. A special feature of the early Paleozoic cover sequence of North Africa is the eastward increase of 1.1-0.95. Ga detrital zircons, which become ubiquitous in the early Paleozoic sandstones of the Saharan Metacraton. Detrital zircons aged about 2.7-2.5, 2.15-1.75 and 0.75-0.53. Ga are also present. Early Paleozoic sandstones with similar provenance are known from peri-Gondwana terranes in the Eastern and Western Mediterranean and from NW Iberia. These terranes need not be transported from western Gondwana (Amazonia) as suggested previously. They were likely located to the north of the Saharan Metacraton during the early Paleozoic before they rifted off from Gondwana. Furthermore, we recognize an increase, as stratigraphic ages get younger, of ca. 1.0. Ga detrital zircons at some point between the Late Cambrian and late Middle Ordovician. We speculate that this might be linked to far-field tectonics and regional uplift in central Gondwana related to plate-tectonic reorganization along the Gondwana margin, leading to erosion of ca. 1.0. Ga basement and country rocks of the Transgondwanan supermountain and fluvial dispersal of detritus toward the Gondwana margin. © 2012 International Association for Gondwana Research.","author":[{"dropping-particle":"","family":"Meinhold","given":"Guido","non-dropping-particle":"","parse-names":false,"suffix":""},{"dropping-particle":"","family":"Morton","given":"Andrew C.","non-dropping-particle":"","parse-names":false,"suffix":""},{"dropping-particle":"","family":"Avigad","given":"Dov","non-dropping-particle":"","parse-names":false,"suffix":""}],"container-title":"Gondwana Research","id":"ITEM-3","issue":"2","issued":{"date-parts":[["2013"]]},"page":"661-665","publisher":"International Association for Gondwana Research","title":"New insights into peri-Gondwana paleogeography and the Gondwana super-fan system from detrital zircon U-Pb ages","type":"article-journal","volume":"23"},"uris":["http://www.mendeley.com/documents/?uuid=7bf8b659-2948-44f0-87cd-aca1cde013dc"]},{"id":"ITEM-4","itemData":{"DOI":"10.1016/S0012-821X(01)00588-X","author":[{"dropping-particle":"","family":"Stampfli","given":"Gérard M.","non-dropping-particle":"","parse-names":false,"suffix":""},{"dropping-particle":"","family":"Borel","given":"Gilles D.","non-dropping-particle":"","parse-names":false,"suffix":""}],"container-title":"Earth and Planetary Science Letters","id":"ITEM-4","issued":{"date-parts":[["2002"]]},"page":"17-33","title":"A plate tectonic model for the Paleozoic and Mesozoic constrained by dynamic plate boundaries and restored synthetic oceanic isochrons","type":"article-journal","volume":"196"},"uris":["http://www.mendeley.com/documents/?uuid=994dcad7-23fc-4cd4-b29a-e1b6954502b9"]},{"id":"ITEM-5","itemData":{"DOI":"10.1016/j.gr.2013.03.001","ISSN":"1342937X","abstract":"The Variscides of Europe and N-Africa are the result of the convergence of the plates of Gondwana and Laurussia in the Paleozoic. This orogen is characterized by the juxtaposition of blocks of continental crust that are little affected by the Variscan orogeny. These low strain domains principally consist of Neoproterozoic/Cambrian Cadomian basement overlain by volcano-sedimentary successions of an extended peri-Gondwana shelf. These Cadomian blocks are separated by high strain zones containing the record of subduction-related processes. Traditionally the high strain zones are interpreted as sutures between one or more postulated lithospheric microplates sandwiched between the two major plates. Paleobio-geographic constraints in combination with geochemical and isotopic fingerprints of the protoliths, however, imply that the Variscides are the result of the exclusive interaction of the two plates of Gondwana and Laurussia. Here we explain the Variscan orogen in a two plate scenario, reasoning that the complexity of the Variscan orogen (multitude of high-grade metamorphic belts, compositional diversity of coeval magmatism, and arrangement of foreland basins) is the result of the distribution of crustal domains of contrasting rheological properties. Post-Cadomian rifting along the Cadomian-Avalonian belt, which culminated in the opening of the Rheic Ocean, resulted in vast coeval intracontinental extension and the formation of extended peri-Gondwana shelf areas, namely the Avalonian shelf and the Armorican Spur to the north and south of the evolving Rheic Ocean, respectively. Both shelf areas affected by heterogeneous extension consist of stable continental blocks separated by zones of thinner continental crust. During Variscan collisional tectonics the continental blocks behave as unsubductable crust, whereas the thinner continental crust was subductable and came to constitute the high strain domains of the orogen. The variable interplay between both crustal types in space and time is seen as the principal cause for the observed sequence of orogenic processes. The first collisional contact along the convergent Gondwana-Laurussia plate boundary occurred between Brittany and the Midland microcraton causing the early Devonian deformation along the Anglo-Brabant Fold Belt. This process is coeval with the initiation of continental subduction along the Armorican Spur of the Gondwana plate and the formation of back arc and transtensional basins to both sides of …","author":[{"dropping-particle":"","family":"Kroner","given":"Uwe","non-dropping-particle":"","parse-names":false,"suffix":""},{"dropping-particle":"","family":"Romer","given":"Rolf L.","non-dropping-particle":"","parse-names":false,"suffix":""}],"container-title":"Gondwana Research","id":"ITEM-5","issue":"1","issued":{"date-parts":[["2013"]]},"page":"298-329","publisher":"International Association for Gondwana Research","title":"Two plates - Many subduction zones: The Variscan orogeny reconsidered","type":"article-journal","volume":"24"},"uris":["http://www.mendeley.com/documents/?uuid=df9493d5-4c89-4684-8428-52cb1fa40181"]},{"id":"ITEM-6","itemData":{"DOI":"10.1007/s00531-009-0425-5","ISSN":"14373254","abstract":"The Pirgadikia Terrane in northern Greece forms tectonic inliers within the Vardar suture zone bordering the Serbo-Macedonian Massif to the southwest. It comprises Cadomian basement rocks of volcanic-arc origin and very mature quartz-rich metasedimentary rocks. U-Pb laser ablation sector-field inductively-coupled plasma mass spectrometry analyses of detrital zircons from the latter reveal a marked input from a Cadomian-Pan-African source with minor contribution from Mesoproterozoic, Palaeoproterozoic and Archaean sources. The metasedimentary rocks are correlated with Ordovician overlap sequences at the northern margin of Gondwana on the basis of their maturity and zircon age spectra. The Pirgadikia Terrane can be best interpreted as a peri-Gondwana terrane of Avalonian origin, which was situated close to the Cadomian terranes in the Late Neoproterozoic-Early Palaeozoic, very much like the Istanbul Terrane. The second unit investigated is the Vertiskos Terrane, which constitutes the major part of the Serbo-Macedonian Massif in Greece. It comprises predominantly igneous rocks of Silurian age and minor metasedimentary rocks of unknown age and provenance. U-Pb analyses of detrital zircons from a garnetiferous mica schist of the Vertiskos Terrane indicate derivation from 550 to 1,150 Ma-old source rocks with a major Cadomian peak. This, combined with minor input of &gt;1,950 Ma-old zircons and the absence of ages between ca. 1.2 and 1.7 Ga suggests a NW Africa source. The protolith age of the garnetiferous mica schist is presumably Early Ordovician. One sample of garnet-bearing biotite gneiss, interpreted as meta-igneous rock, comprises predominantly subhedral zircons of igneous origin with late Middle Ordovician to Silurian ages. We suggest that the rock association of the Vertiskos Terrane is part of an ancient active-margin succession of the Hun superterrane, comparable to successions of the Austro- and Intra-Alpine Terranes. The new data of this study provide evidence of occurrences of Avalonia- and Armorica-derived terranes in the Eastern Mediterranean and moreover help to clarify palaeogeographic reconstructions for the peri-Gondwana realm in the Early Palaeozoic. © The Author(s) 2009.","author":[{"dropping-particle":"","family":"Meinhold","given":"Guido","non-dropping-particle":"","parse-names":false,"suffix":""},{"dropping-particle":"","family":"Kostopoulos","given":"Dimitrios","non-dropping-particle":"","parse-names":false,"suffix":""},{"dropping-particle":"","family":"Frei","given":"Dirk","non-dropping-particle":"","parse-names":false,"suffix":""},{"dropping-particle":"","family":"Himmerkus","given":"Felix","non-dropping-particle":"","parse-names":false,"suffix":""},{"dropping-particle":"","family":"Reischmann","given":"Thomas","non-dropping-particle":"","parse-names":false,"suffix":""}],"container-title":"International Journal of Earth Sciences","id":"ITEM-6","issue":"4","issued":{"date-parts":[["2010"]]},"page":"813-832","title":"U-Pb LA-SF-ICP-MS zircon geochronology of the Serbo-Macedonian Massif, Greece: Palaeotectonic constraints for Gondwana-derived terranes in the Eastern Mediterranean","type":"article-journal","volume":"99"},"uris":["http://www.mendeley.com/documents/?uuid=200da6e8-76aa-4733-99bf-e2c856ea1fd6"]},{"id":"ITEM-7","itemData":{"DOI":"10.1016/j.gr.2018.08.002","ISSN":"1342937X","abstract":"The continental basement in the Eastern Mediterranean area represents the northern edge of Gondwana, which has been the site of repeated crustal accretion and has subsequently been modified by consecutive rifting events. We investigated the geologic and thermal history of the North Gondwana lower crust by examining the U-Pb-Hf isotope systematics in zircons within 6 mafic granulite xenoliths from Pliocene lava cone in North Israel. The lava cone protrudes through the platform cover that seals the late Neoproterozoic junction between the Arabian-Nubian basement to the South and the Cadomian basement exposed in the Taurides to the North. The mafic granulite xenoliths are composed of plagioclase + orthopyroxene + clinopyroxene ± garnet ± spinel ± secondary amphibole. U-Pb zircon ages from the granulites vary among the different samples with distinct zircon age populations at 400–1200 Ma, 170–350 Ma, and 3.6–4.2 Ma, attesting the lower crust preserves a prolonged thermal and igneous history. While 400–550 Ma U-Pb ages are interpreted to be the result of Pb loss, the wide scatter of zircon grains aged between 550 and 1200 Ma, alongside their diverse εHf(t) values (−25–+10), is an extraordinary evidence for the accretion of Neoproterozoic sediments into the North Gondwana arc root lower crust. The U-Pb-Hf signature of these zircons resembles Cadomian sediments of the Tauride block to the north, indicating southward (present coordinates) subduction under North Gondwana and possible accretion of fore-arc sediments to the lower crust through relamination in the latest Neoproterozoic. One xenolith contained metamorphic-shaped zircons aged 170–350 Ma with positive εHf values and Hf-TDM of 0.85 Ga interpreted to reflect Paleozoic recycling of the Neoproterozoic juvenile Arabian basement, which we consider to form a major component of the lower crust in the region. An overwhelming cluster of Carboniferous zircons concentrating at 305 Ma with exclusively negative εHf values around −6, was retrieved from three xenoliths. Some of these zircons portrayed igneous textures and shape. While Carboniferous igneous activity is the hallmark of Western Europe's Variscan orogeny, the latter did not affect the southern rifted edge of Neo-Tethys where our xenoliths were retrieved. The Paleozoic age-Hf composition in our xenoliths is therefore interpreted to result from syn-Variscan recycling of Neoproterozoic sedimentary remains in the lower crust, and some degree of melting in a …","author":[{"dropping-particle":"","family":"Abbo","given":"Avishai","non-dropping-particle":"","parse-names":false,"suffix":""},{"dropping-particle":"","family":"Avigad","given":"Dov","non-dropping-particle":"","parse-names":false,"suffix":""},{"dropping-particle":"","family":"Gerdes","given":"Axel","non-dropping-particle":"","parse-names":false,"suffix":""}],"container-title":"Gondwana Research","id":"ITEM-7","issued":{"date-parts":[["2018"]]},"page":"84-96","publisher":"International Association for Gondwana Research","title":"The lower crust of the Northern broken edge of Gondwana: Evidence for sediment subduction and syn-Variscan anorogenic imprint from zircon U-Pb-Hf in granulite xenoliths","type":"article-journal","volume":"64"},"uris":["http://www.mendeley.com/documents/?uuid=aaed8a69-ff7c-4c89-a5a9-179048e2908f"]},{"id":"ITEM-8","itemData":{"DOI":"10.1016/j.gr.2017.07.001","ISSN":"1342937X","abstract":"LA-ICPMS U-Pb geochronology of detrital rutile from North Gondwana Cambro-Ordovician sandstones is reported for the first time. Our sampling sites in Israel, Jordan and Ethiopia are situated thousands of kilometers apart thus providing a continental-scale perspective on the cooling and unroofing history of the provenance of the great Cambro-Ordovician sandstone sheet. Detrital rutiles in the Cambrian sandstone of Israel and Jordan define a unimodal age concentration at 0.59–0.58 Ga, preceding the timing of major orogenic sutures and predating the final assembly of Gondwana. Cooling to below the rutile U-Pb closure temperature followed continental-scale Pan-African granitoid intrusion at 0.63–0.60 Ga, signifying that rather than representing high-grade metamorphism the detrital rutile age spectra reflect widespread resetting, cooling and exhumation associated with late to post-tectonic igneous activity. The unimodal 0.59–0.58 Ga age spectra do not change significantly up the Cambrian sequence, implying exhumation prior to Cambrian sedimentation generated ample crustal material with an almost uniform U-Pb rutile signature that was prone to deliver immense amounts of detritus. Therefore, rather than reflecting progressive erosion of Cambrian Supermountains, the North Gondwana Cambrian sandstone represents secondary denudation of an already-exhumed metamorphic basement. Alongside the older (0.59–0.58 Ga) detrital rutile population, which dominates the Cambrian sequence, 0.55 Ga detrital rutiles first appear in the Ordovician of Jordan while 0.54 Ga rutile locally dominates the Ordovician from Ethiopia, some 2000 km upstream the Cambro-Ordovician fluvial system, close to its headwaters. The Ordovician drainage basin has thus been extended to include crustal vestiges that were exhumed coeval with Gondwana consolidation, but it is likely that most of the rock carapace that has been eroded from consolidating Cambrian orogenic sutures has been delivered to the south (modern coordinates).","author":[{"dropping-particle":"","family":"Avigad","given":"Dov","non-dropping-particle":"","parse-names":false,"suffix":""},{"dropping-particle":"","family":"Morag","given":"Navot","non-dropping-particle":"","parse-names":false,"suffix":""},{"dropping-particle":"","family":"Abbo","given":"Avishai","non-dropping-particle":"","parse-names":false,"suffix":""},{"dropping-particle":"","family":"Gerdes","given":"Axel","non-dropping-particle":"","parse-names":false,"suffix":""}],"container-title":"Gondwana Research","id":"ITEM-8","issued":{"date-parts":[["2017"]]},"page":"17-29","publisher":"International Association for Gondwana Research","title":"Detrital rutile U-Pb perspective on the origin of the great Cambro-Ordovician sandstone of North Gondwana and its linkage to orogeny","type":"article-journal","volume":"51"},"uris":["http://www.mendeley.com/documents/?uuid=7df5ca25-2f2b-4f79-83a7-f199d199d58f"]}],"mendeley":{"formattedCitation":"(Abbo et al., 2018; Avigad et al., 2017; Kroner and Romer, 2013; Meert, 2012; Meinhold et al., 2013, 2010; Spencer et al., 2013; Stampfli and Borel, 2002)","plainTextFormattedCitation":"(Abbo et al., 2018; Avigad et al., 2017; Kroner and Romer, 2013; Meert, 2012; Meinhold et al., 2013, 2010; Spencer et al., 2013; Stampfli and Borel, 2002)","previouslyFormattedCitation":"(Abbo et al., 2018; Avigad et al., 2017; Kroner and Romer, 2013; Meert, 2012; Meinhold et al., 2013, 2010; Spencer et al., 2013; Stampfli and Borel, 2002)"},"properties":{"noteIndex":0},"schema":"https://github.com/citation-style-language/schema/raw/master/csl-citation.json"}</w:instrText>
      </w:r>
      <w:r w:rsidR="00695981">
        <w:rPr>
          <w:rFonts w:ascii="Arial" w:hAnsi="Arial" w:cs="Arial"/>
        </w:rPr>
        <w:fldChar w:fldCharType="separate"/>
      </w:r>
      <w:r w:rsidR="00695981" w:rsidRPr="00695981">
        <w:rPr>
          <w:rFonts w:ascii="Arial" w:hAnsi="Arial" w:cs="Arial"/>
          <w:noProof/>
        </w:rPr>
        <w:t>(Abbo et al., 2018; Avigad et al., 2017; Kroner and Romer, 2013; Meert, 2012; Meinhold et al., 2013, 2010; Spencer et al., 2013; Stampfli and Borel, 2002)</w:t>
      </w:r>
      <w:r w:rsidR="00695981">
        <w:rPr>
          <w:rFonts w:ascii="Arial" w:hAnsi="Arial" w:cs="Arial"/>
        </w:rPr>
        <w:fldChar w:fldCharType="end"/>
      </w:r>
      <w:r w:rsidR="00695981">
        <w:rPr>
          <w:rFonts w:ascii="Arial" w:hAnsi="Arial" w:cs="Arial"/>
        </w:rPr>
        <w:t>.</w:t>
      </w:r>
      <w:r w:rsidR="004D02F3">
        <w:rPr>
          <w:rFonts w:ascii="Arial" w:hAnsi="Arial" w:cs="Arial"/>
        </w:rPr>
        <w:t xml:space="preserve"> </w:t>
      </w:r>
    </w:p>
    <w:p w14:paraId="027C3740" w14:textId="525CC296" w:rsidR="00C66E60" w:rsidRDefault="004D02F3" w:rsidP="00C66E60">
      <w:pPr>
        <w:spacing w:before="120" w:after="120" w:line="480" w:lineRule="auto"/>
        <w:jc w:val="both"/>
        <w:rPr>
          <w:rFonts w:ascii="Arial" w:hAnsi="Arial" w:cs="Arial"/>
        </w:rPr>
      </w:pPr>
      <w:r>
        <w:rPr>
          <w:rFonts w:ascii="Arial" w:hAnsi="Arial" w:cs="Arial"/>
        </w:rPr>
        <w:t xml:space="preserve">Of particular importance is the tectonic evolution since the assembly of Gondwana (750 Ma), since many crustal segments have been incorporated and </w:t>
      </w:r>
      <w:r w:rsidR="00C97018">
        <w:rPr>
          <w:rFonts w:ascii="Arial" w:hAnsi="Arial" w:cs="Arial"/>
        </w:rPr>
        <w:t xml:space="preserve">now </w:t>
      </w:r>
      <w:r>
        <w:rPr>
          <w:rFonts w:ascii="Arial" w:hAnsi="Arial" w:cs="Arial"/>
        </w:rPr>
        <w:t xml:space="preserve">outcrop throughout Central Europe. </w:t>
      </w:r>
      <w:r w:rsidR="00CC4B02">
        <w:rPr>
          <w:rFonts w:ascii="Arial" w:hAnsi="Arial" w:cs="Arial"/>
        </w:rPr>
        <w:t xml:space="preserve">The </w:t>
      </w:r>
      <w:r>
        <w:rPr>
          <w:rFonts w:ascii="Arial" w:hAnsi="Arial" w:cs="Arial"/>
        </w:rPr>
        <w:t xml:space="preserve">initial </w:t>
      </w:r>
      <w:r w:rsidR="00CC4B02">
        <w:rPr>
          <w:rFonts w:ascii="Arial" w:hAnsi="Arial" w:cs="Arial"/>
        </w:rPr>
        <w:t xml:space="preserve">island arc formation throughout the </w:t>
      </w:r>
      <w:r w:rsidR="00CC4B02" w:rsidRPr="00CC4B02">
        <w:rPr>
          <w:rFonts w:ascii="Arial" w:hAnsi="Arial" w:cs="Arial"/>
        </w:rPr>
        <w:t>Cryogenian</w:t>
      </w:r>
      <w:r w:rsidR="00CC4B02">
        <w:rPr>
          <w:rFonts w:ascii="Arial" w:hAnsi="Arial" w:cs="Arial"/>
        </w:rPr>
        <w:t xml:space="preserve"> and into the</w:t>
      </w:r>
      <w:r w:rsidR="00CC4B02" w:rsidRPr="00CC4B02">
        <w:rPr>
          <w:rFonts w:ascii="Arial" w:hAnsi="Arial" w:cs="Arial"/>
        </w:rPr>
        <w:t xml:space="preserve"> early Ediacaran</w:t>
      </w:r>
      <w:r w:rsidR="004E7FAC">
        <w:rPr>
          <w:rFonts w:ascii="Arial" w:hAnsi="Arial" w:cs="Arial"/>
        </w:rPr>
        <w:t xml:space="preserve"> result</w:t>
      </w:r>
      <w:r w:rsidR="00C97018">
        <w:rPr>
          <w:rFonts w:ascii="Arial" w:hAnsi="Arial" w:cs="Arial"/>
        </w:rPr>
        <w:t>ed</w:t>
      </w:r>
      <w:r w:rsidR="004E7FAC">
        <w:rPr>
          <w:rFonts w:ascii="Arial" w:hAnsi="Arial" w:cs="Arial"/>
        </w:rPr>
        <w:t xml:space="preserve"> from the</w:t>
      </w:r>
      <w:r w:rsidR="00C97018">
        <w:rPr>
          <w:rFonts w:ascii="Arial" w:hAnsi="Arial" w:cs="Arial"/>
        </w:rPr>
        <w:t xml:space="preserve"> breaku</w:t>
      </w:r>
      <w:r w:rsidR="00C4394A">
        <w:rPr>
          <w:rFonts w:ascii="Arial" w:hAnsi="Arial" w:cs="Arial"/>
        </w:rPr>
        <w:t>p</w:t>
      </w:r>
      <w:r w:rsidR="00C97018">
        <w:rPr>
          <w:rFonts w:ascii="Arial" w:hAnsi="Arial" w:cs="Arial"/>
        </w:rPr>
        <w:t xml:space="preserve"> of</w:t>
      </w:r>
      <w:r w:rsidR="004E7FAC">
        <w:rPr>
          <w:rFonts w:ascii="Arial" w:hAnsi="Arial" w:cs="Arial"/>
        </w:rPr>
        <w:t xml:space="preserve"> Rodinia and development of </w:t>
      </w:r>
      <w:r w:rsidR="00E20FA4">
        <w:rPr>
          <w:rFonts w:ascii="Arial" w:hAnsi="Arial" w:cs="Arial"/>
        </w:rPr>
        <w:t xml:space="preserve">the </w:t>
      </w:r>
      <w:r w:rsidR="004E7FAC">
        <w:rPr>
          <w:rFonts w:ascii="Arial" w:hAnsi="Arial" w:cs="Arial"/>
        </w:rPr>
        <w:t>Mozambique Ocean</w:t>
      </w:r>
      <w:r w:rsidR="00C97018">
        <w:rPr>
          <w:rFonts w:ascii="Arial" w:hAnsi="Arial" w:cs="Arial"/>
        </w:rPr>
        <w:t>, with</w:t>
      </w:r>
      <w:r w:rsidR="004E7FAC">
        <w:rPr>
          <w:rFonts w:ascii="Arial" w:hAnsi="Arial" w:cs="Arial"/>
        </w:rPr>
        <w:t xml:space="preserve"> continental collision </w:t>
      </w:r>
      <w:r w:rsidR="00C97018">
        <w:rPr>
          <w:rFonts w:ascii="Arial" w:hAnsi="Arial" w:cs="Arial"/>
        </w:rPr>
        <w:t>forming</w:t>
      </w:r>
      <w:r w:rsidR="004E7FAC">
        <w:rPr>
          <w:rFonts w:ascii="Arial" w:hAnsi="Arial" w:cs="Arial"/>
        </w:rPr>
        <w:t xml:space="preserve"> the East African Orogen </w:t>
      </w:r>
      <w:r w:rsidR="00CC4B02">
        <w:rPr>
          <w:rFonts w:ascii="Arial" w:hAnsi="Arial" w:cs="Arial"/>
        </w:rPr>
        <w:fldChar w:fldCharType="begin" w:fldLock="1"/>
      </w:r>
      <w:r w:rsidR="004E7FAC">
        <w:rPr>
          <w:rFonts w:ascii="Arial" w:hAnsi="Arial" w:cs="Arial"/>
        </w:rPr>
        <w:instrText>ADDIN CSL_CITATION {"citationItems":[{"id":"ITEM-1","itemData":{"DOI":"10.1016/j.jafrearsci.2011.07.003","ISSN":"1464343X","abstract":"During the late Cryogenian-Ediacaran (650-542. Ma), the Arabian-Nubian Shield (ANS) underwent final assembly and accretion to the Saharan Metacraton concurrent with the assembly of eastern and western Gondwana. At the end of the Precambrian it lay at one end of the East African Orogen, with its northern margin (present coordinates) forming a low-relief stable shelf facing an open ocean; to the south the ANS transitioned into the Mozambique Belt. The geologic history of the ANS during this period provides insight into the closing developmental stages of one of the world's largest accretionary orogens. Following a 680-640. Ma orogenic event reflecting amalgamation of a core grouping of island-arc terranes (the proto-Arabian-Nubian Shield; pANS), the region underwent extensive exhumation, erosion, and subsidence. Depositional basins formed in the northern and eastern pANS, with those in the east below sea level and connected to an ocean. Periodic basin closure and formation of new basins in other parts of the ANS followed. Many basins were filled by terrestrial, molasse-type sediments interfingering with subordinate to predominant amounts of volcanic rocks. Magmatism was extensive throughout the period, initially characterized by tonalite-trondhjemite-granodiorite (TTG) and granite (monzogranite, syenogranite), but also characterized, from ~610. Ma on, by increasing amounts of alkali-feldspar granite and alkali granite. The plutons are largely undeformed, except where cut by brittle-ductile shear zones. The magma sources of the late Cryogenian-Ediacaran granitoids were dominated by juvenile crust and(or) depleted mantle and magmas mostly originated in anorogenic, post-collisional, commonly extensional, settings. They were derived by melting and fractionation of anhydrous high-grade metamorphosed lower crust, mafic- to intermediate calc-alkaline crust, and(or) subduction-modified mantle wedges associated with slab break-off or delamination.By ~630. Ma, the region was affected by oblique (transpressional) convergence of continental blocks that formed eastern and western Gondwana-the pANS was approaching the Saharan Metacraton; north-trending shear and shortening zones developed in the southern ANS; and northwest-trending strike-slip shear zones of the Najd fault system dominated farther north. In the northwestern ANS, convergence and Najd transpression buckled the crust causing structural highs with domes of gneissic infracrust overlain by supracrust compose…","author":[{"dropping-particle":"","family":"Johnson","given":"P. R.","non-dropping-particle":"","parse-names":false,"suffix":""},{"dropping-particle":"","family":"Andresen","given":"A.","non-dropping-particle":"","parse-names":false,"suffix":""},{"dropping-particle":"","family":"Collins","given":"Alan S.","non-dropping-particle":"","parse-names":false,"suffix":""},{"dropping-particle":"","family":"Fowler","given":"A. R.","non-dropping-particle":"","parse-names":false,"suffix":""},{"dropping-particle":"","family":"Fritz","given":"Harald","non-dropping-particle":"","parse-names":false,"suffix":""},{"dropping-particle":"","family":"Ghebreab","given":"W.","non-dropping-particle":"","parse-names":false,"suffix":""},{"dropping-particle":"","family":"Kusky","given":"T.","non-dropping-particle":"","parse-names":false,"suffix":""},{"dropping-particle":"","family":"Stern","given":"Robert J.","non-dropping-particle":"","parse-names":false,"suffix":""}],"container-title":"Journal of African Earth Sciences","id":"ITEM-1","issue":"3","issued":{"date-parts":[["2011"]]},"page":"167-232","publisher":"Elsevier Ltd","title":"Late Cryogenian-Ediacaran history of the Arabian-Nubian Shield: A review of depositional, plutonic, structural, and tectonic events in the closing stages of the northern East African Orogen","type":"article-journal","volume":"61"},"uris":["http://www.mendeley.com/documents/?uuid=6ed8ce8f-ea14-4759-8f76-87884de231a8"]},{"id":"ITEM-2","itemData":{"author":[{"dropping-particle":"","family":"Stern","given":"Robert J.","non-dropping-particle":"","parse-names":false,"suffix":""}],"container-title":"Annual Review Of Anthropology","id":"ITEM-2","issued":{"date-parts":[["1994"]]},"page":"319-351","title":"Arc assembly and continetal collision in the Neoproterozoic East African Orogen: Implications for the Consolidation of Gondwanaland","type":"article-journal","volume":"22"},"uris":["http://www.mendeley.com/documents/?uuid=999770b6-aed1-46c3-a751-c58d3fa02af9"]}],"mendeley":{"formattedCitation":"(Johnson et al., 2011; Stern, 1994)","plainTextFormattedCitation":"(Johnson et al., 2011; Stern, 1994)","previouslyFormattedCitation":"(Johnson et al., 2011; Stern, 1994)"},"properties":{"noteIndex":0},"schema":"https://github.com/citation-style-language/schema/raw/master/csl-citation.json"}</w:instrText>
      </w:r>
      <w:r w:rsidR="00CC4B02">
        <w:rPr>
          <w:rFonts w:ascii="Arial" w:hAnsi="Arial" w:cs="Arial"/>
        </w:rPr>
        <w:fldChar w:fldCharType="separate"/>
      </w:r>
      <w:r w:rsidR="00CC4B02" w:rsidRPr="00CC4B02">
        <w:rPr>
          <w:rFonts w:ascii="Arial" w:hAnsi="Arial" w:cs="Arial"/>
          <w:noProof/>
        </w:rPr>
        <w:t>(Johnson et al., 2011; Stern, 1994)</w:t>
      </w:r>
      <w:r w:rsidR="00CC4B02">
        <w:rPr>
          <w:rFonts w:ascii="Arial" w:hAnsi="Arial" w:cs="Arial"/>
        </w:rPr>
        <w:fldChar w:fldCharType="end"/>
      </w:r>
      <w:r w:rsidR="004E7FAC">
        <w:rPr>
          <w:rFonts w:ascii="Arial" w:hAnsi="Arial" w:cs="Arial"/>
        </w:rPr>
        <w:t xml:space="preserve">. The </w:t>
      </w:r>
      <w:r w:rsidR="008C06EC">
        <w:rPr>
          <w:rFonts w:ascii="Arial" w:hAnsi="Arial" w:cs="Arial"/>
        </w:rPr>
        <w:t xml:space="preserve">final </w:t>
      </w:r>
      <w:r w:rsidR="004E7FAC">
        <w:rPr>
          <w:rFonts w:ascii="Arial" w:hAnsi="Arial" w:cs="Arial"/>
        </w:rPr>
        <w:t xml:space="preserve">consolidation of </w:t>
      </w:r>
      <w:r w:rsidR="008C06EC">
        <w:rPr>
          <w:rFonts w:ascii="Arial" w:hAnsi="Arial" w:cs="Arial"/>
        </w:rPr>
        <w:t xml:space="preserve">the </w:t>
      </w:r>
      <w:r w:rsidR="004E7FAC">
        <w:rPr>
          <w:rFonts w:ascii="Arial" w:hAnsi="Arial" w:cs="Arial"/>
        </w:rPr>
        <w:t xml:space="preserve">Gondwana </w:t>
      </w:r>
      <w:r w:rsidR="008C06EC">
        <w:rPr>
          <w:rFonts w:ascii="Arial" w:hAnsi="Arial" w:cs="Arial"/>
        </w:rPr>
        <w:t xml:space="preserve">supercontinent occurred between </w:t>
      </w:r>
      <w:r w:rsidR="004E7FAC">
        <w:rPr>
          <w:rFonts w:ascii="Arial" w:hAnsi="Arial" w:cs="Arial"/>
        </w:rPr>
        <w:t>650</w:t>
      </w:r>
      <w:r w:rsidR="008C06EC">
        <w:rPr>
          <w:rFonts w:ascii="Arial" w:hAnsi="Arial" w:cs="Arial"/>
        </w:rPr>
        <w:t xml:space="preserve"> and </w:t>
      </w:r>
      <w:r w:rsidR="004E7FAC">
        <w:rPr>
          <w:rFonts w:ascii="Arial" w:hAnsi="Arial" w:cs="Arial"/>
        </w:rPr>
        <w:t>550 Ma</w:t>
      </w:r>
      <w:r w:rsidR="008C06EC">
        <w:rPr>
          <w:rFonts w:ascii="Arial" w:hAnsi="Arial" w:cs="Arial"/>
        </w:rPr>
        <w:t>,</w:t>
      </w:r>
      <w:r w:rsidR="004E7FAC">
        <w:rPr>
          <w:rFonts w:ascii="Arial" w:hAnsi="Arial" w:cs="Arial"/>
        </w:rPr>
        <w:t xml:space="preserve"> </w:t>
      </w:r>
      <w:r w:rsidR="008C06EC">
        <w:rPr>
          <w:rFonts w:ascii="Arial" w:hAnsi="Arial" w:cs="Arial"/>
        </w:rPr>
        <w:t xml:space="preserve">and </w:t>
      </w:r>
      <w:r w:rsidR="00E20FA4">
        <w:rPr>
          <w:rFonts w:ascii="Arial" w:hAnsi="Arial" w:cs="Arial"/>
        </w:rPr>
        <w:t>is</w:t>
      </w:r>
      <w:r w:rsidR="008C06EC">
        <w:rPr>
          <w:rFonts w:ascii="Arial" w:hAnsi="Arial" w:cs="Arial"/>
        </w:rPr>
        <w:t xml:space="preserve"> associated with spatially varied </w:t>
      </w:r>
      <w:r w:rsidR="008C06EC" w:rsidRPr="008C06EC">
        <w:rPr>
          <w:rFonts w:ascii="Arial" w:hAnsi="Arial" w:cs="Arial"/>
        </w:rPr>
        <w:t xml:space="preserve">Pan-African </w:t>
      </w:r>
      <w:r w:rsidR="008C06EC">
        <w:rPr>
          <w:rFonts w:ascii="Arial" w:hAnsi="Arial" w:cs="Arial"/>
        </w:rPr>
        <w:t xml:space="preserve">orogenic mountain building events, volcanism and magmatism </w:t>
      </w:r>
      <w:r w:rsidR="008C06EC">
        <w:rPr>
          <w:rFonts w:ascii="Arial" w:hAnsi="Arial" w:cs="Arial"/>
        </w:rPr>
        <w:fldChar w:fldCharType="begin" w:fldLock="1"/>
      </w:r>
      <w:r w:rsidR="00CA0C1A">
        <w:rPr>
          <w:rFonts w:ascii="Arial" w:hAnsi="Arial" w:cs="Arial"/>
        </w:rPr>
        <w:instrText>ADDIN CSL_CITATION {"citationItems":[{"id":"ITEM-1","itemData":{"DOI":"10.1016/j.epsl.2006.07.032","ISSN":"0012821X","abstract":"The explosive radiation of animals on Earth during the late Early Cambrian period (</w:instrText>
      </w:r>
      <w:r w:rsidR="00CA0C1A">
        <w:rPr>
          <w:rFonts w:ascii="Cambria Math" w:hAnsi="Cambria Math" w:cs="Cambria Math"/>
        </w:rPr>
        <w:instrText>∼</w:instrText>
      </w:r>
      <w:r w:rsidR="00CA0C1A">
        <w:rPr>
          <w:rFonts w:ascii="Arial" w:hAnsi="Arial" w:cs="Arial"/>
        </w:rPr>
        <w:instrText xml:space="preserve"> 530-510 Ma) coincides with the deposition of enormous volumes of continentally derived sedimentary rocks throughout Gondwana. We show here, that these quartz-rich sedimentary units, collected from five continents, display remarkably similar detrital-zircon U-Pb age-patterns and propose that they were sourced from either side of a &gt; 8000-km-long and generally &gt; 1000-km-wide mountain chain (the Transgondwanan Supermountain), which formed following oblique collision between East and West Gondwana, commencing at </w:instrText>
      </w:r>
      <w:r w:rsidR="00CA0C1A">
        <w:rPr>
          <w:rFonts w:ascii="Cambria Math" w:hAnsi="Cambria Math" w:cs="Cambria Math"/>
        </w:rPr>
        <w:instrText>∼</w:instrText>
      </w:r>
      <w:r w:rsidR="00CA0C1A">
        <w:rPr>
          <w:rFonts w:ascii="Arial" w:hAnsi="Arial" w:cs="Arial"/>
        </w:rPr>
        <w:instrText xml:space="preserve"> 650 Ma. The depositional system supplied by this mountain chain was &gt; 100 km3, which is equivalent to covering all 50 states of the USA with </w:instrText>
      </w:r>
      <w:r w:rsidR="00CA0C1A">
        <w:rPr>
          <w:rFonts w:ascii="Cambria Math" w:hAnsi="Cambria Math" w:cs="Cambria Math"/>
        </w:rPr>
        <w:instrText>∼</w:instrText>
      </w:r>
      <w:r w:rsidR="00CA0C1A">
        <w:rPr>
          <w:rFonts w:ascii="Arial" w:hAnsi="Arial" w:cs="Arial"/>
        </w:rPr>
        <w:instrText xml:space="preserve"> 10 km of sediment, and it lasted for at least 260 Myr. The enormous size of the vegetation-free mountain chain, its position close to the equator and the dramatic changes in global plate-motion in response to the cessation in continent-continent collision, together with the possible appearance of biota in the soils that promoted rapid chemical weathering, resulted in extreme erosion and sedimentation rates that are arguably the highest in the geological record. This led to an unprecedented flux of P, Fe, Sr, Ca and bicarbonate ions into the oceans. The addition of Sr was responsible for seawater 87Sr/86Sr building up to the highest levels in Earth's history, whereas the addition of P and Fe provided the essential nutrients that supported a bloom of primitive life that in turn provided abundant food to support the Cambrian explosion of life. The addition of Ca and bicarbonate ions increased CaCO3 supersaturation in the oceans, which allowed species in numerous phyla to simultaneously develop skeletons. © 2006 Elsevier B.V. All rights reserved.","author":[{"dropping-particle":"","family":"Squire","given":"Richard J.","non-dropping-particle":"","parse-names":false,"suffix":""},{"dropping-particle":"","family":"Campbell","given":"Ian H.","non-dropping-particle":"","parse-names":false,"suffix":""},{"dropping-particle":"","family":"Allen","given":"Charlotte M.","non-dropping-particle":"","parse-names":false,"suffix":""},{"dropping-particle":"","family":"Wilson","given":"Christopher J.L.","non-dropping-particle":"","parse-names":false,"suffix":""}],"container-title":"Earth and Planetary Science Letters","id":"ITEM-1","issue":"1-2","issued":{"date-parts":[["2006"]]},"page":"116-133","title":"Did the Transgondwanan Supermountain trigger the explosive radiation of animals on Earth?","type":"article-journal","volume":"250"},"uris":["http://www.mendeley.com/documents/?uuid=e052e0df-e6c1-427c-9021-0e8a4fbd1aa2"]},{"id":"ITEM-2","itemData":{"DOI":"10.1016/j.earscirev.2007.03.003","author":[{"dropping-particle":"","family":"Cawood","given":"Peter A.","non-dropping-particle":"","parse-names":false,"suffix":""},{"dropping-particle":"","family":"Buchan","given":"Craig","non-dropping-particle":"","parse-names":false,"suffix":""}],"container-title":"Earth-Science Reviews","id":"ITEM-2","issued":{"date-parts":[["2007"]]},"page":"217-256","title":"Linking accretionary orogenesis with supercontinent assembly","type":"article-journal","volume":"82"},"uris":["http://www.mendeley.com/documents/?uuid=cdb2e3d2-a9ef-4e29-9ae1-254f6a5f5e5f"]},{"id":"ITEM-3","itemData":{"DOI":"10.1016/S0024-4937(98)00031-0","ISSN":"00244937","abstract":"Potassic metaluminous granitoids with enrichments of HFS elements constitute part of widespread post-collisional magmatism related to the Late Neoproterozoic Pan-African orogeny in northeastern Africa (Sudan, Ethiopia, Somalia) and Madagascar. The plutons were emplaced between 580 and 470 Ma and comprise both subsolvus and hypersolvus biotite-granite, biotite-hornblende-granite, quartz-monzonite and quartz-syenite. Pyroxene-bearing granitoids are subordinate. Basic dikes and enclaves of monzodioritic composition are locally associated with the granitoid plutons. Granitoids emplaced in pre-Neoproterozoic crust have Sr(i)-ratios between 0.7060 and 0.7236 and ε(Nd)(t) values between -15.8 and -5.6 while those emplaced in, or close to the contact with, juvenile Neoproterozoic crust have lower Sr(i)-ratios (0.7036-0.7075) and positive ε(Nd)(t) values (4.6). However, it is unlikely that the potassic granitoids represent products of crustal melting alone. The association with basic magmas derived from subduction-modified enriched mantle sources strongly suggests that the granitoids represent hybrid magmas produced by interaction and mixing of mantle and crust derived melts in the lower crust. The most intense period of this potassic granitoid magmatism occurred between 585 and 540 Ma, largely coeval with HT granulite facies metamorphism in Madagascar and with amphibolite facies retrogression in southeastern Africa (Somalia, Sudan). Granitoid magmatism and high-grade metamorphism are probably both related to post-collisional lithospheric thinning, magmatic underplating and crustal relaxation. However, the emplacement of potassic granites continued until about 470 Ma and implies several magmatic pulses associated with different phases of crustal uplift and cooling. The potassic metaluminous granites are temporally and spatially associated with post-collisional high-K calc-alkaline granites with which they share many petrographical, geochemical and isotopical similarities, except the incompatible element enrichments. The resemblance indicates a strongly related petrogenesis of both granite associations.","author":[{"dropping-particle":"","family":"Küster","given":"Dirk","non-dropping-particle":"","parse-names":false,"suffix":""},{"dropping-particle":"","family":"Harms","given":"Ulrich","non-dropping-particle":"","parse-names":false,"suffix":""}],"container-title":"Lithos","id":"ITEM-3","issue":"1-4","issued":{"date-parts":[["1998"]]},"page":"177-195","title":"Post-collisional potassic granitoids from the southern and northwestern parts of the Late Neoproterozoic East African Orogen: A review","type":"article-journal","volume":"45"},"uris":["http://www.mendeley.com/documents/?uuid=edcbe563-c8be-41ce-b46a-a47c29f20962"]},{"id":"ITEM-4","itemData":{"abstract":"Within the Appalachian–Variscan orogen of North America and southern Europe lie a collection of terranes that were distributed along the northern margin of West Gondwana in the late Neoproterozoic and early Palaeozoic. These peri-Gondwanan terranes are characterized by voluminous late Neoproterozoic (c. 640–570 Ma) arc magmatism and cogenetic basins, and their tectonothermal histories provide fundamental constraints on the palaeogeography of this margin and on palaeocontinental reconstructions for this important period in Earth history. Field and geochemical studies indicate that arc magmatism generally terminated diachronously with the formation of a transform margin, leading by the Early–Middle Cambrian to the develop- ment of a shallow-marine platform–passive margin characterized by Gondwanan fauna. However, important differences exist between these terranes that constrain their relative palaeogeography in the late Neoproterozoic and permit changes in the geometry of the margin from the late Neopro- terozoic to the Early Cambrian to be reconstructed. On the basis of basement isotopic composition, the terranes can be subdivided into: (1) Avalonian-type (e.g. West Avalonia, East Avalonia, Meguma, Carolinia, Moravia–Silesia), which developed on juvenile, c. 1.3–1.0 Ga crust originating within the Panthalassa-like Mirovoi Ocean surrounding Rodinia, and which were accreted to the northern Gondwanan margin by c. 650 Ma; (2) Cadomian-type (e.g. North Armorican Massif, Ossa–Morena, Saxo-Thuringia, Moldanubia), which formed along the West African margin by recycling ancient (c. 2.0–2.2 Ga) West African crust; (3) Ganderian-type (e.g. Ganderia, Florida, the Maya terrane and possible the NW Iberian domain and South Armor- ican Massif), which formed along the Amazonian margin of Gondwana by recycling Avalonian and older Amazonian basement; and (4) cratonic terranes (e.g. Oaxaquia and the Chortis block), which represent displaced Amazonian portions of cratonic Gondwana. These contrasts imply the existence of fundamental sutures between these terranes prior to c. 650 Ma. Derivation of the Cadomian-type terranes from the West African craton is further supported by detrital zircon","author":[{"dropping-particle":"","family":"Nance","given":"R. Damian","non-dropping-particle":"","parse-names":false,"suffix":""},{"dropping-particle":"","family":"Murphy","given":"J. Brendan","non-dropping-particle":"","parse-names":false,"suffix":""},{"dropping-particle":"","family":"Strachan","given":"Robin A.","non-dropping-particle":"","parse-names":false,"suffix":""},{"dropping-particle":"","family":"Keppie","given":"J. Duncan","non-dropping-particle":"","parse-names":false,"suffix":""},{"dropping-particle":"","family":"Gutiérrez-Alonso","given":"Gabriel","non-dropping-particle":"","parse-names":false,"suffix":""},{"dropping-particle":"","family":"Fernández-Suárez","given":"Javier","non-dropping-particle":"","parse-names":false,"suffix":""},{"dropping-particle":"","family":"Quesada","given":"Cecilio","non-dropping-particle":"","parse-names":false,"suffix":""},{"dropping-particle":"","family":"Linnemann","given":"Ulf","non-dropping-particle":"","parse-names":false,"suffix":""},{"dropping-particle":"","family":"D'Lemos","given":"Richard","non-dropping-particle":"","parse-names":false,"suffix":""},{"dropping-particle":"","family":"Pisarevsky","given":"Sergei A.","non-dropping-particle":"","parse-names":false,"suffix":""}],"container-title":"The Boundaries of the West African Craton","editor":[{"dropping-particle":"","family":"Ennih","given":"N.","non-dropping-particle":"","parse-names":false,"suffix":""},{"dropping-particle":"","family":"Liegeois","given":"J. P.","non-dropping-particle":"","parse-names":false,"suffix":""}],"id":"ITEM-4","issued":{"date-parts":[["2008"]]},"page":"345-383","publisher":"Geological Society, London","publisher-place":"London","title":"Neoproterozoic-early Palaeozoic tectonostratigraphy and palaeogeography of the peri-Gondwanan terranes: Amazonian v . West African connections","type":"chapter"},"uris":["http://www.mendeley.com/documents/?uuid=75644ac1-dd8f-4b4c-a660-54d3a0502704"]},{"id":"ITEM-5","itemData":{"DOI":"10.1016/j.jafrearsci.2014.03.007","ISSN":"18791956","abstract":"For over 50 years the Pan African orogeny has been recognized as a Neoproterozoic tectonothermal episode affecting West Africa 800-550. Ma. As such, the Pan African events are similar to the Appalachian orogenic cycle extending from ~1100 to 250. Ma and the Cordilleran orogenic cycle of 350. Ma to the present. A significant difference is that the Appalachian orogenic cycle has long been recognized as consisting of separate Grenville, Taconic, Acadian and Alleghenian orogenies. Similarly, the Cordilleran orogenic cycle consists of distinct Antler, Sonoma, Nevadan, Sevier, Laramide and ongoing Cascadian-Andean orogenies. Failure to distinguish individual tectonic events in the Anti-Atlas Mountains has been attributable to the dearth of radiometric dates in this region.Since 2000, precision geochronologic dating in the Anti-Atlas Mountains, Morocco, has provided a means by which it is now appropriate to designate a Pan African orogenic cycle consisting of separate distinct orogenic events. We herein propose the following distinct orogenic events in the Anti-Atlas Mountains of Morocco: Iriri-Tichibanine orogeny (760-700. Ma), Bou Azzer orogeny (680-640. Ma) and the WACadomian orogeny (620-555. Ma). © 2014 Elsevier Ltd.","author":[{"dropping-particle":"","family":"Hefferan","given":"Kevin","non-dropping-particle":"","parse-names":false,"suffix":""},{"dropping-particle":"","family":"Soulaimani","given":"Abderrahmane","non-dropping-particle":"","parse-names":false,"suffix":""},{"dropping-particle":"","family":"Samson","given":"Scott D.","non-dropping-particle":"","parse-names":false,"suffix":""},{"dropping-particle":"","family":"Admou","given":"Hassan","non-dropping-particle":"","parse-names":false,"suffix":""},{"dropping-particle":"","family":"Inglis","given":"Jeremy","non-dropping-particle":"","parse-names":false,"suffix":""},{"dropping-particle":"","family":"Saquaque","given":"Ali","non-dropping-particle":"","parse-names":false,"suffix":""},{"dropping-particle":"","family":"Latifa","given":"Chaib","non-dropping-particle":"","parse-names":false,"suffix":""},{"dropping-particle":"","family":"Heywood","given":"Neil","non-dropping-particle":"","parse-names":false,"suffix":""}],"container-title":"Journal of African Earth Sciences","id":"ITEM-5","issued":{"date-parts":[["2014"]]},"page":"34-46","publisher":"Elsevier Ltd","title":"A reconsideration of Pan African orogenic cycle in the Anti-Atlas Mountains, Morocco","type":"article-journal","volume":"98"},"uris":["http://www.mendeley.com/documents/?uuid=c56c044f-7333-4d27-ad75-d943ade44d29"]},{"id":"ITEM-6","itemData":{"DOI":"10.1016/S0040-1951(02)00629-7","ISBN":"1352846241","ISSN":"00401951","abstract":"The assembly of the eastern part of Gondwana (eastern Africa, Arabian-Nubian shield (ANS), Seychelles, India, Madagascar, Sri Lanka, East Antarctica and Australia) resulted from a complex series of orogenic events spanning the interval from </w:instrText>
      </w:r>
      <w:r w:rsidR="00CA0C1A">
        <w:rPr>
          <w:rFonts w:ascii="Cambria Math" w:hAnsi="Cambria Math" w:cs="Cambria Math"/>
        </w:rPr>
        <w:instrText>∼</w:instrText>
      </w:r>
      <w:r w:rsidR="00CA0C1A">
        <w:rPr>
          <w:rFonts w:ascii="Arial" w:hAnsi="Arial" w:cs="Arial"/>
        </w:rPr>
        <w:instrText xml:space="preserve"> 750 to </w:instrText>
      </w:r>
      <w:r w:rsidR="00CA0C1A">
        <w:rPr>
          <w:rFonts w:ascii="Cambria Math" w:hAnsi="Cambria Math" w:cs="Cambria Math"/>
        </w:rPr>
        <w:instrText>∼</w:instrText>
      </w:r>
      <w:r w:rsidR="00CA0C1A">
        <w:rPr>
          <w:rFonts w:ascii="Arial" w:hAnsi="Arial" w:cs="Arial"/>
        </w:rPr>
        <w:instrText xml:space="preserve"> 530 Ma. Although the assembly of Gondwana is generally discussed in terms of the suturing of east and west Gondwana, such a view oversimplifies the true nature of this spectacular event. A detailed examination of the geochronologic database from key cratonic elements in eastern Gondwana suggests a multiphase assembly. The model outlined in this paper precludes the notion of a united east Gondwana and strongly suggests that its assembly paralleled the final assembly of greater Gondwana. It is possible to identify at least two main periods of orogenesis within eastern Gondwana. The older orogen resulted from the amalgamation of arc terranes in the Arabian-Nubian shield region and oblique continent-continent collision between eastern Africa (Kenya-Tanzania and points northward) with an, as of yet, ill-defined collage of continental blocks including parts of Madagascar, Sri Lanka, Seychelles, India and East Antarctica during the interval from </w:instrText>
      </w:r>
      <w:r w:rsidR="00CA0C1A">
        <w:rPr>
          <w:rFonts w:ascii="Cambria Math" w:hAnsi="Cambria Math" w:cs="Cambria Math"/>
        </w:rPr>
        <w:instrText>∼</w:instrText>
      </w:r>
      <w:r w:rsidR="00CA0C1A">
        <w:rPr>
          <w:rFonts w:ascii="Arial" w:hAnsi="Arial" w:cs="Arial"/>
        </w:rPr>
        <w:instrText xml:space="preserve"> 750 to 620 Ma. This is referred to as the East Africa Orogen (EAO) in keeping with both the terminology and the focus of the paper by Stern [Annu. Rev. Earth Planet. Sci. 22 (1994) 319]. The second major episode of orogenesis took place between 570 and 530 Ma and resulted from the oblique collision between Australia plus an unknown portion of East Antarctica with the elements previously assembled during the East African Orogen. This episode is referred to as the Kuunga Orogeny following the suggestion of Meert et al. [Precambrian Res. 74 (1995) 225]. Paleomagnetic data are currently too few to provide a rigorous test of this proposal, but the extant data do not conflict with the notion of a polyphase assembly of eastern Gondwana. The major conclusion of this paper is that east Gondwana did not exist until its Cambrian assembly. © 2002 Elsevier Science B.V. All rights reserved.","author":[{"dropping-particle":"","family":"Meert","given":"Joseph G.","non-dropping-particle":"","parse-names":false,"suffix":""}],"container-title":"Tectonophysics","id":"ITEM-6","issue":"1-4","issued":{"date-parts":[["2003"]]},"number-of-pages":"1-40","title":"A synopsis of events related to the assembly of the eastern Gondwana","type":"book","volume":"362"},"uris":["http://www.mendeley.com/documents/?uuid=ba5836cc-3865-4dc3-9e3b-d53b307f8d75"]},{"id":"ITEM-7","itemData":{"DOI":"10.1130/0091-7613(2003)031&lt;0501:PIPOCD&gt;2.0.CO;2","ISSN":"00917613","abstract":"Gondwanaland was assembled by 650-570 Ma oblique subduction of ocean floor between cratons, including the Mozambique Ocean between West and East Gondwanaland. Oblique convergence set the cratons into a series of counterrotating cogs that sheared the intervening fold belts. The 550-490 Ma oblique subduction of paleo-Pacific ocean floor beneath Antarctica extended the system of counterrotating cogs and shear deformation to the Transantarctic Mountains and northern Australia. Terminal subduction was followed by epeirogenic uplift and concomitant stripping indicated by ubiquitous ca. 500 Ma K-Ar and apatite fission-track dates. These deep-seated events, recorded by zircons of 650-500 Ma age, and first noted in Africa (\"Pan-African\"), are now recognized as \"Pan-Gondwanaland\".","author":[{"dropping-particle":"","family":"Veevers","given":"John J.","non-dropping-particle":"","parse-names":false,"suffix":""}],"container-title":"Geology","id":"ITEM-7","issue":"6","issued":{"date-parts":[["2003"]]},"page":"501-504","title":"Pan-African is Pan-Gondwanaland: Oblique convergence drives rotation during 650-500 Ma assembly","type":"article-journal","volume":"31"},"uris":["http://www.mendeley.com/documents/?uuid=aa785be1-962e-48ed-8535-f1dae6e67279"]},{"id":"ITEM-8","itemData":{"DOI":"10.1016/j.earscirev.2007.03.001","ISSN":"00128252","abstract":"Pan-Gondwanaland (650-500 Ma) tectonics is dominated by transcurrent motions driven by post-collisional oblique stresses. Extension is commonly marked by the intrusion of alkaline rocks, in particular A-type granite, nepheline syenite, and carbonatites (ARCs), during or after collision, as well as by field studies. ARCs of this age are common in Africa, South America, India, Antarctica, and Australia, and are indicated by related detrital zircons of 650-500 Ma age in Permian-Triassic and younger sediments from Australia, Antarctica, southern Africa, and India. Structural studies suggest that ARCs fill openings at releasing bends along transcurrent fractures and during reversal of the sense of motion as well as during relaxation of stress after collision. On the Paleo-Pacific margin, 550-500 Ma ARCs of the Koettlitz Glacier Alkaline Province were emplaced syn-tectonically within the Ross orogen during oblique subduction. The concentration of ARC magmas emplaced during the amalgamation of Gondwanaland is correlated with the transtension generated by the 650-570 Ma oblique subduction between Avalonia-Cadomia and the West African craton, and the 550-490 Ma oblique subduction of the Paleo-Pacific underneath Antarctica. In the Eastern Ghats and the Prince Charles Mountains of East Antarctica, ARCs and related zircons were generated 1000-900 Ma during an earlier continental collision. © 2007 Elsevier B.V. All rights reserved.","author":[{"dropping-particle":"","family":"Veevers","given":"John J.","non-dropping-particle":"","parse-names":false,"suffix":""}],"container-title":"Earth-Science Reviews","id":"ITEM-8","issue":"1-2","issued":{"date-parts":[["2007"]]},"page":"1-47","title":"Pan-Gondwanaland post-collisional extension marked by 650-500 Ma alkaline rocks and carbonatites and related detrital zircons: A review","type":"article-journal","volume":"83"},"uris":["http://www.mendeley.com/documents/?uuid=f1d2b398-494e-499d-b3ef-9bc1540e6a75"]}],"mendeley":{"formattedCitation":"(Cawood and Buchan, 2007; Hefferan et al., 2014; Küster and Harms, 1998; Meert, 2003; Nance et al., 2008; Squire et al., 2006; Veevers, 2007, 2003)","plainTextFormattedCitation":"(Cawood and Buchan, 2007; Hefferan et al., 2014; Küster and Harms, 1998; Meert, 2003; Nance et al., 2008; Squire et al., 2006; Veevers, 2007, 2003)","previouslyFormattedCitation":"(Cawood and Buchan, 2007; Hefferan et al., 2014; Küster and Harms, 1998; Meert, 2003; Nance et al., 2008; Squire et al., 2006; Veevers, 2007, 2003)"},"properties":{"noteIndex":0},"schema":"https://github.com/citation-style-language/schema/raw/master/csl-citation.json"}</w:instrText>
      </w:r>
      <w:r w:rsidR="008C06EC">
        <w:rPr>
          <w:rFonts w:ascii="Arial" w:hAnsi="Arial" w:cs="Arial"/>
        </w:rPr>
        <w:fldChar w:fldCharType="separate"/>
      </w:r>
      <w:r w:rsidR="00CA0C1A" w:rsidRPr="00CA0C1A">
        <w:rPr>
          <w:rFonts w:ascii="Arial" w:hAnsi="Arial" w:cs="Arial"/>
          <w:noProof/>
        </w:rPr>
        <w:t>(Cawood and Buchan, 2007; Hefferan et al., 2014; Küster and Harms, 1998; Meert, 2003; Nance et al., 2008; Squire et al., 2006; Veevers, 2007, 2003)</w:t>
      </w:r>
      <w:r w:rsidR="008C06EC">
        <w:rPr>
          <w:rFonts w:ascii="Arial" w:hAnsi="Arial" w:cs="Arial"/>
        </w:rPr>
        <w:fldChar w:fldCharType="end"/>
      </w:r>
      <w:r w:rsidR="00CA0C1A">
        <w:rPr>
          <w:rFonts w:ascii="Arial" w:hAnsi="Arial" w:cs="Arial"/>
        </w:rPr>
        <w:t xml:space="preserve">. </w:t>
      </w:r>
      <w:r w:rsidR="00811FD2">
        <w:rPr>
          <w:rFonts w:ascii="Arial" w:hAnsi="Arial" w:cs="Arial"/>
        </w:rPr>
        <w:t xml:space="preserve">During the late </w:t>
      </w:r>
      <w:r w:rsidR="00811FD2" w:rsidRPr="00811FD2">
        <w:rPr>
          <w:rFonts w:ascii="Arial" w:hAnsi="Arial" w:cs="Arial"/>
        </w:rPr>
        <w:t>Neoproterozoic</w:t>
      </w:r>
      <w:r w:rsidR="00811FD2">
        <w:rPr>
          <w:rFonts w:ascii="Arial" w:hAnsi="Arial" w:cs="Arial"/>
        </w:rPr>
        <w:t xml:space="preserve"> at</w:t>
      </w:r>
      <w:r w:rsidR="00BB2748">
        <w:rPr>
          <w:rFonts w:ascii="Arial" w:hAnsi="Arial" w:cs="Arial"/>
        </w:rPr>
        <w:t xml:space="preserve"> Gondwana’s </w:t>
      </w:r>
      <w:r w:rsidR="00C4394A">
        <w:rPr>
          <w:rFonts w:ascii="Arial" w:hAnsi="Arial" w:cs="Arial"/>
        </w:rPr>
        <w:t>n</w:t>
      </w:r>
      <w:r w:rsidR="00BB2748">
        <w:rPr>
          <w:rFonts w:ascii="Arial" w:hAnsi="Arial" w:cs="Arial"/>
        </w:rPr>
        <w:t xml:space="preserve">orthern </w:t>
      </w:r>
      <w:r w:rsidR="00811FD2">
        <w:rPr>
          <w:rFonts w:ascii="Arial" w:hAnsi="Arial" w:cs="Arial"/>
        </w:rPr>
        <w:t xml:space="preserve">active </w:t>
      </w:r>
      <w:r w:rsidR="00BB2748">
        <w:rPr>
          <w:rFonts w:ascii="Arial" w:hAnsi="Arial" w:cs="Arial"/>
        </w:rPr>
        <w:t>margins</w:t>
      </w:r>
      <w:r w:rsidR="00C4394A">
        <w:rPr>
          <w:rFonts w:ascii="Arial" w:hAnsi="Arial" w:cs="Arial"/>
        </w:rPr>
        <w:t>,</w:t>
      </w:r>
      <w:r w:rsidR="00BB2748">
        <w:rPr>
          <w:rFonts w:ascii="Arial" w:hAnsi="Arial" w:cs="Arial"/>
        </w:rPr>
        <w:t xml:space="preserve"> a series of detached basement blocks (peri-Gondwana terranes)</w:t>
      </w:r>
      <w:r w:rsidR="00811FD2">
        <w:rPr>
          <w:rFonts w:ascii="Arial" w:hAnsi="Arial" w:cs="Arial"/>
        </w:rPr>
        <w:t xml:space="preserve"> beg</w:t>
      </w:r>
      <w:r w:rsidR="00E20FA4">
        <w:rPr>
          <w:rFonts w:ascii="Arial" w:hAnsi="Arial" w:cs="Arial"/>
        </w:rPr>
        <w:t>a</w:t>
      </w:r>
      <w:r w:rsidR="00811FD2">
        <w:rPr>
          <w:rFonts w:ascii="Arial" w:hAnsi="Arial" w:cs="Arial"/>
        </w:rPr>
        <w:t>n to develop</w:t>
      </w:r>
      <w:r w:rsidR="00BB2748">
        <w:rPr>
          <w:rFonts w:ascii="Arial" w:hAnsi="Arial" w:cs="Arial"/>
        </w:rPr>
        <w:t xml:space="preserve"> </w:t>
      </w:r>
      <w:r w:rsidR="00BB2748">
        <w:rPr>
          <w:rFonts w:ascii="Arial" w:hAnsi="Arial" w:cs="Arial"/>
        </w:rPr>
        <w:fldChar w:fldCharType="begin" w:fldLock="1"/>
      </w:r>
      <w:r w:rsidR="008F48D2">
        <w:rPr>
          <w:rFonts w:ascii="Arial" w:hAnsi="Arial" w:cs="Arial"/>
        </w:rPr>
        <w:instrText>ADDIN CSL_CITATION {"citationItems":[{"id":"ITEM-1","itemData":{"DOI":"10.1016/j.gr.2009.08.004","ISSN":"1342937X","abstract":"Combined U-Pb and Lu-Hf isotope analysis of detrital zircons reveals that the Mid-German Crystalline Rise (MGCR) contains Palaeozoic sediments of distinct provenance in close proximity. Zircons from a metapelite of the Brotterode group were derived from a Gondwanan source, whereas zircons from the Rögis quartzite of the Ruhla group point to provenance from Baltica. Brotterode zircons mostly yield ages of 500-720 Ma and 2.0-2.1 Ga, and show an age gap between 1.0 and 1.7 Ga, which is characteristic of Gondwana/peri-Gondwanan detrital zircon populations. Combined U-Pb and Hf isotope data suggest intense crustal recycling at 2.6-2.9 Ga, 1.8-2.1 Ga, and 570-720 Ma as well as formation of juvenile crust during the latter two periods. In contrast, zircons of the Rögis quartzite mostly yield ages between 0.9 and 1.8 Ga, which are typical of southwestern Baltica. Minor age populations at 435-466 and 550-660 Ma indicate that the quartzite is younger than Late Ordovician/Early Silurian, and that the Baltica-derived sediment is contaminated by minor peri-Gondwanan, perhaps Avalonia-derived detritus. Minor age populations at 2.0, 2.56, 2.67, and 2.86 Ga additionally point to a Svecofennian and/or Karelian source. U-Pb and Hf isotope data imply that the Baltica-derived zircons were produced mainly through melting of juvenile Palaeo- to Mesoproterozoic crust. The data presented here indicate that the MGCR hosts the Rheic suture between Gondwana and Balonia, and that this suture zone was closed in a complex sequence of stages from the Late Silurian onwards. © 2009 International Association for Gondwana Research.","author":[{"dropping-particle":"","family":"Zeh","given":"Armin","non-dropping-particle":"","parse-names":false,"suffix":""},{"dropping-particle":"","family":"Gerdes","given":"Axel","non-dropping-particle":"","parse-names":false,"suffix":""}],"container-title":"Gondwana Research","id":"ITEM-1","issue":"2-3","issued":{"date-parts":[["2010"]]},"page":"254-263","publisher":"International Association for Gondwana Research","title":"Baltica- and Gondwana-derived sediments in the Mid-German Crystalline Rise (Central Europe): Implications for the closure of the Rheic ocean","type":"article-journal","volume":"17"},"uris":["http://www.mendeley.com/documents/?uuid=654ce491-c6da-44e2-8150-ecdd6b08bff6"]},{"id":"ITEM-2","itemData":{"DOI":"10.1016/S0040-1951(03)00015-5","ISSN":"00401951","abstract":"The European Variscan and Alpine mountain chains are collisional orogens, and are built up of pre-Variscan \"building blocks\" which, in most cases, originated at the Gondwana margin. Such pre-Variscan elements were part of a pre-Ordovician archipelago-like continental ribbon in the former eastern prolongation of Avalonia, and their present-day distribution resulted from juxtaposition through Variscan and/or Alpine tectonic evolution. The well-known nomenclatures applied to these mountain chains are the mirror of Variscan resp. Alpine organization. It is the aim of this paper to present a terminology taking into account their pre-Variscan evolution at the Gondwana margin. They may contain relics of volcanic islands with pieces of Cadomian crust, relics of volcanic arc settings, and accretionary wedges, which were separated from Gondwana by initial stages of Rheic ocean opening. After a short-lived Ordovician orogenic event and amalgamation of these elements at the Gondwanan margin, the still continuing Gondwana-directed subduction triggered the formation of Ordovician Al-rich granitoids and the latest Ordovician opening of Palaeo-Tethys. An example from the Alps (External Massifs) illustrates the gradual reworking of Gondwana-derived, pre-Variscan elements during the Variscan and Alpine/Tertiary orogenic cycles. © 2003 Elsevier Science B.V. All rights reserved.","author":[{"dropping-particle":"","family":"Raumer","given":"Jürgen F.","non-dropping-particle":"von","parse-names":false,"suffix":""},{"dropping-particle":"","family":"Stampfli","given":"Gérard M.","non-dropping-particle":"","parse-names":false,"suffix":""},{"dropping-particle":"","family":"Bussy","given":"François","non-dropping-particle":"","parse-names":false,"suffix":""}],"container-title":"Tectonophysics","id":"ITEM-2","issue":"1-4","issued":{"date-parts":[["2003"]]},"page":"7-22","title":"Gondwana-derived microcontinents - The constituents of the Variscan and Alpine collisional orogens","type":"article-journal","volume":"365"},"uris":["http://www.mendeley.com/documents/?uuid=e3905d00-279b-4a92-a346-5785a84dd702"]}],"mendeley":{"formattedCitation":"(von Raumer et al., 2003; Zeh and Gerdes, 2010)","plainTextFormattedCitation":"(von Raumer et al., 2003; Zeh and Gerdes, 2010)","previouslyFormattedCitation":"(von Raumer et al., 2003; Zeh and Gerdes, 2010)"},"properties":{"noteIndex":0},"schema":"https://github.com/citation-style-language/schema/raw/master/csl-citation.json"}</w:instrText>
      </w:r>
      <w:r w:rsidR="00BB2748">
        <w:rPr>
          <w:rFonts w:ascii="Arial" w:hAnsi="Arial" w:cs="Arial"/>
        </w:rPr>
        <w:fldChar w:fldCharType="separate"/>
      </w:r>
      <w:r w:rsidR="008F48D2" w:rsidRPr="008F48D2">
        <w:rPr>
          <w:rFonts w:ascii="Arial" w:hAnsi="Arial" w:cs="Arial"/>
          <w:noProof/>
        </w:rPr>
        <w:t>(von Raumer et al., 2003; Zeh and Gerdes, 2010)</w:t>
      </w:r>
      <w:r w:rsidR="00BB2748">
        <w:rPr>
          <w:rFonts w:ascii="Arial" w:hAnsi="Arial" w:cs="Arial"/>
        </w:rPr>
        <w:fldChar w:fldCharType="end"/>
      </w:r>
      <w:r w:rsidR="00BB2748">
        <w:rPr>
          <w:rFonts w:ascii="Arial" w:hAnsi="Arial" w:cs="Arial"/>
        </w:rPr>
        <w:t xml:space="preserve">, </w:t>
      </w:r>
      <w:r w:rsidR="00811FD2">
        <w:rPr>
          <w:rFonts w:ascii="Arial" w:hAnsi="Arial" w:cs="Arial"/>
        </w:rPr>
        <w:t xml:space="preserve">and were eventually separated from the supercontinent </w:t>
      </w:r>
      <w:r w:rsidR="00BB2748">
        <w:rPr>
          <w:rFonts w:ascii="Arial" w:hAnsi="Arial" w:cs="Arial"/>
        </w:rPr>
        <w:t xml:space="preserve">by the </w:t>
      </w:r>
      <w:r w:rsidR="00BB2748" w:rsidRPr="00BB2748">
        <w:rPr>
          <w:rFonts w:ascii="Arial" w:hAnsi="Arial" w:cs="Arial"/>
        </w:rPr>
        <w:t>opening of the Rheic ocean</w:t>
      </w:r>
      <w:r w:rsidR="00811FD2">
        <w:rPr>
          <w:rFonts w:ascii="Arial" w:hAnsi="Arial" w:cs="Arial"/>
        </w:rPr>
        <w:t xml:space="preserve"> ~485-465 Ma</w:t>
      </w:r>
      <w:r w:rsidR="00BB2748">
        <w:rPr>
          <w:rFonts w:ascii="Arial" w:hAnsi="Arial" w:cs="Arial"/>
        </w:rPr>
        <w:t xml:space="preserve"> </w:t>
      </w:r>
      <w:r w:rsidR="00BB2748">
        <w:rPr>
          <w:rFonts w:ascii="Arial" w:hAnsi="Arial" w:cs="Arial"/>
        </w:rPr>
        <w:fldChar w:fldCharType="begin" w:fldLock="1"/>
      </w:r>
      <w:r w:rsidR="00745223">
        <w:rPr>
          <w:rFonts w:ascii="Arial" w:hAnsi="Arial" w:cs="Arial"/>
        </w:rPr>
        <w:instrText>ADDIN CSL_CITATION {"citationItems":[{"id":"ITEM-1","itemData":{"DOI":"10.1016/S0012-821X(01)00588-X","author":[{"dropping-particle":"","family":"Stampfli","given":"Gérard M.","non-dropping-particle":"","parse-names":false,"suffix":""},{"dropping-particle":"","family":"Borel","given":"Gilles D.","non-dropping-particle":"","parse-names":false,"suffix":""}],"container-title":"Earth and Planetary Science Letters","id":"ITEM-1","issued":{"date-parts":[["2002"]]},"page":"17-33","title":"A plate tectonic model for the Paleozoic and Mesozoic constrained by dynamic plate boundaries and restored synthetic oceanic isochrons","type":"article-journal","volume":"196"},"uris":["http://www.mendeley.com/documents/?uuid=994dcad7-23fc-4cd4-b29a-e1b6954502b9"]},{"id":"ITEM-2","itemData":{"DOI":"10.1016/j.tecto.2013.02.037","ISSN":"00401951","abstract":"The making of Pangea is the result of large-scale amalgamation of continents and micro-continents, which started at the end of the Neoproterozoic with the formation of Gondwana. As pieces were added to Gondwana on its South-American, Antarctica and Australia side, ribbon-like micro-continents were detached from its African and South-Chinese side: Cadomia in the late Neoproterozoic, Avalonia and Hunia in the Ordovician, Galatia in the Devonian and Cimmeria in the Permian. Cadomia was re-accreted to Gondwana, but the other ribbon-continents were accreted to Baltica, North-China, Laurussia or Laurasia. Finding the origin of these numerous terranes is a major geological challenge. Recently, a global plate tectonic model was developed together with a large geological/geodynamic database, at the Lausanne University, covering the last 600. Ma of the Earth's history. Special attention was given to the placing of Gondwana derived terranes in their original position, using all possible constraints. We propose here a solution for the Variscan terranes, another paper deals with the Altaids. The Galatian super-terrane was detached from Gondwana in the Devonian, during the opening of Paleotethys, and was quickly separated into four sub-terranes that started to by-pass each other. The leading terranes collided at the end of the Devonian with the Hanseatic terrane detached from Laurussia. In the Carboniferous, Gondwana started to impinge onto the amalgamated terranes, creating the Variscan chain and the Pangean super-continent. East of Spain Paleotethys remained opened until the Triassic, subducting northward under Laurasia. Roll-back of the Paleotethyan slab triggered the collapse of most of the European Variscan orogen, which was replaced by series of Permian rifts, some of them becoming oceanized back-arc basins during the Triassic. Major force changes at the Pangean plate limits at the end of the Triassic provoked its break-up, through the opening of the proto-Caribbean, central-Atlantic, Alpine-Tethys oceanic seaways. © 2013 Elsevier B.V.","author":[{"dropping-particle":"","family":"Stampfli","given":"Gérard M.","non-dropping-particle":"","parse-names":false,"suffix":""},{"dropping-particle":"","family":"Hochard","given":"Cyril","non-dropping-particle":"","parse-names":false,"suffix":""},{"dropping-particle":"","family":"Vérard","given":"C.","non-dropping-particle":"","parse-names":false,"suffix":""},{"dropping-particle":"","family":"Wilhem","given":"C.","non-dropping-particle":"","parse-names":false,"suffix":""},{"dropping-particle":"","family":"VonRaumer","given":"J.","non-dropping-particle":"","parse-names":false,"suffix":""}],"container-title":"Tectonophysics","id":"ITEM-2","issued":{"date-parts":[["2013"]]},"page":"1-19","title":"The formation of Pangea","type":"article-journal","volume":"593"},"uris":["http://www.mendeley.com/documents/?uuid=46b9fda4-ae6e-4d07-b543-7cc92e51a516"]},{"id":"ITEM-3","itemData":{"DOI":"10.1007/s00531-015-1142-x","ISSN":"14373262","abstract":"In tectonic maps of Variscan Europe, allochthonous pieces of Cadomian basement clearly stand out with their predominant metabasic to ultrabasic elements, the so-called exotic terranes with ophiolites. Most of these domains are observed in basements of the Central Iberian Allochthone, the South Armorican domain, the nappe structures of the French Massif Central, the Saxothuringian Zone and the Bohemian Massif. Similar relics can be recognized in many Alpine basement areas, and correlations with supposedly more autochthonous basements, such as the Ossa Morena Zone and the Central Iberian basement, can be envisaged. All of these relics are thought to represent the interrupted trace of a former continuous or discontinuous structure, characterized by the presence of ocean-derived proto-Rheic rock suites. These can be interpreted as pieces of former magmatic arcs of Ediacaran to Cambrian age accreted to the Gondwana margin, which later were scattered as allochthonous units during the Variscan plate-tectonic processes. The presence of similar rock suites of Ordovician age in the Alpine realm is explained by the accretion of exotic China-derived basements and their collision with the Gondwana margin during the opening of the Rheic Ocean.","author":[{"dropping-particle":"","family":"Raumer","given":"Jürgen F.","non-dropping-particle":"von","parse-names":false,"suffix":""},{"dropping-particle":"","family":"Stampfli","given":"Gérard M.","non-dropping-particle":"","parse-names":false,"suffix":""},{"dropping-particle":"","family":"Arenas","given":"Ricardo","non-dropping-particle":"","parse-names":false,"suffix":""},{"dropping-particle":"","family":"Sánchez Martínez","given":"Sonia","non-dropping-particle":"","parse-names":false,"suffix":""}],"container-title":"International Journal of Earth Sciences","id":"ITEM-3","issue":"5","issued":{"date-parts":[["2015"]]},"page":"1107-1121","publisher":"Springer Berlin Heidelberg","title":"Ediacaran to Cambrian oceanic rocks of the Gondwana margin and their tectonic interpretation","type":"article-journal","volume":"104"},"uris":["http://www.mendeley.com/documents/?uuid=3a876cde-3fcf-4063-92d2-e818d80ec3c5"]},{"id":"ITEM-4","itemData":{"DOI":"10.1016/j.gsf.2011.11.008","ISSN":"16749871","abstract":"The Rheic Ocean was one of the most important oceans of the Paleozoic Era. It lay between Laurentia and Gondwana from the Early Ordovician and closed to produce the vast Ouachita-Alleghanian-Variscan orogen during the assembly of Pangea. Rifting began in the Cambrian as a continuation of Neoproterozoic orogenic activity and the ocean opened in the Early Ordovician with the separation of several Neoproterozoic arc terranes from the continental margin of northern Gondwana along the line of a former suture. The rapid rate of ocean opening suggests it was driven by slab pull in the outboard Iapetus Ocean. The ocean reached its greatest width with the closure of Iapetus and the accretion of the peri-Gondwanan arc terranes to Laurentia in the Silurian. Ocean closure began in the Devonian and continued through the Mississippian as Gondwana sutured to Laurussia to form Pangea. The ocean consequently plays a dominant role in the Appalachian-Ouachita orogeny of North America, in the basement geology of southern Europe, and in the Paleozoic sedimentary, structural and tectonothermal record from Middle America to the Middle East. Its closure brought the Paleozoic Era to an end. © 2011, China University of Geosciences (Beijing) and Peking University. Production and hosting by Elsevier B.V. All rights reserved.","author":[{"dropping-particle":"","family":"Nance","given":"R. Damian","non-dropping-particle":"","parse-names":false,"suffix":""},{"dropping-particle":"","family":"Gutiérrez-Alonso","given":"Gabriel","non-dropping-particle":"","parse-names":false,"suffix":""},{"dropping-particle":"","family":"Keppie","given":"J. Duncan","non-dropping-particle":"","parse-names":false,"suffix":""},{"dropping-particle":"","family":"Linnemann","given":"Ulf","non-dropping-particle":"","parse-names":false,"suffix":""},{"dropping-particle":"","family":"Murphy","given":"J. Brendan","non-dropping-particle":"","parse-names":false,"suffix":""},{"dropping-particle":"","family":"Quesada","given":"Cecilio","non-dropping-particle":"","parse-names":false,"suffix":""},{"dropping-particle":"","family":"Strachan","given":"Rob A.","non-dropping-particle":"","parse-names":false,"suffix":""},{"dropping-particle":"","family":"Woodcock","given":"Nigel H.","non-dropping-particle":"","parse-names":false,"suffix":""}],"container-title":"Geoscience Frontiers","id":"ITEM-4","issue":"2","issued":{"date-parts":[["2012"]]},"page":"125-135","title":"A brief history of the Rheic Ocean","type":"article-journal","volume":"3"},"uris":["http://www.mendeley.com/documents/?uuid=1aa9c8dd-fef4-4d8e-a7f5-c3cf7d126903"]}],"mendeley":{"formattedCitation":"(Nance et al., 2012; Stampfli et al., 2013; Stampfli and Borel, 2002; von Raumer et al., 2015)","plainTextFormattedCitation":"(Nance et al., 2012; Stampfli et al., 2013; Stampfli and Borel, 2002; von Raumer et al., 2015)","previouslyFormattedCitation":"(Nance et al., 2012; Stampfli et al., 2013; Stampfli and Borel, 2002; von Raumer et al., 2015)"},"properties":{"noteIndex":0},"schema":"https://github.com/citation-style-language/schema/raw/master/csl-citation.json"}</w:instrText>
      </w:r>
      <w:r w:rsidR="00BB2748">
        <w:rPr>
          <w:rFonts w:ascii="Arial" w:hAnsi="Arial" w:cs="Arial"/>
        </w:rPr>
        <w:fldChar w:fldCharType="separate"/>
      </w:r>
      <w:r w:rsidR="00811FD2" w:rsidRPr="00811FD2">
        <w:rPr>
          <w:rFonts w:ascii="Arial" w:hAnsi="Arial" w:cs="Arial"/>
          <w:noProof/>
        </w:rPr>
        <w:t>(Nance et al., 2012; Stampfli et al., 2013; Stampfli and Borel, 2002; von Raumer et al., 2015)</w:t>
      </w:r>
      <w:r w:rsidR="00BB2748">
        <w:rPr>
          <w:rFonts w:ascii="Arial" w:hAnsi="Arial" w:cs="Arial"/>
        </w:rPr>
        <w:fldChar w:fldCharType="end"/>
      </w:r>
      <w:r w:rsidR="00BB2748">
        <w:rPr>
          <w:rFonts w:ascii="Arial" w:hAnsi="Arial" w:cs="Arial"/>
        </w:rPr>
        <w:t xml:space="preserve">. </w:t>
      </w:r>
      <w:r w:rsidR="00C66E60">
        <w:rPr>
          <w:rFonts w:ascii="Arial" w:hAnsi="Arial" w:cs="Arial"/>
        </w:rPr>
        <w:t xml:space="preserve">The widespread Pan-African </w:t>
      </w:r>
      <w:r w:rsidR="00C97018">
        <w:rPr>
          <w:rFonts w:ascii="Arial" w:hAnsi="Arial" w:cs="Arial"/>
        </w:rPr>
        <w:t xml:space="preserve">uplift </w:t>
      </w:r>
      <w:r w:rsidR="00C66E60">
        <w:rPr>
          <w:rFonts w:ascii="Arial" w:hAnsi="Arial" w:cs="Arial"/>
        </w:rPr>
        <w:t xml:space="preserve">events translated into enhanced erosion and weathering, recycling and subsequent deposition of sediment </w:t>
      </w:r>
      <w:r w:rsidR="00C4394A">
        <w:rPr>
          <w:rFonts w:ascii="Arial" w:hAnsi="Arial" w:cs="Arial"/>
        </w:rPr>
        <w:t>on</w:t>
      </w:r>
      <w:r w:rsidR="00C66E60">
        <w:rPr>
          <w:rFonts w:ascii="Arial" w:hAnsi="Arial" w:cs="Arial"/>
        </w:rPr>
        <w:t xml:space="preserve"> the peri-</w:t>
      </w:r>
      <w:r w:rsidR="00C66E60">
        <w:rPr>
          <w:rFonts w:ascii="Arial" w:hAnsi="Arial" w:cs="Arial"/>
        </w:rPr>
        <w:lastRenderedPageBreak/>
        <w:t xml:space="preserve">Gondwanian shelf by a complex fluvial and fan system </w:t>
      </w:r>
      <w:r w:rsidR="00C66E60">
        <w:rPr>
          <w:rFonts w:ascii="Arial" w:hAnsi="Arial" w:cs="Arial"/>
        </w:rPr>
        <w:fldChar w:fldCharType="begin" w:fldLock="1"/>
      </w:r>
      <w:r w:rsidR="0021634A">
        <w:rPr>
          <w:rFonts w:ascii="Arial" w:hAnsi="Arial" w:cs="Arial"/>
        </w:rPr>
        <w:instrText>ADDIN CSL_CITATION {"citationItems":[{"id":"ITEM-1","itemData":{"DOI":"10.1130/G45745.1","ISSN":"19432682","abstract":"Upper Neoproterozoic to lower Paleozoic sedimentary successions in northwestern India are thought to record collision between the continental fragments of Western and Eastern Gondwana, and contain detritus derived from the East African orogen. However, paleocurrent analysis together with U-Pb age distribution and Hf isotopic signatures of detrital zircons from these successions indicate derivation from proximal sources within Eastern Gondwana. Time-equivalent successions from the Qiangtang terrane (Tibetan Plateau) and the northern margin of Neoproterozoic India show a similar provenance record, along with additional input of late Mesoproterozoic and Neoproterozoic detritus from East Antarctica-East India and West Australia. Detritus from the rising East African orogen is abundant in deposits in northern Africa, which constitutes part of Western Gondwana, but absent from equivalent successions in Indian Eastern Gondwana. The consistency in sedimentary provenance of the late Neoproterozoic to early Paleozoic strata in northwestern India, combined with the lack of evidence for deformation or metamorphism since at least ca. 760 Ma, argues against collision between the eastern and western segments of Gondwana in this northern region. These regions remained as passive continental margins separated by a large-scale embayment of the proto-Tethys ocean until late Paleozoic fragmentation of the continental blocks.","author":[{"dropping-particle":"","family":"Wang","given":"Wei","non-dropping-particle":"","parse-names":false,"suffix":""},{"dropping-particle":"","family":"Cawood","given":"Peter A.","non-dropping-particle":"","parse-names":false,"suffix":""},{"dropping-particle":"","family":"Pandit","given":"Manoj K.","non-dropping-particle":"","parse-names":false,"suffix":""},{"dropping-particle":"","family":"Zhao","given":"Jun Hong","non-dropping-particle":"","parse-names":false,"suffix":""},{"dropping-particle":"","family":"Zheng","given":"Jian Ping","non-dropping-particle":"","parse-names":false,"suffix":""}],"container-title":"Geology","id":"ITEM-1","issue":"4","issued":{"date-parts":[["2019"]]},"page":"308-312","title":"No collision between Eastern and Western Gondwana at their northern extent","type":"article-journal","volume":"47"},"uris":["http://www.mendeley.com/documents/?uuid=5db6648e-ac59-43d2-8fd8-a250607cf278"]},{"id":"ITEM-2","itemData":{"DOI":"10.1016/j.gr.2017.07.001","ISSN":"1342937X","abstract":"LA-ICPMS U-Pb geochronology of detrital rutile from North Gondwana Cambro-Ordovician sandstones is reported for the first time. Our sampling sites in Israel, Jordan and Ethiopia are situated thousands of kilometers apart thus providing a continental-scale perspective on the cooling and unroofing history of the provenance of the great Cambro-Ordovician sandstone sheet. Detrital rutiles in the Cambrian sandstone of Israel and Jordan define a unimodal age concentration at 0.59–0.58 Ga, preceding the timing of major orogenic sutures and predating the final assembly of Gondwana. Cooling to below the rutile U-Pb closure temperature followed continental-scale Pan-African granitoid intrusion at 0.63–0.60 Ga, signifying that rather than representing high-grade metamorphism the detrital rutile age spectra reflect widespread resetting, cooling and exhumation associated with late to post-tectonic igneous activity. The unimodal 0.59–0.58 Ga age spectra do not change significantly up the Cambrian sequence, implying exhumation prior to Cambrian sedimentation generated ample crustal material with an almost uniform U-Pb rutile signature that was prone to deliver immense amounts of detritus. Therefore, rather than reflecting progressive erosion of Cambrian Supermountains, the North Gondwana Cambrian sandstone represents secondary denudation of an already-exhumed metamorphic basement. Alongside the older (0.59–0.58 Ga) detrital rutile population, which dominates the Cambrian sequence, 0.55 Ga detrital rutiles first appear in the Ordovician of Jordan while 0.54 Ga rutile locally dominates the Ordovician from Ethiopia, some 2000 km upstream the Cambro-Ordovician fluvial system, close to its headwaters. The Ordovician drainage basin has thus been extended to include crustal vestiges that were exhumed coeval with Gondwana consolidation, but it is likely that most of the rock carapace that has been eroded from consolidating Cambrian orogenic sutures has been delivered to the south (modern coordinates).","author":[{"dropping-particle":"","family":"Avigad","given":"Dov","non-dropping-particle":"","parse-names":false,"suffix":""},{"dropping-particle":"","family":"Morag","given":"Navot","non-dropping-particle":"","parse-names":false,"suffix":""},{"dropping-particle":"","family":"Abbo","given":"Avishai","non-dropping-particle":"","parse-names":false,"suffix":""},{"dropping-particle":"","family":"Gerdes","given":"Axel","non-dropping-particle":"","parse-names":false,"suffix":""}],"container-title":"Gondwana Research","id":"ITEM-2","issued":{"date-parts":[["2017"]]},"page":"17-29","publisher":"International Association for Gondwana Research","title":"Detrital rutile U-Pb perspective on the origin of the great Cambro-Ordovician sandstone of North Gondwana and its linkage to orogeny","type":"article-journal","volume":"51"},"uris":["http://www.mendeley.com/documents/?uuid=7df5ca25-2f2b-4f79-83a7-f199d199d58f"]},{"id":"ITEM-3","itemData":{"DOI":"10.1016/j.gr.2012.05.003","ISSN":"1342937X","abstract":"We present a synopsis of detrital zircon U-Pb ages of sandstones from North Africa and neighboring Israel and Jordan, which allows us to identify zones with characteristic sediment provenance along the northern Gondwana margin (in present-day coordinates) in Cambrian-Ordovician times, and helps us to unravel the peri-Gondwana jigsaw puzzle. A special feature of the early Paleozoic cover sequence of North Africa is the eastward increase of 1.1-0.95. Ga detrital zircons, which become ubiquitous in the early Paleozoic sandstones of the Saharan Metacraton. Detrital zircons aged about 2.7-2.5, 2.15-1.75 and 0.75-0.53. Ga are also present. Early Paleozoic sandstones with similar provenance are known from peri-Gondwana terranes in the Eastern and Western Mediterranean and from NW Iberia. These terranes need not be transported from western Gondwana (Amazonia) as suggested previously. They were likely located to the north of the Saharan Metacraton during the early Paleozoic before they rifted off from Gondwana. Furthermore, we recognize an increase, as stratigraphic ages get younger, of ca. 1.0. Ga detrital zircons at some point between the Late Cambrian and late Middle Ordovician. We speculate that this might be linked to far-field tectonics and regional uplift in central Gondwana related to plate-tectonic reorganization along the Gondwana margin, leading to erosion of ca. 1.0. Ga basement and country rocks of the Transgondwanan supermountain and fluvial dispersal of detritus toward the Gondwana margin. © 2012 International Association for Gondwana Research.","author":[{"dropping-particle":"","family":"Meinhold","given":"Guido","non-dropping-particle":"","parse-names":false,"suffix":""},{"dropping-particle":"","family":"Morton","given":"Andrew C.","non-dropping-particle":"","parse-names":false,"suffix":""},{"dropping-particle":"","family":"Avigad","given":"Dov","non-dropping-particle":"","parse-names":false,"suffix":""}],"container-title":"Gondwana Research","id":"ITEM-3","issue":"2","issued":{"date-parts":[["2013"]]},"page":"661-665","publisher":"International Association for Gondwana Research","title":"New insights into peri-Gondwana paleogeography and the Gondwana super-fan system from detrital zircon U-Pb ages","type":"article-journal","volume":"23"},"uris":["http://www.mendeley.com/documents/?uuid=7bf8b659-2948-44f0-87cd-aca1cde013dc"]},{"id":"ITEM-4","itemData":{"DOI":"10.1016/j.gr.2018.08.002","ISSN":"1342937X","abstract":"The continental basement in the Eastern Mediterranean area represents the northern edge of Gondwana, which has been the site of repeated crustal accretion and has subsequently been modified by consecutive rifting events. We investigated the geologic and thermal history of the North Gondwana lower crust by examining the U-Pb-Hf isotope systematics in zircons within 6 mafic granulite xenoliths from Pliocene lava cone in North Israel. The lava cone protrudes through the platform cover that seals the late Neoproterozoic junction between the Arabian-Nubian basement to the South and the Cadomian basement exposed in the Taurides to the North. The mafic granulite xenoliths are composed of plagioclase + orthopyroxene + clinopyroxene ± garnet ± spinel ± secondary amphibole. U-Pb zircon ages from the granulites vary among the different samples with distinct zircon age populations at 400–1200 Ma, 170–350 Ma, and 3.6–4.2 Ma, attesting the lower crust preserves a prolonged thermal and igneous history. While 400–550 Ma U-Pb ages are interpreted to be the result of Pb loss, the wide scatter of zircon grains aged between 550 and 1200 Ma, alongside their diverse εHf(t) values (−25–+10), is an extraordinary evidence for the accretion of Neoproterozoic sediments into the North Gondwana arc root lower crust. The U-Pb-Hf signature of these zircons resembles Cadomian sediments of the Tauride block to the north, indicating southward (present coordinates) subduction under North Gondwana and possible accretion of fore-arc sediments to the lower crust through relamination in the latest Neoproterozoic. One xenolith contained metamorphic-shaped zircons aged 170–350 Ma with positive εHf values and Hf-TDM of 0.85 Ga interpreted to reflect Paleozoic recycling of the Neoproterozoic juvenile Arabian basement, which we consider to form a major component of the lower crust in the region. An overwhelming cluster of Carboniferous zircons concentrating at 305 Ma with exclusively negative εHf values around −6, was retrieved from three xenoliths. Some of these zircons portrayed igneous textures and shape. While Carboniferous igneous activity is the hallmark of Western Europe's Variscan orogeny, the latter did not affect the southern rifted edge of Neo-Tethys where our xenoliths were retrieved. The Paleozoic age-Hf composition in our xenoliths is therefore interpreted to result from syn-Variscan recycling of Neoproterozoic sedimentary remains in the lower crust, and some degree of melting in a …","author":[{"dropping-particle":"","family":"Abbo","given":"Avishai","non-dropping-particle":"","parse-names":false,"suffix":""},{"dropping-particle":"","family":"Avigad","given":"Dov","non-dropping-particle":"","parse-names":false,"suffix":""},{"dropping-particle":"","family":"Gerdes","given":"Axel","non-dropping-particle":"","parse-names":false,"suffix":""}],"container-title":"Gondwana Research","id":"ITEM-4","issued":{"date-parts":[["2018"]]},"page":"84-96","publisher":"International Association for Gondwana Research","title":"The lower crust of the Northern broken edge of Gondwana: Evidence for sediment subduction and syn-Variscan anorogenic imprint from zircon U-Pb-Hf in granulite xenoliths","type":"article-journal","volume":"64"},"uris":["http://www.mendeley.com/documents/?uuid=aaed8a69-ff7c-4c89-a5a9-179048e2908f"]},{"id":"ITEM-5","itemData":{"DOI":"10.1016/j.gca.2012.12.028","ISSN":"00167037","abstract":"To better understand the evolutionary history of the African continental crust, a combined U-Pb, Lu-Hf and O isotopic study has been carried out by in situ analyses of approximately 450 detrital zircon grains from the Niger, Nile, Congo, Zambezi and Orange Rivers. The U-Pb isotopic data show age peaks at ca. 2.7, 2.1-1.8, 1.2-1.0, ca. 0.8, 0.7-0.5 and ca. 0.3Ga. These peaks, with the exception of the one at ca. 0.8Ga, correspond with the assembly of supercontinents. Furthermore, the detrital zircons that crystallized during these periods of supercontinent assembly have dominantly non-mantle-like O and Hf isotopic signatures, in contrast to the ca. 0.8Ga detrital zircons which have juvenile characteristics. These data can be interpreted as showing that continental collisions during supercontinent assembly resulted in supermountain building accompanied by remelting of older continental crust, which in turn led to significant erosion of young igneous rocks with non-mantle-like isotopic signatures. Alternatively, the data may indicate that the major mode of crustal development changed during the supercontinent cycle: the generation of juvenile crust in extensional settings was dominant during supercontinent fragmentation, whereas the stabilization of the generated crust via crustal accretion and reworking was important during supercontinent assembly. The Lu-Hf and O isotope systematics indicate that terreigneous sediments could attain elevated 18O/16O via prolonged sediment-sediment recycling over long crustal residence time, and also that reworking of carbonate and chert which generally have elevated 18O/16O and low Hf contents is minor in granitoid magmatism. The highest 18O/16O in detrital zircon abruptly increased at ca. 2.1Ga and became nearly constant thereafter. This indicates that reworking of mature sediments increased abruptly at that time, probably as a result of a transition in the dynamics of either granitoid crust formation or sedimentary evolution. To estimate the mantle-extraction age of the reworked crust, we have calculated arc mantle Hf model ages for the detrital zircons using O isotopic data to constrain the Lu/Hf used in the model age calculation. The Hf model age histograms for each period of detrital zircons suggest that a significant amount of the African continental crust was generated in the Paleo-Mesoproterozoic likely by mafic magmatism, and subsequently reworked into younger granitoid crust with varying crustal residence times.…","author":[{"dropping-particle":"","family":"Iizuka","given":"Tsuyoshi","non-dropping-particle":"","parse-names":false,"suffix":""},{"dropping-particle":"","family":"Campbell","given":"Ian H.","non-dropping-particle":"","parse-names":false,"suffix":""},{"dropping-particle":"","family":"Allen","given":"Charlotte M.","non-dropping-particle":"","parse-names":false,"suffix":""},{"dropping-particle":"","family":"Gill","given":"James B.","non-dropping-particle":"","parse-names":false,"suffix":""},{"dropping-particle":"","family":"Maruyama","given":"Shigenori","non-dropping-particle":"","parse-names":false,"suffix":""},{"dropping-particle":"","family":"Makoka","given":"Frédéric","non-dropping-particle":"","parse-names":false,"suffix":""}],"container-title":"Geochimica et Cosmochimica Acta","id":"ITEM-5","issued":{"date-parts":[["2013"]]},"page":"96-120","title":"Evolution of the African continental crust as recorded by U-Pb, Lu-Hf and O isotopes in detrital zircons from modern rivers","type":"article-journal","volume":"107"},"uris":["http://www.mendeley.com/documents/?uuid=2be0f0d6-b75b-4a75-88f2-b367cec441f8"]},{"id":"ITEM-6","itemData":{"DOI":"10.1016/j.jafrearsci.2014.03.007","ISSN":"18791956","abstract":"For over 50 years the Pan African orogeny has been recognized as a Neoproterozoic tectonothermal episode affecting West Africa 800-550. Ma. As such, the Pan African events are similar to the Appalachian orogenic cycle extending from ~1100 to 250. Ma and the Cordilleran orogenic cycle of 350. Ma to the present. A significant difference is that the Appalachian orogenic cycle has long been recognized as consisting of separate Grenville, Taconic, Acadian and Alleghenian orogenies. Similarly, the Cordilleran orogenic cycle consists of distinct Antler, Sonoma, Nevadan, Sevier, Laramide and ongoing Cascadian-Andean orogenies. Failure to distinguish individual tectonic events in the Anti-Atlas Mountains has been attributable to the dearth of radiometric dates in this region.Since 2000, precision geochronologic dating in the Anti-Atlas Mountains, Morocco, has provided a means by which it is now appropriate to designate a Pan African orogenic cycle consisting of separate distinct orogenic events. We herein propose the following distinct orogenic events in the Anti-Atlas Mountains of Morocco: Iriri-Tichibanine orogeny (760-700. Ma), Bou Azzer orogeny (680-640. Ma) and the WACadomian orogeny (620-555. Ma). © 2014 Elsevier Ltd.","author":[{"dropping-particle":"","family":"Hefferan","given":"Kevin","non-dropping-particle":"","parse-names":false,"suffix":""},{"dropping-particle":"","family":"Soulaimani","given":"Abderrahmane","non-dropping-particle":"","parse-names":false,"suffix":""},{"dropping-particle":"","family":"Samson","given":"Scott D.","non-dropping-particle":"","parse-names":false,"suffix":""},{"dropping-particle":"","family":"Admou","given":"Hassan","non-dropping-particle":"","parse-names":false,"suffix":""},{"dropping-particle":"","family":"Inglis","given":"Jeremy","non-dropping-particle":"","parse-names":false,"suffix":""},{"dropping-particle":"","family":"Saquaque","given":"Ali","non-dropping-particle":"","parse-names":false,"suffix":""},{"dropping-particle":"","family":"Latifa","given":"Chaib","non-dropping-particle":"","parse-names":false,"suffix":""},{"dropping-particle":"","family":"Heywood","given":"Neil","non-dropping-particle":"","parse-names":false,"suffix":""}],"container-title":"Journal of African Earth Sciences","id":"ITEM-6","issued":{"date-parts":[["2014"]]},"page":"34-46","publisher":"Elsevier Ltd","title":"A reconsideration of Pan African orogenic cycle in the Anti-Atlas Mountains, Morocco","type":"article-journal","volume":"98"},"uris":["http://www.mendeley.com/documents/?uuid=c56c044f-7333-4d27-ad75-d943ade44d29"]}],"mendeley":{"formattedCitation":"(Abbo et al., 2018; Avigad et al., 2017; Hefferan et al., 2014; Iizuka et al., 2013; Meinhold et al., 2013; Wang et al., 2019)","plainTextFormattedCitation":"(Abbo et al., 2018; Avigad et al., 2017; Hefferan et al., 2014; Iizuka et al., 2013; Meinhold et al., 2013; Wang et al., 2019)","previouslyFormattedCitation":"(Abbo et al., 2018; Avigad et al., 2017; Hefferan et al., 2014; Iizuka et al., 2013; Meinhold et al., 2013; Wang et al., 2019)"},"properties":{"noteIndex":0},"schema":"https://github.com/citation-style-language/schema/raw/master/csl-citation.json"}</w:instrText>
      </w:r>
      <w:r w:rsidR="00C66E60">
        <w:rPr>
          <w:rFonts w:ascii="Arial" w:hAnsi="Arial" w:cs="Arial"/>
        </w:rPr>
        <w:fldChar w:fldCharType="separate"/>
      </w:r>
      <w:r w:rsidR="00C66E60" w:rsidRPr="00745223">
        <w:rPr>
          <w:rFonts w:ascii="Arial" w:hAnsi="Arial" w:cs="Arial"/>
          <w:noProof/>
        </w:rPr>
        <w:t>(Abbo et al., 2018; Avigad et al., 2017; Hefferan et al., 2014; Iizuka et al., 2013; Meinhold et al., 2013; Wang et al., 2019)</w:t>
      </w:r>
      <w:r w:rsidR="00C66E60">
        <w:rPr>
          <w:rFonts w:ascii="Arial" w:hAnsi="Arial" w:cs="Arial"/>
        </w:rPr>
        <w:fldChar w:fldCharType="end"/>
      </w:r>
      <w:r w:rsidR="00C66E60">
        <w:rPr>
          <w:rFonts w:ascii="Arial" w:hAnsi="Arial" w:cs="Arial"/>
        </w:rPr>
        <w:t>.</w:t>
      </w:r>
    </w:p>
    <w:p w14:paraId="3770B340" w14:textId="01CCB41C" w:rsidR="00754141" w:rsidRDefault="00DB76F5" w:rsidP="00754141">
      <w:pPr>
        <w:spacing w:before="120" w:after="120" w:line="480" w:lineRule="auto"/>
        <w:jc w:val="both"/>
        <w:rPr>
          <w:rFonts w:ascii="Arial" w:hAnsi="Arial" w:cs="Arial"/>
        </w:rPr>
      </w:pPr>
      <w:r>
        <w:rPr>
          <w:rFonts w:ascii="Arial" w:hAnsi="Arial" w:cs="Arial"/>
        </w:rPr>
        <w:t xml:space="preserve">At </w:t>
      </w:r>
      <w:r w:rsidR="00E20FA4">
        <w:rPr>
          <w:rFonts w:ascii="Arial" w:hAnsi="Arial" w:cs="Arial"/>
        </w:rPr>
        <w:t xml:space="preserve">the </w:t>
      </w:r>
      <w:r w:rsidR="0029380D">
        <w:rPr>
          <w:rFonts w:ascii="Arial" w:hAnsi="Arial" w:cs="Arial"/>
        </w:rPr>
        <w:t>western</w:t>
      </w:r>
      <w:r>
        <w:rPr>
          <w:rFonts w:ascii="Arial" w:hAnsi="Arial" w:cs="Arial"/>
        </w:rPr>
        <w:t xml:space="preserve"> margins of Gondwana </w:t>
      </w:r>
      <w:r w:rsidR="0021634A">
        <w:rPr>
          <w:rFonts w:ascii="Arial" w:hAnsi="Arial" w:cs="Arial"/>
        </w:rPr>
        <w:t>rifting events</w:t>
      </w:r>
      <w:r w:rsidR="00C97018">
        <w:rPr>
          <w:rFonts w:ascii="Arial" w:hAnsi="Arial" w:cs="Arial"/>
        </w:rPr>
        <w:t xml:space="preserve"> during the Cambrian and Early Ordovician,</w:t>
      </w:r>
      <w:r w:rsidR="0021634A">
        <w:rPr>
          <w:rFonts w:ascii="Arial" w:hAnsi="Arial" w:cs="Arial"/>
        </w:rPr>
        <w:t xml:space="preserve"> that </w:t>
      </w:r>
      <w:r w:rsidR="00C97018">
        <w:rPr>
          <w:rFonts w:ascii="Arial" w:hAnsi="Arial" w:cs="Arial"/>
        </w:rPr>
        <w:t xml:space="preserve">led to the </w:t>
      </w:r>
      <w:r w:rsidR="0021634A">
        <w:rPr>
          <w:rFonts w:ascii="Arial" w:hAnsi="Arial" w:cs="Arial"/>
        </w:rPr>
        <w:t>develop</w:t>
      </w:r>
      <w:r w:rsidR="00C97018">
        <w:rPr>
          <w:rFonts w:ascii="Arial" w:hAnsi="Arial" w:cs="Arial"/>
        </w:rPr>
        <w:t>ment of</w:t>
      </w:r>
      <w:r w:rsidR="0021634A">
        <w:rPr>
          <w:rFonts w:ascii="Arial" w:hAnsi="Arial" w:cs="Arial"/>
        </w:rPr>
        <w:t xml:space="preserve"> </w:t>
      </w:r>
      <w:r w:rsidR="00E20FA4">
        <w:rPr>
          <w:rFonts w:ascii="Arial" w:hAnsi="Arial" w:cs="Arial"/>
        </w:rPr>
        <w:t xml:space="preserve">the </w:t>
      </w:r>
      <w:r w:rsidR="0021634A">
        <w:rPr>
          <w:rFonts w:ascii="Arial" w:hAnsi="Arial" w:cs="Arial"/>
        </w:rPr>
        <w:t>Rheic Ocean</w:t>
      </w:r>
      <w:r w:rsidR="00C97018">
        <w:rPr>
          <w:rFonts w:ascii="Arial" w:hAnsi="Arial" w:cs="Arial"/>
        </w:rPr>
        <w:t>,</w:t>
      </w:r>
      <w:r w:rsidR="0021634A">
        <w:rPr>
          <w:rFonts w:ascii="Arial" w:hAnsi="Arial" w:cs="Arial"/>
        </w:rPr>
        <w:t xml:space="preserve"> </w:t>
      </w:r>
      <w:r>
        <w:rPr>
          <w:rFonts w:ascii="Arial" w:hAnsi="Arial" w:cs="Arial"/>
        </w:rPr>
        <w:t xml:space="preserve">resulted in the detachment of Avalonia </w:t>
      </w:r>
      <w:r w:rsidR="0021634A">
        <w:rPr>
          <w:rFonts w:ascii="Arial" w:hAnsi="Arial" w:cs="Arial"/>
        </w:rPr>
        <w:fldChar w:fldCharType="begin" w:fldLock="1"/>
      </w:r>
      <w:r w:rsidR="00B50132">
        <w:rPr>
          <w:rFonts w:ascii="Arial" w:hAnsi="Arial" w:cs="Arial"/>
        </w:rPr>
        <w:instrText>ADDIN CSL_CITATION {"citationItems":[{"id":"ITEM-1","itemData":{"DOI":"10.1016/j.earscirev.2012.02.007","ISSN":"00128252","abstract":"This study provides an up-to-date and comprehensive review of the Early Palaeozoic evolution of the Brabant Massif belonging to the Anglo-Brabant Deformation Belt. Situated at the southeastern side of Avalonia microplate, it is the only well-known part of the northern passive margin of the Rheic Ocean. The Cambrian-Silurian sedimentary pile is &gt;13km thick, with &gt;9km for the Cambrian only. The unraveling of this continuous registration reflects the successive rifting and drifting of Avalonia from the Gondwana mainland, followed by soft-collisional processes with Baltica and finally the formation of Laurussia. Based on recently established detailed stratigraphy, sedimentology and basin development, on U-Pb LA-ICP-MS analyses of igneous and detrital zircon grains along with geochemical data including Sm-Nd isotopes, a new geodynamic and palaeogeographic evolution is proposed. Brabant Megasequence 1 (lower Cambrian to lowermost Ordovician, &gt;9km thick) represents an embayment of the peri-Gondwanan rift from which the Rheic Ocean has evolved. Detrital zircon ages demonstrate that the Brabant is a typical peri-Gondwanan terrane with a major Pan-African (Neoproterozoic age) and a mixed West African and Amazonian source (Palaeoproterozoic, Archaean and some Mesoproterozoic age). The transition towards the Avalonia drifting is marked by an unconformity and a short volcanic episode. The northward drift of Avalonia towards Baltica is recorded by the Megasequence 2 (Middle to Upper Ordovician, 1.3km thick). The source for Mesoproterozoic zircons vanished, as the result of the Rheic Ocean opening and the isolation from Amazonian sources. The transition to Megasequence 3 is marked by a drastic change in palaeobathymetry and an important (sub)volcanic episode during a tectonic instability period (460-430Ma), reflecting the Avalonia-Baltica soft docking as also shown by the reappearance of Mesoproterozoic detrital zircons, typical of Baltica. Unradiogenic Nd isotope signature (ε Nd -4/-5) and T DM model ages (1.3-1.7Ga) for Brabant magmatic rocks indicate an old recycled component. Megasequence 3 (uppermost Ordovician to lowermost Devonian; &gt;3.5km thick) includes the onset of a Silurian foreland basin that reflects the tectonic inversion of the core of the massif (Brabantian orogeny) in response to the Baltica-Avalonia-Laurentia collision. Finally, the comparison with the strikingly similar Cambrian successions of the Harlech Dome (Wales, Avalonia) and the Meguma terran…","author":[{"dropping-particle":"","family":"Linnemann","given":"Ulf","non-dropping-particle":"","parse-names":false,"suffix":""},{"dropping-particle":"","family":"Herbosch","given":"Alain","non-dropping-particle":"","parse-names":false,"suffix":""},{"dropping-particle":"","family":"Liégeois","given":"Jean Paul","non-dropping-particle":"","parse-names":false,"suffix":""},{"dropping-particle":"","family":"Pin","given":"Christian","non-dropping-particle":"","parse-names":false,"suffix":""},{"dropping-particle":"","family":"Gärtner","given":"Andreas","non-dropping-particle":"","parse-names":false,"suffix":""},{"dropping-particle":"","family":"Hofmann","given":"Mandy","non-dropping-particle":"","parse-names":false,"suffix":""}],"container-title":"Earth-Science Reviews","id":"ITEM-1","issue":"3-4","issued":{"date-parts":[["2012"]]},"page":"126-154","publisher":"Elsevier B.V.","title":"The Cambrian to Devonian odyssey of the Brabant Massif within Avalonia: A review with new zircon ages, geochemistry, Sm-Nd isotopes, stratigraphy and palaeogeography","type":"article-journal","volume":"112"},"uris":["http://www.mendeley.com/documents/?uuid=6f13aa88-6816-49be-9007-c3cb8e0c098e"]},{"id":"ITEM-2","itemData":{"DOI":"10.1016/j.gsf.2011.11.008","ISSN":"16749871","abstract":"The Rheic Ocean was one of the most important oceans of the Paleozoic Era. It lay between Laurentia and Gondwana from the Early Ordovician and closed to produce the vast Ouachita-Alleghanian-Variscan orogen during the assembly of Pangea. Rifting began in the Cambrian as a continuation of Neoproterozoic orogenic activity and the ocean opened in the Early Ordovician with the separation of several Neoproterozoic arc terranes from the continental margin of northern Gondwana along the line of a former suture. The rapid rate of ocean opening suggests it was driven by slab pull in the outboard Iapetus Ocean. The ocean reached its greatest width with the closure of Iapetus and the accretion of the peri-Gondwanan arc terranes to Laurentia in the Silurian. Ocean closure began in the Devonian and continued through the Mississippian as Gondwana sutured to Laurussia to form Pangea. The ocean consequently plays a dominant role in the Appalachian-Ouachita orogeny of North America, in the basement geology of southern Europe, and in the Paleozoic sedimentary, structural and tectonothermal record from Middle America to the Middle East. Its closure brought the Paleozoic Era to an end. © 2011, China University of Geosciences (Beijing) and Peking University. Production and hosting by Elsevier B.V. All rights reserved.","author":[{"dropping-particle":"","family":"Nance","given":"R. Damian","non-dropping-particle":"","parse-names":false,"suffix":""},{"dropping-particle":"","family":"Gutiérrez-Alonso","given":"Gabriel","non-dropping-particle":"","parse-names":false,"suffix":""},{"dropping-particle":"","family":"Keppie","given":"J. Duncan","non-dropping-particle":"","parse-names":false,"suffix":""},{"dropping-particle":"","family":"Linnemann","given":"Ulf","non-dropping-particle":"","parse-names":false,"suffix":""},{"dropping-particle":"","family":"Murphy","given":"J. Brendan","non-dropping-particle":"","parse-names":false,"suffix":""},{"dropping-particle":"","family":"Quesada","given":"Cecilio","non-dropping-particle":"","parse-names":false,"suffix":""},{"dropping-particle":"","family":"Strachan","given":"Rob A.","non-dropping-particle":"","parse-names":false,"suffix":""},{"dropping-particle":"","family":"Woodcock","given":"Nigel H.","non-dropping-particle":"","parse-names":false,"suffix":""}],"container-title":"Geoscience Frontiers","id":"ITEM-2","issue":"2","issued":{"date-parts":[["2012"]]},"page":"125-135","title":"A brief history of the Rheic Ocean","type":"article-journal","volume":"3"},"uris":["http://www.mendeley.com/documents/?uuid=1aa9c8dd-fef4-4d8e-a7f5-c3cf7d126903"]},{"id":"ITEM-3","itemData":{"DOI":"10.1016/j.gr.2020.12.016","ISSN":"1342937X","abstract":"Zircon petrochronology from amphibolites and retrogressed eclogites from the basement of the Western Tatra Mountains (Central Western Carpathians) reveals a complex rock evolution. An island-arc related basaltic amphibolite from Žiarska Valley shows three distinct zircon forming events: igneous zircon growth at ca. 498 Ma (Middle/Late Cambrian) and two phases of amphibolite-facies metamorphism at ca. 470 Ma (Early Ordovician) and at ca. 344 Ma (Early Carboniferous). A retrogressed eclogite from Baranèc Mountain records two zircon forming events: metamorphic zircon growth under eclogite-facies conditions at ca. 367 Ma (Late Devonian) and amphibolite-facies metamorphism at ca. 349 Ma (Early Carboniferous). These data contribute towards understanding and correlating major tectonothermal events that shaped the eastern margin of Gondwana in the Early Palaeozoic and its subsequent Variscan evolution. The metabasites record vestiges of two completely independent oceanic domains preserved within the Central Western Carpathians: (1) An Ediacaran to Cambrian oceanic arc related to the proto-Rheic - Qaidam oceans and metamorphosed to amphibolite-facies in the Early Ordovician subduction of the proto-Rheic - Qaidam arc during the Cenerian orogeny (ca. 470 Ma) and (2) Late Devonian oceanic crust related to a back-arc basin (Pernek-type), formed by the opening of the Paleotethys and metamorphosed to eclogite-facies during Devonian subduction (ca. 367 Ma). The common Variscan and later evolution of these oceanic remnants commenced with amphibolite-facies metamorphic overprinting in the Early Carboniferous (amphibolite: ca. 344 Ma; retrogressed eclogite: ca. 349 Ma) related to an Early Variscan consolidation and the formation of Pangea. None of the investigated rocks of the Central Western Carpathians show any evidence of being chronologically or palaeogeographically related to the Rheic Ocean, therefore any prolongation of the Rheic suture from the Sudetes into the Alpine-Carpathian realm is highly problematic. Instead, the Southern and Central Alpine Cenerian orogeny can be traced into the Central Western Carpathians.","author":[{"dropping-particle":"","family":"Burda","given":"Jolanta","non-dropping-particle":"","parse-names":false,"suffix":""},{"dropping-particle":"","family":"Klötzli","given":"Urs S.","non-dropping-particle":"","parse-names":false,"suffix":""},{"dropping-particle":"","family":"Majka","given":"Jarosław","non-dropping-particle":"","parse-names":false,"suffix":""},{"dropping-particle":"","family":"Chew","given":"David M.","non-dropping-particle":"","parse-names":false,"suffix":""},{"dropping-particle":"","family":"Li","given":"Qiu Li","non-dropping-particle":"","parse-names":false,"suffix":""},{"dropping-particle":"","family":"Liu","given":"Yu","non-dropping-particle":"","parse-names":false,"suffix":""},{"dropping-particle":"","family":"Gawęda","given":"Aleksandra","non-dropping-particle":"","parse-names":false,"suffix":""},{"dropping-particle":"","family":"Wiedenbeck","given":"Michael","non-dropping-particle":"","parse-names":false,"suffix":""}],"container-title":"Gondwana Research","id":"ITEM-3","issued":{"date-parts":[["2021"]]},"page":"188-204","title":"Tracing proto-Rheic - Qaidam Ocean vestiges into the Western Tatra Mountains and implications for the Palaeozoic palaeogeography of Central Europe","type":"article-journal","volume":"91"},"uris":["http://www.mendeley.com/documents/?uuid=5cd5afcc-5b52-4e4b-be68-62ae6626c042"]},{"id":"ITEM-4","itemData":{"DOI":"10.1016/S0040-1951(03)00015-5","ISSN":"00401951","abstract":"The European Variscan and Alpine mountain chains are collisional orogens, and are built up of pre-Variscan \"building blocks\" which, in most cases, originated at the Gondwana margin. Such pre-Variscan elements were part of a pre-Ordovician archipelago-like continental ribbon in the former eastern prolongation of Avalonia, and their present-day distribution resulted from juxtaposition through Variscan and/or Alpine tectonic evolution. The well-known nomenclatures applied to these mountain chains are the mirror of Variscan resp. Alpine organization. It is the aim of this paper to present a terminology taking into account their pre-Variscan evolution at the Gondwana margin. They may contain relics of volcanic islands with pieces of Cadomian crust, relics of volcanic arc settings, and accretionary wedges, which were separated from Gondwana by initial stages of Rheic ocean opening. After a short-lived Ordovician orogenic event and amalgamation of these elements at the Gondwanan margin, the still continuing Gondwana-directed subduction triggered the formation of Ordovician Al-rich granitoids and the latest Ordovician opening of Palaeo-Tethys. An example from the Alps (External Massifs) illustrates the gradual reworking of Gondwana-derived, pre-Variscan elements during the Variscan and Alpine/Tertiary orogenic cycles. © 2003 Elsevier Science B.V. All rights reserved.","author":[{"dropping-particle":"","family":"Raumer","given":"Jürgen F.","non-dropping-particle":"von","parse-names":false,"suffix":""},{"dropping-particle":"","family":"Stampfli","given":"Gérard M.","non-dropping-particle":"","parse-names":false,"suffix":""},{"dropping-particle":"","family":"Bussy","given":"François","non-dropping-particle":"","parse-names":false,"suffix":""}],"container-title":"Tectonophysics","id":"ITEM-4","issue":"1-4","issued":{"date-parts":[["2003"]]},"page":"7-22","title":"Gondwana-derived microcontinents - The constituents of the Variscan and Alpine collisional orogens","type":"article-journal","volume":"365"},"uris":["http://www.mendeley.com/documents/?uuid=e3905d00-279b-4a92-a346-5785a84dd702"]}],"mendeley":{"formattedCitation":"(Burda et al., 2021; Linnemann et al., 2012; Nance et al., 2012; von Raumer et al., 2003)","plainTextFormattedCitation":"(Burda et al., 2021; Linnemann et al., 2012; Nance et al., 2012; von Raumer et al., 2003)","previouslyFormattedCitation":"(Burda et al., 2021; Linnemann et al., 2012; Nance et al., 2012; von Raumer et al., 2003)"},"properties":{"noteIndex":0},"schema":"https://github.com/citation-style-language/schema/raw/master/csl-citation.json"}</w:instrText>
      </w:r>
      <w:r w:rsidR="0021634A">
        <w:rPr>
          <w:rFonts w:ascii="Arial" w:hAnsi="Arial" w:cs="Arial"/>
        </w:rPr>
        <w:fldChar w:fldCharType="separate"/>
      </w:r>
      <w:r w:rsidR="00B50132" w:rsidRPr="00B50132">
        <w:rPr>
          <w:rFonts w:ascii="Arial" w:hAnsi="Arial" w:cs="Arial"/>
          <w:noProof/>
        </w:rPr>
        <w:t>(Burda et al., 2021; Linnemann et al., 2012; Nance et al., 2012; von Raumer et al., 2003)</w:t>
      </w:r>
      <w:r w:rsidR="0021634A">
        <w:rPr>
          <w:rFonts w:ascii="Arial" w:hAnsi="Arial" w:cs="Arial"/>
        </w:rPr>
        <w:fldChar w:fldCharType="end"/>
      </w:r>
      <w:r w:rsidR="0021634A">
        <w:rPr>
          <w:rFonts w:ascii="Arial" w:hAnsi="Arial" w:cs="Arial"/>
        </w:rPr>
        <w:t xml:space="preserve">. </w:t>
      </w:r>
      <w:r w:rsidR="00634979">
        <w:rPr>
          <w:rFonts w:ascii="Arial" w:hAnsi="Arial" w:cs="Arial"/>
        </w:rPr>
        <w:t>The move</w:t>
      </w:r>
      <w:r w:rsidR="00C4394A">
        <w:rPr>
          <w:rFonts w:ascii="Arial" w:hAnsi="Arial" w:cs="Arial"/>
        </w:rPr>
        <w:t>ment</w:t>
      </w:r>
      <w:r w:rsidR="00634979">
        <w:rPr>
          <w:rFonts w:ascii="Arial" w:hAnsi="Arial" w:cs="Arial"/>
        </w:rPr>
        <w:t xml:space="preserve"> of Avalonia</w:t>
      </w:r>
      <w:r w:rsidR="00C97018">
        <w:rPr>
          <w:rFonts w:ascii="Arial" w:hAnsi="Arial" w:cs="Arial"/>
        </w:rPr>
        <w:t xml:space="preserve"> north-eastwards</w:t>
      </w:r>
      <w:r w:rsidR="00634979">
        <w:rPr>
          <w:rFonts w:ascii="Arial" w:hAnsi="Arial" w:cs="Arial"/>
        </w:rPr>
        <w:t xml:space="preserve">, progressively closing off the Tornquist Sea, culminated in the collision with Baltica by the late Ordovician and early Silurian </w:t>
      </w:r>
      <w:r w:rsidR="00634979">
        <w:rPr>
          <w:rFonts w:ascii="Arial" w:hAnsi="Arial" w:cs="Arial"/>
        </w:rPr>
        <w:fldChar w:fldCharType="begin" w:fldLock="1"/>
      </w:r>
      <w:r w:rsidR="008853A5">
        <w:rPr>
          <w:rFonts w:ascii="Arial" w:hAnsi="Arial" w:cs="Arial"/>
        </w:rPr>
        <w:instrText>ADDIN CSL_CITATION {"citationItems":[{"id":"ITEM-1","itemData":{"DOI":"10.1144/gsjgs.149.6.0867","ISSN":"0016-7649","author":[{"dropping-particle":"","family":"Trench","given":"A.","non-dropping-particle":"","parse-names":false,"suffix":""},{"dropping-particle":"","family":"Torsvik","given":"Trond H.","non-dropping-particle":"","parse-names":false,"suffix":""}],"container-title":"Journal - Geological Society (London)","id":"ITEM-1","issue":"6","issued":{"date-parts":[["1992"]]},"page":"867-870","title":"The closure of the Iapetus Ocean and Tornquist Sea: new palaeomagnetic constraints","type":"article-journal","volume":"149"},"uris":["http://www.mendeley.com/documents/?uuid=dca5a885-bbd6-4953-9fb9-c6f9bfea999f"]},{"id":"ITEM-2","itemData":{"author":[{"dropping-particle":"","family":"Oliver","given":"G. J. H.","non-dropping-particle":"","parse-names":false,"suffix":""},{"dropping-particle":"","family":"Corfu","given":"F.","non-dropping-particle":"","parse-names":false,"suffix":""},{"dropping-particle":"","family":"Krogh","given":"T. E.","non-dropping-particle":"","parse-names":false,"suffix":""}],"container-title":"Journal of the Geological SocietyGeological","id":"ITEM-2","issued":{"date-parts":[["1993"]]},"page":"355-369","title":"U-Pb ages from SW Poland: evidence for a Caledonian suture zone between Baltica and Gondwana","type":"article-journal","volume":"150"},"uris":["http://www.mendeley.com/documents/?uuid=e0535110-abbf-4b6b-89f0-3704c8036b2d"]}],"mendeley":{"formattedCitation":"(Oliver et al., 1993; Trench and Torsvik, 1992)","plainTextFormattedCitation":"(Oliver et al., 1993; Trench and Torsvik, 1992)","previouslyFormattedCitation":"(Oliver et al., 1993; Trench and Torsvik, 1992)"},"properties":{"noteIndex":0},"schema":"https://github.com/citation-style-language/schema/raw/master/csl-citation.json"}</w:instrText>
      </w:r>
      <w:r w:rsidR="00634979">
        <w:rPr>
          <w:rFonts w:ascii="Arial" w:hAnsi="Arial" w:cs="Arial"/>
        </w:rPr>
        <w:fldChar w:fldCharType="separate"/>
      </w:r>
      <w:r w:rsidR="00754141" w:rsidRPr="00754141">
        <w:rPr>
          <w:rFonts w:ascii="Arial" w:hAnsi="Arial" w:cs="Arial"/>
          <w:noProof/>
        </w:rPr>
        <w:t>(Oliver et al., 1993; Trench and Torsvik, 1992)</w:t>
      </w:r>
      <w:r w:rsidR="00634979">
        <w:rPr>
          <w:rFonts w:ascii="Arial" w:hAnsi="Arial" w:cs="Arial"/>
        </w:rPr>
        <w:fldChar w:fldCharType="end"/>
      </w:r>
      <w:r w:rsidR="00634979">
        <w:rPr>
          <w:rFonts w:ascii="Arial" w:hAnsi="Arial" w:cs="Arial"/>
        </w:rPr>
        <w:t xml:space="preserve">. </w:t>
      </w:r>
      <w:r w:rsidR="00754141">
        <w:rPr>
          <w:rFonts w:ascii="Arial" w:hAnsi="Arial" w:cs="Arial"/>
        </w:rPr>
        <w:t xml:space="preserve">The amalgamation of </w:t>
      </w:r>
      <w:r w:rsidR="0029380D">
        <w:rPr>
          <w:rFonts w:ascii="Arial" w:hAnsi="Arial" w:cs="Arial"/>
        </w:rPr>
        <w:t xml:space="preserve">these </w:t>
      </w:r>
      <w:r w:rsidR="00754141">
        <w:rPr>
          <w:rFonts w:ascii="Arial" w:hAnsi="Arial" w:cs="Arial"/>
        </w:rPr>
        <w:t>two</w:t>
      </w:r>
      <w:r w:rsidR="008853A5">
        <w:rPr>
          <w:rFonts w:ascii="Arial" w:hAnsi="Arial" w:cs="Arial"/>
        </w:rPr>
        <w:t xml:space="preserve"> continental fragments</w:t>
      </w:r>
      <w:r w:rsidR="00754141">
        <w:rPr>
          <w:rFonts w:ascii="Arial" w:hAnsi="Arial" w:cs="Arial"/>
        </w:rPr>
        <w:t xml:space="preserve"> resulted in the development of the </w:t>
      </w:r>
      <w:r w:rsidR="00754141" w:rsidRPr="00B50132">
        <w:rPr>
          <w:rFonts w:ascii="Arial" w:hAnsi="Arial" w:cs="Arial"/>
        </w:rPr>
        <w:t xml:space="preserve">Trans-European Suture Zone </w:t>
      </w:r>
      <w:r w:rsidR="00754141">
        <w:rPr>
          <w:rFonts w:ascii="Arial" w:hAnsi="Arial" w:cs="Arial"/>
        </w:rPr>
        <w:fldChar w:fldCharType="begin" w:fldLock="1"/>
      </w:r>
      <w:r w:rsidR="0009622E">
        <w:rPr>
          <w:rFonts w:ascii="Arial" w:hAnsi="Arial" w:cs="Arial"/>
        </w:rPr>
        <w:instrText>ADDIN CSL_CITATION {"citationItems":[{"id":"ITEM-1","itemData":{"DOI":"10.1016/j.gr.2017.02.002","ISSN":"1342937X","abstract":"Neodymium and strontium isotope compositions of clastic material in Lower Paleozoic rocks, in addition to detrital zircon and mica geochronology and faunal data are used to constrain the geotectonic provenance of the Małopolska and Łysogóry terranes in southern Poland. Being characterized by markedly different geological histories during Early Paleozoic times, Małopolska and Łysogóry were most often interpreted as exotic terranes, but their identity, provenance and accretionary history are still being discussed. This study presents the first systematic Nd and Sr isotope survey of the Lower Paleozoic siliciclastic rocks. Cambrian clastic rocks of Małopolska differ in their Nd and Sr isotope compositions from those of Łysogóry. The former are characterized by a wide range of the εNd(505 Ma) values, from − 11.7 to − 5.7, Sr isotope ratios from 0.712 to 0.767, and model ages (T2DM) predominantly younger than 1.9 Ga, whereas the εNd(t) values of the latter vary within a fairly narrow range of the εNd(505 Ma), from − 11.0 to − 8.3, Sr isotope ratios from 0.722 to 0.754, and model ages are older than 1.9 Ga. New Nd data combined with detrital zircon ages provide evidence that Małopolska must have been supplied with clastic material from Amazonian sources during Cambrian times, being also progressively sourced from the Baltic Svecofennian crust in the Middle Cambrian. Detritus recognized in Łysogóry has mostly been derived from the Svecofennian basement of Fennoscandia, but it has also a small addition from Cadomian sources. All provenance and biogeographic data suggest that Małopolska was situated close to the Amazonian Craton near the western end of the Cadomian Belt during the Early Cambrian, and it was not until the late Middle Cambrian that Małopolska collided with the Baltica margin. During the Late Cambrian Łysogóry occupied a position between Baltica and the Cadomian Belt but it was probably not yet accreted to the Baltic crust at that time.","author":[{"dropping-particle":"","family":"Walczak","given":"A.","non-dropping-particle":"","parse-names":false,"suffix":""},{"dropping-particle":"","family":"Belka","given":"Z.","non-dropping-particle":"","parse-names":false,"suffix":""}],"container-title":"Gondwana Research","id":"ITEM-1","issued":{"date-parts":[["2017"]]},"page":"138-151","publisher":"International Association for Gondwana Research","title":"Fingerprinting Gondwana versus Baltica provenance: Nd and Sr isotopes in Lower Paleozoic clastic rocks of the Małopolska and Łysogóry terranes, southern Poland","type":"article-journal","volume":"45"},"uris":["http://www.mendeley.com/documents/?uuid=7403a8a3-f4f3-4a5d-a946-a4d71836d628"]},{"id":"ITEM-2","itemData":{"DOI":"10.1016/S0040-1951(02)00631-5","ISSN":"00401951","abstract":"Early Ordovician (Late Arenig) limestones from the SW margin of Baltica (Scania-Bornholm) have multicomponent magnetic signatures, but high unblocking components predating folding, and the corresponding palaeomagnetic pole (latitude=19°N, longitude= 051°E) compares well with Arenig reference poles from Baltica. Collectively, the Arenig poles demonstrate a midsoutherly latitudinal position for Baltica, then separated from Avalonia by the Tornquist Sea. Tornquist Sea closure and the Baltica-Avalonia convergence history are evidenced from faunal mixing and increased resemblance in palaeomagnetically determined palaeolatitudes for Avalonia and Baltica during the Mid-Late Ordovician. By the Caradoc, Avalonia had drifted to palaeolatitudes compatible with those of SW Baltica, and subduction beneath Eastern Avalonia was taking place. We propose that explosive vents associated with this subduction and related to Andean-type magmatism in Avalonia were the source for the gigantic Mid-Caradoc (c. 455 Ma) ash fall in Baltica (i.e. the Kinnekulle bentonite). Avalonia was located south of the subtropical high during most of the Ordovician, and this would have provided an optimum palaeoposition to supply Baltica with large ash falls governed by westerly winds. In Scania, we observe a persistent palaeomagnetic overprint of Late Ordovician (Ashgill) age (pole: latitude=4°S, Longitude=012°E). The remagnetisation was probably spurred by tectonic-derived fluids since burial alone is inadequate to explain this remagnetisation event. This is the first record of a Late Ordovician event in Scania, but it is comparable with the Shelveian event in Avalonia, low-grade metamorphism in the North Sea basement of NE Germany (440-450 Ma), and sheds new light on the Baltica-Avalonia docking. © 2002 Elsevier Science B.V. All rights reserved.","author":[{"dropping-particle":"","family":"Torsvik","given":"Trond H.","non-dropping-particle":"","parse-names":false,"suffix":""},{"dropping-particle":"","family":"Rehnström","given":"Emma F.","non-dropping-particle":"","parse-names":false,"suffix":""}],"container-title":"Tectonophysics","id":"ITEM-2","issue":"1-4","issued":{"date-parts":[["2003"]]},"page":"67-82","title":"The Tornquist Sea and Baltica-Avalonia docking","type":"article-journal","volume":"362"},"uris":["http://www.mendeley.com/documents/?uuid=51494800-c381-4652-bcc7-e15b205a01ec"]}],"mendeley":{"formattedCitation":"(Torsvik and Rehnström, 2003; Walczak and Belka, 2017)","plainTextFormattedCitation":"(Torsvik and Rehnström, 2003; Walczak and Belka, 2017)","previouslyFormattedCitation":"(Torsvik and Rehnström, 2003; Walczak and Belka, 2017)"},"properties":{"noteIndex":0},"schema":"https://github.com/citation-style-language/schema/raw/master/csl-citation.json"}</w:instrText>
      </w:r>
      <w:r w:rsidR="00754141">
        <w:rPr>
          <w:rFonts w:ascii="Arial" w:hAnsi="Arial" w:cs="Arial"/>
        </w:rPr>
        <w:fldChar w:fldCharType="separate"/>
      </w:r>
      <w:r w:rsidR="008853A5" w:rsidRPr="008853A5">
        <w:rPr>
          <w:rFonts w:ascii="Arial" w:hAnsi="Arial" w:cs="Arial"/>
          <w:noProof/>
        </w:rPr>
        <w:t>(Torsvik and Rehnström, 2003; Walczak and Belka, 2017)</w:t>
      </w:r>
      <w:r w:rsidR="00754141">
        <w:rPr>
          <w:rFonts w:ascii="Arial" w:hAnsi="Arial" w:cs="Arial"/>
        </w:rPr>
        <w:fldChar w:fldCharType="end"/>
      </w:r>
      <w:r w:rsidR="008853A5">
        <w:rPr>
          <w:rFonts w:ascii="Arial" w:hAnsi="Arial" w:cs="Arial"/>
        </w:rPr>
        <w:t xml:space="preserve">, which was </w:t>
      </w:r>
      <w:r w:rsidR="00754141">
        <w:rPr>
          <w:rFonts w:ascii="Arial" w:hAnsi="Arial" w:cs="Arial"/>
        </w:rPr>
        <w:t xml:space="preserve">further reactivated during </w:t>
      </w:r>
      <w:r w:rsidR="00E20FA4">
        <w:rPr>
          <w:rFonts w:ascii="Arial" w:hAnsi="Arial" w:cs="Arial"/>
        </w:rPr>
        <w:t xml:space="preserve">the </w:t>
      </w:r>
      <w:r w:rsidR="00754141">
        <w:rPr>
          <w:rFonts w:ascii="Arial" w:hAnsi="Arial" w:cs="Arial"/>
        </w:rPr>
        <w:t xml:space="preserve">Variscan and Alpine orogenies. </w:t>
      </w:r>
    </w:p>
    <w:p w14:paraId="574D4A86" w14:textId="66A73C70" w:rsidR="007A1744" w:rsidRDefault="00A3599B" w:rsidP="003D3DC9">
      <w:pPr>
        <w:spacing w:before="120" w:after="120" w:line="480" w:lineRule="auto"/>
        <w:jc w:val="both"/>
        <w:rPr>
          <w:rFonts w:ascii="Arial" w:hAnsi="Arial" w:cs="Arial"/>
        </w:rPr>
      </w:pPr>
      <w:r>
        <w:rPr>
          <w:rFonts w:ascii="Arial" w:hAnsi="Arial" w:cs="Arial"/>
        </w:rPr>
        <w:t>Further rifting from early Ordovician (~490 Ma) at the northern margin of Gondwan</w:t>
      </w:r>
      <w:r w:rsidR="00E20FA4">
        <w:rPr>
          <w:rFonts w:ascii="Arial" w:hAnsi="Arial" w:cs="Arial"/>
        </w:rPr>
        <w:t>a</w:t>
      </w:r>
      <w:r>
        <w:rPr>
          <w:rFonts w:ascii="Arial" w:hAnsi="Arial" w:cs="Arial"/>
        </w:rPr>
        <w:t xml:space="preserve"> separated Cadomian terranes and led to </w:t>
      </w:r>
      <w:r w:rsidR="00E20FA4">
        <w:rPr>
          <w:rFonts w:ascii="Arial" w:hAnsi="Arial" w:cs="Arial"/>
        </w:rPr>
        <w:t xml:space="preserve">the </w:t>
      </w:r>
      <w:r>
        <w:rPr>
          <w:rFonts w:ascii="Arial" w:hAnsi="Arial" w:cs="Arial"/>
        </w:rPr>
        <w:t>development of</w:t>
      </w:r>
      <w:r w:rsidR="005D4EC2">
        <w:rPr>
          <w:rFonts w:ascii="Arial" w:hAnsi="Arial" w:cs="Arial"/>
        </w:rPr>
        <w:t xml:space="preserve"> Pal</w:t>
      </w:r>
      <w:r w:rsidR="0009622E">
        <w:rPr>
          <w:rFonts w:ascii="Arial" w:hAnsi="Arial" w:cs="Arial"/>
        </w:rPr>
        <w:t>a</w:t>
      </w:r>
      <w:r w:rsidR="005D4EC2">
        <w:rPr>
          <w:rFonts w:ascii="Arial" w:hAnsi="Arial" w:cs="Arial"/>
        </w:rPr>
        <w:t xml:space="preserve">eo-Tethys </w:t>
      </w:r>
      <w:r w:rsidR="0009622E">
        <w:rPr>
          <w:rFonts w:ascii="Arial" w:hAnsi="Arial" w:cs="Arial"/>
        </w:rPr>
        <w:fldChar w:fldCharType="begin" w:fldLock="1"/>
      </w:r>
      <w:r w:rsidR="001A29B8">
        <w:rPr>
          <w:rFonts w:ascii="Arial" w:hAnsi="Arial" w:cs="Arial"/>
        </w:rPr>
        <w:instrText>ADDIN CSL_CITATION {"citationItems":[{"id":"ITEM-1","itemData":{"DOI":"10.1016/S0012-821X(01)00588-X","author":[{"dropping-particle":"","family":"Stampfli","given":"Gérard M.","non-dropping-particle":"","parse-names":false,"suffix":""},{"dropping-particle":"","family":"Borel","given":"Gilles D.","non-dropping-particle":"","parse-names":false,"suffix":""}],"container-title":"Earth and Planetary Science Letters","id":"ITEM-1","issued":{"date-parts":[["2002"]]},"page":"17-33","title":"A plate tectonic model for the Paleozoic and Mesozoic constrained by dynamic plate boundaries and restored synthetic oceanic isochrons","type":"article-journal","volume":"196"},"uris":["http://www.mendeley.com/documents/?uuid=994dcad7-23fc-4cd4-b29a-e1b6954502b9"]},{"id":"ITEM-2","itemData":{"DOI":"10.1130/0-8137-2364-7.263","ISSN":"00721077","abstract":"The well-known Variscan basement areas of Europe contain relic terranes with a pre-Variscan evolution testifying to their peri-Gondwanan origin (e.g., relics of Neo- proterozoic volcanic arcs, and subsequent stages of accretionary wedges, backarc rift- ing, and spreading). The evolution of these terranes was guided by the diachronous subduction of the proto-Tethys oceanic ridge under different segments of the Gond- wana margin. This subduction triggered the emplacement of magmatic bodies and the formation of backarc rifts, some of which became major oceanic realms (Rheic, paleo- Tethys). Consequently, the drifting of Avalonia was followed, after the Silurian and a short Ordovician orogenic event, by the drifting of Armorica and Alpine domains, ac- companied by the opening of the paleo-Tethys. The slab rollback of the Rheic ocean is viewed as the major mechanism for the drifting of the European Variscan terranes. This, in turn, generated a large slab pull force responsible for the opening of major rift zones within the passive Eurasian margin. Therefore, the µrst Middle Devonian Variscan orogenic event is viewed as the result of a collision between terranes detached from Gondwana (grouped as the Hun superterrane) and terranes detached from Eurasia. Subsequently, the amalgamated terranes collided with Eurasia in a second Variscan orogenic event in Visean time, accompanied by large-scale lateral escape of major parts of the accreted margin. Final collision of Gondwana with Laurussia did not take place before Late Carboniferous time and was responsible for the Alleghan- ian orogeny. INTRODUCTION","author":[{"dropping-particle":"","family":"Stampfli","given":"Gérard M.","non-dropping-particle":"","parse-names":false,"suffix":""},{"dropping-particle":"","family":"Raumer","given":"Jürgen F.","non-dropping-particle":"Von","parse-names":false,"suffix":""},{"dropping-particle":"","family":"Borel","given":"Gilles D.","non-dropping-particle":"","parse-names":false,"suffix":""}],"container-title":"Special Paper of the Geological Society of America","id":"ITEM-2","issued":{"date-parts":[["2002"]]},"page":"263-280","title":"Paleozoic evolution of pre-Variscan terranes: From Gondwana to the Variscan collision","type":"article-journal","volume":"364"},"uris":["http://www.mendeley.com/documents/?uuid=c7dc6016-d72e-40aa-86b7-3cbed10b2110"]},{"id":"ITEM-3","itemData":{"DOI":"10.1007/s00531-015-1142-x","ISSN":"14373262","abstract":"In tectonic maps of Variscan Europe, allochthonous pieces of Cadomian basement clearly stand out with their predominant metabasic to ultrabasic elements, the so-called exotic terranes with ophiolites. Most of these domains are observed in basements of the Central Iberian Allochthone, the South Armorican domain, the nappe structures of the French Massif Central, the Saxothuringian Zone and the Bohemian Massif. Similar relics can be recognized in many Alpine basement areas, and correlations with supposedly more autochthonous basements, such as the Ossa Morena Zone and the Central Iberian basement, can be envisaged. All of these relics are thought to represent the interrupted trace of a former continuous or discontinuous structure, characterized by the presence of ocean-derived proto-Rheic rock suites. These can be interpreted as pieces of former magmatic arcs of Ediacaran to Cambrian age accreted to the Gondwana margin, which later were scattered as allochthonous units during the Variscan plate-tectonic processes. The presence of similar rock suites of Ordovician age in the Alpine realm is explained by the accretion of exotic China-derived basements and their collision with the Gondwana margin during the opening of the Rheic Ocean.","author":[{"dropping-particle":"","family":"Raumer","given":"Jürgen F.","non-dropping-particle":"von","parse-names":false,"suffix":""},{"dropping-particle":"","family":"Stampfli","given":"Gérard M.","non-dropping-particle":"","parse-names":false,"suffix":""},{"dropping-particle":"","family":"Arenas","given":"Ricardo","non-dropping-particle":"","parse-names":false,"suffix":""},{"dropping-particle":"","family":"Sánchez Martínez","given":"Sonia","non-dropping-particle":"","parse-names":false,"suffix":""}],"container-title":"International Journal of Earth Sciences","id":"ITEM-3","issue":"5","issued":{"date-parts":[["2015"]]},"page":"1107-1121","publisher":"Springer Berlin Heidelberg","title":"Ediacaran to Cambrian oceanic rocks of the Gondwana margin and their tectonic interpretation","type":"article-journal","volume":"104"},"uris":["http://www.mendeley.com/documents/?uuid=3a876cde-3fcf-4063-92d2-e818d80ec3c5"]},{"id":"ITEM-4","itemData":{"DOI":"10.1016/S0040-1951(03)00015-5","ISSN":"00401951","abstract":"The European Variscan and Alpine mountain chains are collisional orogens, and are built up of pre-Variscan \"building blocks\" which, in most cases, originated at the Gondwana margin. Such pre-Variscan elements were part of a pre-Ordovician archipelago-like continental ribbon in the former eastern prolongation of Avalonia, and their present-day distribution resulted from juxtaposition through Variscan and/or Alpine tectonic evolution. The well-known nomenclatures applied to these mountain chains are the mirror of Variscan resp. Alpine organization. It is the aim of this paper to present a terminology taking into account their pre-Variscan evolution at the Gondwana margin. They may contain relics of volcanic islands with pieces of Cadomian crust, relics of volcanic arc settings, and accretionary wedges, which were separated from Gondwana by initial stages of Rheic ocean opening. After a short-lived Ordovician orogenic event and amalgamation of these elements at the Gondwanan margin, the still continuing Gondwana-directed subduction triggered the formation of Ordovician Al-rich granitoids and the latest Ordovician opening of Palaeo-Tethys. An example from the Alps (External Massifs) illustrates the gradual reworking of Gondwana-derived, pre-Variscan elements during the Variscan and Alpine/Tertiary orogenic cycles. © 2003 Elsevier Science B.V. All rights reserved.","author":[{"dropping-particle":"","family":"Raumer","given":"Jürgen F.","non-dropping-particle":"von","parse-names":false,"suffix":""},{"dropping-particle":"","family":"Stampfli","given":"Gérard M.","non-dropping-particle":"","parse-names":false,"suffix":""},{"dropping-particle":"","family":"Bussy","given":"François","non-dropping-particle":"","parse-names":false,"suffix":""}],"container-title":"Tectonophysics","id":"ITEM-4","issue":"1-4","issued":{"date-parts":[["2003"]]},"page":"7-22","title":"Gondwana-derived microcontinents - The constituents of the Variscan and Alpine collisional orogens","type":"article-journal","volume":"365"},"uris":["http://www.mendeley.com/documents/?uuid=e3905d00-279b-4a92-a346-5785a84dd702"]}],"mendeley":{"formattedCitation":"(Stampfli et al., 2002; Stampfli and Borel, 2002; von Raumer et al., 2015, 2003)","plainTextFormattedCitation":"(Stampfli et al., 2002; Stampfli and Borel, 2002; von Raumer et al., 2015, 2003)","previouslyFormattedCitation":"(Stampfli et al., 2002; Stampfli and Borel, 2002; von Raumer et al., 2015, 2003)"},"properties":{"noteIndex":0},"schema":"https://github.com/citation-style-language/schema/raw/master/csl-citation.json"}</w:instrText>
      </w:r>
      <w:r w:rsidR="0009622E">
        <w:rPr>
          <w:rFonts w:ascii="Arial" w:hAnsi="Arial" w:cs="Arial"/>
        </w:rPr>
        <w:fldChar w:fldCharType="separate"/>
      </w:r>
      <w:r w:rsidR="001A29B8" w:rsidRPr="001A29B8">
        <w:rPr>
          <w:rFonts w:ascii="Arial" w:hAnsi="Arial" w:cs="Arial"/>
          <w:noProof/>
        </w:rPr>
        <w:t>(Stampfli et al., 2002; Stampfli and Borel, 2002; von Raumer et al., 2015, 2003)</w:t>
      </w:r>
      <w:r w:rsidR="0009622E">
        <w:rPr>
          <w:rFonts w:ascii="Arial" w:hAnsi="Arial" w:cs="Arial"/>
        </w:rPr>
        <w:fldChar w:fldCharType="end"/>
      </w:r>
      <w:r w:rsidR="0009622E">
        <w:rPr>
          <w:rFonts w:ascii="Arial" w:hAnsi="Arial" w:cs="Arial"/>
        </w:rPr>
        <w:t xml:space="preserve">. </w:t>
      </w:r>
      <w:r w:rsidR="00F952FF">
        <w:rPr>
          <w:rFonts w:ascii="Arial" w:hAnsi="Arial" w:cs="Arial"/>
        </w:rPr>
        <w:t xml:space="preserve">Both </w:t>
      </w:r>
      <w:r w:rsidR="00C4394A">
        <w:rPr>
          <w:rFonts w:ascii="Arial" w:hAnsi="Arial" w:cs="Arial"/>
        </w:rPr>
        <w:t xml:space="preserve">the </w:t>
      </w:r>
      <w:r w:rsidR="00F952FF">
        <w:rPr>
          <w:rFonts w:ascii="Arial" w:hAnsi="Arial" w:cs="Arial"/>
        </w:rPr>
        <w:t>Rheic and Palaeo-Tet</w:t>
      </w:r>
      <w:r w:rsidR="00E20FA4">
        <w:rPr>
          <w:rFonts w:ascii="Arial" w:hAnsi="Arial" w:cs="Arial"/>
        </w:rPr>
        <w:t>h</w:t>
      </w:r>
      <w:r w:rsidR="00F952FF">
        <w:rPr>
          <w:rFonts w:ascii="Arial" w:hAnsi="Arial" w:cs="Arial"/>
        </w:rPr>
        <w:t>ys continued to operate</w:t>
      </w:r>
      <w:r w:rsidR="00E20FA4">
        <w:rPr>
          <w:rFonts w:ascii="Arial" w:hAnsi="Arial" w:cs="Arial"/>
        </w:rPr>
        <w:t>,</w:t>
      </w:r>
      <w:r w:rsidR="00F952FF">
        <w:rPr>
          <w:rFonts w:ascii="Arial" w:hAnsi="Arial" w:cs="Arial"/>
        </w:rPr>
        <w:t xml:space="preserve"> separated by Cadomia, until </w:t>
      </w:r>
      <w:r w:rsidR="00E20FA4">
        <w:rPr>
          <w:rFonts w:ascii="Arial" w:hAnsi="Arial" w:cs="Arial"/>
        </w:rPr>
        <w:t xml:space="preserve">the </w:t>
      </w:r>
      <w:r w:rsidR="00F952FF">
        <w:rPr>
          <w:rFonts w:ascii="Arial" w:hAnsi="Arial" w:cs="Arial"/>
        </w:rPr>
        <w:t>closure of</w:t>
      </w:r>
      <w:r w:rsidR="00E20FA4">
        <w:rPr>
          <w:rFonts w:ascii="Arial" w:hAnsi="Arial" w:cs="Arial"/>
        </w:rPr>
        <w:t xml:space="preserve"> the</w:t>
      </w:r>
      <w:r w:rsidR="00F952FF">
        <w:rPr>
          <w:rFonts w:ascii="Arial" w:hAnsi="Arial" w:cs="Arial"/>
        </w:rPr>
        <w:t xml:space="preserve"> Rheic</w:t>
      </w:r>
      <w:r w:rsidR="00990633">
        <w:rPr>
          <w:rFonts w:ascii="Arial" w:hAnsi="Arial" w:cs="Arial"/>
        </w:rPr>
        <w:t xml:space="preserve"> Ocean</w:t>
      </w:r>
      <w:r w:rsidR="00F952FF">
        <w:rPr>
          <w:rFonts w:ascii="Arial" w:hAnsi="Arial" w:cs="Arial"/>
        </w:rPr>
        <w:t xml:space="preserve"> </w:t>
      </w:r>
      <w:r w:rsidR="00990633">
        <w:rPr>
          <w:rFonts w:ascii="Arial" w:hAnsi="Arial" w:cs="Arial"/>
        </w:rPr>
        <w:t>~280</w:t>
      </w:r>
      <w:r w:rsidR="00F952FF">
        <w:rPr>
          <w:rFonts w:ascii="Arial" w:hAnsi="Arial" w:cs="Arial"/>
        </w:rPr>
        <w:t xml:space="preserve"> Ma </w:t>
      </w:r>
      <w:r w:rsidR="00F952FF">
        <w:rPr>
          <w:rFonts w:ascii="Arial" w:hAnsi="Arial" w:cs="Arial"/>
        </w:rPr>
        <w:fldChar w:fldCharType="begin" w:fldLock="1"/>
      </w:r>
      <w:r w:rsidR="00990633">
        <w:rPr>
          <w:rFonts w:ascii="Arial" w:hAnsi="Arial" w:cs="Arial"/>
        </w:rPr>
        <w:instrText>ADDIN CSL_CITATION {"citationItems":[{"id":"ITEM-1","itemData":{"DOI":"10.1016/j.lithos.2019.105295","ISSN":"18726143","abstract":"The continental crust of Europe west of the Trans-European Suture Zone (TESZ), is mostly a collage of Peri-Gondwana Cadomian and Avalonian terranes that were formed on the late Neoproterozoic active margins of the supercontinent, rifted from it during consecutive opening of oceanic basins, and variably involved in Ordovician, Carboniferous (Variscan), and Cretaceous-Eocene (Alpine) orogenies. While in many localities it is possible to study isolated portions of the European geologic history, few sites can hold evidence for the entire record in a relatively small area. The Balkan terranes of the Serbo-Macedonian (SMM) and the Rhodope massifs, which contain Neoproterozoic Cadomian remnant basement, and were involved in multiple Phanerozoic phases of magmatism and metamorphism, provide an ideal locality in which we can study the entire crustal evolutionary history of Europe (west of the TESZ). Here we present new zircon U-Pb-Hf and rutile U[sbnd]Pb data from basement rocks of the SMM and Rhodope as well as of beach placers from mouths of the large rivers draining the Balkan towards the Aegean Sea (Strymon, Nestos and Evros Rivers). Basement igneous rocks of the SMM and Circum-Rhodope were dated to the late Neoproterozoic (588 Ma), middle Ordovician (ca. 460 Ma), Carboniferous (300 Ma), Permo-Triassic (254 Ma), Paleocene (65 Ma) and Miocene (ca. 23 Ma), demonstrating the episodic nature of crustal evolution in this terrane assemblage. Hf-in zircon shows these intrusions evolve from negative εHf(t) values in the Ordovician towards positive values in the Paleocene. Zircons in beach placer samples also show distinct age peaks that follow the pulses of igneous activity in the source terranes, with the addition of Jurassic (ca. 150 Ma) zircons. The U[sbnd]Pb system in rutiles from the beach placer samples was mostly reset, and records the final metamorphic phase during Alpine orogeny (35 Ma), with some rutiles preserving Eo-Alpine (80 Ma) ages. In contrast to the igneous samples, detrital zircons from the beach placer samples follow a trend bound by evolution lines leading to Hf-TDM model ages between 0.6 and 1.6 Ga. As a whole since the late Neoproterozoic the Balkan crust was the subject of repeated reworking in a series of magmatic/orogenic events. Some extent of juvenile igneous addition on this evolving Cadomian substrate brings about the shallow rise in εHf(t) values we observe in the igneous basement rocks. The end result observed in the Balkan is of a co…","author":[{"dropping-particle":"","family":"Abbo","given":"Avishai","non-dropping-particle":"","parse-names":false,"suffix":""},{"dropping-particle":"","family":"Avigad","given":"Dov","non-dropping-particle":"","parse-names":false,"suffix":""},{"dropping-particle":"","family":"Gerdes","given":"Axel","non-dropping-particle":"","parse-names":false,"suffix":""}],"container-title":"Lithos","id":"ITEM-1","issued":{"date-parts":[["2020"]]},"page":"105295","publisher":"Elsevier B.V.","title":"Crustal evolution of peri-Gondwana crust into present day Europe: The Serbo-Macedonian and Rhodope massifs as a case study","type":"article-journal","volume":"356-357"},"uris":["http://www.mendeley.com/documents/?uuid=f3f3c59f-3f69-4b1a-820e-50c5b8bc021c"]},{"id":"ITEM-2","itemData":{"DOI":"10.1016/j.gr.2009.08.001","ISSN":"1342937X","abstract":"The Rheic Ocean, which separated Laurussia from Gondwana following the closure of Iapetus, is arguably the most important ocean of the Palaeozoic. Its suture extends from Mexico to Turkey and its closure produced the climactic Variscan-Alleghanian-Ouachita orogeny that assembled the supercontinent, Pangaea. Following protracted Cambrian rifting that represented a continuum from Neoproterozoic orogenic processes, the Rheic Ocean opened in the Early Ordovician with the separation of several Neoproterozoic arc terranes from the continental margin of northern Gondwana. Separation occurred along the line of a former Neoproterozoic suture following the onset of subduction in the outboard Iapetus Ocean. The timing of rift-drift transition and drive for subsequent spreading was likely governed by slab pull, accounting for the rapid rate (8-10 cm/yr) at which the Rheic Ocean widened. During the Ordovician, the ocean broadened at the expense of Iapetus and attained its greatest width (~ 4000 km) in the Silurian, by which time Baltica had sutured to Laurentia and the Neoproterozoic arc terranes had accreted to Laurussia, closing Iapetus in the process. Closure of the Rheic Ocean began in the Devonian and was facilitated by northward subduction beneath southern Baltica and southward subduction beneath northwest Gondwana. Closure was largely complete by the Mississippian as Gondwana and Laurussia sutured to build Pangaea, North Africa colliding with southern Europe to create the Variscan orogen in the Devonian-Carboniferous, and West Africa and South America suturing to North America to form the Alleghanian and Ouachita orogens, respectively, during the Carboniferous-Permian. The Rheic Ocean consequently plays a dominant role in the basement geology of southern Europe, in the Appalachian-Ouachita orogeny of North America, and in the Palaeozoic sedimentary, structural and tectonothermal record from Middle America to the Middle East. With its closure, the ocean brought about the assembly of Pangaea and brought the Palaeozoic Era to an end. © 2009 International Association for Gondwana Research.","author":[{"dropping-particle":"","family":"Nance","given":"R. Damian","non-dropping-particle":"","parse-names":false,"suffix":""},{"dropping-particle":"","family":"Gutiérrez-Alonso","given":"Gabriel","non-dropping-particle":"","parse-names":false,"suffix":""},{"dropping-particle":"","family":"Keppie","given":"J. Duncan","non-dropping-particle":"","parse-names":false,"suffix":""},{"dropping-particle":"","family":"Linnemann","given":"Ulf","non-dropping-particle":"","parse-names":false,"suffix":""},{"dropping-particle":"","family":"Murphy","given":"J. Brendan","non-dropping-particle":"","parse-names":false,"suffix":""},{"dropping-particle":"","family":"Quesada","given":"Cecilio","non-dropping-particle":"","parse-names":false,"suffix":""},{"dropping-particle":"","family":"Strachan","given":"Robin A.","non-dropping-particle":"","parse-names":false,"suffix":""},{"dropping-particle":"","family":"Woodcock","given":"Nigel H.","non-dropping-particle":"","parse-names":false,"suffix":""}],"container-title":"Gondwana Research","id":"ITEM-2","issue":"2-3","issued":{"date-parts":[["2010"]]},"page":"194-222","publisher":"International Association for Gondwana Research","title":"Evolution of the Rheic Ocean","type":"article-journal","volume":"17"},"uris":["http://www.mendeley.com/documents/?uuid=85a45324-fd96-43f1-95f8-6daa875830a3"]}],"mendeley":{"formattedCitation":"(Abbo et al., 2020; Nance et al., 2010)","plainTextFormattedCitation":"(Abbo et al., 2020; Nance et al., 2010)","previouslyFormattedCitation":"(Abbo et al., 2020; Nance et al., 2010)"},"properties":{"noteIndex":0},"schema":"https://github.com/citation-style-language/schema/raw/master/csl-citation.json"}</w:instrText>
      </w:r>
      <w:r w:rsidR="00F952FF">
        <w:rPr>
          <w:rFonts w:ascii="Arial" w:hAnsi="Arial" w:cs="Arial"/>
        </w:rPr>
        <w:fldChar w:fldCharType="separate"/>
      </w:r>
      <w:r w:rsidR="00990633" w:rsidRPr="00990633">
        <w:rPr>
          <w:rFonts w:ascii="Arial" w:hAnsi="Arial" w:cs="Arial"/>
          <w:noProof/>
        </w:rPr>
        <w:t>(Abbo et al., 2020; Nance et al., 2010)</w:t>
      </w:r>
      <w:r w:rsidR="00F952FF">
        <w:rPr>
          <w:rFonts w:ascii="Arial" w:hAnsi="Arial" w:cs="Arial"/>
        </w:rPr>
        <w:fldChar w:fldCharType="end"/>
      </w:r>
      <w:r w:rsidR="00990633">
        <w:rPr>
          <w:rFonts w:ascii="Arial" w:hAnsi="Arial" w:cs="Arial"/>
        </w:rPr>
        <w:t xml:space="preserve"> by </w:t>
      </w:r>
      <w:r w:rsidR="00C4394A">
        <w:rPr>
          <w:rFonts w:ascii="Arial" w:hAnsi="Arial" w:cs="Arial"/>
        </w:rPr>
        <w:t>the</w:t>
      </w:r>
      <w:r w:rsidR="00E20FA4">
        <w:rPr>
          <w:rFonts w:ascii="Arial" w:hAnsi="Arial" w:cs="Arial"/>
        </w:rPr>
        <w:t xml:space="preserve"> </w:t>
      </w:r>
      <w:r w:rsidR="00F5166B">
        <w:rPr>
          <w:rFonts w:ascii="Arial" w:hAnsi="Arial" w:cs="Arial"/>
        </w:rPr>
        <w:t>collision of Laurussia and Gondwana</w:t>
      </w:r>
      <w:r w:rsidR="00F952FF">
        <w:rPr>
          <w:rFonts w:ascii="Arial" w:hAnsi="Arial" w:cs="Arial"/>
        </w:rPr>
        <w:t>,</w:t>
      </w:r>
      <w:r w:rsidR="00990633">
        <w:rPr>
          <w:rFonts w:ascii="Arial" w:hAnsi="Arial" w:cs="Arial"/>
        </w:rPr>
        <w:t xml:space="preserve"> which resulted in</w:t>
      </w:r>
      <w:r w:rsidR="00F5166B">
        <w:rPr>
          <w:rFonts w:ascii="Arial" w:hAnsi="Arial" w:cs="Arial"/>
        </w:rPr>
        <w:t xml:space="preserve"> </w:t>
      </w:r>
      <w:r w:rsidR="00E20FA4">
        <w:rPr>
          <w:rFonts w:ascii="Arial" w:hAnsi="Arial" w:cs="Arial"/>
        </w:rPr>
        <w:t xml:space="preserve">the </w:t>
      </w:r>
      <w:r w:rsidR="00F952FF">
        <w:rPr>
          <w:rFonts w:ascii="Arial" w:hAnsi="Arial" w:cs="Arial"/>
        </w:rPr>
        <w:t xml:space="preserve">Variscan Orogeny, and </w:t>
      </w:r>
      <w:r w:rsidR="00F5166B">
        <w:rPr>
          <w:rFonts w:ascii="Arial" w:hAnsi="Arial" w:cs="Arial"/>
        </w:rPr>
        <w:t xml:space="preserve">assembly of Pangea </w:t>
      </w:r>
      <w:r w:rsidR="00F5166B">
        <w:rPr>
          <w:rFonts w:ascii="Arial" w:hAnsi="Arial" w:cs="Arial"/>
        </w:rPr>
        <w:fldChar w:fldCharType="begin" w:fldLock="1"/>
      </w:r>
      <w:r w:rsidR="007A1744">
        <w:rPr>
          <w:rFonts w:ascii="Arial" w:hAnsi="Arial" w:cs="Arial"/>
        </w:rPr>
        <w:instrText>ADDIN CSL_CITATION {"citationItems":[{"id":"ITEM-1","itemData":{"DOI":"10.1016/j.earscirev.2019.03.012","ISSN":"00128252","abstract":"The Late Paleozoic Variscan Orogen of Europe and North Africa comprises reworked Neoproterozoic to Early Paleozoic crust of the northern Gondwanan shelf that collided with Laurussia. The orogen is characterized by an arcuate trend of the Rheic suture along two orthogonal orogenic arcs and an apparently arbitrary juxtaposition of contrasting paleogeographic proxies to the south of the suture. The comparison of the sedimentary provenance, paleontological, lithostratigraphic, tectonic, and magmatic record demonstrates a contiguous but bipartite, i.e. a western and an eastern, shelf to the south of the Rheic Ocean. Here we reconstruct the development and architecture of the Paleozoic shelf of northern Gondwana preceding the formation of Pangea. In the early Paleozoic both shelf segments were affected by a heterogeneous extension whereby age and composition of extension-related magmatic rocks varies systematically from Cambrian alkaline and tholeiitic rocks in the western shelf to Ordovician calc-alkaline and peraluminous rocks in the eastern shelf. The regional variation in age and composition of the magmatic rocks reflects an eastward decreasing rate of extension along northern Gondwana. The higher extension in the western shelf culminated in the formation of the Armorican Spur. The subsequent intra-Ordovician compressional event, i.e. the “Sardic phase” and the “Cenerian orogeny”, exclusively affected the eastern shelf. Early Devonian collision of the Armorican Spur with Laurussia initiated the subduction accretion stage of the Variscan orogeny resulting in the formation of the Rheno-Hercynian–Moravo-Silesian Arc. At that time, the eastern shelf remained in a passive margin setting. Triggered by Late Devonian rifting along the eastern margin of Arabia, the eastern shelf decoupled from the Gondwanan plate and was displaced eastward, parallel to the northern margin of remaining mainland Gondwana. Early Carboniferous collision of the eastern shelf with the western shelf resulted in orogen wide transpressional tectonics and the formation of the Ibero-Armorican Arc. The tectonic interplay between the two Gondwanan shelf segments is the underlying cause of the final patchwork pattern of paleogeographic markers and the arcuate shape of the Variscan orogenic belt.","author":[{"dropping-particle":"","family":"Stephan","given":"Tobias","non-dropping-particle":"","parse-names":false,"suffix":""},{"dropping-particle":"","family":"Kroner","given":"Uwe","non-dropping-particle":"","parse-names":false,"suffix":""},{"dropping-particle":"","family":"Romer","given":"Rolf L.","non-dropping-particle":"","parse-names":false,"suffix":""},{"dropping-particle":"","family":"Rösel","given":"Delia","non-dropping-particle":"","parse-names":false,"suffix":""}],"container-title":"Earth-Science Reviews","id":"ITEM-1","issue":"February","issued":{"date-parts":[["2019"]]},"page":"491-512","publisher":"Elsevier","title":"From a bipartite Gondwanan shelf to an arcuate Variscan belt: The early Paleozoic evolution of northern Peri-Gondwana","type":"article-journal","volume":"192"},"uris":["http://www.mendeley.com/documents/?uuid=913e142e-48f8-4c12-8a63-fbc335bee9ac"]},{"id":"ITEM-2","itemData":{"DOI":"10.1016/j.earscirev.2017.12.007","ISSN":"00128252","abstract":"This paper provides a review of the evolution of palaeomagnetic directions and sequence of tectonic events in the European Variscan belt during Late Palaeozoic times. These data are correlated with palaeomagnetic records from Gondwana and Baltica in order to provide a large-scale geodynamic framework during the Carboniferous to Permian. The Early Carboniferous palaeomagnetic records reported mainly from the Rhenohercynian and Saxothuringian magmatic arcs indicate a 70° anticlockwise rotation, while Late Carboniferous to Permian magnetic directions from various rocks of western and central Europe are consistent with 120° clockwise rotation of the eastern and central parts of the Variscan belt. Our review of the chronology of tectonic events is based on a robust database of geochronologically constrained deformation, metamorphic and magmatic events, which allow discretizing the 80 Ma long orogenic evolution into five principal events. In this scenario, the Variscan belt can be regarded as a linear sub-plate, isolated from Gondwana and Laurussia by the Rhenohercynian and Palaeotethysian oceans during Devonian times. This linear composite belt was segmented by transform faults and boundaries in the Late Devonian to Early Carboniferous times (360–335 Ma) during progressive E–W closure of Rhenohercynian ocean synchronously with collision between Saxothuringian and Moldanubian blocks. Subsequent relocation of subduction to the northern boundary Palaeotethysian ocean was responsible for N–S shortening almost orthogonal to the ancient sub-plate N–S elongation at around 335–325 Ma. This deformation resulted in dextral reactivation of transform boundaries associated with anticlockwise rotation of intermittent blocks. At the end of this rotation, the faults were parallelized to the Teysseire-Tornquist zone – the southern margin of Baltica, while the lozenge-shaped blocks of the former Variscan sub-plate were further shortened during continuous contraction. This evolution can fully explain the ≈ 70° anticlockwise rotation from Cn3 to Cn2 palaeomagnetic directions, which are regarded as successive Carboniferous magnetizations. Subsequently, the Variscan belt suffered a giant transtensional event from 325 to 310 Ma that was related to the development of extensional syn-magmatic core complexes over the whole belt and significant dextral reactivation of earlier NW–SE trending transform faults. This extensional event was associated with important tilts recorded by Cp mag…","author":[{"dropping-particle":"","family":"Edel","given":"Jean Bernard","non-dropping-particle":"","parse-names":false,"suffix":""},{"dropping-particle":"","family":"Schulmann","given":"Karel","non-dropping-particle":"","parse-names":false,"suffix":""},{"dropping-particle":"","family":"Lexa","given":"Ondrej","non-dropping-particle":"","parse-names":false,"suffix":""},{"dropping-particle":"","family":"Lardeaux","given":"Jean Marc","non-dropping-particle":"","parse-names":false,"suffix":""}],"container-title":"Earth-Science Reviews","id":"ITEM-2","issue":"November 2017","issued":{"date-parts":[["2018"]]},"page":"589-612","publisher":"Elsevier","title":"Late Palaeozoic palaeomagnetic and tectonic constraints for amalgamation of Pangea supercontinent in the European Variscan belt","type":"article-journal","volume":"177"},"uris":["http://www.mendeley.com/documents/?uuid=a3b83470-aca8-4ab4-a521-f9845260c897"]},{"id":"ITEM-3","itemData":{"DOI":"10.1016/j.gr.2013.03.001","ISSN":"1342937X","abstract":"The Variscides of Europe and N-Africa are the result of the convergence of the plates of Gondwana and Laurussia in the Paleozoic. This orogen is characterized by the juxtaposition of blocks of continental crust that are little affected by the Variscan orogeny. These low strain domains principally consist of Neoproterozoic/Cambrian Cadomian basement overlain by volcano-sedimentary successions of an extended peri-Gondwana shelf. These Cadomian blocks are separated by high strain zones containing the record of subduction-related processes. Traditionally the high strain zones are interpreted as sutures between one or more postulated lithospheric microplates sandwiched between the two major plates. Paleobio-geographic constraints in combination with geochemical and isotopic fingerprints of the protoliths, however, imply that the Variscides are the result of the exclusive interaction of the two plates of Gondwana and Laurussia. Here we explain the Variscan orogen in a two plate scenario, reasoning that the complexity of the Variscan orogen (multitude of high-grade metamorphic belts, compositional diversity of coeval magmatism, and arrangement of foreland basins) is the result of the distribution of crustal domains of contrasting rheological properties. Post-Cadomian rifting along the Cadomian-Avalonian belt, which culminated in the opening of the Rheic Ocean, resulted in vast coeval intracontinental extension and the formation of extended peri-Gondwana shelf areas, namely the Avalonian shelf and the Armorican Spur to the north and south of the evolving Rheic Ocean, respectively. Both shelf areas affected by heterogeneous extension consist of stable continental blocks separated by zones of thinner continental crust. During Variscan collisional tectonics the continental blocks behave as unsubductable crust, whereas the thinner continental crust was subductable and came to constitute the high strain domains of the orogen. The variable interplay between both crustal types in space and time is seen as the principal cause for the observed sequence of orogenic processes. The first collisional contact along the convergent Gondwana-Laurussia plate boundary occurred between Brittany and the Midland microcraton causing the early Devonian deformation along the Anglo-Brabant Fold Belt. This process is coeval with the initiation of continental subduction along the Armorican Spur of the Gondwana plate and the formation of back arc and transtensional basins to both sides of …","author":[{"dropping-particle":"","family":"Kroner","given":"Uwe","non-dropping-particle":"","parse-names":false,"suffix":""},{"dropping-particle":"","family":"Romer","given":"Rolf L.","non-dropping-particle":"","parse-names":false,"suffix":""}],"container-title":"Gondwana Research","id":"ITEM-3","issue":"1","issued":{"date-parts":[["2013"]]},"page":"298-329","publisher":"International Association for Gondwana Research","title":"Two plates - Many subduction zones: The Variscan orogeny reconsidered","type":"article-journal","volume":"24"},"uris":["http://www.mendeley.com/documents/?uuid=df9493d5-4c89-4684-8428-52cb1fa40181"]},{"id":"ITEM-4","itemData":{"DOI":"10.1016/j.tecto.2013.02.037","ISSN":"00401951","abstract":"The making of Pangea is the result of large-scale amalgamation of continents and micro-continents, which started at the end of the Neoproterozoic with the formation of Gondwana. As pieces were added to Gondwana on its South-American, Antarctica and Australia side, ribbon-like micro-continents were detached from its African and South-Chinese side: Cadomia in the late Neoproterozoic, Avalonia and Hunia in the Ordovician, Galatia in the Devonian and Cimmeria in the Permian. Cadomia was re-accreted to Gondwana, but the other ribbon-continents were accreted to Baltica, North-China, Laurussia or Laurasia. Finding the origin of these numerous terranes is a major geological challenge. Recently, a global plate tectonic model was developed together with a large geological/geodynamic database, at the Lausanne University, covering the last 600. Ma of the Earth's history. Special attention was given to the placing of Gondwana derived terranes in their original position, using all possible constraints. We propose here a solution for the Variscan terranes, another paper deals with the Altaids. The Galatian super-terrane was detached from Gondwana in the Devonian, during the opening of Paleotethys, and was quickly separated into four sub-terranes that started to by-pass each other. The leading terranes collided at the end of the Devonian with the Hanseatic terrane detached from Laurussia. In the Carboniferous, Gondwana started to impinge onto the amalgamated terranes, creating the Variscan chain and the Pangean super-continent. East of Spain Paleotethys remained opened until the Triassic, subducting northward under Laurasia. Roll-back of the Paleotethyan slab triggered the collapse of most of the European Variscan orogen, which was replaced by series of Permian rifts, some of them becoming oceanized back-arc basins during the Triassic. Major force changes at the Pangean plate limits at the end of the Triassic provoked its break-up, through the opening of the proto-Caribbean, central-Atlantic, Alpine-Tethys oceanic seaways. © 2013 Elsevier B.V.","author":[{"dropping-particle":"","family":"Stampfli","given":"Gérard M.","non-dropping-particle":"","parse-names":false,"suffix":""},{"dropping-particle":"","family":"Hochard","given":"Cyril","non-dropping-particle":"","parse-names":false,"suffix":""},{"dropping-particle":"","family":"Vérard","given":"C.","non-dropping-particle":"","parse-names":false,"suffix":""},{"dropping-particle":"","family":"Wilhem","given":"C.","non-dropping-particle":"","parse-names":false,"suffix":""},{"dropping-particle":"","family":"VonRaumer","given":"J.","non-dropping-particle":"","parse-names":false,"suffix":""}],"container-title":"Tectonophysics","id":"ITEM-4","issued":{"date-parts":[["2013"]]},"page":"1-19","title":"The formation of Pangea","type":"article-journal","volume":"593"},"uris":["http://www.mendeley.com/documents/?uuid=46b9fda4-ae6e-4d07-b543-7cc92e51a516"]}],"mendeley":{"formattedCitation":"(Edel et al., 2018; Kroner and Romer, 2013; Stampfli et al., 2013; Stephan et al., 2019)","plainTextFormattedCitation":"(Edel et al., 2018; Kroner and Romer, 2013; Stampfli et al., 2013; Stephan et al., 2019)","previouslyFormattedCitation":"(Edel et al., 2018; Kroner and Romer, 2013; Stampfli et al., 2013; Stephan et al., 2019)"},"properties":{"noteIndex":0},"schema":"https://github.com/citation-style-language/schema/raw/master/csl-citation.json"}</w:instrText>
      </w:r>
      <w:r w:rsidR="00F5166B">
        <w:rPr>
          <w:rFonts w:ascii="Arial" w:hAnsi="Arial" w:cs="Arial"/>
        </w:rPr>
        <w:fldChar w:fldCharType="separate"/>
      </w:r>
      <w:r w:rsidR="00990633" w:rsidRPr="00990633">
        <w:rPr>
          <w:rFonts w:ascii="Arial" w:hAnsi="Arial" w:cs="Arial"/>
          <w:noProof/>
        </w:rPr>
        <w:t>(Edel et al., 2018; Kroner and Romer, 2013; Stampfli et al., 2013; Stephan et al., 2019)</w:t>
      </w:r>
      <w:r w:rsidR="00F5166B">
        <w:rPr>
          <w:rFonts w:ascii="Arial" w:hAnsi="Arial" w:cs="Arial"/>
        </w:rPr>
        <w:fldChar w:fldCharType="end"/>
      </w:r>
      <w:r w:rsidR="00990633">
        <w:rPr>
          <w:rFonts w:ascii="Arial" w:hAnsi="Arial" w:cs="Arial"/>
        </w:rPr>
        <w:t>.</w:t>
      </w:r>
      <w:r w:rsidR="007A1744">
        <w:rPr>
          <w:rFonts w:ascii="Arial" w:hAnsi="Arial" w:cs="Arial"/>
        </w:rPr>
        <w:t xml:space="preserve"> The first phase of Pangea’s break up begun in </w:t>
      </w:r>
      <w:r w:rsidR="00E20FA4">
        <w:rPr>
          <w:rFonts w:ascii="Arial" w:hAnsi="Arial" w:cs="Arial"/>
        </w:rPr>
        <w:t xml:space="preserve">the </w:t>
      </w:r>
      <w:r w:rsidR="007A1744">
        <w:rPr>
          <w:rFonts w:ascii="Arial" w:hAnsi="Arial" w:cs="Arial"/>
        </w:rPr>
        <w:t xml:space="preserve">Triassic, however most reconstructions place the main stages of rifting in early to middle Jurassic, when </w:t>
      </w:r>
      <w:r w:rsidR="00E20FA4">
        <w:rPr>
          <w:rFonts w:ascii="Arial" w:hAnsi="Arial" w:cs="Arial"/>
        </w:rPr>
        <w:t xml:space="preserve">the </w:t>
      </w:r>
      <w:r w:rsidR="007A1744">
        <w:rPr>
          <w:rFonts w:ascii="Arial" w:hAnsi="Arial" w:cs="Arial"/>
        </w:rPr>
        <w:t>Tethys system beg</w:t>
      </w:r>
      <w:r w:rsidR="00E20FA4">
        <w:rPr>
          <w:rFonts w:ascii="Arial" w:hAnsi="Arial" w:cs="Arial"/>
        </w:rPr>
        <w:t>a</w:t>
      </w:r>
      <w:r w:rsidR="007A1744">
        <w:rPr>
          <w:rFonts w:ascii="Arial" w:hAnsi="Arial" w:cs="Arial"/>
        </w:rPr>
        <w:t xml:space="preserve">n to open up </w:t>
      </w:r>
      <w:r w:rsidR="007A1744">
        <w:rPr>
          <w:rFonts w:ascii="Arial" w:hAnsi="Arial" w:cs="Arial"/>
        </w:rPr>
        <w:fldChar w:fldCharType="begin" w:fldLock="1"/>
      </w:r>
      <w:r w:rsidR="00A85BC3">
        <w:rPr>
          <w:rFonts w:ascii="Arial" w:hAnsi="Arial" w:cs="Arial"/>
        </w:rPr>
        <w:instrText xml:space="preserve">ADDIN CSL_CITATION {"citationItems":[{"id":"ITEM-1","itemData":{"DOI":"10.1016/j.earscirev.2004.10.001","ISSN":"00128252","abstract":"Despite extensive research in the last 150 years, the regional tectonic reconstruction of the Western Alps has remained controversial. The curved orogenic belt consists of several ribbon-like continental terranes (Sesia/Austroalpine, Internal Crystalline Massifs, Briançonnais), which are separated by two or more ophiolitic sutures (Piemonte, Valais, Antrona?, Lanzo/Canavese?). High-pressure (HP) metamorphism of each terrane occurred during distinct orogenic episodes: at </w:instrText>
      </w:r>
      <w:r w:rsidR="00A85BC3">
        <w:rPr>
          <w:rFonts w:ascii="Cambria Math" w:hAnsi="Cambria Math" w:cs="Cambria Math"/>
        </w:rPr>
        <w:instrText>∼</w:instrText>
      </w:r>
      <w:r w:rsidR="00A85BC3">
        <w:rPr>
          <w:rFonts w:ascii="Arial" w:hAnsi="Arial" w:cs="Arial"/>
        </w:rPr>
        <w:instrText xml:space="preserve">65 Ma in the Sesia/Austroalpine, at </w:instrText>
      </w:r>
      <w:r w:rsidR="00A85BC3">
        <w:rPr>
          <w:rFonts w:ascii="Cambria Math" w:hAnsi="Cambria Math" w:cs="Cambria Math"/>
        </w:rPr>
        <w:instrText>∼</w:instrText>
      </w:r>
      <w:r w:rsidR="00A85BC3">
        <w:rPr>
          <w:rFonts w:ascii="Arial" w:hAnsi="Arial" w:cs="Arial"/>
        </w:rPr>
        <w:instrText xml:space="preserve">45 Ma in the Piemonte zone and at </w:instrText>
      </w:r>
      <w:r w:rsidR="00A85BC3">
        <w:rPr>
          <w:rFonts w:ascii="Cambria Math" w:hAnsi="Cambria Math" w:cs="Cambria Math"/>
        </w:rPr>
        <w:instrText>∼</w:instrText>
      </w:r>
      <w:r w:rsidR="00A85BC3">
        <w:rPr>
          <w:rFonts w:ascii="Arial" w:hAnsi="Arial" w:cs="Arial"/>
        </w:rPr>
        <w:instrText>35 Ma in the Internal Crystalline Massifs. It is suggested that these events reflect individual accretionary episodes, which together with kinematic indicators and the speed and direction of plate motions, provide constraints for the discussed reconstruction model. The model involves a prolonged orogenic history that took place during relative convergence of Europe and Adria (here considered as a promontory of the African plate). The first accretionary event involved the Sesia/Austroalpine terrane. Final closure of the Piemonte Ocean occurred during the Eocene (</w:instrText>
      </w:r>
      <w:r w:rsidR="00A85BC3">
        <w:rPr>
          <w:rFonts w:ascii="Cambria Math" w:hAnsi="Cambria Math" w:cs="Cambria Math"/>
        </w:rPr>
        <w:instrText>∼</w:instrText>
      </w:r>
      <w:r w:rsidR="00A85BC3">
        <w:rPr>
          <w:rFonts w:ascii="Arial" w:hAnsi="Arial" w:cs="Arial"/>
        </w:rPr>
        <w:instrText>45 Ma) and involved ultra-high-pressure (UHP) metamorphism of the Piemonte oceanic crust. Incorporation of the Briançonnais terrane in the accretionary wedge occurred thereafter, possibly during or after subduction of the Valais Ocean in the late Eocene (45-35 Ma). This subduction was terminated at ca. 35 Ma, when the Internal Crystalline Massifs (i.e. the assumed internal parts of the Briançonnais terrane) were buried into great depths and underwent HP and UHP metamorphism. © 2004 Elsevier B.V. All rights reserved.","author":[{"dropping-particle":"","family":"Rosenbaum","given":"Gideon","non-dropping-particle":"","parse-names":false,"suffix":""},{"dropping-particle":"","family":"Lister","given":"Gordon S.","non-dropping-particle":"","parse-names":false,"suffix":""}],"container-title":"Earth-Science Reviews","id":"ITEM-1","issue":"3-4","issued":{"date-parts":[["2005"]]},"page":"281-306","title":"The Western Alps from the Jurassic to Oligocene: Spatio-temporal constraints and evolutionary reconstructions","type":"article-journal","volume":"69"},"uris":["http://www.mendeley.com/documents/?uuid=2d4848ce-3ca2-4c23-bcdf-957661e6eebc"]},{"id":"ITEM-2","itemData":{"DOI":"10.1007/s00015-008-1247-3","ISBN":"1661-8726","ISSN":"1661-8726","PMID":"23551","abstract":"A correlation of tectonic units of the Alpine-Carpathian-Dinaridic system of orogens, including the substrate of the Pannonian and Transylvanian basins, is presented in the form of a map. Combined with a series of crustal-scale cross sections this correlation of tectonic units yields a clearer picture of the three-dimensional architecture of this system of orogens that owes its considerable complexity to multiple overprinting of earlier by younger deformations. The synthesis advanced here indicates that none of the branches of the Alpine Tethys and Neotethys extended eastward into the Dobrogea Orogen. Instead, the main branch of the Alpine Tethys linked up with the Meliata-Maliac-Vardar branch of the Neotethys into the area of the present-day Inner Dinarides. More easterly and subsidiary branches of the Alpine Tethys separated Tisza completely, and Dacia partially, from the European continent. Remnants of the Triassic parts of Neotethys (Meliata-Maliac) are preserved only as ophiolitic melanges present below obducted Jurassic Neotethyan (Vardar) ophiolites. The opening of the Alpine Tethys was largely contemporaneous with the Latest Jurassic to Early Cretaceous obduction of parts of the Jurassic Vardar ophiolites. Closure of the Meliata-Maliac Ocean in the Alps and West Carpathians led to Cretaceous-age orogeny associated with an eclogitic overprint of the adjacent continental margin. The Triassic Meliata-Maliac and Jurassic Western and Eastern Vardar ophiolites were derived from one single branch of Neotethys: the Meliata-Maliac-Vardar Ocean. Complex geometries resulting from out-of-sequence thrusting during Cretaceous and Cenozoic orogenic phases underlay a variety of multi-ocean hypotheses, that were advanced in the literature and that we regard as incompatible with the field evidence. The present-day configuration of tectonic units suggests that a former connection between ophiolitic units in West Carpathians and Dinarides was disrupted by substantial Miocene-age dislocations along the Mid-Hungarian Fault Zone, hiding a former lateral change in subduction polarity between West Carpathians and Dinarides. The SW-facing Dinaridic Orogen, mainly structured in Cretaceous and Palaeogene times, was juxtaposed with the Tisza and Dacia Mega-Units along a NW-dipping suture (Sava Zone) in latest Cretaceous to Palaeogene times. The Dacia Mega-Unit (East and South Carpathian Orogen, including the Carpatho-Balkan Orogen and the Biharia nappe system of the Apuseni…","author":[{"dropping-particle":"","family":"Schmid","given":"Stefan Martin","non-dropping-particle":"","parse-names":false,"suffix":""},{"dropping-particle":"","family":"Bernoulli","given":"Daniel","non-dropping-particle":"","parse-names":false,"suffix":""},{"dropping-particle":"","family":"Fügenschuh","given":"Bernhard","non-dropping-particle":"","parse-names":false,"suffix":""},{"dropping-particle":"","family":"Matenco","given":"Liviu","non-dropping-particle":"","parse-names":false,"suffix":""},{"dropping-particle":"","family":"Schefer","given":"Senecio","non-dropping-particle":"","parse-names":false,"suffix":""},{"dropping-particle":"","family":"Schuster","given":"Ralf","non-dropping-particle":"","parse-names":false,"suffix":""},{"dropping-particle":"","family":"Tischler","given":"Matthias","non-dropping-particle":"","parse-names":false,"suffix":""},{"dropping-particle":"","family":"Ustaszewski","given":"Kamil","non-dropping-particle":"","parse-names":false,"suffix":""}],"container-title":"Swiss Journal of Geosciences","id":"ITEM-2","issue":"1","issued":{"date-parts":[["2008","5","24"]]},"page":"139-183","title":"The Alpine-Carpathian-Dinaridic orogenic system: correlation and evolution of tectonic units","type":"article-journal","volume":"101"},"uris":["http://www.mendeley.com/documents/?uuid=34bc6653-a91a-4f4e-b7b6-62d3796fdd37"]},{"id":"ITEM-3","itemData":{"DOI":"10.1016/S0012-821X(01)00588-X","author":[{"dropping-particle":"","family":"Stampfli","given":"Gérard M.","non-dropping-particle":"","parse-names":false,"suffix":""},{"dropping-particle":"","family":"Borel","given":"Gilles D.","non-dropping-particle":"","parse-names":false,"suffix":""}],"container-title":"Earth and Planetary Science Letters","id":"ITEM-3","issued":{"date-parts":[["2002"]]},"page":"17-33","title":"A plate tectonic model for the Paleozoic and Mesozoic constrained by dynamic plate boundaries and restored synthetic oceanic isochrons","type":"article-journal","volume":"196"},"uris":["http://www.mendeley.com/documents/?uuid=994dcad7-23fc-4cd4-b29a-e1b6954502b9"]},{"id":"ITEM-4","itemData":{"DOI":"10.1016/j.gr.2019.07.005","ISSN":"1342937X","abstract":"We present a map that correlates tectonic units between Alps and western Turkey accompanied by a text providing access to literature data, explaining the concepts used for defining the mapped tectonic units, and first-order paleogeographic inferences. Along-strike similarities and differences of the Alpine-Eastern Mediterranean orogenic system are discussed. The map allows (1) for superimposing additional information, such as e.g., post-tectonic sedimentary basins, manifestations of magmatic activity, onto a coherent tectonic framework and (2) for outlining the major features of the Alpine-Eastern Mediterranean orogen. Dinarides-Hellenides, Anatolides and Taurides are orogens of opposite subduction polarity and direction of major transport with respect to Alps and Carpathians, and polarity switches across the Mid-Hungarian fault zone. The Dinarides-Hellenides-Taurides (and Apennines) consist of nappes detached from the Greater Adriatic continental margin during Cretaceous and Cenozoic orogeny. Internal units form composite nappes that passively carry ophiolites obducted in the latest Jurassic–earliest Cretaceous or during the Late Cretaceous on top of the Greater Adriatic margin successions. The ophiolites on top of composite nappes do not represent oceanic sutures zones, but root in the suture zones of Neotethys that formed after obduction. Suturing between Greater Adria and the northern and eastern Neotethys margin occupied by the Tisza and Dacia mega-units and the Pontides occurred in the latest Cretaceous along the Sava-İzmir-Ankara-Erzincan suture zones. The Rhodopian orogen is interpreted as a deep-crustal nappe stack formed in tandem with the Carpatho-Balkanides fold-thrust belt, now exposed in a giant core complex exhumed in late Eocene to Miocene times from below the Carpatho-Balkan orogen and the Circum-Rhodope unit. Its tectonic position is similar to that of the Sakarya unit of the Pontides. We infer that the Rhodope nappe stack formed due to north-directed thrusting. Both Rhodopes and Pontides are suspected to preserve the westernmost relics of the suture zone of Paleotethys.","author":[{"dropping-particle":"","family":"Schmid","given":"Stefan Martin","non-dropping-particle":"","parse-names":false,"suffix":""},{"dropping-particle":"","family":"Fügenschuh","given":"Bernhard","non-dropping-particle":"","parse-names":false,"suffix":""},{"dropping-particle":"","family":"Kounov","given":"Alexandre","non-dropping-particle":"","parse-names":false,"suffix":""},{"dropping-particle":"","family":"Maţenco","given":"Liviu","non-dropping-particle":"","parse-names":false,"suffix":""},{"dropping-particle":"","family":"Nievergelt","given":"Peter","non-dropping-particle":"","parse-names":false,"suffix":""},{"dropping-particle":"","family":"Oberhänsli","given":"Roland","non-dropping-particle":"","parse-names":false,"suffix":""},{"dropping-particle":"","family":"Pleuger","given":"Jan","non-dropping-particle":"","parse-names":false,"suffix":""},{"dropping-particle":"","family":"Schefer","given":"Senecio","non-dropping-particle":"","parse-names":false,"suffix":""},{"dropping-particle":"","family":"Schuster","given":"Ralf","non-dropping-particle":"","parse-names":false,"suffix":""},{"dropping-particle":"","family":"Tomljenović","given":"Bruno","non-dropping-particle":"","parse-names":false,"suffix":""},{"dropping-particle":"","family":"Ustaszewski","given":"Kamil","non-dropping-particle":"","parse-names":false,"suffix":""},{"dropping-particle":"","family":"Hinsbergen","given":"Douwe J.J.","non-dropping-particle":"van","parse-names":false,"suffix":""}],"container-title":"Gondwana Research","id":"ITEM-4","issued":{"date-parts":[["2020","2"]]},"page":"308-374","title":"Tectonic units of the Alpine collision zone between Eastern Alps and western Turkey","type":"article-journal","volume":"78"},"uris":["http://www.mendeley.com/documents/?uuid=69401dc2-711e-4009-8a57-dc669601fa40"]},{"id":"ITEM-5","itemData":{"DOI":"10.1016/j.gr.2019.07.009","ISSN":"1342937X","abstract":"The basins and orogens of the Mediterranean region ultimately result from the opening of oceans during the early break-up of Pangea since the Triassic, and their subsequent destruction by subduction accommodating convergence between the African and Eurasian Plates since the Jurassic. The region has been the cradle for the development of geodynamic concepts that link crustal evolution to continental break-up, oceanic and continental subduction, and mantle dynamics in general. The development of such concepts requires a first-order understanding of the kinematic evolution of the region for which a multitude of reconstructions have previously been proposed. In this paper, we use advances made in kinematic restoration software in the last decade with a systematic reconstruction protocol for developing a more quantitative restoration of the Mediterranean region for the last 240 million years. This restoration is constructed for the first time with the GPlates plate reconstruction software and uses a systematic reconstruction protocol that limits input data to marine magnetic anomaly reconstructions of ocean basins, structural geological constraints quantifying timing, direction, and magnitude of tectonic motion, and tests and iterations against paleomagnetic data. This approach leads to a reconstruction that is reproducible, and updatable with future constraints. We first review constraints on the opening history of the Atlantic (and Red Sea) oceans and the Bay of Biscay. We then provide a comprehensive overview of the architecture of the Mediterranean orogens, from the Pyrenees and Betic-Rif orogen in the west to the Caucasus in the east and identify structural geological constraints on tectonic motions. We subsequently analyze a newly constructed database of some 2300 published paleomagnetic sites from the Mediterranean region and test the reconstruction against these constraints. We provide the reconstruction in the form of 12 maps being snapshots from 240 to 0 Ma, outline the main features in each time-slice, and identify differences from previous reconstructions, which are discussed in the final section.","author":[{"dropping-particle":"","family":"Hinsbergen","given":"Douwe J.J.","non-dropping-particle":"van","parse-names":false,"suffix":""},{"dropping-particle":"","family":"Torsvik","given":"Trond H.","non-dropping-particle":"","parse-names":false,"suffix":""},{"dropping-particle":"","family":"Schmid","given":"Stefan Martin","non-dropping-particle":"","parse-names":false,"suffix":""},{"dropping-particle":"","family":"Maţenco","given":"Liviu C.","non-dropping-particle":"","parse-names":false,"suffix":""},{"dropping-particle":"","family":"Maffione","given":"Marco","non-dropping-particle":"","parse-names":false,"suffix":""},{"dropping-particle":"","family":"Vissers","given":"Reinoud L.M.","non-dropping-particle":"","parse-names":false,"suffix":""},{"dropping-particle":"","family":"Gürer","given":"Derya","non-dropping-particle":"","parse-names":false,"suffix":""},{"dropping-particle":"","family":"Spakman","given":"Wim","non-dropping-particle":"","parse-names":false,"suffix":""}],"container-title":"Gondwana Research","id":"ITEM-5","issued":{"date-parts":[["2020","5"]]},"page":"79-229","title":"Orogenic architecture of the Mediterranean region and kinematic reconstruction of its tectonic evolution since the Triassic","type":"article-journal","volume":"81"},"uris":["http://www.mendeley.com/documents/?uuid=d14f11a1-2934-4b61-88fe-3e05b2f778a2"]}],"mendeley":{"formattedCitation":"(Rosenbaum and Lister, 2005; Schmid et al., 2020, 2008; Stampfli and Borel, 2002; van Hinsbergen et al., 2020)","plainTextFormattedCitation":"(Rosenbaum and Lister, 2005; Schmid et al., 2020, 2008; Stampfli and Borel, 2002; van Hinsbergen et al., 2020)","previouslyFormattedCitation":"(Rosenbaum and Lister, 2005; Schmid et al., 2020, 2008; Stampfli and Borel, 2002; van Hinsbergen et al., 2020)"},"properties":{"noteIndex":0},"schema":"https://github.com/citation-style-language/schema/raw/master/csl-citation.json"}</w:instrText>
      </w:r>
      <w:r w:rsidR="007A1744">
        <w:rPr>
          <w:rFonts w:ascii="Arial" w:hAnsi="Arial" w:cs="Arial"/>
        </w:rPr>
        <w:fldChar w:fldCharType="separate"/>
      </w:r>
      <w:r w:rsidR="00A85BC3" w:rsidRPr="00A85BC3">
        <w:rPr>
          <w:rFonts w:ascii="Arial" w:hAnsi="Arial" w:cs="Arial"/>
          <w:noProof/>
        </w:rPr>
        <w:t>(Rosenbaum and Lister, 2005; Schmid et al., 2020, 2008; Stampfli and Borel, 2002; van Hinsbergen et al., 2020)</w:t>
      </w:r>
      <w:r w:rsidR="007A1744">
        <w:rPr>
          <w:rFonts w:ascii="Arial" w:hAnsi="Arial" w:cs="Arial"/>
        </w:rPr>
        <w:fldChar w:fldCharType="end"/>
      </w:r>
      <w:r w:rsidR="007A1744">
        <w:rPr>
          <w:rFonts w:ascii="Arial" w:hAnsi="Arial" w:cs="Arial"/>
        </w:rPr>
        <w:t xml:space="preserve">. </w:t>
      </w:r>
      <w:r w:rsidR="0051799E">
        <w:rPr>
          <w:rFonts w:ascii="Arial" w:hAnsi="Arial" w:cs="Arial"/>
        </w:rPr>
        <w:t xml:space="preserve">The gradual and complex events led to the separation of </w:t>
      </w:r>
      <w:r w:rsidR="00E20FA4">
        <w:rPr>
          <w:rFonts w:ascii="Arial" w:hAnsi="Arial" w:cs="Arial"/>
        </w:rPr>
        <w:t xml:space="preserve">the </w:t>
      </w:r>
      <w:r w:rsidR="0051799E">
        <w:rPr>
          <w:rFonts w:ascii="Arial" w:hAnsi="Arial" w:cs="Arial"/>
        </w:rPr>
        <w:t>Gondwana rem</w:t>
      </w:r>
      <w:r w:rsidR="00C4394A">
        <w:rPr>
          <w:rFonts w:ascii="Arial" w:hAnsi="Arial" w:cs="Arial"/>
        </w:rPr>
        <w:t>nants</w:t>
      </w:r>
      <w:r w:rsidR="0051799E">
        <w:rPr>
          <w:rFonts w:ascii="Arial" w:hAnsi="Arial" w:cs="Arial"/>
        </w:rPr>
        <w:t>,</w:t>
      </w:r>
      <w:r w:rsidR="00C4394A">
        <w:rPr>
          <w:rFonts w:ascii="Arial" w:hAnsi="Arial" w:cs="Arial"/>
        </w:rPr>
        <w:t xml:space="preserve"> the</w:t>
      </w:r>
      <w:r w:rsidR="0051799E">
        <w:rPr>
          <w:rFonts w:ascii="Arial" w:hAnsi="Arial" w:cs="Arial"/>
        </w:rPr>
        <w:t xml:space="preserve"> closure of Tethys, concluding with </w:t>
      </w:r>
      <w:r w:rsidR="00E20FA4">
        <w:rPr>
          <w:rFonts w:ascii="Arial" w:hAnsi="Arial" w:cs="Arial"/>
        </w:rPr>
        <w:t xml:space="preserve">the </w:t>
      </w:r>
      <w:r w:rsidR="0051799E">
        <w:rPr>
          <w:rFonts w:ascii="Arial" w:hAnsi="Arial" w:cs="Arial"/>
        </w:rPr>
        <w:t xml:space="preserve">collision </w:t>
      </w:r>
      <w:r w:rsidR="00E20FA4">
        <w:rPr>
          <w:rFonts w:ascii="Arial" w:hAnsi="Arial" w:cs="Arial"/>
        </w:rPr>
        <w:t xml:space="preserve">the </w:t>
      </w:r>
      <w:r w:rsidR="0051799E">
        <w:rPr>
          <w:rFonts w:ascii="Arial" w:hAnsi="Arial" w:cs="Arial"/>
        </w:rPr>
        <w:t xml:space="preserve">African and European plates, </w:t>
      </w:r>
      <w:r w:rsidR="00C4394A">
        <w:rPr>
          <w:rFonts w:ascii="Arial" w:hAnsi="Arial" w:cs="Arial"/>
        </w:rPr>
        <w:t xml:space="preserve">the </w:t>
      </w:r>
      <w:r w:rsidR="0051799E">
        <w:rPr>
          <w:rFonts w:ascii="Arial" w:hAnsi="Arial" w:cs="Arial"/>
        </w:rPr>
        <w:t>Alpine orogeny</w:t>
      </w:r>
      <w:r w:rsidR="004C35F2">
        <w:rPr>
          <w:rFonts w:ascii="Arial" w:hAnsi="Arial" w:cs="Arial"/>
        </w:rPr>
        <w:t>,</w:t>
      </w:r>
      <w:r w:rsidR="0051799E">
        <w:rPr>
          <w:rFonts w:ascii="Arial" w:hAnsi="Arial" w:cs="Arial"/>
        </w:rPr>
        <w:t xml:space="preserve"> and </w:t>
      </w:r>
      <w:r w:rsidR="00C4394A">
        <w:rPr>
          <w:rFonts w:ascii="Arial" w:hAnsi="Arial" w:cs="Arial"/>
        </w:rPr>
        <w:t xml:space="preserve">the </w:t>
      </w:r>
      <w:r w:rsidR="0051799E">
        <w:rPr>
          <w:rFonts w:ascii="Arial" w:hAnsi="Arial" w:cs="Arial"/>
        </w:rPr>
        <w:t xml:space="preserve">modern-day </w:t>
      </w:r>
      <w:r w:rsidR="004C35F2">
        <w:rPr>
          <w:rFonts w:ascii="Arial" w:hAnsi="Arial" w:cs="Arial"/>
        </w:rPr>
        <w:t xml:space="preserve">distribution </w:t>
      </w:r>
      <w:r w:rsidR="008960B5">
        <w:rPr>
          <w:rFonts w:ascii="Arial" w:hAnsi="Arial" w:cs="Arial"/>
        </w:rPr>
        <w:t>rocks</w:t>
      </w:r>
      <w:r w:rsidR="004C35F2">
        <w:rPr>
          <w:rFonts w:ascii="Arial" w:hAnsi="Arial" w:cs="Arial"/>
        </w:rPr>
        <w:t xml:space="preserve"> seen in </w:t>
      </w:r>
      <w:r w:rsidR="0051799E">
        <w:rPr>
          <w:rFonts w:ascii="Arial" w:hAnsi="Arial" w:cs="Arial"/>
        </w:rPr>
        <w:t xml:space="preserve">Figure 2. </w:t>
      </w:r>
    </w:p>
    <w:p w14:paraId="1B518A12" w14:textId="2884DC7C" w:rsidR="00FF23BC" w:rsidRDefault="00416753" w:rsidP="003D3DC9">
      <w:pPr>
        <w:spacing w:before="120" w:after="120" w:line="480" w:lineRule="auto"/>
        <w:jc w:val="both"/>
        <w:rPr>
          <w:rFonts w:ascii="Arial" w:hAnsi="Arial" w:cs="Arial"/>
        </w:rPr>
      </w:pPr>
      <w:r>
        <w:rPr>
          <w:rFonts w:ascii="Arial" w:hAnsi="Arial" w:cs="Arial"/>
          <w:noProof/>
        </w:rPr>
        <w:lastRenderedPageBreak/>
        <w:drawing>
          <wp:inline distT="0" distB="0" distL="0" distR="0" wp14:anchorId="0C0B5A5D" wp14:editId="2775F6E4">
            <wp:extent cx="5731510" cy="3430905"/>
            <wp:effectExtent l="0" t="0" r="2540" b="0"/>
            <wp:docPr id="8" name="Pictur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pic:cNvPicPr/>
                  </pic:nvPicPr>
                  <pic:blipFill>
                    <a:blip r:embed="rId11"/>
                    <a:stretch>
                      <a:fillRect/>
                    </a:stretch>
                  </pic:blipFill>
                  <pic:spPr>
                    <a:xfrm>
                      <a:off x="0" y="0"/>
                      <a:ext cx="5731510" cy="3430905"/>
                    </a:xfrm>
                    <a:prstGeom prst="rect">
                      <a:avLst/>
                    </a:prstGeom>
                  </pic:spPr>
                </pic:pic>
              </a:graphicData>
            </a:graphic>
          </wp:inline>
        </w:drawing>
      </w:r>
    </w:p>
    <w:p w14:paraId="30866B6F" w14:textId="55A8856A" w:rsidR="00B3270B" w:rsidRDefault="00F61424" w:rsidP="0022221A">
      <w:pPr>
        <w:spacing w:before="120" w:after="120" w:line="480" w:lineRule="auto"/>
        <w:jc w:val="both"/>
        <w:rPr>
          <w:rFonts w:ascii="Arial" w:hAnsi="Arial" w:cs="Arial"/>
        </w:rPr>
      </w:pPr>
      <w:r>
        <w:rPr>
          <w:rFonts w:ascii="Arial" w:hAnsi="Arial" w:cs="Arial"/>
          <w:b/>
          <w:bCs/>
        </w:rPr>
        <w:t xml:space="preserve">Figure 2. </w:t>
      </w:r>
      <w:r w:rsidR="00250BC0">
        <w:rPr>
          <w:rFonts w:ascii="Arial" w:hAnsi="Arial" w:cs="Arial"/>
        </w:rPr>
        <w:t>Simplified geological map of the study region (</w:t>
      </w:r>
      <w:r w:rsidR="0093239A">
        <w:rPr>
          <w:rFonts w:ascii="Arial" w:hAnsi="Arial" w:cs="Arial"/>
        </w:rPr>
        <w:t xml:space="preserve">adapted from </w:t>
      </w:r>
      <w:r w:rsidR="0093239A">
        <w:rPr>
          <w:rFonts w:ascii="Arial" w:hAnsi="Arial" w:cs="Arial"/>
        </w:rPr>
        <w:fldChar w:fldCharType="begin" w:fldLock="1"/>
      </w:r>
      <w:r w:rsidR="001A29B8">
        <w:rPr>
          <w:rFonts w:ascii="Arial" w:hAnsi="Arial" w:cs="Arial"/>
        </w:rPr>
        <w:instrText>ADDIN CSL_CITATION {"citationItems":[{"id":"ITEM-1","itemData":{"DOI":"https://doi.org/10.3133/ofr97470I","author":[{"dropping-particle":"","family":"Pawlewicz","given":"Mark J.","non-dropping-particle":"","parse-names":false,"suffix":""},{"dropping-particle":"","family":"Steinshouer","given":"Douglas W.","non-dropping-particle":"","parse-names":false,"suffix":""},{"dropping-particle":"","family":"Gautier","given":"Donald L.","non-dropping-particle":"","parse-names":false,"suffix":""}],"id":"ITEM-1","issued":{"date-parts":[["2002"]]},"number-of-pages":"14","title":"Map Showing Geology, Oil and Gas Fields, and Geologic Provinces of Europe including Turkey: Open-File Report 97-470-I","type":"report"},"uris":["http://www.mendeley.com/documents/?uuid=e647bf0b-55e5-437c-b497-ef2d3aee92ef"]}],"mendeley":{"formattedCitation":"(Pawlewicz et al., 2002)","manualFormatting":"Pawlewicz et al. (2002)","plainTextFormattedCitation":"(Pawlewicz et al., 2002)","previouslyFormattedCitation":"(Pawlewicz et al., 2002)"},"properties":{"noteIndex":0},"schema":"https://github.com/citation-style-language/schema/raw/master/csl-citation.json"}</w:instrText>
      </w:r>
      <w:r w:rsidR="0093239A">
        <w:rPr>
          <w:rFonts w:ascii="Arial" w:hAnsi="Arial" w:cs="Arial"/>
        </w:rPr>
        <w:fldChar w:fldCharType="separate"/>
      </w:r>
      <w:r w:rsidR="0093239A" w:rsidRPr="0093239A">
        <w:rPr>
          <w:rFonts w:ascii="Arial" w:hAnsi="Arial" w:cs="Arial"/>
          <w:noProof/>
        </w:rPr>
        <w:t xml:space="preserve">Pawlewicz et al. </w:t>
      </w:r>
      <w:r w:rsidR="0093239A">
        <w:rPr>
          <w:rFonts w:ascii="Arial" w:hAnsi="Arial" w:cs="Arial"/>
          <w:noProof/>
        </w:rPr>
        <w:t>(</w:t>
      </w:r>
      <w:r w:rsidR="0093239A" w:rsidRPr="0093239A">
        <w:rPr>
          <w:rFonts w:ascii="Arial" w:hAnsi="Arial" w:cs="Arial"/>
          <w:noProof/>
        </w:rPr>
        <w:t>2002)</w:t>
      </w:r>
      <w:r w:rsidR="0093239A">
        <w:rPr>
          <w:rFonts w:ascii="Arial" w:hAnsi="Arial" w:cs="Arial"/>
        </w:rPr>
        <w:fldChar w:fldCharType="end"/>
      </w:r>
      <w:r w:rsidR="0093239A">
        <w:rPr>
          <w:rFonts w:ascii="Arial" w:hAnsi="Arial" w:cs="Arial"/>
        </w:rPr>
        <w:t xml:space="preserve"> and </w:t>
      </w:r>
      <w:r w:rsidR="0093239A">
        <w:rPr>
          <w:rFonts w:ascii="Arial" w:hAnsi="Arial" w:cs="Arial"/>
        </w:rPr>
        <w:fldChar w:fldCharType="begin" w:fldLock="1"/>
      </w:r>
      <w:r w:rsidR="001A29B8">
        <w:rPr>
          <w:rFonts w:ascii="Arial" w:hAnsi="Arial" w:cs="Arial"/>
        </w:rPr>
        <w:instrText>ADDIN CSL_CITATION {"citationItems":[{"id":"ITEM-1","itemData":{"author":[{"dropping-particle":"","family":"Persits","given":"F. M.","non-dropping-particle":"","parse-names":false,"suffix":""},{"dropping-particle":"","family":"Ulmishek","given":"G. F.","non-dropping-particle":"","parse-names":false,"suffix":""},{"dropping-particle":"","family":"Steinshouer","given":"D. W.","non-dropping-particle":"","parse-names":false,"suffix":""}],"id":"ITEM-1","issued":{"date-parts":[["1999"]]},"number-of-pages":"13","title":"Maps Showing Geology, Oil and Gas Fields and Geologic Provinces of the Former Soviet Union Open-File Report 97-470-E","type":"report"},"uris":["http://www.mendeley.com/documents/?uuid=58e24c7e-5187-443e-9a4e-5cf4ce9460f0"]}],"mendeley":{"formattedCitation":"(Persits et al., 1999)","manualFormatting":"Persits et al. (1999)","plainTextFormattedCitation":"(Persits et al., 1999)","previouslyFormattedCitation":"(Persits et al., 1999)"},"properties":{"noteIndex":0},"schema":"https://github.com/citation-style-language/schema/raw/master/csl-citation.json"}</w:instrText>
      </w:r>
      <w:r w:rsidR="0093239A">
        <w:rPr>
          <w:rFonts w:ascii="Arial" w:hAnsi="Arial" w:cs="Arial"/>
        </w:rPr>
        <w:fldChar w:fldCharType="separate"/>
      </w:r>
      <w:r w:rsidR="0093239A" w:rsidRPr="0093239A">
        <w:rPr>
          <w:rFonts w:ascii="Arial" w:hAnsi="Arial" w:cs="Arial"/>
          <w:noProof/>
        </w:rPr>
        <w:t xml:space="preserve">Persits et al. </w:t>
      </w:r>
      <w:r w:rsidR="0093239A">
        <w:rPr>
          <w:rFonts w:ascii="Arial" w:hAnsi="Arial" w:cs="Arial"/>
          <w:noProof/>
        </w:rPr>
        <w:t>(</w:t>
      </w:r>
      <w:r w:rsidR="0093239A" w:rsidRPr="0093239A">
        <w:rPr>
          <w:rFonts w:ascii="Arial" w:hAnsi="Arial" w:cs="Arial"/>
          <w:noProof/>
        </w:rPr>
        <w:t>1999)</w:t>
      </w:r>
      <w:r w:rsidR="0093239A">
        <w:rPr>
          <w:rFonts w:ascii="Arial" w:hAnsi="Arial" w:cs="Arial"/>
        </w:rPr>
        <w:fldChar w:fldCharType="end"/>
      </w:r>
      <w:r w:rsidR="0093239A">
        <w:rPr>
          <w:rFonts w:ascii="Arial" w:hAnsi="Arial" w:cs="Arial"/>
        </w:rPr>
        <w:t>)</w:t>
      </w:r>
      <w:r w:rsidR="00250BC0">
        <w:rPr>
          <w:rFonts w:ascii="Arial" w:hAnsi="Arial" w:cs="Arial"/>
        </w:rPr>
        <w:t xml:space="preserve"> .</w:t>
      </w:r>
      <w:r w:rsidR="00250BC0" w:rsidRPr="00250BC0">
        <w:rPr>
          <w:rFonts w:ascii="Arial" w:hAnsi="Arial" w:cs="Arial"/>
        </w:rPr>
        <w:t xml:space="preserve"> </w:t>
      </w:r>
      <w:r w:rsidR="00917497">
        <w:rPr>
          <w:rFonts w:ascii="Arial" w:hAnsi="Arial" w:cs="Arial"/>
        </w:rPr>
        <w:t>White squares - l</w:t>
      </w:r>
      <w:r w:rsidR="00917497">
        <w:rPr>
          <w:rFonts w:ascii="Arial" w:hAnsi="Arial"/>
          <w14:numForm w14:val="lining"/>
        </w:rPr>
        <w:t xml:space="preserve">ocation of U-Pb supporting datasets; black circles – location of the Hf </w:t>
      </w:r>
      <w:r w:rsidR="00246111">
        <w:rPr>
          <w:rFonts w:ascii="Arial" w:hAnsi="Arial"/>
          <w14:numForm w14:val="lining"/>
        </w:rPr>
        <w:t xml:space="preserve">isotope </w:t>
      </w:r>
      <w:r w:rsidR="00917497">
        <w:rPr>
          <w:rFonts w:ascii="Arial" w:hAnsi="Arial"/>
          <w14:numForm w14:val="lining"/>
        </w:rPr>
        <w:t>supporting datasets as outlined in Figure 1.</w:t>
      </w:r>
      <w:r w:rsidR="00250BC0">
        <w:rPr>
          <w:rFonts w:ascii="Arial" w:hAnsi="Arial"/>
          <w14:numForm w14:val="lining"/>
        </w:rPr>
        <w:t xml:space="preserve"> To aid clarity some periods have been combined based on the relevance to this research (e.g. Palaeogene, Neogene, </w:t>
      </w:r>
      <w:r w:rsidR="0093239A">
        <w:rPr>
          <w:rFonts w:ascii="Arial" w:hAnsi="Arial"/>
          <w14:numForm w14:val="lining"/>
        </w:rPr>
        <w:t xml:space="preserve">and </w:t>
      </w:r>
      <w:r w:rsidR="00250BC0">
        <w:rPr>
          <w:rFonts w:ascii="Arial" w:hAnsi="Arial"/>
          <w14:numForm w14:val="lining"/>
        </w:rPr>
        <w:t>Quaternary).</w:t>
      </w:r>
    </w:p>
    <w:bookmarkEnd w:id="26"/>
    <w:bookmarkEnd w:id="28"/>
    <w:p w14:paraId="10FC9A37" w14:textId="549A4279" w:rsidR="000E30BF" w:rsidRDefault="00F03A51" w:rsidP="00987B6C">
      <w:pPr>
        <w:pStyle w:val="Heading1"/>
        <w:numPr>
          <w:ilvl w:val="0"/>
          <w:numId w:val="34"/>
        </w:numPr>
        <w:spacing w:before="120" w:after="120" w:line="480" w:lineRule="auto"/>
        <w:ind w:left="567" w:hanging="567"/>
        <w:jc w:val="both"/>
        <w:rPr>
          <w:rFonts w:ascii="Arial" w:hAnsi="Arial" w:cs="Arial"/>
          <w:b/>
          <w:color w:val="auto"/>
          <w:sz w:val="24"/>
        </w:rPr>
      </w:pPr>
      <w:r w:rsidRPr="00964EE7">
        <w:rPr>
          <w:rFonts w:ascii="Arial" w:hAnsi="Arial" w:cs="Arial"/>
          <w:b/>
          <w:color w:val="auto"/>
          <w:sz w:val="24"/>
        </w:rPr>
        <w:t>M</w:t>
      </w:r>
      <w:r w:rsidR="00DA2079" w:rsidRPr="00964EE7">
        <w:rPr>
          <w:rFonts w:ascii="Arial" w:hAnsi="Arial" w:cs="Arial"/>
          <w:b/>
          <w:color w:val="auto"/>
          <w:sz w:val="24"/>
        </w:rPr>
        <w:t>ethods</w:t>
      </w:r>
      <w:r w:rsidR="003333CF" w:rsidRPr="00964EE7">
        <w:rPr>
          <w:rFonts w:ascii="Arial" w:hAnsi="Arial" w:cs="Arial"/>
          <w:b/>
          <w:color w:val="auto"/>
          <w:sz w:val="24"/>
        </w:rPr>
        <w:t xml:space="preserve"> </w:t>
      </w:r>
    </w:p>
    <w:p w14:paraId="588B4D21" w14:textId="76AFA153" w:rsidR="00917497" w:rsidRPr="00964EE7" w:rsidRDefault="00917497" w:rsidP="00917497">
      <w:pPr>
        <w:pStyle w:val="Heading2"/>
        <w:numPr>
          <w:ilvl w:val="1"/>
          <w:numId w:val="34"/>
        </w:numPr>
        <w:spacing w:before="120" w:after="120" w:line="480" w:lineRule="auto"/>
        <w:ind w:left="851" w:hanging="851"/>
        <w:jc w:val="both"/>
        <w:rPr>
          <w:rFonts w:ascii="Arial" w:hAnsi="Arial" w:cs="Arial"/>
          <w:i/>
          <w:color w:val="auto"/>
          <w:sz w:val="24"/>
          <w:szCs w:val="24"/>
        </w:rPr>
      </w:pPr>
      <w:r>
        <w:rPr>
          <w:rFonts w:ascii="Arial" w:hAnsi="Arial" w:cs="Arial"/>
          <w:i/>
          <w:color w:val="auto"/>
          <w:sz w:val="24"/>
          <w:szCs w:val="24"/>
        </w:rPr>
        <w:t>Sample collection and preparation</w:t>
      </w:r>
    </w:p>
    <w:p w14:paraId="272F2075" w14:textId="08B17959" w:rsidR="0089551B" w:rsidRPr="00964EE7" w:rsidRDefault="0089551B" w:rsidP="00614941">
      <w:pPr>
        <w:spacing w:before="120" w:after="120" w:line="480" w:lineRule="auto"/>
        <w:jc w:val="both"/>
        <w:rPr>
          <w:rFonts w:ascii="Arial" w:hAnsi="Arial" w:cs="Arial"/>
        </w:rPr>
      </w:pPr>
      <w:r w:rsidRPr="00964EE7">
        <w:rPr>
          <w:rFonts w:ascii="Arial" w:hAnsi="Arial" w:cs="Arial"/>
        </w:rPr>
        <w:t xml:space="preserve">Approximately 2 kg </w:t>
      </w:r>
      <w:r w:rsidR="0031046B">
        <w:rPr>
          <w:rFonts w:ascii="Arial" w:hAnsi="Arial" w:cs="Arial"/>
        </w:rPr>
        <w:t xml:space="preserve">of </w:t>
      </w:r>
      <w:r w:rsidRPr="00964EE7">
        <w:rPr>
          <w:rFonts w:ascii="Arial" w:hAnsi="Arial" w:cs="Arial"/>
        </w:rPr>
        <w:t>bulk sediment w</w:t>
      </w:r>
      <w:r w:rsidR="003D2F93">
        <w:rPr>
          <w:rFonts w:ascii="Arial" w:hAnsi="Arial" w:cs="Arial"/>
        </w:rPr>
        <w:t>as</w:t>
      </w:r>
      <w:r w:rsidRPr="00964EE7">
        <w:rPr>
          <w:rFonts w:ascii="Arial" w:hAnsi="Arial" w:cs="Arial"/>
        </w:rPr>
        <w:t xml:space="preserve"> </w:t>
      </w:r>
      <w:r w:rsidR="000C0F5C">
        <w:rPr>
          <w:rFonts w:ascii="Arial" w:hAnsi="Arial" w:cs="Arial"/>
        </w:rPr>
        <w:t xml:space="preserve">collected </w:t>
      </w:r>
      <w:r w:rsidRPr="00964EE7">
        <w:rPr>
          <w:rFonts w:ascii="Arial" w:hAnsi="Arial" w:cs="Arial"/>
        </w:rPr>
        <w:t>from each sampling point at</w:t>
      </w:r>
      <w:r w:rsidR="00151E00">
        <w:rPr>
          <w:rFonts w:ascii="Arial" w:hAnsi="Arial" w:cs="Arial"/>
        </w:rPr>
        <w:t xml:space="preserve"> the</w:t>
      </w:r>
      <w:r w:rsidRPr="00964EE7">
        <w:rPr>
          <w:rFonts w:ascii="Arial" w:hAnsi="Arial" w:cs="Arial"/>
        </w:rPr>
        <w:t xml:space="preserve"> Erdut (Croatia), Surduk </w:t>
      </w:r>
      <w:r w:rsidR="004852AE">
        <w:rPr>
          <w:rFonts w:ascii="Arial" w:hAnsi="Arial" w:cs="Arial"/>
        </w:rPr>
        <w:t xml:space="preserve">2 </w:t>
      </w:r>
      <w:r w:rsidRPr="00964EE7">
        <w:rPr>
          <w:rFonts w:ascii="Arial" w:hAnsi="Arial" w:cs="Arial"/>
        </w:rPr>
        <w:t>(Serbia), and Slivata (Bulgaria) loess-palaeosol profiles (Figure 1). The stratigraphic position, lithology, and sample numbers are presented in</w:t>
      </w:r>
      <w:r w:rsidR="00F16551">
        <w:rPr>
          <w:rFonts w:ascii="Arial" w:hAnsi="Arial" w:cs="Arial"/>
        </w:rPr>
        <w:t xml:space="preserve"> Supplementary </w:t>
      </w:r>
      <w:r w:rsidRPr="00964EE7">
        <w:rPr>
          <w:rFonts w:ascii="Arial" w:hAnsi="Arial" w:cs="Arial"/>
        </w:rPr>
        <w:t xml:space="preserve">Table </w:t>
      </w:r>
      <w:r w:rsidR="009F3AB9">
        <w:rPr>
          <w:rFonts w:ascii="Arial" w:hAnsi="Arial" w:cs="Arial"/>
        </w:rPr>
        <w:t>S</w:t>
      </w:r>
      <w:r w:rsidR="003D1DFB">
        <w:rPr>
          <w:rFonts w:ascii="Arial" w:hAnsi="Arial" w:cs="Arial"/>
        </w:rPr>
        <w:t>2</w:t>
      </w:r>
      <w:r w:rsidRPr="00964EE7">
        <w:rPr>
          <w:rFonts w:ascii="Arial" w:hAnsi="Arial" w:cs="Arial"/>
        </w:rPr>
        <w:t xml:space="preserve">. </w:t>
      </w:r>
      <w:r w:rsidR="00164147" w:rsidRPr="00964EE7">
        <w:rPr>
          <w:rFonts w:ascii="Arial" w:hAnsi="Arial" w:cs="Arial"/>
        </w:rPr>
        <w:t xml:space="preserve">The loess-palaeosol unit nomenclature is based on previous chronological studies at each site; Erdut </w:t>
      </w:r>
      <w:r w:rsidR="004F5F90">
        <w:rPr>
          <w:rFonts w:ascii="Arial" w:hAnsi="Arial" w:cs="Arial"/>
        </w:rPr>
        <w:fldChar w:fldCharType="begin" w:fldLock="1"/>
      </w:r>
      <w:r w:rsidR="00743B26">
        <w:rPr>
          <w:rFonts w:ascii="Arial" w:hAnsi="Arial" w:cs="Arial"/>
        </w:rPr>
        <w:instrText>ADDIN CSL_CITATION {"citationItems":[{"id":"ITEM-1","itemData":{"DOI":"10.1002/jqs.3201","ISSN":"0267-8179","abstract":"While there are numerous thick loess–palaeosol sequences preserved across the Carpathian Basin, well dated sites that provide terrestrial palaeoenvironmental records extending beyond last glacial–interglacial cycle are scarce. Robust chronologies are essential for correlations of loess with other long-term Quaternary records and to further understanding of the palaeoenvironment and climate of this important region beyond the last 125 ka. Here a new geochronology based on 13 post-infrared infrared stimulated luminescence ages focused on the lower part of the loess–palaeosol sequence at Erdut is presented. The results show that the lower part of the Erdut profile spans the penultimate glacial cycle (MIS 7 to MIS 5). The considerable sediments overlaying the investigated part of the profile suggest that this section spans two glacial cycles, rather than the previously suggested one. The most likely source of the discrepancy is the use of uncorrected infrared stimulated luminescence signal, which can cause age underestimation if not accounted for. This study demonstrates the need to revisit sites such as Erdut, re-date them using updated measurement protocols, and update existing palaeoenvironmental interpretations.","author":[{"dropping-particle":"","family":"Fenn","given":"Kaja","non-dropping-particle":"","parse-names":false,"suffix":""},{"dropping-particle":"","family":"Durcan","given":"Julie A.","non-dropping-particle":"","parse-names":false,"suffix":""},{"dropping-particle":"","family":"Thomas","given":"David S. G.","non-dropping-particle":"","parse-names":false,"suffix":""},{"dropping-particle":"","family":"Banak","given":"Adriano","non-dropping-particle":"","parse-names":false,"suffix":""}],"container-title":"Journal of Quaternary Science","id":"ITEM-1","issue":"4","issued":{"date-parts":[["2020","5","24"]]},"page":"582-593","publisher":"John Wiley &amp; Sons, Ltd","title":"A 180 ka record of environmental change at Erdut (Croatia): a new chronology for the loess–palaeosol sequence and its implications for environmental interpretation","type":"article-journal","volume":"35"},"uris":["http://www.mendeley.com/documents/?uuid=a1418924-0738-41ff-b5fc-bd842489bf43"]}],"mendeley":{"formattedCitation":"(Fenn et al., 2020a)","plainTextFormattedCitation":"(Fenn et al., 2020a)","previouslyFormattedCitation":"(Fenn et al., 2020a)"},"properties":{"noteIndex":0},"schema":"https://github.com/citation-style-language/schema/raw/master/csl-citation.json"}</w:instrText>
      </w:r>
      <w:r w:rsidR="004F5F90">
        <w:rPr>
          <w:rFonts w:ascii="Arial" w:hAnsi="Arial" w:cs="Arial"/>
        </w:rPr>
        <w:fldChar w:fldCharType="separate"/>
      </w:r>
      <w:r w:rsidR="004F5F90" w:rsidRPr="004F5F90">
        <w:rPr>
          <w:rFonts w:ascii="Arial" w:hAnsi="Arial" w:cs="Arial"/>
          <w:noProof/>
        </w:rPr>
        <w:t>(Fenn et al., 2020a)</w:t>
      </w:r>
      <w:r w:rsidR="004F5F90">
        <w:rPr>
          <w:rFonts w:ascii="Arial" w:hAnsi="Arial" w:cs="Arial"/>
        </w:rPr>
        <w:fldChar w:fldCharType="end"/>
      </w:r>
      <w:r w:rsidR="00164147" w:rsidRPr="00964EE7">
        <w:rPr>
          <w:rFonts w:ascii="Arial" w:hAnsi="Arial" w:cs="Arial"/>
        </w:rPr>
        <w:t xml:space="preserve">, Surduk </w:t>
      </w:r>
      <w:r w:rsidR="008A2B85">
        <w:rPr>
          <w:rFonts w:ascii="Arial" w:hAnsi="Arial" w:cs="Arial"/>
        </w:rPr>
        <w:t xml:space="preserve">2 </w:t>
      </w:r>
      <w:r w:rsidR="004F5F90">
        <w:rPr>
          <w:rFonts w:ascii="Arial" w:hAnsi="Arial" w:cs="Arial"/>
        </w:rPr>
        <w:fldChar w:fldCharType="begin" w:fldLock="1"/>
      </w:r>
      <w:r w:rsidR="00743B26">
        <w:rPr>
          <w:rFonts w:ascii="Arial" w:hAnsi="Arial" w:cs="Arial"/>
        </w:rPr>
        <w:instrText>ADDIN CSL_CITATION {"citationItems":[{"id":"ITEM-1","itemData":{"DOI":"10.1111/bor.12445","ISSN":"0300-9483","abstract":"Despite numerous palaeoenvironmental investigations of loess–palaeosol sequences across the Carpathian Basin, well-dated high-resolution records are scarce. This paper presents a new high-resolution chronology for the loess-palaeosol sequence at Surduk (Serbia), based on optically stimulated luminescence (quartz) and post-infrared infrared stimulated luminescence (polymineral) dating. The presented record spans 53–19 ka, with primary loess deposition occurring after 52±2 ka, and differs from previously published chronologies that relied on less precise and now superseded dating protocols. Based on the new chronology, mass accumulation rates (MARs) for Surduk were constructed and compared with sites in the Carpathian Basin. The results demonstrate that accumulation periods across this area are not consistent in timing or rates. The high-resolution dating strategy identifies a disturbance in sediment deposition that occurred after 45±2 ka and implies that site contains a hiatus. Finally, we show samples that failed routine dose recovery and preheat plateau tests, and had low fast ratios. Supported by bulk sample geochemical analysis it is proposed that a potential abrupt source shift, during the Last Glacial Maximum, may be the cause of the anomalous luminescence behaviour.","author":[{"dropping-particle":"","family":"Fenn","given":"Kaja","non-dropping-particle":"","parse-names":false,"suffix":""},{"dropping-particle":"","family":"Durcan","given":"Julie A.","non-dropping-particle":"","parse-names":false,"suffix":""},{"dropping-particle":"","family":"Thomas","given":"David S. G.","non-dropping-particle":"","parse-names":false,"suffix":""},{"dropping-particle":"","family":"Millar","given":"Ian L.","non-dropping-particle":"","parse-names":false,"suffix":""},{"dropping-particle":"","family":"Marković","given":"Slobodan B.","non-dropping-particle":"","parse-names":false,"suffix":""}],"container-title":"Boreas","id":"ITEM-1","issue":"3","issued":{"date-parts":[["2020","7","25"]]},"page":"634-652","title":"Re</w:instrText>
      </w:r>
      <w:r w:rsidR="00743B26">
        <w:rPr>
          <w:rFonts w:ascii="Cambria Math" w:hAnsi="Cambria Math" w:cs="Cambria Math"/>
        </w:rPr>
        <w:instrText>‐</w:instrText>
      </w:r>
      <w:r w:rsidR="00743B26">
        <w:rPr>
          <w:rFonts w:ascii="Arial" w:hAnsi="Arial" w:cs="Arial"/>
        </w:rPr>
        <w:instrText>analysis of late Quaternary dust mass accumulation rates in Serbia using new luminescence chronology for loess–palaeosol sequence at Surduk","type":"article-journal","volume":"49"},"uris":["http://www.mendeley.com/documents/?uuid=a1aa2334-b8bd-48a5-98a0-44c1a7e15589"]}],"mendeley":{"formattedCitation":"(Fenn et al., 2020b)","plainTextFormattedCitation":"(Fenn et al., 2020b)","previouslyFormattedCitation":"(Fenn et al., 2020b)"},"properties":{"noteIndex":0},"schema":"https://github.com/citation-style-language/schema/raw/master/csl-citation.json"}</w:instrText>
      </w:r>
      <w:r w:rsidR="004F5F90">
        <w:rPr>
          <w:rFonts w:ascii="Arial" w:hAnsi="Arial" w:cs="Arial"/>
        </w:rPr>
        <w:fldChar w:fldCharType="separate"/>
      </w:r>
      <w:r w:rsidR="004F5F90" w:rsidRPr="004F5F90">
        <w:rPr>
          <w:rFonts w:ascii="Arial" w:hAnsi="Arial" w:cs="Arial"/>
          <w:noProof/>
        </w:rPr>
        <w:t>(Fenn et al., 2020b)</w:t>
      </w:r>
      <w:r w:rsidR="004F5F90">
        <w:rPr>
          <w:rFonts w:ascii="Arial" w:hAnsi="Arial" w:cs="Arial"/>
        </w:rPr>
        <w:fldChar w:fldCharType="end"/>
      </w:r>
      <w:r w:rsidR="004F5F90">
        <w:rPr>
          <w:rFonts w:ascii="Arial" w:hAnsi="Arial" w:cs="Arial"/>
        </w:rPr>
        <w:t xml:space="preserve">, </w:t>
      </w:r>
      <w:r w:rsidR="00164147" w:rsidRPr="00964EE7">
        <w:rPr>
          <w:rFonts w:ascii="Arial" w:hAnsi="Arial" w:cs="Arial"/>
        </w:rPr>
        <w:t>and Slivata</w:t>
      </w:r>
      <w:r w:rsidR="002A1814">
        <w:rPr>
          <w:rFonts w:ascii="Arial" w:hAnsi="Arial" w:cs="Arial"/>
        </w:rPr>
        <w:t xml:space="preserve"> </w:t>
      </w:r>
      <w:r w:rsidR="001A29B8">
        <w:rPr>
          <w:rFonts w:ascii="Arial" w:hAnsi="Arial" w:cs="Arial"/>
        </w:rPr>
        <w:fldChar w:fldCharType="begin" w:fldLock="1"/>
      </w:r>
      <w:r w:rsidR="009606C3">
        <w:rPr>
          <w:rFonts w:ascii="Arial" w:hAnsi="Arial" w:cs="Arial"/>
        </w:rPr>
        <w:instrText>ADDIN CSL_CITATION {"citationItems":[{"id":"ITEM-1","itemData":{"DOI":"10.1016/j.quascirev.2021.107264","ISSN":"0277-3791","author":[{"dropping-particle":"","family":"Fenn","given":"Kaja","non-dropping-particle":"","parse-names":false,"suffix":""},{"dropping-particle":"","family":"Thomas","given":"David S. G.","non-dropping-particle":"","parse-names":false,"suffix":""},{"dropping-particle":"","family":"Durcan","given":"Julie A.","non-dropping-particle":"","parse-names":false,"suffix":""},{"dropping-particle":"","family":"Millar","given":"Ian L.","non-dropping-particle":"","parse-names":false,"suffix":""},{"dropping-particle":"","family":"Veres","given":"Daniel","non-dropping-particle":"","parse-names":false,"suffix":""},{"dropping-particle":"","family":"Piermattei","given":"Alma","non-dropping-particle":"","parse-names":false,"suffix":""},{"dropping-particle":"","family":"Lane","given":"Christine S.","non-dropping-particle":"","parse-names":false,"suffix":""}],"container-title":"Quaternary Science Reviews","id":"ITEM-1","issued":{"date-parts":[["2021"]]},"page":"107264","publisher":"Elsevier Ltd","title":"A tale of two signals: Global and local in fl uences on the Late Pleistocene loess sequences in Bulgarian Lower Danube","type":"article-journal","volume":"274"},"uris":["http://www.mendeley.com/documents/?uuid=2a183334-5ea1-496d-b686-c72915002d48"]}],"mendeley":{"formattedCitation":"(Fenn et al., 2021)","plainTextFormattedCitation":"(Fenn et al., 2021)","previouslyFormattedCitation":"(Fenn et al., 2021)"},"properties":{"noteIndex":0},"schema":"https://github.com/citation-style-language/schema/raw/master/csl-citation.json"}</w:instrText>
      </w:r>
      <w:r w:rsidR="001A29B8">
        <w:rPr>
          <w:rFonts w:ascii="Arial" w:hAnsi="Arial" w:cs="Arial"/>
        </w:rPr>
        <w:fldChar w:fldCharType="separate"/>
      </w:r>
      <w:r w:rsidR="001A29B8" w:rsidRPr="001A29B8">
        <w:rPr>
          <w:rFonts w:ascii="Arial" w:hAnsi="Arial" w:cs="Arial"/>
          <w:noProof/>
        </w:rPr>
        <w:t>(Fenn et al., 2021)</w:t>
      </w:r>
      <w:r w:rsidR="001A29B8">
        <w:rPr>
          <w:rFonts w:ascii="Arial" w:hAnsi="Arial" w:cs="Arial"/>
        </w:rPr>
        <w:fldChar w:fldCharType="end"/>
      </w:r>
      <w:r w:rsidR="00164147" w:rsidRPr="00964EE7">
        <w:rPr>
          <w:rFonts w:ascii="Arial" w:hAnsi="Arial" w:cs="Arial"/>
        </w:rPr>
        <w:t xml:space="preserve">. </w:t>
      </w:r>
      <w:r w:rsidR="00536411" w:rsidRPr="00964EE7">
        <w:rPr>
          <w:rFonts w:ascii="Arial" w:hAnsi="Arial" w:cs="Arial"/>
        </w:rPr>
        <w:t xml:space="preserve">The samples span two glacial-interglacial cycles, from the Holocene </w:t>
      </w:r>
      <w:r w:rsidR="00917497">
        <w:rPr>
          <w:rFonts w:ascii="Arial" w:hAnsi="Arial" w:cs="Arial"/>
        </w:rPr>
        <w:t xml:space="preserve">soil </w:t>
      </w:r>
      <w:r w:rsidR="00536411" w:rsidRPr="00964EE7">
        <w:rPr>
          <w:rFonts w:ascii="Arial" w:hAnsi="Arial" w:cs="Arial"/>
        </w:rPr>
        <w:t>(S0) to the MIS 7 inter</w:t>
      </w:r>
      <w:r w:rsidR="00C13049">
        <w:rPr>
          <w:rFonts w:ascii="Arial" w:hAnsi="Arial" w:cs="Arial"/>
        </w:rPr>
        <w:t>glacial</w:t>
      </w:r>
      <w:r w:rsidR="00BA205E" w:rsidRPr="00964EE7">
        <w:rPr>
          <w:rFonts w:ascii="Arial" w:hAnsi="Arial" w:cs="Arial"/>
        </w:rPr>
        <w:t xml:space="preserve"> </w:t>
      </w:r>
      <w:r w:rsidR="00917497">
        <w:rPr>
          <w:rFonts w:ascii="Arial" w:hAnsi="Arial" w:cs="Arial"/>
        </w:rPr>
        <w:t xml:space="preserve">palaeosol </w:t>
      </w:r>
      <w:r w:rsidR="00BA205E" w:rsidRPr="00964EE7">
        <w:rPr>
          <w:rFonts w:ascii="Arial" w:hAnsi="Arial" w:cs="Arial"/>
        </w:rPr>
        <w:t xml:space="preserve">(S2). </w:t>
      </w:r>
      <w:r w:rsidR="000C0F5C" w:rsidRPr="000C0F5C">
        <w:rPr>
          <w:rFonts w:ascii="Arial" w:hAnsi="Arial" w:cs="Arial"/>
        </w:rPr>
        <w:t>Additionally, modern river sediment from the exposed sandy-silty alluvium</w:t>
      </w:r>
      <w:r w:rsidR="000C0F5C">
        <w:rPr>
          <w:rFonts w:ascii="Arial" w:hAnsi="Arial" w:cs="Arial"/>
        </w:rPr>
        <w:t xml:space="preserve"> </w:t>
      </w:r>
      <w:r w:rsidR="000C0F5C" w:rsidRPr="000C0F5C">
        <w:rPr>
          <w:rFonts w:ascii="Arial" w:hAnsi="Arial" w:cs="Arial"/>
        </w:rPr>
        <w:t>was sampled</w:t>
      </w:r>
      <w:r w:rsidR="000C0F5C">
        <w:rPr>
          <w:rFonts w:ascii="Arial" w:hAnsi="Arial" w:cs="Arial"/>
        </w:rPr>
        <w:t xml:space="preserve"> from the Drava</w:t>
      </w:r>
      <w:r w:rsidR="00636665">
        <w:rPr>
          <w:rFonts w:ascii="Arial" w:hAnsi="Arial" w:cs="Arial"/>
        </w:rPr>
        <w:t xml:space="preserve"> </w:t>
      </w:r>
      <w:r w:rsidR="000C0F5C">
        <w:rPr>
          <w:rFonts w:ascii="Arial" w:hAnsi="Arial" w:cs="Arial"/>
        </w:rPr>
        <w:t>and Tisza Rivers</w:t>
      </w:r>
      <w:r w:rsidR="00636665">
        <w:rPr>
          <w:rFonts w:ascii="Arial" w:hAnsi="Arial" w:cs="Arial"/>
        </w:rPr>
        <w:t xml:space="preserve"> (Figure 1</w:t>
      </w:r>
      <w:r w:rsidR="00A25283">
        <w:rPr>
          <w:rFonts w:ascii="Arial" w:hAnsi="Arial" w:cs="Arial"/>
        </w:rPr>
        <w:t>,</w:t>
      </w:r>
      <w:r w:rsidR="00636665">
        <w:rPr>
          <w:rFonts w:ascii="Arial" w:hAnsi="Arial" w:cs="Arial"/>
        </w:rPr>
        <w:t xml:space="preserve"> points 4 and 5 respectively)</w:t>
      </w:r>
      <w:r w:rsidR="000C0F5C" w:rsidRPr="000C0F5C">
        <w:rPr>
          <w:rFonts w:ascii="Arial" w:hAnsi="Arial" w:cs="Arial"/>
        </w:rPr>
        <w:t>.</w:t>
      </w:r>
    </w:p>
    <w:p w14:paraId="1F673CC1" w14:textId="750AD44D" w:rsidR="0052562A" w:rsidRDefault="003876B1" w:rsidP="00614941">
      <w:pPr>
        <w:spacing w:before="120" w:after="120" w:line="480" w:lineRule="auto"/>
        <w:jc w:val="both"/>
        <w:rPr>
          <w:rFonts w:ascii="Arial" w:hAnsi="Arial" w:cs="Arial"/>
        </w:rPr>
      </w:pPr>
      <w:bookmarkStart w:id="29" w:name="_Hlk82679499"/>
      <w:bookmarkStart w:id="30" w:name="_Hlk80886633"/>
      <w:r w:rsidRPr="003876B1">
        <w:rPr>
          <w:rFonts w:ascii="Arial" w:hAnsi="Arial" w:cs="Arial"/>
        </w:rPr>
        <w:lastRenderedPageBreak/>
        <w:t>Loess is typically poorly sorted with a wide range of particle sizes, a larger proportion of clay in palaeosols and coarser silt and sands in loess units</w:t>
      </w:r>
      <w:r>
        <w:rPr>
          <w:rFonts w:ascii="Arial" w:hAnsi="Arial" w:cs="Arial"/>
        </w:rPr>
        <w:t xml:space="preserve"> </w:t>
      </w:r>
      <w:r>
        <w:rPr>
          <w:rFonts w:ascii="Arial" w:hAnsi="Arial" w:cs="Arial"/>
        </w:rPr>
        <w:fldChar w:fldCharType="begin" w:fldLock="1"/>
      </w:r>
      <w:r>
        <w:rPr>
          <w:rFonts w:ascii="Arial" w:hAnsi="Arial" w:cs="Arial"/>
        </w:rPr>
        <w:instrText>ADDIN CSL_CITATION {"citationItems":[{"id":"ITEM-1","itemData":{"DOI":"10.1016/0277-3791(95)00047-X","ISBN":"0277-3791","ISSN":"02773791","PMID":"192","abstract":"Loess can be defined simply as a terrestrial clastic sediment, composed predominantly of silt-size particles, which is formed essentially by the accumulation of wind-blown dust. There are three fundamental requirements for its formation: (1) a sustained source of dust, (2) adequate wind energy to transport the dust, and (3) a suitable accumulation site. Most loess has been modified to some degree by local reworking, bioturbation and syn-depositional weathering, but a process of 'loessification' is not necessary for a dust deposit to qualify as loess. The terms 'primary loess' and 'secondary loess' have previously been used to described wind-deposited loess and redeposited loess, respectively, but it is more accurate to describe material reworked and redeposited by non-aeolian processes as 'loess-derived colluvium' or 'loess-derived alluvium'. During the Quaternary, loess formed in three main situations: (1) mid-continental shield areas beyond the limits of ice sheets (periglacial loess), (2) on the margins of high mountain ranges (perimontane loess), and (3) on the semi-arid margins of some lowland deserts (peridesert loess). Peridesert loess is relatively poorly developed partly due to the limited efficiency of silt-generating mechanisms in low-land deserts compared with glaciation, but also important is the tendency in arid areas for dust to be dispersed over a wide area and to be rapidly reworked after deposition, particularly in areas which experience frequent climatic changes. The remarkably thick loess of China and Central Asia results from an unusual combination of conditions which has persisted for much of the last 2-3 million years, namely rapid uplift of the Tibetan Plateau and surrounding mountain ranges, high rates of sediment production and supply to adjacent basins, a strong northwesterly and westerly wind regime, and the existence of effective dust traps downwind of the source regions. ?? 1996.","author":[{"dropping-particle":"","family":"Pye","given":"Kenneth","non-dropping-particle":"","parse-names":false,"suffix":""}],"container-title":"Quaternary Science Reviews","id":"ITEM-1","issue":"7-8","issued":{"date-parts":[["1995"]]},"page":"653-667","title":"The nature, origin and accumulation of loess","type":"article-journal","volume":"14"},"uris":["http://www.mendeley.com/documents/?uuid=f0a950cf-5660-437a-a93c-5dbf3a9ae37d"]}],"mendeley":{"formattedCitation":"(Pye, 1995)","plainTextFormattedCitation":"(Pye, 1995)","previouslyFormattedCitation":"(Pye, 1995)"},"properties":{"noteIndex":0},"schema":"https://github.com/citation-style-language/schema/raw/master/csl-citation.json"}</w:instrText>
      </w:r>
      <w:r>
        <w:rPr>
          <w:rFonts w:ascii="Arial" w:hAnsi="Arial" w:cs="Arial"/>
        </w:rPr>
        <w:fldChar w:fldCharType="separate"/>
      </w:r>
      <w:r w:rsidRPr="003876B1">
        <w:rPr>
          <w:rFonts w:ascii="Arial" w:hAnsi="Arial" w:cs="Arial"/>
          <w:noProof/>
        </w:rPr>
        <w:t>(Pye, 1995)</w:t>
      </w:r>
      <w:r>
        <w:rPr>
          <w:rFonts w:ascii="Arial" w:hAnsi="Arial" w:cs="Arial"/>
        </w:rPr>
        <w:fldChar w:fldCharType="end"/>
      </w:r>
      <w:r w:rsidRPr="003876B1">
        <w:rPr>
          <w:rFonts w:ascii="Arial" w:hAnsi="Arial" w:cs="Arial"/>
        </w:rPr>
        <w:t>. The mean, median, and mode are all used to describe loess average grain size, which may lead to difficulties in grain size comparison. Nonetheless, typical loess in the Pannonian Basin has a mode in the range of 25 - 40 µm</w:t>
      </w:r>
      <w:r>
        <w:rPr>
          <w:rFonts w:ascii="Arial" w:hAnsi="Arial" w:cs="Arial"/>
        </w:rPr>
        <w:t xml:space="preserve"> </w:t>
      </w:r>
      <w:r>
        <w:rPr>
          <w:rFonts w:ascii="Arial" w:hAnsi="Arial" w:cs="Arial"/>
        </w:rPr>
        <w:fldChar w:fldCharType="begin" w:fldLock="1"/>
      </w:r>
      <w:r>
        <w:rPr>
          <w:rFonts w:ascii="Arial" w:hAnsi="Arial" w:cs="Arial"/>
        </w:rPr>
        <w:instrText>ADDIN CSL_CITATION {"citationItems":[{"id":"ITEM-1","itemData":{"DOI":"10.1002/jqs.3201","ISSN":"0267-8179","abstract":"While there are numerous thick loess–palaeosol sequences preserved across the Carpathian Basin, well dated sites that provide terrestrial palaeoenvironmental records extending beyond last glacial–interglacial cycle are scarce. Robust chronologies are essential for correlations of loess with other long-term Quaternary records and to further understanding of the palaeoenvironment and climate of this important region beyond the last 125 ka. Here a new geochronology based on 13 post-infrared infrared stimulated luminescence ages focused on the lower part of the loess–palaeosol sequence at Erdut is presented. The results show that the lower part of the Erdut profile spans the penultimate glacial cycle (MIS 7 to MIS 5). The considerable sediments overlaying the investigated part of the profile suggest that this section spans two glacial cycles, rather than the previously suggested one. The most likely source of the discrepancy is the use of uncorrected infrared stimulated luminescence signal, which can cause age underestimation if not accounted for. This study demonstrates the need to revisit sites such as Erdut, re-date them using updated measurement protocols, and update existing palaeoenvironmental interpretations.","author":[{"dropping-particle":"","family":"Fenn","given":"Kaja","non-dropping-particle":"","parse-names":false,"suffix":""},{"dropping-particle":"","family":"Durcan","given":"Julie A.","non-dropping-particle":"","parse-names":false,"suffix":""},{"dropping-particle":"","family":"Thomas","given":"David S. G.","non-dropping-particle":"","parse-names":false,"suffix":""},{"dropping-particle":"","family":"Banak","given":"Adriano","non-dropping-particle":"","parse-names":false,"suffix":""}],"container-title":"Journal of Quaternary Science","id":"ITEM-1","issue":"4","issued":{"date-parts":[["2020","5","24"]]},"page":"582-593","publisher":"John Wiley &amp; Sons, Ltd","title":"A 180 ka record of environmental change at Erdut (Croatia): a new chronology for the loess–palaeosol sequence and its implications for environmental interpretation","type":"article-journal","volume":"35"},"uris":["http://www.mendeley.com/documents/?uuid=a1418924-0738-41ff-b5fc-bd842489bf43"]},{"id":"ITEM-2","itemData":{"DOI":"10.1016/j.quaint.2013.10.036","ISSN":"10406182","abstract":"The study of temporal variations in soil intensity has mostly been limited to specific sites. However, it is important for correctly interpreting the stratigraphy and palaeoclimatic significance of loess and palaeosols series to understand the reasons for the spatial variability. More specifically, pedogenetic and sedimentological properties should be evaluated separately. This is particularly well illustrated at the Ruma site (Serbia). In this paper we focus on macroscopic soil characteristics and sediment grain-size properties. The type-succession shows three interglacial pedocomplexes (V-S1,V-S2 and V-S3) separated by loess layers that include at least one interstadial pedocomplex in the uppermost loess layer. All sediments show a bipartite grain-size distribution (a coarser-grained silt-dominated one and a fine-grained one (&lt;16μm)). The interglacial palaeosols show a slightly finer-grained mean grain size than the interstadial soils and loess layers, which is entirely determined by the higher proportion of the fine subpopulation. Laterally, the palaeosols vary from a black organic, chernozem-like soil to a brown-coloured inorganic soil. There are no significant differences in grain size between the two soil types. In the vertical succession, the jumps in grain-size do not correspond always with the soil colour. Furthermore, there is no clay illuviation. It may be concluded from this multi-proxy study that the locally higher amount of the fine-grained component seems corresponding with a more humid depositional environment. Another important conclusion is that all loess shows identical grain-size composition and thus that interglacial loess with distinct finer grain-size as is the case in Asian loess (also in the coarser subpopulation) is clearly absent. © 2013 Elsevier Ltd and INQUA.","author":[{"dropping-particle":"","family":"Vandenberghe","given":"Jef","non-dropping-particle":"","parse-names":false,"suffix":""},{"dropping-particle":"","family":"Marković","given":"Slobodan B.","non-dropping-particle":"","parse-names":false,"suffix":""},{"dropping-particle":"","family":"Jovanović","given":"Mladjen","non-dropping-particle":"","parse-names":false,"suffix":""},{"dropping-particle":"","family":"Hambach","given":"Ulrich","non-dropping-particle":"","parse-names":false,"suffix":""}],"container-title":"Quaternary International","id":"ITEM-2","issued":{"date-parts":[["2014"]]},"page":"86-93","title":"Site-specific variability of loess and palaeosols (Ruma, Vojvodina, northern Serbia)","type":"article-journal","volume":"334-335"},"uris":["http://www.mendeley.com/documents/?uuid=5b8a3847-f2b8-4c4c-9ad0-d64d34a89413"]},{"id":"ITEM-3","itemData":{"DOI":"10.1016/j.quaint.2017.09.021","ISSN":"10406182","abstract":"Grain size proxies of aeolian dust deposits have widely been applied in environmental and sedimentary studies. However, large body of research papers are not taking into consideration that a complex grain size distribution curve cannot be an indicator of a single one environmental factor (e.g. wind speed/strength, transportation distance, aridity).The aim of the present paper is to discuss the main differences of frequently used statistical methods and to provide possible interpretations of the results by applying these various approaches on the high-resolution loess-paleosol profile of Dunaszekcso, South Hungary (Central Europe). Beside single statistical descriptors (mean, median, mode) of grain size and simple indices of size-fraction ratios (U-ratio, Grain Size Index), some more complex algorithms were also used in our paper. The applied parametric curve-fitting, end-member modelling and hierarchical cluster analysis techniques are using the whole spectrum of the measured grain size distributions and provide a more reliable and more representative results even in case of small scale variations.According to our findings, approaches which provide direct linkage among simple statistical descriptors and single atmospheric or other environmental elements are rather oversimplified as properties aeolian dust deposits are influenced by the integrated effects of several concurrent processes. Differences of more complex decomposition methods arise from the different approach and scope. End-members are determined from the unmixing based on the covariance structure of the whole grain size data-series of the section, while the parametric curve-fitting is based on the one-by-one deconvolution of the grain size distribution curves. End-members of loess-paleosol samples are regarded as representation of the average dust grain size distribution of various temporal sediment clusters of seasonal or other short-term intervals, while (sub)populations by parametric curve-fitting are proposed to illustrate process-related elements of background and dust storm depositional components for each sample. Results of cluster analysis represent similar grouping conditions as end-member modelling with a reduced sedimentary and genetically meaning.","author":[{"dropping-particle":"","family":"Varga","given":"György","non-dropping-particle":"","parse-names":false,"suffix":""},{"dropping-particle":"","family":"Újvári","given":"Gábor","non-dropping-particle":"","parse-names":false,"suffix":""},{"dropping-particle":"","family":"Kovács","given":"János I.","non-dropping-particle":"","parse-names":false,"suffix":""}],"container-title":"Quaternary International","id":"ITEM-3","issued":{"date-parts":[["2019"]]},"page":"60-70","title":"Interpretation of sedimentary (sub)populations extracted from grain size distributions of Central European loess-paleosol series","type":"article-journal","volume":"502"},"uris":["http://www.mendeley.com/documents/?uuid=ca8fa4c2-428e-4b83-99b7-4183661a0532"]},{"id":"ITEM-4","itemData":{"DOI":"10.5937/geopan0610004m","ISSN":"0354-8724","author":[{"dropping-particle":"","family":"Marković","given":"Slobodan B.","non-dropping-particle":"","parse-names":false,"suffix":""},{"dropping-particle":"","family":"Hambach","given":"Ulrich","non-dropping-particle":"","parse-names":false,"suffix":""},{"dropping-particle":"","family":"Gaudenyi","given":"Tivadar","non-dropping-particle":"","parse-names":false,"suffix":""},{"dropping-particle":"","family":"Jovanović","given":"Mladjen","non-dropping-particle":"","parse-names":false,"suffix":""},{"dropping-particle":"","family":"Zöller","given":"Ludwig","non-dropping-particle":"","parse-names":false,"suffix":""},{"dropping-particle":"","family":"Machalett","given":"Björn","non-dropping-particle":"","parse-names":false,"suffix":""},{"dropping-particle":"","family":"Savic","given":"Stevan","non-dropping-particle":"","parse-names":false,"suffix":""},{"dropping-particle":"","family":"Romelic","given":"Jovan","non-dropping-particle":"","parse-names":false,"suffix":""},{"dropping-particle":"","family":"Plavsa","given":"Jovan","non-dropping-particle":"","parse-names":false,"suffix":""},{"dropping-particle":"","family":"Mesaros","given":"Minucer","non-dropping-particle":"","parse-names":false,"suffix":""}],"container-title":"Geographica Pannonica","id":"ITEM-4","issue":"10","issued":{"date-parts":[["2006"]]},"page":"4-8","title":"An introduction to the late Pleistocene loess-paleosol sequence at Susek, Vojvodina, Serbia","type":"article-journal"},"uris":["http://www.mendeley.com/documents/?uuid=c40e3221-8d26-4ee3-bdb6-297e2a1463ec"]}],"mendeley":{"formattedCitation":"(Fenn et al., 2020a; Marković et al., 2006; Vandenberghe et al., 2014; Varga et al., 2019)","plainTextFormattedCitation":"(Fenn et al., 2020a; Marković et al., 2006; Vandenberghe et al., 2014; Varga et al., 2019)","previouslyFormattedCitation":"(Fenn et al., 2020a; Marković et al., 2006; Vandenberghe et al., 2014; Varga et al., 2019)"},"properties":{"noteIndex":0},"schema":"https://github.com/citation-style-language/schema/raw/master/csl-citation.json"}</w:instrText>
      </w:r>
      <w:r>
        <w:rPr>
          <w:rFonts w:ascii="Arial" w:hAnsi="Arial" w:cs="Arial"/>
        </w:rPr>
        <w:fldChar w:fldCharType="separate"/>
      </w:r>
      <w:r w:rsidRPr="003876B1">
        <w:rPr>
          <w:rFonts w:ascii="Arial" w:hAnsi="Arial" w:cs="Arial"/>
          <w:noProof/>
        </w:rPr>
        <w:t>(Fenn et al., 2020a; Marković et al., 2006; Vandenberghe et al., 2014; Varga et al., 2019)</w:t>
      </w:r>
      <w:r>
        <w:rPr>
          <w:rFonts w:ascii="Arial" w:hAnsi="Arial" w:cs="Arial"/>
        </w:rPr>
        <w:fldChar w:fldCharType="end"/>
      </w:r>
      <w:r w:rsidRPr="003876B1">
        <w:rPr>
          <w:rFonts w:ascii="Arial" w:hAnsi="Arial" w:cs="Arial"/>
        </w:rPr>
        <w:t>, a mean of 15 - 45 µm</w:t>
      </w:r>
      <w:r>
        <w:rPr>
          <w:rFonts w:ascii="Arial" w:hAnsi="Arial" w:cs="Arial"/>
        </w:rPr>
        <w:t xml:space="preserve"> </w:t>
      </w:r>
      <w:r>
        <w:rPr>
          <w:rFonts w:ascii="Arial" w:hAnsi="Arial" w:cs="Arial"/>
        </w:rPr>
        <w:fldChar w:fldCharType="begin" w:fldLock="1"/>
      </w:r>
      <w:r>
        <w:rPr>
          <w:rFonts w:ascii="Arial" w:hAnsi="Arial" w:cs="Arial"/>
        </w:rPr>
        <w:instrText>ADDIN CSL_CITATION {"citationItems":[{"id":"ITEM-1","itemData":{"DOI":"10.1016/j.earscirev.2016.01.006","ISSN":"00128252","abstract":"Loess deposits are recorders of aeolian activity during past glaciations. Since the size distribution of loess deposits depends on distance to the dust source, and environmental conditions at the source, during transport, and at deposition, loess particle size distributions and derived statistical measures are widely used proxies in Quaternary paleoenvironmental studies. However, the interpretation of these proxies often only considers dust transport processes. To move beyond such overly simplistic proxy interpretations, and toward proxy interpretations that consider the range of environmental processes that determine loess particle size distribution variations we provide a comprehensive review on the physics of dust particle mobilization and deposition. Furthermore, using high-resolution bulk loess and quartz grain size datasets from a last glacial/interglacial sequence, we show that, because grain size distributions are affected by multiple, often stochastic processes, changes in these distributions over time allow multiple interpretations for the driving processes. Consequently, simplistic interpretations of proxy variations in terms of only one factor (e.g. wind speed) are likely to be inaccurate. Nonetheless using loess proxies to understand temporal changes in the dust cycle and environmental parameters requires (i) a careful site selection, to minimize the effects of topography and source distance, and (ii) the joint use of bulk and quartz grain size proxies, together with high resolution mass accumulation rate calculations if possible.","author":[{"dropping-particle":"","family":"Újvári","given":"Gábor","non-dropping-particle":"","parse-names":false,"suffix":""},{"dropping-particle":"","family":"Kok","given":"Jasper F.","non-dropping-particle":"","parse-names":false,"suffix":""},{"dropping-particle":"","family":"Varga","given":"György","non-dropping-particle":"","parse-names":false,"suffix":""},{"dropping-particle":"","family":"Kovács","given":"János I.","non-dropping-particle":"","parse-names":false,"suffix":""}],"container-title":"Earth-Science Reviews","id":"ITEM-1","issued":{"date-parts":[["2016"]]},"page":"247-278","publisher":"Elsevier B.V.","title":"The physics of wind-blown loess: Implications for grain size proxy interpretations in Quaternary paleoclimate studies","type":"article-journal","volume":"154"},"uris":["http://www.mendeley.com/documents/?uuid=b0a292c2-7318-443f-a050-62c4d9908de3"]},{"id":"ITEM-2","itemData":{"DOI":"10.1016/j.quaint.2017.09.021","ISSN":"10406182","abstract":"Grain size proxies of aeolian dust deposits have widely been applied in environmental and sedimentary studies. However, large body of research papers are not taking into consideration that a complex grain size distribution curve cannot be an indicator of a single one environmental factor (e.g. wind speed/strength, transportation distance, aridity).The aim of the present paper is to discuss the main differences of frequently used statistical methods and to provide possible interpretations of the results by applying these various approaches on the high-resolution loess-paleosol profile of Dunaszekcso, South Hungary (Central Europe). Beside single statistical descriptors (mean, median, mode) of grain size and simple indices of size-fraction ratios (U-ratio, Grain Size Index), some more complex algorithms were also used in our paper. The applied parametric curve-fitting, end-member modelling and hierarchical cluster analysis techniques are using the whole spectrum of the measured grain size distributions and provide a more reliable and more representative results even in case of small scale variations.According to our findings, approaches which provide direct linkage among simple statistical descriptors and single atmospheric or other environmental elements are rather oversimplified as properties aeolian dust deposits are influenced by the integrated effects of several concurrent processes. Differences of more complex decomposition methods arise from the different approach and scope. End-members are determined from the unmixing based on the covariance structure of the whole grain size data-series of the section, while the parametric curve-fitting is based on the one-by-one deconvolution of the grain size distribution curves. End-members of loess-paleosol samples are regarded as representation of the average dust grain size distribution of various temporal sediment clusters of seasonal or other short-term intervals, while (sub)populations by parametric curve-fitting are proposed to illustrate process-related elements of background and dust storm depositional components for each sample. Results of cluster analysis represent similar grouping conditions as end-member modelling with a reduced sedimentary and genetically meaning.","author":[{"dropping-particle":"","family":"Varga","given":"György","non-dropping-particle":"","parse-names":false,"suffix":""},{"dropping-particle":"","family":"Újvári","given":"Gábor","non-dropping-particle":"","parse-names":false,"suffix":""},{"dropping-particle":"","family":"Kovács","given":"János I.","non-dropping-particle":"","parse-names":false,"suffix":""}],"container-title":"Quaternary International","id":"ITEM-2","issued":{"date-parts":[["2019"]]},"page":"60-70","title":"Interpretation of sedimentary (sub)populations extracted from grain size distributions of Central European loess-paleosol series","type":"article-journal","volume":"502"},"uris":["http://www.mendeley.com/documents/?uuid=ca8fa4c2-428e-4b83-99b7-4183661a0532"]}],"mendeley":{"formattedCitation":"(Újvári et al., 2016; Varga et al., 2019)","plainTextFormattedCitation":"(Újvári et al., 2016; Varga et al., 2019)","previouslyFormattedCitation":"(Újvári et al., 2016; Varga et al., 2019)"},"properties":{"noteIndex":0},"schema":"https://github.com/citation-style-language/schema/raw/master/csl-citation.json"}</w:instrText>
      </w:r>
      <w:r>
        <w:rPr>
          <w:rFonts w:ascii="Arial" w:hAnsi="Arial" w:cs="Arial"/>
        </w:rPr>
        <w:fldChar w:fldCharType="separate"/>
      </w:r>
      <w:r w:rsidRPr="003876B1">
        <w:rPr>
          <w:rFonts w:ascii="Arial" w:hAnsi="Arial" w:cs="Arial"/>
          <w:noProof/>
        </w:rPr>
        <w:t>(Újvári et al., 2016; Varga et al., 2019)</w:t>
      </w:r>
      <w:r>
        <w:rPr>
          <w:rFonts w:ascii="Arial" w:hAnsi="Arial" w:cs="Arial"/>
        </w:rPr>
        <w:fldChar w:fldCharType="end"/>
      </w:r>
      <w:r w:rsidRPr="003876B1">
        <w:rPr>
          <w:rFonts w:ascii="Arial" w:hAnsi="Arial" w:cs="Arial"/>
        </w:rPr>
        <w:t>, and a median of 15 - 40 µm</w:t>
      </w:r>
      <w:r>
        <w:rPr>
          <w:rFonts w:ascii="Arial" w:hAnsi="Arial" w:cs="Arial"/>
        </w:rPr>
        <w:t xml:space="preserve"> </w:t>
      </w:r>
      <w:r>
        <w:rPr>
          <w:rFonts w:ascii="Arial" w:hAnsi="Arial" w:cs="Arial"/>
        </w:rPr>
        <w:fldChar w:fldCharType="begin" w:fldLock="1"/>
      </w:r>
      <w:r>
        <w:rPr>
          <w:rFonts w:ascii="Arial" w:hAnsi="Arial" w:cs="Arial"/>
        </w:rPr>
        <w:instrText>ADDIN CSL_CITATION {"citationItems":[{"id":"ITEM-1","itemData":{"DOI":"10.1016/j.earscirev.2016.01.006","ISSN":"00128252","abstract":"Loess deposits are recorders of aeolian activity during past glaciations. Since the size distribution of loess deposits depends on distance to the dust source, and environmental conditions at the source, during transport, and at deposition, loess particle size distributions and derived statistical measures are widely used proxies in Quaternary paleoenvironmental studies. However, the interpretation of these proxies often only considers dust transport processes. To move beyond such overly simplistic proxy interpretations, and toward proxy interpretations that consider the range of environmental processes that determine loess particle size distribution variations we provide a comprehensive review on the physics of dust particle mobilization and deposition. Furthermore, using high-resolution bulk loess and quartz grain size datasets from a last glacial/interglacial sequence, we show that, because grain size distributions are affected by multiple, often stochastic processes, changes in these distributions over time allow multiple interpretations for the driving processes. Consequently, simplistic interpretations of proxy variations in terms of only one factor (e.g. wind speed) are likely to be inaccurate. Nonetheless using loess proxies to understand temporal changes in the dust cycle and environmental parameters requires (i) a careful site selection, to minimize the effects of topography and source distance, and (ii) the joint use of bulk and quartz grain size proxies, together with high resolution mass accumulation rate calculations if possible.","author":[{"dropping-particle":"","family":"Újvári","given":"Gábor","non-dropping-particle":"","parse-names":false,"suffix":""},{"dropping-particle":"","family":"Kok","given":"Jasper F.","non-dropping-particle":"","parse-names":false,"suffix":""},{"dropping-particle":"","family":"Varga","given":"György","non-dropping-particle":"","parse-names":false,"suffix":""},{"dropping-particle":"","family":"Kovács","given":"János I.","non-dropping-particle":"","parse-names":false,"suffix":""}],"container-title":"Earth-Science Reviews","id":"ITEM-1","issued":{"date-parts":[["2016"]]},"page":"247-278","publisher":"Elsevier B.V.","title":"The physics of wind-blown loess: Implications for grain size proxy interpretations in Quaternary paleoclimate studies","type":"article-journal","volume":"154"},"uris":["http://www.mendeley.com/documents/?uuid=b0a292c2-7318-443f-a050-62c4d9908de3"]}],"mendeley":{"formattedCitation":"(Újvári et al., 2016)","plainTextFormattedCitation":"(Újvári et al., 2016)","previouslyFormattedCitation":"(Újvári et al., 2016)"},"properties":{"noteIndex":0},"schema":"https://github.com/citation-style-language/schema/raw/master/csl-citation.json"}</w:instrText>
      </w:r>
      <w:r>
        <w:rPr>
          <w:rFonts w:ascii="Arial" w:hAnsi="Arial" w:cs="Arial"/>
        </w:rPr>
        <w:fldChar w:fldCharType="separate"/>
      </w:r>
      <w:r w:rsidRPr="003876B1">
        <w:rPr>
          <w:rFonts w:ascii="Arial" w:hAnsi="Arial" w:cs="Arial"/>
          <w:noProof/>
        </w:rPr>
        <w:t>(Újvári et al., 2016)</w:t>
      </w:r>
      <w:r>
        <w:rPr>
          <w:rFonts w:ascii="Arial" w:hAnsi="Arial" w:cs="Arial"/>
        </w:rPr>
        <w:fldChar w:fldCharType="end"/>
      </w:r>
      <w:r w:rsidRPr="003876B1">
        <w:rPr>
          <w:rFonts w:ascii="Arial" w:hAnsi="Arial" w:cs="Arial"/>
        </w:rPr>
        <w:t>. Grain sizes below 20 µm are typically associated with palaeosols and do not contribute more than 20 % to the particle size distribution</w:t>
      </w:r>
      <w:r>
        <w:rPr>
          <w:rFonts w:ascii="Arial" w:hAnsi="Arial" w:cs="Arial"/>
        </w:rPr>
        <w:t xml:space="preserve"> </w:t>
      </w:r>
      <w:r>
        <w:rPr>
          <w:rFonts w:ascii="Arial" w:hAnsi="Arial" w:cs="Arial"/>
        </w:rPr>
        <w:fldChar w:fldCharType="begin" w:fldLock="1"/>
      </w:r>
      <w:r w:rsidR="00341F0F">
        <w:rPr>
          <w:rFonts w:ascii="Arial" w:hAnsi="Arial" w:cs="Arial"/>
        </w:rPr>
        <w:instrText>ADDIN CSL_CITATION {"citationItems":[{"id":"ITEM-1","itemData":{"DOI":"10.1016/j.quascirev.2019.01.005","ISSN":"02773791","abstract":"While numerous high-resolution studies concerning Last Glacial aeolian sequences are available for Europe, the approach of the penultimate glacial in this geographical area is still poorly developed. In order to bridge this gap, this study focuses on the Bulgarian sequence of Harletz, along the Danube River, where extremely high sedimentation rates allow the depiction of high-resolution signals during MIS 6. At Harletz in NW Bulgaria on the western bank of the Ogosta River (tributary of the Danube) a 20 m thick loess-palaeosols section was cleaned and sampled for a multi-disciplinary study and detailed pedostratigraphic approach. High-resolution continuous bulk sampling (5 cm) was carried out to characterise sedimentary grain size, magnetic properties (including magnetic susceptibility and its frequency dependence), colour reflectance (1 cm), and organic carbon. Geochronological control is based on 16 samples collected for OSL and MET-pIRIR dating. Using a cyclo-stratigraphic approach of the sequence combined with dating constraints provided by both MET-pIRIR dates and the age of a tephra layer occurring at a depth of 12 m within the main loess unit, we can demonstrate that the Harletz section exhibits a 10 m thick Late Saalian (Marine Isotope Stage 6, MIS 6) loess accumulation unique in Europe. The lower part of the main loess unit is 4 m thick and overlies a basal brown soil complex allocated to MIS 7, which includes an exceptionally thick (4 m) and detailed succession of loess and four incipient soil horizons never described in European loess until now. The closest and best-dated high-resolution palaeoenvironmental archive suitable for comparison comes from Lake Ohrid located about 400 km to the SW of Harletz. The Ohrid palynological record shows a progressive step-by-step evolution in climate and in environmental change during the transition between MIS 7 and MIS 6 from which a parallel with the Harletz pedosedimentary succession can be proposed. During the younger part of MIS 6 (160-129ka), steppe vegetation with abundant herbs (Artemisia) is dominant in the Lake Ohrid record, in good accordance with a global enhancement of aeolian dynamics, especially well recorded in sections located close to the Danube River from Serbia to Bulgaria and Romania (L2 loess). According to interpretations stemming from this study, the silts and fine sands building the Harletz loess section would have been transported from the Danube braided river system located (at t…","author":[{"dropping-particle":"","family":"Antoine","given":"Pierre","non-dropping-particle":"","parse-names":false,"suffix":""},{"dropping-particle":"","family":"Lagroix","given":"France","non-dropping-particle":"","parse-names":false,"suffix":""},{"dropping-particle":"","family":"Jordanova","given":"Diana","non-dropping-particle":"","parse-names":false,"suffix":""},{"dropping-particle":"","family":"Jordanova","given":"Neli","non-dropping-particle":"","parse-names":false,"suffix":""},{"dropping-particle":"","family":"Lomax","given":"Johanna","non-dropping-particle":"","parse-names":false,"suffix":""},{"dropping-particle":"","family":"Fuchs","given":"Markus","non-dropping-particle":"","parse-names":false,"suffix":""},{"dropping-particle":"","family":"Debret","given":"Maxime","non-dropping-particle":"","parse-names":false,"suffix":""},{"dropping-particle":"","family":"Rousseau","given":"Denis-Didier","non-dropping-particle":"","parse-names":false,"suffix":""},{"dropping-particle":"","family":"Hatté","given":"Christine","non-dropping-particle":"","parse-names":false,"suffix":""},{"dropping-particle":"","family":"Gauthier","given":"Caroline","non-dropping-particle":"","parse-names":false,"suffix":""},{"dropping-particle":"","family":"Moine","given":"Olivier","non-dropping-particle":"","parse-names":false,"suffix":""},{"dropping-particle":"","family":"Taylor","given":"Samuel N.","non-dropping-particle":"","parse-names":false,"suffix":""},{"dropping-particle":"","family":"Till","given":"Jessica L.","non-dropping-particle":"","parse-names":false,"suffix":""},{"dropping-particle":"","family":"Coutard","given":"Sylvie","non-dropping-particle":"","parse-names":false,"suffix":""}],"container-title":"Quaternary Science Reviews","id":"ITEM-1","issued":{"date-parts":[["2019"]]},"page":"80-100","title":"A remarkable Late Saalian (MIS 6) loess (dust) accumulation in the Lower Danube at Harletz (Bulgaria)","type":"article-journal","volume":"207"},"uris":["http://www.mendeley.com/documents/?uuid=3f322743-58a6-4e69-b5df-065f96878f25"]},{"id":"ITEM-2","itemData":{"DOI":"10.1016/j.quaint.2008.12.008","ISBN":"1040-6182","ISSN":"10406182","abstract":"High-resolution study of the Surduk loess palaeosols sequence in Serbia (Vojvodina) has been performed within a research project (EOLE) focusing on the impact of rapid climatic changes during the last climatic cycle in the European loess belt. The methodology used for this multidisciplinary approach is based on a continuous sampling column that allows a very accurate correlation between all studied proxies (magnetic susceptibility, grain size and organic carbon) and the dated samples (IRSL, 14C). According to the stratigraphical and sedimentological data, the Surduk loess sequence appears as a very complete record of the last climatic cycle (19 m), and exhibits a similar pattern than other contemporaneous loess sequences from Western, Central and Eastern Europe. The main difference is the evidence of a drier environment all over the last climatic cycle (sedimentological and palaeopedological data). The high-resolution grain size record (5 cm) is well correlated with stratigraphical boundaries, and highlights a strong variability within the loess deposition, especially during the Upper Pleniglacial between ca. 33 and 15 ka. During the Upper Pleniglacial, a succession of millennial-timescale events, characterised by the deposition of coarser loess, are particularly well evidenced by grain size data as in some west-European records. Finally, an attempt to correlate the variations of grain size parameters at Surduk with the Greenland GRIP dust record is proposed. According to this study, millennial-timescale climatic events that characterise the North Atlantic area during the last climatic cycle have thus been recorded in the environments located at the southern border of the European loess belt. © 2009 Elsevier Ltd and INQUA.","author":[{"dropping-particle":"","family":"Antoine","given":"Pierre","non-dropping-particle":"","parse-names":false,"suffix":""},{"dropping-particle":"","family":"Rousseau","given":"Denis-Didier","non-dropping-particle":"","parse-names":false,"suffix":""},{"dropping-particle":"","family":"Fuchs","given":"Markus","non-dropping-particle":"","parse-names":false,"suffix":""},{"dropping-particle":"","family":"Hatté","given":"Christine","non-dropping-particle":"","parse-names":false,"suffix":""},{"dropping-particle":"","family":"Gauthier","given":"Caroline","non-dropping-particle":"","parse-names":false,"suffix":""},{"dropping-particle":"","family":"Marković","given":"Slobodan B.","non-dropping-particle":"","parse-names":false,"suffix":""},{"dropping-particle":"","family":"Jovanović","given":"Mladjen","non-dropping-particle":"","parse-names":false,"suffix":""},{"dropping-particle":"","family":"Gaudenyi","given":"Tivadar","non-dropping-particle":"","parse-names":false,"suffix":""},{"dropping-particle":"","family":"Moine","given":"Olivier","non-dropping-particle":"","parse-names":false,"suffix":""},{"dropping-particle":"","family":"Rossignol","given":"Julien","non-dropping-particle":"","parse-names":false,"suffix":""}],"container-title":"Quaternary International","id":"ITEM-2","issue":"1-2","issued":{"date-parts":[["2009"]]},"note":"Good paper\n\nfew potentially useful things to pick up on. Sand only variation and matching it to the dust record in GRIP rather than the climate dO18\n\n","page":"19-36","title":"High-resolution record of the last climatic cycle in the southern Carpathian Basin (Surduk, Vojvodina, Serbia)","type":"article-journal","volume":"198"},"uris":["http://www.mendeley.com/documents/?uuid=83052178-60d3-4ed5-8418-18e917acca48"]},{"id":"ITEM-3","itemData":{"DOI":"10.1002/jqs","author":[{"dropping-particle":"","family":"Marković","given":"Slobodan B.","non-dropping-particle":"","parse-names":false,"suffix":""},{"dropping-particle":"","family":"Bokhorst","given":"Mark P.","non-dropping-particle":"","parse-names":false,"suffix":""},{"dropping-particle":"","family":"Vandenberghe","given":"Jef","non-dropping-particle":"","parse-names":false,"suffix":""},{"dropping-particle":"","family":"McCoy","given":"William D.","non-dropping-particle":"","parse-names":false,"suffix":""},{"dropping-particle":"","family":"Oches","given":"Eric A.","non-dropping-particle":"","parse-names":false,"suffix":""},{"dropping-particle":"","family":"Hambach","given":"Ulrich","non-dropping-particle":"","parse-names":false,"suffix":""},{"dropping-particle":"","family":"Gaudenyi","given":"Tivadar","non-dropping-particle":"","parse-names":false,"suffix":""},{"dropping-particle":"","family":"Jovanović","given":"Mladjen","non-dropping-particle":"","parse-names":false,"suffix":""},{"dropping-particle":"","family":"Zöller","given":"Ludwig","non-dropping-particle":"","parse-names":false,"suffix":""},{"dropping-particle":"","family":"Stevens","given":"Thomas","non-dropping-particle":"","parse-names":false,"suffix":""},{"dropping-particle":"","family":"Machalett","given":"Björn","non-dropping-particle":"","parse-names":false,"suffix":""}],"container-title":"Journal of Quaternary Science","id":"ITEM-3","issue":"1","issued":{"date-parts":[["2008"]]},"page":"73-84","title":"Late Pleistocene loess-palaeosol sequences in the Vojvodina region, north Serbia","type":"article-journal","volume":"23"},"uris":["http://www.mendeley.com/documents/?uuid=2c3a69a9-4967-459a-b4ec-6f3b6049068f"]},{"id":"ITEM-4","itemData":{"DOI":"10.1016/j.quaint.2010.08.002","ISBN":"1040-6182","ISSN":"10406182","abstract":"The loess-paleosol record at S??tto{double acute} provides an excellent high-resolution archive of climate and environmental changes. Loess deposits with a thickness of 20 m cover the travertine at S??tto{double acute}, in the northern part of Hungary, next to the right bank of the Danube River. The loess sequence is intercalated with two greyish stratified horizons, three brownish steppe-like soils and a pedocomplex, including a reddish-brown paleosol covered by a chernozem-like paleosol. Detailed infrared stimulated luminescence (IRSL) dating was carried out, revealing more or less continuous sedimentation from Marine Isotope Stage (MIS) 6-MIS 2. Sedimentological and paleomagnetic investigations have been performed to provide a high-resolution study of the S??tto{double acute} loess-paleosol sequence, in order to reconstruct the paleoclimate and environmental changes during the penultimate and last glacial cycles. Grain size and magnetic susceptibility (MS) records of the S??tto{double acute} profile basically show similar patterns to those of other European loess sections. However, small differences are traced at S??tto{double acute}, including more intensive deposition of coarser grained materials during MIS 6-4. The loess record at S??tto{double acute} has a transitional position within the European loess belt, as its sediment was deposited under an intermediate climate between the loess successions from the southern Carpathian Basin, which accumulated under drier climate, and the loess sequences from Western Europe, which developed under wetter climate during the Middle and Late Pleniglacial. ?? 2010 Elsevier Ltd and INQUA.","author":[{"dropping-particle":"","family":"Novothny","given":"Ágnes","non-dropping-particle":"","parse-names":false,"suffix":""},{"dropping-particle":"","family":"Frechen","given":"Manfred","non-dropping-particle":"","parse-names":false,"suffix":""},{"dropping-particle":"","family":"Horváth","given":"Erzsébet","non-dropping-particle":"","parse-names":false,"suffix":""},{"dropping-particle":"","family":"Wacha","given":"Lara","non-dropping-particle":"","parse-names":false,"suffix":""},{"dropping-particle":"","family":"Rolf","given":"Christian","non-dropping-particle":"","parse-names":false,"suffix":""}],"container-title":"Quaternary International","id":"ITEM-4","issue":"1-2","issued":{"date-parts":[["2011"]]},"page":"75-85","publisher":"Elsevier Ltd and INQUA","title":"Investigating the penultimate and last glacial cycles of the Süttő loess section (Hungary) using luminescence dating, high-resolution grain size, and magnetic susceptibility data","type":"article-journal","volume":"234"},"uris":["http://www.mendeley.com/documents/?uuid=d289bb96-d179-4ccf-b999-36bfa3c67ff5"]}],"mendeley":{"formattedCitation":"(Antoine et al., 2019, 2009; Marković et al., 2008; Novothny et al., 2011)","plainTextFormattedCitation":"(Antoine et al., 2019, 2009; Marković et al., 2008; Novothny et al., 2011)","previouslyFormattedCitation":"(Antoine et al., 2019, 2009; Marković et al., 2008; Novothny et al., 2011)"},"properties":{"noteIndex":0},"schema":"https://github.com/citation-style-language/schema/raw/master/csl-citation.json"}</w:instrText>
      </w:r>
      <w:r>
        <w:rPr>
          <w:rFonts w:ascii="Arial" w:hAnsi="Arial" w:cs="Arial"/>
        </w:rPr>
        <w:fldChar w:fldCharType="separate"/>
      </w:r>
      <w:r w:rsidRPr="003876B1">
        <w:rPr>
          <w:rFonts w:ascii="Arial" w:hAnsi="Arial" w:cs="Arial"/>
          <w:noProof/>
        </w:rPr>
        <w:t>(Antoine et al., 2019, 2009; Marković et al., 2008; Novothny et al., 2011)</w:t>
      </w:r>
      <w:r>
        <w:rPr>
          <w:rFonts w:ascii="Arial" w:hAnsi="Arial" w:cs="Arial"/>
        </w:rPr>
        <w:fldChar w:fldCharType="end"/>
      </w:r>
      <w:r w:rsidRPr="003876B1">
        <w:rPr>
          <w:rFonts w:ascii="Arial" w:hAnsi="Arial" w:cs="Arial"/>
        </w:rPr>
        <w:t xml:space="preserve">. To achieve a balance between targeting the dominant fraction in loess sediment, ability to distinguish and avoid grains with complex internal structures or obvious metamorphic overgrowths, and isotope fractionation during the laser ablation ICP-MS, a 20 μm laser spot was used for U-Pb and </w:t>
      </w:r>
      <w:r w:rsidR="000E054C">
        <w:rPr>
          <w:rFonts w:ascii="Arial" w:hAnsi="Arial" w:cs="Arial"/>
        </w:rPr>
        <w:t xml:space="preserve">a </w:t>
      </w:r>
      <w:r w:rsidRPr="003876B1">
        <w:rPr>
          <w:rFonts w:ascii="Arial" w:hAnsi="Arial" w:cs="Arial"/>
        </w:rPr>
        <w:t>25 μm</w:t>
      </w:r>
      <w:r w:rsidR="000E054C">
        <w:rPr>
          <w:rFonts w:ascii="Arial" w:hAnsi="Arial" w:cs="Arial"/>
        </w:rPr>
        <w:t xml:space="preserve"> spot</w:t>
      </w:r>
      <w:r w:rsidRPr="003876B1">
        <w:rPr>
          <w:rFonts w:ascii="Arial" w:hAnsi="Arial" w:cs="Arial"/>
        </w:rPr>
        <w:t xml:space="preserve"> for the Hf isotopes. Therefore all grains analysed were larger than 20 μm</w:t>
      </w:r>
      <w:r>
        <w:rPr>
          <w:rFonts w:ascii="Arial" w:hAnsi="Arial" w:cs="Arial"/>
        </w:rPr>
        <w:t xml:space="preserve">. </w:t>
      </w:r>
      <w:bookmarkEnd w:id="29"/>
    </w:p>
    <w:p w14:paraId="6FDF8A5C" w14:textId="1F6E8661" w:rsidR="00AF3AB7" w:rsidRDefault="004F5D89" w:rsidP="00614941">
      <w:pPr>
        <w:spacing w:before="120" w:after="120" w:line="480" w:lineRule="auto"/>
        <w:jc w:val="both"/>
        <w:rPr>
          <w:rFonts w:ascii="Arial" w:hAnsi="Arial" w:cs="Arial"/>
        </w:rPr>
      </w:pPr>
      <w:bookmarkStart w:id="31" w:name="_Hlk80886510"/>
      <w:bookmarkStart w:id="32" w:name="_Hlk82679847"/>
      <w:bookmarkEnd w:id="30"/>
      <w:r>
        <w:rPr>
          <w:rFonts w:ascii="Arial" w:hAnsi="Arial" w:cs="Arial"/>
        </w:rPr>
        <w:t>Sample preparation and analysis was carried out at the Geochronology and Tracers Facility of the British Geological Survey. First</w:t>
      </w:r>
      <w:r w:rsidR="00D670B7">
        <w:rPr>
          <w:rFonts w:ascii="Arial" w:hAnsi="Arial" w:cs="Arial"/>
        </w:rPr>
        <w:t>,</w:t>
      </w:r>
      <w:r>
        <w:rPr>
          <w:rFonts w:ascii="Arial" w:hAnsi="Arial" w:cs="Arial"/>
        </w:rPr>
        <w:t xml:space="preserve"> 1 kg of sediment was subject to </w:t>
      </w:r>
      <w:r w:rsidRPr="004F5D89">
        <w:rPr>
          <w:rFonts w:ascii="Arial" w:hAnsi="Arial" w:cs="Arial"/>
        </w:rPr>
        <w:t>Stoke’s</w:t>
      </w:r>
      <w:r>
        <w:rPr>
          <w:rFonts w:ascii="Arial" w:hAnsi="Arial" w:cs="Arial"/>
        </w:rPr>
        <w:t xml:space="preserve"> settling to remove c</w:t>
      </w:r>
      <w:r w:rsidRPr="004F5D89">
        <w:rPr>
          <w:rFonts w:ascii="Arial" w:hAnsi="Arial" w:cs="Arial"/>
        </w:rPr>
        <w:t xml:space="preserve">lay </w:t>
      </w:r>
      <w:r>
        <w:rPr>
          <w:rFonts w:ascii="Arial" w:hAnsi="Arial" w:cs="Arial"/>
        </w:rPr>
        <w:t xml:space="preserve">(&lt;4 </w:t>
      </w:r>
      <w:r w:rsidRPr="00AF3AB7">
        <w:rPr>
          <w:rFonts w:ascii="Arial" w:hAnsi="Arial" w:cs="Arial"/>
        </w:rPr>
        <w:t>μm</w:t>
      </w:r>
      <w:r>
        <w:rPr>
          <w:rFonts w:ascii="Arial" w:hAnsi="Arial" w:cs="Arial"/>
        </w:rPr>
        <w:t>)</w:t>
      </w:r>
      <w:r w:rsidRPr="004F5D89">
        <w:rPr>
          <w:rFonts w:ascii="Arial" w:hAnsi="Arial" w:cs="Arial"/>
        </w:rPr>
        <w:t xml:space="preserve"> from </w:t>
      </w:r>
      <w:r w:rsidR="000E054C">
        <w:rPr>
          <w:rFonts w:ascii="Arial" w:hAnsi="Arial" w:cs="Arial"/>
        </w:rPr>
        <w:t xml:space="preserve">the </w:t>
      </w:r>
      <w:r w:rsidRPr="004F5D89">
        <w:rPr>
          <w:rFonts w:ascii="Arial" w:hAnsi="Arial" w:cs="Arial"/>
        </w:rPr>
        <w:t>bulk sediment</w:t>
      </w:r>
      <w:r>
        <w:rPr>
          <w:rFonts w:ascii="Arial" w:hAnsi="Arial" w:cs="Arial"/>
        </w:rPr>
        <w:t xml:space="preserve">. </w:t>
      </w:r>
      <w:r w:rsidRPr="004F5D89">
        <w:rPr>
          <w:rFonts w:ascii="Arial" w:hAnsi="Arial" w:cs="Arial"/>
        </w:rPr>
        <w:t>The remaining sediment was processed through a super-panner to concentrate heavy minerals</w:t>
      </w:r>
      <w:r>
        <w:rPr>
          <w:rFonts w:ascii="Arial" w:hAnsi="Arial" w:cs="Arial"/>
        </w:rPr>
        <w:t xml:space="preserve"> and dried overnight in a </w:t>
      </w:r>
      <w:r w:rsidR="00D670B7">
        <w:rPr>
          <w:rFonts w:ascii="Arial" w:hAnsi="Arial" w:cs="Arial"/>
        </w:rPr>
        <w:t xml:space="preserve">drying </w:t>
      </w:r>
      <w:r>
        <w:rPr>
          <w:rFonts w:ascii="Arial" w:hAnsi="Arial" w:cs="Arial"/>
        </w:rPr>
        <w:t>cabinet. Next</w:t>
      </w:r>
      <w:r w:rsidR="000E054C">
        <w:rPr>
          <w:rFonts w:ascii="Arial" w:hAnsi="Arial" w:cs="Arial"/>
        </w:rPr>
        <w:t>,</w:t>
      </w:r>
      <w:r>
        <w:rPr>
          <w:rFonts w:ascii="Arial" w:hAnsi="Arial" w:cs="Arial"/>
        </w:rPr>
        <w:t xml:space="preserve"> h</w:t>
      </w:r>
      <w:r w:rsidRPr="004F5D89">
        <w:rPr>
          <w:rFonts w:ascii="Arial" w:hAnsi="Arial" w:cs="Arial"/>
        </w:rPr>
        <w:t xml:space="preserve">eavy minerals were separated </w:t>
      </w:r>
      <w:r>
        <w:rPr>
          <w:rFonts w:ascii="Arial" w:hAnsi="Arial" w:cs="Arial"/>
        </w:rPr>
        <w:t xml:space="preserve">from the concentrate </w:t>
      </w:r>
      <w:r w:rsidRPr="004F5D89">
        <w:rPr>
          <w:rFonts w:ascii="Arial" w:hAnsi="Arial" w:cs="Arial"/>
        </w:rPr>
        <w:t>using heavy liquid (di-iodomethane; 3.3 g</w:t>
      </w:r>
      <w:r>
        <w:rPr>
          <w:rFonts w:ascii="Arial" w:hAnsi="Arial" w:cs="Arial"/>
        </w:rPr>
        <w:t xml:space="preserve"> </w:t>
      </w:r>
      <w:r w:rsidRPr="004F5D89">
        <w:rPr>
          <w:rFonts w:ascii="Arial" w:hAnsi="Arial" w:cs="Arial"/>
        </w:rPr>
        <w:t>cm</w:t>
      </w:r>
      <w:r w:rsidRPr="004F5D89">
        <w:rPr>
          <w:rFonts w:ascii="Arial" w:hAnsi="Arial" w:cs="Arial"/>
          <w:vertAlign w:val="superscript"/>
        </w:rPr>
        <w:t>-3</w:t>
      </w:r>
      <w:r w:rsidRPr="004F5D89">
        <w:rPr>
          <w:rFonts w:ascii="Arial" w:hAnsi="Arial" w:cs="Arial"/>
        </w:rPr>
        <w:t>)</w:t>
      </w:r>
      <w:r w:rsidR="00F92741">
        <w:rPr>
          <w:rFonts w:ascii="Arial" w:hAnsi="Arial" w:cs="Arial"/>
        </w:rPr>
        <w:t xml:space="preserve"> and zircons enriched fractions extracted through m</w:t>
      </w:r>
      <w:r w:rsidR="00F92741" w:rsidRPr="00F92741">
        <w:rPr>
          <w:rFonts w:ascii="Arial" w:hAnsi="Arial" w:cs="Arial"/>
        </w:rPr>
        <w:t>agnetic</w:t>
      </w:r>
      <w:r w:rsidR="00F92741">
        <w:rPr>
          <w:rFonts w:ascii="Arial" w:hAnsi="Arial" w:cs="Arial"/>
        </w:rPr>
        <w:t xml:space="preserve"> </w:t>
      </w:r>
      <w:r w:rsidR="00F92741" w:rsidRPr="00F92741">
        <w:rPr>
          <w:rFonts w:ascii="Arial" w:hAnsi="Arial" w:cs="Arial"/>
        </w:rPr>
        <w:t xml:space="preserve">separation </w:t>
      </w:r>
      <w:r w:rsidR="00F92741">
        <w:rPr>
          <w:rFonts w:ascii="Arial" w:hAnsi="Arial" w:cs="Arial"/>
        </w:rPr>
        <w:t xml:space="preserve">by </w:t>
      </w:r>
      <w:r w:rsidR="00F92741" w:rsidRPr="00F92741">
        <w:rPr>
          <w:rFonts w:ascii="Arial" w:hAnsi="Arial" w:cs="Arial"/>
        </w:rPr>
        <w:t>Frantz Isodynamic Separator</w:t>
      </w:r>
      <w:r w:rsidR="00F92741">
        <w:rPr>
          <w:rFonts w:ascii="Arial" w:hAnsi="Arial" w:cs="Arial"/>
        </w:rPr>
        <w:t xml:space="preserve">. </w:t>
      </w:r>
      <w:r w:rsidR="00F92741" w:rsidRPr="00F92741">
        <w:rPr>
          <w:rFonts w:ascii="Arial" w:hAnsi="Arial" w:cs="Arial"/>
        </w:rPr>
        <w:t>Zircon-enriched separates</w:t>
      </w:r>
      <w:r w:rsidR="00F92741">
        <w:rPr>
          <w:rFonts w:ascii="Arial" w:hAnsi="Arial" w:cs="Arial"/>
        </w:rPr>
        <w:t xml:space="preserve"> were </w:t>
      </w:r>
      <w:r w:rsidR="00BA205E" w:rsidRPr="00964EE7">
        <w:rPr>
          <w:rFonts w:ascii="Arial" w:hAnsi="Arial" w:cs="Arial"/>
        </w:rPr>
        <w:t>mounted on epoxy disks (without picking</w:t>
      </w:r>
      <w:r w:rsidR="00971376">
        <w:rPr>
          <w:rFonts w:ascii="Arial" w:hAnsi="Arial" w:cs="Arial"/>
        </w:rPr>
        <w:t>,</w:t>
      </w:r>
      <w:r w:rsidR="00BA205E" w:rsidRPr="00964EE7">
        <w:rPr>
          <w:rFonts w:ascii="Arial" w:hAnsi="Arial" w:cs="Arial"/>
        </w:rPr>
        <w:t xml:space="preserve"> to avoid </w:t>
      </w:r>
      <w:r w:rsidR="005801F0">
        <w:rPr>
          <w:rFonts w:ascii="Arial" w:hAnsi="Arial" w:cs="Arial"/>
        </w:rPr>
        <w:t xml:space="preserve">size and </w:t>
      </w:r>
      <w:r w:rsidR="00BA205E" w:rsidRPr="00964EE7">
        <w:rPr>
          <w:rFonts w:ascii="Arial" w:hAnsi="Arial" w:cs="Arial"/>
        </w:rPr>
        <w:t>identification bias)</w:t>
      </w:r>
      <w:r w:rsidR="00C13049">
        <w:rPr>
          <w:rFonts w:ascii="Arial" w:hAnsi="Arial" w:cs="Arial"/>
        </w:rPr>
        <w:t>,</w:t>
      </w:r>
      <w:r w:rsidR="00BA205E" w:rsidRPr="00964EE7">
        <w:rPr>
          <w:rFonts w:ascii="Arial" w:hAnsi="Arial" w:cs="Arial"/>
        </w:rPr>
        <w:t xml:space="preserve"> and polished to reveal </w:t>
      </w:r>
      <w:r w:rsidR="00F92741">
        <w:rPr>
          <w:rFonts w:ascii="Arial" w:hAnsi="Arial" w:cs="Arial"/>
        </w:rPr>
        <w:t xml:space="preserve">majority </w:t>
      </w:r>
      <w:r w:rsidR="004F6561">
        <w:rPr>
          <w:rFonts w:ascii="Arial" w:hAnsi="Arial" w:cs="Arial"/>
        </w:rPr>
        <w:t xml:space="preserve">of </w:t>
      </w:r>
      <w:r w:rsidR="00BA205E" w:rsidRPr="00964EE7">
        <w:rPr>
          <w:rFonts w:ascii="Arial" w:hAnsi="Arial" w:cs="Arial"/>
        </w:rPr>
        <w:t>grain centres.</w:t>
      </w:r>
      <w:bookmarkEnd w:id="31"/>
      <w:r w:rsidR="00BA205E" w:rsidRPr="00964EE7">
        <w:rPr>
          <w:rFonts w:ascii="Arial" w:hAnsi="Arial" w:cs="Arial"/>
        </w:rPr>
        <w:t xml:space="preserve"> </w:t>
      </w:r>
      <w:r w:rsidR="00964EE7" w:rsidRPr="00964EE7">
        <w:rPr>
          <w:rFonts w:ascii="Arial" w:hAnsi="Arial" w:cs="Arial"/>
        </w:rPr>
        <w:t xml:space="preserve">All grains were imaged using cathodoluminescence </w:t>
      </w:r>
      <w:r w:rsidR="00C13049">
        <w:rPr>
          <w:rFonts w:ascii="Arial" w:hAnsi="Arial" w:cs="Arial"/>
        </w:rPr>
        <w:t>(</w:t>
      </w:r>
      <w:r w:rsidR="00C13049" w:rsidRPr="00964EE7">
        <w:rPr>
          <w:rFonts w:ascii="Arial" w:hAnsi="Arial" w:cs="Arial"/>
        </w:rPr>
        <w:t>Quanta FEI scanning electron microscope</w:t>
      </w:r>
      <w:r w:rsidR="00C13049">
        <w:rPr>
          <w:rFonts w:ascii="Arial" w:hAnsi="Arial" w:cs="Arial"/>
        </w:rPr>
        <w:t xml:space="preserve">) </w:t>
      </w:r>
      <w:r w:rsidR="00964EE7" w:rsidRPr="00964EE7">
        <w:rPr>
          <w:rFonts w:ascii="Arial" w:hAnsi="Arial" w:cs="Arial"/>
        </w:rPr>
        <w:t>prior to U-Pb and Hf analysis to create a stub map and help identify grains for measurement.</w:t>
      </w:r>
    </w:p>
    <w:bookmarkEnd w:id="32"/>
    <w:p w14:paraId="25F22F0A" w14:textId="37CA1D58" w:rsidR="00917497" w:rsidRPr="00964EE7" w:rsidRDefault="00917497" w:rsidP="00917497">
      <w:pPr>
        <w:pStyle w:val="Heading2"/>
        <w:numPr>
          <w:ilvl w:val="1"/>
          <w:numId w:val="34"/>
        </w:numPr>
        <w:spacing w:before="120" w:after="120" w:line="480" w:lineRule="auto"/>
        <w:ind w:left="851" w:hanging="851"/>
        <w:jc w:val="both"/>
        <w:rPr>
          <w:rFonts w:ascii="Arial" w:hAnsi="Arial" w:cs="Arial"/>
          <w:i/>
          <w:color w:val="auto"/>
          <w:sz w:val="24"/>
          <w:szCs w:val="24"/>
        </w:rPr>
      </w:pPr>
      <w:r>
        <w:rPr>
          <w:rFonts w:ascii="Arial" w:hAnsi="Arial" w:cs="Arial"/>
          <w:i/>
          <w:color w:val="auto"/>
          <w:sz w:val="24"/>
          <w:szCs w:val="24"/>
        </w:rPr>
        <w:t>Detrital zircon U-Pb age analysis</w:t>
      </w:r>
    </w:p>
    <w:p w14:paraId="441024AC" w14:textId="2FB64920" w:rsidR="007A0080" w:rsidRDefault="007A0080" w:rsidP="00614941">
      <w:pPr>
        <w:spacing w:before="120" w:after="120" w:line="480" w:lineRule="auto"/>
        <w:jc w:val="both"/>
        <w:rPr>
          <w:rFonts w:ascii="Arial" w:hAnsi="Arial" w:cs="Arial"/>
        </w:rPr>
      </w:pPr>
      <w:r>
        <w:rPr>
          <w:rFonts w:ascii="Arial" w:hAnsi="Arial" w:cs="Arial"/>
        </w:rPr>
        <w:t>To obtain U-Pb ages</w:t>
      </w:r>
      <w:r w:rsidR="00971376">
        <w:rPr>
          <w:rFonts w:ascii="Arial" w:hAnsi="Arial" w:cs="Arial"/>
        </w:rPr>
        <w:t>,</w:t>
      </w:r>
      <w:r>
        <w:rPr>
          <w:rFonts w:ascii="Arial" w:hAnsi="Arial" w:cs="Arial"/>
        </w:rPr>
        <w:t xml:space="preserve"> i</w:t>
      </w:r>
      <w:r w:rsidRPr="00AF3AB7">
        <w:rPr>
          <w:rFonts w:ascii="Arial" w:hAnsi="Arial" w:cs="Arial"/>
        </w:rPr>
        <w:t xml:space="preserve">maged </w:t>
      </w:r>
      <w:r>
        <w:rPr>
          <w:rFonts w:ascii="Arial" w:hAnsi="Arial" w:cs="Arial"/>
        </w:rPr>
        <w:t>grains</w:t>
      </w:r>
      <w:r w:rsidRPr="00AF3AB7">
        <w:rPr>
          <w:rFonts w:ascii="Arial" w:hAnsi="Arial" w:cs="Arial"/>
        </w:rPr>
        <w:t xml:space="preserve"> were analysed using two mass spectrometer systems: a Nu Instruments AttoM single-collector inductively coupled plasma mass spectrometer (SC-</w:t>
      </w:r>
      <w:r w:rsidRPr="00AF3AB7">
        <w:rPr>
          <w:rFonts w:ascii="Arial" w:hAnsi="Arial" w:cs="Arial"/>
        </w:rPr>
        <w:lastRenderedPageBreak/>
        <w:t>ICP-MS)</w:t>
      </w:r>
      <w:r w:rsidR="00D670B7">
        <w:rPr>
          <w:rFonts w:ascii="Arial" w:hAnsi="Arial" w:cs="Arial"/>
        </w:rPr>
        <w:t>;</w:t>
      </w:r>
      <w:r w:rsidRPr="00AF3AB7">
        <w:rPr>
          <w:rFonts w:ascii="Arial" w:hAnsi="Arial" w:cs="Arial"/>
        </w:rPr>
        <w:t xml:space="preserve"> and a Nu Plasma HR multi-collector mass spectrometer (MC-ICP-MS). All samples were analysed using a 20 μm laser spot, with a 20 second laser warmup/sample washout, and a 30 second laser ablation dwell time (full analysis parameters </w:t>
      </w:r>
      <w:r>
        <w:rPr>
          <w:rFonts w:ascii="Arial" w:hAnsi="Arial" w:cs="Arial"/>
        </w:rPr>
        <w:t>can be found</w:t>
      </w:r>
      <w:r w:rsidR="003D2F93">
        <w:rPr>
          <w:rFonts w:ascii="Arial" w:hAnsi="Arial" w:cs="Arial"/>
        </w:rPr>
        <w:t xml:space="preserve"> in</w:t>
      </w:r>
      <w:r w:rsidRPr="00AF3AB7">
        <w:rPr>
          <w:rFonts w:ascii="Arial" w:hAnsi="Arial" w:cs="Arial"/>
        </w:rPr>
        <w:t xml:space="preserve"> </w:t>
      </w:r>
      <w:r>
        <w:rPr>
          <w:rFonts w:ascii="Arial" w:hAnsi="Arial" w:cs="Arial"/>
        </w:rPr>
        <w:t xml:space="preserve">Supplementary </w:t>
      </w:r>
      <w:r w:rsidRPr="00215526">
        <w:rPr>
          <w:rFonts w:ascii="Arial" w:hAnsi="Arial" w:cs="Arial"/>
        </w:rPr>
        <w:t xml:space="preserve">Table </w:t>
      </w:r>
      <w:r w:rsidR="000C0F5C" w:rsidRPr="00215526">
        <w:rPr>
          <w:rFonts w:ascii="Arial" w:hAnsi="Arial" w:cs="Arial"/>
        </w:rPr>
        <w:t>S</w:t>
      </w:r>
      <w:r w:rsidR="00917497">
        <w:rPr>
          <w:rFonts w:ascii="Arial" w:hAnsi="Arial" w:cs="Arial"/>
        </w:rPr>
        <w:t>4</w:t>
      </w:r>
      <w:r w:rsidRPr="00AF3AB7">
        <w:rPr>
          <w:rFonts w:ascii="Arial" w:hAnsi="Arial" w:cs="Arial"/>
        </w:rPr>
        <w:t>).</w:t>
      </w:r>
      <w:r>
        <w:rPr>
          <w:rFonts w:ascii="Arial" w:hAnsi="Arial" w:cs="Arial"/>
        </w:rPr>
        <w:t xml:space="preserve"> </w:t>
      </w:r>
      <w:bookmarkStart w:id="33" w:name="_Hlk71538994"/>
      <w:r w:rsidR="001D01D0">
        <w:rPr>
          <w:rFonts w:ascii="Arial" w:hAnsi="Arial" w:cs="Arial"/>
        </w:rPr>
        <w:t xml:space="preserve">Between two and four </w:t>
      </w:r>
      <w:r w:rsidR="00645A80">
        <w:rPr>
          <w:rFonts w:ascii="Arial" w:hAnsi="Arial" w:cs="Arial"/>
        </w:rPr>
        <w:t xml:space="preserve">measurements of each of the </w:t>
      </w:r>
      <w:r w:rsidR="0044297D">
        <w:rPr>
          <w:rFonts w:ascii="Arial" w:hAnsi="Arial" w:cs="Arial"/>
        </w:rPr>
        <w:t xml:space="preserve">reference materials </w:t>
      </w:r>
      <w:r>
        <w:rPr>
          <w:rFonts w:ascii="Arial" w:hAnsi="Arial" w:cs="Arial"/>
        </w:rPr>
        <w:t>(</w:t>
      </w:r>
      <w:r w:rsidRPr="00AF3AB7">
        <w:rPr>
          <w:rFonts w:ascii="Arial" w:hAnsi="Arial" w:cs="Arial"/>
        </w:rPr>
        <w:t>Plešovice zircon</w:t>
      </w:r>
      <w:r>
        <w:rPr>
          <w:rFonts w:ascii="Arial" w:hAnsi="Arial" w:cs="Arial"/>
        </w:rPr>
        <w:t xml:space="preserve"> </w:t>
      </w:r>
      <w:r>
        <w:rPr>
          <w:rFonts w:ascii="Arial" w:hAnsi="Arial" w:cs="Arial"/>
        </w:rPr>
        <w:fldChar w:fldCharType="begin" w:fldLock="1"/>
      </w:r>
      <w:r w:rsidR="00AE6272">
        <w:rPr>
          <w:rFonts w:ascii="Arial" w:hAnsi="Arial" w:cs="Arial"/>
        </w:rPr>
        <w:instrText>ADDIN CSL_CITATION {"citationItems":[{"id":"ITEM-1","itemData":{"DOI":"10.1016/j.chemgeo.2007.11.005","ISSN":"00092541","author":[{"dropping-particle":"","family":"Sláma","given":"Jiří","non-dropping-particle":"","parse-names":false,"suffix":""},{"dropping-particle":"","family":"Košler","given":"Jan","non-dropping-particle":"","parse-names":false,"suffix":""},{"dropping-particle":"","family":"Condon","given":"Daniel J.","non-dropping-particle":"","parse-names":false,"suffix":""},{"dropping-particle":"","family":"Crowley","given":"James L.","non-dropping-particle":"","parse-names":false,"suffix":""},{"dropping-particle":"","family":"Gerdes","given":"Axel","non-dropping-particle":"","parse-names":false,"suffix":""},{"dropping-particle":"","family":"Hanchar","given":"John M.","non-dropping-particle":"","parse-names":false,"suffix":""},{"dropping-particle":"","family":"Horstwood","given":"Matthew S.A.","non-dropping-particle":"","parse-names":false,"suffix":""},{"dropping-particle":"","family":"Morris","given":"George A.","non-dropping-particle":"","parse-names":false,"suffix":""},{"dropping-particle":"","family":"Nasdala","given":"Lutz","non-dropping-particle":"","parse-names":false,"suffix":""},{"dropping-particle":"","family":"Norberg","given":"Nicholas","non-dropping-particle":"","parse-names":false,"suffix":""},{"dropping-particle":"","family":"Schaltegger","given":"Urs","non-dropping-particle":"","parse-names":false,"suffix":""},{"dropping-particle":"","family":"Schoene","given":"Blair","non-dropping-particle":"","parse-names":false,"suffix":""},{"dropping-particle":"","family":"Tubrett","given":"Michael N.","non-dropping-particle":"","parse-names":false,"suffix":""},{"dropping-particle":"","family":"Whitehouse","given":"Martin J.","non-dropping-particle":"","parse-names":false,"suffix":""}],"container-title":"Chemical Geology","id":"ITEM-1","issue":"1-2","issued":{"date-parts":[["2008","3"]]},"page":"1-35","title":"Plešovice zircon — A new natural reference material for U–Pb and Hf isotopic microanalysis","type":"article-journal","volume":"249"},"uris":["http://www.mendeley.com/documents/?uuid=d85573df-3064-48ee-b74d-be9680054c93"]}],"mendeley":{"formattedCitation":"(Sláma et al., 2008)","plainTextFormattedCitation":"(Sláma et al., 2008)","previouslyFormattedCitation":"(Sláma et al., 2008)"},"properties":{"noteIndex":0},"schema":"https://github.com/citation-style-language/schema/raw/master/csl-citation.json"}</w:instrText>
      </w:r>
      <w:r>
        <w:rPr>
          <w:rFonts w:ascii="Arial" w:hAnsi="Arial" w:cs="Arial"/>
        </w:rPr>
        <w:fldChar w:fldCharType="separate"/>
      </w:r>
      <w:r w:rsidR="008612C3" w:rsidRPr="008612C3">
        <w:rPr>
          <w:rFonts w:ascii="Arial" w:hAnsi="Arial" w:cs="Arial"/>
          <w:noProof/>
        </w:rPr>
        <w:t>(Sláma et al., 2008)</w:t>
      </w:r>
      <w:r>
        <w:rPr>
          <w:rFonts w:ascii="Arial" w:hAnsi="Arial" w:cs="Arial"/>
        </w:rPr>
        <w:fldChar w:fldCharType="end"/>
      </w:r>
      <w:r>
        <w:rPr>
          <w:rFonts w:ascii="Arial" w:hAnsi="Arial" w:cs="Arial"/>
        </w:rPr>
        <w:t xml:space="preserve">, </w:t>
      </w:r>
      <w:r w:rsidRPr="00AF3AB7">
        <w:rPr>
          <w:rFonts w:ascii="Arial" w:hAnsi="Arial" w:cs="Arial"/>
        </w:rPr>
        <w:t xml:space="preserve">91500 </w:t>
      </w:r>
      <w:r>
        <w:rPr>
          <w:rFonts w:ascii="Arial" w:hAnsi="Arial" w:cs="Arial"/>
        </w:rPr>
        <w:fldChar w:fldCharType="begin" w:fldLock="1"/>
      </w:r>
      <w:r w:rsidR="004F5F90">
        <w:rPr>
          <w:rFonts w:ascii="Arial" w:hAnsi="Arial" w:cs="Arial"/>
        </w:rPr>
        <w:instrText>ADDIN CSL_CITATION {"citationItems":[{"id":"ITEM-1","itemData":{"DOI":"DOI 10.1111/j.1751-908X.1995.tb00147.x","ISBN":"0150-5505","ISSN":"1751-908X","abstract":"We report here the results of a study to develop natural zircon geochemical standards for calibrating the U-(Th)-Pb geochronometer and Hf isotopic analyses. Additional data were also collected for the major, minor and trace element contents of the three selected sample sets. A total of five large zircon grains (masses between 0.5 and 238 g) were selected for this study, representing three different suites of zircons with ages of 1065 Ma, 2.5 Ma and 0.9 Ma. Geochemical laboratories can obtain these materials by contacting Geostandards Newsletter.","author":[{"dropping-particle":"","family":"Wiedenbeck","given":"M.","non-dropping-particle":"","parse-names":false,"suffix":""},{"dropping-particle":"","family":"Allé","given":"P.","non-dropping-particle":"","parse-names":false,"suffix":""},{"dropping-particle":"","family":"Corfu","given":"F.","non-dropping-particle":"","parse-names":false,"suffix":""},{"dropping-particle":"","family":"Griffin","given":"William L.","non-dropping-particle":"","parse-names":false,"suffix":""},{"dropping-particle":"","family":"Meier","given":"M.","non-dropping-particle":"","parse-names":false,"suffix":""},{"dropping-particle":"","family":"Oberli","given":"F.","non-dropping-particle":"","parse-names":false,"suffix":""},{"dropping-particle":"","family":"Quadt","given":"Albrecht","non-dropping-particle":"von","parse-names":false,"suffix":""},{"dropping-particle":"","family":"Roddick","given":"J. C.","non-dropping-particle":"","parse-names":false,"suffix":""},{"dropping-particle":"","family":"Spiegel","given":"W.","non-dropping-particle":"","parse-names":false,"suffix":""}],"container-title":"Geostandard Newsletter","id":"ITEM-1","issue":"1","issued":{"date-parts":[["1995"]]},"page":"1-23","title":"Thee natural zircon standards for U-Th-Pb, Lu-Hf, element and REE analyses","type":"article-journal","volume":"19"},"uris":["http://www.mendeley.com/documents/?uuid=900724f9-c5a6-41ef-83b5-2c08b509b45f"]}],"mendeley":{"formattedCitation":"(Wiedenbeck et al., 1995)","plainTextFormattedCitation":"(Wiedenbeck et al., 1995)","previouslyFormattedCitation":"(Wiedenbeck et al., 1995)"},"properties":{"noteIndex":0},"schema":"https://github.com/citation-style-language/schema/raw/master/csl-citation.json"}</w:instrText>
      </w:r>
      <w:r>
        <w:rPr>
          <w:rFonts w:ascii="Arial" w:hAnsi="Arial" w:cs="Arial"/>
        </w:rPr>
        <w:fldChar w:fldCharType="separate"/>
      </w:r>
      <w:r w:rsidR="008612C3" w:rsidRPr="008612C3">
        <w:rPr>
          <w:rFonts w:ascii="Arial" w:hAnsi="Arial" w:cs="Arial"/>
          <w:noProof/>
        </w:rPr>
        <w:t>(Wiedenbeck et al., 1995)</w:t>
      </w:r>
      <w:r>
        <w:rPr>
          <w:rFonts w:ascii="Arial" w:hAnsi="Arial" w:cs="Arial"/>
        </w:rPr>
        <w:fldChar w:fldCharType="end"/>
      </w:r>
      <w:r>
        <w:rPr>
          <w:rFonts w:ascii="Arial" w:hAnsi="Arial" w:cs="Arial"/>
        </w:rPr>
        <w:t>,</w:t>
      </w:r>
      <w:r w:rsidRPr="00AF3AB7">
        <w:rPr>
          <w:rFonts w:ascii="Arial" w:hAnsi="Arial" w:cs="Arial"/>
        </w:rPr>
        <w:t xml:space="preserve"> and GJ-1 </w:t>
      </w:r>
      <w:r w:rsidR="00645A80">
        <w:rPr>
          <w:rFonts w:ascii="Arial" w:hAnsi="Arial" w:cs="Arial"/>
        </w:rPr>
        <w:fldChar w:fldCharType="begin" w:fldLock="1"/>
      </w:r>
      <w:r w:rsidR="00A87E95">
        <w:rPr>
          <w:rFonts w:ascii="Arial" w:hAnsi="Arial" w:cs="Arial"/>
        </w:rPr>
        <w:instrText>ADDIN CSL_CITATION {"citationItems":[{"id":"ITEM-1","itemData":{"DOI":"10.1111/j.1751-908X.2016.00379.x","ISSN":"1751908X","abstract":"The LA-ICP-MS U-(Th-)Pb geochronology international community has defined new standards for the determination of U-(Th-)Pb ages. A new workflow defines the appropriate propagation of uncertainties for these data, identifying random and systematic components. Only data with uncertainties relating to random error should be used in weighted mean calculations of population ages; uncertainty components for systematic errors are propagated after this stage, preventing their erroneous reduction. Following this improved uncertainty propagation protocol, data can be compared at different uncertainty levels to better resolve age differences. New reference values for commonly used zircon, monazite and titanite reference materials are defined (based on ID-TIMS) after removing corrections for common lead and the effects of excess 230Th. These values more accurately reflect the material sampled during the determination of calibration factors by LA-ICP-MS analysis. Recommendations are made to graphically represent data only with uncertainty ellipses at 2s and to submit or cite validation data with sample data when submitting data for publication. New data-reporting standards are defined to help improve the peer-review process. With these improvements, LA-ICP-MS U-(Th-)Pb data can be considered more robust, accurate, better documented and quantified, directly contributing to their improved scientific interpretation.","author":[{"dropping-particle":"","family":"Horstwood","given":"Matthew S. A.","non-dropping-particle":"","parse-names":false,"suffix":""},{"dropping-particle":"","family":"Košler","given":"Jan","non-dropping-particle":"","parse-names":false,"suffix":""},{"dropping-particle":"","family":"Gehrels","given":"George E.","non-dropping-particle":"","parse-names":false,"suffix":""},{"dropping-particle":"","family":"Jackson","given":"Simon E.","non-dropping-particle":"","parse-names":false,"suffix":""},{"dropping-particle":"","family":"McLean","given":"Noah M.","non-dropping-particle":"","parse-names":false,"suffix":""},{"dropping-particle":"","family":"Paton","given":"Chad","non-dropping-particle":"","parse-names":false,"suffix":""},{"dropping-particle":"","family":"Pearson","given":"Norman J.","non-dropping-particle":"","parse-names":false,"suffix":""},{"dropping-particle":"","family":"Sircombe","given":"Keith N.","non-dropping-particle":"","parse-names":false,"suffix":""},{"dropping-particle":"","family":"Sylvester","given":"Paul","non-dropping-particle":"","parse-names":false,"suffix":""},{"dropping-particle":"","family":"Vermeesch","given":"Pieter","non-dropping-particle":"","parse-names":false,"suffix":""},{"dropping-particle":"","family":"Bowring","given":"James F.","non-dropping-particle":"","parse-names":false,"suffix":""},{"dropping-particle":"","family":"Condon","given":"Daniel J.","non-dropping-particle":"","parse-names":false,"suffix":""},{"dropping-particle":"","family":"Schoene","given":"Blair","non-dropping-particle":"","parse-names":false,"suffix":""}],"container-title":"Geostandards and Geoanalytical Research","id":"ITEM-1","issue":"3","issued":{"date-parts":[["2016"]]},"page":"311-332","title":"Community-Derived Standards for LA-ICP-MS U-(Th-)Pb Geochronology – Uncertainty Propagation, Age Interpretation and Data Reporting","type":"article-journal","volume":"40"},"uris":["http://www.mendeley.com/documents/?uuid=a1afc0d5-4e05-40a4-b172-977e352a7bc8"]}],"mendeley":{"formattedCitation":"(Horstwood et al., 2016)","plainTextFormattedCitation":"(Horstwood et al., 2016)","previouslyFormattedCitation":"(Horstwood et al., 2016)"},"properties":{"noteIndex":0},"schema":"https://github.com/citation-style-language/schema/raw/master/csl-citation.json"}</w:instrText>
      </w:r>
      <w:r w:rsidR="00645A80">
        <w:rPr>
          <w:rFonts w:ascii="Arial" w:hAnsi="Arial" w:cs="Arial"/>
        </w:rPr>
        <w:fldChar w:fldCharType="separate"/>
      </w:r>
      <w:r w:rsidR="00645A80" w:rsidRPr="00645A80">
        <w:rPr>
          <w:rFonts w:ascii="Arial" w:hAnsi="Arial" w:cs="Arial"/>
          <w:noProof/>
        </w:rPr>
        <w:t>(Horstwood et al., 2016)</w:t>
      </w:r>
      <w:r w:rsidR="00645A80">
        <w:rPr>
          <w:rFonts w:ascii="Arial" w:hAnsi="Arial" w:cs="Arial"/>
        </w:rPr>
        <w:fldChar w:fldCharType="end"/>
      </w:r>
      <w:r>
        <w:rPr>
          <w:rFonts w:ascii="Arial" w:hAnsi="Arial" w:cs="Arial"/>
        </w:rPr>
        <w:t>) were</w:t>
      </w:r>
      <w:r w:rsidR="00645A80">
        <w:rPr>
          <w:rFonts w:ascii="Arial" w:hAnsi="Arial" w:cs="Arial"/>
        </w:rPr>
        <w:t xml:space="preserve"> conducted every ~</w:t>
      </w:r>
      <w:r w:rsidR="001D01D0">
        <w:rPr>
          <w:rFonts w:ascii="Arial" w:hAnsi="Arial" w:cs="Arial"/>
        </w:rPr>
        <w:t xml:space="preserve">30 </w:t>
      </w:r>
      <w:r w:rsidR="00645A80">
        <w:rPr>
          <w:rFonts w:ascii="Arial" w:hAnsi="Arial" w:cs="Arial"/>
        </w:rPr>
        <w:t>grains</w:t>
      </w:r>
      <w:r>
        <w:rPr>
          <w:rFonts w:ascii="Arial" w:hAnsi="Arial" w:cs="Arial"/>
        </w:rPr>
        <w:t xml:space="preserve"> to correct the i</w:t>
      </w:r>
      <w:r w:rsidRPr="00AF3AB7">
        <w:rPr>
          <w:rFonts w:ascii="Arial" w:hAnsi="Arial" w:cs="Arial"/>
        </w:rPr>
        <w:t>nstrument mass bias and depth dependent inter-element fractionation of U, Pb, and Th</w:t>
      </w:r>
      <w:bookmarkEnd w:id="33"/>
      <w:r>
        <w:rPr>
          <w:rFonts w:ascii="Arial" w:hAnsi="Arial" w:cs="Arial"/>
        </w:rPr>
        <w:t xml:space="preserve">. </w:t>
      </w:r>
      <w:r w:rsidRPr="00AF3AB7">
        <w:rPr>
          <w:rFonts w:ascii="Arial" w:hAnsi="Arial" w:cs="Arial"/>
        </w:rPr>
        <w:t>All data were processed using a combination of Iolite data reduction software</w:t>
      </w:r>
      <w:r w:rsidR="0044297D">
        <w:rPr>
          <w:rFonts w:ascii="Arial" w:hAnsi="Arial" w:cs="Arial"/>
        </w:rPr>
        <w:t xml:space="preserve"> </w:t>
      </w:r>
      <w:r w:rsidR="0044297D">
        <w:rPr>
          <w:rFonts w:ascii="Arial" w:hAnsi="Arial" w:cs="Arial"/>
        </w:rPr>
        <w:fldChar w:fldCharType="begin" w:fldLock="1"/>
      </w:r>
      <w:r w:rsidR="003374CE">
        <w:rPr>
          <w:rFonts w:ascii="Arial" w:hAnsi="Arial" w:cs="Arial"/>
        </w:rPr>
        <w:instrText>ADDIN CSL_CITATION {"citationItems":[{"id":"ITEM-1","itemData":{"DOI":"10.1039/c1ja10172b","ISSN":"02679477","abstract":"Iolite is a non-commercial software package developed to aid in the processing of inorganic mass spectrometric data, with a strong emphasis on visualisation versus time of acquisition. The goal of the software is to provide a powerful framework for data processing and interpretation, while giving users the ability to implement their own data reduction protocols. It is intended to be highly interactive, providing the user with a complete overview of the data at all stages of processing, and allowing the freedom to change parameters and reprocess data at any point. The program presents a variety of windows for the selection and viewing of data versus time, as well as features for the generation of X-Y plots, summary reports and export of data. In addition, it is capable of generating X-Y images from laser ablation rasters, and combining information from up to four separate elemental concentrations (intensities of red, green and blue, and the z-axis) in a false-colour three-dimensional image. By virtue of its underlying computing environment - Igor Pro - Iolite is capable of processing very large datasets (i.e., millions of timeslices) rapidly, and is thus ideal for the interrogation of multi-hour sessions of laser ablation data that can not be easily manipulated in conventional spreadsheet applications, for example. It is also well suited to multi-day sessions of solution-mode inductively-coupled plasma mass spectrometer (ICPMS) or thermal ionisation mass spectrometer (TIMS) data. A strong emphasis is placed on the interpolation of parameters that vary with time by a variety of user selectable methods including smoothed cubic splines. Data are processed on a timeslice-by-timeslice basis, allowing outlier rejection and calculation of statistics to be employed directly on calculated results. This approach can reduce the risk of processing biases associated with the manipulation of integrated datasets, while also allowing the implementation of more complex data reduction methods. © 2011 The Royal Society of Chemistry.","author":[{"dropping-particle":"","family":"Paton","given":"Chad","non-dropping-particle":"","parse-names":false,"suffix":""},{"dropping-particle":"","family":"Hellstrom","given":"John","non-dropping-particle":"","parse-names":false,"suffix":""},{"dropping-particle":"","family":"Paul","given":"Bence","non-dropping-particle":"","parse-names":false,"suffix":""},{"dropping-particle":"","family":"Woodhead","given":"Jon D.","non-dropping-particle":"","parse-names":false,"suffix":""},{"dropping-particle":"","family":"Hergt","given":"Janet","non-dropping-particle":"","parse-names":false,"suffix":""}],"container-title":"Journal of Analytical Atomic Spectrometry","id":"ITEM-1","issue":"12","issued":{"date-parts":[["2011"]]},"page":"2508-2518","title":"Iolite: Freeware for the visualisation and processing of mass spectrometric data","type":"article-journal","volume":"26"},"uris":["http://www.mendeley.com/documents/?uuid=f2f08da0-68f0-4321-8601-ecc837cf7639"]}],"mendeley":{"formattedCitation":"(Paton et al., 2011)","plainTextFormattedCitation":"(Paton et al., 2011)","previouslyFormattedCitation":"(Paton et al., 2011)"},"properties":{"noteIndex":0},"schema":"https://github.com/citation-style-language/schema/raw/master/csl-citation.json"}</w:instrText>
      </w:r>
      <w:r w:rsidR="0044297D">
        <w:rPr>
          <w:rFonts w:ascii="Arial" w:hAnsi="Arial" w:cs="Arial"/>
        </w:rPr>
        <w:fldChar w:fldCharType="separate"/>
      </w:r>
      <w:r w:rsidR="0044297D" w:rsidRPr="0044297D">
        <w:rPr>
          <w:rFonts w:ascii="Arial" w:hAnsi="Arial" w:cs="Arial"/>
          <w:noProof/>
        </w:rPr>
        <w:t>(Paton et al., 2011)</w:t>
      </w:r>
      <w:r w:rsidR="0044297D">
        <w:rPr>
          <w:rFonts w:ascii="Arial" w:hAnsi="Arial" w:cs="Arial"/>
        </w:rPr>
        <w:fldChar w:fldCharType="end"/>
      </w:r>
      <w:r w:rsidRPr="00AF3AB7">
        <w:rPr>
          <w:rFonts w:ascii="Arial" w:hAnsi="Arial" w:cs="Arial"/>
        </w:rPr>
        <w:t xml:space="preserve"> and IsoplotR</w:t>
      </w:r>
      <w:r w:rsidR="0044297D">
        <w:rPr>
          <w:rFonts w:ascii="Arial" w:hAnsi="Arial" w:cs="Arial"/>
        </w:rPr>
        <w:t xml:space="preserve"> </w:t>
      </w:r>
      <w:r w:rsidR="0044297D">
        <w:rPr>
          <w:rFonts w:ascii="Arial" w:hAnsi="Arial" w:cs="Arial"/>
        </w:rPr>
        <w:fldChar w:fldCharType="begin" w:fldLock="1"/>
      </w:r>
      <w:r w:rsidR="0044297D">
        <w:rPr>
          <w:rFonts w:ascii="Arial" w:hAnsi="Arial" w:cs="Arial"/>
        </w:rPr>
        <w:instrText>ADDIN CSL_CITATION {"citationItems":[{"id":"ITEM-1","itemData":{"DOI":"10.1016/j.gsf.2018.04.001","ISBN":"9780387310732","ISSN":"16749871","PMID":"8943268","abstract":"This paper reviews the basic principles of radiometric geochronology as implemented in a new software package called IsoplotR, which was designed to be free, flexible and future-proof. IsoplotR is free because it is written in non-proprietary languages (R, Javascript and HTML) and is released under the GPL license. The program is flexible because its graphical user interface (GUI) is separated from the command line functionality, and because its code is completely open for inspection and modification. To increase future-proofness, the software is built on free and platform-independent foundations that adhere to international standards, have existed for several decades, and continue to grow in popularity. IsoplotR currently includes functions for U-Pb, Pb-Pb, 40Ar/39Ar, Rb-Sr, Sm-Nd, Lu-Hf, Re-Os, U-Th-He, fission track and U-series disequilibrium dating. It implements isochron regression in two and three dimensions, visualises multi-aliquot datasets as cumulative age distributions, kernel density estimates and radial plots, and calculates weighted mean ages using a modified Chauvenet outlier detection criterion that accounts for the analytical uncertainties in heteroscedastic datasets. Overdispersion of geochronological data with respect to these analytical uncertainties can be attributed to either a proportional underestimation of the analytical uncertainties, or to an additive geological scatter term. IsoplotR keeps track of error correlations of the isotopic ratio measurements within aliquots of the same samples. It uses a statistical framework that will allow it to handle error correlations between aliquots in the future. Other ongoing developments include the implementation of alternative user interfaces and the integration of IsoplotR with other data reduction software.","author":[{"dropping-particle":"","family":"Vermeesch","given":"Pieter","non-dropping-particle":"","parse-names":false,"suffix":""}],"container-title":"Geoscience Frontiers","id":"ITEM-1","issue":"5","issued":{"date-parts":[["2018"]]},"page":"1479-1493","publisher":"Elsevier Ltd","title":"IsoplotR: A free and open toolbox for geochronology","type":"article-journal","volume":"9"},"uris":["http://www.mendeley.com/documents/?uuid=286a67e4-7df6-42a9-b8ab-b22d55d2593d"]}],"mendeley":{"formattedCitation":"(Vermeesch, 2018a)","plainTextFormattedCitation":"(Vermeesch, 2018a)","previouslyFormattedCitation":"(Vermeesch, 2018a)"},"properties":{"noteIndex":0},"schema":"https://github.com/citation-style-language/schema/raw/master/csl-citation.json"}</w:instrText>
      </w:r>
      <w:r w:rsidR="0044297D">
        <w:rPr>
          <w:rFonts w:ascii="Arial" w:hAnsi="Arial" w:cs="Arial"/>
        </w:rPr>
        <w:fldChar w:fldCharType="separate"/>
      </w:r>
      <w:r w:rsidR="0044297D" w:rsidRPr="0044297D">
        <w:rPr>
          <w:rFonts w:ascii="Arial" w:hAnsi="Arial" w:cs="Arial"/>
          <w:noProof/>
        </w:rPr>
        <w:t>(Vermeesch, 2018a)</w:t>
      </w:r>
      <w:r w:rsidR="0044297D">
        <w:rPr>
          <w:rFonts w:ascii="Arial" w:hAnsi="Arial" w:cs="Arial"/>
        </w:rPr>
        <w:fldChar w:fldCharType="end"/>
      </w:r>
      <w:r w:rsidRPr="00AF3AB7">
        <w:rPr>
          <w:rFonts w:ascii="Arial" w:hAnsi="Arial" w:cs="Arial"/>
        </w:rPr>
        <w:t xml:space="preserve">. For grains &lt;1.2 Ga, the </w:t>
      </w:r>
      <w:r w:rsidRPr="007A0080">
        <w:rPr>
          <w:rFonts w:ascii="Arial" w:hAnsi="Arial" w:cs="Arial"/>
          <w:vertAlign w:val="superscript"/>
        </w:rPr>
        <w:t>206</w:t>
      </w:r>
      <w:r w:rsidRPr="00AF3AB7">
        <w:rPr>
          <w:rFonts w:ascii="Arial" w:hAnsi="Arial" w:cs="Arial"/>
        </w:rPr>
        <w:t>Pb/</w:t>
      </w:r>
      <w:r w:rsidRPr="007A0080">
        <w:rPr>
          <w:rFonts w:ascii="Arial" w:hAnsi="Arial" w:cs="Arial"/>
          <w:vertAlign w:val="superscript"/>
        </w:rPr>
        <w:t>238</w:t>
      </w:r>
      <w:r w:rsidRPr="00AF3AB7">
        <w:rPr>
          <w:rFonts w:ascii="Arial" w:hAnsi="Arial" w:cs="Arial"/>
        </w:rPr>
        <w:t xml:space="preserve">U age was used, whereas for older grains, the </w:t>
      </w:r>
      <w:r w:rsidRPr="007A0080">
        <w:rPr>
          <w:rFonts w:ascii="Arial" w:hAnsi="Arial" w:cs="Arial"/>
          <w:vertAlign w:val="superscript"/>
        </w:rPr>
        <w:t>207</w:t>
      </w:r>
      <w:r w:rsidRPr="00AF3AB7">
        <w:rPr>
          <w:rFonts w:ascii="Arial" w:hAnsi="Arial" w:cs="Arial"/>
        </w:rPr>
        <w:t>Pb/</w:t>
      </w:r>
      <w:r w:rsidRPr="007A0080">
        <w:rPr>
          <w:rFonts w:ascii="Arial" w:hAnsi="Arial" w:cs="Arial"/>
          <w:vertAlign w:val="superscript"/>
        </w:rPr>
        <w:t>206</w:t>
      </w:r>
      <w:r w:rsidRPr="00AF3AB7">
        <w:rPr>
          <w:rFonts w:ascii="Arial" w:hAnsi="Arial" w:cs="Arial"/>
        </w:rPr>
        <w:t xml:space="preserve">Pb age was </w:t>
      </w:r>
      <w:r w:rsidR="00636665">
        <w:rPr>
          <w:rFonts w:ascii="Arial" w:hAnsi="Arial" w:cs="Arial"/>
        </w:rPr>
        <w:t>chosen</w:t>
      </w:r>
      <w:r w:rsidRPr="00AF3AB7">
        <w:rPr>
          <w:rFonts w:ascii="Arial" w:hAnsi="Arial" w:cs="Arial"/>
        </w:rPr>
        <w:t xml:space="preserve">. </w:t>
      </w:r>
      <w:r w:rsidR="005110FE">
        <w:rPr>
          <w:rFonts w:ascii="Arial" w:hAnsi="Arial" w:cs="Arial"/>
        </w:rPr>
        <w:t>A</w:t>
      </w:r>
      <w:r w:rsidR="00906CCC">
        <w:rPr>
          <w:rFonts w:ascii="Arial" w:hAnsi="Arial" w:cs="Arial"/>
        </w:rPr>
        <w:t xml:space="preserve">ges were rejected if the discordance exceeded </w:t>
      </w:r>
      <w:r w:rsidR="000C0F5C">
        <w:rPr>
          <w:rFonts w:ascii="Arial" w:hAnsi="Arial" w:cs="Arial"/>
        </w:rPr>
        <w:t>±</w:t>
      </w:r>
      <w:r w:rsidRPr="00AF3AB7">
        <w:rPr>
          <w:rFonts w:ascii="Arial" w:hAnsi="Arial" w:cs="Arial"/>
        </w:rPr>
        <w:t xml:space="preserve">10%. </w:t>
      </w:r>
      <w:r>
        <w:rPr>
          <w:rFonts w:ascii="Arial" w:hAnsi="Arial" w:cs="Arial"/>
        </w:rPr>
        <w:t>All r</w:t>
      </w:r>
      <w:r w:rsidRPr="00AF3AB7">
        <w:rPr>
          <w:rFonts w:ascii="Arial" w:hAnsi="Arial" w:cs="Arial"/>
        </w:rPr>
        <w:t>aw data</w:t>
      </w:r>
      <w:r w:rsidR="009526E8">
        <w:rPr>
          <w:rFonts w:ascii="Arial" w:hAnsi="Arial" w:cs="Arial"/>
        </w:rPr>
        <w:t xml:space="preserve"> for samples and standards</w:t>
      </w:r>
      <w:r w:rsidRPr="00AF3AB7">
        <w:rPr>
          <w:rFonts w:ascii="Arial" w:hAnsi="Arial" w:cs="Arial"/>
        </w:rPr>
        <w:t xml:space="preserve"> including element concentrations, ratios, and ages </w:t>
      </w:r>
      <w:r>
        <w:rPr>
          <w:rFonts w:ascii="Arial" w:hAnsi="Arial" w:cs="Arial"/>
        </w:rPr>
        <w:t xml:space="preserve">can be found in Supplementary </w:t>
      </w:r>
      <w:r w:rsidRPr="00215526">
        <w:rPr>
          <w:rFonts w:ascii="Arial" w:hAnsi="Arial" w:cs="Arial"/>
        </w:rPr>
        <w:t xml:space="preserve">Table </w:t>
      </w:r>
      <w:r w:rsidR="009526E8" w:rsidRPr="005951F8">
        <w:rPr>
          <w:rFonts w:ascii="Arial" w:hAnsi="Arial" w:cs="Arial"/>
        </w:rPr>
        <w:t>S</w:t>
      </w:r>
      <w:r w:rsidR="003D1DFB">
        <w:rPr>
          <w:rFonts w:ascii="Arial" w:hAnsi="Arial" w:cs="Arial"/>
        </w:rPr>
        <w:t>5</w:t>
      </w:r>
      <w:r w:rsidRPr="00215526">
        <w:rPr>
          <w:rFonts w:ascii="Arial" w:hAnsi="Arial" w:cs="Arial"/>
        </w:rPr>
        <w:t>.</w:t>
      </w:r>
    </w:p>
    <w:p w14:paraId="7AED4494" w14:textId="0614C5BD" w:rsidR="00917497" w:rsidRPr="004F6561" w:rsidRDefault="00917497" w:rsidP="003C4AA9">
      <w:pPr>
        <w:pStyle w:val="Heading2"/>
        <w:numPr>
          <w:ilvl w:val="1"/>
          <w:numId w:val="34"/>
        </w:numPr>
        <w:spacing w:before="120" w:after="120" w:line="480" w:lineRule="auto"/>
        <w:ind w:left="851" w:hanging="851"/>
        <w:jc w:val="both"/>
        <w:rPr>
          <w:rFonts w:ascii="Arial" w:hAnsi="Arial" w:cs="Arial"/>
          <w:i/>
          <w:color w:val="auto"/>
          <w:sz w:val="24"/>
          <w:szCs w:val="24"/>
        </w:rPr>
      </w:pPr>
      <w:r w:rsidRPr="004F6561">
        <w:rPr>
          <w:rFonts w:ascii="Arial" w:hAnsi="Arial" w:cs="Arial"/>
          <w:i/>
          <w:color w:val="auto"/>
          <w:sz w:val="24"/>
          <w:szCs w:val="24"/>
        </w:rPr>
        <w:t>Detrital zircon Hf isotope analysis</w:t>
      </w:r>
    </w:p>
    <w:p w14:paraId="68762D85" w14:textId="6A0E58C8" w:rsidR="001D01D0" w:rsidRPr="001D01D0" w:rsidRDefault="005C4708" w:rsidP="001D01D0">
      <w:pPr>
        <w:spacing w:before="120" w:after="120" w:line="480" w:lineRule="auto"/>
        <w:jc w:val="both"/>
        <w:rPr>
          <w:rFonts w:ascii="Arial" w:hAnsi="Arial" w:cs="Arial"/>
        </w:rPr>
      </w:pPr>
      <w:bookmarkStart w:id="34" w:name="_Hlk64965121"/>
      <w:bookmarkStart w:id="35" w:name="_Hlk74208889"/>
      <w:bookmarkStart w:id="36" w:name="_Hlk71541355"/>
      <w:r>
        <w:rPr>
          <w:rFonts w:ascii="Arial" w:hAnsi="Arial" w:cs="Arial"/>
        </w:rPr>
        <w:t xml:space="preserve">Following the U-Pb age analysis each grain was </w:t>
      </w:r>
      <w:r w:rsidR="006E3EED">
        <w:rPr>
          <w:rFonts w:ascii="Arial" w:hAnsi="Arial" w:cs="Arial"/>
        </w:rPr>
        <w:t>re-analysed</w:t>
      </w:r>
      <w:r>
        <w:rPr>
          <w:rFonts w:ascii="Arial" w:hAnsi="Arial" w:cs="Arial"/>
        </w:rPr>
        <w:t xml:space="preserve"> for the </w:t>
      </w:r>
      <w:r w:rsidR="006E3EED">
        <w:rPr>
          <w:rFonts w:ascii="Arial" w:hAnsi="Arial" w:cs="Arial"/>
        </w:rPr>
        <w:t>Lu-</w:t>
      </w:r>
      <w:r w:rsidR="00906CCC" w:rsidRPr="00906CCC">
        <w:rPr>
          <w:rFonts w:ascii="Arial" w:hAnsi="Arial" w:cs="Arial"/>
        </w:rPr>
        <w:t>Hf</w:t>
      </w:r>
      <w:r>
        <w:rPr>
          <w:rFonts w:ascii="Arial" w:hAnsi="Arial" w:cs="Arial"/>
        </w:rPr>
        <w:t xml:space="preserve"> </w:t>
      </w:r>
      <w:r w:rsidR="00906CCC" w:rsidRPr="00906CCC">
        <w:rPr>
          <w:rFonts w:ascii="Arial" w:hAnsi="Arial" w:cs="Arial"/>
        </w:rPr>
        <w:t>isotop</w:t>
      </w:r>
      <w:r w:rsidR="006E3EED">
        <w:rPr>
          <w:rFonts w:ascii="Arial" w:hAnsi="Arial" w:cs="Arial"/>
        </w:rPr>
        <w:t>ic composition</w:t>
      </w:r>
      <w:r>
        <w:rPr>
          <w:rFonts w:ascii="Arial" w:hAnsi="Arial" w:cs="Arial"/>
        </w:rPr>
        <w:t>, targeting the same spot</w:t>
      </w:r>
      <w:r w:rsidR="006E3EED">
        <w:rPr>
          <w:rFonts w:ascii="Arial" w:hAnsi="Arial" w:cs="Arial"/>
        </w:rPr>
        <w:t xml:space="preserve"> used for the U-Pb analysis</w:t>
      </w:r>
      <w:bookmarkEnd w:id="34"/>
      <w:r>
        <w:rPr>
          <w:rFonts w:ascii="Arial" w:hAnsi="Arial" w:cs="Arial"/>
        </w:rPr>
        <w:t>.</w:t>
      </w:r>
      <w:r w:rsidR="001D01D0">
        <w:rPr>
          <w:rFonts w:ascii="Arial" w:hAnsi="Arial" w:cs="Arial"/>
        </w:rPr>
        <w:t xml:space="preserve"> </w:t>
      </w:r>
      <w:r w:rsidR="001D01D0" w:rsidRPr="001D01D0">
        <w:rPr>
          <w:rFonts w:ascii="Arial" w:hAnsi="Arial" w:cs="Arial"/>
        </w:rPr>
        <w:t>Isotope analyses were carried out at the British Geological Survey using a Thermo Scientific Neptune Plus MC-ICP-MS coupled to a New Wave Research UP193UC Excimer laser ablation system. Helium was used as the carrier gas through the ablation cell with Ar make-up gas being connected via a T-piece and sourced from a Cetac Aridus II desolvating nebulizer. 0.01 l/min of nitrogen were introduced via the nebulizer in addition to Ar in order to minimise oxide formation. Lutetium (</w:t>
      </w:r>
      <w:r w:rsidR="001D01D0" w:rsidRPr="001D01D0">
        <w:rPr>
          <w:rFonts w:ascii="Arial" w:hAnsi="Arial" w:cs="Arial"/>
          <w:vertAlign w:val="superscript"/>
        </w:rPr>
        <w:t>175</w:t>
      </w:r>
      <w:r w:rsidR="001D01D0" w:rsidRPr="001D01D0">
        <w:rPr>
          <w:rFonts w:ascii="Arial" w:hAnsi="Arial" w:cs="Arial"/>
        </w:rPr>
        <w:t>Lu), Ytterbium (</w:t>
      </w:r>
      <w:r w:rsidR="001D01D0" w:rsidRPr="001D01D0">
        <w:rPr>
          <w:rFonts w:ascii="Arial" w:hAnsi="Arial" w:cs="Arial"/>
          <w:vertAlign w:val="superscript"/>
        </w:rPr>
        <w:t>172</w:t>
      </w:r>
      <w:r w:rsidR="001D01D0" w:rsidRPr="001D01D0">
        <w:rPr>
          <w:rFonts w:ascii="Arial" w:hAnsi="Arial" w:cs="Arial"/>
        </w:rPr>
        <w:t xml:space="preserve">Yb, </w:t>
      </w:r>
      <w:r w:rsidR="001D01D0" w:rsidRPr="001D01D0">
        <w:rPr>
          <w:rFonts w:ascii="Arial" w:hAnsi="Arial" w:cs="Arial"/>
          <w:vertAlign w:val="superscript"/>
        </w:rPr>
        <w:t>173</w:t>
      </w:r>
      <w:r w:rsidR="001D01D0" w:rsidRPr="001D01D0">
        <w:rPr>
          <w:rFonts w:ascii="Arial" w:hAnsi="Arial" w:cs="Arial"/>
        </w:rPr>
        <w:t>Yb), and Hafnium (</w:t>
      </w:r>
      <w:r w:rsidR="001D01D0" w:rsidRPr="001D01D0">
        <w:rPr>
          <w:rFonts w:ascii="Arial" w:hAnsi="Arial" w:cs="Arial"/>
          <w:vertAlign w:val="superscript"/>
        </w:rPr>
        <w:t>176</w:t>
      </w:r>
      <w:r w:rsidR="001D01D0" w:rsidRPr="001D01D0">
        <w:rPr>
          <w:rFonts w:ascii="Arial" w:hAnsi="Arial" w:cs="Arial"/>
        </w:rPr>
        <w:t xml:space="preserve">Hf, </w:t>
      </w:r>
      <w:r w:rsidR="001D01D0" w:rsidRPr="001D01D0">
        <w:rPr>
          <w:rFonts w:ascii="Arial" w:hAnsi="Arial" w:cs="Arial"/>
          <w:vertAlign w:val="superscript"/>
        </w:rPr>
        <w:t>178</w:t>
      </w:r>
      <w:r w:rsidR="001D01D0" w:rsidRPr="001D01D0">
        <w:rPr>
          <w:rFonts w:ascii="Arial" w:hAnsi="Arial" w:cs="Arial"/>
        </w:rPr>
        <w:t xml:space="preserve">Hf, </w:t>
      </w:r>
      <w:r w:rsidR="001D01D0" w:rsidRPr="001D01D0">
        <w:rPr>
          <w:rFonts w:ascii="Arial" w:hAnsi="Arial" w:cs="Arial"/>
          <w:vertAlign w:val="superscript"/>
        </w:rPr>
        <w:t>179</w:t>
      </w:r>
      <w:r w:rsidR="001D01D0" w:rsidRPr="001D01D0">
        <w:rPr>
          <w:rFonts w:ascii="Arial" w:hAnsi="Arial" w:cs="Arial"/>
        </w:rPr>
        <w:t xml:space="preserve">Hf and </w:t>
      </w:r>
      <w:r w:rsidR="001D01D0" w:rsidRPr="001D01D0">
        <w:rPr>
          <w:rFonts w:ascii="Arial" w:hAnsi="Arial" w:cs="Arial"/>
          <w:vertAlign w:val="superscript"/>
        </w:rPr>
        <w:t>180</w:t>
      </w:r>
      <w:r w:rsidR="001D01D0" w:rsidRPr="001D01D0">
        <w:rPr>
          <w:rFonts w:ascii="Arial" w:hAnsi="Arial" w:cs="Arial"/>
        </w:rPr>
        <w:t>Hf) isotopes were measured simultaneously during static 30 second ablation analyses. The spot size used was 25 µm; fluence = 8 J</w:t>
      </w:r>
      <w:r w:rsidR="003C4AA9">
        <w:rPr>
          <w:rFonts w:ascii="Arial" w:hAnsi="Arial" w:cs="Arial"/>
        </w:rPr>
        <w:t xml:space="preserve"> </w:t>
      </w:r>
      <w:r w:rsidR="001D01D0" w:rsidRPr="001D01D0">
        <w:rPr>
          <w:rFonts w:ascii="Arial" w:hAnsi="Arial" w:cs="Arial"/>
        </w:rPr>
        <w:t>cm</w:t>
      </w:r>
      <w:r w:rsidR="001D01D0" w:rsidRPr="003C4AA9">
        <w:rPr>
          <w:rFonts w:ascii="Arial" w:hAnsi="Arial" w:cs="Arial"/>
          <w:vertAlign w:val="superscript"/>
        </w:rPr>
        <w:t>2</w:t>
      </w:r>
      <w:r w:rsidR="001D01D0" w:rsidRPr="001D01D0">
        <w:rPr>
          <w:rFonts w:ascii="Arial" w:hAnsi="Arial" w:cs="Arial"/>
        </w:rPr>
        <w:t xml:space="preserve">. </w:t>
      </w:r>
    </w:p>
    <w:p w14:paraId="4126EEB8" w14:textId="199808F4" w:rsidR="001D01D0" w:rsidRPr="001D01D0" w:rsidRDefault="001D01D0" w:rsidP="001D01D0">
      <w:pPr>
        <w:spacing w:before="120" w:after="120" w:line="480" w:lineRule="auto"/>
        <w:jc w:val="both"/>
        <w:rPr>
          <w:rFonts w:ascii="Arial" w:hAnsi="Arial" w:cs="Arial"/>
        </w:rPr>
      </w:pPr>
      <w:r w:rsidRPr="001D01D0">
        <w:rPr>
          <w:rFonts w:ascii="Arial" w:hAnsi="Arial" w:cs="Arial"/>
        </w:rPr>
        <w:t xml:space="preserve">Hf reference solution JMC475 was analysed during the analytical session and sample </w:t>
      </w:r>
      <w:r w:rsidRPr="001D01D0">
        <w:rPr>
          <w:rFonts w:ascii="Arial" w:hAnsi="Arial" w:cs="Arial"/>
          <w:vertAlign w:val="superscript"/>
        </w:rPr>
        <w:t>176</w:t>
      </w:r>
      <w:r w:rsidRPr="001D01D0">
        <w:rPr>
          <w:rFonts w:ascii="Arial" w:hAnsi="Arial" w:cs="Arial"/>
        </w:rPr>
        <w:t>Hf/</w:t>
      </w:r>
      <w:r w:rsidRPr="001D01D0">
        <w:rPr>
          <w:rFonts w:ascii="Arial" w:hAnsi="Arial" w:cs="Arial"/>
          <w:vertAlign w:val="superscript"/>
        </w:rPr>
        <w:t>177</w:t>
      </w:r>
      <w:r w:rsidRPr="001D01D0">
        <w:rPr>
          <w:rFonts w:ascii="Arial" w:hAnsi="Arial" w:cs="Arial"/>
        </w:rPr>
        <w:t xml:space="preserve">Hf ratios are reported relative to a value of 0.282160 for this standard. Reported ratios are relative to </w:t>
      </w:r>
      <w:r w:rsidRPr="001D01D0">
        <w:rPr>
          <w:rFonts w:ascii="Arial" w:hAnsi="Arial" w:cs="Arial"/>
          <w:vertAlign w:val="superscript"/>
        </w:rPr>
        <w:t>179</w:t>
      </w:r>
      <w:r w:rsidRPr="001D01D0">
        <w:rPr>
          <w:rFonts w:ascii="Arial" w:hAnsi="Arial" w:cs="Arial"/>
        </w:rPr>
        <w:t>Hf/</w:t>
      </w:r>
      <w:r w:rsidRPr="001D01D0">
        <w:rPr>
          <w:rFonts w:ascii="Arial" w:hAnsi="Arial" w:cs="Arial"/>
          <w:vertAlign w:val="superscript"/>
        </w:rPr>
        <w:t>177</w:t>
      </w:r>
      <w:r w:rsidRPr="001D01D0">
        <w:rPr>
          <w:rFonts w:ascii="Arial" w:hAnsi="Arial" w:cs="Arial"/>
        </w:rPr>
        <w:t xml:space="preserve">Hf = 0.7325. Correction for </w:t>
      </w:r>
      <w:r w:rsidRPr="001D01D0">
        <w:rPr>
          <w:rFonts w:ascii="Arial" w:hAnsi="Arial" w:cs="Arial"/>
          <w:vertAlign w:val="superscript"/>
        </w:rPr>
        <w:t>176</w:t>
      </w:r>
      <w:r w:rsidRPr="001D01D0">
        <w:rPr>
          <w:rFonts w:ascii="Arial" w:hAnsi="Arial" w:cs="Arial"/>
        </w:rPr>
        <w:t xml:space="preserve">Yb on the </w:t>
      </w:r>
      <w:r w:rsidRPr="001D01D0">
        <w:rPr>
          <w:rFonts w:ascii="Arial" w:hAnsi="Arial" w:cs="Arial"/>
          <w:vertAlign w:val="superscript"/>
        </w:rPr>
        <w:t>176</w:t>
      </w:r>
      <w:r w:rsidRPr="001D01D0">
        <w:rPr>
          <w:rFonts w:ascii="Arial" w:hAnsi="Arial" w:cs="Arial"/>
        </w:rPr>
        <w:t xml:space="preserve">Hf peak was made using reverse-mass-bias correction of the </w:t>
      </w:r>
      <w:r w:rsidRPr="001D01D0">
        <w:rPr>
          <w:rFonts w:ascii="Arial" w:hAnsi="Arial" w:cs="Arial"/>
          <w:vertAlign w:val="superscript"/>
        </w:rPr>
        <w:t>176</w:t>
      </w:r>
      <w:r w:rsidRPr="001D01D0">
        <w:rPr>
          <w:rFonts w:ascii="Arial" w:hAnsi="Arial" w:cs="Arial"/>
        </w:rPr>
        <w:t>Yb/</w:t>
      </w:r>
      <w:r w:rsidRPr="001D01D0">
        <w:rPr>
          <w:rFonts w:ascii="Arial" w:hAnsi="Arial" w:cs="Arial"/>
          <w:vertAlign w:val="superscript"/>
        </w:rPr>
        <w:t>173</w:t>
      </w:r>
      <w:r w:rsidRPr="001D01D0">
        <w:rPr>
          <w:rFonts w:ascii="Arial" w:hAnsi="Arial" w:cs="Arial"/>
        </w:rPr>
        <w:t xml:space="preserve">Yb ratio empirically derived using Hf mass bias </w:t>
      </w:r>
      <w:r w:rsidRPr="001D01D0">
        <w:rPr>
          <w:rFonts w:ascii="Arial" w:hAnsi="Arial" w:cs="Arial"/>
        </w:rPr>
        <w:lastRenderedPageBreak/>
        <w:t>corrected Yb-doped JMC475 solutions</w:t>
      </w:r>
      <w:r w:rsidR="000E3AB2">
        <w:rPr>
          <w:rFonts w:ascii="Arial" w:hAnsi="Arial" w:cs="Arial"/>
        </w:rPr>
        <w:t xml:space="preserve"> </w:t>
      </w:r>
      <w:r w:rsidR="000E3AB2">
        <w:rPr>
          <w:rFonts w:ascii="Arial" w:hAnsi="Arial" w:cs="Arial"/>
        </w:rPr>
        <w:fldChar w:fldCharType="begin" w:fldLock="1"/>
      </w:r>
      <w:r w:rsidR="002B1926">
        <w:rPr>
          <w:rFonts w:ascii="Arial" w:hAnsi="Arial" w:cs="Arial"/>
        </w:rPr>
        <w:instrText>ADDIN CSL_CITATION {"citationItems":[{"id":"ITEM-1","itemData":{"author":[{"dropping-particle":"","family":"Nowell","given":"Geoffrey M.","non-dropping-particle":"","parse-names":false,"suffix":""},{"dropping-particle":"","family":"Parrish","given":"Randall R.","non-dropping-particle":"","parse-names":false,"suffix":""}],"container-title":"Plasma Source Mass Spectrometry: The New Millenium","editor":[{"dropping-particle":"","family":"Holland","given":"G.","non-dropping-particle":"","parse-names":false,"suffix":""},{"dropping-particle":"","family":"Tanner","given":"S. D.","non-dropping-particle":"","parse-names":false,"suffix":""}],"id":"ITEM-1","issue":"267","issued":{"date-parts":[["2001"]]},"page":"298-310","publisher":"Royal Society of Chemistry. Special Publications","title":"Simultaneous acquisition of isotope compositions and parent/daughter ratios by non-isotope dilution-mode plasma ionisation multi-collector mass spectrometry (PIMMS)","type":"chapter"},"uris":["http://www.mendeley.com/documents/?uuid=34b6b8e8-80f5-45b1-8db4-6f62c4fa8c13"]}],"mendeley":{"formattedCitation":"(Nowell and Parrish, 2001)","plainTextFormattedCitation":"(Nowell and Parrish, 2001)","previouslyFormattedCitation":"(Nowell and Parrish, 2001)"},"properties":{"noteIndex":0},"schema":"https://github.com/citation-style-language/schema/raw/master/csl-citation.json"}</w:instrText>
      </w:r>
      <w:r w:rsidR="000E3AB2">
        <w:rPr>
          <w:rFonts w:ascii="Arial" w:hAnsi="Arial" w:cs="Arial"/>
        </w:rPr>
        <w:fldChar w:fldCharType="separate"/>
      </w:r>
      <w:r w:rsidR="000E3AB2" w:rsidRPr="000E3AB2">
        <w:rPr>
          <w:rFonts w:ascii="Arial" w:hAnsi="Arial" w:cs="Arial"/>
          <w:noProof/>
        </w:rPr>
        <w:t>(Nowell and Parrish, 2001)</w:t>
      </w:r>
      <w:r w:rsidR="000E3AB2">
        <w:rPr>
          <w:rFonts w:ascii="Arial" w:hAnsi="Arial" w:cs="Arial"/>
        </w:rPr>
        <w:fldChar w:fldCharType="end"/>
      </w:r>
      <w:r w:rsidR="000E3AB2">
        <w:rPr>
          <w:rFonts w:ascii="Arial" w:hAnsi="Arial" w:cs="Arial"/>
        </w:rPr>
        <w:t>.</w:t>
      </w:r>
      <w:r w:rsidRPr="001D01D0">
        <w:rPr>
          <w:rFonts w:ascii="Arial" w:hAnsi="Arial" w:cs="Arial"/>
        </w:rPr>
        <w:t xml:space="preserve"> </w:t>
      </w:r>
      <w:r w:rsidRPr="001D01D0">
        <w:rPr>
          <w:rFonts w:ascii="Arial" w:hAnsi="Arial" w:cs="Arial"/>
          <w:vertAlign w:val="superscript"/>
        </w:rPr>
        <w:t>176</w:t>
      </w:r>
      <w:r w:rsidRPr="001D01D0">
        <w:rPr>
          <w:rFonts w:ascii="Arial" w:hAnsi="Arial" w:cs="Arial"/>
        </w:rPr>
        <w:t xml:space="preserve">Lu interference on the </w:t>
      </w:r>
      <w:r w:rsidRPr="001D01D0">
        <w:rPr>
          <w:rFonts w:ascii="Arial" w:hAnsi="Arial" w:cs="Arial"/>
          <w:vertAlign w:val="superscript"/>
        </w:rPr>
        <w:t>176</w:t>
      </w:r>
      <w:r w:rsidRPr="001D01D0">
        <w:rPr>
          <w:rFonts w:ascii="Arial" w:hAnsi="Arial" w:cs="Arial"/>
        </w:rPr>
        <w:t xml:space="preserve">Hf peak was corrected by using the measured </w:t>
      </w:r>
      <w:r w:rsidRPr="001D01D0">
        <w:rPr>
          <w:rFonts w:ascii="Arial" w:hAnsi="Arial" w:cs="Arial"/>
          <w:vertAlign w:val="superscript"/>
        </w:rPr>
        <w:t>175</w:t>
      </w:r>
      <w:r w:rsidRPr="001D01D0">
        <w:rPr>
          <w:rFonts w:ascii="Arial" w:hAnsi="Arial" w:cs="Arial"/>
        </w:rPr>
        <w:t xml:space="preserve">Lu and assuming </w:t>
      </w:r>
      <w:r w:rsidRPr="001D01D0">
        <w:rPr>
          <w:rFonts w:ascii="Arial" w:hAnsi="Arial" w:cs="Arial"/>
          <w:vertAlign w:val="superscript"/>
        </w:rPr>
        <w:t>176</w:t>
      </w:r>
      <w:r w:rsidRPr="001D01D0">
        <w:rPr>
          <w:rFonts w:ascii="Arial" w:hAnsi="Arial" w:cs="Arial"/>
        </w:rPr>
        <w:t>Lu/</w:t>
      </w:r>
      <w:r w:rsidRPr="001D01D0">
        <w:rPr>
          <w:rFonts w:ascii="Arial" w:hAnsi="Arial" w:cs="Arial"/>
          <w:vertAlign w:val="superscript"/>
        </w:rPr>
        <w:t>175</w:t>
      </w:r>
      <w:r w:rsidRPr="001D01D0">
        <w:rPr>
          <w:rFonts w:ascii="Arial" w:hAnsi="Arial" w:cs="Arial"/>
        </w:rPr>
        <w:t>Lu = 0.02653.</w:t>
      </w:r>
      <w:r w:rsidR="00D17D8F">
        <w:rPr>
          <w:rFonts w:ascii="Arial" w:hAnsi="Arial" w:cs="Arial"/>
        </w:rPr>
        <w:t xml:space="preserve"> </w:t>
      </w:r>
      <w:bookmarkStart w:id="37" w:name="_Hlk75350184"/>
      <w:r w:rsidRPr="001D01D0">
        <w:rPr>
          <w:rFonts w:ascii="Arial" w:hAnsi="Arial" w:cs="Arial"/>
        </w:rPr>
        <w:t xml:space="preserve">Three zircon reference materials </w:t>
      </w:r>
      <w:r w:rsidR="00ED5228">
        <w:rPr>
          <w:rFonts w:ascii="Arial" w:hAnsi="Arial" w:cs="Arial"/>
        </w:rPr>
        <w:t>(</w:t>
      </w:r>
      <w:r w:rsidR="00ED5228" w:rsidRPr="00906CCC">
        <w:rPr>
          <w:rFonts w:ascii="Arial" w:hAnsi="Arial" w:cs="Arial"/>
        </w:rPr>
        <w:t>91500</w:t>
      </w:r>
      <w:r w:rsidR="00ED5228">
        <w:rPr>
          <w:rFonts w:ascii="Arial" w:hAnsi="Arial" w:cs="Arial"/>
        </w:rPr>
        <w:t xml:space="preserve"> </w:t>
      </w:r>
      <w:r w:rsidR="00ED5228">
        <w:rPr>
          <w:rFonts w:ascii="Arial" w:hAnsi="Arial" w:cs="Arial"/>
        </w:rPr>
        <w:fldChar w:fldCharType="begin" w:fldLock="1"/>
      </w:r>
      <w:r w:rsidR="00ED5228">
        <w:rPr>
          <w:rFonts w:ascii="Arial" w:hAnsi="Arial" w:cs="Arial"/>
        </w:rPr>
        <w:instrText>ADDIN CSL_CITATION {"citationItems":[{"id":"ITEM-1","itemData":{"DOI":"10.1016/j.chemgeo.2008.05.014","ISSN":"00092541","abstract":"Ten new single zircon fragments, analyzed by solution chemistry and MC-ICP-MS, of the 91500 zircon standard show no evidence to support a recent claim based on in situ data that this reference material is heterogeneous in terms of its radiogenic Hf isotope composition and as a consequence should be abandoned as a reliable interlaboratory standard. Rather, the larger spread in 176Hf/177Hf among in situ data compared with solution chemistry data may reflect the uncertainties resulting from prominent isobaric interference corrections inherent to the in situ analytical protocol. The unweighted mean values of 176Hf/177Hf and 176Lu/177Hf measured for the ten zircon fragments of this study are 0.282313 ± 0.000008 (2σ) and 0.000311 ± 0.000136 (2σ), respectively. Pooling the mean 176Hf/177Hf of this work with those of published solution chemistry studies results in a value of 0.282308 ± 0.000006 (2σ; relative to 176Hf/177Hf = 0.282163 for JMC-475), which is recommended here as the currently best estimate of the Hf isotopic composition of this standard. All published studies agree on a value of ~ 0.0003 for the corresponding 176Lu/177Hf ratio. © 2008 Elsevier B.V. All rights reserved.","author":[{"dropping-particle":"","family":"Blichert-Toft","given":"Janne","non-dropping-particle":"","parse-names":false,"suffix":""}],"container-title":"Chemical Geology","id":"ITEM-1","issue":"3-4","issued":{"date-parts":[["2008"]]},"page":"252-257","title":"The Hf isotopic composition of zircon reference material 91500","type":"article-journal","volume":"253"},"uris":["http://www.mendeley.com/documents/?uuid=93da084c-8f05-4859-948c-595002b93c7e"]}],"mendeley":{"formattedCitation":"(Blichert-Toft, 2008)","plainTextFormattedCitation":"(Blichert-Toft, 2008)","previouslyFormattedCitation":"(Blichert-Toft, 2008)"},"properties":{"noteIndex":0},"schema":"https://github.com/citation-style-language/schema/raw/master/csl-citation.json"}</w:instrText>
      </w:r>
      <w:r w:rsidR="00ED5228">
        <w:rPr>
          <w:rFonts w:ascii="Arial" w:hAnsi="Arial" w:cs="Arial"/>
        </w:rPr>
        <w:fldChar w:fldCharType="separate"/>
      </w:r>
      <w:r w:rsidR="00ED5228" w:rsidRPr="008612C3">
        <w:rPr>
          <w:rFonts w:ascii="Arial" w:hAnsi="Arial" w:cs="Arial"/>
          <w:noProof/>
        </w:rPr>
        <w:t>(Blichert-Toft, 2008)</w:t>
      </w:r>
      <w:r w:rsidR="00ED5228">
        <w:rPr>
          <w:rFonts w:ascii="Arial" w:hAnsi="Arial" w:cs="Arial"/>
        </w:rPr>
        <w:fldChar w:fldCharType="end"/>
      </w:r>
      <w:r w:rsidR="00ED5228">
        <w:rPr>
          <w:rFonts w:ascii="Arial" w:hAnsi="Arial" w:cs="Arial"/>
        </w:rPr>
        <w:t xml:space="preserve">, Mud Tank </w:t>
      </w:r>
      <w:r w:rsidR="00ED5228">
        <w:rPr>
          <w:rFonts w:ascii="Arial" w:hAnsi="Arial" w:cs="Arial"/>
        </w:rPr>
        <w:fldChar w:fldCharType="begin" w:fldLock="1"/>
      </w:r>
      <w:r w:rsidR="00ED5228">
        <w:rPr>
          <w:rFonts w:ascii="Arial" w:hAnsi="Arial" w:cs="Arial"/>
        </w:rPr>
        <w:instrText>ADDIN CSL_CITATION {"citationItems":[{"id":"ITEM-1","itemData":{"DOI":"10.1111/j.1751-908x.2005.tb00891.x","ISSN":"0150-5505","abstract":"There is a growing need for new zircon reference materials for in situ\\nHf-isotope analysis by laser ablation-multicollector inductively coupled\\nplasma-mass spectrometry (LA-MC-ICP-MS). In this contribution we\\ndocument the results of a preliminary investigation of seven natural\\nzircons, conducted in order to test their suitability in this regard.\\nSolution MC-ICP-MS data on separated Lu and Hf fractions provided\\nreference compositional data while the results of ca. 750 in situ\\nLA-MC-ICP-MS analyses allowed assessment of potential micrometre-scale\\nheterogeneity. On the basis of these analyses and additional relevant\\nconsiderations such as availability, size and (Lu)Yb/Hf ratio, we\\nsuggest that, of the currently available zircons, Temora-2 and Mud Tank\\nare most likely to provide robust reference materials for Hf isotope\\ndeterminations both at the present time and into the future. The former\\nhas the advantage of also being well-characterised for U-Th-Pb\\nsystematics and suitable for in situ age determination, while the latter\\nis the most readily available and is of very large grain size.\\nAdditional materials such as BR266, and 91500, although limited in\\nsupply, show more consistent Lu/Hf ratios and are thus of use in\\nmonitoring elemental fractionation during ICP-MS analysis.","author":[{"dropping-particle":"","family":"Woodhead","given":"Jon D.","non-dropping-particle":"","parse-names":false,"suffix":""},{"dropping-particle":"","family":"Hergt","given":"Janet M.","non-dropping-particle":"","parse-names":false,"suffix":""}],"container-title":"Geostandards and Geoanalytical Research","id":"ITEM-1","issue":"2","issued":{"date-parts":[["2005"]]},"page":"183-195","title":"A Preliminary Appraisal of Seven Natural Zircon Reference Materials for In Situ Hf Isotope Determination","type":"article-journal","volume":"29"},"uris":["http://www.mendeley.com/documents/?uuid=271782b1-c372-4cff-8c81-e8e41ee7e9ec"]}],"mendeley":{"formattedCitation":"(Woodhead and Hergt, 2005)","plainTextFormattedCitation":"(Woodhead and Hergt, 2005)","previouslyFormattedCitation":"(Woodhead and Hergt, 2005)"},"properties":{"noteIndex":0},"schema":"https://github.com/citation-style-language/schema/raw/master/csl-citation.json"}</w:instrText>
      </w:r>
      <w:r w:rsidR="00ED5228">
        <w:rPr>
          <w:rFonts w:ascii="Arial" w:hAnsi="Arial" w:cs="Arial"/>
        </w:rPr>
        <w:fldChar w:fldCharType="separate"/>
      </w:r>
      <w:r w:rsidR="00ED5228" w:rsidRPr="003374CE">
        <w:rPr>
          <w:rFonts w:ascii="Arial" w:hAnsi="Arial" w:cs="Arial"/>
          <w:noProof/>
        </w:rPr>
        <w:t>(Woodhead and Hergt, 2005)</w:t>
      </w:r>
      <w:r w:rsidR="00ED5228">
        <w:rPr>
          <w:rFonts w:ascii="Arial" w:hAnsi="Arial" w:cs="Arial"/>
        </w:rPr>
        <w:fldChar w:fldCharType="end"/>
      </w:r>
      <w:r w:rsidR="00ED5228">
        <w:rPr>
          <w:rFonts w:ascii="Arial" w:hAnsi="Arial" w:cs="Arial"/>
        </w:rPr>
        <w:t xml:space="preserve">, and GJ1) </w:t>
      </w:r>
      <w:r w:rsidRPr="001D01D0">
        <w:rPr>
          <w:rFonts w:ascii="Arial" w:hAnsi="Arial" w:cs="Arial"/>
        </w:rPr>
        <w:t xml:space="preserve">were analysed throughout the analytical session at regular intervals (typically after every </w:t>
      </w:r>
      <w:r w:rsidR="00D17D8F">
        <w:rPr>
          <w:rFonts w:ascii="Arial" w:hAnsi="Arial" w:cs="Arial"/>
        </w:rPr>
        <w:t>40-50</w:t>
      </w:r>
      <w:r w:rsidRPr="001D01D0">
        <w:rPr>
          <w:rFonts w:ascii="Arial" w:hAnsi="Arial" w:cs="Arial"/>
        </w:rPr>
        <w:t xml:space="preserve"> unknowns)</w:t>
      </w:r>
      <w:bookmarkEnd w:id="37"/>
      <w:r w:rsidRPr="001D01D0">
        <w:rPr>
          <w:rFonts w:ascii="Arial" w:hAnsi="Arial" w:cs="Arial"/>
        </w:rPr>
        <w:t xml:space="preserve">. The 91500 zircon reference material was used as the primary standard in Iolite, and was used to normalise the </w:t>
      </w:r>
      <w:r w:rsidRPr="00D17D8F">
        <w:rPr>
          <w:rFonts w:ascii="Arial" w:hAnsi="Arial" w:cs="Arial"/>
          <w:vertAlign w:val="superscript"/>
        </w:rPr>
        <w:t>176</w:t>
      </w:r>
      <w:r w:rsidRPr="001D01D0">
        <w:rPr>
          <w:rFonts w:ascii="Arial" w:hAnsi="Arial" w:cs="Arial"/>
        </w:rPr>
        <w:t>Lu/</w:t>
      </w:r>
      <w:r w:rsidRPr="00D17D8F">
        <w:rPr>
          <w:rFonts w:ascii="Arial" w:hAnsi="Arial" w:cs="Arial"/>
          <w:vertAlign w:val="superscript"/>
        </w:rPr>
        <w:t>177</w:t>
      </w:r>
      <w:r w:rsidRPr="001D01D0">
        <w:rPr>
          <w:rFonts w:ascii="Arial" w:hAnsi="Arial" w:cs="Arial"/>
        </w:rPr>
        <w:t>Hf ratio assuming a value of 0.000311</w:t>
      </w:r>
      <w:r w:rsidR="003374CE">
        <w:rPr>
          <w:rFonts w:ascii="Arial" w:hAnsi="Arial" w:cs="Arial"/>
        </w:rPr>
        <w:t xml:space="preserve"> </w:t>
      </w:r>
      <w:r w:rsidR="003374CE">
        <w:rPr>
          <w:rFonts w:ascii="Arial" w:hAnsi="Arial" w:cs="Arial"/>
        </w:rPr>
        <w:fldChar w:fldCharType="begin" w:fldLock="1"/>
      </w:r>
      <w:r w:rsidR="003374CE">
        <w:rPr>
          <w:rFonts w:ascii="Arial" w:hAnsi="Arial" w:cs="Arial"/>
        </w:rPr>
        <w:instrText>ADDIN CSL_CITATION {"citationItems":[{"id":"ITEM-1","itemData":{"DOI":"10.1111/j.1751-908x.2005.tb00891.x","ISSN":"0150-5505","abstract":"There is a growing need for new zircon reference materials for in situ\\nHf-isotope analysis by laser ablation-multicollector inductively coupled\\nplasma-mass spectrometry (LA-MC-ICP-MS). In this contribution we\\ndocument the results of a preliminary investigation of seven natural\\nzircons, conducted in order to test their suitability in this regard.\\nSolution MC-ICP-MS data on separated Lu and Hf fractions provided\\nreference compositional data while the results of ca. 750 in situ\\nLA-MC-ICP-MS analyses allowed assessment of potential micrometre-scale\\nheterogeneity. On the basis of these analyses and additional relevant\\nconsiderations such as availability, size and (Lu)Yb/Hf ratio, we\\nsuggest that, of the currently available zircons, Temora-2 and Mud Tank\\nare most likely to provide robust reference materials for Hf isotope\\ndeterminations both at the present time and into the future. The former\\nhas the advantage of also being well-characterised for U-Th-Pb\\nsystematics and suitable for in situ age determination, while the latter\\nis the most readily available and is of very large grain size.\\nAdditional materials such as BR266, and 91500, although limited in\\nsupply, show more consistent Lu/Hf ratios and are thus of use in\\nmonitoring elemental fractionation during ICP-MS analysis.","author":[{"dropping-particle":"","family":"Woodhead","given":"Jon D.","non-dropping-particle":"","parse-names":false,"suffix":""},{"dropping-particle":"","family":"Hergt","given":"Janet M.","non-dropping-particle":"","parse-names":false,"suffix":""}],"container-title":"Geostandards and Geoanalytical Research","id":"ITEM-1","issue":"2","issued":{"date-parts":[["2005"]]},"page":"183-195","title":"A Preliminary Appraisal of Seven Natural Zircon Reference Materials for In Situ Hf Isotope Determination","type":"article-journal","volume":"29"},"uris":["http://www.mendeley.com/documents/?uuid=271782b1-c372-4cff-8c81-e8e41ee7e9ec"]}],"mendeley":{"formattedCitation":"(Woodhead and Hergt, 2005)","plainTextFormattedCitation":"(Woodhead and Hergt, 2005)","previouslyFormattedCitation":"(Woodhead and Hergt, 2005)"},"properties":{"noteIndex":0},"schema":"https://github.com/citation-style-language/schema/raw/master/csl-citation.json"}</w:instrText>
      </w:r>
      <w:r w:rsidR="003374CE">
        <w:rPr>
          <w:rFonts w:ascii="Arial" w:hAnsi="Arial" w:cs="Arial"/>
        </w:rPr>
        <w:fldChar w:fldCharType="separate"/>
      </w:r>
      <w:r w:rsidR="003374CE" w:rsidRPr="003374CE">
        <w:rPr>
          <w:rFonts w:ascii="Arial" w:hAnsi="Arial" w:cs="Arial"/>
          <w:noProof/>
        </w:rPr>
        <w:t>(Woodhead and Hergt, 2005)</w:t>
      </w:r>
      <w:r w:rsidR="003374CE">
        <w:rPr>
          <w:rFonts w:ascii="Arial" w:hAnsi="Arial" w:cs="Arial"/>
        </w:rPr>
        <w:fldChar w:fldCharType="end"/>
      </w:r>
      <w:r w:rsidRPr="001D01D0">
        <w:rPr>
          <w:rFonts w:ascii="Arial" w:hAnsi="Arial" w:cs="Arial"/>
        </w:rPr>
        <w:t xml:space="preserve">. Weighted mean </w:t>
      </w:r>
      <w:r w:rsidRPr="003374CE">
        <w:rPr>
          <w:rFonts w:ascii="Arial" w:hAnsi="Arial" w:cs="Arial"/>
          <w:vertAlign w:val="superscript"/>
        </w:rPr>
        <w:t>176</w:t>
      </w:r>
      <w:r w:rsidRPr="001D01D0">
        <w:rPr>
          <w:rFonts w:ascii="Arial" w:hAnsi="Arial" w:cs="Arial"/>
        </w:rPr>
        <w:t>Hf/</w:t>
      </w:r>
      <w:r w:rsidRPr="003374CE">
        <w:rPr>
          <w:rFonts w:ascii="Arial" w:hAnsi="Arial" w:cs="Arial"/>
          <w:vertAlign w:val="superscript"/>
        </w:rPr>
        <w:t>177</w:t>
      </w:r>
      <w:r w:rsidRPr="001D01D0">
        <w:rPr>
          <w:rFonts w:ascii="Arial" w:hAnsi="Arial" w:cs="Arial"/>
        </w:rPr>
        <w:t xml:space="preserve">Hf values for the analysed standards are as follows: 91500, 0.282307 ± 0.000003 (2s), MSWD = 0.87, n = 304; GJ-1, 0.282017 ± 0.000003, MSWD = 0.74, n = 286; Mud Tank, 0.282509 ± 0.000003, MSWD = 0.82, n = 285. See Supplementary Table </w:t>
      </w:r>
      <w:r w:rsidRPr="003C4AA9">
        <w:rPr>
          <w:rFonts w:ascii="Arial" w:hAnsi="Arial" w:cs="Arial"/>
        </w:rPr>
        <w:t>S</w:t>
      </w:r>
      <w:r w:rsidR="00917497">
        <w:rPr>
          <w:rFonts w:ascii="Arial" w:hAnsi="Arial" w:cs="Arial"/>
        </w:rPr>
        <w:t>6</w:t>
      </w:r>
      <w:r w:rsidRPr="001D01D0">
        <w:rPr>
          <w:rFonts w:ascii="Arial" w:hAnsi="Arial" w:cs="Arial"/>
        </w:rPr>
        <w:t xml:space="preserve"> for more detail.</w:t>
      </w:r>
    </w:p>
    <w:p w14:paraId="5243376D" w14:textId="17E4074A" w:rsidR="00D17D8F" w:rsidRPr="001D01D0" w:rsidRDefault="001D01D0" w:rsidP="00D17D8F">
      <w:pPr>
        <w:spacing w:before="120" w:after="120" w:line="480" w:lineRule="auto"/>
        <w:jc w:val="both"/>
        <w:rPr>
          <w:rFonts w:ascii="Arial" w:hAnsi="Arial" w:cs="Arial"/>
        </w:rPr>
      </w:pPr>
      <w:r w:rsidRPr="001D01D0">
        <w:rPr>
          <w:rFonts w:ascii="Arial" w:hAnsi="Arial" w:cs="Arial"/>
        </w:rPr>
        <w:t xml:space="preserve">Analytical uncertainties for unknowns were propagated by quadratic addition to include the standard error of the mean of the analysis and the reproducibility of the 91500 reference material. εHf values were calculated using a </w:t>
      </w:r>
      <w:r w:rsidRPr="003374CE">
        <w:rPr>
          <w:rFonts w:ascii="Arial" w:hAnsi="Arial" w:cs="Arial"/>
          <w:vertAlign w:val="superscript"/>
        </w:rPr>
        <w:t>176</w:t>
      </w:r>
      <w:r w:rsidRPr="001D01D0">
        <w:rPr>
          <w:rFonts w:ascii="Arial" w:hAnsi="Arial" w:cs="Arial"/>
        </w:rPr>
        <w:t>Lu decay constant of 1.867 x 10-11y</w:t>
      </w:r>
      <w:r w:rsidRPr="003374CE">
        <w:rPr>
          <w:rFonts w:ascii="Arial" w:hAnsi="Arial" w:cs="Arial"/>
          <w:vertAlign w:val="superscript"/>
        </w:rPr>
        <w:t>-1</w:t>
      </w:r>
      <w:r w:rsidRPr="001D01D0">
        <w:rPr>
          <w:rFonts w:ascii="Arial" w:hAnsi="Arial" w:cs="Arial"/>
        </w:rPr>
        <w:t xml:space="preserve"> </w:t>
      </w:r>
      <w:r w:rsidR="003374CE">
        <w:rPr>
          <w:rFonts w:ascii="Arial" w:hAnsi="Arial" w:cs="Arial"/>
        </w:rPr>
        <w:fldChar w:fldCharType="begin" w:fldLock="1"/>
      </w:r>
      <w:r w:rsidR="003374CE">
        <w:rPr>
          <w:rFonts w:ascii="Arial" w:hAnsi="Arial" w:cs="Arial"/>
        </w:rPr>
        <w:instrText>ADDIN CSL_CITATION {"citationItems":[{"id":"ITEM-1","itemData":{"DOI":"10.1016/S0012-821X(04)00012-3","ISSN":"0012821X","abstract":"At present, there is large uncertainty in the decay constant of 176Lu needed for Lu-Hf isotopic studies. We have determined λ176Lu by cross-calibration of U-Pb and Lu-Hf isotopic systems on mineral fractions from the Proterozoic Karlshamn and Sorkka dolerites in Sweden and Finland. The dolerites crystallized at shallow depths from homogeneous, high-temperature magmas, carry olivine that is nearly 100% unaltered, and show no signs of post-magmatic isotopic disturbance. The Lu and Hf isotopic compositions of plagioclase, olivine, pyroxene, apatite, ilmenite and baddeleyite were determined by multicollector-inductively coupled plasma mass spectrometry (MC-ICPMS). Calibrating the Lu-Hf results against baddeleyite U-Pb dates of 954.1±1.2 and 1256.2±1.4 Ma for the dolerites yields a mean λ176Lu of 1.867±0.008×10-11 year-1. The pristine character of the rocks and the agreement of the λ176Lu values with those from other terrestrial data sets [E. Scherer et al., Science 293 (2001) 683-687] suggest that the true value of λ176Lu lies between 1.86 and 1.87×10-11 year-1. Calibration experiments on extraterrestrial samples give significantly higher (4-6%) values, a discrepancy that may be due to plotting of non-cogenetic samples on the same Lu-Hf isochron diagram, or may have other, as yet undetermined, causes. The result of this study also indicates that the Lu-Hf method is capable for dating the crystallization of mafic rocks. The high 176Lu/177Hf ratio in apatite suggests that intrusive ages can be determined at a precision of a few million years or better. © 2004 Elsevier B.V. All rights reserved.","author":[{"dropping-particle":"","family":"Söderlund","given":"Ulf","non-dropping-particle":"","parse-names":false,"suffix":""},{"dropping-particle":"","family":"Patchett","given":"P. Jonathan","non-dropping-particle":"","parse-names":false,"suffix":""},{"dropping-particle":"","family":"Vervoort","given":"Jeffrey D.","non-dropping-particle":"","parse-names":false,"suffix":""},{"dropping-particle":"","family":"Isachsen","given":"Clark E.","non-dropping-particle":"","parse-names":false,"suffix":""}],"container-title":"Earth and Planetary Science Letters","id":"ITEM-1","issue":"3-4","issued":{"date-parts":[["2004"]]},"page":"311-324","title":"The 176Lu decay constant determined by Lu-Hf and U-Pb isotope systematics of Precambrian mafic intrusions","type":"article-journal","volume":"219"},"uris":["http://www.mendeley.com/documents/?uuid=239324fa-d6c3-4608-ad6c-7ce59f51d288"]}],"mendeley":{"formattedCitation":"(Söderlund et al., 2004)","plainTextFormattedCitation":"(Söderlund et al., 2004)","previouslyFormattedCitation":"(Söderlund et al., 2004)"},"properties":{"noteIndex":0},"schema":"https://github.com/citation-style-language/schema/raw/master/csl-citation.json"}</w:instrText>
      </w:r>
      <w:r w:rsidR="003374CE">
        <w:rPr>
          <w:rFonts w:ascii="Arial" w:hAnsi="Arial" w:cs="Arial"/>
        </w:rPr>
        <w:fldChar w:fldCharType="separate"/>
      </w:r>
      <w:r w:rsidR="003374CE" w:rsidRPr="003374CE">
        <w:rPr>
          <w:rFonts w:ascii="Arial" w:hAnsi="Arial" w:cs="Arial"/>
          <w:noProof/>
        </w:rPr>
        <w:t>(Söderlund et al., 2004)</w:t>
      </w:r>
      <w:r w:rsidR="003374CE">
        <w:rPr>
          <w:rFonts w:ascii="Arial" w:hAnsi="Arial" w:cs="Arial"/>
        </w:rPr>
        <w:fldChar w:fldCharType="end"/>
      </w:r>
      <w:r w:rsidRPr="001D01D0">
        <w:rPr>
          <w:rFonts w:ascii="Arial" w:hAnsi="Arial" w:cs="Arial"/>
        </w:rPr>
        <w:t xml:space="preserve">, the present-day chondritic </w:t>
      </w:r>
      <w:r w:rsidRPr="003374CE">
        <w:rPr>
          <w:rFonts w:ascii="Arial" w:hAnsi="Arial" w:cs="Arial"/>
          <w:vertAlign w:val="superscript"/>
        </w:rPr>
        <w:t>176</w:t>
      </w:r>
      <w:r w:rsidRPr="001D01D0">
        <w:rPr>
          <w:rFonts w:ascii="Arial" w:hAnsi="Arial" w:cs="Arial"/>
        </w:rPr>
        <w:t>Lu/</w:t>
      </w:r>
      <w:r w:rsidRPr="003374CE">
        <w:rPr>
          <w:rFonts w:ascii="Arial" w:hAnsi="Arial" w:cs="Arial"/>
          <w:vertAlign w:val="superscript"/>
        </w:rPr>
        <w:t>177</w:t>
      </w:r>
      <w:r w:rsidRPr="001D01D0">
        <w:rPr>
          <w:rFonts w:ascii="Arial" w:hAnsi="Arial" w:cs="Arial"/>
        </w:rPr>
        <w:t>Hf value of 0.0336</w:t>
      </w:r>
      <w:r w:rsidR="009330B7">
        <w:rPr>
          <w:rFonts w:ascii="Arial" w:hAnsi="Arial" w:cs="Arial"/>
        </w:rPr>
        <w:t>,</w:t>
      </w:r>
      <w:r w:rsidRPr="001D01D0">
        <w:rPr>
          <w:rFonts w:ascii="Arial" w:hAnsi="Arial" w:cs="Arial"/>
        </w:rPr>
        <w:t xml:space="preserve"> and</w:t>
      </w:r>
      <w:r w:rsidR="009330B7">
        <w:rPr>
          <w:rFonts w:ascii="Arial" w:hAnsi="Arial" w:cs="Arial"/>
        </w:rPr>
        <w:t xml:space="preserve"> a</w:t>
      </w:r>
      <w:r w:rsidRPr="001D01D0">
        <w:rPr>
          <w:rFonts w:ascii="Arial" w:hAnsi="Arial" w:cs="Arial"/>
        </w:rPr>
        <w:t xml:space="preserve"> </w:t>
      </w:r>
      <w:r w:rsidRPr="003374CE">
        <w:rPr>
          <w:rFonts w:ascii="Arial" w:hAnsi="Arial" w:cs="Arial"/>
          <w:vertAlign w:val="superscript"/>
        </w:rPr>
        <w:t>176</w:t>
      </w:r>
      <w:r w:rsidRPr="001D01D0">
        <w:rPr>
          <w:rFonts w:ascii="Arial" w:hAnsi="Arial" w:cs="Arial"/>
        </w:rPr>
        <w:t>Hf/</w:t>
      </w:r>
      <w:r w:rsidRPr="003374CE">
        <w:rPr>
          <w:rFonts w:ascii="Arial" w:hAnsi="Arial" w:cs="Arial"/>
          <w:vertAlign w:val="superscript"/>
        </w:rPr>
        <w:t>177</w:t>
      </w:r>
      <w:r w:rsidRPr="001D01D0">
        <w:rPr>
          <w:rFonts w:ascii="Arial" w:hAnsi="Arial" w:cs="Arial"/>
        </w:rPr>
        <w:t xml:space="preserve">Hf ratio of 0.282785 </w:t>
      </w:r>
      <w:r w:rsidR="003374CE">
        <w:rPr>
          <w:rFonts w:ascii="Arial" w:hAnsi="Arial" w:cs="Arial"/>
        </w:rPr>
        <w:fldChar w:fldCharType="begin" w:fldLock="1"/>
      </w:r>
      <w:r w:rsidR="003374CE">
        <w:rPr>
          <w:rFonts w:ascii="Arial" w:hAnsi="Arial" w:cs="Arial"/>
        </w:rPr>
        <w:instrText>ADDIN CSL_CITATION {"citationItems":[{"id":"ITEM-1","itemData":{"DOI":"10.1016/j.epsl.2008.06.010","ISSN":"0012821X","abstract":"The Lutetium-Hafnium radiogenic isotopic system is widely used as a chronometer and tracer of planetary evolution. In order for this isotopic system to fulfill its potential in planetary studies, the Lu-Hf system parameters need to be more tightly constrained, in particular the Lu-Hf isotopic composition of the chondritic uniform reservoir (CHUR) and, by extension, the bulk silicate Earth (BSE). We present new Lu-Hf and Sm-Nd isotopic compositions of unequilibrated carbonaceous, ordinary, and enstatite chondrites of petrologic types 1, 2, and 3 which define a narrow range of Lu/Hf ratios (3%) identical with that of Sm/Nd. This contrasts with previously published data from mostly equilibrated ordinary chondrites of petrologic types 4, 5, and 6 which have a much larger range in Lu/Hf (28%). This heterogeneity has hampered an unambiguous choice for the Lu-Hf isotopic composition of CHUR. Our new determinations of Lu-Hf CHUR parameters are 176Lu/177Hf = 0.0336 ± 1 and 176Hf/177Hf = 0.282785 ± 11 (2σm), which are higher than previous estimates and, together with average Sm-Nd chondrite compositions of unequilibrated chondrites of 147Sm/144Nd = 0.1960 ± 4 and 143Nd/144Nd = 0.512630 ± 11 (2σm), now provide firm constraints on the chondritic parameters for both Lu-Hf and Sm-Nd isotopic systems. A comparison of Lu-Hf and Sm-Nd data show that terrestrial planets, as well as early differentiated planetesimals, converge toward a common initial Hf and Nd isotope composition corresponding to the average of chondrites. Finally, a compilation of Lu-Hf isotopic data of unequilibrated and equilibrated chondrites demonstrates that the 176Lu decay decay-constant value cannot be resolved by age comparison on metamorphosed or shocked planetary materials which have a complex history. © 2008 Elsevier B.V. All rights reserved.","author":[{"dropping-particle":"","family":"Bouvier","given":"Audrey","non-dropping-particle":"","parse-names":false,"suffix":""},{"dropping-particle":"","family":"Vervoort","given":"Jeffrey D.","non-dropping-particle":"","parse-names":false,"suffix":""},{"dropping-particle":"","family":"Patchett","given":"P. Jonathan","non-dropping-particle":"","parse-names":false,"suffix":""}],"container-title":"Earth and Planetary Science Letters","id":"ITEM-1","issue":"1-2","issued":{"date-parts":[["2008"]]},"page":"48-57","title":"The Lu-Hf and Sm-Nd isotopic composition of CHUR: Constraints from unequilibrated chondrites and implications for the bulk composition of terrestrial planets","type":"article-journal","volume":"273"},"uris":["http://www.mendeley.com/documents/?uuid=81ca28b6-9409-4d83-b75a-3395dad8222a"]}],"mendeley":{"formattedCitation":"(Bouvier et al., 2008)","plainTextFormattedCitation":"(Bouvier et al., 2008)","previouslyFormattedCitation":"(Bouvier et al., 2008)"},"properties":{"noteIndex":0},"schema":"https://github.com/citation-style-language/schema/raw/master/csl-citation.json"}</w:instrText>
      </w:r>
      <w:r w:rsidR="003374CE">
        <w:rPr>
          <w:rFonts w:ascii="Arial" w:hAnsi="Arial" w:cs="Arial"/>
        </w:rPr>
        <w:fldChar w:fldCharType="separate"/>
      </w:r>
      <w:r w:rsidR="003374CE" w:rsidRPr="003374CE">
        <w:rPr>
          <w:rFonts w:ascii="Arial" w:hAnsi="Arial" w:cs="Arial"/>
          <w:noProof/>
        </w:rPr>
        <w:t>(Bouvier et al., 2008)</w:t>
      </w:r>
      <w:r w:rsidR="003374CE">
        <w:rPr>
          <w:rFonts w:ascii="Arial" w:hAnsi="Arial" w:cs="Arial"/>
        </w:rPr>
        <w:fldChar w:fldCharType="end"/>
      </w:r>
      <w:r w:rsidRPr="001D01D0">
        <w:rPr>
          <w:rFonts w:ascii="Arial" w:hAnsi="Arial" w:cs="Arial"/>
        </w:rPr>
        <w:t>.</w:t>
      </w:r>
      <w:r w:rsidR="00D17D8F">
        <w:rPr>
          <w:rFonts w:ascii="Arial" w:hAnsi="Arial" w:cs="Arial"/>
        </w:rPr>
        <w:t xml:space="preserve"> </w:t>
      </w:r>
      <w:r w:rsidR="00D17D8F" w:rsidRPr="001D01D0">
        <w:rPr>
          <w:rFonts w:ascii="Arial" w:hAnsi="Arial" w:cs="Arial"/>
        </w:rPr>
        <w:t>Hf-isotope data was processed using the Iolite data reduction package</w:t>
      </w:r>
      <w:r w:rsidR="003374CE">
        <w:rPr>
          <w:rFonts w:ascii="Arial" w:hAnsi="Arial" w:cs="Arial"/>
        </w:rPr>
        <w:t xml:space="preserve"> </w:t>
      </w:r>
      <w:r w:rsidR="003374CE">
        <w:rPr>
          <w:rFonts w:ascii="Arial" w:hAnsi="Arial" w:cs="Arial"/>
        </w:rPr>
        <w:fldChar w:fldCharType="begin" w:fldLock="1"/>
      </w:r>
      <w:r w:rsidR="003B078A">
        <w:rPr>
          <w:rFonts w:ascii="Arial" w:hAnsi="Arial" w:cs="Arial"/>
        </w:rPr>
        <w:instrText>ADDIN CSL_CITATION {"citationItems":[{"id":"ITEM-1","itemData":{"DOI":"10.1039/c1ja10172b","ISSN":"02679477","abstract":"Iolite is a non-commercial software package developed to aid in the processing of inorganic mass spectrometric data, with a strong emphasis on visualisation versus time of acquisition. The goal of the software is to provide a powerful framework for data processing and interpretation, while giving users the ability to implement their own data reduction protocols. It is intended to be highly interactive, providing the user with a complete overview of the data at all stages of processing, and allowing the freedom to change parameters and reprocess data at any point. The program presents a variety of windows for the selection and viewing of data versus time, as well as features for the generation of X-Y plots, summary reports and export of data. In addition, it is capable of generating X-Y images from laser ablation rasters, and combining information from up to four separate elemental concentrations (intensities of red, green and blue, and the z-axis) in a false-colour three-dimensional image. By virtue of its underlying computing environment - Igor Pro - Iolite is capable of processing very large datasets (i.e., millions of timeslices) rapidly, and is thus ideal for the interrogation of multi-hour sessions of laser ablation data that can not be easily manipulated in conventional spreadsheet applications, for example. It is also well suited to multi-day sessions of solution-mode inductively-coupled plasma mass spectrometer (ICPMS) or thermal ionisation mass spectrometer (TIMS) data. A strong emphasis is placed on the interpolation of parameters that vary with time by a variety of user selectable methods including smoothed cubic splines. Data are processed on a timeslice-by-timeslice basis, allowing outlier rejection and calculation of statistics to be employed directly on calculated results. This approach can reduce the risk of processing biases associated with the manipulation of integrated datasets, while also allowing the implementation of more complex data reduction methods. © 2011 The Royal Society of Chemistry.","author":[{"dropping-particle":"","family":"Paton","given":"Chad","non-dropping-particle":"","parse-names":false,"suffix":""},{"dropping-particle":"","family":"Hellstrom","given":"John","non-dropping-particle":"","parse-names":false,"suffix":""},{"dropping-particle":"","family":"Paul","given":"Bence","non-dropping-particle":"","parse-names":false,"suffix":""},{"dropping-particle":"","family":"Woodhead","given":"Jon D.","non-dropping-particle":"","parse-names":false,"suffix":""},{"dropping-particle":"","family":"Hergt","given":"Janet","non-dropping-particle":"","parse-names":false,"suffix":""}],"container-title":"Journal of Analytical Atomic Spectrometry","id":"ITEM-1","issue":"12","issued":{"date-parts":[["2011"]]},"page":"2508-2518","title":"Iolite: Freeware for the visualisation and processing of mass spectrometric data","type":"article-journal","volume":"26"},"uris":["http://www.mendeley.com/documents/?uuid=f2f08da0-68f0-4321-8601-ecc837cf7639"]}],"mendeley":{"formattedCitation":"(Paton et al., 2011)","plainTextFormattedCitation":"(Paton et al., 2011)","previouslyFormattedCitation":"(Paton et al., 2011)"},"properties":{"noteIndex":0},"schema":"https://github.com/citation-style-language/schema/raw/master/csl-citation.json"}</w:instrText>
      </w:r>
      <w:r w:rsidR="003374CE">
        <w:rPr>
          <w:rFonts w:ascii="Arial" w:hAnsi="Arial" w:cs="Arial"/>
        </w:rPr>
        <w:fldChar w:fldCharType="separate"/>
      </w:r>
      <w:r w:rsidR="003374CE" w:rsidRPr="003374CE">
        <w:rPr>
          <w:rFonts w:ascii="Arial" w:hAnsi="Arial" w:cs="Arial"/>
          <w:noProof/>
        </w:rPr>
        <w:t>(Paton et al., 2011)</w:t>
      </w:r>
      <w:r w:rsidR="003374CE">
        <w:rPr>
          <w:rFonts w:ascii="Arial" w:hAnsi="Arial" w:cs="Arial"/>
        </w:rPr>
        <w:fldChar w:fldCharType="end"/>
      </w:r>
      <w:r w:rsidR="00D17D8F" w:rsidRPr="001D01D0">
        <w:rPr>
          <w:rFonts w:ascii="Arial" w:hAnsi="Arial" w:cs="Arial"/>
        </w:rPr>
        <w:t xml:space="preserve">. </w:t>
      </w:r>
      <w:r w:rsidR="003D1DFB">
        <w:rPr>
          <w:rFonts w:ascii="Arial" w:hAnsi="Arial" w:cs="Arial"/>
        </w:rPr>
        <w:t>All r</w:t>
      </w:r>
      <w:r w:rsidR="003D1DFB" w:rsidRPr="00AF3AB7">
        <w:rPr>
          <w:rFonts w:ascii="Arial" w:hAnsi="Arial" w:cs="Arial"/>
        </w:rPr>
        <w:t>aw data</w:t>
      </w:r>
      <w:r w:rsidR="003D1DFB">
        <w:rPr>
          <w:rFonts w:ascii="Arial" w:hAnsi="Arial" w:cs="Arial"/>
        </w:rPr>
        <w:t xml:space="preserve"> for samples and standards</w:t>
      </w:r>
      <w:r w:rsidR="003D1DFB" w:rsidRPr="00AF3AB7">
        <w:rPr>
          <w:rFonts w:ascii="Arial" w:hAnsi="Arial" w:cs="Arial"/>
        </w:rPr>
        <w:t xml:space="preserve"> including element concentrations, ratios, and ages </w:t>
      </w:r>
      <w:r w:rsidR="003D1DFB">
        <w:rPr>
          <w:rFonts w:ascii="Arial" w:hAnsi="Arial" w:cs="Arial"/>
        </w:rPr>
        <w:t xml:space="preserve">can be found in Supplementary </w:t>
      </w:r>
      <w:r w:rsidR="003D1DFB" w:rsidRPr="00215526">
        <w:rPr>
          <w:rFonts w:ascii="Arial" w:hAnsi="Arial" w:cs="Arial"/>
        </w:rPr>
        <w:t xml:space="preserve">Table </w:t>
      </w:r>
      <w:r w:rsidR="003D1DFB" w:rsidRPr="005951F8">
        <w:rPr>
          <w:rFonts w:ascii="Arial" w:hAnsi="Arial" w:cs="Arial"/>
        </w:rPr>
        <w:t>S</w:t>
      </w:r>
      <w:r w:rsidR="003D1DFB">
        <w:rPr>
          <w:rFonts w:ascii="Arial" w:hAnsi="Arial" w:cs="Arial"/>
        </w:rPr>
        <w:t>7</w:t>
      </w:r>
      <w:r w:rsidR="003D1DFB" w:rsidRPr="00215526">
        <w:rPr>
          <w:rFonts w:ascii="Arial" w:hAnsi="Arial" w:cs="Arial"/>
        </w:rPr>
        <w:t>.</w:t>
      </w:r>
    </w:p>
    <w:p w14:paraId="71C5F27E" w14:textId="765392F3" w:rsidR="001D01D0" w:rsidRDefault="001D01D0" w:rsidP="001D01D0">
      <w:pPr>
        <w:spacing w:before="120" w:after="120" w:line="480" w:lineRule="auto"/>
        <w:jc w:val="both"/>
        <w:rPr>
          <w:rFonts w:ascii="Arial" w:hAnsi="Arial" w:cs="Arial"/>
        </w:rPr>
      </w:pPr>
      <w:r w:rsidRPr="001D01D0">
        <w:rPr>
          <w:rFonts w:ascii="Arial" w:hAnsi="Arial" w:cs="Arial"/>
        </w:rPr>
        <w:t>Hafnium isotope compositions are presented as εHf values, and represent the time-integrated deviation of a zircon’s hafnium isotope composition in parts per 10,000 from the Chondritic Uniform Reservoir (CHUR) at the time of crystallisation (as determined by the measured U-Pb age).</w:t>
      </w:r>
    </w:p>
    <w:bookmarkEnd w:id="35"/>
    <w:p w14:paraId="44E2C1EA" w14:textId="70552BC3" w:rsidR="00917497" w:rsidRPr="00EC46E7" w:rsidRDefault="00A95657" w:rsidP="00917497">
      <w:pPr>
        <w:pStyle w:val="Heading2"/>
        <w:numPr>
          <w:ilvl w:val="1"/>
          <w:numId w:val="34"/>
        </w:numPr>
        <w:spacing w:before="120" w:after="120" w:line="480" w:lineRule="auto"/>
        <w:ind w:left="851" w:hanging="851"/>
        <w:jc w:val="both"/>
        <w:rPr>
          <w:rFonts w:ascii="Arial" w:hAnsi="Arial" w:cs="Arial"/>
          <w:i/>
          <w:color w:val="auto"/>
          <w:sz w:val="24"/>
          <w:szCs w:val="24"/>
        </w:rPr>
      </w:pPr>
      <w:r>
        <w:rPr>
          <w:rFonts w:ascii="Arial" w:hAnsi="Arial" w:cs="Arial"/>
          <w:i/>
          <w:color w:val="auto"/>
          <w:sz w:val="24"/>
          <w:szCs w:val="24"/>
        </w:rPr>
        <w:t>Supporting datasets</w:t>
      </w:r>
    </w:p>
    <w:p w14:paraId="7F39796C" w14:textId="1FE08654" w:rsidR="00917497" w:rsidRDefault="002A3E27" w:rsidP="0038619A">
      <w:pPr>
        <w:spacing w:before="120" w:after="120" w:line="480" w:lineRule="auto"/>
        <w:jc w:val="both"/>
        <w:rPr>
          <w:rFonts w:ascii="Arial" w:hAnsi="Arial" w:cs="Arial"/>
        </w:rPr>
      </w:pPr>
      <w:bookmarkStart w:id="38" w:name="_Hlk80886871"/>
      <w:r>
        <w:rPr>
          <w:rFonts w:ascii="Arial" w:hAnsi="Arial" w:cs="Arial"/>
        </w:rPr>
        <w:t>To investigate the primary sources of the material for loess deposits</w:t>
      </w:r>
      <w:r w:rsidR="00A41AC0">
        <w:rPr>
          <w:rFonts w:ascii="Arial" w:hAnsi="Arial" w:cs="Arial"/>
        </w:rPr>
        <w:t>,</w:t>
      </w:r>
      <w:r>
        <w:rPr>
          <w:rFonts w:ascii="Arial" w:hAnsi="Arial" w:cs="Arial"/>
        </w:rPr>
        <w:t xml:space="preserve"> </w:t>
      </w:r>
      <w:r w:rsidR="00604152">
        <w:rPr>
          <w:rFonts w:ascii="Arial" w:hAnsi="Arial" w:cs="Arial"/>
        </w:rPr>
        <w:t xml:space="preserve">160 </w:t>
      </w:r>
      <w:r>
        <w:rPr>
          <w:rFonts w:ascii="Arial" w:hAnsi="Arial" w:cs="Arial"/>
        </w:rPr>
        <w:t xml:space="preserve">U-Pb and </w:t>
      </w:r>
      <w:r w:rsidR="00604152">
        <w:rPr>
          <w:rFonts w:ascii="Arial" w:hAnsi="Arial" w:cs="Arial"/>
        </w:rPr>
        <w:t xml:space="preserve">60 </w:t>
      </w:r>
      <w:r>
        <w:rPr>
          <w:rFonts w:ascii="Arial" w:hAnsi="Arial" w:cs="Arial"/>
        </w:rPr>
        <w:t>Hf isotope datasets</w:t>
      </w:r>
      <w:r w:rsidR="00F63EF8">
        <w:rPr>
          <w:rFonts w:ascii="Arial" w:hAnsi="Arial" w:cs="Arial"/>
        </w:rPr>
        <w:t xml:space="preserve"> for zircon</w:t>
      </w:r>
      <w:r>
        <w:rPr>
          <w:rFonts w:ascii="Arial" w:hAnsi="Arial" w:cs="Arial"/>
        </w:rPr>
        <w:t xml:space="preserve"> were collected</w:t>
      </w:r>
      <w:r w:rsidR="00246111">
        <w:rPr>
          <w:rFonts w:ascii="Arial" w:hAnsi="Arial" w:cs="Arial"/>
        </w:rPr>
        <w:t xml:space="preserve"> from </w:t>
      </w:r>
      <w:r w:rsidR="000E054C">
        <w:rPr>
          <w:rFonts w:ascii="Arial" w:hAnsi="Arial" w:cs="Arial"/>
        </w:rPr>
        <w:t xml:space="preserve">published </w:t>
      </w:r>
      <w:r w:rsidR="00246111">
        <w:rPr>
          <w:rFonts w:ascii="Arial" w:hAnsi="Arial" w:cs="Arial"/>
        </w:rPr>
        <w:t>literature</w:t>
      </w:r>
      <w:r w:rsidR="00604152">
        <w:rPr>
          <w:rFonts w:ascii="Arial" w:hAnsi="Arial" w:cs="Arial"/>
        </w:rPr>
        <w:t>, which amounts to 10507 and 648 grains respectively</w:t>
      </w:r>
      <w:r>
        <w:rPr>
          <w:rFonts w:ascii="Arial" w:hAnsi="Arial" w:cs="Arial"/>
        </w:rPr>
        <w:t xml:space="preserve">. </w:t>
      </w:r>
      <w:bookmarkEnd w:id="38"/>
      <w:r>
        <w:rPr>
          <w:rFonts w:ascii="Arial" w:hAnsi="Arial" w:cs="Arial"/>
        </w:rPr>
        <w:t xml:space="preserve">The collected datasets comprise a range of </w:t>
      </w:r>
      <w:r w:rsidR="004F4FBF">
        <w:rPr>
          <w:rFonts w:ascii="Arial" w:hAnsi="Arial" w:cs="Arial"/>
        </w:rPr>
        <w:t>sources</w:t>
      </w:r>
      <w:r>
        <w:rPr>
          <w:rFonts w:ascii="Arial" w:hAnsi="Arial" w:cs="Arial"/>
        </w:rPr>
        <w:t xml:space="preserve"> including</w:t>
      </w:r>
      <w:r w:rsidR="004F4FBF">
        <w:rPr>
          <w:rFonts w:ascii="Arial" w:hAnsi="Arial" w:cs="Arial"/>
        </w:rPr>
        <w:t xml:space="preserve"> various sedimentary settings (</w:t>
      </w:r>
      <w:r>
        <w:rPr>
          <w:rFonts w:ascii="Arial" w:hAnsi="Arial" w:cs="Arial"/>
        </w:rPr>
        <w:t xml:space="preserve">loess, fluvial, </w:t>
      </w:r>
      <w:r w:rsidR="004F4FBF">
        <w:rPr>
          <w:rFonts w:ascii="Arial" w:hAnsi="Arial" w:cs="Arial"/>
        </w:rPr>
        <w:t xml:space="preserve">alluvial, desert) and bedrock. Most of the datasets are located within the modern drainage of the Danube River (Figure 1), however some of the </w:t>
      </w:r>
      <w:r w:rsidR="004F4FBF">
        <w:rPr>
          <w:rFonts w:ascii="Arial" w:hAnsi="Arial" w:cs="Arial"/>
        </w:rPr>
        <w:lastRenderedPageBreak/>
        <w:t>potential source regions either lack data for comparison or data are very sparse. This is particularly evident for the Eastern Carpathians, and the full extent of the Balkan Mountains and Dinaric Mountains. However</w:t>
      </w:r>
      <w:r w:rsidR="00F63EF8">
        <w:rPr>
          <w:rFonts w:ascii="Arial" w:hAnsi="Arial" w:cs="Arial"/>
        </w:rPr>
        <w:t>,</w:t>
      </w:r>
      <w:r w:rsidR="004F4FBF">
        <w:rPr>
          <w:rFonts w:ascii="Arial" w:hAnsi="Arial" w:cs="Arial"/>
        </w:rPr>
        <w:t xml:space="preserve"> to overcome this challenge datasets from </w:t>
      </w:r>
      <w:r w:rsidR="001A29B8">
        <w:rPr>
          <w:rFonts w:ascii="Arial" w:hAnsi="Arial" w:cs="Arial"/>
        </w:rPr>
        <w:t xml:space="preserve">rocks of same age </w:t>
      </w:r>
      <w:r w:rsidR="0038619A">
        <w:rPr>
          <w:rFonts w:ascii="Arial" w:hAnsi="Arial" w:cs="Arial"/>
        </w:rPr>
        <w:t>(Figure 2)</w:t>
      </w:r>
      <w:r w:rsidR="00B5171F">
        <w:rPr>
          <w:rFonts w:ascii="Arial" w:hAnsi="Arial" w:cs="Arial"/>
        </w:rPr>
        <w:t xml:space="preserve"> are included as a proxy for the rocks within modern Danube Basin</w:t>
      </w:r>
      <w:r w:rsidR="0038619A">
        <w:rPr>
          <w:rFonts w:ascii="Arial" w:hAnsi="Arial" w:cs="Arial"/>
        </w:rPr>
        <w:t xml:space="preserve">. </w:t>
      </w:r>
      <w:r w:rsidR="00B5171F">
        <w:rPr>
          <w:rFonts w:ascii="Arial" w:hAnsi="Arial" w:cs="Arial"/>
        </w:rPr>
        <w:t xml:space="preserve">It also has to be considered that while these rocks are presently not within </w:t>
      </w:r>
      <w:r w:rsidR="00D670B7">
        <w:rPr>
          <w:rFonts w:ascii="Arial" w:hAnsi="Arial" w:cs="Arial"/>
        </w:rPr>
        <w:t xml:space="preserve">the </w:t>
      </w:r>
      <w:r w:rsidR="00B5171F">
        <w:rPr>
          <w:rFonts w:ascii="Arial" w:hAnsi="Arial" w:cs="Arial"/>
        </w:rPr>
        <w:t xml:space="preserve">Danube drainage basin, little is known about the extent of palaeodrainage. Further </w:t>
      </w:r>
      <w:r w:rsidR="009B5CF9">
        <w:rPr>
          <w:rFonts w:ascii="Arial" w:hAnsi="Arial" w:cs="Arial"/>
        </w:rPr>
        <w:t>zircon recycling and temporary storage in sedimentary bodies over geological timescale</w:t>
      </w:r>
      <w:r w:rsidR="00D670B7">
        <w:rPr>
          <w:rFonts w:ascii="Arial" w:hAnsi="Arial" w:cs="Arial"/>
        </w:rPr>
        <w:t>s</w:t>
      </w:r>
      <w:r w:rsidR="009B5CF9">
        <w:rPr>
          <w:rFonts w:ascii="Arial" w:hAnsi="Arial" w:cs="Arial"/>
        </w:rPr>
        <w:t xml:space="preserve"> could mean that </w:t>
      </w:r>
      <w:r w:rsidR="00D670B7">
        <w:rPr>
          <w:rFonts w:ascii="Arial" w:hAnsi="Arial" w:cs="Arial"/>
        </w:rPr>
        <w:t xml:space="preserve">a </w:t>
      </w:r>
      <w:r w:rsidR="009B5CF9">
        <w:rPr>
          <w:rFonts w:ascii="Arial" w:hAnsi="Arial" w:cs="Arial"/>
        </w:rPr>
        <w:t xml:space="preserve">small fraction of grains from rocks presently not found within </w:t>
      </w:r>
      <w:r w:rsidR="00D670B7">
        <w:rPr>
          <w:rFonts w:ascii="Arial" w:hAnsi="Arial" w:cs="Arial"/>
        </w:rPr>
        <w:t xml:space="preserve">the </w:t>
      </w:r>
      <w:r w:rsidR="009B5CF9">
        <w:rPr>
          <w:rFonts w:ascii="Arial" w:hAnsi="Arial" w:cs="Arial"/>
        </w:rPr>
        <w:t xml:space="preserve">Danube drainage basin could still </w:t>
      </w:r>
      <w:r w:rsidR="00A41AC0" w:rsidRPr="00EF1061">
        <w:rPr>
          <w:rFonts w:ascii="Arial" w:hAnsi="Arial" w:cs="Arial"/>
          <w:bCs/>
          <w:lang w:val="en-US"/>
        </w:rPr>
        <w:t>contribute to loess deposits</w:t>
      </w:r>
      <w:r w:rsidR="009B5CF9" w:rsidRPr="00EF1061">
        <w:rPr>
          <w:rFonts w:ascii="Arial" w:hAnsi="Arial" w:cs="Arial"/>
        </w:rPr>
        <w:t>.</w:t>
      </w:r>
    </w:p>
    <w:p w14:paraId="09EF3840" w14:textId="24ECF249" w:rsidR="0038619A" w:rsidRDefault="0038619A" w:rsidP="0038619A">
      <w:pPr>
        <w:spacing w:before="120" w:after="120" w:line="480" w:lineRule="auto"/>
        <w:jc w:val="both"/>
        <w:rPr>
          <w:rFonts w:ascii="Arial" w:hAnsi="Arial" w:cs="Arial"/>
        </w:rPr>
      </w:pPr>
      <w:r>
        <w:rPr>
          <w:rFonts w:ascii="Arial" w:hAnsi="Arial" w:cs="Arial"/>
        </w:rPr>
        <w:t xml:space="preserve">Collected zircon U-Pb and Hf datasets were all recalculated and scrutinised following the methodology applied to the newly collected datasets. </w:t>
      </w:r>
      <w:r w:rsidR="00A41AC0">
        <w:rPr>
          <w:rFonts w:ascii="Arial" w:hAnsi="Arial" w:cs="Arial"/>
        </w:rPr>
        <w:t xml:space="preserve">Published data </w:t>
      </w:r>
      <w:r w:rsidR="00E945CA">
        <w:rPr>
          <w:rFonts w:ascii="Arial" w:hAnsi="Arial" w:cs="Arial"/>
        </w:rPr>
        <w:t xml:space="preserve">were </w:t>
      </w:r>
      <w:r w:rsidR="00A41AC0">
        <w:rPr>
          <w:rFonts w:ascii="Arial" w:hAnsi="Arial" w:cs="Arial"/>
        </w:rPr>
        <w:t xml:space="preserve">discarded </w:t>
      </w:r>
      <w:r w:rsidR="00BC1540">
        <w:rPr>
          <w:rFonts w:ascii="Arial" w:hAnsi="Arial" w:cs="Arial"/>
        </w:rPr>
        <w:t xml:space="preserve">based on the </w:t>
      </w:r>
      <w:r>
        <w:rPr>
          <w:rFonts w:ascii="Arial" w:hAnsi="Arial" w:cs="Arial"/>
        </w:rPr>
        <w:t>U-Pb discordance (outside the applied ±</w:t>
      </w:r>
      <w:r w:rsidRPr="00AF3AB7">
        <w:rPr>
          <w:rFonts w:ascii="Arial" w:hAnsi="Arial" w:cs="Arial"/>
        </w:rPr>
        <w:t>10%</w:t>
      </w:r>
      <w:r>
        <w:rPr>
          <w:rFonts w:ascii="Arial" w:hAnsi="Arial" w:cs="Arial"/>
        </w:rPr>
        <w:t xml:space="preserve">), </w:t>
      </w:r>
      <w:r w:rsidR="00BC1540">
        <w:rPr>
          <w:rFonts w:ascii="Arial" w:hAnsi="Arial" w:cs="Arial"/>
        </w:rPr>
        <w:t xml:space="preserve">a </w:t>
      </w:r>
      <w:r>
        <w:rPr>
          <w:rFonts w:ascii="Arial" w:hAnsi="Arial" w:cs="Arial"/>
        </w:rPr>
        <w:t>mismatch</w:t>
      </w:r>
      <w:r w:rsidR="00BC1540">
        <w:rPr>
          <w:rFonts w:ascii="Arial" w:hAnsi="Arial" w:cs="Arial"/>
        </w:rPr>
        <w:t xml:space="preserve"> between the </w:t>
      </w:r>
      <w:r>
        <w:rPr>
          <w:rFonts w:ascii="Arial" w:hAnsi="Arial" w:cs="Arial"/>
        </w:rPr>
        <w:t xml:space="preserve">U-Pb and Hf </w:t>
      </w:r>
      <w:r w:rsidR="007C2181">
        <w:rPr>
          <w:rFonts w:ascii="Arial" w:hAnsi="Arial" w:cs="Arial"/>
        </w:rPr>
        <w:t>data</w:t>
      </w:r>
      <w:r>
        <w:rPr>
          <w:rFonts w:ascii="Arial" w:hAnsi="Arial" w:cs="Arial"/>
        </w:rPr>
        <w:t xml:space="preserve">, </w:t>
      </w:r>
      <w:r w:rsidR="00A41AC0">
        <w:rPr>
          <w:rFonts w:ascii="Arial" w:hAnsi="Arial" w:cs="Arial"/>
        </w:rPr>
        <w:t xml:space="preserve">and in cases where </w:t>
      </w:r>
      <w:r w:rsidR="007C2181">
        <w:rPr>
          <w:rFonts w:ascii="Arial" w:hAnsi="Arial" w:cs="Arial"/>
        </w:rPr>
        <w:t xml:space="preserve">discordant </w:t>
      </w:r>
      <w:r w:rsidR="00A41AC0">
        <w:rPr>
          <w:rFonts w:ascii="Arial" w:hAnsi="Arial" w:cs="Arial"/>
        </w:rPr>
        <w:t xml:space="preserve">U-Pb </w:t>
      </w:r>
      <w:r w:rsidR="007C2181">
        <w:rPr>
          <w:rFonts w:ascii="Arial" w:hAnsi="Arial" w:cs="Arial"/>
        </w:rPr>
        <w:t xml:space="preserve">data </w:t>
      </w:r>
      <w:r w:rsidR="00A41AC0">
        <w:rPr>
          <w:rFonts w:ascii="Arial" w:hAnsi="Arial" w:cs="Arial"/>
        </w:rPr>
        <w:t xml:space="preserve">was used in </w:t>
      </w:r>
      <w:r w:rsidR="00BC1540">
        <w:rPr>
          <w:rFonts w:ascii="Arial" w:hAnsi="Arial" w:cs="Arial"/>
        </w:rPr>
        <w:t xml:space="preserve">the </w:t>
      </w:r>
      <w:r w:rsidR="007C2181">
        <w:rPr>
          <w:rFonts w:ascii="Arial" w:hAnsi="Arial" w:cs="Arial"/>
        </w:rPr>
        <w:t xml:space="preserve">εHf calculation. </w:t>
      </w:r>
    </w:p>
    <w:p w14:paraId="492D85B4" w14:textId="1CBB72ED" w:rsidR="00917497" w:rsidRPr="00356DC0" w:rsidRDefault="00A95657" w:rsidP="00356DC0">
      <w:pPr>
        <w:pStyle w:val="Heading2"/>
        <w:numPr>
          <w:ilvl w:val="1"/>
          <w:numId w:val="34"/>
        </w:numPr>
        <w:spacing w:before="120" w:after="120" w:line="480" w:lineRule="auto"/>
        <w:ind w:left="851" w:hanging="851"/>
        <w:jc w:val="both"/>
        <w:rPr>
          <w:rFonts w:ascii="Arial" w:hAnsi="Arial" w:cs="Arial"/>
          <w:i/>
          <w:color w:val="auto"/>
          <w:sz w:val="24"/>
          <w:szCs w:val="24"/>
        </w:rPr>
      </w:pPr>
      <w:r>
        <w:rPr>
          <w:rFonts w:ascii="Arial" w:hAnsi="Arial" w:cs="Arial"/>
          <w:i/>
          <w:color w:val="auto"/>
          <w:sz w:val="24"/>
          <w:szCs w:val="24"/>
        </w:rPr>
        <w:t>Data analysis and visualisation</w:t>
      </w:r>
    </w:p>
    <w:bookmarkEnd w:id="36"/>
    <w:p w14:paraId="5A9E3070" w14:textId="115E0E35" w:rsidR="00FE24DB" w:rsidRDefault="0004541E" w:rsidP="00614941">
      <w:pPr>
        <w:spacing w:before="120" w:after="120" w:line="480" w:lineRule="auto"/>
        <w:jc w:val="both"/>
        <w:rPr>
          <w:rFonts w:ascii="Arial" w:hAnsi="Arial" w:cs="Arial"/>
        </w:rPr>
      </w:pPr>
      <w:r>
        <w:rPr>
          <w:rFonts w:ascii="Arial" w:hAnsi="Arial" w:cs="Arial"/>
        </w:rPr>
        <w:t xml:space="preserve">The resulting 31 new datasets (29 loess-palaeosol and 2 fluvial) comprise </w:t>
      </w:r>
      <w:r w:rsidR="00BA1719">
        <w:rPr>
          <w:rFonts w:ascii="Arial" w:hAnsi="Arial" w:cs="Arial"/>
        </w:rPr>
        <w:t xml:space="preserve">3453 zircon U-Pb ages and 3089 zircon Hf isotopic compositions. </w:t>
      </w:r>
      <w:r w:rsidR="002D1D8A">
        <w:rPr>
          <w:rFonts w:ascii="Arial" w:hAnsi="Arial" w:cs="Arial"/>
        </w:rPr>
        <w:t xml:space="preserve">Zircon </w:t>
      </w:r>
      <w:r w:rsidR="00601933">
        <w:rPr>
          <w:rFonts w:ascii="Arial" w:hAnsi="Arial" w:cs="Arial"/>
        </w:rPr>
        <w:t xml:space="preserve">U-Pb ages were visualised through </w:t>
      </w:r>
      <w:bookmarkStart w:id="39" w:name="_Hlk5029835"/>
      <w:r w:rsidR="00601933" w:rsidRPr="00601933">
        <w:rPr>
          <w:rFonts w:ascii="Arial" w:hAnsi="Arial" w:cs="Arial"/>
        </w:rPr>
        <w:t xml:space="preserve">Kernel Density Estimation </w:t>
      </w:r>
      <w:bookmarkEnd w:id="39"/>
      <w:r w:rsidR="00601933" w:rsidRPr="00601933">
        <w:rPr>
          <w:rFonts w:ascii="Arial" w:hAnsi="Arial" w:cs="Arial"/>
        </w:rPr>
        <w:t xml:space="preserve">(KDE; </w:t>
      </w:r>
      <w:r w:rsidR="00601933" w:rsidRPr="00601933">
        <w:rPr>
          <w:rFonts w:ascii="Arial" w:hAnsi="Arial" w:cs="Arial"/>
        </w:rPr>
        <w:fldChar w:fldCharType="begin" w:fldLock="1"/>
      </w:r>
      <w:r w:rsidR="008612C3">
        <w:rPr>
          <w:rFonts w:ascii="Arial" w:hAnsi="Arial" w:cs="Arial"/>
        </w:rPr>
        <w:instrText>ADDIN CSL_CITATION {"citationItems":[{"id":"ITEM-1","itemData":{"DOI":"10.1016/j.chemgeo.2012.04.021","ISSN":"00092541","author":[{"dropping-particle":"","family":"Vermeesch","given":"Pieter","non-dropping-particle":"","parse-names":false,"suffix":""}],"container-title":"Chemical Geology","id":"ITEM-1","issued":{"date-parts":[["2012"]]},"page":"190-194","publisher":"Elsevier B.V.","title":"On the visualisation of detrital age distributions","type":"article-journal","volume":"312-313"},"uris":["http://www.mendeley.com/documents/?uuid=b6ac71a7-2e70-4a7d-b17b-9ad49428f648"]}],"mendeley":{"formattedCitation":"(Vermeesch, 2012)","manualFormatting":"Vermeesch, 2012)","plainTextFormattedCitation":"(Vermeesch, 2012)","previouslyFormattedCitation":"(Vermeesch, 2012)"},"properties":{"noteIndex":0},"schema":"https://github.com/citation-style-language/schema/raw/master/csl-citation.json"}</w:instrText>
      </w:r>
      <w:r w:rsidR="00601933" w:rsidRPr="00601933">
        <w:rPr>
          <w:rFonts w:ascii="Arial" w:hAnsi="Arial" w:cs="Arial"/>
        </w:rPr>
        <w:fldChar w:fldCharType="separate"/>
      </w:r>
      <w:r w:rsidR="00601933" w:rsidRPr="00601933">
        <w:rPr>
          <w:rFonts w:ascii="Arial" w:hAnsi="Arial" w:cs="Arial"/>
          <w:noProof/>
        </w:rPr>
        <w:t>Vermeesch, 2012)</w:t>
      </w:r>
      <w:r w:rsidR="00601933" w:rsidRPr="00601933">
        <w:rPr>
          <w:rFonts w:ascii="Arial" w:hAnsi="Arial" w:cs="Arial"/>
        </w:rPr>
        <w:fldChar w:fldCharType="end"/>
      </w:r>
      <w:r w:rsidR="002D1D8A">
        <w:rPr>
          <w:rFonts w:ascii="Arial" w:hAnsi="Arial" w:cs="Arial"/>
        </w:rPr>
        <w:t xml:space="preserve"> </w:t>
      </w:r>
      <w:r w:rsidR="002D1D8A">
        <w:rPr>
          <w:rFonts w:ascii="Arial" w:hAnsi="Arial" w:cs="Arial"/>
          <w:bCs/>
        </w:rPr>
        <w:t xml:space="preserve">using the </w:t>
      </w:r>
      <w:r w:rsidR="002D1D8A" w:rsidRPr="00356DC0">
        <w:rPr>
          <w:rFonts w:ascii="Arial" w:hAnsi="Arial" w:cs="Arial"/>
          <w:bCs/>
        </w:rPr>
        <w:t>detzrcr</w:t>
      </w:r>
      <w:r w:rsidR="002D1D8A">
        <w:rPr>
          <w:rFonts w:ascii="Arial" w:hAnsi="Arial" w:cs="Arial"/>
          <w:bCs/>
        </w:rPr>
        <w:t xml:space="preserve"> R package </w:t>
      </w:r>
      <w:r w:rsidR="002D1D8A">
        <w:rPr>
          <w:rFonts w:ascii="Arial" w:hAnsi="Arial" w:cs="Arial"/>
          <w:bCs/>
        </w:rPr>
        <w:fldChar w:fldCharType="begin" w:fldLock="1"/>
      </w:r>
      <w:r w:rsidR="004C6956">
        <w:rPr>
          <w:rFonts w:ascii="Arial" w:hAnsi="Arial" w:cs="Arial"/>
          <w:bCs/>
        </w:rPr>
        <w:instrText>ADDIN CSL_CITATION {"citationItems":[{"id":"ITEM-1","itemData":{"DOI":"10.1144/jgs2015-012","ISSN":"00167649","abstract":"U-Pb and Lu-Hf signatures of detrital zircon from conglomerates and sandstones of the Ordovician Natal Group, South Africa were determined using laser ablation inductively coupled plasma mass spectrometry. The basal conglomerates are dominated by Palaeo- to Mesoarchaean detrital zircon with εHf values from +3 to -4 with minor Mesoproterozoic input, indicating a proximal source in the Kaapvaal Craton and minor input from rocks of the Natal Sector of the Mesoproterozoic Namaqua-Natal Province. The sandstones are all dominated by a combination of juvenile Mesoproterozoic zircon and Neoproterozoic zircon derived from Mesoproterozoic rocks that were reworked during the Pan-African Orogeny. Several sedimentary sequences from former Gondwana with Neoproterozoic to Permian depositional ages show similar detrital zircon signatures. Sedimentary sequences of such vast temporal and geographical distribution are unlikely to have been fed by a single source, making it more likely that these sequences were fed by several different (Pan-Gondwana) source terranes with closely similar U-Pb and Lu-Hf zircon signatures. The results show that source terrane non-uniqueness can make ascertaining sedimentary provenance from detrital zircon impossible, and should be taken as a reminder when using detrital zircon as evidence for far-reaching conclusions in basin evolution studies and palaeogeography.","author":[{"dropping-particle":"","family":"Kristoffersen","given":"Magnus","non-dropping-particle":"","parse-names":false,"suffix":""},{"dropping-particle":"","family":"Andersen","given":"Tom","non-dropping-particle":"","parse-names":false,"suffix":""},{"dropping-particle":"","family":"Elburg","given":"Marlina A.","non-dropping-particle":"","parse-names":false,"suffix":""},{"dropping-particle":"","family":"Watkeys","given":"M. K.","non-dropping-particle":"","parse-names":false,"suffix":""}],"container-title":"Journal of the Geological Society","id":"ITEM-1","issue":"1","issued":{"date-parts":[["2016"]]},"page":"203-215","title":"Detrital zircon in a supercontinental setting: Locally derived and far-transported components in the Ordovician Natal Group, South Africa","type":"article-journal","volume":"173"},"uris":["http://www.mendeley.com/documents/?uuid=b4e79271-5115-4b37-85bb-2ae4ec8d7e7e"]}],"mendeley":{"formattedCitation":"(Kristoffersen et al., 2016)","plainTextFormattedCitation":"(Kristoffersen et al., 2016)","previouslyFormattedCitation":"(Kristoffersen et al., 2016)"},"properties":{"noteIndex":0},"schema":"https://github.com/citation-style-language/schema/raw/master/csl-citation.json"}</w:instrText>
      </w:r>
      <w:r w:rsidR="002D1D8A">
        <w:rPr>
          <w:rFonts w:ascii="Arial" w:hAnsi="Arial" w:cs="Arial"/>
          <w:bCs/>
        </w:rPr>
        <w:fldChar w:fldCharType="separate"/>
      </w:r>
      <w:r w:rsidR="002D1D8A" w:rsidRPr="00356DC0">
        <w:rPr>
          <w:rFonts w:ascii="Arial" w:hAnsi="Arial" w:cs="Arial"/>
          <w:bCs/>
          <w:noProof/>
        </w:rPr>
        <w:t>(Kristoffersen et al., 2016)</w:t>
      </w:r>
      <w:r w:rsidR="002D1D8A">
        <w:rPr>
          <w:rFonts w:ascii="Arial" w:hAnsi="Arial" w:cs="Arial"/>
          <w:bCs/>
        </w:rPr>
        <w:fldChar w:fldCharType="end"/>
      </w:r>
      <w:r w:rsidR="00860BF0">
        <w:rPr>
          <w:rFonts w:ascii="Arial" w:hAnsi="Arial" w:cs="Arial"/>
        </w:rPr>
        <w:t>. The datasets were</w:t>
      </w:r>
      <w:r w:rsidR="00601933">
        <w:rPr>
          <w:rFonts w:ascii="Arial" w:hAnsi="Arial" w:cs="Arial"/>
        </w:rPr>
        <w:t xml:space="preserve"> compared with published loess, river</w:t>
      </w:r>
      <w:r w:rsidR="00C13049">
        <w:rPr>
          <w:rFonts w:ascii="Arial" w:hAnsi="Arial" w:cs="Arial"/>
        </w:rPr>
        <w:t>,</w:t>
      </w:r>
      <w:r w:rsidR="00601933">
        <w:rPr>
          <w:rFonts w:ascii="Arial" w:hAnsi="Arial" w:cs="Arial"/>
        </w:rPr>
        <w:t xml:space="preserve"> and source </w:t>
      </w:r>
      <w:r w:rsidR="00860BF0">
        <w:rPr>
          <w:rFonts w:ascii="Arial" w:hAnsi="Arial" w:cs="Arial"/>
        </w:rPr>
        <w:t>rock</w:t>
      </w:r>
      <w:r w:rsidR="00601933">
        <w:rPr>
          <w:rFonts w:ascii="Arial" w:hAnsi="Arial" w:cs="Arial"/>
        </w:rPr>
        <w:t xml:space="preserve"> dataset</w:t>
      </w:r>
      <w:r w:rsidR="00860BF0">
        <w:rPr>
          <w:rFonts w:ascii="Arial" w:hAnsi="Arial" w:cs="Arial"/>
        </w:rPr>
        <w:t>s</w:t>
      </w:r>
      <w:r w:rsidR="00601933">
        <w:rPr>
          <w:rFonts w:ascii="Arial" w:hAnsi="Arial" w:cs="Arial"/>
        </w:rPr>
        <w:t xml:space="preserve"> through the m</w:t>
      </w:r>
      <w:r w:rsidR="00601933" w:rsidRPr="00601933">
        <w:rPr>
          <w:rFonts w:ascii="Arial" w:hAnsi="Arial" w:cs="Arial"/>
        </w:rPr>
        <w:t>ulti-dimensional scaling</w:t>
      </w:r>
      <w:r w:rsidR="00601933">
        <w:rPr>
          <w:rFonts w:ascii="Arial" w:hAnsi="Arial" w:cs="Arial"/>
        </w:rPr>
        <w:t xml:space="preserve"> statistical approach </w:t>
      </w:r>
      <w:r w:rsidR="00601933" w:rsidRPr="00601933">
        <w:rPr>
          <w:rFonts w:ascii="Arial" w:hAnsi="Arial" w:cs="Arial"/>
        </w:rPr>
        <w:t xml:space="preserve">(MDS; </w:t>
      </w:r>
      <w:r w:rsidR="00601933" w:rsidRPr="00601933">
        <w:rPr>
          <w:rFonts w:ascii="Arial" w:hAnsi="Arial" w:cs="Arial"/>
        </w:rPr>
        <w:fldChar w:fldCharType="begin" w:fldLock="1"/>
      </w:r>
      <w:r w:rsidR="008612C3">
        <w:rPr>
          <w:rFonts w:ascii="Arial" w:hAnsi="Arial" w:cs="Arial"/>
        </w:rPr>
        <w:instrText>ADDIN CSL_CITATION {"citationItems":[{"id":"ITEM-1","itemData":{"DOI":"10.1016/j.chemgeo.2013.01.010","ISBN":"0009-2541","ISSN":"00092541","abstract":"The petrography and geochronology of detrital minerals form rich archives of information pertaining to the provenance of siliclastic sediments. The composition and age spectra of multi-sample datasets can be used to trace the flow of sediments through modern and ancient sediment routing systems. Such studies often involve dozens of samples comprising thousands of measurements. Objective interpretation of such large datasets can be challenging and greatly benefits from dimension-reducing exploratory data analysis tools. Principal components analysis (PCA) is a proven method that has been widely used in the context of compositional data analysis and traditional heavy mineral studies. Unfortunately, PCA cannot be readily applied to geochronological data, which are rapidly overtaking petrographic techniques as the method of choice for large scale provenance studies. This paper proposes another standard statistical technique called multidimensional scaling (MDS) as an appropriate tool to fill this void. MDS is a robust and flexible superset of PCA which makes fewer assumptions about the data. Given a table of pairwise 'dissimilarities' between samples, MDS produces a 'map' of points on which 'similar' samples cluster closely together, and 'dissimilar' samples plot far apart. It is shown that the statistical effect size of the Kolmogorov-Smirnov test is a viable dissimilarity measure. This is not the case for the p-values of this and other tests. To aid in the adoption of the method by the geochronological community, this paper includes some simple code using the statistical programming language R. More extensive software tools are provided on http://mudisc.london-geochron.com. ?? 2013 Elsevier B.V.","author":[{"dropping-particle":"","family":"Vermeesch","given":"Pieter","non-dropping-particle":"","parse-names":false,"suffix":""}],"container-title":"Chemical Geology","id":"ITEM-1","issued":{"date-parts":[["2013"]]},"page":"140-146","publisher":"Elsevier B.V.","title":"Multi-sample comparison of detrital age distributions","type":"article-journal","volume":"341"},"uris":["http://www.mendeley.com/documents/?uuid=a4384a4a-0717-439e-8037-35f25c6639d3"]}],"mendeley":{"formattedCitation":"(Vermeesch, 2013)","manualFormatting":"Vermeesch, 2013)","plainTextFormattedCitation":"(Vermeesch, 2013)","previouslyFormattedCitation":"(Vermeesch, 2013)"},"properties":{"noteIndex":0},"schema":"https://github.com/citation-style-language/schema/raw/master/csl-citation.json"}</w:instrText>
      </w:r>
      <w:r w:rsidR="00601933" w:rsidRPr="00601933">
        <w:rPr>
          <w:rFonts w:ascii="Arial" w:hAnsi="Arial" w:cs="Arial"/>
        </w:rPr>
        <w:fldChar w:fldCharType="separate"/>
      </w:r>
      <w:r w:rsidR="00601933" w:rsidRPr="00601933">
        <w:rPr>
          <w:rFonts w:ascii="Arial" w:hAnsi="Arial" w:cs="Arial"/>
          <w:noProof/>
        </w:rPr>
        <w:t>Vermeesch, 2013)</w:t>
      </w:r>
      <w:r w:rsidR="00601933" w:rsidRPr="00601933">
        <w:rPr>
          <w:rFonts w:ascii="Arial" w:hAnsi="Arial" w:cs="Arial"/>
        </w:rPr>
        <w:fldChar w:fldCharType="end"/>
      </w:r>
      <w:r w:rsidR="00860BF0">
        <w:rPr>
          <w:rFonts w:ascii="Arial" w:hAnsi="Arial" w:cs="Arial"/>
        </w:rPr>
        <w:t xml:space="preserve">. </w:t>
      </w:r>
      <w:r w:rsidR="00842E15">
        <w:rPr>
          <w:rFonts w:ascii="Arial" w:hAnsi="Arial" w:cs="Arial"/>
        </w:rPr>
        <w:t>R</w:t>
      </w:r>
      <w:r w:rsidR="00860BF0">
        <w:rPr>
          <w:rFonts w:ascii="Arial" w:hAnsi="Arial" w:cs="Arial"/>
        </w:rPr>
        <w:t xml:space="preserve">elated </w:t>
      </w:r>
      <w:r w:rsidR="00860BF0" w:rsidRPr="00860BF0">
        <w:rPr>
          <w:rFonts w:ascii="Arial" w:hAnsi="Arial" w:cs="Arial"/>
        </w:rPr>
        <w:t>to Principal Component Analysis</w:t>
      </w:r>
      <w:r w:rsidR="00842E15">
        <w:rPr>
          <w:rFonts w:ascii="Arial" w:hAnsi="Arial" w:cs="Arial"/>
        </w:rPr>
        <w:t>, MDS</w:t>
      </w:r>
      <w:r w:rsidR="00860BF0">
        <w:rPr>
          <w:rFonts w:ascii="Arial" w:hAnsi="Arial" w:cs="Arial"/>
        </w:rPr>
        <w:t xml:space="preserve">, aims to </w:t>
      </w:r>
      <w:r w:rsidR="00860BF0" w:rsidRPr="00860BF0">
        <w:rPr>
          <w:rFonts w:ascii="Arial" w:hAnsi="Arial" w:cs="Arial"/>
        </w:rPr>
        <w:t>statistically simplif</w:t>
      </w:r>
      <w:r w:rsidR="00860BF0">
        <w:rPr>
          <w:rFonts w:ascii="Arial" w:hAnsi="Arial" w:cs="Arial"/>
        </w:rPr>
        <w:t xml:space="preserve">y datasets </w:t>
      </w:r>
      <w:r w:rsidR="00860BF0" w:rsidRPr="00860BF0">
        <w:rPr>
          <w:rFonts w:ascii="Arial" w:hAnsi="Arial" w:cs="Arial"/>
        </w:rPr>
        <w:t>by reducing them into two-dimensional ‘maps’, where similar data points are plotted in clusters and dissimilar</w:t>
      </w:r>
      <w:r w:rsidR="00860BF0">
        <w:rPr>
          <w:rFonts w:ascii="Arial" w:hAnsi="Arial" w:cs="Arial"/>
        </w:rPr>
        <w:t xml:space="preserve"> ones </w:t>
      </w:r>
      <w:r w:rsidR="00860BF0" w:rsidRPr="00860BF0">
        <w:rPr>
          <w:rFonts w:ascii="Arial" w:hAnsi="Arial" w:cs="Arial"/>
        </w:rPr>
        <w:t>are mapped far apart. The distance between points</w:t>
      </w:r>
      <w:r w:rsidR="00860BF0">
        <w:rPr>
          <w:rFonts w:ascii="Arial" w:hAnsi="Arial" w:cs="Arial"/>
        </w:rPr>
        <w:t xml:space="preserve"> </w:t>
      </w:r>
      <w:r w:rsidR="00860BF0" w:rsidRPr="00860BF0">
        <w:rPr>
          <w:rFonts w:ascii="Arial" w:hAnsi="Arial" w:cs="Arial"/>
        </w:rPr>
        <w:t xml:space="preserve">approximates distance in a mathematical sense </w:t>
      </w:r>
      <w:r w:rsidR="00860BF0" w:rsidRPr="00860BF0">
        <w:rPr>
          <w:rFonts w:ascii="Arial" w:hAnsi="Arial" w:cs="Arial"/>
        </w:rPr>
        <w:fldChar w:fldCharType="begin" w:fldLock="1"/>
      </w:r>
      <w:r w:rsidR="008612C3">
        <w:rPr>
          <w:rFonts w:ascii="Arial" w:hAnsi="Arial" w:cs="Arial"/>
        </w:rPr>
        <w:instrText>ADDIN CSL_CITATION {"citationItems":[{"id":"ITEM-1","itemData":{"DOI":"10.1016/j.gsf.2018.04.001","ISBN":"9780387310732","ISSN":"16749871","PMID":"8943268","abstract":"This paper reviews the basic principles of radiometric geochronology as implemented in a new software package called IsoplotR, which was designed to be free, flexible and future-proof. IsoplotR is free because it is written in non-proprietary languages (R, Javascript and HTML) and is released under the GPL license. The program is flexible because its graphical user interface (GUI) is separated from the command line functionality, and because its code is completely open for inspection and modification. To increase future-proofness, the software is built on free and platform-independent foundations that adhere to international standards, have existed for several decades, and continue to grow in popularity. IsoplotR currently includes functions for U-Pb, Pb-Pb, 40Ar/39Ar, Rb-Sr, Sm-Nd, Lu-Hf, Re-Os, U-Th-He, fission track and U-series disequilibrium dating. It implements isochron regression in two and three dimensions, visualises multi-aliquot datasets as cumulative age distributions, kernel density estimates and radial plots, and calculates weighted mean ages using a modified Chauvenet outlier detection criterion that accounts for the analytical uncertainties in heteroscedastic datasets. Overdispersion of geochronological data with respect to these analytical uncertainties can be attributed to either a proportional underestimation of the analytical uncertainties, or to an additive geological scatter term. IsoplotR keeps track of error correlations of the isotopic ratio measurements within aliquots of the same samples. It uses a statistical framework that will allow it to handle error correlations between aliquots in the future. Other ongoing developments include the implementation of alternative user interfaces and the integration of IsoplotR with other data reduction software.","author":[{"dropping-particle":"","family":"Vermeesch","given":"Pieter","non-dropping-particle":"","parse-names":false,"suffix":""}],"container-title":"Geoscience Frontiers","id":"ITEM-1","issue":"5","issued":{"date-parts":[["2018"]]},"page":"1479-1493","publisher":"Elsevier Ltd","title":"IsoplotR: A free and open toolbox for geochronology","type":"article-journal","volume":"9"},"uris":["http://www.mendeley.com/documents/?uuid=286a67e4-7df6-42a9-b8ab-b22d55d2593d"]},{"id":"ITEM-2","itemData":{"DOI":"10.1016/j.earscirev.2017.11.027","ISSN":"00128252","abstract":"The ability to quantify the (dis)similarity between detrital age distributions is an essential aspect of sedimentary provenance studies. This paper reviews three different ways to do this. A first class of dissimilarity measures is based on parametric hypothesis tests such as the t- or chi-square test. These are designed to objectively decide whether two samples were derived from a common population. Appealing though such tests may appear in theory, in practice they offer limited value to sedimentary geologists because their outcome depends on sample size. In contrast, the effect size of said tests is independent of sample size and can be used as an objective point of comparison between detrital age distributions. The main limitation of this approach is that it requires binning or averaging, which discards valuable information. A second class of dissimilarity measures is based on non-parametric hypothesis tests such as the Kolmogorov-Smirnov test. These do not require pre-treatment of the data and are able to capture more subtle differences between age distributions. Unfortunately, non-parametric tests do not have well defined sample effect sizes and so it is not possible to use them as an absolute point of comparison that is independent of sample size. Nevertheless, non-parametric dissimilarity measures can be used to quantify the relative differences between samples. A third class of dissimilarity measures aims to account for the analytical uncertainties of the age determinations. The likeness and cross-correlation coefficients are ad-hoc dissimilarity measures that are based on Probability Density Plots (PDPs). These apply a narrow smoothing kernel to precise data, and a wide smoothing kernel to imprecise data. In contrast, the Sircombe-Hazelton L2-norm uses Kernel Functional Estimates (KFEs), which use exactly the opposite strategy as PDPs. They apply a wide smoothing kernel to precise data, and a narrow smoothing kernel to imprecise data. This paper shows that the KFE-based approach produces sensible results, whereas the likeness and cross-correlation methods do not. The added complexity of the KFE approach is only worth the effort in studies that combine data acquired on equipment with hugely variable analytical precision. In most cases, there is no need to account for the analytical uncertainty of detrital age distributions. The sample effect size, non-parametric statistics, or L2-norm can be used to graphically compare samples by Multidimensiona…","author":[{"dropping-particle":"","family":"Vermeesch","given":"Pieter","non-dropping-particle":"","parse-names":false,"suffix":""}],"container-title":"Earth-Science Reviews","id":"ITEM-2","issue":"November 2017","issued":{"date-parts":[["2018"]]},"page":"310-321","publisher":"Elsevier","title":"Dissimilarity measures in detrital geochronology","type":"article-journal","volume":"178"},"uris":["http://www.mendeley.com/documents/?uuid=85019237-97b7-4474-a6b0-7d2de83888b3"]}],"mendeley":{"formattedCitation":"(Vermeesch, 2018a, 2018b)","plainTextFormattedCitation":"(Vermeesch, 2018a, 2018b)","previouslyFormattedCitation":"(Vermeesch, 2018a, 2018b)"},"properties":{"noteIndex":0},"schema":"https://github.com/citation-style-language/schema/raw/master/csl-citation.json"}</w:instrText>
      </w:r>
      <w:r w:rsidR="00860BF0" w:rsidRPr="00860BF0">
        <w:rPr>
          <w:rFonts w:ascii="Arial" w:hAnsi="Arial" w:cs="Arial"/>
        </w:rPr>
        <w:fldChar w:fldCharType="separate"/>
      </w:r>
      <w:r w:rsidR="008612C3" w:rsidRPr="008612C3">
        <w:rPr>
          <w:rFonts w:ascii="Arial" w:hAnsi="Arial" w:cs="Arial"/>
          <w:noProof/>
        </w:rPr>
        <w:t>(Vermeesch, 2018a, 2018b)</w:t>
      </w:r>
      <w:r w:rsidR="00860BF0" w:rsidRPr="00860BF0">
        <w:rPr>
          <w:rFonts w:ascii="Arial" w:hAnsi="Arial" w:cs="Arial"/>
        </w:rPr>
        <w:fldChar w:fldCharType="end"/>
      </w:r>
      <w:r w:rsidR="00860BF0">
        <w:rPr>
          <w:rFonts w:ascii="Arial" w:hAnsi="Arial" w:cs="Arial"/>
        </w:rPr>
        <w:t xml:space="preserve"> and is calculated using </w:t>
      </w:r>
      <w:bookmarkStart w:id="40" w:name="_Hlk21602594"/>
      <w:r w:rsidR="00860BF0">
        <w:rPr>
          <w:rFonts w:ascii="Arial" w:hAnsi="Arial" w:cs="Arial"/>
        </w:rPr>
        <w:t xml:space="preserve">a </w:t>
      </w:r>
      <w:r w:rsidR="00860BF0" w:rsidRPr="00860BF0">
        <w:rPr>
          <w:rFonts w:ascii="Arial" w:hAnsi="Arial" w:cs="Arial"/>
        </w:rPr>
        <w:t xml:space="preserve">Kolmogorov-Smirnov (KS) statistic </w:t>
      </w:r>
      <w:bookmarkEnd w:id="40"/>
      <w:r w:rsidR="00860BF0" w:rsidRPr="00860BF0">
        <w:rPr>
          <w:rFonts w:ascii="Arial" w:hAnsi="Arial" w:cs="Arial"/>
        </w:rPr>
        <w:fldChar w:fldCharType="begin" w:fldLock="1"/>
      </w:r>
      <w:r w:rsidR="008612C3">
        <w:rPr>
          <w:rFonts w:ascii="Arial" w:hAnsi="Arial" w:cs="Arial"/>
        </w:rPr>
        <w:instrText>ADDIN CSL_CITATION {"citationItems":[{"id":"ITEM-1","itemData":{"DOI":"10.1016/j.chemgeo.2013.01.010","ISBN":"0009-2541","ISSN":"00092541","abstract":"The petrography and geochronology of detrital minerals form rich archives of information pertaining to the provenance of siliclastic sediments. The composition and age spectra of multi-sample datasets can be used to trace the flow of sediments through modern and ancient sediment routing systems. Such studies often involve dozens of samples comprising thousands of measurements. Objective interpretation of such large datasets can be challenging and greatly benefits from dimension-reducing exploratory data analysis tools. Principal components analysis (PCA) is a proven method that has been widely used in the context of compositional data analysis and traditional heavy mineral studies. Unfortunately, PCA cannot be readily applied to geochronological data, which are rapidly overtaking petrographic techniques as the method of choice for large scale provenance studies. This paper proposes another standard statistical technique called multidimensional scaling (MDS) as an appropriate tool to fill this void. MDS is a robust and flexible superset of PCA which makes fewer assumptions about the data. Given a table of pairwise 'dissimilarities' between samples, MDS produces a 'map' of points on which 'similar' samples cluster closely together, and 'dissimilar' samples plot far apart. It is shown that the statistical effect size of the Kolmogorov-Smirnov test is a viable dissimilarity measure. This is not the case for the p-values of this and other tests. To aid in the adoption of the method by the geochronological community, this paper includes some simple code using the statistical programming language R. More extensive software tools are provided on http://mudisc.london-geochron.com. ?? 2013 Elsevier B.V.","author":[{"dropping-particle":"","family":"Vermeesch","given":"Pieter","non-dropping-particle":"","parse-names":false,"suffix":""}],"container-title":"Chemical Geology","id":"ITEM-1","issued":{"date-parts":[["2013"]]},"page":"140-146","publisher":"Elsevier B.V.","title":"Multi-sample comparison of detrital age distributions","type":"article-journal","volume":"341"},"uris":["http://www.mendeley.com/documents/?uuid=a4384a4a-0717-439e-8037-35f25c6639d3"]}],"mendeley":{"formattedCitation":"(Vermeesch, 2013)","plainTextFormattedCitation":"(Vermeesch, 2013)","previouslyFormattedCitation":"(Vermeesch, 2013)"},"properties":{"noteIndex":0},"schema":"https://github.com/citation-style-language/schema/raw/master/csl-citation.json"}</w:instrText>
      </w:r>
      <w:r w:rsidR="00860BF0" w:rsidRPr="00860BF0">
        <w:rPr>
          <w:rFonts w:ascii="Arial" w:hAnsi="Arial" w:cs="Arial"/>
        </w:rPr>
        <w:fldChar w:fldCharType="separate"/>
      </w:r>
      <w:r w:rsidR="008612C3" w:rsidRPr="008612C3">
        <w:rPr>
          <w:rFonts w:ascii="Arial" w:hAnsi="Arial" w:cs="Arial"/>
          <w:noProof/>
        </w:rPr>
        <w:t>(Vermeesch, 2013)</w:t>
      </w:r>
      <w:r w:rsidR="00860BF0" w:rsidRPr="00860BF0">
        <w:rPr>
          <w:rFonts w:ascii="Arial" w:hAnsi="Arial" w:cs="Arial"/>
        </w:rPr>
        <w:fldChar w:fldCharType="end"/>
      </w:r>
      <w:r w:rsidR="00860BF0" w:rsidRPr="00860BF0">
        <w:rPr>
          <w:rFonts w:ascii="Arial" w:hAnsi="Arial" w:cs="Arial"/>
        </w:rPr>
        <w:t>. The “non-metric” algorithm</w:t>
      </w:r>
      <w:r w:rsidR="00860BF0">
        <w:rPr>
          <w:rFonts w:ascii="Arial" w:hAnsi="Arial" w:cs="Arial"/>
        </w:rPr>
        <w:t xml:space="preserve">, which ranks </w:t>
      </w:r>
      <w:r w:rsidR="00860BF0" w:rsidRPr="00860BF0">
        <w:rPr>
          <w:rFonts w:ascii="Arial" w:hAnsi="Arial" w:cs="Arial"/>
        </w:rPr>
        <w:t>rather than approximate</w:t>
      </w:r>
      <w:r w:rsidR="00860BF0">
        <w:rPr>
          <w:rFonts w:ascii="Arial" w:hAnsi="Arial" w:cs="Arial"/>
        </w:rPr>
        <w:t>s dissimilarities,</w:t>
      </w:r>
      <w:r w:rsidR="00860BF0" w:rsidRPr="00860BF0">
        <w:rPr>
          <w:rFonts w:ascii="Arial" w:hAnsi="Arial" w:cs="Arial"/>
        </w:rPr>
        <w:t xml:space="preserve"> </w:t>
      </w:r>
      <w:r w:rsidR="00860BF0">
        <w:rPr>
          <w:rFonts w:ascii="Arial" w:hAnsi="Arial" w:cs="Arial"/>
        </w:rPr>
        <w:t>was used for all</w:t>
      </w:r>
      <w:r w:rsidR="00860BF0" w:rsidRPr="00860BF0">
        <w:rPr>
          <w:rFonts w:ascii="Arial" w:hAnsi="Arial" w:cs="Arial"/>
        </w:rPr>
        <w:t xml:space="preserve"> MDS configurations. The results are plotted on the dimensionless MDS plot and range from -1 to 1. </w:t>
      </w:r>
      <w:r w:rsidR="002D1D8A">
        <w:rPr>
          <w:rFonts w:ascii="Arial" w:hAnsi="Arial" w:cs="Arial"/>
        </w:rPr>
        <w:t xml:space="preserve">Zircon </w:t>
      </w:r>
      <w:r w:rsidR="00356DC0">
        <w:rPr>
          <w:rFonts w:ascii="Arial" w:hAnsi="Arial" w:cs="Arial"/>
        </w:rPr>
        <w:t xml:space="preserve">Hf </w:t>
      </w:r>
      <w:r w:rsidR="00356DC0" w:rsidRPr="00D312A2">
        <w:rPr>
          <w:rFonts w:ascii="Arial" w:hAnsi="Arial" w:cs="Arial"/>
          <w:bCs/>
        </w:rPr>
        <w:t>isotope–time evolution</w:t>
      </w:r>
      <w:r w:rsidR="00356DC0">
        <w:rPr>
          <w:rFonts w:ascii="Arial" w:hAnsi="Arial" w:cs="Arial"/>
          <w:bCs/>
        </w:rPr>
        <w:t xml:space="preserve"> was plotted using the </w:t>
      </w:r>
      <w:r w:rsidR="00356DC0" w:rsidRPr="00356DC0">
        <w:rPr>
          <w:rFonts w:ascii="Arial" w:hAnsi="Arial" w:cs="Arial"/>
          <w:bCs/>
        </w:rPr>
        <w:t>detzrcr</w:t>
      </w:r>
      <w:r w:rsidR="00356DC0">
        <w:rPr>
          <w:rFonts w:ascii="Arial" w:hAnsi="Arial" w:cs="Arial"/>
          <w:bCs/>
        </w:rPr>
        <w:t xml:space="preserve"> R package </w:t>
      </w:r>
      <w:r w:rsidR="00356DC0">
        <w:rPr>
          <w:rFonts w:ascii="Arial" w:hAnsi="Arial" w:cs="Arial"/>
          <w:bCs/>
        </w:rPr>
        <w:fldChar w:fldCharType="begin" w:fldLock="1"/>
      </w:r>
      <w:r w:rsidR="004C6956">
        <w:rPr>
          <w:rFonts w:ascii="Arial" w:hAnsi="Arial" w:cs="Arial"/>
          <w:bCs/>
        </w:rPr>
        <w:instrText>ADDIN CSL_CITATION {"citationItems":[{"id":"ITEM-1","itemData":{"DOI":"10.1144/jgs2015-012","ISSN":"00167649","abstract":"U-Pb and Lu-Hf signatures of detrital zircon from conglomerates and sandstones of the Ordovician Natal Group, South Africa were determined using laser ablation inductively coupled plasma mass spectrometry. The basal conglomerates are dominated by Palaeo- to Mesoarchaean detrital zircon with εHf values from +3 to -4 with minor Mesoproterozoic input, indicating a proximal source in the Kaapvaal Craton and minor input from rocks of the Natal Sector of the Mesoproterozoic Namaqua-Natal Province. The sandstones are all dominated by a combination of juvenile Mesoproterozoic zircon and Neoproterozoic zircon derived from Mesoproterozoic rocks that were reworked during the Pan-African Orogeny. Several sedimentary sequences from former Gondwana with Neoproterozoic to Permian depositional ages show similar detrital zircon signatures. Sedimentary sequences of such vast temporal and geographical distribution are unlikely to have been fed by a single source, making it more likely that these sequences were fed by several different (Pan-Gondwana) source terranes with closely similar U-Pb and Lu-Hf zircon signatures. The results show that source terrane non-uniqueness can make ascertaining sedimentary provenance from detrital zircon impossible, and should be taken as a reminder when using detrital zircon as evidence for far-reaching conclusions in basin evolution studies and palaeogeography.","author":[{"dropping-particle":"","family":"Kristoffersen","given":"Magnus","non-dropping-particle":"","parse-names":false,"suffix":""},{"dropping-particle":"","family":"Andersen","given":"Tom","non-dropping-particle":"","parse-names":false,"suffix":""},{"dropping-particle":"","family":"Elburg","given":"Marlina A.","non-dropping-particle":"","parse-names":false,"suffix":""},{"dropping-particle":"","family":"Watkeys","given":"M. K.","non-dropping-particle":"","parse-names":false,"suffix":""}],"container-title":"Journal of the Geological Society","id":"ITEM-1","issue":"1","issued":{"date-parts":[["2016"]]},"page":"203-215","title":"Detrital zircon in a supercontinental setting: Locally derived and far-transported components in the Ordovician Natal Group, South Africa","type":"article-journal","volume":"173"},"uris":["http://www.mendeley.com/documents/?uuid=b4e79271-5115-4b37-85bb-2ae4ec8d7e7e"]}],"mendeley":{"formattedCitation":"(Kristoffersen et al., 2016)","plainTextFormattedCitation":"(Kristoffersen et al., 2016)","previouslyFormattedCitation":"(Kristoffersen et al., 2016)"},"properties":{"noteIndex":0},"schema":"https://github.com/citation-style-language/schema/raw/master/csl-citation.json"}</w:instrText>
      </w:r>
      <w:r w:rsidR="00356DC0">
        <w:rPr>
          <w:rFonts w:ascii="Arial" w:hAnsi="Arial" w:cs="Arial"/>
          <w:bCs/>
        </w:rPr>
        <w:fldChar w:fldCharType="separate"/>
      </w:r>
      <w:r w:rsidR="00356DC0" w:rsidRPr="00356DC0">
        <w:rPr>
          <w:rFonts w:ascii="Arial" w:hAnsi="Arial" w:cs="Arial"/>
          <w:bCs/>
          <w:noProof/>
        </w:rPr>
        <w:t>(Kristoffersen et al., 2016)</w:t>
      </w:r>
      <w:r w:rsidR="00356DC0">
        <w:rPr>
          <w:rFonts w:ascii="Arial" w:hAnsi="Arial" w:cs="Arial"/>
          <w:bCs/>
        </w:rPr>
        <w:fldChar w:fldCharType="end"/>
      </w:r>
      <w:r w:rsidR="002D1D8A">
        <w:rPr>
          <w:rFonts w:ascii="Arial" w:hAnsi="Arial" w:cs="Arial"/>
          <w:bCs/>
        </w:rPr>
        <w:t xml:space="preserve">. The </w:t>
      </w:r>
      <w:r w:rsidR="00FE24DB">
        <w:rPr>
          <w:rFonts w:ascii="Arial" w:hAnsi="Arial" w:cs="Arial"/>
        </w:rPr>
        <w:t xml:space="preserve">Hf </w:t>
      </w:r>
      <w:r w:rsidR="000B3793">
        <w:rPr>
          <w:rFonts w:ascii="Arial" w:hAnsi="Arial" w:cs="Arial"/>
        </w:rPr>
        <w:lastRenderedPageBreak/>
        <w:t>isotopic</w:t>
      </w:r>
      <w:r w:rsidR="00603409">
        <w:rPr>
          <w:rFonts w:ascii="Arial" w:hAnsi="Arial" w:cs="Arial"/>
        </w:rPr>
        <w:t xml:space="preserve"> </w:t>
      </w:r>
      <w:r w:rsidR="000B3793">
        <w:rPr>
          <w:rFonts w:ascii="Arial" w:hAnsi="Arial" w:cs="Arial"/>
        </w:rPr>
        <w:t>age data w</w:t>
      </w:r>
      <w:r w:rsidR="00603409">
        <w:rPr>
          <w:rFonts w:ascii="Arial" w:hAnsi="Arial" w:cs="Arial"/>
        </w:rPr>
        <w:t>ere</w:t>
      </w:r>
      <w:r w:rsidR="002D1D8A">
        <w:rPr>
          <w:rFonts w:ascii="Arial" w:hAnsi="Arial" w:cs="Arial"/>
        </w:rPr>
        <w:t xml:space="preserve"> further</w:t>
      </w:r>
      <w:r w:rsidR="000B3793">
        <w:rPr>
          <w:rFonts w:ascii="Arial" w:hAnsi="Arial" w:cs="Arial"/>
        </w:rPr>
        <w:t xml:space="preserve"> re-calculated to create a “heat map”</w:t>
      </w:r>
      <w:r w:rsidR="002D1D8A">
        <w:rPr>
          <w:rFonts w:ascii="Arial" w:hAnsi="Arial" w:cs="Arial"/>
        </w:rPr>
        <w:t>, using</w:t>
      </w:r>
      <w:r w:rsidR="002D1D8A" w:rsidRPr="002D1D8A">
        <w:rPr>
          <w:rFonts w:ascii="Arial" w:hAnsi="Arial" w:cs="Arial"/>
        </w:rPr>
        <w:t xml:space="preserve"> </w:t>
      </w:r>
      <w:r w:rsidR="002D1D8A">
        <w:rPr>
          <w:rFonts w:ascii="Arial" w:hAnsi="Arial" w:cs="Arial"/>
        </w:rPr>
        <w:t xml:space="preserve">a </w:t>
      </w:r>
      <w:r w:rsidR="002D1D8A" w:rsidRPr="000B3793">
        <w:rPr>
          <w:rFonts w:ascii="Arial" w:hAnsi="Arial" w:cs="Arial"/>
        </w:rPr>
        <w:t>version of Kernel Density Estimation</w:t>
      </w:r>
      <w:r w:rsidR="000B3793" w:rsidRPr="000B3793">
        <w:rPr>
          <w:rFonts w:ascii="Arial" w:hAnsi="Arial" w:cs="Arial"/>
        </w:rPr>
        <w:t xml:space="preserve"> analysis modified for R</w:t>
      </w:r>
      <w:r w:rsidR="002D1D8A">
        <w:rPr>
          <w:rFonts w:ascii="Arial" w:hAnsi="Arial" w:cs="Arial"/>
        </w:rPr>
        <w:t xml:space="preserve"> </w:t>
      </w:r>
      <w:r w:rsidR="002D1D8A" w:rsidRPr="000B3793">
        <w:rPr>
          <w:rFonts w:ascii="Arial" w:hAnsi="Arial" w:cs="Arial"/>
        </w:rPr>
        <w:fldChar w:fldCharType="begin" w:fldLock="1"/>
      </w:r>
      <w:r w:rsidR="002D1D8A">
        <w:rPr>
          <w:rFonts w:ascii="Arial" w:hAnsi="Arial" w:cs="Arial"/>
        </w:rPr>
        <w:instrText>ADDIN CSL_CITATION {"citationItems":[{"id":"ITEM-1","itemData":{"DOI":"10.1214/10-AOS799","ISSN":"00905364","abstract":"We present a new adaptive kernel density estimator based on linear diffusion processes. The proposed estimator builds on existing ideas for adaptive smoothing by incorporating information from a pilot density estimate. In addition, we propose a new plug-in bandwidth selection method that is free from the arbitrary normal reference rules used by existing methods. We present simulation examples in which the proposed approach outperforms existing methods in terms of accuracy and reliability.","author":[{"dropping-particle":"","family":"Botev","given":"Z. I.","non-dropping-particle":"","parse-names":false,"suffix":""},{"dropping-particle":"","family":"Grotowski","given":"J. F.","non-dropping-particle":"","parse-names":false,"suffix":""},{"dropping-particle":"","family":"Kroese","given":"D. P.","non-dropping-particle":"","parse-names":false,"suffix":""}],"container-title":"Annals of Statistics","id":"ITEM-1","issue":"5","issued":{"date-parts":[["2010"]]},"page":"2916-2957","title":"Kernel density estimation via diffusion","type":"article-journal","volume":"38"},"uris":["http://www.mendeley.com/documents/?uuid=0af12039-061a-4701-bd9b-d7e5bec6a5d4"]}],"mendeley":{"formattedCitation":"(Botev et al., 2010)","plainTextFormattedCitation":"(Botev et al., 2010)","previouslyFormattedCitation":"(Botev et al., 2010)"},"properties":{"noteIndex":0},"schema":"https://github.com/citation-style-language/schema/raw/master/csl-citation.json"}</w:instrText>
      </w:r>
      <w:r w:rsidR="002D1D8A" w:rsidRPr="000B3793">
        <w:rPr>
          <w:rFonts w:ascii="Arial" w:hAnsi="Arial" w:cs="Arial"/>
        </w:rPr>
        <w:fldChar w:fldCharType="separate"/>
      </w:r>
      <w:r w:rsidR="002D1D8A" w:rsidRPr="008612C3">
        <w:rPr>
          <w:rFonts w:ascii="Arial" w:hAnsi="Arial" w:cs="Arial"/>
          <w:noProof/>
        </w:rPr>
        <w:t>(Botev et al., 2010)</w:t>
      </w:r>
      <w:r w:rsidR="002D1D8A" w:rsidRPr="000B3793">
        <w:rPr>
          <w:rFonts w:ascii="Arial" w:hAnsi="Arial" w:cs="Arial"/>
        </w:rPr>
        <w:fldChar w:fldCharType="end"/>
      </w:r>
      <w:r w:rsidR="000B3793" w:rsidRPr="000B3793">
        <w:rPr>
          <w:rFonts w:ascii="Arial" w:hAnsi="Arial" w:cs="Arial"/>
        </w:rPr>
        <w:t>.</w:t>
      </w:r>
      <w:r w:rsidR="000B3793">
        <w:rPr>
          <w:rFonts w:ascii="Arial" w:hAnsi="Arial" w:cs="Arial"/>
        </w:rPr>
        <w:t xml:space="preserve"> </w:t>
      </w:r>
    </w:p>
    <w:p w14:paraId="6660E7F8" w14:textId="0940AE61" w:rsidR="004852AE" w:rsidRDefault="004852AE" w:rsidP="00614941">
      <w:pPr>
        <w:spacing w:before="120" w:after="120" w:line="480" w:lineRule="auto"/>
        <w:jc w:val="both"/>
        <w:rPr>
          <w:rFonts w:ascii="Arial" w:hAnsi="Arial" w:cs="Arial"/>
        </w:rPr>
      </w:pPr>
      <w:r>
        <w:rPr>
          <w:rFonts w:ascii="Arial" w:hAnsi="Arial" w:cs="Arial"/>
        </w:rPr>
        <w:t xml:space="preserve">To focus </w:t>
      </w:r>
      <w:r w:rsidRPr="005C63EB">
        <w:rPr>
          <w:rFonts w:ascii="Arial" w:hAnsi="Arial" w:cs="Arial"/>
        </w:rPr>
        <w:t xml:space="preserve">on identifying the </w:t>
      </w:r>
      <w:r>
        <w:rPr>
          <w:rFonts w:ascii="Arial" w:hAnsi="Arial" w:cs="Arial"/>
        </w:rPr>
        <w:t xml:space="preserve">main primary </w:t>
      </w:r>
      <w:r w:rsidRPr="005C63EB">
        <w:rPr>
          <w:rFonts w:ascii="Arial" w:hAnsi="Arial" w:cs="Arial"/>
        </w:rPr>
        <w:t xml:space="preserve">sources </w:t>
      </w:r>
      <w:r>
        <w:rPr>
          <w:rFonts w:ascii="Arial" w:hAnsi="Arial" w:cs="Arial"/>
        </w:rPr>
        <w:t xml:space="preserve">of loess material </w:t>
      </w:r>
      <w:r w:rsidRPr="005C63EB">
        <w:rPr>
          <w:rFonts w:ascii="Arial" w:hAnsi="Arial" w:cs="Arial"/>
        </w:rPr>
        <w:t>in the Carpathian Basin</w:t>
      </w:r>
      <w:r>
        <w:rPr>
          <w:rFonts w:ascii="Arial" w:hAnsi="Arial" w:cs="Arial"/>
        </w:rPr>
        <w:t xml:space="preserve"> and provide an overview of loess composition in the Danube catchment, the loess </w:t>
      </w:r>
      <w:r w:rsidRPr="005C63EB">
        <w:rPr>
          <w:rFonts w:ascii="Arial" w:hAnsi="Arial" w:cs="Arial"/>
        </w:rPr>
        <w:t>zircon U-Pb analys</w:t>
      </w:r>
      <w:r>
        <w:rPr>
          <w:rFonts w:ascii="Arial" w:hAnsi="Arial" w:cs="Arial"/>
        </w:rPr>
        <w:t>i</w:t>
      </w:r>
      <w:r w:rsidRPr="005C63EB">
        <w:rPr>
          <w:rFonts w:ascii="Arial" w:hAnsi="Arial" w:cs="Arial"/>
        </w:rPr>
        <w:t xml:space="preserve">s </w:t>
      </w:r>
      <w:r>
        <w:rPr>
          <w:rFonts w:ascii="Arial" w:hAnsi="Arial" w:cs="Arial"/>
        </w:rPr>
        <w:t xml:space="preserve">from this </w:t>
      </w:r>
      <w:r w:rsidR="008504CB">
        <w:rPr>
          <w:rFonts w:ascii="Arial" w:hAnsi="Arial" w:cs="Arial"/>
        </w:rPr>
        <w:t xml:space="preserve">work </w:t>
      </w:r>
      <w:r>
        <w:rPr>
          <w:rFonts w:ascii="Arial" w:hAnsi="Arial" w:cs="Arial"/>
        </w:rPr>
        <w:t xml:space="preserve">and previously published studies were </w:t>
      </w:r>
      <w:r w:rsidRPr="005C63EB">
        <w:rPr>
          <w:rFonts w:ascii="Arial" w:hAnsi="Arial" w:cs="Arial"/>
        </w:rPr>
        <w:t>combined</w:t>
      </w:r>
      <w:r>
        <w:rPr>
          <w:rFonts w:ascii="Arial" w:hAnsi="Arial" w:cs="Arial"/>
        </w:rPr>
        <w:t xml:space="preserve"> to create an</w:t>
      </w:r>
      <w:r w:rsidR="00EC0DD8">
        <w:rPr>
          <w:rFonts w:ascii="Arial" w:hAnsi="Arial" w:cs="Arial"/>
        </w:rPr>
        <w:t xml:space="preserve"> </w:t>
      </w:r>
      <w:r>
        <w:rPr>
          <w:rFonts w:ascii="Arial" w:hAnsi="Arial" w:cs="Arial"/>
        </w:rPr>
        <w:t>A</w:t>
      </w:r>
      <w:r w:rsidRPr="005C63EB">
        <w:rPr>
          <w:rFonts w:ascii="Arial" w:hAnsi="Arial" w:cs="Arial"/>
        </w:rPr>
        <w:t>verage Danub</w:t>
      </w:r>
      <w:r>
        <w:rPr>
          <w:rFonts w:ascii="Arial" w:hAnsi="Arial" w:cs="Arial"/>
        </w:rPr>
        <w:t>e</w:t>
      </w:r>
      <w:r w:rsidRPr="005C63EB">
        <w:rPr>
          <w:rFonts w:ascii="Arial" w:hAnsi="Arial" w:cs="Arial"/>
        </w:rPr>
        <w:t xml:space="preserve"> </w:t>
      </w:r>
      <w:r>
        <w:rPr>
          <w:rFonts w:ascii="Arial" w:hAnsi="Arial" w:cs="Arial"/>
        </w:rPr>
        <w:t>L</w:t>
      </w:r>
      <w:r w:rsidRPr="005C63EB">
        <w:rPr>
          <w:rFonts w:ascii="Arial" w:hAnsi="Arial" w:cs="Arial"/>
        </w:rPr>
        <w:t>oess</w:t>
      </w:r>
      <w:r>
        <w:rPr>
          <w:rFonts w:ascii="Arial" w:hAnsi="Arial" w:cs="Arial"/>
        </w:rPr>
        <w:t xml:space="preserve"> sample </w:t>
      </w:r>
      <w:r w:rsidRPr="005C63EB">
        <w:rPr>
          <w:rFonts w:ascii="Arial" w:hAnsi="Arial" w:cs="Arial"/>
        </w:rPr>
        <w:t>(</w:t>
      </w:r>
      <w:r>
        <w:rPr>
          <w:rFonts w:ascii="Arial" w:hAnsi="Arial" w:cs="Arial"/>
        </w:rPr>
        <w:t xml:space="preserve">ADL; </w:t>
      </w:r>
      <w:r w:rsidRPr="005C63EB">
        <w:rPr>
          <w:rFonts w:ascii="Arial" w:hAnsi="Arial" w:cs="Arial"/>
        </w:rPr>
        <w:t>3566 data points</w:t>
      </w:r>
      <w:r>
        <w:rPr>
          <w:rFonts w:ascii="Arial" w:hAnsi="Arial" w:cs="Arial"/>
        </w:rPr>
        <w:t>).</w:t>
      </w:r>
      <w:r w:rsidR="00EC0DD8">
        <w:rPr>
          <w:rFonts w:ascii="Arial" w:hAnsi="Arial" w:cs="Arial"/>
        </w:rPr>
        <w:t xml:space="preserve"> </w:t>
      </w:r>
      <w:r w:rsidR="000E054C">
        <w:rPr>
          <w:rFonts w:ascii="Arial" w:hAnsi="Arial" w:cs="Arial"/>
        </w:rPr>
        <w:t>We note that t</w:t>
      </w:r>
      <w:r w:rsidR="00EC0DD8">
        <w:rPr>
          <w:rFonts w:ascii="Arial" w:hAnsi="Arial" w:cs="Arial"/>
        </w:rPr>
        <w:t xml:space="preserve">his is an artificial sample and needs to be treated as such but by removing any potential inter-site variability </w:t>
      </w:r>
      <w:r w:rsidR="000E054C">
        <w:rPr>
          <w:rFonts w:ascii="Arial" w:hAnsi="Arial" w:cs="Arial"/>
        </w:rPr>
        <w:t>this procedure</w:t>
      </w:r>
      <w:r w:rsidR="00EC0DD8">
        <w:rPr>
          <w:rFonts w:ascii="Arial" w:hAnsi="Arial" w:cs="Arial"/>
        </w:rPr>
        <w:t xml:space="preserve"> provides </w:t>
      </w:r>
      <w:r w:rsidR="000E054C">
        <w:rPr>
          <w:rFonts w:ascii="Arial" w:hAnsi="Arial" w:cs="Arial"/>
        </w:rPr>
        <w:t xml:space="preserve">a </w:t>
      </w:r>
      <w:r w:rsidR="00EC0DD8">
        <w:rPr>
          <w:rFonts w:ascii="Arial" w:hAnsi="Arial" w:cs="Arial"/>
        </w:rPr>
        <w:t>bas</w:t>
      </w:r>
      <w:r w:rsidR="000E054C">
        <w:rPr>
          <w:rFonts w:ascii="Arial" w:hAnsi="Arial" w:cs="Arial"/>
        </w:rPr>
        <w:t>i</w:t>
      </w:r>
      <w:r w:rsidR="00EC0DD8">
        <w:rPr>
          <w:rFonts w:ascii="Arial" w:hAnsi="Arial" w:cs="Arial"/>
        </w:rPr>
        <w:t>s for investigating</w:t>
      </w:r>
      <w:r w:rsidR="000E054C">
        <w:rPr>
          <w:rFonts w:ascii="Arial" w:hAnsi="Arial" w:cs="Arial"/>
        </w:rPr>
        <w:t xml:space="preserve"> the overall characteristics of the main</w:t>
      </w:r>
      <w:r w:rsidR="00EC0DD8">
        <w:rPr>
          <w:rFonts w:ascii="Arial" w:hAnsi="Arial" w:cs="Arial"/>
        </w:rPr>
        <w:t xml:space="preserve"> dataset and to fingerprint </w:t>
      </w:r>
      <w:r w:rsidR="000E054C">
        <w:rPr>
          <w:rFonts w:ascii="Arial" w:hAnsi="Arial" w:cs="Arial"/>
        </w:rPr>
        <w:t xml:space="preserve">the </w:t>
      </w:r>
      <w:r w:rsidR="00EC0DD8">
        <w:rPr>
          <w:rFonts w:ascii="Arial" w:hAnsi="Arial" w:cs="Arial"/>
        </w:rPr>
        <w:t>dominant sources.</w:t>
      </w:r>
      <w:r>
        <w:rPr>
          <w:rFonts w:ascii="Arial" w:hAnsi="Arial" w:cs="Arial"/>
        </w:rPr>
        <w:t xml:space="preserve"> In the second step focused on </w:t>
      </w:r>
      <w:r w:rsidRPr="00A129F3">
        <w:rPr>
          <w:rFonts w:ascii="Arial" w:hAnsi="Arial" w:cs="Arial"/>
        </w:rPr>
        <w:t>investigat</w:t>
      </w:r>
      <w:r>
        <w:rPr>
          <w:rFonts w:ascii="Arial" w:hAnsi="Arial" w:cs="Arial"/>
        </w:rPr>
        <w:t xml:space="preserve">ing </w:t>
      </w:r>
      <w:r w:rsidRPr="00A129F3">
        <w:rPr>
          <w:rFonts w:ascii="Arial" w:hAnsi="Arial" w:cs="Arial"/>
        </w:rPr>
        <w:t>geographical variability in source contributions</w:t>
      </w:r>
      <w:r>
        <w:rPr>
          <w:rFonts w:ascii="Arial" w:hAnsi="Arial" w:cs="Arial"/>
        </w:rPr>
        <w:t xml:space="preserve"> along the Danube, U-Pb ages from </w:t>
      </w:r>
      <w:r w:rsidRPr="00A129F3">
        <w:rPr>
          <w:rFonts w:ascii="Arial" w:hAnsi="Arial" w:cs="Arial"/>
        </w:rPr>
        <w:t>loess and palaeosol units</w:t>
      </w:r>
      <w:r>
        <w:rPr>
          <w:rFonts w:ascii="Arial" w:hAnsi="Arial" w:cs="Arial"/>
        </w:rPr>
        <w:t xml:space="preserve"> at each site were combined to create a site average. Importantly, the </w:t>
      </w:r>
      <w:r w:rsidRPr="00A129F3">
        <w:rPr>
          <w:rFonts w:ascii="Arial" w:hAnsi="Arial" w:cs="Arial"/>
        </w:rPr>
        <w:t xml:space="preserve">combined datasets for the sites investigated </w:t>
      </w:r>
      <w:r>
        <w:rPr>
          <w:rFonts w:ascii="Arial" w:hAnsi="Arial" w:cs="Arial"/>
        </w:rPr>
        <w:t>in</w:t>
      </w:r>
      <w:r w:rsidRPr="00A129F3">
        <w:rPr>
          <w:rFonts w:ascii="Arial" w:hAnsi="Arial" w:cs="Arial"/>
        </w:rPr>
        <w:t xml:space="preserve"> this study (Erdut, Surduk 2, Slivata 1, and Slivata 2), </w:t>
      </w:r>
      <w:r>
        <w:rPr>
          <w:rFonts w:ascii="Arial" w:hAnsi="Arial" w:cs="Arial"/>
        </w:rPr>
        <w:t>are almost</w:t>
      </w:r>
      <w:r w:rsidRPr="00A129F3">
        <w:rPr>
          <w:rFonts w:ascii="Arial" w:hAnsi="Arial" w:cs="Arial"/>
        </w:rPr>
        <w:t xml:space="preserve"> an order of magnitude larger than other loess datasets available in Europe.</w:t>
      </w:r>
      <w:r>
        <w:rPr>
          <w:rFonts w:ascii="Arial" w:hAnsi="Arial" w:cs="Arial"/>
        </w:rPr>
        <w:t xml:space="preserve"> </w:t>
      </w:r>
      <w:r w:rsidRPr="00A129F3">
        <w:rPr>
          <w:rFonts w:ascii="Arial" w:hAnsi="Arial" w:cs="Arial"/>
        </w:rPr>
        <w:t xml:space="preserve">Therefore, </w:t>
      </w:r>
      <w:r w:rsidR="008504CB" w:rsidRPr="00A129F3">
        <w:rPr>
          <w:rFonts w:ascii="Arial" w:hAnsi="Arial" w:cs="Arial"/>
        </w:rPr>
        <w:t xml:space="preserve">in line with the suggestions of </w:t>
      </w:r>
      <w:r w:rsidR="008504CB" w:rsidRPr="00A129F3">
        <w:rPr>
          <w:rFonts w:ascii="Arial" w:hAnsi="Arial" w:cs="Arial"/>
        </w:rPr>
        <w:fldChar w:fldCharType="begin" w:fldLock="1"/>
      </w:r>
      <w:r w:rsidR="008504CB">
        <w:rPr>
          <w:rFonts w:ascii="Arial" w:hAnsi="Arial" w:cs="Arial"/>
        </w:rPr>
        <w:instrText>ADDIN CSL_CITATION {"citationItems":[{"id":"ITEM-1","itemData":{"DOI":"10.1016/j.epsl.2004.05.037","ISBN":"0012-821X","ISSN":"0012821X","abstract":"Detrital provenance studies using single-grain geochronology are very labor-intensive. This paper presents a method for calculating k, the smallest number of grains in a sample that must be dated to achieve a required level of statistical adequacy. For example, if it is desired that no fraction of the population comprising more than 0.05 of the total is missed at the 95% confidence level, at least 117 grains should be dated. The paper also provides recommendations about cases where fewer than the optimal number of grains have been dated. ?? 2004 Elsevier B.V. All rights reserved.","author":[{"dropping-particle":"","family":"Vermeesch","given":"Pieter","non-dropping-particle":"","parse-names":false,"suffix":""}],"container-title":"Earth and Planetary Science Letters","id":"ITEM-1","issue":"3-4","issued":{"date-parts":[["2004"]]},"page":"441-451","title":"How many grains are needed for a provenance study?","type":"article-journal","volume":"224"},"uris":["http://www.mendeley.com/documents/?uuid=282646dc-6749-4ff0-a83e-6ee4692e1f4b"]}],"mendeley":{"formattedCitation":"(Vermeesch, 2004)","manualFormatting":"Vermeesch (2004)","plainTextFormattedCitation":"(Vermeesch, 2004)","previouslyFormattedCitation":"(Vermeesch, 2004)"},"properties":{"noteIndex":0},"schema":"https://github.com/citation-style-language/schema/raw/master/csl-citation.json"}</w:instrText>
      </w:r>
      <w:r w:rsidR="008504CB" w:rsidRPr="00A129F3">
        <w:rPr>
          <w:rFonts w:ascii="Arial" w:hAnsi="Arial" w:cs="Arial"/>
        </w:rPr>
        <w:fldChar w:fldCharType="separate"/>
      </w:r>
      <w:r w:rsidR="008504CB" w:rsidRPr="00A129F3">
        <w:rPr>
          <w:rFonts w:ascii="Arial" w:hAnsi="Arial" w:cs="Arial"/>
          <w:noProof/>
        </w:rPr>
        <w:t>Vermeesch (2004)</w:t>
      </w:r>
      <w:r w:rsidR="008504CB" w:rsidRPr="00A129F3">
        <w:rPr>
          <w:rFonts w:ascii="Arial" w:hAnsi="Arial" w:cs="Arial"/>
        </w:rPr>
        <w:fldChar w:fldCharType="end"/>
      </w:r>
      <w:r w:rsidR="008504CB">
        <w:rPr>
          <w:rFonts w:ascii="Arial" w:hAnsi="Arial" w:cs="Arial"/>
        </w:rPr>
        <w:t xml:space="preserve"> </w:t>
      </w:r>
      <w:r w:rsidRPr="00A129F3">
        <w:rPr>
          <w:rFonts w:ascii="Arial" w:hAnsi="Arial" w:cs="Arial"/>
        </w:rPr>
        <w:t>care must be taken</w:t>
      </w:r>
      <w:r>
        <w:rPr>
          <w:rFonts w:ascii="Arial" w:hAnsi="Arial" w:cs="Arial"/>
        </w:rPr>
        <w:t xml:space="preserve"> when comparison is made to these relatively low grain number samples as </w:t>
      </w:r>
      <w:r w:rsidRPr="00A129F3">
        <w:rPr>
          <w:rFonts w:ascii="Arial" w:hAnsi="Arial" w:cs="Arial"/>
        </w:rPr>
        <w:t xml:space="preserve">populations </w:t>
      </w:r>
      <w:r>
        <w:rPr>
          <w:rFonts w:ascii="Arial" w:hAnsi="Arial" w:cs="Arial"/>
        </w:rPr>
        <w:t xml:space="preserve">&lt;5% </w:t>
      </w:r>
      <w:r w:rsidRPr="00A129F3">
        <w:rPr>
          <w:rFonts w:ascii="Arial" w:hAnsi="Arial" w:cs="Arial"/>
        </w:rPr>
        <w:t xml:space="preserve">might be </w:t>
      </w:r>
      <w:r>
        <w:rPr>
          <w:rFonts w:ascii="Arial" w:hAnsi="Arial" w:cs="Arial"/>
        </w:rPr>
        <w:t>absent</w:t>
      </w:r>
      <w:r w:rsidRPr="00A129F3">
        <w:rPr>
          <w:rFonts w:ascii="Arial" w:hAnsi="Arial" w:cs="Arial"/>
        </w:rPr>
        <w:t xml:space="preserve"> due to </w:t>
      </w:r>
      <w:r>
        <w:rPr>
          <w:rFonts w:ascii="Arial" w:hAnsi="Arial" w:cs="Arial"/>
        </w:rPr>
        <w:t xml:space="preserve">the </w:t>
      </w:r>
      <w:r w:rsidRPr="00A129F3">
        <w:rPr>
          <w:rFonts w:ascii="Arial" w:hAnsi="Arial" w:cs="Arial"/>
        </w:rPr>
        <w:t>number of grains analysed.</w:t>
      </w:r>
      <w:r>
        <w:rPr>
          <w:rFonts w:ascii="Arial" w:hAnsi="Arial" w:cs="Arial"/>
        </w:rPr>
        <w:t xml:space="preserve"> </w:t>
      </w:r>
    </w:p>
    <w:p w14:paraId="66D63AFA" w14:textId="60F60DFB" w:rsidR="006E26FD" w:rsidRPr="00964EE7" w:rsidRDefault="00F16551" w:rsidP="00987B6C">
      <w:pPr>
        <w:pStyle w:val="Heading1"/>
        <w:numPr>
          <w:ilvl w:val="0"/>
          <w:numId w:val="34"/>
        </w:numPr>
        <w:spacing w:before="120" w:after="120" w:line="480" w:lineRule="auto"/>
        <w:ind w:left="567" w:hanging="567"/>
        <w:jc w:val="both"/>
        <w:rPr>
          <w:rFonts w:ascii="Arial" w:hAnsi="Arial" w:cs="Arial"/>
          <w:b/>
          <w:color w:val="auto"/>
          <w:sz w:val="24"/>
        </w:rPr>
      </w:pPr>
      <w:r>
        <w:rPr>
          <w:rFonts w:ascii="Arial" w:hAnsi="Arial" w:cs="Arial"/>
          <w:b/>
          <w:color w:val="auto"/>
          <w:sz w:val="24"/>
        </w:rPr>
        <w:t xml:space="preserve">Detrital zircon geochronology and Hf isotopic </w:t>
      </w:r>
      <w:r w:rsidR="00603409">
        <w:rPr>
          <w:rFonts w:ascii="Arial" w:hAnsi="Arial" w:cs="Arial"/>
          <w:b/>
          <w:color w:val="auto"/>
          <w:sz w:val="24"/>
        </w:rPr>
        <w:t>composition</w:t>
      </w:r>
    </w:p>
    <w:p w14:paraId="0E647FAB" w14:textId="0314014B" w:rsidR="00F962D8" w:rsidRDefault="00F962D8" w:rsidP="00E11159">
      <w:pPr>
        <w:spacing w:before="120" w:after="120" w:line="480" w:lineRule="auto"/>
        <w:jc w:val="both"/>
        <w:rPr>
          <w:rFonts w:ascii="Arial" w:hAnsi="Arial" w:cs="Arial"/>
        </w:rPr>
      </w:pPr>
      <w:bookmarkStart w:id="41" w:name="_Hlk80707488"/>
      <w:bookmarkStart w:id="42" w:name="_Hlk80708273"/>
      <w:r w:rsidRPr="005C63EB">
        <w:rPr>
          <w:rFonts w:ascii="Arial" w:hAnsi="Arial" w:cs="Arial"/>
        </w:rPr>
        <w:t xml:space="preserve">The </w:t>
      </w:r>
      <w:r w:rsidR="00B567F5">
        <w:rPr>
          <w:rFonts w:ascii="Arial" w:hAnsi="Arial" w:cs="Arial"/>
        </w:rPr>
        <w:t xml:space="preserve">ADL’s </w:t>
      </w:r>
      <w:r w:rsidRPr="005C63EB">
        <w:rPr>
          <w:rFonts w:ascii="Arial" w:hAnsi="Arial" w:cs="Arial"/>
        </w:rPr>
        <w:t xml:space="preserve">KDE </w:t>
      </w:r>
      <w:r w:rsidR="0084150C">
        <w:rPr>
          <w:rFonts w:ascii="Arial" w:hAnsi="Arial" w:cs="Arial"/>
        </w:rPr>
        <w:t xml:space="preserve">plot </w:t>
      </w:r>
      <w:r w:rsidRPr="005C63EB">
        <w:rPr>
          <w:rFonts w:ascii="Arial" w:hAnsi="Arial" w:cs="Arial"/>
        </w:rPr>
        <w:t>shows a continuous spread of zircon U-Pb ages (</w:t>
      </w:r>
      <w:r w:rsidRPr="00C36750">
        <w:rPr>
          <w:rFonts w:ascii="Arial" w:hAnsi="Arial" w:cs="Arial"/>
        </w:rPr>
        <w:t>Figure</w:t>
      </w:r>
      <w:r w:rsidR="002E5944">
        <w:rPr>
          <w:rFonts w:ascii="Arial" w:hAnsi="Arial" w:cs="Arial"/>
        </w:rPr>
        <w:t>s</w:t>
      </w:r>
      <w:r w:rsidRPr="00C36750">
        <w:rPr>
          <w:rFonts w:ascii="Arial" w:hAnsi="Arial" w:cs="Arial"/>
        </w:rPr>
        <w:t xml:space="preserve"> </w:t>
      </w:r>
      <w:r w:rsidR="00303F27">
        <w:rPr>
          <w:rFonts w:ascii="Arial" w:hAnsi="Arial" w:cs="Arial"/>
        </w:rPr>
        <w:t>3</w:t>
      </w:r>
      <w:r w:rsidR="002E5944">
        <w:rPr>
          <w:rFonts w:ascii="Arial" w:hAnsi="Arial" w:cs="Arial"/>
        </w:rPr>
        <w:t xml:space="preserve"> and 4</w:t>
      </w:r>
      <w:r w:rsidRPr="005C63EB">
        <w:rPr>
          <w:rFonts w:ascii="Arial" w:hAnsi="Arial" w:cs="Arial"/>
        </w:rPr>
        <w:t>)</w:t>
      </w:r>
      <w:r w:rsidR="00B567F5">
        <w:rPr>
          <w:rFonts w:ascii="Arial" w:hAnsi="Arial" w:cs="Arial"/>
        </w:rPr>
        <w:t>, with t</w:t>
      </w:r>
      <w:r>
        <w:rPr>
          <w:rFonts w:ascii="Arial" w:hAnsi="Arial" w:cs="Arial"/>
        </w:rPr>
        <w:t xml:space="preserve">hree dominant age populations </w:t>
      </w:r>
      <w:r w:rsidR="00B567F5">
        <w:rPr>
          <w:rFonts w:ascii="Arial" w:hAnsi="Arial" w:cs="Arial"/>
        </w:rPr>
        <w:t>of</w:t>
      </w:r>
      <w:r>
        <w:rPr>
          <w:rFonts w:ascii="Arial" w:hAnsi="Arial" w:cs="Arial"/>
        </w:rPr>
        <w:t xml:space="preserve"> similar abundances at </w:t>
      </w:r>
      <w:r w:rsidR="00433503">
        <w:rPr>
          <w:rFonts w:ascii="Arial" w:hAnsi="Arial" w:cs="Arial"/>
          <w:i/>
          <w:iCs/>
        </w:rPr>
        <w:t>~</w:t>
      </w:r>
      <w:r w:rsidRPr="005C63EB">
        <w:rPr>
          <w:rFonts w:ascii="Arial" w:hAnsi="Arial" w:cs="Arial"/>
        </w:rPr>
        <w:t>330 Ma</w:t>
      </w:r>
      <w:r w:rsidR="002E5944">
        <w:rPr>
          <w:rFonts w:ascii="Arial" w:hAnsi="Arial" w:cs="Arial"/>
        </w:rPr>
        <w:t xml:space="preserve"> (12.1 %)</w:t>
      </w:r>
      <w:r w:rsidRPr="005C63EB">
        <w:rPr>
          <w:rFonts w:ascii="Arial" w:hAnsi="Arial" w:cs="Arial"/>
        </w:rPr>
        <w:t xml:space="preserve">, </w:t>
      </w:r>
      <w:r w:rsidR="00433503">
        <w:rPr>
          <w:rFonts w:ascii="Arial" w:hAnsi="Arial" w:cs="Arial"/>
        </w:rPr>
        <w:t>~</w:t>
      </w:r>
      <w:r w:rsidRPr="005C63EB">
        <w:rPr>
          <w:rFonts w:ascii="Arial" w:hAnsi="Arial" w:cs="Arial"/>
        </w:rPr>
        <w:t>450 Ma</w:t>
      </w:r>
      <w:r w:rsidR="002E5944">
        <w:rPr>
          <w:rFonts w:ascii="Arial" w:hAnsi="Arial" w:cs="Arial"/>
        </w:rPr>
        <w:t xml:space="preserve"> (11.1 %),</w:t>
      </w:r>
      <w:r w:rsidRPr="005C63EB">
        <w:rPr>
          <w:rFonts w:ascii="Arial" w:hAnsi="Arial" w:cs="Arial"/>
        </w:rPr>
        <w:t xml:space="preserve"> and 600 Ma</w:t>
      </w:r>
      <w:r w:rsidR="002E5944">
        <w:rPr>
          <w:rFonts w:ascii="Arial" w:hAnsi="Arial" w:cs="Arial"/>
        </w:rPr>
        <w:t xml:space="preserve"> (10.4 %)</w:t>
      </w:r>
      <w:r>
        <w:rPr>
          <w:rFonts w:ascii="Arial" w:hAnsi="Arial" w:cs="Arial"/>
        </w:rPr>
        <w:t xml:space="preserve">. These </w:t>
      </w:r>
      <w:r w:rsidR="005801C3">
        <w:rPr>
          <w:rFonts w:ascii="Arial" w:hAnsi="Arial" w:cs="Arial"/>
        </w:rPr>
        <w:t>are</w:t>
      </w:r>
      <w:r>
        <w:rPr>
          <w:rFonts w:ascii="Arial" w:hAnsi="Arial" w:cs="Arial"/>
        </w:rPr>
        <w:t xml:space="preserve"> </w:t>
      </w:r>
      <w:r w:rsidR="002E5944">
        <w:rPr>
          <w:rFonts w:ascii="Arial" w:hAnsi="Arial" w:cs="Arial"/>
        </w:rPr>
        <w:t xml:space="preserve">more or less </w:t>
      </w:r>
      <w:r>
        <w:rPr>
          <w:rFonts w:ascii="Arial" w:hAnsi="Arial" w:cs="Arial"/>
        </w:rPr>
        <w:t>replicated in all loess samples from sites located near the Danube River</w:t>
      </w:r>
      <w:r w:rsidR="00060A6A">
        <w:rPr>
          <w:rFonts w:ascii="Arial" w:hAnsi="Arial" w:cs="Arial"/>
        </w:rPr>
        <w:t xml:space="preserve">, </w:t>
      </w:r>
      <w:r w:rsidR="00095EE9">
        <w:rPr>
          <w:rFonts w:ascii="Arial" w:hAnsi="Arial" w:cs="Arial"/>
        </w:rPr>
        <w:t>al</w:t>
      </w:r>
      <w:r>
        <w:rPr>
          <w:rFonts w:ascii="Arial" w:hAnsi="Arial" w:cs="Arial"/>
        </w:rPr>
        <w:t xml:space="preserve">though the smaller proportion of grains </w:t>
      </w:r>
      <w:r w:rsidR="00B540E2">
        <w:rPr>
          <w:rFonts w:ascii="Arial" w:hAnsi="Arial" w:cs="Arial"/>
        </w:rPr>
        <w:t xml:space="preserve">in some of the </w:t>
      </w:r>
      <w:r w:rsidR="00060A6A">
        <w:rPr>
          <w:rFonts w:ascii="Arial" w:hAnsi="Arial" w:cs="Arial"/>
        </w:rPr>
        <w:t>populations</w:t>
      </w:r>
      <w:r>
        <w:rPr>
          <w:rFonts w:ascii="Arial" w:hAnsi="Arial" w:cs="Arial"/>
        </w:rPr>
        <w:t xml:space="preserve"> at other sites </w:t>
      </w:r>
      <w:r w:rsidR="00060A6A">
        <w:rPr>
          <w:rFonts w:ascii="Arial" w:hAnsi="Arial" w:cs="Arial"/>
        </w:rPr>
        <w:t>are</w:t>
      </w:r>
      <w:r>
        <w:rPr>
          <w:rFonts w:ascii="Arial" w:hAnsi="Arial" w:cs="Arial"/>
        </w:rPr>
        <w:t xml:space="preserve"> likely an artefact of smaller sample size. Grains with Carboniferous ages </w:t>
      </w:r>
      <w:r w:rsidR="001E1D9E">
        <w:rPr>
          <w:rFonts w:ascii="Arial" w:hAnsi="Arial" w:cs="Arial"/>
        </w:rPr>
        <w:t xml:space="preserve">are common in all samples </w:t>
      </w:r>
      <w:r w:rsidR="002E5944">
        <w:rPr>
          <w:rFonts w:ascii="Arial" w:hAnsi="Arial" w:cs="Arial"/>
        </w:rPr>
        <w:t xml:space="preserve">(11-20%) </w:t>
      </w:r>
      <w:r w:rsidR="001E1D9E">
        <w:rPr>
          <w:rFonts w:ascii="Arial" w:hAnsi="Arial" w:cs="Arial"/>
        </w:rPr>
        <w:t xml:space="preserve">and in terms of a proto-source </w:t>
      </w:r>
      <w:r>
        <w:rPr>
          <w:rFonts w:ascii="Arial" w:hAnsi="Arial" w:cs="Arial"/>
        </w:rPr>
        <w:t>relat</w:t>
      </w:r>
      <w:r w:rsidR="001E1D9E">
        <w:rPr>
          <w:rFonts w:ascii="Arial" w:hAnsi="Arial" w:cs="Arial"/>
        </w:rPr>
        <w:t>e</w:t>
      </w:r>
      <w:r>
        <w:rPr>
          <w:rFonts w:ascii="Arial" w:hAnsi="Arial" w:cs="Arial"/>
        </w:rPr>
        <w:t xml:space="preserve"> to </w:t>
      </w:r>
      <w:r w:rsidRPr="00D30881">
        <w:rPr>
          <w:rFonts w:ascii="Arial" w:hAnsi="Arial" w:cs="Arial"/>
        </w:rPr>
        <w:t>the Variscan orogeny and associated magmati</w:t>
      </w:r>
      <w:r w:rsidR="001E1D9E">
        <w:rPr>
          <w:rFonts w:ascii="Arial" w:hAnsi="Arial" w:cs="Arial"/>
        </w:rPr>
        <w:t>c events</w:t>
      </w:r>
      <w:r>
        <w:rPr>
          <w:rFonts w:ascii="Arial" w:hAnsi="Arial" w:cs="Arial"/>
        </w:rPr>
        <w:t xml:space="preserve">, as would be expected given the regional geology </w:t>
      </w:r>
      <w:r>
        <w:rPr>
          <w:rFonts w:ascii="Arial" w:hAnsi="Arial" w:cs="Arial"/>
        </w:rPr>
        <w:fldChar w:fldCharType="begin" w:fldLock="1"/>
      </w:r>
      <w:r>
        <w:rPr>
          <w:rFonts w:ascii="Arial" w:hAnsi="Arial" w:cs="Arial"/>
        </w:rPr>
        <w:instrText>ADDIN CSL_CITATION {"citationItems":[{"id":"ITEM-1","itemData":{"DOI":"10.1016/j.earscirev.2019.03.012","ISSN":"00128252","abstract":"The Late Paleozoic Variscan Orogen of Europe and North Africa comprises reworked Neoproterozoic to Early Paleozoic crust of the northern Gondwanan shelf that collided with Laurussia. The orogen is characterized by an arcuate trend of the Rheic suture along two orthogonal orogenic arcs and an apparently arbitrary juxtaposition of contrasting paleogeographic proxies to the south of the suture. The comparison of the sedimentary provenance, paleontological, lithostratigraphic, tectonic, and magmatic record demonstrates a contiguous but bipartite, i.e. a western and an eastern, shelf to the south of the Rheic Ocean. Here we reconstruct the development and architecture of the Paleozoic shelf of northern Gondwana preceding the formation of Pangea. In the early Paleozoic both shelf segments were affected by a heterogeneous extension whereby age and composition of extension-related magmatic rocks varies systematically from Cambrian alkaline and tholeiitic rocks in the western shelf to Ordovician calc-alkaline and peraluminous rocks in the eastern shelf. The regional variation in age and composition of the magmatic rocks reflects an eastward decreasing rate of extension along northern Gondwana. The higher extension in the western shelf culminated in the formation of the Armorican Spur. The subsequent intra-Ordovician compressional event, i.e. the “Sardic phase” and the “Cenerian orogeny”, exclusively affected the eastern shelf. Early Devonian collision of the Armorican Spur with Laurussia initiated the subduction accretion stage of the Variscan orogeny resulting in the formation of the Rheno-Hercynian–Moravo-Silesian Arc. At that time, the eastern shelf remained in a passive margin setting. Triggered by Late Devonian rifting along the eastern margin of Arabia, the eastern shelf decoupled from the Gondwanan plate and was displaced eastward, parallel to the northern margin of remaining mainland Gondwana. Early Carboniferous collision of the eastern shelf with the western shelf resulted in orogen wide transpressional tectonics and the formation of the Ibero-Armorican Arc. The tectonic interplay between the two Gondwanan shelf segments is the underlying cause of the final patchwork pattern of paleogeographic markers and the arcuate shape of the Variscan orogenic belt.","author":[{"dropping-particle":"","family":"Stephan","given":"Tobias","non-dropping-particle":"","parse-names":false,"suffix":""},{"dropping-particle":"","family":"Kroner","given":"Uwe","non-dropping-particle":"","parse-names":false,"suffix":""},{"dropping-particle":"","family":"Romer","given":"Rolf L.","non-dropping-particle":"","parse-names":false,"suffix":""},{"dropping-particle":"","family":"Rösel","given":"Delia","non-dropping-particle":"","parse-names":false,"suffix":""}],"container-title":"Earth-Science Reviews","id":"ITEM-1","issue":"February","issued":{"date-parts":[["2019"]]},"page":"491-512","publisher":"Elsevier","title":"From a bipartite Gondwanan shelf to an arcuate Variscan belt: The early Paleozoic evolution of northern Peri-Gondwana","type":"article-journal","volume":"192"},"uris":["http://www.mendeley.com/documents/?uuid=913e142e-48f8-4c12-8a63-fbc335bee9ac"]}],"mendeley":{"formattedCitation":"(Stephan et al., 2019)","plainTextFormattedCitation":"(Stephan et al., 2019)","previouslyFormattedCitation":"(Stephan et al., 2019)"},"properties":{"noteIndex":0},"schema":"https://github.com/citation-style-language/schema/raw/master/csl-citation.json"}</w:instrText>
      </w:r>
      <w:r>
        <w:rPr>
          <w:rFonts w:ascii="Arial" w:hAnsi="Arial" w:cs="Arial"/>
        </w:rPr>
        <w:fldChar w:fldCharType="separate"/>
      </w:r>
      <w:r w:rsidRPr="00983983">
        <w:rPr>
          <w:rFonts w:ascii="Arial" w:hAnsi="Arial" w:cs="Arial"/>
          <w:noProof/>
        </w:rPr>
        <w:t>(Stephan et al., 2019)</w:t>
      </w:r>
      <w:r>
        <w:rPr>
          <w:rFonts w:ascii="Arial" w:hAnsi="Arial" w:cs="Arial"/>
        </w:rPr>
        <w:fldChar w:fldCharType="end"/>
      </w:r>
      <w:r>
        <w:rPr>
          <w:rFonts w:ascii="Arial" w:hAnsi="Arial" w:cs="Arial"/>
        </w:rPr>
        <w:t>.</w:t>
      </w:r>
      <w:r w:rsidR="001E1D9E">
        <w:rPr>
          <w:rFonts w:ascii="Arial" w:hAnsi="Arial" w:cs="Arial"/>
        </w:rPr>
        <w:t xml:space="preserve"> </w:t>
      </w:r>
      <w:bookmarkStart w:id="43" w:name="_Hlk73610487"/>
      <w:r w:rsidR="001E1D9E">
        <w:rPr>
          <w:rFonts w:ascii="Arial" w:hAnsi="Arial" w:cs="Arial"/>
        </w:rPr>
        <w:t>A</w:t>
      </w:r>
      <w:r w:rsidR="00D670B7">
        <w:rPr>
          <w:rFonts w:ascii="Arial" w:hAnsi="Arial" w:cs="Arial"/>
        </w:rPr>
        <w:t>n a</w:t>
      </w:r>
      <w:r w:rsidR="001E1D9E">
        <w:rPr>
          <w:rFonts w:ascii="Arial" w:hAnsi="Arial" w:cs="Arial"/>
        </w:rPr>
        <w:t>lternative source for these grains could be (meta-) sedimentary rocks of Mesozoic-Cenozoic age</w:t>
      </w:r>
      <w:bookmarkEnd w:id="43"/>
      <w:r w:rsidR="001E1D9E">
        <w:rPr>
          <w:rFonts w:ascii="Arial" w:hAnsi="Arial" w:cs="Arial"/>
        </w:rPr>
        <w:t xml:space="preserve">, </w:t>
      </w:r>
      <w:r w:rsidR="008504CB">
        <w:rPr>
          <w:rFonts w:ascii="Arial" w:hAnsi="Arial" w:cs="Arial"/>
        </w:rPr>
        <w:t>in which case they would</w:t>
      </w:r>
      <w:r w:rsidR="001E1D9E">
        <w:rPr>
          <w:rFonts w:ascii="Arial" w:hAnsi="Arial" w:cs="Arial"/>
        </w:rPr>
        <w:t xml:space="preserve"> represent zircon </w:t>
      </w:r>
      <w:r w:rsidR="00AA7199">
        <w:rPr>
          <w:rFonts w:ascii="Arial" w:hAnsi="Arial" w:cs="Arial"/>
        </w:rPr>
        <w:t>recycling</w:t>
      </w:r>
      <w:bookmarkStart w:id="44" w:name="_Hlk74209371"/>
      <w:r w:rsidR="001E1D9E">
        <w:rPr>
          <w:rFonts w:ascii="Arial" w:hAnsi="Arial" w:cs="Arial"/>
        </w:rPr>
        <w:t>.</w:t>
      </w:r>
      <w:r>
        <w:rPr>
          <w:rFonts w:ascii="Arial" w:hAnsi="Arial" w:cs="Arial"/>
        </w:rPr>
        <w:t xml:space="preserve"> </w:t>
      </w:r>
      <w:bookmarkStart w:id="45" w:name="_Hlk73718488"/>
      <w:bookmarkStart w:id="46" w:name="_Hlk73611708"/>
      <w:r>
        <w:rPr>
          <w:rFonts w:ascii="Arial" w:hAnsi="Arial" w:cs="Arial"/>
        </w:rPr>
        <w:t>A</w:t>
      </w:r>
      <w:r w:rsidRPr="009A747B">
        <w:t xml:space="preserve"> </w:t>
      </w:r>
      <w:r w:rsidRPr="009A747B">
        <w:rPr>
          <w:rFonts w:ascii="Arial" w:hAnsi="Arial" w:cs="Arial"/>
        </w:rPr>
        <w:t>Cambro-</w:t>
      </w:r>
      <w:r w:rsidR="00F945D0">
        <w:rPr>
          <w:rFonts w:ascii="Arial" w:hAnsi="Arial" w:cs="Arial"/>
        </w:rPr>
        <w:t xml:space="preserve">early </w:t>
      </w:r>
      <w:r w:rsidRPr="009A747B">
        <w:rPr>
          <w:rFonts w:ascii="Arial" w:hAnsi="Arial" w:cs="Arial"/>
        </w:rPr>
        <w:t>Ordovician</w:t>
      </w:r>
      <w:r>
        <w:rPr>
          <w:rFonts w:ascii="Arial" w:hAnsi="Arial" w:cs="Arial"/>
        </w:rPr>
        <w:t xml:space="preserve"> age peak</w:t>
      </w:r>
      <w:r w:rsidR="00A07FC1">
        <w:rPr>
          <w:rFonts w:ascii="Arial" w:hAnsi="Arial" w:cs="Arial"/>
        </w:rPr>
        <w:t xml:space="preserve"> appear</w:t>
      </w:r>
      <w:r w:rsidR="00D670B7">
        <w:rPr>
          <w:rFonts w:ascii="Arial" w:hAnsi="Arial" w:cs="Arial"/>
        </w:rPr>
        <w:t>s</w:t>
      </w:r>
      <w:r w:rsidR="00A07FC1">
        <w:rPr>
          <w:rFonts w:ascii="Arial" w:hAnsi="Arial" w:cs="Arial"/>
        </w:rPr>
        <w:t xml:space="preserve"> in most samples</w:t>
      </w:r>
      <w:r w:rsidR="002E5944">
        <w:rPr>
          <w:rFonts w:ascii="Arial" w:hAnsi="Arial" w:cs="Arial"/>
        </w:rPr>
        <w:t xml:space="preserve">, though in most </w:t>
      </w:r>
      <w:r w:rsidR="002E5944">
        <w:rPr>
          <w:rFonts w:ascii="Arial" w:hAnsi="Arial" w:cs="Arial"/>
        </w:rPr>
        <w:lastRenderedPageBreak/>
        <w:t>cases it forms the smallest population (3-11%).</w:t>
      </w:r>
      <w:r w:rsidR="00032BBA">
        <w:rPr>
          <w:rFonts w:ascii="Arial" w:hAnsi="Arial" w:cs="Arial"/>
        </w:rPr>
        <w:t xml:space="preserve"> </w:t>
      </w:r>
      <w:r w:rsidR="002E5944">
        <w:rPr>
          <w:rFonts w:ascii="Arial" w:hAnsi="Arial" w:cs="Arial"/>
        </w:rPr>
        <w:t xml:space="preserve">These ages </w:t>
      </w:r>
      <w:r w:rsidR="008504CB">
        <w:rPr>
          <w:rFonts w:ascii="Arial" w:hAnsi="Arial" w:cs="Arial"/>
        </w:rPr>
        <w:t xml:space="preserve">encompass </w:t>
      </w:r>
      <w:r w:rsidR="002758C8">
        <w:rPr>
          <w:rFonts w:ascii="Arial" w:hAnsi="Arial" w:cs="Arial"/>
        </w:rPr>
        <w:t xml:space="preserve">a series </w:t>
      </w:r>
      <w:r w:rsidR="00A07FC1">
        <w:rPr>
          <w:rFonts w:ascii="Arial" w:hAnsi="Arial" w:cs="Arial"/>
        </w:rPr>
        <w:t xml:space="preserve">of </w:t>
      </w:r>
      <w:r w:rsidR="002758C8">
        <w:rPr>
          <w:rFonts w:ascii="Arial" w:hAnsi="Arial" w:cs="Arial"/>
        </w:rPr>
        <w:t>ocean floor spreading</w:t>
      </w:r>
      <w:r w:rsidR="00A07FC1">
        <w:rPr>
          <w:rFonts w:ascii="Arial" w:hAnsi="Arial" w:cs="Arial"/>
        </w:rPr>
        <w:t xml:space="preserve"> and closures</w:t>
      </w:r>
      <w:r w:rsidR="002758C8">
        <w:rPr>
          <w:rFonts w:ascii="Arial" w:hAnsi="Arial" w:cs="Arial"/>
        </w:rPr>
        <w:t xml:space="preserve">, island arcs, </w:t>
      </w:r>
      <w:r w:rsidR="008504CB">
        <w:rPr>
          <w:rFonts w:ascii="Arial" w:hAnsi="Arial" w:cs="Arial"/>
        </w:rPr>
        <w:t xml:space="preserve">and </w:t>
      </w:r>
      <w:r w:rsidR="002758C8">
        <w:rPr>
          <w:rFonts w:ascii="Arial" w:hAnsi="Arial" w:cs="Arial"/>
        </w:rPr>
        <w:t xml:space="preserve">subduction zones </w:t>
      </w:r>
      <w:r w:rsidR="00A07FC1">
        <w:rPr>
          <w:rFonts w:ascii="Arial" w:hAnsi="Arial" w:cs="Arial"/>
        </w:rPr>
        <w:t>that developed</w:t>
      </w:r>
      <w:r w:rsidR="002758C8">
        <w:rPr>
          <w:rFonts w:ascii="Arial" w:hAnsi="Arial" w:cs="Arial"/>
        </w:rPr>
        <w:t xml:space="preserve"> during collisions that produced proto-Europe </w:t>
      </w:r>
      <w:r w:rsidR="002758C8" w:rsidRPr="00B71174">
        <w:rPr>
          <w:rFonts w:ascii="Arial" w:hAnsi="Arial" w:cs="Arial"/>
        </w:rPr>
        <w:fldChar w:fldCharType="begin" w:fldLock="1"/>
      </w:r>
      <w:r w:rsidR="00E11159">
        <w:rPr>
          <w:rFonts w:ascii="Arial" w:hAnsi="Arial" w:cs="Arial"/>
        </w:rPr>
        <w:instrText>ADDIN CSL_CITATION {"citationItems":[{"id":"ITEM-1","itemData":{"DOI":"10.1016/S0040-1951(03)00015-5","ISSN":"00401951","abstract":"The European Variscan and Alpine mountain chains are collisional orogens, and are built up of pre-Variscan \"building blocks\" which, in most cases, originated at the Gondwana margin. Such pre-Variscan elements were part of a pre-Ordovician archipelago-like continental ribbon in the former eastern prolongation of Avalonia, and their present-day distribution resulted from juxtaposition through Variscan and/or Alpine tectonic evolution. The well-known nomenclatures applied to these mountain chains are the mirror of Variscan resp. Alpine organization. It is the aim of this paper to present a terminology taking into account their pre-Variscan evolution at the Gondwana margin. They may contain relics of volcanic islands with pieces of Cadomian crust, relics of volcanic arc settings, and accretionary wedges, which were separated from Gondwana by initial stages of Rheic ocean opening. After a short-lived Ordovician orogenic event and amalgamation of these elements at the Gondwanan margin, the still continuing Gondwana-directed subduction triggered the formation of Ordovician Al-rich granitoids and the latest Ordovician opening of Palaeo-Tethys. An example from the Alps (External Massifs) illustrates the gradual reworking of Gondwana-derived, pre-Variscan elements during the Variscan and Alpine/Tertiary orogenic cycles. © 2003 Elsevier Science B.V. All rights reserved.","author":[{"dropping-particle":"","family":"Raumer","given":"Jürgen F.","non-dropping-particle":"von","parse-names":false,"suffix":""},{"dropping-particle":"","family":"Stampfli","given":"Gérard M.","non-dropping-particle":"","parse-names":false,"suffix":""},{"dropping-particle":"","family":"Bussy","given":"François","non-dropping-particle":"","parse-names":false,"suffix":""}],"container-title":"Tectonophysics","id":"ITEM-1","issue":"1-4","issued":{"date-parts":[["2003"]]},"page":"7-22","title":"Gondwana-derived microcontinents - The constituents of the Variscan and Alpine collisional orogens","type":"article-journal","volume":"365"},"uris":["http://www.mendeley.com/documents/?uuid=e3905d00-279b-4a92-a346-5785a84dd702"]},{"id":"ITEM-2","itemData":{"DOI":"10.1016/j.gr.2013.03.001","ISSN":"1342937X","abstract":"The Variscides of Europe and N-Africa are the result of the convergence of the plates of Gondwana and Laurussia in the Paleozoic. This orogen is characterized by the juxtaposition of blocks of continental crust that are little affected by the Variscan orogeny. These low strain domains principally consist of Neoproterozoic/Cambrian Cadomian basement overlain by volcano-sedimentary successions of an extended peri-Gondwana shelf. These Cadomian blocks are separated by high strain zones containing the record of subduction-related processes. Traditionally the high strain zones are interpreted as sutures between one or more postulated lithospheric microplates sandwiched between the two major plates. Paleobio-geographic constraints in combination with geochemical and isotopic fingerprints of the protoliths, however, imply that the Variscides are the result of the exclusive interaction of the two plates of Gondwana and Laurussia. Here we explain the Variscan orogen in a two plate scenario, reasoning that the complexity of the Variscan orogen (multitude of high-grade metamorphic belts, compositional diversity of coeval magmatism, and arrangement of foreland basins) is the result of the distribution of crustal domains of contrasting rheological properties. Post-Cadomian rifting along the Cadomian-Avalonian belt, which culminated in the opening of the Rheic Ocean, resulted in vast coeval intracontinental extension and the formation of extended peri-Gondwana shelf areas, namely the Avalonian shelf and the Armorican Spur to the north and south of the evolving Rheic Ocean, respectively. Both shelf areas affected by heterogeneous extension consist of stable continental blocks separated by zones of thinner continental crust. During Variscan collisional tectonics the continental blocks behave as unsubductable crust, whereas the thinner continental crust was subductable and came to constitute the high strain domains of the orogen. The variable interplay between both crustal types in space and time is seen as the principal cause for the observed sequence of orogenic processes. The first collisional contact along the convergent Gondwana-Laurussia plate boundary occurred between Brittany and the Midland microcraton causing the early Devonian deformation along the Anglo-Brabant Fold Belt. This process is coeval with the initiation of continental subduction along the Armorican Spur of the Gondwana plate and the formation of back arc and transtensional basins to both sides of …","author":[{"dropping-particle":"","family":"Kroner","given":"Uwe","non-dropping-particle":"","parse-names":false,"suffix":""},{"dropping-particle":"","family":"Romer","given":"Rolf L.","non-dropping-particle":"","parse-names":false,"suffix":""}],"container-title":"Gondwana Research","id":"ITEM-2","issue":"1","issued":{"date-parts":[["2013"]]},"page":"298-329","publisher":"International Association for Gondwana Research","title":"Two plates - Many subduction zones: The Variscan orogeny reconsidered","type":"article-journal","volume":"24"},"uris":["http://www.mendeley.com/documents/?uuid=df9493d5-4c89-4684-8428-52cb1fa40181"]},{"id":"ITEM-3","itemData":{"DOI":"10.1016/j.tecto.2013.02.037","ISSN":"00401951","abstract":"The making of Pangea is the result of large-scale amalgamation of continents and micro-continents, which started at the end of the Neoproterozoic with the formation of Gondwana. As pieces were added to Gondwana on its South-American, Antarctica and Australia side, ribbon-like micro-continents were detached from its African and South-Chinese side: Cadomia in the late Neoproterozoic, Avalonia and Hunia in the Ordovician, Galatia in the Devonian and Cimmeria in the Permian. Cadomia was re-accreted to Gondwana, but the other ribbon-continents were accreted to Baltica, North-China, Laurussia or Laurasia. Finding the origin of these numerous terranes is a major geological challenge. Recently, a global plate tectonic model was developed together with a large geological/geodynamic database, at the Lausanne University, covering the last 600. Ma of the Earth's history. Special attention was given to the placing of Gondwana derived terranes in their original position, using all possible constraints. We propose here a solution for the Variscan terranes, another paper deals with the Altaids. The Galatian super-terrane was detached from Gondwana in the Devonian, during the opening of Paleotethys, and was quickly separated into four sub-terranes that started to by-pass each other. The leading terranes collided at the end of the Devonian with the Hanseatic terrane detached from Laurussia. In the Carboniferous, Gondwana started to impinge onto the amalgamated terranes, creating the Variscan chain and the Pangean super-continent. East of Spain Paleotethys remained opened until the Triassic, subducting northward under Laurasia. Roll-back of the Paleotethyan slab triggered the collapse of most of the European Variscan orogen, which was replaced by series of Permian rifts, some of them becoming oceanized back-arc basins during the Triassic. Major force changes at the Pangean plate limits at the end of the Triassic provoked its break-up, through the opening of the proto-Caribbean, central-Atlantic, Alpine-Tethys oceanic seaways. © 2013 Elsevier B.V.","author":[{"dropping-particle":"","family":"Stampfli","given":"Gérard M.","non-dropping-particle":"","parse-names":false,"suffix":""},{"dropping-particle":"","family":"Hochard","given":"Cyril","non-dropping-particle":"","parse-names":false,"suffix":""},{"dropping-particle":"","family":"Vérard","given":"C.","non-dropping-particle":"","parse-names":false,"suffix":""},{"dropping-particle":"","family":"Wilhem","given":"C.","non-dropping-particle":"","parse-names":false,"suffix":""},{"dropping-particle":"","family":"VonRaumer","given":"J.","non-dropping-particle":"","parse-names":false,"suffix":""}],"container-title":"Tectonophysics","id":"ITEM-3","issued":{"date-parts":[["2013"]]},"page":"1-19","title":"The formation of Pangea","type":"article-journal","volume":"593"},"uris":["http://www.mendeley.com/documents/?uuid=46b9fda4-ae6e-4d07-b543-7cc92e51a516"]},{"id":"ITEM-4","itemData":{"DOI":"10.1016/j.precamres.2013.08.007","ISSN":"03019268","abstract":"The Cadomian Orogen in the NE Bohemian and the northern Armorican Massifs shows a distinct orogenic zoning from recent NW to SE consisting of (i) an outboard sitting continental crustal unit comprising Neoproterozoic rocks associated with c. 2.0Ga old Icartian Basement, (ii) a magmatic arc and a back-arc basin, (iii) a foreland or retro-arc basin, and (iv) the passive margin of the back-arc basin. New U-Pb zircon ages of detrital zircon of Neoproterozoic to Fortunian siliciclastics from the Schwarzburg Antiform in the Saxo-Thuringian Zone (NE Bohemian Massif) identify the West African Craton as the hinterland for the Cadomian Orogen as demonstrated by zircon populations dated at 1.8-2.2, 2.5-2.7, 3.0-3.1, and 3.4-3.5Ga. The dominant zircon population (c. 50-70% in each sample) is derived from a Cadomian magmatic arc in a time slice of c. 570-750Ma. The magmatic activity of the Cadomian arc stopped at c. 570Ma. Closure of the back-arc basin by arc-continent collision occurred between c. 570 and 542Ma under the formation of a foreland (retro-arc) basin. A short-living remnant basin existed between c.542 and 540Ma. Granitoid plutonism at 539-540Ma documents the final pulse of the Cadomian Orogeny. Hf isotope compositions, calculated e{open}Hf i values and T DM model ages for detrital and magmatic zircon show that during the c. 180Ma long Cadomian magmatic arc activity juvenile arc magmas were contaminated by recycling of Eburnian and Archaean crust. Mixing with an evolved continental crust is always present. The inferred geotectonic setting is a continental magmatic arc during the Neoproterozoic developed on a stretched Archaean and Palaeoproterozoic (Eburnian) crust. In the West African crustal evolution it can be demonstrated that during Eburnian orogenic processes (c. 1.8-2.2Ga) in most cases a 2.5-3.4Ga old basement became reworked. Archaean 2.5-2.9Ga magmas remelted a 3.0-3.4.Ga crust. Zircon grains with an age of 3.0-3.1 and 3.4Ga are derived from juvenile magmas. Two zircon grains dated at 2779±22 and 3542±28Ma imply reworking of pre-existing Eoarchean to Hadean crust and show T DM model ages of 3.98 and 4.29Ga, respectively. © 2013 Elsevier B.V.","author":[{"dropping-particle":"","family":"Linnemann","given":"Ulf","non-dropping-particle":"","parse-names":false,"suffix":""},{"dropping-particle":"","family":"Gerdes","given":"Axel","non-dropping-particle":"","parse-names":false,"suffix":""},{"dropping-particle":"","family":"Hofmann","given":"Mandy","non-dropping-particle":"","parse-names":false,"suffix":""},{"dropping-particle":"","family":"Marko","given":"Linda","non-dropping-particle":"","parse-names":false,"suffix":""}],"container-title":"Precambrian Research","id":"ITEM-4","issue":"1","issued":{"date-parts":[["2014"]]},"page":"236-278","publisher":"Elsevier B.V.","title":"The Cadomian Orogen: Neoproterozoic to Early Cambrian crustal growth and orogenic zoning along the periphery of the West African Craton-Constraints from U-Pb zircon ages and Hf isotopes (Schwarzburg Antiform, Germany)","type":"article-journal","volume":"244"},"uris":["http://www.mendeley.com/documents/?uuid=b9e3bc8b-b4aa-4a4e-9fb8-bdf807d9e836"]}],"mendeley":{"formattedCitation":"(Kroner and Romer, 2013; Linnemann et al., 2014; Stampfli et al., 2013; von Raumer et al., 2003)","plainTextFormattedCitation":"(Kroner and Romer, 2013; Linnemann et al., 2014; Stampfli et al., 2013; von Raumer et al., 2003)","previouslyFormattedCitation":"(Kroner and Romer, 2013; Linnemann et al., 2014; Stampfli et al., 2013; von Raumer et al., 2003)"},"properties":{"noteIndex":0},"schema":"https://github.com/citation-style-language/schema/raw/master/csl-citation.json"}</w:instrText>
      </w:r>
      <w:r w:rsidR="002758C8" w:rsidRPr="00B71174">
        <w:rPr>
          <w:rFonts w:ascii="Arial" w:hAnsi="Arial" w:cs="Arial"/>
        </w:rPr>
        <w:fldChar w:fldCharType="separate"/>
      </w:r>
      <w:r w:rsidR="00273C89" w:rsidRPr="00273C89">
        <w:rPr>
          <w:rFonts w:ascii="Arial" w:hAnsi="Arial" w:cs="Arial"/>
          <w:noProof/>
        </w:rPr>
        <w:t>(Kroner and Romer, 2013; Linnemann et al., 2014; Stampfli et al., 2013; von Raumer et al., 2003)</w:t>
      </w:r>
      <w:r w:rsidR="002758C8" w:rsidRPr="00B71174">
        <w:rPr>
          <w:rFonts w:ascii="Arial" w:hAnsi="Arial" w:cs="Arial"/>
        </w:rPr>
        <w:fldChar w:fldCharType="end"/>
      </w:r>
      <w:r w:rsidR="00F945D0">
        <w:rPr>
          <w:rFonts w:ascii="Arial" w:hAnsi="Arial" w:cs="Arial"/>
        </w:rPr>
        <w:t xml:space="preserve">. </w:t>
      </w:r>
      <w:bookmarkStart w:id="47" w:name="_Hlk75350488"/>
      <w:bookmarkEnd w:id="44"/>
      <w:bookmarkEnd w:id="45"/>
      <w:r w:rsidR="00F945D0">
        <w:rPr>
          <w:rFonts w:ascii="Arial" w:hAnsi="Arial" w:cs="Arial"/>
        </w:rPr>
        <w:t xml:space="preserve">Whilst samples from </w:t>
      </w:r>
      <w:r w:rsidR="008504CB">
        <w:rPr>
          <w:rFonts w:ascii="Arial" w:hAnsi="Arial" w:cs="Arial"/>
        </w:rPr>
        <w:t xml:space="preserve">the loess profiles at </w:t>
      </w:r>
      <w:r w:rsidR="00F945D0">
        <w:rPr>
          <w:rFonts w:ascii="Arial" w:hAnsi="Arial" w:cs="Arial"/>
        </w:rPr>
        <w:t>Basaharc,</w:t>
      </w:r>
      <w:r>
        <w:rPr>
          <w:rFonts w:ascii="Arial" w:hAnsi="Arial" w:cs="Arial"/>
        </w:rPr>
        <w:t xml:space="preserve"> Mende</w:t>
      </w:r>
      <w:r w:rsidR="00F945D0">
        <w:rPr>
          <w:rFonts w:ascii="Arial" w:hAnsi="Arial" w:cs="Arial"/>
        </w:rPr>
        <w:t xml:space="preserve">, Paks and Zmajevac contain </w:t>
      </w:r>
      <w:r w:rsidR="00D670B7">
        <w:rPr>
          <w:rFonts w:ascii="Arial" w:hAnsi="Arial" w:cs="Arial"/>
        </w:rPr>
        <w:t xml:space="preserve">a </w:t>
      </w:r>
      <w:r w:rsidR="00F945D0">
        <w:rPr>
          <w:rFonts w:ascii="Arial" w:hAnsi="Arial" w:cs="Arial"/>
        </w:rPr>
        <w:t>population of 400-450 Ma grain</w:t>
      </w:r>
      <w:r w:rsidR="008504CB">
        <w:rPr>
          <w:rFonts w:ascii="Arial" w:hAnsi="Arial" w:cs="Arial"/>
        </w:rPr>
        <w:t>s</w:t>
      </w:r>
      <w:r w:rsidR="00F945D0">
        <w:rPr>
          <w:rFonts w:ascii="Arial" w:hAnsi="Arial" w:cs="Arial"/>
        </w:rPr>
        <w:t xml:space="preserve"> th</w:t>
      </w:r>
      <w:r w:rsidR="008504CB">
        <w:rPr>
          <w:rFonts w:ascii="Arial" w:hAnsi="Arial" w:cs="Arial"/>
        </w:rPr>
        <w:t>is</w:t>
      </w:r>
      <w:r w:rsidR="00F945D0">
        <w:rPr>
          <w:rFonts w:ascii="Arial" w:hAnsi="Arial" w:cs="Arial"/>
        </w:rPr>
        <w:t xml:space="preserve"> population is younger and rather relate</w:t>
      </w:r>
      <w:r w:rsidR="000E054C">
        <w:rPr>
          <w:rFonts w:ascii="Arial" w:hAnsi="Arial" w:cs="Arial"/>
        </w:rPr>
        <w:t>s</w:t>
      </w:r>
      <w:r w:rsidR="00F945D0">
        <w:rPr>
          <w:rFonts w:ascii="Arial" w:hAnsi="Arial" w:cs="Arial"/>
        </w:rPr>
        <w:t xml:space="preserve"> to late Ordovician-Silurian events</w:t>
      </w:r>
      <w:bookmarkEnd w:id="46"/>
      <w:bookmarkEnd w:id="47"/>
      <w:r>
        <w:rPr>
          <w:rFonts w:ascii="Arial" w:hAnsi="Arial" w:cs="Arial"/>
        </w:rPr>
        <w:t>.</w:t>
      </w:r>
      <w:r w:rsidR="00CD5378">
        <w:rPr>
          <w:rFonts w:ascii="Arial" w:hAnsi="Arial" w:cs="Arial"/>
        </w:rPr>
        <w:t xml:space="preserve"> </w:t>
      </w:r>
      <w:bookmarkStart w:id="48" w:name="_Hlk73612089"/>
      <w:bookmarkStart w:id="49" w:name="_Hlk73614359"/>
      <w:r>
        <w:rPr>
          <w:rFonts w:ascii="Arial" w:hAnsi="Arial" w:cs="Arial"/>
        </w:rPr>
        <w:t xml:space="preserve">Finally, </w:t>
      </w:r>
      <w:r w:rsidR="00032BBA">
        <w:rPr>
          <w:rFonts w:ascii="Arial" w:hAnsi="Arial" w:cs="Arial"/>
        </w:rPr>
        <w:t>the</w:t>
      </w:r>
      <w:r>
        <w:rPr>
          <w:rFonts w:ascii="Arial" w:hAnsi="Arial" w:cs="Arial"/>
        </w:rPr>
        <w:t xml:space="preserve"> </w:t>
      </w:r>
      <w:r w:rsidR="00380E64">
        <w:rPr>
          <w:rFonts w:ascii="Arial" w:hAnsi="Arial" w:cs="Arial"/>
        </w:rPr>
        <w:t xml:space="preserve">~600 Ma </w:t>
      </w:r>
      <w:r>
        <w:rPr>
          <w:rFonts w:ascii="Arial" w:hAnsi="Arial" w:cs="Arial"/>
        </w:rPr>
        <w:t xml:space="preserve">population associated with </w:t>
      </w:r>
      <w:r w:rsidRPr="006E0D68">
        <w:rPr>
          <w:rFonts w:ascii="Arial" w:hAnsi="Arial" w:cs="Arial"/>
        </w:rPr>
        <w:t>Gondwana-derived</w:t>
      </w:r>
      <w:r>
        <w:rPr>
          <w:rFonts w:ascii="Arial" w:hAnsi="Arial" w:cs="Arial"/>
        </w:rPr>
        <w:t xml:space="preserve"> sources </w:t>
      </w:r>
      <w:r>
        <w:rPr>
          <w:rFonts w:ascii="Arial" w:hAnsi="Arial" w:cs="Arial"/>
        </w:rPr>
        <w:fldChar w:fldCharType="begin" w:fldLock="1"/>
      </w:r>
      <w:r>
        <w:rPr>
          <w:rFonts w:ascii="Arial" w:hAnsi="Arial" w:cs="Arial"/>
        </w:rPr>
        <w:instrText>ADDIN CSL_CITATION {"citationItems":[{"id":"ITEM-1","itemData":{"DOI":"10.1016/j.gr.2009.08.004","ISSN":"1342937X","abstract":"Combined U-Pb and Lu-Hf isotope analysis of detrital zircons reveals that the Mid-German Crystalline Rise (MGCR) contains Palaeozoic sediments of distinct provenance in close proximity. Zircons from a metapelite of the Brotterode group were derived from a Gondwanan source, whereas zircons from the Rögis quartzite of the Ruhla group point to provenance from Baltica. Brotterode zircons mostly yield ages of 500-720 Ma and 2.0-2.1 Ga, and show an age gap between 1.0 and 1.7 Ga, which is characteristic of Gondwana/peri-Gondwanan detrital zircon populations. Combined U-Pb and Hf isotope data suggest intense crustal recycling at 2.6-2.9 Ga, 1.8-2.1 Ga, and 570-720 Ma as well as formation of juvenile crust during the latter two periods. In contrast, zircons of the Rögis quartzite mostly yield ages between 0.9 and 1.8 Ga, which are typical of southwestern Baltica. Minor age populations at 435-466 and 550-660 Ma indicate that the quartzite is younger than Late Ordovician/Early Silurian, and that the Baltica-derived sediment is contaminated by minor peri-Gondwanan, perhaps Avalonia-derived detritus. Minor age populations at 2.0, 2.56, 2.67, and 2.86 Ga additionally point to a Svecofennian and/or Karelian source. U-Pb and Hf isotope data imply that the Baltica-derived zircons were produced mainly through melting of juvenile Palaeo- to Mesoproterozoic crust. The data presented here indicate that the MGCR hosts the Rheic suture between Gondwana and Balonia, and that this suture zone was closed in a complex sequence of stages from the Late Silurian onwards. © 2009 International Association for Gondwana Research.","author":[{"dropping-particle":"","family":"Zeh","given":"Armin","non-dropping-particle":"","parse-names":false,"suffix":""},{"dropping-particle":"","family":"Gerdes","given":"Axel","non-dropping-particle":"","parse-names":false,"suffix":""}],"container-title":"Gondwana Research","id":"ITEM-1","issue":"2-3","issued":{"date-parts":[["2010"]]},"page":"254-263","publisher":"International Association for Gondwana Research","title":"Baltica- and Gondwana-derived sediments in the Mid-German Crystalline Rise (Central Europe): Implications for the closure of the Rheic ocean","type":"article-journal","volume":"17"},"uris":["http://www.mendeley.com/documents/?uuid=654ce491-c6da-44e2-8150-ecdd6b08bff6"]},{"id":"ITEM-2","itemData":{"DOI":"10.1144/jgs2016-075","ISSN":"0016-7649","author":[{"dropping-particle":"","family":"Fielding","given":"Laura","non-dropping-particle":"","parse-names":false,"suffix":""},{"dropping-particle":"","family":"Najman","given":"Yani","non-dropping-particle":"","parse-names":false,"suffix":""},{"dropping-particle":"","family":"Millar","given":"Ian L.","non-dropping-particle":"","parse-names":false,"suffix":""},{"dropping-particle":"","family":"Butterworth","given":"Peter","non-dropping-particle":"","parse-names":false,"suffix":""},{"dropping-particle":"","family":"Ando","given":"Sergio","non-dropping-particle":"","parse-names":false,"suffix":""},{"dropping-particle":"","family":"Padoan","given":"Marta","non-dropping-particle":"","parse-names":false,"suffix":""},{"dropping-particle":"","family":"Barfod","given":"Dan","non-dropping-particle":"","parse-names":false,"suffix":""},{"dropping-particle":"","family":"Kneller","given":"Ben","non-dropping-particle":"","parse-names":false,"suffix":""}],"container-title":"Journal of the Geological Society","id":"ITEM-2","issue":"2","issued":{"date-parts":[["2017"]]},"page":"301-317","title":"A detrital record of the Nile River and its catchment","type":"article-journal","volume":"174"},"uris":["http://www.mendeley.com/documents/?uuid=6faa3a38-52a4-4b31-855b-fde1bc953421"]}],"mendeley":{"formattedCitation":"(Fielding et al., 2017; Zeh and Gerdes, 2010)","plainTextFormattedCitation":"(Fielding et al., 2017; Zeh and Gerdes, 2010)","previouslyFormattedCitation":"(Fielding et al., 2017; Zeh and Gerdes, 2010)"},"properties":{"noteIndex":0},"schema":"https://github.com/citation-style-language/schema/raw/master/csl-citation.json"}</w:instrText>
      </w:r>
      <w:r>
        <w:rPr>
          <w:rFonts w:ascii="Arial" w:hAnsi="Arial" w:cs="Arial"/>
        </w:rPr>
        <w:fldChar w:fldCharType="separate"/>
      </w:r>
      <w:r w:rsidRPr="00301A27">
        <w:rPr>
          <w:rFonts w:ascii="Arial" w:hAnsi="Arial" w:cs="Arial"/>
          <w:noProof/>
        </w:rPr>
        <w:t>(Fielding et al., 2017; Zeh and Gerdes, 2010)</w:t>
      </w:r>
      <w:r>
        <w:rPr>
          <w:rFonts w:ascii="Arial" w:hAnsi="Arial" w:cs="Arial"/>
        </w:rPr>
        <w:fldChar w:fldCharType="end"/>
      </w:r>
      <w:r>
        <w:rPr>
          <w:rFonts w:ascii="Arial" w:hAnsi="Arial" w:cs="Arial"/>
        </w:rPr>
        <w:t xml:space="preserve"> </w:t>
      </w:r>
      <w:r w:rsidR="00BE5290">
        <w:rPr>
          <w:rFonts w:ascii="Arial" w:hAnsi="Arial" w:cs="Arial"/>
        </w:rPr>
        <w:t>consistently</w:t>
      </w:r>
      <w:r w:rsidR="008A2B85">
        <w:rPr>
          <w:rFonts w:ascii="Arial" w:hAnsi="Arial" w:cs="Arial"/>
        </w:rPr>
        <w:t xml:space="preserve"> provides</w:t>
      </w:r>
      <w:r w:rsidR="00D670B7">
        <w:rPr>
          <w:rFonts w:ascii="Arial" w:hAnsi="Arial" w:cs="Arial"/>
        </w:rPr>
        <w:t xml:space="preserve"> a</w:t>
      </w:r>
      <w:r w:rsidR="008A2B85">
        <w:rPr>
          <w:rFonts w:ascii="Arial" w:hAnsi="Arial" w:cs="Arial"/>
        </w:rPr>
        <w:t xml:space="preserve"> large proportion of grains</w:t>
      </w:r>
      <w:r>
        <w:rPr>
          <w:rFonts w:ascii="Arial" w:hAnsi="Arial" w:cs="Arial"/>
        </w:rPr>
        <w:t xml:space="preserve"> in all samples</w:t>
      </w:r>
      <w:r w:rsidR="00B6511B">
        <w:rPr>
          <w:rFonts w:ascii="Arial" w:hAnsi="Arial" w:cs="Arial"/>
        </w:rPr>
        <w:t>, though at</w:t>
      </w:r>
      <w:r w:rsidR="00D670B7">
        <w:rPr>
          <w:rFonts w:ascii="Arial" w:hAnsi="Arial" w:cs="Arial"/>
        </w:rPr>
        <w:t xml:space="preserve"> the</w:t>
      </w:r>
      <w:r>
        <w:rPr>
          <w:rFonts w:ascii="Arial" w:hAnsi="Arial" w:cs="Arial"/>
        </w:rPr>
        <w:t xml:space="preserve"> Paks</w:t>
      </w:r>
      <w:r w:rsidR="00380E64">
        <w:rPr>
          <w:rFonts w:ascii="Arial" w:hAnsi="Arial" w:cs="Arial"/>
        </w:rPr>
        <w:t xml:space="preserve"> and Zmajevac</w:t>
      </w:r>
      <w:r w:rsidR="008504CB">
        <w:rPr>
          <w:rFonts w:ascii="Arial" w:hAnsi="Arial" w:cs="Arial"/>
        </w:rPr>
        <w:t xml:space="preserve"> loess profiles</w:t>
      </w:r>
      <w:r w:rsidR="00B21F0C">
        <w:rPr>
          <w:rFonts w:ascii="Arial" w:hAnsi="Arial" w:cs="Arial"/>
        </w:rPr>
        <w:t xml:space="preserve"> the age</w:t>
      </w:r>
      <w:r w:rsidR="00380E64">
        <w:rPr>
          <w:rFonts w:ascii="Arial" w:hAnsi="Arial" w:cs="Arial"/>
        </w:rPr>
        <w:t xml:space="preserve"> peaks are centred around 550 Ma</w:t>
      </w:r>
      <w:bookmarkEnd w:id="48"/>
      <w:r>
        <w:rPr>
          <w:rFonts w:ascii="Arial" w:hAnsi="Arial" w:cs="Arial"/>
        </w:rPr>
        <w:t xml:space="preserve">. </w:t>
      </w:r>
      <w:bookmarkEnd w:id="49"/>
      <w:r>
        <w:rPr>
          <w:rFonts w:ascii="Arial" w:hAnsi="Arial" w:cs="Arial"/>
        </w:rPr>
        <w:t xml:space="preserve">All sites have a long </w:t>
      </w:r>
      <w:r w:rsidR="008A2B85">
        <w:rPr>
          <w:rFonts w:ascii="Arial" w:hAnsi="Arial" w:cs="Arial"/>
        </w:rPr>
        <w:t>Tonian</w:t>
      </w:r>
      <w:r w:rsidR="008A2B85" w:rsidRPr="005C63EB">
        <w:rPr>
          <w:rFonts w:ascii="Arial" w:hAnsi="Arial" w:cs="Arial"/>
        </w:rPr>
        <w:t xml:space="preserve"> </w:t>
      </w:r>
      <w:r w:rsidRPr="005C63EB">
        <w:rPr>
          <w:rFonts w:ascii="Arial" w:hAnsi="Arial" w:cs="Arial"/>
        </w:rPr>
        <w:t>tail</w:t>
      </w:r>
      <w:r>
        <w:rPr>
          <w:rFonts w:ascii="Arial" w:hAnsi="Arial" w:cs="Arial"/>
        </w:rPr>
        <w:t xml:space="preserve"> (700-1000 Ma) and some smaller populations around </w:t>
      </w:r>
      <w:r w:rsidRPr="005C63EB">
        <w:rPr>
          <w:rFonts w:ascii="Arial" w:hAnsi="Arial" w:cs="Arial"/>
        </w:rPr>
        <w:t>2000 Ma</w:t>
      </w:r>
      <w:r>
        <w:rPr>
          <w:rFonts w:ascii="Arial" w:hAnsi="Arial" w:cs="Arial"/>
        </w:rPr>
        <w:t xml:space="preserve"> and</w:t>
      </w:r>
      <w:r w:rsidRPr="005C63EB">
        <w:rPr>
          <w:rFonts w:ascii="Arial" w:hAnsi="Arial" w:cs="Arial"/>
        </w:rPr>
        <w:t xml:space="preserve"> 2500 Ma</w:t>
      </w:r>
      <w:r>
        <w:rPr>
          <w:rFonts w:ascii="Arial" w:hAnsi="Arial" w:cs="Arial"/>
        </w:rPr>
        <w:t xml:space="preserve">. </w:t>
      </w:r>
      <w:r w:rsidR="000D67E0">
        <w:rPr>
          <w:rFonts w:ascii="Arial" w:hAnsi="Arial" w:cs="Arial"/>
        </w:rPr>
        <w:t xml:space="preserve">Only 1.6% of zircon grains in the ADL are older than 2.5 Ga, </w:t>
      </w:r>
      <w:r w:rsidR="00860413">
        <w:rPr>
          <w:rFonts w:ascii="Arial" w:hAnsi="Arial" w:cs="Arial"/>
        </w:rPr>
        <w:t xml:space="preserve">and at individual sites this varies between 1% (Slivata 2) and 9.7% (Zmajevac), with Mende containing no </w:t>
      </w:r>
      <w:r w:rsidR="00E945CA">
        <w:rPr>
          <w:rFonts w:ascii="Arial" w:hAnsi="Arial" w:cs="Arial"/>
        </w:rPr>
        <w:t xml:space="preserve">such </w:t>
      </w:r>
      <w:r w:rsidR="00860413">
        <w:rPr>
          <w:rFonts w:ascii="Arial" w:hAnsi="Arial" w:cs="Arial"/>
        </w:rPr>
        <w:t>grains at all</w:t>
      </w:r>
      <w:r w:rsidR="000D67E0">
        <w:rPr>
          <w:rFonts w:ascii="Arial" w:hAnsi="Arial" w:cs="Arial"/>
        </w:rPr>
        <w:t xml:space="preserve">. </w:t>
      </w:r>
      <w:r>
        <w:rPr>
          <w:rFonts w:ascii="Arial" w:hAnsi="Arial" w:cs="Arial"/>
        </w:rPr>
        <w:t xml:space="preserve">A small change in the young grain </w:t>
      </w:r>
      <w:r w:rsidR="008504CB">
        <w:rPr>
          <w:rFonts w:ascii="Arial" w:hAnsi="Arial" w:cs="Arial"/>
        </w:rPr>
        <w:t xml:space="preserve">age </w:t>
      </w:r>
      <w:r>
        <w:rPr>
          <w:rFonts w:ascii="Arial" w:hAnsi="Arial" w:cs="Arial"/>
        </w:rPr>
        <w:t>spectra is also observed, with &lt;</w:t>
      </w:r>
      <w:r w:rsidR="00A75473">
        <w:rPr>
          <w:rFonts w:ascii="Arial" w:hAnsi="Arial" w:cs="Arial"/>
        </w:rPr>
        <w:t xml:space="preserve">100 </w:t>
      </w:r>
      <w:r>
        <w:rPr>
          <w:rFonts w:ascii="Arial" w:hAnsi="Arial" w:cs="Arial"/>
        </w:rPr>
        <w:t>Ma almost absent at Erdut</w:t>
      </w:r>
      <w:r w:rsidR="008A2B85">
        <w:rPr>
          <w:rFonts w:ascii="Arial" w:hAnsi="Arial" w:cs="Arial"/>
        </w:rPr>
        <w:t xml:space="preserve"> (0.3 %)</w:t>
      </w:r>
      <w:r>
        <w:rPr>
          <w:rFonts w:ascii="Arial" w:hAnsi="Arial" w:cs="Arial"/>
        </w:rPr>
        <w:t xml:space="preserve">, </w:t>
      </w:r>
      <w:r w:rsidR="008A2B85">
        <w:rPr>
          <w:rFonts w:ascii="Arial" w:hAnsi="Arial" w:cs="Arial"/>
        </w:rPr>
        <w:t>1.9%</w:t>
      </w:r>
      <w:r>
        <w:rPr>
          <w:rFonts w:ascii="Arial" w:hAnsi="Arial" w:cs="Arial"/>
        </w:rPr>
        <w:t xml:space="preserve"> at Surduk</w:t>
      </w:r>
      <w:r w:rsidR="008A2B85">
        <w:rPr>
          <w:rFonts w:ascii="Arial" w:hAnsi="Arial" w:cs="Arial"/>
        </w:rPr>
        <w:t xml:space="preserve"> 2</w:t>
      </w:r>
      <w:r w:rsidR="005801C3">
        <w:rPr>
          <w:rFonts w:ascii="Arial" w:hAnsi="Arial" w:cs="Arial"/>
        </w:rPr>
        <w:t>,</w:t>
      </w:r>
      <w:r>
        <w:rPr>
          <w:rFonts w:ascii="Arial" w:hAnsi="Arial" w:cs="Arial"/>
        </w:rPr>
        <w:t xml:space="preserve"> </w:t>
      </w:r>
      <w:r w:rsidR="008A2B85">
        <w:rPr>
          <w:rFonts w:ascii="Arial" w:hAnsi="Arial" w:cs="Arial"/>
        </w:rPr>
        <w:t xml:space="preserve">1.8% at Slivata 1, and 1.3% at Slivata 2 </w:t>
      </w:r>
      <w:r w:rsidR="00E03C0F">
        <w:rPr>
          <w:rFonts w:ascii="Arial" w:hAnsi="Arial" w:cs="Arial"/>
        </w:rPr>
        <w:t>(Figure</w:t>
      </w:r>
      <w:r w:rsidR="008A2B85">
        <w:rPr>
          <w:rFonts w:ascii="Arial" w:hAnsi="Arial" w:cs="Arial"/>
        </w:rPr>
        <w:t>s</w:t>
      </w:r>
      <w:r w:rsidR="00E03C0F">
        <w:rPr>
          <w:rFonts w:ascii="Arial" w:hAnsi="Arial" w:cs="Arial"/>
        </w:rPr>
        <w:t xml:space="preserve"> </w:t>
      </w:r>
      <w:r w:rsidR="00F862F6">
        <w:rPr>
          <w:rFonts w:ascii="Arial" w:hAnsi="Arial" w:cs="Arial"/>
        </w:rPr>
        <w:t>3</w:t>
      </w:r>
      <w:r w:rsidR="008A2B85">
        <w:rPr>
          <w:rFonts w:ascii="Arial" w:hAnsi="Arial" w:cs="Arial"/>
        </w:rPr>
        <w:t>, 4,</w:t>
      </w:r>
      <w:r w:rsidR="00E03C0F">
        <w:rPr>
          <w:rFonts w:ascii="Arial" w:hAnsi="Arial" w:cs="Arial"/>
        </w:rPr>
        <w:t xml:space="preserve"> and Supplementary Figure S1)</w:t>
      </w:r>
      <w:r>
        <w:rPr>
          <w:rFonts w:ascii="Arial" w:hAnsi="Arial" w:cs="Arial"/>
        </w:rPr>
        <w:t xml:space="preserve">. </w:t>
      </w:r>
      <w:r w:rsidR="00AA7B3B">
        <w:rPr>
          <w:rFonts w:ascii="Arial" w:hAnsi="Arial" w:cs="Arial"/>
        </w:rPr>
        <w:t xml:space="preserve">Crucially </w:t>
      </w:r>
      <w:r w:rsidRPr="00A129F3">
        <w:rPr>
          <w:rFonts w:ascii="Arial" w:hAnsi="Arial" w:cs="Arial"/>
        </w:rPr>
        <w:t xml:space="preserve">the relative proportion of grains represented by each peak </w:t>
      </w:r>
      <w:r>
        <w:rPr>
          <w:rFonts w:ascii="Arial" w:hAnsi="Arial" w:cs="Arial"/>
        </w:rPr>
        <w:t>shows only minor</w:t>
      </w:r>
      <w:r w:rsidRPr="00A129F3">
        <w:rPr>
          <w:rFonts w:ascii="Arial" w:hAnsi="Arial" w:cs="Arial"/>
        </w:rPr>
        <w:t xml:space="preserve"> inter-site variability</w:t>
      </w:r>
      <w:r w:rsidR="008A2B85">
        <w:rPr>
          <w:rFonts w:ascii="Arial" w:hAnsi="Arial" w:cs="Arial"/>
        </w:rPr>
        <w:t xml:space="preserve"> (Figure 4)</w:t>
      </w:r>
      <w:bookmarkEnd w:id="41"/>
      <w:r w:rsidRPr="00A129F3">
        <w:rPr>
          <w:rFonts w:ascii="Arial" w:hAnsi="Arial" w:cs="Arial"/>
        </w:rPr>
        <w:t>.</w:t>
      </w:r>
    </w:p>
    <w:bookmarkEnd w:id="42"/>
    <w:p w14:paraId="54E99198" w14:textId="4386ABFC" w:rsidR="004852AE" w:rsidRDefault="00B6511B" w:rsidP="004852AE">
      <w:pPr>
        <w:spacing w:before="120" w:after="120" w:line="480" w:lineRule="auto"/>
        <w:jc w:val="both"/>
        <w:rPr>
          <w:rFonts w:ascii="Arial" w:hAnsi="Arial" w:cs="Arial"/>
        </w:rPr>
      </w:pPr>
      <w:r>
        <w:rPr>
          <w:rFonts w:ascii="Arial" w:hAnsi="Arial" w:cs="Arial"/>
          <w:noProof/>
        </w:rPr>
        <w:lastRenderedPageBreak/>
        <w:drawing>
          <wp:inline distT="0" distB="0" distL="0" distR="0" wp14:anchorId="2080B93E" wp14:editId="5E04312A">
            <wp:extent cx="5731510" cy="8254365"/>
            <wp:effectExtent l="0" t="0" r="2540" b="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12" cstate="hqprint">
                      <a:extLst>
                        <a:ext uri="{28A0092B-C50C-407E-A947-70E740481C1C}">
                          <a14:useLocalDpi xmlns:a14="http://schemas.microsoft.com/office/drawing/2010/main"/>
                        </a:ext>
                      </a:extLst>
                    </a:blip>
                    <a:stretch>
                      <a:fillRect/>
                    </a:stretch>
                  </pic:blipFill>
                  <pic:spPr>
                    <a:xfrm>
                      <a:off x="0" y="0"/>
                      <a:ext cx="5731510" cy="8254365"/>
                    </a:xfrm>
                    <a:prstGeom prst="rect">
                      <a:avLst/>
                    </a:prstGeom>
                  </pic:spPr>
                </pic:pic>
              </a:graphicData>
            </a:graphic>
          </wp:inline>
        </w:drawing>
      </w:r>
    </w:p>
    <w:p w14:paraId="1F835255" w14:textId="4D512DA7" w:rsidR="004852AE" w:rsidRDefault="004852AE" w:rsidP="004852AE">
      <w:pPr>
        <w:spacing w:before="120" w:after="120" w:line="480" w:lineRule="auto"/>
        <w:jc w:val="both"/>
        <w:rPr>
          <w:rFonts w:ascii="Arial" w:hAnsi="Arial" w:cs="Arial"/>
        </w:rPr>
      </w:pPr>
      <w:bookmarkStart w:id="50" w:name="_Hlk64962760"/>
      <w:r w:rsidRPr="003078CA">
        <w:rPr>
          <w:rFonts w:ascii="Arial" w:hAnsi="Arial" w:cs="Arial"/>
          <w:b/>
          <w:bCs/>
        </w:rPr>
        <w:lastRenderedPageBreak/>
        <w:t xml:space="preserve">Figure </w:t>
      </w:r>
      <w:r>
        <w:rPr>
          <w:rFonts w:ascii="Arial" w:hAnsi="Arial" w:cs="Arial"/>
          <w:b/>
          <w:bCs/>
        </w:rPr>
        <w:t>3.</w:t>
      </w:r>
      <w:r w:rsidRPr="003078CA">
        <w:rPr>
          <w:rFonts w:ascii="Arial" w:hAnsi="Arial" w:cs="Arial"/>
          <w:b/>
          <w:bCs/>
        </w:rPr>
        <w:t xml:space="preserve"> </w:t>
      </w:r>
      <w:r w:rsidRPr="003078CA">
        <w:rPr>
          <w:rFonts w:ascii="Arial" w:hAnsi="Arial" w:cs="Arial"/>
        </w:rPr>
        <w:t xml:space="preserve">Zircon U-Pb Kernel Density Estimator (KDE) diagram </w:t>
      </w:r>
      <w:r>
        <w:rPr>
          <w:rFonts w:ascii="Arial" w:hAnsi="Arial" w:cs="Arial"/>
        </w:rPr>
        <w:t xml:space="preserve">for the Average Danube Loess (ADL) sample and </w:t>
      </w:r>
      <w:r w:rsidRPr="003078CA">
        <w:rPr>
          <w:rFonts w:ascii="Arial" w:hAnsi="Arial" w:cs="Arial"/>
        </w:rPr>
        <w:t>loess-palaeosol</w:t>
      </w:r>
      <w:r>
        <w:rPr>
          <w:rFonts w:ascii="Arial" w:hAnsi="Arial" w:cs="Arial"/>
        </w:rPr>
        <w:t xml:space="preserve"> profiles (ordered from upstream to downstream) marked in Figure 1 (</w:t>
      </w:r>
      <w:r>
        <w:rPr>
          <w:rFonts w:ascii="Arial" w:hAnsi="Arial" w:cs="Arial"/>
          <w14:numForm w14:val="lining"/>
        </w:rPr>
        <w:t xml:space="preserve">A- </w:t>
      </w:r>
      <w:r w:rsidRPr="00C1555F">
        <w:rPr>
          <w:rFonts w:ascii="Arial" w:hAnsi="Arial" w:cs="Arial"/>
        </w:rPr>
        <w:t>Stratzing and Krems</w:t>
      </w:r>
      <w:r>
        <w:rPr>
          <w:rFonts w:ascii="Arial" w:hAnsi="Arial" w:cs="Arial"/>
          <w14:numForm w14:val="lining"/>
        </w:rPr>
        <w:t xml:space="preserve">, B- </w:t>
      </w:r>
      <w:r w:rsidRPr="00C1555F">
        <w:rPr>
          <w:rFonts w:ascii="Arial" w:hAnsi="Arial" w:cs="Arial"/>
        </w:rPr>
        <w:t>Basaharc</w:t>
      </w:r>
      <w:r>
        <w:rPr>
          <w:rFonts w:ascii="Arial" w:hAnsi="Arial" w:cs="Arial"/>
          <w14:numForm w14:val="lining"/>
        </w:rPr>
        <w:t xml:space="preserve">, C- </w:t>
      </w:r>
      <w:r w:rsidRPr="00C1555F">
        <w:rPr>
          <w:rFonts w:ascii="Arial" w:hAnsi="Arial" w:cs="Arial"/>
        </w:rPr>
        <w:t>Mend</w:t>
      </w:r>
      <w:r>
        <w:rPr>
          <w:rFonts w:ascii="Arial" w:hAnsi="Arial" w:cs="Arial"/>
        </w:rPr>
        <w:t>e</w:t>
      </w:r>
      <w:r>
        <w:rPr>
          <w:rFonts w:ascii="Arial" w:hAnsi="Arial" w:cs="Arial"/>
          <w14:numForm w14:val="lining"/>
        </w:rPr>
        <w:t xml:space="preserve">, D- Paks, E- </w:t>
      </w:r>
      <w:r w:rsidRPr="00C1555F">
        <w:rPr>
          <w:rFonts w:ascii="Arial" w:hAnsi="Arial" w:cs="Arial"/>
        </w:rPr>
        <w:t>Zmajevac</w:t>
      </w:r>
      <w:r>
        <w:rPr>
          <w:rFonts w:ascii="Arial" w:hAnsi="Arial" w:cs="Arial"/>
          <w14:numForm w14:val="lining"/>
        </w:rPr>
        <w:t>, F- Erdut, G- Surduk</w:t>
      </w:r>
      <w:r w:rsidR="008A2B85">
        <w:rPr>
          <w:rFonts w:ascii="Arial" w:hAnsi="Arial" w:cs="Arial"/>
          <w14:numForm w14:val="lining"/>
        </w:rPr>
        <w:t xml:space="preserve"> 2</w:t>
      </w:r>
      <w:r>
        <w:rPr>
          <w:rFonts w:ascii="Arial" w:hAnsi="Arial" w:cs="Arial"/>
          <w14:numForm w14:val="lining"/>
        </w:rPr>
        <w:t>, H- Slivata)</w:t>
      </w:r>
      <w:r w:rsidRPr="003078CA">
        <w:rPr>
          <w:rFonts w:ascii="Arial" w:hAnsi="Arial" w:cs="Arial"/>
        </w:rPr>
        <w:t>.</w:t>
      </w:r>
      <w:r>
        <w:rPr>
          <w:rFonts w:ascii="Arial" w:hAnsi="Arial" w:cs="Arial"/>
        </w:rPr>
        <w:t xml:space="preserve"> </w:t>
      </w:r>
      <w:bookmarkStart w:id="51" w:name="_Hlk64975779"/>
      <w:r>
        <w:rPr>
          <w:rFonts w:ascii="Arial" w:hAnsi="Arial" w:cs="Arial"/>
        </w:rPr>
        <w:t>25 Ma bandwidth, 50 Ma binwidth, and Gaussian kernel was used for all diagrams.</w:t>
      </w:r>
      <w:bookmarkEnd w:id="51"/>
      <w:r>
        <w:rPr>
          <w:rFonts w:ascii="Arial" w:hAnsi="Arial" w:cs="Arial"/>
        </w:rPr>
        <w:t xml:space="preserve"> </w:t>
      </w:r>
      <w:r w:rsidR="00B6511B">
        <w:rPr>
          <w:rFonts w:ascii="Arial" w:hAnsi="Arial" w:cs="Arial"/>
        </w:rPr>
        <w:t xml:space="preserve">Grey shading marks the three dominant populations seen in ADL. </w:t>
      </w:r>
      <w:r>
        <w:rPr>
          <w:rFonts w:ascii="Arial" w:hAnsi="Arial" w:cs="Arial"/>
        </w:rPr>
        <w:t>Results from this study are marked in bold. F</w:t>
      </w:r>
      <w:r w:rsidRPr="00C1555F">
        <w:rPr>
          <w:rFonts w:ascii="Arial" w:hAnsi="Arial" w:cs="Arial"/>
        </w:rPr>
        <w:t xml:space="preserve">or each loess site </w:t>
      </w:r>
      <w:r>
        <w:rPr>
          <w:rFonts w:ascii="Arial" w:hAnsi="Arial" w:cs="Arial"/>
        </w:rPr>
        <w:t>datasets from various units were combined</w:t>
      </w:r>
      <w:r w:rsidR="00286715">
        <w:rPr>
          <w:rFonts w:ascii="Arial" w:hAnsi="Arial" w:cs="Arial"/>
        </w:rPr>
        <w:t>. T</w:t>
      </w:r>
      <w:r>
        <w:rPr>
          <w:rFonts w:ascii="Arial" w:hAnsi="Arial" w:cs="Arial"/>
        </w:rPr>
        <w:t xml:space="preserve">he </w:t>
      </w:r>
      <w:r w:rsidRPr="00C1555F">
        <w:rPr>
          <w:rFonts w:ascii="Arial" w:hAnsi="Arial" w:cs="Arial"/>
        </w:rPr>
        <w:t>chronostratigraphic position of each unit is indicated in brackets</w:t>
      </w:r>
      <w:r w:rsidR="00286715">
        <w:rPr>
          <w:rFonts w:ascii="Arial" w:hAnsi="Arial" w:cs="Arial"/>
        </w:rPr>
        <w:t>; S0 – Holocene soil, L1- last glacial loess, S1 – last interglacial palaeosol, L2 – penultimate glacial loess, S2 – penultimate interglacial palaeosol</w:t>
      </w:r>
      <w:r w:rsidRPr="00C1555F">
        <w:rPr>
          <w:rFonts w:ascii="Arial" w:hAnsi="Arial" w:cs="Arial"/>
        </w:rPr>
        <w:t xml:space="preserve">. </w:t>
      </w:r>
      <w:r>
        <w:rPr>
          <w:rFonts w:ascii="Arial" w:hAnsi="Arial" w:cs="Arial"/>
        </w:rPr>
        <w:t>Dataset source</w:t>
      </w:r>
      <w:r w:rsidR="00333B25">
        <w:rPr>
          <w:rFonts w:ascii="Arial" w:hAnsi="Arial" w:cs="Arial"/>
        </w:rPr>
        <w:t>s</w:t>
      </w:r>
      <w:r>
        <w:rPr>
          <w:rFonts w:ascii="Arial" w:hAnsi="Arial" w:cs="Arial"/>
        </w:rPr>
        <w:t xml:space="preserve">: </w:t>
      </w:r>
      <w:r w:rsidRPr="00C1555F">
        <w:rPr>
          <w:rFonts w:ascii="Arial" w:hAnsi="Arial" w:cs="Arial"/>
        </w:rPr>
        <w:t xml:space="preserve">Paks, Mende, Basaharc, Zmajevac </w:t>
      </w:r>
      <w:r>
        <w:rPr>
          <w:rFonts w:ascii="Arial" w:hAnsi="Arial" w:cs="Arial"/>
        </w:rPr>
        <w:fldChar w:fldCharType="begin" w:fldLock="1"/>
      </w:r>
      <w:r>
        <w:rPr>
          <w:rFonts w:ascii="Arial" w:hAnsi="Arial" w:cs="Arial"/>
        </w:rPr>
        <w:instrText>ADDIN CSL_CITATION {"citationItems":[{"id":"ITEM-1","itemData":{"DOI":"10.1016/j.chemgeo.2012.02.007","ISBN":"0009-2541","ISSN":"00092541","abstract":"Multiple competing hypotheses have been proposed to explain the source of loess dust in the Carpathian Basin yet none has been demonstrated. Here bulk and grain-size differentiated Nd and Sr isotopic and bulk and clay mineralogical compositions, together with detrital zircon ages and morphologies from loess along the Danube in the Carpathian Basin are used to demonstrate that no single method is capable of unequivocally isolating sources, yet combined, they allow for discriminating likely provenance. Zircon ages indicate multiple sources for Carpathian Basin loess, restricting the use of bulk or grain-size differentiation methods. Ambiguities are further highlighted by the fact that the Sr-Nd isotopic composition of Greenland dust is very similar to Carpathian loess. This match demonstrates that such methods are not always capable of unequivocally excluding unlikely potential source areas and implies that current hypotheses regarding the origin of Greenland dust require further evaluation. Sr isotopes are also limited by high dolomite contents of loess, while palygorskite is of questionable utility as a Saharan dust indicator due to its rapid weathering under typical Carpathian climates. In terms of specific Carpathian loess sources, alluvial fans of the Danube River likely contribute, but detrital zircon ages and morphologies suggest that a proportion directly originates from eroded uplands and local rocks throughout the basin, while detrital dolomite implies local, primary sources such as the Transdanubian Range. An upper limit of 5-10% is placed on the North African contribution to fine dust in loess of the mid-Carpathian Basin based on mineralogy and grain size. Overall, results suggest that the single grain (zircon) approach is likely the most diagnostic method to identify sources in loess studies, although to solve complex provenance issues, simultaneous consideration of the isotopic characteristics of more than one heavy (or light) mineral is required. ?? 2012 Elsevier B.V.","author":[{"dropping-particle":"","family":"Újvári","given":"Gábor","non-dropping-particle":"","parse-names":false,"suffix":""},{"dropping-particle":"","family":"Varga","given":"Andrea","non-dropping-particle":"","parse-names":false,"suffix":""},{"dropping-particle":"","family":"Ramos","given":"Frank C.","non-dropping-particle":"","parse-names":false,"suffix":""},{"dropping-particle":"","family":"Kovács","given":"János I.","non-dropping-particle":"","parse-names":false,"suffix":""},{"dropping-particle":"","family":"Németh","given":"Tibor","non-dropping-particle":"","parse-names":false,"suffix":""},{"dropping-particle":"","family":"Stevens","given":"Thomas","non-dropping-particle":"","parse-names":false,"suffix":""}],"container-title":"Chemical Geology","id":"ITEM-1","issued":{"date-parts":[["2012"]]},"page":"83-96","publisher":"Elsevier B.V.","title":"Evaluating the use of clay mineralogy, Sr-Nd isotopes and zircon U-Pb ages in tracking dust provenance: An example from loess of the Carpathian Basin","type":"article-journal","volume":"304-305"},"uris":["http://www.mendeley.com/documents/?uuid=4972a163-3568-4a70-9213-d604a9054fec"]}],"mendeley":{"formattedCitation":"(Újvári et al., 2012)","plainTextFormattedCitation":"(Újvári et al., 2012)","previouslyFormattedCitation":"(Újvári et al., 2012)"},"properties":{"noteIndex":0},"schema":"https://github.com/citation-style-language/schema/raw/master/csl-citation.json"}</w:instrText>
      </w:r>
      <w:r>
        <w:rPr>
          <w:rFonts w:ascii="Arial" w:hAnsi="Arial" w:cs="Arial"/>
        </w:rPr>
        <w:fldChar w:fldCharType="separate"/>
      </w:r>
      <w:r w:rsidRPr="00C1555F">
        <w:rPr>
          <w:rFonts w:ascii="Arial" w:hAnsi="Arial" w:cs="Arial"/>
          <w:noProof/>
        </w:rPr>
        <w:t>(Újvári et al., 2012)</w:t>
      </w:r>
      <w:r>
        <w:rPr>
          <w:rFonts w:ascii="Arial" w:hAnsi="Arial" w:cs="Arial"/>
        </w:rPr>
        <w:fldChar w:fldCharType="end"/>
      </w:r>
      <w:r>
        <w:rPr>
          <w:rFonts w:ascii="Arial" w:hAnsi="Arial" w:cs="Arial"/>
        </w:rPr>
        <w:t>, and</w:t>
      </w:r>
      <w:r w:rsidRPr="00C1555F">
        <w:rPr>
          <w:rFonts w:ascii="Arial" w:hAnsi="Arial" w:cs="Arial"/>
        </w:rPr>
        <w:t xml:space="preserve"> Stratzing combines Stratzing and Krems datasets</w:t>
      </w:r>
      <w:r>
        <w:rPr>
          <w:rFonts w:ascii="Arial" w:hAnsi="Arial" w:cs="Arial"/>
        </w:rPr>
        <w:t xml:space="preserve"> </w:t>
      </w:r>
      <w:r>
        <w:rPr>
          <w:rFonts w:ascii="Arial" w:hAnsi="Arial" w:cs="Arial"/>
        </w:rPr>
        <w:fldChar w:fldCharType="begin" w:fldLock="1"/>
      </w:r>
      <w:r>
        <w:rPr>
          <w:rFonts w:ascii="Arial" w:hAnsi="Arial" w:cs="Arial"/>
        </w:rPr>
        <w:instrText>ADDIN CSL_CITATION {"citationItems":[{"id":"ITEM-1","itemData":{"DOI":"10.1007/s00531-014-1139-x","ISSN":"1437-3254","abstract":"Loess sediments in Austria deposited ca. 30–20 ka ago yield different zircon age signatures for samples collected around Krems (SE Bohemian Massif; samples K23 and S1) and Wels (halfway between the Bohemian Massif and the Eastern Alps; sample A16). Cathodoluminescence (CL) imaging reveals both old, multistage zircons with complex growth histories and inherited cores, and young, first-cycle magmatic zircons. Paleoproterozoic ages between 2,200 and 1,800 Ma (K23 and S1), an age gap of 1,800–1,000 Ma for S1 and abundant Cadomian grains, indicate NW African/North Gondwanan derivation of these zircons. Also, A16 yields ages between 630 and 600 Ma that can be attributed to “Pan-African” orogenic processes. Significant differences are seen for the &lt;500 Ma part of the age spectra with major age peaks at 493–494 and 344–335 Ma (K23 and S1), and 477 and 287 Ma (A16). All three samples show negative initial ɛHf signatures (−25 to −10, except one grain with +9.4) implying zircon crystallization from magmas derived by recycling of older continental crust. Hf isotopic compositions of 330- to 320-Ma-old zircons from S1 and K23 preclude a derivation from Bavarian Forest granites and intermediate granitoids. Rather, all the data suggest strong contributions of eroded local rocks (South Bohemian pluton, Gföhl unit) to loess material at the SE edge of the Bohemian Massif (K23 and S1) and sourcing of zircons from sediment donor regions in the Eastern Alps for loess at Wels (A16). We tentatively infer primary fluvial transport and secondary eolian reworking and re-deposition of detritus from western/southwestern directions. Finally, our data highlight that loess zircon ages are fundamentally influenced by fluvial transport, its directions, the interplay of sediment donor regions through the mixing of detritus and zircon fertility of rocks, rather than Paleowind directions.","author":[{"dropping-particle":"","family":"Újvári","given":"Gábor","non-dropping-particle":"","parse-names":false,"suffix":""},{"dropping-particle":"","family":"Klötzli","given":"Urs","non-dropping-particle":"","parse-names":false,"suffix":""}],"container-title":"International Journal of Earth Sciences","id":"ITEM-1","issue":"5","issued":{"date-parts":[["2015","7","14"]]},"page":"1365-1385","publisher":"Springer Berlin Heidelberg","title":"U–Pb ages and Hf isotopic composition of zircons in Austrian last glacial loess: constraints on heavy mineral sources and sediment transport pathways","type":"article-journal","volume":"104"},"uris":["http://www.mendeley.com/documents/?uuid=96557a3a-95d5-41f2-be41-c4c0a3128257"]}],"mendeley":{"formattedCitation":"(Újvári and Klötzli, 2015)","plainTextFormattedCitation":"(Újvári and Klötzli, 2015)","previouslyFormattedCitation":"(Újvári and Klötzli, 2015)"},"properties":{"noteIndex":0},"schema":"https://github.com/citation-style-language/schema/raw/master/csl-citation.json"}</w:instrText>
      </w:r>
      <w:r>
        <w:rPr>
          <w:rFonts w:ascii="Arial" w:hAnsi="Arial" w:cs="Arial"/>
        </w:rPr>
        <w:fldChar w:fldCharType="separate"/>
      </w:r>
      <w:r w:rsidRPr="00C1555F">
        <w:rPr>
          <w:rFonts w:ascii="Arial" w:hAnsi="Arial" w:cs="Arial"/>
          <w:noProof/>
        </w:rPr>
        <w:t>(Újvári and Klötzli, 2015)</w:t>
      </w:r>
      <w:r>
        <w:rPr>
          <w:rFonts w:ascii="Arial" w:hAnsi="Arial" w:cs="Arial"/>
        </w:rPr>
        <w:fldChar w:fldCharType="end"/>
      </w:r>
      <w:r>
        <w:rPr>
          <w:rFonts w:ascii="Arial" w:hAnsi="Arial" w:cs="Arial"/>
        </w:rPr>
        <w:t xml:space="preserve">. See Supplementary Figure S1 for the plot focused on 0 – 1000 Ma. </w:t>
      </w:r>
    </w:p>
    <w:p w14:paraId="0D8C3AEA" w14:textId="30B57E64" w:rsidR="002E4519" w:rsidRDefault="00416753" w:rsidP="004852AE">
      <w:pPr>
        <w:spacing w:before="120" w:after="120" w:line="480" w:lineRule="auto"/>
        <w:jc w:val="both"/>
        <w:rPr>
          <w:rFonts w:ascii="Arial" w:hAnsi="Arial" w:cs="Arial"/>
        </w:rPr>
      </w:pPr>
      <w:r>
        <w:rPr>
          <w:rFonts w:ascii="Arial" w:hAnsi="Arial" w:cs="Arial"/>
          <w:noProof/>
        </w:rPr>
        <w:drawing>
          <wp:inline distT="0" distB="0" distL="0" distR="0" wp14:anchorId="3DBEA0BD" wp14:editId="769E7719">
            <wp:extent cx="5731510" cy="4403090"/>
            <wp:effectExtent l="0" t="0" r="2540" b="0"/>
            <wp:docPr id="4" name="Picture 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pic:cNvPicPr/>
                  </pic:nvPicPr>
                  <pic:blipFill>
                    <a:blip r:embed="rId13"/>
                    <a:stretch>
                      <a:fillRect/>
                    </a:stretch>
                  </pic:blipFill>
                  <pic:spPr>
                    <a:xfrm>
                      <a:off x="0" y="0"/>
                      <a:ext cx="5731510" cy="4403090"/>
                    </a:xfrm>
                    <a:prstGeom prst="rect">
                      <a:avLst/>
                    </a:prstGeom>
                  </pic:spPr>
                </pic:pic>
              </a:graphicData>
            </a:graphic>
          </wp:inline>
        </w:drawing>
      </w:r>
    </w:p>
    <w:p w14:paraId="58535847" w14:textId="443C2794" w:rsidR="002E4519" w:rsidRDefault="002E4519" w:rsidP="004852AE">
      <w:pPr>
        <w:spacing w:before="120" w:after="120" w:line="480" w:lineRule="auto"/>
        <w:jc w:val="both"/>
        <w:rPr>
          <w:rFonts w:ascii="Arial" w:hAnsi="Arial" w:cs="Arial"/>
        </w:rPr>
      </w:pPr>
      <w:r w:rsidRPr="00192BDD">
        <w:rPr>
          <w:rFonts w:ascii="Arial" w:hAnsi="Arial" w:cs="Arial"/>
          <w:b/>
          <w:bCs/>
        </w:rPr>
        <w:lastRenderedPageBreak/>
        <w:t>Figure 4</w:t>
      </w:r>
      <w:r>
        <w:rPr>
          <w:rFonts w:ascii="Arial" w:hAnsi="Arial" w:cs="Arial"/>
        </w:rPr>
        <w:t xml:space="preserve">. </w:t>
      </w:r>
      <w:r w:rsidR="00C3313C">
        <w:rPr>
          <w:rFonts w:ascii="Arial" w:hAnsi="Arial" w:cs="Arial"/>
        </w:rPr>
        <w:t>Z</w:t>
      </w:r>
      <w:r w:rsidR="00C3313C" w:rsidRPr="003078CA">
        <w:rPr>
          <w:rFonts w:ascii="Arial" w:hAnsi="Arial" w:cs="Arial"/>
        </w:rPr>
        <w:t>ircon U-Pb</w:t>
      </w:r>
      <w:r w:rsidR="00C3313C">
        <w:rPr>
          <w:rFonts w:ascii="Arial" w:hAnsi="Arial" w:cs="Arial"/>
        </w:rPr>
        <w:t xml:space="preserve"> age proportions </w:t>
      </w:r>
      <w:r w:rsidR="00AC0DCE">
        <w:rPr>
          <w:rFonts w:ascii="Arial" w:hAnsi="Arial" w:cs="Arial"/>
        </w:rPr>
        <w:t>by</w:t>
      </w:r>
      <w:r w:rsidR="00C3313C">
        <w:rPr>
          <w:rFonts w:ascii="Arial" w:hAnsi="Arial" w:cs="Arial"/>
        </w:rPr>
        <w:t xml:space="preserve"> geologic period </w:t>
      </w:r>
      <w:r w:rsidR="00AC0DCE">
        <w:rPr>
          <w:rFonts w:ascii="Arial" w:hAnsi="Arial" w:cs="Arial"/>
        </w:rPr>
        <w:t xml:space="preserve">(ages in Ma in </w:t>
      </w:r>
      <w:r w:rsidR="00B21F0C">
        <w:rPr>
          <w:rFonts w:ascii="Arial" w:hAnsi="Arial" w:cs="Arial"/>
        </w:rPr>
        <w:t>parentheses</w:t>
      </w:r>
      <w:r w:rsidR="00AC0DCE">
        <w:rPr>
          <w:rFonts w:ascii="Arial" w:hAnsi="Arial" w:cs="Arial"/>
        </w:rPr>
        <w:t xml:space="preserve">) </w:t>
      </w:r>
      <w:r w:rsidR="00C3313C">
        <w:rPr>
          <w:rFonts w:ascii="Arial" w:hAnsi="Arial" w:cs="Arial"/>
        </w:rPr>
        <w:t>for samples shown in Figure 3.</w:t>
      </w:r>
      <w:r w:rsidR="002D74A8">
        <w:rPr>
          <w:rFonts w:ascii="Arial" w:hAnsi="Arial" w:cs="Arial"/>
        </w:rPr>
        <w:t xml:space="preserve"> Percentage values are given for periods that account for the three dominant populations in ADL (grey shading in Figure 3).  </w:t>
      </w:r>
    </w:p>
    <w:p w14:paraId="01F04F1E" w14:textId="22EBBEB3" w:rsidR="0080076A" w:rsidRDefault="003B078A">
      <w:pPr>
        <w:spacing w:before="120" w:after="120" w:line="480" w:lineRule="auto"/>
        <w:jc w:val="both"/>
        <w:rPr>
          <w:rFonts w:ascii="Arial" w:hAnsi="Arial" w:cs="Arial"/>
        </w:rPr>
      </w:pPr>
      <w:bookmarkStart w:id="52" w:name="_Hlk74210052"/>
      <w:bookmarkEnd w:id="50"/>
      <w:r w:rsidRPr="003B078A">
        <w:rPr>
          <w:rFonts w:ascii="Arial" w:hAnsi="Arial" w:cs="Arial"/>
        </w:rPr>
        <w:t xml:space="preserve">Zircon U-Pb ages </w:t>
      </w:r>
      <w:r w:rsidR="000563B0">
        <w:rPr>
          <w:rFonts w:ascii="Arial" w:hAnsi="Arial" w:cs="Arial"/>
        </w:rPr>
        <w:t>are</w:t>
      </w:r>
      <w:r w:rsidRPr="003B078A">
        <w:rPr>
          <w:rFonts w:ascii="Arial" w:hAnsi="Arial" w:cs="Arial"/>
        </w:rPr>
        <w:t xml:space="preserve"> combined with </w:t>
      </w:r>
      <w:r w:rsidR="00246111" w:rsidRPr="00192BDD">
        <w:rPr>
          <w:rFonts w:ascii="Arial" w:hAnsi="Arial" w:cs="Arial"/>
          <w:i/>
          <w:iCs/>
        </w:rPr>
        <w:t>in situ</w:t>
      </w:r>
      <w:r w:rsidR="00246111" w:rsidRPr="00246111">
        <w:rPr>
          <w:rFonts w:ascii="Arial" w:hAnsi="Arial" w:cs="Arial"/>
        </w:rPr>
        <w:t xml:space="preserve"> obtained hafnium isotope</w:t>
      </w:r>
      <w:r w:rsidR="00246111">
        <w:rPr>
          <w:rFonts w:ascii="Arial" w:hAnsi="Arial" w:cs="Arial"/>
        </w:rPr>
        <w:t xml:space="preserve"> </w:t>
      </w:r>
      <w:r w:rsidRPr="003B078A">
        <w:rPr>
          <w:rFonts w:ascii="Arial" w:hAnsi="Arial" w:cs="Arial"/>
        </w:rPr>
        <w:t xml:space="preserve">data, where the initial εHf value from each grain at the time of its crystallisation is plotted against its age (Figure </w:t>
      </w:r>
      <w:r w:rsidR="00D076EE">
        <w:rPr>
          <w:rFonts w:ascii="Arial" w:hAnsi="Arial" w:cs="Arial"/>
        </w:rPr>
        <w:t>5</w:t>
      </w:r>
      <w:r w:rsidRPr="003B078A">
        <w:rPr>
          <w:rFonts w:ascii="Arial" w:hAnsi="Arial" w:cs="Arial"/>
        </w:rPr>
        <w:t xml:space="preserve">). Depleted mantle rocks have </w:t>
      </w:r>
      <w:r w:rsidRPr="00C62033">
        <w:rPr>
          <w:rFonts w:ascii="Arial" w:hAnsi="Arial" w:cs="Arial"/>
          <w:vertAlign w:val="superscript"/>
        </w:rPr>
        <w:t>176</w:t>
      </w:r>
      <w:r w:rsidRPr="003B078A">
        <w:rPr>
          <w:rFonts w:ascii="Arial" w:hAnsi="Arial" w:cs="Arial"/>
        </w:rPr>
        <w:t>Lu/</w:t>
      </w:r>
      <w:r w:rsidRPr="00C62033">
        <w:rPr>
          <w:rFonts w:ascii="Arial" w:hAnsi="Arial" w:cs="Arial"/>
          <w:vertAlign w:val="superscript"/>
        </w:rPr>
        <w:t>177</w:t>
      </w:r>
      <w:r w:rsidRPr="003B078A">
        <w:rPr>
          <w:rFonts w:ascii="Arial" w:hAnsi="Arial" w:cs="Arial"/>
        </w:rPr>
        <w:t>Hf values higher than CHUR, so develop positive εHf compositions through time. The depleted mantle</w:t>
      </w:r>
      <w:r w:rsidR="00C62033">
        <w:rPr>
          <w:rFonts w:ascii="Arial" w:hAnsi="Arial" w:cs="Arial"/>
        </w:rPr>
        <w:t xml:space="preserve"> (DM)</w:t>
      </w:r>
      <w:r w:rsidRPr="003B078A">
        <w:rPr>
          <w:rFonts w:ascii="Arial" w:hAnsi="Arial" w:cs="Arial"/>
        </w:rPr>
        <w:t xml:space="preserve"> evolution line in Figure </w:t>
      </w:r>
      <w:r w:rsidR="00D076EE">
        <w:rPr>
          <w:rFonts w:ascii="Arial" w:hAnsi="Arial" w:cs="Arial"/>
        </w:rPr>
        <w:t>5</w:t>
      </w:r>
      <w:r w:rsidRPr="003B078A">
        <w:rPr>
          <w:rFonts w:ascii="Arial" w:hAnsi="Arial" w:cs="Arial"/>
        </w:rPr>
        <w:t xml:space="preserve"> is derived using present-day values of </w:t>
      </w:r>
      <w:r w:rsidRPr="00C62033">
        <w:rPr>
          <w:rFonts w:ascii="Arial" w:hAnsi="Arial" w:cs="Arial"/>
          <w:vertAlign w:val="superscript"/>
        </w:rPr>
        <w:t>176</w:t>
      </w:r>
      <w:r w:rsidRPr="003B078A">
        <w:rPr>
          <w:rFonts w:ascii="Arial" w:hAnsi="Arial" w:cs="Arial"/>
        </w:rPr>
        <w:t>Hf/</w:t>
      </w:r>
      <w:r w:rsidRPr="00C62033">
        <w:rPr>
          <w:rFonts w:ascii="Arial" w:hAnsi="Arial" w:cs="Arial"/>
          <w:vertAlign w:val="superscript"/>
        </w:rPr>
        <w:t>177</w:t>
      </w:r>
      <w:r w:rsidRPr="003B078A">
        <w:rPr>
          <w:rFonts w:ascii="Arial" w:hAnsi="Arial" w:cs="Arial"/>
        </w:rPr>
        <w:t xml:space="preserve">Hf = 0.28325 and </w:t>
      </w:r>
      <w:r w:rsidRPr="00C62033">
        <w:rPr>
          <w:rFonts w:ascii="Arial" w:hAnsi="Arial" w:cs="Arial"/>
          <w:vertAlign w:val="superscript"/>
        </w:rPr>
        <w:t>176</w:t>
      </w:r>
      <w:r w:rsidRPr="003B078A">
        <w:rPr>
          <w:rFonts w:ascii="Arial" w:hAnsi="Arial" w:cs="Arial"/>
        </w:rPr>
        <w:t>Lu/</w:t>
      </w:r>
      <w:r w:rsidRPr="00C62033">
        <w:rPr>
          <w:rFonts w:ascii="Arial" w:hAnsi="Arial" w:cs="Arial"/>
          <w:vertAlign w:val="superscript"/>
        </w:rPr>
        <w:t>177</w:t>
      </w:r>
      <w:r w:rsidRPr="003B078A">
        <w:rPr>
          <w:rFonts w:ascii="Arial" w:hAnsi="Arial" w:cs="Arial"/>
        </w:rPr>
        <w:t xml:space="preserve">Hf = 0.0384 </w:t>
      </w:r>
      <w:r>
        <w:rPr>
          <w:rFonts w:ascii="Arial" w:hAnsi="Arial" w:cs="Arial"/>
        </w:rPr>
        <w:fldChar w:fldCharType="begin" w:fldLock="1"/>
      </w:r>
      <w:r w:rsidR="00AE6272">
        <w:rPr>
          <w:rFonts w:ascii="Arial" w:hAnsi="Arial" w:cs="Arial"/>
        </w:rPr>
        <w:instrText>ADDIN CSL_CITATION {"citationItems":[{"id":"ITEM-1","itemData":{"DOI":"10.1016/j.chemgeo.2006.03.007","ISSN":"00092541","abstract":"A database of &gt; 600 analyses of the zircon \"standard\" Harvard 91500 shows considerable heterogeneity in 176Hf/177Hf; the distribution is essentially bimodal with major peaks at 0.282284 ± 22 and 0.282330 ± 29 (2σ). Although the zircon shows a wide range of 176Yb/177Hf and 176Lu/177Hf, there is no correlation of 176Hf/177Hf with either parameter. This isotopic heterogeneity limits the degree to which 91500 can be used to evaluate the precision or accuracy of different treatments of mass bias and overlap corrections for in situ analysis of Hf-isotope compositions in zircons, or differences between solution and in situ data. © 2006 Elsevier B.V. All rights reserved.","author":[{"dropping-particle":"","family":"Griffin","given":"William L.","non-dropping-particle":"","parse-names":false,"suffix":""},{"dropping-particle":"","family":"Pearson","given":"Norman J.","non-dropping-particle":"","parse-names":false,"suffix":""},{"dropping-particle":"","family":"Belousova","given":"Elena A.","non-dropping-particle":"","parse-names":false,"suffix":""},{"dropping-particle":"","family":"Saeed","given":"A.","non-dropping-particle":"","parse-names":false,"suffix":""}],"container-title":"Chemical Geology","id":"ITEM-1","issue":"3-4","issued":{"date-parts":[["2006"]]},"page":"358-363","title":"Comment: Hf-isotope heterogeneity in zircon 91500","type":"article-journal","volume":"233"},"uris":["http://www.mendeley.com/documents/?uuid=75195eab-4f19-4782-a18c-0a23caa3494c"]}],"mendeley":{"formattedCitation":"(Griffin et al., 2006)","plainTextFormattedCitation":"(Griffin et al., 2006)","previouslyFormattedCitation":"(Griffin et al., 2006)"},"properties":{"noteIndex":0},"schema":"https://github.com/citation-style-language/schema/raw/master/csl-citation.json"}</w:instrText>
      </w:r>
      <w:r>
        <w:rPr>
          <w:rFonts w:ascii="Arial" w:hAnsi="Arial" w:cs="Arial"/>
        </w:rPr>
        <w:fldChar w:fldCharType="separate"/>
      </w:r>
      <w:r w:rsidRPr="003B078A">
        <w:rPr>
          <w:rFonts w:ascii="Arial" w:hAnsi="Arial" w:cs="Arial"/>
          <w:noProof/>
        </w:rPr>
        <w:t>(Griffin et al., 2006)</w:t>
      </w:r>
      <w:r>
        <w:rPr>
          <w:rFonts w:ascii="Arial" w:hAnsi="Arial" w:cs="Arial"/>
        </w:rPr>
        <w:fldChar w:fldCharType="end"/>
      </w:r>
      <w:r w:rsidRPr="003B078A">
        <w:rPr>
          <w:rFonts w:ascii="Arial" w:hAnsi="Arial" w:cs="Arial"/>
        </w:rPr>
        <w:t xml:space="preserve">. Crustal rocks in general have low </w:t>
      </w:r>
      <w:r w:rsidRPr="00C62033">
        <w:rPr>
          <w:rFonts w:ascii="Arial" w:hAnsi="Arial" w:cs="Arial"/>
          <w:vertAlign w:val="superscript"/>
        </w:rPr>
        <w:t>176</w:t>
      </w:r>
      <w:r w:rsidRPr="003B078A">
        <w:rPr>
          <w:rFonts w:ascii="Arial" w:hAnsi="Arial" w:cs="Arial"/>
        </w:rPr>
        <w:t>Lu/</w:t>
      </w:r>
      <w:r w:rsidRPr="00C62033">
        <w:rPr>
          <w:rFonts w:ascii="Arial" w:hAnsi="Arial" w:cs="Arial"/>
          <w:vertAlign w:val="superscript"/>
        </w:rPr>
        <w:t>177</w:t>
      </w:r>
      <w:r w:rsidRPr="003B078A">
        <w:rPr>
          <w:rFonts w:ascii="Arial" w:hAnsi="Arial" w:cs="Arial"/>
        </w:rPr>
        <w:t>Hf, so evolve negative εHf compositions. Zircon grains with positive εHf values (between the CHUR and DM lines) are interpreted as sourced from juvenile magmas while negative values (below the CHUR) indicate zircons crystallised from re-melted crust.</w:t>
      </w:r>
      <w:r w:rsidR="0080076A" w:rsidRPr="0080076A">
        <w:rPr>
          <w:rFonts w:ascii="Arial" w:hAnsi="Arial" w:cs="Arial"/>
        </w:rPr>
        <w:t xml:space="preserve"> Granites formed in subduction-related, or collisional / post-collisional settings typically show a range in hafnium isotope compositions reflecting mixing between depleted mantle sources and melts derived from ancient crust. In the case of the Danubian loess detrital zircon hafnium compositions mostly fall between the depleted mantle evolution line, and the evolution trend of 3</w:t>
      </w:r>
      <w:r w:rsidR="0080076A">
        <w:rPr>
          <w:rFonts w:ascii="Arial" w:hAnsi="Arial" w:cs="Arial"/>
        </w:rPr>
        <w:t>5</w:t>
      </w:r>
      <w:r w:rsidR="0080076A" w:rsidRPr="0080076A">
        <w:rPr>
          <w:rFonts w:ascii="Arial" w:hAnsi="Arial" w:cs="Arial"/>
        </w:rPr>
        <w:t xml:space="preserve">00 Ma crust. This range of compositions is similar to that shown by Gondwana-derived sedimentary sequences (e.g. Fielding et al. 2017). </w:t>
      </w:r>
      <w:bookmarkStart w:id="53" w:name="_Hlk79668411"/>
      <w:r w:rsidR="0080076A" w:rsidRPr="0080076A">
        <w:rPr>
          <w:rFonts w:ascii="Arial" w:hAnsi="Arial" w:cs="Arial"/>
        </w:rPr>
        <w:t xml:space="preserve">However, the great majority </w:t>
      </w:r>
      <w:r w:rsidR="00937618">
        <w:rPr>
          <w:rFonts w:ascii="Arial" w:hAnsi="Arial" w:cs="Arial"/>
        </w:rPr>
        <w:t xml:space="preserve">(~80%) </w:t>
      </w:r>
      <w:r w:rsidR="0080076A" w:rsidRPr="0080076A">
        <w:rPr>
          <w:rFonts w:ascii="Arial" w:hAnsi="Arial" w:cs="Arial"/>
        </w:rPr>
        <w:t>of the zircons in the loess have only mildly negative</w:t>
      </w:r>
      <w:r w:rsidR="008504CB">
        <w:rPr>
          <w:rFonts w:ascii="Arial" w:hAnsi="Arial" w:cs="Arial"/>
        </w:rPr>
        <w:t xml:space="preserve"> εHf</w:t>
      </w:r>
      <w:r w:rsidR="00937618">
        <w:rPr>
          <w:rFonts w:ascii="Arial" w:hAnsi="Arial" w:cs="Arial"/>
        </w:rPr>
        <w:t xml:space="preserve"> (0 to -10)</w:t>
      </w:r>
      <w:r w:rsidR="0080076A" w:rsidRPr="0080076A">
        <w:rPr>
          <w:rFonts w:ascii="Arial" w:hAnsi="Arial" w:cs="Arial"/>
        </w:rPr>
        <w:t xml:space="preserve">, indicative of remelting of relatively juvenile crust, or a relatively small contribution of non-radiogenic hafnium from more ancient crust. </w:t>
      </w:r>
      <w:bookmarkStart w:id="54" w:name="_Hlk79669229"/>
      <w:bookmarkEnd w:id="53"/>
      <w:r w:rsidR="0080076A" w:rsidRPr="0080076A">
        <w:rPr>
          <w:rFonts w:ascii="Arial" w:hAnsi="Arial" w:cs="Arial"/>
        </w:rPr>
        <w:t>However</w:t>
      </w:r>
      <w:r w:rsidR="00776D0A">
        <w:rPr>
          <w:rFonts w:ascii="Arial" w:hAnsi="Arial" w:cs="Arial"/>
        </w:rPr>
        <w:t xml:space="preserve"> </w:t>
      </w:r>
      <w:r w:rsidR="00776D0A" w:rsidRPr="0080076A">
        <w:rPr>
          <w:rFonts w:ascii="Arial" w:hAnsi="Arial" w:cs="Arial"/>
        </w:rPr>
        <w:t>contribution</w:t>
      </w:r>
      <w:r w:rsidR="00776D0A">
        <w:rPr>
          <w:rFonts w:ascii="Arial" w:hAnsi="Arial" w:cs="Arial"/>
        </w:rPr>
        <w:t>s</w:t>
      </w:r>
      <w:r w:rsidR="00776D0A" w:rsidRPr="0080076A">
        <w:rPr>
          <w:rFonts w:ascii="Arial" w:hAnsi="Arial" w:cs="Arial"/>
        </w:rPr>
        <w:t xml:space="preserve"> from Palaeoproterozoic or older crus</w:t>
      </w:r>
      <w:r w:rsidR="00776D0A">
        <w:rPr>
          <w:rFonts w:ascii="Arial" w:hAnsi="Arial" w:cs="Arial"/>
        </w:rPr>
        <w:t>t are minor as</w:t>
      </w:r>
      <w:r w:rsidR="0080076A" w:rsidRPr="0080076A">
        <w:rPr>
          <w:rFonts w:ascii="Arial" w:hAnsi="Arial" w:cs="Arial"/>
        </w:rPr>
        <w:t xml:space="preserve"> within each major age population </w:t>
      </w:r>
      <w:r w:rsidR="00937618">
        <w:rPr>
          <w:rFonts w:ascii="Arial" w:hAnsi="Arial" w:cs="Arial"/>
        </w:rPr>
        <w:t xml:space="preserve">only </w:t>
      </w:r>
      <w:r w:rsidR="0080076A" w:rsidRPr="0080076A">
        <w:rPr>
          <w:rFonts w:ascii="Arial" w:hAnsi="Arial" w:cs="Arial"/>
        </w:rPr>
        <w:t xml:space="preserve">a </w:t>
      </w:r>
      <w:r w:rsidR="00937618">
        <w:rPr>
          <w:rFonts w:ascii="Arial" w:hAnsi="Arial" w:cs="Arial"/>
        </w:rPr>
        <w:t xml:space="preserve">small proportion (~2.6 %) </w:t>
      </w:r>
      <w:r w:rsidR="0080076A" w:rsidRPr="0080076A">
        <w:rPr>
          <w:rFonts w:ascii="Arial" w:hAnsi="Arial" w:cs="Arial"/>
        </w:rPr>
        <w:t xml:space="preserve">of grains have </w:t>
      </w:r>
      <w:r w:rsidR="008504CB">
        <w:rPr>
          <w:rFonts w:ascii="Arial" w:hAnsi="Arial" w:cs="Arial"/>
        </w:rPr>
        <w:t>εHf</w:t>
      </w:r>
      <w:r w:rsidR="00937618">
        <w:rPr>
          <w:rFonts w:ascii="Arial" w:hAnsi="Arial" w:cs="Arial"/>
        </w:rPr>
        <w:t xml:space="preserve"> lower than -20</w:t>
      </w:r>
      <w:r w:rsidR="0080076A">
        <w:rPr>
          <w:rFonts w:ascii="Arial" w:hAnsi="Arial" w:cs="Arial"/>
        </w:rPr>
        <w:t>.</w:t>
      </w:r>
    </w:p>
    <w:bookmarkEnd w:id="52"/>
    <w:bookmarkEnd w:id="54"/>
    <w:p w14:paraId="1A335042" w14:textId="24D9C07E" w:rsidR="00D312A2" w:rsidRPr="00D85DD7" w:rsidRDefault="00D576E3" w:rsidP="00614941">
      <w:pPr>
        <w:spacing w:before="120" w:after="120" w:line="480" w:lineRule="auto"/>
        <w:jc w:val="both"/>
        <w:rPr>
          <w:rFonts w:ascii="Arial" w:hAnsi="Arial" w:cs="Arial"/>
        </w:rPr>
      </w:pPr>
      <w:r>
        <w:rPr>
          <w:rFonts w:ascii="Arial" w:hAnsi="Arial" w:cs="Arial"/>
          <w:noProof/>
        </w:rPr>
        <w:lastRenderedPageBreak/>
        <w:drawing>
          <wp:inline distT="0" distB="0" distL="0" distR="0" wp14:anchorId="50BA73F8" wp14:editId="7E388E9A">
            <wp:extent cx="5731510" cy="8103870"/>
            <wp:effectExtent l="0" t="0" r="2540" b="0"/>
            <wp:docPr id="3" name="Picture 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scatter chart&#10;&#10;Description automatically generated"/>
                    <pic:cNvPicPr/>
                  </pic:nvPicPr>
                  <pic:blipFill>
                    <a:blip r:embed="rId14" cstate="hqprint">
                      <a:extLst>
                        <a:ext uri="{28A0092B-C50C-407E-A947-70E740481C1C}">
                          <a14:useLocalDpi xmlns:a14="http://schemas.microsoft.com/office/drawing/2010/main"/>
                        </a:ext>
                      </a:extLst>
                    </a:blip>
                    <a:stretch>
                      <a:fillRect/>
                    </a:stretch>
                  </pic:blipFill>
                  <pic:spPr>
                    <a:xfrm>
                      <a:off x="0" y="0"/>
                      <a:ext cx="5731510" cy="8103870"/>
                    </a:xfrm>
                    <a:prstGeom prst="rect">
                      <a:avLst/>
                    </a:prstGeom>
                  </pic:spPr>
                </pic:pic>
              </a:graphicData>
            </a:graphic>
          </wp:inline>
        </w:drawing>
      </w:r>
    </w:p>
    <w:p w14:paraId="1419A74C" w14:textId="7ECB768E" w:rsidR="003078CA" w:rsidRDefault="00D312A2" w:rsidP="00614941">
      <w:pPr>
        <w:spacing w:before="120" w:after="120" w:line="480" w:lineRule="auto"/>
        <w:jc w:val="both"/>
        <w:rPr>
          <w:rFonts w:ascii="Arial" w:hAnsi="Arial" w:cs="Arial"/>
        </w:rPr>
      </w:pPr>
      <w:bookmarkStart w:id="55" w:name="_Hlk73540556"/>
      <w:r w:rsidRPr="00D85DD7">
        <w:rPr>
          <w:rFonts w:ascii="Arial" w:hAnsi="Arial" w:cs="Arial"/>
          <w:b/>
          <w:bCs/>
        </w:rPr>
        <w:t xml:space="preserve">Figure </w:t>
      </w:r>
      <w:r w:rsidR="00D076EE">
        <w:rPr>
          <w:rFonts w:ascii="Arial" w:hAnsi="Arial" w:cs="Arial"/>
          <w:b/>
          <w:bCs/>
        </w:rPr>
        <w:t>5</w:t>
      </w:r>
      <w:r>
        <w:rPr>
          <w:rFonts w:ascii="Arial" w:hAnsi="Arial" w:cs="Arial"/>
          <w:b/>
          <w:bCs/>
        </w:rPr>
        <w:t>.</w:t>
      </w:r>
      <w:r w:rsidRPr="00D85DD7">
        <w:rPr>
          <w:rFonts w:ascii="Arial" w:hAnsi="Arial" w:cs="Arial"/>
          <w:b/>
          <w:bCs/>
        </w:rPr>
        <w:t xml:space="preserve"> </w:t>
      </w:r>
      <w:bookmarkStart w:id="56" w:name="_Hlk74210133"/>
      <w:r w:rsidRPr="00D312A2">
        <w:rPr>
          <w:rFonts w:ascii="Arial" w:hAnsi="Arial" w:cs="Arial"/>
          <w:bCs/>
        </w:rPr>
        <w:t xml:space="preserve">Probability density plot showing Hf isotope–time evolution of </w:t>
      </w:r>
      <w:r w:rsidR="00C1474B">
        <w:rPr>
          <w:rFonts w:ascii="Arial" w:hAnsi="Arial" w:cs="Arial"/>
          <w:bCs/>
        </w:rPr>
        <w:t>A</w:t>
      </w:r>
      <w:r w:rsidR="00996714">
        <w:rPr>
          <w:rFonts w:ascii="Arial" w:hAnsi="Arial" w:cs="Arial"/>
          <w:bCs/>
        </w:rPr>
        <w:t xml:space="preserve">verage </w:t>
      </w:r>
      <w:r w:rsidR="00C1474B">
        <w:rPr>
          <w:rFonts w:ascii="Arial" w:hAnsi="Arial" w:cs="Arial"/>
          <w:bCs/>
        </w:rPr>
        <w:t>D</w:t>
      </w:r>
      <w:r w:rsidR="00996714">
        <w:rPr>
          <w:rFonts w:ascii="Arial" w:hAnsi="Arial" w:cs="Arial"/>
          <w:bCs/>
        </w:rPr>
        <w:t xml:space="preserve">anube </w:t>
      </w:r>
      <w:r w:rsidR="00C1474B">
        <w:rPr>
          <w:rFonts w:ascii="Arial" w:hAnsi="Arial" w:cs="Arial"/>
          <w:bCs/>
        </w:rPr>
        <w:t>L</w:t>
      </w:r>
      <w:r w:rsidR="00996714">
        <w:rPr>
          <w:rFonts w:ascii="Arial" w:hAnsi="Arial" w:cs="Arial"/>
          <w:bCs/>
        </w:rPr>
        <w:t>oess</w:t>
      </w:r>
      <w:r w:rsidR="0026591B">
        <w:rPr>
          <w:rFonts w:ascii="Arial" w:hAnsi="Arial" w:cs="Arial"/>
          <w:bCs/>
        </w:rPr>
        <w:t xml:space="preserve"> </w:t>
      </w:r>
      <w:r w:rsidR="008504CB">
        <w:rPr>
          <w:rFonts w:ascii="Arial" w:hAnsi="Arial" w:cs="Arial"/>
          <w:bCs/>
        </w:rPr>
        <w:t xml:space="preserve">(ADL) </w:t>
      </w:r>
      <w:r w:rsidR="0026591B">
        <w:rPr>
          <w:rFonts w:ascii="Arial" w:hAnsi="Arial" w:cs="Arial"/>
          <w:bCs/>
        </w:rPr>
        <w:t>plotted together with U-Pb zircon ages</w:t>
      </w:r>
      <w:r w:rsidRPr="00D312A2">
        <w:rPr>
          <w:rFonts w:ascii="Arial" w:hAnsi="Arial" w:cs="Arial"/>
          <w:bCs/>
        </w:rPr>
        <w:t>.</w:t>
      </w:r>
      <w:r w:rsidR="00B92762">
        <w:rPr>
          <w:rFonts w:ascii="Arial" w:hAnsi="Arial" w:cs="Arial"/>
          <w:bCs/>
        </w:rPr>
        <w:t xml:space="preserve"> Panel</w:t>
      </w:r>
      <w:r w:rsidR="008576E3">
        <w:rPr>
          <w:rFonts w:ascii="Arial" w:hAnsi="Arial" w:cs="Arial"/>
          <w:bCs/>
        </w:rPr>
        <w:t>s:</w:t>
      </w:r>
      <w:r w:rsidR="00B92762">
        <w:rPr>
          <w:rFonts w:ascii="Arial" w:hAnsi="Arial" w:cs="Arial"/>
          <w:bCs/>
        </w:rPr>
        <w:t xml:space="preserve"> </w:t>
      </w:r>
      <w:r w:rsidR="00B92762">
        <w:rPr>
          <w:rFonts w:ascii="Arial" w:hAnsi="Arial" w:cs="Arial"/>
        </w:rPr>
        <w:t>A)</w:t>
      </w:r>
      <w:r w:rsidR="00B92762">
        <w:rPr>
          <w:rFonts w:ascii="Arial" w:hAnsi="Arial" w:cs="Arial"/>
          <w:bCs/>
        </w:rPr>
        <w:t xml:space="preserve"> All datapoints; B) 0-1200 Ma interval</w:t>
      </w:r>
      <w:r w:rsidR="00B92762">
        <w:rPr>
          <w:rFonts w:ascii="Arial" w:hAnsi="Arial" w:cs="Arial"/>
        </w:rPr>
        <w:t xml:space="preserve">. </w:t>
      </w:r>
      <w:r w:rsidR="00AE7F91">
        <w:rPr>
          <w:rFonts w:ascii="Arial" w:hAnsi="Arial" w:cs="Arial"/>
        </w:rPr>
        <w:lastRenderedPageBreak/>
        <w:t xml:space="preserve">To </w:t>
      </w:r>
      <w:r w:rsidR="0026591B">
        <w:rPr>
          <w:rFonts w:ascii="Arial" w:hAnsi="Arial" w:cs="Arial"/>
        </w:rPr>
        <w:t xml:space="preserve">illustrate </w:t>
      </w:r>
      <w:r w:rsidR="008504CB">
        <w:rPr>
          <w:rFonts w:ascii="Arial" w:hAnsi="Arial" w:cs="Arial"/>
        </w:rPr>
        <w:t xml:space="preserve">the </w:t>
      </w:r>
      <w:r w:rsidR="0026591B">
        <w:rPr>
          <w:rFonts w:ascii="Arial" w:hAnsi="Arial" w:cs="Arial"/>
        </w:rPr>
        <w:t>origins of zircon grains</w:t>
      </w:r>
      <w:r w:rsidR="008504CB">
        <w:rPr>
          <w:rFonts w:ascii="Arial" w:hAnsi="Arial" w:cs="Arial"/>
        </w:rPr>
        <w:t>, the</w:t>
      </w:r>
      <w:r w:rsidR="003D2CEE">
        <w:rPr>
          <w:rFonts w:ascii="Arial" w:hAnsi="Arial" w:cs="Arial"/>
        </w:rPr>
        <w:t xml:space="preserve"> 3500 Ma crust</w:t>
      </w:r>
      <w:r w:rsidR="0026591B">
        <w:rPr>
          <w:rFonts w:ascii="Arial" w:hAnsi="Arial" w:cs="Arial"/>
        </w:rPr>
        <w:t xml:space="preserve"> </w:t>
      </w:r>
      <w:r w:rsidR="00AE7F91" w:rsidRPr="00935695">
        <w:rPr>
          <w:rFonts w:ascii="Arial" w:hAnsi="Arial" w:cs="Arial"/>
        </w:rPr>
        <w:t>evolution</w:t>
      </w:r>
      <w:r w:rsidR="00AE7F91">
        <w:rPr>
          <w:rFonts w:ascii="Arial" w:hAnsi="Arial" w:cs="Arial"/>
        </w:rPr>
        <w:t xml:space="preserve"> </w:t>
      </w:r>
      <w:r w:rsidR="003D2CEE">
        <w:rPr>
          <w:rFonts w:ascii="Arial" w:hAnsi="Arial" w:cs="Arial"/>
        </w:rPr>
        <w:t xml:space="preserve">line </w:t>
      </w:r>
      <w:r w:rsidR="008504CB">
        <w:rPr>
          <w:rFonts w:ascii="Arial" w:hAnsi="Arial" w:cs="Arial"/>
        </w:rPr>
        <w:t xml:space="preserve">and shading denoting supercontinent existence </w:t>
      </w:r>
      <w:r w:rsidR="0026591B">
        <w:rPr>
          <w:rFonts w:ascii="Arial" w:hAnsi="Arial" w:cs="Arial"/>
        </w:rPr>
        <w:t xml:space="preserve">(blue shading) and </w:t>
      </w:r>
      <w:r w:rsidR="0026591B" w:rsidRPr="0026591B">
        <w:rPr>
          <w:rFonts w:ascii="Arial" w:hAnsi="Arial" w:cs="Arial"/>
        </w:rPr>
        <w:t>Tornquist Sea</w:t>
      </w:r>
      <w:r w:rsidR="0026591B">
        <w:rPr>
          <w:rFonts w:ascii="Arial" w:hAnsi="Arial" w:cs="Arial"/>
        </w:rPr>
        <w:t xml:space="preserve"> closure (TSc; orange shading) </w:t>
      </w:r>
      <w:r w:rsidR="00AE7F91">
        <w:rPr>
          <w:rFonts w:ascii="Arial" w:hAnsi="Arial" w:cs="Arial"/>
        </w:rPr>
        <w:t>are added.</w:t>
      </w:r>
      <w:r w:rsidRPr="00D85DD7">
        <w:rPr>
          <w:rFonts w:ascii="Arial" w:hAnsi="Arial" w:cs="Arial"/>
        </w:rPr>
        <w:t xml:space="preserve"> </w:t>
      </w:r>
      <w:bookmarkEnd w:id="56"/>
    </w:p>
    <w:p w14:paraId="080966DA" w14:textId="059AD29F" w:rsidR="00090EE9" w:rsidRDefault="00E205B3" w:rsidP="00090EE9">
      <w:pPr>
        <w:spacing w:before="120" w:after="120" w:line="480" w:lineRule="auto"/>
        <w:jc w:val="both"/>
        <w:rPr>
          <w:rFonts w:ascii="Arial" w:hAnsi="Arial" w:cs="Arial"/>
        </w:rPr>
      </w:pPr>
      <w:r>
        <w:rPr>
          <w:rFonts w:ascii="Arial" w:hAnsi="Arial" w:cs="Arial"/>
        </w:rPr>
        <w:t xml:space="preserve">In detail, the </w:t>
      </w:r>
      <w:r w:rsidRPr="00E71274">
        <w:rPr>
          <w:rFonts w:ascii="Arial" w:hAnsi="Arial" w:cs="Arial"/>
        </w:rPr>
        <w:t xml:space="preserve">Hf isotope–time evolution for the </w:t>
      </w:r>
      <w:r>
        <w:rPr>
          <w:rFonts w:ascii="Arial" w:hAnsi="Arial" w:cs="Arial"/>
        </w:rPr>
        <w:t xml:space="preserve">ADL </w:t>
      </w:r>
      <w:r w:rsidRPr="00E71274">
        <w:rPr>
          <w:rFonts w:ascii="Arial" w:hAnsi="Arial" w:cs="Arial"/>
        </w:rPr>
        <w:t>(</w:t>
      </w:r>
      <w:r>
        <w:rPr>
          <w:rFonts w:ascii="Arial" w:hAnsi="Arial" w:cs="Arial"/>
        </w:rPr>
        <w:t>including</w:t>
      </w:r>
      <w:r w:rsidRPr="00E71274">
        <w:rPr>
          <w:rFonts w:ascii="Arial" w:hAnsi="Arial" w:cs="Arial"/>
        </w:rPr>
        <w:t xml:space="preserve"> only samples analysed </w:t>
      </w:r>
      <w:r>
        <w:rPr>
          <w:rFonts w:ascii="Arial" w:hAnsi="Arial" w:cs="Arial"/>
        </w:rPr>
        <w:t xml:space="preserve">in </w:t>
      </w:r>
      <w:r w:rsidRPr="00E71274">
        <w:rPr>
          <w:rFonts w:ascii="Arial" w:hAnsi="Arial" w:cs="Arial"/>
        </w:rPr>
        <w:t xml:space="preserve">this </w:t>
      </w:r>
      <w:r>
        <w:rPr>
          <w:rFonts w:ascii="Arial" w:hAnsi="Arial" w:cs="Arial"/>
        </w:rPr>
        <w:t>study</w:t>
      </w:r>
      <w:r w:rsidRPr="00E71274">
        <w:rPr>
          <w:rFonts w:ascii="Arial" w:hAnsi="Arial" w:cs="Arial"/>
        </w:rPr>
        <w:t>)</w:t>
      </w:r>
      <w:r>
        <w:rPr>
          <w:rFonts w:ascii="Arial" w:hAnsi="Arial" w:cs="Arial"/>
        </w:rPr>
        <w:t xml:space="preserve"> (</w:t>
      </w:r>
      <w:r w:rsidRPr="00973E7F">
        <w:rPr>
          <w:rFonts w:ascii="Arial" w:hAnsi="Arial" w:cs="Arial"/>
        </w:rPr>
        <w:t xml:space="preserve">Figure </w:t>
      </w:r>
      <w:r>
        <w:rPr>
          <w:rFonts w:ascii="Arial" w:hAnsi="Arial" w:cs="Arial"/>
        </w:rPr>
        <w:t xml:space="preserve">5) </w:t>
      </w:r>
      <w:r w:rsidRPr="00973E7F">
        <w:rPr>
          <w:rFonts w:ascii="Arial" w:hAnsi="Arial" w:cs="Arial"/>
        </w:rPr>
        <w:t>shows three fairly well-defined peaks and three maxima in ɛHf–age space</w:t>
      </w:r>
      <w:r>
        <w:rPr>
          <w:rFonts w:ascii="Arial" w:hAnsi="Arial" w:cs="Arial"/>
        </w:rPr>
        <w:t>. V</w:t>
      </w:r>
      <w:r w:rsidRPr="00E71274">
        <w:rPr>
          <w:rFonts w:ascii="Arial" w:hAnsi="Arial" w:cs="Arial"/>
        </w:rPr>
        <w:t>ariations</w:t>
      </w:r>
      <w:r>
        <w:rPr>
          <w:rFonts w:ascii="Arial" w:hAnsi="Arial" w:cs="Arial"/>
        </w:rPr>
        <w:t xml:space="preserve"> in the dominant age peaks are mostly attributed to </w:t>
      </w:r>
      <w:r w:rsidRPr="00E71274">
        <w:rPr>
          <w:rFonts w:ascii="Arial" w:hAnsi="Arial" w:cs="Arial"/>
        </w:rPr>
        <w:t xml:space="preserve">differences </w:t>
      </w:r>
      <w:r>
        <w:rPr>
          <w:rFonts w:ascii="Arial" w:hAnsi="Arial" w:cs="Arial"/>
        </w:rPr>
        <w:t>in</w:t>
      </w:r>
      <w:r w:rsidRPr="00E71274">
        <w:rPr>
          <w:rFonts w:ascii="Arial" w:hAnsi="Arial" w:cs="Arial"/>
        </w:rPr>
        <w:t xml:space="preserve"> the proportion</w:t>
      </w:r>
      <w:r>
        <w:rPr>
          <w:rFonts w:ascii="Arial" w:hAnsi="Arial" w:cs="Arial"/>
        </w:rPr>
        <w:t>s</w:t>
      </w:r>
      <w:r w:rsidRPr="00E71274">
        <w:rPr>
          <w:rFonts w:ascii="Arial" w:hAnsi="Arial" w:cs="Arial"/>
        </w:rPr>
        <w:t xml:space="preserve"> of juvenile and mature crust grains for the same age population</w:t>
      </w:r>
      <w:r>
        <w:rPr>
          <w:rFonts w:ascii="Arial" w:hAnsi="Arial" w:cs="Arial"/>
        </w:rPr>
        <w:t xml:space="preserve">. </w:t>
      </w:r>
      <w:bookmarkStart w:id="57" w:name="_Hlk79670641"/>
      <w:bookmarkStart w:id="58" w:name="_Hlk73615421"/>
      <w:bookmarkStart w:id="59" w:name="_Hlk79675208"/>
      <w:r>
        <w:rPr>
          <w:rFonts w:ascii="Arial" w:hAnsi="Arial" w:cs="Arial"/>
        </w:rPr>
        <w:t>T</w:t>
      </w:r>
      <w:r w:rsidRPr="00973E7F">
        <w:rPr>
          <w:rFonts w:ascii="Arial" w:hAnsi="Arial" w:cs="Arial"/>
        </w:rPr>
        <w:t>he highest concentration of grains</w:t>
      </w:r>
      <w:r>
        <w:rPr>
          <w:rFonts w:ascii="Arial" w:hAnsi="Arial" w:cs="Arial"/>
        </w:rPr>
        <w:t xml:space="preserve"> is found for the 330 Ma</w:t>
      </w:r>
      <w:r w:rsidRPr="00973E7F">
        <w:rPr>
          <w:rFonts w:ascii="Arial" w:hAnsi="Arial" w:cs="Arial"/>
        </w:rPr>
        <w:t xml:space="preserve"> population, </w:t>
      </w:r>
      <w:r>
        <w:rPr>
          <w:rFonts w:ascii="Arial" w:hAnsi="Arial" w:cs="Arial"/>
        </w:rPr>
        <w:t>though the cluster is not well defined</w:t>
      </w:r>
      <w:r w:rsidR="00B21F0C">
        <w:rPr>
          <w:rFonts w:ascii="Arial" w:hAnsi="Arial" w:cs="Arial"/>
        </w:rPr>
        <w:t>,</w:t>
      </w:r>
      <w:r>
        <w:rPr>
          <w:rFonts w:ascii="Arial" w:hAnsi="Arial" w:cs="Arial"/>
        </w:rPr>
        <w:t xml:space="preserve"> with</w:t>
      </w:r>
      <w:r w:rsidR="00D670B7">
        <w:rPr>
          <w:rFonts w:ascii="Arial" w:hAnsi="Arial" w:cs="Arial"/>
        </w:rPr>
        <w:t xml:space="preserve"> the</w:t>
      </w:r>
      <w:r>
        <w:rPr>
          <w:rFonts w:ascii="Arial" w:hAnsi="Arial" w:cs="Arial"/>
        </w:rPr>
        <w:t xml:space="preserve"> majority of values found between 0 (</w:t>
      </w:r>
      <w:r w:rsidRPr="003F47CE">
        <w:rPr>
          <w:rFonts w:ascii="Arial" w:hAnsi="Arial" w:cs="Arial"/>
        </w:rPr>
        <w:t>upper quartiles</w:t>
      </w:r>
      <w:r>
        <w:rPr>
          <w:rFonts w:ascii="Arial" w:hAnsi="Arial" w:cs="Arial"/>
        </w:rPr>
        <w:t>) and -5</w:t>
      </w:r>
      <w:bookmarkEnd w:id="57"/>
      <w:r>
        <w:rPr>
          <w:rFonts w:ascii="Arial" w:hAnsi="Arial" w:cs="Arial"/>
        </w:rPr>
        <w:t xml:space="preserve"> (</w:t>
      </w:r>
      <w:r w:rsidRPr="003F47CE">
        <w:rPr>
          <w:rFonts w:ascii="Arial" w:hAnsi="Arial" w:cs="Arial"/>
        </w:rPr>
        <w:t>lower quartiles</w:t>
      </w:r>
      <w:r>
        <w:rPr>
          <w:rFonts w:ascii="Arial" w:hAnsi="Arial" w:cs="Arial"/>
        </w:rPr>
        <w:t>)</w:t>
      </w:r>
      <w:r w:rsidRPr="00973E7F">
        <w:rPr>
          <w:rFonts w:ascii="Arial" w:hAnsi="Arial" w:cs="Arial"/>
        </w:rPr>
        <w:t>.</w:t>
      </w:r>
      <w:bookmarkEnd w:id="58"/>
      <w:r>
        <w:rPr>
          <w:rFonts w:ascii="Arial" w:hAnsi="Arial" w:cs="Arial"/>
        </w:rPr>
        <w:t xml:space="preserve"> The</w:t>
      </w:r>
      <w:r w:rsidRPr="00973E7F">
        <w:rPr>
          <w:rFonts w:ascii="Arial" w:hAnsi="Arial" w:cs="Arial"/>
        </w:rPr>
        <w:t xml:space="preserve"> 450 Ma peak </w:t>
      </w:r>
      <w:r>
        <w:rPr>
          <w:rFonts w:ascii="Arial" w:hAnsi="Arial" w:cs="Arial"/>
        </w:rPr>
        <w:t>is represented by</w:t>
      </w:r>
      <w:r w:rsidRPr="00973E7F">
        <w:rPr>
          <w:rFonts w:ascii="Arial" w:hAnsi="Arial" w:cs="Arial"/>
        </w:rPr>
        <w:t xml:space="preserve"> </w:t>
      </w:r>
      <w:r>
        <w:rPr>
          <w:rFonts w:ascii="Arial" w:hAnsi="Arial" w:cs="Arial"/>
        </w:rPr>
        <w:t xml:space="preserve">very similar </w:t>
      </w:r>
      <w:r w:rsidRPr="00973E7F">
        <w:rPr>
          <w:rFonts w:ascii="Arial" w:hAnsi="Arial" w:cs="Arial"/>
        </w:rPr>
        <w:t>cluster of slightly negative ɛHf values (</w:t>
      </w:r>
      <w:r>
        <w:rPr>
          <w:rFonts w:ascii="Arial" w:hAnsi="Arial" w:cs="Arial"/>
        </w:rPr>
        <w:t>-</w:t>
      </w:r>
      <w:r w:rsidRPr="00973E7F">
        <w:rPr>
          <w:rFonts w:ascii="Arial" w:hAnsi="Arial" w:cs="Arial"/>
        </w:rPr>
        <w:t>0</w:t>
      </w:r>
      <w:r>
        <w:rPr>
          <w:rFonts w:ascii="Arial" w:hAnsi="Arial" w:cs="Arial"/>
        </w:rPr>
        <w:t>.35</w:t>
      </w:r>
      <w:r w:rsidRPr="00973E7F">
        <w:rPr>
          <w:rFonts w:ascii="Arial" w:hAnsi="Arial" w:cs="Arial"/>
        </w:rPr>
        <w:t xml:space="preserve"> to -5</w:t>
      </w:r>
      <w:r>
        <w:rPr>
          <w:rFonts w:ascii="Arial" w:hAnsi="Arial" w:cs="Arial"/>
        </w:rPr>
        <w:t>, upper and lower quartile respectively</w:t>
      </w:r>
      <w:r w:rsidRPr="00973E7F">
        <w:rPr>
          <w:rFonts w:ascii="Arial" w:hAnsi="Arial" w:cs="Arial"/>
        </w:rPr>
        <w:t>)</w:t>
      </w:r>
      <w:r>
        <w:rPr>
          <w:rFonts w:ascii="Arial" w:hAnsi="Arial" w:cs="Arial"/>
        </w:rPr>
        <w:t>, with a nominally more defined concentration in comparison to the 330 Ma population cluster</w:t>
      </w:r>
      <w:bookmarkEnd w:id="59"/>
      <w:r w:rsidRPr="00973E7F">
        <w:rPr>
          <w:rFonts w:ascii="Arial" w:hAnsi="Arial" w:cs="Arial"/>
        </w:rPr>
        <w:t>.</w:t>
      </w:r>
      <w:r>
        <w:rPr>
          <w:rFonts w:ascii="Arial" w:hAnsi="Arial" w:cs="Arial"/>
        </w:rPr>
        <w:t xml:space="preserve"> </w:t>
      </w:r>
      <w:r w:rsidRPr="00973E7F">
        <w:rPr>
          <w:rFonts w:ascii="Arial" w:hAnsi="Arial" w:cs="Arial"/>
        </w:rPr>
        <w:t xml:space="preserve">The 600 Ma population shows </w:t>
      </w:r>
      <w:r>
        <w:rPr>
          <w:rFonts w:ascii="Arial" w:hAnsi="Arial" w:cs="Arial"/>
        </w:rPr>
        <w:t xml:space="preserve">the widest </w:t>
      </w:r>
      <w:r w:rsidRPr="00973E7F">
        <w:rPr>
          <w:rFonts w:ascii="Arial" w:hAnsi="Arial" w:cs="Arial"/>
        </w:rPr>
        <w:t>discontinuity between density “hotspots” for the age grouping, with both juvenile εHf (+3</w:t>
      </w:r>
      <w:r>
        <w:rPr>
          <w:rFonts w:ascii="Arial" w:hAnsi="Arial" w:cs="Arial"/>
        </w:rPr>
        <w:t>&lt;</w:t>
      </w:r>
      <w:r w:rsidRPr="00973E7F">
        <w:rPr>
          <w:rFonts w:ascii="Arial" w:hAnsi="Arial" w:cs="Arial"/>
        </w:rPr>
        <w:t>) as well as crustal contributions (&lt;-5), suggesting at least two different sources contributing to this age peak</w:t>
      </w:r>
      <w:r>
        <w:rPr>
          <w:rFonts w:ascii="Arial" w:hAnsi="Arial" w:cs="Arial"/>
        </w:rPr>
        <w:t xml:space="preserve">. </w:t>
      </w:r>
      <w:r w:rsidRPr="00E71274">
        <w:rPr>
          <w:rFonts w:ascii="Arial" w:hAnsi="Arial" w:cs="Arial"/>
        </w:rPr>
        <w:t>Both 3</w:t>
      </w:r>
      <w:r>
        <w:rPr>
          <w:rFonts w:ascii="Arial" w:hAnsi="Arial" w:cs="Arial"/>
        </w:rPr>
        <w:t>3</w:t>
      </w:r>
      <w:r w:rsidRPr="00E71274">
        <w:rPr>
          <w:rFonts w:ascii="Arial" w:hAnsi="Arial" w:cs="Arial"/>
        </w:rPr>
        <w:t>0 and 450 Ma populations may reflect zircon growth in magmas derived by melting of Neoproterozoic mafic crust</w:t>
      </w:r>
      <w:r>
        <w:rPr>
          <w:rFonts w:ascii="Arial" w:hAnsi="Arial" w:cs="Arial"/>
        </w:rPr>
        <w:t>. H</w:t>
      </w:r>
      <w:r w:rsidRPr="00E71274">
        <w:rPr>
          <w:rFonts w:ascii="Arial" w:hAnsi="Arial" w:cs="Arial"/>
        </w:rPr>
        <w:t>owever</w:t>
      </w:r>
      <w:r w:rsidRPr="00B61EF9">
        <w:rPr>
          <w:rFonts w:ascii="Arial" w:hAnsi="Arial" w:cs="Arial"/>
        </w:rPr>
        <w:t xml:space="preserve"> </w:t>
      </w:r>
      <w:r w:rsidRPr="00E71274">
        <w:rPr>
          <w:rFonts w:ascii="Arial" w:hAnsi="Arial" w:cs="Arial"/>
        </w:rPr>
        <w:t>to explain the</w:t>
      </w:r>
      <w:r>
        <w:rPr>
          <w:rFonts w:ascii="Arial" w:hAnsi="Arial" w:cs="Arial"/>
        </w:rPr>
        <w:t xml:space="preserve"> strongly</w:t>
      </w:r>
      <w:r w:rsidRPr="00E71274">
        <w:rPr>
          <w:rFonts w:ascii="Arial" w:hAnsi="Arial" w:cs="Arial"/>
        </w:rPr>
        <w:t xml:space="preserve"> negative</w:t>
      </w:r>
      <w:r>
        <w:rPr>
          <w:rFonts w:ascii="Arial" w:hAnsi="Arial" w:cs="Arial"/>
        </w:rPr>
        <w:t xml:space="preserve"> </w:t>
      </w:r>
      <w:r w:rsidRPr="00E71274">
        <w:rPr>
          <w:rFonts w:ascii="Arial" w:hAnsi="Arial" w:cs="Arial"/>
        </w:rPr>
        <w:t>values shown by some data points at c. 6</w:t>
      </w:r>
      <w:r>
        <w:rPr>
          <w:rFonts w:ascii="Arial" w:hAnsi="Arial" w:cs="Arial"/>
        </w:rPr>
        <w:t>0</w:t>
      </w:r>
      <w:r w:rsidRPr="00E71274">
        <w:rPr>
          <w:rFonts w:ascii="Arial" w:hAnsi="Arial" w:cs="Arial"/>
        </w:rPr>
        <w:t>0 Ma some involvement of melts derived from Palaeoproterozoic or older crust is required</w:t>
      </w:r>
      <w:r>
        <w:rPr>
          <w:rFonts w:ascii="Arial" w:hAnsi="Arial" w:cs="Arial"/>
        </w:rPr>
        <w:t>. These grains plot</w:t>
      </w:r>
      <w:r w:rsidRPr="00E71274">
        <w:rPr>
          <w:rFonts w:ascii="Arial" w:hAnsi="Arial" w:cs="Arial"/>
        </w:rPr>
        <w:t xml:space="preserve"> </w:t>
      </w:r>
      <w:r w:rsidRPr="0078474F">
        <w:rPr>
          <w:rFonts w:ascii="Arial" w:hAnsi="Arial" w:cs="Arial"/>
        </w:rPr>
        <w:t>along the evolution line for the 3000</w:t>
      </w:r>
      <w:r>
        <w:rPr>
          <w:rFonts w:ascii="Arial" w:hAnsi="Arial" w:cs="Arial"/>
        </w:rPr>
        <w:t>-3500</w:t>
      </w:r>
      <w:r w:rsidRPr="0078474F">
        <w:rPr>
          <w:rFonts w:ascii="Arial" w:hAnsi="Arial" w:cs="Arial"/>
        </w:rPr>
        <w:t xml:space="preserve"> Ma North African crust </w:t>
      </w:r>
      <w:r w:rsidRPr="0078474F">
        <w:rPr>
          <w:rFonts w:ascii="Arial" w:hAnsi="Arial" w:cs="Arial"/>
        </w:rPr>
        <w:fldChar w:fldCharType="begin" w:fldLock="1"/>
      </w:r>
      <w:r>
        <w:rPr>
          <w:rFonts w:ascii="Arial" w:hAnsi="Arial" w:cs="Arial"/>
        </w:rPr>
        <w:instrText>ADDIN CSL_CITATION {"citationItems":[{"id":"ITEM-1","itemData":{"DOI":"10.1144/jgs2016-075","ISSN":"0016-7649","author":[{"dropping-particle":"","family":"Fielding","given":"Laura","non-dropping-particle":"","parse-names":false,"suffix":""},{"dropping-particle":"","family":"Najman","given":"Yani","non-dropping-particle":"","parse-names":false,"suffix":""},{"dropping-particle":"","family":"Millar","given":"Ian L.","non-dropping-particle":"","parse-names":false,"suffix":""},{"dropping-particle":"","family":"Butterworth","given":"Peter","non-dropping-particle":"","parse-names":false,"suffix":""},{"dropping-particle":"","family":"Ando","given":"Sergio","non-dropping-particle":"","parse-names":false,"suffix":""},{"dropping-particle":"","family":"Padoan","given":"Marta","non-dropping-particle":"","parse-names":false,"suffix":""},{"dropping-particle":"","family":"Barfod","given":"Dan","non-dropping-particle":"","parse-names":false,"suffix":""},{"dropping-particle":"","family":"Kneller","given":"Ben","non-dropping-particle":"","parse-names":false,"suffix":""}],"container-title":"Journal of the Geological Society","id":"ITEM-1","issue":"2","issued":{"date-parts":[["2017"]]},"page":"301-317","title":"A detrital record of the Nile River and its catchment","type":"article-journal","volume":"174"},"uris":["http://www.mendeley.com/documents/?uuid=6faa3a38-52a4-4b31-855b-fde1bc953421"]}],"mendeley":{"formattedCitation":"(Fielding et al., 2017)","plainTextFormattedCitation":"(Fielding et al., 2017)","previouslyFormattedCitation":"(Fielding et al., 2017)"},"properties":{"noteIndex":0},"schema":"https://github.com/citation-style-language/schema/raw/master/csl-citation.json"}</w:instrText>
      </w:r>
      <w:r w:rsidRPr="0078474F">
        <w:rPr>
          <w:rFonts w:ascii="Arial" w:hAnsi="Arial" w:cs="Arial"/>
        </w:rPr>
        <w:fldChar w:fldCharType="separate"/>
      </w:r>
      <w:r w:rsidRPr="008612C3">
        <w:rPr>
          <w:rFonts w:ascii="Arial" w:hAnsi="Arial" w:cs="Arial"/>
          <w:noProof/>
        </w:rPr>
        <w:t>(Fielding et al., 2017)</w:t>
      </w:r>
      <w:r w:rsidRPr="0078474F">
        <w:rPr>
          <w:rFonts w:ascii="Arial" w:hAnsi="Arial" w:cs="Arial"/>
        </w:rPr>
        <w:fldChar w:fldCharType="end"/>
      </w:r>
      <w:r w:rsidRPr="0078474F">
        <w:rPr>
          <w:rFonts w:ascii="Arial" w:hAnsi="Arial" w:cs="Arial"/>
        </w:rPr>
        <w:t>.</w:t>
      </w:r>
      <w:r>
        <w:rPr>
          <w:rFonts w:ascii="Arial" w:hAnsi="Arial" w:cs="Arial"/>
        </w:rPr>
        <w:t xml:space="preserve"> Lastly some variability can be observed in the young age spectra at ~50 and 100</w:t>
      </w:r>
      <w:r w:rsidRPr="00973E7F">
        <w:rPr>
          <w:rFonts w:ascii="Arial" w:hAnsi="Arial" w:cs="Arial"/>
        </w:rPr>
        <w:t xml:space="preserve"> Ma and a continuous ɛHf spread from +5 to -10, indicating mixing between depleted mantle-derived and more mature crustal hafnium</w:t>
      </w:r>
      <w:r>
        <w:rPr>
          <w:rFonts w:ascii="Arial" w:hAnsi="Arial" w:cs="Arial"/>
        </w:rPr>
        <w:t xml:space="preserve"> and potentially volcanic arc setting</w:t>
      </w:r>
      <w:r w:rsidRPr="00973E7F">
        <w:rPr>
          <w:rFonts w:ascii="Arial" w:hAnsi="Arial" w:cs="Arial"/>
        </w:rPr>
        <w:t xml:space="preserve">. </w:t>
      </w:r>
    </w:p>
    <w:p w14:paraId="7D98C647" w14:textId="5A158E85" w:rsidR="00090EE9" w:rsidRDefault="00090EE9" w:rsidP="00090EE9">
      <w:pPr>
        <w:spacing w:before="120" w:after="120" w:line="480" w:lineRule="auto"/>
        <w:jc w:val="both"/>
        <w:rPr>
          <w:rFonts w:ascii="Arial" w:hAnsi="Arial" w:cs="Arial"/>
        </w:rPr>
      </w:pPr>
      <w:r>
        <w:rPr>
          <w:rFonts w:ascii="Arial" w:hAnsi="Arial" w:cs="Arial"/>
          <w:noProof/>
        </w:rPr>
        <w:lastRenderedPageBreak/>
        <w:drawing>
          <wp:inline distT="0" distB="0" distL="0" distR="0" wp14:anchorId="6E5D58AA" wp14:editId="0E1F533E">
            <wp:extent cx="5731510" cy="8104505"/>
            <wp:effectExtent l="0" t="0" r="2540" b="0"/>
            <wp:docPr id="14" name="Picture 14"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alendar&#10;&#10;Description automatically generated"/>
                    <pic:cNvPicPr/>
                  </pic:nvPicPr>
                  <pic:blipFill>
                    <a:blip r:embed="rId15" cstate="hqprint">
                      <a:extLst>
                        <a:ext uri="{28A0092B-C50C-407E-A947-70E740481C1C}">
                          <a14:useLocalDpi xmlns:a14="http://schemas.microsoft.com/office/drawing/2010/main"/>
                        </a:ext>
                      </a:extLst>
                    </a:blip>
                    <a:stretch>
                      <a:fillRect/>
                    </a:stretch>
                  </pic:blipFill>
                  <pic:spPr>
                    <a:xfrm>
                      <a:off x="0" y="0"/>
                      <a:ext cx="5731510" cy="8104505"/>
                    </a:xfrm>
                    <a:prstGeom prst="rect">
                      <a:avLst/>
                    </a:prstGeom>
                  </pic:spPr>
                </pic:pic>
              </a:graphicData>
            </a:graphic>
          </wp:inline>
        </w:drawing>
      </w:r>
    </w:p>
    <w:p w14:paraId="68FB8E2C" w14:textId="424C01DF" w:rsidR="00090EE9" w:rsidRDefault="00090EE9" w:rsidP="00090EE9">
      <w:pPr>
        <w:spacing w:before="120" w:after="120" w:line="480" w:lineRule="auto"/>
        <w:jc w:val="both"/>
        <w:rPr>
          <w:rFonts w:ascii="Arial" w:hAnsi="Arial" w:cs="Arial"/>
        </w:rPr>
      </w:pPr>
      <w:bookmarkStart w:id="60" w:name="_Hlk75354674"/>
      <w:r w:rsidRPr="00842DC3">
        <w:rPr>
          <w:rFonts w:ascii="Arial" w:hAnsi="Arial" w:cs="Arial"/>
          <w:b/>
          <w:bCs/>
        </w:rPr>
        <w:t xml:space="preserve">Figure </w:t>
      </w:r>
      <w:r>
        <w:rPr>
          <w:rFonts w:ascii="Arial" w:hAnsi="Arial" w:cs="Arial"/>
          <w:b/>
          <w:bCs/>
        </w:rPr>
        <w:t>6</w:t>
      </w:r>
      <w:r w:rsidRPr="006C78F0">
        <w:rPr>
          <w:rFonts w:ascii="Arial" w:hAnsi="Arial" w:cs="Arial"/>
        </w:rPr>
        <w:t>.</w:t>
      </w:r>
      <w:r>
        <w:rPr>
          <w:rFonts w:ascii="Arial" w:hAnsi="Arial" w:cs="Arial"/>
        </w:rPr>
        <w:t xml:space="preserve"> </w:t>
      </w:r>
      <w:r w:rsidRPr="006C78F0">
        <w:rPr>
          <w:rFonts w:ascii="Arial" w:hAnsi="Arial" w:cs="Arial"/>
        </w:rPr>
        <w:t>Zircon U-Pb Kernel Density Estimator (KDE) diagram for potential dust sources</w:t>
      </w:r>
      <w:r>
        <w:rPr>
          <w:rFonts w:ascii="Arial" w:hAnsi="Arial" w:cs="Arial"/>
        </w:rPr>
        <w:t xml:space="preserve"> shown in Figure 1 (colour coded)</w:t>
      </w:r>
      <w:bookmarkStart w:id="61" w:name="_Hlk51083794"/>
      <w:r>
        <w:rPr>
          <w:rFonts w:ascii="Arial" w:hAnsi="Arial" w:cs="Arial"/>
        </w:rPr>
        <w:t xml:space="preserve">: </w:t>
      </w:r>
      <w:r w:rsidRPr="003847EA">
        <w:rPr>
          <w:rFonts w:ascii="Arial" w:hAnsi="Arial" w:cs="Arial"/>
        </w:rPr>
        <w:t>rivers (</w:t>
      </w:r>
      <w:r>
        <w:rPr>
          <w:rFonts w:ascii="Arial" w:hAnsi="Arial" w:cs="Arial"/>
        </w:rPr>
        <w:t xml:space="preserve">dark </w:t>
      </w:r>
      <w:r w:rsidRPr="003847EA">
        <w:rPr>
          <w:rFonts w:ascii="Arial" w:hAnsi="Arial" w:cs="Arial"/>
        </w:rPr>
        <w:t xml:space="preserve">blue), the Alps (white), Bohemian Massif </w:t>
      </w:r>
      <w:r w:rsidRPr="003847EA">
        <w:rPr>
          <w:rFonts w:ascii="Arial" w:hAnsi="Arial" w:cs="Arial"/>
        </w:rPr>
        <w:lastRenderedPageBreak/>
        <w:t>(</w:t>
      </w:r>
      <w:r>
        <w:rPr>
          <w:rFonts w:ascii="Arial" w:hAnsi="Arial" w:cs="Arial"/>
        </w:rPr>
        <w:t>brown</w:t>
      </w:r>
      <w:r w:rsidRPr="003847EA">
        <w:rPr>
          <w:rFonts w:ascii="Arial" w:hAnsi="Arial" w:cs="Arial"/>
        </w:rPr>
        <w:t>), Moldanubian Zone (</w:t>
      </w:r>
      <w:r>
        <w:rPr>
          <w:rFonts w:ascii="Arial" w:hAnsi="Arial" w:cs="Arial"/>
        </w:rPr>
        <w:t>blue</w:t>
      </w:r>
      <w:r w:rsidRPr="003847EA">
        <w:rPr>
          <w:rFonts w:ascii="Arial" w:hAnsi="Arial" w:cs="Arial"/>
        </w:rPr>
        <w:t>), West Carpathians (</w:t>
      </w:r>
      <w:r>
        <w:rPr>
          <w:rFonts w:ascii="Arial" w:hAnsi="Arial" w:cs="Arial"/>
        </w:rPr>
        <w:t>yellow</w:t>
      </w:r>
      <w:r w:rsidRPr="003847EA">
        <w:rPr>
          <w:rFonts w:ascii="Arial" w:hAnsi="Arial" w:cs="Arial"/>
        </w:rPr>
        <w:t>)</w:t>
      </w:r>
      <w:r>
        <w:rPr>
          <w:rFonts w:ascii="Arial" w:hAnsi="Arial" w:cs="Arial"/>
        </w:rPr>
        <w:t xml:space="preserve">, </w:t>
      </w:r>
      <w:r w:rsidRPr="003847EA">
        <w:rPr>
          <w:rFonts w:ascii="Arial" w:hAnsi="Arial" w:cs="Arial"/>
        </w:rPr>
        <w:t>B</w:t>
      </w:r>
      <w:r>
        <w:rPr>
          <w:rFonts w:ascii="Arial" w:hAnsi="Arial" w:cs="Arial"/>
        </w:rPr>
        <w:t>ü</w:t>
      </w:r>
      <w:r w:rsidRPr="003847EA">
        <w:rPr>
          <w:rFonts w:ascii="Arial" w:hAnsi="Arial" w:cs="Arial"/>
        </w:rPr>
        <w:t>kk Mountains (</w:t>
      </w:r>
      <w:r>
        <w:rPr>
          <w:rFonts w:ascii="Arial" w:hAnsi="Arial" w:cs="Arial"/>
        </w:rPr>
        <w:t>black</w:t>
      </w:r>
      <w:r w:rsidRPr="003847EA">
        <w:rPr>
          <w:rFonts w:ascii="Arial" w:hAnsi="Arial" w:cs="Arial"/>
        </w:rPr>
        <w:t>), South Carpathians (</w:t>
      </w:r>
      <w:r>
        <w:rPr>
          <w:rFonts w:ascii="Arial" w:hAnsi="Arial" w:cs="Arial"/>
        </w:rPr>
        <w:t>light blue</w:t>
      </w:r>
      <w:r w:rsidRPr="003847EA">
        <w:rPr>
          <w:rFonts w:ascii="Arial" w:hAnsi="Arial" w:cs="Arial"/>
        </w:rPr>
        <w:t>), Dinaric Alps (</w:t>
      </w:r>
      <w:r w:rsidRPr="002E2815">
        <w:rPr>
          <w:rFonts w:ascii="Arial" w:hAnsi="Arial" w:cs="Arial"/>
        </w:rPr>
        <w:t>ochre</w:t>
      </w:r>
      <w:r w:rsidRPr="003847EA">
        <w:rPr>
          <w:rFonts w:ascii="Arial" w:hAnsi="Arial" w:cs="Arial"/>
        </w:rPr>
        <w:t>), Balkan Mountains (</w:t>
      </w:r>
      <w:r>
        <w:rPr>
          <w:rFonts w:ascii="Arial" w:hAnsi="Arial" w:cs="Arial"/>
        </w:rPr>
        <w:t>light turquoise</w:t>
      </w:r>
      <w:r w:rsidRPr="003847EA">
        <w:rPr>
          <w:rFonts w:ascii="Arial" w:hAnsi="Arial" w:cs="Arial"/>
        </w:rPr>
        <w:t>), Sahara Desert (</w:t>
      </w:r>
      <w:r>
        <w:rPr>
          <w:rFonts w:ascii="Arial" w:hAnsi="Arial" w:cs="Arial"/>
        </w:rPr>
        <w:t>dark red</w:t>
      </w:r>
      <w:r w:rsidRPr="003847EA">
        <w:rPr>
          <w:rFonts w:ascii="Arial" w:hAnsi="Arial" w:cs="Arial"/>
        </w:rPr>
        <w:t>)</w:t>
      </w:r>
      <w:r>
        <w:rPr>
          <w:rFonts w:ascii="Arial" w:hAnsi="Arial" w:cs="Arial"/>
        </w:rPr>
        <w:t>, and Scandinavia (light green).</w:t>
      </w:r>
      <w:bookmarkEnd w:id="61"/>
      <w:r>
        <w:rPr>
          <w:rFonts w:ascii="Arial" w:hAnsi="Arial" w:cs="Arial"/>
        </w:rPr>
        <w:t xml:space="preserve"> Fluvial sands sample comprise </w:t>
      </w:r>
      <w:r w:rsidRPr="00585C6B">
        <w:rPr>
          <w:rFonts w:ascii="Arial" w:hAnsi="Arial"/>
          <w14:numForm w14:val="lining"/>
        </w:rPr>
        <w:t xml:space="preserve">Basaharc </w:t>
      </w:r>
      <w:r>
        <w:rPr>
          <w:rFonts w:ascii="Arial" w:hAnsi="Arial"/>
          <w14:numForm w14:val="lining"/>
        </w:rPr>
        <w:t xml:space="preserve">and </w:t>
      </w:r>
      <w:r w:rsidRPr="00585C6B">
        <w:rPr>
          <w:rFonts w:ascii="Arial" w:hAnsi="Arial"/>
          <w14:numForm w14:val="lining"/>
        </w:rPr>
        <w:t>Danit</w:t>
      </w:r>
      <w:r>
        <w:rPr>
          <w:rFonts w:ascii="Arial" w:hAnsi="Arial"/>
          <w14:numForm w14:val="lining"/>
        </w:rPr>
        <w:t>z</w:t>
      </w:r>
      <w:r w:rsidRPr="00585C6B">
        <w:rPr>
          <w:rFonts w:ascii="Arial" w:hAnsi="Arial"/>
          <w14:numForm w14:val="lining"/>
        </w:rPr>
        <w:t xml:space="preserve"> puszta fluvial sands</w:t>
      </w:r>
      <w:r>
        <w:rPr>
          <w:rFonts w:ascii="Arial" w:hAnsi="Arial"/>
          <w14:numForm w14:val="lining"/>
        </w:rPr>
        <w:t xml:space="preserve"> (Figure 1 points 2 and 5), Tisza includes two samples shown in Figure 1 (2 and 5), and Lower Danube combines three datasets (Figure 1 points 9, 10, 12). Grey shaded areas represent the three dominant populations seen in ADL. A 2</w:t>
      </w:r>
      <w:r>
        <w:rPr>
          <w:rFonts w:ascii="Arial" w:hAnsi="Arial" w:cs="Arial"/>
        </w:rPr>
        <w:t>5 Ma bandwidth, 50 Ma binwidth, and Gaussian kernel were used for all diagrams</w:t>
      </w:r>
      <w:r>
        <w:rPr>
          <w:rFonts w:ascii="Arial" w:hAnsi="Arial"/>
          <w14:numForm w14:val="lining"/>
        </w:rPr>
        <w:t xml:space="preserve">. </w:t>
      </w:r>
      <w:r>
        <w:rPr>
          <w:rFonts w:ascii="Arial" w:hAnsi="Arial" w:cs="Arial"/>
        </w:rPr>
        <w:t xml:space="preserve">See Supplementary Table S1 for source metadata details and Supplementary Figure S1 for higher resolution KDEs. </w:t>
      </w:r>
    </w:p>
    <w:bookmarkEnd w:id="55"/>
    <w:bookmarkEnd w:id="60"/>
    <w:p w14:paraId="0FB75B81" w14:textId="1BD07735" w:rsidR="00A129F3" w:rsidRDefault="00A129F3" w:rsidP="00987B6C">
      <w:pPr>
        <w:pStyle w:val="Heading1"/>
        <w:numPr>
          <w:ilvl w:val="0"/>
          <w:numId w:val="34"/>
        </w:numPr>
        <w:spacing w:before="120" w:after="120" w:line="480" w:lineRule="auto"/>
        <w:ind w:left="567" w:hanging="567"/>
        <w:jc w:val="both"/>
        <w:rPr>
          <w:rFonts w:ascii="Arial" w:hAnsi="Arial" w:cs="Arial"/>
          <w:b/>
          <w:color w:val="auto"/>
          <w:sz w:val="24"/>
        </w:rPr>
      </w:pPr>
      <w:r w:rsidRPr="00964EE7">
        <w:rPr>
          <w:rFonts w:ascii="Arial" w:hAnsi="Arial" w:cs="Arial"/>
          <w:b/>
          <w:color w:val="auto"/>
          <w:sz w:val="24"/>
        </w:rPr>
        <w:t>Discussion</w:t>
      </w:r>
    </w:p>
    <w:p w14:paraId="43BAF2B3" w14:textId="0BEABF6E" w:rsidR="00090EE9" w:rsidRDefault="00E205B3" w:rsidP="00E205B3">
      <w:pPr>
        <w:spacing w:before="120" w:after="120" w:line="480" w:lineRule="auto"/>
        <w:jc w:val="both"/>
        <w:rPr>
          <w:rFonts w:ascii="Arial" w:hAnsi="Arial" w:cs="Arial"/>
        </w:rPr>
      </w:pPr>
      <w:bookmarkStart w:id="62" w:name="_Hlk82680040"/>
      <w:r w:rsidRPr="00E205B3">
        <w:rPr>
          <w:rFonts w:ascii="Arial" w:hAnsi="Arial" w:cs="Arial"/>
        </w:rPr>
        <w:t xml:space="preserve">U-Pb zircon datasets, for individual sites and for the ADL, were compared with 10,507 zircon grains from 160 published datasets from rivers, deserts, exposed outcrops, and mountain belts (Figures 3 and </w:t>
      </w:r>
      <w:r w:rsidR="00090EE9">
        <w:rPr>
          <w:rFonts w:ascii="Arial" w:hAnsi="Arial" w:cs="Arial"/>
        </w:rPr>
        <w:t>6</w:t>
      </w:r>
      <w:r w:rsidRPr="00E205B3">
        <w:rPr>
          <w:rFonts w:ascii="Arial" w:hAnsi="Arial" w:cs="Arial"/>
        </w:rPr>
        <w:t xml:space="preserve">), encompassing a variety of potential Central European source terranes. </w:t>
      </w:r>
      <w:bookmarkEnd w:id="62"/>
      <w:r w:rsidRPr="00E205B3">
        <w:rPr>
          <w:rFonts w:ascii="Arial" w:hAnsi="Arial" w:cs="Arial"/>
        </w:rPr>
        <w:t>Bedrock and fluvial datasets were combined where possible (e.g. when reflecting the same geological units and ages) to reduce dataset complexity prior to MDS analysis</w:t>
      </w:r>
      <w:r w:rsidR="00090EE9">
        <w:rPr>
          <w:rFonts w:ascii="Arial" w:hAnsi="Arial" w:cs="Arial"/>
        </w:rPr>
        <w:t xml:space="preserve"> (Figure 7)</w:t>
      </w:r>
      <w:r w:rsidRPr="00E205B3">
        <w:rPr>
          <w:rFonts w:ascii="Arial" w:hAnsi="Arial" w:cs="Arial"/>
        </w:rPr>
        <w:t xml:space="preserve">. </w:t>
      </w:r>
      <w:r w:rsidR="00B21F0C">
        <w:rPr>
          <w:rFonts w:ascii="Arial" w:hAnsi="Arial" w:cs="Arial"/>
        </w:rPr>
        <w:t>Potential s</w:t>
      </w:r>
      <w:r w:rsidR="00090EE9">
        <w:rPr>
          <w:rFonts w:ascii="Arial" w:hAnsi="Arial" w:cs="Arial"/>
        </w:rPr>
        <w:t xml:space="preserve">ource </w:t>
      </w:r>
      <w:r w:rsidR="00B21F0C">
        <w:rPr>
          <w:rFonts w:ascii="Arial" w:hAnsi="Arial" w:cs="Arial"/>
        </w:rPr>
        <w:t xml:space="preserve">area </w:t>
      </w:r>
      <w:r w:rsidR="00090EE9" w:rsidRPr="008D4A6F">
        <w:rPr>
          <w:rFonts w:ascii="Arial" w:hAnsi="Arial" w:cs="Arial"/>
        </w:rPr>
        <w:t>KD</w:t>
      </w:r>
      <w:r w:rsidR="00090EE9">
        <w:rPr>
          <w:rFonts w:ascii="Arial" w:hAnsi="Arial" w:cs="Arial"/>
        </w:rPr>
        <w:t>E plots</w:t>
      </w:r>
      <w:r w:rsidR="00090EE9" w:rsidRPr="008D4A6F">
        <w:rPr>
          <w:rFonts w:ascii="Arial" w:hAnsi="Arial" w:cs="Arial"/>
        </w:rPr>
        <w:t xml:space="preserve"> (</w:t>
      </w:r>
      <w:r w:rsidR="00090EE9" w:rsidRPr="00842DC3">
        <w:rPr>
          <w:rFonts w:ascii="Arial" w:hAnsi="Arial" w:cs="Arial"/>
        </w:rPr>
        <w:t xml:space="preserve">Figure </w:t>
      </w:r>
      <w:r w:rsidR="00090EE9">
        <w:rPr>
          <w:rFonts w:ascii="Arial" w:hAnsi="Arial" w:cs="Arial"/>
        </w:rPr>
        <w:t>6</w:t>
      </w:r>
      <w:r w:rsidR="00090EE9" w:rsidRPr="008D4A6F">
        <w:rPr>
          <w:rFonts w:ascii="Arial" w:hAnsi="Arial" w:cs="Arial"/>
        </w:rPr>
        <w:t>)</w:t>
      </w:r>
      <w:r w:rsidR="00090EE9">
        <w:rPr>
          <w:rFonts w:ascii="Arial" w:hAnsi="Arial" w:cs="Arial"/>
        </w:rPr>
        <w:t xml:space="preserve"> show that t</w:t>
      </w:r>
      <w:r w:rsidR="00090EE9" w:rsidRPr="005C63EB">
        <w:rPr>
          <w:rFonts w:ascii="Arial" w:hAnsi="Arial" w:cs="Arial"/>
        </w:rPr>
        <w:t xml:space="preserve">o </w:t>
      </w:r>
      <w:r w:rsidR="00090EE9">
        <w:rPr>
          <w:rFonts w:ascii="Arial" w:hAnsi="Arial" w:cs="Arial"/>
        </w:rPr>
        <w:t>some</w:t>
      </w:r>
      <w:r w:rsidR="00090EE9" w:rsidRPr="005C63EB">
        <w:rPr>
          <w:rFonts w:ascii="Arial" w:hAnsi="Arial" w:cs="Arial"/>
        </w:rPr>
        <w:t xml:space="preserve"> degree</w:t>
      </w:r>
      <w:r w:rsidR="00090EE9">
        <w:rPr>
          <w:rFonts w:ascii="Arial" w:hAnsi="Arial" w:cs="Arial"/>
        </w:rPr>
        <w:t xml:space="preserve"> most source samples contain the dominant populations represented in the ADL (grey area) and individual loess samples, demonstrating that any combination of these locations could be contributing to the loess deposits along the Danube, and </w:t>
      </w:r>
      <w:r w:rsidR="00090EE9" w:rsidRPr="005C63EB">
        <w:rPr>
          <w:rFonts w:ascii="Arial" w:hAnsi="Arial" w:cs="Arial"/>
        </w:rPr>
        <w:t>emphasi</w:t>
      </w:r>
      <w:r w:rsidR="00090EE9">
        <w:rPr>
          <w:rFonts w:ascii="Arial" w:hAnsi="Arial" w:cs="Arial"/>
        </w:rPr>
        <w:t xml:space="preserve">sing </w:t>
      </w:r>
      <w:r w:rsidR="00090EE9" w:rsidRPr="005C63EB">
        <w:rPr>
          <w:rFonts w:ascii="Arial" w:hAnsi="Arial" w:cs="Arial"/>
        </w:rPr>
        <w:t xml:space="preserve">the geological complexity of </w:t>
      </w:r>
      <w:r w:rsidR="00090EE9">
        <w:rPr>
          <w:rFonts w:ascii="Arial" w:hAnsi="Arial" w:cs="Arial"/>
        </w:rPr>
        <w:t>Central and S</w:t>
      </w:r>
      <w:r w:rsidR="00090EE9" w:rsidRPr="003A688D">
        <w:rPr>
          <w:rFonts w:ascii="Arial" w:hAnsi="Arial" w:cs="Arial"/>
        </w:rPr>
        <w:t>outheastern</w:t>
      </w:r>
      <w:r w:rsidR="00090EE9">
        <w:rPr>
          <w:rFonts w:ascii="Arial" w:hAnsi="Arial" w:cs="Arial"/>
        </w:rPr>
        <w:t xml:space="preserve"> Europe. This is also reflected on the MDS map (Figure 7) as most of the source datasets plot in one main group, compris</w:t>
      </w:r>
      <w:r w:rsidR="0008335F">
        <w:rPr>
          <w:rFonts w:ascii="Arial" w:hAnsi="Arial" w:cs="Arial"/>
        </w:rPr>
        <w:t>ing</w:t>
      </w:r>
      <w:r w:rsidR="00090EE9">
        <w:rPr>
          <w:rFonts w:ascii="Arial" w:hAnsi="Arial" w:cs="Arial"/>
        </w:rPr>
        <w:t xml:space="preserve"> bedrock samples clustering around the loess and rivers, as discussed in section 5.2. The remaining bedrock samples from the Balkan, </w:t>
      </w:r>
      <w:r w:rsidR="00090EE9" w:rsidRPr="00AC2F7C">
        <w:rPr>
          <w:rFonts w:ascii="Arial" w:hAnsi="Arial" w:cs="Arial"/>
        </w:rPr>
        <w:t>Dinarides</w:t>
      </w:r>
      <w:r w:rsidR="00090EE9">
        <w:rPr>
          <w:rFonts w:ascii="Arial" w:hAnsi="Arial" w:cs="Arial"/>
        </w:rPr>
        <w:t xml:space="preserve">, and Carpathian Mountains are spread to the side. </w:t>
      </w:r>
    </w:p>
    <w:p w14:paraId="54E8DE3E" w14:textId="6D1DF69C" w:rsidR="00090EE9" w:rsidRDefault="008576E3" w:rsidP="00090EE9">
      <w:pPr>
        <w:spacing w:before="120" w:after="120" w:line="480" w:lineRule="auto"/>
        <w:jc w:val="both"/>
        <w:rPr>
          <w:rFonts w:ascii="Arial" w:hAnsi="Arial" w:cs="Arial"/>
        </w:rPr>
      </w:pPr>
      <w:r>
        <w:rPr>
          <w:rFonts w:ascii="Arial" w:hAnsi="Arial" w:cs="Arial"/>
          <w:noProof/>
        </w:rPr>
        <w:lastRenderedPageBreak/>
        <w:drawing>
          <wp:inline distT="0" distB="0" distL="0" distR="0" wp14:anchorId="318AA686" wp14:editId="10D766B7">
            <wp:extent cx="5731510" cy="4022090"/>
            <wp:effectExtent l="0" t="0" r="2540" b="0"/>
            <wp:docPr id="15" name="Picture 1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10;&#10;Description automatically generated"/>
                    <pic:cNvPicPr/>
                  </pic:nvPicPr>
                  <pic:blipFill>
                    <a:blip r:embed="rId16"/>
                    <a:stretch>
                      <a:fillRect/>
                    </a:stretch>
                  </pic:blipFill>
                  <pic:spPr>
                    <a:xfrm>
                      <a:off x="0" y="0"/>
                      <a:ext cx="5731510" cy="4022090"/>
                    </a:xfrm>
                    <a:prstGeom prst="rect">
                      <a:avLst/>
                    </a:prstGeom>
                  </pic:spPr>
                </pic:pic>
              </a:graphicData>
            </a:graphic>
          </wp:inline>
        </w:drawing>
      </w:r>
    </w:p>
    <w:p w14:paraId="3FB52914" w14:textId="7585FE89" w:rsidR="00090EE9" w:rsidRPr="00090EE9" w:rsidRDefault="00090EE9" w:rsidP="00E205B3">
      <w:pPr>
        <w:spacing w:before="120" w:after="120" w:line="480" w:lineRule="auto"/>
        <w:jc w:val="both"/>
        <w:rPr>
          <w:rFonts w:ascii="Arial" w:hAnsi="Arial"/>
          <w14:numForm w14:val="lining"/>
        </w:rPr>
      </w:pPr>
      <w:r>
        <w:rPr>
          <w:rFonts w:ascii="Arial" w:hAnsi="Arial" w:cs="Arial"/>
          <w:b/>
          <w:bCs/>
        </w:rPr>
        <w:t>Figure 7.</w:t>
      </w:r>
      <w:r>
        <w:rPr>
          <w:rFonts w:ascii="Arial" w:hAnsi="Arial" w:cs="Arial"/>
        </w:rPr>
        <w:t xml:space="preserve"> </w:t>
      </w:r>
      <w:r w:rsidRPr="003A688D">
        <w:rPr>
          <w:rFonts w:ascii="Arial" w:hAnsi="Arial" w:cs="Arial"/>
        </w:rPr>
        <w:t xml:space="preserve">Multi-dimensional scaling (MDS) diagram </w:t>
      </w:r>
      <w:r>
        <w:rPr>
          <w:rFonts w:ascii="Arial" w:hAnsi="Arial" w:cs="Arial"/>
        </w:rPr>
        <w:t>based on</w:t>
      </w:r>
      <w:r w:rsidRPr="003A688D">
        <w:rPr>
          <w:rFonts w:ascii="Arial" w:hAnsi="Arial" w:cs="Arial"/>
        </w:rPr>
        <w:t xml:space="preserve"> zircon data in Figur</w:t>
      </w:r>
      <w:r>
        <w:rPr>
          <w:rFonts w:ascii="Arial" w:hAnsi="Arial" w:cs="Arial"/>
        </w:rPr>
        <w:t>es 3</w:t>
      </w:r>
      <w:r w:rsidRPr="002C061D">
        <w:rPr>
          <w:rFonts w:ascii="Arial" w:hAnsi="Arial" w:cs="Arial"/>
        </w:rPr>
        <w:t xml:space="preserve"> and </w:t>
      </w:r>
      <w:r w:rsidR="003C25EB">
        <w:rPr>
          <w:rFonts w:ascii="Arial" w:hAnsi="Arial" w:cs="Arial"/>
        </w:rPr>
        <w:t>6</w:t>
      </w:r>
      <w:r w:rsidRPr="002C061D">
        <w:rPr>
          <w:rFonts w:ascii="Arial" w:hAnsi="Arial" w:cs="Arial"/>
        </w:rPr>
        <w:t>, showing the average loess-palaeosol sample and potentia</w:t>
      </w:r>
      <w:r w:rsidRPr="003A688D">
        <w:rPr>
          <w:rFonts w:ascii="Arial" w:hAnsi="Arial" w:cs="Arial"/>
        </w:rPr>
        <w:t>l dust sources.</w:t>
      </w:r>
      <w:r>
        <w:rPr>
          <w:rFonts w:ascii="Arial" w:hAnsi="Arial" w:cs="Arial"/>
        </w:rPr>
        <w:t xml:space="preserve"> </w:t>
      </w:r>
      <w:r w:rsidRPr="0046331D">
        <w:rPr>
          <w:rFonts w:ascii="Arial" w:hAnsi="Arial" w:cs="Arial"/>
        </w:rPr>
        <w:t>Inse</w:t>
      </w:r>
      <w:r>
        <w:rPr>
          <w:rFonts w:ascii="Arial" w:hAnsi="Arial" w:cs="Arial"/>
        </w:rPr>
        <w:t>r</w:t>
      </w:r>
      <w:r w:rsidRPr="0046331D">
        <w:rPr>
          <w:rFonts w:ascii="Arial" w:hAnsi="Arial" w:cs="Arial"/>
        </w:rPr>
        <w:t>t</w:t>
      </w:r>
      <w:r>
        <w:rPr>
          <w:rFonts w:ascii="Arial" w:hAnsi="Arial" w:cs="Arial"/>
        </w:rPr>
        <w:t xml:space="preserve"> -</w:t>
      </w:r>
      <w:r w:rsidRPr="0046331D">
        <w:rPr>
          <w:rFonts w:ascii="Arial" w:hAnsi="Arial" w:cs="Arial"/>
        </w:rPr>
        <w:t xml:space="preserve"> the enlarged loess data cluster</w:t>
      </w:r>
      <w:r>
        <w:rPr>
          <w:rFonts w:ascii="Arial" w:hAnsi="Arial" w:cs="Arial"/>
        </w:rPr>
        <w:t xml:space="preserve"> (pink square)</w:t>
      </w:r>
      <w:r w:rsidRPr="0046331D">
        <w:rPr>
          <w:rFonts w:ascii="Arial" w:hAnsi="Arial" w:cs="Arial"/>
        </w:rPr>
        <w:t>. Abbreviations: B</w:t>
      </w:r>
      <w:r>
        <w:rPr>
          <w:rFonts w:ascii="Arial" w:hAnsi="Arial" w:cs="Arial"/>
        </w:rPr>
        <w:t xml:space="preserve"> </w:t>
      </w:r>
      <w:r w:rsidRPr="0046331D">
        <w:rPr>
          <w:rFonts w:ascii="Arial" w:hAnsi="Arial" w:cs="Arial"/>
        </w:rPr>
        <w:t>- Basaharc, M</w:t>
      </w:r>
      <w:r>
        <w:rPr>
          <w:rFonts w:ascii="Arial" w:hAnsi="Arial" w:cs="Arial"/>
        </w:rPr>
        <w:t xml:space="preserve"> </w:t>
      </w:r>
      <w:r w:rsidRPr="0046331D">
        <w:rPr>
          <w:rFonts w:ascii="Arial" w:hAnsi="Arial" w:cs="Arial"/>
        </w:rPr>
        <w:t>-</w:t>
      </w:r>
      <w:r>
        <w:rPr>
          <w:rFonts w:ascii="Arial" w:hAnsi="Arial" w:cs="Arial"/>
        </w:rPr>
        <w:t xml:space="preserve"> </w:t>
      </w:r>
      <w:r w:rsidRPr="0046331D">
        <w:rPr>
          <w:rFonts w:ascii="Arial" w:hAnsi="Arial" w:cs="Arial"/>
        </w:rPr>
        <w:t>Mende, P</w:t>
      </w:r>
      <w:r>
        <w:rPr>
          <w:rFonts w:ascii="Arial" w:hAnsi="Arial" w:cs="Arial"/>
        </w:rPr>
        <w:t xml:space="preserve"> </w:t>
      </w:r>
      <w:r w:rsidRPr="0046331D">
        <w:rPr>
          <w:rFonts w:ascii="Arial" w:hAnsi="Arial" w:cs="Arial"/>
        </w:rPr>
        <w:t>-</w:t>
      </w:r>
      <w:r>
        <w:rPr>
          <w:rFonts w:ascii="Arial" w:hAnsi="Arial" w:cs="Arial"/>
        </w:rPr>
        <w:t xml:space="preserve"> </w:t>
      </w:r>
      <w:r w:rsidRPr="0046331D">
        <w:rPr>
          <w:rFonts w:ascii="Arial" w:hAnsi="Arial" w:cs="Arial"/>
        </w:rPr>
        <w:t>Paks, Z</w:t>
      </w:r>
      <w:r>
        <w:rPr>
          <w:rFonts w:ascii="Arial" w:hAnsi="Arial" w:cs="Arial"/>
        </w:rPr>
        <w:t xml:space="preserve"> </w:t>
      </w:r>
      <w:r w:rsidRPr="0046331D">
        <w:rPr>
          <w:rFonts w:ascii="Arial" w:hAnsi="Arial" w:cs="Arial"/>
        </w:rPr>
        <w:t xml:space="preserve">- Zmajevac, Danube (L) </w:t>
      </w:r>
      <w:r>
        <w:rPr>
          <w:rFonts w:ascii="Arial" w:hAnsi="Arial" w:cs="Arial"/>
        </w:rPr>
        <w:t>-</w:t>
      </w:r>
      <w:r w:rsidRPr="0046331D">
        <w:rPr>
          <w:rFonts w:ascii="Arial" w:hAnsi="Arial" w:cs="Arial"/>
        </w:rPr>
        <w:t xml:space="preserve"> Lower Danube.</w:t>
      </w:r>
      <w:r>
        <w:rPr>
          <w:rFonts w:ascii="Arial" w:hAnsi="Arial" w:cs="Arial"/>
        </w:rPr>
        <w:t xml:space="preserve"> </w:t>
      </w:r>
      <w:r w:rsidRPr="002C061D">
        <w:rPr>
          <w:rFonts w:ascii="Arial" w:hAnsi="Arial"/>
          <w14:numForm w14:val="lining"/>
        </w:rPr>
        <w:t xml:space="preserve">See </w:t>
      </w:r>
      <w:r>
        <w:rPr>
          <w:rFonts w:ascii="Arial" w:hAnsi="Arial"/>
          <w14:numForm w14:val="lining"/>
        </w:rPr>
        <w:t xml:space="preserve">Supplementary </w:t>
      </w:r>
      <w:r w:rsidRPr="002C061D">
        <w:rPr>
          <w:rFonts w:ascii="Arial" w:hAnsi="Arial"/>
          <w14:numForm w14:val="lining"/>
        </w:rPr>
        <w:t xml:space="preserve">Table </w:t>
      </w:r>
      <w:r>
        <w:rPr>
          <w:rFonts w:ascii="Arial" w:hAnsi="Arial"/>
          <w14:numForm w14:val="lining"/>
        </w:rPr>
        <w:t xml:space="preserve">S1 </w:t>
      </w:r>
      <w:r w:rsidRPr="002C061D">
        <w:rPr>
          <w:rFonts w:ascii="Arial" w:hAnsi="Arial"/>
          <w14:numForm w14:val="lining"/>
        </w:rPr>
        <w:t>for source metadata.</w:t>
      </w:r>
    </w:p>
    <w:p w14:paraId="2C785703" w14:textId="73CEDF5B" w:rsidR="00907C61" w:rsidRPr="00390AF2" w:rsidRDefault="00907C61" w:rsidP="00390AF2">
      <w:pPr>
        <w:pStyle w:val="Heading2"/>
        <w:numPr>
          <w:ilvl w:val="1"/>
          <w:numId w:val="34"/>
        </w:numPr>
        <w:spacing w:before="120" w:after="120" w:line="480" w:lineRule="auto"/>
        <w:ind w:left="851" w:hanging="851"/>
        <w:jc w:val="both"/>
        <w:rPr>
          <w:rFonts w:ascii="Arial" w:hAnsi="Arial" w:cs="Arial"/>
          <w:i/>
          <w:color w:val="auto"/>
          <w:sz w:val="24"/>
          <w:szCs w:val="24"/>
        </w:rPr>
      </w:pPr>
      <w:r w:rsidRPr="00390AF2">
        <w:rPr>
          <w:rFonts w:ascii="Arial" w:hAnsi="Arial" w:cs="Arial"/>
          <w:i/>
          <w:color w:val="auto"/>
          <w:sz w:val="24"/>
          <w:szCs w:val="24"/>
        </w:rPr>
        <w:t xml:space="preserve">Primary sources of </w:t>
      </w:r>
      <w:r w:rsidR="00E945CA">
        <w:rPr>
          <w:rFonts w:ascii="Arial" w:hAnsi="Arial" w:cs="Arial"/>
          <w:i/>
          <w:color w:val="auto"/>
          <w:sz w:val="24"/>
          <w:szCs w:val="24"/>
        </w:rPr>
        <w:t xml:space="preserve">Danube </w:t>
      </w:r>
      <w:r w:rsidRPr="00390AF2">
        <w:rPr>
          <w:rFonts w:ascii="Arial" w:hAnsi="Arial" w:cs="Arial"/>
          <w:i/>
          <w:color w:val="auto"/>
          <w:sz w:val="24"/>
          <w:szCs w:val="24"/>
        </w:rPr>
        <w:t>loess deposits</w:t>
      </w:r>
    </w:p>
    <w:p w14:paraId="508CA40F" w14:textId="58A3DCC0" w:rsidR="00AC6E98" w:rsidRPr="00390AF2" w:rsidRDefault="00AC6E98" w:rsidP="00AC6E98">
      <w:pPr>
        <w:pStyle w:val="Heading3"/>
        <w:numPr>
          <w:ilvl w:val="2"/>
          <w:numId w:val="34"/>
        </w:numPr>
        <w:spacing w:before="120" w:after="120" w:line="480" w:lineRule="auto"/>
        <w:ind w:left="851" w:hanging="851"/>
        <w:rPr>
          <w:rFonts w:ascii="Arial" w:hAnsi="Arial" w:cs="Arial"/>
          <w:i/>
          <w:color w:val="auto"/>
        </w:rPr>
      </w:pPr>
      <w:r>
        <w:rPr>
          <w:rFonts w:ascii="Arial" w:hAnsi="Arial" w:cs="Arial"/>
          <w:i/>
          <w:color w:val="auto"/>
        </w:rPr>
        <w:t>600 Ma</w:t>
      </w:r>
    </w:p>
    <w:p w14:paraId="548AA2DE" w14:textId="3BDEB9EF" w:rsidR="00231A81" w:rsidRDefault="00D670B7" w:rsidP="00AC6E98">
      <w:pPr>
        <w:spacing w:before="120" w:after="120" w:line="480" w:lineRule="auto"/>
        <w:jc w:val="both"/>
        <w:rPr>
          <w:rFonts w:ascii="Arial" w:hAnsi="Arial" w:cs="Arial"/>
        </w:rPr>
      </w:pPr>
      <w:bookmarkStart w:id="63" w:name="_Hlk81127561"/>
      <w:bookmarkStart w:id="64" w:name="_Hlk81296034"/>
      <w:r>
        <w:rPr>
          <w:rFonts w:ascii="Arial" w:hAnsi="Arial" w:cs="Arial"/>
        </w:rPr>
        <w:t>The</w:t>
      </w:r>
      <w:r w:rsidR="00C35C1B">
        <w:rPr>
          <w:rFonts w:ascii="Arial" w:hAnsi="Arial" w:cs="Arial"/>
        </w:rPr>
        <w:t xml:space="preserve"> dominant c. 600 Ma age </w:t>
      </w:r>
      <w:r w:rsidR="008262B7">
        <w:rPr>
          <w:rFonts w:ascii="Arial" w:hAnsi="Arial" w:cs="Arial"/>
        </w:rPr>
        <w:t>population</w:t>
      </w:r>
      <w:r w:rsidR="004479A4">
        <w:rPr>
          <w:rFonts w:ascii="Arial" w:hAnsi="Arial" w:cs="Arial"/>
        </w:rPr>
        <w:t xml:space="preserve"> corresponds to</w:t>
      </w:r>
      <w:r w:rsidR="00C35C1B">
        <w:rPr>
          <w:rFonts w:ascii="Arial" w:hAnsi="Arial" w:cs="Arial"/>
        </w:rPr>
        <w:t xml:space="preserve"> t</w:t>
      </w:r>
      <w:r w:rsidR="0080576E">
        <w:rPr>
          <w:rFonts w:ascii="Arial" w:hAnsi="Arial" w:cs="Arial"/>
        </w:rPr>
        <w:t xml:space="preserve">he </w:t>
      </w:r>
      <w:r w:rsidR="0080576E" w:rsidRPr="0080576E">
        <w:rPr>
          <w:rFonts w:ascii="Arial" w:hAnsi="Arial" w:cs="Arial"/>
        </w:rPr>
        <w:t>Precambrian and Palaeozoic-Precambrian</w:t>
      </w:r>
      <w:r w:rsidR="0080576E">
        <w:rPr>
          <w:rFonts w:ascii="Arial" w:hAnsi="Arial" w:cs="Arial"/>
        </w:rPr>
        <w:t xml:space="preserve"> source rocks</w:t>
      </w:r>
      <w:r w:rsidR="004479A4">
        <w:rPr>
          <w:rFonts w:ascii="Arial" w:hAnsi="Arial" w:cs="Arial"/>
        </w:rPr>
        <w:t xml:space="preserve"> that can be found across Central and Southern Europe. These rocks </w:t>
      </w:r>
      <w:r w:rsidR="00231A81">
        <w:rPr>
          <w:rFonts w:ascii="Arial" w:hAnsi="Arial" w:cs="Arial"/>
        </w:rPr>
        <w:t>represent f</w:t>
      </w:r>
      <w:r w:rsidR="00231A81" w:rsidRPr="0089308D">
        <w:rPr>
          <w:rFonts w:ascii="Arial" w:hAnsi="Arial" w:cs="Arial"/>
        </w:rPr>
        <w:t>ragments of peri-Gondwanan terranes</w:t>
      </w:r>
      <w:r w:rsidR="004479A4">
        <w:rPr>
          <w:rFonts w:ascii="Arial" w:hAnsi="Arial" w:cs="Arial"/>
        </w:rPr>
        <w:t xml:space="preserve"> that coalesced </w:t>
      </w:r>
      <w:r w:rsidR="00953CAD">
        <w:rPr>
          <w:rFonts w:ascii="Arial" w:hAnsi="Arial" w:cs="Arial"/>
        </w:rPr>
        <w:t xml:space="preserve">over several orogenic cycles and culminated in </w:t>
      </w:r>
      <w:r w:rsidR="00231A81" w:rsidRPr="0089308D">
        <w:rPr>
          <w:rFonts w:ascii="Arial" w:hAnsi="Arial" w:cs="Arial"/>
        </w:rPr>
        <w:t>subduction-accommodating convergence</w:t>
      </w:r>
      <w:r w:rsidR="00953CAD">
        <w:rPr>
          <w:rFonts w:ascii="Arial" w:hAnsi="Arial" w:cs="Arial"/>
        </w:rPr>
        <w:t xml:space="preserve"> </w:t>
      </w:r>
      <w:r w:rsidR="00231A81" w:rsidRPr="0089308D">
        <w:rPr>
          <w:rFonts w:ascii="Arial" w:hAnsi="Arial" w:cs="Arial"/>
        </w:rPr>
        <w:t>since the Jurassic</w:t>
      </w:r>
      <w:r w:rsidR="00231A81">
        <w:rPr>
          <w:rFonts w:ascii="Arial" w:hAnsi="Arial" w:cs="Arial"/>
        </w:rPr>
        <w:t xml:space="preserve"> </w:t>
      </w:r>
      <w:r w:rsidR="00470D46" w:rsidRPr="0089308D">
        <w:rPr>
          <w:rFonts w:ascii="Arial" w:hAnsi="Arial" w:cs="Arial"/>
        </w:rPr>
        <w:fldChar w:fldCharType="begin" w:fldLock="1"/>
      </w:r>
      <w:r w:rsidR="008F74B9">
        <w:rPr>
          <w:rFonts w:ascii="Arial" w:hAnsi="Arial" w:cs="Arial"/>
        </w:rPr>
        <w:instrText>ADDIN CSL_CITATION {"citationItems":[{"id":"ITEM-1","itemData":{"DOI":"10.1016/j.gr.2019.07.009","ISSN":"1342937X","abstract":"The basins and orogens of the Mediterranean region ultimately result from the opening of oceans during the early break-up of Pangea since the Triassic, and their subsequent destruction by subduction accommodating convergence between the African and Eurasian Plates since the Jurassic. The region has been the cradle for the development of geodynamic concepts that link crustal evolution to continental break-up, oceanic and continental subduction, and mantle dynamics in general. The development of such concepts requires a first-order understanding of the kinematic evolution of the region for which a multitude of reconstructions have previously been proposed. In this paper, we use advances made in kinematic restoration software in the last decade with a systematic reconstruction protocol for developing a more quantitative restoration of the Mediterranean region for the last 240 million years. This restoration is constructed for the first time with the GPlates plate reconstruction software and uses a systematic reconstruction protocol that limits input data to marine magnetic anomaly reconstructions of ocean basins, structural geological constraints quantifying timing, direction, and magnitude of tectonic motion, and tests and iterations against paleomagnetic data. This approach leads to a reconstruction that is reproducible, and updatable with future constraints. We first review constraints on the opening history of the Atlantic (and Red Sea) oceans and the Bay of Biscay. We then provide a comprehensive overview of the architecture of the Mediterranean orogens, from the Pyrenees and Betic-Rif orogen in the west to the Caucasus in the east and identify structural geological constraints on tectonic motions. We subsequently analyze a newly constructed database of some 2300 published paleomagnetic sites from the Mediterranean region and test the reconstruction against these constraints. We provide the reconstruction in the form of 12 maps being snapshots from 240 to 0 Ma, outline the main features in each time-slice, and identify differences from previous reconstructions, which are discussed in the final section.","author":[{"dropping-particle":"","family":"Hinsbergen","given":"Douwe J.J.","non-dropping-particle":"van","parse-names":false,"suffix":""},{"dropping-particle":"","family":"Torsvik","given":"Trond H.","non-dropping-particle":"","parse-names":false,"suffix":""},{"dropping-particle":"","family":"Schmid","given":"Stefan Martin","non-dropping-particle":"","parse-names":false,"suffix":""},{"dropping-particle":"","family":"Maţenco","given":"Liviu C.","non-dropping-particle":"","parse-names":false,"suffix":""},{"dropping-particle":"","family":"Maffione","given":"Marco","non-dropping-particle":"","parse-names":false,"suffix":""},{"dropping-particle":"","family":"Vissers","given":"Reinoud L.M.","non-dropping-particle":"","parse-names":false,"suffix":""},{"dropping-particle":"","family":"Gürer","given":"Derya","non-dropping-particle":"","parse-names":false,"suffix":""},{"dropping-particle":"","family":"Spakman","given":"Wim","non-dropping-particle":"","parse-names":false,"suffix":""}],"container-title":"Gondwana Research","id":"ITEM-1","issued":{"date-parts":[["2020","5"]]},"page":"79-229","title":"Orogenic architecture of the Mediterranean region and kinematic reconstruction of its tectonic evolution since the Triassic","type":"article-journal","volume":"81"},"uris":["http://www.mendeley.com/documents/?uuid=d14f11a1-2934-4b61-88fe-3e05b2f778a2"]},{"id":"ITEM-2","itemData":{"DOI":"10.1016/j.gr.2015.07.020","ISSN":"1342937X","abstract":"The Serbo-Macedonian Massif (SMM) represents a composite crystalline belt within the Eastern European Alpine orogen, outcropping from the Pannonian basin in the north, to the Aegean Sea in the south. The central parts of the massif (i.e. southeastern Serbia, southwestern Bulgaria, eastern Macedonia) consist of the medium- to high-grade Lower Complex, and the low-grade Vlasina Unit. New results of U–Pb LA-ICP-MS analyses, coupled with geochemical analyses of Hf isotopes on magmatic and detrital zircons, and main and trace element concentrations in whole-rock samples suggest that the central SMM and the basement of the adjacent units (i.e. Eastern Veles series and Struma Unit) originated in the central parts of the northern margin of Gondwana. These data provided a basis for a revised tectonic model of the evolution of the SMM from the late Ediacaran to the Early Triassic. The earliest magmatism in the Lower Complex, Vlasina Unit and the basement of Struma Unit is related to the activity along the late Cadomian magmatic arc (562–522 Ma). Subsequent stage of early Palaeozoic igneous activity is associated with the reactivation of subduction below the Lower Complex and the Eastern Veles series during the Early Ordovician (490–478 Ma), emplacement of mafic dykes in the Lower Complex due to aborted rifting in the Middle Ordovician (472–456 Ma), and felsic within-plate magmatism in the early Silurian (439 ± 2 Ma). The third magmatic stage is represented by Carboniferous late to post-collisional granites (328–304 Ma). These granites intrude the gneisses of the Lower Complex, in which the youngest deformed igneous rocks are of early Silurian age, thus constraining the high-strain deformation and peak metamorphism to the Variscan orogeny. The Permian–Triassic (255–253 Ma) stage of late- to post-collisional and within-plate felsic magmatism is related to the opening of the Mesozoic Tethys.","author":[{"dropping-particle":"","family":"Antić","given":"Milorad","non-dropping-particle":"","parse-names":false,"suffix":""},{"dropping-particle":"","family":"Peytcheva","given":"Irena","non-dropping-particle":"","parse-names":false,"suffix":""},{"dropping-particle":"","family":"Quadt","given":"Albrecht","non-dropping-particle":"von","parse-names":false,"suffix":""},{"dropping-particle":"","family":"Kounov","given":"Alexandre","non-dropping-particle":"","parse-names":false,"suffix":""},{"dropping-particle":"","family":"Trivić","given":"Branislav","non-dropping-particle":"","parse-names":false,"suffix":""},{"dropping-particle":"","family":"Serafimovski","given":"Todor","non-dropping-particle":"","parse-names":false,"suffix":""},{"dropping-particle":"","family":"Tasev","given":"Goran","non-dropping-particle":"","parse-names":false,"suffix":""},{"dropping-particle":"","family":"Gerdjikov","given":"Ianko","non-dropping-particle":"","parse-names":false,"suffix":""},{"dropping-particle":"","family":"Wetzel","given":"Andreas","non-dropping-particle":"","parse-names":false,"suffix":""}],"container-title":"Gondwana Research","id":"ITEM-2","issued":{"date-parts":[["2016"]]},"page":"523-544","title":"Pre-Alpine evolution of a segment of the North-Gondwanan margin: Geochronological and geochemical evidence from the central Serbo-Macedonian Massif","type":"article-journal","volume":"36"},"uris":["http://www.mendeley.com/documents/?uuid=b9a29f29-28e7-4284-93fd-fec3eae2d4d0"]},{"id":"ITEM-3","itemData":{"DOI":"10.1029/2018TC005046","ISSN":"19449194","abstract":"Between the eastern Mediterranean basin in the South and the East European (Baltica) Craton to the north, we distinguish two fundamental pre-Variscan geological domains: an Internal domain, which hosts Ordovician-Devonian (450–400 Ma) igneous rocks and detrital zircon populations, and an External domain, which contains no 450- to 400-Ma zircon ages. From the Balkan Peninsula to the Turkish plate, the aforementioned Internal domain includes the Serbo-Macedonian Massif, the Istanbul and Sakarya terranes, whereas the External domain, holding a more distal position relative to Baltica, includes the Pelagonian terrane and the External Hellenides. The two domains are interpreted as two consecutive (i.e., Caledonian and Variscan) Paleozoic accretionary belts, attached to the southern margin of Baltica. The Cycladic and Pelagonian terranes are currently juxtaposed along strike of the central Hellenides in Northern Greece. The Cycladic Massif is a Cadomian-type terrane, while the Pelagonian displays an Avalonian-type affinity. Despite its Avalonian affinity, the Pelagonian lacks Ordovician-Devonian (450–400-Ma) zircon ages. In contrast, detrital zircon grains of such ages are abundant in the Cycladic Massif. In this study, the Ordovician-Devonian detrital zircon population is recognized also in pre-Variscan (&gt;310-Ma) Cycladic Basement from Ios and Naxos Islands, affiliating the Cycladic Massif with the Internal (Caledonian) domain. This indicates that the Caledonian accretion incorporated some Cadomian-type terranes. It also suggests that the protolith of the Cycladic blueschists was deposited within the Internal domain, that is, northeast of the Pelagonian terrane. This recognition helps to reconstruct the Paleozoic and Mesozoic paleogeography of the peri-Gondwanan terranes.","author":[{"dropping-particle":"","family":"Zlatkin","given":"Olga","non-dropping-particle":"","parse-names":false,"suffix":""},{"dropping-particle":"","family":"Avigad","given":"Dov","non-dropping-particle":"","parse-names":false,"suffix":""},{"dropping-particle":"","family":"Gerdes","given":"Axel","non-dropping-particle":"","parse-names":false,"suffix":""}],"container-title":"Tectonics","id":"ITEM-3","issue":"12","issued":{"date-parts":[["2018"]]},"page":"4679-4699","title":"New Detrital Zircon Geochronology From the Cycladic Basement (Greece): Implications for the Paleozoic Accretion of Peri-Gondwanan Terranes to Laurussia","type":"article-journal","volume":"37"},"uris":["http://www.mendeley.com/documents/?uuid=40fc9774-7b6f-40de-a4c8-e4f8bec63dbd"]}],"mendeley":{"formattedCitation":"(Antić et al., 2016; van Hinsbergen et al., 2020; Zlatkin et al., 2018)","plainTextFormattedCitation":"(Antić et al., 2016; van Hinsbergen et al., 2020; Zlatkin et al., 2018)","previouslyFormattedCitation":"(Antić et al., 2016; van Hinsbergen et al., 2020; Zlatkin et al., 2018)"},"properties":{"noteIndex":0},"schema":"https://github.com/citation-style-language/schema/raw/master/csl-citation.json"}</w:instrText>
      </w:r>
      <w:r w:rsidR="00470D46" w:rsidRPr="0089308D">
        <w:rPr>
          <w:rFonts w:ascii="Arial" w:hAnsi="Arial" w:cs="Arial"/>
        </w:rPr>
        <w:fldChar w:fldCharType="separate"/>
      </w:r>
      <w:r w:rsidR="00143CD9" w:rsidRPr="00143CD9">
        <w:rPr>
          <w:rFonts w:ascii="Arial" w:hAnsi="Arial" w:cs="Arial"/>
          <w:noProof/>
        </w:rPr>
        <w:t>(Antić et al., 2016; van Hinsbergen et al., 2020; Zlatkin et al., 2018)</w:t>
      </w:r>
      <w:r w:rsidR="00470D46" w:rsidRPr="0089308D">
        <w:rPr>
          <w:rFonts w:ascii="Arial" w:hAnsi="Arial" w:cs="Arial"/>
        </w:rPr>
        <w:fldChar w:fldCharType="end"/>
      </w:r>
      <w:r w:rsidR="00231A81">
        <w:rPr>
          <w:rFonts w:ascii="Arial" w:hAnsi="Arial" w:cs="Arial"/>
        </w:rPr>
        <w:t xml:space="preserve">. </w:t>
      </w:r>
      <w:bookmarkEnd w:id="63"/>
      <w:bookmarkEnd w:id="64"/>
      <w:r w:rsidR="00231A81">
        <w:rPr>
          <w:rFonts w:ascii="Arial" w:hAnsi="Arial" w:cs="Arial"/>
        </w:rPr>
        <w:t>T</w:t>
      </w:r>
      <w:r w:rsidR="00231A81" w:rsidRPr="0089308D">
        <w:rPr>
          <w:rFonts w:ascii="Arial" w:hAnsi="Arial" w:cs="Arial"/>
        </w:rPr>
        <w:t xml:space="preserve">hese fragments may </w:t>
      </w:r>
      <w:r w:rsidR="00231A81">
        <w:rPr>
          <w:rFonts w:ascii="Arial" w:hAnsi="Arial" w:cs="Arial"/>
        </w:rPr>
        <w:t>also preserve</w:t>
      </w:r>
      <w:r w:rsidR="00231A81" w:rsidRPr="0089308D">
        <w:rPr>
          <w:rFonts w:ascii="Arial" w:hAnsi="Arial" w:cs="Arial"/>
        </w:rPr>
        <w:t xml:space="preserve"> reworked Gondwana-derived sedimentary rocks with zircons of a distinctive Gondwanian age</w:t>
      </w:r>
      <w:r w:rsidR="00231A81">
        <w:rPr>
          <w:rFonts w:ascii="Arial" w:hAnsi="Arial" w:cs="Arial"/>
        </w:rPr>
        <w:t xml:space="preserve"> distribution</w:t>
      </w:r>
      <w:r w:rsidR="00143CD9">
        <w:rPr>
          <w:rFonts w:ascii="Arial" w:hAnsi="Arial" w:cs="Arial"/>
        </w:rPr>
        <w:t xml:space="preserve"> </w:t>
      </w:r>
      <w:r w:rsidR="00143CD9">
        <w:rPr>
          <w:rFonts w:ascii="Arial" w:hAnsi="Arial" w:cs="Arial"/>
        </w:rPr>
        <w:fldChar w:fldCharType="begin" w:fldLock="1"/>
      </w:r>
      <w:r w:rsidR="00FF39A7">
        <w:rPr>
          <w:rFonts w:ascii="Arial" w:hAnsi="Arial" w:cs="Arial"/>
        </w:rPr>
        <w:instrText>ADDIN CSL_CITATION {"citationItems":[{"id":"ITEM-1","itemData":{"DOI":"10.1016/j.gr.2012.05.003","ISSN":"1342937X","abstract":"We present a synopsis of detrital zircon U-Pb ages of sandstones from North Africa and neighboring Israel and Jordan, which allows us to identify zones with characteristic sediment provenance along the northern Gondwana margin (in present-day coordinates) in Cambrian-Ordovician times, and helps us to unravel the peri-Gondwana jigsaw puzzle. A special feature of the early Paleozoic cover sequence of North Africa is the eastward increase of 1.1-0.95. Ga detrital zircons, which become ubiquitous in the early Paleozoic sandstones of the Saharan Metacraton. Detrital zircons aged about 2.7-2.5, 2.15-1.75 and 0.75-0.53. Ga are also present. Early Paleozoic sandstones with similar provenance are known from peri-Gondwana terranes in the Eastern and Western Mediterranean and from NW Iberia. These terranes need not be transported from western Gondwana (Amazonia) as suggested previously. They were likely located to the north of the Saharan Metacraton during the early Paleozoic before they rifted off from Gondwana. Furthermore, we recognize an increase, as stratigraphic ages get younger, of ca. 1.0. Ga detrital zircons at some point between the Late Cambrian and late Middle Ordovician. We speculate that this might be linked to far-field tectonics and regional uplift in central Gondwana related to plate-tectonic reorganization along the Gondwana margin, leading to erosion of ca. 1.0. Ga basement and country rocks of the Transgondwanan supermountain and fluvial dispersal of detritus toward the Gondwana margin. © 2012 International Association for Gondwana Research.","author":[{"dropping-particle":"","family":"Meinhold","given":"Guido","non-dropping-particle":"","parse-names":false,"suffix":""},{"dropping-particle":"","family":"Morton","given":"Andrew C.","non-dropping-particle":"","parse-names":false,"suffix":""},{"dropping-particle":"","family":"Avigad","given":"Dov","non-dropping-particle":"","parse-names":false,"suffix":""}],"container-title":"Gondwana Research","id":"ITEM-1","issue":"2","issued":{"date-parts":[["2013"]]},"page":"661-665","publisher":"International Association for Gondwana Research","title":"New insights into peri-Gondwana paleogeography and the Gondwana super-fan system from detrital zircon U-Pb ages","type":"article-journal","volume":"23"},"uris":["http://www.mendeley.com/documents/?uuid=7bf8b659-2948-44f0-87cd-aca1cde013dc"]}],"mendeley":{"formattedCitation":"(Meinhold et al., 2013)","plainTextFormattedCitation":"(Meinhold et al., 2013)","previouslyFormattedCitation":"(Meinhold et al., 2013)"},"properties":{"noteIndex":0},"schema":"https://github.com/citation-style-language/schema/raw/master/csl-citation.json"}</w:instrText>
      </w:r>
      <w:r w:rsidR="00143CD9">
        <w:rPr>
          <w:rFonts w:ascii="Arial" w:hAnsi="Arial" w:cs="Arial"/>
        </w:rPr>
        <w:fldChar w:fldCharType="separate"/>
      </w:r>
      <w:r w:rsidR="00143CD9" w:rsidRPr="00143CD9">
        <w:rPr>
          <w:rFonts w:ascii="Arial" w:hAnsi="Arial" w:cs="Arial"/>
          <w:noProof/>
        </w:rPr>
        <w:t>(Meinhold et al., 2013)</w:t>
      </w:r>
      <w:r w:rsidR="00143CD9">
        <w:rPr>
          <w:rFonts w:ascii="Arial" w:hAnsi="Arial" w:cs="Arial"/>
        </w:rPr>
        <w:fldChar w:fldCharType="end"/>
      </w:r>
      <w:r w:rsidR="00231A81" w:rsidRPr="0089308D">
        <w:rPr>
          <w:rFonts w:ascii="Arial" w:hAnsi="Arial" w:cs="Arial"/>
        </w:rPr>
        <w:t xml:space="preserve">. </w:t>
      </w:r>
      <w:r w:rsidR="00231A81">
        <w:rPr>
          <w:rFonts w:ascii="Arial" w:hAnsi="Arial" w:cs="Arial"/>
        </w:rPr>
        <w:t>Moreover Gondwanian sources comprise</w:t>
      </w:r>
      <w:r w:rsidR="00231A81" w:rsidRPr="0089308D">
        <w:rPr>
          <w:rFonts w:ascii="Arial" w:hAnsi="Arial" w:cs="Arial"/>
        </w:rPr>
        <w:t xml:space="preserve"> </w:t>
      </w:r>
      <w:r w:rsidR="00231A81" w:rsidRPr="0089308D">
        <w:rPr>
          <w:rFonts w:ascii="Arial" w:hAnsi="Arial" w:cs="Arial"/>
        </w:rPr>
        <w:lastRenderedPageBreak/>
        <w:t xml:space="preserve">Neoproterozoic arc terranes, syncollisional granites </w:t>
      </w:r>
      <w:r w:rsidR="00231A81">
        <w:rPr>
          <w:rFonts w:ascii="Arial" w:hAnsi="Arial" w:cs="Arial"/>
        </w:rPr>
        <w:t>formed between</w:t>
      </w:r>
      <w:r w:rsidR="00231A81" w:rsidRPr="0089308D">
        <w:rPr>
          <w:rFonts w:ascii="Arial" w:hAnsi="Arial" w:cs="Arial"/>
        </w:rPr>
        <w:t xml:space="preserve"> </w:t>
      </w:r>
      <w:r w:rsidR="003C5CE2">
        <w:rPr>
          <w:rFonts w:ascii="Arial" w:hAnsi="Arial" w:cs="Arial"/>
        </w:rPr>
        <w:t xml:space="preserve">1000 and </w:t>
      </w:r>
      <w:r w:rsidR="00231A81" w:rsidRPr="0089308D">
        <w:rPr>
          <w:rFonts w:ascii="Arial" w:hAnsi="Arial" w:cs="Arial"/>
        </w:rPr>
        <w:t xml:space="preserve">600 Ma </w:t>
      </w:r>
      <w:r w:rsidR="00231A81" w:rsidRPr="0089308D">
        <w:rPr>
          <w:rFonts w:ascii="Arial" w:hAnsi="Arial" w:cs="Arial"/>
        </w:rPr>
        <w:fldChar w:fldCharType="begin" w:fldLock="1"/>
      </w:r>
      <w:r w:rsidR="00483C44">
        <w:rPr>
          <w:rFonts w:ascii="Arial" w:hAnsi="Arial" w:cs="Arial"/>
        </w:rPr>
        <w:instrText>ADDIN CSL_CITATION {"citationItems":[{"id":"ITEM-1","itemData":{"DOI":"10.1111/ter.12149","ISSN":"13653121","abstract":"In this study, we challenge the multiple collision model for the tectonic evolution of the Neoproterozoic Ribeira Belt in Southeastern Brazil. New U–Pb SHRIMP data reveal Palaeoproterozoic (2153 ± 15 Ma) and Cryogenian (783 ± 6 and 768 ± 8 Ma) granitic rocks in the Embu Domain, and detrital zircon data of metasedimentary units from the Embu and Costeiro domains suggest a coherent tectonic evolution for the whole Ribeira Belt. Rather than by multiple collisions, these data are best explained by a simpler tectonic model involving continent (craton)-volcanic arc collisions in the Dom Feliciano and Brasilia belts that led to intracontinental crustal thickening of the adjacent thinned hinterland (Ribeira Belt) at ~640–610 Ma, followed by widespread post-collisional magmatism and rift-related sedimentation at ~600–540 Ma. We suggest that intracontinental orogeny is a relevant process during supercontinent assembly, as illustrated here by the evolution of significant parts of the Brasiliano orogen.","author":[{"dropping-particle":"","family":"Meira","given":"Vinícius T.","non-dropping-particle":"","parse-names":false,"suffix":""},{"dropping-particle":"","family":"García-Casco","given":"Antonio","non-dropping-particle":"","parse-names":false,"suffix":""},{"dropping-particle":"","family":"Juliani","given":"Caetano","non-dropping-particle":"","parse-names":false,"suffix":""},{"dropping-particle":"","family":"Almeida","given":"Renato P.","non-dropping-particle":"","parse-names":false,"suffix":""},{"dropping-particle":"","family":"Schorscher","given":"Johann Hans D.","non-dropping-particle":"","parse-names":false,"suffix":""}],"container-title":"Terra Nova","id":"ITEM-1","issue":"3","issued":{"date-parts":[["2015"]]},"page":"206-217","title":"The role of intracontinental deformation in supercontinent assembly: Insights from the Ribeira Belt, Southeastern Brazil (Neoproterozoic West Gondwana)","type":"article-journal","volume":"27"},"uris":["http://www.mendeley.com/documents/?uuid=06ac93b4-b2ac-4a05-9c5b-198504047ee9"]},{"id":"ITEM-2","itemData":{"DOI":"10.1016/j.precamres.2004.10.004","ISSN":"03019268","abstract":"The Mantiqueira Province (MPV) is a large, complex structural province deformed by the Neoproterozoic/Early Paleozoic Brasiliano Orogenic event in South America. Its evolution is herein detailed on the basis of the geological and geometric characterisation, structural and thermal overlapping of the distinct phases of the orogenic collage. In addition to the tectono-structural analysis, some 50 new zircon U-Pb SHRIMP data from a large number of selected units provided a powerful tool for understanding the granitic chronostratigraphy and the orogenic evolution. We also integrated existing U-Pb analyses, totalling some 240 determinations, which also furnished important constraints to delineate the precise tectono-magmatic succession (orogenic episodes). The study delineated a highly complex evolution, comprising three successive systems of orogens: Brasiliano I, II and III. New crustal growth including juvenile intraoceanic volcano-plutonic arcs characterises the earlier Brasiliano I orogenic system, which presents collisional climaxes at ca. 790 Ma (Embu Domain) and 730-700 Ma (São Gabriel Orogen). On the other hand, recycling of pre-existing crustal sources are the dominant processes operating within the systems Brasiliano II and III. The collisional climaxes within the Brasiliano II are recorded at 640-620 Ma (Dom Feliciano Orogen) and 600 Ma (Paranapiacaba and Rio Piên orogens), whereas the Brasiliano III climaxes are bracketed between 590-560 Ma (Araçuaí Orogen) and 520-500 Ma (Búzios Orogen). The available geochronological data from the Pan-African literature suggests temporally similar orogenic succession. The protracted, dominantly accretionary, Pan-African I system lasts from 850 to 700 Ma, whereas the Pan-African II (collisional peak at 650-600 Ma) and the Pan-African III (collisional peak at 590-540 Ma) are characterised dominantly by crustal recycling processes. The study reinforced previous attempts to correlate the northernmost Araçuaí Orogen and the West Congo Orogen (AWCO), both belonging to the system Brasiliano/Pan-African III. Additionally, our study does not confirm models for a direct linkage between the south-eastern orogens from Ribeira and Dom Feliciano belts (Brasiliano II) and the south-western African orogens, i.e. Kaoko, Damara, Gariep, and Saldania (Pan-African III). Finally, taking advantage of the large U-Pb SHRIMP database, we also reassessed the extent of the Brasiliano reworking on the Archean/Paleoproterozoic basement, na…","author":[{"dropping-particle":"","family":"Silva","given":"Luiz Carlos","non-dropping-particle":"Da","parse-names":false,"suffix":""},{"dropping-particle":"","family":"McNaughton","given":"Neal J.","non-dropping-particle":"","parse-names":false,"suffix":""},{"dropping-particle":"","family":"Armstrong","given":"Richard","non-dropping-particle":"","parse-names":false,"suffix":""},{"dropping-particle":"","family":"Hartmann","given":"Léo Afraneo","non-dropping-particle":"","parse-names":false,"suffix":""},{"dropping-particle":"","family":"Fletcher","given":"Ian R.","non-dropping-particle":"","parse-names":false,"suffix":""}],"container-title":"Precambrian Research","id":"ITEM-2","issue":"3-4","issued":{"date-parts":[["2005"]]},"page":"203-240","title":"The neoproterozoic Mantiqueira Province and its African connections: A zircon-based U-Pb geochronologic subdivision for the Brasiliano/Pan-African systems of orogens","type":"article-journal","volume":"136"},"uris":["http://www.mendeley.com/documents/?uuid=09d8bf5a-2304-438c-a36a-815caaada159"]}],"mendeley":{"formattedCitation":"(Da Silva et al., 2005; Meira et al., 2015)","plainTextFormattedCitation":"(Da Silva et al., 2005; Meira et al., 2015)","previouslyFormattedCitation":"(Da Silva et al., 2005; Meira et al., 2015)"},"properties":{"noteIndex":0},"schema":"https://github.com/citation-style-language/schema/raw/master/csl-citation.json"}</w:instrText>
      </w:r>
      <w:r w:rsidR="00231A81" w:rsidRPr="0089308D">
        <w:rPr>
          <w:rFonts w:ascii="Arial" w:hAnsi="Arial" w:cs="Arial"/>
        </w:rPr>
        <w:fldChar w:fldCharType="separate"/>
      </w:r>
      <w:r w:rsidR="00483C44" w:rsidRPr="00483C44">
        <w:rPr>
          <w:rFonts w:ascii="Arial" w:hAnsi="Arial" w:cs="Arial"/>
          <w:noProof/>
        </w:rPr>
        <w:t>(Da Silva et al., 2005; Meira et al., 2015)</w:t>
      </w:r>
      <w:r w:rsidR="00231A81" w:rsidRPr="0089308D">
        <w:rPr>
          <w:rFonts w:ascii="Arial" w:hAnsi="Arial" w:cs="Arial"/>
        </w:rPr>
        <w:fldChar w:fldCharType="end"/>
      </w:r>
      <w:r w:rsidR="00231A81" w:rsidRPr="0089308D">
        <w:rPr>
          <w:rFonts w:ascii="Arial" w:hAnsi="Arial" w:cs="Arial"/>
        </w:rPr>
        <w:t xml:space="preserve">, and relicts of the Archaean and Palaeoproterozoic orogenies </w:t>
      </w:r>
      <w:r w:rsidR="00231A81" w:rsidRPr="0089308D">
        <w:rPr>
          <w:rFonts w:ascii="Arial" w:hAnsi="Arial" w:cs="Arial"/>
        </w:rPr>
        <w:fldChar w:fldCharType="begin" w:fldLock="1"/>
      </w:r>
      <w:r w:rsidR="00483C44">
        <w:rPr>
          <w:rFonts w:ascii="Arial" w:hAnsi="Arial" w:cs="Arial"/>
        </w:rPr>
        <w:instrText>ADDIN CSL_CITATION {"citationItems":[{"id":"ITEM-1","itemData":{"DOI":"10.1016/j.gr.2011.12.002","ISSN":"1342937X","abstract":"Supercontinents play an important role in Earth's history. The exact definition of what constitutes a supercontinent is difficult to establish. Here the argument is made, using Pangæa as a model, that any supercontinent should include ~. 75% of the preserved continental crust relevant to the time of maximum packing. As an example, Rodinia reached maximum packing at about 1.0. Ga and therefore should include 75% of all continental crust older than 1.0. Ga. In attempting to 'name' any supercontinent, there is a clear precedent for models that provide a name along with a testable reconstruction within a reasonable temporal framework. Both Pangæa and Rodinia are near universally accepted names for the late Paleozoic and Neoproterozoic supercontinent respectively; however, there is a recent push to change the Paleo-Mesoproterozoic supercontinent moniker from \". Columbia\" to \". Nuna\". A careful examination of the \". Nuna\" and \". Columbia\" proposals reveals that although the term \". Nuna\" was published prior to \". Columbia\", the \". Nuna\" proposal is a bit nebulous in terms of the constitution of the giant continent. Details of \". Nuna\" given in the original manuscript appear to be principally based on previously published connections between Laurentia, Baltica and, to a lesser extent the Angara craton of Siberia (i.e. \"the lands bordering the northern oceans\"). Therefore the proposal is made that \". Columbia\" consists of several core elements one of which is \". Nuna\". © 2011 International Association for Gondwana Research.","author":[{"dropping-particle":"","family":"Meert","given":"Joseph G.","non-dropping-particle":"","parse-names":false,"suffix":""}],"container-title":"Gondwana Research","id":"ITEM-1","issue":"4","issued":{"date-parts":[["2012"]]},"page":"987-993","publisher":"International Association for Gondwana Research","title":"What's in a name? The Columbia (Paleopangaea/Nuna) supercontinent","type":"article-journal","volume":"21"},"uris":["http://www.mendeley.com/documents/?uuid=0d8705a0-b15d-4131-92f9-616edbcdce08"]},{"id":"ITEM-2","itemData":{"DOI":"10.1016/j.jafrearsci.2017.09.004","ISSN":"18791956","abstract":"The Archean domain of the Man Rise was strongly remobilized during Eburnean coincidentally with the genesis of the Baoulé-Mossi domain (Birimian). This remobilization has allowed the recycling of Leonian and Liberian formations to generate a large gneissic crust, represented by the Logoualé Band. Zircons dates by laser ablation (LA-ICP-MS) of two samples of biotite-bearing pink gneisses of the Logoualé Band yielded ages of 2709 ± 15 and 2804 ± 11 Ma, confirming the Archean age of the Logoualé Band formations. The Eburnean tectono-metamorphic event in the Logoualé Band has totally reset both U-Th-Pb chronometer with an average age at 2050 ± 16 Ma in recrystallized zones of monazites, and Sm-Nd chronometer of garnets with an age at 2053 ± 15 Ma. Non-recrystallized zones of monazites give an average age at 2712 ± 16 Ma. We propose that the Logoualé Band rocks were originally sediments deposited in some protocratonic rift-type basins. During Eburnean, these sediments were buried, underwent high-grade metamorphism and exhumed in a tectonic context dominated by transcurrent motion. The structural setting of banded iron formations (iron deposits), which are abundant in the Logoualé Band, would date back to the Eburnean.","author":[{"dropping-particle":"","family":"Kouamelan","given":"Alain Nicaise","non-dropping-particle":"","parse-names":false,"suffix":""},{"dropping-particle":"","family":"Kra","given":"Kouassi Serge Auguste","non-dropping-particle":"","parse-names":false,"suffix":""},{"dropping-particle":"","family":"Djro","given":"Sagbrou Chérubin","non-dropping-particle":"","parse-names":false,"suffix":""},{"dropping-particle":"","family":"Paquette","given":"Jean Louis","non-dropping-particle":"","parse-names":false,"suffix":""},{"dropping-particle":"","family":"Peucat","given":"Jean Jacques","non-dropping-particle":"","parse-names":false,"suffix":""}],"container-title":"Journal of African Earth Sciences","id":"ITEM-2","issued":{"date-parts":[["2018"]]},"page":"6-13","title":"The Logoualé Band: A large Archean crustal block in the Kenema-Man domain (Man-Leo rise, West African Craton) remobilized during Eburnean orogeny (2.05 Ga)","type":"article-journal","volume":"148"},"uris":["http://www.mendeley.com/documents/?uuid=178eb290-ca01-4d09-8db5-48a815f00774"]}],"mendeley":{"formattedCitation":"(Kouamelan et al., 2018; Meert, 2012)","plainTextFormattedCitation":"(Kouamelan et al., 2018; Meert, 2012)","previouslyFormattedCitation":"(Kouamelan et al., 2018; Meert, 2012)"},"properties":{"noteIndex":0},"schema":"https://github.com/citation-style-language/schema/raw/master/csl-citation.json"}</w:instrText>
      </w:r>
      <w:r w:rsidR="00231A81" w:rsidRPr="0089308D">
        <w:rPr>
          <w:rFonts w:ascii="Arial" w:hAnsi="Arial" w:cs="Arial"/>
        </w:rPr>
        <w:fldChar w:fldCharType="separate"/>
      </w:r>
      <w:r w:rsidR="00483C44" w:rsidRPr="00483C44">
        <w:rPr>
          <w:rFonts w:ascii="Arial" w:hAnsi="Arial" w:cs="Arial"/>
          <w:noProof/>
        </w:rPr>
        <w:t>(Kouamelan et al., 2018; Meert, 2012)</w:t>
      </w:r>
      <w:r w:rsidR="00231A81" w:rsidRPr="0089308D">
        <w:rPr>
          <w:rFonts w:ascii="Arial" w:hAnsi="Arial" w:cs="Arial"/>
        </w:rPr>
        <w:fldChar w:fldCharType="end"/>
      </w:r>
      <w:r w:rsidR="00231A81" w:rsidRPr="0089308D">
        <w:rPr>
          <w:rFonts w:ascii="Arial" w:hAnsi="Arial" w:cs="Arial"/>
        </w:rPr>
        <w:t>.</w:t>
      </w:r>
      <w:r w:rsidR="00231A81">
        <w:rPr>
          <w:rFonts w:ascii="Arial" w:hAnsi="Arial" w:cs="Arial"/>
        </w:rPr>
        <w:t xml:space="preserve"> </w:t>
      </w:r>
      <w:r w:rsidR="00231A81" w:rsidRPr="0089308D">
        <w:rPr>
          <w:rFonts w:ascii="Arial" w:hAnsi="Arial" w:cs="Arial"/>
        </w:rPr>
        <w:fldChar w:fldCharType="begin" w:fldLock="1"/>
      </w:r>
      <w:r w:rsidR="00231A81">
        <w:rPr>
          <w:rFonts w:ascii="Arial" w:hAnsi="Arial" w:cs="Arial"/>
        </w:rPr>
        <w:instrText>ADDIN CSL_CITATION {"citationItems":[{"id":"ITEM-1","itemData":{"DOI":"10.1016/j.gr.2009.08.004","ISSN":"1342937X","abstract":"Combined U-Pb and Lu-Hf isotope analysis of detrital zircons reveals that the Mid-German Crystalline Rise (MGCR) contains Palaeozoic sediments of distinct provenance in close proximity. Zircons from a metapelite of the Brotterode group were derived from a Gondwanan source, whereas zircons from the Rögis quartzite of the Ruhla group point to provenance from Baltica. Brotterode zircons mostly yield ages of 500-720 Ma and 2.0-2.1 Ga, and show an age gap between 1.0 and 1.7 Ga, which is characteristic of Gondwana/peri-Gondwanan detrital zircon populations. Combined U-Pb and Hf isotope data suggest intense crustal recycling at 2.6-2.9 Ga, 1.8-2.1 Ga, and 570-720 Ma as well as formation of juvenile crust during the latter two periods. In contrast, zircons of the Rögis quartzite mostly yield ages between 0.9 and 1.8 Ga, which are typical of southwestern Baltica. Minor age populations at 435-466 and 550-660 Ma indicate that the quartzite is younger than Late Ordovician/Early Silurian, and that the Baltica-derived sediment is contaminated by minor peri-Gondwanan, perhaps Avalonia-derived detritus. Minor age populations at 2.0, 2.56, 2.67, and 2.86 Ga additionally point to a Svecofennian and/or Karelian source. U-Pb and Hf isotope data imply that the Baltica-derived zircons were produced mainly through melting of juvenile Palaeo- to Mesoproterozoic crust. The data presented here indicate that the MGCR hosts the Rheic suture between Gondwana and Balonia, and that this suture zone was closed in a complex sequence of stages from the Late Silurian onwards. © 2009 International Association for Gondwana Research.","author":[{"dropping-particle":"","family":"Zeh","given":"Armin","non-dropping-particle":"","parse-names":false,"suffix":""},{"dropping-particle":"","family":"Gerdes","given":"Axel","non-dropping-particle":"","parse-names":false,"suffix":""}],"container-title":"Gondwana Research","id":"ITEM-1","issue":"2-3","issued":{"date-parts":[["2010"]]},"page":"254-263","publisher":"International Association for Gondwana Research","title":"Baltica- and Gondwana-derived sediments in the Mid-German Crystalline Rise (Central Europe): Implications for the closure of the Rheic ocean","type":"article-journal","volume":"17"},"uris":["http://www.mendeley.com/documents/?uuid=654ce491-c6da-44e2-8150-ecdd6b08bff6"]}],"mendeley":{"formattedCitation":"(Zeh and Gerdes, 2010)","manualFormatting":"Zeh and Gerdes (2010)","plainTextFormattedCitation":"(Zeh and Gerdes, 2010)","previouslyFormattedCitation":"(Zeh and Gerdes, 2010)"},"properties":{"noteIndex":0},"schema":"https://github.com/citation-style-language/schema/raw/master/csl-citation.json"}</w:instrText>
      </w:r>
      <w:r w:rsidR="00231A81" w:rsidRPr="0089308D">
        <w:rPr>
          <w:rFonts w:ascii="Arial" w:hAnsi="Arial" w:cs="Arial"/>
        </w:rPr>
        <w:fldChar w:fldCharType="separate"/>
      </w:r>
      <w:r w:rsidR="00231A81" w:rsidRPr="0089308D">
        <w:rPr>
          <w:rFonts w:ascii="Arial" w:hAnsi="Arial" w:cs="Arial"/>
          <w:noProof/>
        </w:rPr>
        <w:t>Zeh and Gerdes (2010)</w:t>
      </w:r>
      <w:r w:rsidR="00231A81" w:rsidRPr="0089308D">
        <w:rPr>
          <w:rFonts w:ascii="Arial" w:hAnsi="Arial" w:cs="Arial"/>
        </w:rPr>
        <w:fldChar w:fldCharType="end"/>
      </w:r>
      <w:r w:rsidR="00231A81">
        <w:rPr>
          <w:rFonts w:ascii="Arial" w:hAnsi="Arial" w:cs="Arial"/>
        </w:rPr>
        <w:t xml:space="preserve"> showed that </w:t>
      </w:r>
      <w:r w:rsidR="00231A81" w:rsidRPr="0089308D">
        <w:rPr>
          <w:rFonts w:ascii="Arial" w:hAnsi="Arial" w:cs="Arial"/>
        </w:rPr>
        <w:t>Gondwana-derived</w:t>
      </w:r>
      <w:r w:rsidR="00231A81">
        <w:rPr>
          <w:rFonts w:ascii="Arial" w:hAnsi="Arial" w:cs="Arial"/>
        </w:rPr>
        <w:t xml:space="preserve"> sedimentary and igneous rocks can be found as </w:t>
      </w:r>
      <w:r w:rsidR="00231A81" w:rsidRPr="0089308D">
        <w:rPr>
          <w:rFonts w:ascii="Arial" w:hAnsi="Arial" w:cs="Arial"/>
        </w:rPr>
        <w:t>far north as the Mid-German crystalline rise</w:t>
      </w:r>
      <w:r w:rsidR="00231A81">
        <w:rPr>
          <w:rFonts w:ascii="Arial" w:hAnsi="Arial" w:cs="Arial"/>
        </w:rPr>
        <w:t xml:space="preserve">. A similar pattern was reported in a </w:t>
      </w:r>
      <w:r w:rsidR="00231A81" w:rsidRPr="0089308D">
        <w:rPr>
          <w:rFonts w:ascii="Arial" w:hAnsi="Arial" w:cs="Arial"/>
        </w:rPr>
        <w:t xml:space="preserve">detrital zircon </w:t>
      </w:r>
      <w:r w:rsidR="00231A81">
        <w:rPr>
          <w:rFonts w:ascii="Arial" w:hAnsi="Arial" w:cs="Arial"/>
        </w:rPr>
        <w:t xml:space="preserve">study of the Nile catchment </w:t>
      </w:r>
      <w:r w:rsidR="00231A81" w:rsidRPr="0089308D">
        <w:rPr>
          <w:rFonts w:ascii="Arial" w:hAnsi="Arial" w:cs="Arial"/>
        </w:rPr>
        <w:t xml:space="preserve">sources </w:t>
      </w:r>
      <w:r w:rsidR="00231A81">
        <w:rPr>
          <w:rFonts w:ascii="Arial" w:hAnsi="Arial" w:cs="Arial"/>
        </w:rPr>
        <w:t>(</w:t>
      </w:r>
      <w:r w:rsidR="00231A81" w:rsidRPr="0089308D">
        <w:rPr>
          <w:rFonts w:ascii="Arial" w:hAnsi="Arial" w:cs="Arial"/>
        </w:rPr>
        <w:t>NE Africa</w:t>
      </w:r>
      <w:r w:rsidR="00231A81">
        <w:rPr>
          <w:rFonts w:ascii="Arial" w:hAnsi="Arial" w:cs="Arial"/>
        </w:rPr>
        <w:t xml:space="preserve">) by </w:t>
      </w:r>
      <w:r w:rsidR="00231A81" w:rsidRPr="0089308D">
        <w:rPr>
          <w:rFonts w:ascii="Arial" w:hAnsi="Arial" w:cs="Arial"/>
        </w:rPr>
        <w:fldChar w:fldCharType="begin" w:fldLock="1"/>
      </w:r>
      <w:r w:rsidR="00231A81">
        <w:rPr>
          <w:rFonts w:ascii="Arial" w:hAnsi="Arial" w:cs="Arial"/>
        </w:rPr>
        <w:instrText>ADDIN CSL_CITATION {"citationItems":[{"id":"ITEM-1","itemData":{"DOI":"10.1144/jgs2016-075","ISSN":"0016-7649","author":[{"dropping-particle":"","family":"Fielding","given":"Laura","non-dropping-particle":"","parse-names":false,"suffix":""},{"dropping-particle":"","family":"Najman","given":"Yani","non-dropping-particle":"","parse-names":false,"suffix":""},{"dropping-particle":"","family":"Millar","given":"Ian L.","non-dropping-particle":"","parse-names":false,"suffix":""},{"dropping-particle":"","family":"Butterworth","given":"Peter","non-dropping-particle":"","parse-names":false,"suffix":""},{"dropping-particle":"","family":"Ando","given":"Sergio","non-dropping-particle":"","parse-names":false,"suffix":""},{"dropping-particle":"","family":"Padoan","given":"Marta","non-dropping-particle":"","parse-names":false,"suffix":""},{"dropping-particle":"","family":"Barfod","given":"Dan","non-dropping-particle":"","parse-names":false,"suffix":""},{"dropping-particle":"","family":"Kneller","given":"Ben","non-dropping-particle":"","parse-names":false,"suffix":""}],"container-title":"Journal of the Geological Society","id":"ITEM-1","issue":"2","issued":{"date-parts":[["2017"]]},"page":"301-317","title":"A detrital record of the Nile River and its catchment","type":"article-journal","volume":"174"},"uris":["http://www.mendeley.com/documents/?uuid=6faa3a38-52a4-4b31-855b-fde1bc953421"]}],"mendeley":{"formattedCitation":"(Fielding et al., 2017)","manualFormatting":"Fielding et al. (2017)","plainTextFormattedCitation":"(Fielding et al., 2017)","previouslyFormattedCitation":"(Fielding et al., 2017)"},"properties":{"noteIndex":0},"schema":"https://github.com/citation-style-language/schema/raw/master/csl-citation.json"}</w:instrText>
      </w:r>
      <w:r w:rsidR="00231A81" w:rsidRPr="0089308D">
        <w:rPr>
          <w:rFonts w:ascii="Arial" w:hAnsi="Arial" w:cs="Arial"/>
        </w:rPr>
        <w:fldChar w:fldCharType="separate"/>
      </w:r>
      <w:r w:rsidR="00231A81" w:rsidRPr="0089308D">
        <w:rPr>
          <w:rFonts w:ascii="Arial" w:hAnsi="Arial" w:cs="Arial"/>
          <w:noProof/>
        </w:rPr>
        <w:t xml:space="preserve">Fielding </w:t>
      </w:r>
      <w:r w:rsidR="00231A81" w:rsidRPr="0089308D">
        <w:rPr>
          <w:rFonts w:ascii="Arial" w:hAnsi="Arial" w:cs="Arial"/>
          <w:i/>
          <w:iCs/>
          <w:noProof/>
        </w:rPr>
        <w:t>et al.</w:t>
      </w:r>
      <w:r w:rsidR="00231A81" w:rsidRPr="0089308D">
        <w:rPr>
          <w:rFonts w:ascii="Arial" w:hAnsi="Arial" w:cs="Arial"/>
          <w:noProof/>
        </w:rPr>
        <w:t xml:space="preserve"> (2017)</w:t>
      </w:r>
      <w:r w:rsidR="00231A81" w:rsidRPr="0089308D">
        <w:rPr>
          <w:rFonts w:ascii="Arial" w:hAnsi="Arial" w:cs="Arial"/>
        </w:rPr>
        <w:fldChar w:fldCharType="end"/>
      </w:r>
      <w:r w:rsidR="00231A81">
        <w:rPr>
          <w:rFonts w:ascii="Arial" w:hAnsi="Arial" w:cs="Arial"/>
        </w:rPr>
        <w:t xml:space="preserve">. </w:t>
      </w:r>
      <w:r w:rsidR="006141EE">
        <w:rPr>
          <w:rFonts w:ascii="Arial" w:hAnsi="Arial" w:cs="Arial"/>
        </w:rPr>
        <w:t>S</w:t>
      </w:r>
      <w:r w:rsidR="00231A81">
        <w:rPr>
          <w:rFonts w:ascii="Arial" w:hAnsi="Arial" w:cs="Arial"/>
        </w:rPr>
        <w:t>imilarit</w:t>
      </w:r>
      <w:r w:rsidR="006141EE">
        <w:rPr>
          <w:rFonts w:ascii="Arial" w:hAnsi="Arial" w:cs="Arial"/>
        </w:rPr>
        <w:t>ies</w:t>
      </w:r>
      <w:r w:rsidR="00231A81">
        <w:rPr>
          <w:rFonts w:ascii="Arial" w:hAnsi="Arial" w:cs="Arial"/>
        </w:rPr>
        <w:t xml:space="preserve"> in the tectonic</w:t>
      </w:r>
      <w:r w:rsidR="00231A81" w:rsidRPr="0089308D">
        <w:rPr>
          <w:rFonts w:ascii="Arial" w:hAnsi="Arial" w:cs="Arial"/>
        </w:rPr>
        <w:t xml:space="preserve"> </w:t>
      </w:r>
      <w:r w:rsidR="00231A81">
        <w:rPr>
          <w:rFonts w:ascii="Arial" w:hAnsi="Arial" w:cs="Arial"/>
        </w:rPr>
        <w:t xml:space="preserve">origin and distribution of peri-Gondwanian terranes in Central </w:t>
      </w:r>
      <w:r w:rsidR="00814A3D">
        <w:rPr>
          <w:rFonts w:ascii="Arial" w:hAnsi="Arial" w:cs="Arial"/>
        </w:rPr>
        <w:t xml:space="preserve">and Southern </w:t>
      </w:r>
      <w:r w:rsidR="00231A81">
        <w:rPr>
          <w:rFonts w:ascii="Arial" w:hAnsi="Arial" w:cs="Arial"/>
        </w:rPr>
        <w:t>Europe results in the abundance of</w:t>
      </w:r>
      <w:r w:rsidR="006141EE">
        <w:rPr>
          <w:rFonts w:ascii="Arial" w:hAnsi="Arial" w:cs="Arial"/>
        </w:rPr>
        <w:t xml:space="preserve"> a</w:t>
      </w:r>
      <w:r w:rsidR="00231A81">
        <w:rPr>
          <w:rFonts w:ascii="Arial" w:hAnsi="Arial" w:cs="Arial"/>
        </w:rPr>
        <w:t xml:space="preserve"> ~600 Ma population in source samples </w:t>
      </w:r>
      <w:r w:rsidR="00814A3D">
        <w:rPr>
          <w:rFonts w:ascii="Arial" w:hAnsi="Arial" w:cs="Arial"/>
        </w:rPr>
        <w:t xml:space="preserve">from most of the surrounding mountainous terrains </w:t>
      </w:r>
      <w:r w:rsidR="00231A81">
        <w:rPr>
          <w:rFonts w:ascii="Arial" w:hAnsi="Arial" w:cs="Arial"/>
        </w:rPr>
        <w:t>(Figure</w:t>
      </w:r>
      <w:r w:rsidR="008262B7">
        <w:rPr>
          <w:rFonts w:ascii="Arial" w:hAnsi="Arial" w:cs="Arial"/>
        </w:rPr>
        <w:t xml:space="preserve"> </w:t>
      </w:r>
      <w:r w:rsidR="00D076EE">
        <w:rPr>
          <w:rFonts w:ascii="Arial" w:hAnsi="Arial" w:cs="Arial"/>
        </w:rPr>
        <w:t>6</w:t>
      </w:r>
      <w:r w:rsidR="009F3AB9">
        <w:rPr>
          <w:rFonts w:ascii="Arial" w:hAnsi="Arial" w:cs="Arial"/>
        </w:rPr>
        <w:t xml:space="preserve"> and Figure S1</w:t>
      </w:r>
      <w:r w:rsidR="00231A81">
        <w:rPr>
          <w:rFonts w:ascii="Arial" w:hAnsi="Arial" w:cs="Arial"/>
        </w:rPr>
        <w:t xml:space="preserve">), which also translates to </w:t>
      </w:r>
      <w:r w:rsidR="007918A8">
        <w:rPr>
          <w:rFonts w:ascii="Arial" w:hAnsi="Arial" w:cs="Arial"/>
        </w:rPr>
        <w:t xml:space="preserve">the </w:t>
      </w:r>
      <w:r w:rsidR="00231A81">
        <w:rPr>
          <w:rFonts w:ascii="Arial" w:hAnsi="Arial" w:cs="Arial"/>
        </w:rPr>
        <w:t xml:space="preserve">large source rock cluster on the MDS (Figure </w:t>
      </w:r>
      <w:r w:rsidR="00D076EE">
        <w:rPr>
          <w:rFonts w:ascii="Arial" w:hAnsi="Arial" w:cs="Arial"/>
        </w:rPr>
        <w:t>7</w:t>
      </w:r>
      <w:r w:rsidR="00231A81">
        <w:rPr>
          <w:rFonts w:ascii="Arial" w:hAnsi="Arial" w:cs="Arial"/>
        </w:rPr>
        <w:t xml:space="preserve">). </w:t>
      </w:r>
      <w:r w:rsidR="006141EE">
        <w:rPr>
          <w:rFonts w:ascii="Arial" w:hAnsi="Arial" w:cs="Arial"/>
        </w:rPr>
        <w:t>Whilst</w:t>
      </w:r>
      <w:r w:rsidR="009339C9">
        <w:rPr>
          <w:rFonts w:ascii="Arial" w:hAnsi="Arial" w:cs="Arial"/>
        </w:rPr>
        <w:t xml:space="preserve"> </w:t>
      </w:r>
      <w:r w:rsidR="007918A8">
        <w:rPr>
          <w:rFonts w:ascii="Arial" w:hAnsi="Arial" w:cs="Arial"/>
        </w:rPr>
        <w:t xml:space="preserve">a </w:t>
      </w:r>
      <w:r w:rsidR="009339C9">
        <w:rPr>
          <w:rFonts w:ascii="Arial" w:hAnsi="Arial" w:cs="Arial"/>
        </w:rPr>
        <w:t>sample from t</w:t>
      </w:r>
      <w:r w:rsidR="009339C9" w:rsidRPr="0080576E">
        <w:rPr>
          <w:rFonts w:ascii="Arial" w:hAnsi="Arial" w:cs="Arial"/>
        </w:rPr>
        <w:t>he upper reaches of the Danube is</w:t>
      </w:r>
      <w:r w:rsidR="009339C9">
        <w:rPr>
          <w:rFonts w:ascii="Arial" w:hAnsi="Arial" w:cs="Arial"/>
        </w:rPr>
        <w:t xml:space="preserve"> </w:t>
      </w:r>
      <w:r w:rsidR="006141EE">
        <w:rPr>
          <w:rFonts w:ascii="Arial" w:hAnsi="Arial" w:cs="Arial"/>
        </w:rPr>
        <w:t>un</w:t>
      </w:r>
      <w:r w:rsidR="009339C9">
        <w:rPr>
          <w:rFonts w:ascii="Arial" w:hAnsi="Arial" w:cs="Arial"/>
        </w:rPr>
        <w:t xml:space="preserve">available, the presence of </w:t>
      </w:r>
      <w:r w:rsidR="007918A8">
        <w:rPr>
          <w:rFonts w:ascii="Arial" w:hAnsi="Arial" w:cs="Arial"/>
        </w:rPr>
        <w:t xml:space="preserve">the </w:t>
      </w:r>
      <w:r w:rsidR="009339C9">
        <w:rPr>
          <w:rFonts w:ascii="Arial" w:hAnsi="Arial" w:cs="Arial"/>
        </w:rPr>
        <w:t xml:space="preserve">600 Ma populations in </w:t>
      </w:r>
      <w:r w:rsidR="003D1878">
        <w:rPr>
          <w:rFonts w:ascii="Arial" w:hAnsi="Arial" w:cs="Arial"/>
        </w:rPr>
        <w:t>the</w:t>
      </w:r>
      <w:r w:rsidR="009339C9">
        <w:rPr>
          <w:rFonts w:ascii="Arial" w:hAnsi="Arial" w:cs="Arial"/>
        </w:rPr>
        <w:t xml:space="preserve"> Stratzing and Basaharc loess profiles</w:t>
      </w:r>
      <w:r w:rsidR="00375129">
        <w:rPr>
          <w:rFonts w:ascii="Arial" w:hAnsi="Arial" w:cs="Arial"/>
        </w:rPr>
        <w:t xml:space="preserve"> </w:t>
      </w:r>
      <w:r w:rsidR="00375129">
        <w:rPr>
          <w:rFonts w:ascii="Arial" w:hAnsi="Arial" w:cs="Arial"/>
        </w:rPr>
        <w:fldChar w:fldCharType="begin" w:fldLock="1"/>
      </w:r>
      <w:r w:rsidR="00AE6272">
        <w:rPr>
          <w:rFonts w:ascii="Arial" w:hAnsi="Arial" w:cs="Arial"/>
        </w:rPr>
        <w:instrText>ADDIN CSL_CITATION {"citationItems":[{"id":"ITEM-1","itemData":{"DOI":"10.1016/j.chemgeo.2012.02.007","ISBN":"0009-2541","ISSN":"00092541","abstract":"Multiple competing hypotheses have been proposed to explain the source of loess dust in the Carpathian Basin yet none has been demonstrated. Here bulk and grain-size differentiated Nd and Sr isotopic and bulk and clay mineralogical compositions, together with detrital zircon ages and morphologies from loess along the Danube in the Carpathian Basin are used to demonstrate that no single method is capable of unequivocally isolating sources, yet combined, they allow for discriminating likely provenance. Zircon ages indicate multiple sources for Carpathian Basin loess, restricting the use of bulk or grain-size differentiation methods. Ambiguities are further highlighted by the fact that the Sr-Nd isotopic composition of Greenland dust is very similar to Carpathian loess. This match demonstrates that such methods are not always capable of unequivocally excluding unlikely potential source areas and implies that current hypotheses regarding the origin of Greenland dust require further evaluation. Sr isotopes are also limited by high dolomite contents of loess, while palygorskite is of questionable utility as a Saharan dust indicator due to its rapid weathering under typical Carpathian climates. In terms of specific Carpathian loess sources, alluvial fans of the Danube River likely contribute, but detrital zircon ages and morphologies suggest that a proportion directly originates from eroded uplands and local rocks throughout the basin, while detrital dolomite implies local, primary sources such as the Transdanubian Range. An upper limit of 5-10% is placed on the North African contribution to fine dust in loess of the mid-Carpathian Basin based on mineralogy and grain size. Overall, results suggest that the single grain (zircon) approach is likely the most diagnostic method to identify sources in loess studies, although to solve complex provenance issues, simultaneous consideration of the isotopic characteristics of more than one heavy (or light) mineral is required. ?? 2012 Elsevier B.V.","author":[{"dropping-particle":"","family":"Újvári","given":"Gábor","non-dropping-particle":"","parse-names":false,"suffix":""},{"dropping-particle":"","family":"Varga","given":"Andrea","non-dropping-particle":"","parse-names":false,"suffix":""},{"dropping-particle":"","family":"Ramos","given":"Frank C.","non-dropping-particle":"","parse-names":false,"suffix":""},{"dropping-particle":"","family":"Kovács","given":"János I.","non-dropping-particle":"","parse-names":false,"suffix":""},{"dropping-particle":"","family":"Németh","given":"Tibor","non-dropping-particle":"","parse-names":false,"suffix":""},{"dropping-particle":"","family":"Stevens","given":"Thomas","non-dropping-particle":"","parse-names":false,"suffix":""}],"container-title":"Chemical Geology","id":"ITEM-1","issued":{"date-parts":[["2012"]]},"page":"83-96","publisher":"Elsevier B.V.","title":"Evaluating the use of clay mineralogy, Sr-Nd isotopes and zircon U-Pb ages in tracking dust provenance: An example from loess of the Carpathian Basin","type":"article-journal","volume":"304-305"},"uris":["http://www.mendeley.com/documents/?uuid=4972a163-3568-4a70-9213-d604a9054fec"]},{"id":"ITEM-2","itemData":{"DOI":"10.1007/s00531-014-1139-x","ISSN":"1437-3254","abstract":"Loess sediments in Austria deposited ca. 30–20 ka ago yield different zircon age signatures for samples collected around Krems (SE Bohemian Massif; samples K23 and S1) and Wels (halfway between the Bohemian Massif and the Eastern Alps; sample A16). Cathodoluminescence (CL) imaging reveals both old, multistage zircons with complex growth histories and inherited cores, and young, first-cycle magmatic zircons. Paleoproterozoic ages between 2,200 and 1,800 Ma (K23 and S1), an age gap of 1,800–1,000 Ma for S1 and abundant Cadomian grains, indicate NW African/North Gondwanan derivation of these zircons. Also, A16 yields ages between 630 and 600 Ma that can be attributed to “Pan-African” orogenic processes. Significant differences are seen for the &lt;500 Ma part of the age spectra with major age peaks at 493–494 and 344–335 Ma (K23 and S1), and 477 and 287 Ma (A16). All three samples show negative initial ɛHf signatures (−25 to −10, except one grain with +9.4) implying zircon crystallization from magmas derived by recycling of older continental crust. Hf isotopic compositions of 330- to 320-Ma-old zircons from S1 and K23 preclude a derivation from Bavarian Forest granites and intermediate granitoids. Rather, all the data suggest strong contributions of eroded local rocks (South Bohemian pluton, Gföhl unit) to loess material at the SE edge of the Bohemian Massif (K23 and S1) and sourcing of zircons from sediment donor regions in the Eastern Alps for loess at Wels (A16). We tentatively infer primary fluvial transport and secondary eolian reworking and re-deposition of detritus from western/southwestern directions. Finally, our data highlight that loess zircon ages are fundamentally influenced by fluvial transport, its directions, the interplay of sediment donor regions through the mixing of detritus and zircon fertility of rocks, rather than Paleowind directions.","author":[{"dropping-particle":"","family":"Újvári","given":"Gábor","non-dropping-particle":"","parse-names":false,"suffix":""},{"dropping-particle":"","family":"Klötzli","given":"Urs","non-dropping-particle":"","parse-names":false,"suffix":""}],"container-title":"International Journal of Earth Sciences","id":"ITEM-2","issue":"5","issued":{"date-parts":[["2015","7","14"]]},"page":"1365-1385","publisher":"Springer Berlin Heidelberg","title":"U–Pb ages and Hf isotopic composition of zircons in Austrian last glacial loess: constraints on heavy mineral sources and sediment transport pathways","type":"article-journal","volume":"104"},"uris":["http://www.mendeley.com/documents/?uuid=96557a3a-95d5-41f2-be41-c4c0a3128257"]}],"mendeley":{"formattedCitation":"(Újvári et al., 2012; Újvári and Klötzli, 2015)","plainTextFormattedCitation":"(Újvári et al., 2012; Újvári and Klötzli, 2015)","previouslyFormattedCitation":"(Újvári et al., 2012; Újvári and Klötzli, 2015)"},"properties":{"noteIndex":0},"schema":"https://github.com/citation-style-language/schema/raw/master/csl-citation.json"}</w:instrText>
      </w:r>
      <w:r w:rsidR="00375129">
        <w:rPr>
          <w:rFonts w:ascii="Arial" w:hAnsi="Arial" w:cs="Arial"/>
        </w:rPr>
        <w:fldChar w:fldCharType="separate"/>
      </w:r>
      <w:r w:rsidR="00375129" w:rsidRPr="00375129">
        <w:rPr>
          <w:rFonts w:ascii="Arial" w:hAnsi="Arial" w:cs="Arial"/>
          <w:noProof/>
        </w:rPr>
        <w:t>(Újvári et al., 2012; Újvári and Klötzli, 2015)</w:t>
      </w:r>
      <w:r w:rsidR="00375129">
        <w:rPr>
          <w:rFonts w:ascii="Arial" w:hAnsi="Arial" w:cs="Arial"/>
        </w:rPr>
        <w:fldChar w:fldCharType="end"/>
      </w:r>
      <w:r w:rsidR="009339C9">
        <w:rPr>
          <w:rFonts w:ascii="Arial" w:hAnsi="Arial" w:cs="Arial"/>
        </w:rPr>
        <w:t xml:space="preserve"> (</w:t>
      </w:r>
      <w:r w:rsidR="009339C9" w:rsidRPr="008262B7">
        <w:rPr>
          <w:rFonts w:ascii="Arial" w:hAnsi="Arial" w:cs="Arial"/>
        </w:rPr>
        <w:t>Figure</w:t>
      </w:r>
      <w:r w:rsidR="004557F3">
        <w:rPr>
          <w:rFonts w:ascii="Arial" w:hAnsi="Arial" w:cs="Arial"/>
        </w:rPr>
        <w:t>s</w:t>
      </w:r>
      <w:r w:rsidR="009339C9" w:rsidRPr="008262B7">
        <w:rPr>
          <w:rFonts w:ascii="Arial" w:hAnsi="Arial" w:cs="Arial"/>
        </w:rPr>
        <w:t xml:space="preserve"> </w:t>
      </w:r>
      <w:r w:rsidR="003C25EB">
        <w:rPr>
          <w:rFonts w:ascii="Arial" w:hAnsi="Arial" w:cs="Arial"/>
        </w:rPr>
        <w:t xml:space="preserve">1 and </w:t>
      </w:r>
      <w:r w:rsidR="003E52B2">
        <w:rPr>
          <w:rFonts w:ascii="Arial" w:hAnsi="Arial" w:cs="Arial"/>
        </w:rPr>
        <w:t>3</w:t>
      </w:r>
      <w:r w:rsidR="009339C9">
        <w:rPr>
          <w:rFonts w:ascii="Arial" w:hAnsi="Arial" w:cs="Arial"/>
        </w:rPr>
        <w:t xml:space="preserve">) suggests that the </w:t>
      </w:r>
      <w:r w:rsidR="009339C9" w:rsidRPr="0080576E">
        <w:rPr>
          <w:rFonts w:ascii="Arial" w:hAnsi="Arial" w:cs="Arial"/>
        </w:rPr>
        <w:t xml:space="preserve">Danube </w:t>
      </w:r>
      <w:r w:rsidR="009339C9">
        <w:rPr>
          <w:rFonts w:ascii="Arial" w:hAnsi="Arial" w:cs="Arial"/>
        </w:rPr>
        <w:t xml:space="preserve">already </w:t>
      </w:r>
      <w:r w:rsidR="009339C9" w:rsidRPr="0080576E">
        <w:rPr>
          <w:rFonts w:ascii="Arial" w:hAnsi="Arial" w:cs="Arial"/>
        </w:rPr>
        <w:t>carries grains</w:t>
      </w:r>
      <w:r w:rsidR="009339C9">
        <w:rPr>
          <w:rFonts w:ascii="Arial" w:hAnsi="Arial" w:cs="Arial"/>
        </w:rPr>
        <w:t xml:space="preserve"> of that age</w:t>
      </w:r>
      <w:r w:rsidR="004557F3">
        <w:rPr>
          <w:rFonts w:ascii="Arial" w:hAnsi="Arial" w:cs="Arial"/>
        </w:rPr>
        <w:t xml:space="preserve"> from its source. The 600 Ma population is further replenished </w:t>
      </w:r>
      <w:r w:rsidR="009339C9" w:rsidRPr="0080576E">
        <w:rPr>
          <w:rFonts w:ascii="Arial" w:hAnsi="Arial" w:cs="Arial"/>
        </w:rPr>
        <w:t xml:space="preserve">by the </w:t>
      </w:r>
      <w:r w:rsidR="008262B7">
        <w:rPr>
          <w:rFonts w:ascii="Arial" w:hAnsi="Arial" w:cs="Arial"/>
        </w:rPr>
        <w:t xml:space="preserve">River </w:t>
      </w:r>
      <w:r w:rsidR="009339C9" w:rsidRPr="0080576E">
        <w:rPr>
          <w:rFonts w:ascii="Arial" w:hAnsi="Arial" w:cs="Arial"/>
        </w:rPr>
        <w:t xml:space="preserve">Inn (from the Alps) and smaller tributaries </w:t>
      </w:r>
      <w:r w:rsidR="006141EE">
        <w:rPr>
          <w:rFonts w:ascii="Arial" w:hAnsi="Arial" w:cs="Arial"/>
        </w:rPr>
        <w:t>with</w:t>
      </w:r>
      <w:r w:rsidR="009339C9" w:rsidRPr="0080576E">
        <w:rPr>
          <w:rFonts w:ascii="Arial" w:hAnsi="Arial" w:cs="Arial"/>
        </w:rPr>
        <w:t xml:space="preserve"> headways in the Bohemian Massif</w:t>
      </w:r>
      <w:r w:rsidR="008262B7">
        <w:rPr>
          <w:rFonts w:ascii="Arial" w:hAnsi="Arial" w:cs="Arial"/>
        </w:rPr>
        <w:t>. These signatures are continuously</w:t>
      </w:r>
      <w:r w:rsidR="009339C9">
        <w:rPr>
          <w:rFonts w:ascii="Arial" w:hAnsi="Arial" w:cs="Arial"/>
        </w:rPr>
        <w:t xml:space="preserve"> replenished by the </w:t>
      </w:r>
      <w:r w:rsidR="008262B7">
        <w:rPr>
          <w:rFonts w:ascii="Arial" w:hAnsi="Arial" w:cs="Arial"/>
        </w:rPr>
        <w:t xml:space="preserve">other </w:t>
      </w:r>
      <w:r w:rsidR="009339C9">
        <w:rPr>
          <w:rFonts w:ascii="Arial" w:hAnsi="Arial" w:cs="Arial"/>
        </w:rPr>
        <w:t>tributaries (</w:t>
      </w:r>
      <w:r w:rsidR="008262B7">
        <w:rPr>
          <w:rFonts w:ascii="Arial" w:hAnsi="Arial" w:cs="Arial"/>
        </w:rPr>
        <w:t>e.g.</w:t>
      </w:r>
      <w:r w:rsidR="009339C9">
        <w:rPr>
          <w:rFonts w:ascii="Arial" w:hAnsi="Arial" w:cs="Arial"/>
        </w:rPr>
        <w:t xml:space="preserve"> Drava and Tisza) along the way</w:t>
      </w:r>
      <w:r w:rsidR="009339C9" w:rsidRPr="0080576E">
        <w:rPr>
          <w:rFonts w:ascii="Arial" w:hAnsi="Arial" w:cs="Arial"/>
        </w:rPr>
        <w:t>.</w:t>
      </w:r>
      <w:r w:rsidR="009339C9">
        <w:rPr>
          <w:rFonts w:ascii="Arial" w:hAnsi="Arial" w:cs="Arial"/>
        </w:rPr>
        <w:t xml:space="preserve"> The</w:t>
      </w:r>
      <w:r w:rsidR="00B602A3">
        <w:rPr>
          <w:rFonts w:ascii="Arial" w:hAnsi="Arial" w:cs="Arial"/>
        </w:rPr>
        <w:t xml:space="preserve"> abundance of the 600 Ma grains in most source regions, </w:t>
      </w:r>
      <w:r w:rsidR="001303F2">
        <w:rPr>
          <w:rFonts w:ascii="Arial" w:hAnsi="Arial" w:cs="Arial"/>
        </w:rPr>
        <w:t xml:space="preserve">and </w:t>
      </w:r>
      <w:r w:rsidR="00B602A3">
        <w:rPr>
          <w:rFonts w:ascii="Arial" w:hAnsi="Arial" w:cs="Arial"/>
        </w:rPr>
        <w:t xml:space="preserve">the </w:t>
      </w:r>
      <w:r w:rsidR="009339C9">
        <w:rPr>
          <w:rFonts w:ascii="Arial" w:hAnsi="Arial" w:cs="Arial"/>
        </w:rPr>
        <w:t xml:space="preserve">large drainage area </w:t>
      </w:r>
      <w:r w:rsidR="009339C9" w:rsidRPr="0080576E">
        <w:rPr>
          <w:rFonts w:ascii="Arial" w:hAnsi="Arial" w:cs="Arial"/>
        </w:rPr>
        <w:t xml:space="preserve">of the </w:t>
      </w:r>
      <w:r w:rsidR="00514407" w:rsidRPr="0080576E">
        <w:rPr>
          <w:rFonts w:ascii="Arial" w:hAnsi="Arial" w:cs="Arial"/>
        </w:rPr>
        <w:t>Danube</w:t>
      </w:r>
      <w:r w:rsidR="00514407">
        <w:rPr>
          <w:rFonts w:ascii="Arial" w:hAnsi="Arial" w:cs="Arial"/>
        </w:rPr>
        <w:t xml:space="preserve"> River</w:t>
      </w:r>
      <w:r w:rsidR="009339C9">
        <w:rPr>
          <w:rFonts w:ascii="Arial" w:hAnsi="Arial" w:cs="Arial"/>
        </w:rPr>
        <w:t xml:space="preserve"> system </w:t>
      </w:r>
      <w:r w:rsidR="00B602A3">
        <w:rPr>
          <w:rFonts w:ascii="Arial" w:hAnsi="Arial" w:cs="Arial"/>
        </w:rPr>
        <w:t xml:space="preserve">which </w:t>
      </w:r>
      <w:r w:rsidR="009339C9">
        <w:rPr>
          <w:rFonts w:ascii="Arial" w:hAnsi="Arial" w:cs="Arial"/>
        </w:rPr>
        <w:t xml:space="preserve">provides a </w:t>
      </w:r>
      <w:r w:rsidR="009339C9" w:rsidRPr="0080576E">
        <w:rPr>
          <w:rFonts w:ascii="Arial" w:hAnsi="Arial" w:cs="Arial"/>
        </w:rPr>
        <w:t xml:space="preserve">constant </w:t>
      </w:r>
      <w:r w:rsidR="009339C9">
        <w:rPr>
          <w:rFonts w:ascii="Arial" w:hAnsi="Arial" w:cs="Arial"/>
        </w:rPr>
        <w:t>supply</w:t>
      </w:r>
      <w:r w:rsidR="009339C9" w:rsidRPr="0080576E">
        <w:rPr>
          <w:rFonts w:ascii="Arial" w:hAnsi="Arial" w:cs="Arial"/>
        </w:rPr>
        <w:t xml:space="preserve"> of recycled Gondwanian material</w:t>
      </w:r>
      <w:r w:rsidR="00B602A3">
        <w:rPr>
          <w:rFonts w:ascii="Arial" w:hAnsi="Arial" w:cs="Arial"/>
        </w:rPr>
        <w:t>, means that these U-Pb ages cannot be used to distinguish source regions.</w:t>
      </w:r>
      <w:r w:rsidR="009339C9">
        <w:rPr>
          <w:rFonts w:ascii="Arial" w:hAnsi="Arial" w:cs="Arial"/>
        </w:rPr>
        <w:t xml:space="preserve"> </w:t>
      </w:r>
    </w:p>
    <w:p w14:paraId="6B56C188" w14:textId="39BBC400" w:rsidR="00AC6E98" w:rsidRPr="00A91413" w:rsidRDefault="00090EE9" w:rsidP="00AC6E98">
      <w:pPr>
        <w:spacing w:before="120" w:after="120" w:line="480" w:lineRule="auto"/>
        <w:jc w:val="both"/>
        <w:rPr>
          <w:rFonts w:ascii="Arial" w:hAnsi="Arial" w:cs="Arial"/>
        </w:rPr>
      </w:pPr>
      <w:r>
        <w:rPr>
          <w:rFonts w:ascii="Arial" w:hAnsi="Arial" w:cs="Arial"/>
        </w:rPr>
        <w:t xml:space="preserve">To investigate </w:t>
      </w:r>
      <w:r w:rsidR="00B21F0C">
        <w:rPr>
          <w:rFonts w:ascii="Arial" w:hAnsi="Arial" w:cs="Arial"/>
        </w:rPr>
        <w:t xml:space="preserve">loess </w:t>
      </w:r>
      <w:r>
        <w:rPr>
          <w:rFonts w:ascii="Arial" w:hAnsi="Arial" w:cs="Arial"/>
        </w:rPr>
        <w:t>source further t</w:t>
      </w:r>
      <w:r w:rsidR="00AC6E98" w:rsidRPr="008D3089">
        <w:rPr>
          <w:rFonts w:ascii="Arial" w:hAnsi="Arial" w:cs="Arial"/>
        </w:rPr>
        <w:t>he Hf isotope</w:t>
      </w:r>
      <w:r w:rsidR="00AC6E98">
        <w:rPr>
          <w:rFonts w:ascii="Arial" w:hAnsi="Arial" w:cs="Arial"/>
        </w:rPr>
        <w:t xml:space="preserve"> </w:t>
      </w:r>
      <w:r w:rsidR="00AC6E98" w:rsidRPr="008D3089">
        <w:rPr>
          <w:rFonts w:ascii="Arial" w:hAnsi="Arial" w:cs="Arial"/>
        </w:rPr>
        <w:t xml:space="preserve">time evolution for the ADL </w:t>
      </w:r>
      <w:r w:rsidR="00AC6E98">
        <w:rPr>
          <w:rFonts w:ascii="Arial" w:hAnsi="Arial" w:cs="Arial"/>
        </w:rPr>
        <w:t>i</w:t>
      </w:r>
      <w:r w:rsidR="00AC6E98" w:rsidRPr="008D3089">
        <w:rPr>
          <w:rFonts w:ascii="Arial" w:hAnsi="Arial" w:cs="Arial"/>
        </w:rPr>
        <w:t>s plotted as a probability density plot with potential source data</w:t>
      </w:r>
      <w:r w:rsidR="00AC6E98">
        <w:rPr>
          <w:rFonts w:ascii="Arial" w:hAnsi="Arial" w:cs="Arial"/>
        </w:rPr>
        <w:t xml:space="preserve"> (</w:t>
      </w:r>
      <w:r w:rsidR="00AC6E98" w:rsidRPr="008D3089">
        <w:rPr>
          <w:rFonts w:ascii="Arial" w:hAnsi="Arial" w:cs="Arial"/>
        </w:rPr>
        <w:t xml:space="preserve">Figure </w:t>
      </w:r>
      <w:r>
        <w:rPr>
          <w:rFonts w:ascii="Arial" w:hAnsi="Arial" w:cs="Arial"/>
        </w:rPr>
        <w:t>8</w:t>
      </w:r>
      <w:r w:rsidR="00AC6E98">
        <w:rPr>
          <w:rFonts w:ascii="Arial" w:hAnsi="Arial" w:cs="Arial"/>
        </w:rPr>
        <w:t>)</w:t>
      </w:r>
      <w:r w:rsidR="00AC6E98" w:rsidRPr="008D3089">
        <w:rPr>
          <w:rFonts w:ascii="Arial" w:hAnsi="Arial" w:cs="Arial"/>
        </w:rPr>
        <w:t>.</w:t>
      </w:r>
      <w:r w:rsidR="00AC6E98">
        <w:rPr>
          <w:rFonts w:ascii="Arial" w:hAnsi="Arial" w:cs="Arial"/>
        </w:rPr>
        <w:t xml:space="preserve"> </w:t>
      </w:r>
      <w:bookmarkStart w:id="65" w:name="_Hlk74212198"/>
      <w:r w:rsidR="00AC6E98">
        <w:rPr>
          <w:rFonts w:ascii="Arial" w:hAnsi="Arial" w:cs="Arial"/>
        </w:rPr>
        <w:t xml:space="preserve">The </w:t>
      </w:r>
      <w:r w:rsidR="00AC6E98" w:rsidRPr="004A5751">
        <w:rPr>
          <w:rFonts w:ascii="Arial" w:hAnsi="Arial" w:cs="Arial"/>
        </w:rPr>
        <w:t xml:space="preserve">Austroalpine </w:t>
      </w:r>
      <w:r w:rsidR="00AC6E98">
        <w:rPr>
          <w:rFonts w:ascii="Arial" w:hAnsi="Arial" w:cs="Arial"/>
        </w:rPr>
        <w:t>B</w:t>
      </w:r>
      <w:r w:rsidR="00AC6E98" w:rsidRPr="004A5751">
        <w:rPr>
          <w:rFonts w:ascii="Arial" w:hAnsi="Arial" w:cs="Arial"/>
        </w:rPr>
        <w:t>asement</w:t>
      </w:r>
      <w:r w:rsidR="00AC6E98">
        <w:rPr>
          <w:rFonts w:ascii="Arial" w:hAnsi="Arial" w:cs="Arial"/>
        </w:rPr>
        <w:t xml:space="preserve"> sample has two </w:t>
      </w:r>
      <w:r w:rsidR="00AC6E98" w:rsidRPr="002A4E98">
        <w:rPr>
          <w:rFonts w:ascii="Arial" w:hAnsi="Arial" w:cs="Arial"/>
        </w:rPr>
        <w:t>Neoproterozoic</w:t>
      </w:r>
      <w:r w:rsidR="00AC6E98">
        <w:rPr>
          <w:rFonts w:ascii="Arial" w:hAnsi="Arial" w:cs="Arial"/>
        </w:rPr>
        <w:t xml:space="preserve"> zircons age populations at ~600 Ma and 950 Ma that overlap well with the ADL dataset. </w:t>
      </w:r>
      <w:r w:rsidR="00AC6E98" w:rsidRPr="00A91413">
        <w:rPr>
          <w:rFonts w:ascii="Arial" w:hAnsi="Arial" w:cs="Arial"/>
        </w:rPr>
        <w:t xml:space="preserve">Both </w:t>
      </w:r>
      <w:r w:rsidR="00AC6E98">
        <w:rPr>
          <w:rFonts w:ascii="Arial" w:hAnsi="Arial" w:cs="Arial"/>
        </w:rPr>
        <w:t xml:space="preserve">distributions have </w:t>
      </w:r>
      <w:r w:rsidR="00AC6E98" w:rsidRPr="00A91413">
        <w:rPr>
          <w:rFonts w:ascii="Arial" w:hAnsi="Arial" w:cs="Arial"/>
        </w:rPr>
        <w:t xml:space="preserve">a broad range </w:t>
      </w:r>
      <w:r w:rsidR="00AC6E98">
        <w:rPr>
          <w:rFonts w:ascii="Arial" w:hAnsi="Arial" w:cs="Arial"/>
        </w:rPr>
        <w:t>of</w:t>
      </w:r>
      <w:r w:rsidR="00AC6E98" w:rsidRPr="00A91413">
        <w:rPr>
          <w:rFonts w:ascii="Arial" w:hAnsi="Arial" w:cs="Arial"/>
        </w:rPr>
        <w:t xml:space="preserve"> εHf values at these </w:t>
      </w:r>
      <w:r w:rsidR="00AC6E98">
        <w:rPr>
          <w:rFonts w:ascii="Arial" w:hAnsi="Arial" w:cs="Arial"/>
        </w:rPr>
        <w:t>ages</w:t>
      </w:r>
      <w:r w:rsidR="00AC6E98" w:rsidRPr="00A91413">
        <w:rPr>
          <w:rFonts w:ascii="Arial" w:hAnsi="Arial" w:cs="Arial"/>
        </w:rPr>
        <w:t xml:space="preserve"> extending to negative values indicative of zircons formed in melts of Archaean crust</w:t>
      </w:r>
      <w:r w:rsidR="00AC6E98">
        <w:rPr>
          <w:rFonts w:ascii="Arial" w:hAnsi="Arial" w:cs="Arial"/>
        </w:rPr>
        <w:t xml:space="preserve">. </w:t>
      </w:r>
      <w:r w:rsidR="003C4DE2">
        <w:rPr>
          <w:rFonts w:ascii="Arial" w:hAnsi="Arial" w:cs="Arial"/>
        </w:rPr>
        <w:t xml:space="preserve">A similarity in the </w:t>
      </w:r>
      <w:r w:rsidR="003C4DE2" w:rsidRPr="002A4E98">
        <w:rPr>
          <w:rFonts w:ascii="Arial" w:hAnsi="Arial" w:cs="Arial"/>
        </w:rPr>
        <w:t>Neoproterozoic</w:t>
      </w:r>
      <w:r w:rsidR="003C4DE2">
        <w:rPr>
          <w:rFonts w:ascii="Arial" w:hAnsi="Arial" w:cs="Arial"/>
        </w:rPr>
        <w:t xml:space="preserve"> </w:t>
      </w:r>
      <w:r w:rsidR="003C4DE2" w:rsidRPr="00A91413">
        <w:rPr>
          <w:rFonts w:ascii="Arial" w:hAnsi="Arial" w:cs="Arial"/>
        </w:rPr>
        <w:t>εHf</w:t>
      </w:r>
      <w:r w:rsidR="003C4DE2">
        <w:rPr>
          <w:rFonts w:ascii="Arial" w:hAnsi="Arial" w:cs="Arial"/>
        </w:rPr>
        <w:t xml:space="preserve"> isotope pattern can be seen in both the Drava River and the </w:t>
      </w:r>
      <w:r w:rsidR="003C4DE2" w:rsidRPr="004A5751">
        <w:rPr>
          <w:rFonts w:ascii="Arial" w:hAnsi="Arial" w:cs="Arial"/>
        </w:rPr>
        <w:t xml:space="preserve">Austroalpine </w:t>
      </w:r>
      <w:r w:rsidR="003C4DE2">
        <w:rPr>
          <w:rFonts w:ascii="Arial" w:hAnsi="Arial" w:cs="Arial"/>
        </w:rPr>
        <w:t>B</w:t>
      </w:r>
      <w:r w:rsidR="003C4DE2" w:rsidRPr="004A5751">
        <w:rPr>
          <w:rFonts w:ascii="Arial" w:hAnsi="Arial" w:cs="Arial"/>
        </w:rPr>
        <w:t>asement</w:t>
      </w:r>
      <w:r w:rsidR="003C4DE2">
        <w:rPr>
          <w:rFonts w:ascii="Arial" w:hAnsi="Arial" w:cs="Arial"/>
        </w:rPr>
        <w:t xml:space="preserve"> samples (Figures </w:t>
      </w:r>
      <w:r w:rsidR="004557F3">
        <w:rPr>
          <w:rFonts w:ascii="Arial" w:hAnsi="Arial" w:cs="Arial"/>
        </w:rPr>
        <w:t>8</w:t>
      </w:r>
      <w:r w:rsidR="003C4DE2">
        <w:rPr>
          <w:rFonts w:ascii="Arial" w:hAnsi="Arial" w:cs="Arial"/>
        </w:rPr>
        <w:t xml:space="preserve"> and S3). As the </w:t>
      </w:r>
      <w:r w:rsidR="003C4DE2" w:rsidRPr="004A5751">
        <w:rPr>
          <w:rFonts w:ascii="Arial" w:hAnsi="Arial" w:cs="Arial"/>
        </w:rPr>
        <w:t xml:space="preserve">Austroalpine </w:t>
      </w:r>
      <w:r w:rsidR="003C4DE2">
        <w:rPr>
          <w:rFonts w:ascii="Arial" w:hAnsi="Arial" w:cs="Arial"/>
        </w:rPr>
        <w:t>B</w:t>
      </w:r>
      <w:r w:rsidR="003C4DE2" w:rsidRPr="004A5751">
        <w:rPr>
          <w:rFonts w:ascii="Arial" w:hAnsi="Arial" w:cs="Arial"/>
        </w:rPr>
        <w:t>asement</w:t>
      </w:r>
      <w:r w:rsidR="003C4DE2">
        <w:rPr>
          <w:rFonts w:ascii="Arial" w:hAnsi="Arial" w:cs="Arial"/>
        </w:rPr>
        <w:t xml:space="preserve"> samples falls within the Drava drainage area (Figure 1), the Drava River likely delivers these </w:t>
      </w:r>
      <w:r w:rsidR="003C4DE2">
        <w:rPr>
          <w:rFonts w:ascii="Arial" w:hAnsi="Arial" w:cs="Arial"/>
        </w:rPr>
        <w:lastRenderedPageBreak/>
        <w:t xml:space="preserve">grains to the Danubian loess. </w:t>
      </w:r>
      <w:r w:rsidR="00AC6E98">
        <w:rPr>
          <w:rFonts w:ascii="Arial" w:hAnsi="Arial" w:cs="Arial"/>
        </w:rPr>
        <w:fldChar w:fldCharType="begin" w:fldLock="1"/>
      </w:r>
      <w:r w:rsidR="00AC6E98">
        <w:rPr>
          <w:rFonts w:ascii="Arial" w:hAnsi="Arial" w:cs="Arial"/>
        </w:rPr>
        <w:instrText>ADDIN CSL_CITATION {"citationItems":[{"id":"ITEM-1","itemData":{"DOI":"10.1007/s00531-018-1599-5","ISBN":"0123456789","ISSN":"1437-3254","abstract":"© 2018 Springer-Verlag GmbH Germany, part of Springer Nature New U–Pb and Lu–Hf detrital zircon data together with whole-rock geochemical and Sm–Nd data were obtained for paragneisses of the Austroalpine basement south of the Tauern Window. Geochemically immature metasediments of the Northern–Defereggen–Petzeck (Ötztal–Bundschuh nappe system) and Defereggen (Drauzug–Gurktal nappe system) groups contain zircon age populations which indicate derivation mainly from Pan-African orogens. Younger, generally mature metasediments of the Gailtal Metamorphic Basement (Drauzug–Gurktal nappe system), Thurntaler Phyllite Group (Drauzug–Gurktal nappe system) and Val Visdende Formation (South Alpine Basement) were possibly derived from more distant sources. Their significantly larger abundances of pre-Pan-African zircons record a more advanced stage of downwearing of the Pan-African belts and erosion of older basement when the Austroalpine terrane was part of the Early Palaeozoic Northern Gondwana passive margin. Most zircon age spectra are dominated by Ediacaran sources, with lesser Cryogenian, Tonian and Stenian contributions and subordinate Paleoproterozoic and Neoarchean ages. These age patterns are similar to those recorded by Cambro–Ordovician sedimentary sequences in northeastern Africa between Libya and Jordan, and in some pre-Variscan basement inliers of Europe (e.g. Dinarides–Hellenides, Alboran microplate). Therefore, the most likely sources seem to be in the northeastern Saharan Metacraton and the Northern Arabian–Nubian Shield (Sinai), further supported by whole-rock Sm–Nd and zircon Lu–Hf data.","author":[{"dropping-particle":"","family":"Siegesmund","given":"S.","non-dropping-particle":"","parse-names":false,"suffix":""},{"dropping-particle":"","family":"Oriolo","given":"S.","non-dropping-particle":"","parse-names":false,"suffix":""},{"dropping-particle":"","family":"Heinrichs","given":"T.","non-dropping-particle":"","parse-names":false,"suffix":""},{"dropping-particle":"","family":"Basei","given":"M. A. S.","non-dropping-particle":"","parse-names":false,"suffix":""},{"dropping-particle":"","family":"Nolte","given":"N.","non-dropping-particle":"","parse-names":false,"suffix":""},{"dropping-particle":"","family":"Hüttenrauch","given":"F.","non-dropping-particle":"","parse-names":false,"suffix":""},{"dropping-particle":"","family":"Schulz","given":"Bernhard","non-dropping-particle":"","parse-names":false,"suffix":""}],"container-title":"International Journal of Earth Sciences","id":"ITEM-1","issue":"6","issued":{"date-parts":[["2018","9","19"]]},"page":"2293-2315","publisher":"Springer Berlin Heidelberg","title":"Provenance of Austroalpine basement metasediments: tightening up Early Palaeozoic connections between peri-Gondwanan domains of central Europe and Northern Africa","type":"article-journal","volume":"107"},"uris":["http://www.mendeley.com/documents/?uuid=cb665cdd-435b-4baa-b5d3-e7a32a8b07bc"]}],"mendeley":{"formattedCitation":"(Siegesmund et al., 2018)","manualFormatting":"Siegesmund et al. (2018)","plainTextFormattedCitation":"(Siegesmund et al., 2018)","previouslyFormattedCitation":"(Siegesmund et al., 2018)"},"properties":{"noteIndex":0},"schema":"https://github.com/citation-style-language/schema/raw/master/csl-citation.json"}</w:instrText>
      </w:r>
      <w:r w:rsidR="00AC6E98">
        <w:rPr>
          <w:rFonts w:ascii="Arial" w:hAnsi="Arial" w:cs="Arial"/>
        </w:rPr>
        <w:fldChar w:fldCharType="separate"/>
      </w:r>
      <w:r w:rsidR="00AC6E98" w:rsidRPr="002A4E98">
        <w:rPr>
          <w:rFonts w:ascii="Arial" w:hAnsi="Arial" w:cs="Arial"/>
          <w:noProof/>
        </w:rPr>
        <w:t xml:space="preserve">Siegesmund et al. </w:t>
      </w:r>
      <w:r w:rsidR="00AC6E98">
        <w:rPr>
          <w:rFonts w:ascii="Arial" w:hAnsi="Arial" w:cs="Arial"/>
          <w:noProof/>
        </w:rPr>
        <w:t>(</w:t>
      </w:r>
      <w:r w:rsidR="00AC6E98" w:rsidRPr="002A4E98">
        <w:rPr>
          <w:rFonts w:ascii="Arial" w:hAnsi="Arial" w:cs="Arial"/>
          <w:noProof/>
        </w:rPr>
        <w:t>2018)</w:t>
      </w:r>
      <w:r w:rsidR="00AC6E98">
        <w:rPr>
          <w:rFonts w:ascii="Arial" w:hAnsi="Arial" w:cs="Arial"/>
        </w:rPr>
        <w:fldChar w:fldCharType="end"/>
      </w:r>
      <w:r w:rsidR="00AC6E98">
        <w:rPr>
          <w:rFonts w:ascii="Arial" w:hAnsi="Arial" w:cs="Arial"/>
        </w:rPr>
        <w:t xml:space="preserve"> showed that these signatures are derived from Western Gondwana, which is in line with the </w:t>
      </w:r>
      <w:r w:rsidR="00AC6E98" w:rsidRPr="00A91413">
        <w:rPr>
          <w:rFonts w:ascii="Arial" w:hAnsi="Arial" w:cs="Arial"/>
        </w:rPr>
        <w:t xml:space="preserve">typical Phanerozoic </w:t>
      </w:r>
      <w:r w:rsidR="00AC6E98">
        <w:rPr>
          <w:rFonts w:ascii="Arial" w:hAnsi="Arial" w:cs="Arial"/>
        </w:rPr>
        <w:t xml:space="preserve">age of </w:t>
      </w:r>
      <w:r w:rsidR="00AC6E98" w:rsidRPr="00A91413">
        <w:rPr>
          <w:rFonts w:ascii="Arial" w:hAnsi="Arial" w:cs="Arial"/>
        </w:rPr>
        <w:t>sediments in North Africa formed by erosion of the Pan</w:t>
      </w:r>
      <w:r w:rsidR="00AC6E98">
        <w:rPr>
          <w:rFonts w:ascii="Arial" w:hAnsi="Arial" w:cs="Arial"/>
        </w:rPr>
        <w:t>-A</w:t>
      </w:r>
      <w:r w:rsidR="00AC6E98" w:rsidRPr="00A91413">
        <w:rPr>
          <w:rFonts w:ascii="Arial" w:hAnsi="Arial" w:cs="Arial"/>
        </w:rPr>
        <w:t>frican orogen</w:t>
      </w:r>
      <w:r w:rsidR="00AC6E98">
        <w:rPr>
          <w:rFonts w:ascii="Arial" w:hAnsi="Arial" w:cs="Arial"/>
        </w:rPr>
        <w:t xml:space="preserve"> described by </w:t>
      </w:r>
      <w:r w:rsidR="00AC6E98">
        <w:rPr>
          <w:rFonts w:ascii="Arial" w:hAnsi="Arial" w:cs="Arial"/>
        </w:rPr>
        <w:fldChar w:fldCharType="begin" w:fldLock="1"/>
      </w:r>
      <w:r w:rsidR="00AC6E98">
        <w:rPr>
          <w:rFonts w:ascii="Arial" w:hAnsi="Arial" w:cs="Arial"/>
        </w:rPr>
        <w:instrText>ADDIN CSL_CITATION {"citationItems":[{"id":"ITEM-1","itemData":{"DOI":"10.1144/jgs2016-075","ISSN":"0016-7649","author":[{"dropping-particle":"","family":"Fielding","given":"Laura","non-dropping-particle":"","parse-names":false,"suffix":""},{"dropping-particle":"","family":"Najman","given":"Yani","non-dropping-particle":"","parse-names":false,"suffix":""},{"dropping-particle":"","family":"Millar","given":"Ian L.","non-dropping-particle":"","parse-names":false,"suffix":""},{"dropping-particle":"","family":"Butterworth","given":"Peter","non-dropping-particle":"","parse-names":false,"suffix":""},{"dropping-particle":"","family":"Ando","given":"Sergio","non-dropping-particle":"","parse-names":false,"suffix":""},{"dropping-particle":"","family":"Padoan","given":"Marta","non-dropping-particle":"","parse-names":false,"suffix":""},{"dropping-particle":"","family":"Barfod","given":"Dan","non-dropping-particle":"","parse-names":false,"suffix":""},{"dropping-particle":"","family":"Kneller","given":"Ben","non-dropping-particle":"","parse-names":false,"suffix":""}],"container-title":"Journal of the Geological Society","id":"ITEM-1","issue":"2","issued":{"date-parts":[["2017"]]},"page":"301-317","title":"A detrital record of the Nile River and its catchment","type":"article-journal","volume":"174"},"uris":["http://www.mendeley.com/documents/?uuid=6faa3a38-52a4-4b31-855b-fde1bc953421"]}],"mendeley":{"formattedCitation":"(Fielding et al., 2017)","manualFormatting":"Fielding et al. (2017)","plainTextFormattedCitation":"(Fielding et al., 2017)","previouslyFormattedCitation":"(Fielding et al., 2017)"},"properties":{"noteIndex":0},"schema":"https://github.com/citation-style-language/schema/raw/master/csl-citation.json"}</w:instrText>
      </w:r>
      <w:r w:rsidR="00AC6E98">
        <w:rPr>
          <w:rFonts w:ascii="Arial" w:hAnsi="Arial" w:cs="Arial"/>
        </w:rPr>
        <w:fldChar w:fldCharType="separate"/>
      </w:r>
      <w:r w:rsidR="00AC6E98" w:rsidRPr="002253A5">
        <w:rPr>
          <w:rFonts w:ascii="Arial" w:hAnsi="Arial" w:cs="Arial"/>
          <w:noProof/>
        </w:rPr>
        <w:t xml:space="preserve">Fielding et al. </w:t>
      </w:r>
      <w:r w:rsidR="00AC6E98">
        <w:rPr>
          <w:rFonts w:ascii="Arial" w:hAnsi="Arial" w:cs="Arial"/>
          <w:noProof/>
        </w:rPr>
        <w:t>(</w:t>
      </w:r>
      <w:r w:rsidR="00AC6E98" w:rsidRPr="002253A5">
        <w:rPr>
          <w:rFonts w:ascii="Arial" w:hAnsi="Arial" w:cs="Arial"/>
          <w:noProof/>
        </w:rPr>
        <w:t>2017)</w:t>
      </w:r>
      <w:r w:rsidR="00AC6E98">
        <w:rPr>
          <w:rFonts w:ascii="Arial" w:hAnsi="Arial" w:cs="Arial"/>
        </w:rPr>
        <w:fldChar w:fldCharType="end"/>
      </w:r>
      <w:r w:rsidR="00AC6E98">
        <w:rPr>
          <w:rFonts w:ascii="Arial" w:hAnsi="Arial" w:cs="Arial"/>
        </w:rPr>
        <w:t xml:space="preserve"> </w:t>
      </w:r>
      <w:r w:rsidR="00AC6E98">
        <w:rPr>
          <w:rFonts w:ascii="Arial" w:hAnsi="Arial" w:cs="Arial"/>
        </w:rPr>
        <w:fldChar w:fldCharType="begin" w:fldLock="1"/>
      </w:r>
      <w:r w:rsidR="00AC6E98">
        <w:rPr>
          <w:rFonts w:ascii="Arial" w:hAnsi="Arial" w:cs="Arial"/>
        </w:rPr>
        <w:instrText>ADDIN CSL_CITATION {"citationItems":[{"id":"ITEM-1","itemData":{"DOI":"10.1016/j.epsl.2018.02.031","ISBN":"0012821X","ISSN":"0012821X","PMID":"12876994","abstract":"The Nile is generally regarded as the longest river in the world. Knowledge of the timing of the Nile's initiation as a major river is important to a number of research questions. For example, the timing of the river's establishment as a catchment of continental proportions can be used to document surface uplift of its Ethiopian upland drainage, with implications for constraining rift tectonics. Furthermore, the time of major freshwater input to the Mediterranean is considered to be an important factor in the development of sapropels. Yet the river's initiation as a major drainage is currently constrained no more precisely than Eocene to Pleistocene. Within the modern Nile catchment, voluminous Cenozoic Continental Flood Basalts (CFBs) are unique to the Ethiopian Highlands; thus first detection of their presence in the Nile delta record indicates establishment of the river's drainage at continental proportions at that time. We present the first detailed multiproxy provenance study of Oligocene–Recent Nile delta cone sediments. We demonstrate the presence of Ethiopian CFB detritus in the Nile delta from the start of our studied record (c. 31 Ma) by (1) documenting the presence of zircons with U–Pb ages unique, within the Nile catchment, to the Ethiopian CFBs and (2) using Sr–Nd data to construct a mixing model which indicates a contribution from the CFBs. We thereby show that the Nile river was established as a river of continental proportions by Oligocene times. We use petrography and heavy mineral data to show that previous petrographic provenance studies which proposed a Pleistocene age for first arrival of Ethiopian CFBs in the Nile delta did not take into account the strong diagenetic influence on the samples. We use a range of techniques to show that sediments were derived from Phanerozoic sedimentary rocks that blanket North Africa, Arabian–Nubian Shield basement terranes, and Ethiopian CFB's. We see no significant input from Archaean cratons supplied directly via the White Nile in any of our samples. Whilst there are subtle differences between our Nile delta samples from the Oligocene and Pliocene compared to those from the Miocene and Pleistocene, the overall stability of our signal throughout the delta record, and its similarity to the modern Nile signature, indicates no major change in the Nile's drainage from Oligocene to present day.","author":[{"dropping-particle":"","family":"Fielding","given":"Laura","non-dropping-particle":"","parse-names":false,"suffix":""},{"dropping-particle":"","family":"Najman","given":"Yani","non-dropping-particle":"","parse-names":false,"suffix":""},{"dropping-particle":"","family":"Millar","given":"Ian L.","non-dropping-particle":"","parse-names":false,"suffix":""},{"dropping-particle":"","family":"Butterworth","given":"Peter","non-dropping-particle":"","parse-names":false,"suffix":""},{"dropping-particle":"","family":"Garzanti","given":"Eduardo","non-dropping-particle":"","parse-names":false,"suffix":""},{"dropping-particle":"","family":"Vezzoli","given":"Giovanni","non-dropping-particle":"","parse-names":false,"suffix":""},{"dropping-particle":"","family":"Barfod","given":"Dan","non-dropping-particle":"","parse-names":false,"suffix":""},{"dropping-particle":"","family":"Kneller","given":"Ben","non-dropping-particle":"","parse-names":false,"suffix":""}],"container-title":"Earth and Planetary Science Letters","id":"ITEM-1","issued":{"date-parts":[["2018"]]},"page":"166-178","publisher":"Elsevier B.V.","title":"The initiation and evolution of the River Nile","type":"article-journal","volume":"489"},"uris":["http://www.mendeley.com/documents/?uuid=5ac9fbbd-ca8f-4385-b67a-c76215d167a1"]}],"mendeley":{"formattedCitation":"(Fielding et al., 2018)","manualFormatting":"and Fielding et al. (2018)","plainTextFormattedCitation":"(Fielding et al., 2018)","previouslyFormattedCitation":"(Fielding et al., 2018)"},"properties":{"noteIndex":0},"schema":"https://github.com/citation-style-language/schema/raw/master/csl-citation.json"}</w:instrText>
      </w:r>
      <w:r w:rsidR="00AC6E98">
        <w:rPr>
          <w:rFonts w:ascii="Arial" w:hAnsi="Arial" w:cs="Arial"/>
        </w:rPr>
        <w:fldChar w:fldCharType="separate"/>
      </w:r>
      <w:r w:rsidR="00AC6E98">
        <w:rPr>
          <w:rFonts w:ascii="Arial" w:hAnsi="Arial" w:cs="Arial"/>
          <w:noProof/>
        </w:rPr>
        <w:t xml:space="preserve">and </w:t>
      </w:r>
      <w:r w:rsidR="00AC6E98" w:rsidRPr="002253A5">
        <w:rPr>
          <w:rFonts w:ascii="Arial" w:hAnsi="Arial" w:cs="Arial"/>
          <w:noProof/>
        </w:rPr>
        <w:t xml:space="preserve">Fielding et al. </w:t>
      </w:r>
      <w:r w:rsidR="00AC6E98">
        <w:rPr>
          <w:rFonts w:ascii="Arial" w:hAnsi="Arial" w:cs="Arial"/>
          <w:noProof/>
        </w:rPr>
        <w:t>(</w:t>
      </w:r>
      <w:r w:rsidR="00AC6E98" w:rsidRPr="002253A5">
        <w:rPr>
          <w:rFonts w:ascii="Arial" w:hAnsi="Arial" w:cs="Arial"/>
          <w:noProof/>
        </w:rPr>
        <w:t>2018)</w:t>
      </w:r>
      <w:r w:rsidR="00AC6E98">
        <w:rPr>
          <w:rFonts w:ascii="Arial" w:hAnsi="Arial" w:cs="Arial"/>
        </w:rPr>
        <w:fldChar w:fldCharType="end"/>
      </w:r>
      <w:r w:rsidR="00AC6E98">
        <w:rPr>
          <w:rFonts w:ascii="Arial" w:hAnsi="Arial" w:cs="Arial"/>
        </w:rPr>
        <w:t xml:space="preserve">. </w:t>
      </w:r>
      <w:r w:rsidR="00AC6E98" w:rsidRPr="002A4E98">
        <w:rPr>
          <w:rFonts w:ascii="Arial" w:hAnsi="Arial" w:cs="Arial"/>
        </w:rPr>
        <w:t>Neoproterozoic</w:t>
      </w:r>
      <w:r w:rsidR="00AC6E98">
        <w:rPr>
          <w:rFonts w:ascii="Arial" w:hAnsi="Arial" w:cs="Arial"/>
        </w:rPr>
        <w:t xml:space="preserve"> outcrops of Gondwanian affinity are generally restricted in the Danube River basin, which is also supported by the lack of these </w:t>
      </w:r>
      <w:r w:rsidR="00AC6E98" w:rsidRPr="00A91413">
        <w:rPr>
          <w:rFonts w:ascii="Arial" w:hAnsi="Arial" w:cs="Arial"/>
        </w:rPr>
        <w:t>εHf</w:t>
      </w:r>
      <w:r w:rsidR="00AC6E98">
        <w:rPr>
          <w:rFonts w:ascii="Arial" w:hAnsi="Arial" w:cs="Arial"/>
        </w:rPr>
        <w:t xml:space="preserve"> isotopic values in the grains from the Tisza River</w:t>
      </w:r>
      <w:r w:rsidR="00B11457">
        <w:rPr>
          <w:rFonts w:ascii="Arial" w:hAnsi="Arial" w:cs="Arial"/>
        </w:rPr>
        <w:t xml:space="preserve"> (Figures </w:t>
      </w:r>
      <w:r w:rsidR="004557F3">
        <w:rPr>
          <w:rFonts w:ascii="Arial" w:hAnsi="Arial" w:cs="Arial"/>
        </w:rPr>
        <w:t>8</w:t>
      </w:r>
      <w:r w:rsidR="00B11457">
        <w:rPr>
          <w:rFonts w:ascii="Arial" w:hAnsi="Arial" w:cs="Arial"/>
        </w:rPr>
        <w:t xml:space="preserve"> and S3)</w:t>
      </w:r>
      <w:r w:rsidR="00AC6E98">
        <w:rPr>
          <w:rFonts w:ascii="Arial" w:hAnsi="Arial" w:cs="Arial"/>
        </w:rPr>
        <w:t xml:space="preserve">. Therefore the good match </w:t>
      </w:r>
      <w:r w:rsidR="00B21F0C">
        <w:rPr>
          <w:rFonts w:ascii="Arial" w:hAnsi="Arial" w:cs="Arial"/>
        </w:rPr>
        <w:t xml:space="preserve">between the </w:t>
      </w:r>
      <w:r w:rsidR="00AC6E98">
        <w:rPr>
          <w:rFonts w:ascii="Arial" w:hAnsi="Arial" w:cs="Arial"/>
        </w:rPr>
        <w:t xml:space="preserve">loess and </w:t>
      </w:r>
      <w:bookmarkStart w:id="66" w:name="_Hlk65068930"/>
      <w:r w:rsidR="00AC6E98">
        <w:rPr>
          <w:rFonts w:ascii="Arial" w:hAnsi="Arial" w:cs="Arial"/>
        </w:rPr>
        <w:t>the</w:t>
      </w:r>
      <w:r w:rsidR="00AC6E98" w:rsidRPr="00A91413">
        <w:rPr>
          <w:rFonts w:ascii="Arial" w:hAnsi="Arial" w:cs="Arial"/>
        </w:rPr>
        <w:t xml:space="preserve"> </w:t>
      </w:r>
      <w:r w:rsidR="00AC6E98" w:rsidRPr="004A5751">
        <w:rPr>
          <w:rFonts w:ascii="Arial" w:hAnsi="Arial" w:cs="Arial"/>
        </w:rPr>
        <w:t xml:space="preserve">Austroalpine </w:t>
      </w:r>
      <w:r w:rsidR="003C4DE2">
        <w:rPr>
          <w:rFonts w:ascii="Arial" w:hAnsi="Arial" w:cs="Arial"/>
        </w:rPr>
        <w:t>B</w:t>
      </w:r>
      <w:r w:rsidR="00AC6E98" w:rsidRPr="004A5751">
        <w:rPr>
          <w:rFonts w:ascii="Arial" w:hAnsi="Arial" w:cs="Arial"/>
        </w:rPr>
        <w:t>asement south of</w:t>
      </w:r>
      <w:r w:rsidR="00AC6E98">
        <w:rPr>
          <w:rFonts w:ascii="Arial" w:hAnsi="Arial" w:cs="Arial"/>
        </w:rPr>
        <w:t xml:space="preserve"> </w:t>
      </w:r>
      <w:r w:rsidR="00AC6E98" w:rsidRPr="004A5751">
        <w:rPr>
          <w:rFonts w:ascii="Arial" w:hAnsi="Arial" w:cs="Arial"/>
        </w:rPr>
        <w:t xml:space="preserve">the Tauern Window </w:t>
      </w:r>
      <w:r w:rsidR="00AC6E98">
        <w:rPr>
          <w:rFonts w:ascii="Arial" w:hAnsi="Arial" w:cs="Arial"/>
        </w:rPr>
        <w:t>(black square in the Figure 1B)</w:t>
      </w:r>
      <w:bookmarkStart w:id="67" w:name="_Hlk65069293"/>
      <w:bookmarkStart w:id="68" w:name="_Hlk65069687"/>
      <w:bookmarkEnd w:id="66"/>
      <w:r w:rsidR="00AC6E98" w:rsidRPr="00A91413">
        <w:rPr>
          <w:rFonts w:ascii="Arial" w:hAnsi="Arial" w:cs="Arial"/>
        </w:rPr>
        <w:t xml:space="preserve"> </w:t>
      </w:r>
      <w:r w:rsidR="00AC6E98">
        <w:rPr>
          <w:rFonts w:ascii="Arial" w:hAnsi="Arial" w:cs="Arial"/>
        </w:rPr>
        <w:t>supported by the Drava signatures, suggests the</w:t>
      </w:r>
      <w:r w:rsidR="00AC6E98" w:rsidRPr="00A91413">
        <w:rPr>
          <w:rFonts w:ascii="Arial" w:hAnsi="Arial" w:cs="Arial"/>
        </w:rPr>
        <w:t xml:space="preserve"> </w:t>
      </w:r>
      <w:r w:rsidR="00AC6E98" w:rsidRPr="004A5751">
        <w:rPr>
          <w:rFonts w:ascii="Arial" w:hAnsi="Arial" w:cs="Arial"/>
        </w:rPr>
        <w:t xml:space="preserve">Austroalpine basement </w:t>
      </w:r>
      <w:r w:rsidR="00B11457">
        <w:rPr>
          <w:rFonts w:ascii="Arial" w:hAnsi="Arial" w:cs="Arial"/>
        </w:rPr>
        <w:t>(</w:t>
      </w:r>
      <w:r w:rsidR="00AC6E98" w:rsidRPr="00A91413">
        <w:rPr>
          <w:rFonts w:ascii="Arial" w:hAnsi="Arial" w:cs="Arial"/>
        </w:rPr>
        <w:t>or an as yet unidentified source with near-identical provenance</w:t>
      </w:r>
      <w:r w:rsidR="00B11457">
        <w:rPr>
          <w:rFonts w:ascii="Arial" w:hAnsi="Arial" w:cs="Arial"/>
        </w:rPr>
        <w:t>)</w:t>
      </w:r>
      <w:r w:rsidR="00AC6E98" w:rsidRPr="00A91413">
        <w:rPr>
          <w:rFonts w:ascii="Arial" w:hAnsi="Arial" w:cs="Arial"/>
        </w:rPr>
        <w:t xml:space="preserve"> </w:t>
      </w:r>
      <w:r w:rsidR="00AC6E98">
        <w:rPr>
          <w:rFonts w:ascii="Arial" w:hAnsi="Arial" w:cs="Arial"/>
        </w:rPr>
        <w:t xml:space="preserve">is </w:t>
      </w:r>
      <w:r w:rsidR="00AC6E98" w:rsidRPr="00A91413">
        <w:rPr>
          <w:rFonts w:ascii="Arial" w:hAnsi="Arial" w:cs="Arial"/>
        </w:rPr>
        <w:t>a</w:t>
      </w:r>
      <w:r w:rsidR="00AC6E98">
        <w:rPr>
          <w:rFonts w:ascii="Arial" w:hAnsi="Arial" w:cs="Arial"/>
        </w:rPr>
        <w:t xml:space="preserve"> good candidate for a potentially large </w:t>
      </w:r>
      <w:r w:rsidR="00AC6E98" w:rsidRPr="00A91413">
        <w:rPr>
          <w:rFonts w:ascii="Arial" w:hAnsi="Arial" w:cs="Arial"/>
        </w:rPr>
        <w:t xml:space="preserve">source </w:t>
      </w:r>
      <w:r w:rsidR="00AC6E98">
        <w:rPr>
          <w:rFonts w:ascii="Arial" w:hAnsi="Arial" w:cs="Arial"/>
        </w:rPr>
        <w:t xml:space="preserve">of the 600 and 1000 Ma zircons </w:t>
      </w:r>
      <w:r w:rsidR="00AC6E98" w:rsidRPr="00A91413">
        <w:rPr>
          <w:rFonts w:ascii="Arial" w:hAnsi="Arial" w:cs="Arial"/>
        </w:rPr>
        <w:t xml:space="preserve">for the </w:t>
      </w:r>
      <w:r w:rsidR="00AC6E98">
        <w:rPr>
          <w:rFonts w:ascii="Arial" w:hAnsi="Arial" w:cs="Arial"/>
        </w:rPr>
        <w:t xml:space="preserve">Middle </w:t>
      </w:r>
      <w:r w:rsidR="00AC6E98" w:rsidRPr="00A91413">
        <w:rPr>
          <w:rFonts w:ascii="Arial" w:hAnsi="Arial" w:cs="Arial"/>
        </w:rPr>
        <w:t>Danube’s loess</w:t>
      </w:r>
      <w:bookmarkEnd w:id="67"/>
      <w:r w:rsidR="00AC6E98" w:rsidRPr="00A91413">
        <w:rPr>
          <w:rFonts w:ascii="Arial" w:hAnsi="Arial" w:cs="Arial"/>
        </w:rPr>
        <w:t>.</w:t>
      </w:r>
      <w:r w:rsidR="00AC6E98">
        <w:rPr>
          <w:rFonts w:ascii="Arial" w:hAnsi="Arial" w:cs="Arial"/>
        </w:rPr>
        <w:t xml:space="preserve"> </w:t>
      </w:r>
      <w:bookmarkStart w:id="69" w:name="_Hlk75355245"/>
      <w:bookmarkEnd w:id="65"/>
      <w:bookmarkEnd w:id="68"/>
      <w:r w:rsidR="00AC6E98">
        <w:rPr>
          <w:rFonts w:ascii="Arial" w:hAnsi="Arial" w:cs="Arial"/>
        </w:rPr>
        <w:t>Samples from the</w:t>
      </w:r>
      <w:r w:rsidR="00AC6E98" w:rsidRPr="00A91413">
        <w:rPr>
          <w:rFonts w:ascii="Arial" w:hAnsi="Arial" w:cs="Arial"/>
        </w:rPr>
        <w:t xml:space="preserve"> </w:t>
      </w:r>
      <w:r w:rsidR="00AC6E98" w:rsidRPr="00AC2F7C">
        <w:rPr>
          <w:rFonts w:ascii="Arial" w:hAnsi="Arial" w:cs="Arial"/>
        </w:rPr>
        <w:t>Dinarides</w:t>
      </w:r>
      <w:r w:rsidR="00AC6E98">
        <w:rPr>
          <w:rFonts w:ascii="Arial" w:hAnsi="Arial" w:cs="Arial"/>
        </w:rPr>
        <w:t xml:space="preserve"> and Hellenides (Vernon Massif) also</w:t>
      </w:r>
      <w:r w:rsidR="00AC6E98" w:rsidRPr="00A91413">
        <w:rPr>
          <w:rFonts w:ascii="Arial" w:hAnsi="Arial" w:cs="Arial"/>
        </w:rPr>
        <w:t xml:space="preserve"> have zircons</w:t>
      </w:r>
      <w:r w:rsidR="00AC6E98">
        <w:rPr>
          <w:rFonts w:ascii="Arial" w:hAnsi="Arial" w:cs="Arial"/>
        </w:rPr>
        <w:t xml:space="preserve"> with a positive </w:t>
      </w:r>
      <w:r w:rsidR="00AC6E98" w:rsidRPr="00A91413">
        <w:rPr>
          <w:rFonts w:ascii="Arial" w:hAnsi="Arial" w:cs="Arial"/>
        </w:rPr>
        <w:t>εHf</w:t>
      </w:r>
      <w:r w:rsidR="00AC6E98">
        <w:rPr>
          <w:rFonts w:ascii="Arial" w:hAnsi="Arial" w:cs="Arial"/>
        </w:rPr>
        <w:t xml:space="preserve"> (1.5-8), plotting as a </w:t>
      </w:r>
      <w:r w:rsidR="00AC6E98" w:rsidRPr="00A91413">
        <w:rPr>
          <w:rFonts w:ascii="Arial" w:hAnsi="Arial" w:cs="Arial"/>
        </w:rPr>
        <w:t xml:space="preserve">decreasing </w:t>
      </w:r>
      <w:r w:rsidR="00AC6E98">
        <w:rPr>
          <w:rFonts w:ascii="Arial" w:hAnsi="Arial" w:cs="Arial"/>
        </w:rPr>
        <w:t xml:space="preserve">trend </w:t>
      </w:r>
      <w:r w:rsidR="00AC6E98" w:rsidRPr="00A91413">
        <w:rPr>
          <w:rFonts w:ascii="Arial" w:hAnsi="Arial" w:cs="Arial"/>
        </w:rPr>
        <w:t xml:space="preserve">from </w:t>
      </w:r>
      <w:r w:rsidR="00AC6E98">
        <w:rPr>
          <w:rFonts w:ascii="Arial" w:hAnsi="Arial" w:cs="Arial"/>
        </w:rPr>
        <w:t xml:space="preserve">500 to 800 Ma and together with 300 Ma samples from the Vorass Massif suggest an ~1370 Ma crust evolution line. However, while the 500-800 Ma Vernon Massif samples plot over the ADL distribution they do not contribute to the observed hotspots at 600 Ma (Figures </w:t>
      </w:r>
      <w:r w:rsidR="004557F3">
        <w:rPr>
          <w:rFonts w:ascii="Arial" w:hAnsi="Arial" w:cs="Arial"/>
        </w:rPr>
        <w:t>5</w:t>
      </w:r>
      <w:r w:rsidR="00AC6E98">
        <w:rPr>
          <w:rFonts w:ascii="Arial" w:hAnsi="Arial" w:cs="Arial"/>
        </w:rPr>
        <w:t xml:space="preserve"> and 8), but rather to smaller populations. Nonetheless this suggest</w:t>
      </w:r>
      <w:r w:rsidR="00D670B7">
        <w:rPr>
          <w:rFonts w:ascii="Arial" w:hAnsi="Arial" w:cs="Arial"/>
        </w:rPr>
        <w:t>s</w:t>
      </w:r>
      <w:r w:rsidR="00AC6E98">
        <w:rPr>
          <w:rFonts w:ascii="Arial" w:hAnsi="Arial" w:cs="Arial"/>
        </w:rPr>
        <w:t xml:space="preserve"> that the Dinarides and Hellenides are also a plausible source of zircons to the Danubian loess. </w:t>
      </w:r>
    </w:p>
    <w:bookmarkEnd w:id="69"/>
    <w:p w14:paraId="31F44200" w14:textId="77777777" w:rsidR="00AC6E98" w:rsidRDefault="00AC6E98" w:rsidP="00AC6E98">
      <w:pPr>
        <w:spacing w:before="120" w:after="120" w:line="480" w:lineRule="auto"/>
        <w:jc w:val="both"/>
        <w:rPr>
          <w:rFonts w:ascii="Arial" w:hAnsi="Arial" w:cs="Arial"/>
        </w:rPr>
      </w:pPr>
      <w:r>
        <w:rPr>
          <w:rFonts w:ascii="Arial" w:hAnsi="Arial" w:cs="Arial"/>
          <w:noProof/>
        </w:rPr>
        <w:lastRenderedPageBreak/>
        <w:drawing>
          <wp:inline distT="0" distB="0" distL="0" distR="0" wp14:anchorId="20340BF0" wp14:editId="07BABEA6">
            <wp:extent cx="5731510" cy="8104505"/>
            <wp:effectExtent l="0" t="0" r="2540" b="0"/>
            <wp:docPr id="10" name="Picture 10"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scatter chart&#10;&#10;Description automatically generated"/>
                    <pic:cNvPicPr/>
                  </pic:nvPicPr>
                  <pic:blipFill>
                    <a:blip r:embed="rId17" cstate="hqprint">
                      <a:extLst>
                        <a:ext uri="{28A0092B-C50C-407E-A947-70E740481C1C}">
                          <a14:useLocalDpi xmlns:a14="http://schemas.microsoft.com/office/drawing/2010/main"/>
                        </a:ext>
                      </a:extLst>
                    </a:blip>
                    <a:stretch>
                      <a:fillRect/>
                    </a:stretch>
                  </pic:blipFill>
                  <pic:spPr>
                    <a:xfrm>
                      <a:off x="0" y="0"/>
                      <a:ext cx="5731510" cy="8104505"/>
                    </a:xfrm>
                    <a:prstGeom prst="rect">
                      <a:avLst/>
                    </a:prstGeom>
                  </pic:spPr>
                </pic:pic>
              </a:graphicData>
            </a:graphic>
          </wp:inline>
        </w:drawing>
      </w:r>
    </w:p>
    <w:p w14:paraId="0294C41C" w14:textId="7FC3FBE0" w:rsidR="00AC6E98" w:rsidRDefault="00AC6E98" w:rsidP="00AC6E98">
      <w:pPr>
        <w:spacing w:before="120" w:after="120" w:line="480" w:lineRule="auto"/>
        <w:jc w:val="both"/>
        <w:rPr>
          <w:rFonts w:ascii="Arial" w:hAnsi="Arial" w:cs="Arial"/>
        </w:rPr>
      </w:pPr>
      <w:bookmarkStart w:id="70" w:name="_Hlk73872937"/>
      <w:bookmarkStart w:id="71" w:name="_Hlk74212875"/>
      <w:r w:rsidRPr="0046331D">
        <w:rPr>
          <w:rFonts w:ascii="Arial" w:hAnsi="Arial" w:cs="Arial"/>
          <w:b/>
          <w:bCs/>
        </w:rPr>
        <w:t xml:space="preserve">Figure </w:t>
      </w:r>
      <w:r>
        <w:rPr>
          <w:rFonts w:ascii="Arial" w:hAnsi="Arial" w:cs="Arial"/>
          <w:b/>
          <w:bCs/>
        </w:rPr>
        <w:t>8.</w:t>
      </w:r>
      <w:r w:rsidRPr="0046331D">
        <w:rPr>
          <w:rFonts w:ascii="Arial" w:hAnsi="Arial" w:cs="Arial"/>
        </w:rPr>
        <w:t xml:space="preserve"> </w:t>
      </w:r>
      <w:bookmarkStart w:id="72" w:name="_Hlk80175641"/>
      <w:bookmarkStart w:id="73" w:name="_Hlk73540799"/>
      <w:r w:rsidRPr="0046331D">
        <w:rPr>
          <w:rFonts w:ascii="Arial" w:hAnsi="Arial" w:cs="Arial"/>
          <w:bCs/>
        </w:rPr>
        <w:t>Probability density plot showing Hf isotope–time evolution of the averaged Danubian loess</w:t>
      </w:r>
      <w:r>
        <w:rPr>
          <w:rFonts w:ascii="Arial" w:hAnsi="Arial" w:cs="Arial"/>
          <w:bCs/>
        </w:rPr>
        <w:t>, top panel shows all datapoints, whereas bottom panel shows 0-1200 Ma interval</w:t>
      </w:r>
      <w:r w:rsidRPr="0046331D">
        <w:rPr>
          <w:rFonts w:ascii="Arial" w:hAnsi="Arial" w:cs="Arial"/>
          <w:bCs/>
        </w:rPr>
        <w:t>.</w:t>
      </w:r>
      <w:r w:rsidRPr="0046331D">
        <w:rPr>
          <w:rFonts w:ascii="Arial" w:hAnsi="Arial" w:cs="Arial"/>
          <w:b/>
        </w:rPr>
        <w:t xml:space="preserve"> </w:t>
      </w:r>
      <w:bookmarkStart w:id="74" w:name="_Hlk28869601"/>
      <w:r w:rsidRPr="0046331D">
        <w:rPr>
          <w:rFonts w:ascii="Arial" w:hAnsi="Arial" w:cs="Arial"/>
        </w:rPr>
        <w:t xml:space="preserve">The </w:t>
      </w:r>
      <w:r w:rsidRPr="0046331D">
        <w:rPr>
          <w:rFonts w:ascii="Arial" w:hAnsi="Arial" w:cs="Arial"/>
        </w:rPr>
        <w:lastRenderedPageBreak/>
        <w:t xml:space="preserve">density of the data distribution is calculated using a modified version of the Kernel Density Estimation </w:t>
      </w:r>
      <w:r w:rsidRPr="0046331D">
        <w:rPr>
          <w:rFonts w:ascii="Arial" w:hAnsi="Arial" w:cs="Arial"/>
        </w:rPr>
        <w:fldChar w:fldCharType="begin" w:fldLock="1"/>
      </w:r>
      <w:r>
        <w:rPr>
          <w:rFonts w:ascii="Arial" w:hAnsi="Arial" w:cs="Arial"/>
        </w:rPr>
        <w:instrText>ADDIN CSL_CITATION {"citationItems":[{"id":"ITEM-1","itemData":{"DOI":"10.1214/10-AOS799","ISSN":"00905364","abstract":"We present a new adaptive kernel density estimator based on linear diffusion processes. The proposed estimator builds on existing ideas for adaptive smoothing by incorporating information from a pilot density estimate. In addition, we propose a new plug-in bandwidth selection method that is free from the arbitrary normal reference rules used by existing methods. We present simulation examples in which the proposed approach outperforms existing methods in terms of accuracy and reliability.","author":[{"dropping-particle":"","family":"Botev","given":"Z. I.","non-dropping-particle":"","parse-names":false,"suffix":""},{"dropping-particle":"","family":"Grotowski","given":"J. F.","non-dropping-particle":"","parse-names":false,"suffix":""},{"dropping-particle":"","family":"Kroese","given":"D. P.","non-dropping-particle":"","parse-names":false,"suffix":""}],"container-title":"Annals of Statistics","id":"ITEM-1","issue":"5","issued":{"date-parts":[["2010"]]},"page":"2916-2957","title":"Kernel density estimation via diffusion","type":"article-journal","volume":"38"},"uris":["http://www.mendeley.com/documents/?uuid=0af12039-061a-4701-bd9b-d7e5bec6a5d4"]}],"mendeley":{"formattedCitation":"(Botev et al., 2010)","plainTextFormattedCitation":"(Botev et al., 2010)","previouslyFormattedCitation":"(Botev et al., 2010)"},"properties":{"noteIndex":0},"schema":"https://github.com/citation-style-language/schema/raw/master/csl-citation.json"}</w:instrText>
      </w:r>
      <w:r w:rsidRPr="0046331D">
        <w:rPr>
          <w:rFonts w:ascii="Arial" w:hAnsi="Arial" w:cs="Arial"/>
        </w:rPr>
        <w:fldChar w:fldCharType="separate"/>
      </w:r>
      <w:r w:rsidRPr="008612C3">
        <w:rPr>
          <w:rFonts w:ascii="Arial" w:hAnsi="Arial" w:cs="Arial"/>
          <w:noProof/>
        </w:rPr>
        <w:t>(Botev et al., 2010)</w:t>
      </w:r>
      <w:r w:rsidRPr="0046331D">
        <w:rPr>
          <w:rFonts w:ascii="Arial" w:hAnsi="Arial" w:cs="Arial"/>
        </w:rPr>
        <w:fldChar w:fldCharType="end"/>
      </w:r>
      <w:r w:rsidRPr="0046331D">
        <w:rPr>
          <w:rFonts w:ascii="Arial" w:hAnsi="Arial" w:cs="Arial"/>
        </w:rPr>
        <w:t xml:space="preserve"> analysis modified for R.</w:t>
      </w:r>
      <w:bookmarkEnd w:id="70"/>
      <w:r w:rsidRPr="0046331D">
        <w:rPr>
          <w:rFonts w:ascii="Arial" w:hAnsi="Arial" w:cs="Arial"/>
        </w:rPr>
        <w:t xml:space="preserve"> </w:t>
      </w:r>
      <w:bookmarkEnd w:id="74"/>
      <w:r w:rsidRPr="00935695">
        <w:rPr>
          <w:rFonts w:ascii="Arial" w:hAnsi="Arial" w:cs="Arial"/>
        </w:rPr>
        <w:t>εHf evolution</w:t>
      </w:r>
      <w:r>
        <w:rPr>
          <w:rFonts w:ascii="Arial" w:hAnsi="Arial" w:cs="Arial"/>
        </w:rPr>
        <w:t xml:space="preserve"> lines for the 1370 Ma and 3500 Ma crust are added. </w:t>
      </w:r>
      <w:bookmarkEnd w:id="72"/>
      <w:r w:rsidRPr="0046331D">
        <w:rPr>
          <w:rFonts w:ascii="Arial" w:hAnsi="Arial" w:cs="Arial"/>
        </w:rPr>
        <w:t xml:space="preserve">The </w:t>
      </w:r>
      <w:r>
        <w:rPr>
          <w:rFonts w:ascii="Arial" w:hAnsi="Arial" w:cs="Arial"/>
        </w:rPr>
        <w:t xml:space="preserve">potential </w:t>
      </w:r>
      <w:r w:rsidRPr="0046331D">
        <w:rPr>
          <w:rFonts w:ascii="Arial" w:hAnsi="Arial" w:cs="Arial"/>
        </w:rPr>
        <w:t xml:space="preserve">source Hf </w:t>
      </w:r>
      <w:r>
        <w:rPr>
          <w:rFonts w:ascii="Arial" w:hAnsi="Arial" w:cs="Arial"/>
        </w:rPr>
        <w:t xml:space="preserve">data </w:t>
      </w:r>
      <w:r w:rsidRPr="0046331D">
        <w:rPr>
          <w:rFonts w:ascii="Arial" w:hAnsi="Arial" w:cs="Arial"/>
        </w:rPr>
        <w:t>are superimposed,</w:t>
      </w:r>
      <w:r>
        <w:rPr>
          <w:rFonts w:ascii="Arial" w:hAnsi="Arial" w:cs="Arial"/>
        </w:rPr>
        <w:t xml:space="preserve"> see</w:t>
      </w:r>
      <w:r w:rsidRPr="0046331D">
        <w:rPr>
          <w:rFonts w:ascii="Arial" w:hAnsi="Arial" w:cs="Arial"/>
        </w:rPr>
        <w:t xml:space="preserve"> </w:t>
      </w:r>
      <w:r>
        <w:rPr>
          <w:rFonts w:ascii="Arial" w:hAnsi="Arial" w:cs="Arial"/>
        </w:rPr>
        <w:t xml:space="preserve">Supplementary Table S2 </w:t>
      </w:r>
      <w:r w:rsidRPr="0046331D">
        <w:rPr>
          <w:rFonts w:ascii="Arial" w:hAnsi="Arial" w:cs="Arial"/>
        </w:rPr>
        <w:t>for the Hf metadata</w:t>
      </w:r>
      <w:r>
        <w:rPr>
          <w:rFonts w:ascii="Arial" w:hAnsi="Arial" w:cs="Arial"/>
        </w:rPr>
        <w:t xml:space="preserve"> and Figure S3 for overlap of individual potential sources</w:t>
      </w:r>
      <w:r w:rsidRPr="0046331D">
        <w:rPr>
          <w:rFonts w:ascii="Arial" w:hAnsi="Arial" w:cs="Arial"/>
        </w:rPr>
        <w:t xml:space="preserve">. </w:t>
      </w:r>
      <w:bookmarkEnd w:id="73"/>
    </w:p>
    <w:p w14:paraId="32FB52D2" w14:textId="7B7D3320" w:rsidR="00AC6E98" w:rsidRPr="00B11457" w:rsidRDefault="00AC6E98" w:rsidP="00CB3E92">
      <w:pPr>
        <w:pStyle w:val="Heading3"/>
        <w:numPr>
          <w:ilvl w:val="2"/>
          <w:numId w:val="34"/>
        </w:numPr>
        <w:spacing w:before="120" w:after="120" w:line="480" w:lineRule="auto"/>
        <w:ind w:left="851" w:hanging="851"/>
        <w:jc w:val="both"/>
        <w:rPr>
          <w:rFonts w:ascii="Arial" w:hAnsi="Arial" w:cs="Arial"/>
          <w:i/>
          <w:color w:val="auto"/>
        </w:rPr>
      </w:pPr>
      <w:r w:rsidRPr="00B11457">
        <w:rPr>
          <w:rFonts w:ascii="Arial" w:hAnsi="Arial" w:cs="Arial"/>
          <w:i/>
          <w:color w:val="auto"/>
        </w:rPr>
        <w:t>450 Ma</w:t>
      </w:r>
      <w:bookmarkEnd w:id="71"/>
    </w:p>
    <w:p w14:paraId="4C955F0E" w14:textId="57DA4EED" w:rsidR="005C3ADD" w:rsidRDefault="00D05714" w:rsidP="00AC6E98">
      <w:pPr>
        <w:spacing w:before="120" w:after="120" w:line="480" w:lineRule="auto"/>
        <w:jc w:val="both"/>
        <w:rPr>
          <w:rFonts w:ascii="Arial" w:hAnsi="Arial" w:cs="Arial"/>
        </w:rPr>
      </w:pPr>
      <w:bookmarkStart w:id="75" w:name="_Hlk75355092"/>
      <w:r>
        <w:rPr>
          <w:rFonts w:ascii="Arial" w:hAnsi="Arial" w:cs="Arial"/>
        </w:rPr>
        <w:t>The second of the dominant</w:t>
      </w:r>
      <w:r w:rsidR="00B602A3">
        <w:rPr>
          <w:rFonts w:ascii="Arial" w:hAnsi="Arial" w:cs="Arial"/>
        </w:rPr>
        <w:t xml:space="preserve"> ADL</w:t>
      </w:r>
      <w:r>
        <w:rPr>
          <w:rFonts w:ascii="Arial" w:hAnsi="Arial" w:cs="Arial"/>
        </w:rPr>
        <w:t xml:space="preserve"> loess </w:t>
      </w:r>
      <w:r w:rsidR="001303F2">
        <w:rPr>
          <w:rFonts w:ascii="Arial" w:hAnsi="Arial" w:cs="Arial"/>
        </w:rPr>
        <w:t xml:space="preserve">zircon </w:t>
      </w:r>
      <w:r>
        <w:rPr>
          <w:rFonts w:ascii="Arial" w:hAnsi="Arial" w:cs="Arial"/>
        </w:rPr>
        <w:t>populations</w:t>
      </w:r>
      <w:r w:rsidR="007918A8">
        <w:rPr>
          <w:rFonts w:ascii="Arial" w:hAnsi="Arial" w:cs="Arial"/>
        </w:rPr>
        <w:t xml:space="preserve"> </w:t>
      </w:r>
      <w:r w:rsidR="00B602A3">
        <w:rPr>
          <w:rFonts w:ascii="Arial" w:hAnsi="Arial" w:cs="Arial"/>
        </w:rPr>
        <w:t xml:space="preserve">is centred around </w:t>
      </w:r>
      <w:r>
        <w:rPr>
          <w:rFonts w:ascii="Arial" w:hAnsi="Arial" w:cs="Arial"/>
        </w:rPr>
        <w:t>~450 Ma (</w:t>
      </w:r>
      <w:r w:rsidRPr="00B714EE">
        <w:rPr>
          <w:rFonts w:ascii="Arial" w:hAnsi="Arial" w:cs="Arial"/>
        </w:rPr>
        <w:t xml:space="preserve">Figure </w:t>
      </w:r>
      <w:r w:rsidR="003E52B2">
        <w:rPr>
          <w:rFonts w:ascii="Arial" w:hAnsi="Arial" w:cs="Arial"/>
        </w:rPr>
        <w:t>3</w:t>
      </w:r>
      <w:r>
        <w:rPr>
          <w:rFonts w:ascii="Arial" w:hAnsi="Arial" w:cs="Arial"/>
        </w:rPr>
        <w:t>)</w:t>
      </w:r>
      <w:r w:rsidR="00B602A3">
        <w:rPr>
          <w:rFonts w:ascii="Arial" w:hAnsi="Arial" w:cs="Arial"/>
        </w:rPr>
        <w:t>,</w:t>
      </w:r>
      <w:r w:rsidR="005C3ADD">
        <w:rPr>
          <w:rFonts w:ascii="Arial" w:hAnsi="Arial" w:cs="Arial"/>
        </w:rPr>
        <w:t xml:space="preserve"> and the KDEs (Figure </w:t>
      </w:r>
      <w:r w:rsidR="003C25EB">
        <w:rPr>
          <w:rFonts w:ascii="Arial" w:hAnsi="Arial" w:cs="Arial"/>
        </w:rPr>
        <w:t>6</w:t>
      </w:r>
      <w:r w:rsidR="005C3ADD">
        <w:rPr>
          <w:rFonts w:ascii="Arial" w:hAnsi="Arial" w:cs="Arial"/>
        </w:rPr>
        <w:t xml:space="preserve">) show that grains of these ages are also abundant in rocks across Central and Southern </w:t>
      </w:r>
      <w:r w:rsidR="005C3ADD" w:rsidRPr="00B71174">
        <w:rPr>
          <w:rFonts w:ascii="Arial" w:hAnsi="Arial" w:cs="Arial"/>
        </w:rPr>
        <w:t xml:space="preserve">Europe </w:t>
      </w:r>
      <w:r w:rsidR="005C3ADD" w:rsidRPr="00B71174">
        <w:rPr>
          <w:rFonts w:ascii="Arial" w:hAnsi="Arial" w:cs="Arial"/>
        </w:rPr>
        <w:fldChar w:fldCharType="begin" w:fldLock="1"/>
      </w:r>
      <w:r w:rsidR="005C3ADD">
        <w:rPr>
          <w:rFonts w:ascii="Arial" w:hAnsi="Arial" w:cs="Arial"/>
        </w:rPr>
        <w:instrText xml:space="preserve">ADDIN CSL_CITATION {"citationItems":[{"id":"ITEM-1","itemData":{"DOI":"10.1016/j.gsf.2013.09.002","ISSN":"16749871","abstract":"The basement of the Romanian Carpathians is made of Neoproterozoic to early Paleozoic peri-Gondwanan terranes variably involved in the Variscan orogeny, similarly to other basement terrains of Europe. They were hardly dismembered during the Alpine orogeny and traditionally have their own names in the three Carpathian areas. The Danubian domain of the South Carpathians comprises the Drǎgşan and Lainici-Pǎiuş peri-Amazonian terranes. The Drǎgşan terrane originated within the ocean surrounding Rodinia and docked with Rodinia at </w:instrText>
      </w:r>
      <w:r w:rsidR="005C3ADD">
        <w:rPr>
          <w:rFonts w:ascii="Cambria Math" w:hAnsi="Cambria Math" w:cs="Cambria Math"/>
        </w:rPr>
        <w:instrText>∼</w:instrText>
      </w:r>
      <w:r w:rsidR="005C3ADD">
        <w:rPr>
          <w:rFonts w:ascii="Arial" w:hAnsi="Arial" w:cs="Arial"/>
        </w:rPr>
        <w:instrText>800 Ma. It does not contain Cadomian magmatism and consequently it is classified as an Avalonian extra-Cadomian terrane. The Lainici-Pǎiuş terrane is a Ganderian fragment strongly modified by Cadomian subduction-related magmatism. It is attached to the Moesia platform. The Tisoviţa terrane is an ophiolite that marks the boundary between Drǎgşan and Lainici-Pǎiuş terranes. The other basement terranes of the Romanian Carpathians originated close to the Ordovician North-African orogen, as a result of the eastern Rheic Ocean opening and closure. Except for the Sebeş-Lotru terrane that includes a lower metamorphic unit of Cadomian age, all the other terranes (Bretila, Tulgheş, Negrişoara and Rebra in the East Carpathians, Someş, Biharia and Baia de Arieş in the Apuseni mountains, Fagaraş, Leaota, Caraş and Padeş in the South Carpathians) represent late Cambrian-Ordovician rock assemblages. Their provenance, is probably within paleo-northeast Africa, close to the Arabian-Nubian shield. The late Cambrian-Ordovician terranes are defined here as Carpathian-type terranes. According to their lithostratigraphy and origin, some are of continental margin magmatic arc setting, whereas others formed in rift and back-arc environment and closed to passive continental margin settings. In a paleogeographic reconstruction, the continental margin magmatic arc terranes were first that drifted out, followed by the passive continental margin terranes with the back-arc terranes in their front. They accreted to Laurussia during the Variscan orogeny. Some of them (Sebeş-Lotru in South Carpathians and Baia de Arieş in Apuseni mountains) underwent eclogite-grade metamorphism. The Danubian terranes, the Bretila terrane and the Someş terrane were intruded by Variscan granitoids. © 2013 Elsevier B.V. All rights reserved.","author":[{"dropping-particle":"","family":"Balintoni","given":"Ioan","non-dropping-particle":"","parse-names":false,"suffix":""},{"dropping-particle":"","family":"Balica","given":"Constantin","non-dropping-particle":"","parse-names":false,"suffix":""},{"dropping-particle":"","family":"Ducea","given":"Mihai N.","non-dropping-particle":"","parse-names":false,"suffix":""},{"dropping-particle":"","family":"Hann","given":"Horst Peter","non-dropping-particle":"","parse-names":false,"suffix":""}],"container-title":"Geoscience Frontiers","id":"ITEM-1","issue":"3","issued":{"date-parts":[["2014"]]},"page":"395-411","publisher":"Elsevier Ltd","title":"Peri-Gondwanan terranes in the Romanian Carpathians: A review of their spatial distribution, origin, provenance, and evolution","type":"article-journal","volume":"5"},"uris":["http://www.mendeley.com/documents/?uuid=da6826ca-d664-4169-9e78-78d81db2d03d"]}],"mendeley":{"formattedCitation":"(Balintoni et al., 2014)","plainTextFormattedCitation":"(Balintoni et al., 2014)","previouslyFormattedCitation":"(Balintoni et al., 2014)"},"properties":{"noteIndex":0},"schema":"https://github.com/citation-style-language/schema/raw/master/csl-citation.json"}</w:instrText>
      </w:r>
      <w:r w:rsidR="005C3ADD" w:rsidRPr="00B71174">
        <w:rPr>
          <w:rFonts w:ascii="Arial" w:hAnsi="Arial" w:cs="Arial"/>
        </w:rPr>
        <w:fldChar w:fldCharType="separate"/>
      </w:r>
      <w:r w:rsidR="005C3ADD" w:rsidRPr="008612C3">
        <w:rPr>
          <w:rFonts w:ascii="Arial" w:hAnsi="Arial" w:cs="Arial"/>
          <w:noProof/>
        </w:rPr>
        <w:t>(Balintoni et al., 2014)</w:t>
      </w:r>
      <w:r w:rsidR="005C3ADD" w:rsidRPr="00B71174">
        <w:rPr>
          <w:rFonts w:ascii="Arial" w:hAnsi="Arial" w:cs="Arial"/>
        </w:rPr>
        <w:fldChar w:fldCharType="end"/>
      </w:r>
      <w:r w:rsidR="0008335F">
        <w:rPr>
          <w:rFonts w:ascii="Arial" w:hAnsi="Arial" w:cs="Arial"/>
        </w:rPr>
        <w:t>,</w:t>
      </w:r>
      <w:r w:rsidR="005C3ADD">
        <w:rPr>
          <w:rFonts w:ascii="Arial" w:hAnsi="Arial" w:cs="Arial"/>
        </w:rPr>
        <w:t xml:space="preserve"> e.g. t</w:t>
      </w:r>
      <w:r w:rsidR="005C3ADD" w:rsidRPr="00313883">
        <w:rPr>
          <w:rFonts w:ascii="Arial" w:hAnsi="Arial" w:cs="Arial"/>
        </w:rPr>
        <w:t>he</w:t>
      </w:r>
      <w:r w:rsidR="005C3ADD">
        <w:rPr>
          <w:rFonts w:ascii="Arial" w:hAnsi="Arial" w:cs="Arial"/>
        </w:rPr>
        <w:t xml:space="preserve"> </w:t>
      </w:r>
      <w:r w:rsidR="005C3ADD" w:rsidRPr="00313883">
        <w:rPr>
          <w:rFonts w:ascii="Arial" w:hAnsi="Arial" w:cs="Arial"/>
        </w:rPr>
        <w:t xml:space="preserve">Bohemian Massif </w:t>
      </w:r>
      <w:r w:rsidR="005C3ADD">
        <w:rPr>
          <w:rFonts w:ascii="Arial" w:hAnsi="Arial" w:cs="Arial"/>
        </w:rPr>
        <w:t>(</w:t>
      </w:r>
      <w:r w:rsidR="005C3ADD" w:rsidRPr="00313883">
        <w:rPr>
          <w:rFonts w:ascii="Arial" w:hAnsi="Arial" w:cs="Arial"/>
        </w:rPr>
        <w:t>WBM</w:t>
      </w:r>
      <w:r w:rsidR="005C3ADD">
        <w:rPr>
          <w:rFonts w:ascii="Arial" w:hAnsi="Arial" w:cs="Arial"/>
        </w:rPr>
        <w:t xml:space="preserve"> and SBM</w:t>
      </w:r>
      <w:r w:rsidR="005C3ADD" w:rsidRPr="00313883">
        <w:rPr>
          <w:rFonts w:ascii="Arial" w:hAnsi="Arial" w:cs="Arial"/>
        </w:rPr>
        <w:t>)</w:t>
      </w:r>
      <w:r w:rsidR="005C3ADD">
        <w:rPr>
          <w:rFonts w:ascii="Arial" w:hAnsi="Arial" w:cs="Arial"/>
        </w:rPr>
        <w:t xml:space="preserve">, </w:t>
      </w:r>
      <w:r w:rsidR="005C3ADD" w:rsidRPr="00313883">
        <w:rPr>
          <w:rFonts w:ascii="Arial" w:hAnsi="Arial" w:cs="Arial"/>
        </w:rPr>
        <w:t xml:space="preserve">Western Carpathians </w:t>
      </w:r>
      <w:r w:rsidR="005C3ADD">
        <w:rPr>
          <w:rFonts w:ascii="Arial" w:hAnsi="Arial" w:cs="Arial"/>
        </w:rPr>
        <w:t xml:space="preserve">(SGU2), Bϋkk Mountains (BK), </w:t>
      </w:r>
      <w:r w:rsidR="005C3ADD" w:rsidRPr="00313883">
        <w:rPr>
          <w:rFonts w:ascii="Arial" w:hAnsi="Arial" w:cs="Arial"/>
        </w:rPr>
        <w:t>Southern Carpathians</w:t>
      </w:r>
      <w:r w:rsidR="005C3ADD">
        <w:rPr>
          <w:rFonts w:ascii="Arial" w:hAnsi="Arial" w:cs="Arial"/>
        </w:rPr>
        <w:t xml:space="preserve"> (BF and SLT), and Drava and Tisza rivers. The abundance of 450 Ma ages in Tisza sample and their presence in only some Southern and Western Carpathian samples could suggest that the Eastern Carpathians are one of the sources of the grains with these ages. </w:t>
      </w:r>
      <w:r w:rsidR="00B21F0C">
        <w:rPr>
          <w:rFonts w:ascii="Arial" w:hAnsi="Arial" w:cs="Arial"/>
        </w:rPr>
        <w:t>However the</w:t>
      </w:r>
      <w:r w:rsidR="005C3ADD">
        <w:rPr>
          <w:rFonts w:ascii="Arial" w:hAnsi="Arial" w:cs="Arial"/>
        </w:rPr>
        <w:t xml:space="preserve"> limited number of source samples with </w:t>
      </w:r>
      <w:r w:rsidR="005C3ADD" w:rsidRPr="00313883">
        <w:rPr>
          <w:rFonts w:ascii="Arial" w:hAnsi="Arial" w:cs="Arial"/>
        </w:rPr>
        <w:t>εHf</w:t>
      </w:r>
      <w:r w:rsidR="001A0412">
        <w:rPr>
          <w:rFonts w:ascii="Arial" w:hAnsi="Arial" w:cs="Arial"/>
        </w:rPr>
        <w:t xml:space="preserve"> isotope</w:t>
      </w:r>
      <w:r w:rsidR="005C3ADD">
        <w:rPr>
          <w:rFonts w:ascii="Arial" w:hAnsi="Arial" w:cs="Arial"/>
        </w:rPr>
        <w:t xml:space="preserve"> data </w:t>
      </w:r>
      <w:r w:rsidR="001A0412">
        <w:rPr>
          <w:rFonts w:ascii="Arial" w:hAnsi="Arial" w:cs="Arial"/>
        </w:rPr>
        <w:t xml:space="preserve">(Figure 8) </w:t>
      </w:r>
      <w:r w:rsidR="005C3ADD">
        <w:rPr>
          <w:rFonts w:ascii="Arial" w:hAnsi="Arial" w:cs="Arial"/>
        </w:rPr>
        <w:t xml:space="preserve">available precludes investigation of the ADL’s 450 Ma population source. There are hints of similarities with the Piemonte Zone, Schladming Complex, and especially the Serbo-Macedonian Massif, but no bedrock datasets explain the range of values seen, nor do they exactly overlap the 450 Ma </w:t>
      </w:r>
      <w:r w:rsidR="005C3ADD" w:rsidRPr="00313883">
        <w:rPr>
          <w:rFonts w:ascii="Arial" w:hAnsi="Arial" w:cs="Arial"/>
        </w:rPr>
        <w:t>εHf</w:t>
      </w:r>
      <w:r w:rsidR="005C3ADD">
        <w:rPr>
          <w:rFonts w:ascii="Arial" w:hAnsi="Arial" w:cs="Arial"/>
        </w:rPr>
        <w:t xml:space="preserve"> “hot spot”. </w:t>
      </w:r>
    </w:p>
    <w:p w14:paraId="0B047F77" w14:textId="0E90AC7D" w:rsidR="001A0412" w:rsidRDefault="005C3ADD" w:rsidP="005C3ADD">
      <w:pPr>
        <w:spacing w:before="120" w:after="120" w:line="480" w:lineRule="auto"/>
        <w:jc w:val="both"/>
        <w:rPr>
          <w:rFonts w:ascii="Arial" w:hAnsi="Arial" w:cs="Arial"/>
        </w:rPr>
      </w:pPr>
      <w:r>
        <w:rPr>
          <w:rFonts w:ascii="Arial" w:hAnsi="Arial" w:cs="Arial"/>
        </w:rPr>
        <w:t>I</w:t>
      </w:r>
      <w:r w:rsidR="00B602A3">
        <w:rPr>
          <w:rFonts w:ascii="Arial" w:hAnsi="Arial" w:cs="Arial"/>
        </w:rPr>
        <w:t>n some loess profiles (Stratzing, Erdut, Surduk 2, and Slivata) this peak is slightly older (~</w:t>
      </w:r>
      <w:r w:rsidR="00640F50">
        <w:rPr>
          <w:rFonts w:ascii="Arial" w:hAnsi="Arial" w:cs="Arial"/>
        </w:rPr>
        <w:t>460-48</w:t>
      </w:r>
      <w:r w:rsidR="00B602A3">
        <w:rPr>
          <w:rFonts w:ascii="Arial" w:hAnsi="Arial" w:cs="Arial"/>
        </w:rPr>
        <w:t>0</w:t>
      </w:r>
      <w:r w:rsidR="00640F50">
        <w:rPr>
          <w:rFonts w:ascii="Arial" w:hAnsi="Arial" w:cs="Arial"/>
        </w:rPr>
        <w:t xml:space="preserve"> Ma</w:t>
      </w:r>
      <w:r w:rsidR="00B602A3">
        <w:rPr>
          <w:rFonts w:ascii="Arial" w:hAnsi="Arial" w:cs="Arial"/>
        </w:rPr>
        <w:t xml:space="preserve">) whereas at Basaharc, Mende, Paks and Zmajevac it sits ~430 Ma. </w:t>
      </w:r>
      <w:bookmarkStart w:id="76" w:name="_Hlk81296100"/>
      <w:r w:rsidR="00640F50">
        <w:rPr>
          <w:rFonts w:ascii="Arial" w:hAnsi="Arial" w:cs="Arial"/>
        </w:rPr>
        <w:t xml:space="preserve">This could be an artefact of smaller samples at the latter sites, or it could </w:t>
      </w:r>
      <w:bookmarkStart w:id="77" w:name="_Hlk81129548"/>
      <w:r w:rsidR="00FF39A7">
        <w:rPr>
          <w:rFonts w:ascii="Arial" w:hAnsi="Arial" w:cs="Arial"/>
        </w:rPr>
        <w:t xml:space="preserve">be linked to </w:t>
      </w:r>
      <w:r w:rsidR="002668B1">
        <w:rPr>
          <w:rFonts w:ascii="Arial" w:hAnsi="Arial" w:cs="Arial"/>
        </w:rPr>
        <w:t>several events:</w:t>
      </w:r>
      <w:r>
        <w:rPr>
          <w:rFonts w:ascii="Arial" w:hAnsi="Arial" w:cs="Arial"/>
        </w:rPr>
        <w:t xml:space="preserve"> two different phases of the events relating to the collision of the </w:t>
      </w:r>
      <w:r w:rsidRPr="00B71174">
        <w:rPr>
          <w:rFonts w:ascii="Arial" w:hAnsi="Arial" w:cs="Arial"/>
        </w:rPr>
        <w:t>Avalonia and Cadomia terranes</w:t>
      </w:r>
      <w:r>
        <w:rPr>
          <w:rFonts w:ascii="Arial" w:hAnsi="Arial" w:cs="Arial"/>
        </w:rPr>
        <w:t xml:space="preserve"> with </w:t>
      </w:r>
      <w:r w:rsidRPr="00B71174">
        <w:rPr>
          <w:rFonts w:ascii="Arial" w:hAnsi="Arial" w:cs="Arial"/>
        </w:rPr>
        <w:t>the East European and North American Cratons</w:t>
      </w:r>
      <w:r>
        <w:rPr>
          <w:rFonts w:ascii="Arial" w:hAnsi="Arial" w:cs="Arial"/>
        </w:rPr>
        <w:t xml:space="preserve"> and their multiple subduction zones </w:t>
      </w:r>
      <w:r w:rsidRPr="00B71174">
        <w:rPr>
          <w:rFonts w:ascii="Arial" w:hAnsi="Arial" w:cs="Arial"/>
        </w:rPr>
        <w:fldChar w:fldCharType="begin" w:fldLock="1"/>
      </w:r>
      <w:r>
        <w:rPr>
          <w:rFonts w:ascii="Arial" w:hAnsi="Arial" w:cs="Arial"/>
        </w:rPr>
        <w:instrText>ADDIN CSL_CITATION {"citationItems":[{"id":"ITEM-1","itemData":{"DOI":"10.1016/S0040-1951(03)00015-5","ISSN":"00401951","abstract":"The European Variscan and Alpine mountain chains are collisional orogens, and are built up of pre-Variscan \"building blocks\" which, in most cases, originated at the Gondwana margin. Such pre-Variscan elements were part of a pre-Ordovician archipelago-like continental ribbon in the former eastern prolongation of Avalonia, and their present-day distribution resulted from juxtaposition through Variscan and/or Alpine tectonic evolution. The well-known nomenclatures applied to these mountain chains are the mirror of Variscan resp. Alpine organization. It is the aim of this paper to present a terminology taking into account their pre-Variscan evolution at the Gondwana margin. They may contain relics of volcanic islands with pieces of Cadomian crust, relics of volcanic arc settings, and accretionary wedges, which were separated from Gondwana by initial stages of Rheic ocean opening. After a short-lived Ordovician orogenic event and amalgamation of these elements at the Gondwanan margin, the still continuing Gondwana-directed subduction triggered the formation of Ordovician Al-rich granitoids and the latest Ordovician opening of Palaeo-Tethys. An example from the Alps (External Massifs) illustrates the gradual reworking of Gondwana-derived, pre-Variscan elements during the Variscan and Alpine/Tertiary orogenic cycles. © 2003 Elsevier Science B.V. All rights reserved.","author":[{"dropping-particle":"","family":"Raumer","given":"Jürgen F.","non-dropping-particle":"von","parse-names":false,"suffix":""},{"dropping-particle":"","family":"Stampfli","given":"Gérard M.","non-dropping-particle":"","parse-names":false,"suffix":""},{"dropping-particle":"","family":"Bussy","given":"François","non-dropping-particle":"","parse-names":false,"suffix":""}],"container-title":"Tectonophysics","id":"ITEM-1","issue":"1-4","issued":{"date-parts":[["2003"]]},"page":"7-22","title":"Gondwana-derived microcontinents - The constituents of the Variscan and Alpine collisional orogens","type":"article-journal","volume":"365"},"uris":["http://www.mendeley.com/documents/?uuid=e3905d00-279b-4a92-a346-5785a84dd702"]},{"id":"ITEM-2","itemData":{"DOI":"10.1016/j.gr.2013.03.001","ISSN":"1342937X","abstract":"The Variscides of Europe and N-Africa are the result of the convergence of the plates of Gondwana and Laurussia in the Paleozoic. This orogen is characterized by the juxtaposition of blocks of continental crust that are little affected by the Variscan orogeny. These low strain domains principally consist of Neoproterozoic/Cambrian Cadomian basement overlain by volcano-sedimentary successions of an extended peri-Gondwana shelf. These Cadomian blocks are separated by high strain zones containing the record of subduction-related processes. Traditionally the high strain zones are interpreted as sutures between one or more postulated lithospheric microplates sandwiched between the two major plates. Paleobio-geographic constraints in combination with geochemical and isotopic fingerprints of the protoliths, however, imply that the Variscides are the result of the exclusive interaction of the two plates of Gondwana and Laurussia. Here we explain the Variscan orogen in a two plate scenario, reasoning that the complexity of the Variscan orogen (multitude of high-grade metamorphic belts, compositional diversity of coeval magmatism, and arrangement of foreland basins) is the result of the distribution of crustal domains of contrasting rheological properties. Post-Cadomian rifting along the Cadomian-Avalonian belt, which culminated in the opening of the Rheic Ocean, resulted in vast coeval intracontinental extension and the formation of extended peri-Gondwana shelf areas, namely the Avalonian shelf and the Armorican Spur to the north and south of the evolving Rheic Ocean, respectively. Both shelf areas affected by heterogeneous extension consist of stable continental blocks separated by zones of thinner continental crust. During Variscan collisional tectonics the continental blocks behave as unsubductable crust, whereas the thinner continental crust was subductable and came to constitute the high strain domains of the orogen. The variable interplay between both crustal types in space and time is seen as the principal cause for the observed sequence of orogenic processes. The first collisional contact along the convergent Gondwana-Laurussia plate boundary occurred between Brittany and the Midland microcraton causing the early Devonian deformation along the Anglo-Brabant Fold Belt. This process is coeval with the initiation of continental subduction along the Armorican Spur of the Gondwana plate and the formation of back arc and transtensional basins to both sides of …","author":[{"dropping-particle":"","family":"Kroner","given":"Uwe","non-dropping-particle":"","parse-names":false,"suffix":""},{"dropping-particle":"","family":"Romer","given":"Rolf L.","non-dropping-particle":"","parse-names":false,"suffix":""}],"container-title":"Gondwana Research","id":"ITEM-2","issue":"1","issued":{"date-parts":[["2013"]]},"page":"298-329","publisher":"International Association for Gondwana Research","title":"Two plates - Many subduction zones: The Variscan orogeny reconsidered","type":"article-journal","volume":"24"},"uris":["http://www.mendeley.com/documents/?uuid=df9493d5-4c89-4684-8428-52cb1fa40181"]},{"id":"ITEM-3","itemData":{"DOI":"10.1016/j.tecto.2013.02.037","ISSN":"00401951","abstract":"The making of Pangea is the result of large-scale amalgamation of continents and micro-continents, which started at the end of the Neoproterozoic with the formation of Gondwana. As pieces were added to Gondwana on its South-American, Antarctica and Australia side, ribbon-like micro-continents were detached from its African and South-Chinese side: Cadomia in the late Neoproterozoic, Avalonia and Hunia in the Ordovician, Galatia in the Devonian and Cimmeria in the Permian. Cadomia was re-accreted to Gondwana, but the other ribbon-continents were accreted to Baltica, North-China, Laurussia or Laurasia. Finding the origin of these numerous terranes is a major geological challenge. Recently, a global plate tectonic model was developed together with a large geological/geodynamic database, at the Lausanne University, covering the last 600. Ma of the Earth's history. Special attention was given to the placing of Gondwana derived terranes in their original position, using all possible constraints. We propose here a solution for the Variscan terranes, another paper deals with the Altaids. The Galatian super-terrane was detached from Gondwana in the Devonian, during the opening of Paleotethys, and was quickly separated into four sub-terranes that started to by-pass each other. The leading terranes collided at the end of the Devonian with the Hanseatic terrane detached from Laurussia. In the Carboniferous, Gondwana started to impinge onto the amalgamated terranes, creating the Variscan chain and the Pangean super-continent. East of Spain Paleotethys remained opened until the Triassic, subducting northward under Laurasia. Roll-back of the Paleotethyan slab triggered the collapse of most of the European Variscan orogen, which was replaced by series of Permian rifts, some of them becoming oceanized back-arc basins during the Triassic. Major force changes at the Pangean plate limits at the end of the Triassic provoked its break-up, through the opening of the proto-Caribbean, central-Atlantic, Alpine-Tethys oceanic seaways. © 2013 Elsevier B.V.","author":[{"dropping-particle":"","family":"Stampfli","given":"Gérard M.","non-dropping-particle":"","parse-names":false,"suffix":""},{"dropping-particle":"","family":"Hochard","given":"Cyril","non-dropping-particle":"","parse-names":false,"suffix":""},{"dropping-particle":"","family":"Vérard","given":"C.","non-dropping-particle":"","parse-names":false,"suffix":""},{"dropping-particle":"","family":"Wilhem","given":"C.","non-dropping-particle":"","parse-names":false,"suffix":""},{"dropping-particle":"","family":"VonRaumer","given":"J.","non-dropping-particle":"","parse-names":false,"suffix":""}],"container-title":"Tectonophysics","id":"ITEM-3","issued":{"date-parts":[["2013"]]},"page":"1-19","title":"The formation of Pangea","type":"article-journal","volume":"593"},"uris":["http://www.mendeley.com/documents/?uuid=46b9fda4-ae6e-4d07-b543-7cc92e51a516"]}],"mendeley":{"formattedCitation":"(Kroner and Romer, 2013; Stampfli et al., 2013; von Raumer et al., 2003)","plainTextFormattedCitation":"(Kroner and Romer, 2013; Stampfli et al., 2013; von Raumer et al., 2003)","previouslyFormattedCitation":"(Kroner and Romer, 2013; Stampfli et al., 2013; von Raumer et al., 2003)"},"properties":{"noteIndex":0},"schema":"https://github.com/citation-style-language/schema/raw/master/csl-citation.json"}</w:instrText>
      </w:r>
      <w:r w:rsidRPr="00B71174">
        <w:rPr>
          <w:rFonts w:ascii="Arial" w:hAnsi="Arial" w:cs="Arial"/>
        </w:rPr>
        <w:fldChar w:fldCharType="separate"/>
      </w:r>
      <w:r w:rsidRPr="00285DC3">
        <w:rPr>
          <w:rFonts w:ascii="Arial" w:hAnsi="Arial" w:cs="Arial"/>
          <w:noProof/>
        </w:rPr>
        <w:t>(Kroner and Romer, 2013; Stampfli et al., 2013; von Raumer et al., 2003)</w:t>
      </w:r>
      <w:r w:rsidRPr="00B71174">
        <w:rPr>
          <w:rFonts w:ascii="Arial" w:hAnsi="Arial" w:cs="Arial"/>
        </w:rPr>
        <w:fldChar w:fldCharType="end"/>
      </w:r>
      <w:r w:rsidR="00112743">
        <w:rPr>
          <w:rFonts w:ascii="Arial" w:hAnsi="Arial" w:cs="Arial"/>
        </w:rPr>
        <w:t>;</w:t>
      </w:r>
      <w:r w:rsidR="002668B1">
        <w:rPr>
          <w:rFonts w:ascii="Arial" w:hAnsi="Arial" w:cs="Arial"/>
        </w:rPr>
        <w:t xml:space="preserve"> Paleothethys opening </w:t>
      </w:r>
      <w:r w:rsidR="002668B1">
        <w:rPr>
          <w:rFonts w:ascii="Arial" w:hAnsi="Arial" w:cs="Arial"/>
        </w:rPr>
        <w:fldChar w:fldCharType="begin" w:fldLock="1"/>
      </w:r>
      <w:r w:rsidR="002668B1">
        <w:rPr>
          <w:rFonts w:ascii="Arial" w:hAnsi="Arial" w:cs="Arial"/>
        </w:rPr>
        <w:instrText>ADDIN CSL_CITATION {"citationItems":[{"id":"ITEM-1","itemData":{"DOI":"10.1016/j.gr.2019.07.015","ISSN":"1342-937X","author":[{"dropping-particle":"","family":"Haas","given":"Isabella","non-dropping-particle":"","parse-names":false,"suffix":""},{"dropping-particle":"","family":"Eichinger","given":"Stefanie","non-dropping-particle":"","parse-names":false,"suffix":""},{"dropping-particle":"","family":"Haller","given":"Doria","non-dropping-particle":"","parse-names":false,"suffix":""},{"dropping-particle":"","family":"Fritz","given":"Harald","non-dropping-particle":"","parse-names":false,"suffix":""},{"dropping-particle":"","family":"Nievoll","given":"Josef","non-dropping-particle":"","parse-names":false,"suffix":""},{"dropping-particle":"","family":"Mandl","given":"Magdalena","non-dropping-particle":"","parse-names":false,"suffix":""},{"dropping-particle":"","family":"Hippler","given":"Dorothee","non-dropping-particle":"","parse-names":false,"suffix":""},{"dropping-particle":"","family":"Hauzenberger","given":"Christoph","non-dropping-particle":"","parse-names":false,"suffix":""}],"container-title":"Gondwana Research","id":"ITEM-1","issued":{"date-parts":[["2020"]]},"page":"204-222","publisher":"International Association for Gondwana Research","title":"Gondwana fragments in the Eastern Alps: A travel story from U/Pb zircon data South-Alpine","type":"article-journal","volume":"77"},"uris":["http://www.mendeley.com/documents/?uuid=121e3eee-29de-4b87-9f97-9e59796582ce"]}],"mendeley":{"formattedCitation":"(Haas et al., 2020)","plainTextFormattedCitation":"(Haas et al., 2020)","previouslyFormattedCitation":"(Haas et al., 2020)"},"properties":{"noteIndex":0},"schema":"https://github.com/citation-style-language/schema/raw/master/csl-citation.json"}</w:instrText>
      </w:r>
      <w:r w:rsidR="002668B1">
        <w:rPr>
          <w:rFonts w:ascii="Arial" w:hAnsi="Arial" w:cs="Arial"/>
        </w:rPr>
        <w:fldChar w:fldCharType="separate"/>
      </w:r>
      <w:r w:rsidR="002668B1" w:rsidRPr="002668B1">
        <w:rPr>
          <w:rFonts w:ascii="Arial" w:hAnsi="Arial" w:cs="Arial"/>
          <w:noProof/>
        </w:rPr>
        <w:t>(Haas et al., 2020)</w:t>
      </w:r>
      <w:r w:rsidR="002668B1">
        <w:rPr>
          <w:rFonts w:ascii="Arial" w:hAnsi="Arial" w:cs="Arial"/>
        </w:rPr>
        <w:fldChar w:fldCharType="end"/>
      </w:r>
      <w:r w:rsidR="00112743">
        <w:rPr>
          <w:rFonts w:ascii="Arial" w:hAnsi="Arial" w:cs="Arial"/>
        </w:rPr>
        <w:t>;</w:t>
      </w:r>
      <w:r w:rsidR="002668B1">
        <w:rPr>
          <w:rFonts w:ascii="Arial" w:hAnsi="Arial" w:cs="Arial"/>
        </w:rPr>
        <w:t xml:space="preserve"> continental rifting related events </w:t>
      </w:r>
      <w:r w:rsidR="002668B1">
        <w:rPr>
          <w:rFonts w:ascii="Arial" w:hAnsi="Arial" w:cs="Arial"/>
        </w:rPr>
        <w:fldChar w:fldCharType="begin" w:fldLock="1"/>
      </w:r>
      <w:r w:rsidR="00EA3A52">
        <w:rPr>
          <w:rFonts w:ascii="Arial" w:hAnsi="Arial" w:cs="Arial"/>
        </w:rPr>
        <w:instrText>ADDIN CSL_CITATION {"citationItems":[{"id":"ITEM-1","itemData":{"DOI":"10.1130/B30654.1","ISSN":"00167606","abstract":"Prior to their Alpine overprinting, most of the pre-Mesozoic basement areas in Alpine orogenic structures shared a complex evolution, starting with Neoproterozoic sediments that are thought to have received detrital input from both West and East Gondwanan cratonic sources. A subsequent Neoproterozoic–Cambrian active margin setting at the Gondwana margin was followed by a Cambrian–Ordovician rifting period, including an Ordovician cordillera-like active margin setting. During the Late Ordovician and Silurian periods, the future Alpine domains recorded crustal extension along the Gondwana margin, announcing the future opening of the Paleotethys oceanic domain. Most areas then underwent Variscan orogenic events, including continental subduction and collisions with Avalonian-type basement areas along Laurussia and the juxtaposition and the duplication of terrane assemblages during strike slip, accompanied by contemporaneous crustal shortening and the subduction of Paleotethys under Laurussia. Thereafter, the final Pangea assemblage underwent Triassic and Jurassic extension, followed by Tertiary shortening, and leading to the buildup of the Alpine mountain chain.\\nRecent plate-tectonic reconstructions place the Alpine domains in their supposed initial Cambrian–Ordovician positions in the eastern part of the Gondwana margin, where a stronger interference with the Chinese blocks is proposed, at least from the Ordovician onward. For the Visean time of the Variscan continental collision, the distinction of the former tectonic lower-plate situation is traceable but becomes blurred through the subsequent oblique subduction of Paleotethys under Laurussia accompanied by large-scale strike slip.\\nSince the Pennsylvanian, this global collisional scenario has been replaced by subsequent and ongoing shortening and strike slip under rising geothermal conditions, and all of this occurred before all these puzzle elements underwent the complex Alpine reorganization.","author":[{"dropping-particle":"","family":"Raumer","given":"Jürgen F.","non-dropping-particle":"von","parse-names":false,"suffix":""},{"dropping-particle":"","family":"Bussy","given":"François","non-dropping-particle":"","parse-names":false,"suffix":""},{"dropping-particle":"","family":"Schaltegger","given":"Urs","non-dropping-particle":"","parse-names":false,"suffix":""},{"dropping-particle":"","family":"Schulz","given":"Bernhard","non-dropping-particle":"","parse-names":false,"suffix":""},{"dropping-particle":"","family":"Stampfli","given":"Gérard M.","non-dropping-particle":"","parse-names":false,"suffix":""}],"container-title":"Bulletin of the Geological Society of America","id":"ITEM-1","issue":"1-2","issued":{"date-parts":[["2013"]]},"page":"89-108","title":"Pre-mesozoic alpine basements-their place in the European paleozoic framework","type":"article-journal","volume":"125"},"uris":["http://www.mendeley.com/documents/?uuid=ffb71348-78af-4ade-ac45-e675345cb035"]}],"mendeley":{"formattedCitation":"(von Raumer et al., 2013)","plainTextFormattedCitation":"(von Raumer et al., 2013)","previouslyFormattedCitation":"(von Raumer et al., 2013)"},"properties":{"noteIndex":0},"schema":"https://github.com/citation-style-language/schema/raw/master/csl-citation.json"}</w:instrText>
      </w:r>
      <w:r w:rsidR="002668B1">
        <w:rPr>
          <w:rFonts w:ascii="Arial" w:hAnsi="Arial" w:cs="Arial"/>
        </w:rPr>
        <w:fldChar w:fldCharType="separate"/>
      </w:r>
      <w:r w:rsidR="002668B1" w:rsidRPr="002668B1">
        <w:rPr>
          <w:rFonts w:ascii="Arial" w:hAnsi="Arial" w:cs="Arial"/>
          <w:noProof/>
        </w:rPr>
        <w:t>(von Raumer et al., 2013)</w:t>
      </w:r>
      <w:r w:rsidR="002668B1">
        <w:rPr>
          <w:rFonts w:ascii="Arial" w:hAnsi="Arial" w:cs="Arial"/>
        </w:rPr>
        <w:fldChar w:fldCharType="end"/>
      </w:r>
      <w:r w:rsidR="00112743">
        <w:rPr>
          <w:rFonts w:ascii="Arial" w:hAnsi="Arial" w:cs="Arial"/>
        </w:rPr>
        <w:t>;</w:t>
      </w:r>
      <w:r w:rsidR="00EA3A52">
        <w:rPr>
          <w:rFonts w:ascii="Arial" w:hAnsi="Arial" w:cs="Arial"/>
        </w:rPr>
        <w:t xml:space="preserve"> early Ordovician orogeny </w:t>
      </w:r>
      <w:r w:rsidR="00EA3A52">
        <w:rPr>
          <w:rFonts w:ascii="Arial" w:hAnsi="Arial" w:cs="Arial"/>
        </w:rPr>
        <w:fldChar w:fldCharType="begin" w:fldLock="1"/>
      </w:r>
      <w:r w:rsidR="008D3E72">
        <w:rPr>
          <w:rFonts w:ascii="Arial" w:hAnsi="Arial" w:cs="Arial"/>
        </w:rPr>
        <w:instrText>ADDIN CSL_CITATION {"citationItems":[{"id":"ITEM-1","itemData":{"DOI":"10.1007/s00531-016-1438-5","ISBN":"0123456789","ISSN":"14373262","abstract":"In the Alps, relicts of pre-Variscan basement are composed of metagreywackes and metapelites (partly migmatic) with intercalated amphibolites and sheets of Cambro–Ordovician peraluminous metagranitoids. Such gneiss terranes are the result of an orogenic type, which was globally widespread in early Paleozoic times. It caused the formation of several 100 km wide cratonized subduction–accretion complexes (SACs) hosting peraluminous arcs at the periphery of Gondwana. “Cenerian orogeny” is a newly suggested term for these early Paleozoic events, which culminate in the Ordovician. The justification for a separate name is given by three characteristics, which are significantly different compared to the Cadomian, Caledonian and Variscan orogenies: the age, the paleogeographic position and the tectonic setting. Other parts of the southern and central European crust might also have been generated by the cratonization of peri-Gondwanan SACs during the Cenerian orogeny.","author":[{"dropping-particle":"","family":"Zurbriggen","given":"Roger","non-dropping-particle":"","parse-names":false,"suffix":""}],"container-title":"International Journal of Earth Sciences","id":"ITEM-1","issue":"2","issued":{"date-parts":[["2017"]]},"page":"517-529","publisher":"Springer Berlin Heidelberg","title":"The Cenerian orogeny (early Paleozoic) from the perspective of the Alpine region","type":"article-journal","volume":"106"},"uris":["http://www.mendeley.com/documents/?uuid=793805cd-e132-4e48-9b6c-b1e4d538ed4b"]},{"id":"ITEM-2","itemData":{"DOI":"10.1007/s00531-014-1090-x","author":[{"dropping-particle":"","family":"Zurbriggen","given":"Roger","non-dropping-particle":"","parse-names":false,"suffix":""}],"container-title":"International Journal of Earth Sciences","id":"ITEM-2","issued":{"date-parts":[["2015"]]},"page":"335-350","title":"Ordovician orogeny in the Alps: a reappraisal","type":"article-journal","volume":"104"},"uris":["http://www.mendeley.com/documents/?uuid=2e1cb8bb-e269-4c32-973d-8809a6c422d7"]}],"mendeley":{"formattedCitation":"(Zurbriggen, 2017, 2015)","plainTextFormattedCitation":"(Zurbriggen, 2017, 2015)","previouslyFormattedCitation":"(Zurbriggen, 2017, 2015)"},"properties":{"noteIndex":0},"schema":"https://github.com/citation-style-language/schema/raw/master/csl-citation.json"}</w:instrText>
      </w:r>
      <w:r w:rsidR="00EA3A52">
        <w:rPr>
          <w:rFonts w:ascii="Arial" w:hAnsi="Arial" w:cs="Arial"/>
        </w:rPr>
        <w:fldChar w:fldCharType="separate"/>
      </w:r>
      <w:r w:rsidR="00EA3A52" w:rsidRPr="00EA3A52">
        <w:rPr>
          <w:rFonts w:ascii="Arial" w:hAnsi="Arial" w:cs="Arial"/>
          <w:noProof/>
        </w:rPr>
        <w:t>(Zurbriggen, 2017, 2015)</w:t>
      </w:r>
      <w:r w:rsidR="00EA3A52">
        <w:rPr>
          <w:rFonts w:ascii="Arial" w:hAnsi="Arial" w:cs="Arial"/>
        </w:rPr>
        <w:fldChar w:fldCharType="end"/>
      </w:r>
      <w:r w:rsidR="00112743">
        <w:rPr>
          <w:rFonts w:ascii="Arial" w:hAnsi="Arial" w:cs="Arial"/>
        </w:rPr>
        <w:t>;</w:t>
      </w:r>
      <w:r w:rsidR="00EA3A52">
        <w:rPr>
          <w:rFonts w:ascii="Arial" w:hAnsi="Arial" w:cs="Arial"/>
        </w:rPr>
        <w:t xml:space="preserve"> </w:t>
      </w:r>
      <w:r w:rsidR="00FF39A7">
        <w:rPr>
          <w:rFonts w:ascii="Arial" w:hAnsi="Arial" w:cs="Arial"/>
        </w:rPr>
        <w:t>Tornquist Sea</w:t>
      </w:r>
      <w:r w:rsidR="00EA3A52">
        <w:rPr>
          <w:rFonts w:ascii="Arial" w:hAnsi="Arial" w:cs="Arial"/>
        </w:rPr>
        <w:t xml:space="preserve"> related</w:t>
      </w:r>
      <w:r w:rsidR="00E02283">
        <w:rPr>
          <w:rFonts w:ascii="Arial" w:hAnsi="Arial" w:cs="Arial"/>
        </w:rPr>
        <w:t xml:space="preserve"> </w:t>
      </w:r>
      <w:r w:rsidR="00FF39A7">
        <w:rPr>
          <w:rFonts w:ascii="Arial" w:hAnsi="Arial" w:cs="Arial"/>
        </w:rPr>
        <w:t xml:space="preserve">subduction </w:t>
      </w:r>
      <w:r w:rsidR="008D3E72">
        <w:rPr>
          <w:rFonts w:ascii="Arial" w:hAnsi="Arial" w:cs="Arial"/>
        </w:rPr>
        <w:t>as a part of Baltica and Avalonia collision</w:t>
      </w:r>
      <w:r w:rsidR="00E02283">
        <w:rPr>
          <w:rFonts w:ascii="Arial" w:hAnsi="Arial" w:cs="Arial"/>
        </w:rPr>
        <w:t xml:space="preserve"> </w:t>
      </w:r>
      <w:r w:rsidR="00E02283">
        <w:rPr>
          <w:rFonts w:ascii="Arial" w:hAnsi="Arial" w:cs="Arial"/>
        </w:rPr>
        <w:fldChar w:fldCharType="begin" w:fldLock="1"/>
      </w:r>
      <w:r w:rsidR="006F7A72">
        <w:rPr>
          <w:rFonts w:ascii="Arial" w:hAnsi="Arial" w:cs="Arial"/>
        </w:rPr>
        <w:instrText>ADDIN CSL_CITATION {"citationItems":[{"id":"ITEM-1","itemData":{"author":[{"dropping-particle":"","family":"Oliver","given":"G. J. H.","non-dropping-particle":"","parse-names":false,"suffix":""},{"dropping-particle":"","family":"Corfu","given":"F.","non-dropping-particle":"","parse-names":false,"suffix":""},{"dropping-particle":"","family":"Krogh","given":"T. E.","non-dropping-particle":"","parse-names":false,"suffix":""}],"container-title":"Journal of the Geological SocietyGeological","id":"ITEM-1","issued":{"date-parts":[["1993"]]},"page":"355-369","title":"U-Pb ages from SW Poland: evidence for a Caledonian suture zone between Baltica and Gondwana","type":"article-journal","volume":"150"},"uris":["http://www.mendeley.com/documents/?uuid=e0535110-abbf-4b6b-89f0-3704c8036b2d"]},{"id":"ITEM-2","itemData":{"DOI":"10.1007/s00531-014-1090-x","author":[{"dropping-particle":"","family":"Zurbriggen","given":"Roger","non-dropping-particle":"","parse-names":false,"suffix":""}],"container-title":"International Journal of Earth Sciences","id":"ITEM-2","issued":{"date-parts":[["2015"]]},"page":"335-350","title":"Ordovician orogeny in the Alps: a reappraisal","type":"article-journal","volume":"104"},"uris":["http://www.mendeley.com/documents/?uuid=2e1cb8bb-e269-4c32-973d-8809a6c422d7"]}],"mendeley":{"formattedCitation":"(Oliver et al., 1993; Zurbriggen, 2015)","plainTextFormattedCitation":"(Oliver et al., 1993; Zurbriggen, 2015)","previouslyFormattedCitation":"(Oliver et al., 1993; Zurbriggen, 2015)"},"properties":{"noteIndex":0},"schema":"https://github.com/citation-style-language/schema/raw/master/csl-citation.json"}</w:instrText>
      </w:r>
      <w:r w:rsidR="00E02283">
        <w:rPr>
          <w:rFonts w:ascii="Arial" w:hAnsi="Arial" w:cs="Arial"/>
        </w:rPr>
        <w:fldChar w:fldCharType="separate"/>
      </w:r>
      <w:r w:rsidR="008D3E72" w:rsidRPr="008D3E72">
        <w:rPr>
          <w:rFonts w:ascii="Arial" w:hAnsi="Arial" w:cs="Arial"/>
          <w:noProof/>
        </w:rPr>
        <w:t>(Oliver et al., 1993; Zurbriggen, 2015)</w:t>
      </w:r>
      <w:r w:rsidR="00E02283">
        <w:rPr>
          <w:rFonts w:ascii="Arial" w:hAnsi="Arial" w:cs="Arial"/>
        </w:rPr>
        <w:fldChar w:fldCharType="end"/>
      </w:r>
      <w:r w:rsidR="00E02283">
        <w:rPr>
          <w:rFonts w:ascii="Arial" w:hAnsi="Arial" w:cs="Arial"/>
        </w:rPr>
        <w:t xml:space="preserve">. </w:t>
      </w:r>
      <w:bookmarkEnd w:id="76"/>
      <w:bookmarkEnd w:id="77"/>
      <w:r>
        <w:rPr>
          <w:rFonts w:ascii="Arial" w:hAnsi="Arial" w:cs="Arial"/>
        </w:rPr>
        <w:t>Z</w:t>
      </w:r>
      <w:r w:rsidR="00E02283">
        <w:rPr>
          <w:rFonts w:ascii="Arial" w:hAnsi="Arial" w:cs="Arial"/>
        </w:rPr>
        <w:t>ircon Hf isotopes (Figure</w:t>
      </w:r>
      <w:r w:rsidR="00D076EE">
        <w:rPr>
          <w:rFonts w:ascii="Arial" w:hAnsi="Arial" w:cs="Arial"/>
        </w:rPr>
        <w:t xml:space="preserve"> </w:t>
      </w:r>
      <w:r w:rsidR="004557F3">
        <w:rPr>
          <w:rFonts w:ascii="Arial" w:hAnsi="Arial" w:cs="Arial"/>
        </w:rPr>
        <w:t>5</w:t>
      </w:r>
      <w:r w:rsidR="00E02283">
        <w:rPr>
          <w:rFonts w:ascii="Arial" w:hAnsi="Arial" w:cs="Arial"/>
        </w:rPr>
        <w:t xml:space="preserve">) show </w:t>
      </w:r>
      <w:r w:rsidR="001303F2">
        <w:rPr>
          <w:rFonts w:ascii="Arial" w:hAnsi="Arial" w:cs="Arial"/>
        </w:rPr>
        <w:t xml:space="preserve">a </w:t>
      </w:r>
      <w:r w:rsidR="00E02283">
        <w:rPr>
          <w:rFonts w:ascii="Arial" w:hAnsi="Arial" w:cs="Arial"/>
        </w:rPr>
        <w:t xml:space="preserve">spread typically associated with volcanic arcs, with some relatively young magmas, </w:t>
      </w:r>
      <w:r w:rsidR="000C7593">
        <w:rPr>
          <w:rFonts w:ascii="Arial" w:hAnsi="Arial" w:cs="Arial"/>
        </w:rPr>
        <w:t xml:space="preserve">a mixture of </w:t>
      </w:r>
      <w:r w:rsidR="00E02283" w:rsidRPr="00E02283">
        <w:rPr>
          <w:rFonts w:ascii="Arial" w:hAnsi="Arial" w:cs="Arial"/>
        </w:rPr>
        <w:t>remelting of relatively juvenile</w:t>
      </w:r>
      <w:r w:rsidR="000C7593">
        <w:rPr>
          <w:rFonts w:ascii="Arial" w:hAnsi="Arial" w:cs="Arial"/>
        </w:rPr>
        <w:t xml:space="preserve"> crust, and </w:t>
      </w:r>
      <w:r w:rsidR="000C7593" w:rsidRPr="000C7593">
        <w:rPr>
          <w:rFonts w:ascii="Arial" w:hAnsi="Arial" w:cs="Arial"/>
        </w:rPr>
        <w:t xml:space="preserve">mixing between depleted mantle sources </w:t>
      </w:r>
      <w:r w:rsidR="000C7593" w:rsidRPr="000C7593">
        <w:rPr>
          <w:rFonts w:ascii="Arial" w:hAnsi="Arial" w:cs="Arial"/>
        </w:rPr>
        <w:lastRenderedPageBreak/>
        <w:t>and melts derived from ancient crust</w:t>
      </w:r>
      <w:r w:rsidR="00E02283">
        <w:rPr>
          <w:rFonts w:ascii="Arial" w:hAnsi="Arial" w:cs="Arial"/>
        </w:rPr>
        <w:t xml:space="preserve">. </w:t>
      </w:r>
      <w:bookmarkStart w:id="78" w:name="_Hlk79571845"/>
      <w:bookmarkStart w:id="79" w:name="_Hlk75355165"/>
      <w:bookmarkEnd w:id="75"/>
      <w:r>
        <w:rPr>
          <w:rFonts w:ascii="Arial" w:hAnsi="Arial" w:cs="Arial"/>
        </w:rPr>
        <w:t xml:space="preserve">The only overlap </w:t>
      </w:r>
      <w:r w:rsidR="00B21F0C">
        <w:rPr>
          <w:rFonts w:ascii="Arial" w:hAnsi="Arial" w:cs="Arial"/>
        </w:rPr>
        <w:t>with</w:t>
      </w:r>
      <w:r w:rsidR="001A0412">
        <w:rPr>
          <w:rFonts w:ascii="Arial" w:hAnsi="Arial" w:cs="Arial"/>
        </w:rPr>
        <w:t xml:space="preserve"> the </w:t>
      </w:r>
      <w:r>
        <w:rPr>
          <w:rFonts w:ascii="Arial" w:hAnsi="Arial" w:cs="Arial"/>
        </w:rPr>
        <w:t>ADL’s 450 Ma population</w:t>
      </w:r>
      <w:r w:rsidR="001A0412">
        <w:rPr>
          <w:rFonts w:ascii="Arial" w:hAnsi="Arial" w:cs="Arial"/>
        </w:rPr>
        <w:t xml:space="preserve"> (Figure 8</w:t>
      </w:r>
      <w:r w:rsidR="005028D1">
        <w:rPr>
          <w:rFonts w:ascii="Arial" w:hAnsi="Arial" w:cs="Arial"/>
        </w:rPr>
        <w:t xml:space="preserve"> and Supplementary Figure S3</w:t>
      </w:r>
      <w:r w:rsidR="001A0412">
        <w:rPr>
          <w:rFonts w:ascii="Arial" w:hAnsi="Arial" w:cs="Arial"/>
        </w:rPr>
        <w:t>)</w:t>
      </w:r>
      <w:r>
        <w:rPr>
          <w:rFonts w:ascii="Arial" w:hAnsi="Arial" w:cs="Arial"/>
        </w:rPr>
        <w:t xml:space="preserve"> is provided by the Tisza sample, suggesting a source within Tisza’s drainage.</w:t>
      </w:r>
      <w:r w:rsidR="001A0412">
        <w:rPr>
          <w:rFonts w:ascii="Arial" w:hAnsi="Arial" w:cs="Arial"/>
        </w:rPr>
        <w:t xml:space="preserve"> Additionally, </w:t>
      </w:r>
      <w:r w:rsidR="00B21F0C">
        <w:rPr>
          <w:rFonts w:ascii="Arial" w:hAnsi="Arial" w:cs="Arial"/>
        </w:rPr>
        <w:t xml:space="preserve">the </w:t>
      </w:r>
      <w:r w:rsidR="001A0412">
        <w:rPr>
          <w:rFonts w:ascii="Arial" w:hAnsi="Arial" w:cs="Arial"/>
        </w:rPr>
        <w:t xml:space="preserve">Tisza </w:t>
      </w:r>
      <w:r w:rsidR="001A0412" w:rsidRPr="00A91413">
        <w:rPr>
          <w:rFonts w:ascii="Arial" w:hAnsi="Arial" w:cs="Arial"/>
        </w:rPr>
        <w:t>zircons</w:t>
      </w:r>
      <w:r w:rsidR="001A0412">
        <w:rPr>
          <w:rFonts w:ascii="Arial" w:hAnsi="Arial" w:cs="Arial"/>
        </w:rPr>
        <w:t xml:space="preserve"> show a decreasing trend between 450 and 330 Ma ages,</w:t>
      </w:r>
      <w:r w:rsidR="00B21F0C">
        <w:rPr>
          <w:rFonts w:ascii="Arial" w:hAnsi="Arial" w:cs="Arial"/>
        </w:rPr>
        <w:t xml:space="preserve"> from</w:t>
      </w:r>
      <w:r w:rsidR="001A0412">
        <w:rPr>
          <w:rFonts w:ascii="Arial" w:hAnsi="Arial" w:cs="Arial"/>
        </w:rPr>
        <w:t xml:space="preserve"> -3 to -5 respectively, which creates</w:t>
      </w:r>
      <w:r w:rsidR="00112743">
        <w:rPr>
          <w:rFonts w:ascii="Arial" w:hAnsi="Arial" w:cs="Arial"/>
        </w:rPr>
        <w:t xml:space="preserve"> a</w:t>
      </w:r>
      <w:r w:rsidR="001A0412">
        <w:rPr>
          <w:rFonts w:ascii="Arial" w:hAnsi="Arial" w:cs="Arial"/>
        </w:rPr>
        <w:t xml:space="preserve"> crustal evolution line</w:t>
      </w:r>
      <w:r w:rsidR="005B3A14">
        <w:rPr>
          <w:rFonts w:ascii="Arial" w:hAnsi="Arial" w:cs="Arial"/>
        </w:rPr>
        <w:t xml:space="preserve"> of</w:t>
      </w:r>
      <w:r w:rsidR="001A0412">
        <w:rPr>
          <w:rFonts w:ascii="Arial" w:hAnsi="Arial" w:cs="Arial"/>
        </w:rPr>
        <w:t xml:space="preserve"> ~1450-1500 Ma (Supplementary Figures S3). </w:t>
      </w:r>
      <w:r w:rsidR="00EB4BBC">
        <w:rPr>
          <w:rFonts w:ascii="Arial" w:hAnsi="Arial" w:cs="Arial"/>
        </w:rPr>
        <w:t xml:space="preserve">Crust of that age has a </w:t>
      </w:r>
      <w:r w:rsidR="001A0412">
        <w:rPr>
          <w:rFonts w:ascii="Arial" w:hAnsi="Arial" w:cs="Arial"/>
        </w:rPr>
        <w:t>non-Gondwanian</w:t>
      </w:r>
      <w:r w:rsidR="00EB4BBC">
        <w:rPr>
          <w:rFonts w:ascii="Arial" w:hAnsi="Arial" w:cs="Arial"/>
        </w:rPr>
        <w:t xml:space="preserve"> affinity, and points to</w:t>
      </w:r>
      <w:r w:rsidR="00112743">
        <w:rPr>
          <w:rFonts w:ascii="Arial" w:hAnsi="Arial" w:cs="Arial"/>
        </w:rPr>
        <w:t xml:space="preserve"> a</w:t>
      </w:r>
      <w:r w:rsidR="00EB4BBC">
        <w:rPr>
          <w:rFonts w:ascii="Arial" w:hAnsi="Arial" w:cs="Arial"/>
        </w:rPr>
        <w:t xml:space="preserve"> </w:t>
      </w:r>
      <w:r w:rsidR="006F7A72">
        <w:rPr>
          <w:rFonts w:ascii="Arial" w:hAnsi="Arial" w:cs="Arial"/>
        </w:rPr>
        <w:t>Baltica</w:t>
      </w:r>
      <w:r w:rsidR="00EB4BBC">
        <w:rPr>
          <w:rFonts w:ascii="Arial" w:hAnsi="Arial" w:cs="Arial"/>
        </w:rPr>
        <w:t xml:space="preserve"> origin</w:t>
      </w:r>
      <w:r w:rsidR="006F7A72">
        <w:rPr>
          <w:rFonts w:ascii="Arial" w:hAnsi="Arial" w:cs="Arial"/>
        </w:rPr>
        <w:t xml:space="preserve"> </w:t>
      </w:r>
      <w:r w:rsidR="006F7A72">
        <w:rPr>
          <w:rFonts w:ascii="Arial" w:hAnsi="Arial" w:cs="Arial"/>
        </w:rPr>
        <w:fldChar w:fldCharType="begin" w:fldLock="1"/>
      </w:r>
      <w:r w:rsidR="003876B1">
        <w:rPr>
          <w:rFonts w:ascii="Arial" w:hAnsi="Arial" w:cs="Arial"/>
        </w:rPr>
        <w:instrText>ADDIN CSL_CITATION {"citationItems":[{"id":"ITEM-1","itemData":{"DOI":"10.1007/s00410-012-0820-y","ISSN":"0010-7999","abstract":"The Hardangervidda-Rogaland Block within southwest Norway is host to ~1.52 to 1.48 Ga continental building and variable reworking during the ~1.1 to 0.9 Ga Sveconorwegian orogeny. Due to the lack of geochronological and geochemical data, the timing and tectonic setting of early Mesoproterozoic magmatism has long been ambiguous. This paper presents zircon U-Pb-Hf-O isotope data combined with whole-rock geochemistry to address the age and petrogenesis of basement units within the Suldal region, located in the centre of the Hardangervidda-Rogaland Block. The basement comprises variably deformed grey gneisses and granitoids that petrologically and geochemically resemble mature volcanic arc lithologies. U-Pb ages confirm that magmatism occurred from ~1,521 to 1,485 Ma, and conspicuously lack any xenocrystic inheritance of distinctly older crust. Hafnium isotope data range from εHf(initial) +1 to +11, suggesting a rather juvenile magmatic source, but with possible involvement of late Palaeoproterozoic crust. Oxygen isotope data range from mantle-like (δ18O ~5 ‰) to elevated (~10 ‰) suggesting involvement of low-temperature altered material (e. g., supracrustal rocks) in the magma source. The Hf-O isotope array is compatible with mixing between mantle-derived material with young low-temperature altered material (oceanic crust/sediments) and older low-temperature altered material (continent-derived sediments). This, combined with a lack of xenoliths and xenocrysts, exposed older crust, AFC trends and S-type geochemistry, all point to mixing within a deep-crustal magma-generation zone. A proposed model comprises accretion of altered oceanic crust and the overlying sediments to a pre-existing continental margin, underthrusting to the magma-generation zone and remobilisation during arc magmatism. The geodynamic setting for this arc magmatism is comparable with that seen in the Phanerozoic (e. g., the Sierra Nevada and Coast Range batholiths), with compositions in the Suldal Sector reaching those of average upper continental crust. As within these younger examples, factors that drive magmatism towards the composition of the average continental crust include the addition of sedimentary material to magma source regions, and delamination of cumulate material. Underthrusting of sedimentary materials and their subsequent involvement in arc magmatism is perhaps a more widespread mechanism involved in continental growth than is currently recognised. Finally, the Suldal Ar…","author":[{"dropping-particle":"","family":"Roberts","given":"Nick M. W.","non-dropping-particle":"","parse-names":false,"suffix":""},{"dropping-particle":"","family":"Slagstad","given":"Trond","non-dropping-particle":"","parse-names":false,"suffix":""},{"dropping-particle":"","family":"Parrish","given":"Randall R.","non-dropping-particle":"","parse-names":false,"suffix":""},{"dropping-particle":"","family":"Norry","given":"Michael J.","non-dropping-particle":"","parse-names":false,"suffix":""},{"dropping-particle":"","family":"Marker","given":"Mogens","non-dropping-particle":"","parse-names":false,"suffix":""},{"dropping-particle":"","family":"Horstwood","given":"Matthew S. A.","non-dropping-particle":"","parse-names":false,"suffix":""}],"container-title":"Contributions to Mineralogy and Petrology","id":"ITEM-1","issue":"3","issued":{"date-parts":[["2013","3","23"]]},"page":"507-523","title":"Sedimentary recycling in arc magmas: geochemical and U–Pb–Hf–O constraints on the Mesoproterozoic Suldal Arc, SW Norway","type":"article-journal","volume":"165"},"uris":["http://www.mendeley.com/documents/?uuid=77f4a448-d557-4a1e-9d5f-0b76e184aec0"]},{"id":"ITEM-2","itemData":{"DOI":"10.1016/j.precamres.2007.04.024","author":[{"dropping-particle":"V.","family":"Bogdanova","given":"Svetlana","non-dropping-particle":"","parse-names":false,"suffix":""},{"dropping-particle":"","family":"Bingen","given":"B.","non-dropping-particle":"","parse-names":false,"suffix":""},{"dropping-particle":"","family":"Gorbatschev","given":"Roland","non-dropping-particle":"","parse-names":false,"suffix":""},{"dropping-particle":"","family":"Kheraskova","given":"T. N.","non-dropping-particle":"","parse-names":false,"suffix":""},{"dropping-particle":"","family":"Kozlov","given":"V. I.","non-dropping-particle":"","parse-names":false,"suffix":""},{"dropping-particle":"","family":"Puchkov","given":"V. N.","non-dropping-particle":"","parse-names":false,"suffix":""},{"dropping-particle":"","family":"Volozh","given":"Yu A.","non-dropping-particle":"","parse-names":false,"suffix":""}],"container-title":"Precambrian Research","id":"ITEM-2","issued":{"date-parts":[["2008"]]},"page":"23-45","title":"The East European Craton (Baltica) before and during the assembly of Rodinia","type":"article-journal","volume":"160"},"uris":["http://www.mendeley.com/documents/?uuid=e9cda40d-0f21-451e-b7d3-b9b0c4fa2de0"]},{"id":"ITEM-3","itemData":{"author":[{"dropping-particle":"V.","family":"Bogdanova","given":"Svetlana","non-dropping-particle":"","parse-names":false,"suffix":""},{"dropping-particle":"","family":"Gorbatschev","given":"Roland","non-dropping-particle":"","parse-names":false,"suffix":""},{"dropping-particle":"","family":"Grad","given":"M.","non-dropping-particle":"","parse-names":false,"suffix":""},{"dropping-particle":"","family":"Janik","given":"T.","non-dropping-particle":"","parse-names":false,"suffix":""},{"dropping-particle":"","family":"Guterch","given":"A.","non-dropping-particle":"","parse-names":false,"suffix":""},{"dropping-particle":"","family":"Kozlovskaya","given":"E.","non-dropping-particle":"","parse-names":false,"suffix":""},{"dropping-particle":"","family":"Motuza","given":"G.","non-dropping-particle":"","parse-names":false,"suffix":""},{"dropping-particle":"","family":"Skridlaite","given":"G.","non-dropping-particle":"","parse-names":false,"suffix":""},{"dropping-particle":"","family":"Starostenko","given":"V.","non-dropping-particle":"","parse-names":false,"suffix":""},{"dropping-particle":"","family":"Taran","given":"L.","non-dropping-particle":"","parse-names":false,"suffix":""},{"dropping-particle":"","family":"Group","given":"Eurobridge Working","non-dropping-particle":"","parse-names":false,"suffix":""},{"dropping-particle":"","family":"Group","given":"Polonaise Working","non-dropping-particle":"","parse-names":false,"suffix":""}],"container-title":"Geological Society Memoir","id":"ITEM-3","issued":{"date-parts":[["2006"]]},"page":"599-625","title":"EUROBRIDGE: new insight into the geodynamic evolution of the East European Craton","type":"article-journal","volume":"32"},"uris":["http://www.mendeley.com/documents/?uuid=9f7605a7-2e66-420f-ad04-d996c86e68fa"]},{"id":"ITEM-4","itemData":{"DOI":"10.1144/SP390.20","ISSN":"03058719","abstract":"In central parts of the Scandinavian Caledonides, detrital zircon signatures provide evidence of the change in character of the Baltoscandian crystalline basement, from the characteristic Late Palaeoproterozoic granites of the Transscandinavian Igneous Belt (TIB, c. 1650-1850 Ma) in the foreland Autochthon to the typical, mainly Mesoproterozoic-age profile (c. 950-1700 Ma) of the Sveconorwegian Orogen of southwestern Scandinavia in the hinterland. Late Ediacaran to Early Cambrian shallow-marine Vemdal quartzites of the Jämtlandian Nappes (Lower Allochthon) provide strong bimodal signatures with TIB (1700-1800 Ma) and Sveconorwegian, sensu stricto (900-1150 Ma) ages dominant. Mid-Ordovician turbidites (Norråker Formation) of the Lower Allochthon in Sweden, sourced from the west, have unimodal signatures dominated by Sveconorwegian ages with peaks at 1000-1100 Ma, but with subordinate components of older Mesoproterozoic zircons (1200-1650 Ma). Latest Ordovician shallow-marine quartzites also yield bimodal signatures, but are more dispersed than in the Vemdal quartzites. In the greenschist facies lower parts of the Middle Allochthon, the Fuda (Offerdal Nappe) and Särv Nappe signatures are either unimodal or bimodal (950-1100 and/or 1700-1850 Ma), with variable dominance of the younger or older group, and subordinate other Mesoproterozoic components. In the overlying, amphibolite to eclogite facies lower part of the Seve Nappe Complex, where the metasediments are dominated by feldspathic quartzites, calcsilicate-rich psammites and marbles, most units have bimodal signatures similar to the Särv Nappes, but more dispersed; one has a unimodal signature very similar to the Ordovician turbidites of the Jämtlandian Nappes. In the overlying Upper Allochthon, Lower Kä li (Baltica-proximal, Virisen Terrane), Late Ordovician quartzites provide unimodal signatures dominated by Sveconorwegian ages (sensu stricto). Further north in the Scandes, previously published zircon signatures in quartzites of the Lower Allochthon are similar to the Vemdal quartzites in Jämtland. Data from the Kalak Nappes at 708N are in no way exotic to the Sveconorwegian Baltoscandian margin. They do show a Timanian influence (ages of c. 560-610 Ma), as would be expected from the palinspastic reconstructions of the nappes. Thus the detrital zircon signatures reported here and published elsewhere provide supporting evidence for a continuation northwards of the Sveconorwegian Orogen in the Neoprot…","author":[{"dropping-particle":"","family":"Gee","given":"David G.","non-dropping-particle":"","parse-names":false,"suffix":""},{"dropping-particle":"","family":"Ladenberger","given":"Anna","non-dropping-particle":"","parse-names":false,"suffix":""},{"dropping-particle":"","family":"Dahlqvist","given":"Peter","non-dropping-particle":"","parse-names":false,"suffix":""},{"dropping-particle":"","family":"Majka","given":"Jarosław","non-dropping-particle":"","parse-names":false,"suffix":""},{"dropping-particle":"","family":"Be'Eri-Shlevin","given":"Yaron","non-dropping-particle":"","parse-names":false,"suffix":""},{"dropping-particle":"","family":"Frei","given":"Dirk","non-dropping-particle":"","parse-names":false,"suffix":""},{"dropping-particle":"","family":"Thomsen","given":"Tonny","non-dropping-particle":"","parse-names":false,"suffix":""}],"container-title":"Geological Society Special Publication","id":"ITEM-4","issue":"1","issued":{"date-parts":[["2014"]]},"page":"131-155","title":"The Baltoscandian margin detrital zircon signatures of the central scandes","type":"article-journal","volume":"390"},"uris":["http://www.mendeley.com/documents/?uuid=d5c3ad98-1fd8-49bf-92e6-cd5083d5df6c"]}],"mendeley":{"formattedCitation":"(Bogdanova et al., 2008, 2006; Gee et al., 2014; Roberts et al., 2013)","plainTextFormattedCitation":"(Bogdanova et al., 2008, 2006; Gee et al., 2014; Roberts et al., 2013)","previouslyFormattedCitation":"(Bogdanova et al., 2008, 2006; Gee et al., 2014; Roberts et al., 2013)"},"properties":{"noteIndex":0},"schema":"https://github.com/citation-style-language/schema/raw/master/csl-citation.json"}</w:instrText>
      </w:r>
      <w:r w:rsidR="006F7A72">
        <w:rPr>
          <w:rFonts w:ascii="Arial" w:hAnsi="Arial" w:cs="Arial"/>
        </w:rPr>
        <w:fldChar w:fldCharType="separate"/>
      </w:r>
      <w:r w:rsidR="003876B1" w:rsidRPr="003876B1">
        <w:rPr>
          <w:rFonts w:ascii="Arial" w:hAnsi="Arial" w:cs="Arial"/>
          <w:noProof/>
        </w:rPr>
        <w:t>(Bogdanova et al., 2008, 2006; Gee et al., 2014; Roberts et al., 2013)</w:t>
      </w:r>
      <w:r w:rsidR="006F7A72">
        <w:rPr>
          <w:rFonts w:ascii="Arial" w:hAnsi="Arial" w:cs="Arial"/>
        </w:rPr>
        <w:fldChar w:fldCharType="end"/>
      </w:r>
      <w:r w:rsidR="00EB4BBC">
        <w:rPr>
          <w:rFonts w:ascii="Arial" w:hAnsi="Arial" w:cs="Arial"/>
        </w:rPr>
        <w:t xml:space="preserve">. These grains could be linked to the final closure of the Tornquist Sea, and progressive spreading and subduction of the Rheic Ocean </w:t>
      </w:r>
      <w:r w:rsidR="00EB4BBC">
        <w:rPr>
          <w:rFonts w:ascii="Arial" w:hAnsi="Arial" w:cs="Arial"/>
        </w:rPr>
        <w:fldChar w:fldCharType="begin" w:fldLock="1"/>
      </w:r>
      <w:r w:rsidR="00EB4BBC">
        <w:rPr>
          <w:rFonts w:ascii="Arial" w:hAnsi="Arial" w:cs="Arial"/>
        </w:rPr>
        <w:instrText>ADDIN CSL_CITATION {"citationItems":[{"id":"ITEM-1","itemData":{"DOI":"10.1016/j.gsf.2011.11.008","ISSN":"16749871","abstract":"The Rheic Ocean was one of the most important oceans of the Paleozoic Era. It lay between Laurentia and Gondwana from the Early Ordovician and closed to produce the vast Ouachita-Alleghanian-Variscan orogen during the assembly of Pangea. Rifting began in the Cambrian as a continuation of Neoproterozoic orogenic activity and the ocean opened in the Early Ordovician with the separation of several Neoproterozoic arc terranes from the continental margin of northern Gondwana along the line of a former suture. The rapid rate of ocean opening suggests it was driven by slab pull in the outboard Iapetus Ocean. The ocean reached its greatest width with the closure of Iapetus and the accretion of the peri-Gondwanan arc terranes to Laurentia in the Silurian. Ocean closure began in the Devonian and continued through the Mississippian as Gondwana sutured to Laurussia to form Pangea. The ocean consequently plays a dominant role in the Appalachian-Ouachita orogeny of North America, in the basement geology of southern Europe, and in the Paleozoic sedimentary, structural and tectonothermal record from Middle America to the Middle East. Its closure brought the Paleozoic Era to an end. © 2011, China University of Geosciences (Beijing) and Peking University. Production and hosting by Elsevier B.V. All rights reserved.","author":[{"dropping-particle":"","family":"Nance","given":"R. Damian","non-dropping-particle":"","parse-names":false,"suffix":""},{"dropping-particle":"","family":"Gutiérrez-Alonso","given":"Gabriel","non-dropping-particle":"","parse-names":false,"suffix":""},{"dropping-particle":"","family":"Keppie","given":"J. Duncan","non-dropping-particle":"","parse-names":false,"suffix":""},{"dropping-particle":"","family":"Linnemann","given":"Ulf","non-dropping-particle":"","parse-names":false,"suffix":""},{"dropping-particle":"","family":"Murphy","given":"J. Brendan","non-dropping-particle":"","parse-names":false,"suffix":""},{"dropping-particle":"","family":"Quesada","given":"Cecilio","non-dropping-particle":"","parse-names":false,"suffix":""},{"dropping-particle":"","family":"Strachan","given":"Rob A.","non-dropping-particle":"","parse-names":false,"suffix":""},{"dropping-particle":"","family":"Woodcock","given":"Nigel H.","non-dropping-particle":"","parse-names":false,"suffix":""}],"container-title":"Geoscience Frontiers","id":"ITEM-1","issue":"2","issued":{"date-parts":[["2012"]]},"page":"125-135","title":"A brief history of the Rheic Ocean","type":"article-journal","volume":"3"},"uris":["http://www.mendeley.com/documents/?uuid=1aa9c8dd-fef4-4d8e-a7f5-c3cf7d126903"]},{"id":"ITEM-2","itemData":{"author":[{"dropping-particle":"","family":"Oliver","given":"G. J. H.","non-dropping-particle":"","parse-names":false,"suffix":""},{"dropping-particle":"","family":"Corfu","given":"F.","non-dropping-particle":"","parse-names":false,"suffix":""},{"dropping-particle":"","family":"Krogh","given":"T. E.","non-dropping-particle":"","parse-names":false,"suffix":""}],"container-title":"Journal of the Geological SocietyGeological","id":"ITEM-2","issued":{"date-parts":[["1993"]]},"page":"355-369","title":"U-Pb ages from SW Poland: evidence for a Caledonian suture zone between Baltica and Gondwana","type":"article-journal","volume":"150"},"uris":["http://www.mendeley.com/documents/?uuid=e0535110-abbf-4b6b-89f0-3704c8036b2d"]},{"id":"ITEM-3","itemData":{"DOI":"10.1016/j.gr.2013.03.001","ISSN":"1342937X","abstract":"The Variscides of Europe and N-Africa are the result of the convergence of the plates of Gondwana and Laurussia in the Paleozoic. This orogen is characterized by the juxtaposition of blocks of continental crust that are little affected by the Variscan orogeny. These low strain domains principally consist of Neoproterozoic/Cambrian Cadomian basement overlain by volcano-sedimentary successions of an extended peri-Gondwana shelf. These Cadomian blocks are separated by high strain zones containing the record of subduction-related processes. Traditionally the high strain zones are interpreted as sutures between one or more postulated lithospheric microplates sandwiched between the two major plates. Paleobio-geographic constraints in combination with geochemical and isotopic fingerprints of the protoliths, however, imply that the Variscides are the result of the exclusive interaction of the two plates of Gondwana and Laurussia. Here we explain the Variscan orogen in a two plate scenario, reasoning that the complexity of the Variscan orogen (multitude of high-grade metamorphic belts, compositional diversity of coeval magmatism, and arrangement of foreland basins) is the result of the distribution of crustal domains of contrasting rheological properties. Post-Cadomian rifting along the Cadomian-Avalonian belt, which culminated in the opening of the Rheic Ocean, resulted in vast coeval intracontinental extension and the formation of extended peri-Gondwana shelf areas, namely the Avalonian shelf and the Armorican Spur to the north and south of the evolving Rheic Ocean, respectively. Both shelf areas affected by heterogeneous extension consist of stable continental blocks separated by zones of thinner continental crust. During Variscan collisional tectonics the continental blocks behave as unsubductable crust, whereas the thinner continental crust was subductable and came to constitute the high strain domains of the orogen. The variable interplay between both crustal types in space and time is seen as the principal cause for the observed sequence of orogenic processes. The first collisional contact along the convergent Gondwana-Laurussia plate boundary occurred between Brittany and the Midland microcraton causing the early Devonian deformation along the Anglo-Brabant Fold Belt. This process is coeval with the initiation of continental subduction along the Armorican Spur of the Gondwana plate and the formation of back arc and transtensional basins to both sides of …","author":[{"dropping-particle":"","family":"Kroner","given":"Uwe","non-dropping-particle":"","parse-names":false,"suffix":""},{"dropping-particle":"","family":"Romer","given":"Rolf L.","non-dropping-particle":"","parse-names":false,"suffix":""}],"container-title":"Gondwana Research","id":"ITEM-3","issue":"1","issued":{"date-parts":[["2013"]]},"page":"298-329","publisher":"International Association for Gondwana Research","title":"Two plates - Many subduction zones: The Variscan orogeny reconsidered","type":"article-journal","volume":"24"},"uris":["http://www.mendeley.com/documents/?uuid=df9493d5-4c89-4684-8428-52cb1fa40181"]}],"mendeley":{"formattedCitation":"(Kroner and Romer, 2013; Nance et al., 2012; Oliver et al., 1993)","plainTextFormattedCitation":"(Kroner and Romer, 2013; Nance et al., 2012; Oliver et al., 1993)","previouslyFormattedCitation":"(Kroner and Romer, 2013; Nance et al., 2012; Oliver et al., 1993)"},"properties":{"noteIndex":0},"schema":"https://github.com/citation-style-language/schema/raw/master/csl-citation.json"}</w:instrText>
      </w:r>
      <w:r w:rsidR="00EB4BBC">
        <w:rPr>
          <w:rFonts w:ascii="Arial" w:hAnsi="Arial" w:cs="Arial"/>
        </w:rPr>
        <w:fldChar w:fldCharType="separate"/>
      </w:r>
      <w:r w:rsidR="00EB4BBC" w:rsidRPr="00285DC3">
        <w:rPr>
          <w:rFonts w:ascii="Arial" w:hAnsi="Arial" w:cs="Arial"/>
          <w:noProof/>
        </w:rPr>
        <w:t>(Kroner and Romer, 2013; Nance et al., 2012; Oliver et al., 1993)</w:t>
      </w:r>
      <w:r w:rsidR="00EB4BBC">
        <w:rPr>
          <w:rFonts w:ascii="Arial" w:hAnsi="Arial" w:cs="Arial"/>
        </w:rPr>
        <w:fldChar w:fldCharType="end"/>
      </w:r>
      <w:r w:rsidR="00EB4BBC">
        <w:rPr>
          <w:rFonts w:ascii="Arial" w:hAnsi="Arial" w:cs="Arial"/>
        </w:rPr>
        <w:t>.</w:t>
      </w:r>
      <w:r w:rsidR="00291B5E">
        <w:rPr>
          <w:rFonts w:ascii="Arial" w:hAnsi="Arial" w:cs="Arial"/>
        </w:rPr>
        <w:t xml:space="preserve"> </w:t>
      </w:r>
      <w:r w:rsidR="00C876F5">
        <w:rPr>
          <w:rFonts w:ascii="Arial" w:hAnsi="Arial" w:cs="Arial"/>
        </w:rPr>
        <w:t>At present t</w:t>
      </w:r>
      <w:r w:rsidR="00EB4BBC">
        <w:rPr>
          <w:rFonts w:ascii="Arial" w:hAnsi="Arial" w:cs="Arial"/>
        </w:rPr>
        <w:t xml:space="preserve">hese regions do not have a connection to the Danube’s catchment, but </w:t>
      </w:r>
      <w:r w:rsidR="00291B5E">
        <w:rPr>
          <w:rFonts w:ascii="Arial" w:hAnsi="Arial" w:cs="Arial"/>
        </w:rPr>
        <w:t xml:space="preserve">these grains </w:t>
      </w:r>
      <w:r w:rsidR="00C876F5">
        <w:rPr>
          <w:rFonts w:ascii="Arial" w:hAnsi="Arial" w:cs="Arial"/>
        </w:rPr>
        <w:t xml:space="preserve">likely have been </w:t>
      </w:r>
      <w:r w:rsidR="00EB4BBC">
        <w:rPr>
          <w:rFonts w:ascii="Arial" w:hAnsi="Arial" w:cs="Arial"/>
        </w:rPr>
        <w:t>recyc</w:t>
      </w:r>
      <w:r w:rsidR="00C876F5">
        <w:rPr>
          <w:rFonts w:ascii="Arial" w:hAnsi="Arial" w:cs="Arial"/>
        </w:rPr>
        <w:t xml:space="preserve">led and preserved within the drainage of Tisza. </w:t>
      </w:r>
    </w:p>
    <w:p w14:paraId="49602228" w14:textId="6C92A7F9" w:rsidR="00AC6E98" w:rsidRDefault="005028D1">
      <w:pPr>
        <w:spacing w:before="120" w:after="120" w:line="480" w:lineRule="auto"/>
        <w:jc w:val="both"/>
        <w:rPr>
          <w:rFonts w:ascii="Arial" w:hAnsi="Arial" w:cs="Arial"/>
        </w:rPr>
      </w:pPr>
      <w:bookmarkStart w:id="80" w:name="_Hlk81296135"/>
      <w:r>
        <w:rPr>
          <w:rFonts w:ascii="Arial" w:hAnsi="Arial" w:cs="Arial"/>
        </w:rPr>
        <w:t>Some similarities between ADL and the Balkan region are noted in both zircon U-Pb ages (</w:t>
      </w:r>
      <w:r w:rsidRPr="00CF0291">
        <w:rPr>
          <w:rFonts w:ascii="Arial" w:hAnsi="Arial" w:cs="Arial"/>
        </w:rPr>
        <w:t>Rhodopes</w:t>
      </w:r>
      <w:r>
        <w:rPr>
          <w:rFonts w:ascii="Arial" w:hAnsi="Arial" w:cs="Arial"/>
        </w:rPr>
        <w:t xml:space="preserve"> Mountains; VT, RB, and PT) and Hf isotopes (Serbo-Macedonian Massif) in the 450 Ma range</w:t>
      </w:r>
      <w:r w:rsidR="00A37B55">
        <w:rPr>
          <w:rFonts w:ascii="Arial" w:hAnsi="Arial" w:cs="Arial"/>
        </w:rPr>
        <w:t>. A</w:t>
      </w:r>
      <w:r>
        <w:rPr>
          <w:rFonts w:ascii="Arial" w:hAnsi="Arial" w:cs="Arial"/>
        </w:rPr>
        <w:t xml:space="preserve">t present </w:t>
      </w:r>
      <w:r w:rsidR="003B43AB">
        <w:rPr>
          <w:rFonts w:ascii="Arial" w:hAnsi="Arial" w:cs="Arial"/>
        </w:rPr>
        <w:t>these regions</w:t>
      </w:r>
      <w:r w:rsidR="00D07924">
        <w:rPr>
          <w:rFonts w:ascii="Arial" w:hAnsi="Arial" w:cs="Arial"/>
        </w:rPr>
        <w:t xml:space="preserve"> </w:t>
      </w:r>
      <w:r w:rsidR="00E945CA">
        <w:rPr>
          <w:rFonts w:ascii="Arial" w:hAnsi="Arial" w:cs="Arial"/>
        </w:rPr>
        <w:t>do</w:t>
      </w:r>
      <w:r w:rsidR="00C876F5">
        <w:rPr>
          <w:rFonts w:ascii="Arial" w:hAnsi="Arial" w:cs="Arial"/>
        </w:rPr>
        <w:t xml:space="preserve"> not have a connection with modern Danube system</w:t>
      </w:r>
      <w:r w:rsidR="00A37B55">
        <w:rPr>
          <w:rFonts w:ascii="Arial" w:hAnsi="Arial" w:cs="Arial"/>
        </w:rPr>
        <w:t xml:space="preserve"> and neither of them </w:t>
      </w:r>
      <w:bookmarkStart w:id="81" w:name="_Hlk80960199"/>
      <w:bookmarkEnd w:id="78"/>
      <w:r w:rsidR="009B1BF7">
        <w:rPr>
          <w:rFonts w:ascii="Arial" w:hAnsi="Arial" w:cs="Arial"/>
        </w:rPr>
        <w:t xml:space="preserve">can be </w:t>
      </w:r>
      <w:r w:rsidR="00A37B55">
        <w:rPr>
          <w:rFonts w:ascii="Arial" w:hAnsi="Arial" w:cs="Arial"/>
        </w:rPr>
        <w:t xml:space="preserve">a </w:t>
      </w:r>
      <w:r w:rsidR="009B1BF7">
        <w:rPr>
          <w:rFonts w:ascii="Arial" w:hAnsi="Arial" w:cs="Arial"/>
        </w:rPr>
        <w:t>direct source of sediment</w:t>
      </w:r>
      <w:r w:rsidR="00A37B55">
        <w:rPr>
          <w:rFonts w:ascii="Arial" w:hAnsi="Arial" w:cs="Arial"/>
        </w:rPr>
        <w:t xml:space="preserve"> for loess</w:t>
      </w:r>
      <w:r w:rsidR="009B1BF7">
        <w:rPr>
          <w:rFonts w:ascii="Arial" w:hAnsi="Arial" w:cs="Arial"/>
        </w:rPr>
        <w:t xml:space="preserve">. </w:t>
      </w:r>
      <w:r w:rsidR="003B43AB">
        <w:rPr>
          <w:rFonts w:ascii="Arial" w:hAnsi="Arial" w:cs="Arial"/>
        </w:rPr>
        <w:t xml:space="preserve">However these source rocks can be taken as broadly representative of ages expected </w:t>
      </w:r>
      <w:r w:rsidR="003B43AB" w:rsidRPr="00313883">
        <w:rPr>
          <w:rFonts w:ascii="Arial" w:hAnsi="Arial" w:cs="Arial"/>
        </w:rPr>
        <w:t>in the Balkan region</w:t>
      </w:r>
      <w:r w:rsidR="003B43AB">
        <w:rPr>
          <w:rFonts w:ascii="Arial" w:hAnsi="Arial" w:cs="Arial"/>
        </w:rPr>
        <w:t>, with some areas potenti</w:t>
      </w:r>
      <w:r w:rsidR="003B43AB" w:rsidRPr="00BA1FF5">
        <w:rPr>
          <w:rFonts w:ascii="Arial" w:hAnsi="Arial" w:cs="Arial"/>
        </w:rPr>
        <w:t xml:space="preserve">ally providing small contributions via the Morava, Iskar, and other smaller tributaries. </w:t>
      </w:r>
      <w:bookmarkStart w:id="82" w:name="_Hlk82156097"/>
      <w:r w:rsidR="002759E3">
        <w:rPr>
          <w:rFonts w:ascii="Arial" w:hAnsi="Arial" w:cs="Arial"/>
        </w:rPr>
        <w:t>Moreover,</w:t>
      </w:r>
      <w:r w:rsidR="00BA1FF5" w:rsidRPr="00BA1FF5">
        <w:rPr>
          <w:rFonts w:ascii="Arial" w:hAnsi="Arial" w:cs="Arial"/>
          <w:bCs/>
        </w:rPr>
        <w:t xml:space="preserve"> some of </w:t>
      </w:r>
      <w:r w:rsidR="003C4DE2">
        <w:rPr>
          <w:rFonts w:ascii="Arial" w:hAnsi="Arial" w:cs="Arial"/>
          <w:bCs/>
        </w:rPr>
        <w:t xml:space="preserve">the </w:t>
      </w:r>
      <w:r w:rsidR="00BA1FF5" w:rsidRPr="00BA1FF5">
        <w:rPr>
          <w:rFonts w:ascii="Arial" w:hAnsi="Arial" w:cs="Arial"/>
          <w:bCs/>
        </w:rPr>
        <w:t xml:space="preserve">Balkan sources could have previously been connected to the Danube catchment </w:t>
      </w:r>
      <w:r w:rsidR="002759E3">
        <w:rPr>
          <w:rFonts w:ascii="Arial" w:hAnsi="Arial" w:cs="Arial"/>
          <w:bCs/>
        </w:rPr>
        <w:t xml:space="preserve">as </w:t>
      </w:r>
      <w:r w:rsidR="005B3A14">
        <w:rPr>
          <w:rFonts w:ascii="Arial" w:hAnsi="Arial" w:cs="Arial"/>
          <w:bCs/>
        </w:rPr>
        <w:t xml:space="preserve">the </w:t>
      </w:r>
      <w:r w:rsidR="00BA1FF5" w:rsidRPr="00BA1FF5">
        <w:rPr>
          <w:rFonts w:ascii="Arial" w:hAnsi="Arial" w:cs="Arial"/>
          <w:bCs/>
        </w:rPr>
        <w:t xml:space="preserve">present configuration is </w:t>
      </w:r>
      <w:r w:rsidR="00BA1FF5">
        <w:rPr>
          <w:rFonts w:ascii="Arial" w:hAnsi="Arial" w:cs="Arial"/>
          <w:bCs/>
        </w:rPr>
        <w:t xml:space="preserve">a </w:t>
      </w:r>
      <w:r w:rsidR="00BA1FF5" w:rsidRPr="00BA1FF5">
        <w:rPr>
          <w:rFonts w:ascii="Arial" w:hAnsi="Arial" w:cs="Arial"/>
          <w:bCs/>
        </w:rPr>
        <w:t>relatively recent</w:t>
      </w:r>
      <w:r w:rsidR="00BA1FF5">
        <w:rPr>
          <w:rFonts w:ascii="Arial" w:hAnsi="Arial" w:cs="Arial"/>
          <w:bCs/>
        </w:rPr>
        <w:t xml:space="preserve"> development</w:t>
      </w:r>
      <w:r w:rsidR="00BA1FF5" w:rsidRPr="00BA1FF5">
        <w:rPr>
          <w:rFonts w:ascii="Arial" w:hAnsi="Arial" w:cs="Arial"/>
          <w:bCs/>
        </w:rPr>
        <w:t xml:space="preserve"> </w:t>
      </w:r>
      <w:r w:rsidR="00BA1FF5" w:rsidRPr="00BA1FF5">
        <w:rPr>
          <w:rFonts w:ascii="Arial" w:hAnsi="Arial" w:cs="Arial"/>
          <w:bCs/>
        </w:rPr>
        <w:fldChar w:fldCharType="begin" w:fldLock="1"/>
      </w:r>
      <w:r w:rsidR="00E3541F">
        <w:rPr>
          <w:rFonts w:ascii="Arial" w:hAnsi="Arial" w:cs="Arial"/>
          <w:bCs/>
        </w:rPr>
        <w:instrText>ADDIN CSL_CITATION {"citationItems":[{"id":"ITEM-1","itemData":{"DOI":"10.1016/j.gloplacha.2013.01.003","ISSN":"09218181","abstract":"A source to sink systemdescribes the natural link betweenmountains, plains and deltas, by analysing the (re)distribution ofmaterial at shallowcrustal depth and at the Earth's surface, exploring the links between coupled tectonic and surface processes. Sediment fluxes are the product of erosion and movement of material in and from sources (mountains), the transport and movement of sediments and solutes by river systems to the plains, and deposition and storage in sink zones. The ESF-EUROCORES TOPO-EUROPE SourceSink programme is a fully integrated research effort to significantly advance our predictive capabilities on the quantitative analyses of coupled active and past drainage systems bymeans of step-wise 4D reconstructions of sedimentsmass transfer, integrating geophysics, geology, geomorphology, state of the art high-resolution dating, and numerical and analoguemodelling. The area selected for this programme is the Danube River Basin-Black Sea source to sink system, aworld-class natural laboratory that is uniquely suited in the heart of Europe's topography, covering almost half of its surface, providing opportunities for excellent field sites to study in integration surface and subsurface data that cover the complete chain of source, carrier and sink. Quantifying andmodelling the complete systemin relation to the controlling parameters has resulted in significant understanding of forcing factors and linking temporal and spatial scales across multiple orogen and basin systems. This research has provided the opportunity to widen the geographical scope to other natural scenarios, where a number of mountain chains with similar geodynamic genesis separate sedimentary basins with comparable evolution. © 2013 Elsevier B.V. All rights reserved.","author":[{"dropping-particle":"","family":"Matenco","given":"Liviu","non-dropping-particle":"","parse-names":false,"suffix":""},{"dropping-particle":"","family":"Andriessen","given":"Paul A. M.","non-dropping-particle":"","parse-names":false,"suffix":""},{"dropping-particle":"","family":"Avram","given":"C.","non-dropping-particle":"","parse-names":false,"suffix":""},{"dropping-particle":"","family":"Bada","given":"Gábor","non-dropping-particle":"","parse-names":false,"suffix":""},{"dropping-particle":"","family":"Beekman","given":"F.","non-dropping-particle":"","parse-names":false,"suffix":""},{"dropping-particle":"","family":"Bielik","given":"M.","non-dropping-particle":"","parse-names":false,"suffix":""},{"dropping-particle":"","family":"Borgh","given":"M.","non-dropping-particle":"Ter","parse-names":false,"suffix":""},{"dropping-particle":"","family":"Cifci","given":"G.","non-dropping-particle":"","parse-names":false,"suffix":""},{"dropping-particle":"","family":"Cvetković","given":"Vladica","non-dropping-particle":"","parse-names":false,"suffix":""},{"dropping-particle":"","family":"Dinu","given":"C.","non-dropping-particle":"","parse-names":false,"suffix":""},{"dropping-particle":"","family":"Dombradi","given":"E.","non-dropping-particle":"","parse-names":false,"suffix":""},{"dropping-particle":"","family":"Dondurur","given":"D.","non-dropping-particle":"","parse-names":false,"suffix":""},{"dropping-particle":"","family":"Ergun","given":"M.","non-dropping-particle":"","parse-names":false,"suffix":""},{"dropping-particle":"","family":"Francu","given":"J.","non-dropping-particle":"","parse-names":false,"suffix":""},{"dropping-particle":"","family":"Fügenschuh","given":"Bernhard","non-dropping-particle":"","parse-names":false,"suffix":""},{"dropping-particle":"","family":"Garcia-Castellanos","given":"D.","non-dropping-particle":"","parse-names":false,"suffix":""},{"dropping-particle":"","family":"Götz","given":"J.","non-dropping-particle":"","parse-names":false,"suffix":""},{"dropping-particle":"","family":"Horváth","given":"Frank","non-dropping-particle":"","parse-names":false,"suffix":""},{"dropping-particle":"","family":"Houseman","given":"G.","non-dropping-particle":"","parse-names":false,"suffix":""},{"dropping-particle":"","family":"Knežević","given":"S.","non-dropping-particle":"","parse-names":false,"suffix":""},{"dropping-particle":"","family":"Kovac","given":"M.","non-dropping-particle":"","parse-names":false,"suffix":""},{"dropping-particle":"","family":"Kralikova","given":"S.","non-dropping-particle":"","parse-names":false,"suffix":""},{"dropping-particle":"","family":"Krijgsman","given":"W.","non-dropping-particle":"","parse-names":false,"suffix":""},{"dropping-particle":"","family":"Kucuk","given":"M.","non-dropping-particle":"","parse-names":false,"suffix":""},{"dropping-particle":"","family":"Legosteva","given":"O.","non-dropping-particle":"","parse-names":false,"suffix":""},{"dropping-particle":"","family":"Lericolais","given":"Gilles","non-dropping-particle":"","parse-names":false,"suffix":""},{"dropping-particle":"","family":"Jipa","given":"Dan C.","non-dropping-particle":"","parse-names":false,"suffix":""},{"dropping-particle":"","family":"Maximov","given":"G.","non-dropping-particle":"","parse-names":false,"suffix":""},{"dropping-particle":"","family":"Melinte","given":"M.","non-dropping-particle":"","parse-names":false,"suffix":""},{"dropping-particle":"","family":"Minar","given":"J.","non-dropping-particle":"","parse-names":false,"suffix":""},{"dropping-particle":"","family":"Munteanu","given":"I.","non-dropping-particle":"","parse-names":false,"suffix":""},{"dropping-particle":"","family":"Munt","given":"I. J.","non-dropping-particle":"","parse-names":false,"suffix":""},{"dropping-particle":"","family":"Olariu","given":"C.","non-dropping-particle":"","parse-names":false,"suffix":""},{"dropping-particle":"","family":"Otto","given":"J. C.","non-dropping-particle":"","parse-names":false,"suffix":""},{"dropping-particle":"","family":"Panin","given":"N.","non-dropping-particle":"","parse-names":false,"suffix":""},{"dropping-particle":"","family":"Plašienka","given":"Dušan","non-dropping-particle":"","parse-names":false,"suffix":""},{"dropping-particle":"","family":"Reiser","given":"M.","non-dropping-particle":"","parse-names":false,"suffix":""},{"dropping-particle":"","family":"Rundić","given":"L.","non-dropping-particle":"","parse-names":false,"suffix":""},{"dropping-particle":"","family":"Rupprechter","given":"M.","non-dropping-particle":"","parse-names":false,"suffix":""},{"dropping-particle":"","family":"Safanda","given":"J.","non-dropping-particle":"","parse-names":false,"suffix":""},{"dropping-particle":"","family":"Schmid","given":"Stefan Martin","non-dropping-particle":"","parse-names":false,"suffix":""},{"dropping-particle":"","family":"Schrott","given":"L.","non-dropping-particle":"","parse-names":false,"suffix":""},{"dropping-particle":"","family":"Schuster","given":"Ralf","non-dropping-particle":"","parse-names":false,"suffix":""},{"dropping-particle":"","family":"Starostenko","given":"V.","non-dropping-particle":"","parse-names":false,"suffix":""},{"dropping-particle":"","family":"Steel","given":"R. J.","non-dropping-particle":"","parse-names":false,"suffix":""},{"dropping-particle":"","family":"Stephenson","given":"Randell A.","non-dropping-particle":"","parse-names":false,"suffix":""},{"dropping-particle":"","family":"Stovba","given":"S.","non-dropping-particle":"","parse-names":false,"suffix":""},{"dropping-particle":"","family":"Sokoutis","given":"D.","non-dropping-particle":"","parse-names":false,"suffix":""},{"dropping-particle":"","family":"Stankoviansky","given":"M.","non-dropping-particle":"","parse-names":false,"suffix":""},{"dropping-particle":"","family":"Stoica","given":"Adriana M.","non-dropping-particle":"","parse-names":false,"suffix":""},{"dropping-particle":"","family":"Stojadinović","given":"Uroš","non-dropping-particle":"","parse-names":false,"suffix":""},{"dropping-particle":"","family":"Toljić","given":"Marinko","non-dropping-particle":"","parse-names":false,"suffix":""},{"dropping-particle":"","family":"Tomljenović","given":"Bruno","non-dropping-particle":"","parse-names":false,"suffix":""},{"dropping-particle":"","family":"Voorde","given":"M.","non-dropping-particle":"Ter","parse-names":false,"suffix":""},{"dropping-particle":"","family":"Wong","given":"H.","non-dropping-particle":"","parse-names":false,"suffix":""}],"container-title":"Global and Planetary Change","id":"ITEM-1","issue":"1","issued":{"date-parts":[["2013"]]},"page":"1-18","publisher":"Elsevier B.V.","title":"Quantifying the mass transfer from mountain ranges to deposition in sedimentary basins: Source to sink studies in the Danube basin-black sea system","type":"article-journal","volume":"103"},"uris":["http://www.mendeley.com/documents/?uuid=4c1a8188-4b94-4a22-acee-3d1b3be673e7"]}],"mendeley":{"formattedCitation":"(Matenco et al., 2013)","plainTextFormattedCitation":"(Matenco et al., 2013)","previouslyFormattedCitation":"(Matenco et al., 2013)"},"properties":{"noteIndex":0},"schema":"https://github.com/citation-style-language/schema/raw/master/csl-citation.json"}</w:instrText>
      </w:r>
      <w:r w:rsidR="00BA1FF5" w:rsidRPr="00BA1FF5">
        <w:rPr>
          <w:rFonts w:ascii="Arial" w:hAnsi="Arial" w:cs="Arial"/>
          <w:bCs/>
        </w:rPr>
        <w:fldChar w:fldCharType="separate"/>
      </w:r>
      <w:r w:rsidR="00BA1FF5" w:rsidRPr="00BA1FF5">
        <w:rPr>
          <w:rFonts w:ascii="Arial" w:hAnsi="Arial" w:cs="Arial"/>
          <w:bCs/>
          <w:noProof/>
        </w:rPr>
        <w:t>(Matenco et al., 2013)</w:t>
      </w:r>
      <w:r w:rsidR="00BA1FF5" w:rsidRPr="00BA1FF5">
        <w:rPr>
          <w:rFonts w:ascii="Arial" w:hAnsi="Arial" w:cs="Arial"/>
          <w:bCs/>
        </w:rPr>
        <w:fldChar w:fldCharType="end"/>
      </w:r>
      <w:r w:rsidR="002759E3">
        <w:rPr>
          <w:rFonts w:ascii="Arial" w:hAnsi="Arial" w:cs="Arial"/>
          <w:bCs/>
        </w:rPr>
        <w:t>. Z</w:t>
      </w:r>
      <w:r w:rsidR="00A37B55">
        <w:rPr>
          <w:rFonts w:ascii="Arial" w:hAnsi="Arial" w:cs="Arial"/>
        </w:rPr>
        <w:t>ircons</w:t>
      </w:r>
      <w:r w:rsidR="003B43AB">
        <w:rPr>
          <w:rFonts w:ascii="Arial" w:hAnsi="Arial" w:cs="Arial"/>
        </w:rPr>
        <w:t xml:space="preserve"> </w:t>
      </w:r>
      <w:r w:rsidR="002759E3">
        <w:rPr>
          <w:rFonts w:ascii="Arial" w:hAnsi="Arial" w:cs="Arial"/>
        </w:rPr>
        <w:t xml:space="preserve">could have been supplied </w:t>
      </w:r>
      <w:r w:rsidR="00376BC1">
        <w:rPr>
          <w:rFonts w:ascii="Arial" w:hAnsi="Arial" w:cs="Arial"/>
        </w:rPr>
        <w:t xml:space="preserve">to sedimentary rocks which are found within the Danube catchment at present, </w:t>
      </w:r>
      <w:r w:rsidR="003B43AB">
        <w:rPr>
          <w:rFonts w:ascii="Arial" w:hAnsi="Arial" w:cs="Arial"/>
        </w:rPr>
        <w:t xml:space="preserve">through cycles of erosion and deposition. </w:t>
      </w:r>
      <w:bookmarkEnd w:id="80"/>
      <w:bookmarkEnd w:id="81"/>
      <w:bookmarkEnd w:id="82"/>
      <w:r w:rsidR="003B43AB">
        <w:rPr>
          <w:rFonts w:ascii="Arial" w:hAnsi="Arial" w:cs="Arial"/>
        </w:rPr>
        <w:t xml:space="preserve">Crucially Balkan region sources can only be considered as contributors to southern Serbian, Bulgarian, and Romanian loess. </w:t>
      </w:r>
      <w:bookmarkStart w:id="83" w:name="_Hlk80971248"/>
      <w:r w:rsidR="00274A12">
        <w:rPr>
          <w:rFonts w:ascii="Arial" w:hAnsi="Arial" w:cs="Arial"/>
        </w:rPr>
        <w:t>For the upper reaches of the Danube</w:t>
      </w:r>
      <w:r w:rsidR="007A4952">
        <w:rPr>
          <w:rFonts w:ascii="Arial" w:hAnsi="Arial" w:cs="Arial"/>
        </w:rPr>
        <w:t>,</w:t>
      </w:r>
      <w:r w:rsidR="00274A12">
        <w:rPr>
          <w:rFonts w:ascii="Arial" w:hAnsi="Arial" w:cs="Arial"/>
        </w:rPr>
        <w:t xml:space="preserve"> </w:t>
      </w:r>
      <w:r w:rsidR="00932F50">
        <w:rPr>
          <w:rFonts w:ascii="Arial" w:hAnsi="Arial" w:cs="Arial"/>
        </w:rPr>
        <w:t xml:space="preserve">the </w:t>
      </w:r>
      <w:r w:rsidR="00674A01" w:rsidRPr="00313883">
        <w:rPr>
          <w:rFonts w:ascii="Arial" w:hAnsi="Arial" w:cs="Arial"/>
        </w:rPr>
        <w:t>Bohemian Massif</w:t>
      </w:r>
      <w:r w:rsidR="00932F50">
        <w:rPr>
          <w:rFonts w:ascii="Arial" w:hAnsi="Arial" w:cs="Arial"/>
        </w:rPr>
        <w:t xml:space="preserve">, West Carpathians, </w:t>
      </w:r>
      <w:bookmarkStart w:id="84" w:name="_Hlk73717194"/>
      <w:r w:rsidR="00663DDD">
        <w:rPr>
          <w:rFonts w:ascii="Arial" w:hAnsi="Arial" w:cs="Arial"/>
        </w:rPr>
        <w:t>Bϋkk Mountains</w:t>
      </w:r>
      <w:bookmarkEnd w:id="84"/>
      <w:r w:rsidR="00274A12">
        <w:rPr>
          <w:rFonts w:ascii="Arial" w:hAnsi="Arial" w:cs="Arial"/>
        </w:rPr>
        <w:t xml:space="preserve"> (Figure 6)</w:t>
      </w:r>
      <w:r w:rsidR="00663DDD">
        <w:rPr>
          <w:rFonts w:ascii="Arial" w:hAnsi="Arial" w:cs="Arial"/>
        </w:rPr>
        <w:t>,</w:t>
      </w:r>
      <w:r w:rsidR="00274A12">
        <w:rPr>
          <w:rFonts w:ascii="Arial" w:hAnsi="Arial" w:cs="Arial"/>
        </w:rPr>
        <w:t xml:space="preserve"> Black Forest Mountain’s</w:t>
      </w:r>
      <w:r w:rsidR="007A4952">
        <w:rPr>
          <w:rFonts w:ascii="Arial" w:hAnsi="Arial" w:cs="Arial"/>
        </w:rPr>
        <w:t>,</w:t>
      </w:r>
      <w:r w:rsidR="00274A12">
        <w:rPr>
          <w:rFonts w:ascii="Arial" w:hAnsi="Arial" w:cs="Arial"/>
        </w:rPr>
        <w:t xml:space="preserve"> where Danube has its headwaters</w:t>
      </w:r>
      <w:r w:rsidR="007E175A">
        <w:rPr>
          <w:rFonts w:ascii="Arial" w:hAnsi="Arial" w:cs="Arial"/>
        </w:rPr>
        <w:t xml:space="preserve"> </w:t>
      </w:r>
      <w:r w:rsidR="007E175A">
        <w:rPr>
          <w:rFonts w:ascii="Arial" w:hAnsi="Arial" w:cs="Arial"/>
        </w:rPr>
        <w:fldChar w:fldCharType="begin" w:fldLock="1"/>
      </w:r>
      <w:r w:rsidR="008979F8">
        <w:rPr>
          <w:rFonts w:ascii="Arial" w:hAnsi="Arial" w:cs="Arial"/>
        </w:rPr>
        <w:instrText>ADDIN CSL_CITATION {"citationItems":[{"id":"ITEM-1","itemData":{"author":[{"dropping-particle":"","family":"Fukum","given":"Chen","non-dropping-particle":"","parse-names":false,"suffix":""}],"container-title":"Chinese Journal of Geochemistry","id":"ITEM-1","issue":"2","issued":{"date-parts":[["2002"]]},"page":"107-119","title":"Polymetamorphism of the Variscan Basement of the Moidanubian Black Forest (Germany) Documented in Zircon and Garnet Minerals from Gneisses","type":"article-journal","volume":"21"},"uris":["http://www.mendeley.com/documents/?uuid=4e876cd0-f50e-4312-8264-99f8e724c218"]},{"id":"ITEM-2","itemData":{"author":[{"dropping-particle":"","family":"Chen","given":"Fukun","non-dropping-particle":"","parse-names":false,"suffix":""},{"dropping-particle":"","family":"Todt","given":"Wolfgang","non-dropping-particle":"","parse-names":false,"suffix":""},{"dropping-particle":"","family":"Hann","given":"Horst Peter","non-dropping-particle":"","parse-names":false,"suffix":""}],"container-title":"The Journal of Geology","id":"ITEM-2","issued":{"date-parts":[["2003"]]},"page":"207-222","title":"Zircon and Garnet Geochronology of Eclogites from the Moldanubian Zone of the Black Forest , Germany","type":"article-journal","volume":"111"},"uris":["http://www.mendeley.com/documents/?uuid=186864cf-7ad2-455a-9e43-22489471b0c1"]}],"mendeley":{"formattedCitation":"(Chen et al., 2003; Fukum, 2002)","plainTextFormattedCitation":"(Chen et al., 2003; Fukum, 2002)","previouslyFormattedCitation":"(Chen et al., 2003; Fukum, 2002)"},"properties":{"noteIndex":0},"schema":"https://github.com/citation-style-language/schema/raw/master/csl-citation.json"}</w:instrText>
      </w:r>
      <w:r w:rsidR="007E175A">
        <w:rPr>
          <w:rFonts w:ascii="Arial" w:hAnsi="Arial" w:cs="Arial"/>
        </w:rPr>
        <w:fldChar w:fldCharType="separate"/>
      </w:r>
      <w:r w:rsidR="007E175A" w:rsidRPr="007E175A">
        <w:rPr>
          <w:rFonts w:ascii="Arial" w:hAnsi="Arial" w:cs="Arial"/>
          <w:noProof/>
        </w:rPr>
        <w:t>(Chen et al., 2003; Fukum, 2002)</w:t>
      </w:r>
      <w:r w:rsidR="007E175A">
        <w:rPr>
          <w:rFonts w:ascii="Arial" w:hAnsi="Arial" w:cs="Arial"/>
        </w:rPr>
        <w:fldChar w:fldCharType="end"/>
      </w:r>
      <w:r w:rsidR="006E6788">
        <w:rPr>
          <w:rFonts w:ascii="Arial" w:hAnsi="Arial" w:cs="Arial"/>
        </w:rPr>
        <w:t>,</w:t>
      </w:r>
      <w:r w:rsidR="005B3A14">
        <w:rPr>
          <w:rFonts w:ascii="Arial" w:hAnsi="Arial" w:cs="Arial"/>
        </w:rPr>
        <w:t xml:space="preserve"> and</w:t>
      </w:r>
      <w:r w:rsidR="006E6788">
        <w:rPr>
          <w:rFonts w:ascii="Arial" w:hAnsi="Arial" w:cs="Arial"/>
        </w:rPr>
        <w:t xml:space="preserve"> Alps </w:t>
      </w:r>
      <w:r w:rsidR="008979F8">
        <w:rPr>
          <w:rFonts w:ascii="Arial" w:hAnsi="Arial" w:cs="Arial"/>
        </w:rPr>
        <w:fldChar w:fldCharType="begin" w:fldLock="1"/>
      </w:r>
      <w:r w:rsidR="002668B1">
        <w:rPr>
          <w:rFonts w:ascii="Arial" w:hAnsi="Arial" w:cs="Arial"/>
        </w:rPr>
        <w:instrText>ADDIN CSL_CITATION {"citationItems":[{"id":"ITEM-1","itemData":{"DOI":"10.1016/j.gr.2019.07.015","ISSN":"1342-937X","author":[{"dropping-particle":"","family":"Haas","given":"Isabella","non-dropping-particle":"","parse-names":false,"suffix":""},{"dropping-particle":"","family":"Eichinger","given":"Stefanie","non-dropping-particle":"","parse-names":false,"suffix":""},{"dropping-particle":"","family":"Haller","given":"Doria","non-dropping-particle":"","parse-names":false,"suffix":""},{"dropping-particle":"","family":"Fritz","given":"Harald","non-dropping-particle":"","parse-names":false,"suffix":""},{"dropping-particle":"","family":"Nievoll","given":"Josef","non-dropping-particle":"","parse-names":false,"suffix":""},{"dropping-particle":"","family":"Mandl","given":"Magdalena","non-dropping-particle":"","parse-names":false,"suffix":""},{"dropping-particle":"","family":"Hippler","given":"Dorothee","non-dropping-particle":"","parse-names":false,"suffix":""},{"dropping-particle":"","family":"Hauzenberger","given":"Christoph","non-dropping-particle":"","parse-names":false,"suffix":""}],"container-title":"Gondwana Research","id":"ITEM-1","issued":{"date-parts":[["2020"]]},"page":"204-222","publisher":"International Association for Gondwana Research","title":"Gondwana fragments in the Eastern Alps: A travel story from U/Pb zircon data South-Alpine","type":"article-journal","volume":"77"},"uris":["http://www.mendeley.com/documents/?uuid=121e3eee-29de-4b87-9f97-9e59796582ce"]},{"id":"ITEM-2","itemData":{"DOI":"10.1016/j.lithos.2021.106064","ISSN":"18726143","abstract":"The Austroalpine Unit is one of the major tectonic units in the Alps and contains distinct Pre-Mesozoic basement units, which underwent in part pre-Variscan (Ordovician), Variscan and Alpine events and preserved information of pre-Variscan magmatism and ocean slab relics. The Schladming Complex is an important part of the Austroalpine basement unit, its orthogneiss and paragneiss were intruded by a large number of the Cambrian to Ordovician magmatic rocks, which recorded the tectonic evolution related to the Proto-Tethys, but for which there have been very few studies carried out, especially in geochronology and geochemistry. In this study, for the first time we systematically investigated the magmatic rocks of the Schladming Complex by zircon U–Pb chronology, zircon Lu–Hf isotopic and geochemical to understand the tectonic setting and evolution of the Austroalpine Unit during the Early Paleozoic. Our study shows that the granodioritic gneisses (539–538 Ma) and the fine-grained amphibolite (531 ± 2 Ma) represent a bimodal magmatism. Geochemically, the granodioritic gneisses belong to A2-type granite and originated from the lower crust, the fine-grained amphibolites have an E-MORB affinity and derived from the lithospheric mantle. This association further implies that the Schladming Complex formed in a back-arc rift tectonic setting in the Early Cambrian. A medium-grained amphibolite gives an age of 495 ± 5 Ma, exhibits ocean island basalt-like geochemical features and positive εHf(t) values (+5.3 ~ +10.9) indicating that the medium-grained amphibolite derived from a mantle source. The zircon U–Pb dating of monzonite granitic gneiss and plagioclase gneiss yields ages of 464 ± 4 Ma for and 487 ± 3 Ma, respectively. The monzonite granitic gneiss derived from the mixing of melts derived from pelitic and metaluminous rocks. The protolith of plagioclase gneiss is aplite, which has positive εHf(t) values of +5.9 ~ +7.9, indicating it derived from the lower crust sources. The monzonite granitic gneiss and plagioclase gneiss exhibit S-type and I-type geochemical features, respectively. They are geochemically similar to the volcanic arc granite. We propose that the Schladming Complex in the Eastern Alps has been a part of the active continental margin of Gondwana during Cambrian to Ordovician. With the subduction of the Proto-Tethyan Ocean to the south, a back-arc rift developed along the northern margin of the Gondwana in the Early Cambrian, subsequently, result…","author":[{"dropping-particle":"","family":"Huang","given":"Qianwen","non-dropping-particle":"","parse-names":false,"suffix":""},{"dropping-particle":"","family":"Genser","given":"Johann","non-dropping-particle":"","parse-names":false,"suffix":""},{"dropping-particle":"","family":"Liu","given":"Yongjiang","non-dropping-particle":"","parse-names":false,"suffix":""},{"dropping-particle":"","family":"Neubauer","given":"Franz","non-dropping-particle":"","parse-names":false,"suffix":""},{"dropping-particle":"","family":"Yuan","given":"Sihua","non-dropping-particle":"","parse-names":false,"suffix":""},{"dropping-particle":"","family":"Bernroider","given":"Manfred","non-dropping-particle":"","parse-names":false,"suffix":""},{"dropping-particle":"","family":"Guan","given":"Qingbin","non-dropping-particle":"","parse-names":false,"suffix":""},{"dropping-particle":"","family":"Jin","given":"Wei","non-dropping-particle":"","parse-names":false,"suffix":""},{"dropping-particle":"","family":"Yu","given":"Shengyao","non-dropping-particle":"","parse-names":false,"suffix":""},{"dropping-particle":"","family":"Chang","given":"Ruihong","non-dropping-particle":"","parse-names":false,"suffix":""}],"container-title":"Lithos","id":"ITEM-2","issued":{"date-parts":[["2021"]]},"publisher":"Elsevier B.V.","title":"Cambrian-Ordovician continental magmatic arc at the northern margin of Gondwana: Insights from the Schladming Complex, Eastern Alps","type":"article-journal","volume":"388-389"},"uris":["http://www.mendeley.com/documents/?uuid=16d6ec53-3c55-48b4-8bee-c31860ffd16f"]},{"id":"ITEM-3","itemData":{"DOI":"10.1127/0935-1221/01/0013-0057","author":[{"dropping-particle":"","family":"Loth","given":"Georg","non-dropping-particle":"","parse-names":false,"suffix":""},{"dropping-particle":"","family":"Eichhorn","given":"Roland","non-dropping-particle":"","parse-names":false,"suffix":""},{"dropping-particle":"","family":"Holl","given":"Rudolf","non-dropping-particle":"","parse-names":false,"suffix":""},{"dropping-particle":"","family":"Kennedy","given":"Allen","non-dropping-particle":"","parse-names":false,"suffix":""},{"dropping-particle":"","family":"Schauder","given":"Peter","non-dropping-particle":"","parse-names":false,"suffix":""},{"dropping-particle":"","family":"Sollner","given":"Frank","non-dropping-particle":"","parse-names":false,"suffix":""}],"container-title":"European Journal of Mineralogy","id":"ITEM-3","issue":"13","issued":{"date-parts":[["2001"]]},"page":"57-66","title":"Cambro-Ordovician age of a metagabbro from the Wildschönau ophiolite complex, Greywacke Supergroup (Eastern Alps, Austria): A U-Pb SHRIMP study","type":"article-journal"},"uris":["http://www.mendeley.com/documents/?uuid=f4fdd890-5578-4df9-b57c-69141caa6868"]},{"id":"ITEM-4","itemData":{"author":[{"dropping-particle":"","family":"Schaltegger","given":"Urs","non-dropping-particle":"","parse-names":false,"suffix":""},{"dropping-particle":"","family":"Abrecht","given":"Jürgen","non-dropping-particle":"","parse-names":false,"suffix":""},{"dropping-particle":"","family":"Corfu","given":"Fernando","non-dropping-particle":"","parse-names":false,"suffix":""}],"container-title":"Swiss Bulletin of Mineralogy and Petrology","id":"ITEM-4","issued":{"date-parts":[["2003"]]},"page":"183-195","title":"The Ordovician orogeny in the Alpine basement: constraints from geochronology and geochemistry in the Aar Massif (Central Alps)","type":"article-journal","volume":"833"},"uris":["http://www.mendeley.com/documents/?uuid=c4fadc55-4875-4c40-8c8f-ef021c3541a5"]}],"mendeley":{"formattedCitation":"(Haas et al., 2020; Huang et al., 2021; Loth et al., 2001; Schaltegger et al., 2003)","plainTextFormattedCitation":"(Haas et al., 2020; Huang et al., 2021; Loth et al., 2001; Schaltegger et al., 2003)","previouslyFormattedCitation":"(Haas et al., 2020; Huang et al., 2021; Loth et al., 2001; Schaltegger et al., 2003)"},"properties":{"noteIndex":0},"schema":"https://github.com/citation-style-language/schema/raw/master/csl-citation.json"}</w:instrText>
      </w:r>
      <w:r w:rsidR="008979F8">
        <w:rPr>
          <w:rFonts w:ascii="Arial" w:hAnsi="Arial" w:cs="Arial"/>
        </w:rPr>
        <w:fldChar w:fldCharType="separate"/>
      </w:r>
      <w:r w:rsidR="008979F8" w:rsidRPr="008979F8">
        <w:rPr>
          <w:rFonts w:ascii="Arial" w:hAnsi="Arial" w:cs="Arial"/>
          <w:noProof/>
        </w:rPr>
        <w:t>(Haas et al., 2020; Huang et al., 2021; Loth et al., 2001; Schaltegger et al., 2003)</w:t>
      </w:r>
      <w:r w:rsidR="008979F8">
        <w:rPr>
          <w:rFonts w:ascii="Arial" w:hAnsi="Arial" w:cs="Arial"/>
        </w:rPr>
        <w:fldChar w:fldCharType="end"/>
      </w:r>
      <w:r w:rsidR="00274A12">
        <w:rPr>
          <w:rFonts w:ascii="Arial" w:hAnsi="Arial" w:cs="Arial"/>
        </w:rPr>
        <w:t xml:space="preserve"> are likely sources</w:t>
      </w:r>
      <w:r w:rsidR="00932F50">
        <w:rPr>
          <w:rFonts w:ascii="Arial" w:hAnsi="Arial" w:cs="Arial"/>
        </w:rPr>
        <w:t xml:space="preserve">. </w:t>
      </w:r>
      <w:bookmarkEnd w:id="83"/>
    </w:p>
    <w:p w14:paraId="4A63C10D" w14:textId="2F9A988C" w:rsidR="00AC6E98" w:rsidRPr="00390AF2" w:rsidRDefault="00AC6E98" w:rsidP="00AC6E98">
      <w:pPr>
        <w:pStyle w:val="Heading3"/>
        <w:numPr>
          <w:ilvl w:val="2"/>
          <w:numId w:val="34"/>
        </w:numPr>
        <w:spacing w:before="120" w:after="120" w:line="480" w:lineRule="auto"/>
        <w:ind w:left="851" w:hanging="851"/>
        <w:rPr>
          <w:rFonts w:ascii="Arial" w:hAnsi="Arial" w:cs="Arial"/>
          <w:i/>
          <w:color w:val="auto"/>
        </w:rPr>
      </w:pPr>
      <w:r>
        <w:rPr>
          <w:rFonts w:ascii="Arial" w:hAnsi="Arial" w:cs="Arial"/>
          <w:i/>
          <w:color w:val="auto"/>
        </w:rPr>
        <w:lastRenderedPageBreak/>
        <w:t>330 Ma</w:t>
      </w:r>
    </w:p>
    <w:p w14:paraId="031BCC0F" w14:textId="63330712" w:rsidR="00AC6E98" w:rsidRDefault="00C64582" w:rsidP="00E0322D">
      <w:pPr>
        <w:spacing w:before="240" w:after="120" w:line="480" w:lineRule="auto"/>
        <w:jc w:val="both"/>
        <w:rPr>
          <w:rFonts w:ascii="Arial" w:hAnsi="Arial" w:cs="Arial"/>
        </w:rPr>
      </w:pPr>
      <w:bookmarkStart w:id="85" w:name="_Hlk73717943"/>
      <w:bookmarkEnd w:id="79"/>
      <w:r>
        <w:rPr>
          <w:rFonts w:ascii="Arial" w:hAnsi="Arial" w:cs="Arial"/>
        </w:rPr>
        <w:t>T</w:t>
      </w:r>
      <w:r w:rsidR="00B612FF">
        <w:rPr>
          <w:rFonts w:ascii="Arial" w:hAnsi="Arial" w:cs="Arial"/>
        </w:rPr>
        <w:t xml:space="preserve">he </w:t>
      </w:r>
      <w:r w:rsidR="00F2538B">
        <w:rPr>
          <w:rFonts w:ascii="Arial" w:hAnsi="Arial" w:cs="Arial"/>
        </w:rPr>
        <w:t>youngest</w:t>
      </w:r>
      <w:r w:rsidR="00B612FF">
        <w:rPr>
          <w:rFonts w:ascii="Arial" w:hAnsi="Arial" w:cs="Arial"/>
        </w:rPr>
        <w:t xml:space="preserve"> (300-350 Ma) </w:t>
      </w:r>
      <w:r w:rsidR="00F2538B">
        <w:rPr>
          <w:rFonts w:ascii="Arial" w:hAnsi="Arial" w:cs="Arial"/>
        </w:rPr>
        <w:t xml:space="preserve">of the three </w:t>
      </w:r>
      <w:r>
        <w:rPr>
          <w:rFonts w:ascii="Arial" w:hAnsi="Arial" w:cs="Arial"/>
        </w:rPr>
        <w:t xml:space="preserve">loess zircon </w:t>
      </w:r>
      <w:r w:rsidR="00B612FF">
        <w:rPr>
          <w:rFonts w:ascii="Arial" w:hAnsi="Arial" w:cs="Arial"/>
        </w:rPr>
        <w:t>population</w:t>
      </w:r>
      <w:r w:rsidR="007918A8">
        <w:rPr>
          <w:rFonts w:ascii="Arial" w:hAnsi="Arial" w:cs="Arial"/>
        </w:rPr>
        <w:t>s</w:t>
      </w:r>
      <w:r w:rsidR="00B612FF">
        <w:rPr>
          <w:rFonts w:ascii="Arial" w:hAnsi="Arial" w:cs="Arial"/>
        </w:rPr>
        <w:t xml:space="preserve"> represent</w:t>
      </w:r>
      <w:r w:rsidR="00D251A3">
        <w:rPr>
          <w:rFonts w:ascii="Arial" w:hAnsi="Arial" w:cs="Arial"/>
        </w:rPr>
        <w:t>s</w:t>
      </w:r>
      <w:r w:rsidR="00B612FF">
        <w:rPr>
          <w:rFonts w:ascii="Arial" w:hAnsi="Arial" w:cs="Arial"/>
        </w:rPr>
        <w:t xml:space="preserve"> </w:t>
      </w:r>
      <w:r w:rsidR="00F17963">
        <w:rPr>
          <w:rFonts w:ascii="Arial" w:hAnsi="Arial" w:cs="Arial"/>
        </w:rPr>
        <w:t xml:space="preserve">the </w:t>
      </w:r>
      <w:r w:rsidR="00037047">
        <w:rPr>
          <w:rFonts w:ascii="Arial" w:hAnsi="Arial" w:cs="Arial"/>
        </w:rPr>
        <w:t xml:space="preserve">Variscan </w:t>
      </w:r>
      <w:r w:rsidR="002758C8">
        <w:rPr>
          <w:rFonts w:ascii="Arial" w:hAnsi="Arial" w:cs="Arial"/>
        </w:rPr>
        <w:t>orogen</w:t>
      </w:r>
      <w:r w:rsidR="001303F2">
        <w:rPr>
          <w:rFonts w:ascii="Arial" w:hAnsi="Arial" w:cs="Arial"/>
        </w:rPr>
        <w:t xml:space="preserve">esis </w:t>
      </w:r>
      <w:r w:rsidR="002758C8">
        <w:rPr>
          <w:rFonts w:ascii="Arial" w:hAnsi="Arial" w:cs="Arial"/>
        </w:rPr>
        <w:t>and Pangea building</w:t>
      </w:r>
      <w:r w:rsidR="00037047">
        <w:rPr>
          <w:rFonts w:ascii="Arial" w:hAnsi="Arial" w:cs="Arial"/>
        </w:rPr>
        <w:t xml:space="preserve"> events that </w:t>
      </w:r>
      <w:r w:rsidR="002758C8">
        <w:rPr>
          <w:rFonts w:ascii="Arial" w:hAnsi="Arial" w:cs="Arial"/>
        </w:rPr>
        <w:t xml:space="preserve">are preserved </w:t>
      </w:r>
      <w:r w:rsidR="001303F2">
        <w:rPr>
          <w:rFonts w:ascii="Arial" w:hAnsi="Arial" w:cs="Arial"/>
        </w:rPr>
        <w:t xml:space="preserve">in rocks </w:t>
      </w:r>
      <w:r w:rsidR="002758C8">
        <w:rPr>
          <w:rFonts w:ascii="Arial" w:hAnsi="Arial" w:cs="Arial"/>
        </w:rPr>
        <w:t>across</w:t>
      </w:r>
      <w:r w:rsidR="00037047" w:rsidRPr="00B97B79">
        <w:rPr>
          <w:rFonts w:ascii="Arial" w:hAnsi="Arial" w:cs="Arial"/>
        </w:rPr>
        <w:t xml:space="preserve"> Central Europe </w:t>
      </w:r>
      <w:r w:rsidR="00037047" w:rsidRPr="00B97B79">
        <w:rPr>
          <w:rFonts w:ascii="Arial" w:hAnsi="Arial" w:cs="Arial"/>
        </w:rPr>
        <w:fldChar w:fldCharType="begin" w:fldLock="1"/>
      </w:r>
      <w:r w:rsidR="00037047">
        <w:rPr>
          <w:rFonts w:ascii="Arial" w:hAnsi="Arial" w:cs="Arial"/>
        </w:rPr>
        <w:instrText>ADDIN CSL_CITATION {"citationItems":[{"id":"ITEM-1","itemData":{"DOI":"10.1016/j.earscirev.2019.03.012","ISSN":"00128252","abstract":"The Late Paleozoic Variscan Orogen of Europe and North Africa comprises reworked Neoproterozoic to Early Paleozoic crust of the northern Gondwanan shelf that collided with Laurussia. The orogen is characterized by an arcuate trend of the Rheic suture along two orthogonal orogenic arcs and an apparently arbitrary juxtaposition of contrasting paleogeographic proxies to the south of the suture. The comparison of the sedimentary provenance, paleontological, lithostratigraphic, tectonic, and magmatic record demonstrates a contiguous but bipartite, i.e. a western and an eastern, shelf to the south of the Rheic Ocean. Here we reconstruct the development and architecture of the Paleozoic shelf of northern Gondwana preceding the formation of Pangea. In the early Paleozoic both shelf segments were affected by a heterogeneous extension whereby age and composition of extension-related magmatic rocks varies systematically from Cambrian alkaline and tholeiitic rocks in the western shelf to Ordovician calc-alkaline and peraluminous rocks in the eastern shelf. The regional variation in age and composition of the magmatic rocks reflects an eastward decreasing rate of extension along northern Gondwana. The higher extension in the western shelf culminated in the formation of the Armorican Spur. The subsequent intra-Ordovician compressional event, i.e. the “Sardic phase” and the “Cenerian orogeny”, exclusively affected the eastern shelf. Early Devonian collision of the Armorican Spur with Laurussia initiated the subduction accretion stage of the Variscan orogeny resulting in the formation of the Rheno-Hercynian–Moravo-Silesian Arc. At that time, the eastern shelf remained in a passive margin setting. Triggered by Late Devonian rifting along the eastern margin of Arabia, the eastern shelf decoupled from the Gondwanan plate and was displaced eastward, parallel to the northern margin of remaining mainland Gondwana. Early Carboniferous collision of the eastern shelf with the western shelf resulted in orogen wide transpressional tectonics and the formation of the Ibero-Armorican Arc. The tectonic interplay between the two Gondwanan shelf segments is the underlying cause of the final patchwork pattern of paleogeographic markers and the arcuate shape of the Variscan orogenic belt.","author":[{"dropping-particle":"","family":"Stephan","given":"Tobias","non-dropping-particle":"","parse-names":false,"suffix":""},{"dropping-particle":"","family":"Kroner","given":"Uwe","non-dropping-particle":"","parse-names":false,"suffix":""},{"dropping-particle":"","family":"Romer","given":"Rolf L.","non-dropping-particle":"","parse-names":false,"suffix":""},{"dropping-particle":"","family":"Rösel","given":"Delia","non-dropping-particle":"","parse-names":false,"suffix":""}],"container-title":"Earth-Science Reviews","id":"ITEM-1","issue":"February","issued":{"date-parts":[["2019"]]},"page":"491-512","publisher":"Elsevier","title":"From a bipartite Gondwanan shelf to an arcuate Variscan belt: The early Paleozoic evolution of northern Peri-Gondwana","type":"article-journal","volume":"192"},"uris":["http://www.mendeley.com/documents/?uuid=913e142e-48f8-4c12-8a63-fbc335bee9ac"]}],"mendeley":{"formattedCitation":"(Stephan et al., 2019)","plainTextFormattedCitation":"(Stephan et al., 2019)","previouslyFormattedCitation":"(Stephan et al., 2019)"},"properties":{"noteIndex":0},"schema":"https://github.com/citation-style-language/schema/raw/master/csl-citation.json"}</w:instrText>
      </w:r>
      <w:r w:rsidR="00037047" w:rsidRPr="00B97B79">
        <w:rPr>
          <w:rFonts w:ascii="Arial" w:hAnsi="Arial" w:cs="Arial"/>
        </w:rPr>
        <w:fldChar w:fldCharType="separate"/>
      </w:r>
      <w:r w:rsidR="00037047" w:rsidRPr="008612C3">
        <w:rPr>
          <w:rFonts w:ascii="Arial" w:hAnsi="Arial" w:cs="Arial"/>
          <w:noProof/>
        </w:rPr>
        <w:t>(Stephan et al., 2019)</w:t>
      </w:r>
      <w:r w:rsidR="00037047" w:rsidRPr="00B97B79">
        <w:rPr>
          <w:rFonts w:ascii="Arial" w:hAnsi="Arial" w:cs="Arial"/>
        </w:rPr>
        <w:fldChar w:fldCharType="end"/>
      </w:r>
      <w:r w:rsidR="00037047">
        <w:rPr>
          <w:rFonts w:ascii="Arial" w:hAnsi="Arial" w:cs="Arial"/>
        </w:rPr>
        <w:t xml:space="preserve">. </w:t>
      </w:r>
      <w:bookmarkStart w:id="86" w:name="_Hlk82680360"/>
      <w:bookmarkEnd w:id="85"/>
      <w:r w:rsidR="00021A3F">
        <w:rPr>
          <w:rFonts w:ascii="Arial" w:hAnsi="Arial" w:cs="Arial"/>
        </w:rPr>
        <w:t>Figure 6 shows t</w:t>
      </w:r>
      <w:r w:rsidR="006C6AB9" w:rsidRPr="00313883">
        <w:rPr>
          <w:rFonts w:ascii="Arial" w:hAnsi="Arial" w:cs="Arial"/>
        </w:rPr>
        <w:t>hese Carboniferous populations in the Alps (CTW and TW),</w:t>
      </w:r>
      <w:bookmarkEnd w:id="86"/>
      <w:r w:rsidR="006C6AB9" w:rsidRPr="00313883">
        <w:rPr>
          <w:rFonts w:ascii="Arial" w:hAnsi="Arial" w:cs="Arial"/>
        </w:rPr>
        <w:t xml:space="preserve"> Bohemian Massif (WBM, SBM, </w:t>
      </w:r>
      <w:r w:rsidR="00665CE0">
        <w:rPr>
          <w:rFonts w:ascii="Arial" w:hAnsi="Arial" w:cs="Arial"/>
        </w:rPr>
        <w:t xml:space="preserve">and </w:t>
      </w:r>
      <w:r w:rsidR="006C6AB9">
        <w:rPr>
          <w:rFonts w:ascii="Arial" w:hAnsi="Arial" w:cs="Arial"/>
        </w:rPr>
        <w:t>B</w:t>
      </w:r>
      <w:r w:rsidR="006C6AB9" w:rsidRPr="00313883">
        <w:rPr>
          <w:rFonts w:ascii="Arial" w:hAnsi="Arial" w:cs="Arial"/>
        </w:rPr>
        <w:t>P), Moldanubian Zone (MZ</w:t>
      </w:r>
      <w:r w:rsidR="00665CE0">
        <w:rPr>
          <w:rFonts w:ascii="Arial" w:hAnsi="Arial" w:cs="Arial"/>
        </w:rPr>
        <w:t>G</w:t>
      </w:r>
      <w:r w:rsidR="006C6AB9" w:rsidRPr="00313883">
        <w:rPr>
          <w:rFonts w:ascii="Arial" w:hAnsi="Arial" w:cs="Arial"/>
        </w:rPr>
        <w:t>U and MZMU), West Carpathians (SGU</w:t>
      </w:r>
      <w:r w:rsidR="00665CE0">
        <w:rPr>
          <w:rFonts w:ascii="Arial" w:hAnsi="Arial" w:cs="Arial"/>
        </w:rPr>
        <w:t>, NGU, HF</w:t>
      </w:r>
      <w:r w:rsidR="006C6AB9" w:rsidRPr="00313883">
        <w:rPr>
          <w:rFonts w:ascii="Arial" w:hAnsi="Arial" w:cs="Arial"/>
        </w:rPr>
        <w:t>), South Carpathians (SLT</w:t>
      </w:r>
      <w:r w:rsidR="006C6AB9">
        <w:rPr>
          <w:rFonts w:ascii="Arial" w:hAnsi="Arial" w:cs="Arial"/>
        </w:rPr>
        <w:t>)</w:t>
      </w:r>
      <w:r w:rsidR="006C6AB9" w:rsidRPr="00313883">
        <w:rPr>
          <w:rFonts w:ascii="Arial" w:hAnsi="Arial" w:cs="Arial"/>
        </w:rPr>
        <w:t>, Dinaric Alps (MG</w:t>
      </w:r>
      <w:r w:rsidR="006C6AB9">
        <w:rPr>
          <w:rFonts w:ascii="Arial" w:hAnsi="Arial" w:cs="Arial"/>
        </w:rPr>
        <w:t xml:space="preserve"> and </w:t>
      </w:r>
      <w:r w:rsidR="006C6AB9" w:rsidRPr="00313883">
        <w:rPr>
          <w:rFonts w:ascii="Arial" w:hAnsi="Arial" w:cs="Arial"/>
        </w:rPr>
        <w:t xml:space="preserve">JM) and </w:t>
      </w:r>
      <w:r w:rsidR="003C1E52">
        <w:rPr>
          <w:rFonts w:ascii="Arial" w:hAnsi="Arial" w:cs="Arial"/>
        </w:rPr>
        <w:t>Rhodope</w:t>
      </w:r>
      <w:r w:rsidR="006C6AB9" w:rsidRPr="00313883">
        <w:rPr>
          <w:rFonts w:ascii="Arial" w:hAnsi="Arial" w:cs="Arial"/>
        </w:rPr>
        <w:t xml:space="preserve"> Mountains (RMC). </w:t>
      </w:r>
      <w:r w:rsidR="00D251A3">
        <w:rPr>
          <w:rFonts w:ascii="Arial" w:hAnsi="Arial" w:cs="Arial"/>
        </w:rPr>
        <w:t>T</w:t>
      </w:r>
      <w:r w:rsidR="006C6AB9" w:rsidRPr="00313883">
        <w:rPr>
          <w:rFonts w:ascii="Arial" w:hAnsi="Arial" w:cs="Arial"/>
        </w:rPr>
        <w:t xml:space="preserve">hese sources </w:t>
      </w:r>
      <w:r w:rsidR="00D251A3">
        <w:rPr>
          <w:rFonts w:ascii="Arial" w:hAnsi="Arial" w:cs="Arial"/>
        </w:rPr>
        <w:t xml:space="preserve">all </w:t>
      </w:r>
      <w:r w:rsidR="006C6AB9" w:rsidRPr="00313883">
        <w:rPr>
          <w:rFonts w:ascii="Arial" w:hAnsi="Arial" w:cs="Arial"/>
        </w:rPr>
        <w:t xml:space="preserve">plot relatively near the </w:t>
      </w:r>
      <w:r w:rsidR="00037047">
        <w:rPr>
          <w:rFonts w:ascii="Arial" w:hAnsi="Arial" w:cs="Arial"/>
        </w:rPr>
        <w:t xml:space="preserve">ADL and individual </w:t>
      </w:r>
      <w:r w:rsidR="0052308D">
        <w:rPr>
          <w:rFonts w:ascii="Arial" w:hAnsi="Arial" w:cs="Arial"/>
        </w:rPr>
        <w:t>loess</w:t>
      </w:r>
      <w:r w:rsidR="006C6AB9" w:rsidRPr="00313883">
        <w:rPr>
          <w:rFonts w:ascii="Arial" w:hAnsi="Arial" w:cs="Arial"/>
        </w:rPr>
        <w:t xml:space="preserve"> </w:t>
      </w:r>
      <w:r w:rsidR="00037047">
        <w:rPr>
          <w:rFonts w:ascii="Arial" w:hAnsi="Arial" w:cs="Arial"/>
        </w:rPr>
        <w:t xml:space="preserve">sites </w:t>
      </w:r>
      <w:r w:rsidR="006C6AB9" w:rsidRPr="00313883">
        <w:rPr>
          <w:rFonts w:ascii="Arial" w:hAnsi="Arial" w:cs="Arial"/>
        </w:rPr>
        <w:t>on the MDS diagram (</w:t>
      </w:r>
      <w:r w:rsidR="0052308D">
        <w:rPr>
          <w:rFonts w:ascii="Arial" w:hAnsi="Arial" w:cs="Arial"/>
        </w:rPr>
        <w:t xml:space="preserve">Figure </w:t>
      </w:r>
      <w:r w:rsidR="00D076EE">
        <w:rPr>
          <w:rFonts w:ascii="Arial" w:hAnsi="Arial" w:cs="Arial"/>
        </w:rPr>
        <w:t>7</w:t>
      </w:r>
      <w:r w:rsidR="00C53A74">
        <w:rPr>
          <w:rFonts w:ascii="Arial" w:hAnsi="Arial" w:cs="Arial"/>
        </w:rPr>
        <w:t>)</w:t>
      </w:r>
      <w:r w:rsidR="0052308D">
        <w:rPr>
          <w:rFonts w:ascii="Arial" w:hAnsi="Arial" w:cs="Arial"/>
        </w:rPr>
        <w:t>, t</w:t>
      </w:r>
      <w:r w:rsidR="006C6AB9" w:rsidRPr="00313883">
        <w:rPr>
          <w:rFonts w:ascii="Arial" w:hAnsi="Arial" w:cs="Arial"/>
        </w:rPr>
        <w:t>herefore</w:t>
      </w:r>
      <w:r w:rsidR="00037047">
        <w:rPr>
          <w:rFonts w:ascii="Arial" w:hAnsi="Arial" w:cs="Arial"/>
        </w:rPr>
        <w:t xml:space="preserve"> </w:t>
      </w:r>
      <w:r w:rsidR="006C6AB9" w:rsidRPr="00313883">
        <w:rPr>
          <w:rFonts w:ascii="Arial" w:hAnsi="Arial" w:cs="Arial"/>
        </w:rPr>
        <w:t xml:space="preserve">any of these terrains could be a source </w:t>
      </w:r>
      <w:r w:rsidR="00801D3C">
        <w:rPr>
          <w:rFonts w:ascii="Arial" w:hAnsi="Arial" w:cs="Arial"/>
        </w:rPr>
        <w:t xml:space="preserve">for </w:t>
      </w:r>
      <w:r w:rsidR="006C6AB9" w:rsidRPr="00313883">
        <w:rPr>
          <w:rFonts w:ascii="Arial" w:hAnsi="Arial" w:cs="Arial"/>
        </w:rPr>
        <w:t xml:space="preserve">these grains. </w:t>
      </w:r>
      <w:r w:rsidR="00665CE0">
        <w:rPr>
          <w:rFonts w:ascii="Arial" w:hAnsi="Arial" w:cs="Arial"/>
        </w:rPr>
        <w:t xml:space="preserve">Hf isotopes (Figure </w:t>
      </w:r>
      <w:r w:rsidR="00D076EE">
        <w:rPr>
          <w:rFonts w:ascii="Arial" w:hAnsi="Arial" w:cs="Arial"/>
        </w:rPr>
        <w:t>5</w:t>
      </w:r>
      <w:r w:rsidR="00665CE0">
        <w:rPr>
          <w:rFonts w:ascii="Arial" w:hAnsi="Arial" w:cs="Arial"/>
        </w:rPr>
        <w:t>) show fairly typical</w:t>
      </w:r>
      <w:r w:rsidR="00665CE0" w:rsidRPr="00665CE0">
        <w:rPr>
          <w:rFonts w:ascii="Arial" w:hAnsi="Arial" w:cs="Arial"/>
        </w:rPr>
        <w:t xml:space="preserve"> subduction</w:t>
      </w:r>
      <w:r w:rsidR="004C7FE1">
        <w:rPr>
          <w:rFonts w:ascii="Arial" w:hAnsi="Arial" w:cs="Arial"/>
        </w:rPr>
        <w:t xml:space="preserve"> and/or</w:t>
      </w:r>
      <w:r w:rsidR="00665CE0" w:rsidRPr="00665CE0">
        <w:rPr>
          <w:rFonts w:ascii="Arial" w:hAnsi="Arial" w:cs="Arial"/>
        </w:rPr>
        <w:t xml:space="preserve"> </w:t>
      </w:r>
      <w:r w:rsidR="004C7FE1">
        <w:rPr>
          <w:rFonts w:ascii="Arial" w:hAnsi="Arial" w:cs="Arial"/>
        </w:rPr>
        <w:t xml:space="preserve">collision related </w:t>
      </w:r>
      <w:r w:rsidR="00665CE0" w:rsidRPr="00665CE0">
        <w:rPr>
          <w:rFonts w:ascii="Arial" w:hAnsi="Arial" w:cs="Arial"/>
        </w:rPr>
        <w:t>range</w:t>
      </w:r>
      <w:r w:rsidR="001303F2">
        <w:rPr>
          <w:rFonts w:ascii="Arial" w:hAnsi="Arial" w:cs="Arial"/>
        </w:rPr>
        <w:t>s</w:t>
      </w:r>
      <w:r w:rsidR="00665CE0" w:rsidRPr="00665CE0">
        <w:rPr>
          <w:rFonts w:ascii="Arial" w:hAnsi="Arial" w:cs="Arial"/>
        </w:rPr>
        <w:t xml:space="preserve"> </w:t>
      </w:r>
      <w:r w:rsidR="004C7FE1">
        <w:rPr>
          <w:rFonts w:ascii="Arial" w:hAnsi="Arial" w:cs="Arial"/>
        </w:rPr>
        <w:t>of values</w:t>
      </w:r>
      <w:r w:rsidR="001303F2">
        <w:rPr>
          <w:rFonts w:ascii="Arial" w:hAnsi="Arial" w:cs="Arial"/>
        </w:rPr>
        <w:t>,</w:t>
      </w:r>
      <w:r w:rsidR="00E11159">
        <w:rPr>
          <w:rFonts w:ascii="Arial" w:hAnsi="Arial" w:cs="Arial"/>
        </w:rPr>
        <w:t xml:space="preserve"> with some </w:t>
      </w:r>
      <w:r w:rsidR="001303F2">
        <w:rPr>
          <w:rFonts w:ascii="Arial" w:hAnsi="Arial" w:cs="Arial"/>
        </w:rPr>
        <w:t xml:space="preserve">showing </w:t>
      </w:r>
      <w:r w:rsidR="00E11159">
        <w:rPr>
          <w:rFonts w:ascii="Arial" w:hAnsi="Arial" w:cs="Arial"/>
        </w:rPr>
        <w:t xml:space="preserve">relatively negative </w:t>
      </w:r>
      <w:r w:rsidR="00514407">
        <w:rPr>
          <w:rFonts w:ascii="Arial" w:hAnsi="Arial" w:cs="Arial"/>
        </w:rPr>
        <w:t>εHf</w:t>
      </w:r>
      <w:r w:rsidR="00E11159">
        <w:rPr>
          <w:rFonts w:ascii="Arial" w:hAnsi="Arial" w:cs="Arial"/>
        </w:rPr>
        <w:t>,</w:t>
      </w:r>
      <w:r w:rsidR="004C7FE1">
        <w:rPr>
          <w:rFonts w:ascii="Arial" w:hAnsi="Arial" w:cs="Arial"/>
        </w:rPr>
        <w:t xml:space="preserve"> represent</w:t>
      </w:r>
      <w:r w:rsidR="00E11159">
        <w:rPr>
          <w:rFonts w:ascii="Arial" w:hAnsi="Arial" w:cs="Arial"/>
        </w:rPr>
        <w:t>ing</w:t>
      </w:r>
      <w:r w:rsidR="004C7FE1">
        <w:rPr>
          <w:rFonts w:ascii="Arial" w:hAnsi="Arial" w:cs="Arial"/>
        </w:rPr>
        <w:t xml:space="preserve"> mixing between juvenile</w:t>
      </w:r>
      <w:r w:rsidR="00665CE0" w:rsidRPr="00665CE0">
        <w:rPr>
          <w:rFonts w:ascii="Arial" w:hAnsi="Arial" w:cs="Arial"/>
        </w:rPr>
        <w:t xml:space="preserve"> mantle sources</w:t>
      </w:r>
      <w:r w:rsidR="004C7FE1">
        <w:rPr>
          <w:rFonts w:ascii="Arial" w:hAnsi="Arial" w:cs="Arial"/>
        </w:rPr>
        <w:t xml:space="preserve"> </w:t>
      </w:r>
      <w:r w:rsidR="00E11159">
        <w:rPr>
          <w:rFonts w:ascii="Arial" w:hAnsi="Arial" w:cs="Arial"/>
        </w:rPr>
        <w:t xml:space="preserve">and </w:t>
      </w:r>
      <w:r w:rsidR="004C7FE1">
        <w:rPr>
          <w:rFonts w:ascii="Arial" w:hAnsi="Arial" w:cs="Arial"/>
        </w:rPr>
        <w:t>re-melted Paleoproterozoic</w:t>
      </w:r>
      <w:r w:rsidR="00E11159">
        <w:rPr>
          <w:rFonts w:ascii="Arial" w:hAnsi="Arial" w:cs="Arial"/>
        </w:rPr>
        <w:t>-Archean</w:t>
      </w:r>
      <w:r w:rsidR="004C7FE1">
        <w:rPr>
          <w:rFonts w:ascii="Arial" w:hAnsi="Arial" w:cs="Arial"/>
        </w:rPr>
        <w:t xml:space="preserve"> crust. </w:t>
      </w:r>
      <w:bookmarkStart w:id="87" w:name="_Hlk74217718"/>
      <w:bookmarkStart w:id="88" w:name="_Hlk75355423"/>
      <w:r w:rsidR="00AC6E98">
        <w:rPr>
          <w:rFonts w:ascii="Arial" w:hAnsi="Arial" w:cs="Arial"/>
        </w:rPr>
        <w:t xml:space="preserve">The highest concentration of source </w:t>
      </w:r>
      <w:r w:rsidR="00AC6E98" w:rsidRPr="00313883">
        <w:rPr>
          <w:rFonts w:ascii="Arial" w:hAnsi="Arial" w:cs="Arial"/>
        </w:rPr>
        <w:t>εHf</w:t>
      </w:r>
      <w:r w:rsidR="00AC6E98">
        <w:rPr>
          <w:rFonts w:ascii="Arial" w:hAnsi="Arial" w:cs="Arial"/>
        </w:rPr>
        <w:t xml:space="preserve"> data overlaps the ADL’s 300 Ma population (Figure 8), which is not surprising given the abundance of Mesozoic source rocks around the Pannonian Basin</w:t>
      </w:r>
      <w:bookmarkEnd w:id="87"/>
      <w:r w:rsidR="00AC6E98">
        <w:rPr>
          <w:rFonts w:ascii="Arial" w:hAnsi="Arial" w:cs="Arial"/>
        </w:rPr>
        <w:t xml:space="preserve">. </w:t>
      </w:r>
      <w:bookmarkEnd w:id="88"/>
      <w:r w:rsidR="003564AD">
        <w:rPr>
          <w:rFonts w:ascii="Arial" w:hAnsi="Arial" w:cs="Arial"/>
        </w:rPr>
        <w:t>P</w:t>
      </w:r>
      <w:r w:rsidR="00AC6E98">
        <w:rPr>
          <w:rFonts w:ascii="Arial" w:hAnsi="Arial" w:cs="Arial"/>
        </w:rPr>
        <w:t xml:space="preserve">ossible </w:t>
      </w:r>
      <w:r w:rsidR="00AC6E98" w:rsidRPr="00313883">
        <w:rPr>
          <w:rFonts w:ascii="Arial" w:hAnsi="Arial" w:cs="Arial"/>
        </w:rPr>
        <w:t>contributions</w:t>
      </w:r>
      <w:r w:rsidR="00AC6E98">
        <w:rPr>
          <w:rFonts w:ascii="Arial" w:hAnsi="Arial" w:cs="Arial"/>
        </w:rPr>
        <w:t xml:space="preserve"> come from various </w:t>
      </w:r>
      <w:r w:rsidR="00AC6E98" w:rsidRPr="00313883">
        <w:rPr>
          <w:rFonts w:ascii="Arial" w:hAnsi="Arial" w:cs="Arial"/>
        </w:rPr>
        <w:t>Alp</w:t>
      </w:r>
      <w:r w:rsidR="00AC6E98">
        <w:rPr>
          <w:rFonts w:ascii="Arial" w:hAnsi="Arial" w:cs="Arial"/>
        </w:rPr>
        <w:t>ine</w:t>
      </w:r>
      <w:r w:rsidR="00AC6E98" w:rsidRPr="00313883">
        <w:rPr>
          <w:rFonts w:ascii="Arial" w:hAnsi="Arial" w:cs="Arial"/>
        </w:rPr>
        <w:t>, Moldanubian</w:t>
      </w:r>
      <w:r w:rsidR="00AC6E98">
        <w:rPr>
          <w:rFonts w:ascii="Arial" w:hAnsi="Arial" w:cs="Arial"/>
        </w:rPr>
        <w:t xml:space="preserve">, </w:t>
      </w:r>
      <w:r w:rsidR="00AC6E98" w:rsidRPr="00313883">
        <w:rPr>
          <w:rFonts w:ascii="Arial" w:hAnsi="Arial" w:cs="Arial"/>
        </w:rPr>
        <w:t>Bohemia</w:t>
      </w:r>
      <w:r w:rsidR="00AC6E98">
        <w:rPr>
          <w:rFonts w:ascii="Arial" w:hAnsi="Arial" w:cs="Arial"/>
        </w:rPr>
        <w:t>n,</w:t>
      </w:r>
      <w:r w:rsidR="00AC6E98" w:rsidRPr="00313883">
        <w:rPr>
          <w:rFonts w:ascii="Arial" w:hAnsi="Arial" w:cs="Arial"/>
        </w:rPr>
        <w:t xml:space="preserve"> and </w:t>
      </w:r>
      <w:r w:rsidR="00AC6E98" w:rsidRPr="00AC2F7C">
        <w:rPr>
          <w:rFonts w:ascii="Arial" w:hAnsi="Arial" w:cs="Arial"/>
        </w:rPr>
        <w:t>Dinar</w:t>
      </w:r>
      <w:r w:rsidR="00AC6E98">
        <w:rPr>
          <w:rFonts w:ascii="Arial" w:hAnsi="Arial" w:cs="Arial"/>
        </w:rPr>
        <w:t>ic sources</w:t>
      </w:r>
      <w:r w:rsidR="00AC6E98" w:rsidRPr="00313883">
        <w:rPr>
          <w:rFonts w:ascii="Arial" w:hAnsi="Arial" w:cs="Arial"/>
        </w:rPr>
        <w:t>.</w:t>
      </w:r>
      <w:r w:rsidR="00AC6E98">
        <w:rPr>
          <w:rFonts w:ascii="Arial" w:hAnsi="Arial" w:cs="Arial"/>
        </w:rPr>
        <w:t xml:space="preserve"> A </w:t>
      </w:r>
      <w:r w:rsidR="00AC6E98" w:rsidRPr="00801203">
        <w:rPr>
          <w:rFonts w:ascii="Arial" w:hAnsi="Arial" w:cs="Arial"/>
        </w:rPr>
        <w:t>substantial</w:t>
      </w:r>
      <w:r w:rsidR="00AC6E98">
        <w:rPr>
          <w:rFonts w:ascii="Arial" w:hAnsi="Arial" w:cs="Arial"/>
        </w:rPr>
        <w:t xml:space="preserve"> overlap both with “the hotspot” and the range of values created by the </w:t>
      </w:r>
      <w:r w:rsidR="00AC6E98" w:rsidRPr="00313883">
        <w:rPr>
          <w:rFonts w:ascii="Arial" w:hAnsi="Arial" w:cs="Arial"/>
        </w:rPr>
        <w:t>S</w:t>
      </w:r>
      <w:r w:rsidR="00AC6E98">
        <w:rPr>
          <w:rFonts w:ascii="Arial" w:hAnsi="Arial" w:cs="Arial"/>
        </w:rPr>
        <w:t>outh</w:t>
      </w:r>
      <w:r w:rsidR="00AC6E98" w:rsidRPr="00313883">
        <w:rPr>
          <w:rFonts w:ascii="Arial" w:hAnsi="Arial" w:cs="Arial"/>
        </w:rPr>
        <w:t xml:space="preserve"> Bohemia Massif </w:t>
      </w:r>
      <w:r w:rsidR="00AC6E98">
        <w:rPr>
          <w:rFonts w:ascii="Arial" w:hAnsi="Arial" w:cs="Arial"/>
        </w:rPr>
        <w:t>and</w:t>
      </w:r>
      <w:r w:rsidR="00AC6E98" w:rsidRPr="00313883">
        <w:rPr>
          <w:rFonts w:ascii="Arial" w:hAnsi="Arial" w:cs="Arial"/>
        </w:rPr>
        <w:t xml:space="preserve"> </w:t>
      </w:r>
      <w:r w:rsidR="00AC6E98">
        <w:rPr>
          <w:rFonts w:ascii="Arial" w:hAnsi="Arial" w:cs="Arial"/>
        </w:rPr>
        <w:t xml:space="preserve">Alps (e.g. Piemonte Zone) samples, implies that the regions draining directly into the upper reaches of the Danube </w:t>
      </w:r>
      <w:r w:rsidR="00AC6E98" w:rsidRPr="00313883">
        <w:rPr>
          <w:rFonts w:ascii="Arial" w:hAnsi="Arial" w:cs="Arial"/>
        </w:rPr>
        <w:t>(above the Inn confluence)</w:t>
      </w:r>
      <w:r w:rsidR="00AC6E98">
        <w:rPr>
          <w:rFonts w:ascii="Arial" w:hAnsi="Arial" w:cs="Arial"/>
        </w:rPr>
        <w:t xml:space="preserve"> are likely contributors of sediment for the ADL. Therefore, a </w:t>
      </w:r>
      <w:r w:rsidR="00AC6E98" w:rsidRPr="00313883">
        <w:rPr>
          <w:rFonts w:ascii="Arial" w:hAnsi="Arial" w:cs="Arial"/>
        </w:rPr>
        <w:t xml:space="preserve">significant quantity of sediment </w:t>
      </w:r>
      <w:r w:rsidR="00AC6E98">
        <w:rPr>
          <w:rFonts w:ascii="Arial" w:hAnsi="Arial" w:cs="Arial"/>
        </w:rPr>
        <w:t xml:space="preserve">for loess deposits </w:t>
      </w:r>
      <w:r w:rsidR="00AC6E98" w:rsidRPr="00313883">
        <w:rPr>
          <w:rFonts w:ascii="Arial" w:hAnsi="Arial" w:cs="Arial"/>
        </w:rPr>
        <w:t xml:space="preserve">could be </w:t>
      </w:r>
      <w:r w:rsidR="00AC6E98">
        <w:rPr>
          <w:rFonts w:ascii="Arial" w:hAnsi="Arial" w:cs="Arial"/>
        </w:rPr>
        <w:t xml:space="preserve">transported via the </w:t>
      </w:r>
      <w:r w:rsidR="00AC6E98" w:rsidRPr="00313883">
        <w:rPr>
          <w:rFonts w:ascii="Arial" w:hAnsi="Arial" w:cs="Arial"/>
        </w:rPr>
        <w:t xml:space="preserve">Danube before the river enters the </w:t>
      </w:r>
      <w:r w:rsidR="00AC6E98">
        <w:rPr>
          <w:rFonts w:ascii="Arial" w:hAnsi="Arial" w:cs="Arial"/>
        </w:rPr>
        <w:t>Pannonian</w:t>
      </w:r>
      <w:r w:rsidR="00AC6E98" w:rsidRPr="00313883">
        <w:rPr>
          <w:rFonts w:ascii="Arial" w:hAnsi="Arial" w:cs="Arial"/>
        </w:rPr>
        <w:t xml:space="preserve"> Basin.</w:t>
      </w:r>
      <w:r w:rsidR="00AC6E98" w:rsidRPr="008E347F">
        <w:rPr>
          <w:rFonts w:ascii="Arial" w:hAnsi="Arial" w:cs="Arial"/>
        </w:rPr>
        <w:t xml:space="preserve"> </w:t>
      </w:r>
      <w:r w:rsidR="00AC6E98">
        <w:rPr>
          <w:rFonts w:ascii="Arial" w:hAnsi="Arial" w:cs="Arial"/>
        </w:rPr>
        <w:t xml:space="preserve">Additionally, the ADL’s young zircon (&lt;100 Ma) </w:t>
      </w:r>
      <w:bookmarkStart w:id="89" w:name="_Hlk73872904"/>
      <w:r w:rsidR="00AC6E98" w:rsidRPr="00313883">
        <w:rPr>
          <w:rFonts w:ascii="Arial" w:hAnsi="Arial" w:cs="Arial"/>
        </w:rPr>
        <w:t>ε</w:t>
      </w:r>
      <w:bookmarkEnd w:id="89"/>
      <w:r w:rsidR="00AC6E98" w:rsidRPr="00313883">
        <w:rPr>
          <w:rFonts w:ascii="Arial" w:hAnsi="Arial" w:cs="Arial"/>
        </w:rPr>
        <w:t>Hf</w:t>
      </w:r>
      <w:r w:rsidR="00AC6E98">
        <w:rPr>
          <w:rFonts w:ascii="Arial" w:hAnsi="Arial" w:cs="Arial"/>
        </w:rPr>
        <w:t xml:space="preserve"> clusters overlap with datasets from the </w:t>
      </w:r>
      <w:r w:rsidR="00AC6E98" w:rsidRPr="00AC2F7C">
        <w:rPr>
          <w:rFonts w:ascii="Arial" w:hAnsi="Arial"/>
        </w:rPr>
        <w:t>Dinarides</w:t>
      </w:r>
      <w:r w:rsidR="00AC6E98">
        <w:rPr>
          <w:rFonts w:ascii="Arial" w:hAnsi="Arial" w:cs="Arial"/>
        </w:rPr>
        <w:t xml:space="preserve"> and Balkan Mountains. </w:t>
      </w:r>
      <w:bookmarkStart w:id="90" w:name="_Hlk65082370"/>
      <w:r w:rsidR="00AC6E98">
        <w:rPr>
          <w:rFonts w:ascii="Arial" w:hAnsi="Arial" w:cs="Arial"/>
        </w:rPr>
        <w:t xml:space="preserve">The analysis of U-Pb ages and Hf isotopes consistently points to the Dinaric and Balkan Mountains as sources of sediment for the loess deposits along the Lower Danube (past the Drava confluence), suggesting that these regions are much more important sediment sources than previously thought. </w:t>
      </w:r>
      <w:bookmarkEnd w:id="90"/>
    </w:p>
    <w:p w14:paraId="02852B0F" w14:textId="1182CFB0" w:rsidR="00AC6E98" w:rsidRPr="00390AF2" w:rsidRDefault="00AC6E98" w:rsidP="00AC6E98">
      <w:pPr>
        <w:pStyle w:val="Heading3"/>
        <w:numPr>
          <w:ilvl w:val="2"/>
          <w:numId w:val="34"/>
        </w:numPr>
        <w:spacing w:before="120" w:after="120" w:line="480" w:lineRule="auto"/>
        <w:ind w:left="851" w:hanging="851"/>
        <w:rPr>
          <w:rFonts w:ascii="Arial" w:hAnsi="Arial" w:cs="Arial"/>
          <w:i/>
          <w:color w:val="auto"/>
        </w:rPr>
      </w:pPr>
      <w:r>
        <w:rPr>
          <w:rFonts w:ascii="Arial" w:hAnsi="Arial" w:cs="Arial"/>
          <w:i/>
          <w:color w:val="auto"/>
        </w:rPr>
        <w:lastRenderedPageBreak/>
        <w:t>Scandinavia</w:t>
      </w:r>
    </w:p>
    <w:p w14:paraId="2A0A7830" w14:textId="06D5F523" w:rsidR="00A85BC3" w:rsidRDefault="00A85BC3" w:rsidP="00AC6E98">
      <w:pPr>
        <w:spacing w:before="120" w:after="120" w:line="480" w:lineRule="auto"/>
        <w:jc w:val="both"/>
        <w:rPr>
          <w:rFonts w:ascii="ArialMT" w:hAnsi="ArialMT" w:cs="ArialMT"/>
        </w:rPr>
      </w:pPr>
      <w:r>
        <w:rPr>
          <w:rFonts w:ascii="Arial" w:hAnsi="Arial" w:cs="Arial"/>
        </w:rPr>
        <w:t xml:space="preserve">To test for contributions from the Scandinavian sources a large </w:t>
      </w:r>
      <w:r w:rsidR="00BA2C4D">
        <w:rPr>
          <w:rFonts w:ascii="Arial" w:hAnsi="Arial" w:cs="Arial"/>
        </w:rPr>
        <w:t xml:space="preserve">“artificial” </w:t>
      </w:r>
      <w:r>
        <w:rPr>
          <w:rFonts w:ascii="Arial" w:hAnsi="Arial" w:cs="Arial"/>
        </w:rPr>
        <w:t xml:space="preserve">sample </w:t>
      </w:r>
      <w:r w:rsidR="00BA2C4D">
        <w:rPr>
          <w:rFonts w:ascii="Arial" w:hAnsi="Arial" w:cs="Arial"/>
        </w:rPr>
        <w:t xml:space="preserve">comprising </w:t>
      </w:r>
      <w:r>
        <w:rPr>
          <w:rFonts w:ascii="Arial" w:hAnsi="Arial" w:cs="Arial"/>
        </w:rPr>
        <w:t xml:space="preserve">Scandian nappes </w:t>
      </w:r>
      <w:r>
        <w:rPr>
          <w:rFonts w:ascii="Arial" w:hAnsi="Arial" w:cs="Arial"/>
        </w:rPr>
        <w:fldChar w:fldCharType="begin" w:fldLock="1"/>
      </w:r>
      <w:r w:rsidR="00EB4BBC">
        <w:rPr>
          <w:rFonts w:ascii="Arial" w:hAnsi="Arial" w:cs="Arial"/>
        </w:rPr>
        <w:instrText>ADDIN CSL_CITATION {"citationItems":[{"id":"ITEM-1","itemData":{"DOI":"10.1144/SP390.20","ISSN":"03058719","abstract":"In central parts of the Scandinavian Caledonides, detrital zircon signatures provide evidence of the change in character of the Baltoscandian crystalline basement, from the characteristic Late Palaeoproterozoic granites of the Transscandinavian Igneous Belt (TIB, c. 1650-1850 Ma) in the foreland Autochthon to the typical, mainly Mesoproterozoic-age profile (c. 950-1700 Ma) of the Sveconorwegian Orogen of southwestern Scandinavia in the hinterland. Late Ediacaran to Early Cambrian shallow-marine Vemdal quartzites of the Jämtlandian Nappes (Lower Allochthon) provide strong bimodal signatures with TIB (1700-1800 Ma) and Sveconorwegian, sensu stricto (900-1150 Ma) ages dominant. Mid-Ordovician turbidites (Norråker Formation) of the Lower Allochthon in Sweden, sourced from the west, have unimodal signatures dominated by Sveconorwegian ages with peaks at 1000-1100 Ma, but with subordinate components of older Mesoproterozoic zircons (1200-1650 Ma). Latest Ordovician shallow-marine quartzites also yield bimodal signatures, but are more dispersed than in the Vemdal quartzites. In the greenschist facies lower parts of the Middle Allochthon, the Fuda (Offerdal Nappe) and Särv Nappe signatures are either unimodal or bimodal (950-1100 and/or 1700-1850 Ma), with variable dominance of the younger or older group, and subordinate other Mesoproterozoic components. In the overlying, amphibolite to eclogite facies lower part of the Seve Nappe Complex, where the metasediments are dominated by feldspathic quartzites, calcsilicate-rich psammites and marbles, most units have bimodal signatures similar to the Särv Nappes, but more dispersed; one has a unimodal signature very similar to the Ordovician turbidites of the Jämtlandian Nappes. In the overlying Upper Allochthon, Lower Kä li (Baltica-proximal, Virisen Terrane), Late Ordovician quartzites provide unimodal signatures dominated by Sveconorwegian ages (sensu stricto). Further north in the Scandes, previously published zircon signatures in quartzites of the Lower Allochthon are similar to the Vemdal quartzites in Jämtland. Data from the Kalak Nappes at 708N are in no way exotic to the Sveconorwegian Baltoscandian margin. They do show a Timanian influence (ages of c. 560-610 Ma), as would be expected from the palinspastic reconstructions of the nappes. Thus the detrital zircon signatures reported here and published elsewhere provide supporting evidence for a continuation northwards of the Sveconorwegian Orogen in the Neoprot…","author":[{"dropping-particle":"","family":"Gee","given":"David G.","non-dropping-particle":"","parse-names":false,"suffix":""},{"dropping-particle":"","family":"Ladenberger","given":"Anna","non-dropping-particle":"","parse-names":false,"suffix":""},{"dropping-particle":"","family":"Dahlqvist","given":"Peter","non-dropping-particle":"","parse-names":false,"suffix":""},{"dropping-particle":"","family":"Majka","given":"Jarosław","non-dropping-particle":"","parse-names":false,"suffix":""},{"dropping-particle":"","family":"Be'Eri-Shlevin","given":"Yaron","non-dropping-particle":"","parse-names":false,"suffix":""},{"dropping-particle":"","family":"Frei","given":"Dirk","non-dropping-particle":"","parse-names":false,"suffix":""},{"dropping-particle":"","family":"Thomsen","given":"Tonny","non-dropping-particle":"","parse-names":false,"suffix":""}],"container-title":"Geological Society Special Publication","id":"ITEM-1","issue":"1","issued":{"date-parts":[["2014"]]},"page":"131-155","title":"The Baltoscandian margin detrital zircon signatures of the central scandes","type":"article-journal","volume":"390"},"uris":["http://www.mendeley.com/documents/?uuid=d5c3ad98-1fd8-49bf-92e6-cd5083d5df6c"]}],"mendeley":{"formattedCitation":"(Gee et al., 2014)","plainTextFormattedCitation":"(Gee et al., 2014)","previouslyFormattedCitation":"(Gee et al., 2014)"},"properties":{"noteIndex":0},"schema":"https://github.com/citation-style-language/schema/raw/master/csl-citation.json"}</w:instrText>
      </w:r>
      <w:r>
        <w:rPr>
          <w:rFonts w:ascii="Arial" w:hAnsi="Arial" w:cs="Arial"/>
        </w:rPr>
        <w:fldChar w:fldCharType="separate"/>
      </w:r>
      <w:r w:rsidRPr="00A85BC3">
        <w:rPr>
          <w:rFonts w:ascii="Arial" w:hAnsi="Arial" w:cs="Arial"/>
          <w:noProof/>
        </w:rPr>
        <w:t>(Gee et al., 2014)</w:t>
      </w:r>
      <w:r>
        <w:rPr>
          <w:rFonts w:ascii="Arial" w:hAnsi="Arial" w:cs="Arial"/>
        </w:rPr>
        <w:fldChar w:fldCharType="end"/>
      </w:r>
      <w:r>
        <w:rPr>
          <w:rFonts w:ascii="Arial" w:hAnsi="Arial" w:cs="Arial"/>
        </w:rPr>
        <w:t xml:space="preserve">, </w:t>
      </w:r>
      <w:r w:rsidR="00BA2C4D">
        <w:rPr>
          <w:rFonts w:ascii="Arial" w:hAnsi="Arial" w:cs="Arial"/>
        </w:rPr>
        <w:t>T</w:t>
      </w:r>
      <w:r w:rsidR="00BA2C4D" w:rsidRPr="00BA2C4D">
        <w:rPr>
          <w:rFonts w:ascii="Arial" w:hAnsi="Arial" w:cs="Arial"/>
        </w:rPr>
        <w:t>ransscandinavian Igneous Belt</w:t>
      </w:r>
      <w:r w:rsidR="00BA2C4D">
        <w:rPr>
          <w:rFonts w:ascii="Arial" w:hAnsi="Arial" w:cs="Arial"/>
        </w:rPr>
        <w:t xml:space="preserve"> </w:t>
      </w:r>
      <w:r>
        <w:rPr>
          <w:rFonts w:ascii="Arial" w:hAnsi="Arial" w:cs="Arial"/>
        </w:rPr>
        <w:fldChar w:fldCharType="begin" w:fldLock="1"/>
      </w:r>
      <w:r>
        <w:rPr>
          <w:rFonts w:ascii="Arial" w:hAnsi="Arial" w:cs="Arial"/>
        </w:rPr>
        <w:instrText>ADDIN CSL_CITATION {"citationItems":[{"id":"ITEM-1","itemData":{"DOI":"10.1016/j.sedgeo.2017.08.008","ISSN":"00370738","abstract":"Lower Cambrian shallow marine quartz arenite records a transgressive regime related to a global basal Cambrian eustatic sea-level rise. Six sections from southern Norway, southern Sweden, and Denmark are investigated to explore the genesis and sourcing of these mineralogically mature deposits and the early Cambrian tectono-sedimentary history of Baltica. U-Pb ages of detrital zircon grains are dominantly 0.9–1.8 Ga, in accordance with transport from the Transscandinavian Igneous Belt (TIB) and domains related to the Sveconorwegian and Gothian orogenies. These zircon grains have a hydrodynamic relation with the quartz grains, suggesting a common provenance for the zircon grains and the main clastic material. Similar provenance for Norway and southern Sweden favors a setting with the present day Sveconorwegian Orogenic Belt originally extending further southeast into the present Skagerrak and Kattegat area and northwest in westernmost Norway. Furthermore, marked provenance differences with other earliest Cambrian deposits on Baltica indicate a catchment divide between the Sveconorwegian Orogenic Belt and the TIB-Gothian domains. First sediment-cycle origin for the studied sandstone is proposed based on: 1) a general low age diversity and 2) a lack of late Palaeoproterozoic and Archaean zircon U-Pb ages, which are typical for Mesoproterozoic quartzite. The high sandstone maturity may instead be the result of prolonged exposure to weathering and reworking processes made possible by the low gradient of the Sub-Cambrian Peneplain.","author":[{"dropping-particle":"","family":"Lorentzen","given":"Sanne","non-dropping-particle":"","parse-names":false,"suffix":""},{"dropping-particle":"","family":"Augustsson","given":"Carita","non-dropping-particle":"","parse-names":false,"suffix":""},{"dropping-particle":"","family":"Nystuen","given":"Johan P.","non-dropping-particle":"","parse-names":false,"suffix":""},{"dropping-particle":"","family":"Berndt","given":"Jasper","non-dropping-particle":"","parse-names":false,"suffix":""},{"dropping-particle":"","family":"Jahren","given":"Jens","non-dropping-particle":"","parse-names":false,"suffix":""},{"dropping-particle":"","family":"Schovsbo","given":"Niels H.","non-dropping-particle":"","parse-names":false,"suffix":""}],"container-title":"Sedimentary Geology","id":"ITEM-1","issued":{"date-parts":[["2018"]]},"page":"203-217","publisher":"Elsevier B.V.","title":"Provenance and sedimentary processes controlling the formation of lower Cambrian quartz arenite along the southwestern margin of Baltica","type":"article-journal","volume":"375"},"uris":["http://www.mendeley.com/documents/?uuid=6cda3ad3-2e34-49bd-8171-dafb1e984aee"]}],"mendeley":{"formattedCitation":"(Lorentzen et al., 2018)","plainTextFormattedCitation":"(Lorentzen et al., 2018)","previouslyFormattedCitation":"(Lorentzen et al., 2018)"},"properties":{"noteIndex":0},"schema":"https://github.com/citation-style-language/schema/raw/master/csl-citation.json"}</w:instrText>
      </w:r>
      <w:r>
        <w:rPr>
          <w:rFonts w:ascii="Arial" w:hAnsi="Arial" w:cs="Arial"/>
        </w:rPr>
        <w:fldChar w:fldCharType="separate"/>
      </w:r>
      <w:r w:rsidRPr="00A85BC3">
        <w:rPr>
          <w:rFonts w:ascii="Arial" w:hAnsi="Arial" w:cs="Arial"/>
          <w:noProof/>
        </w:rPr>
        <w:t>(Lorentzen et al., 2018)</w:t>
      </w:r>
      <w:r>
        <w:rPr>
          <w:rFonts w:ascii="Arial" w:hAnsi="Arial" w:cs="Arial"/>
        </w:rPr>
        <w:fldChar w:fldCharType="end"/>
      </w:r>
      <w:r>
        <w:rPr>
          <w:rFonts w:ascii="Arial" w:hAnsi="Arial" w:cs="Arial"/>
        </w:rPr>
        <w:t>,</w:t>
      </w:r>
      <w:r w:rsidR="00BA2C4D">
        <w:rPr>
          <w:rFonts w:ascii="Arial" w:hAnsi="Arial" w:cs="Arial"/>
        </w:rPr>
        <w:t xml:space="preserve"> and </w:t>
      </w:r>
      <w:r w:rsidR="00BA2C4D" w:rsidRPr="00BA2C4D">
        <w:rPr>
          <w:rFonts w:ascii="Arial" w:hAnsi="Arial" w:cs="Arial"/>
        </w:rPr>
        <w:t>Southwest Scandinavian Domain</w:t>
      </w:r>
      <w:r>
        <w:rPr>
          <w:rFonts w:ascii="Arial" w:hAnsi="Arial" w:cs="Arial"/>
        </w:rPr>
        <w:t xml:space="preserve"> </w:t>
      </w:r>
      <w:r>
        <w:rPr>
          <w:rFonts w:ascii="Arial" w:hAnsi="Arial" w:cs="Arial"/>
        </w:rPr>
        <w:fldChar w:fldCharType="begin" w:fldLock="1"/>
      </w:r>
      <w:r w:rsidR="005711BF">
        <w:rPr>
          <w:rFonts w:ascii="Arial" w:hAnsi="Arial" w:cs="Arial"/>
        </w:rPr>
        <w:instrText>ADDIN CSL_CITATION {"citationItems":[{"id":"ITEM-1","itemData":{"DOI":"10.1007/s00410-012-0820-y","ISSN":"0010-7999","abstract":"The Hardangervidda-Rogaland Block within southwest Norway is host to ~1.52 to 1.48 Ga continental building and variable reworking during the ~1.1 to 0.9 Ga Sveconorwegian orogeny. Due to the lack of geochronological and geochemical data, the timing and tectonic setting of early Mesoproterozoic magmatism has long been ambiguous. This paper presents zircon U-Pb-Hf-O isotope data combined with whole-rock geochemistry to address the age and petrogenesis of basement units within the Suldal region, located in the centre of the Hardangervidda-Rogaland Block. The basement comprises variably deformed grey gneisses and granitoids that petrologically and geochemically resemble mature volcanic arc lithologies. U-Pb ages confirm that magmatism occurred from ~1,521 to 1,485 Ma, and conspicuously lack any xenocrystic inheritance of distinctly older crust. Hafnium isotope data range from εHf(initial) +1 to +11, suggesting a rather juvenile magmatic source, but with possible involvement of late Palaeoproterozoic crust. Oxygen isotope data range from mantle-like (δ18O ~5 ‰) to elevated (~10 ‰) suggesting involvement of low-temperature altered material (e. g., supracrustal rocks) in the magma source. The Hf-O isotope array is compatible with mixing between mantle-derived material with young low-temperature altered material (oceanic crust/sediments) and older low-temperature altered material (continent-derived sediments). This, combined with a lack of xenoliths and xenocrysts, exposed older crust, AFC trends and S-type geochemistry, all point to mixing within a deep-crustal magma-generation zone. A proposed model comprises accretion of altered oceanic crust and the overlying sediments to a pre-existing continental margin, underthrusting to the magma-generation zone and remobilisation during arc magmatism. The geodynamic setting for this arc magmatism is comparable with that seen in the Phanerozoic (e. g., the Sierra Nevada and Coast Range batholiths), with compositions in the Suldal Sector reaching those of average upper continental crust. As within these younger examples, factors that drive magmatism towards the composition of the average continental crust include the addition of sedimentary material to magma source regions, and delamination of cumulate material. Underthrusting of sedimentary materials and their subsequent involvement in arc magmatism is perhaps a more widespread mechanism involved in continental growth than is currently recognised. Finally, the Suldal Ar…","author":[{"dropping-particle":"","family":"Roberts","given":"Nick M. W.","non-dropping-particle":"","parse-names":false,"suffix":""},{"dropping-particle":"","family":"Slagstad","given":"Trond","non-dropping-particle":"","parse-names":false,"suffix":""},{"dropping-particle":"","family":"Parrish","given":"Randall R.","non-dropping-particle":"","parse-names":false,"suffix":""},{"dropping-particle":"","family":"Norry","given":"Michael J.","non-dropping-particle":"","parse-names":false,"suffix":""},{"dropping-particle":"","family":"Marker","given":"Mogens","non-dropping-particle":"","parse-names":false,"suffix":""},{"dropping-particle":"","family":"Horstwood","given":"Matthew S. A.","non-dropping-particle":"","parse-names":false,"suffix":""}],"container-title":"Contributions to Mineralogy and Petrology","id":"ITEM-1","issue":"3","issued":{"date-parts":[["2013","3","23"]]},"page":"507-523","title":"Sedimentary recycling in arc magmas: geochemical and U–Pb–Hf–O constraints on the Mesoproterozoic Suldal Arc, SW Norway","type":"article-journal","volume":"165"},"uris":["http://www.mendeley.com/documents/?uuid=77f4a448-d557-4a1e-9d5f-0b76e184aec0"]}],"mendeley":{"formattedCitation":"(Roberts et al., 2013)","plainTextFormattedCitation":"(Roberts et al., 2013)","previouslyFormattedCitation":"(Roberts et al., 2013)"},"properties":{"noteIndex":0},"schema":"https://github.com/citation-style-language/schema/raw/master/csl-citation.json"}</w:instrText>
      </w:r>
      <w:r>
        <w:rPr>
          <w:rFonts w:ascii="Arial" w:hAnsi="Arial" w:cs="Arial"/>
        </w:rPr>
        <w:fldChar w:fldCharType="separate"/>
      </w:r>
      <w:r w:rsidRPr="00A85BC3">
        <w:rPr>
          <w:rFonts w:ascii="Arial" w:hAnsi="Arial" w:cs="Arial"/>
          <w:noProof/>
        </w:rPr>
        <w:t>(Roberts et al., 2013)</w:t>
      </w:r>
      <w:r>
        <w:rPr>
          <w:rFonts w:ascii="Arial" w:hAnsi="Arial" w:cs="Arial"/>
        </w:rPr>
        <w:fldChar w:fldCharType="end"/>
      </w:r>
      <w:r w:rsidR="00BA2C4D">
        <w:rPr>
          <w:rFonts w:ascii="Arial" w:hAnsi="Arial" w:cs="Arial"/>
        </w:rPr>
        <w:t xml:space="preserve"> was created</w:t>
      </w:r>
      <w:r w:rsidR="009F0EE3">
        <w:rPr>
          <w:rFonts w:ascii="Arial" w:hAnsi="Arial" w:cs="Arial"/>
        </w:rPr>
        <w:t xml:space="preserve"> (Figure </w:t>
      </w:r>
      <w:r w:rsidR="00D076EE">
        <w:rPr>
          <w:rFonts w:ascii="Arial" w:hAnsi="Arial" w:cs="Arial"/>
        </w:rPr>
        <w:t>6</w:t>
      </w:r>
      <w:r w:rsidR="009F0EE3">
        <w:rPr>
          <w:rFonts w:ascii="Arial" w:hAnsi="Arial" w:cs="Arial"/>
        </w:rPr>
        <w:t>)</w:t>
      </w:r>
      <w:r w:rsidR="00BA2C4D">
        <w:rPr>
          <w:rFonts w:ascii="Arial" w:hAnsi="Arial" w:cs="Arial"/>
        </w:rPr>
        <w:t xml:space="preserve">. </w:t>
      </w:r>
      <w:r w:rsidR="005711BF">
        <w:rPr>
          <w:rFonts w:ascii="Arial" w:hAnsi="Arial" w:cs="Arial"/>
        </w:rPr>
        <w:t>This encompasses typical Scandinavian signatures that could be expected in the Danubian loess if the</w:t>
      </w:r>
      <w:r w:rsidR="001303F2">
        <w:rPr>
          <w:rFonts w:ascii="Arial" w:hAnsi="Arial" w:cs="Arial"/>
        </w:rPr>
        <w:t xml:space="preserve"> glacial outwash</w:t>
      </w:r>
      <w:r w:rsidR="005711BF">
        <w:rPr>
          <w:rFonts w:ascii="Arial" w:hAnsi="Arial" w:cs="Arial"/>
        </w:rPr>
        <w:t xml:space="preserve"> sediment was delivered via </w:t>
      </w:r>
      <w:r w:rsidR="001303F2">
        <w:rPr>
          <w:rFonts w:ascii="Arial" w:hAnsi="Arial" w:cs="Arial"/>
        </w:rPr>
        <w:t xml:space="preserve">the </w:t>
      </w:r>
      <w:r w:rsidR="005711BF">
        <w:rPr>
          <w:rFonts w:ascii="Arial" w:hAnsi="Arial" w:cs="Arial"/>
        </w:rPr>
        <w:t xml:space="preserve">Moravian Gate as proposed by </w:t>
      </w:r>
      <w:r w:rsidR="005711BF">
        <w:rPr>
          <w:rFonts w:ascii="Arial" w:hAnsi="Arial" w:cs="Arial"/>
        </w:rPr>
        <w:fldChar w:fldCharType="begin" w:fldLock="1"/>
      </w:r>
      <w:r w:rsidR="002A4E98">
        <w:rPr>
          <w:rFonts w:ascii="Arial" w:hAnsi="Arial" w:cs="Arial"/>
        </w:rPr>
        <w:instrText>ADDIN CSL_CITATION {"citationItems":[{"id":"ITEM-1","itemData":{"DOI":"10.1016/0037-0738(78)90031-3","ISBN":"0037-0738","ISSN":"00370738","abstract":"Within the Danube basin significant loess deposits are located: 1. (1) north of the Alps, near the western end of the basin, 2. (2) around Vienna and stretching away in a northeasterly direction through the Moravian depression, 3. (3) on either side of the south-flowing Danube in Hungary and in northern Yugoslavia, and 4. (4) on the Walachian plain between Romania and Bulgaria. These deposits can be distinguished from the belt of glacial loess extending roughly west-east from Paris/Brussels via Köln, Leipzig, Wroclaw to Krakow and beyond, and obviously related to the North European glaciations. Other sources of material must be invoked to explain the presence of loess (and loess-like sediments) in the Danube basin. Material comes from three major sources: 1. (1) the Alpine glaciers, 2. (2) North European glacial debris carried through the Moravian depression by meltwater, and 3. (3) silt derived from flysch and related rocks in the Carpathian mountains. There is no simple primary loess in the Danube basin in any significant amount; deposits of typical aeolian loess which do exist are often derived from Danube floodplains and formed from material from several sources. This is particularly true of the deposits in the lower Danube region (on the Walachian plain). Since the deposits in the Danube basin are so diverse in type and origin particular care is needed in the use of loess terms and in chronological and stratigraphic investigations. This is particularly so since several countries are involved and national usage tends to differ in many ways. A particular problem is to distinguish (physically and terminologically) materials which have been derived from a typical loess by some ‘degradation’ process and materials which have never been a true loess but have assumed certain loessic characteristics by soil-forming processes. This occurs particularly in the Pannonian basin where there is an abundance of weathered material.","author":[{"dropping-particle":"","family":"Smalley","given":"Ian J.","non-dropping-particle":"","parse-names":false,"suffix":""},{"dropping-particle":"","family":"Leach","given":"J. A.","non-dropping-particle":"","parse-names":false,"suffix":""}],"container-title":"Sedimentary Geology","id":"ITEM-1","issue":"1","issued":{"date-parts":[["1978"]]},"page":"1-26","title":"The origin and distribution of the loess in the Danube basin and associated regions of East-Central Europe — A review","type":"article-journal","volume":"21"},"uris":["http://www.mendeley.com/documents/?uuid=0abdb656-7475-420e-973b-31f43619db05"]}],"mendeley":{"formattedCitation":"(Smalley and Leach, 1978)","plainTextFormattedCitation":"(Smalley and Leach, 1978)","previouslyFormattedCitation":"(Smalley and Leach, 1978)"},"properties":{"noteIndex":0},"schema":"https://github.com/citation-style-language/schema/raw/master/csl-citation.json"}</w:instrText>
      </w:r>
      <w:r w:rsidR="005711BF">
        <w:rPr>
          <w:rFonts w:ascii="Arial" w:hAnsi="Arial" w:cs="Arial"/>
        </w:rPr>
        <w:fldChar w:fldCharType="separate"/>
      </w:r>
      <w:r w:rsidR="005711BF" w:rsidRPr="005711BF">
        <w:rPr>
          <w:rFonts w:ascii="Arial" w:hAnsi="Arial" w:cs="Arial"/>
          <w:noProof/>
        </w:rPr>
        <w:t>(Smalley and Leach, 1978)</w:t>
      </w:r>
      <w:r w:rsidR="005711BF">
        <w:rPr>
          <w:rFonts w:ascii="Arial" w:hAnsi="Arial" w:cs="Arial"/>
        </w:rPr>
        <w:fldChar w:fldCharType="end"/>
      </w:r>
      <w:r w:rsidR="005711BF">
        <w:rPr>
          <w:rFonts w:ascii="Arial" w:hAnsi="Arial" w:cs="Arial"/>
        </w:rPr>
        <w:t xml:space="preserve">. The Scandinavian sample comprise </w:t>
      </w:r>
      <w:r w:rsidR="009F0EE3">
        <w:rPr>
          <w:rFonts w:ascii="Arial" w:hAnsi="Arial" w:cs="Arial"/>
        </w:rPr>
        <w:t>three</w:t>
      </w:r>
      <w:r w:rsidR="005711BF">
        <w:rPr>
          <w:rFonts w:ascii="Arial" w:hAnsi="Arial" w:cs="Arial"/>
        </w:rPr>
        <w:t xml:space="preserve"> zircon age populations</w:t>
      </w:r>
      <w:r w:rsidR="009F0EE3">
        <w:rPr>
          <w:rFonts w:ascii="Arial" w:hAnsi="Arial" w:cs="Arial"/>
        </w:rPr>
        <w:t xml:space="preserve">, two </w:t>
      </w:r>
      <w:r w:rsidR="009F0EE3">
        <w:rPr>
          <w:rFonts w:ascii="ArialMT" w:hAnsi="ArialMT" w:cs="ArialMT"/>
        </w:rPr>
        <w:t xml:space="preserve">Mesoproterozoic </w:t>
      </w:r>
      <w:r w:rsidR="009F0EE3">
        <w:rPr>
          <w:rFonts w:ascii="Arial" w:hAnsi="Arial" w:cs="Arial"/>
        </w:rPr>
        <w:t xml:space="preserve">(1000-1200 and 1450-1550 Ma) and </w:t>
      </w:r>
      <w:r w:rsidR="009F0EE3">
        <w:rPr>
          <w:rFonts w:ascii="ArialMT" w:hAnsi="ArialMT" w:cs="ArialMT"/>
        </w:rPr>
        <w:t xml:space="preserve">Paleoproterozoic (1600-1700 Ma). Whilst </w:t>
      </w:r>
      <w:r w:rsidR="001303F2">
        <w:rPr>
          <w:rFonts w:ascii="ArialMT" w:hAnsi="ArialMT" w:cs="ArialMT"/>
        </w:rPr>
        <w:t xml:space="preserve">a very minor </w:t>
      </w:r>
      <w:r w:rsidR="006D59AD" w:rsidRPr="006D59AD">
        <w:rPr>
          <w:rFonts w:ascii="ArialMT" w:hAnsi="ArialMT" w:cs="ArialMT"/>
        </w:rPr>
        <w:t>Proterozoic</w:t>
      </w:r>
      <w:r w:rsidR="006D59AD">
        <w:rPr>
          <w:rFonts w:ascii="ArialMT" w:hAnsi="ArialMT" w:cs="ArialMT"/>
        </w:rPr>
        <w:t xml:space="preserve"> tail is present in Danubian loess (Figure</w:t>
      </w:r>
      <w:r w:rsidR="003C25EB">
        <w:rPr>
          <w:rFonts w:ascii="ArialMT" w:hAnsi="ArialMT" w:cs="ArialMT"/>
        </w:rPr>
        <w:t>s</w:t>
      </w:r>
      <w:r w:rsidR="006D59AD">
        <w:rPr>
          <w:rFonts w:ascii="ArialMT" w:hAnsi="ArialMT" w:cs="ArialMT"/>
        </w:rPr>
        <w:t xml:space="preserve"> </w:t>
      </w:r>
      <w:r w:rsidR="004557F3">
        <w:rPr>
          <w:rFonts w:ascii="ArialMT" w:hAnsi="ArialMT" w:cs="ArialMT"/>
        </w:rPr>
        <w:t>3</w:t>
      </w:r>
      <w:r w:rsidR="003C25EB">
        <w:rPr>
          <w:rFonts w:ascii="ArialMT" w:hAnsi="ArialMT" w:cs="ArialMT"/>
        </w:rPr>
        <w:t xml:space="preserve"> and 4</w:t>
      </w:r>
      <w:r w:rsidR="006D59AD">
        <w:rPr>
          <w:rFonts w:ascii="ArialMT" w:hAnsi="ArialMT" w:cs="ArialMT"/>
        </w:rPr>
        <w:t xml:space="preserve">) it is mostly comprised </w:t>
      </w:r>
      <w:r w:rsidR="001303F2">
        <w:rPr>
          <w:rFonts w:ascii="ArialMT" w:hAnsi="ArialMT" w:cs="ArialMT"/>
        </w:rPr>
        <w:t xml:space="preserve">of </w:t>
      </w:r>
      <w:r w:rsidR="009F0EE3">
        <w:rPr>
          <w:rFonts w:ascii="ArialMT" w:hAnsi="ArialMT" w:cs="ArialMT"/>
        </w:rPr>
        <w:t>Neoproterozoic</w:t>
      </w:r>
      <w:r w:rsidR="006D59AD">
        <w:rPr>
          <w:rFonts w:ascii="ArialMT" w:hAnsi="ArialMT" w:cs="ArialMT"/>
        </w:rPr>
        <w:t xml:space="preserve"> grains and Mesoproterozoic signatures </w:t>
      </w:r>
      <w:r w:rsidR="001303F2">
        <w:rPr>
          <w:rFonts w:ascii="ArialMT" w:hAnsi="ArialMT" w:cs="ArialMT"/>
        </w:rPr>
        <w:t xml:space="preserve">that </w:t>
      </w:r>
      <w:r w:rsidR="006D59AD">
        <w:rPr>
          <w:rFonts w:ascii="ArialMT" w:hAnsi="ArialMT" w:cs="ArialMT"/>
        </w:rPr>
        <w:t xml:space="preserve">are not very abundant and there is a general absence of the Paleoproterozoic ages. Therefore the comparison of the KDEs fairly robustly discounts Scandinavian sources and the glaciofluvial delivery route. </w:t>
      </w:r>
    </w:p>
    <w:p w14:paraId="2724E1FA" w14:textId="2F777C5E" w:rsidR="005B3A14" w:rsidRPr="005B3A14" w:rsidRDefault="005B3A14" w:rsidP="005B3A14">
      <w:pPr>
        <w:pStyle w:val="Heading3"/>
        <w:numPr>
          <w:ilvl w:val="2"/>
          <w:numId w:val="34"/>
        </w:numPr>
        <w:spacing w:before="120" w:after="120" w:line="480" w:lineRule="auto"/>
        <w:ind w:left="851" w:hanging="851"/>
        <w:rPr>
          <w:rFonts w:ascii="Arial" w:hAnsi="Arial" w:cs="Arial"/>
          <w:i/>
          <w:color w:val="auto"/>
        </w:rPr>
      </w:pPr>
      <w:r>
        <w:rPr>
          <w:rFonts w:ascii="Arial" w:hAnsi="Arial" w:cs="Arial"/>
          <w:i/>
          <w:color w:val="auto"/>
        </w:rPr>
        <w:t>Primary sources</w:t>
      </w:r>
    </w:p>
    <w:p w14:paraId="258A466C" w14:textId="0FD36F6A" w:rsidR="00723EAC" w:rsidRDefault="00A13FA0" w:rsidP="00614941">
      <w:pPr>
        <w:spacing w:before="120" w:after="120" w:line="480" w:lineRule="auto"/>
        <w:jc w:val="both"/>
        <w:rPr>
          <w:rFonts w:ascii="Arial" w:hAnsi="Arial" w:cs="Arial"/>
        </w:rPr>
      </w:pPr>
      <w:r>
        <w:rPr>
          <w:rFonts w:ascii="Arial" w:hAnsi="Arial" w:cs="Arial"/>
        </w:rPr>
        <w:t>Zircon ages</w:t>
      </w:r>
      <w:r w:rsidR="006A55DE">
        <w:rPr>
          <w:rFonts w:ascii="Arial" w:hAnsi="Arial" w:cs="Arial"/>
        </w:rPr>
        <w:t xml:space="preserve"> and hafnium isotopes</w:t>
      </w:r>
      <w:r>
        <w:rPr>
          <w:rFonts w:ascii="Arial" w:hAnsi="Arial" w:cs="Arial"/>
        </w:rPr>
        <w:t xml:space="preserve"> show</w:t>
      </w:r>
      <w:r w:rsidR="00EC4414">
        <w:rPr>
          <w:rFonts w:ascii="Arial" w:hAnsi="Arial" w:cs="Arial"/>
        </w:rPr>
        <w:t xml:space="preserve"> that several sources contribut</w:t>
      </w:r>
      <w:r w:rsidR="00D251A3">
        <w:rPr>
          <w:rFonts w:ascii="Arial" w:hAnsi="Arial" w:cs="Arial"/>
        </w:rPr>
        <w:t>e</w:t>
      </w:r>
      <w:r w:rsidR="00EC4414">
        <w:rPr>
          <w:rFonts w:ascii="Arial" w:hAnsi="Arial" w:cs="Arial"/>
        </w:rPr>
        <w:t xml:space="preserve"> to </w:t>
      </w:r>
      <w:r w:rsidR="00EC4414" w:rsidRPr="008B7FFA">
        <w:rPr>
          <w:rFonts w:ascii="Arial" w:hAnsi="Arial" w:cs="Arial"/>
        </w:rPr>
        <w:t xml:space="preserve">the </w:t>
      </w:r>
      <w:r w:rsidR="00247D81">
        <w:rPr>
          <w:rFonts w:ascii="Arial" w:hAnsi="Arial" w:cs="Arial"/>
        </w:rPr>
        <w:t xml:space="preserve">Danube sediment and </w:t>
      </w:r>
      <w:r w:rsidR="00EC4414" w:rsidRPr="008B7FFA">
        <w:rPr>
          <w:rFonts w:ascii="Arial" w:hAnsi="Arial" w:cs="Arial"/>
        </w:rPr>
        <w:t xml:space="preserve">loess-palaeosol </w:t>
      </w:r>
      <w:r w:rsidR="00EC4414">
        <w:rPr>
          <w:rFonts w:ascii="Arial" w:hAnsi="Arial" w:cs="Arial"/>
        </w:rPr>
        <w:t xml:space="preserve">sequences in the Danube valley, i.e. there is no </w:t>
      </w:r>
      <w:r w:rsidR="00EC4414" w:rsidRPr="008B7FFA">
        <w:rPr>
          <w:rFonts w:ascii="Arial" w:hAnsi="Arial" w:cs="Arial"/>
        </w:rPr>
        <w:t>dominant source</w:t>
      </w:r>
      <w:r w:rsidR="00EC4414">
        <w:rPr>
          <w:rFonts w:ascii="Arial" w:hAnsi="Arial" w:cs="Arial"/>
        </w:rPr>
        <w:t>.</w:t>
      </w:r>
      <w:r w:rsidR="004648EC">
        <w:rPr>
          <w:rFonts w:ascii="Arial" w:hAnsi="Arial" w:cs="Arial"/>
        </w:rPr>
        <w:t xml:space="preserve"> However, it is not possible to discount the possibility </w:t>
      </w:r>
      <w:r w:rsidR="00D251A3">
        <w:rPr>
          <w:rFonts w:ascii="Arial" w:hAnsi="Arial" w:cs="Arial"/>
        </w:rPr>
        <w:t>of</w:t>
      </w:r>
      <w:r w:rsidR="004648EC">
        <w:rPr>
          <w:rFonts w:ascii="Arial" w:hAnsi="Arial" w:cs="Arial"/>
        </w:rPr>
        <w:t xml:space="preserve"> a more “dominant” source which is obscured by the similarity observed in the U-Pb age distributions between several sources. Further the fluvial mixing during sediment transport prior to the final aeolian deposition also complicates source identification. </w:t>
      </w:r>
      <w:r w:rsidR="000460B6">
        <w:rPr>
          <w:rFonts w:ascii="Arial" w:hAnsi="Arial" w:cs="Arial"/>
        </w:rPr>
        <w:t>Thus,</w:t>
      </w:r>
      <w:r w:rsidR="00D251A3">
        <w:rPr>
          <w:rFonts w:ascii="Arial" w:hAnsi="Arial" w:cs="Arial"/>
        </w:rPr>
        <w:t xml:space="preserve"> </w:t>
      </w:r>
      <w:r w:rsidR="00EC4414">
        <w:rPr>
          <w:rFonts w:ascii="Arial" w:hAnsi="Arial" w:cs="Arial"/>
        </w:rPr>
        <w:t xml:space="preserve">U-Pb zircon ages alone are unable to differentiate between source rocks in a complex geological setting and therefore multi-proxy approaches are necessary </w:t>
      </w:r>
      <w:r w:rsidR="00D251A3">
        <w:rPr>
          <w:rFonts w:ascii="Arial" w:hAnsi="Arial" w:cs="Arial"/>
        </w:rPr>
        <w:t xml:space="preserve">to </w:t>
      </w:r>
      <w:r w:rsidR="00EC4414">
        <w:rPr>
          <w:rFonts w:ascii="Arial" w:hAnsi="Arial" w:cs="Arial"/>
        </w:rPr>
        <w:t>resolve the source question.</w:t>
      </w:r>
      <w:r w:rsidR="00E205B3">
        <w:rPr>
          <w:rFonts w:ascii="Arial" w:hAnsi="Arial" w:cs="Arial"/>
        </w:rPr>
        <w:t xml:space="preserve"> </w:t>
      </w:r>
      <w:r w:rsidR="006823A0">
        <w:rPr>
          <w:rFonts w:ascii="Arial" w:hAnsi="Arial" w:cs="Arial"/>
        </w:rPr>
        <w:t>T</w:t>
      </w:r>
      <w:r w:rsidR="0054306B">
        <w:rPr>
          <w:rFonts w:ascii="Arial" w:hAnsi="Arial" w:cs="Arial"/>
        </w:rPr>
        <w:t xml:space="preserve">his multi-proxy </w:t>
      </w:r>
      <w:r w:rsidR="00A747C7">
        <w:rPr>
          <w:rFonts w:ascii="Arial" w:hAnsi="Arial" w:cs="Arial"/>
        </w:rPr>
        <w:t xml:space="preserve">analysis </w:t>
      </w:r>
      <w:r w:rsidR="00924315">
        <w:rPr>
          <w:rFonts w:ascii="Arial" w:hAnsi="Arial" w:cs="Arial"/>
        </w:rPr>
        <w:t>approach demonstrates that</w:t>
      </w:r>
      <w:r w:rsidR="00F52B74" w:rsidRPr="002500F4">
        <w:rPr>
          <w:rFonts w:ascii="Arial" w:hAnsi="Arial" w:cs="Arial"/>
        </w:rPr>
        <w:t xml:space="preserve"> </w:t>
      </w:r>
      <w:r w:rsidR="00C36922">
        <w:rPr>
          <w:rFonts w:ascii="Arial" w:hAnsi="Arial" w:cs="Arial"/>
        </w:rPr>
        <w:t xml:space="preserve">the </w:t>
      </w:r>
      <w:r w:rsidR="0054306B">
        <w:rPr>
          <w:rFonts w:ascii="Arial" w:hAnsi="Arial" w:cs="Arial"/>
        </w:rPr>
        <w:t>ADL</w:t>
      </w:r>
      <w:r w:rsidR="00F52B74" w:rsidRPr="002500F4">
        <w:rPr>
          <w:rFonts w:ascii="Arial" w:hAnsi="Arial" w:cs="Arial"/>
        </w:rPr>
        <w:t xml:space="preserve"> do</w:t>
      </w:r>
      <w:r w:rsidR="0054306B">
        <w:rPr>
          <w:rFonts w:ascii="Arial" w:hAnsi="Arial" w:cs="Arial"/>
        </w:rPr>
        <w:t>es</w:t>
      </w:r>
      <w:r w:rsidR="00F52B74" w:rsidRPr="002500F4">
        <w:rPr>
          <w:rFonts w:ascii="Arial" w:hAnsi="Arial" w:cs="Arial"/>
        </w:rPr>
        <w:t xml:space="preserve"> not have a single lithological source, </w:t>
      </w:r>
      <w:r w:rsidR="006823A0">
        <w:rPr>
          <w:rFonts w:ascii="Arial" w:hAnsi="Arial" w:cs="Arial"/>
        </w:rPr>
        <w:t>supporting find</w:t>
      </w:r>
      <w:r w:rsidR="001C1860">
        <w:rPr>
          <w:rFonts w:ascii="Arial" w:hAnsi="Arial" w:cs="Arial"/>
        </w:rPr>
        <w:t>ings</w:t>
      </w:r>
      <w:r w:rsidR="006823A0">
        <w:rPr>
          <w:rFonts w:ascii="Arial" w:hAnsi="Arial" w:cs="Arial"/>
        </w:rPr>
        <w:t xml:space="preserve"> of</w:t>
      </w:r>
      <w:r w:rsidR="008C7557">
        <w:rPr>
          <w:rFonts w:ascii="Arial" w:hAnsi="Arial" w:cs="Arial"/>
        </w:rPr>
        <w:t xml:space="preserve"> e.g.</w:t>
      </w:r>
      <w:r w:rsidR="006823A0">
        <w:rPr>
          <w:rFonts w:ascii="Arial" w:hAnsi="Arial" w:cs="Arial"/>
        </w:rPr>
        <w:t xml:space="preserve"> </w:t>
      </w:r>
      <w:r w:rsidR="00F52B74" w:rsidRPr="002500F4">
        <w:rPr>
          <w:rFonts w:ascii="Arial" w:hAnsi="Arial" w:cs="Arial"/>
        </w:rPr>
        <w:fldChar w:fldCharType="begin" w:fldLock="1"/>
      </w:r>
      <w:r w:rsidR="0054306B">
        <w:rPr>
          <w:rFonts w:ascii="Arial" w:hAnsi="Arial" w:cs="Arial"/>
        </w:rPr>
        <w:instrText>ADDIN CSL_CITATION {"citationItems":[{"id":"ITEM-1","itemData":{"DOI":"10.1016/j.quaint.2013.06.008","ISSN":"10406182","author":[{"dropping-particle":"","family":"Jipa","given":"Dan C.","non-dropping-particle":"","parse-names":false,"suffix":""}],"container-title":"Quaternary International","id":"ITEM-1","issued":{"date-parts":[["2014"]]},"note":"Good geomorph re-analysis to create region wide model. Good maps of thickness along and across the Lower Danube. Some suggestions for provenance of the region though based predominantly on very old heavy mineral work. Though this supports the idea that material is mizeed and sourced both from local mountains and Danube's alluvium","page":"14-24","publisher":"Elsevier Ltd and INQUA","title":"The conceptual sedimentary model of the Lower Danube loess basin: Sedimentogenetic implications","type":"article-journal","volume":"351"},"uris":["http://www.mendeley.com/documents/?uuid=a634a6ac-0e8e-4810-90eb-9395e147e0db"]}],"mendeley":{"formattedCitation":"(Jipa, 2014)","manualFormatting":"Jipa (2014)","plainTextFormattedCitation":"(Jipa, 2014)","previouslyFormattedCitation":"(Jipa, 2014)"},"properties":{"noteIndex":0},"schema":"https://github.com/citation-style-language/schema/raw/master/csl-citation.json"}</w:instrText>
      </w:r>
      <w:r w:rsidR="00F52B74" w:rsidRPr="002500F4">
        <w:rPr>
          <w:rFonts w:ascii="Arial" w:hAnsi="Arial" w:cs="Arial"/>
        </w:rPr>
        <w:fldChar w:fldCharType="separate"/>
      </w:r>
      <w:r w:rsidR="008612C3" w:rsidRPr="008612C3">
        <w:rPr>
          <w:rFonts w:ascii="Arial" w:hAnsi="Arial" w:cs="Arial"/>
          <w:noProof/>
        </w:rPr>
        <w:t xml:space="preserve">Jipa </w:t>
      </w:r>
      <w:r w:rsidR="0054306B">
        <w:rPr>
          <w:rFonts w:ascii="Arial" w:hAnsi="Arial" w:cs="Arial"/>
          <w:noProof/>
        </w:rPr>
        <w:t>(</w:t>
      </w:r>
      <w:r w:rsidR="008612C3" w:rsidRPr="008612C3">
        <w:rPr>
          <w:rFonts w:ascii="Arial" w:hAnsi="Arial" w:cs="Arial"/>
          <w:noProof/>
        </w:rPr>
        <w:t>2014)</w:t>
      </w:r>
      <w:r w:rsidR="00F52B74" w:rsidRPr="002500F4">
        <w:rPr>
          <w:rFonts w:ascii="Arial" w:hAnsi="Arial" w:cs="Arial"/>
        </w:rPr>
        <w:fldChar w:fldCharType="end"/>
      </w:r>
      <w:r w:rsidR="00F52B74" w:rsidRPr="002500F4">
        <w:rPr>
          <w:rFonts w:ascii="Arial" w:hAnsi="Arial" w:cs="Arial"/>
        </w:rPr>
        <w:t>,</w:t>
      </w:r>
      <w:r w:rsidR="0054306B">
        <w:rPr>
          <w:rFonts w:ascii="Arial" w:hAnsi="Arial" w:cs="Arial"/>
        </w:rPr>
        <w:t xml:space="preserve"> </w:t>
      </w:r>
      <w:r w:rsidR="0054306B">
        <w:rPr>
          <w:rFonts w:ascii="Arial" w:hAnsi="Arial" w:cs="Arial"/>
        </w:rPr>
        <w:fldChar w:fldCharType="begin" w:fldLock="1"/>
      </w:r>
      <w:r w:rsidR="0054306B">
        <w:rPr>
          <w:rFonts w:ascii="Arial" w:hAnsi="Arial" w:cs="Arial"/>
        </w:rPr>
        <w:instrText>ADDIN CSL_CITATION {"citationItems":[{"id":"ITEM-1","itemData":{"DOI":"10.1515/geo-2015-0048","ISSN":"2391-5447","abstract":"There are several competing hypotheses for the origin of loess in Europe but quantitative evidence is still rare. Here, Sr-Nd isotopic and bulk elemental composition of loess from Marine Isotope Stages 2 and 3 from three study regions in Central Europe – Nussloch (Germany), Grub (Austria) and Tokaj (Hungary) - are analyzed. This study aims at examining differences and similarities of loess deposits throughout Europe, correlating loess with potential source rocks from major mountain ranges and comparing loess with floodplain sediments from main rivers as integrated samples of the drainage areas. The results show that European loess deposits are largely uniform and that sediment sources have been rather stable in the Southern and Eastern parts of Central Europe and more variable in West Central Europe. However, the methods used are not sufficient to unequivocally confirm and reject potential sediment sources but, in combination, help to identify the most likely sediment origins. While a direct correlation of loess and potential source rocks is dif- ficult, the comparison with floodplain sediments is most promising and confirms previous hypotheses. Loess from Tokaj and Grub is most likely a mix of material transported by the Danube River and sediments from the surrounding mountains. Rhine River sediments are probably the main source of loess at Nussloch.","author":[{"dropping-particle":"","family":"Schatz","given":"Ann-Kathrin","non-dropping-particle":"","parse-names":false,"suffix":""},{"dropping-particle":"","family":"Qi","given":"Yue","non-dropping-particle":"","parse-names":false,"suffix":""},{"dropping-particle":"","family":"Siebel","given":"Wolfgang","non-dropping-particle":"","parse-names":false,"suffix":""},{"dropping-particle":"","family":"Wu","given":"Jiade","non-dropping-particle":"","parse-names":false,"suffix":""},{"dropping-particle":"","family":"Zöller","given":"Ludwig","non-dropping-particle":"","parse-names":false,"suffix":""}],"container-title":"Open Geosciences","id":"ITEM-1","issue":"1","issued":{"date-parts":[["2015"]]},"page":"678-720","title":"Tracking potential source areas of Central European loess: examples from Tokaj (HU), Nussloch (D) and Grub (AT)","type":"article-journal","volume":"7"},"uris":["http://www.mendeley.com/documents/?uuid=a0030f70-30b4-4a17-a600-2fcf3134248a"]}],"mendeley":{"formattedCitation":"(Schatz et al., 2015)","manualFormatting":"Schatz et al. (2015)","plainTextFormattedCitation":"(Schatz et al., 2015)","previouslyFormattedCitation":"(Schatz et al., 2015)"},"properties":{"noteIndex":0},"schema":"https://github.com/citation-style-language/schema/raw/master/csl-citation.json"}</w:instrText>
      </w:r>
      <w:r w:rsidR="0054306B">
        <w:rPr>
          <w:rFonts w:ascii="Arial" w:hAnsi="Arial" w:cs="Arial"/>
        </w:rPr>
        <w:fldChar w:fldCharType="separate"/>
      </w:r>
      <w:r w:rsidR="0054306B" w:rsidRPr="0054306B">
        <w:rPr>
          <w:rFonts w:ascii="Arial" w:hAnsi="Arial" w:cs="Arial"/>
          <w:noProof/>
        </w:rPr>
        <w:t xml:space="preserve">Schatz et al. </w:t>
      </w:r>
      <w:r w:rsidR="0054306B">
        <w:rPr>
          <w:rFonts w:ascii="Arial" w:hAnsi="Arial" w:cs="Arial"/>
          <w:noProof/>
        </w:rPr>
        <w:t>(</w:t>
      </w:r>
      <w:r w:rsidR="0054306B" w:rsidRPr="0054306B">
        <w:rPr>
          <w:rFonts w:ascii="Arial" w:hAnsi="Arial" w:cs="Arial"/>
          <w:noProof/>
        </w:rPr>
        <w:t>2015)</w:t>
      </w:r>
      <w:r w:rsidR="0054306B">
        <w:rPr>
          <w:rFonts w:ascii="Arial" w:hAnsi="Arial" w:cs="Arial"/>
        </w:rPr>
        <w:fldChar w:fldCharType="end"/>
      </w:r>
      <w:r w:rsidR="0054306B">
        <w:rPr>
          <w:rFonts w:ascii="Arial" w:hAnsi="Arial" w:cs="Arial"/>
        </w:rPr>
        <w:t>,</w:t>
      </w:r>
      <w:r w:rsidR="001C1860">
        <w:rPr>
          <w:rFonts w:ascii="Arial" w:hAnsi="Arial" w:cs="Arial"/>
        </w:rPr>
        <w:t xml:space="preserve"> </w:t>
      </w:r>
      <w:r w:rsidR="0054306B">
        <w:rPr>
          <w:rFonts w:ascii="Arial" w:hAnsi="Arial" w:cs="Arial"/>
        </w:rPr>
        <w:fldChar w:fldCharType="begin" w:fldLock="1"/>
      </w:r>
      <w:r w:rsidR="004B56B4">
        <w:rPr>
          <w:rFonts w:ascii="Arial" w:hAnsi="Arial" w:cs="Arial"/>
        </w:rPr>
        <w:instrText>ADDIN CSL_CITATION {"citationItems":[{"id":"ITEM-1","itemData":{"DOI":"10.1016/j.chemgeo.2012.02.007","ISBN":"0009-2541","ISSN":"00092541","abstract":"Multiple competing hypotheses have been proposed to explain the source of loess dust in the Carpathian Basin yet none has been demonstrated. Here bulk and grain-size differentiated Nd and Sr isotopic and bulk and clay mineralogical compositions, together with detrital zircon ages and morphologies from loess along the Danube in the Carpathian Basin are used to demonstrate that no single method is capable of unequivocally isolating sources, yet combined, they allow for discriminating likely provenance. Zircon ages indicate multiple sources for Carpathian Basin loess, restricting the use of bulk or grain-size differentiation methods. Ambiguities are further highlighted by the fact that the Sr-Nd isotopic composition of Greenland dust is very similar to Carpathian loess. This match demonstrates that such methods are not always capable of unequivocally excluding unlikely potential source areas and implies that current hypotheses regarding the origin of Greenland dust require further evaluation. Sr isotopes are also limited by high dolomite contents of loess, while palygorskite is of questionable utility as a Saharan dust indicator due to its rapid weathering under typical Carpathian climates. In terms of specific Carpathian loess sources, alluvial fans of the Danube River likely contribute, but detrital zircon ages and morphologies suggest that a proportion directly originates from eroded uplands and local rocks throughout the basin, while detrital dolomite implies local, primary sources such as the Transdanubian Range. An upper limit of 5-10% is placed on the North African contribution to fine dust in loess of the mid-Carpathian Basin based on mineralogy and grain size. Overall, results suggest that the single grain (zircon) approach is likely the most diagnostic method to identify sources in loess studies, although to solve complex provenance issues, simultaneous consideration of the isotopic characteristics of more than one heavy (or light) mineral is required. ?? 2012 Elsevier B.V.","author":[{"dropping-particle":"","family":"Újvári","given":"Gábor","non-dropping-particle":"","parse-names":false,"suffix":""},{"dropping-particle":"","family":"Varga","given":"Andrea","non-dropping-particle":"","parse-names":false,"suffix":""},{"dropping-particle":"","family":"Ramos","given":"Frank C.","non-dropping-particle":"","parse-names":false,"suffix":""},{"dropping-particle":"","family":"Kovács","given":"János I.","non-dropping-particle":"","parse-names":false,"suffix":""},{"dropping-particle":"","family":"Németh","given":"Tibor","non-dropping-particle":"","parse-names":false,"suffix":""},{"dropping-particle":"","family":"Stevens","given":"Thomas","non-dropping-particle":"","parse-names":false,"suffix":""}],"container-title":"Chemical Geology","id":"ITEM-1","issued":{"date-parts":[["2012"]]},"page":"83-96","publisher":"Elsevier B.V.","title":"Evaluating the use of clay mineralogy, Sr-Nd isotopes and zircon U-Pb ages in tracking dust provenance: An example from loess of the Carpathian Basin","type":"article-journal","volume":"304-305"},"uris":["http://www.mendeley.com/documents/?uuid=4972a163-3568-4a70-9213-d604a9054fec"]}],"mendeley":{"formattedCitation":"(Újvári et al., 2012)","manualFormatting":"Újvári et al. (2012)","plainTextFormattedCitation":"(Újvári et al., 2012)","previouslyFormattedCitation":"(Újvári et al., 2012)"},"properties":{"noteIndex":0},"schema":"https://github.com/citation-style-language/schema/raw/master/csl-citation.json"}</w:instrText>
      </w:r>
      <w:r w:rsidR="0054306B">
        <w:rPr>
          <w:rFonts w:ascii="Arial" w:hAnsi="Arial" w:cs="Arial"/>
        </w:rPr>
        <w:fldChar w:fldCharType="separate"/>
      </w:r>
      <w:r w:rsidR="0054306B" w:rsidRPr="0054306B">
        <w:rPr>
          <w:rFonts w:ascii="Arial" w:hAnsi="Arial" w:cs="Arial"/>
          <w:noProof/>
        </w:rPr>
        <w:t xml:space="preserve">Újvári et al. </w:t>
      </w:r>
      <w:r w:rsidR="0054306B">
        <w:rPr>
          <w:rFonts w:ascii="Arial" w:hAnsi="Arial" w:cs="Arial"/>
          <w:noProof/>
        </w:rPr>
        <w:t>(</w:t>
      </w:r>
      <w:r w:rsidR="0054306B" w:rsidRPr="0054306B">
        <w:rPr>
          <w:rFonts w:ascii="Arial" w:hAnsi="Arial" w:cs="Arial"/>
          <w:noProof/>
        </w:rPr>
        <w:t>2012)</w:t>
      </w:r>
      <w:r w:rsidR="0054306B">
        <w:rPr>
          <w:rFonts w:ascii="Arial" w:hAnsi="Arial" w:cs="Arial"/>
        </w:rPr>
        <w:fldChar w:fldCharType="end"/>
      </w:r>
      <w:r w:rsidR="00BE0E07">
        <w:rPr>
          <w:rFonts w:ascii="Arial" w:hAnsi="Arial" w:cs="Arial"/>
        </w:rPr>
        <w:t xml:space="preserve">, and </w:t>
      </w:r>
      <w:r w:rsidR="00BE0E07">
        <w:rPr>
          <w:rFonts w:ascii="Arial" w:hAnsi="Arial" w:cs="Arial"/>
        </w:rPr>
        <w:fldChar w:fldCharType="begin" w:fldLock="1"/>
      </w:r>
      <w:r w:rsidR="00F17963">
        <w:rPr>
          <w:rFonts w:ascii="Arial" w:hAnsi="Arial" w:cs="Arial"/>
        </w:rPr>
        <w:instrText>ADDIN CSL_CITATION {"citationItems":[{"id":"ITEM-1","itemData":{"DOI":"10.3389/feart.2021.600010","ISSN":"22966463","abstract":"The source of aeolian sediments such as loess has been investigated since decades. Reliable knowledge on potential dust sources is crucial to understand past climatic and environmental conditions accompanying the dispersal of early modern humans (EMH) into Europe. Provenance studies are usually performed on small sample sets and most established methods are expensive and time-consuming. Here, we present the results of high-resolution geochemical analyses performed on five loess-palaeosol sequences from the Lower Danube Basin (LDB), a region, despite its importance as a trajectory for EMH, largely underrepresented in loess provenance studies. We compare our results with geochemical data of loess-palaeosol sequences from Austria, Hungary, Serbia, and Ukraine. Based on published literature, we thus evaluate five plausible sedimentary pathways for the LDB loess: 1) the Danube alluvium (DA) pathway, which constrains the transport and re-deposition of detrital material by the Danube and its tributaries; 2) the Carpathian Bending (CB) pathway, where sediment is mainly transported from the Cretaceous to Neogene flysch of the Eastern Carpathian Bending; 3) the Eastern Carpathian (EC) pathway, in which sediment is eroded from the flysch of the Outer Eastern Carpathians, transported by rivers, and deflated by northwesterly to westerly winds; 4) the glaciofluvial (GF) pathway, where dust is deflated from glacial outwash plains in nowadays Ukraine, and 5) the Black Sea (BS) pathway, where dust originates from the exposed shelf of the Black Sea. Based on geochemical data, we consider the DA pathway to be the major sediment trajectory for loess in the LDB. Especially the sequences located close to the Danube and the Dobrogea show similarities to sites in Central and Northeast Hungary as well as Northern Serbia. For the northeastern part of the LDB, we demonstrate that dust input is mainly sourced from primary material from the Eastern Carpathians. Mineralogical estimations and geochemical data render the CB pathway as an additional substantial source of detrital material for the loess of this area. We consider the influence of the GF pathway in the LDB as negligible, whereas some minor influences of the BS pathway cannot be ruled out based on geochemical data.","author":[{"dropping-particle":"","family":"Pötter","given":"Stephan","non-dropping-particle":"","parse-names":false,"suffix":""},{"dropping-particle":"","family":"Veres","given":"Daniel","non-dropping-particle":"","parse-names":false,"suffix":""},{"dropping-particle":"","family":"Baykal","given":"Yunus","non-dropping-particle":"","parse-names":false,"suffix":""},{"dropping-particle":"","family":"Nett","given":"Janina J.","non-dropping-particle":"","parse-names":false,"suffix":""},{"dropping-particle":"","family":"Schulte","given":"Philipp","non-dropping-particle":"","parse-names":false,"suffix":""},{"dropping-particle":"","family":"Hambach","given":"Ulrich","non-dropping-particle":"","parse-names":false,"suffix":""},{"dropping-particle":"","family":"Lehmkuhl","given":"Frank","non-dropping-particle":"","parse-names":false,"suffix":""}],"container-title":"Frontiers in Earth Science","id":"ITEM-1","issue":"April","issued":{"date-parts":[["2021"]]},"page":"1-25","title":"Disentangling Sedimentary Pathways for the Pleniglacial Lower Danube Loess Based on Geochemical Signatures","type":"article-journal","volume":"9"},"uris":["http://www.mendeley.com/documents/?uuid=1f55868d-cbcb-471e-afc3-101d38835891"]}],"mendeley":{"formattedCitation":"(Pötter et al., 2021)","manualFormatting":"Pötter et al. (2021)","plainTextFormattedCitation":"(Pötter et al., 2021)","previouslyFormattedCitation":"(Pötter et al., 2021)"},"properties":{"noteIndex":0},"schema":"https://github.com/citation-style-language/schema/raw/master/csl-citation.json"}</w:instrText>
      </w:r>
      <w:r w:rsidR="00BE0E07">
        <w:rPr>
          <w:rFonts w:ascii="Arial" w:hAnsi="Arial" w:cs="Arial"/>
        </w:rPr>
        <w:fldChar w:fldCharType="separate"/>
      </w:r>
      <w:r w:rsidR="00BE0E07" w:rsidRPr="00BE0E07">
        <w:rPr>
          <w:rFonts w:ascii="Arial" w:hAnsi="Arial" w:cs="Arial"/>
          <w:noProof/>
        </w:rPr>
        <w:t xml:space="preserve">Pötter et al. </w:t>
      </w:r>
      <w:r w:rsidR="00BE0E07">
        <w:rPr>
          <w:rFonts w:ascii="Arial" w:hAnsi="Arial" w:cs="Arial"/>
          <w:noProof/>
        </w:rPr>
        <w:t>(</w:t>
      </w:r>
      <w:r w:rsidR="00BE0E07" w:rsidRPr="00BE0E07">
        <w:rPr>
          <w:rFonts w:ascii="Arial" w:hAnsi="Arial" w:cs="Arial"/>
          <w:noProof/>
        </w:rPr>
        <w:t>2021)</w:t>
      </w:r>
      <w:r w:rsidR="00BE0E07">
        <w:rPr>
          <w:rFonts w:ascii="Arial" w:hAnsi="Arial" w:cs="Arial"/>
        </w:rPr>
        <w:fldChar w:fldCharType="end"/>
      </w:r>
      <w:r w:rsidR="0054306B">
        <w:rPr>
          <w:rFonts w:ascii="Arial" w:hAnsi="Arial" w:cs="Arial"/>
        </w:rPr>
        <w:t xml:space="preserve">. </w:t>
      </w:r>
      <w:bookmarkStart w:id="91" w:name="_Hlk75352910"/>
      <w:bookmarkStart w:id="92" w:name="_Hlk74148492"/>
      <w:r w:rsidR="006823A0">
        <w:rPr>
          <w:rFonts w:ascii="Arial" w:hAnsi="Arial" w:cs="Arial"/>
        </w:rPr>
        <w:t xml:space="preserve">It also shows that </w:t>
      </w:r>
      <w:r w:rsidR="00924315">
        <w:rPr>
          <w:rFonts w:ascii="Arial" w:hAnsi="Arial" w:cs="Arial"/>
        </w:rPr>
        <w:t xml:space="preserve">to </w:t>
      </w:r>
      <w:r w:rsidR="005E61B5">
        <w:rPr>
          <w:rFonts w:ascii="Arial" w:hAnsi="Arial" w:cs="Arial"/>
        </w:rPr>
        <w:t>some</w:t>
      </w:r>
      <w:r w:rsidR="006823A0" w:rsidRPr="002500F4">
        <w:rPr>
          <w:rFonts w:ascii="Arial" w:hAnsi="Arial" w:cs="Arial"/>
        </w:rPr>
        <w:t xml:space="preserve"> extent</w:t>
      </w:r>
      <w:r w:rsidR="006823A0">
        <w:rPr>
          <w:rFonts w:ascii="Arial" w:hAnsi="Arial" w:cs="Arial"/>
        </w:rPr>
        <w:t xml:space="preserve"> </w:t>
      </w:r>
      <w:r w:rsidR="00F52B74" w:rsidRPr="002500F4">
        <w:rPr>
          <w:rFonts w:ascii="Arial" w:hAnsi="Arial" w:cs="Arial"/>
        </w:rPr>
        <w:t xml:space="preserve">all of the surrounding mountain belts (the Alps, Bohemian Massif, Carpathians, </w:t>
      </w:r>
      <w:r w:rsidR="00AC2F7C" w:rsidRPr="00AC2F7C">
        <w:rPr>
          <w:rFonts w:ascii="Arial" w:hAnsi="Arial"/>
        </w:rPr>
        <w:t>Dinarides</w:t>
      </w:r>
      <w:r w:rsidR="00F52B74" w:rsidRPr="002500F4">
        <w:rPr>
          <w:rFonts w:ascii="Arial" w:hAnsi="Arial" w:cs="Arial"/>
        </w:rPr>
        <w:t>, and Balkan Mountains) are</w:t>
      </w:r>
      <w:r w:rsidR="00743B26">
        <w:rPr>
          <w:rFonts w:ascii="Arial" w:hAnsi="Arial" w:cs="Arial"/>
        </w:rPr>
        <w:t xml:space="preserve"> primary</w:t>
      </w:r>
      <w:r w:rsidR="00305CB9">
        <w:rPr>
          <w:rFonts w:ascii="Arial" w:hAnsi="Arial" w:cs="Arial"/>
        </w:rPr>
        <w:t xml:space="preserve"> </w:t>
      </w:r>
      <w:r w:rsidR="00F52B74" w:rsidRPr="002500F4">
        <w:rPr>
          <w:rFonts w:ascii="Arial" w:hAnsi="Arial" w:cs="Arial"/>
        </w:rPr>
        <w:t xml:space="preserve">sources of </w:t>
      </w:r>
      <w:r w:rsidR="006823A0">
        <w:rPr>
          <w:rFonts w:ascii="Arial" w:hAnsi="Arial" w:cs="Arial"/>
        </w:rPr>
        <w:t>loess</w:t>
      </w:r>
      <w:r w:rsidR="00F52B74" w:rsidRPr="002500F4">
        <w:rPr>
          <w:rFonts w:ascii="Arial" w:hAnsi="Arial" w:cs="Arial"/>
        </w:rPr>
        <w:t xml:space="preserve">. </w:t>
      </w:r>
      <w:r w:rsidR="00A747C7">
        <w:rPr>
          <w:rFonts w:ascii="Arial" w:hAnsi="Arial" w:cs="Arial"/>
        </w:rPr>
        <w:t>H</w:t>
      </w:r>
      <w:r w:rsidR="00A747C7" w:rsidRPr="006209F2">
        <w:rPr>
          <w:rFonts w:ascii="Arial" w:hAnsi="Arial" w:cs="Arial"/>
        </w:rPr>
        <w:t xml:space="preserve">owever, the Hf isotope </w:t>
      </w:r>
      <w:r w:rsidR="00A747C7" w:rsidRPr="002500F4">
        <w:rPr>
          <w:rFonts w:ascii="Arial" w:hAnsi="Arial" w:cs="Arial"/>
        </w:rPr>
        <w:t>provide</w:t>
      </w:r>
      <w:r w:rsidR="00A747C7">
        <w:rPr>
          <w:rFonts w:ascii="Arial" w:hAnsi="Arial" w:cs="Arial"/>
        </w:rPr>
        <w:t>s</w:t>
      </w:r>
      <w:r w:rsidR="00A747C7" w:rsidRPr="002500F4">
        <w:rPr>
          <w:rFonts w:ascii="Arial" w:hAnsi="Arial" w:cs="Arial"/>
        </w:rPr>
        <w:t xml:space="preserve"> a strong</w:t>
      </w:r>
      <w:r w:rsidR="00185E88">
        <w:rPr>
          <w:rFonts w:ascii="Arial" w:hAnsi="Arial" w:cs="Arial"/>
        </w:rPr>
        <w:t xml:space="preserve"> additional tool that not only identifies new sources </w:t>
      </w:r>
      <w:r w:rsidR="00A747C7" w:rsidRPr="002500F4">
        <w:rPr>
          <w:rFonts w:ascii="Arial" w:hAnsi="Arial" w:cs="Arial"/>
        </w:rPr>
        <w:t>in the Dinaric</w:t>
      </w:r>
      <w:r w:rsidR="00A747C7">
        <w:rPr>
          <w:rFonts w:ascii="Arial" w:hAnsi="Arial" w:cs="Arial"/>
        </w:rPr>
        <w:t xml:space="preserve"> </w:t>
      </w:r>
      <w:r w:rsidR="00A747C7">
        <w:rPr>
          <w:rFonts w:ascii="Arial" w:hAnsi="Arial" w:cs="Arial"/>
        </w:rPr>
        <w:lastRenderedPageBreak/>
        <w:t>and Balkan Mountains</w:t>
      </w:r>
      <w:r w:rsidR="00185E88">
        <w:rPr>
          <w:rFonts w:ascii="Arial" w:hAnsi="Arial" w:cs="Arial"/>
        </w:rPr>
        <w:t>, but also identifies specific areas within mountain belts</w:t>
      </w:r>
      <w:r w:rsidR="00FE27BF">
        <w:rPr>
          <w:rFonts w:ascii="Arial" w:hAnsi="Arial" w:cs="Arial"/>
        </w:rPr>
        <w:t xml:space="preserve">, i.e. </w:t>
      </w:r>
      <w:r w:rsidR="00185E88" w:rsidRPr="004A5751">
        <w:rPr>
          <w:rFonts w:ascii="Arial" w:hAnsi="Arial" w:cs="Arial"/>
        </w:rPr>
        <w:t xml:space="preserve">Austroalpine </w:t>
      </w:r>
      <w:r w:rsidR="00FF5545">
        <w:rPr>
          <w:rFonts w:ascii="Arial" w:hAnsi="Arial" w:cs="Arial"/>
        </w:rPr>
        <w:t>B</w:t>
      </w:r>
      <w:r w:rsidR="00185E88" w:rsidRPr="004A5751">
        <w:rPr>
          <w:rFonts w:ascii="Arial" w:hAnsi="Arial" w:cs="Arial"/>
        </w:rPr>
        <w:t>asement south of</w:t>
      </w:r>
      <w:r w:rsidR="00185E88">
        <w:rPr>
          <w:rFonts w:ascii="Arial" w:hAnsi="Arial" w:cs="Arial"/>
        </w:rPr>
        <w:t xml:space="preserve"> </w:t>
      </w:r>
      <w:r w:rsidR="00185E88" w:rsidRPr="004A5751">
        <w:rPr>
          <w:rFonts w:ascii="Arial" w:hAnsi="Arial" w:cs="Arial"/>
        </w:rPr>
        <w:t>the Tauern Window</w:t>
      </w:r>
      <w:r w:rsidR="00185E88">
        <w:rPr>
          <w:rFonts w:ascii="Arial" w:hAnsi="Arial" w:cs="Arial"/>
        </w:rPr>
        <w:t xml:space="preserve"> </w:t>
      </w:r>
      <w:r w:rsidR="00FE27BF">
        <w:rPr>
          <w:rFonts w:ascii="Arial" w:hAnsi="Arial" w:cs="Arial"/>
        </w:rPr>
        <w:t xml:space="preserve">in the Alps </w:t>
      </w:r>
      <w:r w:rsidR="00185E88">
        <w:rPr>
          <w:rFonts w:ascii="Arial" w:hAnsi="Arial" w:cs="Arial"/>
        </w:rPr>
        <w:t xml:space="preserve">as large contributor of grains of </w:t>
      </w:r>
      <w:r w:rsidR="00FE27BF">
        <w:rPr>
          <w:rFonts w:ascii="Arial" w:hAnsi="Arial" w:cs="Arial"/>
        </w:rPr>
        <w:t xml:space="preserve">600-1000 Ma </w:t>
      </w:r>
      <w:r w:rsidR="00185E88">
        <w:rPr>
          <w:rFonts w:ascii="Arial" w:hAnsi="Arial" w:cs="Arial"/>
        </w:rPr>
        <w:t>age</w:t>
      </w:r>
      <w:r w:rsidR="004C4411">
        <w:rPr>
          <w:rFonts w:ascii="Arial" w:hAnsi="Arial" w:cs="Arial"/>
        </w:rPr>
        <w:t xml:space="preserve"> especially to loess below Drava confluence</w:t>
      </w:r>
      <w:r w:rsidR="00185E88">
        <w:rPr>
          <w:rFonts w:ascii="Arial" w:hAnsi="Arial" w:cs="Arial"/>
        </w:rPr>
        <w:t>.</w:t>
      </w:r>
      <w:bookmarkEnd w:id="91"/>
      <w:r w:rsidR="00185E88">
        <w:rPr>
          <w:rFonts w:ascii="Arial" w:hAnsi="Arial" w:cs="Arial"/>
        </w:rPr>
        <w:t xml:space="preserve"> </w:t>
      </w:r>
      <w:bookmarkEnd w:id="92"/>
    </w:p>
    <w:p w14:paraId="0FEFDF48" w14:textId="19638EFE" w:rsidR="00E205B3" w:rsidRDefault="00E205B3" w:rsidP="00E205B3">
      <w:pPr>
        <w:pStyle w:val="Heading2"/>
        <w:numPr>
          <w:ilvl w:val="1"/>
          <w:numId w:val="34"/>
        </w:numPr>
        <w:spacing w:before="120" w:after="120" w:line="480" w:lineRule="auto"/>
        <w:ind w:left="851" w:hanging="851"/>
        <w:jc w:val="both"/>
        <w:rPr>
          <w:rFonts w:ascii="Arial" w:hAnsi="Arial" w:cs="Arial"/>
          <w:i/>
          <w:color w:val="auto"/>
          <w:sz w:val="24"/>
          <w:szCs w:val="24"/>
        </w:rPr>
      </w:pPr>
      <w:r>
        <w:rPr>
          <w:rFonts w:ascii="Arial" w:hAnsi="Arial" w:cs="Arial"/>
          <w:i/>
          <w:color w:val="auto"/>
          <w:sz w:val="24"/>
          <w:szCs w:val="24"/>
        </w:rPr>
        <w:t>Geomorphological source(s) of loess deposits</w:t>
      </w:r>
    </w:p>
    <w:p w14:paraId="1B716717" w14:textId="521B7B1C" w:rsidR="00B11457" w:rsidRPr="004C4411" w:rsidRDefault="00B11457" w:rsidP="00B5278D">
      <w:pPr>
        <w:pStyle w:val="Heading3"/>
        <w:numPr>
          <w:ilvl w:val="2"/>
          <w:numId w:val="34"/>
        </w:numPr>
        <w:spacing w:before="120" w:after="120" w:line="480" w:lineRule="auto"/>
        <w:ind w:left="851" w:hanging="851"/>
        <w:rPr>
          <w:rFonts w:ascii="Arial" w:hAnsi="Arial" w:cs="Arial"/>
          <w:i/>
          <w:color w:val="auto"/>
        </w:rPr>
      </w:pPr>
      <w:r w:rsidRPr="006A55DE">
        <w:rPr>
          <w:rFonts w:ascii="Arial" w:hAnsi="Arial" w:cs="Arial"/>
          <w:i/>
          <w:color w:val="auto"/>
        </w:rPr>
        <w:t xml:space="preserve">Fluvial </w:t>
      </w:r>
      <w:r w:rsidR="009131F4">
        <w:rPr>
          <w:rFonts w:ascii="Arial" w:hAnsi="Arial" w:cs="Arial"/>
          <w:i/>
          <w:color w:val="auto"/>
        </w:rPr>
        <w:t>link</w:t>
      </w:r>
    </w:p>
    <w:p w14:paraId="6D879DC0" w14:textId="59996B06" w:rsidR="00E205B3" w:rsidRDefault="00E205B3" w:rsidP="00E205B3">
      <w:pPr>
        <w:spacing w:before="120" w:after="120" w:line="480" w:lineRule="auto"/>
        <w:jc w:val="both"/>
        <w:rPr>
          <w:rFonts w:ascii="Arial" w:hAnsi="Arial" w:cs="Arial"/>
        </w:rPr>
      </w:pPr>
      <w:bookmarkStart w:id="93" w:name="_Hlk64989669"/>
      <w:r>
        <w:rPr>
          <w:rFonts w:ascii="Arial" w:hAnsi="Arial" w:cs="Arial"/>
        </w:rPr>
        <w:t xml:space="preserve">River datasets are of particular interest as a </w:t>
      </w:r>
      <w:r w:rsidRPr="00795FBB">
        <w:rPr>
          <w:rFonts w:ascii="Arial" w:hAnsi="Arial" w:cs="Arial"/>
        </w:rPr>
        <w:t>catchment proxy, especially whe</w:t>
      </w:r>
      <w:r>
        <w:rPr>
          <w:rFonts w:ascii="Arial" w:hAnsi="Arial" w:cs="Arial"/>
        </w:rPr>
        <w:t>re</w:t>
      </w:r>
      <w:r w:rsidRPr="00795FBB">
        <w:rPr>
          <w:rFonts w:ascii="Arial" w:hAnsi="Arial" w:cs="Arial"/>
        </w:rPr>
        <w:t xml:space="preserve"> published </w:t>
      </w:r>
      <w:r>
        <w:rPr>
          <w:rFonts w:ascii="Arial" w:hAnsi="Arial" w:cs="Arial"/>
        </w:rPr>
        <w:t xml:space="preserve">primary source </w:t>
      </w:r>
      <w:r w:rsidRPr="00795FBB">
        <w:rPr>
          <w:rFonts w:ascii="Arial" w:hAnsi="Arial" w:cs="Arial"/>
        </w:rPr>
        <w:t xml:space="preserve">zircon datasets from </w:t>
      </w:r>
      <w:r>
        <w:rPr>
          <w:rFonts w:ascii="Arial" w:hAnsi="Arial" w:cs="Arial"/>
        </w:rPr>
        <w:t>a potential source</w:t>
      </w:r>
      <w:r w:rsidRPr="00795FBB">
        <w:rPr>
          <w:rFonts w:ascii="Arial" w:hAnsi="Arial" w:cs="Arial"/>
        </w:rPr>
        <w:t xml:space="preserve"> region might be</w:t>
      </w:r>
      <w:r>
        <w:rPr>
          <w:rFonts w:ascii="Arial" w:hAnsi="Arial" w:cs="Arial"/>
        </w:rPr>
        <w:t xml:space="preserve"> largely</w:t>
      </w:r>
      <w:r w:rsidRPr="00795FBB">
        <w:rPr>
          <w:rFonts w:ascii="Arial" w:hAnsi="Arial" w:cs="Arial"/>
        </w:rPr>
        <w:t xml:space="preserve"> missing</w:t>
      </w:r>
      <w:r>
        <w:rPr>
          <w:rFonts w:ascii="Arial" w:hAnsi="Arial" w:cs="Arial"/>
        </w:rPr>
        <w:t xml:space="preserve"> e.g. Eastern Carpathians.</w:t>
      </w:r>
      <w:bookmarkEnd w:id="93"/>
      <w:r>
        <w:rPr>
          <w:rFonts w:ascii="Arial" w:hAnsi="Arial" w:cs="Arial"/>
        </w:rPr>
        <w:t xml:space="preserve"> This is particularly evident through the example of Siret River which mainly drains the Outer Carpathian Palaeozoic flysh system producing the similar three peak pattern but also has </w:t>
      </w:r>
      <w:r w:rsidR="003564AD">
        <w:rPr>
          <w:rFonts w:ascii="Arial" w:hAnsi="Arial" w:cs="Arial"/>
        </w:rPr>
        <w:t xml:space="preserve">a </w:t>
      </w:r>
      <w:r>
        <w:rPr>
          <w:rFonts w:ascii="Arial" w:hAnsi="Arial" w:cs="Arial"/>
        </w:rPr>
        <w:t>large Proterozoic-Archean tail (absent in ADL) indicating old cratonic contributions likely from the Ukrainian shield.</w:t>
      </w:r>
    </w:p>
    <w:p w14:paraId="40598D82" w14:textId="0B368DCB" w:rsidR="00E205B3" w:rsidRPr="00E7622B" w:rsidRDefault="00E205B3" w:rsidP="00E205B3">
      <w:pPr>
        <w:spacing w:before="120" w:after="120" w:line="480" w:lineRule="auto"/>
        <w:jc w:val="both"/>
        <w:rPr>
          <w:rFonts w:ascii="Arial" w:hAnsi="Arial" w:cs="Arial"/>
        </w:rPr>
      </w:pPr>
      <w:r>
        <w:rPr>
          <w:rFonts w:ascii="Arial" w:hAnsi="Arial" w:cs="Arial"/>
        </w:rPr>
        <w:t>The</w:t>
      </w:r>
      <w:r w:rsidRPr="00795FBB">
        <w:rPr>
          <w:rFonts w:ascii="Arial" w:hAnsi="Arial" w:cs="Arial"/>
        </w:rPr>
        <w:t xml:space="preserve"> Lower Danube distribution</w:t>
      </w:r>
      <w:r>
        <w:rPr>
          <w:rFonts w:ascii="Arial" w:hAnsi="Arial" w:cs="Arial"/>
        </w:rPr>
        <w:t xml:space="preserve"> (Figure 6</w:t>
      </w:r>
      <w:r w:rsidRPr="002C061D">
        <w:rPr>
          <w:rFonts w:ascii="Arial" w:hAnsi="Arial" w:cs="Arial"/>
        </w:rPr>
        <w:t>),</w:t>
      </w:r>
      <w:r>
        <w:rPr>
          <w:rFonts w:ascii="Arial" w:hAnsi="Arial" w:cs="Arial"/>
        </w:rPr>
        <w:t xml:space="preserve"> representing </w:t>
      </w:r>
      <w:r w:rsidRPr="00795FBB">
        <w:rPr>
          <w:rFonts w:ascii="Arial" w:hAnsi="Arial" w:cs="Arial"/>
        </w:rPr>
        <w:t>the most averaged Danube signal</w:t>
      </w:r>
      <w:r>
        <w:rPr>
          <w:rFonts w:ascii="Arial" w:hAnsi="Arial" w:cs="Arial"/>
        </w:rPr>
        <w:t xml:space="preserve"> </w:t>
      </w:r>
      <w:r w:rsidRPr="00795FBB">
        <w:rPr>
          <w:rFonts w:ascii="Arial" w:hAnsi="Arial" w:cs="Arial"/>
        </w:rPr>
        <w:t>having received sediment from its largest tributaries</w:t>
      </w:r>
      <w:r>
        <w:rPr>
          <w:rFonts w:ascii="Arial" w:hAnsi="Arial" w:cs="Arial"/>
        </w:rPr>
        <w:t xml:space="preserve">, has the most similar distribution to the ADL. </w:t>
      </w:r>
      <w:bookmarkStart w:id="94" w:name="_Hlk73621698"/>
      <w:r>
        <w:rPr>
          <w:rFonts w:ascii="Arial" w:hAnsi="Arial" w:cs="Arial"/>
        </w:rPr>
        <w:t xml:space="preserve">Of the </w:t>
      </w:r>
      <w:r w:rsidRPr="003A688D">
        <w:rPr>
          <w:rFonts w:ascii="Arial" w:hAnsi="Arial" w:cs="Arial"/>
        </w:rPr>
        <w:t>Danube’s tributaries</w:t>
      </w:r>
      <w:r>
        <w:rPr>
          <w:rFonts w:ascii="Arial" w:hAnsi="Arial" w:cs="Arial"/>
        </w:rPr>
        <w:t xml:space="preserve">, the Drava and Tisza also have the three-peak distribution seen in the loess and Danube samples, despite draining different source regions (Alps for the Drava, and Carpathians for the Tisza). </w:t>
      </w:r>
      <w:r w:rsidR="003564AD">
        <w:rPr>
          <w:rFonts w:ascii="Arial" w:hAnsi="Arial" w:cs="Arial"/>
        </w:rPr>
        <w:t>However</w:t>
      </w:r>
      <w:r w:rsidR="005B3A14">
        <w:rPr>
          <w:rFonts w:ascii="Arial" w:hAnsi="Arial" w:cs="Arial"/>
        </w:rPr>
        <w:t>,</w:t>
      </w:r>
      <w:r>
        <w:rPr>
          <w:rFonts w:ascii="Arial" w:hAnsi="Arial" w:cs="Arial"/>
        </w:rPr>
        <w:t xml:space="preserve"> the dominance of these peaks is somewhat reversed, e.g. the 600 Ma population</w:t>
      </w:r>
      <w:r w:rsidR="005B3A14">
        <w:rPr>
          <w:rFonts w:ascii="Arial" w:hAnsi="Arial" w:cs="Arial"/>
        </w:rPr>
        <w:t>, dominant in the Drava by</w:t>
      </w:r>
      <w:r>
        <w:rPr>
          <w:rFonts w:ascii="Arial" w:hAnsi="Arial" w:cs="Arial"/>
        </w:rPr>
        <w:t xml:space="preserve"> is </w:t>
      </w:r>
      <w:r w:rsidR="005B3A14">
        <w:rPr>
          <w:rFonts w:ascii="Arial" w:hAnsi="Arial" w:cs="Arial"/>
        </w:rPr>
        <w:t xml:space="preserve">by contrast </w:t>
      </w:r>
      <w:r>
        <w:rPr>
          <w:rFonts w:ascii="Arial" w:hAnsi="Arial" w:cs="Arial"/>
        </w:rPr>
        <w:t>relatively small in the Tisza, and the Tisza’s dominant 300 Ma population is less abundant in the Drava. The dominance of the 300 Ma population</w:t>
      </w:r>
      <w:r w:rsidR="00775092">
        <w:rPr>
          <w:rFonts w:ascii="Arial" w:hAnsi="Arial" w:cs="Arial"/>
        </w:rPr>
        <w:t xml:space="preserve"> as seen in </w:t>
      </w:r>
      <w:r w:rsidR="005B3A14">
        <w:rPr>
          <w:rFonts w:ascii="Arial" w:hAnsi="Arial" w:cs="Arial"/>
        </w:rPr>
        <w:t xml:space="preserve">the </w:t>
      </w:r>
      <w:r w:rsidR="00775092">
        <w:rPr>
          <w:rFonts w:ascii="Arial" w:hAnsi="Arial" w:cs="Arial"/>
        </w:rPr>
        <w:t>Tisza</w:t>
      </w:r>
      <w:r>
        <w:rPr>
          <w:rFonts w:ascii="Arial" w:hAnsi="Arial" w:cs="Arial"/>
        </w:rPr>
        <w:t xml:space="preserve"> is also evident in the Olt River, with both rivers draining the</w:t>
      </w:r>
      <w:r w:rsidRPr="0056305F">
        <w:rPr>
          <w:rFonts w:ascii="Arial" w:hAnsi="Arial" w:cs="Arial"/>
        </w:rPr>
        <w:t xml:space="preserve"> Eastern and Southern</w:t>
      </w:r>
      <w:r>
        <w:rPr>
          <w:rFonts w:ascii="Arial" w:hAnsi="Arial" w:cs="Arial"/>
        </w:rPr>
        <w:t xml:space="preserve"> </w:t>
      </w:r>
      <w:r w:rsidRPr="0056305F">
        <w:rPr>
          <w:rFonts w:ascii="Arial" w:hAnsi="Arial" w:cs="Arial"/>
        </w:rPr>
        <w:t xml:space="preserve">Carpathians </w:t>
      </w:r>
      <w:r>
        <w:rPr>
          <w:rFonts w:ascii="Arial" w:hAnsi="Arial" w:cs="Arial"/>
        </w:rPr>
        <w:t xml:space="preserve">(Figure 1A), suggesting </w:t>
      </w:r>
      <w:r w:rsidR="003564AD">
        <w:rPr>
          <w:rFonts w:ascii="Arial" w:hAnsi="Arial" w:cs="Arial"/>
        </w:rPr>
        <w:t xml:space="preserve">an </w:t>
      </w:r>
      <w:r>
        <w:rPr>
          <w:rFonts w:ascii="Arial" w:hAnsi="Arial" w:cs="Arial"/>
        </w:rPr>
        <w:t xml:space="preserve">abundance of zircons of this age in this source region. However the geological variability of the region even over short distances, is also demonstrated by the dominance of Neoproterozoic grains in the Jiu River, which varies significantly from the Olt and </w:t>
      </w:r>
      <w:r w:rsidRPr="0056305F">
        <w:rPr>
          <w:rFonts w:ascii="Arial" w:hAnsi="Arial" w:cs="Arial"/>
        </w:rPr>
        <w:t>drains a particularly old crustal segment</w:t>
      </w:r>
      <w:r>
        <w:rPr>
          <w:rFonts w:ascii="Arial" w:hAnsi="Arial" w:cs="Arial"/>
        </w:rPr>
        <w:t xml:space="preserve"> of</w:t>
      </w:r>
      <w:r w:rsidRPr="0056305F">
        <w:rPr>
          <w:rFonts w:ascii="Arial" w:hAnsi="Arial" w:cs="Arial"/>
        </w:rPr>
        <w:t xml:space="preserve"> </w:t>
      </w:r>
      <w:r>
        <w:rPr>
          <w:rFonts w:ascii="Arial" w:hAnsi="Arial" w:cs="Arial"/>
        </w:rPr>
        <w:t xml:space="preserve">the </w:t>
      </w:r>
      <w:r w:rsidRPr="0056305F">
        <w:rPr>
          <w:rFonts w:ascii="Arial" w:hAnsi="Arial" w:cs="Arial"/>
        </w:rPr>
        <w:t>Southern Carpathians (</w:t>
      </w:r>
      <w:r>
        <w:rPr>
          <w:rFonts w:ascii="Arial" w:hAnsi="Arial" w:cs="Arial"/>
        </w:rPr>
        <w:t xml:space="preserve">Dragsan Terrane and Lainici Păiuş; Figure 6). Further, the insert in Figure 7 shows that rivers with 300 and 600 Ma dominant distributions plot on opposite sides of the Danube samples. Two conclusions can be </w:t>
      </w:r>
      <w:r>
        <w:rPr>
          <w:rFonts w:ascii="Arial" w:hAnsi="Arial" w:cs="Arial"/>
        </w:rPr>
        <w:lastRenderedPageBreak/>
        <w:t xml:space="preserve">drawn from this. Firstly, some tributaries deliver the full spread of zircon ages to the ADL and loess samples, whilst others contribute only to a single but still dominant peak. Importantly they all likely contribute material to loess deposits. </w:t>
      </w:r>
      <w:bookmarkStart w:id="95" w:name="_Hlk80957736"/>
      <w:bookmarkStart w:id="96" w:name="_Hlk82680137"/>
      <w:r>
        <w:rPr>
          <w:rFonts w:ascii="Arial" w:hAnsi="Arial" w:cs="Arial"/>
        </w:rPr>
        <w:t xml:space="preserve">Second, sediment mixing from the surrounding sources occurs in the tributaries and the Danube, and the averaged signal is preserved in fluvial sediment, and in the alluvial plains. </w:t>
      </w:r>
      <w:bookmarkEnd w:id="94"/>
      <w:bookmarkEnd w:id="95"/>
    </w:p>
    <w:bookmarkEnd w:id="96"/>
    <w:p w14:paraId="0D80E669" w14:textId="1D58D33C" w:rsidR="00E205B3" w:rsidRDefault="00E205B3" w:rsidP="00E205B3">
      <w:pPr>
        <w:spacing w:before="120" w:after="120" w:line="480" w:lineRule="auto"/>
        <w:jc w:val="both"/>
        <w:rPr>
          <w:rFonts w:ascii="Arial" w:hAnsi="Arial"/>
        </w:rPr>
      </w:pPr>
      <w:r>
        <w:rPr>
          <w:rFonts w:ascii="Arial" w:hAnsi="Arial" w:cs="Arial"/>
        </w:rPr>
        <w:t xml:space="preserve">The similar distributions </w:t>
      </w:r>
      <w:r w:rsidRPr="007918A8">
        <w:rPr>
          <w:rFonts w:ascii="Arial" w:hAnsi="Arial" w:cs="Arial"/>
        </w:rPr>
        <w:t>between rivers and loess seen</w:t>
      </w:r>
      <w:r>
        <w:rPr>
          <w:rFonts w:ascii="Arial" w:hAnsi="Arial" w:cs="Arial"/>
        </w:rPr>
        <w:t xml:space="preserve"> on the KDE plots (</w:t>
      </w:r>
      <w:r w:rsidRPr="00C4096F">
        <w:rPr>
          <w:rFonts w:ascii="Arial" w:hAnsi="Arial" w:cs="Arial"/>
        </w:rPr>
        <w:t xml:space="preserve">Figures </w:t>
      </w:r>
      <w:r>
        <w:rPr>
          <w:rFonts w:ascii="Arial" w:hAnsi="Arial" w:cs="Arial"/>
        </w:rPr>
        <w:t>3</w:t>
      </w:r>
      <w:r w:rsidRPr="00C4096F">
        <w:rPr>
          <w:rFonts w:ascii="Arial" w:hAnsi="Arial" w:cs="Arial"/>
        </w:rPr>
        <w:t xml:space="preserve"> and </w:t>
      </w:r>
      <w:r w:rsidR="003C25EB">
        <w:rPr>
          <w:rFonts w:ascii="Arial" w:hAnsi="Arial" w:cs="Arial"/>
        </w:rPr>
        <w:t>6</w:t>
      </w:r>
      <w:r>
        <w:rPr>
          <w:rFonts w:ascii="Arial" w:hAnsi="Arial" w:cs="Arial"/>
        </w:rPr>
        <w:t xml:space="preserve">) also translate to proximity on the MDS plots (Figure 7). </w:t>
      </w:r>
      <w:r w:rsidRPr="003A688D">
        <w:rPr>
          <w:rFonts w:ascii="Arial" w:hAnsi="Arial" w:cs="Arial"/>
        </w:rPr>
        <w:t>The MDS plot</w:t>
      </w:r>
      <w:r>
        <w:rPr>
          <w:rFonts w:ascii="Arial" w:hAnsi="Arial" w:cs="Arial"/>
        </w:rPr>
        <w:t xml:space="preserve"> </w:t>
      </w:r>
      <w:r w:rsidRPr="003A688D">
        <w:rPr>
          <w:rFonts w:ascii="Arial" w:hAnsi="Arial" w:cs="Arial"/>
        </w:rPr>
        <w:t xml:space="preserve">shows that the </w:t>
      </w:r>
      <w:r>
        <w:rPr>
          <w:rFonts w:ascii="Arial" w:hAnsi="Arial" w:cs="Arial"/>
        </w:rPr>
        <w:t>ADL and all individual loess</w:t>
      </w:r>
      <w:r w:rsidRPr="003A688D">
        <w:rPr>
          <w:rFonts w:ascii="Arial" w:hAnsi="Arial" w:cs="Arial"/>
        </w:rPr>
        <w:t xml:space="preserve"> sample</w:t>
      </w:r>
      <w:r>
        <w:rPr>
          <w:rFonts w:ascii="Arial" w:hAnsi="Arial" w:cs="Arial"/>
        </w:rPr>
        <w:t>s</w:t>
      </w:r>
      <w:r w:rsidRPr="003A688D">
        <w:rPr>
          <w:rFonts w:ascii="Arial" w:hAnsi="Arial" w:cs="Arial"/>
        </w:rPr>
        <w:t xml:space="preserve"> plot in the centre of the source cluster</w:t>
      </w:r>
      <w:r>
        <w:rPr>
          <w:rFonts w:ascii="Arial" w:hAnsi="Arial" w:cs="Arial"/>
        </w:rPr>
        <w:t xml:space="preserve"> surrounded by </w:t>
      </w:r>
      <w:r w:rsidRPr="008B7FFA">
        <w:rPr>
          <w:rFonts w:ascii="Arial" w:hAnsi="Arial" w:cs="Arial"/>
        </w:rPr>
        <w:t>river samples</w:t>
      </w:r>
      <w:r>
        <w:rPr>
          <w:rFonts w:ascii="Arial" w:hAnsi="Arial" w:cs="Arial"/>
        </w:rPr>
        <w:t>. Most source samples form a large cluster, which surrounds the river data but does not plot close to loess. This</w:t>
      </w:r>
      <w:r w:rsidRPr="00B14F24">
        <w:rPr>
          <w:rFonts w:ascii="Arial" w:hAnsi="Arial" w:cs="Arial"/>
        </w:rPr>
        <w:t xml:space="preserve"> </w:t>
      </w:r>
      <w:r>
        <w:rPr>
          <w:rFonts w:ascii="Arial" w:hAnsi="Arial" w:cs="Arial"/>
        </w:rPr>
        <w:t xml:space="preserve">pattern suggests loess-forming sediment is first eroded, transported, homogenised, and deposited by the rivers prior to the final aeolian transport and deposition, rather than transported </w:t>
      </w:r>
      <w:r w:rsidRPr="006C6617">
        <w:rPr>
          <w:rFonts w:ascii="Arial" w:hAnsi="Arial" w:cs="Arial"/>
        </w:rPr>
        <w:t>directly from the</w:t>
      </w:r>
      <w:r>
        <w:rPr>
          <w:rFonts w:ascii="Arial" w:hAnsi="Arial" w:cs="Arial"/>
        </w:rPr>
        <w:t xml:space="preserve"> primary </w:t>
      </w:r>
      <w:r w:rsidRPr="006C6617">
        <w:rPr>
          <w:rFonts w:ascii="Arial" w:hAnsi="Arial" w:cs="Arial"/>
        </w:rPr>
        <w:t>sources with mixing in the air or via various multi</w:t>
      </w:r>
      <w:r>
        <w:rPr>
          <w:rFonts w:ascii="Arial" w:hAnsi="Arial" w:cs="Arial"/>
        </w:rPr>
        <w:t>-</w:t>
      </w:r>
      <w:r w:rsidRPr="006C6617">
        <w:rPr>
          <w:rFonts w:ascii="Arial" w:hAnsi="Arial" w:cs="Arial"/>
        </w:rPr>
        <w:t>step processes</w:t>
      </w:r>
      <w:r>
        <w:rPr>
          <w:rFonts w:ascii="Arial" w:hAnsi="Arial" w:cs="Arial"/>
        </w:rPr>
        <w:t>. The mixed source terrane signals in the loess and Danube sediments (Figures 3 and</w:t>
      </w:r>
      <w:r w:rsidRPr="00F4363E">
        <w:rPr>
          <w:rFonts w:ascii="Arial" w:hAnsi="Arial" w:cs="Arial"/>
        </w:rPr>
        <w:t xml:space="preserve"> </w:t>
      </w:r>
      <w:r w:rsidR="003C25EB">
        <w:rPr>
          <w:rFonts w:ascii="Arial" w:hAnsi="Arial" w:cs="Arial"/>
        </w:rPr>
        <w:t>6</w:t>
      </w:r>
      <w:r w:rsidRPr="00F4363E">
        <w:rPr>
          <w:rFonts w:ascii="Arial" w:hAnsi="Arial" w:cs="Arial"/>
        </w:rPr>
        <w:t>)</w:t>
      </w:r>
      <w:r>
        <w:rPr>
          <w:rFonts w:ascii="Arial" w:hAnsi="Arial" w:cs="Arial"/>
        </w:rPr>
        <w:t>, supported by the different clustering between loess, rivers, and bedrock (Figure 7)</w:t>
      </w:r>
      <w:r w:rsidR="003564AD">
        <w:rPr>
          <w:rFonts w:ascii="Arial" w:hAnsi="Arial" w:cs="Arial"/>
        </w:rPr>
        <w:t>,</w:t>
      </w:r>
      <w:r>
        <w:rPr>
          <w:rFonts w:ascii="Arial" w:hAnsi="Arial" w:cs="Arial"/>
        </w:rPr>
        <w:t xml:space="preserve"> indicate that </w:t>
      </w:r>
      <w:r w:rsidRPr="00B14F24">
        <w:rPr>
          <w:rFonts w:ascii="Arial" w:hAnsi="Arial" w:cs="Arial"/>
        </w:rPr>
        <w:t xml:space="preserve">the </w:t>
      </w:r>
      <w:r>
        <w:rPr>
          <w:rFonts w:ascii="Arial" w:hAnsi="Arial" w:cs="Arial"/>
        </w:rPr>
        <w:t>proximal,</w:t>
      </w:r>
      <w:r w:rsidRPr="00B14F24">
        <w:rPr>
          <w:rFonts w:ascii="Arial" w:hAnsi="Arial" w:cs="Arial"/>
        </w:rPr>
        <w:t xml:space="preserve"> geomorphological source of loess deposits along the Danube River is the Danube’s alluvium</w:t>
      </w:r>
      <w:r>
        <w:rPr>
          <w:rFonts w:ascii="Arial" w:hAnsi="Arial" w:cs="Arial"/>
        </w:rPr>
        <w:t xml:space="preserve">, previously suggested as a source of silt to individual loess sites on the basis of theoretical, geomorphological, zircon U-Pb, and bulk sample geochemical investigations </w:t>
      </w:r>
      <w:r>
        <w:rPr>
          <w:rFonts w:ascii="Arial" w:hAnsi="Arial" w:cs="Arial"/>
        </w:rPr>
        <w:fldChar w:fldCharType="begin" w:fldLock="1"/>
      </w:r>
      <w:r>
        <w:rPr>
          <w:rFonts w:ascii="Arial" w:hAnsi="Arial" w:cs="Arial"/>
        </w:rPr>
        <w:instrText>ADDIN CSL_CITATION {"citationItems":[{"id":"ITEM-1","itemData":{"DOI":"10.1016/j.quaint.2011.02.022","ISBN":"1040-6182","ISSN":"10406182","abstract":"The palaeoclimate record preserved in loess deposits in S Serbia is poorly understood. This is in strong contrast to the situation in the north of the country (Vojvodina region), where similar deposits have been intensively investigated in recent years. This study presents a first detailed description, initial proxy analysis (magnetic susceptibility, colour, total organic carbon) and preliminary luminescence chronology of a loess-palaeosol sequence that is exposed in an abandoned quarry at Belotinac (near the city of Niš, S Serbia). The sequence is about 10. m thick and preserves three loess units and three weakly developed palaeosol units. Although its potential remains to be fully tapped, the preliminary results demonstrate that the sequence offers a unique record of climate and environmental change during the Late Pleistocene at the transition between Mediterranean and Continental Europe. © 2011 Elsevier Ltd and INQUA.","author":[{"dropping-particle":"","family":"Basarin","given":"Biljana","non-dropping-particle":"","parse-names":false,"suffix":""},{"dropping-particle":"","family":"Vandenberghe","given":"Dimitri A. G.","non-dropping-particle":"","parse-names":false,"suffix":""},{"dropping-particle":"","family":"Marković","given":"Slobodan B.","non-dropping-particle":"","parse-names":false,"suffix":""},{"dropping-particle":"","family":"Catto","given":"Norm","non-dropping-particle":"","parse-names":false,"suffix":""},{"dropping-particle":"","family":"Hambach","given":"Ulrich","non-dropping-particle":"","parse-names":false,"suffix":""},{"dropping-particle":"","family":"Vasiliniuc","given":"Stefan","non-dropping-particle":"","parse-names":false,"suffix":""},{"dropping-particle":"","family":"Derese","given":"C.","non-dropping-particle":"","parse-names":false,"suffix":""},{"dropping-particle":"","family":"Rončević","given":"S.","non-dropping-particle":"","parse-names":false,"suffix":""},{"dropping-particle":"","family":"Vasiljević","given":"Djordjije A.","non-dropping-particle":"","parse-names":false,"suffix":""},{"dropping-particle":"","family":"Rajić","given":"Lj","non-dropping-particle":"","parse-names":false,"suffix":""}],"container-title":"Quaternary International","id":"ITEM-1","issue":"1-2","issued":{"date-parts":[["2011"]]},"page":"128-138","title":"The Belotinac section (Southern Serbia) at the southern limit of the European loess belt: Initial results","type":"article-journal","volume":"240"},"uris":["http://www.mendeley.com/documents/?uuid=72e71041-0b48-4b54-9e06-3f0db2428b98"]},{"id":"ITEM-2","itemData":{"DOI":"10.1016/j.quascirev.2008.01.018","ISBN":"0277-3791","ISSN":"02773791","abstract":"The loess/paleosol sections of Batajnica/Stari Slankamen (Serbia), Mircea Voda (Romania) and Stary Kaydaky (Ukraine) were geochemically characterized based on discriminant analysis of major and trace elements, the ratios of Al/Ti, Fe/Ti and Al/Fe, the A-CN-K ternary plot and element enrichment/depletion relative to the average composition of the upper continental crust. The origin of the loess material in the southern Pannonian Basin (Vojvodina), the lower Danube Basin/Dobrudja and the Dnieper area was evaluated by comparison with the representative element composition of possible source areas and by considering the geomorphodynamic setting. Also the background values of the initial magnetic susceptibility of the loesses were taken into account. For the lower Danube Basin, Dobrudja and the Ukraine, paleowind direction was reconstructed based on the geographic distribution of sandy soil texture and dunes related to river systems. Finally, loesses were evaluated as possible samples of the average upper continental crust. Our results show that Danube and Dnieper loess areas can be clearly distinguished. The former reveal higher Al and Fe contents, the latter higher Si, Zr, Hf content and indications of effective mineral and grain size sorting. We can confirm that Vojvodina loess originated from Danube alluvial material and loess of the Dnieper area from glaciofluvial sediments of the Fennoscandinavian ice sheet. The Dobrudja loess derived also predominantly from Danube alluvium, but shows significant contribution of a second loess source, probably the glaciofluvial sediments of the Ukraine. This was forced by northerly katabatic winds from the Fennoscandinavian ice sheet, whereas WNW winds prevailed in the Western Walachian plain. The studied loesses reflect the average composition of the upper continental crust. Yet, biases exist due to selective mineral/element enrichment and depletion in the course of previous sedimentary recycling phases, respectively. Material of all studied loess deposits seems to derive originally from sedimentary rocks.","author":[{"dropping-particle":"","family":"Buggle","given":"Björn","non-dropping-particle":"","parse-names":false,"suffix":""},{"dropping-particle":"","family":"Glaser","given":"Bruno","non-dropping-particle":"","parse-names":false,"suffix":""},{"dropping-particle":"","family":"Zöller","given":"Ludwig","non-dropping-particle":"","parse-names":false,"suffix":""},{"dropping-particle":"","family":"Hambach","given":"Ulrich","non-dropping-particle":"","parse-names":false,"suffix":""},{"dropping-particle":"","family":"Marković","given":"Slobodan B.","non-dropping-particle":"","parse-names":false,"suffix":""},{"dropping-particle":"","family":"Glaser","given":"Irina","non-dropping-particle":"","parse-names":false,"suffix":""},{"dropping-particle":"","family":"Gerasimenko","given":"Natalia P.","non-dropping-particle":"","parse-names":false,"suffix":""}],"container-title":"Quaternary Science Reviews","id":"ITEM-2","issue":"9-10","issued":{"date-parts":[["2008"]]},"page":"1058-1075","title":"Geochemical characterization and origin of Southeastern and Eastern European loesses (Serbia, Romania, Ukraine)","type":"article-journal","volume":"27"},"uris":["http://www.mendeley.com/documents/?uuid=193d86ce-b241-49e3-a1ef-f8a8bd32eeb3"]},{"id":"ITEM-3","itemData":{"DOI":"10.1016/j.quaint.2013.06.008","ISSN":"10406182","author":[{"dropping-particle":"","family":"Jipa","given":"Dan C.","non-dropping-particle":"","parse-names":false,"suffix":""}],"container-title":"Quaternary International","id":"ITEM-3","issued":{"date-parts":[["2014"]]},"note":"Good geomorph re-analysis to create region wide model. Good maps of thickness along and across the Lower Danube. Some suggestions for provenance of the region though based predominantly on very old heavy mineral work. Though this supports the idea that material is mizeed and sourced both from local mountains and Danube's alluvium","page":"14-24","publisher":"Elsevier Ltd and INQUA","title":"The conceptual sedimentary model of the Lower Danube loess basin: Sedimentogenetic implications","type":"article-journal","volume":"351"},"uris":["http://www.mendeley.com/documents/?uuid=a634a6ac-0e8e-4810-90eb-9395e147e0db"]},{"id":"ITEM-4","itemData":{"DOI":"10.1016/j.chemgeo.2012.02.007","ISBN":"0009-2541","ISSN":"00092541","abstract":"Multiple competing hypotheses have been proposed to explain the source of loess dust in the Carpathian Basin yet none has been demonstrated. Here bulk and grain-size differentiated Nd and Sr isotopic and bulk and clay mineralogical compositions, together with detrital zircon ages and morphologies from loess along the Danube in the Carpathian Basin are used to demonstrate that no single method is capable of unequivocally isolating sources, yet combined, they allow for discriminating likely provenance. Zircon ages indicate multiple sources for Carpathian Basin loess, restricting the use of bulk or grain-size differentiation methods. Ambiguities are further highlighted by the fact that the Sr-Nd isotopic composition of Greenland dust is very similar to Carpathian loess. This match demonstrates that such methods are not always capable of unequivocally excluding unlikely potential source areas and implies that current hypotheses regarding the origin of Greenland dust require further evaluation. Sr isotopes are also limited by high dolomite contents of loess, while palygorskite is of questionable utility as a Saharan dust indicator due to its rapid weathering under typical Carpathian climates. In terms of specific Carpathian loess sources, alluvial fans of the Danube River likely contribute, but detrital zircon ages and morphologies suggest that a proportion directly originates from eroded uplands and local rocks throughout the basin, while detrital dolomite implies local, primary sources such as the Transdanubian Range. An upper limit of 5-10% is placed on the North African contribution to fine dust in loess of the mid-Carpathian Basin based on mineralogy and grain size. Overall, results suggest that the single grain (zircon) approach is likely the most diagnostic method to identify sources in loess studies, although to solve complex provenance issues, simultaneous consideration of the isotopic characteristics of more than one heavy (or light) mineral is required. ?? 2012 Elsevier B.V.","author":[{"dropping-particle":"","family":"Újvári","given":"Gábor","non-dropping-particle":"","parse-names":false,"suffix":""},{"dropping-particle":"","family":"Varga","given":"Andrea","non-dropping-particle":"","parse-names":false,"suffix":""},{"dropping-particle":"","family":"Ramos","given":"Frank C.","non-dropping-particle":"","parse-names":false,"suffix":""},{"dropping-particle":"","family":"Kovács","given":"János I.","non-dropping-particle":"","parse-names":false,"suffix":""},{"dropping-particle":"","family":"Németh","given":"Tibor","non-dropping-particle":"","parse-names":false,"suffix":""},{"dropping-particle":"","family":"Stevens","given":"Thomas","non-dropping-particle":"","parse-names":false,"suffix":""}],"container-title":"Chemical Geology","id":"ITEM-4","issued":{"date-parts":[["2012"]]},"page":"83-96","publisher":"Elsevier B.V.","title":"Evaluating the use of clay mineralogy, Sr-Nd isotopes and zircon U-Pb ages in tracking dust provenance: An example from loess of the Carpathian Basin","type":"article-journal","volume":"304-305"},"uris":["http://www.mendeley.com/documents/?uuid=4972a163-3568-4a70-9213-d604a9054fec"]},{"id":"ITEM-5","itemData":{"DOI":"10.3389/feart.2021.600010","ISSN":"22966463","abstract":"The source of aeolian sediments such as loess has been investigated since decades. Reliable knowledge on potential dust sources is crucial to understand past climatic and environmental conditions accompanying the dispersal of early modern humans (EMH) into Europe. Provenance studies are usually performed on small sample sets and most established methods are expensive and time-consuming. Here, we present the results of high-resolution geochemical analyses performed on five loess-palaeosol sequences from the Lower Danube Basin (LDB), a region, despite its importance as a trajectory for EMH, largely underrepresented in loess provenance studies. We compare our results with geochemical data of loess-palaeosol sequences from Austria, Hungary, Serbia, and Ukraine. Based on published literature, we thus evaluate five plausible sedimentary pathways for the LDB loess: 1) the Danube alluvium (DA) pathway, which constrains the transport and re-deposition of detrital material by the Danube and its tributaries; 2) the Carpathian Bending (CB) pathway, where sediment is mainly transported from the Cretaceous to Neogene flysch of the Eastern Carpathian Bending; 3) the Eastern Carpathian (EC) pathway, in which sediment is eroded from the flysch of the Outer Eastern Carpathians, transported by rivers, and deflated by northwesterly to westerly winds; 4) the glaciofluvial (GF) pathway, where dust is deflated from glacial outwash plains in nowadays Ukraine, and 5) the Black Sea (BS) pathway, where dust originates from the exposed shelf of the Black Sea. Based on geochemical data, we consider the DA pathway to be the major sediment trajectory for loess in the LDB. Especially the sequences located close to the Danube and the Dobrogea show similarities to sites in Central and Northeast Hungary as well as Northern Serbia. For the northeastern part of the LDB, we demonstrate that dust input is mainly sourced from primary material from the Eastern Carpathians. Mineralogical estimations and geochemical data render the CB pathway as an additional substantial source of detrital material for the loess of this area. We consider the influence of the GF pathway in the LDB as negligible, whereas some minor influences of the BS pathway cannot be ruled out based on geochemical data.","author":[{"dropping-particle":"","family":"Pötter","given":"Stephan","non-dropping-particle":"","parse-names":false,"suffix":""},{"dropping-particle":"","family":"Veres","given":"Daniel","non-dropping-particle":"","parse-names":false,"suffix":""},{"dropping-particle":"","family":"Baykal","given":"Yunus","non-dropping-particle":"","parse-names":false,"suffix":""},{"dropping-particle":"","family":"Nett","given":"Janina J.","non-dropping-particle":"","parse-names":false,"suffix":""},{"dropping-particle":"","family":"Schulte","given":"Philipp","non-dropping-particle":"","parse-names":false,"suffix":""},{"dropping-particle":"","family":"Hambach","given":"Ulrich","non-dropping-particle":"","parse-names":false,"suffix":""},{"dropping-particle":"","family":"Lehmkuhl","given":"Frank","non-dropping-particle":"","parse-names":false,"suffix":""}],"container-title":"Frontiers in Earth Science","id":"ITEM-5","issue":"April","issued":{"date-parts":[["2021"]]},"page":"1-25","title":"Disentangling Sedimentary Pathways for the Pleniglacial Lower Danube Loess Based on Geochemical Signatures","type":"article-journal","volume":"9"},"uris":["http://www.mendeley.com/documents/?uuid=1f55868d-cbcb-471e-afc3-101d38835891"]}],"mendeley":{"formattedCitation":"(Basarin et al., 2011; Buggle et al., 2008; Jipa, 2014; Pötter et al., 2021; Újvári et al., 2012)","plainTextFormattedCitation":"(Basarin et al., 2011; Buggle et al., 2008; Jipa, 2014; Pötter et al., 2021; Újvári et al., 2012)","previouslyFormattedCitation":"(Basarin et al., 2011; Buggle et al., 2008; Jipa, 2014; Pötter et al., 2021; Újvári et al., 2012)"},"properties":{"noteIndex":0},"schema":"https://github.com/citation-style-language/schema/raw/master/csl-citation.json"}</w:instrText>
      </w:r>
      <w:r>
        <w:rPr>
          <w:rFonts w:ascii="Arial" w:hAnsi="Arial" w:cs="Arial"/>
        </w:rPr>
        <w:fldChar w:fldCharType="separate"/>
      </w:r>
      <w:r w:rsidRPr="007A5B91">
        <w:rPr>
          <w:rFonts w:ascii="Arial" w:hAnsi="Arial" w:cs="Arial"/>
          <w:noProof/>
        </w:rPr>
        <w:t>(Basarin et al., 2011; Buggle et al., 2008; Jipa, 2014; Pötter et al., 2021; Újvári et al., 2012)</w:t>
      </w:r>
      <w:r>
        <w:rPr>
          <w:rFonts w:ascii="Arial" w:hAnsi="Arial" w:cs="Arial"/>
        </w:rPr>
        <w:fldChar w:fldCharType="end"/>
      </w:r>
      <w:r w:rsidRPr="00F4363E">
        <w:rPr>
          <w:rFonts w:ascii="Arial" w:hAnsi="Arial"/>
        </w:rPr>
        <w:t>.</w:t>
      </w:r>
      <w:r>
        <w:rPr>
          <w:rFonts w:ascii="Arial" w:hAnsi="Arial"/>
        </w:rPr>
        <w:t xml:space="preserve"> </w:t>
      </w:r>
    </w:p>
    <w:p w14:paraId="2513F8E7" w14:textId="77777777" w:rsidR="00E205B3" w:rsidRDefault="00E205B3" w:rsidP="00E205B3">
      <w:pPr>
        <w:spacing w:before="120" w:after="120" w:line="480" w:lineRule="auto"/>
        <w:jc w:val="both"/>
        <w:rPr>
          <w:rFonts w:ascii="Arial" w:hAnsi="Arial" w:cs="Arial"/>
        </w:rPr>
      </w:pPr>
      <w:r>
        <w:rPr>
          <w:rFonts w:ascii="Arial" w:hAnsi="Arial" w:cs="Arial"/>
          <w:noProof/>
        </w:rPr>
        <w:lastRenderedPageBreak/>
        <w:drawing>
          <wp:inline distT="0" distB="0" distL="0" distR="0" wp14:anchorId="5D7C7E4B" wp14:editId="0C05E029">
            <wp:extent cx="5731510" cy="4132580"/>
            <wp:effectExtent l="0" t="0" r="2540" b="1270"/>
            <wp:docPr id="12" name="Picture 1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10;&#10;Description automatically generated"/>
                    <pic:cNvPicPr/>
                  </pic:nvPicPr>
                  <pic:blipFill>
                    <a:blip r:embed="rId18" cstate="hqprint">
                      <a:extLst>
                        <a:ext uri="{28A0092B-C50C-407E-A947-70E740481C1C}">
                          <a14:useLocalDpi xmlns:a14="http://schemas.microsoft.com/office/drawing/2010/main"/>
                        </a:ext>
                      </a:extLst>
                    </a:blip>
                    <a:stretch>
                      <a:fillRect/>
                    </a:stretch>
                  </pic:blipFill>
                  <pic:spPr>
                    <a:xfrm>
                      <a:off x="0" y="0"/>
                      <a:ext cx="5731510" cy="4132580"/>
                    </a:xfrm>
                    <a:prstGeom prst="rect">
                      <a:avLst/>
                    </a:prstGeom>
                  </pic:spPr>
                </pic:pic>
              </a:graphicData>
            </a:graphic>
          </wp:inline>
        </w:drawing>
      </w:r>
    </w:p>
    <w:p w14:paraId="0A407696" w14:textId="73AC74E4" w:rsidR="00E205B3" w:rsidRDefault="00E205B3" w:rsidP="00E205B3">
      <w:pPr>
        <w:spacing w:before="120" w:after="120" w:line="480" w:lineRule="auto"/>
        <w:jc w:val="both"/>
        <w:rPr>
          <w:rFonts w:ascii="Arial" w:hAnsi="Arial" w:cs="Arial"/>
        </w:rPr>
      </w:pPr>
      <w:r>
        <w:rPr>
          <w:rFonts w:ascii="Arial" w:hAnsi="Arial" w:cs="Arial"/>
          <w:b/>
          <w:bCs/>
        </w:rPr>
        <w:t xml:space="preserve">Figure </w:t>
      </w:r>
      <w:r w:rsidR="00B11457">
        <w:rPr>
          <w:rFonts w:ascii="Arial" w:hAnsi="Arial" w:cs="Arial"/>
          <w:b/>
          <w:bCs/>
        </w:rPr>
        <w:t>9</w:t>
      </w:r>
      <w:r>
        <w:rPr>
          <w:rFonts w:ascii="Arial" w:hAnsi="Arial" w:cs="Arial"/>
          <w:b/>
          <w:bCs/>
        </w:rPr>
        <w:t xml:space="preserve">. </w:t>
      </w:r>
      <w:r>
        <w:rPr>
          <w:rFonts w:ascii="Arial" w:hAnsi="Arial" w:cs="Arial"/>
        </w:rPr>
        <w:t xml:space="preserve">Distribution of the Quaternary </w:t>
      </w:r>
      <w:r w:rsidRPr="0041283A">
        <w:rPr>
          <w:rFonts w:ascii="Arial" w:hAnsi="Arial" w:cs="Arial"/>
        </w:rPr>
        <w:t xml:space="preserve">deposits in the </w:t>
      </w:r>
      <w:r>
        <w:rPr>
          <w:rFonts w:ascii="Arial" w:hAnsi="Arial" w:cs="Arial"/>
        </w:rPr>
        <w:t>Pannonian</w:t>
      </w:r>
      <w:r w:rsidRPr="0041283A">
        <w:rPr>
          <w:rFonts w:ascii="Arial" w:hAnsi="Arial" w:cs="Arial"/>
        </w:rPr>
        <w:t xml:space="preserve"> Basin</w:t>
      </w:r>
      <w:r>
        <w:rPr>
          <w:rFonts w:ascii="Arial" w:hAnsi="Arial" w:cs="Arial"/>
        </w:rPr>
        <w:t xml:space="preserve"> and the location of the loess and fluvial sites. </w:t>
      </w:r>
      <w:r>
        <w:rPr>
          <w:rFonts w:ascii="Arial" w:hAnsi="Arial" w:cs="Arial"/>
          <w14:numForm w14:val="lining"/>
        </w:rPr>
        <w:t xml:space="preserve">Capital letters refer to loess profiles B- </w:t>
      </w:r>
      <w:r w:rsidRPr="00C1555F">
        <w:rPr>
          <w:rFonts w:ascii="Arial" w:hAnsi="Arial" w:cs="Arial"/>
        </w:rPr>
        <w:t>Basaharc</w:t>
      </w:r>
      <w:r>
        <w:rPr>
          <w:rFonts w:ascii="Arial" w:hAnsi="Arial" w:cs="Arial"/>
          <w14:numForm w14:val="lining"/>
        </w:rPr>
        <w:t xml:space="preserve">, C- </w:t>
      </w:r>
      <w:r w:rsidRPr="00C1555F">
        <w:rPr>
          <w:rFonts w:ascii="Arial" w:hAnsi="Arial" w:cs="Arial"/>
        </w:rPr>
        <w:t>Mend</w:t>
      </w:r>
      <w:r>
        <w:rPr>
          <w:rFonts w:ascii="Arial" w:hAnsi="Arial" w:cs="Arial"/>
        </w:rPr>
        <w:t>e</w:t>
      </w:r>
      <w:r>
        <w:rPr>
          <w:rFonts w:ascii="Arial" w:hAnsi="Arial" w:cs="Arial"/>
          <w14:numForm w14:val="lining"/>
        </w:rPr>
        <w:t xml:space="preserve">, D- Paks, E- </w:t>
      </w:r>
      <w:r w:rsidRPr="00C1555F">
        <w:rPr>
          <w:rFonts w:ascii="Arial" w:hAnsi="Arial" w:cs="Arial"/>
        </w:rPr>
        <w:t>Zmajevac</w:t>
      </w:r>
      <w:r>
        <w:rPr>
          <w:rFonts w:ascii="Arial" w:hAnsi="Arial" w:cs="Arial"/>
          <w14:numForm w14:val="lining"/>
        </w:rPr>
        <w:t>, F- Erdut, G- Surduk 2. Numbers refer to r</w:t>
      </w:r>
      <w:r w:rsidRPr="004C7112">
        <w:rPr>
          <w:rFonts w:ascii="Arial" w:hAnsi="Arial" w:cs="Arial"/>
          <w14:numForm w14:val="lining"/>
        </w:rPr>
        <w:t>iver</w:t>
      </w:r>
      <w:r>
        <w:rPr>
          <w:rFonts w:ascii="Arial" w:hAnsi="Arial" w:cs="Arial"/>
          <w14:numForm w14:val="lining"/>
        </w:rPr>
        <w:t xml:space="preserve"> sites</w:t>
      </w:r>
      <w:r w:rsidRPr="00585C6B">
        <w:rPr>
          <w:rFonts w:ascii="Arial" w:hAnsi="Arial"/>
          <w14:numForm w14:val="lining"/>
        </w:rPr>
        <w:t>: 1- Basaharc fluvial sands, 2- Tisza, 3- Danita puszta fluvial sands, 4-</w:t>
      </w:r>
      <w:r>
        <w:rPr>
          <w:rFonts w:ascii="Arial" w:hAnsi="Arial"/>
          <w14:numForm w14:val="lining"/>
        </w:rPr>
        <w:t xml:space="preserve"> Drava, </w:t>
      </w:r>
      <w:r w:rsidRPr="00585C6B">
        <w:rPr>
          <w:rFonts w:ascii="Arial" w:hAnsi="Arial"/>
          <w14:numForm w14:val="lining"/>
        </w:rPr>
        <w:t xml:space="preserve">5- </w:t>
      </w:r>
      <w:r>
        <w:rPr>
          <w:rFonts w:ascii="Arial" w:hAnsi="Arial"/>
          <w14:numForm w14:val="lining"/>
        </w:rPr>
        <w:t xml:space="preserve">Tisza. </w:t>
      </w:r>
      <w:r>
        <w:rPr>
          <w:rFonts w:ascii="Arial" w:hAnsi="Arial" w:cs="Arial"/>
        </w:rPr>
        <w:t xml:space="preserve">Sedimentary cover geodata source </w:t>
      </w:r>
      <w:r>
        <w:rPr>
          <w:rFonts w:ascii="Arial" w:hAnsi="Arial" w:cs="Arial"/>
        </w:rPr>
        <w:fldChar w:fldCharType="begin" w:fldLock="1"/>
      </w:r>
      <w:r>
        <w:rPr>
          <w:rFonts w:ascii="Arial" w:hAnsi="Arial" w:cs="Arial"/>
        </w:rPr>
        <w:instrText>ADDIN CSL_CITATION {"citationItems":[{"id":"ITEM-1","itemData":{"DOI":"10.1080/17445647.2018.1526720","author":[{"dropping-particle":"","family":"Lehmkuhl","given":"Frank","non-dropping-particle":"","parse-names":false,"suffix":""},{"dropping-particle":"","family":"Bösken","given":"Janina","non-dropping-particle":"","parse-names":false,"suffix":""},{"dropping-particle":"","family":"Hošek","given":"Jan","non-dropping-particle":"","parse-names":false,"suffix":""},{"dropping-particle":"","family":"Sprafke","given":"Tobias","non-dropping-particle":"","parse-names":false,"suffix":""},{"dropping-particle":"","family":"Marković","given":"Slobodan B.","non-dropping-particle":"","parse-names":false,"suffix":""},{"dropping-particle":"","family":"Obreht","given":"Igor","non-dropping-particle":"","parse-names":false,"suffix":""},{"dropping-particle":"","family":"Hambach","given":"Ulrich","non-dropping-particle":"","parse-names":false,"suffix":""},{"dropping-particle":"","family":"Sümegi","given":"Pál","non-dropping-particle":"","parse-names":false,"suffix":""},{"dropping-particle":"","family":"Thiemann","given":"Arne","non-dropping-particle":"","parse-names":false,"suffix":""},{"dropping-particle":"","family":"Steffens","given":"Stefanie","non-dropping-particle":"","parse-names":false,"suffix":""},{"dropping-particle":"","family":"Lindner","given":"Heiko","non-dropping-particle":"","parse-names":false,"suffix":""},{"dropping-particle":"","family":"Veres","given":"Daniel","non-dropping-particle":"","parse-names":false,"suffix":""},{"dropping-particle":"","family":"Zeeden","given":"Christian","non-dropping-particle":"","parse-names":false,"suffix":""}],"container-title":"Journal of Maps","id":"ITEM-1","issue":"2","issued":{"date-parts":[["2018"]]},"page":"661-670","publisher":"Taylor &amp; Francis","title":"Loess distribution and related Quaternary sediments in the Carpathian Basin","type":"article-journal","volume":"14"},"uris":["http://www.mendeley.com/documents/?uuid=90675120-c52a-4680-9161-b2f974e9717e"]}],"mendeley":{"formattedCitation":"(Lehmkuhl et al., 2018)","manualFormatting":"Lehmkuhl et al. (2018)","plainTextFormattedCitation":"(Lehmkuhl et al., 2018)","previouslyFormattedCitation":"(Lehmkuhl et al., 2018)"},"properties":{"noteIndex":0},"schema":"https://github.com/citation-style-language/schema/raw/master/csl-citation.json"}</w:instrText>
      </w:r>
      <w:r>
        <w:rPr>
          <w:rFonts w:ascii="Arial" w:hAnsi="Arial" w:cs="Arial"/>
        </w:rPr>
        <w:fldChar w:fldCharType="separate"/>
      </w:r>
      <w:r w:rsidRPr="0041283A">
        <w:rPr>
          <w:rFonts w:ascii="Arial" w:hAnsi="Arial" w:cs="Arial"/>
          <w:noProof/>
        </w:rPr>
        <w:t>Lehmkuhl et al.</w:t>
      </w:r>
      <w:r>
        <w:rPr>
          <w:rFonts w:ascii="Arial" w:hAnsi="Arial" w:cs="Arial"/>
          <w:noProof/>
        </w:rPr>
        <w:t xml:space="preserve"> (</w:t>
      </w:r>
      <w:r w:rsidRPr="0041283A">
        <w:rPr>
          <w:rFonts w:ascii="Arial" w:hAnsi="Arial" w:cs="Arial"/>
          <w:noProof/>
        </w:rPr>
        <w:t>2018)</w:t>
      </w:r>
      <w:r>
        <w:rPr>
          <w:rFonts w:ascii="Arial" w:hAnsi="Arial" w:cs="Arial"/>
        </w:rPr>
        <w:fldChar w:fldCharType="end"/>
      </w:r>
      <w:r w:rsidRPr="0041283A">
        <w:rPr>
          <w:rFonts w:ascii="Arial" w:hAnsi="Arial" w:cs="Arial"/>
        </w:rPr>
        <w:t>.</w:t>
      </w:r>
    </w:p>
    <w:p w14:paraId="6596A96A" w14:textId="7F682C1A" w:rsidR="00E205B3" w:rsidRDefault="00E205B3" w:rsidP="00614941">
      <w:pPr>
        <w:spacing w:before="120" w:after="120" w:line="480" w:lineRule="auto"/>
        <w:jc w:val="both"/>
        <w:rPr>
          <w:rFonts w:ascii="Arial" w:hAnsi="Arial" w:cs="Arial"/>
        </w:rPr>
      </w:pPr>
      <w:bookmarkStart w:id="97" w:name="_Hlk73693276"/>
      <w:r>
        <w:rPr>
          <w:rFonts w:ascii="Arial" w:hAnsi="Arial"/>
        </w:rPr>
        <w:t xml:space="preserve">Figure </w:t>
      </w:r>
      <w:r w:rsidR="00B11457">
        <w:rPr>
          <w:rFonts w:ascii="Arial" w:hAnsi="Arial"/>
        </w:rPr>
        <w:t>9</w:t>
      </w:r>
      <w:r>
        <w:rPr>
          <w:rFonts w:ascii="Arial" w:hAnsi="Arial"/>
        </w:rPr>
        <w:t xml:space="preserve"> shows that loess deposits are typically located </w:t>
      </w:r>
      <w:r>
        <w:rPr>
          <w:rFonts w:ascii="Arial" w:hAnsi="Arial" w:cs="Arial"/>
        </w:rPr>
        <w:t>within 20 km (in most cases &lt;10 km)</w:t>
      </w:r>
      <w:r>
        <w:rPr>
          <w:rFonts w:ascii="Arial" w:hAnsi="Arial"/>
        </w:rPr>
        <w:t xml:space="preserve"> </w:t>
      </w:r>
      <w:r w:rsidR="003564AD">
        <w:rPr>
          <w:rFonts w:ascii="Arial" w:hAnsi="Arial"/>
        </w:rPr>
        <w:t xml:space="preserve">of </w:t>
      </w:r>
      <w:r>
        <w:rPr>
          <w:rFonts w:ascii="Arial" w:hAnsi="Arial"/>
        </w:rPr>
        <w:t>river channels and floodplains</w:t>
      </w:r>
      <w:r>
        <w:rPr>
          <w:rFonts w:ascii="Arial" w:hAnsi="Arial" w:cs="Arial"/>
        </w:rPr>
        <w:t xml:space="preserve">. Therefore by extension this suggests that at least during glacial periods </w:t>
      </w:r>
      <w:r w:rsidRPr="00FD0015">
        <w:rPr>
          <w:rFonts w:ascii="Arial" w:hAnsi="Arial" w:cs="Arial"/>
        </w:rPr>
        <w:t>short-distance</w:t>
      </w:r>
      <w:r>
        <w:rPr>
          <w:rFonts w:ascii="Arial" w:hAnsi="Arial" w:cs="Arial"/>
        </w:rPr>
        <w:t xml:space="preserve"> aeolian</w:t>
      </w:r>
      <w:r w:rsidRPr="00FD0015">
        <w:rPr>
          <w:rFonts w:ascii="Arial" w:hAnsi="Arial" w:cs="Arial"/>
        </w:rPr>
        <w:t xml:space="preserve"> transport</w:t>
      </w:r>
      <w:r>
        <w:rPr>
          <w:rFonts w:ascii="Arial" w:hAnsi="Arial" w:cs="Arial"/>
        </w:rPr>
        <w:t xml:space="preserve"> dominates sediment delivery into loess deposits, whereas any </w:t>
      </w:r>
      <w:r w:rsidRPr="006C6617">
        <w:rPr>
          <w:rFonts w:ascii="Arial" w:hAnsi="Arial" w:cs="Arial"/>
        </w:rPr>
        <w:t>long</w:t>
      </w:r>
      <w:r>
        <w:rPr>
          <w:rFonts w:ascii="Arial" w:hAnsi="Arial" w:cs="Arial"/>
        </w:rPr>
        <w:t>-</w:t>
      </w:r>
      <w:r w:rsidRPr="006C6617">
        <w:rPr>
          <w:rFonts w:ascii="Arial" w:hAnsi="Arial" w:cs="Arial"/>
        </w:rPr>
        <w:t xml:space="preserve">distance transport </w:t>
      </w:r>
      <w:r>
        <w:rPr>
          <w:rFonts w:ascii="Arial" w:hAnsi="Arial" w:cs="Arial"/>
        </w:rPr>
        <w:t xml:space="preserve">contributions </w:t>
      </w:r>
      <w:r w:rsidRPr="006C6617">
        <w:rPr>
          <w:rFonts w:ascii="Arial" w:hAnsi="Arial" w:cs="Arial"/>
        </w:rPr>
        <w:t>(</w:t>
      </w:r>
      <w:r>
        <w:rPr>
          <w:rFonts w:ascii="Arial" w:hAnsi="Arial" w:cs="Arial"/>
        </w:rPr>
        <w:t>&gt;</w:t>
      </w:r>
      <w:r w:rsidRPr="006C6617">
        <w:rPr>
          <w:rFonts w:ascii="Arial" w:hAnsi="Arial" w:cs="Arial"/>
        </w:rPr>
        <w:t xml:space="preserve">1000’s km) </w:t>
      </w:r>
      <w:r w:rsidRPr="006C6617">
        <w:rPr>
          <w:rFonts w:ascii="Arial" w:hAnsi="Arial" w:cs="Arial"/>
        </w:rPr>
        <w:fldChar w:fldCharType="begin" w:fldLock="1"/>
      </w:r>
      <w:r>
        <w:rPr>
          <w:rFonts w:ascii="Arial" w:hAnsi="Arial" w:cs="Arial"/>
        </w:rPr>
        <w:instrText>ADDIN CSL_CITATION {"citationItems":[{"id":"ITEM-1","itemData":{"DOI":"10.1016/j.quascirev.2016.10.008","ISSN":"02773791","abstract":"Pleistocene loess and loess derivates are distributed along the mountain front of the Central European Mountain Belt in northern and central Germany. Examples from two regions, the Lower Rhine Embayment (LRE) and the Northern foreland of the Harz Mountains (FHM) show that the distribution of loess and the development of loess-paleosol sequences (LPS) are controlled by relief, climate, tectonics, the distance to large river systems, the distance to the Scandinavian ice sheet and the distance to the shelf of the North Sea. In the oceanic LRE higher humidity enhanced the periglacial processes which increased erosion, but also led to preservation in accumulative positions. In contrast, in the more continental FHM the sediments were affected by less intensive periglacial processes and no solifluction can be detected. New loess distribution maps are presented for both key areas, and key sections, especially for the last glacial cycle, are compared and summarized. Both study regions are located in the west – east trending loess belt north of the Central European Mountain belt (in front of the Rhenish Shield = Ardennes-Eifel and Harz Mountains). Finally, a synthesis of typical sediment sequences for both regions is given as an example of paleoenvironmental (landscape) development in northern Central Europe.","author":[{"dropping-particle":"","family":"Lehmkuhl","given":"Frank","non-dropping-particle":"","parse-names":false,"suffix":""},{"dropping-particle":"","family":"Zens","given":"Joerg","non-dropping-particle":"","parse-names":false,"suffix":""},{"dropping-particle":"","family":"Krauß","given":"Lydia","non-dropping-particle":"","parse-names":false,"suffix":""},{"dropping-particle":"","family":"Schulte","given":"Philipp","non-dropping-particle":"","parse-names":false,"suffix":""},{"dropping-particle":"","family":"Kels","given":"Holger","non-dropping-particle":"","parse-names":false,"suffix":""}],"container-title":"Quaternary Science Reviews","id":"ITEM-1","issued":{"date-parts":[["2016"]]},"page":"11-30","publisher":"Elsevier Ltd","title":"Loess-paleosol sequences at the northern European loess belt in Germany: Distribution, geomorphology and stratigraphy","type":"article-journal","volume":"153"},"uris":["http://www.mendeley.com/documents/?uuid=1db4e7b1-f921-4f0d-8837-26b425c2aab6"]},{"id":"ITEM-2","itemData":{"DOI":"10.5194/cp-7-221-2011","ISBN":"1814-9332","ISSN":"18149332","PMID":"16038014","abstract":"Loess deposits are widely distributed in the Northern Hemisphere, where they have recorded not only the glacial-interglacial cycles, but also millennial-timescale changes resembling those in marine and ice cores. Such abrupt variations are clearly marked in western European series, but have not yet been evidenced in the East of the continent. Here we present results of the high-resolution investigation of a Weichselian Upper Pleniglacial loess sequence (similar to 38-15 ka) from Stayky, Ukraine. The stratigraphy shows an alternation of loess horizons and embryonic soils, similar to sequences from western Europe. Similarities are also found between variations of a grain-size index (ratio between coarse and fine material fractions) in Stayky and in western European profiles. Based on these similarities and in agreement with the luminescence dates, the embryonic soils are associated with the Greenland interstadials (GIS) 7 to 2, and the Vytachiv paleosol at the base of the sequence, with GIS 8. Pollen analysis indicates a wetter climate for these interstadials, allowing the development of arboreal vegetation, than for the stadials, which are marked by loess formation. The grain-size index reaches the highest values for intervals correlated with the Heinrich events 3 and 2. Thus, it appears that the North Atlantic abrupt climate changes have extended their influence and modulated the loess sedimentation at least as far as eastern Europe. This result is supported by recent climate modeling experiments and recommends the Stayky sequence as a reference for further comparisons between profiles along the Eurasian loess belt centered at 50 degrees N.","author":[{"dropping-particle":"","family":"Rousseau","given":"Denis-Didier","non-dropping-particle":"","parse-names":false,"suffix":""},{"dropping-particle":"","family":"Antoine","given":"Pierre","non-dropping-particle":"","parse-names":false,"suffix":""},{"dropping-particle":"","family":"Gerasimenko","given":"Natalia P.","non-dropping-particle":"","parse-names":false,"suffix":""},{"dropping-particle":"","family":"Sima","given":"Adriana","non-dropping-particle":"","parse-names":false,"suffix":""},{"dropping-particle":"","family":"Fuchs","given":"Markus","non-dropping-particle":"","parse-names":false,"suffix":""},{"dropping-particle":"","family":"Hatté","given":"Christine","non-dropping-particle":"","parse-names":false,"suffix":""},{"dropping-particle":"","family":"Moine","given":"Olivier","non-dropping-particle":"","parse-names":false,"suffix":""},{"dropping-particle":"","family":"Zöller","given":"Ludwig","non-dropping-particle":"","parse-names":false,"suffix":""}],"container-title":"Climate of the Past","id":"ITEM-2","issue":"1","issued":{"date-parts":[["2011"]]},"page":"221-234","title":"North Atlantic abrupt climatic events of the last glacial period recorded in Ukrainian loess deposits","type":"article-journal","volume":"7"},"uris":["http://www.mendeley.com/documents/?uuid=505ae5e7-4392-45fd-a9ee-99f5e8631a2b"]},{"id":"ITEM-3","itemData":{"DOI":"10.1016/j.aeolia.2015.06.004","ISSN":"18759637","abstract":"Previous investigations showed that the Orlovat loess-paleosol section, northern Serbia, is characterized by irregularities in sedimentological properties, magnetic susceptibility and color of the sediment. Here, we applied granulometric analysis and X-ray fluorescence (XRF) analyses to study how the sedimentation at the Orlovat site was conditioned by specific geomorphological or climatic conditions. Grain-size analysis is an established method and one of the most frequently used paleoenvironmental proxies of loess deposits, and is complemented here with high resolution XRF analysis on sand-free samples to obtain a more detailed insight into paleoenvironmental conditions and weathering during the past ~160 ka. The geomorphological conditions of the surrounding area and variations in wind speed over time are of great importance for a better understanding of loess-paleosol deposits. The Orlovat section was exposed to special depositional conditions, which differ from other sections studied in the Carpathian Basin. Sand was delivered during interglacials, most probably from the Deliblato Sands by the southeast Košava wind. This study highlights the importance of an integrated sedimentological approach for reliable paleoenvironmental reconstruction.","author":[{"dropping-particle":"","family":"Obreht","given":"Igor","non-dropping-particle":"","parse-names":false,"suffix":""},{"dropping-particle":"","family":"Zeeden","given":"Christian","non-dropping-particle":"","parse-names":false,"suffix":""},{"dropping-particle":"","family":"Schulte","given":"Philipp","non-dropping-particle":"","parse-names":false,"suffix":""},{"dropping-particle":"","family":"Hambach","given":"Ulrich","non-dropping-particle":"","parse-names":false,"suffix":""},{"dropping-particle":"","family":"Eckmeier","given":"Eileen","non-dropping-particle":"","parse-names":false,"suffix":""},{"dropping-particle":"","family":"Timar-Gabor","given":"Alida","non-dropping-particle":"","parse-names":false,"suffix":""},{"dropping-particle":"","family":"Lehmkuhl","given":"Frank","non-dropping-particle":"","parse-names":false,"suffix":""}],"container-title":"Aeolian Research","id":"ITEM-3","issued":{"date-parts":[["2015"]]},"page":"69-81","publisher":"Elsevier B.V.","title":"Aeolian dynamics at the Orlovat loess-paleosol sequence, northern Serbia, based on detailed textural and geochemical evidence","type":"article-journal","volume":"18"},"uris":["http://www.mendeley.com/documents/?uuid=8dd1e654-ad28-4483-9eeb-1eb669757bd4"]},{"id":"ITEM-4","itemData":{"DOI":"10.1016/j.aeolia.2016.05.004","author":[{"dropping-particle":"","family":"Varga","given":"György","non-dropping-particle":"","parse-names":false,"suffix":""},{"dropping-particle":"","family":"Cserháti","given":"Csaba","non-dropping-particle":"","parse-names":false,"suffix":""},{"dropping-particle":"","family":"Kovács","given":"János I.","non-dropping-particle":"","parse-names":false,"suffix":""},{"dropping-particle":"","family":"Szalai","given":"Zoltán","non-dropping-particle":"","parse-names":false,"suffix":""}],"container-title":"Aeolian Research","id":"ITEM-4","issued":{"date-parts":[["2016"]]},"page":"1-12","title":"Saharan dust deposition in the Carpathian Basin and its possible effects on interglacial soil formation","type":"article-journal","volume":"22"},"uris":["http://www.mendeley.com/documents/?uuid=2cf1538b-45a1-41f2-8516-0b70de4443eb"]},{"id":"ITEM-5","itemData":{"DOI":"10.1016/j.gloplacha.2012.11.007","ISSN":"0921-8181","author":[{"dropping-particle":"","family":"Varga","given":"György","non-dropping-particle":"","parse-names":false,"suffix":""},{"dropping-particle":"","family":"Kovács","given":"János I.","non-dropping-particle":"","parse-names":false,"suffix":""},{"dropping-particle":"","family":"Újvári","given":"Gábor","non-dropping-particle":"","parse-names":false,"suffix":""}],"container-title":"Global and Planetary Change","id":"ITEM-5","issued":{"date-parts":[["2013"]]},"page":"333-342","publisher":"Elsevier B.V.","title":"Analysis of Saharan dust intrusions into the Carpathian Basin (Central Europe) over the period of 1979 – 2011","type":"article-journal","volume":"100"},"uris":["http://www.mendeley.com/documents/?uuid=bd5b5bd8-adc3-495f-9f69-1face03b3fc9"]}],"mendeley":{"formattedCitation":"(Lehmkuhl et al., 2016; Obreht et al., 2015; Rousseau et al., 2011; Varga et al., 2016, 2013)","plainTextFormattedCitation":"(Lehmkuhl et al., 2016; Obreht et al., 2015; Rousseau et al., 2011; Varga et al., 2016, 2013)","previouslyFormattedCitation":"(Lehmkuhl et al., 2016; Obreht et al., 2015; Rousseau et al., 2011; Varga et al., 2016, 2013)"},"properties":{"noteIndex":0},"schema":"https://github.com/citation-style-language/schema/raw/master/csl-citation.json"}</w:instrText>
      </w:r>
      <w:r w:rsidRPr="006C6617">
        <w:rPr>
          <w:rFonts w:ascii="Arial" w:hAnsi="Arial" w:cs="Arial"/>
        </w:rPr>
        <w:fldChar w:fldCharType="separate"/>
      </w:r>
      <w:r w:rsidRPr="00483C44">
        <w:rPr>
          <w:rFonts w:ascii="Arial" w:hAnsi="Arial" w:cs="Arial"/>
          <w:noProof/>
        </w:rPr>
        <w:t>(Lehmkuhl et al., 2016; Obreht et al., 2015; Rousseau et al., 2011; Varga et al., 2016, 2013)</w:t>
      </w:r>
      <w:r w:rsidRPr="006C6617">
        <w:rPr>
          <w:rFonts w:ascii="Arial" w:hAnsi="Arial" w:cs="Arial"/>
        </w:rPr>
        <w:fldChar w:fldCharType="end"/>
      </w:r>
      <w:r>
        <w:rPr>
          <w:rFonts w:ascii="Arial" w:hAnsi="Arial" w:cs="Arial"/>
        </w:rPr>
        <w:t xml:space="preserve"> may be a feature predominant during warm phases. Further the relationship between river and bedrock datasets (Figure 7) suggests that sediment mixing occurs during fluvial transport (and cycles of redeposition and erosion) rather than in the air during aeolian transport. This therefore demonstrates that a</w:t>
      </w:r>
      <w:r w:rsidRPr="00761C0A">
        <w:rPr>
          <w:rFonts w:ascii="Arial" w:hAnsi="Arial" w:cs="Arial"/>
        </w:rPr>
        <w:t>eolian processes play</w:t>
      </w:r>
      <w:r>
        <w:rPr>
          <w:rFonts w:ascii="Arial" w:hAnsi="Arial" w:cs="Arial"/>
        </w:rPr>
        <w:t xml:space="preserve"> only </w:t>
      </w:r>
      <w:r w:rsidRPr="00761C0A">
        <w:rPr>
          <w:rFonts w:ascii="Arial" w:hAnsi="Arial" w:cs="Arial"/>
        </w:rPr>
        <w:t>a secondary role in</w:t>
      </w:r>
      <w:r w:rsidRPr="000C2912">
        <w:t xml:space="preserve"> </w:t>
      </w:r>
      <w:r w:rsidRPr="000C2912">
        <w:rPr>
          <w:rFonts w:ascii="Arial" w:hAnsi="Arial" w:cs="Arial"/>
        </w:rPr>
        <w:t>Danube basin</w:t>
      </w:r>
      <w:r w:rsidRPr="00761C0A">
        <w:rPr>
          <w:rFonts w:ascii="Arial" w:hAnsi="Arial" w:cs="Arial"/>
        </w:rPr>
        <w:t xml:space="preserve"> loess </w:t>
      </w:r>
      <w:r w:rsidRPr="00761C0A">
        <w:rPr>
          <w:rFonts w:ascii="Arial" w:hAnsi="Arial" w:cs="Arial"/>
        </w:rPr>
        <w:lastRenderedPageBreak/>
        <w:t>genesis</w:t>
      </w:r>
      <w:r>
        <w:rPr>
          <w:rFonts w:ascii="Arial" w:hAnsi="Arial" w:cs="Arial"/>
        </w:rPr>
        <w:t>; the primary function is played by fluvial processes as</w:t>
      </w:r>
      <w:r w:rsidRPr="00301770">
        <w:rPr>
          <w:rFonts w:ascii="Arial" w:hAnsi="Arial" w:cs="Arial"/>
        </w:rPr>
        <w:t xml:space="preserve"> </w:t>
      </w:r>
      <w:r w:rsidRPr="000C2912">
        <w:rPr>
          <w:rFonts w:ascii="Arial" w:hAnsi="Arial" w:cs="Arial"/>
        </w:rPr>
        <w:t>previous</w:t>
      </w:r>
      <w:r>
        <w:rPr>
          <w:rFonts w:ascii="Arial" w:hAnsi="Arial" w:cs="Arial"/>
        </w:rPr>
        <w:t>ly</w:t>
      </w:r>
      <w:r w:rsidRPr="000C2912">
        <w:rPr>
          <w:rFonts w:ascii="Arial" w:hAnsi="Arial" w:cs="Arial"/>
        </w:rPr>
        <w:t xml:space="preserve"> suggest</w:t>
      </w:r>
      <w:r>
        <w:rPr>
          <w:rFonts w:ascii="Arial" w:hAnsi="Arial" w:cs="Arial"/>
        </w:rPr>
        <w:t>ed</w:t>
      </w:r>
      <w:r w:rsidRPr="000C2912">
        <w:rPr>
          <w:rFonts w:ascii="Arial" w:hAnsi="Arial" w:cs="Arial"/>
        </w:rPr>
        <w:t xml:space="preserve"> </w:t>
      </w:r>
      <w:r>
        <w:rPr>
          <w:rFonts w:ascii="Arial" w:hAnsi="Arial" w:cs="Arial"/>
        </w:rPr>
        <w:t xml:space="preserve">by </w:t>
      </w:r>
      <w:r w:rsidRPr="00301770">
        <w:rPr>
          <w:rFonts w:ascii="Arial" w:hAnsi="Arial" w:cs="Arial"/>
        </w:rPr>
        <w:fldChar w:fldCharType="begin" w:fldLock="1"/>
      </w:r>
      <w:r>
        <w:rPr>
          <w:rFonts w:ascii="Arial" w:hAnsi="Arial" w:cs="Arial"/>
        </w:rPr>
        <w:instrText>ADDIN CSL_CITATION {"citationItems":[{"id":"ITEM-1","itemData":{"DOI":"10.1016/j.quaint.2008.06.009","ISBN":"1040-6182","ISSN":"10406182","abstract":"Rivers are essential for loess deposit formation. River systems which relate directly to loess deposit formation include the Danube and the Rhine; the Mississippi and the Missouri; the Thames and the Medway; the Indus, Ganges and Brahmaputra; the Dnepr, Don and Volga; the Clutha, Mataura and Rakaia-New Zealand rivers; the Yellow River; rivers in South America; Siberian rivers (flowing north); the Odra and the Wisla (between the mountains and the ice); the Syr-Darya and Amu-Darya (into the desert). The contention is that rivers are not just important in major loess deposit formation, they are mandatory (necessary, imperative, obligatory, essential, indispensable, requisite). For a complete and satisfactory study of a loess deposit, we need to know how the material is produced; how it is transported and distributed across the landscape; how intermediate deposits are formed; how transportation provides the defining properties (i.e., open structure, collapsibility, draping across the landscape); and what may happen post-deposition (e.g., chernozemisation, fragipan formation, increased collapsibility, etc.). If rivers are essential then it would appear that the British loess is probably Alpine material delivered by the proto-Rhine and the Polish loess is not derived from the ice-sheet to the north but from the mountains to the south. The lack of loess in Canada is explained by the absence of suitable rivers. The loess in Russia and neighbouring countries can be classified (as Jefferson et al. [Jefferson, I.F., Evstatiev, D., Karastenev, D., Mavlyanova, N.G., Smalley, I.J., 2003b. The engineering geology of loess and loess-like deposits: a commentary on the Russian literature. Engineering Geology 68, 333-351] suggested) on the basis of associated rivers. A 'new' deposit of glacial loess is recognised-associated with the Dnepr, Don and Volga rivers (the USWR loess). The Smalley-Leach [Smalley, I.J., Leach, J.A., 1978. The origin and distribution of the loess in the Danube basin and associated regions of East-Central Europe: a review. Sedimentary Geology 21, 1-26. Available from: ???www.geo.edu.ro/sgr/mod/downloads/PDF/Smalley-SedGeo-1978.pdf??? ] vision of the loess in the Danube basin and East-Central Europe is probably misconceived. They assigned a great significance to glacial action and put loess in a 'northern band'. It appears that this proposed glacial influence is minimal and that the Danube loess is essentially mountain loess-derived from the Alps, th…","author":[{"dropping-particle":"","family":"Smalley","given":"Ian J.","non-dropping-particle":"","parse-names":false,"suffix":""},{"dropping-particle":"","family":"O'Hara-Dhand","given":"Ken","non-dropping-particle":"","parse-names":false,"suffix":""},{"dropping-particle":"","family":"Wint","given":"Jo","non-dropping-particle":"","parse-names":false,"suffix":""},{"dropping-particle":"","family":"Machalett","given":"Björn","non-dropping-particle":"","parse-names":false,"suffix":""},{"dropping-particle":"","family":"Jary","given":"Zdzisław","non-dropping-particle":"","parse-names":false,"suffix":""},{"dropping-particle":"","family":"Jefferson","given":"Ian F.","non-dropping-particle":"","parse-names":false,"suffix":""}],"container-title":"Quaternary International","id":"ITEM-1","issue":"1-2","issued":{"date-parts":[["2009"]]},"page":"7-18","title":"Rivers and loess: The significance of long river transportation in the complex event-sequence approach to loess deposit formation","type":"article-journal","volume":"198"},"uris":["http://www.mendeley.com/documents/?uuid=3e563e4d-6c8c-4bfe-bb0f-0ef519642126"]}],"mendeley":{"formattedCitation":"(Smalley et al., 2009)","manualFormatting":"Smalley et al. (2009)","plainTextFormattedCitation":"(Smalley et al., 2009)","previouslyFormattedCitation":"(Smalley et al., 2009)"},"properties":{"noteIndex":0},"schema":"https://github.com/citation-style-language/schema/raw/master/csl-citation.json"}</w:instrText>
      </w:r>
      <w:r w:rsidRPr="00301770">
        <w:rPr>
          <w:rFonts w:ascii="Arial" w:hAnsi="Arial" w:cs="Arial"/>
        </w:rPr>
        <w:fldChar w:fldCharType="separate"/>
      </w:r>
      <w:r w:rsidRPr="00301770">
        <w:rPr>
          <w:rFonts w:ascii="Arial" w:hAnsi="Arial" w:cs="Arial"/>
          <w:noProof/>
        </w:rPr>
        <w:t xml:space="preserve">Smalley </w:t>
      </w:r>
      <w:r w:rsidRPr="00301770">
        <w:rPr>
          <w:rFonts w:ascii="Arial" w:hAnsi="Arial" w:cs="Arial"/>
          <w:i/>
          <w:noProof/>
        </w:rPr>
        <w:t>et al.</w:t>
      </w:r>
      <w:r w:rsidRPr="00301770">
        <w:rPr>
          <w:rFonts w:ascii="Arial" w:hAnsi="Arial" w:cs="Arial"/>
          <w:noProof/>
        </w:rPr>
        <w:t xml:space="preserve"> (2009)</w:t>
      </w:r>
      <w:r w:rsidRPr="00301770">
        <w:rPr>
          <w:rFonts w:ascii="Arial" w:hAnsi="Arial" w:cs="Arial"/>
        </w:rPr>
        <w:fldChar w:fldCharType="end"/>
      </w:r>
      <w:r>
        <w:rPr>
          <w:rFonts w:ascii="Arial" w:hAnsi="Arial" w:cs="Arial"/>
        </w:rPr>
        <w:t xml:space="preserve">, </w:t>
      </w:r>
      <w:r>
        <w:rPr>
          <w:rFonts w:ascii="Arial" w:hAnsi="Arial" w:cs="Arial"/>
        </w:rPr>
        <w:fldChar w:fldCharType="begin" w:fldLock="1"/>
      </w:r>
      <w:r>
        <w:rPr>
          <w:rFonts w:ascii="Arial" w:hAnsi="Arial" w:cs="Arial"/>
        </w:rPr>
        <w:instrText>ADDIN CSL_CITATION {"citationItems":[{"id":"ITEM-1","itemData":{"DOI":"10.1016/j.quascirev.2013.06.002","ISBN":"0277-3791","ISSN":"02773791","abstract":"Trace element (Cr, Nb, Zr) geochemistry and U-Pb geochronology of detrital rutile grains provide constraints on the nature of potential metamorphic sources of loess in Austria. Cr and Nb compositions reveal rutile sources with a predominance of metapelitic lithologies for all three loess samples. By contrast, Zr-in-rutile geothermometry indicates that formation temperatures for loess rutiles around Krems (at the Bohemian Massif=BM) proved to be ca 100-125°C higher (Tmedian=717 and 737°C for two samples from Stratzing and Krems) than those at Wels (close to the Eastern Alps=EA; Tmedian=612°C), implying that rutiles in loess at Wels were derived from Alpine lower amphibolite-grade rocks, while those in loess around Krems from rocks formed under upper amphibolite to granulite-grade conditions. Metamorphic temperatures recorded in rutiles from loess at the BM closely match the 'two-reaction' thermobarometry estimates of the last high-T overprint (7-11kbar and 700-800°C) of rocks making up the Varied series and Gföhl units around Krems. This event dated at 340 to 350Ma is believed to be captured by the detrital rutile U-Pb data as well (e.g. 349±21 and 352±32 Ma). All these data demonstrate the significance of proximal BM sources (Varied series and Gföhl unit drained by the Danube) in loess formation around Krems. Fluvial transport is believed to have played a substantial role in entraining and accumulating rutiles for subsequent aeolian deflation for loess near Wels. While the ultimate sources of these grains are likely to be in the Eastern Alps, the recycling of these rutiles from the flysch zone of the EA cannot be ruled out.Despite the uncertainties of Cr-Nb-based source discriminations in some cases and the potential decoupling of Zr- and U-Pb systematics recognized in rutiles, this study demonstrates that rutiles may provide unique details on the nature and metamorphic history of their parent rocks, if used with caution and by knowing its limitations under certain conditions. It is anticipated that, beyond zircon, rutile geochemistry will become a powerful provenance tracer in loess studies too. This seems to be particularly important to gain a better understanding on the erosion and rutile fertility of different metamorphic terrains and their contributions to loess material, issues that have not been adequately addressed thus far. © 2013 Elsevier Ltd.","author":[{"dropping-particle":"","family":"Újvári","given":"Gábor","non-dropping-particle":"","parse-names":false,"suffix":""},{"dropping-particle":"","family":"Klötzli","given":"Urs","non-dropping-particle":"","parse-names":false,"suffix":""},{"dropping-particle":"","family":"Kiraly","given":"Franz","non-dropping-particle":"","parse-names":false,"suffix":""},{"dropping-particle":"","family":"Ntaflos","given":"Theodoros","non-dropping-particle":"","parse-names":false,"suffix":""}],"container-title":"Quaternary Science Reviews","id":"ITEM-1","issued":{"date-parts":[["2013","9"]]},"page":"132-142","title":"Towards identifying the origin of metamorphic components in Austrian loess: insights from detrital rutile chemistry, thermometry and U–Pb geochronology","type":"article-journal","volume":"75"},"uris":["http://www.mendeley.com/documents/?uuid=41cd2ef6-a28c-4f98-850b-d076cff714eb"]}],"mendeley":{"formattedCitation":"(Újvári et al., 2013)","manualFormatting":"Újvári et al. (2013)","plainTextFormattedCitation":"(Újvári et al., 2013)","previouslyFormattedCitation":"(Újvári et al., 2013)"},"properties":{"noteIndex":0},"schema":"https://github.com/citation-style-language/schema/raw/master/csl-citation.json"}</w:instrText>
      </w:r>
      <w:r>
        <w:rPr>
          <w:rFonts w:ascii="Arial" w:hAnsi="Arial" w:cs="Arial"/>
        </w:rPr>
        <w:fldChar w:fldCharType="separate"/>
      </w:r>
      <w:r w:rsidRPr="004C6956">
        <w:rPr>
          <w:rFonts w:ascii="Arial" w:hAnsi="Arial" w:cs="Arial"/>
          <w:noProof/>
        </w:rPr>
        <w:t xml:space="preserve">Újvári et al. </w:t>
      </w:r>
      <w:r>
        <w:rPr>
          <w:rFonts w:ascii="Arial" w:hAnsi="Arial" w:cs="Arial"/>
          <w:noProof/>
        </w:rPr>
        <w:t>(</w:t>
      </w:r>
      <w:r w:rsidRPr="004C6956">
        <w:rPr>
          <w:rFonts w:ascii="Arial" w:hAnsi="Arial" w:cs="Arial"/>
          <w:noProof/>
        </w:rPr>
        <w:t>2013)</w:t>
      </w:r>
      <w:r>
        <w:rPr>
          <w:rFonts w:ascii="Arial" w:hAnsi="Arial" w:cs="Arial"/>
        </w:rPr>
        <w:fldChar w:fldCharType="end"/>
      </w:r>
      <w:r>
        <w:rPr>
          <w:rFonts w:ascii="Arial" w:hAnsi="Arial" w:cs="Arial"/>
        </w:rPr>
        <w:t xml:space="preserve">, and </w:t>
      </w:r>
      <w:r>
        <w:rPr>
          <w:rFonts w:ascii="Arial" w:hAnsi="Arial" w:cs="Arial"/>
        </w:rPr>
        <w:fldChar w:fldCharType="begin" w:fldLock="1"/>
      </w:r>
      <w:r>
        <w:rPr>
          <w:rFonts w:ascii="Arial" w:hAnsi="Arial" w:cs="Arial"/>
        </w:rPr>
        <w:instrText>ADDIN CSL_CITATION {"citationItems":[{"id":"ITEM-1","itemData":{"DOI":"10.1007/s00531-014-1139-x","ISSN":"1437-3254","abstract":"Loess sediments in Austria deposited ca. 30–20 ka ago yield different zircon age signatures for samples collected around Krems (SE Bohemian Massif; samples K23 and S1) and Wels (halfway between the Bohemian Massif and the Eastern Alps; sample A16). Cathodoluminescence (CL) imaging reveals both old, multistage zircons with complex growth histories and inherited cores, and young, first-cycle magmatic zircons. Paleoproterozoic ages between 2,200 and 1,800 Ma (K23 and S1), an age gap of 1,800–1,000 Ma for S1 and abundant Cadomian grains, indicate NW African/North Gondwanan derivation of these zircons. Also, A16 yields ages between 630 and 600 Ma that can be attributed to “Pan-African” orogenic processes. Significant differences are seen for the &lt;500 Ma part of the age spectra with major age peaks at 493–494 and 344–335 Ma (K23 and S1), and 477 and 287 Ma (A16). All three samples show negative initial ɛHf signatures (−25 to −10, except one grain with +9.4) implying zircon crystallization from magmas derived by recycling of older continental crust. Hf isotopic compositions of 330- to 320-Ma-old zircons from S1 and K23 preclude a derivation from Bavarian Forest granites and intermediate granitoids. Rather, all the data suggest strong contributions of eroded local rocks (South Bohemian pluton, Gföhl unit) to loess material at the SE edge of the Bohemian Massif (K23 and S1) and sourcing of zircons from sediment donor regions in the Eastern Alps for loess at Wels (A16). We tentatively infer primary fluvial transport and secondary eolian reworking and re-deposition of detritus from western/southwestern directions. Finally, our data highlight that loess zircon ages are fundamentally influenced by fluvial transport, its directions, the interplay of sediment donor regions through the mixing of detritus and zircon fertility of rocks, rather than Paleowind directions.","author":[{"dropping-particle":"","family":"Újvári","given":"Gábor","non-dropping-particle":"","parse-names":false,"suffix":""},{"dropping-particle":"","family":"Klötzli","given":"Urs","non-dropping-particle":"","parse-names":false,"suffix":""}],"container-title":"International Journal of Earth Sciences","id":"ITEM-1","issue":"5","issued":{"date-parts":[["2015","7","14"]]},"page":"1365-1385","publisher":"Springer Berlin Heidelberg","title":"U–Pb ages and Hf isotopic composition of zircons in Austrian last glacial loess: constraints on heavy mineral sources and sediment transport pathways","type":"article-journal","volume":"104"},"uris":["http://www.mendeley.com/documents/?uuid=96557a3a-95d5-41f2-be41-c4c0a3128257"]}],"mendeley":{"formattedCitation":"(Újvári and Klötzli, 2015)","manualFormatting":"Újvári and Klötzli (2015)","plainTextFormattedCitation":"(Újvári and Klötzli, 2015)","previouslyFormattedCitation":"(Újvári and Klötzli, 2015)"},"properties":{"noteIndex":0},"schema":"https://github.com/citation-style-language/schema/raw/master/csl-citation.json"}</w:instrText>
      </w:r>
      <w:r>
        <w:rPr>
          <w:rFonts w:ascii="Arial" w:hAnsi="Arial" w:cs="Arial"/>
        </w:rPr>
        <w:fldChar w:fldCharType="separate"/>
      </w:r>
      <w:r w:rsidRPr="004C6956">
        <w:rPr>
          <w:rFonts w:ascii="Arial" w:hAnsi="Arial" w:cs="Arial"/>
          <w:noProof/>
        </w:rPr>
        <w:t xml:space="preserve">Újvári and Klötzli </w:t>
      </w:r>
      <w:r>
        <w:rPr>
          <w:rFonts w:ascii="Arial" w:hAnsi="Arial" w:cs="Arial"/>
          <w:noProof/>
        </w:rPr>
        <w:t>(</w:t>
      </w:r>
      <w:r w:rsidRPr="004C6956">
        <w:rPr>
          <w:rFonts w:ascii="Arial" w:hAnsi="Arial" w:cs="Arial"/>
          <w:noProof/>
        </w:rPr>
        <w:t>2015)</w:t>
      </w:r>
      <w:r>
        <w:rPr>
          <w:rFonts w:ascii="Arial" w:hAnsi="Arial" w:cs="Arial"/>
        </w:rPr>
        <w:fldChar w:fldCharType="end"/>
      </w:r>
      <w:r>
        <w:rPr>
          <w:rFonts w:ascii="Arial" w:hAnsi="Arial" w:cs="Arial"/>
        </w:rPr>
        <w:t xml:space="preserve">. The importance of </w:t>
      </w:r>
      <w:r w:rsidR="003564AD">
        <w:rPr>
          <w:rFonts w:ascii="Arial" w:hAnsi="Arial" w:cs="Arial"/>
        </w:rPr>
        <w:t xml:space="preserve">a </w:t>
      </w:r>
      <w:r>
        <w:rPr>
          <w:rFonts w:ascii="Arial" w:hAnsi="Arial" w:cs="Arial"/>
        </w:rPr>
        <w:t xml:space="preserve">fluvial link was also established by the provenance researches on the Chinese Loess Plateau, where Yellow River was ascertained to play a key role in sediment delivery prior to the aeolian re-distribution </w:t>
      </w:r>
      <w:r>
        <w:rPr>
          <w:rFonts w:ascii="Arial" w:hAnsi="Arial" w:cs="Arial"/>
        </w:rPr>
        <w:fldChar w:fldCharType="begin" w:fldLock="1"/>
      </w:r>
      <w:r>
        <w:rPr>
          <w:rFonts w:ascii="Arial" w:hAnsi="Arial" w:cs="Arial"/>
        </w:rPr>
        <w:instrText>ADDIN CSL_CITATION {"citationItems":[{"id":"ITEM-1","itemData":{"DOI":"10.1130/B31375.1","ISSN":"0016-7606","author":[{"dropping-particle":"","family":"Licht","given":"Alexis","non-dropping-particle":"","parse-names":false,"suffix":""},{"dropping-particle":"","family":"Pullen","given":"Alex","non-dropping-particle":"","parse-names":false,"suffix":""},{"dropping-particle":"","family":"Kapp","given":"Paul","non-dropping-particle":"","parse-names":false,"suffix":""},{"dropping-particle":"","family":"Abell","given":"J.","non-dropping-particle":"","parse-names":false,"suffix":""},{"dropping-particle":"","family":"Giesler","given":"Nicky","non-dropping-particle":"","parse-names":false,"suffix":""}],"container-title":"GSA Bulletin","id":"ITEM-1","issue":"5-6","issued":{"date-parts":[["2016"]]},"page":"944-956","title":"Eolian cannibalism : Reworked loess and fluvial sediment as the main sources of the Chinese Loess Plateau","type":"article-journal","volume":"128"},"uris":["http://www.mendeley.com/documents/?uuid=2d57a9f4-660f-42a7-9ccd-81951e305e51"]},{"id":"ITEM-2","itemData":{"DOI":"10.1016/j.quascirev.2012.11.032","ISSN":"02773791","author":[{"dropping-particle":"","family":"Stevens","given":"Thomas","non-dropping-particle":"","parse-names":false,"suffix":""},{"dropping-particle":"","family":"Carter","given":"Andrew","non-dropping-particle":"","parse-names":false,"suffix":""},{"dropping-particle":"","family":"Watson","given":"T. P.","non-dropping-particle":"","parse-names":false,"suffix":""},{"dropping-particle":"","family":"Vermeesch","given":"Pieter","non-dropping-particle":"","parse-names":false,"suffix":""},{"dropping-particle":"","family":"Andò","given":"Sergio","non-dropping-particle":"","parse-names":false,"suffix":""},{"dropping-particle":"","family":"Bird","given":"Anna F.","non-dropping-particle":"","parse-names":false,"suffix":""},{"dropping-particle":"","family":"Lu","given":"Huayu","non-dropping-particle":"","parse-names":false,"suffix":""},{"dropping-particle":"","family":"Garzanti","given":"Eduardo","non-dropping-particle":"","parse-names":false,"suffix":""},{"dropping-particle":"","family":"Cottam","given":"M. A.","non-dropping-particle":"","parse-names":false,"suffix":""},{"dropping-particle":"","family":"Sevastjanova","given":"I.","non-dropping-particle":"","parse-names":false,"suffix":""}],"container-title":"Quaternary Science Reviews","id":"ITEM-2","issued":{"date-parts":[["2013"]]},"page":"355-368","title":"Genetic linkage between the Yellow River, the Mu Us desert and the Chinese Loess Plateau","type":"article-journal","volume":"78"},"uris":["http://www.mendeley.com/documents/?uuid=a343d92d-e6e1-433c-992e-f5f6024f8cfe"]},{"id":"ITEM-3","itemData":{"DOI":"10.1038/ncomms9511","abstract":"Marine accumulations of terrigenous sediment are widely assumed to accurately record climatic- and tectonic-controlled mountain denudation and play an important role in understanding late Cenozoic mountain uplift and global cooling. Underpinning this is the assumption that the majority of sediment eroded from hinterland orogenic belts is transported to and ultimately stored in marine basins with little lag between erosion and deposition. Here we use a detailed and multi-technique sedimentary provenance dataset from the Yellow River to show that substantial amounts of sediment eroded from Northeast Tibet and carried by the river’s upper reach are stored in the Chinese Loess Plateau and the western Mu Us desert. This finding revises our understanding of the origin of the Chinese Loess Plateau and provides a potential solution for mismatches between late Cenozoic terrestrial sedimentation and marine geochemistry records, as well as between global CO2 and erosion records.","author":[{"dropping-particle":"","family":"Nie","given":"Junsheng","non-dropping-particle":"","parse-names":false,"suffix":""},{"dropping-particle":"","family":"Stevens","given":"Thomas","non-dropping-particle":"","parse-names":false,"suffix":""},{"dropping-particle":"","family":"Rittner","given":"Martin","non-dropping-particle":"","parse-names":false,"suffix":""},{"dropping-particle":"","family":"Stockli","given":"Daniel F.","non-dropping-particle":"","parse-names":false,"suffix":""},{"dropping-particle":"","family":"Garzanti","given":"Eduardo","non-dropping-particle":"","parse-names":false,"suffix":""},{"dropping-particle":"","family":"Limonta","given":"Mara","non-dropping-particle":"","parse-names":false,"suffix":""},{"dropping-particle":"","family":"Vermeesch","given":"Pieter","non-dropping-particle":"","parse-names":false,"suffix":""},{"dropping-particle":"","family":"Saylor","given":"Joel E.","non-dropping-particle":"","parse-names":false,"suffix":""},{"dropping-particle":"","family":"Lu","given":"Huayu","non-dropping-particle":"","parse-names":false,"suffix":""},{"dropping-particle":"","family":"Breecker","given":"Daniel","non-dropping-particle":"","parse-names":false,"suffix":""},{"dropping-particle":"","family":"Hu","given":"Xiaofei","non-dropping-particle":"","parse-names":false,"suffix":""},{"dropping-particle":"","family":"Bird","given":"Anna F.","non-dropping-particle":"","parse-names":false,"suffix":""},{"dropping-particle":"","family":"Ando","given":"Sergio","non-dropping-particle":"","parse-names":false,"suffix":""},{"dropping-particle":"","family":"Liu","given":"Shanpin","non-dropping-particle":"","parse-names":false,"suffix":""},{"dropping-particle":"","family":"Resentini","given":"Alberto","non-dropping-particle":"","parse-names":false,"suffix":""},{"dropping-particle":"","family":"Vezzoli","given":"Giovanni","non-dropping-particle":"","parse-names":false,"suffix":""},{"dropping-particle":"","family":"Peng","given":"Wenbin","non-dropping-particle":"","parse-names":false,"suffix":""},{"dropping-particle":"","family":"Carter","given":"Andrew","non-dropping-particle":"","parse-names":false,"suffix":""},{"dropping-particle":"","family":"Ji","given":"Shunchuan","non-dropping-particle":"","parse-names":false,"suffix":""},{"dropping-particle":"","family":"Pan","given":"Baotian","non-dropping-particle":"","parse-names":false,"suffix":""}],"container-title":"Nature Communications","id":"ITEM-3","issued":{"date-parts":[["2015"]]},"title":"Loess Plateau storage of Northeastern Tibetan Plateau-derived Yellow River sediment","type":"article-journal","volume":"6"},"uris":["http://www.mendeley.com/documents/?uuid=2a84c5b0-8d86-40c9-bd7b-441b4e1599d9"]},{"id":"ITEM-4","itemData":{"DOI":"10.1016/j.quascirev.2019.106042","ISSN":"02773791","abstract":"The Pliocene-Pleistocene boundary marks a major change in global climate and East Asian monsoon dynamic. However, the role of the global atmospheric dust-cycle over this time is unclear; in particular the degree to which changes in the dust cycle influenced climate change, were driven by climate change, and how these processes interacted. Chinese loess records past dust-cycle history and the influences of aridification and monsoon circulation over the last 40 Ma. Previous work on the Chinese Loess Plateau argue over whether changes in dust source occur at the Pliocene-Pleistocene boundary, or at 1.2 Ma, despite these intervals marking major shifts in monsoon dynamics. We present Sr, Nd and Hf isotope data from multiple sites and show that dust source largely remains unchanged across these boundaries. Shifts in geochemistry are due to changes in grain-size and weathering. While the transport pathway (river, deserts, direct aeolian) is unclear, these tracer isotopes show that dust was dominantly sourced from the Northern Tibetan Plateau, with some input from the local bedrock. This shows that a major established and constant dust source on the Tibetan Plateau has been active and unchanged since late Miocene, despite dramatically changing climate conditions. Changes in loess accumulation are a function of climate change in Tibetan Plateau source regions rather than effects from increased aridification over the Pliocene-Pleistocene boundary.","author":[{"dropping-particle":"","family":"Bird","given":"Anna F.","non-dropping-particle":"","parse-names":false,"suffix":""},{"dropping-particle":"","family":"Millar","given":"Ian L.","non-dropping-particle":"","parse-names":false,"suffix":""},{"dropping-particle":"","family":"Rodenburg","given":"Tanja","non-dropping-particle":"","parse-names":false,"suffix":""},{"dropping-particle":"","family":"Stevens","given":"Thomas","non-dropping-particle":"","parse-names":false,"suffix":""},{"dropping-particle":"","family":"Rittner","given":"Martin","non-dropping-particle":"","parse-names":false,"suffix":""},{"dropping-particle":"","family":"Vermeesch","given":"Pieter","non-dropping-particle":"","parse-names":false,"suffix":""},{"dropping-particle":"","family":"Lu","given":"Huayu","non-dropping-particle":"","parse-names":false,"suffix":""}],"container-title":"Quaternary Science Reviews","id":"ITEM-4","issued":{"date-parts":[["2020"]]},"page":"106042","publisher":"Elsevier Ltd","title":"A constant Chinese Loess Plateau dust source since the late Miocene","type":"article-journal","volume":"227"},"uris":["http://www.mendeley.com/documents/?uuid=e801baa0-4359-4091-a7e9-d875f9c3b177"]}],"mendeley":{"formattedCitation":"(Bird et al., 2020; Licht et al., 2016; Nie et al., 2015; Stevens et al., 2013)","plainTextFormattedCitation":"(Bird et al., 2020; Licht et al., 2016; Nie et al., 2015; Stevens et al., 2013)","previouslyFormattedCitation":"(Bird et al., 2020; Licht et al., 2016; Nie et al., 2015; Stevens et al., 2013)"},"properties":{"noteIndex":0},"schema":"https://github.com/citation-style-language/schema/raw/master/csl-citation.json"}</w:instrText>
      </w:r>
      <w:r>
        <w:rPr>
          <w:rFonts w:ascii="Arial" w:hAnsi="Arial" w:cs="Arial"/>
        </w:rPr>
        <w:fldChar w:fldCharType="separate"/>
      </w:r>
      <w:r w:rsidRPr="00F17963">
        <w:rPr>
          <w:rFonts w:ascii="Arial" w:hAnsi="Arial" w:cs="Arial"/>
          <w:noProof/>
        </w:rPr>
        <w:t>(Bird et al., 2020; Licht et al., 2016; Nie et al., 2015; Stevens et al., 2013)</w:t>
      </w:r>
      <w:r>
        <w:rPr>
          <w:rFonts w:ascii="Arial" w:hAnsi="Arial" w:cs="Arial"/>
        </w:rPr>
        <w:fldChar w:fldCharType="end"/>
      </w:r>
      <w:r>
        <w:rPr>
          <w:rFonts w:ascii="Arial" w:hAnsi="Arial" w:cs="Arial"/>
        </w:rPr>
        <w:t>. Therefore whilst d</w:t>
      </w:r>
      <w:r w:rsidRPr="00301770">
        <w:rPr>
          <w:rFonts w:ascii="Arial" w:hAnsi="Arial" w:cs="Arial"/>
        </w:rPr>
        <w:t>iscussion over silt production mechanisms and loess</w:t>
      </w:r>
      <w:r>
        <w:rPr>
          <w:rFonts w:ascii="Arial" w:hAnsi="Arial" w:cs="Arial"/>
        </w:rPr>
        <w:t xml:space="preserve"> transport</w:t>
      </w:r>
      <w:r w:rsidRPr="00301770">
        <w:rPr>
          <w:rFonts w:ascii="Arial" w:hAnsi="Arial" w:cs="Arial"/>
        </w:rPr>
        <w:t xml:space="preserve"> modes persists in the literature,</w:t>
      </w:r>
      <w:r>
        <w:rPr>
          <w:rFonts w:ascii="Arial" w:hAnsi="Arial" w:cs="Arial"/>
        </w:rPr>
        <w:t xml:space="preserve"> there is growing evidence, including this study, that supports the integral role </w:t>
      </w:r>
      <w:r w:rsidRPr="00301770">
        <w:rPr>
          <w:rFonts w:ascii="Arial" w:hAnsi="Arial" w:cs="Arial"/>
        </w:rPr>
        <w:t xml:space="preserve">river transport </w:t>
      </w:r>
      <w:r>
        <w:rPr>
          <w:rFonts w:ascii="Arial" w:hAnsi="Arial" w:cs="Arial"/>
        </w:rPr>
        <w:t>plays in the</w:t>
      </w:r>
      <w:r w:rsidRPr="00301770">
        <w:rPr>
          <w:rFonts w:ascii="Arial" w:hAnsi="Arial" w:cs="Arial"/>
        </w:rPr>
        <w:t xml:space="preserve"> loess source-to-sink models </w:t>
      </w:r>
      <w:r>
        <w:rPr>
          <w:rFonts w:ascii="Arial" w:hAnsi="Arial" w:cs="Arial"/>
        </w:rPr>
        <w:t xml:space="preserve">generally </w:t>
      </w:r>
      <w:r w:rsidRPr="00301770">
        <w:rPr>
          <w:rFonts w:ascii="Arial" w:hAnsi="Arial" w:cs="Arial"/>
        </w:rPr>
        <w:fldChar w:fldCharType="begin" w:fldLock="1"/>
      </w:r>
      <w:r>
        <w:rPr>
          <w:rFonts w:ascii="Arial" w:hAnsi="Arial" w:cs="Arial"/>
        </w:rPr>
        <w:instrText>ADDIN CSL_CITATION {"citationItems":[{"id":"ITEM-1","itemData":{"DOI":"10.1016/j.earscirev.2019.102947","ISSN":"00128252","abstract":"Loess formation generally involves the four main stages of production, deflation, transportation, and deposition of loess particles. Traditionally, loesses are classified as glacial, desert, or other types based only on source area characteristics without taking into account provenance and transportation. Research on loess genesis is often local with only a few attempts at systematically overviewing worldwide loess distribution. Both the local and few global studies lack information on the variability in loess thickness, continuity, and areal extent. This review integrates a large body of information on loess source areas and transportation pathways and the existence of desert transition zones. Three modes of loess genesis, (1) continental glacier provenance-river transport, (2) mountain provenance-river transport, and (3) mountain provenance-river transport-desert transition, were identified. Global distribution maps of provenance and transport pathways of major loess areas and their different genesis modes were meticulously prepared. Maps showing the spatial distribution, thickness, and continuity of loess deposits were also composed and the sizes of loess-covered areas of each continent were re-estimated. The main features related to the distribution of the loess deposits on each continent are summarized for different regions or as a whole depending on the coverage of the source maps and references.","author":[{"dropping-particle":"","family":"Li","given":"Yanrong","non-dropping-particle":"","parse-names":false,"suffix":""},{"dropping-particle":"","family":"Shi","given":"Wenhui","non-dropping-particle":"","parse-names":false,"suffix":""},{"dropping-particle":"","family":"Aydin","given":"Adnan","non-dropping-particle":"","parse-names":false,"suffix":""},{"dropping-particle":"","family":"Beroya-Eitner","given":"Mary Antonette","non-dropping-particle":"","parse-names":false,"suffix":""},{"dropping-particle":"","family":"Gao","given":"Guohong","non-dropping-particle":"","parse-names":false,"suffix":""}],"container-title":"Earth-Science Reviews","id":"ITEM-1","issue":"March 2019","issued":{"date-parts":[["2020"]]},"page":"102947","publisher":"Elsevier","title":"Loess genesis and worldwide distribution","type":"article-journal","volume":"201"},"uris":["http://www.mendeley.com/documents/?uuid=aeed1831-6369-4ab2-a18d-8cc0e8b2bb7f"]},{"id":"ITEM-2","itemData":{"DOI":"10.1016/j.quascirev.2016.10.008","ISSN":"02773791","abstract":"Pleistocene loess and loess derivates are distributed along the mountain front of the Central European Mountain Belt in northern and central Germany. Examples from two regions, the Lower Rhine Embayment (LRE) and the Northern foreland of the Harz Mountains (FHM) show that the distribution of loess and the development of loess-paleosol sequences (LPS) are controlled by relief, climate, tectonics, the distance to large river systems, the distance to the Scandinavian ice sheet and the distance to the shelf of the North Sea. In the oceanic LRE higher humidity enhanced the periglacial processes which increased erosion, but also led to preservation in accumulative positions. In contrast, in the more continental FHM the sediments were affected by less intensive periglacial processes and no solifluction can be detected. New loess distribution maps are presented for both key areas, and key sections, especially for the last glacial cycle, are compared and summarized. Both study regions are located in the west – east trending loess belt north of the Central European Mountain belt (in front of the Rhenish Shield = Ardennes-Eifel and Harz Mountains). Finally, a synthesis of typical sediment sequences for both regions is given as an example of paleoenvironmental (landscape) development in northern Central Europe.","author":[{"dropping-particle":"","family":"Lehmkuhl","given":"Frank","non-dropping-particle":"","parse-names":false,"suffix":""},{"dropping-particle":"","family":"Zens","given":"Joerg","non-dropping-particle":"","parse-names":false,"suffix":""},{"dropping-particle":"","family":"Krauß","given":"Lydia","non-dropping-particle":"","parse-names":false,"suffix":""},{"dropping-particle":"","family":"Schulte","given":"Philipp","non-dropping-particle":"","parse-names":false,"suffix":""},{"dropping-particle":"","family":"Kels","given":"Holger","non-dropping-particle":"","parse-names":false,"suffix":""}],"container-title":"Quaternary Science Reviews","id":"ITEM-2","issued":{"date-parts":[["2016"]]},"page":"11-30","publisher":"Elsevier Ltd","title":"Loess-paleosol sequences at the northern European loess belt in Germany: Distribution, geomorphology and stratigraphy","type":"article-journal","volume":"153"},"uris":["http://www.mendeley.com/documents/?uuid=1db4e7b1-f921-4f0d-8837-26b425c2aab6"]}],"mendeley":{"formattedCitation":"(Lehmkuhl et al., 2016; Li et al., 2020)","manualFormatting":"(e.g. Lehmkuhl et al., 2016; Li et al., 2020)","plainTextFormattedCitation":"(Lehmkuhl et al., 2016; Li et al., 2020)","previouslyFormattedCitation":"(Lehmkuhl et al., 2016; Li et al., 2020)"},"properties":{"noteIndex":0},"schema":"https://github.com/citation-style-language/schema/raw/master/csl-citation.json"}</w:instrText>
      </w:r>
      <w:r w:rsidRPr="00301770">
        <w:rPr>
          <w:rFonts w:ascii="Arial" w:hAnsi="Arial" w:cs="Arial"/>
        </w:rPr>
        <w:fldChar w:fldCharType="separate"/>
      </w:r>
      <w:r w:rsidRPr="00301770">
        <w:rPr>
          <w:rFonts w:ascii="Arial" w:hAnsi="Arial" w:cs="Arial"/>
          <w:noProof/>
        </w:rPr>
        <w:t xml:space="preserve">(e.g. Lehmkuhl </w:t>
      </w:r>
      <w:r w:rsidRPr="00301770">
        <w:rPr>
          <w:rFonts w:ascii="Arial" w:hAnsi="Arial" w:cs="Arial"/>
          <w:i/>
          <w:noProof/>
        </w:rPr>
        <w:t>et al.</w:t>
      </w:r>
      <w:r w:rsidRPr="00301770">
        <w:rPr>
          <w:rFonts w:ascii="Arial" w:hAnsi="Arial" w:cs="Arial"/>
          <w:noProof/>
        </w:rPr>
        <w:t xml:space="preserve">, 2016; Li </w:t>
      </w:r>
      <w:r w:rsidRPr="00301770">
        <w:rPr>
          <w:rFonts w:ascii="Arial" w:hAnsi="Arial" w:cs="Arial"/>
          <w:i/>
          <w:noProof/>
        </w:rPr>
        <w:t>et al.</w:t>
      </w:r>
      <w:r w:rsidRPr="00301770">
        <w:rPr>
          <w:rFonts w:ascii="Arial" w:hAnsi="Arial" w:cs="Arial"/>
          <w:noProof/>
        </w:rPr>
        <w:t>, 2020)</w:t>
      </w:r>
      <w:r w:rsidRPr="00301770">
        <w:rPr>
          <w:rFonts w:ascii="Arial" w:hAnsi="Arial" w:cs="Arial"/>
        </w:rPr>
        <w:fldChar w:fldCharType="end"/>
      </w:r>
      <w:r w:rsidRPr="00301770">
        <w:rPr>
          <w:rFonts w:ascii="Arial" w:hAnsi="Arial" w:cs="Arial"/>
        </w:rPr>
        <w:t>.</w:t>
      </w:r>
      <w:bookmarkEnd w:id="97"/>
    </w:p>
    <w:p w14:paraId="45DF48D9" w14:textId="20DCCB68" w:rsidR="00E205B3" w:rsidRPr="00390AF2" w:rsidRDefault="00E205B3" w:rsidP="00E205B3">
      <w:pPr>
        <w:pStyle w:val="Heading3"/>
        <w:numPr>
          <w:ilvl w:val="2"/>
          <w:numId w:val="34"/>
        </w:numPr>
        <w:spacing w:before="120" w:after="120" w:line="480" w:lineRule="auto"/>
        <w:ind w:left="851" w:hanging="851"/>
        <w:rPr>
          <w:rFonts w:ascii="Arial" w:hAnsi="Arial" w:cs="Arial"/>
          <w:i/>
          <w:color w:val="auto"/>
        </w:rPr>
      </w:pPr>
      <w:r>
        <w:rPr>
          <w:rFonts w:ascii="Arial" w:hAnsi="Arial" w:cs="Arial"/>
          <w:i/>
          <w:color w:val="auto"/>
        </w:rPr>
        <w:t>Sahara Desert</w:t>
      </w:r>
    </w:p>
    <w:p w14:paraId="5BD61B26" w14:textId="0FE486A4" w:rsidR="00B27441" w:rsidRDefault="00E205B3" w:rsidP="00E205B3">
      <w:pPr>
        <w:spacing w:before="120" w:after="120" w:line="480" w:lineRule="auto"/>
        <w:jc w:val="both"/>
        <w:rPr>
          <w:rFonts w:ascii="Arial" w:hAnsi="Arial" w:cs="Arial"/>
        </w:rPr>
      </w:pPr>
      <w:r>
        <w:rPr>
          <w:rFonts w:ascii="Arial" w:hAnsi="Arial" w:cs="Arial"/>
        </w:rPr>
        <w:t xml:space="preserve">A note on the long debated Saharan Desert source </w:t>
      </w:r>
      <w:r>
        <w:rPr>
          <w:rFonts w:ascii="Arial" w:hAnsi="Arial" w:cs="Arial"/>
        </w:rPr>
        <w:fldChar w:fldCharType="begin" w:fldLock="1"/>
      </w:r>
      <w:r>
        <w:rPr>
          <w:rFonts w:ascii="Arial" w:hAnsi="Arial" w:cs="Arial"/>
        </w:rPr>
        <w:instrText>ADDIN CSL_CITATION {"citationItems":[{"id":"ITEM-1","itemData":{"DOI":"10.1016/j.quaint.2008.10.007","ISBN":"10406182","ISSN":"10406182","abstract":"A conceptual model is presented for the provenance and dispersal patterns of small dust that falls on Europe. Generally its sources are in North Africa, and it is distributed across all Europe. Several key sources can be distinguished: 'Sahelian' dust comes largely from the old Lake Chad region-this is a clay-rich unimodal material. 'Saharan' dust comes from the great sand sheets-it contains small monomineralic particles and may have a bimodal size range. Three simple deposition zones can be recognised; a D1a zone where sufficient dust is deposited to form a discrete soil layer (not well classified as a Rendoll), in the extreme south of Europe; a D1b zone where the airborne dust simply provided a silty admixture to soil systems-across Middle Europe; and a northern zone D1c where the dust is a fugitive cloud, but very occasionally forms noticeable deposits. Two particle formation methods can be noted. Particle control in Sahelian dust is via the sedimentation in the original lake. This gives an open structure which can be modelled using a simple Monte Carlo approach. The open structure ensures that only small particles are produced; size control is via particle packing. A chipping mechanism can produce fine quartz particles from sandy deserts. The aeolian energy is, by and large, not sufficient to cause major impact fracturing but small mineral chips can be produced in the small dust size (fine and very fine silt), which go into high-level suspension and travel to Europe and beyond. The Saharan material can have a wider, more variable size distribution than the Sahelian material. The Canary Islands 'loess' is largely Sahelian material; the Cape Verde Islands deposits, from the nearby sandy regions, are Saharan deposits. Large dust has fallen on Europe, and produced widespread loess deposits. Large dust is essentially an 'in-continent' deposit; small dust comes from outside-from Africa. ?? 2008 Elsevier Ltd and INQUA.","author":[{"dropping-particle":"","family":"Stuut","given":"Jan Berend","non-dropping-particle":"","parse-names":false,"suffix":""},{"dropping-particle":"","family":"Smalley","given":"Ian J.","non-dropping-particle":"","parse-names":false,"suffix":""},{"dropping-particle":"","family":"O'Hara-Dhand","given":"Ken","non-dropping-particle":"","parse-names":false,"suffix":""}],"container-title":"Quaternary International","id":"ITEM-1","issue":"1-2","issued":{"date-parts":[["2009"]]},"page":"234-245","title":"Aeolian dust in Europe: African sources and European deposits","type":"article-journal","volume":"198"},"uris":["http://www.mendeley.com/documents/?uuid=9755164b-7c44-4a5f-90f3-c0783115d7b8"]},{"id":"ITEM-2","itemData":{"DOI":"10.1016/j.aeolia.2016.05.004","author":[{"dropping-particle":"","family":"Varga","given":"György","non-dropping-particle":"","parse-names":false,"suffix":""},{"dropping-particle":"","family":"Cserháti","given":"Csaba","non-dropping-particle":"","parse-names":false,"suffix":""},{"dropping-particle":"","family":"Kovács","given":"János I.","non-dropping-particle":"","parse-names":false,"suffix":""},{"dropping-particle":"","family":"Szalai","given":"Zoltán","non-dropping-particle":"","parse-names":false,"suffix":""}],"container-title":"Aeolian Research","id":"ITEM-2","issued":{"date-parts":[["2016"]]},"page":"1-12","title":"Saharan dust deposition in the Carpathian Basin and its possible effects on interglacial soil formation","type":"article-journal","volume":"22"},"uris":["http://www.mendeley.com/documents/?uuid=2cf1538b-45a1-41f2-8516-0b70de4443eb"]},{"id":"ITEM-3","itemData":{"DOI":"10.1016/j.chemgeo.2012.02.007","ISBN":"0009-2541","ISSN":"00092541","abstract":"Multiple competing hypotheses have been proposed to explain the source of loess dust in the Carpathian Basin yet none has been demonstrated. Here bulk and grain-size differentiated Nd and Sr isotopic and bulk and clay mineralogical compositions, together with detrital zircon ages and morphologies from loess along the Danube in the Carpathian Basin are used to demonstrate that no single method is capable of unequivocally isolating sources, yet combined, they allow for discriminating likely provenance. Zircon ages indicate multiple sources for Carpathian Basin loess, restricting the use of bulk or grain-size differentiation methods. Ambiguities are further highlighted by the fact that the Sr-Nd isotopic composition of Greenland dust is very similar to Carpathian loess. This match demonstrates that such methods are not always capable of unequivocally excluding unlikely potential source areas and implies that current hypotheses regarding the origin of Greenland dust require further evaluation. Sr isotopes are also limited by high dolomite contents of loess, while palygorskite is of questionable utility as a Saharan dust indicator due to its rapid weathering under typical Carpathian climates. In terms of specific Carpathian loess sources, alluvial fans of the Danube River likely contribute, but detrital zircon ages and morphologies suggest that a proportion directly originates from eroded uplands and local rocks throughout the basin, while detrital dolomite implies local, primary sources such as the Transdanubian Range. An upper limit of 5-10% is placed on the North African contribution to fine dust in loess of the mid-Carpathian Basin based on mineralogy and grain size. Overall, results suggest that the single grain (zircon) approach is likely the most diagnostic method to identify sources in loess studies, although to solve complex provenance issues, simultaneous consideration of the isotopic characteristics of more than one heavy (or light) mineral is required. ?? 2012 Elsevier B.V.","author":[{"dropping-particle":"","family":"Újvári","given":"Gábor","non-dropping-particle":"","parse-names":false,"suffix":""},{"dropping-particle":"","family":"Varga","given":"Andrea","non-dropping-particle":"","parse-names":false,"suffix":""},{"dropping-particle":"","family":"Ramos","given":"Frank C.","non-dropping-particle":"","parse-names":false,"suffix":""},{"dropping-particle":"","family":"Kovács","given":"János I.","non-dropping-particle":"","parse-names":false,"suffix":""},{"dropping-particle":"","family":"Németh","given":"Tibor","non-dropping-particle":"","parse-names":false,"suffix":""},{"dropping-particle":"","family":"Stevens","given":"Thomas","non-dropping-particle":"","parse-names":false,"suffix":""}],"container-title":"Chemical Geology","id":"ITEM-3","issued":{"date-parts":[["2012"]]},"page":"83-96","publisher":"Elsevier B.V.","title":"Evaluating the use of clay mineralogy, Sr-Nd isotopes and zircon U-Pb ages in tracking dust provenance: An example from loess of the Carpathian Basin","type":"article-journal","volume":"304-305"},"uris":["http://www.mendeley.com/documents/?uuid=4972a163-3568-4a70-9213-d604a9054fec"]}],"mendeley":{"formattedCitation":"(Stuut et al., 2009; Újvári et al., 2012; Varga et al., 2016)","plainTextFormattedCitation":"(Stuut et al., 2009; Újvári et al., 2012; Varga et al., 2016)","previouslyFormattedCitation":"(Stuut et al., 2009; Újvári et al., 2012; Varga et al., 2016)"},"properties":{"noteIndex":0},"schema":"https://github.com/citation-style-language/schema/raw/master/csl-citation.json"}</w:instrText>
      </w:r>
      <w:r>
        <w:rPr>
          <w:rFonts w:ascii="Arial" w:hAnsi="Arial" w:cs="Arial"/>
        </w:rPr>
        <w:fldChar w:fldCharType="separate"/>
      </w:r>
      <w:r w:rsidRPr="00E11159">
        <w:rPr>
          <w:rFonts w:ascii="Arial" w:hAnsi="Arial" w:cs="Arial"/>
          <w:noProof/>
        </w:rPr>
        <w:t>(Stuut et al., 2009; Újvári et al., 2012; Varga et al., 2016)</w:t>
      </w:r>
      <w:r>
        <w:rPr>
          <w:rFonts w:ascii="Arial" w:hAnsi="Arial" w:cs="Arial"/>
        </w:rPr>
        <w:fldChar w:fldCharType="end"/>
      </w:r>
      <w:r>
        <w:rPr>
          <w:rFonts w:ascii="Arial" w:hAnsi="Arial" w:cs="Arial"/>
        </w:rPr>
        <w:t xml:space="preserve">. </w:t>
      </w:r>
      <w:bookmarkStart w:id="98" w:name="_Hlk82679648"/>
      <w:r>
        <w:rPr>
          <w:rFonts w:ascii="Arial" w:hAnsi="Arial" w:cs="Arial"/>
        </w:rPr>
        <w:t xml:space="preserve">The sample from the </w:t>
      </w:r>
      <w:r w:rsidRPr="00313883">
        <w:rPr>
          <w:rFonts w:ascii="Arial" w:hAnsi="Arial" w:cs="Arial"/>
        </w:rPr>
        <w:t>Western Desert</w:t>
      </w:r>
      <w:r>
        <w:rPr>
          <w:rFonts w:ascii="Arial" w:hAnsi="Arial" w:cs="Arial"/>
        </w:rPr>
        <w:t>, Egypt</w:t>
      </w:r>
      <w:r w:rsidRPr="00313883">
        <w:rPr>
          <w:rFonts w:ascii="Arial" w:hAnsi="Arial" w:cs="Arial"/>
        </w:rPr>
        <w:t xml:space="preserve"> </w:t>
      </w:r>
      <w:r>
        <w:rPr>
          <w:rFonts w:ascii="Arial" w:hAnsi="Arial" w:cs="Arial"/>
        </w:rPr>
        <w:t>(</w:t>
      </w:r>
      <w:r w:rsidRPr="00313883">
        <w:rPr>
          <w:rFonts w:ascii="Arial" w:hAnsi="Arial" w:cs="Arial"/>
        </w:rPr>
        <w:t>WD</w:t>
      </w:r>
      <w:r>
        <w:rPr>
          <w:rFonts w:ascii="Arial" w:hAnsi="Arial" w:cs="Arial"/>
        </w:rPr>
        <w:t>)</w:t>
      </w:r>
      <w:r w:rsidRPr="00313883">
        <w:rPr>
          <w:rFonts w:ascii="Arial" w:hAnsi="Arial" w:cs="Arial"/>
        </w:rPr>
        <w:t xml:space="preserve"> </w:t>
      </w:r>
      <w:r>
        <w:rPr>
          <w:rFonts w:ascii="Arial" w:hAnsi="Arial" w:cs="Arial"/>
        </w:rPr>
        <w:t xml:space="preserve">is located </w:t>
      </w:r>
      <w:r w:rsidRPr="00313883">
        <w:rPr>
          <w:rFonts w:ascii="Arial" w:hAnsi="Arial" w:cs="Arial"/>
        </w:rPr>
        <w:t>within the main data cluster on the MDS map</w:t>
      </w:r>
      <w:r>
        <w:rPr>
          <w:rFonts w:ascii="Arial" w:hAnsi="Arial" w:cs="Arial"/>
        </w:rPr>
        <w:t xml:space="preserve"> (Figure 7) and the detrital zircon U-Pb age distributions signatures (</w:t>
      </w:r>
      <w:r w:rsidRPr="00C53A74">
        <w:rPr>
          <w:rFonts w:ascii="Arial" w:hAnsi="Arial" w:cs="Arial"/>
        </w:rPr>
        <w:t xml:space="preserve">Figure </w:t>
      </w:r>
      <w:r>
        <w:rPr>
          <w:rFonts w:ascii="Arial" w:hAnsi="Arial" w:cs="Arial"/>
        </w:rPr>
        <w:t xml:space="preserve">6) highlight its 600 Ma </w:t>
      </w:r>
      <w:r w:rsidRPr="00313883">
        <w:rPr>
          <w:rFonts w:ascii="Arial" w:hAnsi="Arial" w:cs="Arial"/>
        </w:rPr>
        <w:t>Gondwan</w:t>
      </w:r>
      <w:r>
        <w:rPr>
          <w:rFonts w:ascii="Arial" w:hAnsi="Arial" w:cs="Arial"/>
        </w:rPr>
        <w:t xml:space="preserve">ian </w:t>
      </w:r>
      <w:r w:rsidRPr="00313883">
        <w:rPr>
          <w:rFonts w:ascii="Arial" w:hAnsi="Arial" w:cs="Arial"/>
        </w:rPr>
        <w:t>signatures</w:t>
      </w:r>
      <w:r>
        <w:rPr>
          <w:rFonts w:ascii="Arial" w:hAnsi="Arial" w:cs="Arial"/>
        </w:rPr>
        <w:t xml:space="preserve">, </w:t>
      </w:r>
      <w:r w:rsidR="00B27441" w:rsidRPr="00B27441">
        <w:rPr>
          <w:rFonts w:ascii="Arial" w:hAnsi="Arial" w:cs="Arial"/>
        </w:rPr>
        <w:t xml:space="preserve">suggesting possible Saharan contributions to grains in that age range. However, a large Saharan contribution would require mixing with material from other sources to produce the three peak distribution observed, as the Saharan sample does not contain the 330 and 450 Ma populations seen in the loess. Given that samples within the mountain belts </w:t>
      </w:r>
      <w:r w:rsidR="005B3A14">
        <w:rPr>
          <w:rFonts w:ascii="Arial" w:hAnsi="Arial" w:cs="Arial"/>
        </w:rPr>
        <w:t xml:space="preserve">surrounding the Danube basin also </w:t>
      </w:r>
      <w:r w:rsidR="00B27441" w:rsidRPr="00B27441">
        <w:rPr>
          <w:rFonts w:ascii="Arial" w:hAnsi="Arial" w:cs="Arial"/>
        </w:rPr>
        <w:t xml:space="preserve">contain 600 Ma populations, as well as the Palaeozoic ones (Figure 6), mixing of Sarahan dust with local material would be required to yield all three populations in the loess. </w:t>
      </w:r>
      <w:r w:rsidR="005B3A14">
        <w:rPr>
          <w:rFonts w:ascii="Arial" w:hAnsi="Arial" w:cs="Arial"/>
        </w:rPr>
        <w:t>Indeed</w:t>
      </w:r>
      <w:r w:rsidR="00B27441" w:rsidRPr="00B27441">
        <w:rPr>
          <w:rFonts w:ascii="Arial" w:hAnsi="Arial" w:cs="Arial"/>
        </w:rPr>
        <w:t>, if this was the case, a dominant 600 Ma peak could be expected at all sites, which is not seen in the data, suggesting that the 600 Ma grain contribution is more</w:t>
      </w:r>
      <w:r w:rsidR="005B3A14">
        <w:rPr>
          <w:rFonts w:ascii="Arial" w:hAnsi="Arial" w:cs="Arial"/>
        </w:rPr>
        <w:t xml:space="preserve"> easily explained</w:t>
      </w:r>
      <w:r w:rsidR="00B27441" w:rsidRPr="00B27441">
        <w:rPr>
          <w:rFonts w:ascii="Arial" w:hAnsi="Arial" w:cs="Arial"/>
        </w:rPr>
        <w:t xml:space="preserve"> via Danube River sediment sources. Furthermore, factors beyond just the zircon U-Pb ages also need to be considered, including the impact of grain size and particle density on long-range aeolian transport capacity. Particle size (and the proportion of coarser grains) generally decreases with the distance away from source(s) under aeolian transport</w:t>
      </w:r>
      <w:r w:rsidR="00B27441">
        <w:rPr>
          <w:rFonts w:ascii="Arial" w:hAnsi="Arial" w:cs="Arial"/>
        </w:rPr>
        <w:t xml:space="preserve"> </w:t>
      </w:r>
      <w:r w:rsidR="00B27441">
        <w:rPr>
          <w:rFonts w:ascii="Arial" w:hAnsi="Arial" w:cs="Arial"/>
        </w:rPr>
        <w:fldChar w:fldCharType="begin" w:fldLock="1"/>
      </w:r>
      <w:r w:rsidR="00B27441">
        <w:rPr>
          <w:rFonts w:ascii="Arial" w:hAnsi="Arial" w:cs="Arial"/>
        </w:rPr>
        <w:instrText>ADDIN CSL_CITATION {"citationItems":[{"id":"ITEM-1","itemData":{"author":[{"dropping-particle":"","family":"Bagnold","given":"Ralph A.","non-dropping-particle":"","parse-names":false,"suffix":""}],"id":"ITEM-1","issued":{"date-parts":[["1941"]]},"publisher":"Methuen","publisher-place":"London","title":"The Physics of Blown Sand and Desert Dunes","type":"book"},"uris":["http://www.mendeley.com/documents/?uuid=cca22940-0b2c-480d-be78-a4c8cdc9ffef"]},{"id":"ITEM-2","itemData":{"DOI":"10.1006/jare.1997.0369","ISBN":"0140-1963","ISSN":"01401963","abstract":"Results of a comparative analysis of a 4-year set of monthly samples of airfall dust with samples from surface alluvial fan deposits, desert sand dunes and late Pleistocene loess and palaeosols in Gansu Province, northern China, are summarized. They suggest a qualification of the conventional view that the sand deserts were the primary single source of the Quaternary loess. It is argued that silts deflated from the surfaces of the large and numerous piedmont alluvial fans in the Hexi Corridor, Gansu, constituted a major contribution to the loess column in the western region of the Chinese Loess Plateau. The present dust fall regime in the Hexi Corridor suggests that distribution and rate of accumulation of airfall silt in the present interglacial is similar to that in parts of the Pleistocene loess record. (C)1998 Academic Press Limited.","author":[{"dropping-particle":"","family":"Derbyshire","given":"Edward","non-dropping-particle":"","parse-names":false,"suffix":""},{"dropping-particle":"","family":"Meng","given":"Xingmin","non-dropping-particle":"","parse-names":false,"suffix":""},{"dropping-particle":"","family":"Kemp","given":"Rob a.","non-dropping-particle":"","parse-names":false,"suffix":""}],"container-title":"Journal of Arid Environments","id":"ITEM-2","issue":"3","issued":{"date-parts":[["1998"]]},"page":"497-516","title":"Provenance, transport and characteristics of modern aeolian dust in western Gansu Province, China, and interpretation of the Quaternary loess record","type":"article-journal","volume":"39"},"uris":["http://www.mendeley.com/documents/?uuid=a0ec8ca9-cb73-441c-ace2-60be5a490601"]},{"id":"ITEM-3","itemData":{"DOI":"10.1016/j.chemgeo.2009.02.005","author":[{"dropping-particle":"","family":"Lawrence","given":"Corey R","non-dropping-particle":"","parse-names":false,"suffix":""},{"dropping-particle":"","family":"Neff","given":"Jason C","non-dropping-particle":"","parse-names":false,"suffix":""}],"container-title":"Chemical Geology","id":"ITEM-3","issued":{"date-parts":[["2009"]]},"page":"46-63","publisher":"Elsevier B.V.","title":"The contemporary physical and chemical fl ux of aeolian dust: A synthesis of direct measurements of dust deposition","type":"article-journal","volume":"267"},"uris":["http://www.mendeley.com/documents/?uuid=dcb1da75-bd1f-496c-abc3-21558ae74829"]},{"id":"ITEM-4","itemData":{"DOI":"10.1016/j.aeolia.2013.09.002","author":[{"dropping-particle":"","family":"Mahowald","given":"Natalie","non-dropping-particle":"","parse-names":false,"suffix":""},{"dropping-particle":"","family":"Albani","given":"Samuel","non-dropping-particle":"","parse-names":false,"suffix":""},{"dropping-particle":"","family":"Kok","given":"Jasper F.","non-dropping-particle":"","parse-names":false,"suffix":""},{"dropping-particle":"","family":"Engelstaeder","given":"Sebastian","non-dropping-particle":"","parse-names":false,"suffix":""},{"dropping-particle":"","family":"Scanza","given":"Rachel","non-dropping-particle":"","parse-names":false,"suffix":""},{"dropping-particle":"","family":"Ward","given":"Daniel S.","non-dropping-particle":"","parse-names":false,"suffix":""},{"dropping-particle":"","family":"Flanner","given":"Mark G.","non-dropping-particle":"","parse-names":false,"suffix":""}],"container-title":"Aeolian Research","id":"ITEM-4","issued":{"date-parts":[["2014"]]},"page":"53-71","publisher":"Elsevier B.V.","title":"The size distribution of desert dust aerosols and its impact on the Earth system","type":"article-journal","volume":"15"},"uris":["http://www.mendeley.com/documents/?uuid=781986f3-7abb-464a-b00a-c73a29604225"]}],"mendeley":{"formattedCitation":"(Bagnold, 1941; Derbyshire et al., 1998; Lawrence and Neff, 2009; Mahowald et al., 2014)","plainTextFormattedCitation":"(Bagnold, 1941; Derbyshire et al., 1998; Lawrence and Neff, 2009; Mahowald et al., 2014)","previouslyFormattedCitation":"(Bagnold, 1941; Derbyshire et al., 1998; Lawrence and Neff, 2009; Mahowald et al., 2014)"},"properties":{"noteIndex":0},"schema":"https://github.com/citation-style-language/schema/raw/master/csl-citation.json"}</w:instrText>
      </w:r>
      <w:r w:rsidR="00B27441">
        <w:rPr>
          <w:rFonts w:ascii="Arial" w:hAnsi="Arial" w:cs="Arial"/>
        </w:rPr>
        <w:fldChar w:fldCharType="separate"/>
      </w:r>
      <w:r w:rsidR="00B27441" w:rsidRPr="00B27441">
        <w:rPr>
          <w:rFonts w:ascii="Arial" w:hAnsi="Arial" w:cs="Arial"/>
          <w:noProof/>
        </w:rPr>
        <w:t>(Bagnold, 1941; Derbyshire et al., 1998; Lawrence and Neff, 2009; Mahowald et al., 2014)</w:t>
      </w:r>
      <w:r w:rsidR="00B27441">
        <w:rPr>
          <w:rFonts w:ascii="Arial" w:hAnsi="Arial" w:cs="Arial"/>
        </w:rPr>
        <w:fldChar w:fldCharType="end"/>
      </w:r>
      <w:r w:rsidR="00B27441" w:rsidRPr="00B27441">
        <w:rPr>
          <w:rFonts w:ascii="Arial" w:hAnsi="Arial" w:cs="Arial"/>
        </w:rPr>
        <w:t xml:space="preserve">. A shift in modal grain size away </w:t>
      </w:r>
      <w:r w:rsidR="00B27441" w:rsidRPr="00B27441">
        <w:rPr>
          <w:rFonts w:ascii="Arial" w:hAnsi="Arial" w:cs="Arial"/>
        </w:rPr>
        <w:lastRenderedPageBreak/>
        <w:t>from coast of Sahara has been reported in several studies</w:t>
      </w:r>
      <w:r w:rsidR="00B27441">
        <w:rPr>
          <w:rFonts w:ascii="Arial" w:hAnsi="Arial" w:cs="Arial"/>
        </w:rPr>
        <w:t xml:space="preserve"> </w:t>
      </w:r>
      <w:r w:rsidR="00B27441">
        <w:rPr>
          <w:rFonts w:ascii="Arial" w:hAnsi="Arial" w:cs="Arial"/>
        </w:rPr>
        <w:fldChar w:fldCharType="begin" w:fldLock="1"/>
      </w:r>
      <w:r w:rsidR="00F94823">
        <w:rPr>
          <w:rFonts w:ascii="Arial" w:hAnsi="Arial" w:cs="Arial"/>
        </w:rPr>
        <w:instrText>ADDIN CSL_CITATION {"citationItems":[{"id":"ITEM-1","itemData":{"author":[{"dropping-particle":"","family":"Guerzoni","given":"S.","non-dropping-particle":"","parse-names":false,"suffix":""},{"dropping-particle":"","family":"Molinarolit","given":"E.","non-dropping-particle":"","parse-names":false,"suffix":""},{"dropping-particle":"","family":"Chester","given":"R.","non-dropping-particle":"","parse-names":false,"suffix":""}],"container-title":"Deep-Sea Research II","id":"ITEM-1","issue":"3-4","issued":{"date-parts":[["1997"]]},"page":"631-654","title":"Saharan dust inputs to the western Mediterranean Sea: depositional patterns , geochemistry and sedimentological implications","type":"article-journal","volume":"44"},"uris":["http://www.mendeley.com/documents/?uuid=0dc56d14-3ac8-4a25-8950-d98112bedcf6"]},{"id":"ITEM-2","itemData":{"DOI":"10.1016/j.epsl.2012.12.039","author":[{"dropping-particle":"","family":"Skonieczny","given":"C.","non-dropping-particle":"","parse-names":false,"suffix":""},{"dropping-particle":"","family":"Bory","given":"A.","non-dropping-particle":"","parse-names":false,"suffix":""},{"dropping-particle":"","family":"Bout-Roumazeilles","given":"V.","non-dropping-particle":"","parse-names":false,"suffix":""},{"dropping-particle":"","family":"Abouchami","given":"Wafa","non-dropping-particle":"","parse-names":false,"suffix":""},{"dropping-particle":"","family":"Galer","given":"S. J. G.","non-dropping-particle":"","parse-names":false,"suffix":""},{"dropping-particle":"","family":"Crosta","given":"X.","non-dropping-particle":"","parse-names":false,"suffix":""},{"dropping-particle":"","family":"Diallo","given":"A.","non-dropping-particle":"","parse-names":false,"suffix":""},{"dropping-particle":"","family":"Ndiaye","given":"T.","non-dropping-particle":"","parse-names":false,"suffix":""}],"container-title":"Earth and Planetary Science Letters","id":"ITEM-2","issued":{"date-parts":[["2013"]]},"page":"145-156","publisher":"Elsevier","title":"A three-year time series of mineral dust deposits on the West African margin: Sedimentological and geochemical signatures and implications for interpretation of marine paleo-dust records","type":"article-journal","volume":"364"},"uris":["http://www.mendeley.com/documents/?uuid=b5abe429-b4f7-4a7c-8f4d-764d72a8f027"]},{"id":"ITEM-3","itemData":{"DOI":"10.5194/acp-16-13697-2016","ISBN":"1613697201","author":[{"dropping-particle":"","family":"Does","given":"Michèlle","non-dropping-particle":"Van Der","parse-names":false,"suffix":""},{"dropping-particle":"","family":"Korte","given":"Laura F.","non-dropping-particle":"","parse-names":false,"suffix":""},{"dropping-particle":"","family":"Munday","given":"Chris I.","non-dropping-particle":"","parse-names":false,"suffix":""},{"dropping-particle":"","family":"Brummer","given":"Geert-Jan A.","non-dropping-particle":"","parse-names":false,"suffix":""},{"dropping-particle":"","family":"Stuut","given":"Jan-Berend W.","non-dropping-particle":"","parse-names":false,"suffix":""}],"container-title":"Atmospheric Chemistry and Physics","id":"ITEM-3","issued":{"date-parts":[["2016"]]},"page":"13697-13710","title":"Particle size traces modern Saharan dust transport and deposition across the equatorial North Atlantic","type":"article-journal","volume":"16"},"uris":["http://www.mendeley.com/documents/?uuid=66cbd2f5-3294-4de3-ac6e-5344c29d1b31"]}],"mendeley":{"formattedCitation":"(Guerzoni et al., 1997; Skonieczny et al., 2013; Van Der Does et al., 2016)","plainTextFormattedCitation":"(Guerzoni et al., 1997; Skonieczny et al., 2013; Van Der Does et al., 2016)","previouslyFormattedCitation":"(Guerzoni et al., 1997; Skonieczny et al., 2013; Van Der Does et al., 2016)"},"properties":{"noteIndex":0},"schema":"https://github.com/citation-style-language/schema/raw/master/csl-citation.json"}</w:instrText>
      </w:r>
      <w:r w:rsidR="00B27441">
        <w:rPr>
          <w:rFonts w:ascii="Arial" w:hAnsi="Arial" w:cs="Arial"/>
        </w:rPr>
        <w:fldChar w:fldCharType="separate"/>
      </w:r>
      <w:r w:rsidR="00B27441" w:rsidRPr="00B27441">
        <w:rPr>
          <w:rFonts w:ascii="Arial" w:hAnsi="Arial" w:cs="Arial"/>
          <w:noProof/>
        </w:rPr>
        <w:t>(Guerzoni et al., 1997; Skonieczny et al., 2013; Van Der Does et al., 2016)</w:t>
      </w:r>
      <w:r w:rsidR="00B27441">
        <w:rPr>
          <w:rFonts w:ascii="Arial" w:hAnsi="Arial" w:cs="Arial"/>
        </w:rPr>
        <w:fldChar w:fldCharType="end"/>
      </w:r>
      <w:r w:rsidR="00B27441" w:rsidRPr="00B27441">
        <w:rPr>
          <w:rFonts w:ascii="Arial" w:hAnsi="Arial" w:cs="Arial"/>
        </w:rPr>
        <w:t>, with</w:t>
      </w:r>
      <w:r w:rsidR="00F94823">
        <w:rPr>
          <w:rFonts w:ascii="Arial" w:hAnsi="Arial" w:cs="Arial"/>
        </w:rPr>
        <w:t xml:space="preserve"> </w:t>
      </w:r>
      <w:r w:rsidR="00F94823">
        <w:rPr>
          <w:rFonts w:ascii="Arial" w:hAnsi="Arial" w:cs="Arial"/>
        </w:rPr>
        <w:fldChar w:fldCharType="begin" w:fldLock="1"/>
      </w:r>
      <w:r w:rsidR="00F94823">
        <w:rPr>
          <w:rFonts w:ascii="Arial" w:hAnsi="Arial" w:cs="Arial"/>
        </w:rPr>
        <w:instrText>ADDIN CSL_CITATION {"citationItems":[{"id":"ITEM-1","itemData":{"author":[{"dropping-particle":"","family":"Friese","given":"Carmen A","non-dropping-particle":"","parse-names":false,"suffix":""},{"dropping-particle":"Van","family":"Hateren","given":"Johannes A.","non-dropping-particle":"","parse-names":false,"suffix":""},{"dropping-particle":"","family":"Vogt","given":"Christoph","non-dropping-particle":"","parse-names":false,"suffix":""},{"dropping-particle":"","family":"Fischer","given":"Gerhard","non-dropping-particle":"","parse-names":false,"suffix":""},{"dropping-particle":"","family":"Stuut","given":"Jan-Berend W.","non-dropping-particle":"","parse-names":false,"suffix":""}],"container-title":"Atmospheric Chemistry and Physics","id":"ITEM-1","issued":{"date-parts":[["2017"]]},"page":"10163-10193","title":"Seasonal provenance changes in present-day Saharan dust collected in and off Mauritania","type":"article-journal"},"uris":["http://www.mendeley.com/documents/?uuid=ade293ae-cf8f-4b19-ba6e-9eeac140da2a"]}],"mendeley":{"formattedCitation":"(Friese et al., 2017)","manualFormatting":"Friese et al. (2017)","plainTextFormattedCitation":"(Friese et al., 2017)","previouslyFormattedCitation":"(Friese et al., 2017)"},"properties":{"noteIndex":0},"schema":"https://github.com/citation-style-language/schema/raw/master/csl-citation.json"}</w:instrText>
      </w:r>
      <w:r w:rsidR="00F94823">
        <w:rPr>
          <w:rFonts w:ascii="Arial" w:hAnsi="Arial" w:cs="Arial"/>
        </w:rPr>
        <w:fldChar w:fldCharType="separate"/>
      </w:r>
      <w:r w:rsidR="00F94823" w:rsidRPr="00F94823">
        <w:rPr>
          <w:rFonts w:ascii="Arial" w:hAnsi="Arial" w:cs="Arial"/>
          <w:noProof/>
        </w:rPr>
        <w:t xml:space="preserve">Friese et al. </w:t>
      </w:r>
      <w:r w:rsidR="00F94823">
        <w:rPr>
          <w:rFonts w:ascii="Arial" w:hAnsi="Arial" w:cs="Arial"/>
          <w:noProof/>
        </w:rPr>
        <w:t>(</w:t>
      </w:r>
      <w:r w:rsidR="00F94823" w:rsidRPr="00F94823">
        <w:rPr>
          <w:rFonts w:ascii="Arial" w:hAnsi="Arial" w:cs="Arial"/>
          <w:noProof/>
        </w:rPr>
        <w:t>2017)</w:t>
      </w:r>
      <w:r w:rsidR="00F94823">
        <w:rPr>
          <w:rFonts w:ascii="Arial" w:hAnsi="Arial" w:cs="Arial"/>
        </w:rPr>
        <w:fldChar w:fldCharType="end"/>
      </w:r>
      <w:r w:rsidR="00B27441" w:rsidRPr="00B27441">
        <w:rPr>
          <w:rFonts w:ascii="Arial" w:hAnsi="Arial" w:cs="Arial"/>
        </w:rPr>
        <w:t xml:space="preserve"> showing over 66% reduction in mode within 500 km. Further modern studies of Saharan dust transport suggest that deposition of 60-90% grains above 30 µm occurs within 12h of entrainment </w:t>
      </w:r>
      <w:r w:rsidR="00F94823">
        <w:rPr>
          <w:rFonts w:ascii="Arial" w:hAnsi="Arial" w:cs="Arial"/>
        </w:rPr>
        <w:fldChar w:fldCharType="begin" w:fldLock="1"/>
      </w:r>
      <w:r w:rsidR="00F94823">
        <w:rPr>
          <w:rFonts w:ascii="Arial" w:hAnsi="Arial" w:cs="Arial"/>
        </w:rPr>
        <w:instrText>ADDIN CSL_CITATION {"citationItems":[{"id":"ITEM-1","itemData":{"DOI":"10.1002/grl.50482","author":[{"dropping-particle":"","family":"Ryder","given":"C L","non-dropping-particle":"","parse-names":false,"suffix":""},{"dropping-particle":"","family":"Highwood","given":"E J","non-dropping-particle":"","parse-names":false,"suffix":""},{"dropping-particle":"","family":"Lai","given":"T M","non-dropping-particle":"","parse-names":false,"suffix":""},{"dropping-particle":"","family":"Sodemann","given":"H","non-dropping-particle":"","parse-names":false,"suffix":""},{"dropping-particle":"","family":"Marsham","given":"J H","non-dropping-particle":"","parse-names":false,"suffix":""}],"container-title":"Geophysical Research Letters","id":"ITEM-1","issued":{"date-parts":[["2013"]]},"page":"2433-2438","title":"Impact of atmospheric transport on the evolution of microphysical and optical properties of Saharan dust","type":"article-journal","volume":"40"},"uris":["http://www.mendeley.com/documents/?uuid=15d21836-6088-41f7-b371-ab761c500be4"]}],"mendeley":{"formattedCitation":"(Ryder et al., 2013)","plainTextFormattedCitation":"(Ryder et al., 2013)","previouslyFormattedCitation":"(Ryder et al., 2013)"},"properties":{"noteIndex":0},"schema":"https://github.com/citation-style-language/schema/raw/master/csl-citation.json"}</w:instrText>
      </w:r>
      <w:r w:rsidR="00F94823">
        <w:rPr>
          <w:rFonts w:ascii="Arial" w:hAnsi="Arial" w:cs="Arial"/>
        </w:rPr>
        <w:fldChar w:fldCharType="separate"/>
      </w:r>
      <w:r w:rsidR="00F94823" w:rsidRPr="00F94823">
        <w:rPr>
          <w:rFonts w:ascii="Arial" w:hAnsi="Arial" w:cs="Arial"/>
          <w:noProof/>
        </w:rPr>
        <w:t>(Ryder et al., 2013)</w:t>
      </w:r>
      <w:r w:rsidR="00F94823">
        <w:rPr>
          <w:rFonts w:ascii="Arial" w:hAnsi="Arial" w:cs="Arial"/>
        </w:rPr>
        <w:fldChar w:fldCharType="end"/>
      </w:r>
      <w:r w:rsidR="00B27441" w:rsidRPr="00B27441">
        <w:rPr>
          <w:rFonts w:ascii="Arial" w:hAnsi="Arial" w:cs="Arial"/>
        </w:rPr>
        <w:t xml:space="preserve">. Whilst some have reported long-distance transport (3500 km) of particles above 100 µm </w:t>
      </w:r>
      <w:r w:rsidR="00F94823">
        <w:rPr>
          <w:rFonts w:ascii="Arial" w:hAnsi="Arial" w:cs="Arial"/>
        </w:rPr>
        <w:fldChar w:fldCharType="begin" w:fldLock="1"/>
      </w:r>
      <w:r w:rsidR="009606C3">
        <w:rPr>
          <w:rFonts w:ascii="Arial" w:hAnsi="Arial" w:cs="Arial"/>
        </w:rPr>
        <w:instrText>ADDIN CSL_CITATION {"citationItems":[{"id":"ITEM-1","itemData":{"author":[{"dropping-particle":"","family":"Middleton","given":"Nicholas J.","non-dropping-particle":"","parse-names":false,"suffix":""},{"dropping-particle":"","family":"Betzer","given":"P. R.","non-dropping-particle":"","parse-names":false,"suffix":""},{"dropping-particle":"","family":"Bull","given":"Peter A.","non-dropping-particle":"","parse-names":false,"suffix":""}],"container-title":"Marine Geology","id":"ITEM-1","issued":{"date-parts":[["2001"]]},"page":"411-417","title":"Long-range transport of 'giant' aeolian quartz grains: linkage with discrete sedimentary sources and implications for protective particle transfer","type":"article-journal","volume":"177"},"uris":["http://www.mendeley.com/documents/?uuid=10f4b219-c9dd-4b6d-95af-a3052f427cc1"]},{"id":"ITEM-2","itemData":{"author":[{"dropping-particle":"","family":"Does","given":"Michèlle","non-dropping-particle":"Van Der","parse-names":false,"suffix":""},{"dropping-particle":"","family":"Knippertz","given":"Peter","non-dropping-particle":"","parse-names":false,"suffix":""},{"dropping-particle":"","family":"Zschenderlein","given":"Philipp","non-dropping-particle":"","parse-names":false,"suffix":""},{"dropping-particle":"","family":"Harrison","given":"R. Giles","non-dropping-particle":"","parse-names":false,"suffix":""},{"dropping-particle":"","family":"Stuut","given":"Jan-Berend W.","non-dropping-particle":"","parse-names":false,"suffix":""}],"container-title":"Science Advances","id":"ITEM-2","issued":{"date-parts":[["2018"]]},"page":"1-9","title":"The mysterious long-range transport of giant mineral dust particles","type":"article-journal","volume":"4"},"uris":["http://www.mendeley.com/documents/?uuid=7618453f-b618-408c-a385-abcfdf138a34"]},{"id":"ITEM-3","itemData":{"DOI":"10.1038/s41598-021-91481-z","ISBN":"0123456789","ISSN":"20452322","PMID":"34088966","abstract":"Mineral dust emissions from Saharan sources have an impact on the atmospheric environment and sedimentary units in distant regions. Here, we present the first systematic observations of long-range Saharan dust transport towards Iceland. Fifteen Saharan dust episodes were identified to have occurred between 2008 and 2020 based on aerosol optical depth data, backward trajectories and numerical models. Icelandic samples from the local dust sources were compared with deposited dust from two severe Saharan dust events in terms of their granulometric and mineralogical characteristics. The episodes were associated with enhanced meridional atmospheric flow patterns driven by unusual meandering jets. Strong winds were able to carry large Saharan quartz particles (&gt; 100 µm) towards Iceland. Our results confirm the atmospheric pathways of Saharan dust towards the Arctic, and identify new northward meridional long-ranged transport of giant dust particles from the Sahara, including the first evidence of their deposition in Iceland as previously predicted by models.","author":[{"dropping-particle":"","family":"Varga","given":"György","non-dropping-particle":"","parse-names":false,"suffix":""},{"dropping-particle":"","family":"Dagsson-Walhauserová","given":"Pavla","non-dropping-particle":"","parse-names":false,"suffix":""},{"dropping-particle":"","family":"Gresina","given":"Fruzsina","non-dropping-particle":"","parse-names":false,"suffix":""},{"dropping-particle":"","family":"Helgadottir","given":"Agusta","non-dropping-particle":"","parse-names":false,"suffix":""}],"container-title":"Scientific Reports","id":"ITEM-3","issue":"1","issued":{"date-parts":[["2021"]]},"page":"1-12","publisher":"Nature Publishing Group UK","title":"Saharan dust and giant quartz particle transport towards Iceland","type":"article-journal","volume":"11"},"uris":["http://www.mendeley.com/documents/?uuid=8e2ed191-07bd-4a57-ab1d-bc888d4dfc01"]}],"mendeley":{"formattedCitation":"(Middleton et al., 2001; Van Der Does et al., 2018; Varga et al., 2021)","plainTextFormattedCitation":"(Middleton et al., 2001; Van Der Does et al., 2018; Varga et al., 2021)","previouslyFormattedCitation":"(Middleton et al., 2001; Van Der Does et al., 2018; Varga et al., 2021)"},"properties":{"noteIndex":0},"schema":"https://github.com/citation-style-language/schema/raw/master/csl-citation.json"}</w:instrText>
      </w:r>
      <w:r w:rsidR="00F94823">
        <w:rPr>
          <w:rFonts w:ascii="Arial" w:hAnsi="Arial" w:cs="Arial"/>
        </w:rPr>
        <w:fldChar w:fldCharType="separate"/>
      </w:r>
      <w:r w:rsidR="00D6630A" w:rsidRPr="00D6630A">
        <w:rPr>
          <w:rFonts w:ascii="Arial" w:hAnsi="Arial" w:cs="Arial"/>
          <w:noProof/>
        </w:rPr>
        <w:t>(Middleton et al., 2001; Van Der Does et al., 2018; Varga et al., 2021)</w:t>
      </w:r>
      <w:r w:rsidR="00F94823">
        <w:rPr>
          <w:rFonts w:ascii="Arial" w:hAnsi="Arial" w:cs="Arial"/>
        </w:rPr>
        <w:fldChar w:fldCharType="end"/>
      </w:r>
      <w:r w:rsidR="00B27441" w:rsidRPr="00B27441">
        <w:rPr>
          <w:rFonts w:ascii="Arial" w:hAnsi="Arial" w:cs="Arial"/>
        </w:rPr>
        <w:t>, these</w:t>
      </w:r>
      <w:r w:rsidR="00D6630A">
        <w:rPr>
          <w:rFonts w:ascii="Arial" w:hAnsi="Arial" w:cs="Arial"/>
        </w:rPr>
        <w:t xml:space="preserve"> represent modern, interglacial setting transport and in most cases</w:t>
      </w:r>
      <w:r w:rsidR="00B27441" w:rsidRPr="00B27441">
        <w:rPr>
          <w:rFonts w:ascii="Arial" w:hAnsi="Arial" w:cs="Arial"/>
        </w:rPr>
        <w:t xml:space="preserve"> tend to </w:t>
      </w:r>
      <w:r w:rsidR="00D5116F">
        <w:rPr>
          <w:rFonts w:ascii="Arial" w:hAnsi="Arial" w:cs="Arial"/>
        </w:rPr>
        <w:t>comprise</w:t>
      </w:r>
      <w:r w:rsidR="00B27441" w:rsidRPr="00B27441">
        <w:rPr>
          <w:rFonts w:ascii="Arial" w:hAnsi="Arial" w:cs="Arial"/>
        </w:rPr>
        <w:t xml:space="preserve"> small contributions</w:t>
      </w:r>
      <w:r w:rsidR="00405FCD">
        <w:rPr>
          <w:rFonts w:ascii="Arial" w:hAnsi="Arial" w:cs="Arial"/>
        </w:rPr>
        <w:t xml:space="preserve"> in terms of volume</w:t>
      </w:r>
      <w:r w:rsidR="00B27441" w:rsidRPr="00B27441">
        <w:rPr>
          <w:rFonts w:ascii="Arial" w:hAnsi="Arial" w:cs="Arial"/>
        </w:rPr>
        <w:t xml:space="preserve">. Consideration also has to be given to the hydraulic sorting as a result of particle density. </w:t>
      </w:r>
      <w:r w:rsidR="00F94823">
        <w:rPr>
          <w:rFonts w:ascii="Arial" w:hAnsi="Arial" w:cs="Arial"/>
        </w:rPr>
        <w:fldChar w:fldCharType="begin" w:fldLock="1"/>
      </w:r>
      <w:r w:rsidR="00F94823">
        <w:rPr>
          <w:rFonts w:ascii="Arial" w:hAnsi="Arial" w:cs="Arial"/>
        </w:rPr>
        <w:instrText>ADDIN CSL_CITATION {"citationItems":[{"id":"ITEM-1","itemData":{"DOI":"10.1016/j.chemgeo.2013.04.010","ISSN":"00092541","abstract":"Isotopic characterization of aerosol mineral particles (atmospheric dust) of varying sizes is essential in classifying source areas, and for determining the source of dust deposited over oceans and icesheets. However, the effect of atmospheric transport on radiogenic isotopic compositions is not well constrained, making provenance interpretation difficult. In order to investigate the isotopic variability of 176Hf/177Hf, 87Sr/86Sr and 143Nd/144Nd we analyzed eight airborne dust samples in two size fractions collected along a cross-Atlantic transect through a dust storm originating in the Sahara in late 2002. Past measurements of 176Hf/177Hf, 87Sr/86Sr and 143Nd/144Nd of dust have focused primarily on coarse sized particles (&lt;30μm), whereas far field deposition is primarily finer particles (&lt;2μm). Strontium or neodymium isotopic sorting based on distance is not evident in our dataset; however, the combined isotopic ratios of the dust collected suggest a Saharan origin. Hafnium isotopic compositions show an east to west trend towards more radiogenic compositions across the Atlantic, suggesting grain and mineral sorting during dust transport along the ~4000km transect. Transport models with variable dust particle diameter and wind speed demonstrate the preferential depletion of the high-density mineral zircon during transport of dust from the source area. The transport model combined with a simple two component mixing model show that the Hf isotopic composition changes can be explained by the loss of the mineral zircon during transport. Modeling of this \"zircon effect\" with distance from the dust source in the Hf isotopic composition of marine, terrestrial and glacial dust deposits may reveal additional information concerning dust transport and sources in the geologic past. © 2013 Elsevier B.V.","author":[{"dropping-particle":"","family":"Aarons","given":"S. M.","non-dropping-particle":"","parse-names":false,"suffix":""},{"dropping-particle":"","family":"Aciego","given":"S. M.","non-dropping-particle":"","parse-names":false,"suffix":""},{"dropping-particle":"","family":"Gleason","given":"J. D.","non-dropping-particle":"","parse-names":false,"suffix":""}],"container-title":"Chemical Geology","id":"ITEM-1","issued":{"date-parts":[["2013"]]},"page":"18-26","publisher":"Elsevier B.V.","title":"Variable Hf-Sr-Nd radiogenic isotopic compositions in a Saharan dust storm over the Atlantic: Implications for dust flux to oceans, ice sheets and the terrestrial biosphere","type":"article-journal","volume":"349-350"},"uris":["http://www.mendeley.com/documents/?uuid=121683ac-6c5e-423b-8a1a-743d5ee17b78"]}],"mendeley":{"formattedCitation":"(Aarons et al., 2013)","manualFormatting":"Aarons et al. (2013)","plainTextFormattedCitation":"(Aarons et al., 2013)","previouslyFormattedCitation":"(Aarons et al., 2013)"},"properties":{"noteIndex":0},"schema":"https://github.com/citation-style-language/schema/raw/master/csl-citation.json"}</w:instrText>
      </w:r>
      <w:r w:rsidR="00F94823">
        <w:rPr>
          <w:rFonts w:ascii="Arial" w:hAnsi="Arial" w:cs="Arial"/>
        </w:rPr>
        <w:fldChar w:fldCharType="separate"/>
      </w:r>
      <w:r w:rsidR="00F94823" w:rsidRPr="00F94823">
        <w:rPr>
          <w:rFonts w:ascii="Arial" w:hAnsi="Arial" w:cs="Arial"/>
          <w:noProof/>
        </w:rPr>
        <w:t xml:space="preserve">Aarons et al. </w:t>
      </w:r>
      <w:r w:rsidR="00F94823">
        <w:rPr>
          <w:rFonts w:ascii="Arial" w:hAnsi="Arial" w:cs="Arial"/>
          <w:noProof/>
        </w:rPr>
        <w:t>(</w:t>
      </w:r>
      <w:r w:rsidR="00F94823" w:rsidRPr="00F94823">
        <w:rPr>
          <w:rFonts w:ascii="Arial" w:hAnsi="Arial" w:cs="Arial"/>
          <w:noProof/>
        </w:rPr>
        <w:t>2013)</w:t>
      </w:r>
      <w:r w:rsidR="00F94823">
        <w:rPr>
          <w:rFonts w:ascii="Arial" w:hAnsi="Arial" w:cs="Arial"/>
        </w:rPr>
        <w:fldChar w:fldCharType="end"/>
      </w:r>
      <w:r w:rsidR="00B27441" w:rsidRPr="00B27441">
        <w:rPr>
          <w:rFonts w:ascii="Arial" w:hAnsi="Arial" w:cs="Arial"/>
        </w:rPr>
        <w:t xml:space="preserve"> showed that 30 µm zircon dominated fractions will be only transported for 500 km under 11 km h</w:t>
      </w:r>
      <w:r w:rsidR="00B27441" w:rsidRPr="00F94823">
        <w:rPr>
          <w:rFonts w:ascii="Arial" w:hAnsi="Arial" w:cs="Arial"/>
          <w:vertAlign w:val="superscript"/>
        </w:rPr>
        <w:t>-1</w:t>
      </w:r>
      <w:r w:rsidR="00B27441" w:rsidRPr="00B27441">
        <w:rPr>
          <w:rFonts w:ascii="Arial" w:hAnsi="Arial" w:cs="Arial"/>
        </w:rPr>
        <w:t xml:space="preserve"> winds, and would require wind velocities of 29 km h</w:t>
      </w:r>
      <w:r w:rsidR="00B27441" w:rsidRPr="00F94823">
        <w:rPr>
          <w:rFonts w:ascii="Arial" w:hAnsi="Arial" w:cs="Arial"/>
          <w:vertAlign w:val="superscript"/>
        </w:rPr>
        <w:t>-1</w:t>
      </w:r>
      <w:r w:rsidR="00B27441" w:rsidRPr="00B27441">
        <w:rPr>
          <w:rFonts w:ascii="Arial" w:hAnsi="Arial" w:cs="Arial"/>
        </w:rPr>
        <w:t xml:space="preserve"> and 43 km h</w:t>
      </w:r>
      <w:r w:rsidR="00B27441" w:rsidRPr="00F94823">
        <w:rPr>
          <w:rFonts w:ascii="Arial" w:hAnsi="Arial" w:cs="Arial"/>
          <w:vertAlign w:val="superscript"/>
        </w:rPr>
        <w:t>-1</w:t>
      </w:r>
      <w:r w:rsidR="00B27441" w:rsidRPr="00B27441">
        <w:rPr>
          <w:rFonts w:ascii="Arial" w:hAnsi="Arial" w:cs="Arial"/>
        </w:rPr>
        <w:t xml:space="preserve"> to travel 1000 km and 2000 km, respectively. These values are also approximate calculations of </w:t>
      </w:r>
      <w:r w:rsidR="00F94823">
        <w:rPr>
          <w:rFonts w:ascii="Arial" w:hAnsi="Arial" w:cs="Arial"/>
        </w:rPr>
        <w:fldChar w:fldCharType="begin" w:fldLock="1"/>
      </w:r>
      <w:r w:rsidR="00F94823">
        <w:rPr>
          <w:rFonts w:ascii="Arial" w:hAnsi="Arial" w:cs="Arial"/>
        </w:rPr>
        <w:instrText>ADDIN CSL_CITATION {"citationItems":[{"id":"ITEM-1","itemData":{"DOI":"10.1111/j.1365-3091.1987.tb00566.x","ISSN":"13653091","abstract":"Although contemporary dust storms are frequent in arid and semi</w:instrText>
      </w:r>
      <w:r w:rsidR="00F94823">
        <w:rPr>
          <w:rFonts w:ascii="Cambria Math" w:hAnsi="Cambria Math" w:cs="Cambria Math"/>
        </w:rPr>
        <w:instrText>‐</w:instrText>
      </w:r>
      <w:r w:rsidR="00F94823">
        <w:rPr>
          <w:rFonts w:ascii="Arial" w:hAnsi="Arial" w:cs="Arial"/>
        </w:rPr>
        <w:instrText>arid areas, desert loess deposits are poorly developed. Much of the World's loess occurs in mid</w:instrText>
      </w:r>
      <w:r w:rsidR="00F94823">
        <w:rPr>
          <w:rFonts w:ascii="Cambria Math" w:hAnsi="Cambria Math" w:cs="Cambria Math"/>
        </w:rPr>
        <w:instrText>‐</w:instrText>
      </w:r>
      <w:r w:rsidR="00F94823">
        <w:rPr>
          <w:rFonts w:ascii="Arial" w:hAnsi="Arial" w:cs="Arial"/>
        </w:rPr>
        <w:instrText>latitude areas which experienced glaciation during the Pleistocene. Ocean core evidence indicates that dust transport from sub</w:instrText>
      </w:r>
      <w:r w:rsidR="00F94823">
        <w:rPr>
          <w:rFonts w:ascii="Cambria Math" w:hAnsi="Cambria Math" w:cs="Cambria Math"/>
        </w:rPr>
        <w:instrText>‐</w:instrText>
      </w:r>
      <w:r w:rsidR="00F94823">
        <w:rPr>
          <w:rFonts w:ascii="Arial" w:hAnsi="Arial" w:cs="Arial"/>
        </w:rPr>
        <w:instrText>tropical deserts increased during cold stages of the Pleistocene, but loess formed only on certain desert margins, for reasons which have not been fully explained. This paper re</w:instrText>
      </w:r>
      <w:r w:rsidR="00F94823">
        <w:rPr>
          <w:rFonts w:ascii="Cambria Math" w:hAnsi="Cambria Math" w:cs="Cambria Math"/>
        </w:rPr>
        <w:instrText>‐</w:instrText>
      </w:r>
      <w:r w:rsidR="00F94823">
        <w:rPr>
          <w:rFonts w:ascii="Arial" w:hAnsi="Arial" w:cs="Arial"/>
        </w:rPr>
        <w:instrText>examines the mechanisms of dust transport and deposition, and the circumstances leading to the accumulation of thick loess. Typical loess is composed mainly of medium silt grains which are transported in short</w:instrText>
      </w:r>
      <w:r w:rsidR="00F94823">
        <w:rPr>
          <w:rFonts w:ascii="Cambria Math" w:hAnsi="Cambria Math" w:cs="Cambria Math"/>
        </w:rPr>
        <w:instrText>‐</w:instrText>
      </w:r>
      <w:r w:rsidR="00F94823">
        <w:rPr>
          <w:rFonts w:ascii="Arial" w:hAnsi="Arial" w:cs="Arial"/>
        </w:rPr>
        <w:instrText>term suspension a few metres above the ground. Significant thicknesses of loess form only when dust is trapped within a limited area, often relatively close to the source. Dust particles finer than 20 μm are transported mainly in long</w:instrText>
      </w:r>
      <w:r w:rsidR="00F94823">
        <w:rPr>
          <w:rFonts w:ascii="Cambria Math" w:hAnsi="Cambria Math" w:cs="Cambria Math"/>
        </w:rPr>
        <w:instrText>‐</w:instrText>
      </w:r>
      <w:r w:rsidR="00F94823">
        <w:rPr>
          <w:rFonts w:ascii="Arial" w:hAnsi="Arial" w:cs="Arial"/>
        </w:rPr>
        <w:instrText>term suspension over a greater height range and may be widely dispersed. The availability of silt and the frequency, magnitude and direction of dust</w:instrText>
      </w:r>
      <w:r w:rsidR="00F94823">
        <w:rPr>
          <w:rFonts w:ascii="Cambria Math" w:hAnsi="Cambria Math" w:cs="Cambria Math"/>
        </w:rPr>
        <w:instrText>‐</w:instrText>
      </w:r>
      <w:r w:rsidR="00F94823">
        <w:rPr>
          <w:rFonts w:ascii="Arial" w:hAnsi="Arial" w:cs="Arial"/>
        </w:rPr>
        <w:instrText>transporting winds are important factors governing the potential for loess formation, but the existence of a suitable dust trap is particularly important. Traps may be formed by topographic obstacles, areas of moist ground, or vegetated surfaces. Vegetation adjacent to glacial outwash plains and braided meltwater streams trapped dust in mid</w:instrText>
      </w:r>
      <w:r w:rsidR="00F94823">
        <w:rPr>
          <w:rFonts w:ascii="Cambria Math" w:hAnsi="Cambria Math" w:cs="Cambria Math"/>
        </w:rPr>
        <w:instrText>‐</w:instrText>
      </w:r>
      <w:r w:rsidR="00F94823">
        <w:rPr>
          <w:rFonts w:ascii="Arial" w:hAnsi="Arial" w:cs="Arial"/>
        </w:rPr>
        <w:instrText>latitudes during the Pleistocene. Dust blown during glacial periods from certain deserts, notably in Sinai, Soviet Central Asia and China, accumulated as loess in neighbouring semi</w:instrText>
      </w:r>
      <w:r w:rsidR="00F94823">
        <w:rPr>
          <w:rFonts w:ascii="Cambria Math" w:hAnsi="Cambria Math" w:cs="Cambria Math"/>
        </w:rPr>
        <w:instrText>‐</w:instrText>
      </w:r>
      <w:r w:rsidR="00F94823">
        <w:rPr>
          <w:rFonts w:ascii="Arial" w:hAnsi="Arial" w:cs="Arial"/>
        </w:rPr>
        <w:instrText>arid regions. On the margins of other deserts loess formation was inhibited partly by the absence of vegetation traps. During most of the Holocene net dust deposition rates in all desert</w:instrText>
      </w:r>
      <w:r w:rsidR="00F94823">
        <w:rPr>
          <w:rFonts w:ascii="Cambria Math" w:hAnsi="Cambria Math" w:cs="Cambria Math"/>
        </w:rPr>
        <w:instrText>‐</w:instrText>
      </w:r>
      <w:r w:rsidR="00F94823">
        <w:rPr>
          <w:rFonts w:ascii="Arial" w:hAnsi="Arial" w:cs="Arial"/>
        </w:rPr>
        <w:instrText>marginal areas have been too low for significant loess accumulation. This is mainly due to a reduction in silt availability and a tendency towards landscape stability. Reported dust storm frequencies during the past 50 years over</w:instrText>
      </w:r>
      <w:r w:rsidR="00F94823">
        <w:rPr>
          <w:rFonts w:ascii="Cambria Math" w:hAnsi="Cambria Math" w:cs="Cambria Math"/>
        </w:rPr>
        <w:instrText>‐</w:instrText>
      </w:r>
      <w:r w:rsidR="00F94823">
        <w:rPr>
          <w:rFonts w:ascii="Arial" w:hAnsi="Arial" w:cs="Arial"/>
        </w:rPr>
        <w:instrText>estimate the longer</w:instrText>
      </w:r>
      <w:r w:rsidR="00F94823">
        <w:rPr>
          <w:rFonts w:ascii="Cambria Math" w:hAnsi="Cambria Math" w:cs="Cambria Math"/>
        </w:rPr>
        <w:instrText>‐</w:instrText>
      </w:r>
      <w:r w:rsidR="00F94823">
        <w:rPr>
          <w:rFonts w:ascii="Arial" w:hAnsi="Arial" w:cs="Arial"/>
        </w:rPr>
        <w:instrText>term Holocene dust flux due to the effects of human activities. Much modern dust owes its origin to erosion of cultivated soils in semi</w:instrText>
      </w:r>
      <w:r w:rsidR="00F94823">
        <w:rPr>
          <w:rFonts w:ascii="Cambria Math" w:hAnsi="Cambria Math" w:cs="Cambria Math"/>
        </w:rPr>
        <w:instrText>‐</w:instrText>
      </w:r>
      <w:r w:rsidR="00F94823">
        <w:rPr>
          <w:rFonts w:ascii="Arial" w:hAnsi="Arial" w:cs="Arial"/>
        </w:rPr>
        <w:instrText>arid areas and is finer than typical loess. Copyright © 1987, Wiley Blackwell. All rights reserved","author":[{"dropping-particle":"","family":"Tsoar","given":"H.","non-dropping-particle":"","parse-names":false,"suffix":""},{"dropping-particle":"","family":"Pye","given":"Kenneth","non-dropping-particle":"","parse-names":false,"suffix":""}],"container-title":"Sedimentology","id":"ITEM-1","issued":{"date-parts":[["1987"]]},"page":"139-153","title":"Dust transport and the question of desert loess formation","type":"article-journal","volume":"34"},"uris":["http://www.mendeley.com/documents/?uuid=7aecbd95-0212-42be-81ee-9b07a5fc308f"]}],"mendeley":{"formattedCitation":"(Tsoar and Pye, 1987)","manualFormatting":"Tsoar and Pye (1987)","plainTextFormattedCitation":"(Tsoar and Pye, 1987)","previouslyFormattedCitation":"(Tsoar and Pye, 1987)"},"properties":{"noteIndex":0},"schema":"https://github.com/citation-style-language/schema/raw/master/csl-citation.json"}</w:instrText>
      </w:r>
      <w:r w:rsidR="00F94823">
        <w:rPr>
          <w:rFonts w:ascii="Arial" w:hAnsi="Arial" w:cs="Arial"/>
        </w:rPr>
        <w:fldChar w:fldCharType="separate"/>
      </w:r>
      <w:r w:rsidR="00F94823" w:rsidRPr="00F94823">
        <w:rPr>
          <w:rFonts w:ascii="Arial" w:hAnsi="Arial" w:cs="Arial"/>
          <w:noProof/>
        </w:rPr>
        <w:t xml:space="preserve">Tsoar and Pye </w:t>
      </w:r>
      <w:r w:rsidR="00F94823">
        <w:rPr>
          <w:rFonts w:ascii="Arial" w:hAnsi="Arial" w:cs="Arial"/>
          <w:noProof/>
        </w:rPr>
        <w:t>(</w:t>
      </w:r>
      <w:r w:rsidR="00F94823" w:rsidRPr="00F94823">
        <w:rPr>
          <w:rFonts w:ascii="Arial" w:hAnsi="Arial" w:cs="Arial"/>
          <w:noProof/>
        </w:rPr>
        <w:t>1987)</w:t>
      </w:r>
      <w:r w:rsidR="00F94823">
        <w:rPr>
          <w:rFonts w:ascii="Arial" w:hAnsi="Arial" w:cs="Arial"/>
        </w:rPr>
        <w:fldChar w:fldCharType="end"/>
      </w:r>
      <w:r w:rsidR="00B27441" w:rsidRPr="00B27441">
        <w:rPr>
          <w:rFonts w:ascii="Arial" w:hAnsi="Arial" w:cs="Arial"/>
        </w:rPr>
        <w:t xml:space="preserve"> which also suggested a need for hurricane strength winds to transport large proportion of grains larger than 20 µm over 1000 km. Given that zircons analysed in this study are larger than 20-25 µm and the distance between Pannonian Basin and the north African coast </w:t>
      </w:r>
      <w:r w:rsidR="00D5116F">
        <w:rPr>
          <w:rFonts w:ascii="Arial" w:hAnsi="Arial" w:cs="Arial"/>
        </w:rPr>
        <w:t xml:space="preserve">is </w:t>
      </w:r>
      <w:r w:rsidR="00B27441" w:rsidRPr="00B27441">
        <w:rPr>
          <w:rFonts w:ascii="Arial" w:hAnsi="Arial" w:cs="Arial"/>
        </w:rPr>
        <w:t>1400-1600 km, it is extremely unlikely that far-travelled North African material is a meaningful source of zircons for the Danubian loess.</w:t>
      </w:r>
      <w:r w:rsidR="00D5116F">
        <w:rPr>
          <w:rFonts w:ascii="Arial" w:hAnsi="Arial" w:cs="Arial"/>
        </w:rPr>
        <w:t xml:space="preserve"> Especially as this research demonstrated that a number of local sources were active during the last glacial period, and would have overwhelmed </w:t>
      </w:r>
      <w:r w:rsidR="00D5116F" w:rsidRPr="00D5116F">
        <w:rPr>
          <w:rFonts w:ascii="Arial" w:hAnsi="Arial" w:cs="Arial"/>
        </w:rPr>
        <w:t>any long-range coarse particle contribution</w:t>
      </w:r>
      <w:r w:rsidR="00D5116F">
        <w:rPr>
          <w:rFonts w:ascii="Arial" w:hAnsi="Arial" w:cs="Arial"/>
        </w:rPr>
        <w:t>s.</w:t>
      </w:r>
      <w:r w:rsidR="00B27441" w:rsidRPr="00B27441">
        <w:rPr>
          <w:rFonts w:ascii="Arial" w:hAnsi="Arial" w:cs="Arial"/>
        </w:rPr>
        <w:t xml:space="preserve"> However this dataset cannot resolve </w:t>
      </w:r>
      <w:r w:rsidR="005B3A14">
        <w:rPr>
          <w:rFonts w:ascii="Arial" w:hAnsi="Arial" w:cs="Arial"/>
        </w:rPr>
        <w:t xml:space="preserve">potential </w:t>
      </w:r>
      <w:r w:rsidR="00B27441" w:rsidRPr="00B27441">
        <w:rPr>
          <w:rFonts w:ascii="Arial" w:hAnsi="Arial" w:cs="Arial"/>
        </w:rPr>
        <w:t>Saharan contributions of grains &lt;20 µm and lighter mineral fractions to Quaternary archives in the Pannonian Basin and vicinity, such as palaeosols</w:t>
      </w:r>
      <w:r w:rsidR="00F94823">
        <w:rPr>
          <w:rFonts w:ascii="Arial" w:hAnsi="Arial" w:cs="Arial"/>
        </w:rPr>
        <w:t xml:space="preserve"> </w:t>
      </w:r>
      <w:r w:rsidR="00F94823">
        <w:rPr>
          <w:rFonts w:ascii="Arial" w:hAnsi="Arial" w:cs="Arial"/>
        </w:rPr>
        <w:fldChar w:fldCharType="begin" w:fldLock="1"/>
      </w:r>
      <w:r w:rsidR="00F94823">
        <w:rPr>
          <w:rFonts w:ascii="Arial" w:hAnsi="Arial" w:cs="Arial"/>
        </w:rPr>
        <w:instrText>ADDIN CSL_CITATION {"citationItems":[{"id":"ITEM-1","itemData":{"DOI":"10.1016/j.aeolia.2016.05.004","author":[{"dropping-particle":"","family":"Varga","given":"György","non-dropping-particle":"","parse-names":false,"suffix":""},{"dropping-particle":"","family":"Cserháti","given":"Csaba","non-dropping-particle":"","parse-names":false,"suffix":""},{"dropping-particle":"","family":"Kovács","given":"János I.","non-dropping-particle":"","parse-names":false,"suffix":""},{"dropping-particle":"","family":"Szalai","given":"Zoltán","non-dropping-particle":"","parse-names":false,"suffix":""}],"container-title":"Aeolian Research","id":"ITEM-1","issued":{"date-parts":[["2016"]]},"page":"1-12","title":"Saharan dust deposition in the Carpathian Basin and its possible effects on interglacial soil formation","type":"article-journal","volume":"22"},"uris":["http://www.mendeley.com/documents/?uuid=2cf1538b-45a1-41f2-8516-0b70de4443eb"]},{"id":"ITEM-2","itemData":{"DOI":"10.1016/j.gloplacha.2012.11.007","ISSN":"0921-8181","author":[{"dropping-particle":"","family":"Varga","given":"György","non-dropping-particle":"","parse-names":false,"suffix":""},{"dropping-particle":"","family":"Kovács","given":"János I.","non-dropping-particle":"","parse-names":false,"suffix":""},{"dropping-particle":"","family":"Újvári","given":"Gábor","non-dropping-particle":"","parse-names":false,"suffix":""}],"container-title":"Global and Planetary Change","id":"ITEM-2","issued":{"date-parts":[["2013"]]},"page":"333-342","publisher":"Elsevier B.V.","title":"Analysis of Saharan dust intrusions into the Carpathian Basin (Central Europe) over the period of 1979 – 2011","type":"article-journal","volume":"100"},"uris":["http://www.mendeley.com/documents/?uuid=bd5b5bd8-adc3-495f-9f69-1face03b3fc9"]}],"mendeley":{"formattedCitation":"(Varga et al., 2016, 2013)","plainTextFormattedCitation":"(Varga et al., 2016, 2013)","previouslyFormattedCitation":"(Varga et al., 2016, 2013)"},"properties":{"noteIndex":0},"schema":"https://github.com/citation-style-language/schema/raw/master/csl-citation.json"}</w:instrText>
      </w:r>
      <w:r w:rsidR="00F94823">
        <w:rPr>
          <w:rFonts w:ascii="Arial" w:hAnsi="Arial" w:cs="Arial"/>
        </w:rPr>
        <w:fldChar w:fldCharType="separate"/>
      </w:r>
      <w:r w:rsidR="00F94823" w:rsidRPr="00F94823">
        <w:rPr>
          <w:rFonts w:ascii="Arial" w:hAnsi="Arial" w:cs="Arial"/>
          <w:noProof/>
        </w:rPr>
        <w:t>(Varga et al., 2016, 2013)</w:t>
      </w:r>
      <w:r w:rsidR="00F94823">
        <w:rPr>
          <w:rFonts w:ascii="Arial" w:hAnsi="Arial" w:cs="Arial"/>
        </w:rPr>
        <w:fldChar w:fldCharType="end"/>
      </w:r>
      <w:r w:rsidR="00B27441" w:rsidRPr="00B27441">
        <w:rPr>
          <w:rFonts w:ascii="Arial" w:hAnsi="Arial" w:cs="Arial"/>
        </w:rPr>
        <w:t xml:space="preserve"> and peat bogs</w:t>
      </w:r>
      <w:r w:rsidR="00F94823">
        <w:rPr>
          <w:rFonts w:ascii="Arial" w:hAnsi="Arial" w:cs="Arial"/>
        </w:rPr>
        <w:t xml:space="preserve"> </w:t>
      </w:r>
      <w:r w:rsidR="00F94823">
        <w:rPr>
          <w:rFonts w:ascii="Arial" w:hAnsi="Arial" w:cs="Arial"/>
        </w:rPr>
        <w:fldChar w:fldCharType="begin" w:fldLock="1"/>
      </w:r>
      <w:r w:rsidR="00E945CA">
        <w:rPr>
          <w:rFonts w:ascii="Arial" w:hAnsi="Arial" w:cs="Arial"/>
        </w:rPr>
        <w:instrText>ADDIN CSL_CITATION {"citationItems":[{"id":"ITEM-1","itemData":{"DOI":"10.5194/cp-13-897-2017","ISSN":"18149332","abstract":"Reconstructions of dust flux have been used to produce valuable global records of changes in atmospheric circulation and aridity. These studies have highlighted the importance of atmospheric dust in marine and terrestrial biogeochemistry and nutrient cycling. By investigating a 10&amp;amp;thinsp;800-year long paleoclimate archive from the Eastern Carpathians (Romania) we present the first peat record of changing dust deposition over the Holocene for the Carpathian-Balkan region. Using qualitative (XRF core scanning) and quantitative (ICP-OES) measurements of lithogenic (Fe, K, Si, Ti) elements, we identify 11 periods of major dust deposition between: 9500&amp;amp;ndash;9100, 8400&amp;amp;ndash;8100, 7720&amp;amp;ndash;7250, 6350&amp;amp;ndash;6000, 5450&amp;amp;ndash;5050, 4130&amp;amp;ndash;3770, 3450&amp;amp;ndash;2850, 2100&amp;amp;ndash;1450, 800&amp;amp;ndash;620, and 60&amp;amp;thinsp;cal&amp;amp;thinsp;yr BP to present. In addition, we used testate amoeba assemblages preserved within the peat to infer local palaeohydroclimate conditions. Our record highlights several discrepancies between eastern and western European dust depositional records, and the impact of highly complex hydrological regimes in the Carpathian region. After 6100&amp;amp;thinsp;cal&amp;amp;thinsp;yr BP, we find that the geochemical indicators of dust flux become uncoupled from the local hydrology. This coincides with the appearance of millennial-scale cycles in the dust input and changes in geochemical composition of dust. We suggest this is indicative of a shift in dust provenance from local/regional (likely loess-related) to distal (Saharan) sources which coincide with the end of the African Humid Period and the onset of Saharan desertification.","author":[{"dropping-particle":"","family":"Longman","given":"Jack","non-dropping-particle":"","parse-names":false,"suffix":""},{"dropping-particle":"","family":"Veres","given":"Daniel","non-dropping-particle":"","parse-names":false,"suffix":""},{"dropping-particle":"","family":"Ersek","given":"Vasile","non-dropping-particle":"","parse-names":false,"suffix":""},{"dropping-particle":"","family":"Salzmann","given":"Ulrich","non-dropping-particle":"","parse-names":false,"suffix":""},{"dropping-particle":"","family":"Hubay","given":"Katalin","non-dropping-particle":"","parse-names":false,"suffix":""},{"dropping-particle":"","family":"Bormann","given":"Marc","non-dropping-particle":"","parse-names":false,"suffix":""},{"dropping-particle":"","family":"Wennrich","given":"Volker","non-dropping-particle":"","parse-names":false,"suffix":""},{"dropping-particle":"","family":"Schäbitz","given":"Frank","non-dropping-particle":"","parse-names":false,"suffix":""}],"container-title":"Climate of the Past","id":"ITEM-1","issue":"7","issued":{"date-parts":[["2017"]]},"page":"897-917","title":"Periodic input of dust over the Eastern Carpathians during the Holocene linked with Saharan desertification and human impact","type":"article-journal","volume":"13"},"uris":["http://www.mendeley.com/documents/?uuid=2fdb9ac5-fc68-4ff4-b911-7a0cd3c8c97e"]}],"mendeley":{"formattedCitation":"(Longman et al., 2017)","plainTextFormattedCitation":"(Longman et al., 2017)","previouslyFormattedCitation":"(Longman et al., 2017)"},"properties":{"noteIndex":0},"schema":"https://github.com/citation-style-language/schema/raw/master/csl-citation.json"}</w:instrText>
      </w:r>
      <w:r w:rsidR="00F94823">
        <w:rPr>
          <w:rFonts w:ascii="Arial" w:hAnsi="Arial" w:cs="Arial"/>
        </w:rPr>
        <w:fldChar w:fldCharType="separate"/>
      </w:r>
      <w:r w:rsidR="00F94823" w:rsidRPr="00F94823">
        <w:rPr>
          <w:rFonts w:ascii="Arial" w:hAnsi="Arial" w:cs="Arial"/>
          <w:noProof/>
        </w:rPr>
        <w:t>(Longman et al., 2017)</w:t>
      </w:r>
      <w:r w:rsidR="00F94823">
        <w:rPr>
          <w:rFonts w:ascii="Arial" w:hAnsi="Arial" w:cs="Arial"/>
        </w:rPr>
        <w:fldChar w:fldCharType="end"/>
      </w:r>
      <w:r w:rsidR="00B27441" w:rsidRPr="00B27441">
        <w:rPr>
          <w:rFonts w:ascii="Arial" w:hAnsi="Arial" w:cs="Arial"/>
        </w:rPr>
        <w:t>, and a Saharan dust source to this sediment fraction remains plausible. Overall though the simplest explanation for the source of medium and coarse silt size zircons in loess is the drainage area of the Danube River.</w:t>
      </w:r>
    </w:p>
    <w:bookmarkEnd w:id="98"/>
    <w:p w14:paraId="3061CECC" w14:textId="1BCCE9F9" w:rsidR="00C0463E" w:rsidRPr="00964EE7" w:rsidRDefault="00907C61" w:rsidP="00390AF2">
      <w:pPr>
        <w:pStyle w:val="Heading2"/>
        <w:numPr>
          <w:ilvl w:val="1"/>
          <w:numId w:val="34"/>
        </w:numPr>
        <w:spacing w:before="120" w:after="120" w:line="480" w:lineRule="auto"/>
        <w:ind w:left="851" w:hanging="851"/>
        <w:jc w:val="both"/>
        <w:rPr>
          <w:rFonts w:ascii="Arial" w:hAnsi="Arial" w:cs="Arial"/>
          <w:i/>
          <w:color w:val="auto"/>
          <w:sz w:val="24"/>
          <w:szCs w:val="24"/>
        </w:rPr>
      </w:pPr>
      <w:r>
        <w:rPr>
          <w:rFonts w:ascii="Arial" w:hAnsi="Arial" w:cs="Arial"/>
          <w:i/>
          <w:color w:val="auto"/>
          <w:sz w:val="24"/>
          <w:szCs w:val="24"/>
        </w:rPr>
        <w:t>Spatial variability of provenance signal along the Danube</w:t>
      </w:r>
    </w:p>
    <w:p w14:paraId="0AEF429F" w14:textId="3A65052E" w:rsidR="00156674" w:rsidRDefault="000977F4" w:rsidP="00614941">
      <w:pPr>
        <w:spacing w:before="120" w:after="120" w:line="480" w:lineRule="auto"/>
        <w:jc w:val="both"/>
        <w:rPr>
          <w:rFonts w:ascii="Arial" w:hAnsi="Arial" w:cs="Arial"/>
        </w:rPr>
      </w:pPr>
      <w:r>
        <w:rPr>
          <w:rFonts w:ascii="Arial" w:hAnsi="Arial" w:cs="Arial"/>
        </w:rPr>
        <w:t xml:space="preserve">In addition to </w:t>
      </w:r>
      <w:r w:rsidR="002D5859">
        <w:rPr>
          <w:rFonts w:ascii="Arial" w:hAnsi="Arial" w:cs="Arial"/>
        </w:rPr>
        <w:t>constraining the distributions of source regions</w:t>
      </w:r>
      <w:r>
        <w:rPr>
          <w:rFonts w:ascii="Arial" w:hAnsi="Arial" w:cs="Arial"/>
        </w:rPr>
        <w:t>, the M</w:t>
      </w:r>
      <w:r w:rsidR="00E47335" w:rsidRPr="00D85DD7">
        <w:rPr>
          <w:rFonts w:ascii="Arial" w:hAnsi="Arial" w:cs="Arial"/>
        </w:rPr>
        <w:t xml:space="preserve">DS map </w:t>
      </w:r>
      <w:r w:rsidR="00211CAC">
        <w:rPr>
          <w:rFonts w:ascii="Arial" w:hAnsi="Arial" w:cs="Arial"/>
        </w:rPr>
        <w:t>(</w:t>
      </w:r>
      <w:r w:rsidR="00230DA8">
        <w:rPr>
          <w:rFonts w:ascii="Arial" w:hAnsi="Arial" w:cs="Arial"/>
        </w:rPr>
        <w:t xml:space="preserve">Figure </w:t>
      </w:r>
      <w:r w:rsidR="00D076EE">
        <w:rPr>
          <w:rFonts w:ascii="Arial" w:hAnsi="Arial" w:cs="Arial"/>
        </w:rPr>
        <w:t>7</w:t>
      </w:r>
      <w:r w:rsidR="00211CAC" w:rsidRPr="00C64282">
        <w:rPr>
          <w:rFonts w:ascii="Arial" w:hAnsi="Arial" w:cs="Arial"/>
        </w:rPr>
        <w:t>)</w:t>
      </w:r>
      <w:r w:rsidR="00230DA8">
        <w:rPr>
          <w:rFonts w:ascii="Arial" w:hAnsi="Arial" w:cs="Arial"/>
        </w:rPr>
        <w:t xml:space="preserve"> </w:t>
      </w:r>
      <w:r>
        <w:rPr>
          <w:rFonts w:ascii="Arial" w:hAnsi="Arial" w:cs="Arial"/>
        </w:rPr>
        <w:t>outlines</w:t>
      </w:r>
      <w:r w:rsidR="00211CAC">
        <w:rPr>
          <w:rFonts w:ascii="Arial" w:hAnsi="Arial" w:cs="Arial"/>
        </w:rPr>
        <w:t xml:space="preserve"> the relationship between individual loess sites. </w:t>
      </w:r>
      <w:r w:rsidR="00230DA8" w:rsidRPr="00D85DD7">
        <w:rPr>
          <w:rFonts w:ascii="Arial" w:hAnsi="Arial" w:cs="Arial"/>
        </w:rPr>
        <w:t xml:space="preserve">The proximity of </w:t>
      </w:r>
      <w:r w:rsidR="00211CAC">
        <w:rPr>
          <w:rFonts w:ascii="Arial" w:hAnsi="Arial" w:cs="Arial"/>
        </w:rPr>
        <w:t>all</w:t>
      </w:r>
      <w:r w:rsidR="00230DA8" w:rsidRPr="00D85DD7">
        <w:rPr>
          <w:rFonts w:ascii="Arial" w:hAnsi="Arial" w:cs="Arial"/>
        </w:rPr>
        <w:t xml:space="preserve"> loess</w:t>
      </w:r>
      <w:r w:rsidR="00211CAC">
        <w:rPr>
          <w:rFonts w:ascii="Arial" w:hAnsi="Arial" w:cs="Arial"/>
        </w:rPr>
        <w:t xml:space="preserve"> sites</w:t>
      </w:r>
      <w:r w:rsidR="00230DA8" w:rsidRPr="00D85DD7">
        <w:rPr>
          <w:rFonts w:ascii="Arial" w:hAnsi="Arial" w:cs="Arial"/>
        </w:rPr>
        <w:t xml:space="preserve"> to the </w:t>
      </w:r>
      <w:r w:rsidR="00211CAC">
        <w:rPr>
          <w:rFonts w:ascii="Arial" w:hAnsi="Arial" w:cs="Arial"/>
        </w:rPr>
        <w:t xml:space="preserve">Lower </w:t>
      </w:r>
      <w:r w:rsidR="00230DA8" w:rsidRPr="00D85DD7">
        <w:rPr>
          <w:rFonts w:ascii="Arial" w:hAnsi="Arial" w:cs="Arial"/>
        </w:rPr>
        <w:lastRenderedPageBreak/>
        <w:t>Danube</w:t>
      </w:r>
      <w:r w:rsidR="001E273F">
        <w:rPr>
          <w:rFonts w:ascii="Arial" w:hAnsi="Arial" w:cs="Arial"/>
        </w:rPr>
        <w:t xml:space="preserve"> River sample (Figure 1</w:t>
      </w:r>
      <w:r w:rsidR="008C7557">
        <w:rPr>
          <w:rFonts w:ascii="Arial" w:hAnsi="Arial" w:cs="Arial"/>
        </w:rPr>
        <w:t xml:space="preserve">, </w:t>
      </w:r>
      <w:r w:rsidR="001E273F">
        <w:rPr>
          <w:rFonts w:ascii="Arial" w:hAnsi="Arial" w:cs="Arial"/>
        </w:rPr>
        <w:t>points 9, 10, and 12)</w:t>
      </w:r>
      <w:r w:rsidR="00230DA8" w:rsidRPr="00D85DD7">
        <w:rPr>
          <w:rFonts w:ascii="Arial" w:hAnsi="Arial" w:cs="Arial"/>
        </w:rPr>
        <w:t xml:space="preserve"> and</w:t>
      </w:r>
      <w:r w:rsidR="00230DA8">
        <w:rPr>
          <w:rFonts w:ascii="Arial" w:hAnsi="Arial" w:cs="Arial"/>
        </w:rPr>
        <w:t xml:space="preserve"> its</w:t>
      </w:r>
      <w:r w:rsidR="00230DA8" w:rsidRPr="00D85DD7">
        <w:rPr>
          <w:rFonts w:ascii="Arial" w:hAnsi="Arial" w:cs="Arial"/>
        </w:rPr>
        <w:t xml:space="preserve"> tributar</w:t>
      </w:r>
      <w:r w:rsidR="00230DA8">
        <w:rPr>
          <w:rFonts w:ascii="Arial" w:hAnsi="Arial" w:cs="Arial"/>
        </w:rPr>
        <w:t>ies</w:t>
      </w:r>
      <w:r w:rsidR="00230DA8" w:rsidRPr="00D85DD7">
        <w:rPr>
          <w:rFonts w:ascii="Arial" w:hAnsi="Arial" w:cs="Arial"/>
        </w:rPr>
        <w:t xml:space="preserve"> further supports the conclusion th</w:t>
      </w:r>
      <w:r>
        <w:rPr>
          <w:rFonts w:ascii="Arial" w:hAnsi="Arial" w:cs="Arial"/>
        </w:rPr>
        <w:t xml:space="preserve">at loess profiles </w:t>
      </w:r>
      <w:r w:rsidR="00230DA8" w:rsidRPr="00D85DD7">
        <w:rPr>
          <w:rFonts w:ascii="Arial" w:hAnsi="Arial" w:cs="Arial"/>
        </w:rPr>
        <w:t xml:space="preserve">inherit U-Pb age signatures of the </w:t>
      </w:r>
      <w:r w:rsidR="00685D86">
        <w:rPr>
          <w:rFonts w:ascii="Arial" w:hAnsi="Arial" w:cs="Arial"/>
        </w:rPr>
        <w:t xml:space="preserve">adjacent </w:t>
      </w:r>
      <w:r w:rsidR="00230DA8" w:rsidRPr="00D85DD7">
        <w:rPr>
          <w:rFonts w:ascii="Arial" w:hAnsi="Arial" w:cs="Arial"/>
        </w:rPr>
        <w:t xml:space="preserve">river material. </w:t>
      </w:r>
      <w:r w:rsidR="002D5859">
        <w:rPr>
          <w:rFonts w:ascii="Arial" w:hAnsi="Arial" w:cs="Arial"/>
        </w:rPr>
        <w:t xml:space="preserve">The </w:t>
      </w:r>
      <w:r w:rsidR="00211CAC">
        <w:rPr>
          <w:rFonts w:ascii="Arial" w:hAnsi="Arial" w:cs="Arial"/>
        </w:rPr>
        <w:t xml:space="preserve">MDS </w:t>
      </w:r>
      <w:r w:rsidR="002D5859">
        <w:rPr>
          <w:rFonts w:ascii="Arial" w:hAnsi="Arial" w:cs="Arial"/>
        </w:rPr>
        <w:t xml:space="preserve">plot </w:t>
      </w:r>
      <w:r w:rsidR="00214085">
        <w:rPr>
          <w:rFonts w:ascii="Arial" w:hAnsi="Arial" w:cs="Arial"/>
        </w:rPr>
        <w:t xml:space="preserve">inset </w:t>
      </w:r>
      <w:r w:rsidR="00211CAC">
        <w:rPr>
          <w:rFonts w:ascii="Arial" w:hAnsi="Arial" w:cs="Arial"/>
        </w:rPr>
        <w:t>shows s</w:t>
      </w:r>
      <w:r w:rsidR="00230DA8">
        <w:rPr>
          <w:rFonts w:ascii="Arial" w:hAnsi="Arial" w:cs="Arial"/>
        </w:rPr>
        <w:t>mall differences in provenance between loess sites, however a</w:t>
      </w:r>
      <w:r w:rsidR="00E47335" w:rsidRPr="00D85DD7">
        <w:rPr>
          <w:rFonts w:ascii="Arial" w:hAnsi="Arial" w:cs="Arial"/>
        </w:rPr>
        <w:t xml:space="preserve">ny variability noted is </w:t>
      </w:r>
      <w:r w:rsidR="002D5859">
        <w:rPr>
          <w:rFonts w:ascii="Arial" w:hAnsi="Arial" w:cs="Arial"/>
        </w:rPr>
        <w:t xml:space="preserve">smaller than that between rivers, and </w:t>
      </w:r>
      <w:r w:rsidR="00E47335" w:rsidRPr="00D85DD7">
        <w:rPr>
          <w:rFonts w:ascii="Arial" w:hAnsi="Arial" w:cs="Arial"/>
        </w:rPr>
        <w:t>much smaller than th</w:t>
      </w:r>
      <w:r w:rsidR="00284C5A">
        <w:rPr>
          <w:rFonts w:ascii="Arial" w:hAnsi="Arial" w:cs="Arial"/>
        </w:rPr>
        <w:t>at</w:t>
      </w:r>
      <w:r w:rsidR="00E47335" w:rsidRPr="00D85DD7">
        <w:rPr>
          <w:rFonts w:ascii="Arial" w:hAnsi="Arial" w:cs="Arial"/>
        </w:rPr>
        <w:t xml:space="preserve"> </w:t>
      </w:r>
      <w:r w:rsidR="008C7557">
        <w:rPr>
          <w:rFonts w:ascii="Arial" w:hAnsi="Arial" w:cs="Arial"/>
        </w:rPr>
        <w:t xml:space="preserve">of </w:t>
      </w:r>
      <w:r w:rsidR="00E47335" w:rsidRPr="00D85DD7">
        <w:rPr>
          <w:rFonts w:ascii="Arial" w:hAnsi="Arial" w:cs="Arial"/>
        </w:rPr>
        <w:t xml:space="preserve">sources, suggesting no </w:t>
      </w:r>
      <w:r w:rsidR="005638F8">
        <w:rPr>
          <w:rFonts w:ascii="Arial" w:hAnsi="Arial" w:cs="Arial"/>
        </w:rPr>
        <w:t>substantial</w:t>
      </w:r>
      <w:r w:rsidR="005638F8" w:rsidRPr="00D85DD7">
        <w:rPr>
          <w:rFonts w:ascii="Arial" w:hAnsi="Arial" w:cs="Arial"/>
        </w:rPr>
        <w:t xml:space="preserve"> </w:t>
      </w:r>
      <w:r w:rsidR="00230DA8">
        <w:rPr>
          <w:rFonts w:ascii="Arial" w:hAnsi="Arial" w:cs="Arial"/>
        </w:rPr>
        <w:t>source change</w:t>
      </w:r>
      <w:r w:rsidR="00E47335" w:rsidRPr="00D85DD7">
        <w:rPr>
          <w:rFonts w:ascii="Arial" w:hAnsi="Arial" w:cs="Arial"/>
        </w:rPr>
        <w:t xml:space="preserve"> between sites</w:t>
      </w:r>
      <w:r w:rsidR="00230DA8">
        <w:rPr>
          <w:rFonts w:ascii="Arial" w:hAnsi="Arial" w:cs="Arial"/>
        </w:rPr>
        <w:t xml:space="preserve">. </w:t>
      </w:r>
    </w:p>
    <w:p w14:paraId="4005B834" w14:textId="508496BE" w:rsidR="00126EB3" w:rsidRDefault="00166FA7" w:rsidP="00614941">
      <w:pPr>
        <w:spacing w:before="120" w:after="120" w:line="480" w:lineRule="auto"/>
        <w:jc w:val="both"/>
        <w:rPr>
          <w:rFonts w:ascii="Arial" w:hAnsi="Arial" w:cs="Arial"/>
        </w:rPr>
      </w:pPr>
      <w:bookmarkStart w:id="99" w:name="_Hlk80006645"/>
      <w:r>
        <w:rPr>
          <w:rFonts w:ascii="Arial" w:hAnsi="Arial" w:cs="Arial"/>
        </w:rPr>
        <w:t>Nonetheless</w:t>
      </w:r>
      <w:r w:rsidR="002D5859">
        <w:rPr>
          <w:rFonts w:ascii="Arial" w:hAnsi="Arial" w:cs="Arial"/>
        </w:rPr>
        <w:t>,</w:t>
      </w:r>
      <w:r>
        <w:rPr>
          <w:rFonts w:ascii="Arial" w:hAnsi="Arial" w:cs="Arial"/>
        </w:rPr>
        <w:t xml:space="preserve"> t</w:t>
      </w:r>
      <w:r w:rsidR="00D85DD7" w:rsidRPr="00D85DD7">
        <w:rPr>
          <w:rFonts w:ascii="Arial" w:hAnsi="Arial" w:cs="Arial"/>
        </w:rPr>
        <w:t xml:space="preserve">he Figure </w:t>
      </w:r>
      <w:r w:rsidR="00D076EE">
        <w:rPr>
          <w:rFonts w:ascii="Arial" w:hAnsi="Arial" w:cs="Arial"/>
        </w:rPr>
        <w:t>7</w:t>
      </w:r>
      <w:r w:rsidR="00D85DD7" w:rsidRPr="00D85DD7">
        <w:rPr>
          <w:rFonts w:ascii="Arial" w:hAnsi="Arial" w:cs="Arial"/>
        </w:rPr>
        <w:t xml:space="preserve"> </w:t>
      </w:r>
      <w:r w:rsidR="00214085">
        <w:rPr>
          <w:rFonts w:ascii="Arial" w:hAnsi="Arial" w:cs="Arial"/>
        </w:rPr>
        <w:t xml:space="preserve">inset </w:t>
      </w:r>
      <w:r w:rsidR="00D85DD7" w:rsidRPr="00D85DD7">
        <w:rPr>
          <w:rFonts w:ascii="Arial" w:hAnsi="Arial" w:cs="Arial"/>
        </w:rPr>
        <w:t xml:space="preserve">shows </w:t>
      </w:r>
      <w:r w:rsidR="00F708BA">
        <w:rPr>
          <w:rFonts w:ascii="Arial" w:hAnsi="Arial" w:cs="Arial"/>
        </w:rPr>
        <w:t xml:space="preserve">some </w:t>
      </w:r>
      <w:r w:rsidR="00214085">
        <w:rPr>
          <w:rFonts w:ascii="Arial" w:hAnsi="Arial" w:cs="Arial"/>
        </w:rPr>
        <w:t xml:space="preserve">possible </w:t>
      </w:r>
      <w:r w:rsidR="00F708BA">
        <w:rPr>
          <w:rFonts w:ascii="Arial" w:hAnsi="Arial" w:cs="Arial"/>
        </w:rPr>
        <w:t xml:space="preserve">very small-scale differences between sites. The </w:t>
      </w:r>
      <w:r w:rsidR="00C44C2B">
        <w:rPr>
          <w:rFonts w:ascii="Arial" w:hAnsi="Arial" w:cs="Arial"/>
        </w:rPr>
        <w:t xml:space="preserve">partition </w:t>
      </w:r>
      <w:r w:rsidR="00F708BA">
        <w:rPr>
          <w:rFonts w:ascii="Arial" w:hAnsi="Arial" w:cs="Arial"/>
        </w:rPr>
        <w:t>of Ba</w:t>
      </w:r>
      <w:r w:rsidR="00AE09F5">
        <w:rPr>
          <w:rFonts w:ascii="Arial" w:hAnsi="Arial" w:cs="Arial"/>
        </w:rPr>
        <w:t>sa</w:t>
      </w:r>
      <w:r w:rsidR="00F708BA">
        <w:rPr>
          <w:rFonts w:ascii="Arial" w:hAnsi="Arial" w:cs="Arial"/>
        </w:rPr>
        <w:t xml:space="preserve">harc, </w:t>
      </w:r>
      <w:r w:rsidR="00F708BA" w:rsidRPr="00D85DD7">
        <w:rPr>
          <w:rFonts w:ascii="Arial" w:hAnsi="Arial" w:cs="Arial"/>
        </w:rPr>
        <w:t>Paks,</w:t>
      </w:r>
      <w:r w:rsidR="00F708BA">
        <w:rPr>
          <w:rFonts w:ascii="Arial" w:hAnsi="Arial" w:cs="Arial"/>
        </w:rPr>
        <w:t xml:space="preserve"> </w:t>
      </w:r>
      <w:r w:rsidR="00F708BA" w:rsidRPr="00D85DD7">
        <w:rPr>
          <w:rFonts w:ascii="Arial" w:hAnsi="Arial" w:cs="Arial"/>
        </w:rPr>
        <w:t>Mende</w:t>
      </w:r>
      <w:r w:rsidR="00F708BA">
        <w:rPr>
          <w:rFonts w:ascii="Arial" w:hAnsi="Arial" w:cs="Arial"/>
        </w:rPr>
        <w:t>, and Zmajevac from the sites investigated in this study is likely an artefact of sample size differences</w:t>
      </w:r>
      <w:r w:rsidR="00EA7C47">
        <w:rPr>
          <w:rFonts w:ascii="Arial" w:hAnsi="Arial" w:cs="Arial"/>
        </w:rPr>
        <w:t xml:space="preserve">, </w:t>
      </w:r>
      <w:r w:rsidR="00BC335B">
        <w:rPr>
          <w:rFonts w:ascii="Arial" w:hAnsi="Arial" w:cs="Arial"/>
        </w:rPr>
        <w:t>which</w:t>
      </w:r>
      <w:r w:rsidR="009A55C4">
        <w:rPr>
          <w:rFonts w:ascii="Arial" w:hAnsi="Arial" w:cs="Arial"/>
        </w:rPr>
        <w:t xml:space="preserve"> </w:t>
      </w:r>
      <w:r w:rsidR="00EA7C47">
        <w:rPr>
          <w:rFonts w:ascii="Arial" w:hAnsi="Arial" w:cs="Arial"/>
        </w:rPr>
        <w:t xml:space="preserve">could suggest </w:t>
      </w:r>
      <w:r w:rsidR="00EC252A">
        <w:rPr>
          <w:rFonts w:ascii="Arial" w:hAnsi="Arial" w:cs="Arial"/>
        </w:rPr>
        <w:t>that they actually belong to a single group</w:t>
      </w:r>
      <w:r w:rsidR="00F708BA">
        <w:rPr>
          <w:rFonts w:ascii="Arial" w:hAnsi="Arial" w:cs="Arial"/>
        </w:rPr>
        <w:t>.</w:t>
      </w:r>
      <w:r w:rsidR="009A55C4">
        <w:rPr>
          <w:rFonts w:ascii="Arial" w:hAnsi="Arial" w:cs="Arial"/>
        </w:rPr>
        <w:t xml:space="preserve"> These four sites are located before any major tributary confluences (Figure 1) and have </w:t>
      </w:r>
      <w:r w:rsidR="00126EB3">
        <w:rPr>
          <w:rFonts w:ascii="Arial" w:hAnsi="Arial" w:cs="Arial"/>
        </w:rPr>
        <w:t xml:space="preserve">a </w:t>
      </w:r>
      <w:r w:rsidR="009A55C4">
        <w:rPr>
          <w:rFonts w:ascii="Arial" w:hAnsi="Arial" w:cs="Arial"/>
        </w:rPr>
        <w:t>reduced</w:t>
      </w:r>
      <w:r w:rsidR="00126EB3">
        <w:rPr>
          <w:rFonts w:ascii="Arial" w:hAnsi="Arial" w:cs="Arial"/>
        </w:rPr>
        <w:t xml:space="preserve"> zircon U-Pb</w:t>
      </w:r>
      <w:r w:rsidR="009A55C4">
        <w:rPr>
          <w:rFonts w:ascii="Arial" w:hAnsi="Arial" w:cs="Arial"/>
        </w:rPr>
        <w:t xml:space="preserve"> 600 Ma population</w:t>
      </w:r>
      <w:r w:rsidR="00126EB3">
        <w:rPr>
          <w:rFonts w:ascii="Arial" w:hAnsi="Arial" w:cs="Arial"/>
        </w:rPr>
        <w:t xml:space="preserve"> in comparison </w:t>
      </w:r>
      <w:r w:rsidR="009A55C4">
        <w:rPr>
          <w:rFonts w:ascii="Arial" w:hAnsi="Arial" w:cs="Arial"/>
        </w:rPr>
        <w:t>to e.g. Erdut (Figure 3)</w:t>
      </w:r>
      <w:r w:rsidR="00EC252A">
        <w:rPr>
          <w:rFonts w:ascii="Arial" w:hAnsi="Arial" w:cs="Arial"/>
        </w:rPr>
        <w:t>, which is located downstream of the confluence of the Drava with the Danube</w:t>
      </w:r>
      <w:r w:rsidR="009A55C4">
        <w:rPr>
          <w:rFonts w:ascii="Arial" w:hAnsi="Arial" w:cs="Arial"/>
        </w:rPr>
        <w:t>.</w:t>
      </w:r>
      <w:r w:rsidR="00F708BA">
        <w:rPr>
          <w:rFonts w:ascii="Arial" w:hAnsi="Arial" w:cs="Arial"/>
        </w:rPr>
        <w:t xml:space="preserve"> </w:t>
      </w:r>
      <w:bookmarkStart w:id="100" w:name="_Hlk74217971"/>
      <w:r w:rsidR="00C73756">
        <w:rPr>
          <w:rFonts w:ascii="Arial" w:hAnsi="Arial" w:cs="Arial"/>
        </w:rPr>
        <w:t xml:space="preserve">These sites, especially Erdut and Zmajevac, are separated by the confluence of the Drava with the Danube. </w:t>
      </w:r>
      <w:r w:rsidR="00126EB3">
        <w:rPr>
          <w:rFonts w:ascii="Arial" w:hAnsi="Arial" w:cs="Arial"/>
        </w:rPr>
        <w:t xml:space="preserve">The relatively large 600 Ma peak in a Drava sample (Figure </w:t>
      </w:r>
      <w:r w:rsidR="003C25EB">
        <w:rPr>
          <w:rFonts w:ascii="Arial" w:hAnsi="Arial" w:cs="Arial"/>
        </w:rPr>
        <w:t>6</w:t>
      </w:r>
      <w:r w:rsidR="00126EB3">
        <w:rPr>
          <w:rFonts w:ascii="Arial" w:hAnsi="Arial" w:cs="Arial"/>
        </w:rPr>
        <w:t xml:space="preserve">) could point to the importance of </w:t>
      </w:r>
      <w:r w:rsidR="00EC252A">
        <w:rPr>
          <w:rFonts w:ascii="Arial" w:hAnsi="Arial" w:cs="Arial"/>
        </w:rPr>
        <w:t xml:space="preserve">the </w:t>
      </w:r>
      <w:r w:rsidR="00126EB3">
        <w:rPr>
          <w:rFonts w:ascii="Arial" w:hAnsi="Arial" w:cs="Arial"/>
        </w:rPr>
        <w:t xml:space="preserve">Drava in refreshing the contributions of Proterozoic age grains in the Danubian sediments. </w:t>
      </w:r>
    </w:p>
    <w:bookmarkEnd w:id="99"/>
    <w:p w14:paraId="06D7B5F2" w14:textId="0997D97C" w:rsidR="008859E6" w:rsidRDefault="006B4A64" w:rsidP="00614941">
      <w:pPr>
        <w:spacing w:before="120" w:after="120" w:line="480" w:lineRule="auto"/>
        <w:jc w:val="both"/>
        <w:rPr>
          <w:rFonts w:ascii="Arial" w:hAnsi="Arial" w:cs="Arial"/>
        </w:rPr>
      </w:pPr>
      <w:r>
        <w:rPr>
          <w:rFonts w:ascii="Arial" w:hAnsi="Arial" w:cs="Arial"/>
        </w:rPr>
        <w:t>T</w:t>
      </w:r>
      <w:r w:rsidR="008859E6">
        <w:rPr>
          <w:rFonts w:ascii="Arial" w:hAnsi="Arial" w:cs="Arial"/>
        </w:rPr>
        <w:t>he separation of</w:t>
      </w:r>
      <w:r>
        <w:rPr>
          <w:rFonts w:ascii="Arial" w:hAnsi="Arial" w:cs="Arial"/>
        </w:rPr>
        <w:t xml:space="preserve"> two Bulgarian sites, </w:t>
      </w:r>
      <w:r w:rsidR="00D85DD7" w:rsidRPr="00D85DD7">
        <w:rPr>
          <w:rFonts w:ascii="Arial" w:hAnsi="Arial" w:cs="Arial"/>
        </w:rPr>
        <w:t xml:space="preserve">Slivata 1 </w:t>
      </w:r>
      <w:r>
        <w:rPr>
          <w:rFonts w:ascii="Arial" w:hAnsi="Arial" w:cs="Arial"/>
        </w:rPr>
        <w:t>and</w:t>
      </w:r>
      <w:r w:rsidR="00D85DD7" w:rsidRPr="00D85DD7">
        <w:rPr>
          <w:rFonts w:ascii="Arial" w:hAnsi="Arial" w:cs="Arial"/>
        </w:rPr>
        <w:t xml:space="preserve"> Slivata 2</w:t>
      </w:r>
      <w:r>
        <w:rPr>
          <w:rFonts w:ascii="Arial" w:hAnsi="Arial" w:cs="Arial"/>
        </w:rPr>
        <w:t xml:space="preserve">, </w:t>
      </w:r>
      <w:r w:rsidR="00D85DD7" w:rsidRPr="00D85DD7">
        <w:rPr>
          <w:rFonts w:ascii="Arial" w:hAnsi="Arial" w:cs="Arial"/>
        </w:rPr>
        <w:t xml:space="preserve">on the MDS plot (Figure </w:t>
      </w:r>
      <w:r w:rsidR="00D076EE">
        <w:rPr>
          <w:rFonts w:ascii="Arial" w:hAnsi="Arial" w:cs="Arial"/>
        </w:rPr>
        <w:t>7</w:t>
      </w:r>
      <w:r w:rsidR="00D85DD7" w:rsidRPr="00D85DD7">
        <w:rPr>
          <w:rFonts w:ascii="Arial" w:hAnsi="Arial" w:cs="Arial"/>
        </w:rPr>
        <w:t>),</w:t>
      </w:r>
      <w:r>
        <w:rPr>
          <w:rFonts w:ascii="Arial" w:hAnsi="Arial" w:cs="Arial"/>
        </w:rPr>
        <w:t xml:space="preserve"> is noteworthy</w:t>
      </w:r>
      <w:r w:rsidR="008859E6">
        <w:rPr>
          <w:rFonts w:ascii="Arial" w:hAnsi="Arial" w:cs="Arial"/>
        </w:rPr>
        <w:t xml:space="preserve">. </w:t>
      </w:r>
      <w:r w:rsidR="008A2F60">
        <w:rPr>
          <w:rFonts w:ascii="Arial" w:hAnsi="Arial" w:cs="Arial"/>
        </w:rPr>
        <w:t>While the two profiles do not cover the same time interval, t</w:t>
      </w:r>
      <w:r w:rsidR="001C1860">
        <w:rPr>
          <w:rFonts w:ascii="Arial" w:hAnsi="Arial" w:cs="Arial"/>
        </w:rPr>
        <w:t>he d</w:t>
      </w:r>
      <w:r w:rsidR="008859E6">
        <w:rPr>
          <w:rFonts w:ascii="Arial" w:hAnsi="Arial" w:cs="Arial"/>
        </w:rPr>
        <w:t>ifference</w:t>
      </w:r>
      <w:r w:rsidR="008A2F60">
        <w:rPr>
          <w:rFonts w:ascii="Arial" w:hAnsi="Arial" w:cs="Arial"/>
        </w:rPr>
        <w:t>s seen</w:t>
      </w:r>
      <w:r w:rsidR="008859E6">
        <w:rPr>
          <w:rFonts w:ascii="Arial" w:hAnsi="Arial" w:cs="Arial"/>
        </w:rPr>
        <w:t xml:space="preserve"> </w:t>
      </w:r>
      <w:r w:rsidR="008A2F60">
        <w:rPr>
          <w:rFonts w:ascii="Arial" w:hAnsi="Arial" w:cs="Arial"/>
        </w:rPr>
        <w:t xml:space="preserve">are linked to </w:t>
      </w:r>
      <w:r w:rsidR="00D85DD7" w:rsidRPr="00D85DD7">
        <w:rPr>
          <w:rFonts w:ascii="Arial" w:hAnsi="Arial" w:cs="Arial"/>
        </w:rPr>
        <w:t xml:space="preserve">increased </w:t>
      </w:r>
      <w:r w:rsidR="005F51DD">
        <w:rPr>
          <w:rFonts w:ascii="Arial" w:hAnsi="Arial" w:cs="Arial"/>
        </w:rPr>
        <w:t>proportion</w:t>
      </w:r>
      <w:r w:rsidR="008A2F60">
        <w:rPr>
          <w:rFonts w:ascii="Arial" w:hAnsi="Arial" w:cs="Arial"/>
        </w:rPr>
        <w:t>s</w:t>
      </w:r>
      <w:r w:rsidR="005F51DD">
        <w:rPr>
          <w:rFonts w:ascii="Arial" w:hAnsi="Arial" w:cs="Arial"/>
        </w:rPr>
        <w:t xml:space="preserve"> of grains </w:t>
      </w:r>
      <w:r w:rsidR="008A2F60">
        <w:rPr>
          <w:rFonts w:ascii="Arial" w:hAnsi="Arial" w:cs="Arial"/>
        </w:rPr>
        <w:t>in</w:t>
      </w:r>
      <w:r w:rsidR="008A2F60" w:rsidRPr="00D85DD7">
        <w:rPr>
          <w:rFonts w:ascii="Arial" w:hAnsi="Arial" w:cs="Arial"/>
        </w:rPr>
        <w:t xml:space="preserve"> </w:t>
      </w:r>
      <w:r w:rsidR="00D85DD7" w:rsidRPr="00D85DD7">
        <w:rPr>
          <w:rFonts w:ascii="Arial" w:hAnsi="Arial" w:cs="Arial"/>
        </w:rPr>
        <w:t>the 300-350 Ma</w:t>
      </w:r>
      <w:r w:rsidR="005F51DD">
        <w:rPr>
          <w:rFonts w:ascii="Arial" w:hAnsi="Arial" w:cs="Arial"/>
        </w:rPr>
        <w:t xml:space="preserve">, 500 Ma, and 600-650 Ma </w:t>
      </w:r>
      <w:r w:rsidR="00D85DD7" w:rsidRPr="00D85DD7">
        <w:rPr>
          <w:rFonts w:ascii="Arial" w:hAnsi="Arial" w:cs="Arial"/>
        </w:rPr>
        <w:t>population</w:t>
      </w:r>
      <w:r w:rsidR="005F51DD">
        <w:rPr>
          <w:rFonts w:ascii="Arial" w:hAnsi="Arial" w:cs="Arial"/>
        </w:rPr>
        <w:t>s</w:t>
      </w:r>
      <w:r w:rsidR="00D85DD7" w:rsidRPr="00D85DD7">
        <w:rPr>
          <w:rFonts w:ascii="Arial" w:hAnsi="Arial" w:cs="Arial"/>
        </w:rPr>
        <w:t xml:space="preserve"> at Slivata 2, </w:t>
      </w:r>
      <w:r w:rsidR="002A51DD">
        <w:rPr>
          <w:rFonts w:ascii="Arial" w:hAnsi="Arial" w:cs="Arial"/>
        </w:rPr>
        <w:t xml:space="preserve">whereas </w:t>
      </w:r>
      <w:r w:rsidR="00D85DD7" w:rsidRPr="00D85DD7">
        <w:rPr>
          <w:rFonts w:ascii="Arial" w:hAnsi="Arial" w:cs="Arial"/>
        </w:rPr>
        <w:t xml:space="preserve">larger contributions of </w:t>
      </w:r>
      <w:r w:rsidR="005F51DD" w:rsidRPr="005F51DD">
        <w:rPr>
          <w:rFonts w:ascii="Arial" w:hAnsi="Arial" w:cs="Arial"/>
        </w:rPr>
        <w:t>Neoproterozoic and Mesoproterozoic grains</w:t>
      </w:r>
      <w:r w:rsidR="005F51DD" w:rsidRPr="005F51DD" w:rsidDel="005F51DD">
        <w:rPr>
          <w:rFonts w:ascii="Arial" w:hAnsi="Arial" w:cs="Arial"/>
        </w:rPr>
        <w:t xml:space="preserve"> </w:t>
      </w:r>
      <w:r w:rsidR="00D85DD7" w:rsidRPr="00D85DD7">
        <w:rPr>
          <w:rFonts w:ascii="Arial" w:hAnsi="Arial" w:cs="Arial"/>
        </w:rPr>
        <w:t>are seen at Slivata 1</w:t>
      </w:r>
      <w:r w:rsidR="002A51DD">
        <w:rPr>
          <w:rFonts w:ascii="Arial" w:hAnsi="Arial" w:cs="Arial"/>
        </w:rPr>
        <w:t xml:space="preserve"> (Figure </w:t>
      </w:r>
      <w:r w:rsidR="007B1341">
        <w:rPr>
          <w:rFonts w:ascii="Arial" w:hAnsi="Arial" w:cs="Arial"/>
        </w:rPr>
        <w:t>3</w:t>
      </w:r>
      <w:r w:rsidR="002A51DD">
        <w:rPr>
          <w:rFonts w:ascii="Arial" w:hAnsi="Arial" w:cs="Arial"/>
        </w:rPr>
        <w:t>)</w:t>
      </w:r>
      <w:r w:rsidR="00D85DD7" w:rsidRPr="00D85DD7">
        <w:rPr>
          <w:rFonts w:ascii="Arial" w:hAnsi="Arial" w:cs="Arial"/>
        </w:rPr>
        <w:t>.</w:t>
      </w:r>
      <w:r w:rsidR="008859E6">
        <w:rPr>
          <w:rFonts w:ascii="Arial" w:hAnsi="Arial" w:cs="Arial"/>
        </w:rPr>
        <w:t xml:space="preserve"> </w:t>
      </w:r>
      <w:r w:rsidR="008A2F60">
        <w:rPr>
          <w:rFonts w:ascii="Arial" w:hAnsi="Arial" w:cs="Arial"/>
        </w:rPr>
        <w:t>Despite this,</w:t>
      </w:r>
      <w:r w:rsidR="005F51DD">
        <w:rPr>
          <w:rFonts w:ascii="Arial" w:hAnsi="Arial" w:cs="Arial"/>
        </w:rPr>
        <w:t xml:space="preserve"> it is important to stress that for the most part distributions are very similar suggesting</w:t>
      </w:r>
      <w:r w:rsidR="008A2F60">
        <w:rPr>
          <w:rFonts w:ascii="Arial" w:hAnsi="Arial" w:cs="Arial"/>
        </w:rPr>
        <w:t xml:space="preserve"> a dominant</w:t>
      </w:r>
      <w:r w:rsidR="005F51DD">
        <w:rPr>
          <w:rFonts w:ascii="Arial" w:hAnsi="Arial" w:cs="Arial"/>
        </w:rPr>
        <w:t xml:space="preserve"> common source. However </w:t>
      </w:r>
      <w:r w:rsidR="008A2F60">
        <w:rPr>
          <w:rFonts w:ascii="Arial" w:hAnsi="Arial" w:cs="Arial"/>
        </w:rPr>
        <w:t xml:space="preserve">the differences could indicate local </w:t>
      </w:r>
      <w:r w:rsidR="00A218F1">
        <w:rPr>
          <w:rFonts w:ascii="Arial" w:hAnsi="Arial" w:cs="Arial"/>
        </w:rPr>
        <w:t xml:space="preserve">sources </w:t>
      </w:r>
      <w:r w:rsidR="008A2F60">
        <w:rPr>
          <w:rFonts w:ascii="Arial" w:hAnsi="Arial" w:cs="Arial"/>
        </w:rPr>
        <w:t xml:space="preserve">are </w:t>
      </w:r>
      <w:r w:rsidR="00A218F1">
        <w:rPr>
          <w:rFonts w:ascii="Arial" w:hAnsi="Arial" w:cs="Arial"/>
        </w:rPr>
        <w:t>periodically being activated</w:t>
      </w:r>
      <w:r w:rsidR="008654F0">
        <w:rPr>
          <w:rFonts w:ascii="Arial" w:hAnsi="Arial" w:cs="Arial"/>
        </w:rPr>
        <w:t xml:space="preserve"> </w:t>
      </w:r>
      <w:r w:rsidR="008A2F60">
        <w:rPr>
          <w:rFonts w:ascii="Arial" w:hAnsi="Arial" w:cs="Arial"/>
        </w:rPr>
        <w:t xml:space="preserve">(reflecting for example the impact of rapid hydroclimate variability) </w:t>
      </w:r>
      <w:r w:rsidR="008654F0">
        <w:rPr>
          <w:rFonts w:ascii="Arial" w:hAnsi="Arial" w:cs="Arial"/>
        </w:rPr>
        <w:t xml:space="preserve">and/or </w:t>
      </w:r>
      <w:r w:rsidR="008A2F60">
        <w:rPr>
          <w:rFonts w:ascii="Arial" w:hAnsi="Arial" w:cs="Arial"/>
        </w:rPr>
        <w:t xml:space="preserve">diluting the dominant </w:t>
      </w:r>
      <w:r w:rsidR="009D3A3D">
        <w:rPr>
          <w:rFonts w:ascii="Arial" w:hAnsi="Arial" w:cs="Arial"/>
        </w:rPr>
        <w:t xml:space="preserve">with </w:t>
      </w:r>
      <w:r w:rsidR="00416861">
        <w:rPr>
          <w:rFonts w:ascii="Arial" w:hAnsi="Arial" w:cs="Arial"/>
        </w:rPr>
        <w:t xml:space="preserve">the </w:t>
      </w:r>
      <w:r w:rsidR="009D3A3D">
        <w:rPr>
          <w:rFonts w:ascii="Arial" w:hAnsi="Arial" w:cs="Arial"/>
        </w:rPr>
        <w:t>Danubian signal</w:t>
      </w:r>
      <w:r w:rsidR="00A218F1">
        <w:rPr>
          <w:rFonts w:ascii="Arial" w:hAnsi="Arial" w:cs="Arial"/>
        </w:rPr>
        <w:t>.</w:t>
      </w:r>
      <w:r w:rsidR="008859E6">
        <w:rPr>
          <w:rFonts w:ascii="Arial" w:hAnsi="Arial" w:cs="Arial"/>
        </w:rPr>
        <w:t xml:space="preserve"> </w:t>
      </w:r>
      <w:r w:rsidR="008A2F60">
        <w:rPr>
          <w:rFonts w:ascii="Arial" w:hAnsi="Arial" w:cs="Arial"/>
        </w:rPr>
        <w:t>Although</w:t>
      </w:r>
      <w:r w:rsidR="005F51DD">
        <w:rPr>
          <w:rFonts w:ascii="Arial" w:hAnsi="Arial" w:cs="Arial"/>
        </w:rPr>
        <w:t xml:space="preserve"> </w:t>
      </w:r>
      <w:r w:rsidR="005F51DD">
        <w:rPr>
          <w:rFonts w:ascii="ArialMT" w:hAnsi="ArialMT" w:cs="ArialMT"/>
        </w:rPr>
        <w:t>Neoproterozoic and Cambrian outcrops</w:t>
      </w:r>
      <w:r w:rsidR="008A2F60">
        <w:rPr>
          <w:rFonts w:ascii="ArialMT" w:hAnsi="ArialMT" w:cs="ArialMT"/>
        </w:rPr>
        <w:t xml:space="preserve"> are</w:t>
      </w:r>
      <w:r w:rsidR="005F51DD">
        <w:rPr>
          <w:rFonts w:ascii="ArialMT" w:hAnsi="ArialMT" w:cs="ArialMT"/>
        </w:rPr>
        <w:t xml:space="preserve"> relatively </w:t>
      </w:r>
      <w:r w:rsidR="008A2F60">
        <w:rPr>
          <w:rFonts w:ascii="ArialMT" w:hAnsi="ArialMT" w:cs="ArialMT"/>
        </w:rPr>
        <w:t>sparse</w:t>
      </w:r>
      <w:r w:rsidR="005F51DD">
        <w:rPr>
          <w:rFonts w:ascii="ArialMT" w:hAnsi="ArialMT" w:cs="ArialMT"/>
        </w:rPr>
        <w:t xml:space="preserve"> in the lower Danube, </w:t>
      </w:r>
      <w:r w:rsidR="005F51DD">
        <w:rPr>
          <w:rFonts w:ascii="ArialMT" w:hAnsi="ArialMT" w:cs="ArialMT"/>
        </w:rPr>
        <w:fldChar w:fldCharType="begin" w:fldLock="1"/>
      </w:r>
      <w:r w:rsidR="005F51DD">
        <w:rPr>
          <w:rFonts w:ascii="ArialMT" w:hAnsi="ArialMT" w:cs="ArialMT"/>
        </w:rPr>
        <w:instrText>ADDIN CSL_CITATION {"citationItems":[{"id":"ITEM-1","itemData":{"DOI":"10.1130/0091-7613(1989)017&lt;0905:POCIAA&gt;2.3.CO;2","ISSN":"00917613","abstract":"A Late Proterozoic ophiolite in the South Carpathian-Balkan region has a total surface-outcrop area of 400 km 2 . It is a complete ophiolitic section that includes mid-ocean ridge basalts, indicating that it was formed in a large ocean. The oceanic crust is unconformably overlain by an ensimatic island arc of Cambrian age. The ophiolite-island-arc assemblage was obducted over the Moesian platform during Early Ordovician time. Both sequences are now incorporated in a continental block as a result of intracontinental convergence, which took place in Variscan time. The ophiolite is situated along the Thracian suture, which divides the Moesian platform and the Thracian continental fragment. This suture is part of a larger one, referred to as the South European suture, that is situated between the Moesian platform, Bohemian, and Central French massif to the northeast. -Author","author":[{"dropping-particle":"","family":"Haydoutov","given":"I.","non-dropping-particle":"","parse-names":false,"suffix":""}],"container-title":"Geology","id":"ITEM-1","issue":"10","issued":{"date-parts":[["1989"]]},"page":"905-908","title":"Precambrian ophiolites, Cambrian island arc, and Variscan suture in the South Carpathian-Balkan region","type":"article-journal","volume":"17"},"uris":["http://www.mendeley.com/documents/?uuid=607b739e-a14d-4434-88c1-2568f8491149"]}],"mendeley":{"formattedCitation":"(Haydoutov, 1989)","manualFormatting":"Haydoutov, (1989)","plainTextFormattedCitation":"(Haydoutov, 1989)","previouslyFormattedCitation":"(Haydoutov, 1989)"},"properties":{"noteIndex":0},"schema":"https://github.com/citation-style-language/schema/raw/master/csl-citation.json"}</w:instrText>
      </w:r>
      <w:r w:rsidR="005F51DD">
        <w:rPr>
          <w:rFonts w:ascii="ArialMT" w:hAnsi="ArialMT" w:cs="ArialMT"/>
        </w:rPr>
        <w:fldChar w:fldCharType="separate"/>
      </w:r>
      <w:r w:rsidR="005F51DD" w:rsidRPr="005F51DD">
        <w:rPr>
          <w:rFonts w:ascii="ArialMT" w:hAnsi="ArialMT" w:cs="ArialMT"/>
          <w:noProof/>
        </w:rPr>
        <w:t xml:space="preserve">Haydoutov, </w:t>
      </w:r>
      <w:r w:rsidR="005F51DD">
        <w:rPr>
          <w:rFonts w:ascii="ArialMT" w:hAnsi="ArialMT" w:cs="ArialMT"/>
          <w:noProof/>
        </w:rPr>
        <w:t>(</w:t>
      </w:r>
      <w:r w:rsidR="005F51DD" w:rsidRPr="005F51DD">
        <w:rPr>
          <w:rFonts w:ascii="ArialMT" w:hAnsi="ArialMT" w:cs="ArialMT"/>
          <w:noProof/>
        </w:rPr>
        <w:t>1989)</w:t>
      </w:r>
      <w:r w:rsidR="005F51DD">
        <w:rPr>
          <w:rFonts w:ascii="ArialMT" w:hAnsi="ArialMT" w:cs="ArialMT"/>
        </w:rPr>
        <w:fldChar w:fldCharType="end"/>
      </w:r>
      <w:r w:rsidR="005F51DD">
        <w:rPr>
          <w:rFonts w:ascii="ArialMT" w:hAnsi="ArialMT" w:cs="ArialMT"/>
        </w:rPr>
        <w:t xml:space="preserve"> and </w:t>
      </w:r>
      <w:r w:rsidR="005F51DD">
        <w:rPr>
          <w:rFonts w:ascii="ArialMT" w:hAnsi="ArialMT" w:cs="ArialMT"/>
        </w:rPr>
        <w:fldChar w:fldCharType="begin" w:fldLock="1"/>
      </w:r>
      <w:r w:rsidR="000A7CDC">
        <w:rPr>
          <w:rFonts w:ascii="ArialMT" w:hAnsi="ArialMT" w:cs="ArialMT"/>
        </w:rPr>
        <w:instrText>ADDIN CSL_CITATION {"citationItems":[{"id":"ITEM-1","itemData":{"DOI":"10.1016/S0040-1951(96)00264-8","ISSN":"00401951","abstract":"Based on differences in their pre-Palaeozoic and Palaeozoic development, the Protomoesian microcontinent is divided into two terranes: the Balkan and the Moesian. A Precambrian-Cambrian ophiolite-island-arc assemblage, unconformably overlain by a Palaeozoic sequence, forms the first terrane. The pre-Palaeozoic basement of the Moesian terrane consists of Proterozoic-Vendian metamorphics of continental origin. The differences in the development of the Palaeozoic rocks are also significant reason for dividing the Balkan and the Moesian terrane. Numerous features of the Palaeozoic sediments (palaeoclimatologic, palaeobiogeographic, palaeomagnetic) from both terranes, and the Pan-African affiliations of the ophiolite-island-arc assemblage, identify the Protomoesian microcontinent as a peri-Gondwanaland piece.","author":[{"dropping-particle":"","family":"Haydoutov","given":"I.","non-dropping-particle":"","parse-names":false,"suffix":""},{"dropping-particle":"","family":"Yanev","given":"S.","non-dropping-particle":"","parse-names":false,"suffix":""}],"container-title":"Tectonophysics","id":"ITEM-1","issue":"2-4","issued":{"date-parts":[["1997"]]},"page":"303-313","title":"The Protomoesian microcontinent of the Balkan Peninsula - A peri-Gondwanaland piece","type":"article-journal","volume":"272"},"uris":["http://www.mendeley.com/documents/?uuid=ff1852d1-106d-458b-a248-e861e254b551"]}],"mendeley":{"formattedCitation":"(Haydoutov and Yanev, 1997)","manualFormatting":"Haydoutov and Yanev (1997)","plainTextFormattedCitation":"(Haydoutov and Yanev, 1997)","previouslyFormattedCitation":"(Haydoutov and Yanev, 1997)"},"properties":{"noteIndex":0},"schema":"https://github.com/citation-style-language/schema/raw/master/csl-citation.json"}</w:instrText>
      </w:r>
      <w:r w:rsidR="005F51DD">
        <w:rPr>
          <w:rFonts w:ascii="ArialMT" w:hAnsi="ArialMT" w:cs="ArialMT"/>
        </w:rPr>
        <w:fldChar w:fldCharType="separate"/>
      </w:r>
      <w:r w:rsidR="005F51DD" w:rsidRPr="005F51DD">
        <w:rPr>
          <w:rFonts w:ascii="ArialMT" w:hAnsi="ArialMT" w:cs="ArialMT"/>
          <w:noProof/>
        </w:rPr>
        <w:t xml:space="preserve">Haydoutov and Yanev </w:t>
      </w:r>
      <w:r w:rsidR="005F51DD">
        <w:rPr>
          <w:rFonts w:ascii="ArialMT" w:hAnsi="ArialMT" w:cs="ArialMT"/>
          <w:noProof/>
        </w:rPr>
        <w:t>(</w:t>
      </w:r>
      <w:r w:rsidR="005F51DD" w:rsidRPr="005F51DD">
        <w:rPr>
          <w:rFonts w:ascii="ArialMT" w:hAnsi="ArialMT" w:cs="ArialMT"/>
          <w:noProof/>
        </w:rPr>
        <w:t>1997)</w:t>
      </w:r>
      <w:r w:rsidR="005F51DD">
        <w:rPr>
          <w:rFonts w:ascii="ArialMT" w:hAnsi="ArialMT" w:cs="ArialMT"/>
        </w:rPr>
        <w:fldChar w:fldCharType="end"/>
      </w:r>
      <w:r w:rsidR="005F51DD">
        <w:rPr>
          <w:rFonts w:ascii="ArialMT" w:hAnsi="ArialMT" w:cs="ArialMT"/>
        </w:rPr>
        <w:t xml:space="preserve"> describe Cambrian </w:t>
      </w:r>
      <w:r w:rsidR="005F51DD" w:rsidRPr="00EC5CB0">
        <w:rPr>
          <w:rFonts w:ascii="ArialMT" w:hAnsi="ArialMT" w:cs="ArialMT"/>
        </w:rPr>
        <w:t>island-arc</w:t>
      </w:r>
      <w:r w:rsidR="008A2F60">
        <w:rPr>
          <w:rFonts w:ascii="ArialMT" w:hAnsi="ArialMT" w:cs="ArialMT"/>
        </w:rPr>
        <w:t>s</w:t>
      </w:r>
      <w:r w:rsidR="005F51DD">
        <w:rPr>
          <w:rFonts w:ascii="ArialMT" w:hAnsi="ArialMT" w:cs="ArialMT"/>
        </w:rPr>
        <w:t xml:space="preserve"> in the Balkan Mountains (</w:t>
      </w:r>
      <w:r w:rsidR="000A7CDC">
        <w:rPr>
          <w:rFonts w:ascii="ArialMT" w:hAnsi="ArialMT" w:cs="ArialMT"/>
        </w:rPr>
        <w:t>the Dacia mega-unit)</w:t>
      </w:r>
      <w:r w:rsidR="005F51DD">
        <w:rPr>
          <w:rFonts w:ascii="ArialMT" w:hAnsi="ArialMT" w:cs="ArialMT"/>
        </w:rPr>
        <w:t xml:space="preserve"> that </w:t>
      </w:r>
      <w:r w:rsidR="008A2F60">
        <w:rPr>
          <w:rFonts w:ascii="ArialMT" w:hAnsi="ArialMT" w:cs="ArialMT"/>
        </w:rPr>
        <w:t>a</w:t>
      </w:r>
      <w:r w:rsidR="005F51DD">
        <w:rPr>
          <w:rFonts w:ascii="ArialMT" w:hAnsi="ArialMT" w:cs="ArialMT"/>
        </w:rPr>
        <w:t xml:space="preserve">re </w:t>
      </w:r>
      <w:r w:rsidR="000A7CDC">
        <w:rPr>
          <w:rFonts w:ascii="ArialMT" w:hAnsi="ArialMT" w:cs="ArialMT"/>
        </w:rPr>
        <w:t>dated to 563</w:t>
      </w:r>
      <w:r w:rsidR="000A7CDC">
        <w:rPr>
          <w:rFonts w:ascii="Arial" w:hAnsi="Arial" w:cs="Arial"/>
        </w:rPr>
        <w:t>±</w:t>
      </w:r>
      <w:r w:rsidR="000A7CDC">
        <w:rPr>
          <w:rFonts w:ascii="ArialMT" w:hAnsi="ArialMT" w:cs="ArialMT"/>
        </w:rPr>
        <w:t xml:space="preserve">5 Ma </w:t>
      </w:r>
      <w:r w:rsidR="000A7CDC">
        <w:rPr>
          <w:rFonts w:ascii="ArialMT" w:hAnsi="ArialMT" w:cs="ArialMT"/>
        </w:rPr>
        <w:fldChar w:fldCharType="begin" w:fldLock="1"/>
      </w:r>
      <w:r w:rsidR="000A7CDC">
        <w:rPr>
          <w:rFonts w:ascii="ArialMT" w:hAnsi="ArialMT" w:cs="ArialMT"/>
        </w:rPr>
        <w:instrText>ADDIN CSL_CITATION {"citationItems":[{"id":"ITEM-1","itemData":{"DOI":"10.1016/S0377-0273(01)00216-5","ISSN":"03770273","abstract":"The Balkan-Carpathian ophiolite (BCO), which outcrops in Bulgaria, Serbia and Romania, is a Late Precambrian (563 Ma) mafic/ultramafic complex unique in that it has not been strongly deformed or metamorphosed, as have most other basement sequences in Alpine Europe. Samples collected for study from the Tcherni Vrah and Deli Jovan segments of BCO include cumulate dunites, troctolites, wehrlites and plagioclase wehrlites; olivine and amphibole-bearing gabbros; anorthosites; diabases and microgabbros; and basalts representing massive flows, dikes, and pillow lavas, as well as hyaloclastites and umbers (preserved sedimentary cover). Relict Ol, Cpx and Hbl in cumulate peridotites indicate original orthocumulate textures. Plagioclase in troctolites and anorthosites range from An60 to An70. Cumulate gabbro textures range from ophitic to poikilitic, with an inferred crystallization order of Ol-(Plag + Cpx)-Hbl. The extrusive rocks exhibit poikilitic, ophitic and intersertal textures, with Cpx and/or Plag (Oligoclase-Andesine) phenocrysts. The major opaques are Ti-Magnetite and Ilmenite. The metamorphic paragenesis in the mafic samples is Chl-Trem-Ep, whereas the ultramafic rocks show variable degrees of serpentinization, with lizardite and antigorite as dominant phases. Our samples are compositionally and geochemically similar to modern oceanic crust. Major element, trace element and rare earth element (REE) signatures in BCO basalts are comparable to those of MORB. In terms of basalt and dike composition, the BCO is a 'high-Ti' or 'oceanic' ophiolite, based on the classification scheme of Serri [Earth Planet. Sci. Lett. 52 (1981) 203]. Our petrologic and geochemical results, combined with the tectonic position of the BCO massifs (overlain by and in contact with Late Cambrian island arc and back-arc sequences), suggest that the BCO may have formed in a mid-ocean ridge setting. If the BCO records the existence of a Precambrian ocean basin, then there may be a relationship between the BCO and the Pan-African ophiolites from the Arabian-Nubian Shield. We suggest that the BCO is the missing link between the Pan-African and the Avalonian-Cadomian peripheral orogens of Murphy and Nance [Geology 19 (1995) 469]. © 2001 Elsevier Science B.V. All rights reserved.","author":[{"dropping-particle":"","family":"Savov","given":"Ivan","non-dropping-particle":"","parse-names":false,"suffix":""},{"dropping-particle":"","family":"Ryan","given":"Jeff","non-dropping-particle":"","parse-names":false,"suffix":""},{"dropping-particle":"","family":"Haydoutov","given":"Ivan","non-dropping-particle":"","parse-names":false,"suffix":""},{"dropping-particle":"","family":"Schijf","given":"Johan","non-dropping-particle":"","parse-names":false,"suffix":""}],"container-title":"Journal of Volcanology and Geothermal Research","id":"ITEM-1","issue":"3-4","issued":{"date-parts":[["2001","10"]]},"page":"299-318","title":"Late Precambrian Balkan-Carpathian ophiolite — a slice of the Pan-African ocean crust?: geochemical and tectonic insights from the Tcherni Vrah and Deli Jovan massifs, Bulgaria and Serbia","type":"article-journal","volume":"110"},"uris":["http://www.mendeley.com/documents/?uuid=76286fc9-83c6-44ed-a771-99f720baecac"]}],"mendeley":{"formattedCitation":"(Savov et al., 2001)","plainTextFormattedCitation":"(Savov et al., 2001)","previouslyFormattedCitation":"(Savov et al., 2001)"},"properties":{"noteIndex":0},"schema":"https://github.com/citation-style-language/schema/raw/master/csl-citation.json"}</w:instrText>
      </w:r>
      <w:r w:rsidR="000A7CDC">
        <w:rPr>
          <w:rFonts w:ascii="ArialMT" w:hAnsi="ArialMT" w:cs="ArialMT"/>
        </w:rPr>
        <w:fldChar w:fldCharType="separate"/>
      </w:r>
      <w:r w:rsidR="000A7CDC" w:rsidRPr="000A7CDC">
        <w:rPr>
          <w:rFonts w:ascii="ArialMT" w:hAnsi="ArialMT" w:cs="ArialMT"/>
          <w:noProof/>
        </w:rPr>
        <w:t>(Savov et al., 2001)</w:t>
      </w:r>
      <w:r w:rsidR="000A7CDC">
        <w:rPr>
          <w:rFonts w:ascii="ArialMT" w:hAnsi="ArialMT" w:cs="ArialMT"/>
        </w:rPr>
        <w:fldChar w:fldCharType="end"/>
      </w:r>
      <w:r w:rsidR="000A7CDC">
        <w:rPr>
          <w:rFonts w:ascii="ArialMT" w:hAnsi="ArialMT" w:cs="ArialMT"/>
        </w:rPr>
        <w:t xml:space="preserve"> and 527</w:t>
      </w:r>
      <w:r w:rsidR="000A7CDC">
        <w:rPr>
          <w:rFonts w:ascii="Arial" w:hAnsi="Arial" w:cs="Arial"/>
        </w:rPr>
        <w:t>±</w:t>
      </w:r>
      <w:r w:rsidR="000A7CDC">
        <w:rPr>
          <w:rFonts w:ascii="ArialMT" w:hAnsi="ArialMT" w:cs="ArialMT"/>
        </w:rPr>
        <w:t xml:space="preserve">18 Ma </w:t>
      </w:r>
      <w:r w:rsidR="000A7CDC">
        <w:rPr>
          <w:rFonts w:ascii="ArialMT" w:hAnsi="ArialMT" w:cs="ArialMT"/>
        </w:rPr>
        <w:fldChar w:fldCharType="begin" w:fldLock="1"/>
      </w:r>
      <w:r w:rsidR="00CF3156">
        <w:rPr>
          <w:rFonts w:ascii="ArialMT" w:hAnsi="ArialMT" w:cs="ArialMT"/>
        </w:rPr>
        <w:instrText>ADDIN CSL_CITATION {"citationItems":[{"id":"ITEM-1","itemData":{"DOI":"10.1016/j.jsg.2012.03.004","ISSN":"01918141","abstract":"The Carboniferous Cherbelezu batholith (Almâj Mountains, Romania) is a well-preserved but poorly studied intrusion belonging to the Upper Danubian Alpine Nappe. This pluton crops out along a pre-existing major verticalized formation, the Corbu Mylonitic Zone (CMZ). Our study investigates the role of the CMZ on the deformation recorded during the mush emplacement and cooling. A detailed microstructural study of this granitic body, coupled with investigations on both Anisotropy of Magnetic Susceptibility (AMS) and Shape Preferred Orientation (SPO) of biotite subfabric, has been performed. The surrounding rocks preserve evidence that the CMZ has been reactivated as a sinistral strike-slip fault before the pluton emplacement. Microstructural investigations of the granitic facies indicate that the pluton has undergone superimposed deformations during its cooling, from submagmatic to LT conditions. Foliation and lineation patterns obtained by AMS and SPO - both methods giving similar results - reflect either magmatic/submagmatic or solid-state flows. Magmatic flow, preserved in the western and southern parts of the pluton, is characterized by concentric foliation pattern with both divergent and parallel lineations, the latter pointing to an early transcurrent regime. Subsequently, a solid-state deformation, recorded during the pluton cooling and restricted to its eastern and northern parts, argues for the concomitant CMZ activity under a sinistral transpressive regime. This is supported by the P' and . T parameter distributions, especially for SPO results, this technique showing clear advantages for the interpretation of the fabric scalar parameters. © 2012 Elsevier Ltd.","author":[{"dropping-particle":"","family":"Plissart","given":"Gaëlle","non-dropping-particle":"","parse-names":false,"suffix":""},{"dropping-particle":"","family":"Diot","given":"Hervé","non-dropping-particle":"","parse-names":false,"suffix":""},{"dropping-particle":"","family":"Monnier","given":"Christophe","non-dropping-particle":"","parse-names":false,"suffix":""},{"dropping-particle":"","family":"Mârunţiu","given":"Marcel","non-dropping-particle":"","parse-names":false,"suffix":""},{"dropping-particle":"","family":"Berger","given":"Julien","non-dropping-particle":"","parse-names":false,"suffix":""}],"container-title":"Journal of Structural Geology","id":"ITEM-1","issued":{"date-parts":[["2012"]]},"page":"83-102","title":"Relationship between a syntectonic granitic intrusion and a shear zone in the Southern Carpathian-Balkan area (Almâj Mountains, Romania): Implications for late Variscan kinematics and Cherbelezu granitoid emplacement","type":"article-journal","volume":"39"},"uris":["http://www.mendeley.com/documents/?uuid=9bfe805b-89e2-4177-8009-024f80a26407"]}],"mendeley":{"formattedCitation":"(Plissart et al., 2012)","plainTextFormattedCitation":"(Plissart et al., 2012)","previouslyFormattedCitation":"(Plissart et al., 2012)"},"properties":{"noteIndex":0},"schema":"https://github.com/citation-style-language/schema/raw/master/csl-citation.json"}</w:instrText>
      </w:r>
      <w:r w:rsidR="000A7CDC">
        <w:rPr>
          <w:rFonts w:ascii="ArialMT" w:hAnsi="ArialMT" w:cs="ArialMT"/>
        </w:rPr>
        <w:fldChar w:fldCharType="separate"/>
      </w:r>
      <w:r w:rsidR="000A7CDC" w:rsidRPr="000A7CDC">
        <w:rPr>
          <w:rFonts w:ascii="ArialMT" w:hAnsi="ArialMT" w:cs="ArialMT"/>
          <w:noProof/>
        </w:rPr>
        <w:t>(Plissart et al., 2012)</w:t>
      </w:r>
      <w:r w:rsidR="000A7CDC">
        <w:rPr>
          <w:rFonts w:ascii="ArialMT" w:hAnsi="ArialMT" w:cs="ArialMT"/>
        </w:rPr>
        <w:fldChar w:fldCharType="end"/>
      </w:r>
      <w:r w:rsidR="000A7CDC">
        <w:rPr>
          <w:rFonts w:ascii="ArialMT" w:hAnsi="ArialMT" w:cs="ArialMT"/>
        </w:rPr>
        <w:t xml:space="preserve">. </w:t>
      </w:r>
      <w:r w:rsidR="008A2F60">
        <w:rPr>
          <w:rFonts w:ascii="ArialMT" w:hAnsi="ArialMT" w:cs="ArialMT"/>
        </w:rPr>
        <w:t xml:space="preserve">Sediments derived from these areas </w:t>
      </w:r>
      <w:r w:rsidR="000A7CDC">
        <w:rPr>
          <w:rFonts w:ascii="ArialMT" w:hAnsi="ArialMT" w:cs="ArialMT"/>
        </w:rPr>
        <w:t xml:space="preserve">are likely delivered </w:t>
      </w:r>
      <w:r w:rsidR="000A7CDC">
        <w:rPr>
          <w:rFonts w:ascii="ArialMT" w:hAnsi="ArialMT" w:cs="ArialMT"/>
        </w:rPr>
        <w:lastRenderedPageBreak/>
        <w:t xml:space="preserve">via </w:t>
      </w:r>
      <w:r w:rsidR="009D3A3D">
        <w:rPr>
          <w:rFonts w:ascii="Arial" w:hAnsi="Arial" w:cs="Arial"/>
        </w:rPr>
        <w:t>smaller tributaries</w:t>
      </w:r>
      <w:r w:rsidR="00C02C2C">
        <w:rPr>
          <w:rFonts w:ascii="Arial" w:hAnsi="Arial" w:cs="Arial"/>
        </w:rPr>
        <w:t xml:space="preserve"> draining </w:t>
      </w:r>
      <w:r w:rsidR="001C1860">
        <w:rPr>
          <w:rFonts w:ascii="Arial" w:hAnsi="Arial" w:cs="Arial"/>
        </w:rPr>
        <w:t xml:space="preserve">the </w:t>
      </w:r>
      <w:r w:rsidR="00C02C2C">
        <w:rPr>
          <w:rFonts w:ascii="Arial" w:hAnsi="Arial" w:cs="Arial"/>
        </w:rPr>
        <w:t>Balkan Mountains</w:t>
      </w:r>
      <w:r w:rsidR="008654F0">
        <w:rPr>
          <w:rFonts w:ascii="Arial" w:hAnsi="Arial" w:cs="Arial"/>
        </w:rPr>
        <w:t xml:space="preserve"> (Figure 1)</w:t>
      </w:r>
      <w:r w:rsidR="008859E6" w:rsidRPr="00D85DD7">
        <w:rPr>
          <w:rFonts w:ascii="Arial" w:hAnsi="Arial" w:cs="Arial"/>
        </w:rPr>
        <w:t xml:space="preserve"> </w:t>
      </w:r>
      <w:r w:rsidR="000A7CDC">
        <w:rPr>
          <w:rFonts w:ascii="Arial" w:hAnsi="Arial" w:cs="Arial"/>
        </w:rPr>
        <w:t>and</w:t>
      </w:r>
      <w:r w:rsidR="00C02C2C">
        <w:rPr>
          <w:rFonts w:ascii="Arial" w:hAnsi="Arial" w:cs="Arial"/>
        </w:rPr>
        <w:t xml:space="preserve"> delivering </w:t>
      </w:r>
      <w:r w:rsidR="008859E6">
        <w:rPr>
          <w:rFonts w:ascii="Arial" w:hAnsi="Arial" w:cs="Arial"/>
        </w:rPr>
        <w:t>sediment</w:t>
      </w:r>
      <w:r w:rsidR="008859E6" w:rsidRPr="00D85DD7">
        <w:rPr>
          <w:rFonts w:ascii="Arial" w:hAnsi="Arial" w:cs="Arial"/>
        </w:rPr>
        <w:t xml:space="preserve"> </w:t>
      </w:r>
      <w:r w:rsidR="003518F0">
        <w:rPr>
          <w:rFonts w:ascii="Arial" w:hAnsi="Arial" w:cs="Arial"/>
        </w:rPr>
        <w:t xml:space="preserve">to the vicinity of the </w:t>
      </w:r>
      <w:r w:rsidR="008A2F60">
        <w:rPr>
          <w:rFonts w:ascii="Arial" w:hAnsi="Arial" w:cs="Arial"/>
        </w:rPr>
        <w:t xml:space="preserve">loess </w:t>
      </w:r>
      <w:r w:rsidR="00C02C2C">
        <w:rPr>
          <w:rFonts w:ascii="Arial" w:hAnsi="Arial" w:cs="Arial"/>
        </w:rPr>
        <w:t>profiles</w:t>
      </w:r>
      <w:r w:rsidR="008A2F60">
        <w:rPr>
          <w:rFonts w:ascii="Arial" w:hAnsi="Arial" w:cs="Arial"/>
        </w:rPr>
        <w:t xml:space="preserve"> bordering the Danube River valley</w:t>
      </w:r>
      <w:r w:rsidR="00C02C2C">
        <w:rPr>
          <w:rFonts w:ascii="Arial" w:hAnsi="Arial" w:cs="Arial"/>
        </w:rPr>
        <w:t>.</w:t>
      </w:r>
    </w:p>
    <w:p w14:paraId="48EF3E0A" w14:textId="1B238B15" w:rsidR="00235F01" w:rsidRPr="004D5EEB" w:rsidRDefault="00235F01" w:rsidP="00614941">
      <w:pPr>
        <w:spacing w:before="120" w:after="120" w:line="480" w:lineRule="auto"/>
        <w:jc w:val="both"/>
        <w:rPr>
          <w:rFonts w:ascii="Arial" w:hAnsi="Arial" w:cs="Arial"/>
        </w:rPr>
      </w:pPr>
      <w:bookmarkStart w:id="101" w:name="_Hlk74153032"/>
      <w:bookmarkStart w:id="102" w:name="_Hlk82679232"/>
      <w:bookmarkStart w:id="103" w:name="_Hlk80016058"/>
      <w:r w:rsidRPr="00D85DD7">
        <w:rPr>
          <w:rFonts w:ascii="Arial" w:hAnsi="Arial" w:cs="Arial"/>
        </w:rPr>
        <w:t xml:space="preserve">Plotting </w:t>
      </w:r>
      <w:r>
        <w:rPr>
          <w:rFonts w:ascii="Arial" w:hAnsi="Arial" w:cs="Arial"/>
        </w:rPr>
        <w:t>the</w:t>
      </w:r>
      <w:r w:rsidRPr="00D85DD7">
        <w:rPr>
          <w:rFonts w:ascii="Arial" w:hAnsi="Arial" w:cs="Arial"/>
        </w:rPr>
        <w:t xml:space="preserve"> ɛHf isotopic </w:t>
      </w:r>
      <w:r>
        <w:rPr>
          <w:rFonts w:ascii="Arial" w:hAnsi="Arial" w:cs="Arial"/>
        </w:rPr>
        <w:t>for each individual site (Supplementary Figure S</w:t>
      </w:r>
      <w:r w:rsidR="004D05E1">
        <w:rPr>
          <w:rFonts w:ascii="Arial" w:hAnsi="Arial" w:cs="Arial"/>
        </w:rPr>
        <w:t>4</w:t>
      </w:r>
      <w:r>
        <w:rPr>
          <w:rFonts w:ascii="Arial" w:hAnsi="Arial" w:cs="Arial"/>
        </w:rPr>
        <w:t xml:space="preserve">) and combining it with </w:t>
      </w:r>
      <w:r w:rsidRPr="00D85DD7">
        <w:rPr>
          <w:rFonts w:ascii="Arial" w:hAnsi="Arial" w:cs="Arial"/>
        </w:rPr>
        <w:t>source data (Figure</w:t>
      </w:r>
      <w:r>
        <w:rPr>
          <w:rFonts w:ascii="Arial" w:hAnsi="Arial" w:cs="Arial"/>
        </w:rPr>
        <w:t xml:space="preserve"> </w:t>
      </w:r>
      <w:r w:rsidR="003C25EB">
        <w:rPr>
          <w:rFonts w:ascii="Arial" w:hAnsi="Arial" w:cs="Arial"/>
        </w:rPr>
        <w:t>10</w:t>
      </w:r>
      <w:r w:rsidRPr="009A1702">
        <w:rPr>
          <w:rFonts w:ascii="Arial" w:hAnsi="Arial" w:cs="Arial"/>
        </w:rPr>
        <w:t xml:space="preserve">) </w:t>
      </w:r>
      <w:r>
        <w:rPr>
          <w:rFonts w:ascii="Arial" w:hAnsi="Arial" w:cs="Arial"/>
        </w:rPr>
        <w:t xml:space="preserve">suggests only very subtle differences between datasets, e.g. a wide spread of 600 Ma </w:t>
      </w:r>
      <w:r w:rsidRPr="00D85DD7">
        <w:rPr>
          <w:rFonts w:ascii="Arial" w:hAnsi="Arial" w:cs="Arial"/>
        </w:rPr>
        <w:t>εHf</w:t>
      </w:r>
      <w:r>
        <w:rPr>
          <w:rFonts w:ascii="Arial" w:hAnsi="Arial" w:cs="Arial"/>
        </w:rPr>
        <w:t xml:space="preserve"> values is observed for both Slivata profiles</w:t>
      </w:r>
      <w:r w:rsidR="003876B1">
        <w:rPr>
          <w:rFonts w:ascii="Arial" w:hAnsi="Arial" w:cs="Arial"/>
        </w:rPr>
        <w:t>;</w:t>
      </w:r>
      <w:r>
        <w:rPr>
          <w:rFonts w:ascii="Arial" w:hAnsi="Arial" w:cs="Arial"/>
        </w:rPr>
        <w:t xml:space="preserve"> Slivata 2 (Marine Isotope Stage (MIS) 3-5) has a larger positive </w:t>
      </w:r>
      <w:r w:rsidRPr="00D85DD7">
        <w:rPr>
          <w:rFonts w:ascii="Arial" w:hAnsi="Arial" w:cs="Arial"/>
        </w:rPr>
        <w:t>ɛHf</w:t>
      </w:r>
      <w:r>
        <w:rPr>
          <w:rFonts w:ascii="Arial" w:hAnsi="Arial" w:cs="Arial"/>
        </w:rPr>
        <w:t xml:space="preserve"> cluster whereas at Slivata 1 (MIS 1-2) the dominant hot spot is negative. </w:t>
      </w:r>
      <w:r w:rsidR="004D5EEB">
        <w:rPr>
          <w:rFonts w:ascii="Arial" w:hAnsi="Arial" w:cs="Arial"/>
        </w:rPr>
        <w:t>This could potentially</w:t>
      </w:r>
      <w:r w:rsidR="00EC252A">
        <w:rPr>
          <w:rFonts w:ascii="Arial" w:hAnsi="Arial" w:cs="Arial"/>
        </w:rPr>
        <w:t xml:space="preserve"> be</w:t>
      </w:r>
      <w:r w:rsidR="004D5EEB">
        <w:rPr>
          <w:rFonts w:ascii="Arial" w:hAnsi="Arial" w:cs="Arial"/>
        </w:rPr>
        <w:t xml:space="preserve"> </w:t>
      </w:r>
      <w:r>
        <w:rPr>
          <w:rFonts w:ascii="Arial" w:hAnsi="Arial" w:cs="Arial"/>
        </w:rPr>
        <w:t>attributed to dilution of the Danubian signal (and sediment sourced from upstream of the Iron Gates) by contribution</w:t>
      </w:r>
      <w:r w:rsidR="00EC252A">
        <w:rPr>
          <w:rFonts w:ascii="Arial" w:hAnsi="Arial" w:cs="Arial"/>
        </w:rPr>
        <w:t>s</w:t>
      </w:r>
      <w:r>
        <w:rPr>
          <w:rFonts w:ascii="Arial" w:hAnsi="Arial" w:cs="Arial"/>
        </w:rPr>
        <w:t xml:space="preserve"> from the local rocks as described above.</w:t>
      </w:r>
      <w:r w:rsidR="004D5EEB">
        <w:rPr>
          <w:rFonts w:ascii="Arial" w:hAnsi="Arial" w:cs="Arial"/>
        </w:rPr>
        <w:t xml:space="preserve"> However without further research and complementary provenance techniques it is not possible to resolve these small differences and identify the driver of the difference between Slivata 1 and Slivata 2. </w:t>
      </w:r>
      <w:bookmarkEnd w:id="101"/>
      <w:bookmarkEnd w:id="102"/>
    </w:p>
    <w:bookmarkEnd w:id="100"/>
    <w:bookmarkEnd w:id="103"/>
    <w:p w14:paraId="00E1851E" w14:textId="7F5682CD" w:rsidR="004554E0" w:rsidRPr="009A1702" w:rsidRDefault="007B330E" w:rsidP="00614941">
      <w:pPr>
        <w:spacing w:before="120" w:after="120" w:line="480" w:lineRule="auto"/>
        <w:jc w:val="both"/>
        <w:rPr>
          <w:rFonts w:ascii="Arial" w:hAnsi="Arial" w:cs="Arial"/>
        </w:rPr>
      </w:pPr>
      <w:r>
        <w:rPr>
          <w:rFonts w:ascii="Arial" w:hAnsi="Arial" w:cs="Arial"/>
          <w:noProof/>
        </w:rPr>
        <w:lastRenderedPageBreak/>
        <w:drawing>
          <wp:inline distT="0" distB="0" distL="0" distR="0" wp14:anchorId="34E4F200" wp14:editId="612816C6">
            <wp:extent cx="5731510" cy="8106410"/>
            <wp:effectExtent l="0" t="0" r="2540" b="8890"/>
            <wp:docPr id="11" name="Picture 1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scatter chart&#10;&#10;Description automatically generated"/>
                    <pic:cNvPicPr/>
                  </pic:nvPicPr>
                  <pic:blipFill>
                    <a:blip r:embed="rId19" cstate="hqprint">
                      <a:extLst>
                        <a:ext uri="{28A0092B-C50C-407E-A947-70E740481C1C}">
                          <a14:useLocalDpi xmlns:a14="http://schemas.microsoft.com/office/drawing/2010/main"/>
                        </a:ext>
                      </a:extLst>
                    </a:blip>
                    <a:stretch>
                      <a:fillRect/>
                    </a:stretch>
                  </pic:blipFill>
                  <pic:spPr>
                    <a:xfrm>
                      <a:off x="0" y="0"/>
                      <a:ext cx="5731510" cy="8106410"/>
                    </a:xfrm>
                    <a:prstGeom prst="rect">
                      <a:avLst/>
                    </a:prstGeom>
                  </pic:spPr>
                </pic:pic>
              </a:graphicData>
            </a:graphic>
          </wp:inline>
        </w:drawing>
      </w:r>
    </w:p>
    <w:p w14:paraId="06C73E0B" w14:textId="1B97D22F" w:rsidR="004554E0" w:rsidRPr="004554E0" w:rsidRDefault="004554E0" w:rsidP="00614941">
      <w:pPr>
        <w:spacing w:before="120" w:after="120" w:line="480" w:lineRule="auto"/>
        <w:jc w:val="both"/>
        <w:rPr>
          <w:rFonts w:ascii="Arial" w:hAnsi="Arial" w:cs="Arial"/>
        </w:rPr>
      </w:pPr>
      <w:r w:rsidRPr="009A1702">
        <w:rPr>
          <w:rFonts w:ascii="Arial" w:hAnsi="Arial" w:cs="Arial"/>
          <w:b/>
          <w:bCs/>
        </w:rPr>
        <w:t xml:space="preserve">Figure </w:t>
      </w:r>
      <w:r w:rsidR="00D076EE">
        <w:rPr>
          <w:rFonts w:ascii="Arial" w:hAnsi="Arial" w:cs="Arial"/>
          <w:b/>
          <w:bCs/>
        </w:rPr>
        <w:t>10</w:t>
      </w:r>
      <w:r w:rsidR="00D17435" w:rsidRPr="009A1702">
        <w:rPr>
          <w:rFonts w:ascii="Arial" w:hAnsi="Arial" w:cs="Arial"/>
          <w:b/>
          <w:bCs/>
        </w:rPr>
        <w:t>.</w:t>
      </w:r>
      <w:r>
        <w:rPr>
          <w:rFonts w:ascii="Arial" w:hAnsi="Arial" w:cs="Arial"/>
          <w:b/>
          <w:bCs/>
        </w:rPr>
        <w:t xml:space="preserve"> </w:t>
      </w:r>
      <w:r w:rsidRPr="003518F0">
        <w:rPr>
          <w:rFonts w:ascii="Arial" w:hAnsi="Arial" w:cs="Arial"/>
        </w:rPr>
        <w:t>Probability density plot showing Hf isotope–time evolution for each site</w:t>
      </w:r>
      <w:r w:rsidR="00B67F03">
        <w:rPr>
          <w:rFonts w:ascii="Arial" w:hAnsi="Arial" w:cs="Arial"/>
        </w:rPr>
        <w:t xml:space="preserve"> for 0-1200 Ma period</w:t>
      </w:r>
      <w:r w:rsidRPr="003518F0">
        <w:rPr>
          <w:rFonts w:ascii="Arial" w:hAnsi="Arial" w:cs="Arial"/>
        </w:rPr>
        <w:t xml:space="preserve">. </w:t>
      </w:r>
      <w:r w:rsidR="00D640B0">
        <w:rPr>
          <w:rFonts w:ascii="Arial" w:hAnsi="Arial" w:cs="Arial"/>
        </w:rPr>
        <w:t xml:space="preserve">Source regions are grouped geographically. </w:t>
      </w:r>
      <w:r w:rsidRPr="003518F0">
        <w:rPr>
          <w:rFonts w:ascii="Arial" w:hAnsi="Arial" w:cs="Arial"/>
        </w:rPr>
        <w:t xml:space="preserve">The density of the data distribution is </w:t>
      </w:r>
      <w:r w:rsidRPr="003518F0">
        <w:rPr>
          <w:rFonts w:ascii="Arial" w:hAnsi="Arial" w:cs="Arial"/>
        </w:rPr>
        <w:lastRenderedPageBreak/>
        <w:t xml:space="preserve">calculated using a modified version of the Kernel Density Estimation </w:t>
      </w:r>
      <w:r w:rsidRPr="003518F0">
        <w:rPr>
          <w:rFonts w:ascii="Arial" w:hAnsi="Arial" w:cs="Arial"/>
        </w:rPr>
        <w:fldChar w:fldCharType="begin" w:fldLock="1"/>
      </w:r>
      <w:r w:rsidR="004F5F90" w:rsidRPr="003518F0">
        <w:rPr>
          <w:rFonts w:ascii="Arial" w:hAnsi="Arial" w:cs="Arial"/>
        </w:rPr>
        <w:instrText>ADDIN CSL_CITATION {"citationItems":[{"id":"ITEM-1","itemData":{"DOI":"10.1214/10-AOS799","ISSN":"00905364","abstract":"We present a new adaptive kernel density estimator based on linear diffusion processes. The proposed estimator builds on existing ideas for adaptive smoothing by incorporating information from a pilot density estimate. In addition, we propose a new plug-in bandwidth selection method that is free from the arbitrary normal reference rules used by existing methods. We present simulation examples in which the proposed approach outperforms existing methods in terms of accuracy and reliability.","author":[{"dropping-particle":"","family":"Botev","given":"Z. I.","non-dropping-particle":"","parse-names":false,"suffix":""},{"dropping-particle":"","family":"Grotowski","given":"J. F.","non-dropping-particle":"","parse-names":false,"suffix":""},{"dropping-particle":"","family":"Kroese","given":"D. P.","non-dropping-particle":"","parse-names":false,"suffix":""}],"container-title":"Annals of Statistics","id":"ITEM-1","issue":"5","issued":{"date-parts":[["2010"]]},"page":"2916-2957","title":"Kernel density estimation via diffusion","type":"article-journal","volume":"38"},"uris":["http://www.mendeley.com/documents/?uuid=0af12039-061a-4701-bd9b-d7e5bec6a5d4"]}],"mendeley":{"formattedCitation":"(Botev et al., 2010)","plainTextFormattedCitation":"(Botev et al., 2010)","previouslyFormattedCitation":"(Botev et al., 2010)"},"properties":{"noteIndex":0},"schema":"https://github.com/citation-style-language/schema/raw/master/csl-citation.json"}</w:instrText>
      </w:r>
      <w:r w:rsidRPr="003518F0">
        <w:rPr>
          <w:rFonts w:ascii="Arial" w:hAnsi="Arial" w:cs="Arial"/>
        </w:rPr>
        <w:fldChar w:fldCharType="separate"/>
      </w:r>
      <w:r w:rsidR="008612C3" w:rsidRPr="003518F0">
        <w:rPr>
          <w:rFonts w:ascii="Arial" w:hAnsi="Arial" w:cs="Arial"/>
          <w:noProof/>
        </w:rPr>
        <w:t>(Botev et al., 2010)</w:t>
      </w:r>
      <w:r w:rsidRPr="003518F0">
        <w:rPr>
          <w:rFonts w:ascii="Arial" w:hAnsi="Arial" w:cs="Arial"/>
        </w:rPr>
        <w:fldChar w:fldCharType="end"/>
      </w:r>
      <w:r w:rsidRPr="003518F0">
        <w:rPr>
          <w:rFonts w:ascii="Arial" w:hAnsi="Arial" w:cs="Arial"/>
        </w:rPr>
        <w:t xml:space="preserve"> analysis amended for R. </w:t>
      </w:r>
      <w:bookmarkStart w:id="104" w:name="_Hlk79572372"/>
      <w:r w:rsidR="003518F0" w:rsidRPr="003518F0">
        <w:rPr>
          <w:rFonts w:ascii="Arial" w:hAnsi="Arial" w:cs="Arial"/>
        </w:rPr>
        <w:t>εHf evolution</w:t>
      </w:r>
      <w:r w:rsidR="00AC67B7">
        <w:rPr>
          <w:rFonts w:ascii="Arial" w:hAnsi="Arial" w:cs="Arial"/>
        </w:rPr>
        <w:t xml:space="preserve"> lines</w:t>
      </w:r>
      <w:r w:rsidR="003518F0" w:rsidRPr="003518F0">
        <w:rPr>
          <w:rFonts w:ascii="Arial" w:hAnsi="Arial" w:cs="Arial"/>
        </w:rPr>
        <w:t xml:space="preserve"> for the </w:t>
      </w:r>
      <w:r w:rsidR="00AC67B7">
        <w:rPr>
          <w:rFonts w:ascii="Arial" w:hAnsi="Arial" w:cs="Arial"/>
        </w:rPr>
        <w:t xml:space="preserve">1370 Ma and </w:t>
      </w:r>
      <w:r w:rsidR="003518F0" w:rsidRPr="003518F0">
        <w:rPr>
          <w:rFonts w:ascii="Arial" w:hAnsi="Arial" w:cs="Arial"/>
        </w:rPr>
        <w:t>3</w:t>
      </w:r>
      <w:r w:rsidR="00F74C19">
        <w:rPr>
          <w:rFonts w:ascii="Arial" w:hAnsi="Arial" w:cs="Arial"/>
        </w:rPr>
        <w:t>5</w:t>
      </w:r>
      <w:r w:rsidR="003518F0" w:rsidRPr="003518F0">
        <w:rPr>
          <w:rFonts w:ascii="Arial" w:hAnsi="Arial" w:cs="Arial"/>
        </w:rPr>
        <w:t xml:space="preserve">00 Ma crust </w:t>
      </w:r>
      <w:r w:rsidR="00AC67B7">
        <w:rPr>
          <w:rFonts w:ascii="Arial" w:hAnsi="Arial" w:cs="Arial"/>
        </w:rPr>
        <w:t>are</w:t>
      </w:r>
      <w:r w:rsidR="003518F0" w:rsidRPr="003518F0">
        <w:rPr>
          <w:rFonts w:ascii="Arial" w:hAnsi="Arial" w:cs="Arial"/>
        </w:rPr>
        <w:t xml:space="preserve"> added. </w:t>
      </w:r>
      <w:bookmarkStart w:id="105" w:name="_Hlk79572332"/>
      <w:r w:rsidRPr="003518F0">
        <w:rPr>
          <w:rFonts w:ascii="Arial" w:hAnsi="Arial" w:cs="Arial"/>
        </w:rPr>
        <w:t xml:space="preserve">The source </w:t>
      </w:r>
      <w:r w:rsidR="00F74C19">
        <w:rPr>
          <w:rFonts w:ascii="Arial" w:hAnsi="Arial" w:cs="Arial"/>
        </w:rPr>
        <w:t xml:space="preserve">of </w:t>
      </w:r>
      <w:r w:rsidRPr="003518F0">
        <w:rPr>
          <w:rFonts w:ascii="Arial" w:hAnsi="Arial" w:cs="Arial"/>
        </w:rPr>
        <w:t xml:space="preserve">Hf </w:t>
      </w:r>
      <w:r w:rsidR="00F74C19">
        <w:rPr>
          <w:rFonts w:ascii="Arial" w:hAnsi="Arial" w:cs="Arial"/>
        </w:rPr>
        <w:t xml:space="preserve">isotope </w:t>
      </w:r>
      <w:r w:rsidR="008A2F60">
        <w:rPr>
          <w:rFonts w:ascii="Arial" w:hAnsi="Arial" w:cs="Arial"/>
        </w:rPr>
        <w:t xml:space="preserve">data </w:t>
      </w:r>
      <w:r w:rsidRPr="003518F0">
        <w:rPr>
          <w:rFonts w:ascii="Arial" w:hAnsi="Arial" w:cs="Arial"/>
        </w:rPr>
        <w:t>are superimposed</w:t>
      </w:r>
      <w:r w:rsidR="008A2F60">
        <w:rPr>
          <w:rFonts w:ascii="Arial" w:hAnsi="Arial" w:cs="Arial"/>
        </w:rPr>
        <w:t xml:space="preserve">. </w:t>
      </w:r>
      <w:bookmarkEnd w:id="105"/>
      <w:r w:rsidR="008A2F60">
        <w:rPr>
          <w:rFonts w:ascii="Arial" w:hAnsi="Arial" w:cs="Arial"/>
        </w:rPr>
        <w:t>S</w:t>
      </w:r>
      <w:r w:rsidRPr="003518F0">
        <w:rPr>
          <w:rFonts w:ascii="Arial" w:hAnsi="Arial" w:cs="Arial"/>
        </w:rPr>
        <w:t xml:space="preserve">ee Table </w:t>
      </w:r>
      <w:r w:rsidR="004D0D84">
        <w:rPr>
          <w:rFonts w:ascii="Arial" w:hAnsi="Arial" w:cs="Arial"/>
        </w:rPr>
        <w:t>2</w:t>
      </w:r>
      <w:r w:rsidRPr="003518F0">
        <w:rPr>
          <w:rFonts w:ascii="Arial" w:hAnsi="Arial" w:cs="Arial"/>
        </w:rPr>
        <w:t xml:space="preserve"> for the Hf</w:t>
      </w:r>
      <w:r w:rsidR="00F74C19">
        <w:rPr>
          <w:rFonts w:ascii="Arial" w:hAnsi="Arial" w:cs="Arial"/>
        </w:rPr>
        <w:t xml:space="preserve"> isotope</w:t>
      </w:r>
      <w:r w:rsidRPr="003518F0">
        <w:rPr>
          <w:rFonts w:ascii="Arial" w:hAnsi="Arial" w:cs="Arial"/>
        </w:rPr>
        <w:t xml:space="preserve"> metadata.</w:t>
      </w:r>
      <w:bookmarkEnd w:id="104"/>
    </w:p>
    <w:p w14:paraId="7C5E780F" w14:textId="11296402" w:rsidR="003B6350" w:rsidRDefault="005B48B5" w:rsidP="003B6350">
      <w:pPr>
        <w:spacing w:before="120" w:after="120" w:line="480" w:lineRule="auto"/>
        <w:jc w:val="both"/>
        <w:rPr>
          <w:rFonts w:ascii="Arial" w:hAnsi="Arial" w:cs="Arial"/>
        </w:rPr>
      </w:pPr>
      <w:r>
        <w:rPr>
          <w:rFonts w:ascii="Arial" w:hAnsi="Arial" w:cs="Arial"/>
        </w:rPr>
        <w:t>Surduk 2</w:t>
      </w:r>
      <w:r w:rsidR="009D0E7F">
        <w:rPr>
          <w:rFonts w:ascii="Arial" w:hAnsi="Arial" w:cs="Arial"/>
        </w:rPr>
        <w:t xml:space="preserve"> loess profile</w:t>
      </w:r>
      <w:r>
        <w:rPr>
          <w:rFonts w:ascii="Arial" w:hAnsi="Arial" w:cs="Arial"/>
        </w:rPr>
        <w:t xml:space="preserve"> shows </w:t>
      </w:r>
      <w:r w:rsidR="001C1860">
        <w:rPr>
          <w:rFonts w:ascii="Arial" w:hAnsi="Arial" w:cs="Arial"/>
        </w:rPr>
        <w:t>a</w:t>
      </w:r>
      <w:r w:rsidR="00765BED">
        <w:rPr>
          <w:rFonts w:ascii="Arial" w:hAnsi="Arial" w:cs="Arial"/>
        </w:rPr>
        <w:t xml:space="preserve"> </w:t>
      </w:r>
      <w:r>
        <w:rPr>
          <w:rFonts w:ascii="Arial" w:hAnsi="Arial" w:cs="Arial"/>
        </w:rPr>
        <w:t>population of young zircons (&lt;</w:t>
      </w:r>
      <w:r w:rsidR="00305CB9">
        <w:rPr>
          <w:rFonts w:ascii="Arial" w:hAnsi="Arial" w:cs="Arial"/>
        </w:rPr>
        <w:t xml:space="preserve">100 </w:t>
      </w:r>
      <w:r>
        <w:rPr>
          <w:rFonts w:ascii="Arial" w:hAnsi="Arial" w:cs="Arial"/>
        </w:rPr>
        <w:t xml:space="preserve">Ma; Figure </w:t>
      </w:r>
      <w:r w:rsidR="007B1341">
        <w:rPr>
          <w:rFonts w:ascii="Arial" w:hAnsi="Arial" w:cs="Arial"/>
        </w:rPr>
        <w:t>3</w:t>
      </w:r>
      <w:r>
        <w:rPr>
          <w:rFonts w:ascii="Arial" w:hAnsi="Arial" w:cs="Arial"/>
        </w:rPr>
        <w:t>) which overlap</w:t>
      </w:r>
      <w:r w:rsidR="00765BED">
        <w:rPr>
          <w:rFonts w:ascii="Arial" w:hAnsi="Arial" w:cs="Arial"/>
        </w:rPr>
        <w:t>s</w:t>
      </w:r>
      <w:r>
        <w:rPr>
          <w:rFonts w:ascii="Arial" w:hAnsi="Arial" w:cs="Arial"/>
        </w:rPr>
        <w:t xml:space="preserve"> with </w:t>
      </w:r>
      <w:r w:rsidR="001C1860">
        <w:rPr>
          <w:rFonts w:ascii="Arial" w:hAnsi="Arial" w:cs="Arial"/>
        </w:rPr>
        <w:t xml:space="preserve">the </w:t>
      </w:r>
      <w:r>
        <w:rPr>
          <w:rFonts w:ascii="Arial" w:hAnsi="Arial" w:cs="Arial"/>
        </w:rPr>
        <w:t xml:space="preserve">Central </w:t>
      </w:r>
      <w:r w:rsidRPr="00D85DD7">
        <w:rPr>
          <w:rFonts w:ascii="Arial" w:hAnsi="Arial" w:cs="Arial"/>
        </w:rPr>
        <w:t>Srednogorie</w:t>
      </w:r>
      <w:r w:rsidR="00F861B3">
        <w:rPr>
          <w:rFonts w:ascii="Arial" w:hAnsi="Arial" w:cs="Arial"/>
        </w:rPr>
        <w:t xml:space="preserve"> (Balkan)</w:t>
      </w:r>
      <w:r>
        <w:rPr>
          <w:rFonts w:ascii="Arial" w:hAnsi="Arial" w:cs="Arial"/>
        </w:rPr>
        <w:t xml:space="preserve">, and a range of Dinaric datasets (Figure </w:t>
      </w:r>
      <w:r w:rsidR="00D076EE">
        <w:rPr>
          <w:rFonts w:ascii="Arial" w:hAnsi="Arial" w:cs="Arial"/>
        </w:rPr>
        <w:t>10</w:t>
      </w:r>
      <w:r>
        <w:rPr>
          <w:rFonts w:ascii="Arial" w:hAnsi="Arial" w:cs="Arial"/>
        </w:rPr>
        <w:t xml:space="preserve">). </w:t>
      </w:r>
      <w:bookmarkStart w:id="106" w:name="_Hlk80266141"/>
      <w:r w:rsidR="00D62B5D">
        <w:rPr>
          <w:rFonts w:ascii="Arial" w:hAnsi="Arial" w:cs="Arial"/>
        </w:rPr>
        <w:t>T</w:t>
      </w:r>
      <w:r w:rsidR="004A2C9F">
        <w:rPr>
          <w:rFonts w:ascii="Arial" w:hAnsi="Arial" w:cs="Arial"/>
        </w:rPr>
        <w:t xml:space="preserve">hese datasets </w:t>
      </w:r>
      <w:r w:rsidR="0058043A">
        <w:rPr>
          <w:rFonts w:ascii="Arial" w:hAnsi="Arial" w:cs="Arial"/>
        </w:rPr>
        <w:t xml:space="preserve">are also </w:t>
      </w:r>
      <w:r w:rsidR="0058043A" w:rsidRPr="0058043A">
        <w:rPr>
          <w:rFonts w:ascii="Arial" w:hAnsi="Arial" w:cs="Arial"/>
        </w:rPr>
        <w:t>contiguous</w:t>
      </w:r>
      <w:r w:rsidR="0058043A">
        <w:rPr>
          <w:rFonts w:ascii="Arial" w:hAnsi="Arial" w:cs="Arial"/>
        </w:rPr>
        <w:t xml:space="preserve"> </w:t>
      </w:r>
      <w:r>
        <w:rPr>
          <w:rFonts w:ascii="Arial" w:hAnsi="Arial" w:cs="Arial"/>
        </w:rPr>
        <w:t xml:space="preserve">with small populations in both </w:t>
      </w:r>
      <w:r w:rsidR="000B50CC">
        <w:rPr>
          <w:rFonts w:ascii="Arial" w:hAnsi="Arial" w:cs="Arial"/>
        </w:rPr>
        <w:t>Slivata</w:t>
      </w:r>
      <w:r>
        <w:rPr>
          <w:rFonts w:ascii="Arial" w:hAnsi="Arial" w:cs="Arial"/>
        </w:rPr>
        <w:t xml:space="preserve"> datasets</w:t>
      </w:r>
      <w:r w:rsidR="004A2C9F">
        <w:rPr>
          <w:rFonts w:ascii="Arial" w:hAnsi="Arial" w:cs="Arial"/>
        </w:rPr>
        <w:t xml:space="preserve">, e.g. Dinarides and </w:t>
      </w:r>
      <w:r w:rsidR="0058043A" w:rsidRPr="00D85DD7">
        <w:rPr>
          <w:rFonts w:ascii="Arial" w:hAnsi="Arial" w:cs="Arial"/>
        </w:rPr>
        <w:t>Srednogorie</w:t>
      </w:r>
      <w:r w:rsidR="0058043A">
        <w:rPr>
          <w:rFonts w:ascii="Arial" w:hAnsi="Arial" w:cs="Arial"/>
        </w:rPr>
        <w:t xml:space="preserve"> with Slivata 2</w:t>
      </w:r>
      <w:r>
        <w:rPr>
          <w:rFonts w:ascii="Arial" w:hAnsi="Arial" w:cs="Arial"/>
        </w:rPr>
        <w:t>.</w:t>
      </w:r>
      <w:r w:rsidR="003B6350">
        <w:rPr>
          <w:rFonts w:ascii="Arial" w:hAnsi="Arial" w:cs="Arial"/>
        </w:rPr>
        <w:t xml:space="preserve"> </w:t>
      </w:r>
      <w:bookmarkEnd w:id="106"/>
      <w:r w:rsidR="003B6350">
        <w:rPr>
          <w:rFonts w:ascii="Arial" w:hAnsi="Arial" w:cs="Arial"/>
        </w:rPr>
        <w:t xml:space="preserve">Whilst </w:t>
      </w:r>
      <w:r w:rsidR="00B11DA3" w:rsidRPr="00D85DD7">
        <w:rPr>
          <w:rFonts w:ascii="Arial" w:hAnsi="Arial" w:cs="Arial"/>
        </w:rPr>
        <w:t>Srednogorie</w:t>
      </w:r>
      <w:r w:rsidR="00B11DA3">
        <w:rPr>
          <w:rFonts w:ascii="Arial" w:hAnsi="Arial" w:cs="Arial"/>
        </w:rPr>
        <w:t xml:space="preserve"> </w:t>
      </w:r>
      <w:r w:rsidR="00B11DA3" w:rsidRPr="00D85DD7">
        <w:rPr>
          <w:rFonts w:ascii="Arial" w:hAnsi="Arial" w:cs="Arial"/>
        </w:rPr>
        <w:t xml:space="preserve">cannot be the source of sediment for Surduk </w:t>
      </w:r>
      <w:r w:rsidR="003B6350">
        <w:rPr>
          <w:rFonts w:ascii="Arial" w:hAnsi="Arial" w:cs="Arial"/>
        </w:rPr>
        <w:t xml:space="preserve">2, </w:t>
      </w:r>
      <w:r w:rsidR="00EB73D6">
        <w:rPr>
          <w:rFonts w:ascii="Arial" w:hAnsi="Arial" w:cs="Arial"/>
        </w:rPr>
        <w:t>given</w:t>
      </w:r>
      <w:r w:rsidR="00B11DA3" w:rsidRPr="00D85DD7">
        <w:rPr>
          <w:rFonts w:ascii="Arial" w:hAnsi="Arial" w:cs="Arial"/>
        </w:rPr>
        <w:t xml:space="preserve"> its geographical location</w:t>
      </w:r>
      <w:r w:rsidR="003B6350">
        <w:rPr>
          <w:rFonts w:ascii="Arial" w:hAnsi="Arial" w:cs="Arial"/>
        </w:rPr>
        <w:t xml:space="preserve">, it was part of </w:t>
      </w:r>
      <w:r w:rsidR="003B6350" w:rsidRPr="00D85DD7">
        <w:rPr>
          <w:rFonts w:ascii="Arial" w:hAnsi="Arial" w:cs="Arial"/>
        </w:rPr>
        <w:t>the magmatic arc that</w:t>
      </w:r>
      <w:r w:rsidR="00765BED">
        <w:rPr>
          <w:rFonts w:ascii="Arial" w:hAnsi="Arial" w:cs="Arial"/>
        </w:rPr>
        <w:t xml:space="preserve"> stretched</w:t>
      </w:r>
      <w:r w:rsidR="003B6350" w:rsidRPr="00D85DD7">
        <w:rPr>
          <w:rFonts w:ascii="Arial" w:hAnsi="Arial" w:cs="Arial"/>
        </w:rPr>
        <w:t xml:space="preserve"> </w:t>
      </w:r>
      <w:r w:rsidR="00765BED">
        <w:rPr>
          <w:rFonts w:ascii="Arial" w:hAnsi="Arial" w:cs="Arial"/>
        </w:rPr>
        <w:t xml:space="preserve">from the modern Balkan </w:t>
      </w:r>
      <w:r w:rsidR="009D0E7F">
        <w:rPr>
          <w:rFonts w:ascii="Arial" w:hAnsi="Arial" w:cs="Arial"/>
        </w:rPr>
        <w:t>M</w:t>
      </w:r>
      <w:r w:rsidR="00765BED">
        <w:rPr>
          <w:rFonts w:ascii="Arial" w:hAnsi="Arial" w:cs="Arial"/>
        </w:rPr>
        <w:t>ountains</w:t>
      </w:r>
      <w:r w:rsidR="003B6350">
        <w:rPr>
          <w:rFonts w:ascii="Arial" w:hAnsi="Arial" w:cs="Arial"/>
        </w:rPr>
        <w:t xml:space="preserve"> into the Southern Carpathian</w:t>
      </w:r>
      <w:r w:rsidR="00765BED">
        <w:rPr>
          <w:rFonts w:ascii="Arial" w:hAnsi="Arial" w:cs="Arial"/>
        </w:rPr>
        <w:t>s</w:t>
      </w:r>
      <w:r w:rsidR="003B6350">
        <w:rPr>
          <w:rFonts w:ascii="Arial" w:hAnsi="Arial" w:cs="Arial"/>
        </w:rPr>
        <w:t xml:space="preserve"> (inclu</w:t>
      </w:r>
      <w:r w:rsidR="00765BED">
        <w:rPr>
          <w:rFonts w:ascii="Arial" w:hAnsi="Arial" w:cs="Arial"/>
        </w:rPr>
        <w:t xml:space="preserve">ding </w:t>
      </w:r>
      <w:r w:rsidR="003B6350">
        <w:rPr>
          <w:rFonts w:ascii="Arial" w:hAnsi="Arial" w:cs="Arial"/>
        </w:rPr>
        <w:t xml:space="preserve">parts of the </w:t>
      </w:r>
      <w:r w:rsidR="003B6350" w:rsidRPr="00D85DD7">
        <w:rPr>
          <w:rFonts w:ascii="Arial" w:hAnsi="Arial" w:cs="Arial"/>
        </w:rPr>
        <w:t>Apuseni, Banat, Timok</w:t>
      </w:r>
      <w:r w:rsidR="003B6350">
        <w:rPr>
          <w:rFonts w:ascii="Arial" w:hAnsi="Arial" w:cs="Arial"/>
        </w:rPr>
        <w:t>,</w:t>
      </w:r>
      <w:r w:rsidR="003B6350" w:rsidRPr="00D85DD7">
        <w:rPr>
          <w:rFonts w:ascii="Arial" w:hAnsi="Arial" w:cs="Arial"/>
        </w:rPr>
        <w:t xml:space="preserve"> and Srednogorie</w:t>
      </w:r>
      <w:r w:rsidR="003B6350">
        <w:rPr>
          <w:rFonts w:ascii="Arial" w:hAnsi="Arial" w:cs="Arial"/>
        </w:rPr>
        <w:t xml:space="preserve"> </w:t>
      </w:r>
      <w:r w:rsidR="003B6350" w:rsidRPr="00D85DD7">
        <w:rPr>
          <w:rFonts w:ascii="Arial" w:hAnsi="Arial" w:cs="Arial"/>
        </w:rPr>
        <w:t xml:space="preserve">Mountains </w:t>
      </w:r>
      <w:r w:rsidR="003B6350" w:rsidRPr="00D85DD7">
        <w:rPr>
          <w:rFonts w:ascii="Arial" w:hAnsi="Arial" w:cs="Arial"/>
        </w:rPr>
        <w:fldChar w:fldCharType="begin" w:fldLock="1"/>
      </w:r>
      <w:r w:rsidR="003B6350">
        <w:rPr>
          <w:rFonts w:ascii="Arial" w:hAnsi="Arial" w:cs="Arial"/>
        </w:rPr>
        <w:instrText>ADDIN CSL_CITATION {"citationItems":[{"id":"ITEM-1","itemData":{"DOI":"10.1002/2015TC003834","ISSN":"19449194","abstract":"©2015. American Geophysical Union. All Rights Reserved. The Apuseni-Banat-Timok-Srednogorie Late Cretaceous magmatic arc in the Carpathian-Balkan orogen formed on the European margin during closure of the Neotethys Ocean. It was subsequently deformed into a complex orocline by continental collisions. The Cu-Au mineralized arc consists of geologically distinct segments: the Apuseni, Banat, Timok, Panagyurishte, and Eastern Srednogorie segments. New U-Pb zircon ages and geochemical whole rock data for the Banat and Apuseni segments are combined with previously published data to reconstruct the original arc geometry and better constrain its tectonic evolution. Trace element and isotopic signatures of the arc magmas indicate a subduction-enriched source in all segments and variable contamination by continental crust. The magmatic arc was active for 25 Myr (92-67 Ma). Across-arc age trends of progressively younger ages toward the inferred paleo-trench indicate gradual steepening of the subducting slab away from the upper plate European margin. This leads to asthenospheric corner flow in the overriding plate, which is recorded by decreasing 87Sr/86Sr (0.70577 to 0.70373) and increasing 143Nd/144Nd (0.51234 to 0.51264) ratios over time in some segments. The close spatial relationship between arc magmatism, large-scale shear zones, and related strike-slip sedimentary basins in the Timok and Pangyurishte segments indicates mild transtension in these central segments of the restored arc. In contrast, the Eastern Srednogorie segment underwent strong orthogonal intraarc extension. Segmental distribution of tectonic stress may account for the concentration of rich porphyry Cu deposits in the transtensional segments, where lower crustal magma storage and fractionation favored the evolution of volatile-rich magmas.","author":[{"dropping-particle":"","family":"Gallhofer","given":"Daniela","non-dropping-particle":"","parse-names":false,"suffix":""},{"dropping-particle":"Von","family":"Quadt","given":"Albrecht","non-dropping-particle":"","parse-names":false,"suffix":""},{"dropping-particle":"","family":"Peytcheva","given":"Irena","non-dropping-particle":"","parse-names":false,"suffix":""},{"dropping-particle":"","family":"Schmid","given":"Stefan Martin","non-dropping-particle":"","parse-names":false,"suffix":""},{"dropping-particle":"","family":"Heinrich","given":"Christoph A.","non-dropping-particle":"","parse-names":false,"suffix":""}],"container-title":"Tectonics","id":"ITEM-1","issue":"9","issued":{"date-parts":[["2015"]]},"page":"1813-1836","title":"Tectonic, magmatic, and metallogenic evolution of the Late Cretaceous arc in the Carpathian-Balkan orogen","type":"article-journal","volume":"34"},"uris":["http://www.mendeley.com/documents/?uuid=ae4f6198-8bd0-412a-99ee-4de8dbadc5a5"]}],"mendeley":{"formattedCitation":"(Gallhofer et al., 2015)","plainTextFormattedCitation":"(Gallhofer et al., 2015)","previouslyFormattedCitation":"(Gallhofer et al., 2015)"},"properties":{"noteIndex":0},"schema":"https://github.com/citation-style-language/schema/raw/master/csl-citation.json"}</w:instrText>
      </w:r>
      <w:r w:rsidR="003B6350" w:rsidRPr="00D85DD7">
        <w:rPr>
          <w:rFonts w:ascii="Arial" w:hAnsi="Arial" w:cs="Arial"/>
        </w:rPr>
        <w:fldChar w:fldCharType="separate"/>
      </w:r>
      <w:r w:rsidR="003B6350" w:rsidRPr="008612C3">
        <w:rPr>
          <w:rFonts w:ascii="Arial" w:hAnsi="Arial" w:cs="Arial"/>
          <w:noProof/>
        </w:rPr>
        <w:t>(Gallhofer et al., 2015)</w:t>
      </w:r>
      <w:r w:rsidR="003B6350" w:rsidRPr="00D85DD7">
        <w:rPr>
          <w:rFonts w:ascii="Arial" w:hAnsi="Arial" w:cs="Arial"/>
        </w:rPr>
        <w:fldChar w:fldCharType="end"/>
      </w:r>
      <w:r w:rsidR="003B6350">
        <w:rPr>
          <w:rFonts w:ascii="Arial" w:hAnsi="Arial" w:cs="Arial"/>
        </w:rPr>
        <w:t>).</w:t>
      </w:r>
      <w:r w:rsidR="003B6350" w:rsidRPr="00D85DD7">
        <w:rPr>
          <w:rFonts w:ascii="Arial" w:hAnsi="Arial" w:cs="Arial"/>
        </w:rPr>
        <w:t xml:space="preserve"> Hf </w:t>
      </w:r>
      <w:r w:rsidR="000132BD">
        <w:rPr>
          <w:rFonts w:ascii="Arial" w:hAnsi="Arial" w:cs="Arial"/>
        </w:rPr>
        <w:t xml:space="preserve">isotope </w:t>
      </w:r>
      <w:r w:rsidR="003B6350" w:rsidRPr="00D85DD7">
        <w:rPr>
          <w:rFonts w:ascii="Arial" w:hAnsi="Arial" w:cs="Arial"/>
        </w:rPr>
        <w:t xml:space="preserve">data </w:t>
      </w:r>
      <w:r w:rsidR="00B24322">
        <w:rPr>
          <w:rFonts w:ascii="Arial" w:hAnsi="Arial" w:cs="Arial"/>
        </w:rPr>
        <w:t>are</w:t>
      </w:r>
      <w:r w:rsidR="00B24322" w:rsidRPr="00D85DD7">
        <w:rPr>
          <w:rFonts w:ascii="Arial" w:hAnsi="Arial" w:cs="Arial"/>
        </w:rPr>
        <w:t xml:space="preserve"> </w:t>
      </w:r>
      <w:r w:rsidR="003B6350" w:rsidRPr="00D85DD7">
        <w:rPr>
          <w:rFonts w:ascii="Arial" w:hAnsi="Arial" w:cs="Arial"/>
        </w:rPr>
        <w:t xml:space="preserve">not available for the whole arc, </w:t>
      </w:r>
      <w:r w:rsidR="003B6350">
        <w:rPr>
          <w:rFonts w:ascii="Arial" w:hAnsi="Arial" w:cs="Arial"/>
        </w:rPr>
        <w:t xml:space="preserve">but the timing and magmatic conditions were </w:t>
      </w:r>
      <w:r w:rsidR="00765BED">
        <w:rPr>
          <w:rFonts w:ascii="Arial" w:hAnsi="Arial" w:cs="Arial"/>
        </w:rPr>
        <w:t>consistent,</w:t>
      </w:r>
      <w:r w:rsidR="009D0E7F">
        <w:rPr>
          <w:rFonts w:ascii="Arial" w:hAnsi="Arial" w:cs="Arial"/>
        </w:rPr>
        <w:t xml:space="preserve"> and</w:t>
      </w:r>
      <w:r w:rsidR="003B6350">
        <w:rPr>
          <w:rFonts w:ascii="Arial" w:hAnsi="Arial" w:cs="Arial"/>
        </w:rPr>
        <w:t xml:space="preserve"> therefore </w:t>
      </w:r>
      <w:r w:rsidR="003B6350" w:rsidRPr="00D85DD7">
        <w:rPr>
          <w:rFonts w:ascii="Arial" w:hAnsi="Arial" w:cs="Arial"/>
        </w:rPr>
        <w:t>Srednogorie</w:t>
      </w:r>
      <w:r w:rsidR="003B6350">
        <w:rPr>
          <w:rFonts w:ascii="Arial" w:hAnsi="Arial" w:cs="Arial"/>
        </w:rPr>
        <w:t xml:space="preserve"> could be a proxy for the whole arc. </w:t>
      </w:r>
      <w:r w:rsidR="00765BED">
        <w:rPr>
          <w:rFonts w:ascii="Arial" w:hAnsi="Arial" w:cs="Arial"/>
        </w:rPr>
        <w:t>Consequently, the</w:t>
      </w:r>
      <w:r w:rsidR="003B6350">
        <w:rPr>
          <w:rFonts w:ascii="Arial" w:hAnsi="Arial" w:cs="Arial"/>
        </w:rPr>
        <w:t xml:space="preserve"> young zircon grains in Surduk 2 and Slivata could </w:t>
      </w:r>
      <w:r w:rsidR="00765BED">
        <w:rPr>
          <w:rFonts w:ascii="Arial" w:hAnsi="Arial" w:cs="Arial"/>
        </w:rPr>
        <w:t xml:space="preserve">have </w:t>
      </w:r>
      <w:r w:rsidR="003B6350">
        <w:rPr>
          <w:rFonts w:ascii="Arial" w:hAnsi="Arial" w:cs="Arial"/>
        </w:rPr>
        <w:t>originate</w:t>
      </w:r>
      <w:r w:rsidR="00765BED">
        <w:rPr>
          <w:rFonts w:ascii="Arial" w:hAnsi="Arial" w:cs="Arial"/>
        </w:rPr>
        <w:t>d</w:t>
      </w:r>
      <w:r w:rsidR="003B6350">
        <w:rPr>
          <w:rFonts w:ascii="Arial" w:hAnsi="Arial" w:cs="Arial"/>
        </w:rPr>
        <w:t xml:space="preserve"> from this arc, and </w:t>
      </w:r>
      <w:r w:rsidR="00765BED">
        <w:rPr>
          <w:rFonts w:ascii="Arial" w:hAnsi="Arial" w:cs="Arial"/>
        </w:rPr>
        <w:t xml:space="preserve">been </w:t>
      </w:r>
      <w:r w:rsidR="003B6350">
        <w:rPr>
          <w:rFonts w:ascii="Arial" w:hAnsi="Arial" w:cs="Arial"/>
        </w:rPr>
        <w:t xml:space="preserve">delivered via Tisza and small </w:t>
      </w:r>
      <w:r w:rsidR="009D0E7F">
        <w:rPr>
          <w:rFonts w:ascii="Arial" w:hAnsi="Arial" w:cs="Arial"/>
        </w:rPr>
        <w:t xml:space="preserve">tributaries draining the </w:t>
      </w:r>
      <w:r w:rsidR="003B6350">
        <w:rPr>
          <w:rFonts w:ascii="Arial" w:hAnsi="Arial" w:cs="Arial"/>
        </w:rPr>
        <w:t>Balkan M</w:t>
      </w:r>
      <w:r w:rsidR="000A7CDC">
        <w:rPr>
          <w:rFonts w:ascii="Arial" w:hAnsi="Arial" w:cs="Arial"/>
        </w:rPr>
        <w:t>ountains</w:t>
      </w:r>
      <w:r w:rsidR="003B6350">
        <w:rPr>
          <w:rFonts w:ascii="Arial" w:hAnsi="Arial" w:cs="Arial"/>
        </w:rPr>
        <w:t xml:space="preserve">, </w:t>
      </w:r>
      <w:r w:rsidR="009D0E7F">
        <w:rPr>
          <w:rFonts w:ascii="Arial" w:hAnsi="Arial" w:cs="Arial"/>
        </w:rPr>
        <w:t>towards the southern Pannonian Basin</w:t>
      </w:r>
      <w:r w:rsidR="003B6350">
        <w:rPr>
          <w:rFonts w:ascii="Arial" w:hAnsi="Arial" w:cs="Arial"/>
        </w:rPr>
        <w:t xml:space="preserve">. </w:t>
      </w:r>
    </w:p>
    <w:p w14:paraId="56EA908F" w14:textId="7BEE4F41" w:rsidR="00112F08" w:rsidRDefault="00EB73D6" w:rsidP="00614941">
      <w:pPr>
        <w:spacing w:before="120" w:after="120" w:line="480" w:lineRule="auto"/>
        <w:jc w:val="both"/>
        <w:rPr>
          <w:rFonts w:ascii="Arial" w:hAnsi="Arial" w:cs="Arial"/>
        </w:rPr>
      </w:pPr>
      <w:r>
        <w:rPr>
          <w:rFonts w:ascii="Arial" w:hAnsi="Arial" w:cs="Arial"/>
        </w:rPr>
        <w:t>T</w:t>
      </w:r>
      <w:r w:rsidR="003B3EAC" w:rsidRPr="003B3EAC">
        <w:rPr>
          <w:rFonts w:ascii="Arial" w:hAnsi="Arial" w:cs="Arial"/>
        </w:rPr>
        <w:t xml:space="preserve">here is </w:t>
      </w:r>
      <w:r>
        <w:rPr>
          <w:rFonts w:ascii="Arial" w:hAnsi="Arial" w:cs="Arial"/>
        </w:rPr>
        <w:t xml:space="preserve">generally </w:t>
      </w:r>
      <w:r w:rsidR="009D0E7F">
        <w:rPr>
          <w:rFonts w:ascii="Arial" w:hAnsi="Arial" w:cs="Arial"/>
        </w:rPr>
        <w:t xml:space="preserve">limited </w:t>
      </w:r>
      <w:r w:rsidR="00A42FFD">
        <w:rPr>
          <w:rFonts w:ascii="Arial" w:hAnsi="Arial" w:cs="Arial"/>
        </w:rPr>
        <w:t xml:space="preserve">evidence for </w:t>
      </w:r>
      <w:r w:rsidR="009D0E7F">
        <w:rPr>
          <w:rFonts w:ascii="Arial" w:hAnsi="Arial" w:cs="Arial"/>
        </w:rPr>
        <w:t>significant</w:t>
      </w:r>
      <w:r w:rsidR="009D0E7F" w:rsidRPr="003B3EAC">
        <w:rPr>
          <w:rFonts w:ascii="Arial" w:hAnsi="Arial" w:cs="Arial"/>
        </w:rPr>
        <w:t xml:space="preserve"> </w:t>
      </w:r>
      <w:r w:rsidR="003B3EAC" w:rsidRPr="003B3EAC">
        <w:rPr>
          <w:rFonts w:ascii="Arial" w:hAnsi="Arial" w:cs="Arial"/>
        </w:rPr>
        <w:t xml:space="preserve">spatial </w:t>
      </w:r>
      <w:r w:rsidR="009D0E7F">
        <w:rPr>
          <w:rFonts w:ascii="Arial" w:hAnsi="Arial" w:cs="Arial"/>
        </w:rPr>
        <w:t xml:space="preserve">source </w:t>
      </w:r>
      <w:r w:rsidR="003B3EAC" w:rsidRPr="003B3EAC">
        <w:rPr>
          <w:rFonts w:ascii="Arial" w:hAnsi="Arial" w:cs="Arial"/>
        </w:rPr>
        <w:t xml:space="preserve">variability between loess-palaeosol sites along the Danube River, </w:t>
      </w:r>
      <w:r w:rsidR="00520E56">
        <w:rPr>
          <w:rFonts w:ascii="Arial" w:hAnsi="Arial" w:cs="Arial"/>
        </w:rPr>
        <w:t xml:space="preserve">and </w:t>
      </w:r>
      <w:r w:rsidR="003B3EAC">
        <w:rPr>
          <w:rFonts w:ascii="Arial" w:hAnsi="Arial" w:cs="Arial"/>
        </w:rPr>
        <w:t>mixed</w:t>
      </w:r>
      <w:r w:rsidR="003B3EAC" w:rsidRPr="003B3EAC">
        <w:rPr>
          <w:rFonts w:ascii="Arial" w:hAnsi="Arial" w:cs="Arial"/>
        </w:rPr>
        <w:t xml:space="preserve"> sources provid</w:t>
      </w:r>
      <w:r w:rsidR="00520E56">
        <w:rPr>
          <w:rFonts w:ascii="Arial" w:hAnsi="Arial" w:cs="Arial"/>
        </w:rPr>
        <w:t>e</w:t>
      </w:r>
      <w:r w:rsidR="003B3EAC" w:rsidRPr="003B3EAC">
        <w:rPr>
          <w:rFonts w:ascii="Arial" w:hAnsi="Arial" w:cs="Arial"/>
        </w:rPr>
        <w:t xml:space="preserve"> sediment to the wider </w:t>
      </w:r>
      <w:r w:rsidR="003B6350">
        <w:rPr>
          <w:rFonts w:ascii="Arial" w:hAnsi="Arial" w:cs="Arial"/>
        </w:rPr>
        <w:t>Pannonian Basin</w:t>
      </w:r>
      <w:r w:rsidR="00520E56">
        <w:rPr>
          <w:rFonts w:ascii="Arial" w:hAnsi="Arial" w:cs="Arial"/>
        </w:rPr>
        <w:t xml:space="preserve">. </w:t>
      </w:r>
      <w:r w:rsidR="003B3EAC">
        <w:rPr>
          <w:rFonts w:ascii="Arial" w:hAnsi="Arial" w:cs="Arial"/>
        </w:rPr>
        <w:t>Further</w:t>
      </w:r>
      <w:r w:rsidR="009D0E7F">
        <w:rPr>
          <w:rFonts w:ascii="Arial" w:hAnsi="Arial" w:cs="Arial"/>
        </w:rPr>
        <w:t>,</w:t>
      </w:r>
      <w:r w:rsidR="003B3EAC">
        <w:rPr>
          <w:rFonts w:ascii="Arial" w:hAnsi="Arial" w:cs="Arial"/>
        </w:rPr>
        <w:t xml:space="preserve"> </w:t>
      </w:r>
      <w:r w:rsidR="003B3EAC" w:rsidRPr="003B3EAC">
        <w:rPr>
          <w:rFonts w:ascii="Arial" w:hAnsi="Arial" w:cs="Arial"/>
        </w:rPr>
        <w:t xml:space="preserve">the </w:t>
      </w:r>
      <w:r w:rsidR="00112F08">
        <w:rPr>
          <w:rFonts w:ascii="Arial" w:hAnsi="Arial" w:cs="Arial"/>
        </w:rPr>
        <w:t xml:space="preserve">main </w:t>
      </w:r>
      <w:r w:rsidR="003B3EAC" w:rsidRPr="003B3EAC">
        <w:rPr>
          <w:rFonts w:ascii="Arial" w:hAnsi="Arial" w:cs="Arial"/>
        </w:rPr>
        <w:t xml:space="preserve">sources remain the same along the Danube River, and therefore support a homogeneous source across the </w:t>
      </w:r>
      <w:r w:rsidR="009D0E7F">
        <w:rPr>
          <w:rFonts w:ascii="Arial" w:hAnsi="Arial" w:cs="Arial"/>
        </w:rPr>
        <w:t xml:space="preserve">Pannonian </w:t>
      </w:r>
      <w:r w:rsidR="003B3EAC" w:rsidRPr="003B3EAC">
        <w:rPr>
          <w:rFonts w:ascii="Arial" w:hAnsi="Arial" w:cs="Arial"/>
        </w:rPr>
        <w:t xml:space="preserve">Basin model in line with results from studies of bulk sample elemental composition </w:t>
      </w:r>
      <w:r w:rsidR="003B3EAC" w:rsidRPr="003B3EAC">
        <w:rPr>
          <w:rFonts w:ascii="Arial" w:hAnsi="Arial" w:cs="Arial"/>
        </w:rPr>
        <w:fldChar w:fldCharType="begin" w:fldLock="1"/>
      </w:r>
      <w:r w:rsidR="004F5F90">
        <w:rPr>
          <w:rFonts w:ascii="Arial" w:hAnsi="Arial" w:cs="Arial"/>
        </w:rPr>
        <w:instrText>ADDIN CSL_CITATION {"citationItems":[{"id":"ITEM-1","itemData":{"DOI":"10.1016/j.quascirev.2008.01.018","ISBN":"0277-3791","ISSN":"02773791","abstract":"The loess/paleosol sections of Batajnica/Stari Slankamen (Serbia), Mircea Voda (Romania) and Stary Kaydaky (Ukraine) were geochemically characterized based on discriminant analysis of major and trace elements, the ratios of Al/Ti, Fe/Ti and Al/Fe, the A-CN-K ternary plot and element enrichment/depletion relative to the average composition of the upper continental crust. The origin of the loess material in the southern Pannonian Basin (Vojvodina), the lower Danube Basin/Dobrudja and the Dnieper area was evaluated by comparison with the representative element composition of possible source areas and by considering the geomorphodynamic setting. Also the background values of the initial magnetic susceptibility of the loesses were taken into account. For the lower Danube Basin, Dobrudja and the Ukraine, paleowind direction was reconstructed based on the geographic distribution of sandy soil texture and dunes related to river systems. Finally, loesses were evaluated as possible samples of the average upper continental crust. Our results show that Danube and Dnieper loess areas can be clearly distinguished. The former reveal higher Al and Fe contents, the latter higher Si, Zr, Hf content and indications of effective mineral and grain size sorting. We can confirm that Vojvodina loess originated from Danube alluvial material and loess of the Dnieper area from glaciofluvial sediments of the Fennoscandinavian ice sheet. The Dobrudja loess derived also predominantly from Danube alluvium, but shows significant contribution of a second loess source, probably the glaciofluvial sediments of the Ukraine. This was forced by northerly katabatic winds from the Fennoscandinavian ice sheet, whereas WNW winds prevailed in the Western Walachian plain. The studied loesses reflect the average composition of the upper continental crust. Yet, biases exist due to selective mineral/element enrichment and depletion in the course of previous sedimentary recycling phases, respectively. Material of all studied loess deposits seems to derive originally from sedimentary rocks.","author":[{"dropping-particle":"","family":"Buggle","given":"Björn","non-dropping-particle":"","parse-names":false,"suffix":""},{"dropping-particle":"","family":"Glaser","given":"Bruno","non-dropping-particle":"","parse-names":false,"suffix":""},{"dropping-particle":"","family":"Zöller","given":"Ludwig","non-dropping-particle":"","parse-names":false,"suffix":""},{"dropping-particle":"","family":"Hambach","given":"Ulrich","non-dropping-particle":"","parse-names":false,"suffix":""},{"dropping-particle":"","family":"Marković","given":"Slobodan B.","non-dropping-particle":"","parse-names":false,"suffix":""},{"dropping-particle":"","family":"Glaser","given":"Irina","non-dropping-particle":"","parse-names":false,"suffix":""},{"dropping-particle":"","family":"Gerasimenko","given":"Natalia P.","non-dropping-particle":"","parse-names":false,"suffix":""}],"container-title":"Quaternary Science Reviews","id":"ITEM-1","issue":"9-10","issued":{"date-parts":[["2008"]]},"page":"1058-1075","title":"Geochemical characterization and origin of Southeastern and Eastern European loesses (Serbia, Romania, Ukraine)","type":"article-journal","volume":"27"},"uris":["http://www.mendeley.com/documents/?uuid=193d86ce-b241-49e3-a1ef-f8a8bd32eeb3"]},{"id":"ITEM-2","itemData":{"DOI":"10.1016/j.yqres.2008.02.001","ISBN":"0033-5894","ISSN":"00335894","abstract":"Loess geochemistry generally reflects paleo-weathering conditions and it can be used to determine the average composition of the upper continental crust (UCC). In this study, major and trace element concentrations were analyzed on loess samples from southwestern Hungary to determine the factors influencing their chemical compositions and to propose new average loess compositions. All studied loess samples had nearly uniform chemical composition, suggesting similar alteration history of these deposits. Chemical Index of Alteration values (58-69) suggested a weak to moderate degree of weathering in a felsic source area. Typical non-steady state weathering conditions were shown on the Al2O3-CaO + Na2O-K2O patterns, indicating active tectonism of the Alpine-Carpathian system during the Pleistocene. Whole-rock element budgets were controlled by heavy minerals derived from a felsic magmatic or reworked sedimentary provenance. Geochemical parameters indicated that dust particles must have been recycled and well homogenized during fluvial and eolian transport processes. © 2008 University of Washington.","author":[{"dropping-particle":"","family":"Újvári","given":"Gábor","non-dropping-particle":"","parse-names":false,"suffix":""},{"dropping-particle":"","family":"Varga","given":"Andrea","non-dropping-particle":"","parse-names":false,"suffix":""},{"dropping-particle":"","family":"Balogh-Brunstad","given":"Zsuzsanna","non-dropping-particle":"","parse-names":false,"suffix":""}],"container-title":"Quaternary Research","id":"ITEM-2","issued":{"date-parts":[["2008"]]},"page":"421-437","title":"Origin, weathering, and geochemical composition of loess in southwestern Hungary","type":"article-journal","volume":"69"},"uris":["http://www.mendeley.com/documents/?uuid=afc5a18e-4f68-40cc-856d-2e4620dca8ee"]}],"mendeley":{"formattedCitation":"(Buggle et al., 2008; Újvári et al., 2008)","plainTextFormattedCitation":"(Buggle et al., 2008; Újvári et al., 2008)","previouslyFormattedCitation":"(Buggle et al., 2008; Újvári et al., 2008)"},"properties":{"noteIndex":0},"schema":"https://github.com/citation-style-language/schema/raw/master/csl-citation.json"}</w:instrText>
      </w:r>
      <w:r w:rsidR="003B3EAC" w:rsidRPr="003B3EAC">
        <w:rPr>
          <w:rFonts w:ascii="Arial" w:hAnsi="Arial" w:cs="Arial"/>
        </w:rPr>
        <w:fldChar w:fldCharType="separate"/>
      </w:r>
      <w:r w:rsidR="008612C3" w:rsidRPr="008612C3">
        <w:rPr>
          <w:rFonts w:ascii="Arial" w:hAnsi="Arial" w:cs="Arial"/>
          <w:noProof/>
        </w:rPr>
        <w:t>(Buggle et al., 2008; Újvári et al., 2008)</w:t>
      </w:r>
      <w:r w:rsidR="003B3EAC" w:rsidRPr="003B3EAC">
        <w:rPr>
          <w:rFonts w:ascii="Arial" w:hAnsi="Arial" w:cs="Arial"/>
        </w:rPr>
        <w:fldChar w:fldCharType="end"/>
      </w:r>
      <w:r w:rsidR="003B3EAC" w:rsidRPr="003B3EAC">
        <w:rPr>
          <w:rFonts w:ascii="Arial" w:hAnsi="Arial" w:cs="Arial"/>
        </w:rPr>
        <w:t xml:space="preserve"> and isotopic variation </w:t>
      </w:r>
      <w:r w:rsidR="003B3EAC" w:rsidRPr="003B3EAC">
        <w:rPr>
          <w:rFonts w:ascii="Arial" w:hAnsi="Arial" w:cs="Arial"/>
        </w:rPr>
        <w:fldChar w:fldCharType="begin" w:fldLock="1"/>
      </w:r>
      <w:r w:rsidR="004F5F90">
        <w:rPr>
          <w:rFonts w:ascii="Arial" w:hAnsi="Arial" w:cs="Arial"/>
        </w:rPr>
        <w:instrText>ADDIN CSL_CITATION {"citationItems":[{"id":"ITEM-1","itemData":{"DOI":"10.1515/geo-2015-0048","ISSN":"2391-5447","abstract":"There are several competing hypotheses for the origin of loess in Europe but quantitative evidence is still rare. Here, Sr-Nd isotopic and bulk elemental composition of loess from Marine Isotope Stages 2 and 3 from three study regions in Central Europe – Nussloch (Germany), Grub (Austria) and Tokaj (Hungary) - are analyzed. This study aims at examining differences and similarities of loess deposits throughout Europe, correlating loess with potential source rocks from major mountain ranges and comparing loess with floodplain sediments from main rivers as integrated samples of the drainage areas. The results show that European loess deposits are largely uniform and that sediment sources have been rather stable in the Southern and Eastern parts of Central Europe and more variable in West Central Europe. However, the methods used are not sufficient to unequivocally confirm and reject potential sediment sources but, in combination, help to identify the most likely sediment origins. While a direct correlation of loess and potential source rocks is dif- ficult, the comparison with floodplain sediments is most promising and confirms previous hypotheses. Loess from Tokaj and Grub is most likely a mix of material transported by the Danube River and sediments from the surrounding mountains. Rhine River sediments are probably the main source of loess at Nussloch.","author":[{"dropping-particle":"","family":"Schatz","given":"Ann-Kathrin","non-dropping-particle":"","parse-names":false,"suffix":""},{"dropping-particle":"","family":"Qi","given":"Yue","non-dropping-particle":"","parse-names":false,"suffix":""},{"dropping-particle":"","family":"Siebel","given":"Wolfgang","non-dropping-particle":"","parse-names":false,"suffix":""},{"dropping-particle":"","family":"Wu","given":"Jiade","non-dropping-particle":"","parse-names":false,"suffix":""},{"dropping-particle":"","family":"Zöller","given":"Ludwig","non-dropping-particle":"","parse-names":false,"suffix":""}],"container-title":"Open Geosciences","id":"ITEM-1","issue":"1","issued":{"date-parts":[["2015"]]},"page":"678-720","title":"Tracking potential source areas of Central European loess: examples from Tokaj (HU), Nussloch (D) and Grub (AT)","type":"article-journal","volume":"7"},"uris":["http://www.mendeley.com/documents/?uuid=a0030f70-30b4-4a17-a600-2fcf3134248a"]}],"mendeley":{"formattedCitation":"(Schatz et al., 2015)","plainTextFormattedCitation":"(Schatz et al., 2015)","previouslyFormattedCitation":"(Schatz et al., 2015)"},"properties":{"noteIndex":0},"schema":"https://github.com/citation-style-language/schema/raw/master/csl-citation.json"}</w:instrText>
      </w:r>
      <w:r w:rsidR="003B3EAC" w:rsidRPr="003B3EAC">
        <w:rPr>
          <w:rFonts w:ascii="Arial" w:hAnsi="Arial" w:cs="Arial"/>
        </w:rPr>
        <w:fldChar w:fldCharType="separate"/>
      </w:r>
      <w:r w:rsidR="008612C3" w:rsidRPr="008612C3">
        <w:rPr>
          <w:rFonts w:ascii="Arial" w:hAnsi="Arial" w:cs="Arial"/>
          <w:noProof/>
        </w:rPr>
        <w:t>(Schatz et al., 2015)</w:t>
      </w:r>
      <w:r w:rsidR="003B3EAC" w:rsidRPr="003B3EAC">
        <w:rPr>
          <w:rFonts w:ascii="Arial" w:hAnsi="Arial" w:cs="Arial"/>
        </w:rPr>
        <w:fldChar w:fldCharType="end"/>
      </w:r>
      <w:r w:rsidR="003B3EAC" w:rsidRPr="003B3EAC">
        <w:rPr>
          <w:rFonts w:ascii="Arial" w:hAnsi="Arial" w:cs="Arial"/>
        </w:rPr>
        <w:t xml:space="preserve">. </w:t>
      </w:r>
      <w:r w:rsidR="003B3EAC">
        <w:rPr>
          <w:rFonts w:ascii="Arial" w:hAnsi="Arial" w:cs="Arial"/>
        </w:rPr>
        <w:t xml:space="preserve">However, small but fairly </w:t>
      </w:r>
      <w:r w:rsidR="003B3EAC" w:rsidRPr="003B3EAC">
        <w:rPr>
          <w:rFonts w:ascii="Arial" w:hAnsi="Arial" w:cs="Arial"/>
        </w:rPr>
        <w:t xml:space="preserve">distinct deviations can be noted in both proxies that </w:t>
      </w:r>
      <w:r>
        <w:rPr>
          <w:rFonts w:ascii="Arial" w:hAnsi="Arial" w:cs="Arial"/>
        </w:rPr>
        <w:t>indicate</w:t>
      </w:r>
      <w:r w:rsidR="003B3EAC" w:rsidRPr="003B3EAC">
        <w:rPr>
          <w:rFonts w:ascii="Arial" w:hAnsi="Arial" w:cs="Arial"/>
        </w:rPr>
        <w:t xml:space="preserve"> variations in source </w:t>
      </w:r>
      <w:r w:rsidR="003B3EAC">
        <w:rPr>
          <w:rFonts w:ascii="Arial" w:hAnsi="Arial" w:cs="Arial"/>
        </w:rPr>
        <w:t>rocks</w:t>
      </w:r>
      <w:r w:rsidR="003B3EAC" w:rsidRPr="003B3EAC">
        <w:rPr>
          <w:rFonts w:ascii="Arial" w:hAnsi="Arial" w:cs="Arial"/>
        </w:rPr>
        <w:t xml:space="preserve">, as previously observed by </w:t>
      </w:r>
      <w:r w:rsidR="003B3EAC" w:rsidRPr="003B3EAC">
        <w:rPr>
          <w:rFonts w:ascii="Arial" w:hAnsi="Arial" w:cs="Arial"/>
        </w:rPr>
        <w:fldChar w:fldCharType="begin" w:fldLock="1"/>
      </w:r>
      <w:r w:rsidR="00AE6272">
        <w:rPr>
          <w:rFonts w:ascii="Arial" w:hAnsi="Arial" w:cs="Arial"/>
        </w:rPr>
        <w:instrText>ADDIN CSL_CITATION {"citationItems":[{"id":"ITEM-1","itemData":{"DOI":"10.1007/s00531-014-1139-x","ISSN":"1437-3254","abstract":"Loess sediments in Austria deposited ca. 30–20 ka ago yield different zircon age signatures for samples collected around Krems (SE Bohemian Massif; samples K23 and S1) and Wels (halfway between the Bohemian Massif and the Eastern Alps; sample A16). Cathodoluminescence (CL) imaging reveals both old, multistage zircons with complex growth histories and inherited cores, and young, first-cycle magmatic zircons. Paleoproterozoic ages between 2,200 and 1,800 Ma (K23 and S1), an age gap of 1,800–1,000 Ma for S1 and abundant Cadomian grains, indicate NW African/North Gondwanan derivation of these zircons. Also, A16 yields ages between 630 and 600 Ma that can be attributed to “Pan-African” orogenic processes. Significant differences are seen for the &lt;500 Ma part of the age spectra with major age peaks at 493–494 and 344–335 Ma (K23 and S1), and 477 and 287 Ma (A16). All three samples show negative initial ɛHf signatures (−25 to −10, except one grain with +9.4) implying zircon crystallization from magmas derived by recycling of older continental crust. Hf isotopic compositions of 330- to 320-Ma-old zircons from S1 and K23 preclude a derivation from Bavarian Forest granites and intermediate granitoids. Rather, all the data suggest strong contributions of eroded local rocks (South Bohemian pluton, Gföhl unit) to loess material at the SE edge of the Bohemian Massif (K23 and S1) and sourcing of zircons from sediment donor regions in the Eastern Alps for loess at Wels (A16). We tentatively infer primary fluvial transport and secondary eolian reworking and re-deposition of detritus from western/southwestern directions. Finally, our data highlight that loess zircon ages are fundamentally influenced by fluvial transport, its directions, the interplay of sediment donor regions through the mixing of detritus and zircon fertility of rocks, rather than Paleowind directions.","author":[{"dropping-particle":"","family":"Újvári","given":"Gábor","non-dropping-particle":"","parse-names":false,"suffix":""},{"dropping-particle":"","family":"Klötzli","given":"Urs","non-dropping-particle":"","parse-names":false,"suffix":""}],"container-title":"International Journal of Earth Sciences","id":"ITEM-1","issue":"5","issued":{"date-parts":[["2015","7","14"]]},"page":"1365-1385","publisher":"Springer Berlin Heidelberg","title":"U–Pb ages and Hf isotopic composition of zircons in Austrian last glacial loess: constraints on heavy mineral sources and sediment transport pathways","type":"article-journal","volume":"104"},"uris":["http://www.mendeley.com/documents/?uuid=96557a3a-95d5-41f2-be41-c4c0a3128257"]}],"mendeley":{"formattedCitation":"(Újvári and Klötzli, 2015)","manualFormatting":"Újvári and Klötzli (2015)","plainTextFormattedCitation":"(Újvári and Klötzli, 2015)","previouslyFormattedCitation":"(Újvári and Klötzli, 2015)"},"properties":{"noteIndex":0},"schema":"https://github.com/citation-style-language/schema/raw/master/csl-citation.json"}</w:instrText>
      </w:r>
      <w:r w:rsidR="003B3EAC" w:rsidRPr="003B3EAC">
        <w:rPr>
          <w:rFonts w:ascii="Arial" w:hAnsi="Arial" w:cs="Arial"/>
        </w:rPr>
        <w:fldChar w:fldCharType="separate"/>
      </w:r>
      <w:r w:rsidR="003B3EAC" w:rsidRPr="003B3EAC">
        <w:rPr>
          <w:rFonts w:ascii="Arial" w:hAnsi="Arial" w:cs="Arial"/>
          <w:noProof/>
        </w:rPr>
        <w:t>Újvári and Klötzli (2015)</w:t>
      </w:r>
      <w:r w:rsidR="003B3EAC" w:rsidRPr="003B3EAC">
        <w:rPr>
          <w:rFonts w:ascii="Arial" w:hAnsi="Arial" w:cs="Arial"/>
        </w:rPr>
        <w:fldChar w:fldCharType="end"/>
      </w:r>
      <w:r w:rsidR="003B3EAC" w:rsidRPr="003B3EAC">
        <w:rPr>
          <w:rFonts w:ascii="Arial" w:hAnsi="Arial" w:cs="Arial"/>
        </w:rPr>
        <w:t xml:space="preserve"> in Austria</w:t>
      </w:r>
      <w:r w:rsidR="003B3EAC">
        <w:rPr>
          <w:rFonts w:ascii="Arial" w:hAnsi="Arial" w:cs="Arial"/>
        </w:rPr>
        <w:t>,</w:t>
      </w:r>
      <w:r w:rsidR="003B3EAC" w:rsidRPr="003B3EAC">
        <w:rPr>
          <w:rFonts w:ascii="Arial" w:hAnsi="Arial" w:cs="Arial"/>
        </w:rPr>
        <w:t xml:space="preserve"> and by </w:t>
      </w:r>
      <w:r w:rsidR="003B3EAC" w:rsidRPr="003B3EAC">
        <w:rPr>
          <w:rFonts w:ascii="Arial" w:hAnsi="Arial" w:cs="Arial"/>
        </w:rPr>
        <w:fldChar w:fldCharType="begin" w:fldLock="1"/>
      </w:r>
      <w:r w:rsidR="008073AF">
        <w:rPr>
          <w:rFonts w:ascii="Arial" w:hAnsi="Arial" w:cs="Arial"/>
        </w:rPr>
        <w:instrText>ADDIN CSL_CITATION {"citationItems":[{"id":"ITEM-1","itemData":{"author":[{"dropping-particle":"","family":"Újvári","given":"Gábor","non-dropping-particle":"","parse-names":false,"suffix":""},{"dropping-particle":"","family":"Ramos","given":"Frank C.","non-dropping-particle":"","parse-names":false,"suffix":""},{"dropping-particle":"","family":"Dimond","given":"Corey","non-dropping-particle":"","parse-names":false,"suffix":""},{"dropping-particle":"","family":"Kovács","given":"János I.","non-dropping-particle":"","parse-names":false,"suffix":""},{"dropping-particle":"","family":"Varga","given":"György","non-dropping-particle":"","parse-names":false,"suffix":""},{"dropping-particle":"","family":"Varga","given":"Andrea","non-dropping-particle":"","parse-names":false,"suffix":""}],"container-title":"Geophysical Research Abstracts","id":"ITEM-1","issued":{"date-parts":[["2010"]]},"page":"9-10","title":"On possible sources of loess deposits in the Carpathian Basin: an isotopic approach","type":"paper-conference","volume":"12"},"uris":["http://www.mendeley.com/documents/?uuid=b3b8cf70-d1ae-4a95-ad4f-ced8ca9d75b0"]}],"mendeley":{"formattedCitation":"(Újvári et al., 2010)","manualFormatting":"Újvári et al. (2010)","plainTextFormattedCitation":"(Újvári et al., 2010)","previouslyFormattedCitation":"(Újvári et al., 2010)"},"properties":{"noteIndex":0},"schema":"https://github.com/citation-style-language/schema/raw/master/csl-citation.json"}</w:instrText>
      </w:r>
      <w:r w:rsidR="003B3EAC" w:rsidRPr="003B3EAC">
        <w:rPr>
          <w:rFonts w:ascii="Arial" w:hAnsi="Arial" w:cs="Arial"/>
        </w:rPr>
        <w:fldChar w:fldCharType="separate"/>
      </w:r>
      <w:r w:rsidR="003B3EAC" w:rsidRPr="003B3EAC">
        <w:rPr>
          <w:rFonts w:ascii="Arial" w:hAnsi="Arial" w:cs="Arial"/>
          <w:noProof/>
        </w:rPr>
        <w:t xml:space="preserve">Újvári </w:t>
      </w:r>
      <w:r w:rsidR="003B3EAC" w:rsidRPr="003B3EAC">
        <w:rPr>
          <w:rFonts w:ascii="Arial" w:hAnsi="Arial" w:cs="Arial"/>
          <w:i/>
          <w:iCs/>
          <w:noProof/>
        </w:rPr>
        <w:t>et al.</w:t>
      </w:r>
      <w:r w:rsidR="003B3EAC" w:rsidRPr="003B3EAC">
        <w:rPr>
          <w:rFonts w:ascii="Arial" w:hAnsi="Arial" w:cs="Arial"/>
          <w:noProof/>
        </w:rPr>
        <w:t xml:space="preserve"> (2010)</w:t>
      </w:r>
      <w:r w:rsidR="003B3EAC" w:rsidRPr="003B3EAC">
        <w:rPr>
          <w:rFonts w:ascii="Arial" w:hAnsi="Arial" w:cs="Arial"/>
        </w:rPr>
        <w:fldChar w:fldCharType="end"/>
      </w:r>
      <w:r w:rsidR="003B3EAC" w:rsidRPr="003B3EAC">
        <w:rPr>
          <w:rFonts w:ascii="Arial" w:hAnsi="Arial" w:cs="Arial"/>
        </w:rPr>
        <w:t xml:space="preserve"> in Hungary and Serbia</w:t>
      </w:r>
      <w:r w:rsidR="0029195C">
        <w:rPr>
          <w:rFonts w:ascii="Arial" w:hAnsi="Arial" w:cs="Arial"/>
        </w:rPr>
        <w:t xml:space="preserve"> (</w:t>
      </w:r>
      <w:r w:rsidR="009A1702">
        <w:rPr>
          <w:rFonts w:ascii="Arial" w:hAnsi="Arial" w:cs="Arial"/>
        </w:rPr>
        <w:t>Pannonia</w:t>
      </w:r>
      <w:r w:rsidR="00B24322">
        <w:rPr>
          <w:rFonts w:ascii="Arial" w:hAnsi="Arial" w:cs="Arial"/>
        </w:rPr>
        <w:t>n</w:t>
      </w:r>
      <w:r w:rsidR="0029195C">
        <w:rPr>
          <w:rFonts w:ascii="Arial" w:hAnsi="Arial" w:cs="Arial"/>
        </w:rPr>
        <w:t xml:space="preserve"> Basin)</w:t>
      </w:r>
      <w:r w:rsidR="003B3EAC" w:rsidRPr="003B3EAC">
        <w:rPr>
          <w:rFonts w:ascii="Arial" w:hAnsi="Arial" w:cs="Arial"/>
        </w:rPr>
        <w:t xml:space="preserve">. </w:t>
      </w:r>
      <w:bookmarkStart w:id="107" w:name="_Hlk80008757"/>
      <w:bookmarkStart w:id="108" w:name="_Hlk82679342"/>
      <w:r w:rsidR="003B3EAC">
        <w:rPr>
          <w:rFonts w:ascii="Arial" w:hAnsi="Arial" w:cs="Arial"/>
        </w:rPr>
        <w:t>The</w:t>
      </w:r>
      <w:r w:rsidR="002E3BBB">
        <w:rPr>
          <w:rFonts w:ascii="Arial" w:hAnsi="Arial" w:cs="Arial"/>
        </w:rPr>
        <w:t xml:space="preserve">se small source changes do not appear to be </w:t>
      </w:r>
      <w:r w:rsidR="00112F08" w:rsidRPr="003B3EAC">
        <w:rPr>
          <w:rFonts w:ascii="Arial" w:hAnsi="Arial" w:cs="Arial"/>
        </w:rPr>
        <w:t xml:space="preserve">influenced by gradual additions from </w:t>
      </w:r>
      <w:r w:rsidR="001C1860">
        <w:rPr>
          <w:rFonts w:ascii="Arial" w:hAnsi="Arial" w:cs="Arial"/>
        </w:rPr>
        <w:t xml:space="preserve">the </w:t>
      </w:r>
      <w:r w:rsidR="00112F08" w:rsidRPr="003B3EAC">
        <w:rPr>
          <w:rFonts w:ascii="Arial" w:hAnsi="Arial" w:cs="Arial"/>
        </w:rPr>
        <w:t>Danub</w:t>
      </w:r>
      <w:r w:rsidR="00112F08">
        <w:rPr>
          <w:rFonts w:ascii="Arial" w:hAnsi="Arial" w:cs="Arial"/>
        </w:rPr>
        <w:t>e’s</w:t>
      </w:r>
      <w:r w:rsidR="00112F08" w:rsidRPr="003B3EAC">
        <w:rPr>
          <w:rFonts w:ascii="Arial" w:hAnsi="Arial" w:cs="Arial"/>
        </w:rPr>
        <w:t xml:space="preserve"> </w:t>
      </w:r>
      <w:r w:rsidR="00036961">
        <w:rPr>
          <w:rFonts w:ascii="Arial" w:hAnsi="Arial" w:cs="Arial"/>
        </w:rPr>
        <w:t xml:space="preserve">large </w:t>
      </w:r>
      <w:r w:rsidR="00112F08" w:rsidRPr="003B3EAC">
        <w:rPr>
          <w:rFonts w:ascii="Arial" w:hAnsi="Arial" w:cs="Arial"/>
        </w:rPr>
        <w:t>tributaries</w:t>
      </w:r>
      <w:r w:rsidR="00112F08">
        <w:rPr>
          <w:rFonts w:ascii="Arial" w:hAnsi="Arial" w:cs="Arial"/>
        </w:rPr>
        <w:t xml:space="preserve">, </w:t>
      </w:r>
      <w:r>
        <w:rPr>
          <w:rFonts w:ascii="Arial" w:hAnsi="Arial" w:cs="Arial"/>
        </w:rPr>
        <w:t>but</w:t>
      </w:r>
      <w:r w:rsidR="00112F08">
        <w:rPr>
          <w:rFonts w:ascii="Arial" w:hAnsi="Arial" w:cs="Arial"/>
        </w:rPr>
        <w:t xml:space="preserve"> </w:t>
      </w:r>
      <w:r w:rsidR="00112F08" w:rsidRPr="003B3EAC">
        <w:rPr>
          <w:rFonts w:ascii="Arial" w:hAnsi="Arial" w:cs="Arial"/>
        </w:rPr>
        <w:t xml:space="preserve">most likely result </w:t>
      </w:r>
      <w:r w:rsidR="00112F08">
        <w:rPr>
          <w:rFonts w:ascii="Arial" w:hAnsi="Arial" w:cs="Arial"/>
        </w:rPr>
        <w:t xml:space="preserve">from contributions </w:t>
      </w:r>
      <w:r>
        <w:rPr>
          <w:rFonts w:ascii="Arial" w:hAnsi="Arial" w:cs="Arial"/>
        </w:rPr>
        <w:t>of</w:t>
      </w:r>
      <w:r w:rsidR="00112F08">
        <w:rPr>
          <w:rFonts w:ascii="Arial" w:hAnsi="Arial" w:cs="Arial"/>
        </w:rPr>
        <w:t xml:space="preserve"> </w:t>
      </w:r>
      <w:r w:rsidR="00112F08" w:rsidRPr="003B3EAC">
        <w:rPr>
          <w:rFonts w:ascii="Arial" w:hAnsi="Arial" w:cs="Arial"/>
        </w:rPr>
        <w:t>smaller sources and local geologies</w:t>
      </w:r>
      <w:r w:rsidR="00112F08">
        <w:rPr>
          <w:rFonts w:ascii="Arial" w:hAnsi="Arial" w:cs="Arial"/>
        </w:rPr>
        <w:t xml:space="preserve"> </w:t>
      </w:r>
      <w:r w:rsidR="00036961">
        <w:rPr>
          <w:rFonts w:ascii="Arial" w:hAnsi="Arial" w:cs="Arial"/>
        </w:rPr>
        <w:t>via much shorter pathways</w:t>
      </w:r>
      <w:r w:rsidR="00EC252A">
        <w:rPr>
          <w:rFonts w:ascii="Arial" w:hAnsi="Arial" w:cs="Arial"/>
        </w:rPr>
        <w:t>,</w:t>
      </w:r>
      <w:r w:rsidR="00036961">
        <w:rPr>
          <w:rFonts w:ascii="Arial" w:hAnsi="Arial" w:cs="Arial"/>
        </w:rPr>
        <w:t xml:space="preserve"> either fluvial or aeolian, </w:t>
      </w:r>
      <w:r w:rsidR="00112F08" w:rsidRPr="003B3EAC">
        <w:rPr>
          <w:rFonts w:ascii="Arial" w:hAnsi="Arial" w:cs="Arial"/>
        </w:rPr>
        <w:t>that may not be fully captured by the collected datasets</w:t>
      </w:r>
      <w:r w:rsidR="00A34314">
        <w:rPr>
          <w:rFonts w:ascii="Arial" w:hAnsi="Arial" w:cs="Arial"/>
        </w:rPr>
        <w:t>.</w:t>
      </w:r>
      <w:bookmarkEnd w:id="107"/>
      <w:r w:rsidR="00A34314">
        <w:rPr>
          <w:rFonts w:ascii="Arial" w:hAnsi="Arial" w:cs="Arial"/>
        </w:rPr>
        <w:t xml:space="preserve"> </w:t>
      </w:r>
      <w:bookmarkEnd w:id="108"/>
      <w:r w:rsidR="00112F08">
        <w:rPr>
          <w:rFonts w:ascii="Arial" w:hAnsi="Arial" w:cs="Arial"/>
        </w:rPr>
        <w:t>However, as demonstrated</w:t>
      </w:r>
      <w:r w:rsidR="001C1860">
        <w:rPr>
          <w:rFonts w:ascii="Arial" w:hAnsi="Arial" w:cs="Arial"/>
        </w:rPr>
        <w:t>,</w:t>
      </w:r>
      <w:r w:rsidR="00112F08">
        <w:rPr>
          <w:rFonts w:ascii="Arial" w:hAnsi="Arial" w:cs="Arial"/>
        </w:rPr>
        <w:t xml:space="preserve"> source rocks </w:t>
      </w:r>
      <w:r w:rsidR="00112F08">
        <w:rPr>
          <w:rFonts w:ascii="Arial" w:hAnsi="Arial" w:cs="Arial"/>
        </w:rPr>
        <w:lastRenderedPageBreak/>
        <w:t xml:space="preserve">along the Danube have very similar source signatures and it may not be possible to detect “a step change” with each tributary. </w:t>
      </w:r>
    </w:p>
    <w:p w14:paraId="1C5217BE" w14:textId="6BA9C5FF" w:rsidR="00E271BE" w:rsidRPr="00964EE7" w:rsidRDefault="00907C61" w:rsidP="00390AF2">
      <w:pPr>
        <w:pStyle w:val="Heading2"/>
        <w:numPr>
          <w:ilvl w:val="1"/>
          <w:numId w:val="34"/>
        </w:numPr>
        <w:spacing w:before="120" w:after="120" w:line="480" w:lineRule="auto"/>
        <w:ind w:left="851" w:hanging="851"/>
        <w:jc w:val="both"/>
        <w:rPr>
          <w:rFonts w:ascii="Arial" w:hAnsi="Arial" w:cs="Arial"/>
          <w:i/>
          <w:color w:val="auto"/>
          <w:sz w:val="24"/>
          <w:szCs w:val="24"/>
        </w:rPr>
      </w:pPr>
      <w:r>
        <w:rPr>
          <w:rFonts w:ascii="Arial" w:hAnsi="Arial" w:cs="Arial"/>
          <w:i/>
          <w:color w:val="auto"/>
          <w:sz w:val="24"/>
          <w:szCs w:val="24"/>
        </w:rPr>
        <w:t>Implications for</w:t>
      </w:r>
      <w:r w:rsidR="006209F2">
        <w:rPr>
          <w:rFonts w:ascii="Arial" w:hAnsi="Arial" w:cs="Arial"/>
          <w:i/>
          <w:color w:val="auto"/>
          <w:sz w:val="24"/>
          <w:szCs w:val="24"/>
        </w:rPr>
        <w:t xml:space="preserve"> loess </w:t>
      </w:r>
      <w:r w:rsidR="00616F0C">
        <w:rPr>
          <w:rFonts w:ascii="Arial" w:hAnsi="Arial" w:cs="Arial"/>
          <w:i/>
          <w:color w:val="auto"/>
          <w:sz w:val="24"/>
          <w:szCs w:val="24"/>
        </w:rPr>
        <w:t>genesis</w:t>
      </w:r>
    </w:p>
    <w:p w14:paraId="1E44923F" w14:textId="349BF143" w:rsidR="00E923D1" w:rsidRPr="00E923D1" w:rsidRDefault="00E923D1" w:rsidP="00E923D1">
      <w:pPr>
        <w:spacing w:before="120" w:after="120" w:line="480" w:lineRule="auto"/>
        <w:jc w:val="both"/>
        <w:rPr>
          <w:rFonts w:ascii="Arial" w:hAnsi="Arial" w:cs="Arial"/>
          <w:bCs/>
          <w:lang w:val="en-US"/>
        </w:rPr>
      </w:pPr>
      <w:bookmarkStart w:id="109" w:name="_Hlk82679752"/>
      <w:r w:rsidRPr="00E923D1">
        <w:rPr>
          <w:rFonts w:ascii="Arial" w:hAnsi="Arial" w:cs="Arial"/>
          <w:bCs/>
          <w:lang w:val="en-US"/>
        </w:rPr>
        <w:t xml:space="preserve">A debate on the production mechanism and genesis of loess has long persisted in the literature, and resulted in the primary division of mechanisms into “glacial”/”cold” loess, and “desert”/”warm” loess </w:t>
      </w:r>
      <w:r>
        <w:rPr>
          <w:rFonts w:ascii="Arial" w:hAnsi="Arial" w:cs="Arial"/>
          <w:bCs/>
          <w:lang w:val="en-US"/>
        </w:rPr>
        <w:fldChar w:fldCharType="begin" w:fldLock="1"/>
      </w:r>
      <w:r>
        <w:rPr>
          <w:rFonts w:ascii="Arial" w:hAnsi="Arial" w:cs="Arial"/>
          <w:bCs/>
          <w:lang w:val="en-US"/>
        </w:rPr>
        <w:instrText>ADDIN CSL_CITATION {"citationItems":[{"id":"ITEM-1","itemData":{"DOI":"10.1016/j.quascirev.2010.04.026","ISSN":"02773791","author":[{"dropping-particle":"","family":"Crouvi","given":"Onn","non-dropping-particle":"","parse-names":false,"suffix":""},{"dropping-particle":"","family":"Amit","given":"Rivka","non-dropping-particle":"","parse-names":false,"suffix":""},{"dropping-particle":"","family":"Enzel","given":"Yehouda","non-dropping-particle":"","parse-names":false,"suffix":""},{"dropping-particle":"","family":"Gillespie","given":"Alan R.","non-dropping-particle":"","parse-names":false,"suffix":""}],"container-title":"Quaternary Science Reviews","id":"ITEM-1","issue":"17-18","issued":{"date-parts":[["2010"]]},"page":"2087-2098","publisher":"Elsevier Ltd","title":"Active sand seas and the formation of desert loess","type":"article-journal","volume":"29"},"uris":["http://www.mendeley.com/documents/?uuid=3ac1f90a-620d-466f-96ad-4128782d69a7"]},{"id":"ITEM-2","itemData":{"DOI":"10.1017/qua.2020.33","ISSN":"0033-5894","abstract":"Sequences of quartz-rich coarse (20−63 μm) silt occur in many low- and midlatitude unglaciated arid and semiarid areas and have been termed “desert loess.” The processes by which these deposits are generated have been debated for decades. All hypotheses to explain their origin seek to provide mechanisms for the generation of silt-sized material without glacial grinding, which is the main process involved in the production of coarse silt at high latitudes. Possible mechanisms for the formation of coarse silt in arid regions include derivation from preexisting siltstones, mechanical weathering of silicate rocks, and abrasion of sand grains in active dune environments during intense transport events. Examination of the characteristics of desert loess and field and laboratory experiments to assess the role of dune areas as a source of coarse silt by abrasion and/or resuspension of residual fines suggests that many loess sequences are dominated by locally derived coarse silt. Improvements in the characterization of desert loess particle size, mineralogy, and geochemistry are needed, however, to identify sources and sinks of coarse silt, especially when combined with climatic back-trajectory analysis. Properly scaled experiments and modeling of particle collisions will also help to better quantify the effectiveness of abrasion in the generation of coarse silt in support of field observations.","author":[{"dropping-particle":"","family":"Lancaster","given":"Nicholas","non-dropping-particle":"","parse-names":false,"suffix":""}],"container-title":"Quaternary Research","id":"ITEM-2","issued":{"date-parts":[["2020"]]},"page":"1-18","title":"On the formation of desert loess","type":"article-journal"},"uris":["http://www.mendeley.com/documents/?uuid=6dbfc5c3-88f5-4ad0-bf45-348a06759359"]},{"id":"ITEM-3","itemData":{"DOI":"10.1130/0-8137-2370-1.53","ISBN":"0813723701","ISSN":"00721077","abstract":"Loess is a widespread, wind-transported, silt-dominated deposit that contains geologic archives of atmospheric circulation and paleoclimate on continents. Loess may cover as much as 10% of the Earth's land surface. It is composed mainly of quartz, feldspars, and clay minerals, with varying amounts of carbonate minerals. The geochemistry of loess differs from region to region, depending on source materials, but all loess is very high in SiO 2  with lesser amounts of other major elements. Trends in loess downwind from source areas include systematic decreases in thickness and amounts of sand and coarse silt, and increases in amounts of fine silt and clay. Loess particle size also varies at a given locality over time within individual depositional packages. This variability may be a function of changing wind strengths, different source sediments, or some combination of the two. The classical concept of loess is that it is a product of glacial gr inding, with subsequent entrainment by wind from outwash deposits. However, it is now known that other processes contribute to silt particle formation, including frost shattering, salt weathering, fluvial and colluvial comminution, eolian abrasion, and ballistic impact. Much debate has taken place over the concept of \"desert\" (nonglaciogenic) loess, which is widespread in some regions but of limited distribution elsewhere. Nevertheless, glacial silt production probably exceeds the amount of silt generated by all other processes. Much of the loess in or adjacent to deserts may be inherited silt-sized particles from siltstone, mudstone, shale, and volcanic ash. In many regions, loess is near dune fields or eolian sand sheets. A question that arises from this geographic assocation is whether or not eolian sand and loess should be considered facies of the same depositional unit. There are regions such as China where these deposits are interbedded, which supports the facies concept. In other regions, such as North America, detailed geochemical and isotopic analyses show that the majority of loess particles were derived from a different, and more distant source than eolian sand. Key to understanding loess stratigraphy and interpreting environments of the past is the recognition of buried soils (paleosols). Ancient soils can be recognized by their distinctive morphological features and by vertical changes in particle size, chemistry, and mineralogy. Paleosols represent past periods when loess sedimentation rates decreased…","author":[{"dropping-particle":"","family":"Muhs","given":"Daniel R.","non-dropping-particle":"","parse-names":false,"suffix":""},{"dropping-particle":"","family":"Bettis","given":"E. Arthur","non-dropping-particle":"","parse-names":false,"suffix":""}],"container-title":"Special Paper of the Geological Society of America","id":"ITEM-3","issue":"August 2015","issued":{"date-parts":[["2003"]]},"page":"53-74","title":"Quaternary loess-paleosol sequences as examples of climate-driven sedimentary extremes","type":"article-journal","volume":"370"},"uris":["http://www.mendeley.com/documents/?uuid=efce08b9-c38d-4755-a01a-8069c5818570"]},{"id":"ITEM-4","itemData":{"author":[{"dropping-particle":"","family":"Obruchev","given":"Vladimir A.","non-dropping-particle":"","parse-names":false,"suffix":""}],"container-title":"American Journal of Science","id":"ITEM-4","issue":"5","issued":{"date-parts":[["1945"]]},"page":"256-262","title":"Loess types and their origin","type":"article-journal","volume":"243"},"uris":["http://www.mendeley.com/documents/?uuid=7acd4ee9-9513-4442-834f-17f119fd1399"]},{"id":"ITEM-5","itemData":{"DOI":"10.1306/74d7153c-2b21-11d7-8648000102c1865d","ISSN":"1527-1404","author":[{"dropping-particle":"","family":"Smalley","given":"Ian J.","non-dropping-particle":"","parse-names":false,"suffix":""}],"container-title":"Journal of Sedimentary Research","id":"ITEM-5","issue":"3","issued":{"date-parts":[["1966"]]},"page":"669-676","title":"The Properties of Glacial Loess and the Formation of Loess Deposits","type":"article-journal","volume":"Vol. 36"},"uris":["http://www.mendeley.com/documents/?uuid=61e7f9af-64c9-4fb0-9e74-f7b0408eaffa"]},{"id":"ITEM-6","itemData":{"DOI":"10.1306/74d71a69-2b21-11d7-8648000102c1865d","ISSN":"1527-1404","abstract":"Loess consists chiefly of quartz particles with diameters of about 20-50~. It is commonly thought to have formed in periglacial areas and Jn deserts. Smalley (1966b) has suggested that direct glacial grinding cmdd produce suit,able particles. The existence of dust storms suggests that fine particles also form in hot, sandy deserts; these could be the result of interparticte contacts where a certain critical kinetic energy is involved. There are no loess deposits within sandy desert areas, but they may occur at the desert margins. The major loess provinces to which a desert origin has been ascribed either are not true loess or are explicable in terms of glacial origin. Of the minor deposits, only that of the Negev seems to have a well established desert origin. The quartz particles in the Negcv deposit probably formed by simple impact. This mechanism does not seem adequate /or the Chinese loess, and it is suggested that the widespread Pleistocene glaciation of China was responsible for the bulk of the fine particles. Thus although loess particles can form mechani-cally in deserts, they have not done so on a scale sufficient to produce major loess deposits. Desert loess deposits sboukl be distinguishable from glacial loess deposits by their size and their mineralogical nature. Stresses produced by temperature changes can break rocks provided that the rock particles are not below a certain critical size. Most quartz is introduced into the sedimentary system as sand-size particles (about 500~) ; if the critical thermal break size is above 500~t, tben the thermal breakage process will not produce loess-size particles.","author":[{"dropping-particle":"","family":"Smalley","given":"Ian J.","non-dropping-particle":"","parse-names":false,"suffix":""},{"dropping-particle":"","family":"Vita-Finzi","given":"C","non-dropping-particle":"","parse-names":false,"suffix":""}],"container-title":"Journal of Sedimentary Petrology","id":"ITEM-6","issue":"3","issued":{"date-parts":[["1968"]]},"page":"766-774","title":"The Formation of Fine Particles in Sandy Deserts and the Nature Of 'Desert' Loess","type":"article-journal","volume":"Vol. 38"},"uris":["http://www.mendeley.com/documents/?uuid=bbaac4f5-5fb0-41c1-ab59-c32d274d4d81"]},{"id":"ITEM-7","itemData":{"author":[{"dropping-particle":"","family":"Smith","given":"Bernard J.","non-dropping-particle":"","parse-names":false,"suffix":""},{"dropping-particle":"","family":"Wright","given":"Janet S.","non-dropping-particle":"","parse-names":false,"suffix":""},{"dropping-particle":"","family":"Whalley","given":"W. B.","non-dropping-particle":"","parse-names":false,"suffix":""}],"container-title":"Earth Surface Processes and Landforms","id":"ITEM-7","issued":{"date-parts":[["1991"]]},"page":"745-752","title":"Simulated aeolian abrasion of Pannonian Sands and its implications for the origins of Hungarian Loess","type":"article-journal","volume":"16"},"uris":["http://www.mendeley.com/documents/?uuid=de45f67f-81ff-4469-a1d4-b910eb9836bd"]},{"id":"ITEM-8","itemData":{"DOI":"10.1111/j.1365-3091.1987.tb00566.x","ISSN":"13653091","abstract":"Although contemporary dust storms are frequent in arid and semi</w:instrText>
      </w:r>
      <w:r>
        <w:rPr>
          <w:rFonts w:ascii="Cambria Math" w:hAnsi="Cambria Math" w:cs="Cambria Math"/>
          <w:bCs/>
          <w:lang w:val="en-US"/>
        </w:rPr>
        <w:instrText>‐</w:instrText>
      </w:r>
      <w:r>
        <w:rPr>
          <w:rFonts w:ascii="Arial" w:hAnsi="Arial" w:cs="Arial"/>
          <w:bCs/>
          <w:lang w:val="en-US"/>
        </w:rPr>
        <w:instrText>arid areas, desert loess deposits are poorly developed. Much of the World's loess occurs in mid</w:instrText>
      </w:r>
      <w:r>
        <w:rPr>
          <w:rFonts w:ascii="Cambria Math" w:hAnsi="Cambria Math" w:cs="Cambria Math"/>
          <w:bCs/>
          <w:lang w:val="en-US"/>
        </w:rPr>
        <w:instrText>‐</w:instrText>
      </w:r>
      <w:r>
        <w:rPr>
          <w:rFonts w:ascii="Arial" w:hAnsi="Arial" w:cs="Arial"/>
          <w:bCs/>
          <w:lang w:val="en-US"/>
        </w:rPr>
        <w:instrText>latitude areas which experienced glaciation during the Pleistocene. Ocean core evidence indicates that dust transport from sub</w:instrText>
      </w:r>
      <w:r>
        <w:rPr>
          <w:rFonts w:ascii="Cambria Math" w:hAnsi="Cambria Math" w:cs="Cambria Math"/>
          <w:bCs/>
          <w:lang w:val="en-US"/>
        </w:rPr>
        <w:instrText>‐</w:instrText>
      </w:r>
      <w:r>
        <w:rPr>
          <w:rFonts w:ascii="Arial" w:hAnsi="Arial" w:cs="Arial"/>
          <w:bCs/>
          <w:lang w:val="en-US"/>
        </w:rPr>
        <w:instrText>tropical deserts increased during cold stages of the Pleistocene, but loess formed only on certain desert margins, for reasons which have not been fully explained. This paper re</w:instrText>
      </w:r>
      <w:r>
        <w:rPr>
          <w:rFonts w:ascii="Cambria Math" w:hAnsi="Cambria Math" w:cs="Cambria Math"/>
          <w:bCs/>
          <w:lang w:val="en-US"/>
        </w:rPr>
        <w:instrText>‐</w:instrText>
      </w:r>
      <w:r>
        <w:rPr>
          <w:rFonts w:ascii="Arial" w:hAnsi="Arial" w:cs="Arial"/>
          <w:bCs/>
          <w:lang w:val="en-US"/>
        </w:rPr>
        <w:instrText>examines the mechanisms of dust transport and deposition, and the circumstances leading to the accumulation of thick loess. Typical loess is composed mainly of medium silt grains which are transported in short</w:instrText>
      </w:r>
      <w:r>
        <w:rPr>
          <w:rFonts w:ascii="Cambria Math" w:hAnsi="Cambria Math" w:cs="Cambria Math"/>
          <w:bCs/>
          <w:lang w:val="en-US"/>
        </w:rPr>
        <w:instrText>‐</w:instrText>
      </w:r>
      <w:r>
        <w:rPr>
          <w:rFonts w:ascii="Arial" w:hAnsi="Arial" w:cs="Arial"/>
          <w:bCs/>
          <w:lang w:val="en-US"/>
        </w:rPr>
        <w:instrText>term suspension a few metres above the ground. Significant thicknesses of loess form only when dust is trapped within a limited area, often relatively close to the source. Dust particles finer than 20 μm are transported mainly in long</w:instrText>
      </w:r>
      <w:r>
        <w:rPr>
          <w:rFonts w:ascii="Cambria Math" w:hAnsi="Cambria Math" w:cs="Cambria Math"/>
          <w:bCs/>
          <w:lang w:val="en-US"/>
        </w:rPr>
        <w:instrText>‐</w:instrText>
      </w:r>
      <w:r>
        <w:rPr>
          <w:rFonts w:ascii="Arial" w:hAnsi="Arial" w:cs="Arial"/>
          <w:bCs/>
          <w:lang w:val="en-US"/>
        </w:rPr>
        <w:instrText>term suspension over a greater height range and may be widely dispersed. The availability of silt and the frequency, magnitude and direction of dust</w:instrText>
      </w:r>
      <w:r>
        <w:rPr>
          <w:rFonts w:ascii="Cambria Math" w:hAnsi="Cambria Math" w:cs="Cambria Math"/>
          <w:bCs/>
          <w:lang w:val="en-US"/>
        </w:rPr>
        <w:instrText>‐</w:instrText>
      </w:r>
      <w:r>
        <w:rPr>
          <w:rFonts w:ascii="Arial" w:hAnsi="Arial" w:cs="Arial"/>
          <w:bCs/>
          <w:lang w:val="en-US"/>
        </w:rPr>
        <w:instrText>transporting winds are important factors governing the potential for loess formation, but the existence of a suitable dust trap is particularly important. Traps may be formed by topographic obstacles, areas of moist ground, or vegetated surfaces. Vegetation adjacent to glacial outwash plains and braided meltwater streams trapped dust in mid</w:instrText>
      </w:r>
      <w:r>
        <w:rPr>
          <w:rFonts w:ascii="Cambria Math" w:hAnsi="Cambria Math" w:cs="Cambria Math"/>
          <w:bCs/>
          <w:lang w:val="en-US"/>
        </w:rPr>
        <w:instrText>‐</w:instrText>
      </w:r>
      <w:r>
        <w:rPr>
          <w:rFonts w:ascii="Arial" w:hAnsi="Arial" w:cs="Arial"/>
          <w:bCs/>
          <w:lang w:val="en-US"/>
        </w:rPr>
        <w:instrText>latitudes during the Pleistocene. Dust blown during glacial periods from certain deserts, notably in Sinai, Soviet Central Asia and China, accumulated as loess in neighbouring semi</w:instrText>
      </w:r>
      <w:r>
        <w:rPr>
          <w:rFonts w:ascii="Cambria Math" w:hAnsi="Cambria Math" w:cs="Cambria Math"/>
          <w:bCs/>
          <w:lang w:val="en-US"/>
        </w:rPr>
        <w:instrText>‐</w:instrText>
      </w:r>
      <w:r>
        <w:rPr>
          <w:rFonts w:ascii="Arial" w:hAnsi="Arial" w:cs="Arial"/>
          <w:bCs/>
          <w:lang w:val="en-US"/>
        </w:rPr>
        <w:instrText>arid regions. On the margins of other deserts loess formation was inhibited partly by the absence of vegetation traps. During most of the Holocene net dust deposition rates in all desert</w:instrText>
      </w:r>
      <w:r>
        <w:rPr>
          <w:rFonts w:ascii="Cambria Math" w:hAnsi="Cambria Math" w:cs="Cambria Math"/>
          <w:bCs/>
          <w:lang w:val="en-US"/>
        </w:rPr>
        <w:instrText>‐</w:instrText>
      </w:r>
      <w:r>
        <w:rPr>
          <w:rFonts w:ascii="Arial" w:hAnsi="Arial" w:cs="Arial"/>
          <w:bCs/>
          <w:lang w:val="en-US"/>
        </w:rPr>
        <w:instrText>marginal areas have been too low for significant loess accumulation. This is mainly due to a reduction in silt availability and a tendency towards landscape stability. Reported dust storm frequencies during the past 50 years over</w:instrText>
      </w:r>
      <w:r>
        <w:rPr>
          <w:rFonts w:ascii="Cambria Math" w:hAnsi="Cambria Math" w:cs="Cambria Math"/>
          <w:bCs/>
          <w:lang w:val="en-US"/>
        </w:rPr>
        <w:instrText>‐</w:instrText>
      </w:r>
      <w:r>
        <w:rPr>
          <w:rFonts w:ascii="Arial" w:hAnsi="Arial" w:cs="Arial"/>
          <w:bCs/>
          <w:lang w:val="en-US"/>
        </w:rPr>
        <w:instrText>estimate the longer</w:instrText>
      </w:r>
      <w:r>
        <w:rPr>
          <w:rFonts w:ascii="Cambria Math" w:hAnsi="Cambria Math" w:cs="Cambria Math"/>
          <w:bCs/>
          <w:lang w:val="en-US"/>
        </w:rPr>
        <w:instrText>‐</w:instrText>
      </w:r>
      <w:r>
        <w:rPr>
          <w:rFonts w:ascii="Arial" w:hAnsi="Arial" w:cs="Arial"/>
          <w:bCs/>
          <w:lang w:val="en-US"/>
        </w:rPr>
        <w:instrText>term Holocene dust flux due to the effects of human activities. Much modern dust owes its origin to erosion of cultivated soils in semi</w:instrText>
      </w:r>
      <w:r>
        <w:rPr>
          <w:rFonts w:ascii="Cambria Math" w:hAnsi="Cambria Math" w:cs="Cambria Math"/>
          <w:bCs/>
          <w:lang w:val="en-US"/>
        </w:rPr>
        <w:instrText>‐</w:instrText>
      </w:r>
      <w:r>
        <w:rPr>
          <w:rFonts w:ascii="Arial" w:hAnsi="Arial" w:cs="Arial"/>
          <w:bCs/>
          <w:lang w:val="en-US"/>
        </w:rPr>
        <w:instrText>arid areas and is finer than typical loess. Copyright © 1987, Wiley Blackwell. All rights reserved","author":[{"dropping-particle":"","family":"Tsoar","given":"H.","non-dropping-particle":"","parse-names":false,"suffix":""},{"dropping-particle":"","family":"Pye","given":"Kenneth","non-dropping-particle":"","parse-names":false,"suffix":""}],"container-title":"Sedimentology","id":"ITEM-8","issued":{"date-parts":[["1987"]]},"page":"139-153","title":"Dust transport and the question of desert loess formation","type":"article-journal","volume":"34"},"uris":["http://www.mendeley.com/documents/?uuid=7aecbd95-0212-42be-81ee-9b07a5fc308f"]},{"id":"ITEM-9","itemData":{"DOI":"10.1016/S0169-555X(00)00060-X","ISBN":"0169-555X","ISSN":"0169555X","abstract":"Pathways are presented, which show the proposed sequence of events involved in the formation of loess deposits, both hypothetical deposits and those of central China, Hungary, Nigeria and Tunisia. These pathways illustrate the potential role of, and inter-relationships between, a variety of silt generating mechanisms in the formation of loess. Using these pathways, the existence of “desert loess” is discussed and it is concluded that this depends on how the terms “glacial loess” and “desert loess” are applied. If “desert loess” is taken either to signify “nonglacial” mechanisms of silt production or to characterise the environment from which aeolian entrainment took place, then “desert loess” is a very real and widely distributed deposit. However, if the term “glacial loess” is used to refer to the global climatic regime under which the loess deposit has formed rather than the geomorphic mechanisms responsible for silt generation, then “desert loess” would not be an appropriate term for the classification of loess deposits. It is suggested that classifying loess deposits with reference to the global climatic regime under which they accumulated would facilitate a greater understanding of the role of environmental conditions at all stages in the formation of loess deposits.","author":[{"dropping-particle":"","family":"Wright","given":"Janet S.","non-dropping-particle":"","parse-names":false,"suffix":""}],"container-title":"Geomorphology","id":"ITEM-9","issue":"3-4","issued":{"date-parts":[["2001"]]},"page":"231-256","title":"“Desert” loess versus “glacial” loess: quartz silt formation, source areas and sediment pathways in the formation of loess deposits","type":"article-journal","volume":"36"},"uris":["http://www.mendeley.com/documents/?uuid=786847f5-d69c-4ddf-a9f6-d1d64de12ee1"]}],"mendeley":{"formattedCitation":"(Crouvi et al., 2010; Lancaster, 2020; Muhs and Bettis, 2003; Obruchev, 1945; Smalley, 1966; Smalley and Vita-Finzi, 1968; Smith et al., 1991; Tsoar and Pye, 1987; Wright, 2001)","plainTextFormattedCitation":"(Crouvi et al., 2010; Lancaster, 2020; Muhs and Bettis, 2003; Obruchev, 1945; Smalley, 1966; Smalley and Vita-Finzi, 1968; Smith et al., 1991; Tsoar and Pye, 1987; Wright, 2001)","previouslyFormattedCitation":"(Crouvi et al., 2010; Lancaster, 2020; Muhs and Bettis, 2003; Obruchev, 1945; Smalley, 1966; Smalley and Vita-Finzi, 1968; Smith et al., 1991; Tsoar and Pye, 1987; Wright, 2001)"},"properties":{"noteIndex":0},"schema":"https://github.com/citation-style-language/schema/raw/master/csl-citation.json"}</w:instrText>
      </w:r>
      <w:r>
        <w:rPr>
          <w:rFonts w:ascii="Arial" w:hAnsi="Arial" w:cs="Arial"/>
          <w:bCs/>
          <w:lang w:val="en-US"/>
        </w:rPr>
        <w:fldChar w:fldCharType="separate"/>
      </w:r>
      <w:r w:rsidRPr="00E923D1">
        <w:rPr>
          <w:rFonts w:ascii="Arial" w:hAnsi="Arial" w:cs="Arial"/>
          <w:bCs/>
          <w:noProof/>
          <w:lang w:val="en-US"/>
        </w:rPr>
        <w:t>(Crouvi et al., 2010; Lancaster, 2020; Muhs and Bettis, 2003; Obruchev, 1945; Smalley, 1966; Smalley and Vita-Finzi, 1968; Smith et al., 1991; Tsoar and Pye, 1987; Wright, 2001)</w:t>
      </w:r>
      <w:r>
        <w:rPr>
          <w:rFonts w:ascii="Arial" w:hAnsi="Arial" w:cs="Arial"/>
          <w:bCs/>
          <w:lang w:val="en-US"/>
        </w:rPr>
        <w:fldChar w:fldCharType="end"/>
      </w:r>
      <w:r w:rsidRPr="00E923D1">
        <w:rPr>
          <w:rFonts w:ascii="Arial" w:hAnsi="Arial" w:cs="Arial"/>
          <w:bCs/>
          <w:lang w:val="en-US"/>
        </w:rPr>
        <w:t>. Additionally terms such as “mountain” loess also appear in the literature</w:t>
      </w:r>
      <w:r>
        <w:rPr>
          <w:rFonts w:ascii="Arial" w:hAnsi="Arial" w:cs="Arial"/>
          <w:bCs/>
          <w:lang w:val="en-US"/>
        </w:rPr>
        <w:t xml:space="preserve"> </w:t>
      </w:r>
      <w:r>
        <w:rPr>
          <w:rFonts w:ascii="Arial" w:hAnsi="Arial" w:cs="Arial"/>
          <w:bCs/>
          <w:lang w:val="en-US"/>
        </w:rPr>
        <w:fldChar w:fldCharType="begin" w:fldLock="1"/>
      </w:r>
      <w:r>
        <w:rPr>
          <w:rFonts w:ascii="Arial" w:hAnsi="Arial" w:cs="Arial"/>
          <w:bCs/>
          <w:lang w:val="en-US"/>
        </w:rPr>
        <w:instrText>ADDIN CSL_CITATION {"citationItems":[{"id":"ITEM-1","itemData":{"DOI":"10.1016/j.quaint.2013.06.008","ISSN":"10406182","author":[{"dropping-particle":"","family":"Jipa","given":"Dan C.","non-dropping-particle":"","parse-names":false,"suffix":""}],"container-title":"Quaternary International","id":"ITEM-1","issued":{"date-parts":[["2014"]]},"note":"Good geomorph re-analysis to create region wide model. Good maps of thickness along and across the Lower Danube. Some suggestions for provenance of the region though based predominantly on very old heavy mineral work. Though this supports the idea that material is mizeed and sourced both from local mountains and Danube's alluvium","page":"14-24","publisher":"Elsevier Ltd and INQUA","title":"The conceptual sedimentary model of the Lower Danube loess basin: Sedimentogenetic implications","type":"article-journal","volume":"351"},"uris":["http://www.mendeley.com/documents/?uuid=a634a6ac-0e8e-4810-90eb-9395e147e0db"]},{"id":"ITEM-2","itemData":{"DOI":"10.1111/j.1475-4762.2008.00795.x","ISSN":"00040894","abstract":"A study of loess in Australia brings the idea of 'desert' loess back into view. Production of particles in deserts still presents problems, but deserts do make adequate storage regions for loess particles -usually produced in adjacent mountains. Straightforward for Central Asia or China (a particle source in High Asia and convenient deserts en route to eventual deposition), but the Sahara and Australian deserts traditionally present problems. If loess material is allowed to be silt-sized clay agglomerate particles as well as the usual clastic primary minerals, then loess in Australia seems reasonable. Loess acquires its remarkable loessic qualities via aeolian deposition -the nature of the particles is perhaps of lesser importance. A more generalised approach to airborne sediments might be attempted, with two major types of suspension material recognised: large dust (maybe coarse and very coarse silt, say 20-60 μm, or perhaps 4-6 phi) and small dust (fine and very fine silt, 2-8 μm, 7-9 phi). Loess is made from large dust. © The Author. Journal compilation © Royal Geographical Society (with The Institute of British Geographers) 2008.","author":[{"dropping-particle":"","family":"Smalley","given":"Ian J.","non-dropping-particle":"","parse-names":false,"suffix":""}],"container-title":"Area","id":"ITEM-2","issue":"1","issued":{"date-parts":[["2008"]]},"page":"131-134","title":"A call for Australian loess: Discussion and commentary","type":"article-journal","volume":"40"},"uris":["http://www.mendeley.com/documents/?uuid=a4497773-524b-4d20-9087-576e5e79ab1e"]},{"id":"ITEM-3","itemData":{"author":[{"dropping-particle":"","family":"Smalley","given":"Ian J.","non-dropping-particle":"","parse-names":false,"suffix":""},{"dropping-particle":"","family":"Derbyshire","given":"Edward","non-dropping-particle":"","parse-names":false,"suffix":""}],"container-title":"Area","id":"ITEM-3","issue":"3","issued":{"date-parts":[["1990"]]},"page":"300-301","title":"The Definition of 'Ice-Sheet' and 'Mountain' Loess","type":"article-journal","volume":"22"},"uris":["http://www.mendeley.com/documents/?uuid=e9ccf88a-9bff-430e-81d3-1208291110f8"]},{"id":"ITEM-4","itemData":{"DOI":"10.2478/logos-2019-0007","ISSN":"20806574","abstract":"In discussions on loess, two types are often demarcated: glacial loess and desert loess. The origin of the idea of desert loess appears to lie with V.A. Obruchev who observed wind-carried silt on the Potanin expedition to Central Asia in 1895. It might be considered that desert loess would be defined as loess associated with deserts but it came to be thought of as loess produced in deserts. This led to some controversy as no mechanism for producing silt particles in deserts was readily available. Bruce Butler in Australia in particular cast doubt on the existence of desert-made loess. Butler indicated loess-like deposits in Australia which he called Parna; these are very like loess but the silt sized particles are actually clay mineral agglomerates of silt size- formed in dry lake regions. At the heart of the desert loess discussion is the problem of producing loess material in deserts. It has been suggested that there are no realistic mechanisms for forming large amounts of loess dust but there is a possibility that sand grain impact may produce particle shattering and lead to the formation of quartz silt. This would appear to be a reasonable mechanism for the African deposits of desert loess, but possibly inadequate for the huge deposits in China and Central Asia. The desert loess in China and Central Asia is loess associated with a desert. The material is formed in cold, high country and carried by rivers to the vicinity of deserts. It progresses then from deserts to loess deposit. Adobe ground may be defined as desert loess. Adobe occurs on the fringe of deserts, notably in the Sahelian region of Africa, and in SW USA. The use of adobe in construction represents the major utilization of desert loess in a social context. More understanding of adobe is required, in particular with respect to the adobe reaction, the low order chemical reaction which provides modest cementitious properties, and can be likened to the pozzolanic reactions in hydrating cement systems. The location of loess and loess-like ground on the peripheries of deserts is aided by the observation of the nesting sites of bee-eater birds. These birds have a determined preference for loess ground to dig their nesting tunnels; the presence of nest tunnels suggests the occurrence of desert loess, in desert fringe regions. We seek amalgamation and contrast: ten main topics are considered: words and terms, particles, parna, geotechnical, adobe, people, birds, Africa, Central Asia, Mars. The …","author":[{"dropping-particle":"","family":"Smalley","given":"Ian J.","non-dropping-particle":"","parse-names":false,"suffix":""},{"dropping-particle":"","family":"Marshall","given":"John","non-dropping-particle":"","parse-names":false,"suffix":""},{"dropping-particle":"","family":"Fitzsimmons","given":"Kathryn E.","non-dropping-particle":"","parse-names":false,"suffix":""},{"dropping-particle":"","family":"Whalley","given":"W. Brian","non-dropping-particle":"","parse-names":false,"suffix":""},{"dropping-particle":"","family":"Ngambi","given":"Samson","non-dropping-particle":"","parse-names":false,"suffix":""}],"container-title":"Geologos","id":"ITEM-4","issue":"1","issued":{"date-parts":[["2019"]]},"page":"91-102","title":"Desert loess: A selection of relevant topics","type":"article-journal","volume":"25"},"uris":["http://www.mendeley.com/documents/?uuid=95e91925-7da0-417e-9681-0c55bba2c7bb"]},{"id":"ITEM-5","itemData":{"DOI":"10.1016/j.atmosenv.2020.117564","ISSN":"18732844","abstract":"The arid basins in NW China are one of the most important sources of Asian atmospheric dust. Numerous studies have been conducted of dust flux and its physical and chemical characteristics in terrestrial and marine sediments in East Asia. However, knowledge of the exact sources of the emitted dust is comparatively limited. In this study, we investigated the magnetic characteristics of 541 surface samples collected in NW China. Based on the application of cluster analysis, we propose that the silt in arid basins is sourced from the surrounding high mountains, and that rivers play an important role in transporting the material, whereas sand dunes are only a relatively limited store of silt. Comparison of the results with the magnetic characteristics of loess samples from the Chinese Loess Plateau (CLP) indicates that the slopes of the Kunlun-Alkin-Qilian Mountains System and the surrounding fluvial plains are the major sources of silty dust in NW China, and that the contribution of sediment from sand dunes has been overestimated. In addition, our results indicate that magnetic fingerprinting can be used to trace the pathway of dust transport, and that the loess deposits in central Asia and the CLP are more accurately described as ‘mountain loess’ rather than ‘desert loess’.","author":[{"dropping-particle":"","family":"Xia","given":"Dunsheng","non-dropping-particle":"","parse-names":false,"suffix":""},{"dropping-particle":"","family":"Wang","given":"Youjun","non-dropping-particle":"","parse-names":false,"suffix":""},{"dropping-particle":"","family":"Jia","given":"Jia","non-dropping-particle":"","parse-names":false,"suffix":""},{"dropping-particle":"","family":"Wei","given":"Haitao","non-dropping-particle":"","parse-names":false,"suffix":""},{"dropping-particle":"","family":"Fan","given":"Yijiao","non-dropping-particle":"","parse-names":false,"suffix":""},{"dropping-particle":"","family":"Jin","given":"Ming","non-dropping-particle":"","parse-names":false,"suffix":""},{"dropping-particle":"","family":"Chen","given":"Fahu","non-dropping-particle":"","parse-names":false,"suffix":""}],"container-title":"Atmospheric Environment","id":"ITEM-5","issued":{"date-parts":[["2020"]]},"page":"117564","publisher":"Elsevier Ltd","title":"Mountain loess or desert loess? New insight of the sources of Asian atmospheric dust based on mineral magnetic characterization of surface sediments in NW China","type":"article-journal","volume":"232"},"uris":["http://www.mendeley.com/documents/?uuid=5d8c5913-eb5d-4f78-8571-40e0e6090761"]}],"mendeley":{"formattedCitation":"(Jipa, 2014; Smalley, 2008; Smalley et al., 2019; Smalley and Derbyshire, 1990; Xia et al., 2020)","plainTextFormattedCitation":"(Jipa, 2014; Smalley, 2008; Smalley et al., 2019; Smalley and Derbyshire, 1990; Xia et al., 2020)","previouslyFormattedCitation":"(Jipa, 2014; Smalley, 2008; Smalley et al., 2019; Smalley and Derbyshire, 1990; Xia et al., 2020)"},"properties":{"noteIndex":0},"schema":"https://github.com/citation-style-language/schema/raw/master/csl-citation.json"}</w:instrText>
      </w:r>
      <w:r>
        <w:rPr>
          <w:rFonts w:ascii="Arial" w:hAnsi="Arial" w:cs="Arial"/>
          <w:bCs/>
          <w:lang w:val="en-US"/>
        </w:rPr>
        <w:fldChar w:fldCharType="separate"/>
      </w:r>
      <w:r w:rsidRPr="00E923D1">
        <w:rPr>
          <w:rFonts w:ascii="Arial" w:hAnsi="Arial" w:cs="Arial"/>
          <w:bCs/>
          <w:noProof/>
          <w:lang w:val="en-US"/>
        </w:rPr>
        <w:t>(Jipa, 2014; Smalley, 2008; Smalley et al., 2019; Smalley and Derbyshire, 1990; Xia et al., 2020)</w:t>
      </w:r>
      <w:r>
        <w:rPr>
          <w:rFonts w:ascii="Arial" w:hAnsi="Arial" w:cs="Arial"/>
          <w:bCs/>
          <w:lang w:val="en-US"/>
        </w:rPr>
        <w:fldChar w:fldCharType="end"/>
      </w:r>
      <w:r w:rsidRPr="00E923D1">
        <w:rPr>
          <w:rFonts w:ascii="Arial" w:hAnsi="Arial" w:cs="Arial"/>
          <w:bCs/>
          <w:lang w:val="en-US"/>
        </w:rPr>
        <w:t>, especially in relation to desert loess. However, in many cases glacial loess is also ultimately sourced from mountain areas and when production mechanisms (rather than geomorphic areas) are scrutinised the divisions between these categories become rather blurred (Figure 11)</w:t>
      </w:r>
      <w:r>
        <w:rPr>
          <w:rFonts w:ascii="Arial" w:hAnsi="Arial" w:cs="Arial"/>
          <w:bCs/>
          <w:lang w:val="en-US"/>
        </w:rPr>
        <w:t>.</w:t>
      </w:r>
    </w:p>
    <w:p w14:paraId="47AB4165" w14:textId="02948884" w:rsidR="00E923D1" w:rsidRPr="00E923D1" w:rsidRDefault="00E923D1" w:rsidP="00E923D1">
      <w:pPr>
        <w:spacing w:before="120" w:after="120" w:line="480" w:lineRule="auto"/>
        <w:jc w:val="both"/>
        <w:rPr>
          <w:rFonts w:ascii="Arial" w:hAnsi="Arial" w:cs="Arial"/>
          <w:bCs/>
          <w:lang w:val="en-US"/>
        </w:rPr>
      </w:pPr>
      <w:r w:rsidRPr="00E923D1">
        <w:rPr>
          <w:rFonts w:ascii="Arial" w:hAnsi="Arial" w:cs="Arial"/>
          <w:bCs/>
          <w:lang w:val="en-US"/>
        </w:rPr>
        <w:t xml:space="preserve">Glacial grinding has been suggested to be critical for the generation of large quantities of silt-size sediment for loess </w:t>
      </w:r>
      <w:r>
        <w:rPr>
          <w:rFonts w:ascii="Arial" w:hAnsi="Arial" w:cs="Arial"/>
          <w:bCs/>
          <w:lang w:val="en-US"/>
        </w:rPr>
        <w:fldChar w:fldCharType="begin" w:fldLock="1"/>
      </w:r>
      <w:r>
        <w:rPr>
          <w:rFonts w:ascii="Arial" w:hAnsi="Arial" w:cs="Arial"/>
          <w:bCs/>
          <w:lang w:val="en-US"/>
        </w:rPr>
        <w:instrText>ADDIN CSL_CITATION {"citationItems":[{"id":"ITEM-1","itemData":{"DOI":"10.1111/geoa.12054","ISSN":"14680459","abstract":"This paper explores the modification of limestone bedrock and fine-grained sediment within the Pleistocene glacial and proglacial environments of the Orjen massif in western Montenegro. We have characterised the fine-grained components of till and outwash using lithological and particle size data. Two main types of fine-grained outwash sediment have been recognised and each is associated with a distinctive meltwater route. Fine-grained sediments deposited downstream of bedrock gorges (type 1 meltwater route) typically display a bimodal particle size distribution, where the carbonate silt fraction (10-60μm) has been depleted and non-carbonate silts become dominant. This probably reflects both physical sorting and corrosion of the fine-grained limestone sediment within the proglacial fluvial environment. The 10-60μm component matches the particle size characteristics of typical loess. Fine-grained outwash deposits from directly in front of the former ice margin (type 2 meltwater route) show unimodal particle size distributions which more closely resemble the grain size characteristics of the glacial till, but they also show evidence of silt depletion. We argue that the fine-grained sediment exported from glaciated limestone catchments during the cold stages of the Pleistocene formed an important source of the carbonate-rich loess in this region. © 2014 Swedish Society for Anthropology and Geography.","author":[{"dropping-particle":"","family":"Adamson","given":"Kathryn R.","non-dropping-particle":"","parse-names":false,"suffix":""},{"dropping-particle":"","family":"Woodward","given":"Jamie C.","non-dropping-particle":"","parse-names":false,"suffix":""},{"dropping-particle":"","family":"Hughes","given":"Philip D.","non-dropping-particle":"","parse-names":false,"suffix":""}],"container-title":"Geografiska Annaler, Series A: Physical Geography","id":"ITEM-1","issue":"3","issued":{"date-parts":[["2014"]]},"page":"339-356","title":"Glacial crushing of limestone and the production of carbonate-rich silts in a pleistocene glaciofluvial system: A potential source of loess in southern europe","type":"article-journal","volume":"96"},"uris":["http://www.mendeley.com/documents/?uuid=e81e464c-43d4-43d8-a59b-8728a5252250"]},{"id":"ITEM-2","itemData":{"DOI":"10.1038/nature12877","ISSN":"00280836","abstract":"Nature 504, 423 (2013). doi:10.1038/nature12877","author":[{"dropping-particle":"","family":"Herman","given":"Frédéric","non-dropping-particle":"","parse-names":false,"suffix":""},{"dropping-particle":"","family":"Seward","given":"Diane","non-dropping-particle":"","parse-names":false,"suffix":""},{"dropping-particle":"","family":"Valla","given":"Pierre G.","non-dropping-particle":"","parse-names":false,"suffix":""},{"dropping-particle":"","family":"Carter","given":"Andrew","non-dropping-particle":"","parse-names":false,"suffix":""},{"dropping-particle":"","family":"Kohn","given":"Barry","non-dropping-particle":"","parse-names":false,"suffix":""},{"dropping-particle":"","family":"Willett","given":"Sean D.","non-dropping-particle":"","parse-names":false,"suffix":""},{"dropping-particle":"","family":"Ehlers","given":"Todd A.","non-dropping-particle":"","parse-names":false,"suffix":""}],"container-title":"Nature","id":"ITEM-2","issue":"7480","issued":{"date-parts":[["2013"]]},"page":"423-426","title":"Worldwide acceleration of mountain erosion under a cooling climate","type":"article-journal","volume":"504"},"uris":["http://www.mendeley.com/documents/?uuid=2f3b600c-9ebe-4277-9e9d-a4a9e735e2b9"]},{"id":"ITEM-3","itemData":{"DOI":"10.1111/ter.12186","ISSN":"13653121","abstract":"Here, we review an ensemble of observations that point towards a global increase of erosion rates in regions of elevated mountain belts, or otherwise high relief, since the onset of Northern Hemisphere Glaciation about 2-3 Ma. During that period of Earth's history, atmospheric CO2 concentrations may have dropped, and global climate cooled and evolved towards high-amplitude oscillating conditions that are associated with the waxing and waning of continental ice sheets in the Northern Hemisphere. We argue for a correlation between climate change and increased erosion rates and relief production, which we attribute to some combination of the observed cooling, onset of glaciation, and climatic oscillation at orbital timescales. In our view, glacial erosion played a major role and is driven by the global cooling. Furthermore, analyses of the sedimentary fluxes of many mountain belts show peaks of erosion during the transitions between glacial and inter-glacial periods, suggesting that the variable climatic conditions have also played a role.","author":[{"dropping-particle":"","family":"Herman","given":"Frédéric","non-dropping-particle":"","parse-names":false,"suffix":""},{"dropping-particle":"","family":"Champagnac","given":"Jean Daniel","non-dropping-particle":"","parse-names":false,"suffix":""}],"container-title":"Terra Nova","id":"ITEM-3","issue":"1","issued":{"date-parts":[["2016"]]},"page":"2-10","title":"Plio-Pleistocene increase of erosion rates in mountain belts in response to climate change","type":"article-journal","volume":"28"},"uris":["http://www.mendeley.com/documents/?uuid=026cf3af-686e-493d-b808-af1818a90a7e"]},{"id":"ITEM-4","itemData":{"abstract":"Detailed mineralogical analysis of the fine and very fine sand fractions (63-250 pm) in the Dreihausen Loess Sequence shows the presence of numerous glacially crushed grains, including a significant amount of quartz. Previous theories regarding the origin of loesses in central Germany held that all sediments were derived locally, following short-distance transport from nearby sandstone outcrops. New data presented here show that many quartz and feldspar grains were glacially crushed, weathered, crushed again, transported, and emplaced by aeolian processes at Dreihausen. Crushing features observed are compatible with transport in both continental and alpine glaciers; some clasts show the effects of abrasion by both water and ice transport, while others are partly rounded presumably by Ruvial and/or aeolian processes. Stronger paleowind systems during the Pleistocene presumably contributed to the transport and emplacement of glacial grains from ice centers in both the Alps and the Baltic areas, and also possibly from the Rhine Basin.","author":[{"dropping-particle":"","family":"Mahaney","given":"William C.","non-dropping-particle":"","parse-names":false,"suffix":""},{"dropping-particle":"","family":"Andres","given":"Wolfgang","non-dropping-particle":"","parse-names":false,"suffix":""}],"container-title":"Boreas","id":"ITEM-4","issued":{"date-parts":[["1991"]]},"page":"231-239","title":"Glacially crushed quartz grains","type":"article-journal","volume":"20"},"uris":["http://www.mendeley.com/documents/?uuid=fbed379e-1367-44ab-9e6d-364c3ed16459"]},{"id":"ITEM-5","itemData":{"DOI":"10.1016/S0169-555X(00)00060-X","ISBN":"0169-555X","ISSN":"0169555X","abstract":"Pathways are presented, which show the proposed sequence of events involved in the formation of loess deposits, both hypothetical deposits and those of central China, Hungary, Nigeria and Tunisia. These pathways illustrate the potential role of, and inter-relationships between, a variety of silt generating mechanisms in the formation of loess. Using these pathways, the existence of “desert loess” is discussed and it is concluded that this depends on how the terms “glacial loess” and “desert loess” are applied. If “desert loess” is taken either to signify “nonglacial” mechanisms of silt production or to characterise the environment from which aeolian entrainment took place, then “desert loess” is a very real and widely distributed deposit. However, if the term “glacial loess” is used to refer to the global climatic regime under which the loess deposit has formed rather than the geomorphic mechanisms responsible for silt generation, then “desert loess” would not be an appropriate term for the classification of loess deposits. It is suggested that classifying loess deposits with reference to the global climatic regime under which they accumulated would facilitate a greater understanding of the role of environmental conditions at all stages in the formation of loess deposits.","author":[{"dropping-particle":"","family":"Wright","given":"Janet S.","non-dropping-particle":"","parse-names":false,"suffix":""}],"container-title":"Geomorphology","id":"ITEM-5","issue":"3-4","issued":{"date-parts":[["2001"]]},"page":"231-256","title":"“Desert” loess versus “glacial” loess: quartz silt formation, source areas and sediment pathways in the formation of loess deposits","type":"article-journal","volume":"36"},"uris":["http://www.mendeley.com/documents/?uuid=786847f5-d69c-4ddf-a9f6-d1d64de12ee1"]},{"id":"ITEM-6","itemData":{"DOI":"10.1016/0277-3791(95)00048-8","ISSN":"02773791","abstract":"Traditional views have attributed the formation of loess-sized quartz silt particles to glacial processes. Glacial grinding was considered to be the only mechanism capable of producing loessic silt in the quantities necessary for the formation of loess deposits. This idea has been strengthened by the apparent close association between present or former glacierised regions and major global loess deposits. However, some doubts exist as to whether or not glacial grinding is capable of producing sufficient quantities of quartz silt. Because of the difficulties entailed in the observations and direct measurement of subglacial abrasion and crushing, this paper describes and discusses the results of a simulation study designed to examine abrasion and size reduction of quartz grains under \"grinding\" conditions analogous to those experienced in a subglacial environment. The findings from these experimental runs suggest that, although particle breakage and comminution does occur, little silt-sized material is actually produced. The amount of silt produced ranges from approximately 9% of the original sample in one experimental run to less than 1% for the other seven runs. It is suggested that the results obtained may show considerably less abrasion and loessic silt production than may be expected to occur within a natural subglacial environment because: (1) subglacial grains experience much greater overburden pressures for much longer periods of time; (2) the use of sand-sized grains may represent a stable component resistant to further size reduction through crushing or abrasion; and (3) the use of a monomineralic sample of relatively sound quartz grains. Although care must be taken when relating results obtained from these experimental runs to silt production within a glacial environment, findings from this work do question whether large amounts of quartz silts are produced within subglacial environments. The importance of glacial processes in the formation of loess deposits may lie in the reworking of pre-existing sediments by ice rather than the actual production of vast quantities of silt. This in turn suggests that care should be taken in the interpretation of the provenance of particles comprising loess deposits. © 1996.","author":[{"dropping-particle":"","family":"Wright","given":"Janet S.","non-dropping-particle":"","parse-names":false,"suffix":""}],"container-title":"Quaternary Science Reviews","id":"ITEM-6","issued":{"date-parts":[["1995"]]},"page":"669-680","title":"Glacial comminution of quartz sand grains and the production of loessic silt: A simulation study","type":"article-journal","volume":"14"},"uris":["http://www.mendeley.com/documents/?uuid=214c5c97-1ab0-42ed-a34f-70d9c13a67ec"]}],"mendeley":{"formattedCitation":"(Adamson et al., 2014; Herman et al., 2013; Herman and Champagnac, 2016; Mahaney and Andres, 1991; Wright, 2001, 1995)","plainTextFormattedCitation":"(Adamson et al., 2014; Herman et al., 2013; Herman and Champagnac, 2016; Mahaney and Andres, 1991; Wright, 2001, 1995)","previouslyFormattedCitation":"(Adamson et al., 2014; Herman et al., 2013; Herman and Champagnac, 2016; Mahaney and Andres, 1991; Wright, 2001, 1995)"},"properties":{"noteIndex":0},"schema":"https://github.com/citation-style-language/schema/raw/master/csl-citation.json"}</w:instrText>
      </w:r>
      <w:r>
        <w:rPr>
          <w:rFonts w:ascii="Arial" w:hAnsi="Arial" w:cs="Arial"/>
          <w:bCs/>
          <w:lang w:val="en-US"/>
        </w:rPr>
        <w:fldChar w:fldCharType="separate"/>
      </w:r>
      <w:r w:rsidRPr="00E923D1">
        <w:rPr>
          <w:rFonts w:ascii="Arial" w:hAnsi="Arial" w:cs="Arial"/>
          <w:bCs/>
          <w:noProof/>
          <w:lang w:val="en-US"/>
        </w:rPr>
        <w:t>(Adamson et al., 2014; Herman et al., 2013; Herman and Champagnac, 2016; Mahaney and Andres, 1991; Wright, 2001, 1995)</w:t>
      </w:r>
      <w:r>
        <w:rPr>
          <w:rFonts w:ascii="Arial" w:hAnsi="Arial" w:cs="Arial"/>
          <w:bCs/>
          <w:lang w:val="en-US"/>
        </w:rPr>
        <w:fldChar w:fldCharType="end"/>
      </w:r>
      <w:r w:rsidRPr="00E923D1">
        <w:rPr>
          <w:rFonts w:ascii="Arial" w:hAnsi="Arial" w:cs="Arial"/>
          <w:bCs/>
          <w:lang w:val="en-US"/>
        </w:rPr>
        <w:t>, owing to the fact that loess is typically investigated in the context of glacial periods and Quaternary. However, some researchers have shown that loess can form in the absence of glaciers</w:t>
      </w:r>
      <w:r>
        <w:rPr>
          <w:rFonts w:ascii="Arial" w:hAnsi="Arial" w:cs="Arial"/>
          <w:bCs/>
          <w:lang w:val="en-US"/>
        </w:rPr>
        <w:t xml:space="preserve"> </w:t>
      </w:r>
      <w:r>
        <w:rPr>
          <w:rFonts w:ascii="Arial" w:hAnsi="Arial" w:cs="Arial"/>
          <w:bCs/>
          <w:lang w:val="en-US"/>
        </w:rPr>
        <w:fldChar w:fldCharType="begin" w:fldLock="1"/>
      </w:r>
      <w:r>
        <w:rPr>
          <w:rFonts w:ascii="Arial" w:hAnsi="Arial" w:cs="Arial"/>
          <w:bCs/>
          <w:lang w:val="en-US"/>
        </w:rPr>
        <w:instrText>ADDIN CSL_CITATION {"citationItems":[{"id":"ITEM-1","itemData":{"DOI":"10.1016/j.sedgeo.2007.03.012","ISSN":"00370738","abstract":"The purpose of this contribution is to describe the sequence of physical and chemical processes resulting in the sediment-type named loess, a fine-grained sediment deposit of universal occurrence. Owing to historical causes, loess has been (and still is) implicitly linked to glacial/periglacial environments among most naturalists. However it is known today that most eolian dust is deflated from tropical deserts. Hence, that sequence of processes is more comprehensive than the former narrow cold scenario. Six examples of different \"non-classical\" cases (from South America and Europe) that fit well to the loess definition are developed: 1) volcanic loess in Ecuador: pyroclastic eruptions/valley wind/mountain praire/silica structuring; 2) tropical loess in northeastern Argentina, Brazil and Uruguay: deflation of river and fan splays/savanna/iron sesquioxide structuring; 3) gypsum loess in northern Spain: destruction of anhydrite/gypsiferous layers in a dry climate/valley wind/Saharian shrub peridesert/gypsum structuring; 4) trade-wind deposits in Venezuela and Brazil: deflation in tidal flats/trade wind into the continent/savanna/iron hydroxide structuring; 5) anticyclonic gray loess in Argentina: continental anticyclone on plains/anti-clockwise winds and whirls/steppe/carbonate structuring. All these non-classical types conform to the accepted loess definitions and they also share the most important field characteristics of loess such as grain size, friability, vertical or sub-vertical slopes in outcrops, subfusion and others. Other cases can probably be recognized when systematically scrutinized. © 2007 Elsevier B.V. All rights reserved.","author":[{"dropping-particle":"","family":"Iriondo","given":"M. H.","non-dropping-particle":"","parse-names":false,"suffix":""},{"dropping-particle":"","family":"Kröhling","given":"D. M.","non-dropping-particle":"","parse-names":false,"suffix":""}],"container-title":"Sedimentary Geology","id":"ITEM-1","issue":"3","issued":{"date-parts":[["2007"]]},"page":"352-368","title":"Non-classical types of loess","type":"article-journal","volume":"202"},"uris":["http://www.mendeley.com/documents/?uuid=5f1f8e03-0c01-4f58-b901-7c93e4da8a3d"]},{"id":"ITEM-2","itemData":{"DOI":"10.1016/S1040-6182(99)00018-X","ISSN":"10406182","abstract":"Many researchers consider loess as solely the product of glacial activity. Investigations throughout South America, however, have demonstrated that loess and loess-like sediments can be formed during geological periods when glaciation was absent. Loess deposits may be derived from volcanic action, from weathering processes, and as a result of pedogenic activity. Production of silt, regardless of the geologic process, can result in loess formation under suitable climatic conditions. (C) 2000 Elsevier Science Ltd and INQUA. All rights reserved.","author":[{"dropping-particle":"","family":"Iriondo","given":"Martín","non-dropping-particle":"","parse-names":false,"suffix":""}],"container-title":"Quaternary International","id":"ITEM-2","issue":"1","issued":{"date-parts":[["1999"]]},"page":"3-9","title":"The origin of silt particles in the loess question","type":"article-journal","volume":"62"},"uris":["http://www.mendeley.com/documents/?uuid=513503a3-1ad0-4d5b-b07c-d4fdf848540e"]},{"id":"ITEM-3","itemData":{"DOI":"10.1016/j.palaeo.2008.03.050","ISSN":"00310182","abstract":"Loess is abundant today, primarily in mid- to high-latitude regions, and is well recognized as a high-fidelity archive of terrestrial climate change. Much of this 'Quaternary' loess is linked either directly or indirectly to glacial and associated cold-weathering processes, as such processes are highly effective in generating the silt size so characteristic of loess. Loess deposits have been poorly documented in the pre-Quaternary record, but are increasingly well recognized in the late Paleozoic of western equatorial Pangaea, particularly in and surrounding the region of the Ancestral Rocky Mountains of western North America. Siltstone deposits here range from true 'loessite' to eolian silt that ultimately accumulated in a variety of continental and marine environments. These strata include the thickest 'dust' deposits yet documented in the geologic record. Following the lower to middle Paleozoic record of carbonate deposition that prevailed over much of western equatorial Pangaea, silt first appeared in the latest Devonian, became widespread in the late Carboniferous (Pennsylvanian), and persisted, but with diminishing importance, through the Permian. Atmospheric 'dustiness' clearly varied on a high-frequency scale as well, evinced by, e.g. loessite-paleosol couplets or by variations in silt content of (glacioeustatic) stratigraphic 'cycles' that formed isolated from all but atmospherically derived detrital influx. Silt-rich units of this time interval are well sorted and blanket-like, with a mineralogical and geochemical composition that is, in many regions, characterized by immaturity. Detrital zircon data from several silt-rich (loessitic) accumulations within the Ancestral Rocky Mountains indicate significant first-cycle derivation from Precambrian basement composed of remarkably coarse-grained protoliths. The great volume, mineralogical and geochemical immaturity, basement derivation, and the timing that coincides with pulses of major Gondwanan cold (glacial) episodes are all most readily reconciled with silt genesis via glacial and associated cold-weathering processes, a hypothesis consistent with emerging indications of glacial and cold-weathering phenomena in the low-latitude Ancestral Rocky Mountains region. Such a concentration of loess in the tropics is remarkably nonuniformitarian and, we hypothesize, reflects a tropical climate system that was at times oddly cold and semi-arid. Beyond its importance as a climatic archive, eolian 'dust' al…","author":[{"dropping-particle":"","family":"Soreghan","given":"Gerilyn S.","non-dropping-particle":"","parse-names":false,"suffix":""},{"dropping-particle":"","family":"Soreghan","given":"Michael J.","non-dropping-particle":"","parse-names":false,"suffix":""},{"dropping-particle":"","family":"Hamilton","given":"Michael A.","non-dropping-particle":"","parse-names":false,"suffix":""}],"container-title":"Palaeogeography, Palaeoclimatology, Palaeoecology","id":"ITEM-3","issue":"3-4","issued":{"date-parts":[["2008"]]},"page":"234-259","title":"Origin and significance of loess in late Paleozoic western Pangaea: A record of tropical cold?","type":"article-journal","volume":"268"},"uris":["http://www.mendeley.com/documents/?uuid=09877993-2040-49f8-abec-69b3da9de369"]}],"mendeley":{"formattedCitation":"(Iriondo, 1999; Iriondo and Kröhling, 2007; Soreghan et al., 2008)","plainTextFormattedCitation":"(Iriondo, 1999; Iriondo and Kröhling, 2007; Soreghan et al., 2008)","previouslyFormattedCitation":"(Iriondo, 1999; Iriondo and Kröhling, 2007; Soreghan et al., 2008)"},"properties":{"noteIndex":0},"schema":"https://github.com/citation-style-language/schema/raw/master/csl-citation.json"}</w:instrText>
      </w:r>
      <w:r>
        <w:rPr>
          <w:rFonts w:ascii="Arial" w:hAnsi="Arial" w:cs="Arial"/>
          <w:bCs/>
          <w:lang w:val="en-US"/>
        </w:rPr>
        <w:fldChar w:fldCharType="separate"/>
      </w:r>
      <w:r w:rsidRPr="00E923D1">
        <w:rPr>
          <w:rFonts w:ascii="Arial" w:hAnsi="Arial" w:cs="Arial"/>
          <w:bCs/>
          <w:noProof/>
          <w:lang w:val="en-US"/>
        </w:rPr>
        <w:t>(Iriondo, 1999; Iriondo and Kröhling, 2007; Soreghan et al., 2008)</w:t>
      </w:r>
      <w:r>
        <w:rPr>
          <w:rFonts w:ascii="Arial" w:hAnsi="Arial" w:cs="Arial"/>
          <w:bCs/>
          <w:lang w:val="en-US"/>
        </w:rPr>
        <w:fldChar w:fldCharType="end"/>
      </w:r>
      <w:r w:rsidRPr="00E923D1">
        <w:rPr>
          <w:rFonts w:ascii="Arial" w:hAnsi="Arial" w:cs="Arial"/>
          <w:bCs/>
          <w:lang w:val="en-US"/>
        </w:rPr>
        <w:t>. In the case of Danubian loess</w:t>
      </w:r>
      <w:r w:rsidR="00EC252A">
        <w:rPr>
          <w:rFonts w:ascii="Arial" w:hAnsi="Arial" w:cs="Arial"/>
          <w:bCs/>
          <w:lang w:val="en-US"/>
        </w:rPr>
        <w:t>,</w:t>
      </w:r>
      <w:r w:rsidRPr="00E923D1">
        <w:rPr>
          <w:rFonts w:ascii="Arial" w:hAnsi="Arial" w:cs="Arial"/>
          <w:bCs/>
          <w:lang w:val="en-US"/>
        </w:rPr>
        <w:t xml:space="preserve"> this study demonstrate</w:t>
      </w:r>
      <w:r w:rsidR="00EC252A">
        <w:rPr>
          <w:rFonts w:ascii="Arial" w:hAnsi="Arial" w:cs="Arial"/>
          <w:bCs/>
          <w:lang w:val="en-US"/>
        </w:rPr>
        <w:t>s</w:t>
      </w:r>
      <w:r w:rsidRPr="00E923D1">
        <w:rPr>
          <w:rFonts w:ascii="Arial" w:hAnsi="Arial" w:cs="Arial"/>
          <w:bCs/>
          <w:lang w:val="en-US"/>
        </w:rPr>
        <w:t xml:space="preserve"> an absence of a single dominant source supplying sediment to the loess-palaeosol profiles. Instead a number of loess detrital zircon age populations are sourced from an amalgamation of the different geological units along the Danube and surrounding the Pannonian Basin, including the Alps, Carpathians, Dinarides, and Balkan Mountains. During the LGM only the Alps were covered by an ice-cap</w:t>
      </w:r>
      <w:r>
        <w:rPr>
          <w:rFonts w:ascii="Arial" w:hAnsi="Arial" w:cs="Arial"/>
          <w:bCs/>
          <w:lang w:val="en-US"/>
        </w:rPr>
        <w:t xml:space="preserve"> </w:t>
      </w:r>
      <w:r>
        <w:rPr>
          <w:rFonts w:ascii="Arial" w:hAnsi="Arial" w:cs="Arial"/>
          <w:bCs/>
          <w:lang w:val="en-US"/>
        </w:rPr>
        <w:fldChar w:fldCharType="begin" w:fldLock="1"/>
      </w:r>
      <w:r>
        <w:rPr>
          <w:rFonts w:ascii="Arial" w:hAnsi="Arial" w:cs="Arial"/>
          <w:bCs/>
          <w:lang w:val="en-US"/>
        </w:rPr>
        <w:instrText>ADDIN CSL_CITATION {"citationItems":[{"id":"ITEM-1","itemData":{"DOI":"10.1144/SP433.14","ISSN":"03058719","abstract":"The Mediterranean mountains were repeatedly glaciated during the Pleistocene. Glaciers were present in most of the major mountains areas from Morocco in the west to the Black Sea coast of Turkey in the east. Some mountains supported extensive ice caps and ice fields with valley glaciers tens of kilometres long. Other massifs sustained only small-scale ice masses, although this was the exception rather than the norm. Glaciers still exist today and there is evidence that small glaciers were a common sight in many regions during the Little Ice Age. The Mediterranean mountains are important for palaeoclimate research because of their position in the mid-latitudes and sensitivity to changes in the climate regimes of adjacent areas including the North Atlantic. These mountains are also important areas of biodiversity and long-term biological change through the Quaternary ice age. All of this provided challenges and opportunities for Palaeolithic societies. This paper reviews the history of the study of glaciation in the Mediterranean mountains from pioneer nineteenth century observations through to the detailed geomorphological mapping and advanced geochronological datasets of recent times. We also review the current state of knowledge to frame the contributions presented in this volume. Lastly, this new synthesis then identifies outstanding research problems and assesses the prospects for new studies of glaciation in the Mediterranean mountains.","author":[{"dropping-particle":"","family":"Hughes","given":"Philip D.","non-dropping-particle":"","parse-names":false,"suffix":""},{"dropping-particle":"","family":"Woodward","given":"Jamie C.","non-dropping-particle":"","parse-names":false,"suffix":""}],"container-title":"Geological Society Special Publication","id":"ITEM-1","issue":"1","issued":{"date-parts":[["2017"]]},"page":"1-23","title":"Quaternary glaciation in the Mediterranean mountains: A new synthesis","type":"article-journal","volume":"433"},"uris":["http://www.mendeley.com/documents/?uuid=8c5b06a9-82bc-4e2c-b8e1-be8498ea6e49"]}],"mendeley":{"formattedCitation":"(Hughes and Woodward, 2017)","plainTextFormattedCitation":"(Hughes and Woodward, 2017)","previouslyFormattedCitation":"(Hughes and Woodward, 2017)"},"properties":{"noteIndex":0},"schema":"https://github.com/citation-style-language/schema/raw/master/csl-citation.json"}</w:instrText>
      </w:r>
      <w:r>
        <w:rPr>
          <w:rFonts w:ascii="Arial" w:hAnsi="Arial" w:cs="Arial"/>
          <w:bCs/>
          <w:lang w:val="en-US"/>
        </w:rPr>
        <w:fldChar w:fldCharType="separate"/>
      </w:r>
      <w:r w:rsidRPr="00E923D1">
        <w:rPr>
          <w:rFonts w:ascii="Arial" w:hAnsi="Arial" w:cs="Arial"/>
          <w:bCs/>
          <w:noProof/>
          <w:lang w:val="en-US"/>
        </w:rPr>
        <w:t>(Hughes and Woodward, 2017)</w:t>
      </w:r>
      <w:r>
        <w:rPr>
          <w:rFonts w:ascii="Arial" w:hAnsi="Arial" w:cs="Arial"/>
          <w:bCs/>
          <w:lang w:val="en-US"/>
        </w:rPr>
        <w:fldChar w:fldCharType="end"/>
      </w:r>
      <w:r w:rsidRPr="00E923D1">
        <w:rPr>
          <w:rFonts w:ascii="Arial" w:hAnsi="Arial" w:cs="Arial"/>
          <w:bCs/>
          <w:lang w:val="en-US"/>
        </w:rPr>
        <w:t xml:space="preserve">, whilst the other areas supported only smaller, often disconnected, glacier lobes </w:t>
      </w:r>
      <w:r>
        <w:rPr>
          <w:rFonts w:ascii="Arial" w:hAnsi="Arial" w:cs="Arial"/>
          <w:bCs/>
          <w:lang w:val="en-US"/>
        </w:rPr>
        <w:fldChar w:fldCharType="begin" w:fldLock="1"/>
      </w:r>
      <w:r>
        <w:rPr>
          <w:rFonts w:ascii="Arial" w:hAnsi="Arial" w:cs="Arial"/>
          <w:bCs/>
          <w:lang w:val="en-US"/>
        </w:rPr>
        <w:instrText>ADDIN CSL_CITATION {"citationItems":[{"id":"ITEM-1","itemData":{"DOI":"10.1016/j.geomorph.2016.12.008","ISSN":"0169555X","abstract":"The Jizerské hory Mountains in the Czech Republic have traditionally been considered to be a highland that lay beyond the limits of Quaternary glaciations. Recent work on cirque-like valley heads in the central part of the range has shown that niche glaciers could form during the Quaternary. Here we report geomorphological and sedimentary evidence for a small glacier in the Pytlácká jáma Hollow that represents one of the most-enclosed valley heads within the range. Shape and size characteristics of this landform indicate that the hollow is a glacial cirque at a degraded stage of development. Boulder accumulations at the downslope side of the hollow probably represent a relic of terminal moraines, and the grain size distribution of clasts together with micromorphology of quartz grains from the hollow indicate the glacial environment of a small glacier. This glacier represents the lowermost located such system in central Europe and provides evidence for the presence of niche or small cirque glaciers probably during pre-Weichselian glacial periods. The glaciation limit (1000 m asl) and paleo-ELA (900 m asl) proposed for the Jizerské hory Mountains implies that central European ranges lower than 1100 m asl were probably glaciated during the Quaternary.","author":[{"dropping-particle":"","family":"Engel","given":"Zbyněk","non-dropping-particle":"","parse-names":false,"suffix":""},{"dropping-particle":"","family":"Křížek","given":"Marek","non-dropping-particle":"","parse-names":false,"suffix":""},{"dropping-particle":"","family":"Kasprzak","given":"Marek","non-dropping-particle":"","parse-names":false,"suffix":""},{"dropping-particle":"","family":"Traczyk","given":"Andrzej","non-dropping-particle":"","parse-names":false,"suffix":""},{"dropping-particle":"","family":"Hložek","given":"Martin","non-dropping-particle":"","parse-names":false,"suffix":""},{"dropping-particle":"","family":"Krbcová","given":"Klára","non-dropping-particle":"","parse-names":false,"suffix":""}],"container-title":"Geomorphology","id":"ITEM-1","issued":{"date-parts":[["2017"]]},"page":"39-50","title":"Geomorphological and sedimentary evidence of probable glaciation in the Jizerské hory Mountains, Central Europe","type":"article-journal","volume":"280"},"uris":["http://www.mendeley.com/documents/?uuid=53b5e4a2-f0a0-4553-b901-bd0506339ade"]},{"id":"ITEM-2","itemData":{"DOI":"10.1016/j.quascirev.2011.08.016","ISSN":"02773791","abstract":"Large areas of Montenegro were glaciated during the Pleistocene. This paper presents evidence from the massifs of central Montenegro, including Durmitor and Sinjajevina, Moračke Planine, Maganik, Prekornica and Vojnik. Glacial deposits have been subdivided on the basis of morphostratigraphy and soil weathering and 31 U-series ages from cemented tills provided a geochronological framework. The largest glaciation occurred before 350 ka when a series of conjoined ice caps over the massifs of central Montenegro covered a total area of nearly 1500 km2. These formed during MIS 12 and correspond with the largest Skamnellian Stage glaciations in Greece to the south. Later Middle Pleistocene glaciations occurred during the penultimate glacial cycle correlating with the Vlasian Stage in Greece (MIS 6) when ice caps covered an area of 720 km2 over central Montenegro. There is also geochronological evidence of glacial deposits dating from the interval between MIS 12 and MIS 6, before the interglacial complex of MIS 7. This glaciation appears to have been very similar in extent to that which occurred during MIS 6. The last glacial cycle in central Montenegro was characterised by valley and cirque glaciers covering a total area of 49 km2. It is very likely that glaciers have been present in the mountains of central Montenegro during every glacial cycle since a small glacier still survives today. The smaller glaciers of the last glacial cycle are likely to have been associated with summer temperatures that were warmer than those of earlier cold stages. The striking contrast in the extent and thickness of ice cover during the cold stages of the Pleistocene has an important bearing on the geomorphological and biological evolution of the Balkans. © 2011 Elsevier Ltd.","author":[{"dropping-particle":"","family":"Hughes","given":"Philip D.","non-dropping-particle":"","parse-names":false,"suffix":""},{"dropping-particle":"","family":"Woodward","given":"Jamie C.","non-dropping-particle":"","parse-names":false,"suffix":""},{"dropping-particle":"","family":"Calsteren","given":"P. C.","non-dropping-particle":"van","parse-names":false,"suffix":""},{"dropping-particle":"","family":"Thomas","given":"L. E.","non-dropping-particle":"","parse-names":false,"suffix":""}],"container-title":"Quaternary Science Reviews","id":"ITEM-2","issue":"23-24","issued":{"date-parts":[["2011"]]},"page":"3393-3412","publisher":"Elsevier Ltd","title":"The glacial history of the Dinaric Alps, Montenegro","type":"article-journal","volume":"30"},"uris":["http://www.mendeley.com/documents/?uuid=1769bfad-74f0-4562-b75c-b79a4bf42273"]},{"id":"ITEM-3","itemData":{"DOI":"10.1016/B978-0-444-53447-7.00024-6","ISBN":"9780444534477","ISSN":"15710866","abstract":"Contrary to the ideas promoted during the 1960-1980s, the authors consider that the Pleistocene glaciation was more extensive in the Romanian Carpathians.After field investigations and mapping, based on topographic maps (1:25,000), aerial photographs (1:10,000), digitally orthorectified aerial photographs and satellite images 570 glacial entities (glaciers, niche glaciers, ice aprons, wall-sided glaciers, avalanche-cone glaciers, firn fields) have been reconstructed to estimate their areas, lengths, volumes-based on Fox equation-and palaeo-equilibrium-line altitudes (ELAs) using a toe-to-headwall altitude ratio or THAR, in 17 mountain units of Romanian Carpathians (9 in Eastern Carpathains with 315 glacial entities, 5 in Southern Carpathians with 219 entities, 3 mountain units in Apuseni Mountains with 36 reconstructed entities). © 2011 Elsevier B.V.","author":[{"dropping-particle":"","family":"Urdea","given":"Petru","non-dropping-particle":"","parse-names":false,"suffix":""},{"dropping-particle":"","family":"Onaca","given":"Alexandru","non-dropping-particle":"","parse-names":false,"suffix":""},{"dropping-particle":"","family":"Ardelean","given":"Florina","non-dropping-particle":"","parse-names":false,"suffix":""},{"dropping-particle":"","family":"Ardelean","given":"Mircea","non-dropping-particle":"","parse-names":false,"suffix":""}],"container-title":"Developments in Quaternary Science","id":"ITEM-3","issued":{"date-parts":[["2011"]]},"page":"305-322","title":"New evidence on the quaternary glaciation in the Romanian carpathians","type":"article-journal","volume":"2"},"uris":["http://www.mendeley.com/documents/?uuid=779d21a5-8b38-4be6-b558-c78154dfa68c"]},{"id":"ITEM-4","itemData":{"DOI":"10.1017/qua.2020.90","ISSN":"0033-5894","abstract":"In the eastern Carpathians the legacy of glaciation is preserved in several isolated mountain massifs. This paper presents new mapping results of glaciated valley land systems in the Rodna Mountains, the highest part of the eastern Carpathians (2303 m above seal level). In most of the glacial valleys, the maximal Pleistocene extent is marked by freshly shaped moraines, which are referred in this study as the Pietroasa glacial stage and regarded as the last glacial maximum (LGM) advance. Only in three valleys do older Şesura glacial stage moraines (pre-LGM, likely Marine Oxygen Isotope Stage 6) occur. On the basis of the geomorphological record, we reconstruct the extent, surface geometry, and equilibrium line altitude (ELA) of Pietroasa-stage glaciers. The local ELA pattern of north-exposed glaciers in the Rodna Mountains shows a rising trend towards the southeast, which suggests dominant snow-bearing winds and orographically induced precipitation from the west. This finding fits well with the dominant palaeo-wind direction inferred from other Carpathian proxies and confirms the dominance of zonal circulation pattern during the global LGM in central eastern Europe.","author":[{"dropping-particle":"","family":"Kłapyta","given":"Piotr","non-dropping-particle":"","parse-names":false,"suffix":""},{"dropping-particle":"","family":"Mîndrescu","given":"Marcel","non-dropping-particle":"","parse-names":false,"suffix":""},{"dropping-particle":"","family":"Zasadni","given":"Jerzy","non-dropping-particle":"","parse-names":false,"suffix":""}],"container-title":"Quaternary Research","id":"ITEM-4","issue":"2013","issued":{"date-parts":[["2021"]]},"page":"1-20","title":"Geomorphological record and equilibrium line altitude of glaciers during the last glacial maximum in the Rodna Mountains (eastern Carpathians)","type":"article-journal","volume":"100"},"uris":["http://www.mendeley.com/documents/?uuid=d45a2ec8-7418-46e7-b023-9bacd4929b31"]},{"id":"ITEM-5","itemData":{"DOI":"10.1007/s42990-020-00030-9","ISBN":"0123456789","ISSN":"2661-863X","abstract":"Although several types of glacial landforms and deposits were described from different parts of the Croatian Dinarides, up to date there are no quantitative glacial chronological data. Here we present the first cosmogenic 36 Cl glacial chronology from the Southern Velebit Mt. from a moraine complex known as the Rujanska Kosa. We sampled four limestone boulders and used 20 mm ka −1 erosion corrected ages, as the study area is composed of well-karstified carbonate deposits and located in one of the highest precipitation regions of Europe. The inner Rujanska Kosa ridge yielded an age of 20.7 ± 2.2 ka for the retreat of glaciers in that part of Velebit Mt. A slightly older age was measured from the outer ridge on the left-lateral part of the Rujanska Kosa, which dates back to 22.7 ± 2.7 ka ago. Whilst the ages between inner and outer ridges overlap within error, we can place an age difference between the two moraines to be between 0 and 6.9 ka, supported by the geomorphic evidence that the latter is older. Although we could not perform any geomorphological work higher up in the Rujno paleo-ice field due to the remnant minefields, our results may indicate a Late Pleistocene (i.e. la st glacial maximum) retreat of ice from the Southern Velebit Mt. Despite the small number of valid samples, acquired age data on glacial landforms in Southern Velebit Mt. are in accordance with ages from several other Mediterranean mountain ranges.","author":[{"dropping-particle":"","family":"Sarıkaya","given":"M. Akif","non-dropping-particle":"","parse-names":false,"suffix":""},{"dropping-particle":"","family":"Stepišnik","given":"Uroš","non-dropping-particle":"","parse-names":false,"suffix":""},{"dropping-particle":"","family":"Žebre","given":"Manja","non-dropping-particle":"","parse-names":false,"suffix":""},{"dropping-particle":"","family":"Çiner","given":"Attila","non-dropping-particle":"","parse-names":false,"suffix":""},{"dropping-particle":"","family":"Yıldırım","given":"Cengiz","non-dropping-particle":"","parse-names":false,"suffix":""},{"dropping-particle":"","family":"Vlahović","given":"Igor","non-dropping-particle":"","parse-names":false,"suffix":""},{"dropping-particle":"","family":"Tomljenović","given":"Bruno","non-dropping-particle":"","parse-names":false,"suffix":""},{"dropping-particle":"","family":"Matoš","given":"Bojan","non-dropping-particle":"","parse-names":false,"suffix":""},{"dropping-particle":"","family":"Wilcken","given":"Klaus M.","non-dropping-particle":"","parse-names":false,"suffix":""}],"container-title":"Mediterranean Geoscience Reviews","id":"ITEM-5","issue":"1","issued":{"date-parts":[["2020"]]},"page":"53-64","publisher":"Springer International Publishing","title":"Last glacial maximum deglaciation of the Southern Velebit Mt. (Croatia): insights from cosmogenic 36Cl dating of Rujanska Kosa","type":"article-journal","volume":"2"},"uris":["http://www.mendeley.com/documents/?uuid=24f5cd44-3b58-45fe-8d74-82633c61c300"]}],"mendeley":{"formattedCitation":"(Engel et al., 2017; Hughes et al., 2011; Kłapyta et al., 2021; Sarıkaya et al., 2020; Urdea et al., 2011)","plainTextFormattedCitation":"(Engel et al., 2017; Hughes et al., 2011; Kłapyta et al., 2021; Sarıkaya et al., 2020; Urdea et al., 2011)","previouslyFormattedCitation":"(Engel et al., 2017; Hughes et al., 2011; Kłapyta et al., 2021; Sarıkaya et al., 2020; Urdea et al., 2011)"},"properties":{"noteIndex":0},"schema":"https://github.com/citation-style-language/schema/raw/master/csl-citation.json"}</w:instrText>
      </w:r>
      <w:r>
        <w:rPr>
          <w:rFonts w:ascii="Arial" w:hAnsi="Arial" w:cs="Arial"/>
          <w:bCs/>
          <w:lang w:val="en-US"/>
        </w:rPr>
        <w:fldChar w:fldCharType="separate"/>
      </w:r>
      <w:r w:rsidRPr="00E923D1">
        <w:rPr>
          <w:rFonts w:ascii="Arial" w:hAnsi="Arial" w:cs="Arial"/>
          <w:bCs/>
          <w:noProof/>
          <w:lang w:val="en-US"/>
        </w:rPr>
        <w:t>(Engel et al., 2017; Hughes et al., 2011; Kłapyta et al., 2021; Sarıkaya et al., 2020; Urdea et al., 2011)</w:t>
      </w:r>
      <w:r>
        <w:rPr>
          <w:rFonts w:ascii="Arial" w:hAnsi="Arial" w:cs="Arial"/>
          <w:bCs/>
          <w:lang w:val="en-US"/>
        </w:rPr>
        <w:fldChar w:fldCharType="end"/>
      </w:r>
      <w:r w:rsidRPr="00E923D1">
        <w:rPr>
          <w:rFonts w:ascii="Arial" w:hAnsi="Arial" w:cs="Arial"/>
          <w:bCs/>
          <w:lang w:val="en-US"/>
        </w:rPr>
        <w:t xml:space="preserve">. This indicates that either the small glaciers are as efficient sediment generator as ice-caps and/or </w:t>
      </w:r>
      <w:r w:rsidRPr="00E923D1">
        <w:rPr>
          <w:rFonts w:ascii="Arial" w:hAnsi="Arial" w:cs="Arial"/>
          <w:bCs/>
          <w:lang w:val="en-US"/>
        </w:rPr>
        <w:lastRenderedPageBreak/>
        <w:t xml:space="preserve">other, mechanisms </w:t>
      </w:r>
      <w:r w:rsidR="00EC252A">
        <w:rPr>
          <w:rFonts w:ascii="Arial" w:hAnsi="Arial" w:cs="Arial"/>
          <w:bCs/>
          <w:lang w:val="en-US"/>
        </w:rPr>
        <w:t xml:space="preserve">in mountainous regions </w:t>
      </w:r>
      <w:r w:rsidRPr="00E923D1">
        <w:rPr>
          <w:rFonts w:ascii="Arial" w:hAnsi="Arial" w:cs="Arial"/>
          <w:bCs/>
          <w:lang w:val="en-US"/>
        </w:rPr>
        <w:t>such as comminution (fluvial and colluvial), aeolian abrasion, and weathering (physical and chemical), are as important, at least in the Danube region.</w:t>
      </w:r>
    </w:p>
    <w:p w14:paraId="5B1DE828" w14:textId="62E504FD" w:rsidR="00E923D1" w:rsidRDefault="00134B67" w:rsidP="00E923D1">
      <w:pPr>
        <w:spacing w:before="120" w:after="120" w:line="480" w:lineRule="auto"/>
        <w:jc w:val="both"/>
        <w:rPr>
          <w:rFonts w:ascii="Arial" w:hAnsi="Arial" w:cs="Arial"/>
        </w:rPr>
      </w:pPr>
      <w:r>
        <w:rPr>
          <w:rFonts w:ascii="Arial" w:hAnsi="Arial" w:cs="Arial"/>
          <w:noProof/>
        </w:rPr>
        <w:drawing>
          <wp:inline distT="0" distB="0" distL="0" distR="0" wp14:anchorId="06FD47A3" wp14:editId="04CE5E8D">
            <wp:extent cx="5731510" cy="4053205"/>
            <wp:effectExtent l="0" t="0" r="2540" b="4445"/>
            <wp:docPr id="2" name="Picture 2"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 schematic&#10;&#10;Description automatically generated"/>
                    <pic:cNvPicPr/>
                  </pic:nvPicPr>
                  <pic:blipFill>
                    <a:blip r:embed="rId20"/>
                    <a:stretch>
                      <a:fillRect/>
                    </a:stretch>
                  </pic:blipFill>
                  <pic:spPr>
                    <a:xfrm>
                      <a:off x="0" y="0"/>
                      <a:ext cx="5731510" cy="4053205"/>
                    </a:xfrm>
                    <a:prstGeom prst="rect">
                      <a:avLst/>
                    </a:prstGeom>
                  </pic:spPr>
                </pic:pic>
              </a:graphicData>
            </a:graphic>
          </wp:inline>
        </w:drawing>
      </w:r>
    </w:p>
    <w:p w14:paraId="25601A3A" w14:textId="1B261499" w:rsidR="00E923D1" w:rsidRPr="00D668E3" w:rsidRDefault="00E923D1" w:rsidP="00E923D1">
      <w:pPr>
        <w:spacing w:before="120" w:after="120" w:line="480" w:lineRule="auto"/>
        <w:jc w:val="both"/>
        <w:rPr>
          <w:rFonts w:ascii="Arial" w:hAnsi="Arial" w:cs="Arial"/>
        </w:rPr>
      </w:pPr>
      <w:r>
        <w:rPr>
          <w:rFonts w:ascii="Arial" w:hAnsi="Arial" w:cs="Arial"/>
          <w:b/>
          <w:bCs/>
        </w:rPr>
        <w:t>Figure 11.</w:t>
      </w:r>
      <w:r>
        <w:rPr>
          <w:rFonts w:ascii="Arial" w:hAnsi="Arial" w:cs="Arial"/>
        </w:rPr>
        <w:t xml:space="preserve"> Schematic illustrating key silt generation mechanisms.</w:t>
      </w:r>
      <w:r w:rsidR="00BF37E5">
        <w:rPr>
          <w:rFonts w:ascii="Arial" w:hAnsi="Arial" w:cs="Arial"/>
        </w:rPr>
        <w:t xml:space="preserve"> Numbers on the schematic refer to the sediment generation processes 1. Glacial grinding; 2. Aeolian abrasion; 3. Frost shattering; 4. Colluvial processes (including grinding and comminution); 5. Fluvial comminution; 6. Salt weathering; 7. Chemical weathering.</w:t>
      </w:r>
      <w:r w:rsidR="009766BC">
        <w:rPr>
          <w:rFonts w:ascii="Arial" w:hAnsi="Arial" w:cs="Arial"/>
        </w:rPr>
        <w:t xml:space="preserve"> Please note that </w:t>
      </w:r>
      <w:r w:rsidR="009766BC" w:rsidRPr="009766BC">
        <w:rPr>
          <w:rFonts w:ascii="Arial" w:hAnsi="Arial" w:cs="Arial"/>
        </w:rPr>
        <w:t xml:space="preserve">the </w:t>
      </w:r>
      <w:r w:rsidR="009766BC" w:rsidRPr="009766BC">
        <w:rPr>
          <w:rFonts w:ascii="Arial" w:hAnsi="Arial" w:cs="Arial"/>
        </w:rPr>
        <w:t>position</w:t>
      </w:r>
      <w:r w:rsidR="009766BC" w:rsidRPr="009766BC">
        <w:rPr>
          <w:rFonts w:ascii="Arial" w:hAnsi="Arial" w:cs="Arial"/>
        </w:rPr>
        <w:t xml:space="preserve"> of loess deposits is purely illustrative and not indicating association with particular features of rivers, alluvial fans, </w:t>
      </w:r>
      <w:r w:rsidR="009766BC" w:rsidRPr="009766BC">
        <w:rPr>
          <w:rFonts w:ascii="Arial" w:hAnsi="Arial" w:cs="Arial"/>
        </w:rPr>
        <w:t>deserts</w:t>
      </w:r>
      <w:r w:rsidR="009766BC">
        <w:rPr>
          <w:rFonts w:ascii="Arial" w:hAnsi="Arial" w:cs="Arial"/>
        </w:rPr>
        <w:t xml:space="preserve">, </w:t>
      </w:r>
      <w:r w:rsidR="009766BC" w:rsidRPr="009766BC">
        <w:rPr>
          <w:rFonts w:ascii="Arial" w:hAnsi="Arial" w:cs="Arial"/>
        </w:rPr>
        <w:t>etc</w:t>
      </w:r>
      <w:r w:rsidR="009766BC">
        <w:rPr>
          <w:rFonts w:ascii="Arial" w:hAnsi="Arial" w:cs="Arial"/>
        </w:rPr>
        <w:t xml:space="preserve">. </w:t>
      </w:r>
    </w:p>
    <w:p w14:paraId="43789B56" w14:textId="45DAA41B" w:rsidR="00E923D1" w:rsidRPr="00E923D1" w:rsidRDefault="00E923D1" w:rsidP="00E923D1">
      <w:pPr>
        <w:spacing w:before="120" w:after="120" w:line="480" w:lineRule="auto"/>
        <w:jc w:val="both"/>
        <w:rPr>
          <w:rFonts w:ascii="Arial" w:hAnsi="Arial" w:cs="Arial"/>
          <w:bCs/>
          <w:lang w:val="en-US"/>
        </w:rPr>
      </w:pPr>
      <w:r w:rsidRPr="00E923D1">
        <w:rPr>
          <w:rFonts w:ascii="Arial" w:hAnsi="Arial" w:cs="Arial"/>
          <w:bCs/>
          <w:lang w:val="en-US"/>
        </w:rPr>
        <w:t xml:space="preserve">Particle comminution during fluvial and colluvial processes has long been suggested as an effective silt generation mechanism </w:t>
      </w:r>
      <w:r>
        <w:rPr>
          <w:rFonts w:ascii="Arial" w:hAnsi="Arial" w:cs="Arial"/>
          <w:bCs/>
          <w:lang w:val="en-US"/>
        </w:rPr>
        <w:fldChar w:fldCharType="begin" w:fldLock="1"/>
      </w:r>
      <w:r>
        <w:rPr>
          <w:rFonts w:ascii="Arial" w:hAnsi="Arial" w:cs="Arial"/>
          <w:bCs/>
          <w:lang w:val="en-US"/>
        </w:rPr>
        <w:instrText>ADDIN CSL_CITATION {"citationItems":[{"id":"ITEM-1","itemData":{"DOI":"10.1016/j.yqres.2016.01.005","ISSN":"10960287","abstract":"Widespread loess deposits in the Central Shandong Mountains yield valuable paleoclimatic records for this currently semi-humid monsoonal region of northern China. The grain-size distribution and major element composition for bulk samples and two grain-size fractions (&lt;20 and 20-63 μm) for the loess in the Central Shandong Mountains were compared with loess from the Chinese Loess Plateau and sediment from the Yellow River to help determine its provenance. The presence of a significant percentage of medium- and coarse-silt, and the difference in relatively immobile major element ratios of TiO2/Al2O3 and K2O/Al2O3 for the &lt;20 and 20-63 μm fractions, suggests that sediment that forms the loess deposits in the Central Shandong Mountains was not blown directly from the northern deserts of China as is the case for the loess deposits of the Chinese Loess Plateau. Rather, this suggests that sediments exposed during glacial times on the North China fluvial plain, including the floodplain of the Yellow River, were the major dust source for the loess in the Central Shangong Mountains. In addition, the wide distribution of perimontane loess in the Central Shandong Mountains region indicates the occurrence of strengthened local aridification during glacial times since the middle Pleistocene.","author":[{"dropping-particle":"","family":"Peng","given":"Shuzhen","non-dropping-particle":"","parse-names":false,"suffix":""},{"dropping-particle":"","family":"Hao","given":"Qingzhen","non-dropping-particle":"","parse-names":false,"suffix":""},{"dropping-particle":"","family":"Wang","given":"Luo","non-dropping-particle":"","parse-names":false,"suffix":""},{"dropping-particle":"","family":"Ding","given":"Min","non-dropping-particle":"","parse-names":false,"suffix":""},{"dropping-particle":"","family":"Zhang","given":"Wei","non-dropping-particle":"","parse-names":false,"suffix":""},{"dropping-particle":"","family":"Wang","given":"Yanan","non-dropping-particle":"","parse-names":false,"suffix":""},{"dropping-particle":"","family":"Guo","given":"Zhengtang","non-dropping-particle":"","parse-names":false,"suffix":""}],"container-title":"Quaternary Research (United States)","id":"ITEM-1","issue":"2","issued":{"date-parts":[["2016"]]},"page":"290-298","publisher":"University of Washington","title":"Geochemical and grain-size evidence for the provenance of loess deposits in the Central Shandong Mountains region, northern China","type":"article-journal","volume":"85"},"uris":["http://www.mendeley.com/documents/?uuid=68342fea-a1c2-4380-ab65-7ba705d545ee"]},{"id":"ITEM-2","itemData":{"DOI":"10.1016/S0012-8252(02)00066-1","ISSN":"00128252","abstract":"Descriptions of peridesertic loess deposits and possible non-glacial origins for silt size quartz are reviewed, including direct release from weathered bedrock. Results from salt and frost weathering experiments are presented and methods by which sufficient energy can be imparted to sand size grains to release silt-size fragments are identified. These fragments may then be entrained by aeolian or fluvial action. Results from fluvial comminution experiments indicate that high energy, mixed sediment fluvial systems may be very effective in generating quartz silt. Purely aeolian attrition is also seen as a major source of silt size and finer material. Results from aeolian abrasion experiments performed using crushed quartz sand are complemented by trials using sands from deeply weathered granite and Pannonian Sands from Hungary. Field and laboratory observations are therefore seen to argue for the existence of deposits that can be classified as 'desert loess'. © 2002 Elsevier Science B.V. All rights reserved.","author":[{"dropping-particle":"","family":"Smith","given":"Bernard J.","non-dropping-particle":"","parse-names":false,"suffix":""},{"dropping-particle":"","family":"Wright","given":"Janet S.","non-dropping-particle":"","parse-names":false,"suffix":""},{"dropping-particle":"","family":"Whalley","given":"W. Brian","non-dropping-particle":"","parse-names":false,"suffix":""}],"container-title":"Earth-Science Reviews","id":"ITEM-2","issue":"1-4","issued":{"date-parts":[["2002"]]},"page":"1-26","title":"Sources of non-glacial, loess-size quartz silt and the origins of \"desert loess\"","type":"article-journal","volume":"59"},"uris":["http://www.mendeley.com/documents/?uuid=09d46111-94c0-4060-b2f5-62f7f9087d49"]},{"id":"ITEM-3","itemData":{"DOI":"10.1016/j.quaint.2015.05.010","ISSN":"10406182","abstract":"Production of the silt-sized particles composing loess represents a critical step in its ultimate formation, but the volume and rate of production in different settings remain underdetermined. This study addresses the influence of climate and source lithology on silt formation by subjecting natural alluvial/fluvial sand from systems characterized by varying climatic setting to simulated comminution. Bulk samples from comparable transport distances were collected from a hot-arid (California desert) alluvial system, hot-humid (Puerto Rico) fluvial system, and cold-humid (Norway) proglacial fluvial system, and sieved to isolate the coarse-very coarse sand fraction for experimental milling. Source rocks in all three systems consist of granitoids, with some contributions from foliated coarse-grained metamorphic rocks (gneissic and schistose) in Norway. Results indicate that contributions from coarse-grained foliated lithologies impart a negligible effect on rate of silt production from the sand starting material. Climatic setting imparts no significant difference on sand durability, but influences clay production at later stages of comminution for the Puerto Rico sample, presumably owing to the effects of deep chemical weathering prior to physical transport. Comminution and silt production in all experiments exhibit exponential decay wherein rapid initial rates diminish with time. This is interpreted to reflect the effects of the dynamic milling conditions (particle size and distribution, and slurry viscosity), as well as particle strength, with the latter including both relative strengths of different minerals in general, and the influences of lattice defects and microfractures in quartz in particular. Empirical observations reveal that silt fractions of the natural alluvial/fluvial samples, collected at comparable transport distances (5-7 km) in the respective systems, exhibit significant differences. Bulk sediment samples from the Norwegian proglacial system contain substantially more silt (3-10 times) than either of the other two localities, implying a significant difference in the natural processes operating to generate silt in these different field settings. We suggest this difference reflects the efficacy of glacial grinding in silt production.","author":[{"dropping-particle":"","family":"Soreghan","given":"Gerilyn S.","non-dropping-particle":"","parse-names":false,"suffix":""},{"dropping-particle":"","family":"Joo","given":"Young Ji","non-dropping-particle":"","parse-names":false,"suffix":""},{"dropping-particle":"","family":"Elwood Madden","given":"Megan E.","non-dropping-particle":"","parse-names":false,"suffix":""},{"dropping-particle":"","family":"Deventer","given":"Sarah C.","non-dropping-particle":"Van","parse-names":false,"suffix":""}],"container-title":"Quaternary International","id":"ITEM-3","issued":{"date-parts":[["2016"]]},"page":"218-227","publisher":"Elsevier","title":"Silt production as a function of climate and lithology under simulated comminution","type":"article-journal","volume":"399"},"uris":["http://www.mendeley.com/documents/?uuid=af2efc6f-ef20-4971-b50c-891add25e1b3"]},{"id":"ITEM-4","itemData":{"DOI":"10.1016/S0012-821X(02)00921-4","ISBN":"0012-821X","ISSN":"0012821X","abstract":"Results of a multiple, isotopic, chemical and mineralogical analysis of loess from the three northwestern inland basins (the Junggar Basin, the Tarim Basin and the Qaidam Basin) and the Loess Plateau region of China are summarized. They suggest a qualification of the conventional views that the three northwestern basins were the important source areas of the Loess Plateau and that the sand deserts were the primary single source of the Chinese loess. It is argued that the gobi (stony desert) in southern Mongolia and the adjoining gobi and sand deserts (the Badain Jaran Desert, Tengger Desert, Ulan Buh Desert, Hobq Desert and Mu Us Desert) in China, rather than the three inland basins, are the dominant source areas of the Loess Plateau. However, although these gobi and sand deserts are regarded as the main source regions, they serve as dust and silt holding areas rather than dominant producers. The mountain processes (including glacial grinding, frost weathering, salt weathering, tectonic processes, and some fluvial comminution) in the Gobi Altay Mts., Hangayn Mts. and the Qilian Mts. have played an important role in producing the vast amounts of loess-sized material for forming the Loess Plateau. ?? 2002 Elsevier Science B.V. All rights reserved.","author":[{"dropping-particle":"","family":"Sun","given":"Jimin","non-dropping-particle":"","parse-names":false,"suffix":""}],"container-title":"Earth and Planetary Science Letters","id":"ITEM-4","issue":"3-4","issued":{"date-parts":[["2002"]]},"page":"845-859","title":"Provenance of loess material and formation of loess deposits on the Chinese Loess Plateau","type":"article-journal","volume":"203"},"uris":["http://www.mendeley.com/documents/?uuid=d7be8198-c97f-40f6-9256-cf3e70a88f90"]},{"id":"ITEM-5","itemData":{"DOI":"10.1111/sed.12539","ISSN":"13653091","abstract":"The formation of loess deposits strongly depends on the availability of deflatable dust-sized material. Identification of source areas and mechanisms of dust production is essential for an appropriate characterization of related palaeoenvironmental conditions. So far, little research has been done on loess deposits in the Mediterranean region and information about mechanisms of dust production is very rare. In this context, it is not clear from where the loess deposits from the upper Tagus Basin in central Spain originated. The main objective of this study was to find out whether these loess deposits were formed primarily by mountain processes and fluvial comminution, or whether they have their origin in the weathering of Tertiary marls in the centre of the Madrid Basin. A further concern was to link the determined source areas with loess formation mechanisms and concomitant environmental contexts. Following a comprehensive approach using heavy minerals and grain-size data, together with information on stratigraphic features and geomorphic positions, different local loess sources could be identified. This study shows that during the last 35 kyr a major proportion of the Tagus loess deposits was deflated from river floodplains, while the mountain region of the Iberian Range was identified as a significant source of respective floodplain sediments. Based on heavy mineral compositions and dating results, it was found that during Heinrich Stadial 3, sediment supply from the Iberian Range strongly increased, suggesting an environmental shift from initially warmer towards colder temperatures in late Marine Isotope Stage 3. Furthermore, it was found that grain-size patterns clearly indicate maximum wind strengths during Heinrich Stadial 3, followed by Heinrich Stadial 2 and Heinrich Stadial 1. These results demonstrate that the formation of dust-sized particles in this part of the Mediterranean operated similar to many other places in temperate and continental regions, and that weathering processes linked to hot and dry environments were only of minor importance.","author":[{"dropping-particle":"","family":"Wolf","given":"Daniel","non-dropping-particle":"","parse-names":false,"suffix":""},{"dropping-particle":"","family":"Ryborz","given":"Karoline","non-dropping-particle":"","parse-names":false,"suffix":""},{"dropping-particle":"","family":"Kolb","given":"Thomas","non-dropping-particle":"","parse-names":false,"suffix":""},{"dropping-particle":"","family":"Calvo Zapata","given":"Ruben","non-dropping-particle":"","parse-names":false,"suffix":""},{"dropping-particle":"","family":"Sanchez Vizcaino","given":"Jesús","non-dropping-particle":"","parse-names":false,"suffix":""},{"dropping-particle":"","family":"Zöller","given":"Ludwig","non-dropping-particle":"","parse-names":false,"suffix":""},{"dropping-particle":"","family":"Faust","given":"Dominik","non-dropping-particle":"","parse-names":false,"suffix":""}],"container-title":"Sedimentology","id":"ITEM-5","issue":"3","issued":{"date-parts":[["2019"]]},"page":"1139-1161","title":"Origins and genesis of loess deposits in central Spain, as indicated by heavy mineral compositions and grain-size variability","type":"article-journal","volume":"66"},"uris":["http://www.mendeley.com/documents/?uuid=c0c4d50b-596a-4724-b597-1f122f6717d7"]},{"id":"ITEM-6","itemData":{"DOI":"10.1016/S0169-555X(00)00060-X","ISBN":"0169-555X","ISSN":"0169555X","abstract":"Pathways are presented, which show the proposed sequence of events involved in the formation of loess deposits, both hypothetical deposits and those of central China, Hungary, Nigeria and Tunisia. These pathways illustrate the potential role of, and inter-relationships between, a variety of silt generating mechanisms in the formation of loess. Using these pathways, the existence of “desert loess” is discussed and it is concluded that this depends on how the terms “glacial loess” and “desert loess” are applied. If “desert loess” is taken either to signify “nonglacial” mechanisms of silt production or to characterise the environment from which aeolian entrainment took place, then “desert loess” is a very real and widely distributed deposit. However, if the term “glacial loess” is used to refer to the global climatic regime under which the loess deposit has formed rather than the geomorphic mechanisms responsible for silt generation, then “desert loess” would not be an appropriate term for the classification of loess deposits. It is suggested that classifying loess deposits with reference to the global climatic regime under which they accumulated would facilitate a greater understanding of the role of environmental conditions at all stages in the formation of loess deposits.","author":[{"dropping-particle":"","family":"Wright","given":"Janet S.","non-dropping-particle":"","parse-names":false,"suffix":""}],"container-title":"Geomorphology","id":"ITEM-6","issue":"3-4","issued":{"date-parts":[["2001"]]},"page":"231-256","title":"“Desert” loess versus “glacial” loess: quartz silt formation, source areas and sediment pathways in the formation of loess deposits","type":"article-journal","volume":"36"},"uris":["http://www.mendeley.com/documents/?uuid=786847f5-d69c-4ddf-a9f6-d1d64de12ee1"]},{"id":"ITEM-7","itemData":{"DOI":"10.1016/S0169-555X(97)00084-6","ISSN":"0169555X","abstract":"The production of loess-sized quartz silt is frequently ascribed to glacial grinding mechanisms. In this study a series of laboratory simulations was set up, the purpose of which was to demonstrate that a range of geomorphic mechanisms are capable of producing silt under laboratory conditions. The geomorphic mechanisms investigated were: aeolian abrasion, fluvial comminution, glacial grinding, salt weathering and frost weathering. The results confirmed that under laboratory conditions all of these mechanisms were capable of producing silt. The relative effectiveness of these mechanisms at producing silt under laboratory conditions was then calculated in order to provide a starting point for a consideration of their potential effectiveness within the natural environment. These results indicate that fluvial and aeolian activity are highly effective at producing quartz silt over short time periods. In a dust storm of four days duration 287 g of silt could potentially be produced from every kilogram of sand entrained, while fluvial comminution in a turbulent fluvial environment could potentially produce 900 g of silt from every kilogram of sand entrained within 32 h. Over longer periods of time the glacial grinding and weathering mechanisms represent more continuous and hence more effective silt-producing mechanisms. Although it is realised that the relative importance of each silt-producing mechanism will differ spatially and temporally due to differences in climate, relief, geology and geomorphic history, the findings from this work do have implications for the genesis of loess deposits. They demonstrate that glacial and cold weathering processes are not solely responsible for fine-particle formation and that efficient silt-producing mechanisms can operate within a variety of environments. Under suitable conditions, weathering, together with episodic contributions from aeolian and fluvial mechanisms, could be responsible for a considerable proportion of global quartz silt production. © 1998 Elsevier Science B.V.","author":[{"dropping-particle":"","family":"Wright","given":"Janet S.","non-dropping-particle":"","parse-names":false,"suffix":""},{"dropping-particle":"","family":"Smith","given":"Bernard J.","non-dropping-particle":"","parse-names":false,"suffix":""},{"dropping-particle":"","family":"Whalley","given":"Brian","non-dropping-particle":"","parse-names":false,"suffix":""}],"container-title":"Geomorphology","id":"ITEM-7","issued":{"date-parts":[["1998"]]},"page":"15-34","title":"Mechanisms of loess-sized quartz silt production and their relative effectiveness: Laboratory simulations","type":"article-journal","volume":"23"},"uris":["http://www.mendeley.com/documents/?uuid=2b8cf14d-5176-4a4e-9782-3d3d691a99bc"]}],"mendeley":{"formattedCitation":"(Peng et al., 2016; Smith et al., 2002; Soreghan et al., 2016; Sun, 2002; Wolf et al., 2019; Wright, 2001; Wright et al., 1998)","plainTextFormattedCitation":"(Peng et al., 2016; Smith et al., 2002; Soreghan et al., 2016; Sun, 2002; Wolf et al., 2019; Wright, 2001; Wright et al., 1998)","previouslyFormattedCitation":"(Peng et al., 2016; Smith et al., 2002; Soreghan et al., 2016; Sun, 2002; Wolf et al., 2019; Wright, 2001; Wright et al., 1998)"},"properties":{"noteIndex":0},"schema":"https://github.com/citation-style-language/schema/raw/master/csl-citation.json"}</w:instrText>
      </w:r>
      <w:r>
        <w:rPr>
          <w:rFonts w:ascii="Arial" w:hAnsi="Arial" w:cs="Arial"/>
          <w:bCs/>
          <w:lang w:val="en-US"/>
        </w:rPr>
        <w:fldChar w:fldCharType="separate"/>
      </w:r>
      <w:r w:rsidRPr="00E923D1">
        <w:rPr>
          <w:rFonts w:ascii="Arial" w:hAnsi="Arial" w:cs="Arial"/>
          <w:bCs/>
          <w:noProof/>
          <w:lang w:val="en-US"/>
        </w:rPr>
        <w:t>(Peng et al., 2016; Smith et al., 2002; Soreghan et al., 2016; Sun, 2002; Wolf et al., 2019; Wright, 2001; Wright et al., 1998)</w:t>
      </w:r>
      <w:r>
        <w:rPr>
          <w:rFonts w:ascii="Arial" w:hAnsi="Arial" w:cs="Arial"/>
          <w:bCs/>
          <w:lang w:val="en-US"/>
        </w:rPr>
        <w:fldChar w:fldCharType="end"/>
      </w:r>
      <w:r w:rsidRPr="00E923D1">
        <w:rPr>
          <w:rFonts w:ascii="Arial" w:hAnsi="Arial" w:cs="Arial"/>
          <w:bCs/>
          <w:lang w:val="en-US"/>
        </w:rPr>
        <w:t>. Particle breakdown during fluvial transport will be most effective in cases of high energy systems with a high volume of sediment</w:t>
      </w:r>
      <w:r>
        <w:rPr>
          <w:rFonts w:ascii="Arial" w:hAnsi="Arial" w:cs="Arial"/>
          <w:bCs/>
          <w:lang w:val="en-US"/>
        </w:rPr>
        <w:t xml:space="preserve"> </w:t>
      </w:r>
      <w:r>
        <w:rPr>
          <w:rFonts w:ascii="Arial" w:hAnsi="Arial" w:cs="Arial"/>
          <w:bCs/>
          <w:lang w:val="en-US"/>
        </w:rPr>
        <w:fldChar w:fldCharType="begin" w:fldLock="1"/>
      </w:r>
      <w:r>
        <w:rPr>
          <w:rFonts w:ascii="Arial" w:hAnsi="Arial" w:cs="Arial"/>
          <w:bCs/>
          <w:lang w:val="en-US"/>
        </w:rPr>
        <w:instrText>ADDIN CSL_CITATION {"citationItems":[{"id":"ITEM-1","itemData":{"DOI":"10.1016/S0012-8252(02)00066-1","ISSN":"00128252","abstract":"Descriptions of peridesertic loess deposits and possible non-glacial origins for silt size quartz are reviewed, including direct release from weathered bedrock. Results from salt and frost weathering experiments are presented and methods by which sufficient energy can be imparted to sand size grains to release silt-size fragments are identified. These fragments may then be entrained by aeolian or fluvial action. Results from fluvial comminution experiments indicate that high energy, mixed sediment fluvial systems may be very effective in generating quartz silt. Purely aeolian attrition is also seen as a major source of silt size and finer material. Results from aeolian abrasion experiments performed using crushed quartz sand are complemented by trials using sands from deeply weathered granite and Pannonian Sands from Hungary. Field and laboratory observations are therefore seen to argue for the existence of deposits that can be classified as 'desert loess'. © 2002 Elsevier Science B.V. All rights reserved.","author":[{"dropping-particle":"","family":"Smith","given":"Bernard J.","non-dropping-particle":"","parse-names":false,"suffix":""},{"dropping-particle":"","family":"Wright","given":"Janet S.","non-dropping-particle":"","parse-names":false,"suffix":""},{"dropping-particle":"","family":"Whalley","given":"W. Brian","non-dropping-particle":"","parse-names":false,"suffix":""}],"container-title":"Earth-Science Reviews","id":"ITEM-1","issue":"1-4","issued":{"date-parts":[["2002"]]},"page":"1-26","title":"Sources of non-glacial, loess-size quartz silt and the origins of \"desert loess\"","type":"article-journal","volume":"59"},"uris":["http://www.mendeley.com/documents/?uuid=09d46111-94c0-4060-b2f5-62f7f9087d49"]}],"mendeley":{"formattedCitation":"(Smith et al., 2002)","plainTextFormattedCitation":"(Smith et al., 2002)","previouslyFormattedCitation":"(Smith et al., 2002)"},"properties":{"noteIndex":0},"schema":"https://github.com/citation-style-language/schema/raw/master/csl-citation.json"}</w:instrText>
      </w:r>
      <w:r>
        <w:rPr>
          <w:rFonts w:ascii="Arial" w:hAnsi="Arial" w:cs="Arial"/>
          <w:bCs/>
          <w:lang w:val="en-US"/>
        </w:rPr>
        <w:fldChar w:fldCharType="separate"/>
      </w:r>
      <w:r w:rsidRPr="00E923D1">
        <w:rPr>
          <w:rFonts w:ascii="Arial" w:hAnsi="Arial" w:cs="Arial"/>
          <w:bCs/>
          <w:noProof/>
          <w:lang w:val="en-US"/>
        </w:rPr>
        <w:t>(Smith et al., 2002)</w:t>
      </w:r>
      <w:r>
        <w:rPr>
          <w:rFonts w:ascii="Arial" w:hAnsi="Arial" w:cs="Arial"/>
          <w:bCs/>
          <w:lang w:val="en-US"/>
        </w:rPr>
        <w:fldChar w:fldCharType="end"/>
      </w:r>
      <w:r w:rsidRPr="00E923D1">
        <w:rPr>
          <w:rFonts w:ascii="Arial" w:hAnsi="Arial" w:cs="Arial"/>
          <w:bCs/>
          <w:lang w:val="en-US"/>
        </w:rPr>
        <w:t xml:space="preserve"> and therefore not tied to hot or cold environments. </w:t>
      </w:r>
      <w:r w:rsidRPr="00E923D1">
        <w:rPr>
          <w:rFonts w:ascii="Arial" w:hAnsi="Arial" w:cs="Arial"/>
          <w:bCs/>
          <w:lang w:val="en-US"/>
        </w:rPr>
        <w:lastRenderedPageBreak/>
        <w:t>However, it has been argued that in some cases comminution may not be an effective method of silt production, e.g.</w:t>
      </w:r>
      <w:r>
        <w:rPr>
          <w:rFonts w:ascii="Arial" w:hAnsi="Arial" w:cs="Arial"/>
          <w:bCs/>
          <w:lang w:val="en-US"/>
        </w:rPr>
        <w:t xml:space="preserve"> </w:t>
      </w:r>
      <w:r>
        <w:rPr>
          <w:rFonts w:ascii="Arial" w:hAnsi="Arial" w:cs="Arial"/>
          <w:bCs/>
          <w:lang w:val="en-US"/>
        </w:rPr>
        <w:fldChar w:fldCharType="begin" w:fldLock="1"/>
      </w:r>
      <w:r>
        <w:rPr>
          <w:rFonts w:ascii="Arial" w:hAnsi="Arial" w:cs="Arial"/>
          <w:bCs/>
          <w:lang w:val="en-US"/>
        </w:rPr>
        <w:instrText>ADDIN CSL_CITATION {"citationItems":[{"id":"ITEM-1","itemData":{"author":[{"dropping-particle":"","family":"Wright","given":"Janet S.","non-dropping-particle":"","parse-names":false,"suffix":""},{"dropping-particle":"","family":"Smith","given":"Bernard J.","non-dropping-particle":"","parse-names":false,"suffix":""}],"container-title":"Geografiska Annaler: Series A, Physical Geography","id":"ITEM-1","issue":"1/2","issued":{"date-parts":[["1993"]]},"page":"25-34","title":"Fluvial Comminution and the Production of Loess-Sized Quartz Silt: A Simulation Study","type":"article-journal","volume":"75"},"uris":["http://www.mendeley.com/documents/?uuid=958f2cab-c36b-4b52-98c4-9d71f65105fb"]}],"mendeley":{"formattedCitation":"(Wright and Smith, 1993)","manualFormatting":"Wright and Smith (1993)","plainTextFormattedCitation":"(Wright and Smith, 1993)","previouslyFormattedCitation":"(Wright and Smith, 1993)"},"properties":{"noteIndex":0},"schema":"https://github.com/citation-style-language/schema/raw/master/csl-citation.json"}</w:instrText>
      </w:r>
      <w:r>
        <w:rPr>
          <w:rFonts w:ascii="Arial" w:hAnsi="Arial" w:cs="Arial"/>
          <w:bCs/>
          <w:lang w:val="en-US"/>
        </w:rPr>
        <w:fldChar w:fldCharType="separate"/>
      </w:r>
      <w:r w:rsidRPr="00E923D1">
        <w:rPr>
          <w:rFonts w:ascii="Arial" w:hAnsi="Arial" w:cs="Arial"/>
          <w:bCs/>
          <w:noProof/>
          <w:lang w:val="en-US"/>
        </w:rPr>
        <w:t xml:space="preserve">Wright and Smith </w:t>
      </w:r>
      <w:r>
        <w:rPr>
          <w:rFonts w:ascii="Arial" w:hAnsi="Arial" w:cs="Arial"/>
          <w:bCs/>
          <w:noProof/>
          <w:lang w:val="en-US"/>
        </w:rPr>
        <w:t>(</w:t>
      </w:r>
      <w:r w:rsidRPr="00E923D1">
        <w:rPr>
          <w:rFonts w:ascii="Arial" w:hAnsi="Arial" w:cs="Arial"/>
          <w:bCs/>
          <w:noProof/>
          <w:lang w:val="en-US"/>
        </w:rPr>
        <w:t>1993)</w:t>
      </w:r>
      <w:r>
        <w:rPr>
          <w:rFonts w:ascii="Arial" w:hAnsi="Arial" w:cs="Arial"/>
          <w:bCs/>
          <w:lang w:val="en-US"/>
        </w:rPr>
        <w:fldChar w:fldCharType="end"/>
      </w:r>
      <w:r w:rsidRPr="00E923D1">
        <w:rPr>
          <w:rFonts w:ascii="Arial" w:hAnsi="Arial" w:cs="Arial"/>
          <w:bCs/>
          <w:lang w:val="en-US"/>
        </w:rPr>
        <w:t xml:space="preserve"> or</w:t>
      </w:r>
      <w:r>
        <w:rPr>
          <w:rFonts w:ascii="Arial" w:hAnsi="Arial" w:cs="Arial"/>
          <w:bCs/>
          <w:lang w:val="en-US"/>
        </w:rPr>
        <w:t xml:space="preserve"> </w:t>
      </w:r>
      <w:r>
        <w:rPr>
          <w:rFonts w:ascii="Arial" w:hAnsi="Arial" w:cs="Arial"/>
          <w:bCs/>
          <w:lang w:val="en-US"/>
        </w:rPr>
        <w:fldChar w:fldCharType="begin" w:fldLock="1"/>
      </w:r>
      <w:r>
        <w:rPr>
          <w:rFonts w:ascii="Arial" w:hAnsi="Arial" w:cs="Arial"/>
          <w:bCs/>
          <w:lang w:val="en-US"/>
        </w:rPr>
        <w:instrText>ADDIN CSL_CITATION {"citationItems":[{"id":"ITEM-1","itemData":{"DOI":"10.1130/B35590.1","ISSN":"19432674","abstract":"Carboniferous–Permian strata in basins within the Central Pangean Mountains in France archive regional paleoequatorial climate during a unique interval in geological history (Pangea assembly, ice-age collapse, megamonsoon inception). The voluminous (μ 1.5 km) succession of exclusively fne-grained red beds that comprises the Permian Salagou Formation (Lodève Basin, France) has long been interpreted to record either lacustrine or fuvial deposition, primarily based on a local emphasis of subaqueous features in the upper μ 25% of the section. In contrast, data presented here indicate that the lower-middle Salagou Formation is dominated by up to 15-m-thick beds of internally massive red mudstone with abundant pedogenic features (microscale) and no evidence of channeling. Up-section, limited occurrences of ripple and hummocky cross-stratifcation, and mudcracks record the intermittent in-fuence of shallow water, but with no channeling nor units with grain sizes exceeding coarse silt. These data suggest that the most parsimonious interpretation for the Salagou Formation involves eolian transport of the sediment and ultimate deposition as loess in shallow, ephemeral lacustrine environments. Provenance analyses of the Salagou Formation indicate coarse-grained protoliths and, together with geochemical proxies (chemical index of alteration [CIA] and τNa) that correspond respectively to a low degree of chemical weathering and a mean annual temperature of μ 4 °C, suggest that silt generation in this case is most consistent with cold-weathering (glacial and associated periglacial) processes in the Variscan highlands. Together with previous studies that detailed voluminous Permian loess in western equatorial Pangea, this work shows a globally unique distribution of dust at low latitudes that can be linked either directly to glaciated alpine terranes or to reworked and defated deposits of other types (e.g., fuvial outwash) where fne-grained material was originally generated from glacial grinding in alpine systems. These results further support a revised model for early Permian climate, in which extratropical ice sheets coexisted with a semiarid tropics that may have hosted signifcant ice at moderate elevation.","author":[{"dropping-particle":"","family":"Pfeifer","given":"Lily S.","non-dropping-particle":"","parse-names":false,"suffix":""},{"dropping-particle":"","family":"Soreghan","given":"Gerilyn S.","non-dropping-particle":"","parse-names":false,"suffix":""},{"dropping-particle":"","family":"Pochat","given":"Stéphane","non-dropping-particle":"","parse-names":false,"suffix":""},{"dropping-particle":"Van Den","family":"Driessche","given":"Jean","non-dropping-particle":"","parse-names":false,"suffix":""}],"container-title":"Bulletin of the Geological Society of America","id":"ITEM-1","issue":"1-2","issued":{"date-parts":[["2020"]]},"page":"379-392","title":"Loess in eastern equatorial Pangea archives a dusty atmosphere and possible upland glaciation","type":"article-journal","volume":"133"},"uris":["http://www.mendeley.com/documents/?uuid=ea8d04ab-cfc8-4824-b169-619afe79da70"]}],"mendeley":{"formattedCitation":"(Pfeifer et al., 2020)","manualFormatting":"Pfeifer et al. (2020)","plainTextFormattedCitation":"(Pfeifer et al., 2020)","previouslyFormattedCitation":"(Pfeifer et al., 2020)"},"properties":{"noteIndex":0},"schema":"https://github.com/citation-style-language/schema/raw/master/csl-citation.json"}</w:instrText>
      </w:r>
      <w:r>
        <w:rPr>
          <w:rFonts w:ascii="Arial" w:hAnsi="Arial" w:cs="Arial"/>
          <w:bCs/>
          <w:lang w:val="en-US"/>
        </w:rPr>
        <w:fldChar w:fldCharType="separate"/>
      </w:r>
      <w:r w:rsidRPr="00E923D1">
        <w:rPr>
          <w:rFonts w:ascii="Arial" w:hAnsi="Arial" w:cs="Arial"/>
          <w:bCs/>
          <w:noProof/>
          <w:lang w:val="en-US"/>
        </w:rPr>
        <w:t xml:space="preserve">Pfeifer </w:t>
      </w:r>
      <w:r w:rsidRPr="00E923D1">
        <w:rPr>
          <w:rFonts w:ascii="Arial" w:hAnsi="Arial" w:cs="Arial"/>
          <w:bCs/>
          <w:i/>
          <w:iCs/>
          <w:noProof/>
          <w:lang w:val="en-US"/>
        </w:rPr>
        <w:t>et al.</w:t>
      </w:r>
      <w:r w:rsidRPr="00E923D1">
        <w:rPr>
          <w:rFonts w:ascii="Arial" w:hAnsi="Arial" w:cs="Arial"/>
          <w:bCs/>
          <w:noProof/>
          <w:lang w:val="en-US"/>
        </w:rPr>
        <w:t xml:space="preserve"> </w:t>
      </w:r>
      <w:r>
        <w:rPr>
          <w:rFonts w:ascii="Arial" w:hAnsi="Arial" w:cs="Arial"/>
          <w:bCs/>
          <w:noProof/>
          <w:lang w:val="en-US"/>
        </w:rPr>
        <w:t>(</w:t>
      </w:r>
      <w:r w:rsidRPr="00E923D1">
        <w:rPr>
          <w:rFonts w:ascii="Arial" w:hAnsi="Arial" w:cs="Arial"/>
          <w:bCs/>
          <w:noProof/>
          <w:lang w:val="en-US"/>
        </w:rPr>
        <w:t>2020)</w:t>
      </w:r>
      <w:r>
        <w:rPr>
          <w:rFonts w:ascii="Arial" w:hAnsi="Arial" w:cs="Arial"/>
          <w:bCs/>
          <w:lang w:val="en-US"/>
        </w:rPr>
        <w:fldChar w:fldCharType="end"/>
      </w:r>
      <w:r w:rsidRPr="00E923D1">
        <w:rPr>
          <w:rFonts w:ascii="Arial" w:hAnsi="Arial" w:cs="Arial"/>
          <w:bCs/>
          <w:lang w:val="en-US"/>
        </w:rPr>
        <w:t xml:space="preserve">, and therefore to be locality and bedrock dependent. Further, rivers can easily erode, transport, and deposit material from sedimentary units and colluvial deposits </w:t>
      </w:r>
      <w:r>
        <w:rPr>
          <w:rFonts w:ascii="Arial" w:hAnsi="Arial" w:cs="Arial"/>
          <w:bCs/>
          <w:lang w:val="en-US"/>
        </w:rPr>
        <w:fldChar w:fldCharType="begin" w:fldLock="1"/>
      </w:r>
      <w:r>
        <w:rPr>
          <w:rFonts w:ascii="Arial" w:hAnsi="Arial" w:cs="Arial"/>
          <w:bCs/>
          <w:lang w:val="en-US"/>
        </w:rPr>
        <w:instrText>ADDIN CSL_CITATION {"citationItems":[{"id":"ITEM-1","itemData":{"DOI":"10.1016/0277-3791(95)00048-8","ISSN":"02773791","abstract":"Traditional views have attributed the formation of loess-sized quartz silt particles to glacial processes. Glacial grinding was considered to be the only mechanism capable of producing loessic silt in the quantities necessary for the formation of loess deposits. This idea has been strengthened by the apparent close association between present or former glacierised regions and major global loess deposits. However, some doubts exist as to whether or not glacial grinding is capable of producing sufficient quantities of quartz silt. Because of the difficulties entailed in the observations and direct measurement of subglacial abrasion and crushing, this paper describes and discusses the results of a simulation study designed to examine abrasion and size reduction of quartz grains under \"grinding\" conditions analogous to those experienced in a subglacial environment. The findings from these experimental runs suggest that, although particle breakage and comminution does occur, little silt-sized material is actually produced. The amount of silt produced ranges from approximately 9% of the original sample in one experimental run to less than 1% for the other seven runs. It is suggested that the results obtained may show considerably less abrasion and loessic silt production than may be expected to occur within a natural subglacial environment because: (1) subglacial grains experience much greater overburden pressures for much longer periods of time; (2) the use of sand-sized grains may represent a stable component resistant to further size reduction through crushing or abrasion; and (3) the use of a monomineralic sample of relatively sound quartz grains. Although care must be taken when relating results obtained from these experimental runs to silt production within a glacial environment, findings from this work do question whether large amounts of quartz silts are produced within subglacial environments. The importance of glacial processes in the formation of loess deposits may lie in the reworking of pre-existing sediments by ice rather than the actual production of vast quantities of silt. This in turn suggests that care should be taken in the interpretation of the provenance of particles comprising loess deposits. © 1996.","author":[{"dropping-particle":"","family":"Wright","given":"Janet S.","non-dropping-particle":"","parse-names":false,"suffix":""}],"container-title":"Quaternary Science Reviews","id":"ITEM-1","issued":{"date-parts":[["1995"]]},"page":"669-680","title":"Glacial comminution of quartz sand grains and the production of loessic silt: A simulation study","type":"article-journal","volume":"14"},"uris":["http://www.mendeley.com/documents/?uuid=214c5c97-1ab0-42ed-a34f-70d9c13a67ec"]}],"mendeley":{"formattedCitation":"(Wright, 1995)","plainTextFormattedCitation":"(Wright, 1995)","previouslyFormattedCitation":"(Wright, 1995)"},"properties":{"noteIndex":0},"schema":"https://github.com/citation-style-language/schema/raw/master/csl-citation.json"}</w:instrText>
      </w:r>
      <w:r>
        <w:rPr>
          <w:rFonts w:ascii="Arial" w:hAnsi="Arial" w:cs="Arial"/>
          <w:bCs/>
          <w:lang w:val="en-US"/>
        </w:rPr>
        <w:fldChar w:fldCharType="separate"/>
      </w:r>
      <w:r w:rsidRPr="00E923D1">
        <w:rPr>
          <w:rFonts w:ascii="Arial" w:hAnsi="Arial" w:cs="Arial"/>
          <w:bCs/>
          <w:noProof/>
          <w:lang w:val="en-US"/>
        </w:rPr>
        <w:t>(Wright, 1995)</w:t>
      </w:r>
      <w:r>
        <w:rPr>
          <w:rFonts w:ascii="Arial" w:hAnsi="Arial" w:cs="Arial"/>
          <w:bCs/>
          <w:lang w:val="en-US"/>
        </w:rPr>
        <w:fldChar w:fldCharType="end"/>
      </w:r>
      <w:r w:rsidRPr="00E923D1">
        <w:rPr>
          <w:rFonts w:ascii="Arial" w:hAnsi="Arial" w:cs="Arial"/>
          <w:bCs/>
          <w:lang w:val="en-US"/>
        </w:rPr>
        <w:t xml:space="preserve"> in a series of cycles. For example, Scherler </w:t>
      </w:r>
      <w:r w:rsidRPr="00E923D1">
        <w:rPr>
          <w:rFonts w:ascii="Arial" w:hAnsi="Arial" w:cs="Arial"/>
          <w:bCs/>
          <w:i/>
          <w:iCs/>
          <w:lang w:val="en-US"/>
        </w:rPr>
        <w:t>et al.</w:t>
      </w:r>
      <w:r w:rsidRPr="00E923D1">
        <w:rPr>
          <w:rFonts w:ascii="Arial" w:hAnsi="Arial" w:cs="Arial"/>
          <w:bCs/>
          <w:lang w:val="en-US"/>
        </w:rPr>
        <w:t xml:space="preserve"> </w:t>
      </w:r>
      <w:r>
        <w:rPr>
          <w:rFonts w:ascii="Arial" w:hAnsi="Arial" w:cs="Arial"/>
          <w:bCs/>
          <w:lang w:val="en-US"/>
        </w:rPr>
        <w:fldChar w:fldCharType="begin" w:fldLock="1"/>
      </w:r>
      <w:r>
        <w:rPr>
          <w:rFonts w:ascii="Arial" w:hAnsi="Arial" w:cs="Arial"/>
          <w:bCs/>
          <w:lang w:val="en-US"/>
        </w:rPr>
        <w:instrText>ADDIN CSL_CITATION {"citationItems":[{"id":"ITEM-1","itemData":{"DOI":"10.1016/j.epsl.2015.06.034","ISSN":"0012821X","abstract":"The response of surface processes to climatic forcing is fundamental for understanding the impacts of climate change on landscape evolution. In the Himalaya, most large rivers feature prominent fill terraces that record an imbalance between sediment supply and transport capacity, presumably due to past fluctuations in monsoon precipitation and/or effects of glaciation at high elevation. Here, we present volume estimates, chronological constraints, and 10Be-derived paleo-erosion rates from a prominent valley fill in the Yamuna catchment, Garhwal Himalaya, to elucidate the coupled response of rivers and hillslopes to Pleistocene climate change. Although precise age control is complicated due to methodological problems, the new data support formation of the valley fill during the late Pleistocene and its incision during the Holocene. We interpret this timing to indicate that changes in discharge and river-transport capacity were major controls. Compared to the present day, late Pleistocene hillslope erosion rates were higher by a factor of ~2-4, but appear to have decreased during valley aggradation. The higher late Pleistocene erosion rates are largely unrelated to glacial erosion and could be explained by enhanced sediment production on steep hillslopes due to increased periglacial activity that declined as temperatures increased. Alternatively, erosion rates that decrease during valley aggradation are also consistent with reduced landsliding from threshold hillslopes as a result of rising base levels. In that case, the similarity of paleo-erosion rates near the end of the aggradation period with modern erosion rates might imply that channels and hillslopes are not yet fully coupled everywhere and that present-day hillslope erosion rates may underrepresent long-term incision rates.","author":[{"dropping-particle":"","family":"Scherler","given":"Dirk","non-dropping-particle":"","parse-names":false,"suffix":""},{"dropping-particle":"","family":"Bookhagen","given":"Bodo","non-dropping-particle":"","parse-names":false,"suffix":""},{"dropping-particle":"","family":"Wulf","given":"Hendrik","non-dropping-particle":"","parse-names":false,"suffix":""},{"dropping-particle":"","family":"Preusser","given":"Frank","non-dropping-particle":"","parse-names":false,"suffix":""},{"dropping-particle":"","family":"Strecker","given":"Manfred R.","non-dropping-particle":"","parse-names":false,"suffix":""}],"container-title":"Earth and Planetary Science Letters","id":"ITEM-1","issued":{"date-parts":[["2015"]]},"page":"255-266","publisher":"Elsevier B.V.","title":"Increased late Pleistocene erosion rates during fluvial aggradation in the Garhwal Himalaya, northern India","type":"article-journal","volume":"428"},"uris":["http://www.mendeley.com/documents/?uuid=dc90c936-a4a7-4224-a824-d7dcdcb543e8"]}],"mendeley":{"formattedCitation":"(Scherler et al., 2015)","manualFormatting":"(2015)","plainTextFormattedCitation":"(Scherler et al., 2015)","previouslyFormattedCitation":"(Scherler et al., 2015)"},"properties":{"noteIndex":0},"schema":"https://github.com/citation-style-language/schema/raw/master/csl-citation.json"}</w:instrText>
      </w:r>
      <w:r>
        <w:rPr>
          <w:rFonts w:ascii="Arial" w:hAnsi="Arial" w:cs="Arial"/>
          <w:bCs/>
          <w:lang w:val="en-US"/>
        </w:rPr>
        <w:fldChar w:fldCharType="separate"/>
      </w:r>
      <w:r>
        <w:rPr>
          <w:rFonts w:ascii="Arial" w:hAnsi="Arial" w:cs="Arial"/>
          <w:bCs/>
          <w:noProof/>
          <w:lang w:val="en-US"/>
        </w:rPr>
        <w:t>(</w:t>
      </w:r>
      <w:r w:rsidRPr="00E923D1">
        <w:rPr>
          <w:rFonts w:ascii="Arial" w:hAnsi="Arial" w:cs="Arial"/>
          <w:bCs/>
          <w:noProof/>
          <w:lang w:val="en-US"/>
        </w:rPr>
        <w:t>2015)</w:t>
      </w:r>
      <w:r>
        <w:rPr>
          <w:rFonts w:ascii="Arial" w:hAnsi="Arial" w:cs="Arial"/>
          <w:bCs/>
          <w:lang w:val="en-US"/>
        </w:rPr>
        <w:fldChar w:fldCharType="end"/>
      </w:r>
      <w:r w:rsidRPr="00E923D1">
        <w:rPr>
          <w:rFonts w:ascii="Arial" w:hAnsi="Arial" w:cs="Arial"/>
          <w:bCs/>
          <w:lang w:val="en-US"/>
        </w:rPr>
        <w:t xml:space="preserve"> demonstrated that periglacial weathering and periodic release of hillslope sediments into the fluvial system was sufficient for river aggradation. Therefore</w:t>
      </w:r>
      <w:r w:rsidR="00EC252A">
        <w:rPr>
          <w:rFonts w:ascii="Arial" w:hAnsi="Arial" w:cs="Arial"/>
          <w:bCs/>
          <w:lang w:val="en-US"/>
        </w:rPr>
        <w:t>,</w:t>
      </w:r>
      <w:r w:rsidRPr="00E923D1">
        <w:rPr>
          <w:rFonts w:ascii="Arial" w:hAnsi="Arial" w:cs="Arial"/>
          <w:bCs/>
          <w:lang w:val="en-US"/>
        </w:rPr>
        <w:t xml:space="preserve"> fluvial reworking of alluvial and colluvial material could be an important source of silt size sediment.</w:t>
      </w:r>
    </w:p>
    <w:p w14:paraId="04EC1082" w14:textId="66DFF4F1" w:rsidR="00E923D1" w:rsidRPr="00E923D1" w:rsidRDefault="00E923D1" w:rsidP="00E923D1">
      <w:pPr>
        <w:spacing w:before="120" w:after="120" w:line="480" w:lineRule="auto"/>
        <w:jc w:val="both"/>
        <w:rPr>
          <w:rFonts w:ascii="Arial" w:hAnsi="Arial" w:cs="Arial"/>
          <w:bCs/>
          <w:lang w:val="en-US"/>
        </w:rPr>
      </w:pPr>
      <w:r w:rsidRPr="00E923D1">
        <w:rPr>
          <w:rFonts w:ascii="Arial" w:hAnsi="Arial" w:cs="Arial"/>
          <w:bCs/>
          <w:lang w:val="en-US"/>
        </w:rPr>
        <w:t xml:space="preserve">Frost shattering and salt weathering are thought to be two of the most effective physical weathering mechanisms of silt generation, though insolation and stress related </w:t>
      </w:r>
      <w:r w:rsidR="00EC252A">
        <w:rPr>
          <w:rFonts w:ascii="Arial" w:hAnsi="Arial" w:cs="Arial"/>
          <w:bCs/>
          <w:lang w:val="en-US"/>
        </w:rPr>
        <w:t xml:space="preserve">weathering </w:t>
      </w:r>
      <w:r w:rsidRPr="00E923D1">
        <w:rPr>
          <w:rFonts w:ascii="Arial" w:hAnsi="Arial" w:cs="Arial"/>
          <w:bCs/>
          <w:lang w:val="en-US"/>
        </w:rPr>
        <w:t>can also contribute to silt-size particles</w:t>
      </w:r>
      <w:r>
        <w:rPr>
          <w:rFonts w:ascii="Arial" w:hAnsi="Arial" w:cs="Arial"/>
          <w:bCs/>
          <w:lang w:val="en-US"/>
        </w:rPr>
        <w:t xml:space="preserve"> </w:t>
      </w:r>
      <w:r>
        <w:rPr>
          <w:rFonts w:ascii="Arial" w:hAnsi="Arial" w:cs="Arial"/>
          <w:bCs/>
          <w:lang w:val="en-US"/>
        </w:rPr>
        <w:fldChar w:fldCharType="begin" w:fldLock="1"/>
      </w:r>
      <w:r>
        <w:rPr>
          <w:rFonts w:ascii="Arial" w:hAnsi="Arial" w:cs="Arial"/>
          <w:bCs/>
          <w:lang w:val="en-US"/>
        </w:rPr>
        <w:instrText>ADDIN CSL_CITATION {"citationItems":[{"id":"ITEM-1","itemData":{"DOI":"10.1016/j.sedgeo.2007.03.024","ISSN":"00370738","abstract":"Quartz silt is a widespread detrital sediment with large aeolian (loess) and alluvial silt deposits forming important components of many contemporary landscapes. Despite research findings which indicate that a range of opportunities exist for the comminution of quartz into silt particles within a wide variety of geomorphic environments (e.g. glacial grinding, fluvial comminution, aeolian abrasion, frost weathering, salt weathering, insolation weathering and deep weathering), the 'glacial-aeolian' hypothesis has traditionally been favoured as the most likely explanation for loess formation and loess is seen as primarily a Quaternary phenomenon. As a consequence there has been a tendency to underestimate sediment inputs into loess systems by geomorphological processes operating within pre-Quaternary environments. In particular, earth scientists may have considerably underestimated the role of weathering in global silt generation, as there are now many references to the existence of a patchy but widespread distribution of pre-Quaternary weathering profiles across the glacial and periglacial landscapes of the Northern Hemisphere (e.g. North America, British Isles, north and central Europe), landscapes within which many of the classical loess deposits are located. These observations suggest that weathering profiles may have covered large tracts of the Northern Hemisphere land surface prior to the Quaternary glaciations. This, in turn, may have important implications for quartz silt generation as: (1) experimental studies indicate that many weathering processes are capable of generating significant quantities of silt-sized debris, and (2) particle characteristics displayed by saprolitic material that has developed on quartz rich crystalline source rocks often include significant quantities of either silt-sized material, or quartz grains that are weakened by weathering derived microfractures. Thus, weathering profiles may represent 'mines' of actual and potential quartz silt, available for release into sedimentary systems when these profiles are subsequently reworked by geomorphological processes such as glacial, fluvial and aeolian erosion. © 2007 Elsevier B.V. All rights reserved.","author":[{"dropping-particle":"","family":"Wright","given":"Janet S.","non-dropping-particle":"","parse-names":false,"suffix":""}],"container-title":"Sedimentary Geology","id":"ITEM-1","issue":"3","issued":{"date-parts":[["2007"]]},"page":"337-351","title":"An overview of the role of weathering in the production of quartz silt","type":"article-journal","volume":"202"},"uris":["http://www.mendeley.com/documents/?uuid=269e2894-b0af-4cf0-802e-a1aa643bba3d"]}],"mendeley":{"formattedCitation":"(Wright, 2007)","plainTextFormattedCitation":"(Wright, 2007)","previouslyFormattedCitation":"(Wright, 2007)"},"properties":{"noteIndex":0},"schema":"https://github.com/citation-style-language/schema/raw/master/csl-citation.json"}</w:instrText>
      </w:r>
      <w:r>
        <w:rPr>
          <w:rFonts w:ascii="Arial" w:hAnsi="Arial" w:cs="Arial"/>
          <w:bCs/>
          <w:lang w:val="en-US"/>
        </w:rPr>
        <w:fldChar w:fldCharType="separate"/>
      </w:r>
      <w:r w:rsidRPr="00E923D1">
        <w:rPr>
          <w:rFonts w:ascii="Arial" w:hAnsi="Arial" w:cs="Arial"/>
          <w:bCs/>
          <w:noProof/>
          <w:lang w:val="en-US"/>
        </w:rPr>
        <w:t>(Wright, 2007)</w:t>
      </w:r>
      <w:r>
        <w:rPr>
          <w:rFonts w:ascii="Arial" w:hAnsi="Arial" w:cs="Arial"/>
          <w:bCs/>
          <w:lang w:val="en-US"/>
        </w:rPr>
        <w:fldChar w:fldCharType="end"/>
      </w:r>
      <w:r w:rsidRPr="00E923D1">
        <w:rPr>
          <w:rFonts w:ascii="Arial" w:hAnsi="Arial" w:cs="Arial"/>
          <w:bCs/>
          <w:lang w:val="en-US"/>
        </w:rPr>
        <w:t xml:space="preserve">. Whilst </w:t>
      </w:r>
      <w:r w:rsidR="00EC252A">
        <w:rPr>
          <w:rFonts w:ascii="Arial" w:hAnsi="Arial" w:cs="Arial"/>
          <w:bCs/>
          <w:lang w:val="en-US"/>
        </w:rPr>
        <w:t>frost shattering</w:t>
      </w:r>
      <w:r w:rsidRPr="00E923D1">
        <w:rPr>
          <w:rFonts w:ascii="Arial" w:hAnsi="Arial" w:cs="Arial"/>
          <w:bCs/>
          <w:lang w:val="en-US"/>
        </w:rPr>
        <w:t xml:space="preserve"> can </w:t>
      </w:r>
      <w:r w:rsidR="009201AD">
        <w:rPr>
          <w:rFonts w:ascii="Arial" w:hAnsi="Arial" w:cs="Arial"/>
          <w:bCs/>
          <w:lang w:val="en-US"/>
        </w:rPr>
        <w:t>occur</w:t>
      </w:r>
      <w:r w:rsidRPr="00E923D1">
        <w:rPr>
          <w:rFonts w:ascii="Arial" w:hAnsi="Arial" w:cs="Arial"/>
          <w:bCs/>
          <w:lang w:val="en-US"/>
        </w:rPr>
        <w:t xml:space="preserve"> in a of range environments</w:t>
      </w:r>
      <w:r w:rsidR="00DA09A4">
        <w:rPr>
          <w:rFonts w:ascii="Arial" w:hAnsi="Arial" w:cs="Arial"/>
          <w:bCs/>
          <w:lang w:val="en-US"/>
        </w:rPr>
        <w:t>,</w:t>
      </w:r>
      <w:r w:rsidRPr="00E923D1">
        <w:rPr>
          <w:rFonts w:ascii="Arial" w:hAnsi="Arial" w:cs="Arial"/>
          <w:bCs/>
          <w:lang w:val="en-US"/>
        </w:rPr>
        <w:t xml:space="preserve"> sediment generat</w:t>
      </w:r>
      <w:r w:rsidR="00DA09A4">
        <w:rPr>
          <w:rFonts w:ascii="Arial" w:hAnsi="Arial" w:cs="Arial"/>
          <w:bCs/>
          <w:lang w:val="en-US"/>
        </w:rPr>
        <w:t>ion will be more pronounced</w:t>
      </w:r>
      <w:r w:rsidRPr="00E923D1">
        <w:rPr>
          <w:rFonts w:ascii="Arial" w:hAnsi="Arial" w:cs="Arial"/>
          <w:bCs/>
          <w:lang w:val="en-US"/>
        </w:rPr>
        <w:t xml:space="preserve"> </w:t>
      </w:r>
      <w:r w:rsidR="00DA09A4">
        <w:rPr>
          <w:rFonts w:ascii="Arial" w:hAnsi="Arial" w:cs="Arial"/>
          <w:bCs/>
          <w:lang w:val="en-US"/>
        </w:rPr>
        <w:t xml:space="preserve">when it is acting in combination with </w:t>
      </w:r>
      <w:r w:rsidR="00DA09A4" w:rsidRPr="00E923D1">
        <w:rPr>
          <w:rFonts w:ascii="Arial" w:hAnsi="Arial" w:cs="Arial"/>
          <w:bCs/>
          <w:lang w:val="en-US"/>
        </w:rPr>
        <w:t>glacier</w:t>
      </w:r>
      <w:r w:rsidR="00DA09A4">
        <w:rPr>
          <w:rFonts w:ascii="Arial" w:hAnsi="Arial" w:cs="Arial"/>
          <w:bCs/>
          <w:lang w:val="en-US"/>
        </w:rPr>
        <w:t>s</w:t>
      </w:r>
      <w:r w:rsidRPr="00E923D1">
        <w:rPr>
          <w:rFonts w:ascii="Arial" w:hAnsi="Arial" w:cs="Arial"/>
          <w:bCs/>
          <w:lang w:val="en-US"/>
        </w:rPr>
        <w:t xml:space="preserve"> and permafrost</w:t>
      </w:r>
      <w:r w:rsidR="00DA09A4">
        <w:rPr>
          <w:rFonts w:ascii="Arial" w:hAnsi="Arial" w:cs="Arial"/>
          <w:bCs/>
          <w:lang w:val="en-US"/>
        </w:rPr>
        <w:t>,</w:t>
      </w:r>
      <w:r w:rsidRPr="00E923D1">
        <w:rPr>
          <w:rFonts w:ascii="Arial" w:hAnsi="Arial" w:cs="Arial"/>
          <w:bCs/>
          <w:lang w:val="en-US"/>
        </w:rPr>
        <w:t xml:space="preserve"> and therefore </w:t>
      </w:r>
      <w:r w:rsidR="009201AD">
        <w:rPr>
          <w:rFonts w:ascii="Arial" w:hAnsi="Arial" w:cs="Arial"/>
          <w:bCs/>
          <w:lang w:val="en-US"/>
        </w:rPr>
        <w:t>the process will be</w:t>
      </w:r>
      <w:r w:rsidR="00DA09A4">
        <w:rPr>
          <w:rFonts w:ascii="Arial" w:hAnsi="Arial" w:cs="Arial"/>
          <w:bCs/>
          <w:lang w:val="en-US"/>
        </w:rPr>
        <w:t xml:space="preserve"> </w:t>
      </w:r>
      <w:r w:rsidR="00DA09A4" w:rsidRPr="00E923D1">
        <w:rPr>
          <w:rFonts w:ascii="Arial" w:hAnsi="Arial" w:cs="Arial"/>
          <w:bCs/>
          <w:lang w:val="en-US"/>
        </w:rPr>
        <w:t xml:space="preserve">most effective </w:t>
      </w:r>
      <w:r w:rsidRPr="00E923D1">
        <w:rPr>
          <w:rFonts w:ascii="Arial" w:hAnsi="Arial" w:cs="Arial"/>
          <w:bCs/>
          <w:lang w:val="en-US"/>
        </w:rPr>
        <w:t xml:space="preserve">in the high mountain and periglacial </w:t>
      </w:r>
      <w:r w:rsidR="00DA09A4">
        <w:rPr>
          <w:rFonts w:ascii="Arial" w:hAnsi="Arial" w:cs="Arial"/>
          <w:bCs/>
          <w:lang w:val="en-US"/>
        </w:rPr>
        <w:t>environments</w:t>
      </w:r>
      <w:r w:rsidRPr="00E923D1">
        <w:rPr>
          <w:rFonts w:ascii="Arial" w:hAnsi="Arial" w:cs="Arial"/>
          <w:bCs/>
          <w:lang w:val="en-US"/>
        </w:rPr>
        <w:t xml:space="preserve"> </w:t>
      </w:r>
      <w:r>
        <w:rPr>
          <w:rFonts w:ascii="Arial" w:hAnsi="Arial" w:cs="Arial"/>
          <w:bCs/>
          <w:lang w:val="en-US"/>
        </w:rPr>
        <w:fldChar w:fldCharType="begin" w:fldLock="1"/>
      </w:r>
      <w:r>
        <w:rPr>
          <w:rFonts w:ascii="Arial" w:hAnsi="Arial" w:cs="Arial"/>
          <w:bCs/>
          <w:lang w:val="en-US"/>
        </w:rPr>
        <w:instrText>ADDIN CSL_CITATION {"citationItems":[{"id":"ITEM-1","itemData":{"DOI":"10.1016/B978-0-08-100524-8.00008-7","ISBN":"9780081005248","abstract":"Glacioaeolian processes, sediments, and landforms are a critical component of glacial and periglacial systems. Their forms range from extensive dune systems, cover samples, thick loess successions, to thin veneers of silts and sands that drape glacial and periglacial landforms, and erosion surfaces. Glacioaeolian processes may be found in environments more distal from the glacial settings such as in the loess deposits of the United States, Western Europe, South America, and Central Asia. The glacioaeolian system involves sediment production by chemical and physical weathering of rock and abrasion of rock and sediment by transporting agents, notably glaciers, wind, and water. This is followed by sediment transfer and deposition by aeolian processes. Sediment transfer and deposition are strongly controlled by climatic perturbations; e.g., rates of glacioaeolian sediment deposition, most notably glacial loess, occur during glaciation at its height.","author":[{"dropping-particle":"","family":"Derbyshire","given":"Edward","non-dropping-particle":"","parse-names":false,"suffix":""},{"dropping-particle":"","family":"Owen","given":"Lewis A.","non-dropping-particle":"","parse-names":false,"suffix":""}],"chapter-number":"8","container-title":"Past Glacial Environments","edition":"2nd","id":"ITEM-1","issued":{"date-parts":[["2018"]]},"page":"273-308","publisher":"Elsevier Ltd","title":"Glacioaeolian Processes, Sediments, and Landforms","type":"chapter"},"uris":["http://www.mendeley.com/documents/?uuid=48e041fa-0a66-42e2-8ccd-731252f93ce3"]},{"id":"ITEM-2","itemData":{"DOI":"10.1029/2019JF005369","ISSN":"21699011","abstract":"Rocky, alpine mountains are prone to mass wasting from debris flows. The Chalk Cliffs study area (central Colorado, USA) produces debris flows annually. These debris flows are triggered when overland flow driven by intense summer convective storms mobilizes large volumes of sediment within the channel network. Understanding the debris flow hazard in this, and similar alpine settings, requires determining the magnitude of sediment accumulation between debris flow seasons and identifying the control on sediment production. To address these knowledge gaps, we measured changes in sediment production using a sediment retention fence to quantify how sedimentation was influenced by temperature at the plot scale. These measurements were extrapolated to a larger area, where we extended the sediment fence results to explore how rockfall sedimentation contributed to channel refilling between active debris flow periods. This work shows that debris flow channel refilling is correlated with low temperatures and time in the frost-cracking window, implicating frost-weathering mechanisms as a key driver of sedimentation. This sediment production process resulted in a large amount of sediment accumulation during a single winter season in our study reach (up to 0.4 m in some locations). Using these observations, we develop a channel refilling model that generally describes the mass balance of debris flow watersheds in alpine areas.","author":[{"dropping-particle":"","family":"Rengers","given":"F. K.","non-dropping-particle":"","parse-names":false,"suffix":""},{"dropping-particle":"","family":"Kean","given":"Jason W.","non-dropping-particle":"","parse-names":false,"suffix":""},{"dropping-particle":"","family":"Reitman","given":"Nadine G.","non-dropping-particle":"","parse-names":false,"suffix":""},{"dropping-particle":"","family":"Smith","given":"Joel B.","non-dropping-particle":"","parse-names":false,"suffix":""},{"dropping-particle":"","family":"Coe","given":"Jeffrey A.","non-dropping-particle":"","parse-names":false,"suffix":""},{"dropping-particle":"","family":"McGuire","given":"Luke A.","non-dropping-particle":"","parse-names":false,"suffix":""}],"container-title":"Journal of Geophysical Research: Earth Surface","id":"ITEM-2","issue":"2","issued":{"date-parts":[["2020"]]},"title":"The Influence of Frost Weathering on Debris Flow Sediment Supply in an Alpine Basin","type":"article-journal","volume":"125"},"uris":["http://www.mendeley.com/documents/?uuid=2c1bc41f-52cb-4a70-ab06-f93719b9b765"]},{"id":"ITEM-3","itemData":{"DOI":"10.1016/S0169-555X(97)00084-6","ISSN":"0169555X","abstract":"The production of loess-sized quartz silt is frequently ascribed to glacial grinding mechanisms. In this study a series of laboratory simulations was set up, the purpose of which was to demonstrate that a range of geomorphic mechanisms are capable of producing silt under laboratory conditions. The geomorphic mechanisms investigated were: aeolian abrasion, fluvial comminution, glacial grinding, salt weathering and frost weathering. The results confirmed that under laboratory conditions all of these mechanisms were capable of producing silt. The relative effectiveness of these mechanisms at producing silt under laboratory conditions was then calculated in order to provide a starting point for a consideration of their potential effectiveness within the natural environment. These results indicate that fluvial and aeolian activity are highly effective at producing quartz silt over short time periods. In a dust storm of four days duration 287 g of silt could potentially be produced from every kilogram of sand entrained, while fluvial comminution in a turbulent fluvial environment could potentially produce 900 g of silt from every kilogram of sand entrained within 32 h. Over longer periods of time the glacial grinding and weathering mechanisms represent more continuous and hence more effective silt-producing mechanisms. Although it is realised that the relative importance of each silt-producing mechanism will differ spatially and temporally due to differences in climate, relief, geology and geomorphic history, the findings from this work do have implications for the genesis of loess deposits. They demonstrate that glacial and cold weathering processes are not solely responsible for fine-particle formation and that efficient silt-producing mechanisms can operate within a variety of environments. Under suitable conditions, weathering, together with episodic contributions from aeolian and fluvial mechanisms, could be responsible for a considerable proportion of global quartz silt production. © 1998 Elsevier Science B.V.","author":[{"dropping-particle":"","family":"Wright","given":"Janet S.","non-dropping-particle":"","parse-names":false,"suffix":""},{"dropping-particle":"","family":"Smith","given":"Bernard J.","non-dropping-particle":"","parse-names":false,"suffix":""},{"dropping-particle":"","family":"Whalley","given":"Brian","non-dropping-particle":"","parse-names":false,"suffix":""}],"container-title":"Geomorphology","id":"ITEM-3","issued":{"date-parts":[["1998"]]},"page":"15-34","title":"Mechanisms of loess-sized quartz silt production and their relative effectiveness: Laboratory simulations","type":"article-journal","volume":"23"},"uris":["http://www.mendeley.com/documents/?uuid=2b8cf14d-5176-4a4e-9782-3d3d691a99bc"]}],"mendeley":{"formattedCitation":"(Derbyshire and Owen, 2018; Rengers et al., 2020; Wright et al., 1998)","plainTextFormattedCitation":"(Derbyshire and Owen, 2018; Rengers et al., 2020; Wright et al., 1998)","previouslyFormattedCitation":"(Derbyshire and Owen, 2018; Rengers et al., 2020; Wright et al., 1998)"},"properties":{"noteIndex":0},"schema":"https://github.com/citation-style-language/schema/raw/master/csl-citation.json"}</w:instrText>
      </w:r>
      <w:r>
        <w:rPr>
          <w:rFonts w:ascii="Arial" w:hAnsi="Arial" w:cs="Arial"/>
          <w:bCs/>
          <w:lang w:val="en-US"/>
        </w:rPr>
        <w:fldChar w:fldCharType="separate"/>
      </w:r>
      <w:r w:rsidRPr="00E923D1">
        <w:rPr>
          <w:rFonts w:ascii="Arial" w:hAnsi="Arial" w:cs="Arial"/>
          <w:bCs/>
          <w:noProof/>
          <w:lang w:val="en-US"/>
        </w:rPr>
        <w:t>(Derbyshire and Owen, 2018; Rengers et al., 2020; Wright et al., 1998)</w:t>
      </w:r>
      <w:r>
        <w:rPr>
          <w:rFonts w:ascii="Arial" w:hAnsi="Arial" w:cs="Arial"/>
          <w:bCs/>
          <w:lang w:val="en-US"/>
        </w:rPr>
        <w:fldChar w:fldCharType="end"/>
      </w:r>
      <w:r w:rsidRPr="00E923D1">
        <w:rPr>
          <w:rFonts w:ascii="Arial" w:hAnsi="Arial" w:cs="Arial"/>
          <w:bCs/>
          <w:lang w:val="en-US"/>
        </w:rPr>
        <w:t xml:space="preserve">. In fact, Lehmann </w:t>
      </w:r>
      <w:r w:rsidRPr="00E923D1">
        <w:rPr>
          <w:rFonts w:ascii="Arial" w:hAnsi="Arial" w:cs="Arial"/>
          <w:bCs/>
          <w:i/>
          <w:iCs/>
          <w:lang w:val="en-US"/>
        </w:rPr>
        <w:t>et al.</w:t>
      </w:r>
      <w:r>
        <w:rPr>
          <w:rFonts w:ascii="Arial" w:hAnsi="Arial" w:cs="Arial"/>
          <w:bCs/>
          <w:lang w:val="en-US"/>
        </w:rPr>
        <w:t xml:space="preserve"> </w:t>
      </w:r>
      <w:r>
        <w:rPr>
          <w:rFonts w:ascii="Arial" w:hAnsi="Arial" w:cs="Arial"/>
          <w:bCs/>
          <w:lang w:val="en-US"/>
        </w:rPr>
        <w:fldChar w:fldCharType="begin" w:fldLock="1"/>
      </w:r>
      <w:r>
        <w:rPr>
          <w:rFonts w:ascii="Arial" w:hAnsi="Arial" w:cs="Arial"/>
          <w:bCs/>
          <w:lang w:val="en-US"/>
        </w:rPr>
        <w:instrText>ADDIN CSL_CITATION {"citationItems":[{"id":"ITEM-1","itemData":{"DOI":"10.1130/G46585.1","ISSN":"19432682","abstract":"Since the Last Glacial Maximum, ~20 k.y. ago, Alpine glaciers have retreated and thinned. This transition exposed bare bedrock surfaces that could then be eroded by a combination of debuttressing or local frost cracking and weathering. Quantification of the respective contributions of these processes is necessary to understand the links between long-term climate and erosion in mountains. Here, we quantified the erosion histories of postglacial exposed bedrock in glacial valleys. Combining optically stimulated luminescence and terrestrial cosmogenic nuclide (TCN) surface exposure dating, we estimated the erosion rate of bedrock surfaces at time scales from 101 to 104 yr. Bedrock surfaces sampled from the flanks of the Mer de Glace (Mont Blanc massif, European Alps) revealed erosion rates that vary from 3.5 ± 1.2 x 10-3 mm/yr to 4.3 ± 0.6 mm/yr over ~500 m of elevation, with a negative correlation between erosion rate and elevation. The observed spatial variation in erosion rates, and their high values, reflect morphometric (elevation and surface slope) and climatic (temperature and snow cover) controls. Furthermore, the derived erosion rates can be used to correct the timing of deglaciation based on TCN data, potentially suggesting very rapid ice thinning during the Gschnitz stadial.","author":[{"dropping-particle":"","family":"Lehmann","given":"Benjamin","non-dropping-particle":"","parse-names":false,"suffix":""},{"dropping-particle":"","family":"Herman","given":"Frédéric","non-dropping-particle":"","parse-names":false,"suffix":""},{"dropping-particle":"","family":"Valla","given":"Pierre G.","non-dropping-particle":"","parse-names":false,"suffix":""},{"dropping-particle":"","family":"King","given":"Georgina E.","non-dropping-particle":"","parse-names":false,"suffix":""},{"dropping-particle":"","family":"Biswas","given":"Rabiul H.","non-dropping-particle":"","parse-names":false,"suffix":""},{"dropping-particle":"","family":"Ivy-Ochs","given":"Susan","non-dropping-particle":"","parse-names":false,"suffix":""},{"dropping-particle":"","family":"Steinemann","given":"Olivia","non-dropping-particle":"","parse-names":false,"suffix":""},{"dropping-particle":"","family":"Christl","given":"Marcus","non-dropping-particle":"","parse-names":false,"suffix":""}],"container-title":"Geology","id":"ITEM-1","issue":"2","issued":{"date-parts":[["2020"]]},"page":"139-144","title":"Postglacial erosion of bedrock surfaces and deglaciation timing: New insights from the Mont Blanc massif (western Alps)","type":"article-journal","volume":"48"},"uris":["http://www.mendeley.com/documents/?uuid=ee10389f-2463-4400-9481-b76ef264ae81"]}],"mendeley":{"formattedCitation":"(Lehmann et al., 2020)","manualFormatting":"(2020)","plainTextFormattedCitation":"(Lehmann et al., 2020)","previouslyFormattedCitation":"(Lehmann et al., 2020)"},"properties":{"noteIndex":0},"schema":"https://github.com/citation-style-language/schema/raw/master/csl-citation.json"}</w:instrText>
      </w:r>
      <w:r>
        <w:rPr>
          <w:rFonts w:ascii="Arial" w:hAnsi="Arial" w:cs="Arial"/>
          <w:bCs/>
          <w:lang w:val="en-US"/>
        </w:rPr>
        <w:fldChar w:fldCharType="separate"/>
      </w:r>
      <w:r>
        <w:rPr>
          <w:rFonts w:ascii="Arial" w:hAnsi="Arial" w:cs="Arial"/>
          <w:bCs/>
          <w:noProof/>
          <w:lang w:val="en-US"/>
        </w:rPr>
        <w:t>(</w:t>
      </w:r>
      <w:r w:rsidRPr="00E923D1">
        <w:rPr>
          <w:rFonts w:ascii="Arial" w:hAnsi="Arial" w:cs="Arial"/>
          <w:bCs/>
          <w:noProof/>
          <w:lang w:val="en-US"/>
        </w:rPr>
        <w:t>2020)</w:t>
      </w:r>
      <w:r>
        <w:rPr>
          <w:rFonts w:ascii="Arial" w:hAnsi="Arial" w:cs="Arial"/>
          <w:bCs/>
          <w:lang w:val="en-US"/>
        </w:rPr>
        <w:fldChar w:fldCharType="end"/>
      </w:r>
      <w:r w:rsidRPr="00E923D1">
        <w:rPr>
          <w:rFonts w:ascii="Arial" w:hAnsi="Arial" w:cs="Arial"/>
          <w:bCs/>
          <w:lang w:val="en-US"/>
        </w:rPr>
        <w:t xml:space="preserve"> recently showed that in previously glaciated Alpine valleys</w:t>
      </w:r>
      <w:r w:rsidR="00D470A3">
        <w:rPr>
          <w:rFonts w:ascii="Arial" w:hAnsi="Arial" w:cs="Arial"/>
          <w:bCs/>
          <w:lang w:val="en-US"/>
        </w:rPr>
        <w:t>,</w:t>
      </w:r>
      <w:r w:rsidRPr="00E923D1">
        <w:rPr>
          <w:rFonts w:ascii="Arial" w:hAnsi="Arial" w:cs="Arial"/>
          <w:bCs/>
          <w:lang w:val="en-US"/>
        </w:rPr>
        <w:t xml:space="preserve"> postglacial erosion, through processes such as frost shattering, can potentially generate relatively large quantities of material. Salt weathering will be the dominant process of mechanical rock breakdown in hot and arid environments</w:t>
      </w:r>
      <w:r>
        <w:rPr>
          <w:rFonts w:ascii="Arial" w:hAnsi="Arial" w:cs="Arial"/>
          <w:bCs/>
          <w:lang w:val="en-US"/>
        </w:rPr>
        <w:t xml:space="preserve"> </w:t>
      </w:r>
      <w:r>
        <w:rPr>
          <w:rFonts w:ascii="Arial" w:hAnsi="Arial" w:cs="Arial"/>
          <w:bCs/>
          <w:lang w:val="en-US"/>
        </w:rPr>
        <w:fldChar w:fldCharType="begin" w:fldLock="1"/>
      </w:r>
      <w:r>
        <w:rPr>
          <w:rFonts w:ascii="Arial" w:hAnsi="Arial" w:cs="Arial"/>
          <w:bCs/>
          <w:lang w:val="en-US"/>
        </w:rPr>
        <w:instrText>ADDIN CSL_CITATION {"citationItems":[{"id":"ITEM-1","itemData":{"DOI":"10.1016/S1040-6182(00)00096-3","ISSN":"10406182","abstract":"The Central European loess bodies in hilly regions, with their high accumulation rates, frequently provide relatively high-resolution \"floating\" stratigraphies containing both climatic signals common to Europe, and minor peaks arising from local factors such as slope processes, discontinuity events or their palaeometeorological location in the former ice age landscape. The loess-palaeosol series are often viewed from the point of view of palaeoclimate reconstruction, but macroscopic features such as lamination of loess strata corresponding to individual dust storms are better explained by palaeometeorological factors. The study of heavy minerals from different loess localities in the Czech Republic suggests that the North Atlantic Oscillation wind pattern functioned even during the last glacial cycle. The rapid consolidation of \"dust accumulation\" by cementation bonds represents the key factor in loessification. Calcite and \"allophane\" impregnations of clay bridges between individual silt grains can be observed. The very nature of \"loessification\" is associated with rapid evolution of cementation bonds. Experiments reported here demonstrate that significant quantities of white chalky and powdery loess calcite and Si-Al hydroxides are released during repeated freeze and thaw cycles. © 2001 Elsevier Science Ltd and INQUA. All rights reserved.","author":[{"dropping-particle":"","family":"Cilek","given":"Vaclav","non-dropping-particle":"","parse-names":false,"suffix":""}],"container-title":"Quaternary International","id":"ITEM-1","issued":{"date-parts":[["2001"]]},"page":"123-128","title":"The loess deposits of the Bohemian Massif: Silt provenance, palaeometeorology and loessification processes","type":"article-journal","volume":"76-77"},"uris":["http://www.mendeley.com/documents/?uuid=e7d0bc61-5207-4109-831a-186272f6eb5f"]},{"id":"ITEM-2","itemData":{"DOI":"10.1130/B31280.1","ISSN":"19432674","abstract":"The intercalation of silty units and coarsegrained units represented by conglomerates and breccia characterizes a Lower Miocene terrestrial sedimentary sequence in the North Croatian Basin, a part of the southwestern Pannonian Basin system. These sediments were previously interpreted as alluvial sediments, where the silty units would reflect deposition on a floodplain. However, in this study, we show new results that support a different interpretation of the genesis of the silty units. The units, which vary in thickness between 6 and 180 cm, are mostly composed of structureless loose silt. They are brownish yellow to yellowish brown in color and do not contain fossils. Scanning electron microscopy indicated that quartz grains show fracture faces, conchoidal fractures, V-shaped percussion marks, linear steps, and conchoidal crushing features. Such microtextures together with the macroscopic characteristics of the silt units indicate that they were deposited by wind. Therefore, this study reports the first occurrence of Miocene loess outside of China. Silt-sized particles were probably produced by salt-weathering processes on salina-type lake flats during long arid periods. Alluvial deposition was controlled by a more humid climate, so the intercalation of eolian silty units with alluvial conglomerates and breccias reflects alternation of arid and more humid periods in the early Miocene. This agrees with regional paleoclimate studies that show cyclicity in the climate, with a dry cycle and orbital-scale climate variability controlling paleoenvironmental and sedimentary changes in the area during the early Miocene.","author":[{"dropping-particle":"","family":"Pavelić","given":"Davor","non-dropping-particle":"","parse-names":false,"suffix":""},{"dropping-particle":"","family":"Kovačić","given":"Marijan","non-dropping-particle":"","parse-names":false,"suffix":""},{"dropping-particle":"","family":"Banak","given":"Adriano","non-dropping-particle":"","parse-names":false,"suffix":""},{"dropping-particle":"","family":"Jiménez-Moreno","given":"Gonzalo","non-dropping-particle":"","parse-names":false,"suffix":""},{"dropping-particle":"","family":"Marković","given":"Frane","non-dropping-particle":"","parse-names":false,"suffix":""},{"dropping-particle":"","family":"Pikelj","given":"Kristina","non-dropping-particle":"","parse-names":false,"suffix":""},{"dropping-particle":"","family":"Vranjković","given":"Alan","non-dropping-particle":"","parse-names":false,"suffix":""},{"dropping-particle":"","family":"Premužak","given":"Lucija","non-dropping-particle":"","parse-names":false,"suffix":""},{"dropping-particle":"","family":"Tibljaš","given":"Darko","non-dropping-particle":"","parse-names":false,"suffix":""},{"dropping-particle":"","family":"Belak","given":"Mirko","non-dropping-particle":"","parse-names":false,"suffix":""}],"container-title":"Bulletin of the Geological Society of America","id":"ITEM-2","issue":"1-2","issued":{"date-parts":[["2016"]]},"page":"110-121","title":"Early miocene European loess: A new record of aridity in southern Europe","type":"article-journal","volume":"128"},"uris":["http://www.mendeley.com/documents/?uuid=2d09875b-bde6-4847-94ac-b5cb06a1b1b9"]},{"id":"ITEM-3","itemData":{"DOI":"10.1111/j.1365-3091.1983.tb00649.x","ISSN":"13653091","abstract":"ABSTRACT Weathering simulations carried out using a climatic cabinet have demonstrated that diurnal temperature and humidity variations typical of those occurring in warm desert environments are ineffective in causing static breakage of quartz dune sand and polymineralic regolith sand grains. Wetting and drying combined with temperature variations was also found to be a relatively ineffective weathering process. These results suggest that ‘crack tip’ processes are insignificant where mineral grains are not subject to static loading. Sodium sulphate weathering was found to cause slight damage to quartz dune sand grains and major damage to first cycle regolith grains. Feldspars and mica in the regolith sands were more susceptible to salt action than quartz. Salt weathering of the regolith sands produced substantial quantities of silt in the size range typically found in natural loess deposits. Copyright © 1983, Wiley Blackwell. All rights reserved","author":[{"dropping-particle":"","family":"Pye","given":"Kenneth","non-dropping-particle":"","parse-names":false,"suffix":""},{"dropping-particle":"","family":"Sperling","given":"C. H. B.","non-dropping-particle":"","parse-names":false,"suffix":""}],"container-title":"Sedimentology","id":"ITEM-3","issue":"1","issued":{"date-parts":[["1983"]]},"page":"49-62","title":"Experimental investigation of silt formation by static breakage processes: the effect of temperature, moisture and salt on quartz dune sand and granitic regolith","type":"article-journal","volume":"30"},"uris":["http://www.mendeley.com/documents/?uuid=4f80bc95-1f62-4396-a651-ba9bcf2bd27a"]},{"id":"ITEM-4","itemData":{"DOI":"10.1016/S0012-8252(02)00066-1","ISSN":"00128252","abstract":"Descriptions of peridesertic loess deposits and possible non-glacial origins for silt size quartz are reviewed, including direct release from weathered bedrock. Results from salt and frost weathering experiments are presented and methods by which sufficient energy can be imparted to sand size grains to release silt-size fragments are identified. These fragments may then be entrained by aeolian or fluvial action. Results from fluvial comminution experiments indicate that high energy, mixed sediment fluvial systems may be very effective in generating quartz silt. Purely aeolian attrition is also seen as a major source of silt size and finer material. Results from aeolian abrasion experiments performed using crushed quartz sand are complemented by trials using sands from deeply weathered granite and Pannonian Sands from Hungary. Field and laboratory observations are therefore seen to argue for the existence of deposits that can be classified as 'desert loess'. © 2002 Elsevier Science B.V. All rights reserved.","author":[{"dropping-particle":"","family":"Smith","given":"Bernard J.","non-dropping-particle":"","parse-names":false,"suffix":""},{"dropping-particle":"","family":"Wright","given":"Janet S.","non-dropping-particle":"","parse-names":false,"suffix":""},{"dropping-particle":"","family":"Whalley","given":"W. Brian","non-dropping-particle":"","parse-names":false,"suffix":""}],"container-title":"Earth-Science Reviews","id":"ITEM-4","issue":"1-4","issued":{"date-parts":[["2002"]]},"page":"1-26","title":"Sources of non-glacial, loess-size quartz silt and the origins of \"desert loess\"","type":"article-journal","volume":"59"},"uris":["http://www.mendeley.com/documents/?uuid=09d46111-94c0-4060-b2f5-62f7f9087d49"]}],"mendeley":{"formattedCitation":"(Cilek, 2001; Pavelić et al., 2016; Pye and Sperling, 1983; Smith et al., 2002)","plainTextFormattedCitation":"(Cilek, 2001; Pavelić et al., 2016; Pye and Sperling, 1983; Smith et al., 2002)","previouslyFormattedCitation":"(Cilek, 2001; Pavelić et al., 2016; Pye and Sperling, 1983; Smith et al., 2002)"},"properties":{"noteIndex":0},"schema":"https://github.com/citation-style-language/schema/raw/master/csl-citation.json"}</w:instrText>
      </w:r>
      <w:r>
        <w:rPr>
          <w:rFonts w:ascii="Arial" w:hAnsi="Arial" w:cs="Arial"/>
          <w:bCs/>
          <w:lang w:val="en-US"/>
        </w:rPr>
        <w:fldChar w:fldCharType="separate"/>
      </w:r>
      <w:r w:rsidRPr="00E923D1">
        <w:rPr>
          <w:rFonts w:ascii="Arial" w:hAnsi="Arial" w:cs="Arial"/>
          <w:bCs/>
          <w:noProof/>
          <w:lang w:val="en-US"/>
        </w:rPr>
        <w:t>(Cilek, 2001; Pavelić et al., 2016; Pye and Sperling, 1983; Smith et al., 2002)</w:t>
      </w:r>
      <w:r>
        <w:rPr>
          <w:rFonts w:ascii="Arial" w:hAnsi="Arial" w:cs="Arial"/>
          <w:bCs/>
          <w:lang w:val="en-US"/>
        </w:rPr>
        <w:fldChar w:fldCharType="end"/>
      </w:r>
      <w:r w:rsidRPr="00E923D1">
        <w:rPr>
          <w:rFonts w:ascii="Arial" w:hAnsi="Arial" w:cs="Arial"/>
          <w:bCs/>
          <w:lang w:val="en-US"/>
        </w:rPr>
        <w:t xml:space="preserve">, though it can still contribute silt-size grains in mountain environments </w:t>
      </w:r>
      <w:r>
        <w:rPr>
          <w:rFonts w:ascii="Arial" w:hAnsi="Arial" w:cs="Arial"/>
          <w:bCs/>
          <w:lang w:val="en-US"/>
        </w:rPr>
        <w:fldChar w:fldCharType="begin" w:fldLock="1"/>
      </w:r>
      <w:r w:rsidR="00BB1049">
        <w:rPr>
          <w:rFonts w:ascii="Arial" w:hAnsi="Arial" w:cs="Arial"/>
          <w:bCs/>
          <w:lang w:val="en-US"/>
        </w:rPr>
        <w:instrText>ADDIN CSL_CITATION {"citationItems":[{"id":"ITEM-1","itemData":{"DOI":"10.1016/S0012-821X(02)00921-4","ISBN":"0012-821X","ISSN":"0012821X","abstract":"Results of a multiple, isotopic, chemical and mineralogical analysis of loess from the three northwestern inland basins (the Junggar Basin, the Tarim Basin and the Qaidam Basin) and the Loess Plateau region of China are summarized. They suggest a qualification of the conventional views that the three northwestern basins were the important source areas of the Loess Plateau and that the sand deserts were the primary single source of the Chinese loess. It is argued that the gobi (stony desert) in southern Mongolia and the adjoining gobi and sand deserts (the Badain Jaran Desert, Tengger Desert, Ulan Buh Desert, Hobq Desert and Mu Us Desert) in China, rather than the three inland basins, are the dominant source areas of the Loess Plateau. However, although these gobi and sand deserts are regarded as the main source regions, they serve as dust and silt holding areas rather than dominant producers. The mountain processes (including glacial grinding, frost weathering, salt weathering, tectonic processes, and some fluvial comminution) in the Gobi Altay Mts., Hangayn Mts. and the Qilian Mts. have played an important role in producing the vast amounts of loess-sized material for forming the Loess Plateau. ?? 2002 Elsevier Science B.V. All rights reserved.","author":[{"dropping-particle":"","family":"Sun","given":"Jimin","non-dropping-particle":"","parse-names":false,"suffix":""}],"container-title":"Earth and Planetary Science Letters","id":"ITEM-1","issue":"3-4","issued":{"date-parts":[["2002"]]},"page":"845-859","title":"Provenance of loess material and formation of loess deposits on the Chinese Loess Plateau","type":"article-journal","volume":"203"},"uris":["http://www.mendeley.com/documents/?uuid=d7be8198-c97f-40f6-9256-cf3e70a88f90"]}],"mendeley":{"formattedCitation":"(Sun, 2002)","plainTextFormattedCitation":"(Sun, 2002)","previouslyFormattedCitation":"(Sun, 2002)"},"properties":{"noteIndex":0},"schema":"https://github.com/citation-style-language/schema/raw/master/csl-citation.json"}</w:instrText>
      </w:r>
      <w:r>
        <w:rPr>
          <w:rFonts w:ascii="Arial" w:hAnsi="Arial" w:cs="Arial"/>
          <w:bCs/>
          <w:lang w:val="en-US"/>
        </w:rPr>
        <w:fldChar w:fldCharType="separate"/>
      </w:r>
      <w:r w:rsidRPr="00E923D1">
        <w:rPr>
          <w:rFonts w:ascii="Arial" w:hAnsi="Arial" w:cs="Arial"/>
          <w:bCs/>
          <w:noProof/>
          <w:lang w:val="en-US"/>
        </w:rPr>
        <w:t>(Sun, 2002)</w:t>
      </w:r>
      <w:r>
        <w:rPr>
          <w:rFonts w:ascii="Arial" w:hAnsi="Arial" w:cs="Arial"/>
          <w:bCs/>
          <w:lang w:val="en-US"/>
        </w:rPr>
        <w:fldChar w:fldCharType="end"/>
      </w:r>
      <w:r w:rsidRPr="00E923D1">
        <w:rPr>
          <w:rFonts w:ascii="Arial" w:hAnsi="Arial" w:cs="Arial"/>
          <w:bCs/>
          <w:lang w:val="en-US"/>
        </w:rPr>
        <w:t>. Whilst not typically associated with silt-size particle generation,</w:t>
      </w:r>
      <w:r w:rsidR="00BB1049">
        <w:rPr>
          <w:rFonts w:ascii="Arial" w:hAnsi="Arial" w:cs="Arial"/>
          <w:bCs/>
          <w:lang w:val="en-US"/>
        </w:rPr>
        <w:t xml:space="preserve"> e.g.</w:t>
      </w:r>
      <w:r w:rsidRPr="00E923D1">
        <w:rPr>
          <w:rFonts w:ascii="Arial" w:hAnsi="Arial" w:cs="Arial"/>
          <w:bCs/>
          <w:lang w:val="en-US"/>
        </w:rPr>
        <w:t xml:space="preserve"> </w:t>
      </w:r>
      <w:r w:rsidR="00BB1049">
        <w:rPr>
          <w:rFonts w:ascii="Arial" w:hAnsi="Arial" w:cs="Arial"/>
          <w:bCs/>
          <w:lang w:val="en-US"/>
        </w:rPr>
        <w:fldChar w:fldCharType="begin" w:fldLock="1"/>
      </w:r>
      <w:r w:rsidR="00BB1049">
        <w:rPr>
          <w:rFonts w:ascii="Arial" w:hAnsi="Arial" w:cs="Arial"/>
          <w:bCs/>
          <w:lang w:val="en-US"/>
        </w:rPr>
        <w:instrText>ADDIN CSL_CITATION {"citationItems":[{"id":"ITEM-1","itemData":{"DOI":"10.1016/j.sedgeo.2007.03.024","ISSN":"00370738","abstract":"Quartz silt is a widespread detrital sediment with large aeolian (loess) and alluvial silt deposits forming important components of many contemporary landscapes. Despite research findings which indicate that a range of opportunities exist for the comminution of quartz into silt particles within a wide variety of geomorphic environments (e.g. glacial grinding, fluvial comminution, aeolian abrasion, frost weathering, salt weathering, insolation weathering and deep weathering), the 'glacial-aeolian' hypothesis has traditionally been favoured as the most likely explanation for loess formation and loess is seen as primarily a Quaternary phenomenon. As a consequence there has been a tendency to underestimate sediment inputs into loess systems by geomorphological processes operating within pre-Quaternary environments. In particular, earth scientists may have considerably underestimated the role of weathering in global silt generation, as there are now many references to the existence of a patchy but widespread distribution of pre-Quaternary weathering profiles across the glacial and periglacial landscapes of the Northern Hemisphere (e.g. North America, British Isles, north and central Europe), landscapes within which many of the classical loess deposits are located. These observations suggest that weathering profiles may have covered large tracts of the Northern Hemisphere land surface prior to the Quaternary glaciations. This, in turn, may have important implications for quartz silt generation as: (1) experimental studies indicate that many weathering processes are capable of generating significant quantities of silt-sized debris, and (2) particle characteristics displayed by saprolitic material that has developed on quartz rich crystalline source rocks often include significant quantities of either silt-sized material, or quartz grains that are weakened by weathering derived microfractures. Thus, weathering profiles may represent 'mines' of actual and potential quartz silt, available for release into sedimentary systems when these profiles are subsequently reworked by geomorphological processes such as glacial, fluvial and aeolian erosion. © 2007 Elsevier B.V. All rights reserved.","author":[{"dropping-particle":"","family":"Wright","given":"Janet S.","non-dropping-particle":"","parse-names":false,"suffix":""}],"container-title":"Sedimentary Geology","id":"ITEM-1","issue":"3","issued":{"date-parts":[["2007"]]},"page":"337-351","title":"An overview of the role of weathering in the production of quartz silt","type":"article-journal","volume":"202"},"uris":["http://www.mendeley.com/documents/?uuid=269e2894-b0af-4cf0-802e-a1aa643bba3d"]}],"mendeley":{"formattedCitation":"(Wright, 2007)","plainTextFormattedCitation":"(Wright, 2007)","previouslyFormattedCitation":"(Wright, 2007)"},"properties":{"noteIndex":0},"schema":"https://github.com/citation-style-language/schema/raw/master/csl-citation.json"}</w:instrText>
      </w:r>
      <w:r w:rsidR="00BB1049">
        <w:rPr>
          <w:rFonts w:ascii="Arial" w:hAnsi="Arial" w:cs="Arial"/>
          <w:bCs/>
          <w:lang w:val="en-US"/>
        </w:rPr>
        <w:fldChar w:fldCharType="separate"/>
      </w:r>
      <w:r w:rsidR="00BB1049" w:rsidRPr="00BB1049">
        <w:rPr>
          <w:rFonts w:ascii="Arial" w:hAnsi="Arial" w:cs="Arial"/>
          <w:bCs/>
          <w:noProof/>
          <w:lang w:val="en-US"/>
        </w:rPr>
        <w:t>(Wright, 2007)</w:t>
      </w:r>
      <w:r w:rsidR="00BB1049">
        <w:rPr>
          <w:rFonts w:ascii="Arial" w:hAnsi="Arial" w:cs="Arial"/>
          <w:bCs/>
          <w:lang w:val="en-US"/>
        </w:rPr>
        <w:fldChar w:fldCharType="end"/>
      </w:r>
      <w:r w:rsidRPr="00E923D1">
        <w:rPr>
          <w:rFonts w:ascii="Arial" w:hAnsi="Arial" w:cs="Arial"/>
          <w:bCs/>
          <w:lang w:val="en-US"/>
        </w:rPr>
        <w:t xml:space="preserve"> and Zan </w:t>
      </w:r>
      <w:r w:rsidRPr="00E923D1">
        <w:rPr>
          <w:rFonts w:ascii="Arial" w:hAnsi="Arial" w:cs="Arial"/>
          <w:bCs/>
          <w:i/>
          <w:iCs/>
          <w:lang w:val="en-US"/>
        </w:rPr>
        <w:t>et al</w:t>
      </w:r>
      <w:r w:rsidR="00BB1049">
        <w:rPr>
          <w:rFonts w:ascii="Arial" w:hAnsi="Arial" w:cs="Arial"/>
          <w:bCs/>
          <w:i/>
          <w:iCs/>
          <w:lang w:val="en-US"/>
        </w:rPr>
        <w:t xml:space="preserve">. </w:t>
      </w:r>
      <w:r w:rsidR="00BB1049">
        <w:rPr>
          <w:rFonts w:ascii="Arial" w:hAnsi="Arial" w:cs="Arial"/>
          <w:bCs/>
          <w:lang w:val="en-US"/>
        </w:rPr>
        <w:fldChar w:fldCharType="begin" w:fldLock="1"/>
      </w:r>
      <w:r w:rsidR="00BB1049">
        <w:rPr>
          <w:rFonts w:ascii="Arial" w:hAnsi="Arial" w:cs="Arial"/>
          <w:bCs/>
          <w:lang w:val="en-US"/>
        </w:rPr>
        <w:instrText>ADDIN CSL_CITATION {"citationItems":[{"id":"ITEM-1","itemData":{"DOI":"10.1016/j.sedgeo.2019.105587","ISSN":"00370738","abstract":"The grain-size composition of fluvial-lacustrine deposits in terrestrial basins is commonly used to reconstruct temporal variations in sedimentary processes, tectonic activities and paleoclimatic conditions. However, previous studies have generally ignored possible grain-size alteration induced by post-depositional weathering and pedogenesis, which undermines the use of grain-size analysis for reconstructing depositional environments and paleoclimatic changes. In the present study, the grain-size distributions of late Cenozoic fluvial-lacustrine deposits in the Xining Basin (XNB) in the NE Tibetan Plateau (TP) were analyzed. The results demonstrate that the contents of the ultrafine (&lt;1 μm), clay (&lt;4 μm) and fine silt (&lt;10 μm) fractions of bulk siltstone/mudstone samples show an upward-increasing trend, with the depositional environment changing from a shallow lake to a fluvial and finally an alluvial fan environment. Combined with the results of detailed geochemical and rock magnetic analyses of size-fractionated samples, a positive relationship was found between the content of fine-grained sediments and the weathering/pedogenic intensity in the fluvial and lacustrine sedimentary sequences. These results indicate that, under suitable conditions, chemical weathering can significantly affect the grain-size composition of fluvial-lacustrine deposits in terrestrial basins. The results are therefore very important for understanding the processes of formation of fine-grained sediments in complex natural environments.","author":[{"dropping-particle":"","family":"Zan","given":"Jinbo","non-dropping-particle":"","parse-names":false,"suffix":""},{"dropping-particle":"","family":"Li","given":"Xiaojing","non-dropping-particle":"","parse-names":false,"suffix":""},{"dropping-particle":"","family":"Kang","given":"Jian","non-dropping-particle":"","parse-names":false,"suffix":""},{"dropping-particle":"","family":"Guo","given":"Zengguang","non-dropping-particle":"","parse-names":false,"suffix":""},{"dropping-particle":"","family":"Mao","given":"Ziqiang","non-dropping-particle":"","parse-names":false,"suffix":""}],"container-title":"Sedimentary Geology","id":"ITEM-1","issued":{"date-parts":[["2020"]]},"page":"105587","publisher":"Elsevier B.V.","title":"Intensified pedogenesis caused the increase in the fine particle content of late Cenozoic fluvial and lacustrine deposits in the NE Tibetan Plateau","type":"article-journal","volume":"398"},"uris":["http://www.mendeley.com/documents/?uuid=50fbd0e1-f8f3-4c79-a49f-e3c7b33f64df"]}],"mendeley":{"formattedCitation":"(Zan et al., 2020)","manualFormatting":"(2020)","plainTextFormattedCitation":"(Zan et al., 2020)","previouslyFormattedCitation":"(Zan et al., 2020)"},"properties":{"noteIndex":0},"schema":"https://github.com/citation-style-language/schema/raw/master/csl-citation.json"}</w:instrText>
      </w:r>
      <w:r w:rsidR="00BB1049">
        <w:rPr>
          <w:rFonts w:ascii="Arial" w:hAnsi="Arial" w:cs="Arial"/>
          <w:bCs/>
          <w:lang w:val="en-US"/>
        </w:rPr>
        <w:fldChar w:fldCharType="separate"/>
      </w:r>
      <w:r w:rsidR="00BB1049" w:rsidRPr="00BB1049">
        <w:rPr>
          <w:rFonts w:ascii="Arial" w:hAnsi="Arial" w:cs="Arial"/>
          <w:bCs/>
          <w:noProof/>
          <w:lang w:val="en-US"/>
        </w:rPr>
        <w:t>(2020)</w:t>
      </w:r>
      <w:r w:rsidR="00BB1049">
        <w:rPr>
          <w:rFonts w:ascii="Arial" w:hAnsi="Arial" w:cs="Arial"/>
          <w:bCs/>
          <w:lang w:val="en-US"/>
        </w:rPr>
        <w:fldChar w:fldCharType="end"/>
      </w:r>
      <w:r w:rsidRPr="00E923D1">
        <w:rPr>
          <w:rFonts w:ascii="Arial" w:hAnsi="Arial" w:cs="Arial"/>
          <w:bCs/>
          <w:lang w:val="en-US"/>
        </w:rPr>
        <w:t xml:space="preserve"> argued that in cool to temperate climates</w:t>
      </w:r>
      <w:r w:rsidR="00D470A3">
        <w:rPr>
          <w:rFonts w:ascii="Arial" w:hAnsi="Arial" w:cs="Arial"/>
          <w:bCs/>
          <w:lang w:val="en-US"/>
        </w:rPr>
        <w:t>,</w:t>
      </w:r>
      <w:r w:rsidRPr="00E923D1">
        <w:rPr>
          <w:rFonts w:ascii="Arial" w:hAnsi="Arial" w:cs="Arial"/>
          <w:bCs/>
          <w:lang w:val="en-US"/>
        </w:rPr>
        <w:t xml:space="preserve"> weathering profiles can also be an effective production mechanisms. This is further evidenced by</w:t>
      </w:r>
      <w:r w:rsidR="00BB1049">
        <w:rPr>
          <w:rFonts w:ascii="Arial" w:hAnsi="Arial" w:cs="Arial"/>
          <w:bCs/>
          <w:lang w:val="en-US"/>
        </w:rPr>
        <w:t xml:space="preserve"> </w:t>
      </w:r>
      <w:r w:rsidR="00BB1049">
        <w:rPr>
          <w:rFonts w:ascii="Arial" w:hAnsi="Arial" w:cs="Arial"/>
          <w:bCs/>
          <w:lang w:val="en-US"/>
        </w:rPr>
        <w:fldChar w:fldCharType="begin" w:fldLock="1"/>
      </w:r>
      <w:r w:rsidR="0093239A">
        <w:rPr>
          <w:rFonts w:ascii="Arial" w:hAnsi="Arial" w:cs="Arial"/>
          <w:bCs/>
          <w:lang w:val="en-US"/>
        </w:rPr>
        <w:instrText>ADDIN CSL_CITATION {"citationItems":[{"id":"ITEM-1","itemData":{"DOI":"10.1029/2010JF001954","ISSN":"21699011","abstract":"Large areas distributed on the Earth's surface are covered by regolith, an unconsolidated heterogeneous material overlying bedrock. In high-latitude areas, most of the land surface has been reworked and eroded by both glacial and fluvial processes, leaving only remnants of formerly extensive regolith covers. In an effort to further the understanding of weathering patterns and processes in old regolith covers, a comprehensive study of localities spread across Norway was carried out. On the basis of the distribution of minerals and elements within regolith, as well as its internal structure and geomorphologic setting, we ascertained that it was formed in situ and originated in pre-Quaternary times. There are similarities between the study sites with respect to regolith thickness, zonation, and composition. The Chemical Index of Alteration (CIA) and the Weathering Index of Parker (WIP) suggests that the degree of chemical weathering in the regolith is advanced compared to the parental bedrock with a maximum change of over 80%, which indicates a substantial increase in the proportion of secondary versus primary minerals. Mineral analysis identified kaolinite and gibbsite, which are considered indicative of advanced weathering and therefore support this observation. On the basis of statistical relationships between different grain size fractions (&lt;125 μm), we observed a consistent pattern, which revealed that physical weathering becomes progressively less important in the production of grains smaller than 32 μm. On the basis of this finding, we infer that chemical weathering progressively dominates the production of fine silt, very fine silt, and clay, whereas physical weathering primarily controls the production of grain size fractions larger than 32 μm. This particular pattern is suggested to be an intrinsic feature in the formation of weathered high-latitude regolith. Copyright 2011 by the American Geophysical Union.","author":[{"dropping-particle":"","family":"Strømsøe","given":"Jørund Raukleiv","non-dropping-particle":"","parse-names":false,"suffix":""},{"dropping-particle":"","family":"Paasche","given":"Øyvind","non-dropping-particle":"","parse-names":false,"suffix":""}],"container-title":"Journal of Geophysical Research: Earth Surface","id":"ITEM-1","issue":"3","issued":{"date-parts":[["2011"]]},"title":"Weathering patterns in high-latitude regolith","type":"article-journal","volume":"116"},"uris":["http://www.mendeley.com/documents/?uuid=217c4ab7-f0bb-4288-9b6d-bbfe125c1603"]}],"mendeley":{"formattedCitation":"(Strømsøe and Paasche, 2011)","manualFormatting":"Strømsøe and Paasche (2011)","plainTextFormattedCitation":"(Strømsøe and Paasche, 2011)","previouslyFormattedCitation":"(Strømsøe and Paasche, 2011)"},"properties":{"noteIndex":0},"schema":"https://github.com/citation-style-language/schema/raw/master/csl-citation.json"}</w:instrText>
      </w:r>
      <w:r w:rsidR="00BB1049">
        <w:rPr>
          <w:rFonts w:ascii="Arial" w:hAnsi="Arial" w:cs="Arial"/>
          <w:bCs/>
          <w:lang w:val="en-US"/>
        </w:rPr>
        <w:fldChar w:fldCharType="separate"/>
      </w:r>
      <w:r w:rsidR="00BB1049" w:rsidRPr="00BB1049">
        <w:rPr>
          <w:rFonts w:ascii="Arial" w:hAnsi="Arial" w:cs="Arial"/>
          <w:bCs/>
          <w:noProof/>
          <w:lang w:val="en-US"/>
        </w:rPr>
        <w:t xml:space="preserve">Strømsøe and Paasche </w:t>
      </w:r>
      <w:r w:rsidR="00BB1049">
        <w:rPr>
          <w:rFonts w:ascii="Arial" w:hAnsi="Arial" w:cs="Arial"/>
          <w:bCs/>
          <w:noProof/>
          <w:lang w:val="en-US"/>
        </w:rPr>
        <w:t>(</w:t>
      </w:r>
      <w:r w:rsidR="00BB1049" w:rsidRPr="00BB1049">
        <w:rPr>
          <w:rFonts w:ascii="Arial" w:hAnsi="Arial" w:cs="Arial"/>
          <w:bCs/>
          <w:noProof/>
          <w:lang w:val="en-US"/>
        </w:rPr>
        <w:t>2011)</w:t>
      </w:r>
      <w:r w:rsidR="00BB1049">
        <w:rPr>
          <w:rFonts w:ascii="Arial" w:hAnsi="Arial" w:cs="Arial"/>
          <w:bCs/>
          <w:lang w:val="en-US"/>
        </w:rPr>
        <w:fldChar w:fldCharType="end"/>
      </w:r>
      <w:r w:rsidRPr="00E923D1">
        <w:rPr>
          <w:rFonts w:ascii="Arial" w:hAnsi="Arial" w:cs="Arial"/>
          <w:bCs/>
          <w:lang w:val="en-US"/>
        </w:rPr>
        <w:t xml:space="preserve"> who showed chemical weathering is important in the production of grains smaller than 32 µm even in high latitudes. </w:t>
      </w:r>
    </w:p>
    <w:p w14:paraId="6F41EBAB" w14:textId="4B3BB4AE" w:rsidR="00E923D1" w:rsidRPr="00E923D1" w:rsidRDefault="00E923D1" w:rsidP="00E923D1">
      <w:pPr>
        <w:spacing w:before="120" w:after="120" w:line="480" w:lineRule="auto"/>
        <w:jc w:val="both"/>
        <w:rPr>
          <w:rFonts w:ascii="Arial" w:hAnsi="Arial" w:cs="Arial"/>
          <w:bCs/>
          <w:lang w:val="en-US"/>
        </w:rPr>
      </w:pPr>
      <w:r w:rsidRPr="00E923D1">
        <w:rPr>
          <w:rFonts w:ascii="Arial" w:hAnsi="Arial" w:cs="Arial"/>
          <w:bCs/>
          <w:lang w:val="en-US"/>
        </w:rPr>
        <w:t xml:space="preserve">Comminution and abrasion during aeolian transport are the most contested in terms of their </w:t>
      </w:r>
      <w:r w:rsidR="00D470A3">
        <w:rPr>
          <w:rFonts w:ascii="Arial" w:hAnsi="Arial" w:cs="Arial"/>
          <w:bCs/>
          <w:lang w:val="en-US"/>
        </w:rPr>
        <w:t xml:space="preserve">potential for </w:t>
      </w:r>
      <w:r w:rsidRPr="00E923D1">
        <w:rPr>
          <w:rFonts w:ascii="Arial" w:hAnsi="Arial" w:cs="Arial"/>
          <w:bCs/>
          <w:lang w:val="en-US"/>
        </w:rPr>
        <w:t xml:space="preserve">silt-size </w:t>
      </w:r>
      <w:r w:rsidR="00D470A3">
        <w:rPr>
          <w:rFonts w:ascii="Arial" w:hAnsi="Arial" w:cs="Arial"/>
          <w:bCs/>
          <w:lang w:val="en-US"/>
        </w:rPr>
        <w:t xml:space="preserve">particle </w:t>
      </w:r>
      <w:r w:rsidRPr="00E923D1">
        <w:rPr>
          <w:rFonts w:ascii="Arial" w:hAnsi="Arial" w:cs="Arial"/>
          <w:bCs/>
          <w:lang w:val="en-US"/>
        </w:rPr>
        <w:t xml:space="preserve">generation, with many arguing that this is </w:t>
      </w:r>
      <w:r w:rsidR="00D470A3">
        <w:rPr>
          <w:rFonts w:ascii="Arial" w:hAnsi="Arial" w:cs="Arial"/>
          <w:bCs/>
          <w:lang w:val="en-US"/>
        </w:rPr>
        <w:t xml:space="preserve">an </w:t>
      </w:r>
      <w:r w:rsidRPr="00E923D1">
        <w:rPr>
          <w:rFonts w:ascii="Arial" w:hAnsi="Arial" w:cs="Arial"/>
          <w:bCs/>
          <w:lang w:val="en-US"/>
        </w:rPr>
        <w:t xml:space="preserve">inefficient mechanism. Still, recent laboratory experiments </w:t>
      </w:r>
      <w:r w:rsidR="00BB1049">
        <w:rPr>
          <w:rFonts w:ascii="Arial" w:hAnsi="Arial" w:cs="Arial"/>
          <w:bCs/>
          <w:lang w:val="en-US"/>
        </w:rPr>
        <w:fldChar w:fldCharType="begin" w:fldLock="1"/>
      </w:r>
      <w:r w:rsidR="00BB1049">
        <w:rPr>
          <w:rFonts w:ascii="Arial" w:hAnsi="Arial" w:cs="Arial"/>
          <w:bCs/>
          <w:lang w:val="en-US"/>
        </w:rPr>
        <w:instrText>ADDIN CSL_CITATION {"citationItems":[{"id":"ITEM-1","itemData":{"DOI":"10.1111/sed.12423","ISSN":"13653091","abstract":"This study examines the role of quartz sand in the production of dust using mixtures of quartz sand from the Sahara and diatomite aggregates from the Bodélé Depression in Chad. An aeolian abrasion chamber is used to reproduce the physical processes of aeolian abrasion and test the hypothesis that the breakdown of saltating diatomite flakes as they collide in saltation, and with the surface, is the most prolific mechanism of dust production (auto-abrasion). This hypothesis is tested against the competing hypothesis that a hard, higher-density quartz sand impactor is required to abrade fine-grained sediments to generate dust. The results show that dust can be produced by a mixture of saltating diatomite and quartz sand particles. However, quartz sand is not required for saltating aggregates to produce dust. Indeed, these results, which used a mixture of very coarse-grained aggregate (1 to 2 mm diameter) with fine quartz sand, indicate that the addition of quartz sand can decrease dust production. For a very coarse aggregate (1 to 2 mm), a pure diatomite aggregate produced the most dust, although using a coarse-grained aggregate (0·5 to 1·0 mm) with a mixture of 20% quartz and 80% aggregate was found to produce the most dust overall. The results of this study confirm the auto-abrasion hypothesis for the breakdown of diatomite particles in the Bodélé Depression, which is the single biggest source of atmospheric mineral dust on Earth.","author":[{"dropping-particle":"","family":"Bristow","given":"Charlie S.","non-dropping-particle":"","parse-names":false,"suffix":""},{"dropping-particle":"","family":"Moller","given":"Torsten H.","non-dropping-particle":"","parse-names":false,"suffix":""}],"container-title":"Sedimentology","id":"ITEM-1","issue":"4","issued":{"date-parts":[["2018"]]},"page":"1322-1330","title":"Testing the auto-abrasion hypothesis for dust production using diatomite dune sediments from the Bodélé Depression in Chad","type":"article-journal","volume":"65"},"uris":["http://www.mendeley.com/documents/?uuid=931f7854-9108-448b-822d-a6ec2fee6906"]}],"mendeley":{"formattedCitation":"(Bristow and Moller, 2018)","plainTextFormattedCitation":"(Bristow and Moller, 2018)","previouslyFormattedCitation":"(Bristow and Moller, 2018)"},"properties":{"noteIndex":0},"schema":"https://github.com/citation-style-language/schema/raw/master/csl-citation.json"}</w:instrText>
      </w:r>
      <w:r w:rsidR="00BB1049">
        <w:rPr>
          <w:rFonts w:ascii="Arial" w:hAnsi="Arial" w:cs="Arial"/>
          <w:bCs/>
          <w:lang w:val="en-US"/>
        </w:rPr>
        <w:fldChar w:fldCharType="separate"/>
      </w:r>
      <w:r w:rsidR="00BB1049" w:rsidRPr="00BB1049">
        <w:rPr>
          <w:rFonts w:ascii="Arial" w:hAnsi="Arial" w:cs="Arial"/>
          <w:bCs/>
          <w:noProof/>
          <w:lang w:val="en-US"/>
        </w:rPr>
        <w:t>(Bristow and Moller, 2018)</w:t>
      </w:r>
      <w:r w:rsidR="00BB1049">
        <w:rPr>
          <w:rFonts w:ascii="Arial" w:hAnsi="Arial" w:cs="Arial"/>
          <w:bCs/>
          <w:lang w:val="en-US"/>
        </w:rPr>
        <w:fldChar w:fldCharType="end"/>
      </w:r>
      <w:r w:rsidRPr="00E923D1">
        <w:rPr>
          <w:rFonts w:ascii="Arial" w:hAnsi="Arial" w:cs="Arial"/>
          <w:bCs/>
          <w:lang w:val="en-US"/>
        </w:rPr>
        <w:t xml:space="preserve"> show that </w:t>
      </w:r>
      <w:r w:rsidRPr="00E923D1">
        <w:rPr>
          <w:rFonts w:ascii="Arial" w:hAnsi="Arial" w:cs="Arial"/>
          <w:bCs/>
          <w:lang w:val="en-US"/>
        </w:rPr>
        <w:lastRenderedPageBreak/>
        <w:t>(mineralogy dependent) auto-abrasion can be sufficient to produce dust material in deserts. Importantly</w:t>
      </w:r>
      <w:r w:rsidR="00D470A3">
        <w:rPr>
          <w:rFonts w:ascii="Arial" w:hAnsi="Arial" w:cs="Arial"/>
          <w:bCs/>
          <w:lang w:val="en-US"/>
        </w:rPr>
        <w:t>,</w:t>
      </w:r>
      <w:r w:rsidRPr="00E923D1">
        <w:rPr>
          <w:rFonts w:ascii="Arial" w:hAnsi="Arial" w:cs="Arial"/>
          <w:bCs/>
          <w:lang w:val="en-US"/>
        </w:rPr>
        <w:t xml:space="preserve"> these processes are unlikely to be operating alone or in isolation, </w:t>
      </w:r>
      <w:r w:rsidR="00D470A3">
        <w:rPr>
          <w:rFonts w:ascii="Arial" w:hAnsi="Arial" w:cs="Arial"/>
          <w:bCs/>
          <w:lang w:val="en-US"/>
        </w:rPr>
        <w:t>and</w:t>
      </w:r>
      <w:r w:rsidRPr="00E923D1">
        <w:rPr>
          <w:rFonts w:ascii="Arial" w:hAnsi="Arial" w:cs="Arial"/>
          <w:bCs/>
          <w:lang w:val="en-US"/>
        </w:rPr>
        <w:t xml:space="preserve"> is likely that the importance of each production mechanism varies along the transport pathway, depending on the type of geomorphic agent, underlying substrate, maturity of sediment, mineralogy, topography, climate, stage of weathering, etc.</w:t>
      </w:r>
    </w:p>
    <w:p w14:paraId="5152A00F" w14:textId="4CFD6575" w:rsidR="00E923D1" w:rsidRDefault="00E923D1" w:rsidP="00614941">
      <w:pPr>
        <w:spacing w:before="120" w:after="120" w:line="480" w:lineRule="auto"/>
        <w:jc w:val="both"/>
        <w:rPr>
          <w:rFonts w:ascii="Arial" w:hAnsi="Arial" w:cs="Arial"/>
        </w:rPr>
      </w:pPr>
      <w:r w:rsidRPr="00E923D1">
        <w:rPr>
          <w:rFonts w:ascii="Arial" w:hAnsi="Arial" w:cs="Arial"/>
          <w:bCs/>
          <w:lang w:val="en-US"/>
        </w:rPr>
        <w:t xml:space="preserve">The results of the zircon U-Pb and Hf isotope analyses presented here provide additional field evidence that the two models </w:t>
      </w:r>
      <w:r w:rsidR="00D470A3">
        <w:rPr>
          <w:rFonts w:ascii="Arial" w:hAnsi="Arial" w:cs="Arial"/>
          <w:bCs/>
          <w:lang w:val="en-US"/>
        </w:rPr>
        <w:t>of cold versus warm loess</w:t>
      </w:r>
      <w:r w:rsidRPr="00E923D1">
        <w:rPr>
          <w:rFonts w:ascii="Arial" w:hAnsi="Arial" w:cs="Arial"/>
          <w:bCs/>
          <w:lang w:val="en-US"/>
        </w:rPr>
        <w:t xml:space="preserve">are unnecessary and only result a in false dichotomy. Most silt-generation processes can operate in desert/glacial regions and silt size sediment is likely to be produced and transported by various mechanisms simultaneously. Consequently the authors support the growing body of literature that advocates for the use of the following terminology in relation to loess genesis; continental glacier provenance-river transport, mountain provenance-river transport, and mountain provenance-river transport-desert transition </w:t>
      </w:r>
      <w:r w:rsidR="00BB1049">
        <w:rPr>
          <w:rFonts w:ascii="Arial" w:hAnsi="Arial" w:cs="Arial"/>
          <w:bCs/>
          <w:lang w:val="en-US"/>
        </w:rPr>
        <w:fldChar w:fldCharType="begin" w:fldLock="1"/>
      </w:r>
      <w:r w:rsidR="00BB1049">
        <w:rPr>
          <w:rFonts w:ascii="Arial" w:hAnsi="Arial" w:cs="Arial"/>
          <w:bCs/>
          <w:lang w:val="en-US"/>
        </w:rPr>
        <w:instrText>ADDIN CSL_CITATION {"citationItems":[{"id":"ITEM-1","itemData":{"DOI":"10.1016/j.earscirev.2019.102947","ISSN":"00128252","abstract":"Loess formation generally involves the four main stages of production, deflation, transportation, and deposition of loess particles. Traditionally, loesses are classified as glacial, desert, or other types based only on source area characteristics without taking into account provenance and transportation. Research on loess genesis is often local with only a few attempts at systematically overviewing worldwide loess distribution. Both the local and few global studies lack information on the variability in loess thickness, continuity, and areal extent. This review integrates a large body of information on loess source areas and transportation pathways and the existence of desert transition zones. Three modes of loess genesis, (1) continental glacier provenance-river transport, (2) mountain provenance-river transport, and (3) mountain provenance-river transport-desert transition, were identified. Global distribution maps of provenance and transport pathways of major loess areas and their different genesis modes were meticulously prepared. Maps showing the spatial distribution, thickness, and continuity of loess deposits were also composed and the sizes of loess-covered areas of each continent were re-estimated. The main features related to the distribution of the loess deposits on each continent are summarized for different regions or as a whole depending on the coverage of the source maps and references.","author":[{"dropping-particle":"","family":"Li","given":"Yanrong","non-dropping-particle":"","parse-names":false,"suffix":""},{"dropping-particle":"","family":"Shi","given":"Wenhui","non-dropping-particle":"","parse-names":false,"suffix":""},{"dropping-particle":"","family":"Aydin","given":"Adnan","non-dropping-particle":"","parse-names":false,"suffix":""},{"dropping-particle":"","family":"Beroya-Eitner","given":"Mary Antonette","non-dropping-particle":"","parse-names":false,"suffix":""},{"dropping-particle":"","family":"Gao","given":"Guohong","non-dropping-particle":"","parse-names":false,"suffix":""}],"container-title":"Earth-Science Reviews","id":"ITEM-1","issue":"March 2019","issued":{"date-parts":[["2020"]]},"page":"102947","publisher":"Elsevier","title":"Loess genesis and worldwide distribution","type":"article-journal","volume":"201"},"uris":["http://www.mendeley.com/documents/?uuid=aeed1831-6369-4ab2-a18d-8cc0e8b2bb7f"]}],"mendeley":{"formattedCitation":"(Li et al., 2020)","plainTextFormattedCitation":"(Li et al., 2020)","previouslyFormattedCitation":"(Li et al., 2020)"},"properties":{"noteIndex":0},"schema":"https://github.com/citation-style-language/schema/raw/master/csl-citation.json"}</w:instrText>
      </w:r>
      <w:r w:rsidR="00BB1049">
        <w:rPr>
          <w:rFonts w:ascii="Arial" w:hAnsi="Arial" w:cs="Arial"/>
          <w:bCs/>
          <w:lang w:val="en-US"/>
        </w:rPr>
        <w:fldChar w:fldCharType="separate"/>
      </w:r>
      <w:r w:rsidR="00BB1049" w:rsidRPr="00BB1049">
        <w:rPr>
          <w:rFonts w:ascii="Arial" w:hAnsi="Arial" w:cs="Arial"/>
          <w:bCs/>
          <w:noProof/>
          <w:lang w:val="en-US"/>
        </w:rPr>
        <w:t>(Li et al., 2020)</w:t>
      </w:r>
      <w:r w:rsidR="00BB1049">
        <w:rPr>
          <w:rFonts w:ascii="Arial" w:hAnsi="Arial" w:cs="Arial"/>
          <w:bCs/>
          <w:lang w:val="en-US"/>
        </w:rPr>
        <w:fldChar w:fldCharType="end"/>
      </w:r>
      <w:r w:rsidRPr="00E923D1">
        <w:rPr>
          <w:rFonts w:ascii="Arial" w:hAnsi="Arial" w:cs="Arial"/>
          <w:bCs/>
          <w:lang w:val="en-US"/>
        </w:rPr>
        <w:t>.</w:t>
      </w:r>
      <w:bookmarkEnd w:id="109"/>
    </w:p>
    <w:p w14:paraId="4855B179" w14:textId="7EB22CFF" w:rsidR="00616F0C" w:rsidRPr="00616F0C" w:rsidRDefault="00616F0C" w:rsidP="00616F0C">
      <w:pPr>
        <w:pStyle w:val="Heading2"/>
        <w:numPr>
          <w:ilvl w:val="1"/>
          <w:numId w:val="34"/>
        </w:numPr>
        <w:spacing w:before="120" w:after="120" w:line="480" w:lineRule="auto"/>
        <w:ind w:left="851" w:hanging="851"/>
        <w:jc w:val="both"/>
        <w:rPr>
          <w:rFonts w:ascii="Arial" w:hAnsi="Arial" w:cs="Arial"/>
          <w:i/>
          <w:color w:val="auto"/>
          <w:sz w:val="24"/>
          <w:szCs w:val="24"/>
        </w:rPr>
      </w:pPr>
      <w:r>
        <w:rPr>
          <w:rFonts w:ascii="Arial" w:hAnsi="Arial" w:cs="Arial"/>
          <w:i/>
          <w:color w:val="auto"/>
          <w:sz w:val="24"/>
          <w:szCs w:val="24"/>
        </w:rPr>
        <w:t>Approaches to loess provenance</w:t>
      </w:r>
    </w:p>
    <w:p w14:paraId="46650B7D" w14:textId="0F91045D" w:rsidR="00D701A9" w:rsidRDefault="00D701A9" w:rsidP="00614941">
      <w:pPr>
        <w:spacing w:before="120" w:after="120" w:line="480" w:lineRule="auto"/>
        <w:jc w:val="both"/>
        <w:rPr>
          <w:rFonts w:ascii="Arial" w:hAnsi="Arial" w:cs="Arial"/>
        </w:rPr>
      </w:pPr>
      <w:bookmarkStart w:id="110" w:name="_Hlk80871421"/>
      <w:r>
        <w:rPr>
          <w:rFonts w:ascii="Arial" w:hAnsi="Arial" w:cs="Arial"/>
        </w:rPr>
        <w:t xml:space="preserve">A number of loess provenance studies </w:t>
      </w:r>
      <w:r>
        <w:rPr>
          <w:rFonts w:ascii="Arial" w:hAnsi="Arial" w:cs="Arial"/>
        </w:rPr>
        <w:fldChar w:fldCharType="begin" w:fldLock="1"/>
      </w:r>
      <w:r>
        <w:rPr>
          <w:rFonts w:ascii="Arial" w:hAnsi="Arial" w:cs="Arial"/>
        </w:rPr>
        <w:instrText>ADDIN CSL_CITATION {"citationItems":[{"id":"ITEM-1","itemData":{"DOI":"10.1130/B31375.1","ISSN":"0016-7606","author":[{"dropping-particle":"","family":"Licht","given":"Alexis","non-dropping-particle":"","parse-names":false,"suffix":""},{"dropping-particle":"","family":"Pullen","given":"Alex","non-dropping-particle":"","parse-names":false,"suffix":""},{"dropping-particle":"","family":"Kapp","given":"Paul","non-dropping-particle":"","parse-names":false,"suffix":""},{"dropping-particle":"","family":"Abell","given":"J.","non-dropping-particle":"","parse-names":false,"suffix":""},{"dropping-particle":"","family":"Giesler","given":"Nicky","non-dropping-particle":"","parse-names":false,"suffix":""}],"container-title":"GSA Bulletin","id":"ITEM-1","issue":"5-6","issued":{"date-parts":[["2016"]]},"page":"944-956","title":"Eolian cannibalism : Reworked loess and fluvial sediment as the main sources of the Chinese Loess Plateau","type":"article-journal","volume":"128"},"uris":["http://www.mendeley.com/documents/?uuid=2d57a9f4-660f-42a7-9ccd-81951e305e51"]},{"id":"ITEM-2","itemData":{"DOI":"10.1039/C4JA00024B","ISBN":"0267-9477","ISSN":"0267-9477","abstract":"The direct age dating of individual mineral components in sedimentary rocks through the analysis of radiogenic parent and daughter isotopes has been routinely applied to better understand sediment provenance and dispersal patterns for several decades. Time, labor, and financial cost-sadly, not scientific inquiry-are typically the determining factors in the number of analyses run for a sedimentary rock sample during provenance investigations. The number of observations reported for detrital zircon provenance investigations using secondary ion mass spectrometers SIMS and laser-ablation inductively-coupled-plasma mass-spectrometers LA-ICP-MS typically range from n = 60-120. In this range, minor, but commonly geological relevant, age components are commonly not identified from the sample aliquot. In addition, the relative proportions of zircon ages from within an age component are typically unreliable for intersample comparisons because the relative proportions of ages from aliquots of n = 60-120 may poorly reflect the 'true' proportions of ages from a sample. This study investigates the practicality and usefulness of generating large-n (n = 300-1000) datasets. A LA-MC-ICP-MS and LA-SC-ICP-MS were used to generate four n [approximate] 1000 datasets. We show that precision large-n U-Pb detrital zircon datasets can be created using LA-ICP-MS with total sample-run analysis times that are on par with more traditional studies. At best, most provenance investigations based on n = 60-100 have been statistically limited to identifying principle age components. The statistical robustness on n = 1000 datasets not only significantly increase the probability that exotic or low abundance age components (i.e., f &lt; 0.05) are identified in detrital samples, but it allows for the quantitative comparisons between relatively high abundance age components in samples. This potentially transformative outcome of large-n has the potential to stimulate new avenues of research in sedimentology and tectonics.","author":[{"dropping-particle":"","family":"Pullen","given":"Alex","non-dropping-particle":"","parse-names":false,"suffix":""},{"dropping-particle":"","family":"Ibanez-Mejia","given":"Mauricio","non-dropping-particle":"","parse-names":false,"suffix":""},{"dropping-particle":"","family":"Gehrels","given":"George E.","non-dropping-particle":"","parse-names":false,"suffix":""},{"dropping-particle":"","family":"Ibanez-Mejia","given":"Juan C.","non-dropping-particle":"","parse-names":false,"suffix":""},{"dropping-particle":"","family":"Pecha","given":"Mark","non-dropping-particle":"","parse-names":false,"suffix":""}],"container-title":"Journal of Analytical Atomic Spectrometry","id":"ITEM-2","issue":"6","issued":{"date-parts":[["2014"]]},"page":"971-980","title":"What happens when n= 1000? Creating large-n geochronological datasets with LA-ICP-MS for geologic investigations","type":"article-journal","volume":"29"},"uris":["http://www.mendeley.com/documents/?uuid=cf5eb930-3825-4c79-8eb8-4e959834b691"]}],"mendeley":{"formattedCitation":"(Licht et al., 2016; Pullen et al., 2014)","manualFormatting":"(e.g. Licht et al., 2016; Pullen et al., 2014)","plainTextFormattedCitation":"(Licht et al., 2016; Pullen et al., 2014)","previouslyFormattedCitation":"(Licht et al., 2016; Pullen et al., 2014)"},"properties":{"noteIndex":0},"schema":"https://github.com/citation-style-language/schema/raw/master/csl-citation.json"}</w:instrText>
      </w:r>
      <w:r>
        <w:rPr>
          <w:rFonts w:ascii="Arial" w:hAnsi="Arial" w:cs="Arial"/>
        </w:rPr>
        <w:fldChar w:fldCharType="separate"/>
      </w:r>
      <w:r w:rsidRPr="003D63AB">
        <w:rPr>
          <w:rFonts w:ascii="Arial" w:hAnsi="Arial" w:cs="Arial"/>
          <w:noProof/>
        </w:rPr>
        <w:t>(</w:t>
      </w:r>
      <w:r>
        <w:rPr>
          <w:rFonts w:ascii="Arial" w:hAnsi="Arial" w:cs="Arial"/>
          <w:noProof/>
        </w:rPr>
        <w:t xml:space="preserve">e.g. </w:t>
      </w:r>
      <w:r w:rsidRPr="003D63AB">
        <w:rPr>
          <w:rFonts w:ascii="Arial" w:hAnsi="Arial" w:cs="Arial"/>
          <w:noProof/>
        </w:rPr>
        <w:t>Licht et al., 2016; Pullen et al., 2014)</w:t>
      </w:r>
      <w:r>
        <w:rPr>
          <w:rFonts w:ascii="Arial" w:hAnsi="Arial" w:cs="Arial"/>
        </w:rPr>
        <w:fldChar w:fldCharType="end"/>
      </w:r>
      <w:r>
        <w:rPr>
          <w:rFonts w:ascii="Arial" w:hAnsi="Arial" w:cs="Arial"/>
        </w:rPr>
        <w:t xml:space="preserve"> have been published over the last few years that rely exclusively on zircon U-Pb data and argue that by increasing the number of grains analysed</w:t>
      </w:r>
      <w:r w:rsidR="00A22E63">
        <w:rPr>
          <w:rFonts w:ascii="Arial" w:hAnsi="Arial" w:cs="Arial"/>
        </w:rPr>
        <w:t>,</w:t>
      </w:r>
      <w:r>
        <w:rPr>
          <w:rFonts w:ascii="Arial" w:hAnsi="Arial" w:cs="Arial"/>
        </w:rPr>
        <w:t xml:space="preserve"> </w:t>
      </w:r>
      <w:r w:rsidR="00A22E63">
        <w:rPr>
          <w:rFonts w:ascii="Arial" w:hAnsi="Arial" w:cs="Arial"/>
        </w:rPr>
        <w:t xml:space="preserve">specific </w:t>
      </w:r>
      <w:r>
        <w:rPr>
          <w:rFonts w:ascii="Arial" w:hAnsi="Arial" w:cs="Arial"/>
        </w:rPr>
        <w:t xml:space="preserve">sources can be identified. While this approach can be powerful in some loess provenance settings, if two different sources are contributing grains of the same age (as seen in this research), then increasing the number of analyses will not aid in distinguishing between two similar-age signals. Several authors have shown </w:t>
      </w:r>
      <w:r>
        <w:rPr>
          <w:rFonts w:ascii="Arial" w:hAnsi="Arial" w:cs="Arial"/>
        </w:rPr>
        <w:fldChar w:fldCharType="begin" w:fldLock="1"/>
      </w:r>
      <w:r w:rsidR="00B016B6">
        <w:rPr>
          <w:rFonts w:ascii="Arial" w:hAnsi="Arial" w:cs="Arial"/>
        </w:rPr>
        <w:instrText>ADDIN CSL_CITATION {"citationItems":[{"id":"ITEM-1","itemData":{"DOI":"10.1016/j.quascirev.2012.11.032","ISSN":"02773791","author":[{"dropping-particle":"","family":"Stevens","given":"Thomas","non-dropping-particle":"","parse-names":false,"suffix":""},{"dropping-particle":"","family":"Carter","given":"Andrew","non-dropping-particle":"","parse-names":false,"suffix":""},{"dropping-particle":"","family":"Watson","given":"T. P.","non-dropping-particle":"","parse-names":false,"suffix":""},{"dropping-particle":"","family":"Vermeesch","given":"Pieter","non-dropping-particle":"","parse-names":false,"suffix":""},{"dropping-particle":"","family":"Andò","given":"Sergio","non-dropping-particle":"","parse-names":false,"suffix":""},{"dropping-particle":"","family":"Bird","given":"Anna F.","non-dropping-particle":"","parse-names":false,"suffix":""},{"dropping-particle":"","family":"Lu","given":"Huayu","non-dropping-particle":"","parse-names":false,"suffix":""},{"dropping-particle":"","family":"Garzanti","given":"Eduardo","non-dropping-particle":"","parse-names":false,"suffix":""},{"dropping-particle":"","family":"Cottam","given":"M. A.","non-dropping-particle":"","parse-names":false,"suffix":""},{"dropping-particle":"","family":"Sevastjanova","given":"I.","non-dropping-particle":"","parse-names":false,"suffix":""}],"container-title":"Quaternary Science Reviews","id":"ITEM-1","issued":{"date-parts":[["2013"]]},"page":"355-368","title":"Genetic linkage between the Yellow River, the Mu Us desert and the Chinese Loess Plateau","type":"article-journal","volume":"78"},"uris":["http://www.mendeley.com/documents/?uuid=a343d92d-e6e1-433c-992e-f5f6024f8cfe"]},{"id":"ITEM-2","itemData":{"DOI":"10.1016/j.palaeo.2015.06.024","ISSN":"00310182","abstract":"The Chinese Loess Plateau in north central China contains one of the most valuable Cenozoic climate archives on land. Establishing the origin of this substantial archive of aeolian sediments is critical for the interpretation of loess climate proxies, past atmospheric wind patterns and changing climatic/tectonic controls on erosion over potentially the past 25. Ma. Despite this significance there are a number of disagreements over the precise source areas and the extent to which these vary through time and across the plateau. To address this, we utilize a multi-technique, approach of combined detrital single-grain zircon U-Pb dating and heavy mineral analysis to establish the sources of loess through the Quaternary and constrain their variation geographically across the Loess Plateau. We combine our data with suitable published single-grain datasets from loess and possible source regions. The results demonstrate a dramatic spatial heterogeneity of dust sources across the plateau. Sites to the west of the Loess Plateau show strong affinity to the Yellow River and the northern Tibetan Plateau, while further east the influence of North-China-Craton-derived material becomes more significant (Fig. 1). This spatial variability in source implies a far more complex relationship to dust sources than previously envisioned. The provenance of loess/soil units also varies through time, although there is no consistent relationship between these shifts and changing glacial/interglacial periods, as hypothesized previously. This variation demonstrates highly dynamic and variable dust sources and transport modes that are influenced by abrupt climate shifts within individual glacial-interglacial episodes, and potentially the dynamics of the Yellow River system.","author":[{"dropping-particle":"","family":"Bird","given":"Anna F.","non-dropping-particle":"","parse-names":false,"suffix":""},{"dropping-particle":"","family":"Stevens","given":"Thomas","non-dropping-particle":"","parse-names":false,"suffix":""},{"dropping-particle":"","family":"Rittner","given":"Martin","non-dropping-particle":"","parse-names":false,"suffix":""},{"dropping-particle":"","family":"Vermeesch","given":"Pieter","non-dropping-particle":"","parse-names":false,"suffix":""},{"dropping-particle":"","family":"Carter","given":"Andrew","non-dropping-particle":"","parse-names":false,"suffix":""},{"dropping-particle":"","family":"Andò","given":"Sergio","non-dropping-particle":"","parse-names":false,"suffix":""},{"dropping-particle":"","family":"Garzanti","given":"Eduardo","non-dropping-particle":"","parse-names":false,"suffix":""},{"dropping-particle":"","family":"Lu","given":"Huayu","non-dropping-particle":"","parse-names":false,"suffix":""},{"dropping-particle":"","family":"Nie","given":"Junsheng","non-dropping-particle":"","parse-names":false,"suffix":""},{"dropping-particle":"","family":"Zeng","given":"Lin","non-dropping-particle":"","parse-names":false,"suffix":""},{"dropping-particle":"","family":"Zhang","given":"Hanzhi","non-dropping-particle":"","parse-names":false,"suffix":""},{"dropping-particle":"","family":"Xu","given":"Zhiwei","non-dropping-particle":"","parse-names":false,"suffix":""}],"container-title":"Palaeogeography, Palaeoclimatology, Palaeoecology","id":"ITEM-2","issued":{"date-parts":[["2015"]]},"page":"254-264","publisher":"Elsevier B.V.","title":"Quaternary dust source variation across the Chinese Loess Plateau","type":"article-journal","volume":"435"},"uris":["http://www.mendeley.com/documents/?uuid=eddda689-13ad-4072-b78a-ed6e8b22f7e4"]},{"id":"ITEM-3","itemData":{"DOI":"10.1017/qua.2017.86","ISSN":"10960287","abstract":"Copyright © University of Washington. Published by Cambridge University Press, 2017. The Chinese Loess Plateau, the world's largest and oldest loess record, preserves evidence of Asia's long-term dust source dynamics, but there is uncertainty over the source of the deposits. Recent single-grain detrital zircon U-Pb age analysis has progressed this issue, but debates remain about source changes, and the generation and interpretation of zircon data. To address this, we analyze different groupings of new and existing datasets from the Loess Plateau and potential sources. We also present the results of a first high resolution sampling, multi-proxy provenance analysis of Beiguoyuan loess using U-Pb dating of detrital zircons and detrital garnet geochemistry. The data shows that some small source differences seem to exist between different areas on the Loess Plateau. However, sediment source appears to be unchanging between loess and palaeosols, supporting a recent material recycling hypothesis. Our zircon and garnet data demonstrates, however, that Beiguoyuan experienced a temporary, abrupt source shift during the last glacial maximum, implying that local dust sources became periodically active during the Quaternary. Our results highlight that grouping data to achieve bigger datasets could cause identification of misleading trends. Additionally, we suggest that multi-proxy single-grain approaches are required to gain further insight into Chinese Loess Plateau dust sources.","author":[{"dropping-particle":"","family":"Fenn","given":"Kaja","non-dropping-particle":"","parse-names":false,"suffix":""},{"dropping-particle":"","family":"Stevens","given":"Thomas","non-dropping-particle":"","parse-names":false,"suffix":""},{"dropping-particle":"","family":"Bird","given":"Anna F.","non-dropping-particle":"","parse-names":false,"suffix":""},{"dropping-particle":"","family":"Limonta","given":"Mara","non-dropping-particle":"","parse-names":false,"suffix":""},{"dropping-particle":"","family":"Rittner","given":"Martin","non-dropping-particle":"","parse-names":false,"suffix":""},{"dropping-particle":"","family":"Vermeesch","given":"Pieter","non-dropping-particle":"","parse-names":false,"suffix":""},{"dropping-particle":"","family":"Andò","given":"Sergio","non-dropping-particle":"","parse-names":false,"suffix":""},{"dropping-particle":"","family":"Garzanti","given":"Eduardo","non-dropping-particle":"","parse-names":false,"suffix":""},{"dropping-particle":"","family":"Lu","given":"Huayu","non-dropping-particle":"","parse-names":false,"suffix":""},{"dropping-particle":"","family":"Zhang","given":"Hanzhi","non-dropping-particle":"","parse-names":false,"suffix":""},{"dropping-particle":"","family":"Lin","given":"Z.","non-dropping-particle":"","parse-names":false,"suffix":""}],"container-title":"Quaternary Research","id":"ITEM-3","issue":"3","issued":{"date-parts":[["2018"]]},"title":"Insights into the provenance of the Chinese Loess Plateau from joint zircon U-Pb and garnet geochemical analysis of last glacial loess","type":"article-journal","volume":"89"},"uris":["http://www.mendeley.com/documents/?uuid=8b29aad1-fceb-3d26-a2de-f3b69e3fda4f"]}],"mendeley":{"formattedCitation":"(Bird et al., 2015; Fenn et al., 2018; Stevens et al., 2013)","plainTextFormattedCitation":"(Bird et al., 2015; Fenn et al., 2018; Stevens et al., 2013)","previouslyFormattedCitation":"(Bird et al., 2015; Fenn et al., 2018; Stevens et al., 2013)"},"properties":{"noteIndex":0},"schema":"https://github.com/citation-style-language/schema/raw/master/csl-citation.json"}</w:instrText>
      </w:r>
      <w:r>
        <w:rPr>
          <w:rFonts w:ascii="Arial" w:hAnsi="Arial" w:cs="Arial"/>
        </w:rPr>
        <w:fldChar w:fldCharType="separate"/>
      </w:r>
      <w:r w:rsidRPr="00D701A9">
        <w:rPr>
          <w:rFonts w:ascii="Arial" w:hAnsi="Arial" w:cs="Arial"/>
          <w:noProof/>
        </w:rPr>
        <w:t>(Bird et al., 2015; Fenn et al., 2018; Stevens et al., 2013)</w:t>
      </w:r>
      <w:r>
        <w:rPr>
          <w:rFonts w:ascii="Arial" w:hAnsi="Arial" w:cs="Arial"/>
        </w:rPr>
        <w:fldChar w:fldCharType="end"/>
      </w:r>
      <w:r>
        <w:rPr>
          <w:rFonts w:ascii="Arial" w:hAnsi="Arial" w:cs="Arial"/>
        </w:rPr>
        <w:t xml:space="preserve"> that relying on zircon </w:t>
      </w:r>
      <w:r w:rsidR="00D470A3">
        <w:rPr>
          <w:rFonts w:ascii="Arial" w:hAnsi="Arial" w:cs="Arial"/>
        </w:rPr>
        <w:t xml:space="preserve">U-Pb </w:t>
      </w:r>
      <w:r>
        <w:rPr>
          <w:rFonts w:ascii="Arial" w:hAnsi="Arial" w:cs="Arial"/>
        </w:rPr>
        <w:t>ages alone cannot resolve sources for</w:t>
      </w:r>
      <w:r w:rsidR="00A22E63">
        <w:rPr>
          <w:rFonts w:ascii="Arial" w:hAnsi="Arial" w:cs="Arial"/>
        </w:rPr>
        <w:t xml:space="preserve"> loess</w:t>
      </w:r>
      <w:r>
        <w:rPr>
          <w:rFonts w:ascii="Arial" w:hAnsi="Arial" w:cs="Arial"/>
        </w:rPr>
        <w:t xml:space="preserve"> sedimentary settings with complex source rock relationships, and call for more multi-proxy provenance approaches. This study showcases Hf isotopic composition of zircons as a powerful tool for understanding loess provenance in a case where several sources have similar ages. </w:t>
      </w:r>
      <w:r w:rsidR="00A22E63" w:rsidRPr="00A22E63">
        <w:rPr>
          <w:rFonts w:ascii="Arial" w:hAnsi="Arial" w:cs="Arial"/>
          <w:bCs/>
        </w:rPr>
        <w:t xml:space="preserve">Investigating Hf isotopes in zircons seems a natural next step as grains used for U-Pb analysis can be re-analysed, saving time on sample preparation and grain extraction and allowing two provenance indicators to be derived from </w:t>
      </w:r>
      <w:r w:rsidR="00A22E63" w:rsidRPr="00A22E63">
        <w:rPr>
          <w:rFonts w:ascii="Arial" w:hAnsi="Arial" w:cs="Arial"/>
          <w:bCs/>
        </w:rPr>
        <w:lastRenderedPageBreak/>
        <w:t>one grain</w:t>
      </w:r>
      <w:r w:rsidR="00FF4E42" w:rsidRPr="00A22E63">
        <w:rPr>
          <w:rFonts w:ascii="Arial" w:hAnsi="Arial" w:cs="Arial"/>
        </w:rPr>
        <w:t xml:space="preserve">. </w:t>
      </w:r>
      <w:r w:rsidR="003A2E97">
        <w:rPr>
          <w:rFonts w:ascii="Arial" w:hAnsi="Arial" w:cs="Arial"/>
        </w:rPr>
        <w:t>However</w:t>
      </w:r>
      <w:r w:rsidR="00A22E63">
        <w:rPr>
          <w:rFonts w:ascii="Arial" w:hAnsi="Arial" w:cs="Arial"/>
        </w:rPr>
        <w:t>,</w:t>
      </w:r>
      <w:r w:rsidR="003A2E97">
        <w:rPr>
          <w:rFonts w:ascii="Arial" w:hAnsi="Arial" w:cs="Arial"/>
        </w:rPr>
        <w:t xml:space="preserve"> more work is needed by loess provenance researchers to combine single grain analyses with bulk sample, petrograph</w:t>
      </w:r>
      <w:r w:rsidR="00D470A3">
        <w:rPr>
          <w:rFonts w:ascii="Arial" w:hAnsi="Arial" w:cs="Arial"/>
        </w:rPr>
        <w:t>ic</w:t>
      </w:r>
      <w:r w:rsidR="003A2E97">
        <w:rPr>
          <w:rFonts w:ascii="Arial" w:hAnsi="Arial" w:cs="Arial"/>
        </w:rPr>
        <w:t xml:space="preserve"> and other single minerals </w:t>
      </w:r>
      <w:r w:rsidR="00D470A3">
        <w:rPr>
          <w:rFonts w:ascii="Arial" w:hAnsi="Arial" w:cs="Arial"/>
        </w:rPr>
        <w:t>grain</w:t>
      </w:r>
      <w:r w:rsidR="009A2A3F">
        <w:rPr>
          <w:rFonts w:ascii="Arial" w:hAnsi="Arial" w:cs="Arial"/>
        </w:rPr>
        <w:t xml:space="preserve"> </w:t>
      </w:r>
      <w:r w:rsidR="003A2E97">
        <w:rPr>
          <w:rFonts w:ascii="Arial" w:hAnsi="Arial" w:cs="Arial"/>
        </w:rPr>
        <w:t>approaches</w:t>
      </w:r>
      <w:r w:rsidR="009A2A3F">
        <w:rPr>
          <w:rFonts w:ascii="Arial" w:hAnsi="Arial" w:cs="Arial"/>
        </w:rPr>
        <w:t>,</w:t>
      </w:r>
      <w:r w:rsidR="003A2E97">
        <w:rPr>
          <w:rFonts w:ascii="Arial" w:hAnsi="Arial" w:cs="Arial"/>
        </w:rPr>
        <w:t xml:space="preserve"> as seen in </w:t>
      </w:r>
      <w:r w:rsidR="00A22E63">
        <w:rPr>
          <w:rFonts w:ascii="Arial" w:hAnsi="Arial" w:cs="Arial"/>
        </w:rPr>
        <w:t xml:space="preserve">some </w:t>
      </w:r>
      <w:r w:rsidR="003A2E97">
        <w:rPr>
          <w:rFonts w:ascii="Arial" w:hAnsi="Arial" w:cs="Arial"/>
        </w:rPr>
        <w:t xml:space="preserve">other sedimentary provenance communities </w:t>
      </w:r>
      <w:r w:rsidR="003A2E97">
        <w:rPr>
          <w:rFonts w:ascii="Arial" w:hAnsi="Arial" w:cs="Arial"/>
        </w:rPr>
        <w:fldChar w:fldCharType="begin" w:fldLock="1"/>
      </w:r>
      <w:r w:rsidR="000856E8">
        <w:rPr>
          <w:rFonts w:ascii="Arial" w:hAnsi="Arial" w:cs="Arial"/>
        </w:rPr>
        <w:instrText>ADDIN CSL_CITATION {"citationItems":[{"id":"ITEM-1","itemData":{"DOI":"10.1016/j.epsl.2018.02.031","ISBN":"0012821X","ISSN":"0012821X","PMID":"12876994","abstract":"The Nile is generally regarded as the longest river in the world. Knowledge of the timing of the Nile's initiation as a major river is important to a number of research questions. For example, the timing of the river's establishment as a catchment of continental proportions can be used to document surface uplift of its Ethiopian upland drainage, with implications for constraining rift tectonics. Furthermore, the time of major freshwater input to the Mediterranean is considered to be an important factor in the development of sapropels. Yet the river's initiation as a major drainage is currently constrained no more precisely than Eocene to Pleistocene. Within the modern Nile catchment, voluminous Cenozoic Continental Flood Basalts (CFBs) are unique to the Ethiopian Highlands; thus first detection of their presence in the Nile delta record indicates establishment of the river's drainage at continental proportions at that time. We present the first detailed multiproxy provenance study of Oligocene–Recent Nile delta cone sediments. We demonstrate the presence of Ethiopian CFB detritus in the Nile delta from the start of our studied record (c. 31 Ma) by (1) documenting the presence of zircons with U–Pb ages unique, within the Nile catchment, to the Ethiopian CFBs and (2) using Sr–Nd data to construct a mixing model which indicates a contribution from the CFBs. We thereby show that the Nile river was established as a river of continental proportions by Oligocene times. We use petrography and heavy mineral data to show that previous petrographic provenance studies which proposed a Pleistocene age for first arrival of Ethiopian CFBs in the Nile delta did not take into account the strong diagenetic influence on the samples. We use a range of techniques to show that sediments were derived from Phanerozoic sedimentary rocks that blanket North Africa, Arabian–Nubian Shield basement terranes, and Ethiopian CFB's. We see no significant input from Archaean cratons supplied directly via the White Nile in any of our samples. Whilst there are subtle differences between our Nile delta samples from the Oligocene and Pliocene compared to those from the Miocene and Pleistocene, the overall stability of our signal throughout the delta record, and its similarity to the modern Nile signature, indicates no major change in the Nile's drainage from Oligocene to present day.","author":[{"dropping-particle":"","family":"Fielding","given":"Laura","non-dropping-particle":"","parse-names":false,"suffix":""},{"dropping-particle":"","family":"Najman","given":"Yani","non-dropping-particle":"","parse-names":false,"suffix":""},{"dropping-particle":"","family":"Millar","given":"Ian L.","non-dropping-particle":"","parse-names":false,"suffix":""},{"dropping-particle":"","family":"Butterworth","given":"Peter","non-dropping-particle":"","parse-names":false,"suffix":""},{"dropping-particle":"","family":"Garzanti","given":"Eduardo","non-dropping-particle":"","parse-names":false,"suffix":""},{"dropping-particle":"","family":"Vezzoli","given":"Giovanni","non-dropping-particle":"","parse-names":false,"suffix":""},{"dropping-particle":"","family":"Barfod","given":"Dan","non-dropping-particle":"","parse-names":false,"suffix":""},{"dropping-particle":"","family":"Kneller","given":"Ben","non-dropping-particle":"","parse-names":false,"suffix":""}],"container-title":"Earth and Planetary Science Letters","id":"ITEM-1","issued":{"date-parts":[["2018"]]},"page":"166-178","publisher":"Elsevier B.V.","title":"The initiation and evolution of the River Nile","type":"article-journal","volume":"489"},"uris":["http://www.mendeley.com/documents/?uuid=5ac9fbbd-ca8f-4385-b67a-c76215d167a1"]},{"id":"ITEM-2","itemData":{"DOI":"10.1144/jgs2016-075","ISSN":"0016-7649","author":[{"dropping-particle":"","family":"Fielding","given":"Laura","non-dropping-particle":"","parse-names":false,"suffix":""},{"dropping-particle":"","family":"Najman","given":"Yani","non-dropping-particle":"","parse-names":false,"suffix":""},{"dropping-particle":"","family":"Millar","given":"Ian L.","non-dropping-particle":"","parse-names":false,"suffix":""},{"dropping-particle":"","family":"Butterworth","given":"Peter","non-dropping-particle":"","parse-names":false,"suffix":""},{"dropping-particle":"","family":"Ando","given":"Sergio","non-dropping-particle":"","parse-names":false,"suffix":""},{"dropping-particle":"","family":"Padoan","given":"Marta","non-dropping-particle":"","parse-names":false,"suffix":""},{"dropping-particle":"","family":"Barfod","given":"Dan","non-dropping-particle":"","parse-names":false,"suffix":""},{"dropping-particle":"","family":"Kneller","given":"Ben","non-dropping-particle":"","parse-names":false,"suffix":""}],"container-title":"Journal of the Geological Society","id":"ITEM-2","issue":"2","issued":{"date-parts":[["2017"]]},"page":"301-317","title":"A detrital record of the Nile River and its catchment","type":"article-journal","volume":"174"},"uris":["http://www.mendeley.com/documents/?uuid=6faa3a38-52a4-4b31-855b-fde1bc953421"]},{"id":"ITEM-3","itemData":{"DOI":"10.1016/j.chemgeo.2015.05.004","ISSN":"00092541","abstract":"Sedimentary provenance studies increasingly apply multiple chemical, mineralogical and isotopic proxies to many samples. The resulting datasets are often so large (containing thousands of numerical values) and complex (comprising multiple dimensions) that it is warranted to use the Internet-era term ‘Big Data’ to describe them. This paper introduces Multidimensional Scaling (MDS), Generalised Procrustes Analysis (GPA) and Individual Differences Scaling (INDSCAL, a type of ‘3-way MDS’ algorithm) as simple yet powerful tools to extract geological insights from ‘Big Data’ in a provenance context. Using a dataset from the Namib Sand Sea as a test case, we show how MDS can be used to visualise the similarities and differences between 16 fluvial and aeolian sand samples for five different provenance proxies, resulting in five different ‘configurations’. These configurations can be fed into a GPA algorithm, which translates, rotates, scales and reflects them to extract a ‘consensus view’ for all the data considered together. Alternatively, the five proxies can be jointly analysed by INDSCAL, which fits the data with not one but two sets of coordinates: the ‘group configuration’, which strongly resembles the graphical output produced by GPA, and the ‘source weights’, which can be used to attach geological meaning to the group configuration. For the Namib study, the three methods paint a detailed and self-consistent picture of a sediment routing system in which sand composition is determined by the combination of provenance and hydraulic sorting effects.","author":[{"dropping-particle":"","family":"Vermeesch","given":"Pieter","non-dropping-particle":"","parse-names":false,"suffix":""},{"dropping-particle":"","family":"Garzanti","given":"Eduardo","non-dropping-particle":"","parse-names":false,"suffix":""}],"container-title":"Chemical Geology","id":"ITEM-3","issued":{"date-parts":[["2015"]]},"page":"20-27","publisher":"Elsevier B.V.","title":"Making geological sense of ‘Big Data’ in sedimentary provenance analysis","type":"article-journal","volume":"409"},"uris":["http://www.mendeley.com/documents/?uuid=90b74786-c219-436e-9664-29fc7c3b1edf"]},{"id":"ITEM-4","itemData":{"DOI":"10.1016/j.earscirev.2021.103606","ISSN":"00128252","abstract":"We here present the first comprehensive provenance study of the Sahara Desert using a combination of multiple provenance proxies and state-of-the-art statistical analysis. Our dataset comprises 44 aeolian-dune samples, collected across the region from 12°N (Nigeria) to 34°N (Tunisia) and from 33°E (Egypt) to 16°W (Mauritania) and characterized by bulk-petrography, heavy-mineral, and detrital-zircon U–Pb geochronology analyses. A set of statistical tools including Multidimensional Scaling, Correspondence Analysis, Individual Difference Scaling, and General Procrustes Analysis was applied to discriminate among sample groups with the purpose to reveal meaningful compositional patterns and infer sediment transport pathways on a geological scale. The overall homogenity across sand samples, however, precluded a detailed narrative. Saharan dune fields are, with a few local exceptions, composed of pure quartzose sand with very poor heavy-mineral suites dominated by durable zircon, tourmaline, and rutile. Some feldspars, amphibole, epidote, garnet, or staurolite occur closer to basement exposures, and carbonate grains, clinopyroxene and olivine near a basaltic field in Libya. Relatively varied compositions also characterize sand along the Nile Valley and the southern front of the Anti-Atlas fold belt in Morocco. Otherwise, from the Sahel to the Mediterranean Sea and from the Nile River to the Atlantic Ocean, sand consists nearly exclusively of quartz and durable minerals. These have been concentrated through multiple cycles of erosion, deposition, and diagenesis of Phanerozoic siliciclastic rocks during the long period of relative tectonic quiescence that followed the Neoproterozoic Pan-African orogeny, the last episode of major crustal growth in the region. The principal ultimate source of recycled sand is held to be represented by the thick blanket of quartz-rich sandstones that were deposited in the Cambro-Ordovician from the newly formed Arabian-Nubian Shield in the east to Mauritania in the west. Durability of zircon grains and their likelihood to be recycled from older sedimentary rocks argues against the assumption, too often implicitly taken for granted in provenance studies based on detrital-zircon ages, that their age distribution reflects transport pathways existing at the time of deposition rather than inheritance from multiple and remote landscapes of the past.","author":[{"dropping-particle":"","family":"Pastore","given":"Guido","non-dropping-particle":"","parse-names":false,"suffix":""},{"dropping-particle":"","family":"Baird","given":"Thomas","non-dropping-particle":"","parse-names":false,"suffix":""},{"dropping-particle":"","family":"Vermeesch","given":"Pieter","non-dropping-particle":"","parse-names":false,"suffix":""},{"dropping-particle":"","family":"Resentini","given":"Alberto","non-dropping-particle":"","parse-names":false,"suffix":""},{"dropping-particle":"","family":"Garzanti","given":"Eduardo","non-dropping-particle":"","parse-names":false,"suffix":""}],"container-title":"Earth-Science Reviews","id":"ITEM-4","issue":"March","issued":{"date-parts":[["2021"]]},"page":"103606","publisher":"Elsevier B.V.","title":"Provenance and recycling of Sahara Desert sand","type":"article-journal","volume":"216"},"uris":["http://www.mendeley.com/documents/?uuid=9fa02d86-567c-4e5a-a258-badf9574555b"]},{"id":"ITEM-5","itemData":{"DOI":"10.1016/j.earscirev.2019.02.003","ISSN":"00128252","abstract":"Understanding the tectonics that gave rise to the formation of Tibet is critical to our understanding of crustal deformation processes. The unusual geomorphology of the drainage basins of East Asia's major rivers has been proposed to be the result of either (1) distortion and attenuation of antecedent drainages as India indents into Asia, which can therefore be used as passive strain markers of horizontal shear, or (2) due to fragmentation by river captures and flow reversals of an originally continental-scale drainage, in which the major East Asian rivers once flowed into the palaeo-Red River. If the latter hypothesis is correct, then it has been proposed that dating the drainage fragmentation constrains the timing of uplift of Tibet. A number of sedimentary provenance studies have been undertaken in order to determine whether the palaeo-Red River was once a river of continental proportions into which the upper reaches of the Yangtze, Salween, Mekong, Irrawaddy, and Yarlung drained. We have assessed the evidence that the Yarlung originally flowed into the palaeo-Red river, and then sequentially into the Irrawaddy and Brahmaputra, connecting to the latter first via the Lohit and then the Siang. For this river system, we have integrated our new data from the Paleogene-Recent Irrawaddy drainage basin (detrital zircon U-Pb with Hf and fission track, rutile U-Pb, mica Ar-Ar, bulk rock Sr-Nd, and petrography) with previously published data, to produce a palaeodrainage model that is consistent with all datasets. In our model, the Yarlung never flowed into the Irrawaddy drainage: during the Paleogene, the Yarlung suture zone was an internally drained basin, and from Neogene times onwards the Yarlung drained into the Brahmaputra in the Bengal Basin. The Central Myanmar Basin, through which the Irrawaddy River flows today, received predominantly locally-derived detritus until the Middle Eocene, the Irrawaddy initiated as a through-going river draining the Mogok Metamorphic Belt and Bomi-Chayu granites to the north sometime in the Late Eocene to Early Oligocene, and the river was dominated by a stable MMB-dominated drainage throughout the Neogene to present day. Existing evidence does not support any connection between the Yarlung and the Red River in the past, but there is a paucity of suitable palaeo-Red River deposits with which to make a robust comparison. We argue that this limitation also precludes a robust assessment of a palaeo-connection between the Yang…","author":[{"dropping-particle":"","family":"Zhang","given":"Peng","non-dropping-particle":"","parse-names":false,"suffix":""},{"dropping-particle":"","family":"Najman","given":"Yani","non-dropping-particle":"","parse-names":false,"suffix":""},{"dropping-particle":"","family":"Mei","given":"Lianfu","non-dropping-particle":"","parse-names":false,"suffix":""},{"dropping-particle":"","family":"Millar","given":"Ian L.","non-dropping-particle":"","parse-names":false,"suffix":""},{"dropping-particle":"","family":"Sobel","given":"Edward R.","non-dropping-particle":"","parse-names":false,"suffix":""},{"dropping-particle":"","family":"Carter","given":"Andrew","non-dropping-particle":"","parse-names":false,"suffix":""},{"dropping-particle":"","family":"Barfod","given":"Dan","non-dropping-particle":"","parse-names":false,"suffix":""},{"dropping-particle":"","family":"Dhuime","given":"Bruno","non-dropping-particle":"","parse-names":false,"suffix":""},{"dropping-particle":"","family":"Garzanti","given":"Eduardo","non-dropping-particle":"","parse-names":false,"suffix":""},{"dropping-particle":"","family":"Govin","given":"Gwladys","non-dropping-particle":"","parse-names":false,"suffix":""},{"dropping-particle":"","family":"Vezzoli","given":"Giovanni","non-dropping-particle":"","parse-names":false,"suffix":""},{"dropping-particle":"","family":"Hu","given":"Xiaolin","non-dropping-particle":"","parse-names":false,"suffix":""}],"container-title":"Earth-Science Reviews","id":"ITEM-5","issue":"February","issued":{"date-parts":[["2019"]]},"page":"601-630","publisher":"Elsevier","title":"Palaeodrainage evolution of the large rivers of East Asia, and Himalayan-Tibet tectonics","type":"article-journal","volume":"192"},"uris":["http://www.mendeley.com/documents/?uuid=2c3dace0-8509-4b24-8a85-50dcec4beb08"]}],"mendeley":{"formattedCitation":"(Fielding et al., 2018, 2017; Pastore et al., 2021; Vermeesch and Garzanti, 2015; Zhang et al., 2019)","manualFormatting":"(e.g. Fielding et al., 2018, 2017; Pastore et al., 2021; Vermeesch and Garzanti, 2015; Zhang et al., 2019)","plainTextFormattedCitation":"(Fielding et al., 2018, 2017; Pastore et al., 2021; Vermeesch and Garzanti, 2015; Zhang et al., 2019)","previouslyFormattedCitation":"(Fielding et al., 2018, 2017; Pastore et al., 2021; Vermeesch and Garzanti, 2015; Zhang et al., 2019)"},"properties":{"noteIndex":0},"schema":"https://github.com/citation-style-language/schema/raw/master/csl-citation.json"}</w:instrText>
      </w:r>
      <w:r w:rsidR="003A2E97">
        <w:rPr>
          <w:rFonts w:ascii="Arial" w:hAnsi="Arial" w:cs="Arial"/>
        </w:rPr>
        <w:fldChar w:fldCharType="separate"/>
      </w:r>
      <w:r w:rsidR="003A2E97" w:rsidRPr="003A2E97">
        <w:rPr>
          <w:rFonts w:ascii="Arial" w:hAnsi="Arial" w:cs="Arial"/>
          <w:noProof/>
        </w:rPr>
        <w:t>(</w:t>
      </w:r>
      <w:r w:rsidR="003A2E97">
        <w:rPr>
          <w:rFonts w:ascii="Arial" w:hAnsi="Arial" w:cs="Arial"/>
          <w:noProof/>
        </w:rPr>
        <w:t xml:space="preserve">e.g. </w:t>
      </w:r>
      <w:r w:rsidR="003A2E97" w:rsidRPr="003A2E97">
        <w:rPr>
          <w:rFonts w:ascii="Arial" w:hAnsi="Arial" w:cs="Arial"/>
          <w:noProof/>
        </w:rPr>
        <w:t>Fielding et al., 2018, 2017; Pastore et al., 2021; Vermeesch and Garzanti, 2015; Zhang et al., 2019)</w:t>
      </w:r>
      <w:r w:rsidR="003A2E97">
        <w:rPr>
          <w:rFonts w:ascii="Arial" w:hAnsi="Arial" w:cs="Arial"/>
        </w:rPr>
        <w:fldChar w:fldCharType="end"/>
      </w:r>
      <w:r w:rsidR="003A2E97">
        <w:rPr>
          <w:rFonts w:ascii="Arial" w:hAnsi="Arial" w:cs="Arial"/>
        </w:rPr>
        <w:t>. Whilst s</w:t>
      </w:r>
      <w:r w:rsidR="00B016B6">
        <w:rPr>
          <w:rFonts w:ascii="Arial" w:hAnsi="Arial" w:cs="Arial"/>
        </w:rPr>
        <w:t>ome attempts already have been made by loess researcher</w:t>
      </w:r>
      <w:r w:rsidR="00A22E63">
        <w:rPr>
          <w:rFonts w:ascii="Arial" w:hAnsi="Arial" w:cs="Arial"/>
        </w:rPr>
        <w:t>s</w:t>
      </w:r>
      <w:r w:rsidR="00B016B6">
        <w:rPr>
          <w:rFonts w:ascii="Arial" w:hAnsi="Arial" w:cs="Arial"/>
        </w:rPr>
        <w:t xml:space="preserve"> e.g.</w:t>
      </w:r>
      <w:r w:rsidR="00FF4E42">
        <w:rPr>
          <w:rFonts w:ascii="Arial" w:hAnsi="Arial" w:cs="Arial"/>
        </w:rPr>
        <w:t xml:space="preserve"> </w:t>
      </w:r>
      <w:r w:rsidR="000856E8">
        <w:rPr>
          <w:rFonts w:ascii="Arial" w:hAnsi="Arial" w:cs="Arial"/>
        </w:rPr>
        <w:t xml:space="preserve">bulk sample </w:t>
      </w:r>
      <w:r w:rsidR="000856E8" w:rsidRPr="000856E8">
        <w:rPr>
          <w:rFonts w:ascii="Arial" w:hAnsi="Arial" w:cs="Arial"/>
        </w:rPr>
        <w:t>Nd, Sr</w:t>
      </w:r>
      <w:r w:rsidR="000856E8">
        <w:rPr>
          <w:rFonts w:ascii="Arial" w:hAnsi="Arial" w:cs="Arial"/>
        </w:rPr>
        <w:t>,</w:t>
      </w:r>
      <w:r w:rsidR="000856E8" w:rsidRPr="000856E8">
        <w:rPr>
          <w:rFonts w:ascii="Arial" w:hAnsi="Arial" w:cs="Arial"/>
        </w:rPr>
        <w:t xml:space="preserve"> and Hf analyses</w:t>
      </w:r>
      <w:r w:rsidR="000856E8">
        <w:rPr>
          <w:rFonts w:ascii="Arial" w:hAnsi="Arial" w:cs="Arial"/>
        </w:rPr>
        <w:t xml:space="preserve"> </w:t>
      </w:r>
      <w:r w:rsidR="000856E8">
        <w:rPr>
          <w:rFonts w:ascii="Arial" w:hAnsi="Arial" w:cs="Arial"/>
        </w:rPr>
        <w:fldChar w:fldCharType="begin" w:fldLock="1"/>
      </w:r>
      <w:r w:rsidR="007E175A">
        <w:rPr>
          <w:rFonts w:ascii="Arial" w:hAnsi="Arial" w:cs="Arial"/>
        </w:rPr>
        <w:instrText>ADDIN CSL_CITATION {"citationItems":[{"id":"ITEM-1","itemData":{"DOI":"10.1016/j.quascirev.2019.106042","ISSN":"02773791","abstract":"The Pliocene-Pleistocene boundary marks a major change in global climate and East Asian monsoon dynamic. However, the role of the global atmospheric dust-cycle over this time is unclear; in particular the degree to which changes in the dust cycle influenced climate change, were driven by climate change, and how these processes interacted. Chinese loess records past dust-cycle history and the influences of aridification and monsoon circulation over the last 40 Ma. Previous work on the Chinese Loess Plateau argue over whether changes in dust source occur at the Pliocene-Pleistocene boundary, or at 1.2 Ma, despite these intervals marking major shifts in monsoon dynamics. We present Sr, Nd and Hf isotope data from multiple sites and show that dust source largely remains unchanged across these boundaries. Shifts in geochemistry are due to changes in grain-size and weathering. While the transport pathway (river, deserts, direct aeolian) is unclear, these tracer isotopes show that dust was dominantly sourced from the Northern Tibetan Plateau, with some input from the local bedrock. This shows that a major established and constant dust source on the Tibetan Plateau has been active and unchanged since late Miocene, despite dramatically changing climate conditions. Changes in loess accumulation are a function of climate change in Tibetan Plateau source regions rather than effects from increased aridification over the Pliocene-Pleistocene boundary.","author":[{"dropping-particle":"","family":"Bird","given":"Anna F.","non-dropping-particle":"","parse-names":false,"suffix":""},{"dropping-particle":"","family":"Millar","given":"Ian L.","non-dropping-particle":"","parse-names":false,"suffix":""},{"dropping-particle":"","family":"Rodenburg","given":"Tanja","non-dropping-particle":"","parse-names":false,"suffix":""},{"dropping-particle":"","family":"Stevens","given":"Thomas","non-dropping-particle":"","parse-names":false,"suffix":""},{"dropping-particle":"","family":"Rittner","given":"Martin","non-dropping-particle":"","parse-names":false,"suffix":""},{"dropping-particle":"","family":"Vermeesch","given":"Pieter","non-dropping-particle":"","parse-names":false,"suffix":""},{"dropping-particle":"","family":"Lu","given":"Huayu","non-dropping-particle":"","parse-names":false,"suffix":""}],"container-title":"Quaternary Science Reviews","id":"ITEM-1","issued":{"date-parts":[["2020"]]},"page":"106042","publisher":"Elsevier Ltd","title":"A constant Chinese Loess Plateau dust source since the late Miocene","type":"article-journal","volume":"227"},"uris":["http://www.mendeley.com/documents/?uuid=e801baa0-4359-4091-a7e9-d875f9c3b177"]},{"id":"ITEM-2","itemData":{"DOI":"10.1016/j.chemgeo.2012.02.007","ISBN":"0009-2541","ISSN":"00092541","abstract":"Multiple competing hypotheses have been proposed to explain the source of loess dust in the Carpathian Basin yet none has been demonstrated. Here bulk and grain-size differentiated Nd and Sr isotopic and bulk and clay mineralogical compositions, together with detrital zircon ages and morphologies from loess along the Danube in the Carpathian Basin are used to demonstrate that no single method is capable of unequivocally isolating sources, yet combined, they allow for discriminating likely provenance. Zircon ages indicate multiple sources for Carpathian Basin loess, restricting the use of bulk or grain-size differentiation methods. Ambiguities are further highlighted by the fact that the Sr-Nd isotopic composition of Greenland dust is very similar to Carpathian loess. This match demonstrates that such methods are not always capable of unequivocally excluding unlikely potential source areas and implies that current hypotheses regarding the origin of Greenland dust require further evaluation. Sr isotopes are also limited by high dolomite contents of loess, while palygorskite is of questionable utility as a Saharan dust indicator due to its rapid weathering under typical Carpathian climates. In terms of specific Carpathian loess sources, alluvial fans of the Danube River likely contribute, but detrital zircon ages and morphologies suggest that a proportion directly originates from eroded uplands and local rocks throughout the basin, while detrital dolomite implies local, primary sources such as the Transdanubian Range. An upper limit of 5-10% is placed on the North African contribution to fine dust in loess of the mid-Carpathian Basin based on mineralogy and grain size. Overall, results suggest that the single grain (zircon) approach is likely the most diagnostic method to identify sources in loess studies, although to solve complex provenance issues, simultaneous consideration of the isotopic characteristics of more than one heavy (or light) mineral is required. ?? 2012 Elsevier B.V.","author":[{"dropping-particle":"","family":"Újvári","given":"Gábor","non-dropping-particle":"","parse-names":false,"suffix":""},{"dropping-particle":"","family":"Varga","given":"Andrea","non-dropping-particle":"","parse-names":false,"suffix":""},{"dropping-particle":"","family":"Ramos","given":"Frank C.","non-dropping-particle":"","parse-names":false,"suffix":""},{"dropping-particle":"","family":"Kovács","given":"János I.","non-dropping-particle":"","parse-names":false,"suffix":""},{"dropping-particle":"","family":"Németh","given":"Tibor","non-dropping-particle":"","parse-names":false,"suffix":""},{"dropping-particle":"","family":"Stevens","given":"Thomas","non-dropping-particle":"","parse-names":false,"suffix":""}],"container-title":"Chemical Geology","id":"ITEM-2","issued":{"date-parts":[["2012"]]},"page":"83-96","publisher":"Elsevier B.V.","title":"Evaluating the use of clay mineralogy, Sr-Nd isotopes and zircon U-Pb ages in tracking dust provenance: An example from loess of the Carpathian Basin","type":"article-journal","volume":"304-305"},"uris":["http://www.mendeley.com/documents/?uuid=4972a163-3568-4a70-9213-d604a9054fec"]}],"mendeley":{"formattedCitation":"(Bird et al., 2020; Újvári et al., 2012)","plainTextFormattedCitation":"(Bird et al., 2020; Újvári et al., 2012)","previouslyFormattedCitation":"(Bird et al., 2020; Újvári et al., 2012)"},"properties":{"noteIndex":0},"schema":"https://github.com/citation-style-language/schema/raw/master/csl-citation.json"}</w:instrText>
      </w:r>
      <w:r w:rsidR="000856E8">
        <w:rPr>
          <w:rFonts w:ascii="Arial" w:hAnsi="Arial" w:cs="Arial"/>
        </w:rPr>
        <w:fldChar w:fldCharType="separate"/>
      </w:r>
      <w:r w:rsidR="00B441F3" w:rsidRPr="00B441F3">
        <w:rPr>
          <w:rFonts w:ascii="Arial" w:hAnsi="Arial" w:cs="Arial"/>
          <w:noProof/>
        </w:rPr>
        <w:t>(Bird et al., 2020; Újvári et al., 2012)</w:t>
      </w:r>
      <w:r w:rsidR="000856E8">
        <w:rPr>
          <w:rFonts w:ascii="Arial" w:hAnsi="Arial" w:cs="Arial"/>
        </w:rPr>
        <w:fldChar w:fldCharType="end"/>
      </w:r>
      <w:r w:rsidR="000856E8">
        <w:rPr>
          <w:rFonts w:ascii="Arial" w:hAnsi="Arial" w:cs="Arial"/>
        </w:rPr>
        <w:t xml:space="preserve">, </w:t>
      </w:r>
      <w:r w:rsidR="00FF4E42">
        <w:rPr>
          <w:rFonts w:ascii="Arial" w:hAnsi="Arial" w:cs="Arial"/>
        </w:rPr>
        <w:t xml:space="preserve">rutile geochemistry </w:t>
      </w:r>
      <w:r w:rsidR="00FF4E42">
        <w:rPr>
          <w:rFonts w:ascii="Arial" w:hAnsi="Arial" w:cs="Arial"/>
        </w:rPr>
        <w:fldChar w:fldCharType="begin" w:fldLock="1"/>
      </w:r>
      <w:r w:rsidR="00FF4E42">
        <w:rPr>
          <w:rFonts w:ascii="Arial" w:hAnsi="Arial" w:cs="Arial"/>
        </w:rPr>
        <w:instrText>ADDIN CSL_CITATION {"citationItems":[{"id":"ITEM-1","itemData":{"DOI":"10.1016/j.quascirev.2013.06.002","ISBN":"0277-3791","ISSN":"02773791","abstract":"Trace element (Cr, Nb, Zr) geochemistry and U-Pb geochronology of detrital rutile grains provide constraints on the nature of potential metamorphic sources of loess in Austria. Cr and Nb compositions reveal rutile sources with a predominance of metapelitic lithologies for all three loess samples. By contrast, Zr-in-rutile geothermometry indicates that formation temperatures for loess rutiles around Krems (at the Bohemian Massif=BM) proved to be ca 100-125°C higher (Tmedian=717 and 737°C for two samples from Stratzing and Krems) than those at Wels (close to the Eastern Alps=EA; Tmedian=612°C), implying that rutiles in loess at Wels were derived from Alpine lower amphibolite-grade rocks, while those in loess around Krems from rocks formed under upper amphibolite to granulite-grade conditions. Metamorphic temperatures recorded in rutiles from loess at the BM closely match the 'two-reaction' thermobarometry estimates of the last high-T overprint (7-11kbar and 700-800°C) of rocks making up the Varied series and Gföhl units around Krems. This event dated at 340 to 350Ma is believed to be captured by the detrital rutile U-Pb data as well (e.g. 349±21 and 352±32 Ma). All these data demonstrate the significance of proximal BM sources (Varied series and Gföhl unit drained by the Danube) in loess formation around Krems. Fluvial transport is believed to have played a substantial role in entraining and accumulating rutiles for subsequent aeolian deflation for loess near Wels. While the ultimate sources of these grains are likely to be in the Eastern Alps, the recycling of these rutiles from the flysch zone of the EA cannot be ruled out.Despite the uncertainties of Cr-Nb-based source discriminations in some cases and the potential decoupling of Zr- and U-Pb systematics recognized in rutiles, this study demonstrates that rutiles may provide unique details on the nature and metamorphic history of their parent rocks, if used with caution and by knowing its limitations under certain conditions. It is anticipated that, beyond zircon, rutile geochemistry will become a powerful provenance tracer in loess studies too. This seems to be particularly important to gain a better understanding on the erosion and rutile fertility of different metamorphic terrains and their contributions to loess material, issues that have not been adequately addressed thus far. © 2013 Elsevier Ltd.","author":[{"dropping-particle":"","family":"Újvári","given":"Gábor","non-dropping-particle":"","parse-names":false,"suffix":""},{"dropping-particle":"","family":"Klötzli","given":"Urs","non-dropping-particle":"","parse-names":false,"suffix":""},{"dropping-particle":"","family":"Kiraly","given":"Franz","non-dropping-particle":"","parse-names":false,"suffix":""},{"dropping-particle":"","family":"Ntaflos","given":"Theodoros","non-dropping-particle":"","parse-names":false,"suffix":""}],"container-title":"Quaternary Science Reviews","id":"ITEM-1","issued":{"date-parts":[["2013","9"]]},"page":"132-142","title":"Towards identifying the origin of metamorphic components in Austrian loess: insights from detrital rutile chemistry, thermometry and U–Pb geochronology","type":"article-journal","volume":"75"},"uris":["http://www.mendeley.com/documents/?uuid=41cd2ef6-a28c-4f98-850b-d076cff714eb"]}],"mendeley":{"formattedCitation":"(Újvári et al., 2013)","plainTextFormattedCitation":"(Újvári et al., 2013)","previouslyFormattedCitation":"(Újvári et al., 2013)"},"properties":{"noteIndex":0},"schema":"https://github.com/citation-style-language/schema/raw/master/csl-citation.json"}</w:instrText>
      </w:r>
      <w:r w:rsidR="00FF4E42">
        <w:rPr>
          <w:rFonts w:ascii="Arial" w:hAnsi="Arial" w:cs="Arial"/>
        </w:rPr>
        <w:fldChar w:fldCharType="separate"/>
      </w:r>
      <w:r w:rsidR="00FF4E42" w:rsidRPr="008612C3">
        <w:rPr>
          <w:rFonts w:ascii="Arial" w:hAnsi="Arial" w:cs="Arial"/>
          <w:noProof/>
        </w:rPr>
        <w:t>(Újvári et al., 2013)</w:t>
      </w:r>
      <w:r w:rsidR="00FF4E42">
        <w:rPr>
          <w:rFonts w:ascii="Arial" w:hAnsi="Arial" w:cs="Arial"/>
        </w:rPr>
        <w:fldChar w:fldCharType="end"/>
      </w:r>
      <w:r w:rsidR="00FF4E42">
        <w:rPr>
          <w:rFonts w:ascii="Arial" w:hAnsi="Arial" w:cs="Arial"/>
        </w:rPr>
        <w:t xml:space="preserve">, </w:t>
      </w:r>
      <w:r w:rsidR="00B016B6">
        <w:rPr>
          <w:rFonts w:ascii="Arial" w:hAnsi="Arial" w:cs="Arial"/>
        </w:rPr>
        <w:t xml:space="preserve">mineral assemblages </w:t>
      </w:r>
      <w:r w:rsidR="00B016B6">
        <w:rPr>
          <w:rFonts w:ascii="Arial" w:hAnsi="Arial" w:cs="Arial"/>
        </w:rPr>
        <w:fldChar w:fldCharType="begin" w:fldLock="1"/>
      </w:r>
      <w:r w:rsidR="00B016B6">
        <w:rPr>
          <w:rFonts w:ascii="Arial" w:hAnsi="Arial" w:cs="Arial"/>
        </w:rPr>
        <w:instrText>ADDIN CSL_CITATION {"citationItems":[{"id":"ITEM-1","itemData":{"DOI":"10.1038/ncomms9511","abstract":"Marine accumulations of terrigenous sediment are widely assumed to accurately record climatic- and tectonic-controlled mountain denudation and play an important role in understanding late Cenozoic mountain uplift and global cooling. Underpinning this is the assumption that the majority of sediment eroded from hinterland orogenic belts is transported to and ultimately stored in marine basins with little lag between erosion and deposition. Here we use a detailed and multi-technique sedimentary provenance dataset from the Yellow River to show that substantial amounts of sediment eroded from Northeast Tibet and carried by the river’s upper reach are stored in the Chinese Loess Plateau and the western Mu Us desert. This finding revises our understanding of the origin of the Chinese Loess Plateau and provides a potential solution for mismatches between late Cenozoic terrestrial sedimentation and marine geochemistry records, as well as between global CO2 and erosion records.","author":[{"dropping-particle":"","family":"Nie","given":"Junsheng","non-dropping-particle":"","parse-names":false,"suffix":""},{"dropping-particle":"","family":"Stevens","given":"Thomas","non-dropping-particle":"","parse-names":false,"suffix":""},{"dropping-particle":"","family":"Rittner","given":"Martin","non-dropping-particle":"","parse-names":false,"suffix":""},{"dropping-particle":"","family":"Stockli","given":"Daniel F.","non-dropping-particle":"","parse-names":false,"suffix":""},{"dropping-particle":"","family":"Garzanti","given":"Eduardo","non-dropping-particle":"","parse-names":false,"suffix":""},{"dropping-particle":"","family":"Limonta","given":"Mara","non-dropping-particle":"","parse-names":false,"suffix":""},{"dropping-particle":"","family":"Vermeesch","given":"Pieter","non-dropping-particle":"","parse-names":false,"suffix":""},{"dropping-particle":"","family":"Saylor","given":"Joel E.","non-dropping-particle":"","parse-names":false,"suffix":""},{"dropping-particle":"","family":"Lu","given":"Huayu","non-dropping-particle":"","parse-names":false,"suffix":""},{"dropping-particle":"","family":"Breecker","given":"Daniel","non-dropping-particle":"","parse-names":false,"suffix":""},{"dropping-particle":"","family":"Hu","given":"Xiaofei","non-dropping-particle":"","parse-names":false,"suffix":""},{"dropping-particle":"","family":"Bird","given":"Anna F.","non-dropping-particle":"","parse-names":false,"suffix":""},{"dropping-particle":"","family":"Ando","given":"Sergio","non-dropping-particle":"","parse-names":false,"suffix":""},{"dropping-particle":"","family":"Liu","given":"Shanpin","non-dropping-particle":"","parse-names":false,"suffix":""},{"dropping-particle":"","family":"Resentini","given":"Alberto","non-dropping-particle":"","parse-names":false,"suffix":""},{"dropping-particle":"","family":"Vezzoli","given":"Giovanni","non-dropping-particle":"","parse-names":false,"suffix":""},{"dropping-particle":"","family":"Peng","given":"Wenbin","non-dropping-particle":"","parse-names":false,"suffix":""},{"dropping-particle":"","family":"Carter","given":"Andrew","non-dropping-particle":"","parse-names":false,"suffix":""},{"dropping-particle":"","family":"Ji","given":"Shunchuan","non-dropping-particle":"","parse-names":false,"suffix":""},{"dropping-particle":"","family":"Pan","given":"Baotian","non-dropping-particle":"","parse-names":false,"suffix":""}],"container-title":"Nature Communications","id":"ITEM-1","issued":{"date-parts":[["2015"]]},"title":"Loess Plateau storage of Northeastern Tibetan Plateau-derived Yellow River sediment","type":"article-journal","volume":"6"},"uris":["http://www.mendeley.com/documents/?uuid=2a84c5b0-8d86-40c9-bd7b-441b4e1599d9"]},{"id":"ITEM-2","itemData":{"DOI":"10.1016/j.quascirev.2012.11.032","ISSN":"02773791","author":[{"dropping-particle":"","family":"Stevens","given":"Thomas","non-dropping-particle":"","parse-names":false,"suffix":""},{"dropping-particle":"","family":"Carter","given":"Andrew","non-dropping-particle":"","parse-names":false,"suffix":""},{"dropping-particle":"","family":"Watson","given":"T. P.","non-dropping-particle":"","parse-names":false,"suffix":""},{"dropping-particle":"","family":"Vermeesch","given":"Pieter","non-dropping-particle":"","parse-names":false,"suffix":""},{"dropping-particle":"","family":"Andò","given":"Sergio","non-dropping-particle":"","parse-names":false,"suffix":""},{"dropping-particle":"","family":"Bird","given":"Anna F.","non-dropping-particle":"","parse-names":false,"suffix":""},{"dropping-particle":"","family":"Lu","given":"Huayu","non-dropping-particle":"","parse-names":false,"suffix":""},{"dropping-particle":"","family":"Garzanti","given":"Eduardo","non-dropping-particle":"","parse-names":false,"suffix":""},{"dropping-particle":"","family":"Cottam","given":"M. A.","non-dropping-particle":"","parse-names":false,"suffix":""},{"dropping-particle":"","family":"Sevastjanova","given":"I.","non-dropping-particle":"","parse-names":false,"suffix":""}],"container-title":"Quaternary Science Reviews","id":"ITEM-2","issued":{"date-parts":[["2013"]]},"page":"355-368","title":"Genetic linkage between the Yellow River, the Mu Us desert and the Chinese Loess Plateau","type":"article-journal","volume":"78"},"uris":["http://www.mendeley.com/documents/?uuid=a343d92d-e6e1-433c-992e-f5f6024f8cfe"]}],"mendeley":{"formattedCitation":"(Nie et al., 2015; Stevens et al., 2013)","plainTextFormattedCitation":"(Nie et al., 2015; Stevens et al., 2013)","previouslyFormattedCitation":"(Nie et al., 2015; Stevens et al., 2013)"},"properties":{"noteIndex":0},"schema":"https://github.com/citation-style-language/schema/raw/master/csl-citation.json"}</w:instrText>
      </w:r>
      <w:r w:rsidR="00B016B6">
        <w:rPr>
          <w:rFonts w:ascii="Arial" w:hAnsi="Arial" w:cs="Arial"/>
        </w:rPr>
        <w:fldChar w:fldCharType="separate"/>
      </w:r>
      <w:r w:rsidR="00B016B6" w:rsidRPr="009A1702">
        <w:rPr>
          <w:rFonts w:ascii="Arial" w:hAnsi="Arial" w:cs="Arial"/>
          <w:noProof/>
        </w:rPr>
        <w:t>(Nie et al., 2015; Stevens et al., 2013)</w:t>
      </w:r>
      <w:r w:rsidR="00B016B6">
        <w:rPr>
          <w:rFonts w:ascii="Arial" w:hAnsi="Arial" w:cs="Arial"/>
        </w:rPr>
        <w:fldChar w:fldCharType="end"/>
      </w:r>
      <w:r w:rsidR="00B016B6">
        <w:rPr>
          <w:rFonts w:ascii="Arial" w:hAnsi="Arial" w:cs="Arial"/>
        </w:rPr>
        <w:t xml:space="preserve">, </w:t>
      </w:r>
      <w:r w:rsidR="00FF4E42">
        <w:rPr>
          <w:rFonts w:ascii="Arial" w:hAnsi="Arial" w:cs="Arial"/>
        </w:rPr>
        <w:t xml:space="preserve">and garnet analysis </w:t>
      </w:r>
      <w:r w:rsidR="00FF4E42">
        <w:rPr>
          <w:rFonts w:ascii="Arial" w:hAnsi="Arial" w:cs="Arial"/>
        </w:rPr>
        <w:fldChar w:fldCharType="begin" w:fldLock="1"/>
      </w:r>
      <w:r w:rsidR="00FF4E42">
        <w:rPr>
          <w:rFonts w:ascii="Arial" w:hAnsi="Arial" w:cs="Arial"/>
        </w:rPr>
        <w:instrText>ADDIN CSL_CITATION {"citationItems":[{"id":"ITEM-1","itemData":{"DOI":"10.1017/qua.2017.86","ISSN":"10960287","abstract":"Copyright © University of Washington. Published by Cambridge University Press, 2017. The Chinese Loess Plateau, the world's largest and oldest loess record, preserves evidence of Asia's long-term dust source dynamics, but there is uncertainty over the source of the deposits. Recent single-grain detrital zircon U-Pb age analysis has progressed this issue, but debates remain about source changes, and the generation and interpretation of zircon data. To address this, we analyze different groupings of new and existing datasets from the Loess Plateau and potential sources. We also present the results of a first high resolution sampling, multi-proxy provenance analysis of Beiguoyuan loess using U-Pb dating of detrital zircons and detrital garnet geochemistry. The data shows that some small source differences seem to exist between different areas on the Loess Plateau. However, sediment source appears to be unchanging between loess and palaeosols, supporting a recent material recycling hypothesis. Our zircon and garnet data demonstrates, however, that Beiguoyuan experienced a temporary, abrupt source shift during the last glacial maximum, implying that local dust sources became periodically active during the Quaternary. Our results highlight that grouping data to achieve bigger datasets could cause identification of misleading trends. Additionally, we suggest that multi-proxy single-grain approaches are required to gain further insight into Chinese Loess Plateau dust sources.","author":[{"dropping-particle":"","family":"Fenn","given":"Kaja","non-dropping-particle":"","parse-names":false,"suffix":""},{"dropping-particle":"","family":"Stevens","given":"Thomas","non-dropping-particle":"","parse-names":false,"suffix":""},{"dropping-particle":"","family":"Bird","given":"Anna F.","non-dropping-particle":"","parse-names":false,"suffix":""},{"dropping-particle":"","family":"Limonta","given":"Mara","non-dropping-particle":"","parse-names":false,"suffix":""},{"dropping-particle":"","family":"Rittner","given":"Martin","non-dropping-particle":"","parse-names":false,"suffix":""},{"dropping-particle":"","family":"Vermeesch","given":"Pieter","non-dropping-particle":"","parse-names":false,"suffix":""},{"dropping-particle":"","family":"Andò","given":"Sergio","non-dropping-particle":"","parse-names":false,"suffix":""},{"dropping-particle":"","family":"Garzanti","given":"Eduardo","non-dropping-particle":"","parse-names":false,"suffix":""},{"dropping-particle":"","family":"Lu","given":"Huayu","non-dropping-particle":"","parse-names":false,"suffix":""},{"dropping-particle":"","family":"Zhang","given":"Hanzhi","non-dropping-particle":"","parse-names":false,"suffix":""},{"dropping-particle":"","family":"Lin","given":"Z.","non-dropping-particle":"","parse-names":false,"suffix":""}],"container-title":"Quaternary Research","id":"ITEM-1","issue":"3","issued":{"date-parts":[["2018"]]},"title":"Insights into the provenance of the Chinese Loess Plateau from joint zircon U-Pb and garnet geochemical analysis of last glacial loess","type":"article-journal","volume":"89"},"uris":["http://www.mendeley.com/documents/?uuid=8b29aad1-fceb-3d26-a2de-f3b69e3fda4f"]}],"mendeley":{"formattedCitation":"(Fenn et al., 2018)","plainTextFormattedCitation":"(Fenn et al., 2018)","previouslyFormattedCitation":"(Fenn et al., 2018)"},"properties":{"noteIndex":0},"schema":"https://github.com/citation-style-language/schema/raw/master/csl-citation.json"}</w:instrText>
      </w:r>
      <w:r w:rsidR="00FF4E42">
        <w:rPr>
          <w:rFonts w:ascii="Arial" w:hAnsi="Arial" w:cs="Arial"/>
        </w:rPr>
        <w:fldChar w:fldCharType="separate"/>
      </w:r>
      <w:r w:rsidR="00FF4E42" w:rsidRPr="008612C3">
        <w:rPr>
          <w:rFonts w:ascii="Arial" w:hAnsi="Arial" w:cs="Arial"/>
          <w:noProof/>
        </w:rPr>
        <w:t>(Fenn et al., 2018)</w:t>
      </w:r>
      <w:r w:rsidR="00FF4E42">
        <w:rPr>
          <w:rFonts w:ascii="Arial" w:hAnsi="Arial" w:cs="Arial"/>
        </w:rPr>
        <w:fldChar w:fldCharType="end"/>
      </w:r>
      <w:r w:rsidR="00FF4E42">
        <w:rPr>
          <w:rFonts w:ascii="Arial" w:hAnsi="Arial" w:cs="Arial"/>
        </w:rPr>
        <w:t>, these need to become the norm.</w:t>
      </w:r>
      <w:r w:rsidR="00B016B6">
        <w:rPr>
          <w:rFonts w:ascii="Arial" w:hAnsi="Arial" w:cs="Arial"/>
        </w:rPr>
        <w:t xml:space="preserve"> </w:t>
      </w:r>
      <w:r w:rsidR="008B42F3">
        <w:rPr>
          <w:rFonts w:ascii="Arial" w:hAnsi="Arial" w:cs="Arial"/>
        </w:rPr>
        <w:t>A</w:t>
      </w:r>
      <w:r w:rsidR="000856E8">
        <w:rPr>
          <w:rFonts w:ascii="Arial" w:hAnsi="Arial" w:cs="Arial"/>
        </w:rPr>
        <w:t xml:space="preserve"> first step should be focused on combining single grain studies with the wealth of bulk sample elemental composition data that is available for loess profiles </w:t>
      </w:r>
      <w:r w:rsidR="000856E8">
        <w:rPr>
          <w:rFonts w:ascii="Arial" w:hAnsi="Arial" w:cs="Arial"/>
        </w:rPr>
        <w:fldChar w:fldCharType="begin" w:fldLock="1"/>
      </w:r>
      <w:r w:rsidR="00B441F3">
        <w:rPr>
          <w:rFonts w:ascii="Arial" w:hAnsi="Arial" w:cs="Arial"/>
        </w:rPr>
        <w:instrText>ADDIN CSL_CITATION {"citationItems":[{"id":"ITEM-1","itemData":{"DOI":"10.1016/j.geoderma.2020.114459","ISSN":"00167061","abstract":"In order to determine the provenance of material, the Late Pleistocene loess-palaeosol sequence in Złota (Poland) was analysed geochemically (ICP-MS, ICP-ES) and mineralogically (QEMSCAN®), investigating simultaneously the weathering signature and effect of sedimentary sorting. A total number of 39 loess and soil samples were tested for the geochemical composition, and 5 for the mineralogy. The investigated samples, compared to upper continental crust, are enriched with elements such as Si, Zr, Hf, Nb, Ta, Th, U and rare earth elements (especially the heavy rare earth elements) related rather to felsic igneous rocks. The enrichment of only two mafic elements (Ti and Cr) can be explained by heavy minerals admixture. Loess in Złota is strongly mixed and homogenized during transportation and/or sedimentary recycling. For each sample the uniform shape of the chondrite-normalized rare earth elements patterns were found, characterized by steep light rare elements (LaN/SmN = 3.45 – 4.08, avg. 3.81), constant negative Eu anomalies (Eu/Eu* = 0.50–0.63; avg. 0.56) and distinctly flat heavy rare earth elements (GdN/YbN = 1.17–1.45, avg. 1.28). The material is not significantly affected by chemical weathering and the post-depositional modifications are not particularly important for the trace element composition both in loess and soils (e.g. Th/U = 3.1–4.65, avg. 3.64; Ce/Ce* = 0.96–1.09, avg. 1.01; LaN/YbN = 6.22–7.93, avg. 6.94). The research reveals that relatively “fresh”, felsic-related parent material has been well-mixed during transportation, but post-depositional alterations (related only to the pedogenesis) have not been intense enough to mask their chemical signature. The investigated material has been probably originated in Scandinavia (likely Norway), but deflated directly from the glacial drift covering the terrain of Poland.","author":[{"dropping-particle":"","family":"Skurzyński","given":"Jacek","non-dropping-particle":"","parse-names":false,"suffix":""},{"dropping-particle":"","family":"Jary","given":"Zdzisław","non-dropping-particle":"","parse-names":false,"suffix":""},{"dropping-particle":"","family":"Kenis","given":"Piotr","non-dropping-particle":"","parse-names":false,"suffix":""},{"dropping-particle":"","family":"Kubik","given":"Rafał","non-dropping-particle":"","parse-names":false,"suffix":""},{"dropping-particle":"","family":"Moska","given":"Piotr","non-dropping-particle":"","parse-names":false,"suffix":""},{"dropping-particle":"","family":"Raczyk","given":"Jerzy","non-dropping-particle":"","parse-names":false,"suffix":""},{"dropping-particle":"","family":"Seul","given":"Cyprian","non-dropping-particle":"","parse-names":false,"suffix":""}],"container-title":"Geoderma","id":"ITEM-1","issue":"May","issued":{"date-parts":[["2020"]]},"title":"Geochemistry and mineralogy of the Late Pleistocene loess-palaeosol sequence in Złota (near Sandomierz, Poland): Implications for weathering, sedimentary recycling and provenance","type":"article-journal","volume":"375"},"uris":["http://www.mendeley.com/documents/?uuid=ae1338d3-c45f-4354-ac80-3818681f4fea"]},{"id":"ITEM-2","itemData":{"DOI":"10.1016/j.quascirev.2008.01.018","ISBN":"0277-3791","ISSN":"02773791","abstract":"The loess/paleosol sections of Batajnica/Stari Slankamen (Serbia), Mircea Voda (Romania) and Stary Kaydaky (Ukraine) were geochemically characterized based on discriminant analysis of major and trace elements, the ratios of Al/Ti, Fe/Ti and Al/Fe, the A-CN-K ternary plot and element enrichment/depletion relative to the average composition of the upper continental crust. The origin of the loess material in the southern Pannonian Basin (Vojvodina), the lower Danube Basin/Dobrudja and the Dnieper area was evaluated by comparison with the representative element composition of possible source areas and by considering the geomorphodynamic setting. Also the background values of the initial magnetic susceptibility of the loesses were taken into account. For the lower Danube Basin, Dobrudja and the Ukraine, paleowind direction was reconstructed based on the geographic distribution of sandy soil texture and dunes related to river systems. Finally, loesses were evaluated as possible samples of the average upper continental crust. Our results show that Danube and Dnieper loess areas can be clearly distinguished. The former reveal higher Al and Fe contents, the latter higher Si, Zr, Hf content and indications of effective mineral and grain size sorting. We can confirm that Vojvodina loess originated from Danube alluvial material and loess of the Dnieper area from glaciofluvial sediments of the Fennoscandinavian ice sheet. The Dobrudja loess derived also predominantly from Danube alluvium, but shows significant contribution of a second loess source, probably the glaciofluvial sediments of the Ukraine. This was forced by northerly katabatic winds from the Fennoscandinavian ice sheet, whereas WNW winds prevailed in the Western Walachian plain. The studied loesses reflect the average composition of the upper continental crust. Yet, biases exist due to selective mineral/element enrichment and depletion in the course of previous sedimentary recycling phases, respectively. Material of all studied loess deposits seems to derive originally from sedimentary rocks.","author":[{"dropping-particle":"","family":"Buggle","given":"Björn","non-dropping-particle":"","parse-names":false,"suffix":""},{"dropping-particle":"","family":"Glaser","given":"Bruno","non-dropping-particle":"","parse-names":false,"suffix":""},{"dropping-particle":"","family":"Zöller","given":"Ludwig","non-dropping-particle":"","parse-names":false,"suffix":""},{"dropping-particle":"","family":"Hambach","given":"Ulrich","non-dropping-particle":"","parse-names":false,"suffix":""},{"dropping-particle":"","family":"Marković","given":"Slobodan B.","non-dropping-particle":"","parse-names":false,"suffix":""},{"dropping-particle":"","family":"Glaser","given":"Irina","non-dropping-particle":"","parse-names":false,"suffix":""},{"dropping-particle":"","family":"Gerasimenko","given":"Natalia P.","non-dropping-particle":"","parse-names":false,"suffix":""}],"container-title":"Quaternary Science Reviews","id":"ITEM-2","issue":"9-10","issued":{"date-parts":[["2008"]]},"page":"1058-1075","title":"Geochemical characterization and origin of Southeastern and Eastern European loesses (Serbia, Romania, Ukraine)","type":"article-journal","volume":"27"},"uris":["http://www.mendeley.com/documents/?uuid=193d86ce-b241-49e3-a1ef-f8a8bd32eeb3"]},{"id":"ITEM-3","itemData":{"DOI":"10.1016/j.quascirev.2010.08.004","ISSN":"02773791","abstract":"The provenance of middle Pleistocene loess in the middle and lower reaches of the Yangtze River, the most intensively investigated loess deposits outside the Loess Plateau region in China, remains controversial. Identification of the provenance will provide crucial insight into the environmental implications of this valuable sedimentary archive, and into the potential role of the East Asian winter monsoon in transporting the dust from deserts in the Asian interior. In this study, geochemistry was used to compare the provenance of loess in the lower reaches of the Yangtze River in southern China with that inferred for loess deposits on the Loess Plateau in northern China. Compared with samples from the Loess Plateau, the &lt;20 μm fraction in the loess deposits of southern China has higher TiO2/Al2O3, Zr/Nb, Zr/Al, Zr/Ti, Zr/Hf, Y/Al and LaN/SmN ratios, and lower Eu/Eu*, Th/Nb, Y/Nb and Al/Nb ratios. The clear distinction in immobile element ratios between samples from the two regions indicates that the loess deposits in the two regions have different provenances. The inferred difference in source area is also supported by variations in the major element composition of bulk samples obtained in this study and collected from published data. These lines of evidence indicate that the deserts in the Asian interior are not the primary provenance for the southern loess. It is suggested that the adjacent floodplains to the north of Yangtze River are the dominant dust sources, and the occurrence of sustained loess deposits in the lower reaches of the Yangtze River, currently an area of northern subtropical climate, is an indication of local aridification and strengthened winter monsoon activity during glacial periods as a regional response to the Middle Pleistocene climate transition around 0.8 Ma. The role of the East Asian winter monsoon in transporting the dust from northern deserts to southern China has been overestimated in previous studies. © 2010 Elsevier Ltd.","author":[{"dropping-particle":"","family":"Hao","given":"Qingzhen","non-dropping-particle":"","parse-names":false,"suffix":""},{"dropping-particle":"","family":"Guo","given":"Zhengtang","non-dropping-particle":"","parse-names":false,"suffix":""},{"dropping-particle":"","family":"Qiao","given":"Yansong","non-dropping-particle":"","parse-names":false,"suffix":""},{"dropping-particle":"","family":"Xu","given":"Bing","non-dropping-particle":"","parse-names":false,"suffix":""},{"dropping-particle":"","family":"Oldfield","given":"Frank","non-dropping-particle":"","parse-names":false,"suffix":""}],"container-title":"Quaternary Science Reviews","id":"ITEM-3","issue":"23-24","issued":{"date-parts":[["2010"]]},"page":"3317-3326","title":"Geochemical evidence for the provenance of middle Pleistocene loess deposits in southern China","type":"article-journal","volume":"29"},"uris":["http://www.mendeley.com/documents/?uuid=79d5cea4-eb60-4e54-84ff-70910b4cf837"]},{"id":"ITEM-4","itemData":{"DOI":"10.1016/j.quaint.2010.10.032","ISBN":"1040-6182","ISSN":"10406182","abstract":"The role of two major factors, climate and tectonism, in controlling loess-paleosol evolution has been evaluated in the present study based on a multi-proxy dataset comprising mollusc, bulk and clay mineralogical, and geochemical data. A recent trend has been to use chemical indices such as the chemical index of alteration (CIA) for paleoclimate reconstructions in loess-paleosol sequences spanning several hundreds of thousands of years, but without any tectonic interpretation. Possible effects of geodynamic factors on physical erosion, chemical weathering and consequently weathering proxies are discussed. Clearly, the relative rates of physical erosion and chemical weathering in a sedimentary environment could be significantly influenced by geodynamic factors and governed not just by climate. Intensifying tectonic uplift gives rise to enhanced physical erosion, leading to increased supply of fresh mineral surfaces having less time to react with weathering agents. In theory, this process may point towards decreasing chemical weathering in a sequence without any real changes of climate. In the studied loess-paleosol sequence at Beremend (Hungary) a trend of decreasing chemical weathering has been observed, which can be explained by a global climate deterioration and accelerating uplift in and around the sedimentary basin. Increasing dust sedimentation could theoretically also contribute to this process as a result of increasing aridification and wind strength reflecting climate change in weathering records following a non-linear amplification. The findings refer to the fact that the impact of tectonism should also be taken into consideration in tracing past chemical weathering trends on timescales of hundreds of thousands (or millions) of years. This is because tectonic effects may impose on the CIA signal and distort it suggesting a potential bias in reconstructing paleoclimate change based only on this proxy from certain loess sequences associated with young orogenic belts. © 2010 Elsevier Ltd and INQUA.","author":[{"dropping-particle":"","family":"Varga","given":"Andrea","non-dropping-particle":"","parse-names":false,"suffix":""},{"dropping-particle":"","family":"Újvári","given":"Gábor","non-dropping-particle":"","parse-names":false,"suffix":""},{"dropping-particle":"","family":"Raucsik","given":"Béla","non-dropping-particle":"","parse-names":false,"suffix":""}],"container-title":"Quaternary International","id":"ITEM-4","issue":"1-2","issued":{"date-parts":[["2011"]]},"page":"71-86","publisher":"Elsevier Ltd and INQUA","title":"Tectonic versus climatic control on the evolution of a loess-paleosol sequence at Beremend, Hungary: An integrated approach based on paleoecological, clay mineralogical, and geochemical data","type":"article-journal","volume":"240"},"uris":["http://www.mendeley.com/documents/?uuid=1311019e-bfa6-4800-be8e-a0f3d4b6574b"]},{"id":"ITEM-5","itemData":{"DOI":"10.1016/j.quaint.2012.04.004","ISSN":"10406182","author":[{"dropping-particle":"","family":"Újvári","given":"Gábor","non-dropping-particle":"","parse-names":false,"suffix":""},{"dropping-particle":"","family":"Varga","given":"Andrea","non-dropping-particle":"","parse-names":false,"suffix":""},{"dropping-particle":"","family":"Raucsik","given":"Béla","non-dropping-particle":"","parse-names":false,"suffix":""},{"dropping-particle":"","family":"Kovács","given":"János I.","non-dropping-particle":"","parse-names":false,"suffix":""}],"container-title":"Quaternary International","id":"ITEM-5","issued":{"date-parts":[["2014"]]},"note":"Geochemical characterisation of Paks profile. Very detailed and high resolution. Focus more on weathering history and changes over long-time scale (0.8Ma)\nPotential for comparisons with other sites described in Ujvari et ak 2008\n\nAs for provenance the main suggestion is that its likely sourced from alluvium and local geologies agin contradicting Smalley et al 2009","page":"22-37","publisher":"Elsevier Ltd and INQUA","title":"The Paks loess-paleosol sequence: A record of chemical weathering and provenance for the last 800ka in the mid-Carpathian Basin","type":"article-journal","volume":"319"},"uris":["http://www.mendeley.com/documents/?uuid=bd86c3ac-b715-443e-be1a-56e65203fd23"]},{"id":"ITEM-6","itemData":{"DOI":"10.1016/j.aeolia.2019.100561","author":[{"dropping-particle":"","family":"Bosq","given":"Mathieu","non-dropping-particle":"","parse-names":false,"suffix":""},{"dropping-particle":"","family":"Bertran","given":"Pascal","non-dropping-particle":"","parse-names":false,"suffix":""},{"dropping-particle":"","family":"Degeai","given":"Jean Philippe","non-dropping-particle":"","parse-names":false,"suffix":""},{"dropping-particle":"","family":"Que","given":"Alain","non-dropping-particle":"","parse-names":false,"suffix":""},{"dropping-particle":"","family":"Moine","given":"Olivier","non-dropping-particle":"","parse-names":false,"suffix":""}],"container-title":"Aeolian Research","id":"ITEM-6","issued":{"date-parts":[["2020"]]},"page":"100561","title":"Geochemical signature of sources, recycling and weathering in the Last Glacial loess from the Rhône Valley (southeast France) and comparison with other European regions","type":"article-journal","volume":"42"},"uris":["http://www.mendeley.com/documents/?uuid=77916dad-e876-4447-976a-a5116990e47e"]}],"mendeley":{"formattedCitation":"(Bosq et al., 2020; Buggle et al., 2008; Hao et al., 2010; Skurzyński et al., 2020; Újvári et al., 2014; Varga et al., 2011)","plainTextFormattedCitation":"(Bosq et al., 2020; Buggle et al., 2008; Hao et al., 2010; Skurzyński et al., 2020; Újvári et al., 2014; Varga et al., 2011)","previouslyFormattedCitation":"(Bosq et al., 2020; Buggle et al., 2008; Hao et al., 2010; Skurzyński et al., 2020; Újvári et al., 2014; Varga et al., 2011)"},"properties":{"noteIndex":0},"schema":"https://github.com/citation-style-language/schema/raw/master/csl-citation.json"}</w:instrText>
      </w:r>
      <w:r w:rsidR="000856E8">
        <w:rPr>
          <w:rFonts w:ascii="Arial" w:hAnsi="Arial" w:cs="Arial"/>
        </w:rPr>
        <w:fldChar w:fldCharType="separate"/>
      </w:r>
      <w:r w:rsidR="000856E8" w:rsidRPr="000856E8">
        <w:rPr>
          <w:rFonts w:ascii="Arial" w:hAnsi="Arial" w:cs="Arial"/>
          <w:noProof/>
        </w:rPr>
        <w:t>(Bosq et al., 2020; Buggle et al., 2008; Hao et al., 2010; Skurzyński et al., 2020; Újvári et al., 2014; Varga et al., 2011)</w:t>
      </w:r>
      <w:r w:rsidR="000856E8">
        <w:rPr>
          <w:rFonts w:ascii="Arial" w:hAnsi="Arial" w:cs="Arial"/>
        </w:rPr>
        <w:fldChar w:fldCharType="end"/>
      </w:r>
      <w:r w:rsidR="000856E8">
        <w:rPr>
          <w:rFonts w:ascii="Arial" w:hAnsi="Arial" w:cs="Arial"/>
        </w:rPr>
        <w:t>.</w:t>
      </w:r>
    </w:p>
    <w:bookmarkEnd w:id="110"/>
    <w:p w14:paraId="18A73A62" w14:textId="00034890" w:rsidR="00DA2079" w:rsidRPr="00964EE7" w:rsidRDefault="00DA2079" w:rsidP="00390AF2">
      <w:pPr>
        <w:pStyle w:val="Heading1"/>
        <w:numPr>
          <w:ilvl w:val="0"/>
          <w:numId w:val="34"/>
        </w:numPr>
        <w:spacing w:before="120" w:after="120" w:line="480" w:lineRule="auto"/>
        <w:ind w:left="567" w:hanging="567"/>
        <w:jc w:val="both"/>
        <w:rPr>
          <w:rFonts w:ascii="Arial" w:hAnsi="Arial" w:cs="Arial"/>
          <w:b/>
          <w:color w:val="auto"/>
          <w:sz w:val="24"/>
        </w:rPr>
      </w:pPr>
      <w:r w:rsidRPr="00964EE7">
        <w:rPr>
          <w:rFonts w:ascii="Arial" w:hAnsi="Arial" w:cs="Arial"/>
          <w:b/>
          <w:color w:val="auto"/>
          <w:sz w:val="24"/>
        </w:rPr>
        <w:t>Conclusions</w:t>
      </w:r>
    </w:p>
    <w:p w14:paraId="3264685F" w14:textId="6D169015" w:rsidR="00A67BE7" w:rsidRDefault="001C3D4F" w:rsidP="00614941">
      <w:pPr>
        <w:spacing w:before="120" w:after="120" w:line="480" w:lineRule="auto"/>
        <w:jc w:val="both"/>
        <w:rPr>
          <w:rFonts w:ascii="Arial" w:hAnsi="Arial" w:cs="Arial"/>
        </w:rPr>
      </w:pPr>
      <w:r>
        <w:rPr>
          <w:rFonts w:ascii="Arial" w:hAnsi="Arial" w:cs="Arial"/>
        </w:rPr>
        <w:t xml:space="preserve">This study presents </w:t>
      </w:r>
      <w:r w:rsidR="00BA20EE">
        <w:rPr>
          <w:rFonts w:ascii="Arial" w:hAnsi="Arial" w:cs="Arial"/>
        </w:rPr>
        <w:t xml:space="preserve">the </w:t>
      </w:r>
      <w:r w:rsidR="001C46C8">
        <w:rPr>
          <w:rFonts w:ascii="Arial" w:hAnsi="Arial" w:cs="Arial"/>
        </w:rPr>
        <w:t>findings</w:t>
      </w:r>
      <w:r>
        <w:rPr>
          <w:rFonts w:ascii="Arial" w:hAnsi="Arial" w:cs="Arial"/>
        </w:rPr>
        <w:t xml:space="preserve"> of </w:t>
      </w:r>
      <w:r w:rsidR="00BA20EE">
        <w:rPr>
          <w:rFonts w:ascii="Arial" w:hAnsi="Arial" w:cs="Arial"/>
        </w:rPr>
        <w:t xml:space="preserve">the </w:t>
      </w:r>
      <w:r>
        <w:rPr>
          <w:rFonts w:ascii="Arial" w:hAnsi="Arial" w:cs="Arial"/>
        </w:rPr>
        <w:t xml:space="preserve">provenance investigation, using zircon U-Pb dating and Hf isotopes, of loess-palaeosol deposits </w:t>
      </w:r>
      <w:r w:rsidR="00495491" w:rsidRPr="00495491">
        <w:rPr>
          <w:rFonts w:ascii="Arial" w:hAnsi="Arial" w:cs="Arial"/>
        </w:rPr>
        <w:t>along the middle and lower reaches of the Danube River</w:t>
      </w:r>
      <w:r>
        <w:rPr>
          <w:rFonts w:ascii="Arial" w:hAnsi="Arial" w:cs="Arial"/>
        </w:rPr>
        <w:t xml:space="preserve">. </w:t>
      </w:r>
      <w:r w:rsidR="00520E56">
        <w:rPr>
          <w:rFonts w:ascii="Arial" w:hAnsi="Arial" w:cs="Arial"/>
        </w:rPr>
        <w:t>L</w:t>
      </w:r>
      <w:r w:rsidR="001C46C8">
        <w:rPr>
          <w:rFonts w:ascii="Arial" w:hAnsi="Arial" w:cs="Arial"/>
        </w:rPr>
        <w:t xml:space="preserve">oess in the region does not have a single dominant origin but is rather sourced from </w:t>
      </w:r>
      <w:r w:rsidR="007000AF">
        <w:rPr>
          <w:rFonts w:ascii="Arial" w:hAnsi="Arial" w:cs="Arial"/>
        </w:rPr>
        <w:t>different areas</w:t>
      </w:r>
      <w:r w:rsidR="001C46C8">
        <w:rPr>
          <w:rFonts w:ascii="Arial" w:hAnsi="Arial" w:cs="Arial"/>
        </w:rPr>
        <w:t xml:space="preserve"> </w:t>
      </w:r>
      <w:r w:rsidR="001C46C8" w:rsidRPr="001C46C8">
        <w:rPr>
          <w:rFonts w:ascii="Arial" w:hAnsi="Arial" w:cs="Arial"/>
        </w:rPr>
        <w:t xml:space="preserve">(the Alps, the Bohemian Massif, the Carpathians, the </w:t>
      </w:r>
      <w:r w:rsidR="00AC2F7C" w:rsidRPr="00AC2F7C">
        <w:rPr>
          <w:rFonts w:ascii="Arial" w:hAnsi="Arial"/>
        </w:rPr>
        <w:t>Dinarides</w:t>
      </w:r>
      <w:r w:rsidR="001C46C8" w:rsidRPr="001C46C8">
        <w:rPr>
          <w:rFonts w:ascii="Arial" w:hAnsi="Arial" w:cs="Arial"/>
        </w:rPr>
        <w:t>, and the Balkan Mountains)</w:t>
      </w:r>
      <w:r w:rsidR="001C46C8">
        <w:rPr>
          <w:rFonts w:ascii="Arial" w:hAnsi="Arial" w:cs="Arial"/>
        </w:rPr>
        <w:t xml:space="preserve"> </w:t>
      </w:r>
      <w:r w:rsidR="007000AF">
        <w:rPr>
          <w:rFonts w:ascii="Arial" w:hAnsi="Arial" w:cs="Arial"/>
        </w:rPr>
        <w:t>along</w:t>
      </w:r>
      <w:r w:rsidR="001C46C8">
        <w:rPr>
          <w:rFonts w:ascii="Arial" w:hAnsi="Arial" w:cs="Arial"/>
        </w:rPr>
        <w:t xml:space="preserve"> the Danube valley</w:t>
      </w:r>
      <w:r w:rsidR="00A1096B">
        <w:rPr>
          <w:rFonts w:ascii="Arial" w:hAnsi="Arial" w:cs="Arial"/>
        </w:rPr>
        <w:t>, and is well mixed in the Danube itself</w:t>
      </w:r>
      <w:r w:rsidR="001C46C8">
        <w:rPr>
          <w:rFonts w:ascii="Arial" w:hAnsi="Arial" w:cs="Arial"/>
        </w:rPr>
        <w:t xml:space="preserve">. The first detailed application of zircon Hf isotopes in loess deposits </w:t>
      </w:r>
      <w:r w:rsidR="003329A7">
        <w:rPr>
          <w:rFonts w:ascii="Arial" w:hAnsi="Arial" w:cs="Arial"/>
        </w:rPr>
        <w:t>suggests</w:t>
      </w:r>
      <w:r w:rsidR="00095DAE">
        <w:rPr>
          <w:rFonts w:ascii="Arial" w:hAnsi="Arial" w:cs="Arial"/>
        </w:rPr>
        <w:t xml:space="preserve"> </w:t>
      </w:r>
      <w:r w:rsidR="003329A7">
        <w:rPr>
          <w:rFonts w:ascii="Arial" w:hAnsi="Arial" w:cs="Arial"/>
        </w:rPr>
        <w:t xml:space="preserve">that metasedimentary rocks </w:t>
      </w:r>
      <w:r w:rsidR="00495491" w:rsidRPr="00495491">
        <w:rPr>
          <w:rFonts w:ascii="Arial" w:hAnsi="Arial" w:cs="Arial"/>
        </w:rPr>
        <w:t>of the Austroalpine basement in</w:t>
      </w:r>
      <w:r w:rsidR="003329A7">
        <w:rPr>
          <w:rFonts w:ascii="Arial" w:hAnsi="Arial" w:cs="Arial"/>
        </w:rPr>
        <w:t xml:space="preserve"> the Alps may represent </w:t>
      </w:r>
      <w:r w:rsidR="00095DAE">
        <w:rPr>
          <w:rFonts w:ascii="Arial" w:hAnsi="Arial" w:cs="Arial"/>
        </w:rPr>
        <w:t xml:space="preserve">a large sediment contributor. </w:t>
      </w:r>
      <w:bookmarkStart w:id="111" w:name="_Hlk80007893"/>
      <w:r w:rsidR="003329A7">
        <w:rPr>
          <w:rFonts w:ascii="Arial" w:hAnsi="Arial" w:cs="Arial"/>
        </w:rPr>
        <w:t>The</w:t>
      </w:r>
      <w:r w:rsidR="00BA20EE">
        <w:rPr>
          <w:rFonts w:ascii="Arial" w:hAnsi="Arial" w:cs="Arial"/>
        </w:rPr>
        <w:t xml:space="preserve"> </w:t>
      </w:r>
      <w:r w:rsidR="00095DAE">
        <w:rPr>
          <w:rFonts w:ascii="Arial" w:hAnsi="Arial" w:cs="Arial"/>
        </w:rPr>
        <w:t>Dinaric and Balkan regions, which have not been investigated</w:t>
      </w:r>
      <w:r w:rsidR="00C444B9">
        <w:rPr>
          <w:rFonts w:ascii="Arial" w:hAnsi="Arial" w:cs="Arial"/>
        </w:rPr>
        <w:t xml:space="preserve"> i</w:t>
      </w:r>
      <w:r w:rsidR="00FA7BEB">
        <w:rPr>
          <w:rFonts w:ascii="Arial" w:hAnsi="Arial" w:cs="Arial"/>
        </w:rPr>
        <w:t>n the past as a sediment source</w:t>
      </w:r>
      <w:r w:rsidR="00095DAE">
        <w:rPr>
          <w:rFonts w:ascii="Arial" w:hAnsi="Arial" w:cs="Arial"/>
        </w:rPr>
        <w:t xml:space="preserve">, were </w:t>
      </w:r>
      <w:r w:rsidR="00792D8A">
        <w:rPr>
          <w:rFonts w:ascii="Arial" w:hAnsi="Arial" w:cs="Arial"/>
        </w:rPr>
        <w:t xml:space="preserve">also </w:t>
      </w:r>
      <w:r w:rsidR="00FA7BEB">
        <w:rPr>
          <w:rFonts w:ascii="Arial" w:hAnsi="Arial" w:cs="Arial"/>
        </w:rPr>
        <w:t xml:space="preserve">shown to be an </w:t>
      </w:r>
      <w:r w:rsidR="00095DAE">
        <w:rPr>
          <w:rFonts w:ascii="Arial" w:hAnsi="Arial" w:cs="Arial"/>
        </w:rPr>
        <w:t xml:space="preserve">active </w:t>
      </w:r>
      <w:r w:rsidR="00FA7BEB">
        <w:rPr>
          <w:rFonts w:ascii="Arial" w:hAnsi="Arial" w:cs="Arial"/>
        </w:rPr>
        <w:t>supplier of zircons to</w:t>
      </w:r>
      <w:r w:rsidR="00095DAE">
        <w:rPr>
          <w:rFonts w:ascii="Arial" w:hAnsi="Arial" w:cs="Arial"/>
        </w:rPr>
        <w:t xml:space="preserve"> loess deposits along the Danube </w:t>
      </w:r>
      <w:r w:rsidR="00A1096B">
        <w:rPr>
          <w:rFonts w:ascii="Arial" w:hAnsi="Arial" w:cs="Arial"/>
        </w:rPr>
        <w:t>R</w:t>
      </w:r>
      <w:r w:rsidR="00095DAE">
        <w:rPr>
          <w:rFonts w:ascii="Arial" w:hAnsi="Arial" w:cs="Arial"/>
        </w:rPr>
        <w:t xml:space="preserve">iver. </w:t>
      </w:r>
      <w:bookmarkEnd w:id="111"/>
      <w:r w:rsidR="00095DAE">
        <w:rPr>
          <w:rFonts w:ascii="Arial" w:hAnsi="Arial" w:cs="Arial"/>
        </w:rPr>
        <w:t xml:space="preserve">This has implications for our understanding of </w:t>
      </w:r>
      <w:r w:rsidR="007000AF">
        <w:rPr>
          <w:rFonts w:ascii="Arial" w:hAnsi="Arial" w:cs="Arial"/>
        </w:rPr>
        <w:t xml:space="preserve">loess </w:t>
      </w:r>
      <w:r w:rsidR="00095DAE">
        <w:rPr>
          <w:rFonts w:ascii="Arial" w:hAnsi="Arial" w:cs="Arial"/>
        </w:rPr>
        <w:t xml:space="preserve">generation as these </w:t>
      </w:r>
      <w:r w:rsidR="00792D8A">
        <w:rPr>
          <w:rFonts w:ascii="Arial" w:hAnsi="Arial" w:cs="Arial"/>
        </w:rPr>
        <w:t xml:space="preserve">latter </w:t>
      </w:r>
      <w:r w:rsidR="00095DAE">
        <w:rPr>
          <w:rFonts w:ascii="Arial" w:hAnsi="Arial" w:cs="Arial"/>
        </w:rPr>
        <w:t xml:space="preserve">regions </w:t>
      </w:r>
      <w:r w:rsidR="0012744F">
        <w:rPr>
          <w:rFonts w:ascii="Arial" w:hAnsi="Arial" w:cs="Arial"/>
        </w:rPr>
        <w:t>were</w:t>
      </w:r>
      <w:r w:rsidR="00095DAE">
        <w:rPr>
          <w:rFonts w:ascii="Arial" w:hAnsi="Arial" w:cs="Arial"/>
        </w:rPr>
        <w:t xml:space="preserve"> not extensively glaciated during the last glacial period and therefore other sediment generation mechanisms should be investigated. Moreover, in terms of the </w:t>
      </w:r>
      <w:r w:rsidR="00520E56">
        <w:rPr>
          <w:rFonts w:ascii="Arial" w:hAnsi="Arial" w:cs="Arial"/>
        </w:rPr>
        <w:t xml:space="preserve">proximal, </w:t>
      </w:r>
      <w:r w:rsidR="00095DAE">
        <w:rPr>
          <w:rFonts w:ascii="Arial" w:hAnsi="Arial" w:cs="Arial"/>
        </w:rPr>
        <w:t>geomorphological source</w:t>
      </w:r>
      <w:r w:rsidR="003329A7">
        <w:rPr>
          <w:rFonts w:ascii="Arial" w:hAnsi="Arial" w:cs="Arial"/>
        </w:rPr>
        <w:t>,</w:t>
      </w:r>
      <w:r w:rsidR="00BA20EE">
        <w:rPr>
          <w:rFonts w:ascii="Arial" w:hAnsi="Arial" w:cs="Arial"/>
        </w:rPr>
        <w:t xml:space="preserve"> the</w:t>
      </w:r>
      <w:r w:rsidR="00095DAE">
        <w:rPr>
          <w:rFonts w:ascii="Arial" w:hAnsi="Arial" w:cs="Arial"/>
        </w:rPr>
        <w:t xml:space="preserve"> </w:t>
      </w:r>
      <w:r w:rsidR="00792D8A">
        <w:rPr>
          <w:rFonts w:ascii="Arial" w:hAnsi="Arial" w:cs="Arial"/>
        </w:rPr>
        <w:t xml:space="preserve">data point to the </w:t>
      </w:r>
      <w:r w:rsidR="00095DAE" w:rsidRPr="00095DAE">
        <w:rPr>
          <w:rFonts w:ascii="Arial" w:hAnsi="Arial" w:cs="Arial"/>
        </w:rPr>
        <w:t>Danube’s alluvium</w:t>
      </w:r>
      <w:r w:rsidR="00A1096B">
        <w:rPr>
          <w:rFonts w:ascii="Arial" w:hAnsi="Arial" w:cs="Arial"/>
        </w:rPr>
        <w:t xml:space="preserve"> as the main dust contributor</w:t>
      </w:r>
      <w:r w:rsidR="00095DAE">
        <w:rPr>
          <w:rFonts w:ascii="Arial" w:hAnsi="Arial" w:cs="Arial"/>
        </w:rPr>
        <w:t xml:space="preserve">, showing that sediment </w:t>
      </w:r>
      <w:r w:rsidR="00685D86">
        <w:rPr>
          <w:rFonts w:ascii="Arial" w:hAnsi="Arial" w:cs="Arial"/>
        </w:rPr>
        <w:t xml:space="preserve">is mixed during fluvial transport (deposition and recycling) and </w:t>
      </w:r>
      <w:r w:rsidR="00095DAE">
        <w:rPr>
          <w:rFonts w:ascii="Arial" w:hAnsi="Arial" w:cs="Arial"/>
        </w:rPr>
        <w:t>experiences predominantly short</w:t>
      </w:r>
      <w:r w:rsidR="00A13FA0">
        <w:rPr>
          <w:rFonts w:ascii="Arial" w:hAnsi="Arial" w:cs="Arial"/>
        </w:rPr>
        <w:t>-</w:t>
      </w:r>
      <w:r w:rsidR="00095DAE">
        <w:rPr>
          <w:rFonts w:ascii="Arial" w:hAnsi="Arial" w:cs="Arial"/>
        </w:rPr>
        <w:t xml:space="preserve">distance </w:t>
      </w:r>
      <w:r w:rsidR="00792D8A">
        <w:rPr>
          <w:rFonts w:ascii="Arial" w:hAnsi="Arial" w:cs="Arial"/>
        </w:rPr>
        <w:t>aeolian</w:t>
      </w:r>
      <w:r w:rsidR="00095DAE">
        <w:rPr>
          <w:rFonts w:ascii="Arial" w:hAnsi="Arial" w:cs="Arial"/>
        </w:rPr>
        <w:t xml:space="preserve"> transport prior to deposition. Lastly</w:t>
      </w:r>
      <w:r w:rsidR="00A1096B">
        <w:rPr>
          <w:rFonts w:ascii="Arial" w:hAnsi="Arial" w:cs="Arial"/>
        </w:rPr>
        <w:t>,</w:t>
      </w:r>
      <w:r w:rsidR="00095DAE">
        <w:rPr>
          <w:rFonts w:ascii="Arial" w:hAnsi="Arial" w:cs="Arial"/>
        </w:rPr>
        <w:t xml:space="preserve"> provenance remains </w:t>
      </w:r>
      <w:r w:rsidR="00095DAE">
        <w:rPr>
          <w:rFonts w:ascii="Arial" w:hAnsi="Arial" w:cs="Arial"/>
        </w:rPr>
        <w:lastRenderedPageBreak/>
        <w:t xml:space="preserve">mostly unchanged for loess sequences along the Danube and across the </w:t>
      </w:r>
      <w:r w:rsidR="005E6591">
        <w:rPr>
          <w:rFonts w:ascii="Arial" w:hAnsi="Arial" w:cs="Arial"/>
        </w:rPr>
        <w:t>Pannonian</w:t>
      </w:r>
      <w:r w:rsidR="00095DAE">
        <w:rPr>
          <w:rFonts w:ascii="Arial" w:hAnsi="Arial" w:cs="Arial"/>
        </w:rPr>
        <w:t xml:space="preserve"> Basin</w:t>
      </w:r>
      <w:r w:rsidR="00BB645D">
        <w:rPr>
          <w:rFonts w:ascii="Arial" w:hAnsi="Arial" w:cs="Arial"/>
        </w:rPr>
        <w:t xml:space="preserve">. However, small additions from other, most likely proximal geologies, can be seen at some sites. </w:t>
      </w:r>
    </w:p>
    <w:p w14:paraId="360A392B" w14:textId="76468E3F" w:rsidR="00877D57" w:rsidRPr="00964EE7" w:rsidRDefault="002501CD" w:rsidP="00877D57">
      <w:pPr>
        <w:pStyle w:val="Heading1"/>
        <w:spacing w:before="120" w:after="120" w:line="480" w:lineRule="auto"/>
        <w:jc w:val="both"/>
        <w:rPr>
          <w:rFonts w:ascii="Arial" w:hAnsi="Arial" w:cs="Arial"/>
          <w:b/>
          <w:color w:val="auto"/>
          <w:sz w:val="24"/>
        </w:rPr>
      </w:pPr>
      <w:r w:rsidRPr="002501CD">
        <w:rPr>
          <w:rFonts w:ascii="Arial" w:hAnsi="Arial" w:cs="Arial"/>
          <w:b/>
          <w:color w:val="auto"/>
          <w:sz w:val="24"/>
        </w:rPr>
        <w:t>Acknowledgements</w:t>
      </w:r>
    </w:p>
    <w:p w14:paraId="2F9A6DF2" w14:textId="3338BA2A" w:rsidR="00907C61" w:rsidRDefault="002501CD" w:rsidP="009A2A3F">
      <w:pPr>
        <w:spacing w:line="480" w:lineRule="auto"/>
        <w:jc w:val="both"/>
        <w:rPr>
          <w:rFonts w:ascii="Arial" w:hAnsi="Arial" w:cs="Arial"/>
        </w:rPr>
      </w:pPr>
      <w:r>
        <w:rPr>
          <w:rFonts w:ascii="Arial" w:hAnsi="Arial" w:cs="Arial"/>
        </w:rPr>
        <w:t>This research was funded by the UK Natural Environmental Research Council (grant: NE/L002612/1), NIGL Natural Environmental Research Council</w:t>
      </w:r>
      <w:r w:rsidR="00993371">
        <w:rPr>
          <w:rFonts w:ascii="Arial" w:hAnsi="Arial" w:cs="Arial"/>
        </w:rPr>
        <w:t xml:space="preserve"> grant</w:t>
      </w:r>
      <w:r>
        <w:rPr>
          <w:rFonts w:ascii="Arial" w:hAnsi="Arial" w:cs="Arial"/>
        </w:rPr>
        <w:t>, I</w:t>
      </w:r>
      <w:r w:rsidRPr="002501CD">
        <w:rPr>
          <w:rFonts w:ascii="Arial" w:hAnsi="Arial" w:cs="Arial"/>
        </w:rPr>
        <w:t xml:space="preserve">nternational </w:t>
      </w:r>
      <w:r>
        <w:rPr>
          <w:rFonts w:ascii="Arial" w:hAnsi="Arial" w:cs="Arial"/>
        </w:rPr>
        <w:t>A</w:t>
      </w:r>
      <w:r w:rsidRPr="002501CD">
        <w:rPr>
          <w:rFonts w:ascii="Arial" w:hAnsi="Arial" w:cs="Arial"/>
        </w:rPr>
        <w:t xml:space="preserve">ssociation of </w:t>
      </w:r>
      <w:r>
        <w:rPr>
          <w:rFonts w:ascii="Arial" w:hAnsi="Arial" w:cs="Arial"/>
        </w:rPr>
        <w:t xml:space="preserve">Sedimentologists </w:t>
      </w:r>
      <w:r w:rsidRPr="002501CD">
        <w:rPr>
          <w:rFonts w:ascii="Arial" w:hAnsi="Arial" w:cs="Arial"/>
        </w:rPr>
        <w:t>Postgraduate Research Grants</w:t>
      </w:r>
      <w:r>
        <w:rPr>
          <w:rFonts w:ascii="Arial" w:hAnsi="Arial" w:cs="Arial"/>
        </w:rPr>
        <w:t xml:space="preserve">, and Hertford College Travel Fund. </w:t>
      </w:r>
      <w:r w:rsidR="0008335F" w:rsidRPr="0008335F">
        <w:rPr>
          <w:rFonts w:ascii="Arial" w:hAnsi="Arial" w:cs="Arial"/>
        </w:rPr>
        <w:t>TS acknowledges the support of the Swedish Research Council for research into European loess sources (project 220017-03888).</w:t>
      </w:r>
      <w:r w:rsidR="0008335F">
        <w:rPr>
          <w:rFonts w:ascii="Arial" w:hAnsi="Arial" w:cs="Arial"/>
        </w:rPr>
        <w:t xml:space="preserve"> We are grateful to Nemanja Tomić and Zoran Perić for the assistance in the field. </w:t>
      </w:r>
      <w:r w:rsidR="00AE5644">
        <w:rPr>
          <w:rFonts w:ascii="Arial" w:hAnsi="Arial" w:cs="Arial"/>
        </w:rPr>
        <w:t xml:space="preserve">The lead author is also grateful to WHWR for the mental support during COVID and to Dr Kirstie Wright for </w:t>
      </w:r>
      <w:r w:rsidR="003943B9">
        <w:rPr>
          <w:rFonts w:ascii="Arial" w:hAnsi="Arial" w:cs="Arial"/>
        </w:rPr>
        <w:t>all</w:t>
      </w:r>
      <w:r w:rsidR="00AE5644">
        <w:rPr>
          <w:rFonts w:ascii="Arial" w:hAnsi="Arial" w:cs="Arial"/>
        </w:rPr>
        <w:t xml:space="preserve"> discussions</w:t>
      </w:r>
      <w:r w:rsidR="009A2A3F">
        <w:rPr>
          <w:rFonts w:ascii="Arial" w:hAnsi="Arial" w:cs="Arial"/>
        </w:rPr>
        <w:t xml:space="preserve"> regarding geology of Europe</w:t>
      </w:r>
      <w:r w:rsidR="00AE5644">
        <w:rPr>
          <w:rFonts w:ascii="Arial" w:hAnsi="Arial" w:cs="Arial"/>
        </w:rPr>
        <w:t xml:space="preserve">. </w:t>
      </w:r>
    </w:p>
    <w:p w14:paraId="5B4E305D" w14:textId="2DD3C0DB" w:rsidR="00AE5644" w:rsidRDefault="00AE5644" w:rsidP="00614941">
      <w:pPr>
        <w:spacing w:before="120" w:after="120" w:line="480" w:lineRule="auto"/>
        <w:jc w:val="both"/>
        <w:rPr>
          <w:rFonts w:ascii="Arial" w:hAnsi="Arial" w:cs="Arial"/>
        </w:rPr>
        <w:sectPr w:rsidR="00AE5644" w:rsidSect="00273F3F">
          <w:pgSz w:w="11906" w:h="16838"/>
          <w:pgMar w:top="1440" w:right="1440" w:bottom="1440" w:left="1440" w:header="708" w:footer="708" w:gutter="0"/>
          <w:lnNumType w:countBy="1" w:restart="continuous"/>
          <w:cols w:space="708"/>
          <w:docGrid w:linePitch="360"/>
        </w:sectPr>
      </w:pPr>
    </w:p>
    <w:p w14:paraId="1C397684" w14:textId="2C1077B4" w:rsidR="00DA2079" w:rsidRPr="00964EE7" w:rsidRDefault="004F296A" w:rsidP="00614941">
      <w:pPr>
        <w:pStyle w:val="Heading1"/>
        <w:spacing w:before="120" w:after="120" w:line="480" w:lineRule="auto"/>
        <w:jc w:val="both"/>
        <w:rPr>
          <w:rFonts w:ascii="Arial" w:hAnsi="Arial" w:cs="Arial"/>
          <w:b/>
          <w:color w:val="auto"/>
          <w:sz w:val="24"/>
        </w:rPr>
      </w:pPr>
      <w:r w:rsidRPr="00964EE7">
        <w:rPr>
          <w:rFonts w:ascii="Arial" w:hAnsi="Arial" w:cs="Arial"/>
          <w:b/>
          <w:color w:val="auto"/>
          <w:sz w:val="24"/>
        </w:rPr>
        <w:lastRenderedPageBreak/>
        <w:t>References</w:t>
      </w:r>
    </w:p>
    <w:p w14:paraId="5013D474" w14:textId="5084C36C" w:rsidR="00D22D21" w:rsidRPr="00D22D21" w:rsidRDefault="004F296A"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964EE7">
        <w:rPr>
          <w:rFonts w:ascii="Arial" w:hAnsi="Arial" w:cs="Arial"/>
          <w:sz w:val="24"/>
        </w:rPr>
        <w:fldChar w:fldCharType="begin" w:fldLock="1"/>
      </w:r>
      <w:r w:rsidRPr="00651BC7">
        <w:rPr>
          <w:rFonts w:ascii="Arial" w:hAnsi="Arial" w:cs="Arial"/>
          <w:sz w:val="24"/>
        </w:rPr>
        <w:instrText xml:space="preserve">ADDIN Mendeley Bibliography CSL_BIBLIOGRAPHY </w:instrText>
      </w:r>
      <w:r w:rsidRPr="00964EE7">
        <w:rPr>
          <w:rFonts w:ascii="Arial" w:hAnsi="Arial" w:cs="Arial"/>
          <w:sz w:val="24"/>
        </w:rPr>
        <w:fldChar w:fldCharType="separate"/>
      </w:r>
      <w:r w:rsidR="00D22D21" w:rsidRPr="00D22D21">
        <w:rPr>
          <w:rFonts w:ascii="Arial" w:hAnsi="Arial" w:cs="Arial"/>
          <w:noProof/>
          <w:sz w:val="24"/>
          <w:szCs w:val="24"/>
        </w:rPr>
        <w:t>Aarons, S.M., Aciego, S.M., Gleason, J.D., 2013. Variable Hf-Sr-Nd radiogenic isotopic compositions in a Saharan dust storm over the Atlantic: Implications for dust flux to oceans, ice sheets and the terrestrial biosphere. Chem. Geol. 349–350, 18–26. https://doi.org/10.1016/j.chemgeo.2013.04.010</w:t>
      </w:r>
    </w:p>
    <w:p w14:paraId="23CA3425"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Abbo, A., Avigad, D., Gerdes, A., 2020. Crustal evolution of peri-Gondwana crust into present day Europe: The Serbo-Macedonian and Rhodope massifs as a case study. Lithos 356–357, 105295. https://doi.org/10.1016/j.lithos.2019.105295</w:t>
      </w:r>
    </w:p>
    <w:p w14:paraId="1F3F264B"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Abbo, A., Avigad, D., Gerdes, A., 2018. The lower crust of the Northern broken edge of Gondwana: Evidence for sediment subduction and syn-Variscan anorogenic imprint from zircon U-Pb-Hf in granulite xenoliths. Gondwana Res. 64, 84–96. https://doi.org/10.1016/j.gr.2018.08.002</w:t>
      </w:r>
    </w:p>
    <w:p w14:paraId="54ACBD39"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Adamson, K.R., Woodward, J.C., Hughes, P.D., 2014. Glacial crushing of limestone and the production of carbonate-rich silts in a pleistocene glaciofluvial system: A potential source of loess in southern europe. Geogr. Ann. Ser. A Phys. Geogr. 96, 339–356. https://doi.org/10.1111/geoa.12054</w:t>
      </w:r>
    </w:p>
    <w:p w14:paraId="01E41378"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Antić, M., Peytcheva, I., von Quadt, A., Kounov, A., Trivić, B., Serafimovski, T., Tasev, G., Gerdjikov, I., Wetzel, A., 2016. Pre-Alpine evolution of a segment of the North-Gondwanan margin: Geochronological and geochemical evidence from the central Serbo-Macedonian Massif. Gondwana Res. 36, 523–544. https://doi.org/10.1016/j.gr.2015.07.020</w:t>
      </w:r>
    </w:p>
    <w:p w14:paraId="25CB9B51"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 xml:space="preserve">Antoine, P., Lagroix, F., Jordanova, D., Jordanova, N., Lomax, J., Fuchs, M., Debret, M., Rousseau, D.-D., Hatté, C., Gauthier, C., Moine, O., Taylor, S.N., Till, J.L., </w:t>
      </w:r>
      <w:r w:rsidRPr="00D22D21">
        <w:rPr>
          <w:rFonts w:ascii="Arial" w:hAnsi="Arial" w:cs="Arial"/>
          <w:noProof/>
          <w:sz w:val="24"/>
          <w:szCs w:val="24"/>
        </w:rPr>
        <w:lastRenderedPageBreak/>
        <w:t>Coutard, S., 2019. A remarkable Late Saalian (MIS 6) loess (dust) accumulation in the Lower Danube at Harletz (Bulgaria). Quat. Sci. Rev. 207, 80–100. https://doi.org/10.1016/j.quascirev.2019.01.005</w:t>
      </w:r>
    </w:p>
    <w:p w14:paraId="0F12392A"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Antoine, P., Rousseau, D.-D., Fuchs, M., Hatté, C., Gauthier, C., Marković, S.B., Jovanović, M., Gaudenyi, T., Moine, O., Rossignol, J., 2009. High-resolution record of the last climatic cycle in the southern Carpathian Basin (Surduk, Vojvodina, Serbia). Quat. Int. 198, 19–36. https://doi.org/10.1016/j.quaint.2008.12.008</w:t>
      </w:r>
    </w:p>
    <w:p w14:paraId="4927B65B"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Avigad, D., Morag, N., Abbo, A., Gerdes, A., 2017. Detrital rutile U-Pb perspective on the origin of the great Cambro-Ordovician sandstone of North Gondwana and its linkage to orogeny. Gondwana Res. 51, 17–29. https://doi.org/10.1016/j.gr.2017.07.001</w:t>
      </w:r>
    </w:p>
    <w:p w14:paraId="138BA072"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Badura, J., Jary, Z., Smalley, I.J., 2013. Sources of loess material for deposits in Poland and parts of Central Europe: The lost Big River. Quat. Int. 296, 15–22. https://doi.org/10.1016/j.quaint.2012.06.019</w:t>
      </w:r>
    </w:p>
    <w:p w14:paraId="6E96F1A7"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Bagnold, R.A., 1941. The Physics of Blown Sand and Desert Dunes. Methuen, London.</w:t>
      </w:r>
    </w:p>
    <w:p w14:paraId="2FC1955F"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Balintoni, I., Balica, C., Ducea, M.N., Hann, H.P., 2014. Peri-Gondwanan terranes in the Romanian Carpathians: A review of their spatial distribution, origin, provenance, and evolution. Geosci. Front. 5, 395–411. https://doi.org/10.1016/j.gsf.2013.09.002</w:t>
      </w:r>
    </w:p>
    <w:p w14:paraId="308C212C"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 xml:space="preserve">Banak, A., Mandic, O., Kovačić, M., Pavelić, D., 2012. Late Pleistocene climate history of the Baranja loess plateau – evidence from the Zmajevac loess-paleosol section (northeastern Croatia). Geol. Croat. 65, 411–422. </w:t>
      </w:r>
      <w:r w:rsidRPr="00D22D21">
        <w:rPr>
          <w:rFonts w:ascii="Arial" w:hAnsi="Arial" w:cs="Arial"/>
          <w:noProof/>
          <w:sz w:val="24"/>
          <w:szCs w:val="24"/>
        </w:rPr>
        <w:lastRenderedPageBreak/>
        <w:t>https://doi.org/10.4154/gc.2013.05</w:t>
      </w:r>
    </w:p>
    <w:p w14:paraId="0AE16FA7"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Banak, A., Pavelić, D., Kovačić, M., Mandic, O., 2013. Sedimentary characteristics and source of loess in Baranja (Eastern Croatia). Aeolian Res. 11, 129–139. https://doi.org/10.1016/j.aeolia.2013.08.002</w:t>
      </w:r>
    </w:p>
    <w:p w14:paraId="058504E8"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Basarin, B., Vandenberghe, D.A.G., Marković, S.B., Catto, N., Hambach, U., Vasiliniuc, S., Derese, C., Rončević, S., Vasiljević, D.A., Rajić, L., 2011. The Belotinac section (Southern Serbia) at the southern limit of the European loess belt: Initial results. Quat. Int. 240, 128–138. https://doi.org/10.1016/j.quaint.2011.02.022</w:t>
      </w:r>
    </w:p>
    <w:p w14:paraId="5B19E456"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Baykal, Y., Stevens, T., Engströom-Johansson, A., Skurzyński, J., Zhang, H., He, J., Adamiec, G., Költringer, C., Jary, Z., 2021. Detrital zircon U-Pb age analysis of last glacial loess sources and proglacial sediment dynamics in the Northern European Plain. Quat. Sci. Rev. 274. https://doi.org/10.1016/j.quascirev.2021.107265</w:t>
      </w:r>
    </w:p>
    <w:p w14:paraId="0B59AFF5"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Bird, A.F., Millar, I.L., Rodenburg, T., Stevens, T., Rittner, M., Vermeesch, P., Lu, H., 2020. A constant Chinese Loess Plateau dust source since the late Miocene. Quat. Sci. Rev. 227, 106042. https://doi.org/10.1016/j.quascirev.2019.106042</w:t>
      </w:r>
    </w:p>
    <w:p w14:paraId="0ABFEF06"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Bird, A.F., Stevens, T., Rittner, M., Vermeesch, P., Carter, A., Andò, S., Garzanti, E., Lu, H., Nie, J., Zeng, L., Zhang, H., Xu, Z., 2015. Quaternary dust source variation across the Chinese Loess Plateau. Palaeogeogr. Palaeoclimatol. Palaeoecol. 435, 254–264. https://doi.org/10.1016/j.palaeo.2015.06.024</w:t>
      </w:r>
    </w:p>
    <w:p w14:paraId="00416252"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Blichert-Toft, J., 2008. The Hf isotopic composition of zircon reference material 91500. Chem. Geol. 253, 252–257. https://doi.org/10.1016/j.chemgeo.2008.05.014</w:t>
      </w:r>
    </w:p>
    <w:p w14:paraId="67658C8C"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lastRenderedPageBreak/>
        <w:t>Bogdanova, S. V., Bingen, B., Gorbatschev, R., Kheraskova, T.N., Kozlov, V.I., Puchkov, V.N., Volozh, Y.A., 2008. The East European Craton (Baltica) before and during the assembly of Rodinia. Precambrian Res. 160, 23–45. https://doi.org/10.1016/j.precamres.2007.04.024</w:t>
      </w:r>
    </w:p>
    <w:p w14:paraId="3DCDCFDF"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Bogdanova, S. V., Gorbatschev, R., Grad, M., Janik, T., Guterch, A., Kozlovskaya, E., Motuza, G., Skridlaite, G., Starostenko, V., Taran, L., Group, E.W., Group, P.W., 2006. EUROBRIDGE: new insight into the geodynamic evolution of the East European Craton. Geol. Soc. Mem. 32, 599–625.</w:t>
      </w:r>
    </w:p>
    <w:p w14:paraId="1BAC6D4A"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Bokhorst, M.P., Vandenberghe, J., Sümegi, P., Łanczont, M., Gerasimenko, N.P., Matviishina, Z.N., Marković, S.B., Frechen, M., 2011. Atmospheric circulation patterns in central and eastern Europe during the Weichselian Pleniglacial inferred from loess grain-size records. Quat. Int. 234, 62–74. https://doi.org/10.1016/j.quaint.2010.07.018</w:t>
      </w:r>
    </w:p>
    <w:p w14:paraId="40E96A1A"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Bösken, J., Obreht, I., Zeeden, C., Klasen, N., Hambach, U., Sümegi, P., Lehmkuhl, F., 2019. High-resolution paleoclimatic proxy data from the MIS3/2 transition recorded in northeastern Hungarian loess. Quat. Int. 502, 95–107. https://doi.org/10.1016/j.quaint.2017.12.008</w:t>
      </w:r>
    </w:p>
    <w:p w14:paraId="55984674"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Bosq, M., Bertran, P., Degeai, J.P., Que, A., Moine, O., 2020. Geochemical signature of sources, recycling and weathering in the Last Glacial loess from the Rhône Valley (southeast France) and comparison with other European regions. Aeolian Res. 42, 100561. https://doi.org/10.1016/j.aeolia.2019.100561</w:t>
      </w:r>
    </w:p>
    <w:p w14:paraId="4DD3B644"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Botev, Z.I., Grotowski, J.F., Kroese, D.P., 2010. Kernel density estimation via diffusion. Ann. Stat. 38, 2916–2957. https://doi.org/10.1214/10-AOS799</w:t>
      </w:r>
    </w:p>
    <w:p w14:paraId="4E043EA5"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 xml:space="preserve">Bouvier, A., Vervoort, J.D., Patchett, P.J., 2008. The Lu-Hf and Sm-Nd isotopic </w:t>
      </w:r>
      <w:r w:rsidRPr="00D22D21">
        <w:rPr>
          <w:rFonts w:ascii="Arial" w:hAnsi="Arial" w:cs="Arial"/>
          <w:noProof/>
          <w:sz w:val="24"/>
          <w:szCs w:val="24"/>
        </w:rPr>
        <w:lastRenderedPageBreak/>
        <w:t>composition of CHUR: Constraints from unequilibrated chondrites and implications for the bulk composition of terrestrial planets. Earth Planet. Sci. Lett. 273, 48–57. https://doi.org/10.1016/j.epsl.2008.06.010</w:t>
      </w:r>
    </w:p>
    <w:p w14:paraId="13E42805"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Bristow, C.S., Moller, T.H., 2018. Testing the auto-abrasion hypothesis for dust production using diatomite dune sediments from the Bodélé Depression in Chad. Sedimentology 65, 1322–1330. https://doi.org/10.1111/sed.12423</w:t>
      </w:r>
    </w:p>
    <w:p w14:paraId="32E006C2"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Buggle, B., Glaser, B., Zöller, L., Hambach, U., Marković, S.B., Glaser, I., Gerasimenko, N.P., 2008. Geochemical characterization and origin of Southeastern and Eastern European loesses (Serbia, Romania, Ukraine). Quat. Sci. Rev. 27, 1058–1075. https://doi.org/10.1016/j.quascirev.2008.01.018</w:t>
      </w:r>
    </w:p>
    <w:p w14:paraId="57700A21"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Bullard, J.E., 2013. Contemporary glacigenic inputs to the dust cycle. Earth Surf. Process. Landforms 38, 71–89. https://doi.org/10.1002/esp.3315</w:t>
      </w:r>
    </w:p>
    <w:p w14:paraId="00418309"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Burda, J., Klötzli, U.S., Majka, J., Chew, D.M., Li, Q.L., Liu, Y., Gawęda, A., Wiedenbeck, M., 2021. Tracing proto-Rheic - Qaidam Ocean vestiges into the Western Tatra Mountains and implications for the Palaeozoic palaeogeography of Central Europe. Gondwana Res. 91, 188–204. https://doi.org/10.1016/j.gr.2020.12.016</w:t>
      </w:r>
    </w:p>
    <w:p w14:paraId="6C4CAB16"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Cawood, P.A., Buchan, C., 2007. Linking accretionary orogenesis with supercontinent assembly. Earth-Science Rev. 82, 217–256. https://doi.org/10.1016/j.earscirev.2007.03.003</w:t>
      </w:r>
    </w:p>
    <w:p w14:paraId="544C5B63"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Che, X., Li, G., 2013. Binary sources of loess on the Chinese Loess Plateau revealed by U–Pb ages of zircon. Quat. Res. 80, 545–551. https://doi.org/10.1016/j.yqres.2013.05.007</w:t>
      </w:r>
    </w:p>
    <w:p w14:paraId="105AB883"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 xml:space="preserve">Chen, F., Todt, W., Hann, H.P., 2003. Zircon and Garnet Geochronology of Eclogites </w:t>
      </w:r>
      <w:r w:rsidRPr="00D22D21">
        <w:rPr>
          <w:rFonts w:ascii="Arial" w:hAnsi="Arial" w:cs="Arial"/>
          <w:noProof/>
          <w:sz w:val="24"/>
          <w:szCs w:val="24"/>
        </w:rPr>
        <w:lastRenderedPageBreak/>
        <w:t>from the Moldanubian Zone of the Black Forest , Germany. J. Geol. 111, 207–222.</w:t>
      </w:r>
    </w:p>
    <w:p w14:paraId="03654160"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Cilek, V., 2001. The loess deposits of the Bohemian Massif: Silt provenance, palaeometeorology and loessification processes. Quat. Int. 76–77, 123–128. https://doi.org/10.1016/S1040-6182(00)00096-3</w:t>
      </w:r>
    </w:p>
    <w:p w14:paraId="5E89B3CC"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Crouvi, O., Amit, R., Enzel, Y., Gillespie, A.R., 2010. Active sand seas and the formation of desert loess. Quat. Sci. Rev. 29, 2087–2098. https://doi.org/10.1016/j.quascirev.2010.04.026</w:t>
      </w:r>
    </w:p>
    <w:p w14:paraId="63C39497"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Da Silva, L.C., McNaughton, N.J., Armstrong, R., Hartmann, L.A., Fletcher, I.R., 2005. The neoproterozoic Mantiqueira Province and its African connections: A zircon-based U-Pb geochronologic subdivision for the Brasiliano/Pan-African systems of orogens. Precambrian Res. 136, 203–240. https://doi.org/10.1016/j.precamres.2004.10.004</w:t>
      </w:r>
    </w:p>
    <w:p w14:paraId="61284BE1"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Derbyshire, E., Meng, X., Kemp, R. a., 1998. Provenance, transport and characteristics of modern aeolian dust in western Gansu Province, China, and interpretation of the Quaternary loess record. J. Arid Environ. 39, 497–516. https://doi.org/10.1006/jare.1997.0369</w:t>
      </w:r>
    </w:p>
    <w:p w14:paraId="61F3ED93"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Derbyshire, E., Owen, L.A., 2018. Glacioaeolian Processes, Sediments, and Landforms, in: Past Glacial Environments. Elsevier Ltd, pp. 273–308. https://doi.org/10.1016/B978-0-08-100524-8.00008-7</w:t>
      </w:r>
    </w:p>
    <w:p w14:paraId="65EDFD63"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 xml:space="preserve">Ducea, M.N., Giosan, L., Carter, A., Balica, C., Stoica, A.M., Roban, R.D., Balintoni, I., Filip, F., Petrescu, L., 2018. U-PB Detrital Zircon Geochronology of the Lower Danube and Its Tributaries: Implications for the Geology of the Carpathians. Geochemistry, Geophys. Geosystems 19, 3208–3223. </w:t>
      </w:r>
      <w:r w:rsidRPr="00D22D21">
        <w:rPr>
          <w:rFonts w:ascii="Arial" w:hAnsi="Arial" w:cs="Arial"/>
          <w:noProof/>
          <w:sz w:val="24"/>
          <w:szCs w:val="24"/>
        </w:rPr>
        <w:lastRenderedPageBreak/>
        <w:t>https://doi.org/10.1029/2018GC007659</w:t>
      </w:r>
    </w:p>
    <w:p w14:paraId="761EA8C3"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Edel, J.B., Schulmann, K., Lexa, O., Lardeaux, J.M., 2018. Late Palaeozoic palaeomagnetic and tectonic constraints for amalgamation of Pangea supercontinent in the European Variscan belt. Earth-Science Rev. 177, 589–612. https://doi.org/10.1016/j.earscirev.2017.12.007</w:t>
      </w:r>
    </w:p>
    <w:p w14:paraId="113D2CF7"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Engel, Z., Křížek, M., Kasprzak, M., Traczyk, A., Hložek, M., Krbcová, K., 2017. Geomorphological and sedimentary evidence of probable glaciation in the Jizerské hory Mountains, Central Europe. Geomorphology 280, 39–50. https://doi.org/10.1016/j.geomorph.2016.12.008</w:t>
      </w:r>
    </w:p>
    <w:p w14:paraId="72F2B766"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Fenn, K., Durcan, J.A., Thomas, D.S.G., Banak, A., 2020a. A 180 ka record of environmental change at Erdut (Croatia): a new chronology for the loess–palaeosol sequence and its implications for environmental interpretation. J. Quat. Sci. 35, 582–593. https://doi.org/10.1002/jqs.3201</w:t>
      </w:r>
    </w:p>
    <w:p w14:paraId="6472C2AE"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Fenn, K., Durcan, J.A., Thomas, D.S.G., Millar, I.L., Marković, S.B., 2020b. Re</w:t>
      </w:r>
      <w:r w:rsidRPr="00D22D21">
        <w:rPr>
          <w:rFonts w:ascii="Cambria Math" w:hAnsi="Cambria Math" w:cs="Cambria Math"/>
          <w:noProof/>
          <w:sz w:val="24"/>
          <w:szCs w:val="24"/>
        </w:rPr>
        <w:t>‐</w:t>
      </w:r>
      <w:r w:rsidRPr="00D22D21">
        <w:rPr>
          <w:rFonts w:ascii="Arial" w:hAnsi="Arial" w:cs="Arial"/>
          <w:noProof/>
          <w:sz w:val="24"/>
          <w:szCs w:val="24"/>
        </w:rPr>
        <w:t>analysis of late Quaternary dust mass accumulation rates in Serbia using new luminescence chronology for loess–palaeosol sequence at Surduk. Boreas 49, 634–652. https://doi.org/10.1111/bor.12445</w:t>
      </w:r>
    </w:p>
    <w:p w14:paraId="21A38C84"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Fenn, K., Stevens, T., Bird, A.F., Limonta, M., Rittner, M., Vermeesch, P., Andò, S., Garzanti, E., Lu, H., Zhang, H., Lin, Z., 2018. Insights into the provenance of the Chinese Loess Plateau from joint zircon U-Pb and garnet geochemical analysis of last glacial loess. Quat. Res. 89. https://doi.org/10.1017/qua.2017.86</w:t>
      </w:r>
    </w:p>
    <w:p w14:paraId="1A526EBC"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 xml:space="preserve">Fenn, K., Thomas, D.S.G., Durcan, J.A., Millar, I.L., Veres, D., Piermattei, A., Lane, C.S., 2021. A tale of two signals: Global and local in fl uences on the Late Pleistocene loess sequences in Bulgarian Lower Danube. Quat. Sci. Rev. 274, </w:t>
      </w:r>
      <w:r w:rsidRPr="00D22D21">
        <w:rPr>
          <w:rFonts w:ascii="Arial" w:hAnsi="Arial" w:cs="Arial"/>
          <w:noProof/>
          <w:sz w:val="24"/>
          <w:szCs w:val="24"/>
        </w:rPr>
        <w:lastRenderedPageBreak/>
        <w:t>107264. https://doi.org/10.1016/j.quascirev.2021.107264</w:t>
      </w:r>
    </w:p>
    <w:p w14:paraId="676EE069"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Fielding, L., Najman, Y., Millar, I.L., Butterworth, P., Ando, S., Padoan, M., Barfod, D., Kneller, B., 2017. A detrital record of the Nile River and its catchment. J. Geol. Soc. London. 174, 301–317. https://doi.org/10.1144/jgs2016-075</w:t>
      </w:r>
    </w:p>
    <w:p w14:paraId="23A40C3D"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Fielding, L., Najman, Y., Millar, I.L., Butterworth, P., Garzanti, E., Vezzoli, G., Barfod, D., Kneller, B., 2018. The initiation and evolution of the River Nile. Earth Planet. Sci. Lett. 489, 166–178. https://doi.org/10.1016/j.epsl.2018.02.031</w:t>
      </w:r>
    </w:p>
    <w:p w14:paraId="67764FCF"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Friese, C.A., Hateren, J.A. Van, Vogt, C., Fischer, G., Stuut, J.-B.W., 2017. Seasonal provenance changes in present-day Saharan dust collected in and off Mauritania. Atmos. Chem. Phys. 10163–10193.</w:t>
      </w:r>
    </w:p>
    <w:p w14:paraId="40E09543"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Fukum, C., 2002. Polymetamorphism of the Variscan Basement of the Moidanubian Black Forest (Germany) Documented in Zircon and Garnet Minerals from Gneisses. Chinese J. Geochemistry 21, 107–119.</w:t>
      </w:r>
    </w:p>
    <w:p w14:paraId="02CAF5BF"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Gallhofer, D., Quadt, A. Von, Peytcheva, I., Schmid, S.M., Heinrich, C.A., 2015. Tectonic, magmatic, and metallogenic evolution of the Late Cretaceous arc in the Carpathian-Balkan orogen. Tectonics 34, 1813–1836. https://doi.org/10.1002/2015TC003834</w:t>
      </w:r>
    </w:p>
    <w:p w14:paraId="3F426206"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Gee, D.G., Ladenberger, A., Dahlqvist, P., Majka, J., Be’Eri-Shlevin, Y., Frei, D., Thomsen, T., 2014. The Baltoscandian margin detrital zircon signatures of the central scandes. Geol. Soc. Spec. Publ. 390, 131–155. https://doi.org/10.1144/SP390.20</w:t>
      </w:r>
    </w:p>
    <w:p w14:paraId="70B75E84"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Goudie, A.S., Middleton, N.J., 2001. Saharan dust storms: Nature and consequences. Earth-Science Rev. 56, 179–204. https://doi.org/10.1016/S0012-8252(01)00067-8</w:t>
      </w:r>
    </w:p>
    <w:p w14:paraId="45B1D2BB"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lastRenderedPageBreak/>
        <w:t>Griffin, W.L., Pearson, N.J., Belousova, E.A., Saeed, A., 2006. Comment: Hf-isotope heterogeneity in zircon 91500. Chem. Geol. 233, 358–363. https://doi.org/10.1016/j.chemgeo.2006.03.007</w:t>
      </w:r>
    </w:p>
    <w:p w14:paraId="51EE359C"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Guerzoni, S., Molinarolit, E., Chester, R., 1997. Saharan dust inputs to the western Mediterranean Sea: depositional patterns , geochemistry and sedimentological implications. Deep. Res. II 44, 631–654.</w:t>
      </w:r>
    </w:p>
    <w:p w14:paraId="3A8B8E2B"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Haas, I., Eichinger, S., Haller, D., Fritz, H., Nievoll, J., Mandl, M., Hippler, D., Hauzenberger, C., 2020. Gondwana fragments in the Eastern Alps: A travel story from U/Pb zircon data South-Alpine. Gondwana Res. 77, 204–222. https://doi.org/10.1016/j.gr.2019.07.015</w:t>
      </w:r>
    </w:p>
    <w:p w14:paraId="16D9E210"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Hao, Q., Guo, Z., Qiao, Y., Xu, B., Oldfield, F., 2010. Geochemical evidence for the provenance of middle Pleistocene loess deposits in southern China. Quat. Sci. Rev. 29, 3317–3326. https://doi.org/10.1016/j.quascirev.2010.08.004</w:t>
      </w:r>
    </w:p>
    <w:p w14:paraId="3FC23C81"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Haydoutov, I., 1989. Precambrian ophiolites, Cambrian island arc, and Variscan suture in the South Carpathian-Balkan region. Geology 17, 905–908. https://doi.org/10.1130/0091-7613(1989)017&lt;0905:POCIAA&gt;2.3.CO;2</w:t>
      </w:r>
    </w:p>
    <w:p w14:paraId="1997FFA6"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Haydoutov, I., Yanev, S., 1997. The Protomoesian microcontinent of the Balkan Peninsula - A peri-Gondwanaland piece. Tectonophysics 272, 303–313. https://doi.org/10.1016/S0040-1951(96)00264-8</w:t>
      </w:r>
    </w:p>
    <w:p w14:paraId="77375486"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Hefferan, K., Soulaimani, A., Samson, S.D., Admou, H., Inglis, J., Saquaque, A., Latifa, C., Heywood, N., 2014. A reconsideration of Pan African orogenic cycle in the Anti-Atlas Mountains, Morocco. J. African Earth Sci. 98, 34–46. https://doi.org/10.1016/j.jafrearsci.2014.03.007</w:t>
      </w:r>
    </w:p>
    <w:p w14:paraId="20B294FD"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 xml:space="preserve">Herman, F., Champagnac, J.D., 2016. Plio-Pleistocene increase of erosion rates in </w:t>
      </w:r>
      <w:r w:rsidRPr="00D22D21">
        <w:rPr>
          <w:rFonts w:ascii="Arial" w:hAnsi="Arial" w:cs="Arial"/>
          <w:noProof/>
          <w:sz w:val="24"/>
          <w:szCs w:val="24"/>
        </w:rPr>
        <w:lastRenderedPageBreak/>
        <w:t>mountain belts in response to climate change. Terra Nov. 28, 2–10. https://doi.org/10.1111/ter.12186</w:t>
      </w:r>
    </w:p>
    <w:p w14:paraId="7E0A6E92"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Herman, F., Seward, D., Valla, P.G., Carter, A., Kohn, B., Willett, S.D., Ehlers, T.A., 2013. Worldwide acceleration of mountain erosion under a cooling climate. Nature 504, 423–426. https://doi.org/10.1038/nature12877</w:t>
      </w:r>
    </w:p>
    <w:p w14:paraId="7140CDDF"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Horstwood, M.S.A., Košler, J., Gehrels, G.E., Jackson, S.E., McLean, N.M., Paton, C., Pearson, N.J., Sircombe, K.N., Sylvester, P., Vermeesch, P., Bowring, J.F., Condon, D.J., Schoene, B., 2016. Community-Derived Standards for LA-ICP-MS U-(Th-)Pb Geochronology – Uncertainty Propagation, Age Interpretation and Data Reporting. Geostand. Geoanalytical Res. 40, 311–332. https://doi.org/10.1111/j.1751-908X.2016.00379.x</w:t>
      </w:r>
    </w:p>
    <w:p w14:paraId="5E26E782"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Huang, Q., Genser, J., Liu, Y., Neubauer, F., Yuan, S., Bernroider, M., Guan, Q., Jin, W., Yu, S., Chang, R., 2021. Cambrian-Ordovician continental magmatic arc at the northern margin of Gondwana: Insights from the Schladming Complex, Eastern Alps. Lithos 388–389. https://doi.org/10.1016/j.lithos.2021.106064</w:t>
      </w:r>
    </w:p>
    <w:p w14:paraId="158C5E0A"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Hughes, P.D., Woodward, J.C., 2017. Quaternary glaciation in the Mediterranean mountains: A new synthesis. Geol. Soc. Spec. Publ. 433, 1–23. https://doi.org/10.1144/SP433.14</w:t>
      </w:r>
    </w:p>
    <w:p w14:paraId="45006A1E"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Hughes, P.D., Woodward, J.C., van Calsteren, P.C., Thomas, L.E., 2011. The glacial history of the Dinaric Alps, Montenegro. Quat. Sci. Rev. 30, 3393–3412. https://doi.org/10.1016/j.quascirev.2011.08.016</w:t>
      </w:r>
    </w:p>
    <w:p w14:paraId="3BF3DB7D"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 xml:space="preserve">Iizuka, T., Campbell, I.H., Allen, C.M., Gill, J.B., Maruyama, S., Makoka, F., 2013. Evolution of the African continental crust as recorded by U-Pb, Lu-Hf and O isotopes in detrital zircons from modern rivers. Geochim. Cosmochim. Acta 107, </w:t>
      </w:r>
      <w:r w:rsidRPr="00D22D21">
        <w:rPr>
          <w:rFonts w:ascii="Arial" w:hAnsi="Arial" w:cs="Arial"/>
          <w:noProof/>
          <w:sz w:val="24"/>
          <w:szCs w:val="24"/>
        </w:rPr>
        <w:lastRenderedPageBreak/>
        <w:t>96–120. https://doi.org/10.1016/j.gca.2012.12.028</w:t>
      </w:r>
    </w:p>
    <w:p w14:paraId="1538150B"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Iriondo, M., 1999. The origin of silt particles in the loess question. Quat. Int. 62, 3–9. https://doi.org/10.1016/S1040-6182(99)00018-X</w:t>
      </w:r>
    </w:p>
    <w:p w14:paraId="238BF72D"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Iriondo, M.H., Kröhling, D.M., 2007. Non-classical types of loess. Sediment. Geol. 202, 352–368. https://doi.org/10.1016/j.sedgeo.2007.03.012</w:t>
      </w:r>
    </w:p>
    <w:p w14:paraId="4B964B52"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Jipa, D.C., 2014. The conceptual sedimentary model of the Lower Danube loess basin: Sedimentogenetic implications. Quat. Int. 351, 14–24. https://doi.org/10.1016/j.quaint.2013.06.008</w:t>
      </w:r>
    </w:p>
    <w:p w14:paraId="5FD457B0"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Johnson, P.R., Andresen, A., Collins, A.S., Fowler, A.R., Fritz, H., Ghebreab, W., Kusky, T., Stern, R.J., 2011. Late Cryogenian-Ediacaran history of the Arabian-Nubian Shield: A review of depositional, plutonic, structural, and tectonic events in the closing stages of the northern East African Orogen. J. African Earth Sci. 61, 167–232. https://doi.org/10.1016/j.jafrearsci.2011.07.003</w:t>
      </w:r>
    </w:p>
    <w:p w14:paraId="7034DF0A"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Jordanova, D., Hus, J., Evlogiev, J., Geeraerts, R., 2008. Palaeomagnetism of the loess/palaeosol sequence in Viatovo (NE Bulgaria) in the Danube basin. Phys. Earth Planet. Inter. 167, 71–83. https://doi.org/10.1016/j.pepi.2008.02.008</w:t>
      </w:r>
    </w:p>
    <w:p w14:paraId="375D763F"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Kłapyta, P., Mîndrescu, M., Zasadni, J., 2021. Geomorphological record and equilibrium line altitude of glaciers during the last glacial maximum in the Rodna Mountains (eastern Carpathians). Quat. Res. 100, 1–20. https://doi.org/10.1017/qua.2020.90</w:t>
      </w:r>
    </w:p>
    <w:p w14:paraId="178E3338"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Kostić, N.S., Protić, N., 2000. Pedology and mineralogy of loess profiles at Kapela-Batajnica and Stalac , Serbia. Catena 41, 217–227.</w:t>
      </w:r>
    </w:p>
    <w:p w14:paraId="454FA723"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 xml:space="preserve">Kouamelan, A.N., Kra, K.S.A., Djro, S.C., Paquette, J.L., Peucat, J.J., 2018. The Logoualé Band: A large Archean crustal block in the Kenema-Man domain </w:t>
      </w:r>
      <w:r w:rsidRPr="00D22D21">
        <w:rPr>
          <w:rFonts w:ascii="Arial" w:hAnsi="Arial" w:cs="Arial"/>
          <w:noProof/>
          <w:sz w:val="24"/>
          <w:szCs w:val="24"/>
        </w:rPr>
        <w:lastRenderedPageBreak/>
        <w:t>(Man-Leo rise, West African Craton) remobilized during Eburnean orogeny (2.05 Ga). J. African Earth Sci. 148, 6–13. https://doi.org/10.1016/j.jafrearsci.2017.09.004</w:t>
      </w:r>
    </w:p>
    <w:p w14:paraId="1BCBC19C"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Kristoffersen, M., Andersen, T., Elburg, M.A., Watkeys, M.K., 2016. Detrital zircon in a supercontinental setting: Locally derived and far-transported components in the Ordovician Natal Group, South Africa. J. Geol. Soc. London. 173, 203–215. https://doi.org/10.1144/jgs2015-012</w:t>
      </w:r>
    </w:p>
    <w:p w14:paraId="72CF339E"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Kroner, U., Romer, R.L., 2013. Two plates - Many subduction zones: The Variscan orogeny reconsidered. Gondwana Res. 24, 298–329. https://doi.org/10.1016/j.gr.2013.03.001</w:t>
      </w:r>
    </w:p>
    <w:p w14:paraId="11FC2C36"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Küster, D., Harms, U., 1998. Post-collisional potassic granitoids from the southern and northwestern parts of the Late Neoproterozoic East African Orogen: A review. Lithos 45, 177–195. https://doi.org/10.1016/S0024-4937(98)00031-0</w:t>
      </w:r>
    </w:p>
    <w:p w14:paraId="1238D82E"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Lancaster, N., 2020. On the formation of desert loess. Quat. Res. 1–18. https://doi.org/10.1017/qua.2020.33</w:t>
      </w:r>
    </w:p>
    <w:p w14:paraId="29CA17E8"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Lawrence, C.R., Neff, J.C., 2009. The contemporary physical and chemical fl ux of aeolian dust: A synthesis of direct measurements of dust deposition. Chem. Geol. 267, 46–63. https://doi.org/10.1016/j.chemgeo.2009.02.005</w:t>
      </w:r>
    </w:p>
    <w:p w14:paraId="4903E5CA"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Lehmann, B., Herman, F., Valla, P.G., King, G.E., Biswas, R.H., Ivy-Ochs, S., Steinemann, O., Christl, M., 2020. Postglacial erosion of bedrock surfaces and deglaciation timing: New insights from the Mont Blanc massif (western Alps). Geology 48, 139–144. https://doi.org/10.1130/G46585.1</w:t>
      </w:r>
    </w:p>
    <w:p w14:paraId="35934D4D"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 xml:space="preserve">Lehmkuhl, F., Bösken, J., Hošek, J., Sprafke, T., Marković, S.B., Obreht, I., Hambach, U., Sümegi, P., Thiemann, A., Steffens, S., Lindner, H., Veres, D., </w:t>
      </w:r>
      <w:r w:rsidRPr="00D22D21">
        <w:rPr>
          <w:rFonts w:ascii="Arial" w:hAnsi="Arial" w:cs="Arial"/>
          <w:noProof/>
          <w:sz w:val="24"/>
          <w:szCs w:val="24"/>
        </w:rPr>
        <w:lastRenderedPageBreak/>
        <w:t>Zeeden, C., 2018. Loess distribution and related Quaternary sediments in the Carpathian Basin. J. Maps 14, 661–670. https://doi.org/10.1080/17445647.2018.1526720</w:t>
      </w:r>
    </w:p>
    <w:p w14:paraId="6F09516C"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Lehmkuhl, F., Nett, J., Pötter, S., Schulte, P., Sprafke, T., Jary, Z., Antoine, P., Wacha, L., Wolf, D., Zerboni, A., Hošek, J., Marković, S.B., Obreht, I., Sümegi, P., Veres, D., Zeeden, C., Boemke, B., Schaubert, V., Viehweger, J., Hambach, U., 2021. Loess landscapes of Europe – Mapping, geomorphology, and zonal differentiation. Earth-Science Rev. 215. https://doi.org/10.1016/j.earscirev.2020.103496</w:t>
      </w:r>
    </w:p>
    <w:p w14:paraId="53857CE4"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Lehmkuhl, F., Zens, J., Krauß, L., Schulte, P., Kels, H., 2016. Loess-paleosol sequences at the northern European loess belt in Germany: Distribution, geomorphology and stratigraphy. Quat. Sci. Rev. 153, 11–30. https://doi.org/10.1016/j.quascirev.2016.10.008</w:t>
      </w:r>
    </w:p>
    <w:p w14:paraId="43151CF5"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Li, Y., Shi, W., Aydin, A., Beroya-Eitner, M.A., Gao, G., 2020. Loess genesis and worldwide distribution. Earth-Science Rev. 201, 102947. https://doi.org/10.1016/j.earscirev.2019.102947</w:t>
      </w:r>
    </w:p>
    <w:p w14:paraId="1C04AC96"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Licht, A., Pullen, A., Kapp, P., Abell, J., Giesler, N., 2016. Eolian cannibalism : Reworked loess and fluvial sediment as the main sources of the Chinese Loess Plateau. GSA Bull. 128, 944–956. https://doi.org/10.1130/B31375.1</w:t>
      </w:r>
    </w:p>
    <w:p w14:paraId="7A5DB833"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Linnemann, U., Gerdes, A., Hofmann, M., Marko, L., 2014. The Cadomian Orogen: Neoproterozoic to Early Cambrian crustal growth and orogenic zoning along the periphery of the West African Craton-Constraints from U-Pb zircon ages and Hf isotopes (Schwarzburg Antiform, Germany). Precambrian Res. 244, 236–278. https://doi.org/10.1016/j.precamres.2013.08.007</w:t>
      </w:r>
    </w:p>
    <w:p w14:paraId="78708831"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lastRenderedPageBreak/>
        <w:t>Linnemann, U., Herbosch, A., Liégeois, J.P., Pin, C., Gärtner, A., Hofmann, M., 2012. The Cambrian to Devonian odyssey of the Brabant Massif within Avalonia: A review with new zircon ages, geochemistry, Sm-Nd isotopes, stratigraphy and palaeogeography. Earth-Science Rev. 112, 126–154. https://doi.org/10.1016/j.earscirev.2012.02.007</w:t>
      </w:r>
    </w:p>
    <w:p w14:paraId="1025AFD2"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Longman, J., Veres, D., Ersek, V., Salzmann, U., Hubay, K., Bormann, M., Wennrich, V., Schäbitz, F., 2017. Periodic input of dust over the Eastern Carpathians during the Holocene linked with Saharan desertification and human impact. Clim. Past 13, 897–917. https://doi.org/10.5194/cp-13-897-2017</w:t>
      </w:r>
    </w:p>
    <w:p w14:paraId="10D6D40C"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Lorentzen, S., Augustsson, C., Nystuen, J.P., Berndt, J., Jahren, J., Schovsbo, N.H., 2018. Provenance and sedimentary processes controlling the formation of lower Cambrian quartz arenite along the southwestern margin of Baltica. Sediment. Geol. 375, 203–217. https://doi.org/10.1016/j.sedgeo.2017.08.008</w:t>
      </w:r>
    </w:p>
    <w:p w14:paraId="1C919226"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Loth, G., Eichhorn, R., Holl, R., Kennedy, A., Schauder, P., Sollner, F., 2001. Cambro-Ordovician age of a metagabbro from the Wildschönau ophiolite complex, Greywacke Supergroup (Eastern Alps, Austria): A U-Pb SHRIMP study. Eur. J. Mineral. 57–66. https://doi.org/10.1127/0935-1221/01/0013-0057</w:t>
      </w:r>
    </w:p>
    <w:p w14:paraId="17A081B7"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Mahaney, W.C., Andres, W., 1991. Glacially crushed quartz grains. Boreas 20, 231–239.</w:t>
      </w:r>
    </w:p>
    <w:p w14:paraId="039D0F05"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Mahowald, N., Albani, S., Kok, J.F., Engelstaeder, S., Scanza, R., Ward, D.S., Flanner, M.G., 2014. The size distribution of desert dust aerosols and its impact on the Earth system. Aeolian Res. 15, 53–71. https://doi.org/10.1016/j.aeolia.2013.09.002</w:t>
      </w:r>
    </w:p>
    <w:p w14:paraId="3B55D582"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 xml:space="preserve">Marković, S.B., Bokhorst, M.P., Vandenberghe, J., McCoy, W.D., Oches, E.A., </w:t>
      </w:r>
      <w:r w:rsidRPr="00D22D21">
        <w:rPr>
          <w:rFonts w:ascii="Arial" w:hAnsi="Arial" w:cs="Arial"/>
          <w:noProof/>
          <w:sz w:val="24"/>
          <w:szCs w:val="24"/>
        </w:rPr>
        <w:lastRenderedPageBreak/>
        <w:t>Hambach, U., Gaudenyi, T., Jovanović, M., Zöller, L., Stevens, T., Machalett, B., 2008. Late Pleistocene loess-palaeosol sequences in the Vojvodina region, north Serbia. J. Quat. Sci. 23, 73–84. https://doi.org/10.1002/jqs</w:t>
      </w:r>
    </w:p>
    <w:p w14:paraId="66ECB9E3"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Marković, S.B., Hambach, U., Gaudenyi, T., Jovanović, M., Zöller, L., Machalett, B., Savic, S., Romelic, J., Plavsa, J., Mesaros, M., 2006. An introduction to the late Pleistocene loess-paleosol sequence at Susek, Vojvodina, Serbia. Geogr. Pannonica 4–8. https://doi.org/10.5937/geopan0610004m</w:t>
      </w:r>
    </w:p>
    <w:p w14:paraId="22A41541"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Marković, S.B., Hambach, U., Stevens, T., Kukla, G.J., Heller, F., McCoy, W.D., Oches, E.A., Buggle, B., Zöller, L., 2011. The last million years recorded at the Stari Slankamen (North Serbia) loess-paleosol sequence: Revised chronostratigraphy and long-term environmental trends. Quat. Sci. Rev. 30, 1142–1154. https://doi.org/10.1016/j.quascirev.2011.02.004</w:t>
      </w:r>
    </w:p>
    <w:p w14:paraId="0BD025A6"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Marković, S.B., Stevens, T., Kukla, G.J., Hambach, U., Fitzsimmons, K.E., Gibbard, P.L., Buggle, B., Zech, M., Guo, Z., Hao, Q., Wu, H., O’Hara-Dhand, K., Smalley, I.J., Újvári, G., Sümegi, P., Timar-Gabor, A., Veres, D., Sirocko, F., Vasiljević, D.A., Jary, Z., Svensson, A.M., Jović, V., Lehmkuhl, F., Kovács, J.I., Svirčev, Z., 2015. Danube loess stratigraphy - Towards a pan-European loess stratigraphic model. Earth-Science Rev. 148, 228–258. https://doi.org/10.1016/j.earscirev.2015.06.005</w:t>
      </w:r>
    </w:p>
    <w:p w14:paraId="4B410C46"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 xml:space="preserve">Matenco, L., Andriessen, P.A.M., Avram, C., Bada, G., Beekman, F., Bielik, M., Ter Borgh, M., Cifci, G., Cvetković, V., Dinu, C., Dombradi, E., Dondurur, D., Ergun, M., Francu, J., Fügenschuh, B., Garcia-Castellanos, D., Götz, J., Horváth, F., Houseman, G., Knežević, S., Kovac, M., Kralikova, S., Krijgsman, W., Kucuk, M., Legosteva, O., Lericolais, G., Jipa, D.C., Maximov, G., Melinte, M., Minar, J., </w:t>
      </w:r>
      <w:r w:rsidRPr="00D22D21">
        <w:rPr>
          <w:rFonts w:ascii="Arial" w:hAnsi="Arial" w:cs="Arial"/>
          <w:noProof/>
          <w:sz w:val="24"/>
          <w:szCs w:val="24"/>
        </w:rPr>
        <w:lastRenderedPageBreak/>
        <w:t>Munteanu, I., Munt, I.J., Olariu, C., Otto, J.C., Panin, N., Plašienka, D., Reiser, M., Rundić, L., Rupprechter, M., Safanda, J., Schmid, S.M., Schrott, L., Schuster, R., Starostenko, V., Steel, R.J., Stephenson, R.A., Stovba, S., Sokoutis, D., Stankoviansky, M., Stoica, A.M., Stojadinović, U., Toljić, M., Tomljenović, B., Ter Voorde, M., Wong, H., 2013. Quantifying the mass transfer from mountain ranges to deposition in sedimentary basins: Source to sink studies in the Danube basin-black sea system. Glob. Planet. Change 103, 1–18. https://doi.org/10.1016/j.gloplacha.2013.01.003</w:t>
      </w:r>
    </w:p>
    <w:p w14:paraId="1980B166"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Meert, J.G., 2012. What’s in a name? The Columbia (Paleopangaea/Nuna) supercontinent. Gondwana Res. 21, 987–993. https://doi.org/10.1016/j.gr.2011.12.002</w:t>
      </w:r>
    </w:p>
    <w:p w14:paraId="792252F8"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Meert, J.G., 2003. A synopsis of events related to the assembly of the eastern Gondwana, Tectonophysics. https://doi.org/10.1016/S0040-1951(02)00629-7</w:t>
      </w:r>
    </w:p>
    <w:p w14:paraId="34D5E7C9"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Meinhold, G., Kostopoulos, D., Frei, D., Himmerkus, F., Reischmann, T., 2010. U-Pb LA-SF-ICP-MS zircon geochronology of the Serbo-Macedonian Massif, Greece: Palaeotectonic constraints for Gondwana-derived terranes in the Eastern Mediterranean. Int. J. Earth Sci. 99, 813–832. https://doi.org/10.1007/s00531-009-0425-5</w:t>
      </w:r>
    </w:p>
    <w:p w14:paraId="0D29CEE2"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Meinhold, G., Morton, A.C., Avigad, D., 2013. New insights into peri-Gondwana paleogeography and the Gondwana super-fan system from detrital zircon U-Pb ages. Gondwana Res. 23, 661–665. https://doi.org/10.1016/j.gr.2012.05.003</w:t>
      </w:r>
    </w:p>
    <w:p w14:paraId="17F264CF"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 xml:space="preserve">Meira, V.T., García-Casco, A., Juliani, C., Almeida, R.P., Schorscher, J.H.D., 2015. The role of intracontinental deformation in supercontinent assembly: Insights from the Ribeira Belt, Southeastern Brazil (Neoproterozoic West Gondwana). </w:t>
      </w:r>
      <w:r w:rsidRPr="00D22D21">
        <w:rPr>
          <w:rFonts w:ascii="Arial" w:hAnsi="Arial" w:cs="Arial"/>
          <w:noProof/>
          <w:sz w:val="24"/>
          <w:szCs w:val="24"/>
        </w:rPr>
        <w:lastRenderedPageBreak/>
        <w:t>Terra Nov. 27, 206–217. https://doi.org/10.1111/ter.12149</w:t>
      </w:r>
    </w:p>
    <w:p w14:paraId="49120F39"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Mentlík, P., Engel, Z., Braucher, R., Léanni, L., Arnold, M., Aumaître, G., Bourlés, D., Keddadouche, K., 2013. Chronology of the Late Weichselian glaciation in the Bohemian Forest in Central Europe. Quat. Sci. Rev. 65, 120–128. https://doi.org/10.1016/j.quascirev.2013.01.020</w:t>
      </w:r>
    </w:p>
    <w:p w14:paraId="54DED61F"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Middleton, N.J., Betzer, P.R., Bull, P.A., 2001. Long-range transport of “giant” aeolian quartz grains: linkage with discrete sedimentary sources and implications for protective particle transfer. Mar. Geol. 177, 411–417.</w:t>
      </w:r>
    </w:p>
    <w:p w14:paraId="03C949FE"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Muhs, D.R., 2013a. Loess and its Geomorphic, Stratigraphic, and Paleoclimatic Significance in the Quaternary, in: Shroder, J.F., Lancaster, N., Sherman, D.J., Baas, A.C.W. (Eds.), Treatise on Geomorphology. Academic Press, pp. 149–183. https://doi.org/10.1016/B978-0-12-374739-6.00302-X</w:t>
      </w:r>
    </w:p>
    <w:p w14:paraId="5C2849DF"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Muhs, D.R., 2013b. The geologic records of dust in the Quaternary. Aeolian Res. 9, 3–48. https://doi.org/10.1016/j.aeolia.2012.08.001</w:t>
      </w:r>
    </w:p>
    <w:p w14:paraId="10A6DD7C"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Muhs, D.R., Bettis, E.A., 2003. Quaternary loess-paleosol sequences as examples of climate-driven sedimentary extremes. Spec. Pap. Geol. Soc. Am. 370, 53–74. https://doi.org/10.1130/0-8137-2370-1.53</w:t>
      </w:r>
    </w:p>
    <w:p w14:paraId="6C8B9FFB"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Nance, R.D., Gutiérrez-Alonso, G., Keppie, J.D., Linnemann, U., Murphy, J.B., Quesada, C., Strachan, R.A., Woodcock, N.H., 2012. A brief history of the Rheic Ocean. Geosci. Front. 3, 125–135. https://doi.org/10.1016/j.gsf.2011.11.008</w:t>
      </w:r>
    </w:p>
    <w:p w14:paraId="43855A64"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Nance, R.D., Gutiérrez-Alonso, G., Keppie, J.D., Linnemann, U., Murphy, J.B., Quesada, C., Strachan, R.A., Woodcock, N.H., 2010. Evolution of the Rheic Ocean. Gondwana Res. 17, 194–222. https://doi.org/10.1016/j.gr.2009.08.001</w:t>
      </w:r>
    </w:p>
    <w:p w14:paraId="6DE9920E"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 xml:space="preserve">Nance, R.D., Murphy, J.B., Strachan, R.A., Keppie, J.D., Gutiérrez-Alonso, G., </w:t>
      </w:r>
      <w:r w:rsidRPr="00D22D21">
        <w:rPr>
          <w:rFonts w:ascii="Arial" w:hAnsi="Arial" w:cs="Arial"/>
          <w:noProof/>
          <w:sz w:val="24"/>
          <w:szCs w:val="24"/>
        </w:rPr>
        <w:lastRenderedPageBreak/>
        <w:t>Fernández-Suárez, J., Quesada, C., Linnemann, U., D’Lemos, R., Pisarevsky, S.A., 2008. Neoproterozoic-early Palaeozoic tectonostratigraphy and palaeogeography of the peri-Gondwanan terranes: Amazonian v . West African connections, in: Ennih, N., Liegeois, J.P. (Eds.), The Boundaries of the West African Craton. Geological Society, London, London, pp. 345–383.</w:t>
      </w:r>
    </w:p>
    <w:p w14:paraId="34951A39"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Nemecz, E., Pésci, M., Hartyani, Z., Horváth, T., 2000. The origin of the silt size quartz grains and minerals in loess. Quat. Int. 68–71, 199–208.</w:t>
      </w:r>
    </w:p>
    <w:p w14:paraId="571BCF5A"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Nie, J., Stevens, T., Rittner, M., Stockli, D.F., Garzanti, E., Limonta, M., Vermeesch, P., Saylor, J.E., Lu, H., Breecker, D., Hu, X., Bird, A.F., Ando, S., Liu, S., Resentini, A., Vezzoli, G., Peng, W., Carter, A., Ji, S., Pan, B., 2015. Loess Plateau storage of Northeastern Tibetan Plateau-derived Yellow River sediment. Nat. Commun. 6. https://doi.org/10.1038/ncomms9511</w:t>
      </w:r>
    </w:p>
    <w:p w14:paraId="60EE96F2"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Novothny, Á., Frechen, M., Horváth, E., Wacha, L., Rolf, C., 2011. Investigating the penultimate and last glacial cycles of the Süttő loess section (Hungary) using luminescence dating, high-resolution grain size, and magnetic susceptibility data. Quat. Int. 234, 75–85. https://doi.org/10.1016/j.quaint.2010.08.002</w:t>
      </w:r>
    </w:p>
    <w:p w14:paraId="3C21A74B"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Nowell, G.M., Parrish, R.R., 2001. Simultaneous acquisition of isotope compositions and parent/daughter ratios by non-isotope dilution-mode plasma ionisation multi-collector mass spectrometry (PIMMS), in: Holland, G., Tanner, S.D. (Eds.), Plasma Source Mass Spectrometry: The New Millenium. Royal Society of Chemistry. Special Publications, pp. 298–310.</w:t>
      </w:r>
    </w:p>
    <w:p w14:paraId="721BB8DE"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 xml:space="preserve">Obreht, I., Zeeden, C., Schulte, P., Hambach, U., Eckmeier, E., Timar-Gabor, A., Lehmkuhl, F., 2015. Aeolian dynamics at the Orlovat loess-paleosol sequence, northern Serbia, based on detailed textural and geochemical evidence. Aeolian </w:t>
      </w:r>
      <w:r w:rsidRPr="00D22D21">
        <w:rPr>
          <w:rFonts w:ascii="Arial" w:hAnsi="Arial" w:cs="Arial"/>
          <w:noProof/>
          <w:sz w:val="24"/>
          <w:szCs w:val="24"/>
        </w:rPr>
        <w:lastRenderedPageBreak/>
        <w:t>Res. 18, 69–81. https://doi.org/10.1016/j.aeolia.2015.06.004</w:t>
      </w:r>
    </w:p>
    <w:p w14:paraId="2C900793"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Obruchev, V.A., 1945. Loess types and their origin. Am. J. Sci. 243, 256–262.</w:t>
      </w:r>
    </w:p>
    <w:p w14:paraId="2C7F4DAC"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Oliver, G.J.H., Corfu, F., Krogh, T.E., 1993. U-Pb ages from SW Poland: evidence for a Caledonian suture zone between Baltica and Gondwana. J. Geol. Soc. 150, 355–369.</w:t>
      </w:r>
    </w:p>
    <w:p w14:paraId="2AD38CF6"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Pańczyk, M., Nawrocki, J., Bogucki, A.B., Gozhik, P., Łanczont, M., 2020. Possible sources and transport pathways of loess deposited in Poland and Ukraine from detrital zircon U-Pb age spectra. Aeolian Res. 45, A provenance study was carried out on loess deposi. https://doi.org/10.1016/j.aeolia.2020.100598</w:t>
      </w:r>
    </w:p>
    <w:p w14:paraId="10D38C2B"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Pastore, G., Baird, T., Vermeesch, P., Resentini, A., Garzanti, E., 2021. Provenance and recycling of Sahara Desert sand. Earth-Science Rev. 216, 103606. https://doi.org/10.1016/j.earscirev.2021.103606</w:t>
      </w:r>
    </w:p>
    <w:p w14:paraId="1EB4F616"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Paton, C., Hellstrom, J., Paul, B., Woodhead, J.D., Hergt, J., 2011. Iolite: Freeware for the visualisation and processing of mass spectrometric data. J. Anal. At. Spectrom. 26, 2508–2518. https://doi.org/10.1039/c1ja10172b</w:t>
      </w:r>
    </w:p>
    <w:p w14:paraId="1F5160C4"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Pavelić, D., Kovačić, M., Banak, A., Jiménez-Moreno, G., Marković, F., Pikelj, K., Vranjković, A., Premužak, L., Tibljaš, D., Belak, M., 2016. Early miocene European loess: A new record of aridity in southern Europe. Bull. Geol. Soc. Am. 128, 110–121. https://doi.org/10.1130/B31280.1</w:t>
      </w:r>
    </w:p>
    <w:p w14:paraId="0FFA1094"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Pawlewicz, M.J., Steinshouer, D.W., Gautier, D.L., 2002. Map Showing Geology, Oil and Gas Fields, and Geologic Provinces of Europe including Turkey: Open-File Report 97-470-I. https://doi.org/https://doi.org/10.3133/ofr97470I</w:t>
      </w:r>
    </w:p>
    <w:p w14:paraId="075ABB49"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 xml:space="preserve">Peng, S., Hao, Q., Wang, L., Ding, M., Zhang, W., Wang, Y., Guo, Z., 2016. Geochemical and grain-size evidence for the provenance of loess deposits in </w:t>
      </w:r>
      <w:r w:rsidRPr="00D22D21">
        <w:rPr>
          <w:rFonts w:ascii="Arial" w:hAnsi="Arial" w:cs="Arial"/>
          <w:noProof/>
          <w:sz w:val="24"/>
          <w:szCs w:val="24"/>
        </w:rPr>
        <w:lastRenderedPageBreak/>
        <w:t>the Central Shandong Mountains region, northern China. Quat. Res. (United States) 85, 290–298. https://doi.org/10.1016/j.yqres.2016.01.005</w:t>
      </w:r>
    </w:p>
    <w:p w14:paraId="3ECF97DE"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Persits, F.M., Ulmishek, G.F., Steinshouer, D.W., 1999. Maps Showing Geology, Oil and Gas Fields and Geologic Provinces of the Former Soviet Union Open-File Report 97-470-E.</w:t>
      </w:r>
    </w:p>
    <w:p w14:paraId="3D01E9E7"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Pfeifer, L.S., Soreghan, G.S., Pochat, S., Driessche, J. Van Den, 2020. Loess in eastern equatorial Pangea archives a dusty atmosphere and possible upland glaciation. Bull. Geol. Soc. Am. 133, 379–392. https://doi.org/10.1130/B35590.1</w:t>
      </w:r>
    </w:p>
    <w:p w14:paraId="0D771CFC"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Plissart, G., Diot, H., Monnier, C., Mârunţiu, M., Berger, J., 2012. Relationship between a syntectonic granitic intrusion and a shear zone in the Southern Carpathian-Balkan area (Almâj Mountains, Romania): Implications for late Variscan kinematics and Cherbelezu granitoid emplacement. J. Struct. Geol. 39, 83–102. https://doi.org/10.1016/j.jsg.2012.03.004</w:t>
      </w:r>
    </w:p>
    <w:p w14:paraId="2D9FAFC3"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Pötter, S., Veres, D., Baykal, Y., Nett, J.J., Schulte, P., Hambach, U., Lehmkuhl, F., 2021. Disentangling Sedimentary Pathways for the Pleniglacial Lower Danube Loess Based on Geochemical Signatures. Front. Earth Sci. 9, 1–25. https://doi.org/10.3389/feart.2021.600010</w:t>
      </w:r>
    </w:p>
    <w:p w14:paraId="622698DD"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Pullen, A., Ibanez-Mejia, M., Gehrels, G.E., Ibanez-Mejia, J.C., Pecha, M., 2014. What happens when n= 1000? Creating large-n geochronological datasets with LA-ICP-MS for geologic investigations. J. Anal. At. Spectrom. 29, 971–980. https://doi.org/10.1039/C4JA00024B</w:t>
      </w:r>
    </w:p>
    <w:p w14:paraId="7DC34BFE"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Pye, K., 1995. The nature, origin and accumulation of loess. Quat. Sci. Rev. 14, 653–667. https://doi.org/10.1016/0277-3791(95)00047-X</w:t>
      </w:r>
    </w:p>
    <w:p w14:paraId="48475D30"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 xml:space="preserve">Pye, K., Sperling, C.H.B., 1983. Experimental investigation of silt formation by static </w:t>
      </w:r>
      <w:r w:rsidRPr="00D22D21">
        <w:rPr>
          <w:rFonts w:ascii="Arial" w:hAnsi="Arial" w:cs="Arial"/>
          <w:noProof/>
          <w:sz w:val="24"/>
          <w:szCs w:val="24"/>
        </w:rPr>
        <w:lastRenderedPageBreak/>
        <w:t>breakage processes: the effect of temperature, moisture and salt on quartz dune sand and granitic regolith. Sedimentology 30, 49–62. https://doi.org/10.1111/j.1365-3091.1983.tb00649.x</w:t>
      </w:r>
    </w:p>
    <w:p w14:paraId="74CED579"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Rengers, F.K., Kean, J.W., Reitman, N.G., Smith, J.B., Coe, J.A., McGuire, L.A., 2020. The Influence of Frost Weathering on Debris Flow Sediment Supply in an Alpine Basin. J. Geophys. Res. Earth Surf. 125. https://doi.org/10.1029/2019JF005369</w:t>
      </w:r>
    </w:p>
    <w:p w14:paraId="3DE07765"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Roberts, N.M.W., Slagstad, T., Parrish, R.R., Norry, M.J., Marker, M., Horstwood, M.S.A., 2013. Sedimentary recycling in arc magmas: geochemical and U–Pb–Hf–O constraints on the Mesoproterozoic Suldal Arc, SW Norway. Contrib. to Mineral. Petrol. 165, 507–523. https://doi.org/10.1007/s00410-012-0820-y</w:t>
      </w:r>
    </w:p>
    <w:p w14:paraId="67514205"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Rosenbaum, G., Lister, G.S., 2005. The Western Alps from the Jurassic to Oligocene: Spatio-temporal constraints and evolutionary reconstructions. Earth-Science Rev. 69, 281–306. https://doi.org/10.1016/j.earscirev.2004.10.001</w:t>
      </w:r>
    </w:p>
    <w:p w14:paraId="335E9BF9"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Rousseau, D.-D., Antoine, P., Gerasimenko, N.P., Sima, A., Fuchs, M., Hatté, C., Moine, O., Zöller, L., 2011. North Atlantic abrupt climatic events of the last glacial period recorded in Ukrainian loess deposits. Clim. Past 7, 221–234. https://doi.org/10.5194/cp-7-221-2011</w:t>
      </w:r>
    </w:p>
    <w:p w14:paraId="4F927759"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Ryder, C.L., Highwood, E.J., Lai, T.M., Sodemann, H., Marsham, J.H., 2013. Impact of atmospheric transport on the evolution of microphysical and optical properties of Saharan dust. Geophys. Res. Lett. 40, 2433–2438. https://doi.org/10.1002/grl.50482</w:t>
      </w:r>
    </w:p>
    <w:p w14:paraId="40F96DA5"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 xml:space="preserve">Sarıkaya, M.A., Stepišnik, U., Žebre, M., Çiner, A., Yıldırım, C., Vlahović, I., Tomljenović, B., Matoš, B., Wilcken, K.M., 2020. Last glacial maximum </w:t>
      </w:r>
      <w:r w:rsidRPr="00D22D21">
        <w:rPr>
          <w:rFonts w:ascii="Arial" w:hAnsi="Arial" w:cs="Arial"/>
          <w:noProof/>
          <w:sz w:val="24"/>
          <w:szCs w:val="24"/>
        </w:rPr>
        <w:lastRenderedPageBreak/>
        <w:t>deglaciation of the Southern Velebit Mt. (Croatia): insights from cosmogenic 36Cl dating of Rujanska Kosa. Mediterr. Geosci. Rev. 2, 53–64. https://doi.org/10.1007/s42990-020-00030-9</w:t>
      </w:r>
    </w:p>
    <w:p w14:paraId="3BF02464"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Savov, I., Ryan, J., Haydoutov, I., Schijf, J., 2001. Late Precambrian Balkan-Carpathian ophiolite — a slice of the Pan-African ocean crust?: geochemical and tectonic insights from the Tcherni Vrah and Deli Jovan massifs, Bulgaria and Serbia. J. Volcanol. Geotherm. Res. 110, 299–318. https://doi.org/10.1016/S0377-0273(01)00216-5</w:t>
      </w:r>
    </w:p>
    <w:p w14:paraId="06B0D4D1"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Schaltegger, U., Abrecht, J., Corfu, F., 2003. The Ordovician orogeny in the Alpine basement: constraints from geochronology and geochemistry in the Aar Massif (Central Alps). Swiss Bull. Mineral. Petrol. 833, 183–195.</w:t>
      </w:r>
    </w:p>
    <w:p w14:paraId="48E10A27"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Schatz, A.-K., Qi, Y., Siebel, W., Wu, J., Zöller, L., 2015. Tracking potential source areas of Central European loess: examples from Tokaj (HU), Nussloch (D) and Grub (AT). Open Geosci. 7, 678–720. https://doi.org/10.1515/geo-2015-0048</w:t>
      </w:r>
    </w:p>
    <w:p w14:paraId="7C4F44CB"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Scherler, D., Bookhagen, B., Wulf, H., Preusser, F., Strecker, M.R., 2015. Increased late Pleistocene erosion rates during fluvial aggradation in the Garhwal Himalaya, northern India. Earth Planet. Sci. Lett. 428, 255–266. https://doi.org/10.1016/j.epsl.2015.06.034</w:t>
      </w:r>
    </w:p>
    <w:p w14:paraId="080F1CA8"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Schmid, S.M., Bernoulli, D., Fügenschuh, B., Matenco, L., Schefer, S., Schuster, R., Tischler, M., Ustaszewski, K., 2008. The Alpine-Carpathian-Dinaridic orogenic system: correlation and evolution of tectonic units. Swiss J. Geosci. 101, 139–183. https://doi.org/10.1007/s00015-008-1247-3</w:t>
      </w:r>
    </w:p>
    <w:p w14:paraId="46CB04B7"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 xml:space="preserve">Schmid, S.M., Fügenschuh, B., Kounov, A., Maţenco, L., Nievergelt, P., Oberhänsli, R., Pleuger, J., Schefer, S., Schuster, R., Tomljenović, B., Ustaszewski, K., van </w:t>
      </w:r>
      <w:r w:rsidRPr="00D22D21">
        <w:rPr>
          <w:rFonts w:ascii="Arial" w:hAnsi="Arial" w:cs="Arial"/>
          <w:noProof/>
          <w:sz w:val="24"/>
          <w:szCs w:val="24"/>
        </w:rPr>
        <w:lastRenderedPageBreak/>
        <w:t>Hinsbergen, D.J.J., 2020. Tectonic units of the Alpine collision zone between Eastern Alps and western Turkey. Gondwana Res. 78, 308–374. https://doi.org/10.1016/j.gr.2019.07.005</w:t>
      </w:r>
    </w:p>
    <w:p w14:paraId="7580B658"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Siegesmund, S., Oriolo, S., Heinrichs, T., Basei, M.A.S., Nolte, N., Hüttenrauch, F., Schulz, B., 2018. Provenance of Austroalpine basement metasediments: tightening up Early Palaeozoic connections between peri-Gondwanan domains of central Europe and Northern Africa. Int. J. Earth Sci. 107, 2293–2315. https://doi.org/10.1007/s00531-018-1599-5</w:t>
      </w:r>
    </w:p>
    <w:p w14:paraId="65E05450"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Skonieczny, C., Bory, A., Bout-Roumazeilles, V., Abouchami, W., Galer, S.J.G., Crosta, X., Diallo, A., Ndiaye, T., 2013. A three-year time series of mineral dust deposits on the West African margin: Sedimentological and geochemical signatures and implications for interpretation of marine paleo-dust records. Earth Planet. Sci. Lett. 364, 145–156. https://doi.org/10.1016/j.epsl.2012.12.039</w:t>
      </w:r>
    </w:p>
    <w:p w14:paraId="6A0F7520"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Skurzyński, J., Jary, Z., Kenis, P., Kubik, R., Moska, P., Raczyk, J., Seul, C., 2020. Geochemistry and mineralogy of the Late Pleistocene loess-palaeosol sequence in Złota (near Sandomierz, Poland): Implications for weathering, sedimentary recycling and provenance. Geoderma 375. https://doi.org/10.1016/j.geoderma.2020.114459</w:t>
      </w:r>
    </w:p>
    <w:p w14:paraId="6E0D3453"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Sláma, J., Košler, J., Condon, D.J., Crowley, J.L., Gerdes, A., Hanchar, J.M., Horstwood, M.S.A., Morris, G.A., Nasdala, L., Norberg, N., Schaltegger, U., Schoene, B., Tubrett, M.N., Whitehouse, M.J., 2008. Plešovice zircon — A new natural reference material for U–Pb and Hf isotopic microanalysis. Chem. Geol. 249, 1–35. https://doi.org/10.1016/j.chemgeo.2007.11.005</w:t>
      </w:r>
    </w:p>
    <w:p w14:paraId="0B9D3CFB"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 xml:space="preserve">Smalley, I.J., 2008. A call for Australian loess: Discussion and commentary. Area 40, </w:t>
      </w:r>
      <w:r w:rsidRPr="00D22D21">
        <w:rPr>
          <w:rFonts w:ascii="Arial" w:hAnsi="Arial" w:cs="Arial"/>
          <w:noProof/>
          <w:sz w:val="24"/>
          <w:szCs w:val="24"/>
        </w:rPr>
        <w:lastRenderedPageBreak/>
        <w:t>131–134. https://doi.org/10.1111/j.1475-4762.2008.00795.x</w:t>
      </w:r>
    </w:p>
    <w:p w14:paraId="2A392128"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Smalley, I.J., 1966. The Properties of Glacial Loess and the Formation of Loess Deposits. J. Sediment. Res. Vol. 36, 669–676. https://doi.org/10.1306/74d7153c-2b21-11d7-8648000102c1865d</w:t>
      </w:r>
    </w:p>
    <w:p w14:paraId="6CB9C94E"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Smalley, I.J., Derbyshire, E., 1990. The Definition of “Ice-Sheet” and “Mountain” Loess. Area 22, 300–301.</w:t>
      </w:r>
    </w:p>
    <w:p w14:paraId="2E6CA402"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Smalley, I.J., Leach, J.A., 1978. The origin and distribution of the loess in the Danube basin and associated regions of East-Central Europe — A review. Sediment. Geol. 21, 1–26. https://doi.org/10.1016/0037-0738(78)90031-3</w:t>
      </w:r>
    </w:p>
    <w:p w14:paraId="18DC9F25"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Smalley, I.J., Marshall, J., Fitzsimmons, K.E., Whalley, W.B., Ngambi, S., 2019. Desert loess: A selection of relevant topics. Geologos 25, 91–102. https://doi.org/10.2478/logos-2019-0007</w:t>
      </w:r>
    </w:p>
    <w:p w14:paraId="62D20DAE"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Smalley, I.J., O’Hara-Dhand, K., Wint, J., Machalett, B., Jary, Z., Jefferson, I.F., 2009. Rivers and loess: The significance of long river transportation in the complex event-sequence approach to loess deposit formation. Quat. Int. 198, 7–18. https://doi.org/10.1016/j.quaint.2008.06.009</w:t>
      </w:r>
    </w:p>
    <w:p w14:paraId="2F63B1BD"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Smalley, I.J., Vita-Finzi, C., 1968. The Formation of Fine Particles in Sandy Deserts and the Nature Of “Desert” Loess. J. Sediment. Petrol. Vol. 38, 766–774. https://doi.org/10.1306/74d71a69-2b21-11d7-8648000102c1865d</w:t>
      </w:r>
    </w:p>
    <w:p w14:paraId="1EA67E39"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Smith, B.J., Wright, J.S., Whalley, W.B., 2002. Sources of non-glacial, loess-size quartz silt and the origins of “desert loess.” Earth-Science Rev. 59, 1–26. https://doi.org/10.1016/S0012-8252(02)00066-1</w:t>
      </w:r>
    </w:p>
    <w:p w14:paraId="74450D05"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 xml:space="preserve">Smith, B.J., Wright, J.S., Whalley, W.B., 1991. Simulated aeolian abrasion of Pannonian Sands and its implications for the origins of Hungarian Loess. Earth </w:t>
      </w:r>
      <w:r w:rsidRPr="00D22D21">
        <w:rPr>
          <w:rFonts w:ascii="Arial" w:hAnsi="Arial" w:cs="Arial"/>
          <w:noProof/>
          <w:sz w:val="24"/>
          <w:szCs w:val="24"/>
        </w:rPr>
        <w:lastRenderedPageBreak/>
        <w:t>Surf. Process. Landforms 16, 745–752.</w:t>
      </w:r>
    </w:p>
    <w:p w14:paraId="1811817D"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Söderlund, U., Patchett, P.J., Vervoort, J.D., Isachsen, C.E., 2004. The 176Lu decay constant determined by Lu-Hf and U-Pb isotope systematics of Precambrian mafic intrusions. Earth Planet. Sci. Lett. 219, 311–324. https://doi.org/10.1016/S0012-821X(04)00012-3</w:t>
      </w:r>
    </w:p>
    <w:p w14:paraId="72A157DF"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Soreghan, G.S., Joo, Y.J., Elwood Madden, M.E., Van Deventer, S.C., 2016. Silt production as a function of climate and lithology under simulated comminution. Quat. Int. 399, 218–227. https://doi.org/10.1016/j.quaint.2015.05.010</w:t>
      </w:r>
    </w:p>
    <w:p w14:paraId="32B50072"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Soreghan, G.S., Soreghan, M.J., Hamilton, M.A., 2008. Origin and significance of loess in late Paleozoic western Pangaea: A record of tropical cold? Palaeogeogr. Palaeoclimatol. Palaeoecol. 268, 234–259. https://doi.org/10.1016/j.palaeo.2008.03.050</w:t>
      </w:r>
    </w:p>
    <w:p w14:paraId="64DEE7C2"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Spencer, C.J., Hawkesworth, C.J., Cawood, P.A., Dhuime, B., 2013. Not all supercontinents are created equal : Gondwana-Rodinia case study. Geology 41, 795–798. https://doi.org/10.1130/G34520.1</w:t>
      </w:r>
    </w:p>
    <w:p w14:paraId="566DEF37"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Squire, R.J., Campbell, I.H., Allen, C.M., Wilson, C.J.L., 2006. Did the Transgondwanan Supermountain trigger the explosive radiation of animals on Earth? Earth Planet. Sci. Lett. 250, 116–133. https://doi.org/10.1016/j.epsl.2006.07.032</w:t>
      </w:r>
    </w:p>
    <w:p w14:paraId="527F06D8"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Stampfli, G.M., Borel, G.D., 2002. A plate tectonic model for the Paleozoic and Mesozoic constrained by dynamic plate boundaries and restored synthetic oceanic isochrons. Earth Planet. Sci. Lett. 196, 17–33. https://doi.org/10.1016/S0012-821X(01)00588-X</w:t>
      </w:r>
    </w:p>
    <w:p w14:paraId="6E365B97"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 xml:space="preserve">Stampfli, G.M., Hochard, C., Vérard, C., Wilhem, C., VonRaumer, J., 2013. The </w:t>
      </w:r>
      <w:r w:rsidRPr="00D22D21">
        <w:rPr>
          <w:rFonts w:ascii="Arial" w:hAnsi="Arial" w:cs="Arial"/>
          <w:noProof/>
          <w:sz w:val="24"/>
          <w:szCs w:val="24"/>
        </w:rPr>
        <w:lastRenderedPageBreak/>
        <w:t>formation of Pangea. Tectonophysics 593, 1–19. https://doi.org/10.1016/j.tecto.2013.02.037</w:t>
      </w:r>
    </w:p>
    <w:p w14:paraId="3664A8DE"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Stampfli, G.M., Von Raumer, J.F., Borel, G.D., 2002. Paleozoic evolution of pre-Variscan terranes: From Gondwana to the Variscan collision. Spec. Pap. Geol. Soc. Am. 364, 263–280. https://doi.org/10.1130/0-8137-2364-7.263</w:t>
      </w:r>
    </w:p>
    <w:p w14:paraId="4EAF0D9C"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Stephan, T., Kroner, U., Romer, R.L., Rösel, D., 2019. From a bipartite Gondwanan shelf to an arcuate Variscan belt: The early Paleozoic evolution of northern Peri-Gondwana. Earth-Science Rev. 192, 491–512. https://doi.org/10.1016/j.earscirev.2019.03.012</w:t>
      </w:r>
    </w:p>
    <w:p w14:paraId="2CAA0605"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Stern, R.J., 1994. Arc assembly and continetal collision in the Neoproterozoic East African Orogen: Implications for the Consolidation of Gondwanaland. Annu. Rev. Anthropol. 22, 319–351.</w:t>
      </w:r>
    </w:p>
    <w:p w14:paraId="11B5BA52"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Stevens, T., Carter, A., Watson, T.P., Vermeesch, P., Andò, S., Bird, A.F., Lu, H., Garzanti, E., Cottam, M.A., Sevastjanova, I., 2013. Genetic linkage between the Yellow River, the Mu Us desert and the Chinese Loess Plateau. Quat. Sci. Rev. 78, 355–368. https://doi.org/10.1016/j.quascirev.2012.11.032</w:t>
      </w:r>
    </w:p>
    <w:p w14:paraId="03B9A0BA"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Stevens, T., Palk, C., Carter, A., Lu, H., Clift, P.D., 2010. Assessing the provenance of loess and desert sediments in northern China using U-Pb dating and morphology of detrital zircons. Geol. Soc. Am. Bull. 122, 1331–1344. https://doi.org/10.1130/B30102.1</w:t>
      </w:r>
    </w:p>
    <w:p w14:paraId="0357B73F"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Strømsøe, J.R., Paasche, Ø., 2011. Weathering patterns in high-latitude regolith. J. Geophys. Res. Earth Surf. 116. https://doi.org/10.1029/2010JF001954</w:t>
      </w:r>
    </w:p>
    <w:p w14:paraId="571D9DCA"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 xml:space="preserve">Stuut, J.B., Smalley, I.J., O’Hara-Dhand, K., 2009. Aeolian dust in Europe: African sources and European deposits. Quat. Int. 198, 234–245. </w:t>
      </w:r>
      <w:r w:rsidRPr="00D22D21">
        <w:rPr>
          <w:rFonts w:ascii="Arial" w:hAnsi="Arial" w:cs="Arial"/>
          <w:noProof/>
          <w:sz w:val="24"/>
          <w:szCs w:val="24"/>
        </w:rPr>
        <w:lastRenderedPageBreak/>
        <w:t>https://doi.org/10.1016/j.quaint.2008.10.007</w:t>
      </w:r>
    </w:p>
    <w:p w14:paraId="263B272D"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Sun, J., 2002. Provenance of loess material and formation of loess deposits on the Chinese Loess Plateau. Earth Planet. Sci. Lett. 203, 845–859. https://doi.org/10.1016/S0012-821X(02)00921-4</w:t>
      </w:r>
    </w:p>
    <w:p w14:paraId="465AA630"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Thamó-Bozsó, E., Kovács, L.Ó., Magyari, Á., Marsi, I., 2014. Tracing the origin of loess in Hungary with the help of heavy mineral composition data. Quat. Int. 319, 11–21. https://doi.org/10.1016/j.quaint.2013.04.030</w:t>
      </w:r>
    </w:p>
    <w:p w14:paraId="1EA66C29"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Torsvik, T.H., Rehnström, E.F., 2003. The Tornquist Sea and Baltica-Avalonia docking. Tectonophysics 362, 67–82. https://doi.org/10.1016/S0040-1951(02)00631-5</w:t>
      </w:r>
    </w:p>
    <w:p w14:paraId="719029DF"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Trench, A., Torsvik, T.H., 1992. The closure of the Iapetus Ocean and Tornquist Sea: new palaeomagnetic constraints. J. - Geol. Soc. 149, 867–870. https://doi.org/10.1144/gsjgs.149.6.0867</w:t>
      </w:r>
    </w:p>
    <w:p w14:paraId="42A34D11"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Tsoar, H., Pye, K., 1987. Dust transport and the question of desert loess formation. Sedimentology 34, 139–153. https://doi.org/10.1111/j.1365-3091.1987.tb00566.x</w:t>
      </w:r>
    </w:p>
    <w:p w14:paraId="0DD0652A"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Újvári, G., Klötzli, U., 2015. U–Pb ages and Hf isotopic composition of zircons in Austrian last glacial loess: constraints on heavy mineral sources and sediment transport pathways. Int. J. Earth Sci. 104, 1365–1385. https://doi.org/10.1007/s00531-014-1139-x</w:t>
      </w:r>
    </w:p>
    <w:p w14:paraId="0EC5A386"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Újvári, G., Klötzli, U., Kiraly, F., Ntaflos, T., 2013. Towards identifying the origin of metamorphic components in Austrian loess: insights from detrital rutile chemistry, thermometry and U–Pb geochronology. Quat. Sci. Rev. 75, 132–142. https://doi.org/10.1016/j.quascirev.2013.06.002</w:t>
      </w:r>
    </w:p>
    <w:p w14:paraId="4F1F060C"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lastRenderedPageBreak/>
        <w:t>Újvári, G., Kok, J.F., Varga, G., Kovács, J.I., 2016. The physics of wind-blown loess: Implications for grain size proxy interpretations in Quaternary paleoclimate studies. Earth-Science Rev. 154, 247–278. https://doi.org/10.1016/j.earscirev.2016.01.006</w:t>
      </w:r>
    </w:p>
    <w:p w14:paraId="7437E74D"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Újvári, G., Ramos, F.C., Dimond, C., Kovács, J.I., Varga, G., Varga, A., 2010. On possible sources of loess deposits in the Carpathian Basin: an isotopic approach, in: Geophysical Research Abstracts. pp. 9–10.</w:t>
      </w:r>
    </w:p>
    <w:p w14:paraId="1FB17939"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Újvári, G., Varga, A., Balogh-Brunstad, Z., 2008. Origin, weathering, and geochemical composition of loess in southwestern Hungary. Quat. Res. 69, 421–437. https://doi.org/10.1016/j.yqres.2008.02.001</w:t>
      </w:r>
    </w:p>
    <w:p w14:paraId="76844A1C"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Újvári, G., Varga, A., Ramos, F.C., Kovács, J.I., Németh, T., Stevens, T., 2012. Evaluating the use of clay mineralogy, Sr-Nd isotopes and zircon U-Pb ages in tracking dust provenance: An example from loess of the Carpathian Basin. Chem. Geol. 304–305, 83–96. https://doi.org/10.1016/j.chemgeo.2012.02.007</w:t>
      </w:r>
    </w:p>
    <w:p w14:paraId="4C1BFC2C"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Újvári, G., Varga, A., Raucsik, B., Kovács, J.I., 2014. The Paks loess-paleosol sequence: A record of chemical weathering and provenance for the last 800ka in the mid-Carpathian Basin. Quat. Int. 319, 22–37. https://doi.org/10.1016/j.quaint.2012.04.004</w:t>
      </w:r>
    </w:p>
    <w:p w14:paraId="68A60251"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Urdea, P., Onaca, A., Ardelean, F., Ardelean, M., 2011. New evidence on the quaternary glaciation in the Romanian carpathians. Dev. Quat. Sci. 2, 305–322. https://doi.org/10.1016/B978-0-444-53447-7.00024-6</w:t>
      </w:r>
    </w:p>
    <w:p w14:paraId="43B3D191"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Van Der Does, M., Knippertz, P., Zschenderlein, P., Harrison, R.G., Stuut, J.-B.W., 2018. The mysterious long-range transport of giant mineral dust particles. Sci. Adv. 4, 1–9.</w:t>
      </w:r>
    </w:p>
    <w:p w14:paraId="647B6FFB"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lastRenderedPageBreak/>
        <w:t>Van Der Does, M., Korte, L.F., Munday, C.I., Brummer, G.-J.A., Stuut, J.-B.W., 2016. Particle size traces modern Saharan dust transport and deposition across the equatorial North Atlantic. Atmos. Chem. Phys. 16, 13697–13710. https://doi.org/10.5194/acp-16-13697-2016</w:t>
      </w:r>
    </w:p>
    <w:p w14:paraId="6E83D4E2"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van Hinsbergen, D.J.J., Torsvik, T.H., Schmid, S.M., Maţenco, L.C., Maffione, M., Vissers, R.L.M., Gürer, D., Spakman, W., 2020. Orogenic architecture of the Mediterranean region and kinematic reconstruction of its tectonic evolution since the Triassic. Gondwana Res. 81, 79–229. https://doi.org/10.1016/j.gr.2019.07.009</w:t>
      </w:r>
    </w:p>
    <w:p w14:paraId="528AE719"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Vandenberghe, J., Marković, S.B., Jovanović, M., Hambach, U., 2014. Site-specific variability of loess and palaeosols (Ruma, Vojvodina, northern Serbia). Quat. Int. 334–335, 86–93. https://doi.org/10.1016/j.quaint.2013.10.036</w:t>
      </w:r>
    </w:p>
    <w:p w14:paraId="35D093CF"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Varga, A., Újvári, G., Raucsik, B., 2011. Tectonic versus climatic control on the evolution of a loess-paleosol sequence at Beremend, Hungary: An integrated approach based on paleoecological, clay mineralogical, and geochemical data. Quat. Int. 240, 71–86. https://doi.org/10.1016/j.quaint.2010.10.032</w:t>
      </w:r>
    </w:p>
    <w:p w14:paraId="1DC32AFE"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Varga, G., Cserháti, C., Kovács, J.I., Szalai, Z., 2016. Saharan dust deposition in the Carpathian Basin and its possible effects on interglacial soil formation. Aeolian Res. 22, 1–12. https://doi.org/10.1016/j.aeolia.2016.05.004</w:t>
      </w:r>
    </w:p>
    <w:p w14:paraId="63550DFD"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Varga, G., Dagsson-Walhauserová, P., Gresina, F., Helgadottir, A., 2021. Saharan dust and giant quartz particle transport towards Iceland. Sci. Rep. 11, 1–12. https://doi.org/10.1038/s41598-021-91481-z</w:t>
      </w:r>
    </w:p>
    <w:p w14:paraId="51069A32"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 xml:space="preserve">Varga, G., Kovács, J.I., Újvári, G., 2013. Analysis of Saharan dust intrusions into the Carpathian Basin (Central Europe) over the period of 1979 – 2011. Glob. Planet. </w:t>
      </w:r>
      <w:r w:rsidRPr="00D22D21">
        <w:rPr>
          <w:rFonts w:ascii="Arial" w:hAnsi="Arial" w:cs="Arial"/>
          <w:noProof/>
          <w:sz w:val="24"/>
          <w:szCs w:val="24"/>
        </w:rPr>
        <w:lastRenderedPageBreak/>
        <w:t>Change 100, 333–342. https://doi.org/10.1016/j.gloplacha.2012.11.007</w:t>
      </w:r>
    </w:p>
    <w:p w14:paraId="0556509A"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Varga, G., Újvári, G., Kovács, J.I., 2019. Interpretation of sedimentary (sub)populations extracted from grain size distributions of Central European loess-paleosol series. Quat. Int. 502, 60–70. https://doi.org/10.1016/j.quaint.2017.09.021</w:t>
      </w:r>
    </w:p>
    <w:p w14:paraId="5B5ECEA7"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Veevers, J.J., 2007. Pan-Gondwanaland post-collisional extension marked by 650-500 Ma alkaline rocks and carbonatites and related detrital zircons: A review. Earth-Science Rev. 83, 1–47. https://doi.org/10.1016/j.earscirev.2007.03.001</w:t>
      </w:r>
    </w:p>
    <w:p w14:paraId="5F2ACB09"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Veevers, J.J., 2003. Pan-African is Pan-Gondwanaland: Oblique convergence drives rotation during 650-500 Ma assembly. Geology 31, 501–504. https://doi.org/10.1130/0091-7613(2003)031&lt;0501:PIPOCD&gt;2.0.CO;2</w:t>
      </w:r>
    </w:p>
    <w:p w14:paraId="07BC0778"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Vermeesch, P., 2018a. IsoplotR: A free and open toolbox for geochronology. Geosci. Front. 9, 1479–1493. https://doi.org/10.1016/j.gsf.2018.04.001</w:t>
      </w:r>
    </w:p>
    <w:p w14:paraId="537728FC"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Vermeesch, P., 2018b. Dissimilarity measures in detrital geochronology. Earth-Science Rev. 178, 310–321. https://doi.org/10.1016/j.earscirev.2017.11.027</w:t>
      </w:r>
    </w:p>
    <w:p w14:paraId="1D6C33B3"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Vermeesch, P., 2013. Multi-sample comparison of detrital age distributions. Chem. Geol. 341, 140–146. https://doi.org/10.1016/j.chemgeo.2013.01.010</w:t>
      </w:r>
    </w:p>
    <w:p w14:paraId="5B081FEF"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Vermeesch, P., 2012. On the visualisation of detrital age distributions. Chem. Geol. 312–313, 190–194. https://doi.org/10.1016/j.chemgeo.2012.04.021</w:t>
      </w:r>
    </w:p>
    <w:p w14:paraId="61BDFFB8"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Vermeesch, P., 2004. How many grains are needed for a provenance study? Earth Planet. Sci. Lett. 224, 441–451. https://doi.org/10.1016/j.epsl.2004.05.037</w:t>
      </w:r>
    </w:p>
    <w:p w14:paraId="51082543"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 xml:space="preserve">Vermeesch, P., Garzanti, E., 2015. Making geological sense of ‘Big Data’ in sedimentary provenance analysis. Chem. Geol. 409, 20–27. </w:t>
      </w:r>
      <w:r w:rsidRPr="00D22D21">
        <w:rPr>
          <w:rFonts w:ascii="Arial" w:hAnsi="Arial" w:cs="Arial"/>
          <w:noProof/>
          <w:sz w:val="24"/>
          <w:szCs w:val="24"/>
        </w:rPr>
        <w:lastRenderedPageBreak/>
        <w:t>https://doi.org/10.1016/j.chemgeo.2015.05.004</w:t>
      </w:r>
    </w:p>
    <w:p w14:paraId="408A5900"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von Raumer, J.F., Bussy, F., Schaltegger, U., Schulz, B., Stampfli, G.M., 2013. Pre-mesozoic alpine basements-their place in the European paleozoic framework. Bull. Geol. Soc. Am. 125, 89–108. https://doi.org/10.1130/B30654.1</w:t>
      </w:r>
    </w:p>
    <w:p w14:paraId="168530CA"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von Raumer, J.F., Stampfli, G.M., Arenas, R., Sánchez Martínez, S., 2015. Ediacaran to Cambrian oceanic rocks of the Gondwana margin and their tectonic interpretation. Int. J. Earth Sci. 104, 1107–1121. https://doi.org/10.1007/s00531-015-1142-x</w:t>
      </w:r>
    </w:p>
    <w:p w14:paraId="0EAD7C6B"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von Raumer, J.F., Stampfli, G.M., Bussy, F., 2003. Gondwana-derived microcontinents - The constituents of the Variscan and Alpine collisional orogens. Tectonophysics 365, 7–22. https://doi.org/10.1016/S0040-1951(03)00015-5</w:t>
      </w:r>
    </w:p>
    <w:p w14:paraId="308ACFD7"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Walczak, A., Belka, Z., 2017. Fingerprinting Gondwana versus Baltica provenance: Nd and Sr isotopes in Lower Paleozoic clastic rocks of the Małopolska and Łysogóry terranes, southern Poland. Gondwana Res. 45, 138–151. https://doi.org/10.1016/j.gr.2017.02.002</w:t>
      </w:r>
    </w:p>
    <w:p w14:paraId="58544312"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Wang, W., Cawood, P.A., Pandit, M.K., Zhao, J.H., Zheng, J.P., 2019. No collision between Eastern and Western Gondwana at their northern extent. Geology 47, 308–312. https://doi.org/10.1130/G45745.1</w:t>
      </w:r>
    </w:p>
    <w:p w14:paraId="339DECD2"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Wiedenbeck, M., Allé, P., Corfu, F., Griffin, W.L., Meier, M., Oberli, F., von Quadt, A., Roddick, J.C., Spiegel, W., 1995. Thee natural zircon standards for U-Th-Pb, Lu-Hf, element and REE analyses. Geostand. Newsl. 19, 1–23. https://doi.org/DOI 10.1111/j.1751-908X.1995.tb00147.x</w:t>
      </w:r>
    </w:p>
    <w:p w14:paraId="4C93019D"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 xml:space="preserve">Wolf, D., Ryborz, K., Kolb, T., Calvo Zapata, R., Sanchez Vizcaino, J., Zöller, L., </w:t>
      </w:r>
      <w:r w:rsidRPr="00D22D21">
        <w:rPr>
          <w:rFonts w:ascii="Arial" w:hAnsi="Arial" w:cs="Arial"/>
          <w:noProof/>
          <w:sz w:val="24"/>
          <w:szCs w:val="24"/>
        </w:rPr>
        <w:lastRenderedPageBreak/>
        <w:t>Faust, D., 2019. Origins and genesis of loess deposits in central Spain, as indicated by heavy mineral compositions and grain-size variability. Sedimentology 66, 1139–1161. https://doi.org/10.1111/sed.12539</w:t>
      </w:r>
    </w:p>
    <w:p w14:paraId="3EB1CF42"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Woodhead, J.D., Hergt, J.M., 2005. A Preliminary Appraisal of Seven Natural Zircon Reference Materials for In Situ Hf Isotope Determination. Geostand. Geoanalytical Res. 29, 183–195. https://doi.org/10.1111/j.1751-908x.2005.tb00891.x</w:t>
      </w:r>
    </w:p>
    <w:p w14:paraId="4668EE0B"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Wright, J.S., 2007. An overview of the role of weathering in the production of quartz silt. Sediment. Geol. 202, 337–351. https://doi.org/10.1016/j.sedgeo.2007.03.024</w:t>
      </w:r>
    </w:p>
    <w:p w14:paraId="4280F862"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Wright, J.S., 2001. “Desert” loess versus “glacial” loess: quartz silt formation, source areas and sediment pathways in the formation of loess deposits. Geomorphology 36, 231–256. https://doi.org/10.1016/S0169-555X(00)00060-X</w:t>
      </w:r>
    </w:p>
    <w:p w14:paraId="68C5A004"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Wright, J.S., 1995. Glacial comminution of quartz sand grains and the production of loessic silt: A simulation study. Quat. Sci. Rev. 14, 669–680. https://doi.org/10.1016/0277-3791(95)00048-8</w:t>
      </w:r>
    </w:p>
    <w:p w14:paraId="0098A02F"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Wright, J.S., Smith, B.J., 1993. Fluvial Comminution and the Production of Loess-Sized Quartz Silt: A Simulation Study. Geogr. Ann. Ser. A, Phys. Geogr. 75, 25–34.</w:t>
      </w:r>
    </w:p>
    <w:p w14:paraId="7A45DFAC"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Wright, J.S., Smith, B.J., Whalley, B., 1998. Mechanisms of loess-sized quartz silt production and their relative effectiveness: Laboratory simulations. Geomorphology 23, 15–34. https://doi.org/10.1016/S0169-555X(97)00084-6</w:t>
      </w:r>
    </w:p>
    <w:p w14:paraId="65A2B6F4"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 xml:space="preserve">Xia, D., Wang, Y., Jia, J., Wei, H., Fan, Y., Jin, M., Chen, F., 2020. Mountain loess or desert loess? New insight of the sources of Asian atmospheric dust based on </w:t>
      </w:r>
      <w:r w:rsidRPr="00D22D21">
        <w:rPr>
          <w:rFonts w:ascii="Arial" w:hAnsi="Arial" w:cs="Arial"/>
          <w:noProof/>
          <w:sz w:val="24"/>
          <w:szCs w:val="24"/>
        </w:rPr>
        <w:lastRenderedPageBreak/>
        <w:t>mineral magnetic characterization of surface sediments in NW China. Atmos. Environ. 232, 117564. https://doi.org/10.1016/j.atmosenv.2020.117564</w:t>
      </w:r>
    </w:p>
    <w:p w14:paraId="2E51A28E"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Zan, J., Li, X., Kang, J., Guo, Z., Mao, Z., 2020. Intensified pedogenesis caused the increase in the fine particle content of late Cenozoic fluvial and lacustrine deposits in the NE Tibetan Plateau. Sediment. Geol. 398, 105587. https://doi.org/10.1016/j.sedgeo.2019.105587</w:t>
      </w:r>
    </w:p>
    <w:p w14:paraId="0CD5FB5A"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Zeh, A., Gerdes, A., 2010. Baltica- and Gondwana-derived sediments in the Mid-German Crystalline Rise (Central Europe): Implications for the closure of the Rheic ocean. Gondwana Res. 17, 254–263. https://doi.org/10.1016/j.gr.2009.08.004</w:t>
      </w:r>
    </w:p>
    <w:p w14:paraId="08187667"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Zhang, Haobo, Nie, J., Liu, X., Pullen, A., Li, G., Peng, W., Zhang, Hanzhi, 2021. Spatially variable provenance of the Chinese Loess Plateau. Geology XX, 1–5. https://doi.org/10.1130/g48867.1</w:t>
      </w:r>
    </w:p>
    <w:p w14:paraId="2D830491"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Zhang, P., Najman, Y., Mei, L., Millar, I.L., Sobel, E.R., Carter, A., Barfod, D., Dhuime, B., Garzanti, E., Govin, G., Vezzoli, G., Hu, X., 2019. Palaeodrainage evolution of the large rivers of East Asia, and Himalayan-Tibet tectonics. Earth-Science Rev. 192, 601–630. https://doi.org/10.1016/j.earscirev.2019.02.003</w:t>
      </w:r>
    </w:p>
    <w:p w14:paraId="1652FC87"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Zlatkin, O., Avigad, D., Gerdes, A., 2018. New Detrital Zircon Geochronology From the Cycladic Basement (Greece): Implications for the Paleozoic Accretion of Peri-Gondwanan Terranes to Laurussia. Tectonics 37, 4679–4699. https://doi.org/10.1029/2018TC005046</w:t>
      </w:r>
    </w:p>
    <w:p w14:paraId="08AE9652"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szCs w:val="24"/>
        </w:rPr>
      </w:pPr>
      <w:r w:rsidRPr="00D22D21">
        <w:rPr>
          <w:rFonts w:ascii="Arial" w:hAnsi="Arial" w:cs="Arial"/>
          <w:noProof/>
          <w:sz w:val="24"/>
          <w:szCs w:val="24"/>
        </w:rPr>
        <w:t>Zurbriggen, R., 2017. The Cenerian orogeny (early Paleozoic) from the perspective of the Alpine region. Int. J. Earth Sci. 106, 517–529. https://doi.org/10.1007/s00531-016-1438-5</w:t>
      </w:r>
    </w:p>
    <w:p w14:paraId="2CC98203" w14:textId="77777777" w:rsidR="00D22D21" w:rsidRPr="00D22D21" w:rsidRDefault="00D22D21" w:rsidP="00D22D21">
      <w:pPr>
        <w:widowControl w:val="0"/>
        <w:autoSpaceDE w:val="0"/>
        <w:autoSpaceDN w:val="0"/>
        <w:adjustRightInd w:val="0"/>
        <w:spacing w:before="120" w:after="120" w:line="480" w:lineRule="auto"/>
        <w:ind w:left="480" w:hanging="480"/>
        <w:rPr>
          <w:rFonts w:ascii="Arial" w:hAnsi="Arial" w:cs="Arial"/>
          <w:noProof/>
          <w:sz w:val="24"/>
        </w:rPr>
      </w:pPr>
      <w:r w:rsidRPr="00D22D21">
        <w:rPr>
          <w:rFonts w:ascii="Arial" w:hAnsi="Arial" w:cs="Arial"/>
          <w:noProof/>
          <w:sz w:val="24"/>
          <w:szCs w:val="24"/>
        </w:rPr>
        <w:lastRenderedPageBreak/>
        <w:t>Zurbriggen, R., 2015. Ordovician orogeny in the Alps: a reappraisal. Int. J. Earth Sci. 104, 335–350. https://doi.org/10.1007/s00531-014-1090-x</w:t>
      </w:r>
    </w:p>
    <w:p w14:paraId="28D39C4A" w14:textId="3BED2416" w:rsidR="004F296A" w:rsidRPr="00964EE7" w:rsidRDefault="004F296A" w:rsidP="00614941">
      <w:pPr>
        <w:widowControl w:val="0"/>
        <w:autoSpaceDE w:val="0"/>
        <w:autoSpaceDN w:val="0"/>
        <w:adjustRightInd w:val="0"/>
        <w:spacing w:before="120" w:after="120" w:line="480" w:lineRule="auto"/>
        <w:jc w:val="both"/>
        <w:rPr>
          <w:rFonts w:ascii="Arial" w:hAnsi="Arial" w:cs="Arial"/>
          <w:sz w:val="24"/>
        </w:rPr>
      </w:pPr>
      <w:r w:rsidRPr="00964EE7">
        <w:rPr>
          <w:rFonts w:ascii="Arial" w:hAnsi="Arial" w:cs="Arial"/>
          <w:sz w:val="24"/>
        </w:rPr>
        <w:fldChar w:fldCharType="end"/>
      </w:r>
    </w:p>
    <w:sectPr w:rsidR="004F296A" w:rsidRPr="00964EE7" w:rsidSect="00907C61">
      <w:pgSz w:w="11906" w:h="16838"/>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B6865F" w14:textId="77777777" w:rsidR="000735F8" w:rsidRDefault="000735F8" w:rsidP="008137BF">
      <w:pPr>
        <w:spacing w:after="0" w:line="240" w:lineRule="auto"/>
      </w:pPr>
      <w:r>
        <w:separator/>
      </w:r>
    </w:p>
  </w:endnote>
  <w:endnote w:type="continuationSeparator" w:id="0">
    <w:p w14:paraId="2AC3ACCA" w14:textId="77777777" w:rsidR="000735F8" w:rsidRDefault="000735F8" w:rsidP="008137BF">
      <w:pPr>
        <w:spacing w:after="0" w:line="240" w:lineRule="auto"/>
      </w:pPr>
      <w:r>
        <w:continuationSeparator/>
      </w:r>
    </w:p>
  </w:endnote>
  <w:endnote w:type="continuationNotice" w:id="1">
    <w:p w14:paraId="397F9EDA" w14:textId="77777777" w:rsidR="000735F8" w:rsidRDefault="000735F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Segoe UI">
    <w:altName w:val="Arial"/>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MT">
    <w:altName w:val="Arial"/>
    <w:panose1 w:val="00000000000000000000"/>
    <w:charset w:val="00"/>
    <w:family w:val="swiss"/>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8914691"/>
      <w:docPartObj>
        <w:docPartGallery w:val="Page Numbers (Bottom of Page)"/>
        <w:docPartUnique/>
      </w:docPartObj>
    </w:sdtPr>
    <w:sdtEndPr>
      <w:rPr>
        <w:noProof/>
      </w:rPr>
    </w:sdtEndPr>
    <w:sdtContent>
      <w:p w14:paraId="21D84796" w14:textId="6B3AAD39" w:rsidR="003D63AB" w:rsidRDefault="003D63AB">
        <w:pPr>
          <w:pStyle w:val="Footer"/>
          <w:jc w:val="center"/>
        </w:pPr>
        <w:r>
          <w:fldChar w:fldCharType="begin"/>
        </w:r>
        <w:r>
          <w:instrText xml:space="preserve"> PAGE   \* MERGEFORMAT </w:instrText>
        </w:r>
        <w:r>
          <w:fldChar w:fldCharType="separate"/>
        </w:r>
        <w:r>
          <w:rPr>
            <w:noProof/>
          </w:rPr>
          <w:t>30</w:t>
        </w:r>
        <w:r>
          <w:rPr>
            <w:noProof/>
          </w:rPr>
          <w:fldChar w:fldCharType="end"/>
        </w:r>
      </w:p>
    </w:sdtContent>
  </w:sdt>
  <w:p w14:paraId="2E9A970D" w14:textId="77777777" w:rsidR="003D63AB" w:rsidRDefault="003D63A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46BAC6" w14:textId="77777777" w:rsidR="000735F8" w:rsidRDefault="000735F8" w:rsidP="008137BF">
      <w:pPr>
        <w:spacing w:after="0" w:line="240" w:lineRule="auto"/>
      </w:pPr>
      <w:r>
        <w:separator/>
      </w:r>
    </w:p>
  </w:footnote>
  <w:footnote w:type="continuationSeparator" w:id="0">
    <w:p w14:paraId="60A5A6BE" w14:textId="77777777" w:rsidR="000735F8" w:rsidRDefault="000735F8" w:rsidP="008137BF">
      <w:pPr>
        <w:spacing w:after="0" w:line="240" w:lineRule="auto"/>
      </w:pPr>
      <w:r>
        <w:continuationSeparator/>
      </w:r>
    </w:p>
  </w:footnote>
  <w:footnote w:type="continuationNotice" w:id="1">
    <w:p w14:paraId="266F6820" w14:textId="77777777" w:rsidR="000735F8" w:rsidRDefault="000735F8">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0D1DB6"/>
    <w:multiLevelType w:val="hybridMultilevel"/>
    <w:tmpl w:val="131A0CB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53747F8"/>
    <w:multiLevelType w:val="multilevel"/>
    <w:tmpl w:val="98D6EEC4"/>
    <w:lvl w:ilvl="0">
      <w:start w:val="1"/>
      <w:numFmt w:val="decimal"/>
      <w:lvlText w:val="%1."/>
      <w:lvlJc w:val="left"/>
      <w:pPr>
        <w:ind w:left="720" w:hanging="360"/>
      </w:pPr>
      <w:rPr>
        <w:rFonts w:hint="default"/>
      </w:rPr>
    </w:lvl>
    <w:lvl w:ilvl="1">
      <w:start w:val="1"/>
      <w:numFmt w:val="decimal"/>
      <w:lvlText w:val="%1.%2."/>
      <w:lvlJc w:val="left"/>
      <w:pPr>
        <w:ind w:left="1152" w:hanging="432"/>
      </w:pPr>
      <w:rPr>
        <w:color w:val="auto"/>
      </w:r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2" w15:restartNumberingAfterBreak="0">
    <w:nsid w:val="0D577219"/>
    <w:multiLevelType w:val="hybridMultilevel"/>
    <w:tmpl w:val="E92E2D1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E797584"/>
    <w:multiLevelType w:val="hybridMultilevel"/>
    <w:tmpl w:val="4380D9A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0177016"/>
    <w:multiLevelType w:val="hybridMultilevel"/>
    <w:tmpl w:val="7DC0BA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2241F98"/>
    <w:multiLevelType w:val="hybridMultilevel"/>
    <w:tmpl w:val="01C8903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32C26B0"/>
    <w:multiLevelType w:val="hybridMultilevel"/>
    <w:tmpl w:val="C80C028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3B663AD"/>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D6A27B9"/>
    <w:multiLevelType w:val="hybridMultilevel"/>
    <w:tmpl w:val="4C84F2E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6B10A32"/>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792406A"/>
    <w:multiLevelType w:val="hybridMultilevel"/>
    <w:tmpl w:val="5340462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80B63DC"/>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2CAF673E"/>
    <w:multiLevelType w:val="multilevel"/>
    <w:tmpl w:val="2CC00DB6"/>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2CBB3EAF"/>
    <w:multiLevelType w:val="hybridMultilevel"/>
    <w:tmpl w:val="91108F58"/>
    <w:lvl w:ilvl="0" w:tplc="06E28ED8">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08F143E"/>
    <w:multiLevelType w:val="hybridMultilevel"/>
    <w:tmpl w:val="97D650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4DF1D8B"/>
    <w:multiLevelType w:val="multilevel"/>
    <w:tmpl w:val="0B286B5A"/>
    <w:lvl w:ilvl="0">
      <w:start w:val="1"/>
      <w:numFmt w:val="decimal"/>
      <w:lvlText w:val="%1."/>
      <w:lvlJc w:val="left"/>
      <w:pPr>
        <w:ind w:left="360" w:hanging="360"/>
      </w:pPr>
      <w:rPr>
        <w:rFonts w:asciiTheme="minorHAnsi" w:hAnsiTheme="minorHAnsi" w:cstheme="minorHAnsi" w:hint="default"/>
        <w:b/>
        <w:color w:val="FFFFFF" w:themeColor="background1"/>
        <w14:numForm w14:val="lining"/>
      </w:rPr>
    </w:lvl>
    <w:lvl w:ilvl="1">
      <w:start w:val="1"/>
      <w:numFmt w:val="decimal"/>
      <w:lvlText w:val="%1.%2."/>
      <w:lvlJc w:val="left"/>
      <w:pPr>
        <w:ind w:left="3410" w:hanging="432"/>
      </w:pPr>
    </w:lvl>
    <w:lvl w:ilvl="2">
      <w:start w:val="1"/>
      <w:numFmt w:val="decimal"/>
      <w:lvlText w:val="%1.%2.%3."/>
      <w:lvlJc w:val="left"/>
      <w:pPr>
        <w:ind w:left="1224" w:hanging="504"/>
      </w:pPr>
      <w:rPr>
        <w:sz w:val="24"/>
        <w:szCs w:val="24"/>
      </w:rPr>
    </w:lvl>
    <w:lvl w:ilvl="3">
      <w:start w:val="1"/>
      <w:numFmt w:val="decimal"/>
      <w:lvlText w:val="%1.%2.%3.%4."/>
      <w:lvlJc w:val="left"/>
      <w:pPr>
        <w:ind w:left="1728" w:hanging="648"/>
      </w:pPr>
      <w:rPr>
        <w:sz w:val="24"/>
        <w:szCs w:val="24"/>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37730808"/>
    <w:multiLevelType w:val="hybridMultilevel"/>
    <w:tmpl w:val="90963A4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A145537"/>
    <w:multiLevelType w:val="hybridMultilevel"/>
    <w:tmpl w:val="19EE3A3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1FF2001"/>
    <w:multiLevelType w:val="hybridMultilevel"/>
    <w:tmpl w:val="027A414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7E145C8"/>
    <w:multiLevelType w:val="hybridMultilevel"/>
    <w:tmpl w:val="9C9ED2B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48F052A3"/>
    <w:multiLevelType w:val="hybridMultilevel"/>
    <w:tmpl w:val="FBA6C8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A57227C"/>
    <w:multiLevelType w:val="multilevel"/>
    <w:tmpl w:val="0809001F"/>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4AFF530E"/>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4B460BEA"/>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4B7C2291"/>
    <w:multiLevelType w:val="multilevel"/>
    <w:tmpl w:val="98D6EEC4"/>
    <w:lvl w:ilvl="0">
      <w:start w:val="1"/>
      <w:numFmt w:val="decimal"/>
      <w:lvlText w:val="%1."/>
      <w:lvlJc w:val="left"/>
      <w:pPr>
        <w:ind w:left="360" w:hanging="360"/>
      </w:pPr>
      <w:rPr>
        <w:rFonts w:hint="default"/>
      </w:rPr>
    </w:lvl>
    <w:lvl w:ilvl="1">
      <w:start w:val="1"/>
      <w:numFmt w:val="decimal"/>
      <w:lvlText w:val="%1.%2."/>
      <w:lvlJc w:val="left"/>
      <w:pPr>
        <w:ind w:left="792" w:hanging="432"/>
      </w:pPr>
      <w:rPr>
        <w:color w:val="auto"/>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52B956A7"/>
    <w:multiLevelType w:val="hybridMultilevel"/>
    <w:tmpl w:val="30CEBD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40C2551"/>
    <w:multiLevelType w:val="hybridMultilevel"/>
    <w:tmpl w:val="AFF28A8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B744B63"/>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5B911060"/>
    <w:multiLevelType w:val="hybridMultilevel"/>
    <w:tmpl w:val="0582BB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F5A41EB"/>
    <w:multiLevelType w:val="hybridMultilevel"/>
    <w:tmpl w:val="7D7A435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FDF4B7B"/>
    <w:multiLevelType w:val="hybridMultilevel"/>
    <w:tmpl w:val="C61E1C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3C413DB"/>
    <w:multiLevelType w:val="hybridMultilevel"/>
    <w:tmpl w:val="E9B20E1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54A2294"/>
    <w:multiLevelType w:val="hybridMultilevel"/>
    <w:tmpl w:val="8E1ADE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65505C3"/>
    <w:multiLevelType w:val="hybridMultilevel"/>
    <w:tmpl w:val="91F028D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7795BB3"/>
    <w:multiLevelType w:val="hybridMultilevel"/>
    <w:tmpl w:val="55A03E0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6E7F4370"/>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705F3B8F"/>
    <w:multiLevelType w:val="hybridMultilevel"/>
    <w:tmpl w:val="5490AE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0EA20A7"/>
    <w:multiLevelType w:val="hybridMultilevel"/>
    <w:tmpl w:val="B2781F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88F527B"/>
    <w:multiLevelType w:val="hybridMultilevel"/>
    <w:tmpl w:val="0984544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798113DA"/>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4"/>
  </w:num>
  <w:num w:numId="2">
    <w:abstractNumId w:val="35"/>
  </w:num>
  <w:num w:numId="3">
    <w:abstractNumId w:val="9"/>
  </w:num>
  <w:num w:numId="4">
    <w:abstractNumId w:val="33"/>
  </w:num>
  <w:num w:numId="5">
    <w:abstractNumId w:val="13"/>
  </w:num>
  <w:num w:numId="6">
    <w:abstractNumId w:val="2"/>
  </w:num>
  <w:num w:numId="7">
    <w:abstractNumId w:val="1"/>
  </w:num>
  <w:num w:numId="8">
    <w:abstractNumId w:val="36"/>
  </w:num>
  <w:num w:numId="9">
    <w:abstractNumId w:val="25"/>
  </w:num>
  <w:num w:numId="10">
    <w:abstractNumId w:val="4"/>
  </w:num>
  <w:num w:numId="11">
    <w:abstractNumId w:val="32"/>
  </w:num>
  <w:num w:numId="12">
    <w:abstractNumId w:val="29"/>
  </w:num>
  <w:num w:numId="13">
    <w:abstractNumId w:val="28"/>
  </w:num>
  <w:num w:numId="14">
    <w:abstractNumId w:val="21"/>
  </w:num>
  <w:num w:numId="15">
    <w:abstractNumId w:val="39"/>
  </w:num>
  <w:num w:numId="16">
    <w:abstractNumId w:val="12"/>
  </w:num>
  <w:num w:numId="17">
    <w:abstractNumId w:val="27"/>
  </w:num>
  <w:num w:numId="18">
    <w:abstractNumId w:val="5"/>
  </w:num>
  <w:num w:numId="19">
    <w:abstractNumId w:val="15"/>
  </w:num>
  <w:num w:numId="20">
    <w:abstractNumId w:val="37"/>
  </w:num>
  <w:num w:numId="21">
    <w:abstractNumId w:val="3"/>
  </w:num>
  <w:num w:numId="22">
    <w:abstractNumId w:val="20"/>
  </w:num>
  <w:num w:numId="23">
    <w:abstractNumId w:val="30"/>
  </w:num>
  <w:num w:numId="24">
    <w:abstractNumId w:val="17"/>
  </w:num>
  <w:num w:numId="25">
    <w:abstractNumId w:val="16"/>
  </w:num>
  <w:num w:numId="26">
    <w:abstractNumId w:val="14"/>
  </w:num>
  <w:num w:numId="27">
    <w:abstractNumId w:val="31"/>
  </w:num>
  <w:num w:numId="28">
    <w:abstractNumId w:val="38"/>
  </w:num>
  <w:num w:numId="29">
    <w:abstractNumId w:val="34"/>
  </w:num>
  <w:num w:numId="30">
    <w:abstractNumId w:val="19"/>
  </w:num>
  <w:num w:numId="31">
    <w:abstractNumId w:val="18"/>
  </w:num>
  <w:num w:numId="32">
    <w:abstractNumId w:val="8"/>
  </w:num>
  <w:num w:numId="33">
    <w:abstractNumId w:val="6"/>
  </w:num>
  <w:num w:numId="34">
    <w:abstractNumId w:val="11"/>
  </w:num>
  <w:num w:numId="35">
    <w:abstractNumId w:val="22"/>
  </w:num>
  <w:num w:numId="36">
    <w:abstractNumId w:val="7"/>
  </w:num>
  <w:num w:numId="37">
    <w:abstractNumId w:val="23"/>
  </w:num>
  <w:num w:numId="38">
    <w:abstractNumId w:val="0"/>
  </w:num>
  <w:num w:numId="39">
    <w:abstractNumId w:val="10"/>
  </w:num>
  <w:num w:numId="40">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74BE"/>
    <w:rsid w:val="00000E4B"/>
    <w:rsid w:val="00001BD7"/>
    <w:rsid w:val="000031FA"/>
    <w:rsid w:val="0000338D"/>
    <w:rsid w:val="000040F7"/>
    <w:rsid w:val="0000415B"/>
    <w:rsid w:val="00004EEA"/>
    <w:rsid w:val="000066C9"/>
    <w:rsid w:val="00006FCA"/>
    <w:rsid w:val="000075B1"/>
    <w:rsid w:val="00007AF4"/>
    <w:rsid w:val="00007C88"/>
    <w:rsid w:val="00007C8A"/>
    <w:rsid w:val="000104F5"/>
    <w:rsid w:val="00010D82"/>
    <w:rsid w:val="00011413"/>
    <w:rsid w:val="00011E3B"/>
    <w:rsid w:val="00012550"/>
    <w:rsid w:val="000132BD"/>
    <w:rsid w:val="000146FF"/>
    <w:rsid w:val="00016968"/>
    <w:rsid w:val="00016C81"/>
    <w:rsid w:val="0001719D"/>
    <w:rsid w:val="000173D0"/>
    <w:rsid w:val="000210CD"/>
    <w:rsid w:val="00021476"/>
    <w:rsid w:val="00021A3F"/>
    <w:rsid w:val="00021F80"/>
    <w:rsid w:val="000232F1"/>
    <w:rsid w:val="00024123"/>
    <w:rsid w:val="00024BEA"/>
    <w:rsid w:val="00027CD7"/>
    <w:rsid w:val="00027E5B"/>
    <w:rsid w:val="000301C0"/>
    <w:rsid w:val="00031A00"/>
    <w:rsid w:val="00031DDD"/>
    <w:rsid w:val="0003205F"/>
    <w:rsid w:val="00032478"/>
    <w:rsid w:val="000325DF"/>
    <w:rsid w:val="00032BBA"/>
    <w:rsid w:val="00032D83"/>
    <w:rsid w:val="00032EF4"/>
    <w:rsid w:val="00032F95"/>
    <w:rsid w:val="00033782"/>
    <w:rsid w:val="00034904"/>
    <w:rsid w:val="00036961"/>
    <w:rsid w:val="00036D01"/>
    <w:rsid w:val="00037047"/>
    <w:rsid w:val="000373AF"/>
    <w:rsid w:val="00037A3A"/>
    <w:rsid w:val="000408BC"/>
    <w:rsid w:val="0004170C"/>
    <w:rsid w:val="00041BAF"/>
    <w:rsid w:val="00041DFC"/>
    <w:rsid w:val="00042280"/>
    <w:rsid w:val="0004325A"/>
    <w:rsid w:val="000433F3"/>
    <w:rsid w:val="0004385F"/>
    <w:rsid w:val="00045115"/>
    <w:rsid w:val="0004541E"/>
    <w:rsid w:val="00045478"/>
    <w:rsid w:val="000455A0"/>
    <w:rsid w:val="000460B6"/>
    <w:rsid w:val="00046A4B"/>
    <w:rsid w:val="00046E45"/>
    <w:rsid w:val="000501B3"/>
    <w:rsid w:val="000508DB"/>
    <w:rsid w:val="00050E60"/>
    <w:rsid w:val="0005178A"/>
    <w:rsid w:val="00052388"/>
    <w:rsid w:val="00052EB1"/>
    <w:rsid w:val="00054414"/>
    <w:rsid w:val="000546E6"/>
    <w:rsid w:val="00054BF1"/>
    <w:rsid w:val="00055097"/>
    <w:rsid w:val="0005518E"/>
    <w:rsid w:val="000553D0"/>
    <w:rsid w:val="00055433"/>
    <w:rsid w:val="000563B0"/>
    <w:rsid w:val="000603E9"/>
    <w:rsid w:val="00060A6A"/>
    <w:rsid w:val="0006134A"/>
    <w:rsid w:val="00062A47"/>
    <w:rsid w:val="00062B04"/>
    <w:rsid w:val="00064279"/>
    <w:rsid w:val="00065019"/>
    <w:rsid w:val="00065E2C"/>
    <w:rsid w:val="00066035"/>
    <w:rsid w:val="0006663B"/>
    <w:rsid w:val="000675F7"/>
    <w:rsid w:val="00067EA9"/>
    <w:rsid w:val="00070320"/>
    <w:rsid w:val="00070384"/>
    <w:rsid w:val="0007075B"/>
    <w:rsid w:val="00070F75"/>
    <w:rsid w:val="00071171"/>
    <w:rsid w:val="00071CBC"/>
    <w:rsid w:val="00071D74"/>
    <w:rsid w:val="00072448"/>
    <w:rsid w:val="000735F8"/>
    <w:rsid w:val="000773A0"/>
    <w:rsid w:val="00077C5D"/>
    <w:rsid w:val="00080278"/>
    <w:rsid w:val="00080407"/>
    <w:rsid w:val="00080B4F"/>
    <w:rsid w:val="00081F7B"/>
    <w:rsid w:val="000826E4"/>
    <w:rsid w:val="000829A3"/>
    <w:rsid w:val="00083161"/>
    <w:rsid w:val="0008335F"/>
    <w:rsid w:val="00083A62"/>
    <w:rsid w:val="00083F09"/>
    <w:rsid w:val="000845D6"/>
    <w:rsid w:val="00084CB2"/>
    <w:rsid w:val="0008514A"/>
    <w:rsid w:val="000855EC"/>
    <w:rsid w:val="000856E8"/>
    <w:rsid w:val="000862FA"/>
    <w:rsid w:val="0008665B"/>
    <w:rsid w:val="00086BAF"/>
    <w:rsid w:val="0008790B"/>
    <w:rsid w:val="00087B8C"/>
    <w:rsid w:val="00087D23"/>
    <w:rsid w:val="00087DBC"/>
    <w:rsid w:val="00090EE9"/>
    <w:rsid w:val="0009101C"/>
    <w:rsid w:val="00091740"/>
    <w:rsid w:val="00091E7C"/>
    <w:rsid w:val="00092363"/>
    <w:rsid w:val="00093133"/>
    <w:rsid w:val="000932FA"/>
    <w:rsid w:val="00094B41"/>
    <w:rsid w:val="00094C44"/>
    <w:rsid w:val="00095DAE"/>
    <w:rsid w:val="00095EE9"/>
    <w:rsid w:val="0009622E"/>
    <w:rsid w:val="000968E4"/>
    <w:rsid w:val="00096D29"/>
    <w:rsid w:val="000970B9"/>
    <w:rsid w:val="000977CE"/>
    <w:rsid w:val="000977F4"/>
    <w:rsid w:val="000A15B2"/>
    <w:rsid w:val="000A1BCB"/>
    <w:rsid w:val="000A1EED"/>
    <w:rsid w:val="000A29B3"/>
    <w:rsid w:val="000A2F8B"/>
    <w:rsid w:val="000A3424"/>
    <w:rsid w:val="000A3E72"/>
    <w:rsid w:val="000A4374"/>
    <w:rsid w:val="000A5608"/>
    <w:rsid w:val="000A5DE6"/>
    <w:rsid w:val="000A7A42"/>
    <w:rsid w:val="000A7CDC"/>
    <w:rsid w:val="000B09C8"/>
    <w:rsid w:val="000B2A10"/>
    <w:rsid w:val="000B3793"/>
    <w:rsid w:val="000B37D6"/>
    <w:rsid w:val="000B3A40"/>
    <w:rsid w:val="000B50CC"/>
    <w:rsid w:val="000B55AF"/>
    <w:rsid w:val="000B6868"/>
    <w:rsid w:val="000B70A0"/>
    <w:rsid w:val="000B7A4B"/>
    <w:rsid w:val="000B7EA5"/>
    <w:rsid w:val="000C0BAD"/>
    <w:rsid w:val="000C0F5C"/>
    <w:rsid w:val="000C13EC"/>
    <w:rsid w:val="000C2912"/>
    <w:rsid w:val="000C2E0B"/>
    <w:rsid w:val="000C35D8"/>
    <w:rsid w:val="000C3657"/>
    <w:rsid w:val="000C37CB"/>
    <w:rsid w:val="000C387E"/>
    <w:rsid w:val="000C3D58"/>
    <w:rsid w:val="000C4EBA"/>
    <w:rsid w:val="000C5A01"/>
    <w:rsid w:val="000C5F79"/>
    <w:rsid w:val="000C62DA"/>
    <w:rsid w:val="000C7297"/>
    <w:rsid w:val="000C7593"/>
    <w:rsid w:val="000D0828"/>
    <w:rsid w:val="000D110E"/>
    <w:rsid w:val="000D143A"/>
    <w:rsid w:val="000D36CE"/>
    <w:rsid w:val="000D4B68"/>
    <w:rsid w:val="000D5180"/>
    <w:rsid w:val="000D5405"/>
    <w:rsid w:val="000D67E0"/>
    <w:rsid w:val="000D6F9D"/>
    <w:rsid w:val="000D7072"/>
    <w:rsid w:val="000D71F4"/>
    <w:rsid w:val="000D7994"/>
    <w:rsid w:val="000D7D74"/>
    <w:rsid w:val="000D7F67"/>
    <w:rsid w:val="000E054C"/>
    <w:rsid w:val="000E0982"/>
    <w:rsid w:val="000E11A2"/>
    <w:rsid w:val="000E1B0D"/>
    <w:rsid w:val="000E260B"/>
    <w:rsid w:val="000E30BF"/>
    <w:rsid w:val="000E32A0"/>
    <w:rsid w:val="000E3754"/>
    <w:rsid w:val="000E38F3"/>
    <w:rsid w:val="000E3AB2"/>
    <w:rsid w:val="000E3CD0"/>
    <w:rsid w:val="000E45FF"/>
    <w:rsid w:val="000E568D"/>
    <w:rsid w:val="000E5742"/>
    <w:rsid w:val="000E585D"/>
    <w:rsid w:val="000E5DFD"/>
    <w:rsid w:val="000E764D"/>
    <w:rsid w:val="000E7B9F"/>
    <w:rsid w:val="000E7E43"/>
    <w:rsid w:val="000F011F"/>
    <w:rsid w:val="000F0A96"/>
    <w:rsid w:val="000F0AA2"/>
    <w:rsid w:val="000F1594"/>
    <w:rsid w:val="000F1FA3"/>
    <w:rsid w:val="000F31EE"/>
    <w:rsid w:val="000F3732"/>
    <w:rsid w:val="000F4AF8"/>
    <w:rsid w:val="000F4ED1"/>
    <w:rsid w:val="000F6200"/>
    <w:rsid w:val="000F6438"/>
    <w:rsid w:val="000F64B1"/>
    <w:rsid w:val="000F7D61"/>
    <w:rsid w:val="00100495"/>
    <w:rsid w:val="001007C3"/>
    <w:rsid w:val="00100DF9"/>
    <w:rsid w:val="0010145E"/>
    <w:rsid w:val="00101A33"/>
    <w:rsid w:val="0010291D"/>
    <w:rsid w:val="00102D2A"/>
    <w:rsid w:val="00103494"/>
    <w:rsid w:val="001054D1"/>
    <w:rsid w:val="00105C69"/>
    <w:rsid w:val="0010609F"/>
    <w:rsid w:val="00106C29"/>
    <w:rsid w:val="00106D8E"/>
    <w:rsid w:val="00106DD0"/>
    <w:rsid w:val="00111D99"/>
    <w:rsid w:val="00112743"/>
    <w:rsid w:val="00112DEE"/>
    <w:rsid w:val="00112F08"/>
    <w:rsid w:val="00113099"/>
    <w:rsid w:val="00114469"/>
    <w:rsid w:val="0011456B"/>
    <w:rsid w:val="00114A17"/>
    <w:rsid w:val="00114AC3"/>
    <w:rsid w:val="00114B10"/>
    <w:rsid w:val="001159F9"/>
    <w:rsid w:val="00116A92"/>
    <w:rsid w:val="00116B75"/>
    <w:rsid w:val="001174DE"/>
    <w:rsid w:val="001178A5"/>
    <w:rsid w:val="00117900"/>
    <w:rsid w:val="00117A30"/>
    <w:rsid w:val="001206CF"/>
    <w:rsid w:val="0012101D"/>
    <w:rsid w:val="001211B5"/>
    <w:rsid w:val="001216B6"/>
    <w:rsid w:val="00122AB4"/>
    <w:rsid w:val="00123E6B"/>
    <w:rsid w:val="00125720"/>
    <w:rsid w:val="00125AD7"/>
    <w:rsid w:val="00126EB3"/>
    <w:rsid w:val="0012722B"/>
    <w:rsid w:val="00127306"/>
    <w:rsid w:val="0012744F"/>
    <w:rsid w:val="00127757"/>
    <w:rsid w:val="001277FC"/>
    <w:rsid w:val="001303F2"/>
    <w:rsid w:val="00131219"/>
    <w:rsid w:val="00131424"/>
    <w:rsid w:val="00132A44"/>
    <w:rsid w:val="0013386D"/>
    <w:rsid w:val="001338FD"/>
    <w:rsid w:val="00133E38"/>
    <w:rsid w:val="001342A1"/>
    <w:rsid w:val="0013482D"/>
    <w:rsid w:val="00134B67"/>
    <w:rsid w:val="001352D5"/>
    <w:rsid w:val="001352EB"/>
    <w:rsid w:val="00135B53"/>
    <w:rsid w:val="001362A2"/>
    <w:rsid w:val="001369AE"/>
    <w:rsid w:val="0014196E"/>
    <w:rsid w:val="00141D03"/>
    <w:rsid w:val="0014233D"/>
    <w:rsid w:val="0014285B"/>
    <w:rsid w:val="001429F9"/>
    <w:rsid w:val="00142BD5"/>
    <w:rsid w:val="00142FBE"/>
    <w:rsid w:val="001431D2"/>
    <w:rsid w:val="00143C2A"/>
    <w:rsid w:val="00143CD9"/>
    <w:rsid w:val="00143E3D"/>
    <w:rsid w:val="001457DE"/>
    <w:rsid w:val="00145BC8"/>
    <w:rsid w:val="00147A55"/>
    <w:rsid w:val="00147FD9"/>
    <w:rsid w:val="00147FDC"/>
    <w:rsid w:val="00151E00"/>
    <w:rsid w:val="001526D7"/>
    <w:rsid w:val="001536B2"/>
    <w:rsid w:val="00153B81"/>
    <w:rsid w:val="00155575"/>
    <w:rsid w:val="00156512"/>
    <w:rsid w:val="00156674"/>
    <w:rsid w:val="00156CF1"/>
    <w:rsid w:val="001571F6"/>
    <w:rsid w:val="001617B8"/>
    <w:rsid w:val="00161E3D"/>
    <w:rsid w:val="001626F3"/>
    <w:rsid w:val="00162717"/>
    <w:rsid w:val="00163215"/>
    <w:rsid w:val="00163B9D"/>
    <w:rsid w:val="00163D40"/>
    <w:rsid w:val="00163E34"/>
    <w:rsid w:val="00164147"/>
    <w:rsid w:val="00165ABB"/>
    <w:rsid w:val="00166FA7"/>
    <w:rsid w:val="00167EA6"/>
    <w:rsid w:val="001700CD"/>
    <w:rsid w:val="00171699"/>
    <w:rsid w:val="001716F1"/>
    <w:rsid w:val="00172724"/>
    <w:rsid w:val="00172EB4"/>
    <w:rsid w:val="001748C7"/>
    <w:rsid w:val="001751A2"/>
    <w:rsid w:val="0017609B"/>
    <w:rsid w:val="00176122"/>
    <w:rsid w:val="00176B04"/>
    <w:rsid w:val="00176CAE"/>
    <w:rsid w:val="00180291"/>
    <w:rsid w:val="001806BF"/>
    <w:rsid w:val="00180AF0"/>
    <w:rsid w:val="00180D52"/>
    <w:rsid w:val="001816EC"/>
    <w:rsid w:val="00182A0B"/>
    <w:rsid w:val="00182F26"/>
    <w:rsid w:val="001830A1"/>
    <w:rsid w:val="0018349B"/>
    <w:rsid w:val="00184705"/>
    <w:rsid w:val="00184A30"/>
    <w:rsid w:val="00185740"/>
    <w:rsid w:val="00185E88"/>
    <w:rsid w:val="00185F95"/>
    <w:rsid w:val="001865BC"/>
    <w:rsid w:val="001876CE"/>
    <w:rsid w:val="00187DB7"/>
    <w:rsid w:val="00190B36"/>
    <w:rsid w:val="00190DBF"/>
    <w:rsid w:val="00192BDD"/>
    <w:rsid w:val="001932FA"/>
    <w:rsid w:val="001934D4"/>
    <w:rsid w:val="00193B60"/>
    <w:rsid w:val="0019479F"/>
    <w:rsid w:val="00194D6D"/>
    <w:rsid w:val="001A0412"/>
    <w:rsid w:val="001A0B52"/>
    <w:rsid w:val="001A0EF8"/>
    <w:rsid w:val="001A1928"/>
    <w:rsid w:val="001A29B8"/>
    <w:rsid w:val="001A2B7E"/>
    <w:rsid w:val="001A3655"/>
    <w:rsid w:val="001A4D5F"/>
    <w:rsid w:val="001A5CD3"/>
    <w:rsid w:val="001A6FF8"/>
    <w:rsid w:val="001A7053"/>
    <w:rsid w:val="001A7F47"/>
    <w:rsid w:val="001B001B"/>
    <w:rsid w:val="001B0B51"/>
    <w:rsid w:val="001B0FE3"/>
    <w:rsid w:val="001B2960"/>
    <w:rsid w:val="001B63D1"/>
    <w:rsid w:val="001B684A"/>
    <w:rsid w:val="001B6BCE"/>
    <w:rsid w:val="001B7159"/>
    <w:rsid w:val="001C0149"/>
    <w:rsid w:val="001C1860"/>
    <w:rsid w:val="001C277A"/>
    <w:rsid w:val="001C27D5"/>
    <w:rsid w:val="001C3D4F"/>
    <w:rsid w:val="001C4376"/>
    <w:rsid w:val="001C46C8"/>
    <w:rsid w:val="001C5D44"/>
    <w:rsid w:val="001C6A66"/>
    <w:rsid w:val="001C70F4"/>
    <w:rsid w:val="001D01D0"/>
    <w:rsid w:val="001D0834"/>
    <w:rsid w:val="001D37A5"/>
    <w:rsid w:val="001D4A34"/>
    <w:rsid w:val="001D7E55"/>
    <w:rsid w:val="001E12C3"/>
    <w:rsid w:val="001E1437"/>
    <w:rsid w:val="001E191E"/>
    <w:rsid w:val="001E197E"/>
    <w:rsid w:val="001E1D9E"/>
    <w:rsid w:val="001E273F"/>
    <w:rsid w:val="001E29F0"/>
    <w:rsid w:val="001E329A"/>
    <w:rsid w:val="001E3367"/>
    <w:rsid w:val="001E3408"/>
    <w:rsid w:val="001E4550"/>
    <w:rsid w:val="001E53AF"/>
    <w:rsid w:val="001E66E8"/>
    <w:rsid w:val="001E7116"/>
    <w:rsid w:val="001E7832"/>
    <w:rsid w:val="001E7EC7"/>
    <w:rsid w:val="001E7F0C"/>
    <w:rsid w:val="001F05CF"/>
    <w:rsid w:val="001F1168"/>
    <w:rsid w:val="001F2126"/>
    <w:rsid w:val="001F2894"/>
    <w:rsid w:val="001F349E"/>
    <w:rsid w:val="001F37A3"/>
    <w:rsid w:val="001F37BC"/>
    <w:rsid w:val="001F3F8F"/>
    <w:rsid w:val="001F4E00"/>
    <w:rsid w:val="001F50E3"/>
    <w:rsid w:val="001F7185"/>
    <w:rsid w:val="001F7970"/>
    <w:rsid w:val="001F7C2A"/>
    <w:rsid w:val="001F7C59"/>
    <w:rsid w:val="00200566"/>
    <w:rsid w:val="00201264"/>
    <w:rsid w:val="0020151F"/>
    <w:rsid w:val="002022E3"/>
    <w:rsid w:val="0020242D"/>
    <w:rsid w:val="00202528"/>
    <w:rsid w:val="00202FC8"/>
    <w:rsid w:val="00203208"/>
    <w:rsid w:val="002036E7"/>
    <w:rsid w:val="002036FE"/>
    <w:rsid w:val="00203767"/>
    <w:rsid w:val="00203889"/>
    <w:rsid w:val="0020392D"/>
    <w:rsid w:val="00204350"/>
    <w:rsid w:val="00204AA6"/>
    <w:rsid w:val="00204B4D"/>
    <w:rsid w:val="00205087"/>
    <w:rsid w:val="002054AB"/>
    <w:rsid w:val="00205F21"/>
    <w:rsid w:val="00206D8F"/>
    <w:rsid w:val="00210292"/>
    <w:rsid w:val="00210BB6"/>
    <w:rsid w:val="00210F2C"/>
    <w:rsid w:val="00211CAC"/>
    <w:rsid w:val="00211E16"/>
    <w:rsid w:val="00214085"/>
    <w:rsid w:val="00214161"/>
    <w:rsid w:val="00214590"/>
    <w:rsid w:val="00214929"/>
    <w:rsid w:val="00215499"/>
    <w:rsid w:val="00215526"/>
    <w:rsid w:val="0021634A"/>
    <w:rsid w:val="00216B15"/>
    <w:rsid w:val="00216D39"/>
    <w:rsid w:val="002200B0"/>
    <w:rsid w:val="00220ECA"/>
    <w:rsid w:val="00221EAD"/>
    <w:rsid w:val="0022221A"/>
    <w:rsid w:val="002224E8"/>
    <w:rsid w:val="00224A2D"/>
    <w:rsid w:val="002253A5"/>
    <w:rsid w:val="00226755"/>
    <w:rsid w:val="0022680C"/>
    <w:rsid w:val="0022742D"/>
    <w:rsid w:val="002306EF"/>
    <w:rsid w:val="0023089B"/>
    <w:rsid w:val="00230DA8"/>
    <w:rsid w:val="00231461"/>
    <w:rsid w:val="00231A81"/>
    <w:rsid w:val="00231CA0"/>
    <w:rsid w:val="00233E3F"/>
    <w:rsid w:val="0023530B"/>
    <w:rsid w:val="00235524"/>
    <w:rsid w:val="00235F01"/>
    <w:rsid w:val="00236D69"/>
    <w:rsid w:val="00237784"/>
    <w:rsid w:val="00237F90"/>
    <w:rsid w:val="00240200"/>
    <w:rsid w:val="002408EC"/>
    <w:rsid w:val="00241973"/>
    <w:rsid w:val="00242FB5"/>
    <w:rsid w:val="00243379"/>
    <w:rsid w:val="002435E8"/>
    <w:rsid w:val="00243BEF"/>
    <w:rsid w:val="00245036"/>
    <w:rsid w:val="00245C43"/>
    <w:rsid w:val="00246111"/>
    <w:rsid w:val="0024797E"/>
    <w:rsid w:val="00247D81"/>
    <w:rsid w:val="002500F4"/>
    <w:rsid w:val="002501CD"/>
    <w:rsid w:val="00250BC0"/>
    <w:rsid w:val="00251D0B"/>
    <w:rsid w:val="0025285C"/>
    <w:rsid w:val="00254716"/>
    <w:rsid w:val="0025613F"/>
    <w:rsid w:val="00260D5B"/>
    <w:rsid w:val="00262237"/>
    <w:rsid w:val="00263AE1"/>
    <w:rsid w:val="00263EBF"/>
    <w:rsid w:val="0026591B"/>
    <w:rsid w:val="002668B1"/>
    <w:rsid w:val="002671C8"/>
    <w:rsid w:val="00267658"/>
    <w:rsid w:val="00267F74"/>
    <w:rsid w:val="00271A56"/>
    <w:rsid w:val="002723D3"/>
    <w:rsid w:val="00273C89"/>
    <w:rsid w:val="00273F3F"/>
    <w:rsid w:val="0027404E"/>
    <w:rsid w:val="002744BE"/>
    <w:rsid w:val="00274A12"/>
    <w:rsid w:val="00274F25"/>
    <w:rsid w:val="00274F52"/>
    <w:rsid w:val="002758C8"/>
    <w:rsid w:val="002759E3"/>
    <w:rsid w:val="00276339"/>
    <w:rsid w:val="002764F7"/>
    <w:rsid w:val="00276C8A"/>
    <w:rsid w:val="00277752"/>
    <w:rsid w:val="0027781F"/>
    <w:rsid w:val="0028006B"/>
    <w:rsid w:val="00282131"/>
    <w:rsid w:val="0028395E"/>
    <w:rsid w:val="00283AE7"/>
    <w:rsid w:val="002843A0"/>
    <w:rsid w:val="00284C5A"/>
    <w:rsid w:val="00284FD5"/>
    <w:rsid w:val="002852D3"/>
    <w:rsid w:val="00285DC3"/>
    <w:rsid w:val="00285DF1"/>
    <w:rsid w:val="00286176"/>
    <w:rsid w:val="002865DC"/>
    <w:rsid w:val="00286715"/>
    <w:rsid w:val="00287596"/>
    <w:rsid w:val="00290D0F"/>
    <w:rsid w:val="0029195C"/>
    <w:rsid w:val="00291B5E"/>
    <w:rsid w:val="0029380D"/>
    <w:rsid w:val="002945D3"/>
    <w:rsid w:val="00295833"/>
    <w:rsid w:val="002959DC"/>
    <w:rsid w:val="00295DE8"/>
    <w:rsid w:val="00296D30"/>
    <w:rsid w:val="002973A6"/>
    <w:rsid w:val="00297E91"/>
    <w:rsid w:val="002A1814"/>
    <w:rsid w:val="002A1C46"/>
    <w:rsid w:val="002A2086"/>
    <w:rsid w:val="002A326C"/>
    <w:rsid w:val="002A3E27"/>
    <w:rsid w:val="002A4E98"/>
    <w:rsid w:val="002A51DD"/>
    <w:rsid w:val="002A5EE7"/>
    <w:rsid w:val="002A6E4C"/>
    <w:rsid w:val="002A7E4D"/>
    <w:rsid w:val="002B0278"/>
    <w:rsid w:val="002B0472"/>
    <w:rsid w:val="002B079A"/>
    <w:rsid w:val="002B0829"/>
    <w:rsid w:val="002B0BA6"/>
    <w:rsid w:val="002B0DDD"/>
    <w:rsid w:val="002B191F"/>
    <w:rsid w:val="002B1926"/>
    <w:rsid w:val="002B1AD9"/>
    <w:rsid w:val="002B3EEA"/>
    <w:rsid w:val="002B4D7A"/>
    <w:rsid w:val="002B508B"/>
    <w:rsid w:val="002B5124"/>
    <w:rsid w:val="002B589F"/>
    <w:rsid w:val="002B5CF2"/>
    <w:rsid w:val="002B7848"/>
    <w:rsid w:val="002B7D88"/>
    <w:rsid w:val="002C061D"/>
    <w:rsid w:val="002C12A5"/>
    <w:rsid w:val="002C1328"/>
    <w:rsid w:val="002C226C"/>
    <w:rsid w:val="002C3150"/>
    <w:rsid w:val="002C3630"/>
    <w:rsid w:val="002C4C09"/>
    <w:rsid w:val="002C5F95"/>
    <w:rsid w:val="002C6E81"/>
    <w:rsid w:val="002C7C45"/>
    <w:rsid w:val="002C7CA0"/>
    <w:rsid w:val="002D0292"/>
    <w:rsid w:val="002D132E"/>
    <w:rsid w:val="002D1D8A"/>
    <w:rsid w:val="002D1E23"/>
    <w:rsid w:val="002D1F4F"/>
    <w:rsid w:val="002D25D8"/>
    <w:rsid w:val="002D26C0"/>
    <w:rsid w:val="002D3B52"/>
    <w:rsid w:val="002D3F72"/>
    <w:rsid w:val="002D5859"/>
    <w:rsid w:val="002D5D62"/>
    <w:rsid w:val="002D71FF"/>
    <w:rsid w:val="002D74A8"/>
    <w:rsid w:val="002D7EC7"/>
    <w:rsid w:val="002E0192"/>
    <w:rsid w:val="002E02DC"/>
    <w:rsid w:val="002E0E3E"/>
    <w:rsid w:val="002E194A"/>
    <w:rsid w:val="002E1F30"/>
    <w:rsid w:val="002E2054"/>
    <w:rsid w:val="002E20D3"/>
    <w:rsid w:val="002E2154"/>
    <w:rsid w:val="002E2815"/>
    <w:rsid w:val="002E3BBB"/>
    <w:rsid w:val="002E44D2"/>
    <w:rsid w:val="002E4519"/>
    <w:rsid w:val="002E5944"/>
    <w:rsid w:val="002E6275"/>
    <w:rsid w:val="002E66B3"/>
    <w:rsid w:val="002E6F82"/>
    <w:rsid w:val="002E753E"/>
    <w:rsid w:val="002E7623"/>
    <w:rsid w:val="002E78A7"/>
    <w:rsid w:val="002F0E68"/>
    <w:rsid w:val="002F2943"/>
    <w:rsid w:val="002F3052"/>
    <w:rsid w:val="002F3A78"/>
    <w:rsid w:val="002F4400"/>
    <w:rsid w:val="002F5605"/>
    <w:rsid w:val="002F58F5"/>
    <w:rsid w:val="002F64DB"/>
    <w:rsid w:val="002F6A4F"/>
    <w:rsid w:val="002F6BEB"/>
    <w:rsid w:val="002F715F"/>
    <w:rsid w:val="002F7A8B"/>
    <w:rsid w:val="00300390"/>
    <w:rsid w:val="00300C75"/>
    <w:rsid w:val="00301770"/>
    <w:rsid w:val="00301A27"/>
    <w:rsid w:val="00302E9C"/>
    <w:rsid w:val="00303505"/>
    <w:rsid w:val="00303EC6"/>
    <w:rsid w:val="00303F27"/>
    <w:rsid w:val="003042D4"/>
    <w:rsid w:val="00304361"/>
    <w:rsid w:val="00304AA8"/>
    <w:rsid w:val="00305103"/>
    <w:rsid w:val="00305564"/>
    <w:rsid w:val="00305851"/>
    <w:rsid w:val="00305C60"/>
    <w:rsid w:val="00305CB9"/>
    <w:rsid w:val="00306820"/>
    <w:rsid w:val="00307360"/>
    <w:rsid w:val="003078CA"/>
    <w:rsid w:val="0031046B"/>
    <w:rsid w:val="00310EF8"/>
    <w:rsid w:val="00312360"/>
    <w:rsid w:val="003123B7"/>
    <w:rsid w:val="00312820"/>
    <w:rsid w:val="00313883"/>
    <w:rsid w:val="0031460F"/>
    <w:rsid w:val="00314C5C"/>
    <w:rsid w:val="003157BD"/>
    <w:rsid w:val="003162F9"/>
    <w:rsid w:val="00316BE5"/>
    <w:rsid w:val="0031751F"/>
    <w:rsid w:val="0032029C"/>
    <w:rsid w:val="00320604"/>
    <w:rsid w:val="00320623"/>
    <w:rsid w:val="003217C9"/>
    <w:rsid w:val="003227FD"/>
    <w:rsid w:val="00322B7E"/>
    <w:rsid w:val="003233CB"/>
    <w:rsid w:val="003239CB"/>
    <w:rsid w:val="003245F2"/>
    <w:rsid w:val="00325DF3"/>
    <w:rsid w:val="00326BB8"/>
    <w:rsid w:val="003275BB"/>
    <w:rsid w:val="00327696"/>
    <w:rsid w:val="00327E2C"/>
    <w:rsid w:val="00331943"/>
    <w:rsid w:val="00331B7E"/>
    <w:rsid w:val="003320D9"/>
    <w:rsid w:val="00332419"/>
    <w:rsid w:val="003324DF"/>
    <w:rsid w:val="003329A7"/>
    <w:rsid w:val="003333CF"/>
    <w:rsid w:val="00333AB2"/>
    <w:rsid w:val="00333B25"/>
    <w:rsid w:val="003357C3"/>
    <w:rsid w:val="003361BB"/>
    <w:rsid w:val="003369CD"/>
    <w:rsid w:val="00336EDD"/>
    <w:rsid w:val="00336F4D"/>
    <w:rsid w:val="003371C7"/>
    <w:rsid w:val="00337404"/>
    <w:rsid w:val="003374CE"/>
    <w:rsid w:val="00340072"/>
    <w:rsid w:val="003405A5"/>
    <w:rsid w:val="003414A6"/>
    <w:rsid w:val="00341956"/>
    <w:rsid w:val="003419A2"/>
    <w:rsid w:val="00341F0F"/>
    <w:rsid w:val="00343AB7"/>
    <w:rsid w:val="00343F9D"/>
    <w:rsid w:val="003441E3"/>
    <w:rsid w:val="0034433C"/>
    <w:rsid w:val="00344D97"/>
    <w:rsid w:val="00344ED6"/>
    <w:rsid w:val="00345B71"/>
    <w:rsid w:val="003474DB"/>
    <w:rsid w:val="00347D9A"/>
    <w:rsid w:val="00350ACE"/>
    <w:rsid w:val="003518F0"/>
    <w:rsid w:val="00352428"/>
    <w:rsid w:val="00352CED"/>
    <w:rsid w:val="00353AC5"/>
    <w:rsid w:val="00353CB5"/>
    <w:rsid w:val="00354FB0"/>
    <w:rsid w:val="0035645F"/>
    <w:rsid w:val="003564AD"/>
    <w:rsid w:val="00356B21"/>
    <w:rsid w:val="00356DC0"/>
    <w:rsid w:val="00357BD2"/>
    <w:rsid w:val="003604D8"/>
    <w:rsid w:val="003610CE"/>
    <w:rsid w:val="00361C5D"/>
    <w:rsid w:val="0036212D"/>
    <w:rsid w:val="003623DE"/>
    <w:rsid w:val="003626D7"/>
    <w:rsid w:val="00362AA6"/>
    <w:rsid w:val="00363578"/>
    <w:rsid w:val="00363A65"/>
    <w:rsid w:val="00364108"/>
    <w:rsid w:val="0036456F"/>
    <w:rsid w:val="00364D48"/>
    <w:rsid w:val="00365214"/>
    <w:rsid w:val="0036631B"/>
    <w:rsid w:val="00367852"/>
    <w:rsid w:val="00367F33"/>
    <w:rsid w:val="0037082B"/>
    <w:rsid w:val="00371A35"/>
    <w:rsid w:val="00371E9B"/>
    <w:rsid w:val="00372441"/>
    <w:rsid w:val="00374CC8"/>
    <w:rsid w:val="00375129"/>
    <w:rsid w:val="00376BC1"/>
    <w:rsid w:val="00377436"/>
    <w:rsid w:val="00380961"/>
    <w:rsid w:val="00380E64"/>
    <w:rsid w:val="00381DE5"/>
    <w:rsid w:val="003823F6"/>
    <w:rsid w:val="00382955"/>
    <w:rsid w:val="003838C5"/>
    <w:rsid w:val="00384497"/>
    <w:rsid w:val="003847EA"/>
    <w:rsid w:val="0038516F"/>
    <w:rsid w:val="00385577"/>
    <w:rsid w:val="003856E4"/>
    <w:rsid w:val="00385F80"/>
    <w:rsid w:val="0038619A"/>
    <w:rsid w:val="003862A1"/>
    <w:rsid w:val="003876B1"/>
    <w:rsid w:val="00387870"/>
    <w:rsid w:val="00387CF9"/>
    <w:rsid w:val="00390045"/>
    <w:rsid w:val="003902F9"/>
    <w:rsid w:val="0039077B"/>
    <w:rsid w:val="00390AF2"/>
    <w:rsid w:val="00390C44"/>
    <w:rsid w:val="00391C80"/>
    <w:rsid w:val="00392387"/>
    <w:rsid w:val="00392901"/>
    <w:rsid w:val="00392F33"/>
    <w:rsid w:val="00393A36"/>
    <w:rsid w:val="003943B9"/>
    <w:rsid w:val="00394534"/>
    <w:rsid w:val="00394C96"/>
    <w:rsid w:val="00395263"/>
    <w:rsid w:val="00395791"/>
    <w:rsid w:val="00395FA4"/>
    <w:rsid w:val="0039651C"/>
    <w:rsid w:val="0039690B"/>
    <w:rsid w:val="00396BCE"/>
    <w:rsid w:val="003971B2"/>
    <w:rsid w:val="0039787C"/>
    <w:rsid w:val="003A0132"/>
    <w:rsid w:val="003A04F1"/>
    <w:rsid w:val="003A064C"/>
    <w:rsid w:val="003A0F8E"/>
    <w:rsid w:val="003A1005"/>
    <w:rsid w:val="003A1419"/>
    <w:rsid w:val="003A1C00"/>
    <w:rsid w:val="003A1CD6"/>
    <w:rsid w:val="003A1F4E"/>
    <w:rsid w:val="003A2E97"/>
    <w:rsid w:val="003A2F61"/>
    <w:rsid w:val="003A35C7"/>
    <w:rsid w:val="003A3832"/>
    <w:rsid w:val="003A3955"/>
    <w:rsid w:val="003A4262"/>
    <w:rsid w:val="003A5E01"/>
    <w:rsid w:val="003A65F1"/>
    <w:rsid w:val="003A688D"/>
    <w:rsid w:val="003A69DA"/>
    <w:rsid w:val="003A6B36"/>
    <w:rsid w:val="003A7080"/>
    <w:rsid w:val="003B078A"/>
    <w:rsid w:val="003B0C30"/>
    <w:rsid w:val="003B0CE4"/>
    <w:rsid w:val="003B2828"/>
    <w:rsid w:val="003B2911"/>
    <w:rsid w:val="003B2A7B"/>
    <w:rsid w:val="003B3861"/>
    <w:rsid w:val="003B3EAC"/>
    <w:rsid w:val="003B43AB"/>
    <w:rsid w:val="003B523F"/>
    <w:rsid w:val="003B5FED"/>
    <w:rsid w:val="003B6350"/>
    <w:rsid w:val="003B63F8"/>
    <w:rsid w:val="003B6AC1"/>
    <w:rsid w:val="003B7FA4"/>
    <w:rsid w:val="003C0825"/>
    <w:rsid w:val="003C08EB"/>
    <w:rsid w:val="003C1061"/>
    <w:rsid w:val="003C1736"/>
    <w:rsid w:val="003C1E52"/>
    <w:rsid w:val="003C25EB"/>
    <w:rsid w:val="003C28D7"/>
    <w:rsid w:val="003C2CFB"/>
    <w:rsid w:val="003C33BF"/>
    <w:rsid w:val="003C3632"/>
    <w:rsid w:val="003C385F"/>
    <w:rsid w:val="003C3BA8"/>
    <w:rsid w:val="003C4560"/>
    <w:rsid w:val="003C4AA9"/>
    <w:rsid w:val="003C4DE2"/>
    <w:rsid w:val="003C5551"/>
    <w:rsid w:val="003C5CE2"/>
    <w:rsid w:val="003C5DE0"/>
    <w:rsid w:val="003C6BBC"/>
    <w:rsid w:val="003C7C3E"/>
    <w:rsid w:val="003D0E25"/>
    <w:rsid w:val="003D1878"/>
    <w:rsid w:val="003D1DFB"/>
    <w:rsid w:val="003D2280"/>
    <w:rsid w:val="003D27FB"/>
    <w:rsid w:val="003D2865"/>
    <w:rsid w:val="003D2982"/>
    <w:rsid w:val="003D2CEE"/>
    <w:rsid w:val="003D2F93"/>
    <w:rsid w:val="003D38D9"/>
    <w:rsid w:val="003D3DC9"/>
    <w:rsid w:val="003D4EFA"/>
    <w:rsid w:val="003D520F"/>
    <w:rsid w:val="003D5645"/>
    <w:rsid w:val="003D5DF0"/>
    <w:rsid w:val="003D63AB"/>
    <w:rsid w:val="003D7040"/>
    <w:rsid w:val="003D716D"/>
    <w:rsid w:val="003E0206"/>
    <w:rsid w:val="003E02EF"/>
    <w:rsid w:val="003E03D9"/>
    <w:rsid w:val="003E0C57"/>
    <w:rsid w:val="003E1063"/>
    <w:rsid w:val="003E117F"/>
    <w:rsid w:val="003E12D9"/>
    <w:rsid w:val="003E347A"/>
    <w:rsid w:val="003E52B2"/>
    <w:rsid w:val="003E5791"/>
    <w:rsid w:val="003E57F8"/>
    <w:rsid w:val="003E687E"/>
    <w:rsid w:val="003E7090"/>
    <w:rsid w:val="003E710B"/>
    <w:rsid w:val="003F219D"/>
    <w:rsid w:val="003F2C87"/>
    <w:rsid w:val="003F2CDE"/>
    <w:rsid w:val="003F322D"/>
    <w:rsid w:val="003F47CE"/>
    <w:rsid w:val="003F5E0D"/>
    <w:rsid w:val="003F604D"/>
    <w:rsid w:val="003F62B3"/>
    <w:rsid w:val="003F65AF"/>
    <w:rsid w:val="003F673A"/>
    <w:rsid w:val="003F7665"/>
    <w:rsid w:val="003F7CCF"/>
    <w:rsid w:val="003F7D39"/>
    <w:rsid w:val="00401562"/>
    <w:rsid w:val="0040234B"/>
    <w:rsid w:val="004026E1"/>
    <w:rsid w:val="004043FB"/>
    <w:rsid w:val="0040569F"/>
    <w:rsid w:val="00405A21"/>
    <w:rsid w:val="00405EBE"/>
    <w:rsid w:val="00405FCD"/>
    <w:rsid w:val="00406B23"/>
    <w:rsid w:val="0040752A"/>
    <w:rsid w:val="00410008"/>
    <w:rsid w:val="004115A5"/>
    <w:rsid w:val="00411762"/>
    <w:rsid w:val="0041283A"/>
    <w:rsid w:val="00412D2D"/>
    <w:rsid w:val="00413067"/>
    <w:rsid w:val="004136D7"/>
    <w:rsid w:val="00414F4B"/>
    <w:rsid w:val="00416753"/>
    <w:rsid w:val="00416861"/>
    <w:rsid w:val="00417190"/>
    <w:rsid w:val="004177AF"/>
    <w:rsid w:val="00420208"/>
    <w:rsid w:val="004202B0"/>
    <w:rsid w:val="00420391"/>
    <w:rsid w:val="0042146A"/>
    <w:rsid w:val="00421A98"/>
    <w:rsid w:val="00421CEF"/>
    <w:rsid w:val="00421F0C"/>
    <w:rsid w:val="00422ACE"/>
    <w:rsid w:val="00422C89"/>
    <w:rsid w:val="0042317D"/>
    <w:rsid w:val="00423534"/>
    <w:rsid w:val="004236F1"/>
    <w:rsid w:val="0042577C"/>
    <w:rsid w:val="004309AF"/>
    <w:rsid w:val="0043197C"/>
    <w:rsid w:val="00432149"/>
    <w:rsid w:val="00432981"/>
    <w:rsid w:val="00432EFA"/>
    <w:rsid w:val="0043323A"/>
    <w:rsid w:val="00433503"/>
    <w:rsid w:val="0043434F"/>
    <w:rsid w:val="0043443B"/>
    <w:rsid w:val="00434875"/>
    <w:rsid w:val="004355F5"/>
    <w:rsid w:val="004366FE"/>
    <w:rsid w:val="00436CDE"/>
    <w:rsid w:val="00437134"/>
    <w:rsid w:val="004377AE"/>
    <w:rsid w:val="00437A8E"/>
    <w:rsid w:val="00440710"/>
    <w:rsid w:val="004408F4"/>
    <w:rsid w:val="0044144C"/>
    <w:rsid w:val="0044297D"/>
    <w:rsid w:val="004440D6"/>
    <w:rsid w:val="004441A0"/>
    <w:rsid w:val="00444583"/>
    <w:rsid w:val="00445BD1"/>
    <w:rsid w:val="0044695B"/>
    <w:rsid w:val="00446A2D"/>
    <w:rsid w:val="0044752B"/>
    <w:rsid w:val="004479A4"/>
    <w:rsid w:val="00450066"/>
    <w:rsid w:val="004500A0"/>
    <w:rsid w:val="00450205"/>
    <w:rsid w:val="00451FA9"/>
    <w:rsid w:val="00451FBB"/>
    <w:rsid w:val="00453F79"/>
    <w:rsid w:val="0045456D"/>
    <w:rsid w:val="00454F09"/>
    <w:rsid w:val="004554E0"/>
    <w:rsid w:val="004557F3"/>
    <w:rsid w:val="00455CE1"/>
    <w:rsid w:val="004564E5"/>
    <w:rsid w:val="004567F0"/>
    <w:rsid w:val="004568CA"/>
    <w:rsid w:val="0045769D"/>
    <w:rsid w:val="00460538"/>
    <w:rsid w:val="00463144"/>
    <w:rsid w:val="0046331D"/>
    <w:rsid w:val="004648EC"/>
    <w:rsid w:val="0046499B"/>
    <w:rsid w:val="0046678A"/>
    <w:rsid w:val="00467646"/>
    <w:rsid w:val="00470D46"/>
    <w:rsid w:val="0047116A"/>
    <w:rsid w:val="004713F8"/>
    <w:rsid w:val="00471CA2"/>
    <w:rsid w:val="00471DBF"/>
    <w:rsid w:val="00471E13"/>
    <w:rsid w:val="004730E4"/>
    <w:rsid w:val="004732B4"/>
    <w:rsid w:val="00473BB5"/>
    <w:rsid w:val="00474FD7"/>
    <w:rsid w:val="004750AE"/>
    <w:rsid w:val="0047510B"/>
    <w:rsid w:val="00475B1E"/>
    <w:rsid w:val="0047622D"/>
    <w:rsid w:val="00477380"/>
    <w:rsid w:val="00480CAA"/>
    <w:rsid w:val="00481A7D"/>
    <w:rsid w:val="004823E9"/>
    <w:rsid w:val="004824B0"/>
    <w:rsid w:val="00483C44"/>
    <w:rsid w:val="004852AE"/>
    <w:rsid w:val="004859F7"/>
    <w:rsid w:val="00485B0C"/>
    <w:rsid w:val="00485D8A"/>
    <w:rsid w:val="00486D37"/>
    <w:rsid w:val="004879F2"/>
    <w:rsid w:val="00490006"/>
    <w:rsid w:val="004900B4"/>
    <w:rsid w:val="0049071C"/>
    <w:rsid w:val="00490E5C"/>
    <w:rsid w:val="00490FB2"/>
    <w:rsid w:val="0049188C"/>
    <w:rsid w:val="004927A2"/>
    <w:rsid w:val="00495491"/>
    <w:rsid w:val="00496302"/>
    <w:rsid w:val="0049686B"/>
    <w:rsid w:val="004970E4"/>
    <w:rsid w:val="0049745D"/>
    <w:rsid w:val="00497574"/>
    <w:rsid w:val="004975CC"/>
    <w:rsid w:val="004A0409"/>
    <w:rsid w:val="004A047F"/>
    <w:rsid w:val="004A0DD4"/>
    <w:rsid w:val="004A1792"/>
    <w:rsid w:val="004A21C2"/>
    <w:rsid w:val="004A2C9F"/>
    <w:rsid w:val="004A3B6C"/>
    <w:rsid w:val="004A5594"/>
    <w:rsid w:val="004A5751"/>
    <w:rsid w:val="004A656A"/>
    <w:rsid w:val="004A698A"/>
    <w:rsid w:val="004A6C46"/>
    <w:rsid w:val="004B0406"/>
    <w:rsid w:val="004B1717"/>
    <w:rsid w:val="004B1C52"/>
    <w:rsid w:val="004B267D"/>
    <w:rsid w:val="004B40F0"/>
    <w:rsid w:val="004B56B4"/>
    <w:rsid w:val="004B62DA"/>
    <w:rsid w:val="004C098E"/>
    <w:rsid w:val="004C0CAF"/>
    <w:rsid w:val="004C171A"/>
    <w:rsid w:val="004C1769"/>
    <w:rsid w:val="004C18E6"/>
    <w:rsid w:val="004C1987"/>
    <w:rsid w:val="004C266D"/>
    <w:rsid w:val="004C339E"/>
    <w:rsid w:val="004C35F2"/>
    <w:rsid w:val="004C3A4D"/>
    <w:rsid w:val="004C4411"/>
    <w:rsid w:val="004C4D1F"/>
    <w:rsid w:val="004C4D24"/>
    <w:rsid w:val="004C535F"/>
    <w:rsid w:val="004C5874"/>
    <w:rsid w:val="004C5DF0"/>
    <w:rsid w:val="004C6699"/>
    <w:rsid w:val="004C66F1"/>
    <w:rsid w:val="004C6956"/>
    <w:rsid w:val="004C6B1A"/>
    <w:rsid w:val="004C7112"/>
    <w:rsid w:val="004C7FE1"/>
    <w:rsid w:val="004D02A7"/>
    <w:rsid w:val="004D02F3"/>
    <w:rsid w:val="004D05E1"/>
    <w:rsid w:val="004D0890"/>
    <w:rsid w:val="004D0D84"/>
    <w:rsid w:val="004D15CD"/>
    <w:rsid w:val="004D3754"/>
    <w:rsid w:val="004D38E8"/>
    <w:rsid w:val="004D459C"/>
    <w:rsid w:val="004D599E"/>
    <w:rsid w:val="004D5EEB"/>
    <w:rsid w:val="004D6DEB"/>
    <w:rsid w:val="004D7E52"/>
    <w:rsid w:val="004E039D"/>
    <w:rsid w:val="004E1A7E"/>
    <w:rsid w:val="004E1C60"/>
    <w:rsid w:val="004E381F"/>
    <w:rsid w:val="004E4117"/>
    <w:rsid w:val="004E5C24"/>
    <w:rsid w:val="004E6083"/>
    <w:rsid w:val="004E60ED"/>
    <w:rsid w:val="004E66B0"/>
    <w:rsid w:val="004E756B"/>
    <w:rsid w:val="004E7FAC"/>
    <w:rsid w:val="004F02F4"/>
    <w:rsid w:val="004F0A1B"/>
    <w:rsid w:val="004F0BBF"/>
    <w:rsid w:val="004F0CD2"/>
    <w:rsid w:val="004F0D71"/>
    <w:rsid w:val="004F0E77"/>
    <w:rsid w:val="004F0ED6"/>
    <w:rsid w:val="004F2088"/>
    <w:rsid w:val="004F243C"/>
    <w:rsid w:val="004F296A"/>
    <w:rsid w:val="004F2A67"/>
    <w:rsid w:val="004F3C2F"/>
    <w:rsid w:val="004F4486"/>
    <w:rsid w:val="004F4FBF"/>
    <w:rsid w:val="004F5AF5"/>
    <w:rsid w:val="004F5D89"/>
    <w:rsid w:val="004F5F90"/>
    <w:rsid w:val="004F6561"/>
    <w:rsid w:val="004F6DBC"/>
    <w:rsid w:val="004F703D"/>
    <w:rsid w:val="004F75B4"/>
    <w:rsid w:val="00500950"/>
    <w:rsid w:val="00500BE6"/>
    <w:rsid w:val="00500CDC"/>
    <w:rsid w:val="005011DF"/>
    <w:rsid w:val="00501C85"/>
    <w:rsid w:val="005028D1"/>
    <w:rsid w:val="0050400A"/>
    <w:rsid w:val="005048A1"/>
    <w:rsid w:val="0050594E"/>
    <w:rsid w:val="00507738"/>
    <w:rsid w:val="005077B9"/>
    <w:rsid w:val="00507FE2"/>
    <w:rsid w:val="0051029F"/>
    <w:rsid w:val="005110FE"/>
    <w:rsid w:val="0051159E"/>
    <w:rsid w:val="005126FA"/>
    <w:rsid w:val="00512726"/>
    <w:rsid w:val="005127D9"/>
    <w:rsid w:val="005139EA"/>
    <w:rsid w:val="00514407"/>
    <w:rsid w:val="005152C6"/>
    <w:rsid w:val="005157B3"/>
    <w:rsid w:val="005159A5"/>
    <w:rsid w:val="005161CA"/>
    <w:rsid w:val="00516BC6"/>
    <w:rsid w:val="00516F30"/>
    <w:rsid w:val="005170AC"/>
    <w:rsid w:val="0051799E"/>
    <w:rsid w:val="00517BB9"/>
    <w:rsid w:val="0052073B"/>
    <w:rsid w:val="00520D7A"/>
    <w:rsid w:val="00520E56"/>
    <w:rsid w:val="00521B90"/>
    <w:rsid w:val="00521DDD"/>
    <w:rsid w:val="0052241F"/>
    <w:rsid w:val="00522F01"/>
    <w:rsid w:val="0052308D"/>
    <w:rsid w:val="0052397A"/>
    <w:rsid w:val="00523DA8"/>
    <w:rsid w:val="005242CF"/>
    <w:rsid w:val="005249A8"/>
    <w:rsid w:val="00525490"/>
    <w:rsid w:val="00525538"/>
    <w:rsid w:val="0052562A"/>
    <w:rsid w:val="00526C72"/>
    <w:rsid w:val="00527AD5"/>
    <w:rsid w:val="005314FE"/>
    <w:rsid w:val="0053298C"/>
    <w:rsid w:val="00535D4B"/>
    <w:rsid w:val="00536411"/>
    <w:rsid w:val="005373AA"/>
    <w:rsid w:val="005374FC"/>
    <w:rsid w:val="0054149A"/>
    <w:rsid w:val="00541AA6"/>
    <w:rsid w:val="005429BF"/>
    <w:rsid w:val="00542E8E"/>
    <w:rsid w:val="00542F07"/>
    <w:rsid w:val="0054306B"/>
    <w:rsid w:val="0054376F"/>
    <w:rsid w:val="00543838"/>
    <w:rsid w:val="0054461B"/>
    <w:rsid w:val="00544C47"/>
    <w:rsid w:val="00547117"/>
    <w:rsid w:val="0055096B"/>
    <w:rsid w:val="00550F4D"/>
    <w:rsid w:val="005510E4"/>
    <w:rsid w:val="0055143D"/>
    <w:rsid w:val="0055174A"/>
    <w:rsid w:val="00552ECE"/>
    <w:rsid w:val="00553E1F"/>
    <w:rsid w:val="0055542B"/>
    <w:rsid w:val="00555BF5"/>
    <w:rsid w:val="00555CC6"/>
    <w:rsid w:val="005561E4"/>
    <w:rsid w:val="00556A6F"/>
    <w:rsid w:val="00556FFF"/>
    <w:rsid w:val="005578AD"/>
    <w:rsid w:val="005578C1"/>
    <w:rsid w:val="00557F52"/>
    <w:rsid w:val="0056023F"/>
    <w:rsid w:val="00560638"/>
    <w:rsid w:val="00560DFC"/>
    <w:rsid w:val="00562983"/>
    <w:rsid w:val="0056305F"/>
    <w:rsid w:val="005638F8"/>
    <w:rsid w:val="00563BD8"/>
    <w:rsid w:val="005643C3"/>
    <w:rsid w:val="005649DB"/>
    <w:rsid w:val="00564F0A"/>
    <w:rsid w:val="00565699"/>
    <w:rsid w:val="00565CE1"/>
    <w:rsid w:val="00566A3B"/>
    <w:rsid w:val="0057011D"/>
    <w:rsid w:val="005702E9"/>
    <w:rsid w:val="005703FD"/>
    <w:rsid w:val="005711BF"/>
    <w:rsid w:val="005718BE"/>
    <w:rsid w:val="005721F0"/>
    <w:rsid w:val="00572CDE"/>
    <w:rsid w:val="00572D53"/>
    <w:rsid w:val="00575524"/>
    <w:rsid w:val="00576228"/>
    <w:rsid w:val="00576A16"/>
    <w:rsid w:val="00576B80"/>
    <w:rsid w:val="0057731F"/>
    <w:rsid w:val="00577740"/>
    <w:rsid w:val="00577923"/>
    <w:rsid w:val="00577ABD"/>
    <w:rsid w:val="00577F16"/>
    <w:rsid w:val="005801C3"/>
    <w:rsid w:val="005801F0"/>
    <w:rsid w:val="0058043A"/>
    <w:rsid w:val="00580DA3"/>
    <w:rsid w:val="00581CC1"/>
    <w:rsid w:val="00581D04"/>
    <w:rsid w:val="00582049"/>
    <w:rsid w:val="005838A3"/>
    <w:rsid w:val="00583BC1"/>
    <w:rsid w:val="00583F78"/>
    <w:rsid w:val="0058483D"/>
    <w:rsid w:val="00584A47"/>
    <w:rsid w:val="005859E6"/>
    <w:rsid w:val="00585A14"/>
    <w:rsid w:val="00585C6B"/>
    <w:rsid w:val="00585FD1"/>
    <w:rsid w:val="00586348"/>
    <w:rsid w:val="00586D17"/>
    <w:rsid w:val="00587CAE"/>
    <w:rsid w:val="00590272"/>
    <w:rsid w:val="00591CD9"/>
    <w:rsid w:val="00591F43"/>
    <w:rsid w:val="005924D8"/>
    <w:rsid w:val="005951F8"/>
    <w:rsid w:val="00595543"/>
    <w:rsid w:val="005962A8"/>
    <w:rsid w:val="005976FF"/>
    <w:rsid w:val="00597E45"/>
    <w:rsid w:val="00597FDD"/>
    <w:rsid w:val="005A02C7"/>
    <w:rsid w:val="005A0595"/>
    <w:rsid w:val="005A0C6C"/>
    <w:rsid w:val="005A1EF7"/>
    <w:rsid w:val="005A22E3"/>
    <w:rsid w:val="005A23AB"/>
    <w:rsid w:val="005A31D6"/>
    <w:rsid w:val="005A37AF"/>
    <w:rsid w:val="005A46C8"/>
    <w:rsid w:val="005A4BA4"/>
    <w:rsid w:val="005A5351"/>
    <w:rsid w:val="005A58B2"/>
    <w:rsid w:val="005A6885"/>
    <w:rsid w:val="005A7132"/>
    <w:rsid w:val="005A7166"/>
    <w:rsid w:val="005A7A75"/>
    <w:rsid w:val="005B2140"/>
    <w:rsid w:val="005B23F7"/>
    <w:rsid w:val="005B28B4"/>
    <w:rsid w:val="005B298B"/>
    <w:rsid w:val="005B2CF0"/>
    <w:rsid w:val="005B38B4"/>
    <w:rsid w:val="005B3A14"/>
    <w:rsid w:val="005B3CCF"/>
    <w:rsid w:val="005B457C"/>
    <w:rsid w:val="005B48B5"/>
    <w:rsid w:val="005B598A"/>
    <w:rsid w:val="005B59BC"/>
    <w:rsid w:val="005B6560"/>
    <w:rsid w:val="005B717D"/>
    <w:rsid w:val="005B7E6E"/>
    <w:rsid w:val="005C0527"/>
    <w:rsid w:val="005C06D6"/>
    <w:rsid w:val="005C07B8"/>
    <w:rsid w:val="005C07D2"/>
    <w:rsid w:val="005C118B"/>
    <w:rsid w:val="005C157B"/>
    <w:rsid w:val="005C1CCC"/>
    <w:rsid w:val="005C290A"/>
    <w:rsid w:val="005C2E56"/>
    <w:rsid w:val="005C3ADD"/>
    <w:rsid w:val="005C42F5"/>
    <w:rsid w:val="005C440D"/>
    <w:rsid w:val="005C4708"/>
    <w:rsid w:val="005C63EB"/>
    <w:rsid w:val="005C7D8D"/>
    <w:rsid w:val="005C7F1C"/>
    <w:rsid w:val="005C7FA1"/>
    <w:rsid w:val="005D0A9F"/>
    <w:rsid w:val="005D17F6"/>
    <w:rsid w:val="005D1EAB"/>
    <w:rsid w:val="005D2386"/>
    <w:rsid w:val="005D2567"/>
    <w:rsid w:val="005D36F6"/>
    <w:rsid w:val="005D3DAD"/>
    <w:rsid w:val="005D4EC2"/>
    <w:rsid w:val="005D5604"/>
    <w:rsid w:val="005D5710"/>
    <w:rsid w:val="005D6B8B"/>
    <w:rsid w:val="005D6FD7"/>
    <w:rsid w:val="005D7F53"/>
    <w:rsid w:val="005E05EB"/>
    <w:rsid w:val="005E07F9"/>
    <w:rsid w:val="005E243F"/>
    <w:rsid w:val="005E2716"/>
    <w:rsid w:val="005E3012"/>
    <w:rsid w:val="005E327E"/>
    <w:rsid w:val="005E5685"/>
    <w:rsid w:val="005E61B5"/>
    <w:rsid w:val="005E6591"/>
    <w:rsid w:val="005E68A9"/>
    <w:rsid w:val="005F0306"/>
    <w:rsid w:val="005F1D0C"/>
    <w:rsid w:val="005F1E55"/>
    <w:rsid w:val="005F3C40"/>
    <w:rsid w:val="005F4440"/>
    <w:rsid w:val="005F5039"/>
    <w:rsid w:val="005F519A"/>
    <w:rsid w:val="005F51DD"/>
    <w:rsid w:val="005F5621"/>
    <w:rsid w:val="005F569F"/>
    <w:rsid w:val="005F5704"/>
    <w:rsid w:val="005F6AC2"/>
    <w:rsid w:val="005F7B37"/>
    <w:rsid w:val="005F7DBA"/>
    <w:rsid w:val="00601933"/>
    <w:rsid w:val="00601F18"/>
    <w:rsid w:val="00602497"/>
    <w:rsid w:val="00603409"/>
    <w:rsid w:val="00603E47"/>
    <w:rsid w:val="0060413E"/>
    <w:rsid w:val="00604152"/>
    <w:rsid w:val="0060463E"/>
    <w:rsid w:val="00607FA9"/>
    <w:rsid w:val="00611787"/>
    <w:rsid w:val="006141EE"/>
    <w:rsid w:val="006142D1"/>
    <w:rsid w:val="00614941"/>
    <w:rsid w:val="00614D06"/>
    <w:rsid w:val="00616229"/>
    <w:rsid w:val="00616982"/>
    <w:rsid w:val="00616DF0"/>
    <w:rsid w:val="00616F0C"/>
    <w:rsid w:val="0061772A"/>
    <w:rsid w:val="006209F2"/>
    <w:rsid w:val="00620A6E"/>
    <w:rsid w:val="006214B1"/>
    <w:rsid w:val="0062209B"/>
    <w:rsid w:val="00622B3D"/>
    <w:rsid w:val="006236F7"/>
    <w:rsid w:val="00625175"/>
    <w:rsid w:val="006252C4"/>
    <w:rsid w:val="00626396"/>
    <w:rsid w:val="006274CC"/>
    <w:rsid w:val="0062762C"/>
    <w:rsid w:val="00631739"/>
    <w:rsid w:val="006317CC"/>
    <w:rsid w:val="006320F2"/>
    <w:rsid w:val="00634979"/>
    <w:rsid w:val="00635196"/>
    <w:rsid w:val="00636665"/>
    <w:rsid w:val="00636CAF"/>
    <w:rsid w:val="00636F7B"/>
    <w:rsid w:val="00637020"/>
    <w:rsid w:val="006402D8"/>
    <w:rsid w:val="00640F42"/>
    <w:rsid w:val="00640F50"/>
    <w:rsid w:val="006418A2"/>
    <w:rsid w:val="00642A4D"/>
    <w:rsid w:val="00642E87"/>
    <w:rsid w:val="00643AD4"/>
    <w:rsid w:val="006442F3"/>
    <w:rsid w:val="00645A80"/>
    <w:rsid w:val="00646A65"/>
    <w:rsid w:val="00646F50"/>
    <w:rsid w:val="0064759D"/>
    <w:rsid w:val="00647D80"/>
    <w:rsid w:val="0065192D"/>
    <w:rsid w:val="00651BC7"/>
    <w:rsid w:val="00652333"/>
    <w:rsid w:val="00652481"/>
    <w:rsid w:val="006525AA"/>
    <w:rsid w:val="0065301A"/>
    <w:rsid w:val="00653050"/>
    <w:rsid w:val="0065360E"/>
    <w:rsid w:val="0065368A"/>
    <w:rsid w:val="00654B5E"/>
    <w:rsid w:val="006550B2"/>
    <w:rsid w:val="006551BF"/>
    <w:rsid w:val="00655583"/>
    <w:rsid w:val="006568FC"/>
    <w:rsid w:val="00656C9B"/>
    <w:rsid w:val="00657F22"/>
    <w:rsid w:val="0066019B"/>
    <w:rsid w:val="00660484"/>
    <w:rsid w:val="0066112B"/>
    <w:rsid w:val="00661DA1"/>
    <w:rsid w:val="00662B41"/>
    <w:rsid w:val="00663089"/>
    <w:rsid w:val="00663C6D"/>
    <w:rsid w:val="00663DDD"/>
    <w:rsid w:val="00665BBD"/>
    <w:rsid w:val="00665CE0"/>
    <w:rsid w:val="00666809"/>
    <w:rsid w:val="00667DA7"/>
    <w:rsid w:val="00667E97"/>
    <w:rsid w:val="00670BAA"/>
    <w:rsid w:val="00670F6F"/>
    <w:rsid w:val="00671429"/>
    <w:rsid w:val="0067221C"/>
    <w:rsid w:val="00672993"/>
    <w:rsid w:val="00672EAC"/>
    <w:rsid w:val="00672FAF"/>
    <w:rsid w:val="006733A4"/>
    <w:rsid w:val="00673F8E"/>
    <w:rsid w:val="00674A01"/>
    <w:rsid w:val="00677255"/>
    <w:rsid w:val="006808B9"/>
    <w:rsid w:val="0068118E"/>
    <w:rsid w:val="00681AAA"/>
    <w:rsid w:val="006823A0"/>
    <w:rsid w:val="0068277D"/>
    <w:rsid w:val="00682893"/>
    <w:rsid w:val="00683F9B"/>
    <w:rsid w:val="00685BC2"/>
    <w:rsid w:val="00685D86"/>
    <w:rsid w:val="00687240"/>
    <w:rsid w:val="00687A6A"/>
    <w:rsid w:val="00687AF4"/>
    <w:rsid w:val="00687F4C"/>
    <w:rsid w:val="006923FC"/>
    <w:rsid w:val="0069334C"/>
    <w:rsid w:val="006943C7"/>
    <w:rsid w:val="00694A43"/>
    <w:rsid w:val="00694D7E"/>
    <w:rsid w:val="00695981"/>
    <w:rsid w:val="0069686C"/>
    <w:rsid w:val="00697835"/>
    <w:rsid w:val="00697C5C"/>
    <w:rsid w:val="006A016E"/>
    <w:rsid w:val="006A0853"/>
    <w:rsid w:val="006A08E1"/>
    <w:rsid w:val="006A0BE5"/>
    <w:rsid w:val="006A1622"/>
    <w:rsid w:val="006A16CE"/>
    <w:rsid w:val="006A2318"/>
    <w:rsid w:val="006A335B"/>
    <w:rsid w:val="006A33DA"/>
    <w:rsid w:val="006A5242"/>
    <w:rsid w:val="006A55DE"/>
    <w:rsid w:val="006A5C62"/>
    <w:rsid w:val="006A616B"/>
    <w:rsid w:val="006A6D53"/>
    <w:rsid w:val="006A6F52"/>
    <w:rsid w:val="006A78E8"/>
    <w:rsid w:val="006B0012"/>
    <w:rsid w:val="006B02C5"/>
    <w:rsid w:val="006B06BF"/>
    <w:rsid w:val="006B0888"/>
    <w:rsid w:val="006B0AE1"/>
    <w:rsid w:val="006B0C82"/>
    <w:rsid w:val="006B1260"/>
    <w:rsid w:val="006B1363"/>
    <w:rsid w:val="006B16D5"/>
    <w:rsid w:val="006B25D4"/>
    <w:rsid w:val="006B31D2"/>
    <w:rsid w:val="006B3E1A"/>
    <w:rsid w:val="006B4A64"/>
    <w:rsid w:val="006B515A"/>
    <w:rsid w:val="006B541C"/>
    <w:rsid w:val="006B5EA9"/>
    <w:rsid w:val="006B6440"/>
    <w:rsid w:val="006B6D3F"/>
    <w:rsid w:val="006C0988"/>
    <w:rsid w:val="006C1E66"/>
    <w:rsid w:val="006C22B3"/>
    <w:rsid w:val="006C30F9"/>
    <w:rsid w:val="006C3306"/>
    <w:rsid w:val="006C4F89"/>
    <w:rsid w:val="006C50DC"/>
    <w:rsid w:val="006C5D46"/>
    <w:rsid w:val="006C6617"/>
    <w:rsid w:val="006C6873"/>
    <w:rsid w:val="006C6AB9"/>
    <w:rsid w:val="006C76BC"/>
    <w:rsid w:val="006C77C8"/>
    <w:rsid w:val="006C78F0"/>
    <w:rsid w:val="006D02D8"/>
    <w:rsid w:val="006D0AF1"/>
    <w:rsid w:val="006D2115"/>
    <w:rsid w:val="006D3C0D"/>
    <w:rsid w:val="006D455E"/>
    <w:rsid w:val="006D4575"/>
    <w:rsid w:val="006D46FE"/>
    <w:rsid w:val="006D59AD"/>
    <w:rsid w:val="006D5EA6"/>
    <w:rsid w:val="006D6F54"/>
    <w:rsid w:val="006D7005"/>
    <w:rsid w:val="006D7034"/>
    <w:rsid w:val="006D75EA"/>
    <w:rsid w:val="006E0D68"/>
    <w:rsid w:val="006E1029"/>
    <w:rsid w:val="006E13CD"/>
    <w:rsid w:val="006E1C95"/>
    <w:rsid w:val="006E26FD"/>
    <w:rsid w:val="006E3EED"/>
    <w:rsid w:val="006E57DD"/>
    <w:rsid w:val="006E62E4"/>
    <w:rsid w:val="006E6788"/>
    <w:rsid w:val="006F06F7"/>
    <w:rsid w:val="006F1971"/>
    <w:rsid w:val="006F1BD4"/>
    <w:rsid w:val="006F1ED7"/>
    <w:rsid w:val="006F2345"/>
    <w:rsid w:val="006F281E"/>
    <w:rsid w:val="006F29FB"/>
    <w:rsid w:val="006F3F77"/>
    <w:rsid w:val="006F436A"/>
    <w:rsid w:val="006F4D2C"/>
    <w:rsid w:val="006F5342"/>
    <w:rsid w:val="006F588E"/>
    <w:rsid w:val="006F66ED"/>
    <w:rsid w:val="006F7A72"/>
    <w:rsid w:val="006F7B86"/>
    <w:rsid w:val="007000AF"/>
    <w:rsid w:val="00700463"/>
    <w:rsid w:val="007004C9"/>
    <w:rsid w:val="00700B24"/>
    <w:rsid w:val="00701A29"/>
    <w:rsid w:val="00701CF4"/>
    <w:rsid w:val="007028E1"/>
    <w:rsid w:val="007031FF"/>
    <w:rsid w:val="007035B5"/>
    <w:rsid w:val="00703845"/>
    <w:rsid w:val="00703A75"/>
    <w:rsid w:val="0070407D"/>
    <w:rsid w:val="00704238"/>
    <w:rsid w:val="00704796"/>
    <w:rsid w:val="00705058"/>
    <w:rsid w:val="00705AB5"/>
    <w:rsid w:val="00707BC7"/>
    <w:rsid w:val="00707D95"/>
    <w:rsid w:val="00707E40"/>
    <w:rsid w:val="00713CB6"/>
    <w:rsid w:val="00715001"/>
    <w:rsid w:val="00715023"/>
    <w:rsid w:val="00715975"/>
    <w:rsid w:val="00715AF8"/>
    <w:rsid w:val="007163C1"/>
    <w:rsid w:val="00716592"/>
    <w:rsid w:val="00716A9E"/>
    <w:rsid w:val="00717733"/>
    <w:rsid w:val="007215E9"/>
    <w:rsid w:val="00722031"/>
    <w:rsid w:val="00722835"/>
    <w:rsid w:val="007231EA"/>
    <w:rsid w:val="00723EAC"/>
    <w:rsid w:val="00724D2F"/>
    <w:rsid w:val="007250FA"/>
    <w:rsid w:val="00725338"/>
    <w:rsid w:val="0072616F"/>
    <w:rsid w:val="00726AEE"/>
    <w:rsid w:val="007307F7"/>
    <w:rsid w:val="00732358"/>
    <w:rsid w:val="007331D7"/>
    <w:rsid w:val="00733391"/>
    <w:rsid w:val="00733671"/>
    <w:rsid w:val="00734B22"/>
    <w:rsid w:val="00735EE1"/>
    <w:rsid w:val="00736861"/>
    <w:rsid w:val="00740119"/>
    <w:rsid w:val="00740DBB"/>
    <w:rsid w:val="00741537"/>
    <w:rsid w:val="00742999"/>
    <w:rsid w:val="007429D5"/>
    <w:rsid w:val="00742BDE"/>
    <w:rsid w:val="00743A73"/>
    <w:rsid w:val="00743B26"/>
    <w:rsid w:val="007447BB"/>
    <w:rsid w:val="00744970"/>
    <w:rsid w:val="00744BD8"/>
    <w:rsid w:val="00744DD7"/>
    <w:rsid w:val="00745223"/>
    <w:rsid w:val="007460C7"/>
    <w:rsid w:val="00747065"/>
    <w:rsid w:val="00750723"/>
    <w:rsid w:val="00751320"/>
    <w:rsid w:val="0075256B"/>
    <w:rsid w:val="007536AC"/>
    <w:rsid w:val="00753BC0"/>
    <w:rsid w:val="00753D74"/>
    <w:rsid w:val="00753DF5"/>
    <w:rsid w:val="00754141"/>
    <w:rsid w:val="007562B9"/>
    <w:rsid w:val="007574BE"/>
    <w:rsid w:val="00757DE7"/>
    <w:rsid w:val="00760972"/>
    <w:rsid w:val="00760DDB"/>
    <w:rsid w:val="00760FBF"/>
    <w:rsid w:val="00761C0A"/>
    <w:rsid w:val="007622F5"/>
    <w:rsid w:val="00762A6A"/>
    <w:rsid w:val="00762DAA"/>
    <w:rsid w:val="00763873"/>
    <w:rsid w:val="00763CB1"/>
    <w:rsid w:val="007640D8"/>
    <w:rsid w:val="00765BED"/>
    <w:rsid w:val="00765E01"/>
    <w:rsid w:val="00767A81"/>
    <w:rsid w:val="0077042A"/>
    <w:rsid w:val="007704CB"/>
    <w:rsid w:val="00771010"/>
    <w:rsid w:val="00771928"/>
    <w:rsid w:val="00771D79"/>
    <w:rsid w:val="0077208E"/>
    <w:rsid w:val="007726AE"/>
    <w:rsid w:val="00773CE6"/>
    <w:rsid w:val="007748B4"/>
    <w:rsid w:val="00775092"/>
    <w:rsid w:val="00776603"/>
    <w:rsid w:val="00776C5D"/>
    <w:rsid w:val="00776D0A"/>
    <w:rsid w:val="00776DCA"/>
    <w:rsid w:val="007806BA"/>
    <w:rsid w:val="007822F3"/>
    <w:rsid w:val="00782324"/>
    <w:rsid w:val="00782FCA"/>
    <w:rsid w:val="0078347B"/>
    <w:rsid w:val="00783AE1"/>
    <w:rsid w:val="00783C1C"/>
    <w:rsid w:val="0078474F"/>
    <w:rsid w:val="0078517F"/>
    <w:rsid w:val="00787106"/>
    <w:rsid w:val="00787FD3"/>
    <w:rsid w:val="00790A2D"/>
    <w:rsid w:val="007916A2"/>
    <w:rsid w:val="0079183E"/>
    <w:rsid w:val="007918A8"/>
    <w:rsid w:val="007918D5"/>
    <w:rsid w:val="0079202E"/>
    <w:rsid w:val="00792440"/>
    <w:rsid w:val="00792D8A"/>
    <w:rsid w:val="007935DA"/>
    <w:rsid w:val="0079366D"/>
    <w:rsid w:val="00793A58"/>
    <w:rsid w:val="00794CF7"/>
    <w:rsid w:val="00795FBB"/>
    <w:rsid w:val="007961A8"/>
    <w:rsid w:val="00796857"/>
    <w:rsid w:val="007A0080"/>
    <w:rsid w:val="007A0517"/>
    <w:rsid w:val="007A0831"/>
    <w:rsid w:val="007A0DAE"/>
    <w:rsid w:val="007A1744"/>
    <w:rsid w:val="007A25CD"/>
    <w:rsid w:val="007A4952"/>
    <w:rsid w:val="007A5119"/>
    <w:rsid w:val="007A5B91"/>
    <w:rsid w:val="007A7C38"/>
    <w:rsid w:val="007B0228"/>
    <w:rsid w:val="007B0DD2"/>
    <w:rsid w:val="007B1341"/>
    <w:rsid w:val="007B2774"/>
    <w:rsid w:val="007B2A75"/>
    <w:rsid w:val="007B3142"/>
    <w:rsid w:val="007B330E"/>
    <w:rsid w:val="007B3AD8"/>
    <w:rsid w:val="007B442E"/>
    <w:rsid w:val="007B5232"/>
    <w:rsid w:val="007B52E2"/>
    <w:rsid w:val="007B6774"/>
    <w:rsid w:val="007B69D3"/>
    <w:rsid w:val="007B7389"/>
    <w:rsid w:val="007B7B9D"/>
    <w:rsid w:val="007C02C1"/>
    <w:rsid w:val="007C0A97"/>
    <w:rsid w:val="007C117E"/>
    <w:rsid w:val="007C1311"/>
    <w:rsid w:val="007C2087"/>
    <w:rsid w:val="007C2181"/>
    <w:rsid w:val="007C268C"/>
    <w:rsid w:val="007C31EE"/>
    <w:rsid w:val="007C332A"/>
    <w:rsid w:val="007C34AB"/>
    <w:rsid w:val="007C4A5A"/>
    <w:rsid w:val="007C520D"/>
    <w:rsid w:val="007C7945"/>
    <w:rsid w:val="007D00C6"/>
    <w:rsid w:val="007D0944"/>
    <w:rsid w:val="007D0CF2"/>
    <w:rsid w:val="007D1836"/>
    <w:rsid w:val="007D18AE"/>
    <w:rsid w:val="007D1E0E"/>
    <w:rsid w:val="007D2A8B"/>
    <w:rsid w:val="007D36AF"/>
    <w:rsid w:val="007D3A54"/>
    <w:rsid w:val="007D4ADE"/>
    <w:rsid w:val="007D4F53"/>
    <w:rsid w:val="007D4FD8"/>
    <w:rsid w:val="007D548B"/>
    <w:rsid w:val="007D56E2"/>
    <w:rsid w:val="007D5F15"/>
    <w:rsid w:val="007D6242"/>
    <w:rsid w:val="007D62BD"/>
    <w:rsid w:val="007D67B6"/>
    <w:rsid w:val="007D69B8"/>
    <w:rsid w:val="007D7095"/>
    <w:rsid w:val="007D7770"/>
    <w:rsid w:val="007D7A7D"/>
    <w:rsid w:val="007D7D14"/>
    <w:rsid w:val="007E175A"/>
    <w:rsid w:val="007E2EEF"/>
    <w:rsid w:val="007E35C2"/>
    <w:rsid w:val="007E379D"/>
    <w:rsid w:val="007E515C"/>
    <w:rsid w:val="007E5BF3"/>
    <w:rsid w:val="007E6F8F"/>
    <w:rsid w:val="007E7D2C"/>
    <w:rsid w:val="007E7DA5"/>
    <w:rsid w:val="007F0015"/>
    <w:rsid w:val="007F002E"/>
    <w:rsid w:val="007F0A4E"/>
    <w:rsid w:val="007F1168"/>
    <w:rsid w:val="007F1931"/>
    <w:rsid w:val="007F20C5"/>
    <w:rsid w:val="007F2C8C"/>
    <w:rsid w:val="007F3406"/>
    <w:rsid w:val="007F35D8"/>
    <w:rsid w:val="007F3DB1"/>
    <w:rsid w:val="007F4259"/>
    <w:rsid w:val="007F4905"/>
    <w:rsid w:val="007F4983"/>
    <w:rsid w:val="007F5835"/>
    <w:rsid w:val="007F60E2"/>
    <w:rsid w:val="007F6926"/>
    <w:rsid w:val="007F6B63"/>
    <w:rsid w:val="007F766F"/>
    <w:rsid w:val="007F785C"/>
    <w:rsid w:val="008000D7"/>
    <w:rsid w:val="008003D7"/>
    <w:rsid w:val="0080076A"/>
    <w:rsid w:val="00801203"/>
    <w:rsid w:val="00801D3C"/>
    <w:rsid w:val="00801D73"/>
    <w:rsid w:val="008043A9"/>
    <w:rsid w:val="008046E9"/>
    <w:rsid w:val="00804AE6"/>
    <w:rsid w:val="0080576E"/>
    <w:rsid w:val="00805DE2"/>
    <w:rsid w:val="008073AF"/>
    <w:rsid w:val="0080798C"/>
    <w:rsid w:val="00810236"/>
    <w:rsid w:val="00810B87"/>
    <w:rsid w:val="00811C4D"/>
    <w:rsid w:val="00811FD2"/>
    <w:rsid w:val="0081214D"/>
    <w:rsid w:val="00812476"/>
    <w:rsid w:val="008127A4"/>
    <w:rsid w:val="00812DBC"/>
    <w:rsid w:val="008137BF"/>
    <w:rsid w:val="00813DC3"/>
    <w:rsid w:val="008140DB"/>
    <w:rsid w:val="0081474F"/>
    <w:rsid w:val="00814A3D"/>
    <w:rsid w:val="00815C73"/>
    <w:rsid w:val="0081643A"/>
    <w:rsid w:val="00817C15"/>
    <w:rsid w:val="0082001E"/>
    <w:rsid w:val="00820419"/>
    <w:rsid w:val="00820779"/>
    <w:rsid w:val="00821685"/>
    <w:rsid w:val="00821B26"/>
    <w:rsid w:val="00822695"/>
    <w:rsid w:val="00823150"/>
    <w:rsid w:val="00824BFB"/>
    <w:rsid w:val="008262B7"/>
    <w:rsid w:val="00827238"/>
    <w:rsid w:val="00827A29"/>
    <w:rsid w:val="00830388"/>
    <w:rsid w:val="00831058"/>
    <w:rsid w:val="0083140E"/>
    <w:rsid w:val="00832E12"/>
    <w:rsid w:val="00833705"/>
    <w:rsid w:val="00833BF0"/>
    <w:rsid w:val="00833E71"/>
    <w:rsid w:val="00834594"/>
    <w:rsid w:val="008348EA"/>
    <w:rsid w:val="00834983"/>
    <w:rsid w:val="008350FC"/>
    <w:rsid w:val="008359A1"/>
    <w:rsid w:val="00835CB4"/>
    <w:rsid w:val="00835EB4"/>
    <w:rsid w:val="0084150C"/>
    <w:rsid w:val="008420A4"/>
    <w:rsid w:val="0084224D"/>
    <w:rsid w:val="008422BB"/>
    <w:rsid w:val="00842DC3"/>
    <w:rsid w:val="00842E15"/>
    <w:rsid w:val="00842F20"/>
    <w:rsid w:val="00843A28"/>
    <w:rsid w:val="00844422"/>
    <w:rsid w:val="0084463A"/>
    <w:rsid w:val="008456F6"/>
    <w:rsid w:val="00845DEC"/>
    <w:rsid w:val="00847024"/>
    <w:rsid w:val="0085039F"/>
    <w:rsid w:val="008503BC"/>
    <w:rsid w:val="008504CB"/>
    <w:rsid w:val="00850CEA"/>
    <w:rsid w:val="00851DFD"/>
    <w:rsid w:val="00852955"/>
    <w:rsid w:val="00852F61"/>
    <w:rsid w:val="00853326"/>
    <w:rsid w:val="00853BB6"/>
    <w:rsid w:val="00853C4D"/>
    <w:rsid w:val="008562B3"/>
    <w:rsid w:val="008576E3"/>
    <w:rsid w:val="008600F2"/>
    <w:rsid w:val="00860103"/>
    <w:rsid w:val="00860413"/>
    <w:rsid w:val="00860A45"/>
    <w:rsid w:val="00860BF0"/>
    <w:rsid w:val="008612C3"/>
    <w:rsid w:val="00861E16"/>
    <w:rsid w:val="0086217F"/>
    <w:rsid w:val="00862EDB"/>
    <w:rsid w:val="008654F0"/>
    <w:rsid w:val="00867C1C"/>
    <w:rsid w:val="00870983"/>
    <w:rsid w:val="008746B0"/>
    <w:rsid w:val="00875091"/>
    <w:rsid w:val="00875C33"/>
    <w:rsid w:val="008762B4"/>
    <w:rsid w:val="00876A6C"/>
    <w:rsid w:val="00876BD7"/>
    <w:rsid w:val="00877300"/>
    <w:rsid w:val="00877D57"/>
    <w:rsid w:val="00877F18"/>
    <w:rsid w:val="00881DC4"/>
    <w:rsid w:val="0088308C"/>
    <w:rsid w:val="00883451"/>
    <w:rsid w:val="00883B39"/>
    <w:rsid w:val="00883C78"/>
    <w:rsid w:val="008853A5"/>
    <w:rsid w:val="008859E6"/>
    <w:rsid w:val="00886A00"/>
    <w:rsid w:val="00886C71"/>
    <w:rsid w:val="00887276"/>
    <w:rsid w:val="00891CFE"/>
    <w:rsid w:val="00892496"/>
    <w:rsid w:val="0089271B"/>
    <w:rsid w:val="00892B08"/>
    <w:rsid w:val="0089308D"/>
    <w:rsid w:val="0089383F"/>
    <w:rsid w:val="0089492F"/>
    <w:rsid w:val="00894C78"/>
    <w:rsid w:val="00895233"/>
    <w:rsid w:val="0089551B"/>
    <w:rsid w:val="008956C4"/>
    <w:rsid w:val="008956E0"/>
    <w:rsid w:val="008960B5"/>
    <w:rsid w:val="0089701A"/>
    <w:rsid w:val="00897191"/>
    <w:rsid w:val="00897762"/>
    <w:rsid w:val="008979F8"/>
    <w:rsid w:val="008A0F10"/>
    <w:rsid w:val="008A28E1"/>
    <w:rsid w:val="008A2B85"/>
    <w:rsid w:val="008A2F60"/>
    <w:rsid w:val="008A5BBB"/>
    <w:rsid w:val="008A62AD"/>
    <w:rsid w:val="008A7309"/>
    <w:rsid w:val="008B0194"/>
    <w:rsid w:val="008B084A"/>
    <w:rsid w:val="008B0FCD"/>
    <w:rsid w:val="008B12F2"/>
    <w:rsid w:val="008B34EA"/>
    <w:rsid w:val="008B42F3"/>
    <w:rsid w:val="008B476F"/>
    <w:rsid w:val="008B52B8"/>
    <w:rsid w:val="008B5D30"/>
    <w:rsid w:val="008B60C1"/>
    <w:rsid w:val="008B6486"/>
    <w:rsid w:val="008B7FFA"/>
    <w:rsid w:val="008C03C3"/>
    <w:rsid w:val="008C06EC"/>
    <w:rsid w:val="008C0C93"/>
    <w:rsid w:val="008C0DBA"/>
    <w:rsid w:val="008C123F"/>
    <w:rsid w:val="008C2C8A"/>
    <w:rsid w:val="008C2F3F"/>
    <w:rsid w:val="008C44A8"/>
    <w:rsid w:val="008C452A"/>
    <w:rsid w:val="008C63FE"/>
    <w:rsid w:val="008C7557"/>
    <w:rsid w:val="008C7BB5"/>
    <w:rsid w:val="008D20C8"/>
    <w:rsid w:val="008D294C"/>
    <w:rsid w:val="008D3089"/>
    <w:rsid w:val="008D3E72"/>
    <w:rsid w:val="008D4127"/>
    <w:rsid w:val="008D4A6F"/>
    <w:rsid w:val="008D4EC6"/>
    <w:rsid w:val="008D5F4E"/>
    <w:rsid w:val="008D686C"/>
    <w:rsid w:val="008E0176"/>
    <w:rsid w:val="008E082A"/>
    <w:rsid w:val="008E156E"/>
    <w:rsid w:val="008E1CAD"/>
    <w:rsid w:val="008E347F"/>
    <w:rsid w:val="008E3F08"/>
    <w:rsid w:val="008E401E"/>
    <w:rsid w:val="008E4993"/>
    <w:rsid w:val="008E58C2"/>
    <w:rsid w:val="008E5BA0"/>
    <w:rsid w:val="008E5F95"/>
    <w:rsid w:val="008F00E8"/>
    <w:rsid w:val="008F193B"/>
    <w:rsid w:val="008F1AC6"/>
    <w:rsid w:val="008F3615"/>
    <w:rsid w:val="008F3DD3"/>
    <w:rsid w:val="008F4268"/>
    <w:rsid w:val="008F462A"/>
    <w:rsid w:val="008F4730"/>
    <w:rsid w:val="008F48D2"/>
    <w:rsid w:val="008F59E9"/>
    <w:rsid w:val="008F5E40"/>
    <w:rsid w:val="008F5FC3"/>
    <w:rsid w:val="008F6870"/>
    <w:rsid w:val="008F74B9"/>
    <w:rsid w:val="00900FC3"/>
    <w:rsid w:val="00902130"/>
    <w:rsid w:val="00903338"/>
    <w:rsid w:val="00903645"/>
    <w:rsid w:val="009039A5"/>
    <w:rsid w:val="00903B08"/>
    <w:rsid w:val="009046C1"/>
    <w:rsid w:val="00906CCC"/>
    <w:rsid w:val="00906CE7"/>
    <w:rsid w:val="00907C61"/>
    <w:rsid w:val="009100C5"/>
    <w:rsid w:val="00910246"/>
    <w:rsid w:val="00910B4B"/>
    <w:rsid w:val="00911612"/>
    <w:rsid w:val="009122B2"/>
    <w:rsid w:val="009124A1"/>
    <w:rsid w:val="00912A3E"/>
    <w:rsid w:val="009131F4"/>
    <w:rsid w:val="009149A1"/>
    <w:rsid w:val="00914F78"/>
    <w:rsid w:val="00915DC7"/>
    <w:rsid w:val="009165EA"/>
    <w:rsid w:val="00917490"/>
    <w:rsid w:val="00917497"/>
    <w:rsid w:val="0091791A"/>
    <w:rsid w:val="00917A30"/>
    <w:rsid w:val="009201AD"/>
    <w:rsid w:val="00920674"/>
    <w:rsid w:val="00921077"/>
    <w:rsid w:val="00921276"/>
    <w:rsid w:val="009222BE"/>
    <w:rsid w:val="009227B5"/>
    <w:rsid w:val="00923A12"/>
    <w:rsid w:val="0092415E"/>
    <w:rsid w:val="00924315"/>
    <w:rsid w:val="00925303"/>
    <w:rsid w:val="009255FC"/>
    <w:rsid w:val="00926260"/>
    <w:rsid w:val="009278DB"/>
    <w:rsid w:val="0093000B"/>
    <w:rsid w:val="00931069"/>
    <w:rsid w:val="00931B58"/>
    <w:rsid w:val="0093239A"/>
    <w:rsid w:val="00932F50"/>
    <w:rsid w:val="009330B7"/>
    <w:rsid w:val="0093364D"/>
    <w:rsid w:val="009339C9"/>
    <w:rsid w:val="00933CF5"/>
    <w:rsid w:val="00933F56"/>
    <w:rsid w:val="009341A0"/>
    <w:rsid w:val="009351D8"/>
    <w:rsid w:val="00935695"/>
    <w:rsid w:val="00935FD7"/>
    <w:rsid w:val="0093701C"/>
    <w:rsid w:val="00937618"/>
    <w:rsid w:val="009376C0"/>
    <w:rsid w:val="009406AA"/>
    <w:rsid w:val="00940C63"/>
    <w:rsid w:val="00941546"/>
    <w:rsid w:val="00941688"/>
    <w:rsid w:val="00941F18"/>
    <w:rsid w:val="009429F4"/>
    <w:rsid w:val="0094335D"/>
    <w:rsid w:val="00943648"/>
    <w:rsid w:val="00944629"/>
    <w:rsid w:val="00945712"/>
    <w:rsid w:val="00947958"/>
    <w:rsid w:val="00947E18"/>
    <w:rsid w:val="00950163"/>
    <w:rsid w:val="00950255"/>
    <w:rsid w:val="009504AB"/>
    <w:rsid w:val="00950F52"/>
    <w:rsid w:val="00951D2D"/>
    <w:rsid w:val="009526E8"/>
    <w:rsid w:val="009526F8"/>
    <w:rsid w:val="00953CAD"/>
    <w:rsid w:val="009546E7"/>
    <w:rsid w:val="00954A53"/>
    <w:rsid w:val="00954C0B"/>
    <w:rsid w:val="00955994"/>
    <w:rsid w:val="0095626A"/>
    <w:rsid w:val="00957220"/>
    <w:rsid w:val="00957EB5"/>
    <w:rsid w:val="009603F9"/>
    <w:rsid w:val="009606C3"/>
    <w:rsid w:val="0096139A"/>
    <w:rsid w:val="009613AF"/>
    <w:rsid w:val="0096412D"/>
    <w:rsid w:val="00964E69"/>
    <w:rsid w:val="00964EE7"/>
    <w:rsid w:val="009661FB"/>
    <w:rsid w:val="009663DE"/>
    <w:rsid w:val="00966E1D"/>
    <w:rsid w:val="00967C8C"/>
    <w:rsid w:val="00967F35"/>
    <w:rsid w:val="009704CF"/>
    <w:rsid w:val="0097069A"/>
    <w:rsid w:val="0097086A"/>
    <w:rsid w:val="00971268"/>
    <w:rsid w:val="00971376"/>
    <w:rsid w:val="0097190B"/>
    <w:rsid w:val="00971B75"/>
    <w:rsid w:val="00971F5B"/>
    <w:rsid w:val="00972EC6"/>
    <w:rsid w:val="009738A3"/>
    <w:rsid w:val="00973E7F"/>
    <w:rsid w:val="009743F3"/>
    <w:rsid w:val="0097452A"/>
    <w:rsid w:val="0097599D"/>
    <w:rsid w:val="00975FB4"/>
    <w:rsid w:val="00976291"/>
    <w:rsid w:val="009766BC"/>
    <w:rsid w:val="009770F1"/>
    <w:rsid w:val="00980268"/>
    <w:rsid w:val="009809C9"/>
    <w:rsid w:val="00980D89"/>
    <w:rsid w:val="009816D9"/>
    <w:rsid w:val="00981896"/>
    <w:rsid w:val="00981BE2"/>
    <w:rsid w:val="00981FE0"/>
    <w:rsid w:val="00982A3F"/>
    <w:rsid w:val="00983983"/>
    <w:rsid w:val="00984216"/>
    <w:rsid w:val="009854C5"/>
    <w:rsid w:val="00985A0B"/>
    <w:rsid w:val="00985CD0"/>
    <w:rsid w:val="00987B60"/>
    <w:rsid w:val="00987B6C"/>
    <w:rsid w:val="009903E0"/>
    <w:rsid w:val="009903FF"/>
    <w:rsid w:val="00990613"/>
    <w:rsid w:val="00990633"/>
    <w:rsid w:val="00990B53"/>
    <w:rsid w:val="00993371"/>
    <w:rsid w:val="009935E1"/>
    <w:rsid w:val="009938B6"/>
    <w:rsid w:val="009954EC"/>
    <w:rsid w:val="00996714"/>
    <w:rsid w:val="00996F0A"/>
    <w:rsid w:val="00997AF9"/>
    <w:rsid w:val="009A0274"/>
    <w:rsid w:val="009A0B04"/>
    <w:rsid w:val="009A1702"/>
    <w:rsid w:val="009A2A3F"/>
    <w:rsid w:val="009A2D8B"/>
    <w:rsid w:val="009A313C"/>
    <w:rsid w:val="009A47F9"/>
    <w:rsid w:val="009A55C4"/>
    <w:rsid w:val="009A70DF"/>
    <w:rsid w:val="009A747B"/>
    <w:rsid w:val="009A7846"/>
    <w:rsid w:val="009B087B"/>
    <w:rsid w:val="009B095C"/>
    <w:rsid w:val="009B1BF7"/>
    <w:rsid w:val="009B1E9F"/>
    <w:rsid w:val="009B263B"/>
    <w:rsid w:val="009B298F"/>
    <w:rsid w:val="009B2B7A"/>
    <w:rsid w:val="009B347F"/>
    <w:rsid w:val="009B3AF4"/>
    <w:rsid w:val="009B4BF7"/>
    <w:rsid w:val="009B527D"/>
    <w:rsid w:val="009B5CF9"/>
    <w:rsid w:val="009B6F76"/>
    <w:rsid w:val="009C2B8D"/>
    <w:rsid w:val="009C2F09"/>
    <w:rsid w:val="009C36FD"/>
    <w:rsid w:val="009C3848"/>
    <w:rsid w:val="009C3A96"/>
    <w:rsid w:val="009C499A"/>
    <w:rsid w:val="009C5331"/>
    <w:rsid w:val="009C5473"/>
    <w:rsid w:val="009C5F46"/>
    <w:rsid w:val="009C6982"/>
    <w:rsid w:val="009C76FA"/>
    <w:rsid w:val="009D0300"/>
    <w:rsid w:val="009D05D9"/>
    <w:rsid w:val="009D0E7F"/>
    <w:rsid w:val="009D2277"/>
    <w:rsid w:val="009D2FD4"/>
    <w:rsid w:val="009D3A3D"/>
    <w:rsid w:val="009D53BC"/>
    <w:rsid w:val="009D7B5B"/>
    <w:rsid w:val="009E03B7"/>
    <w:rsid w:val="009E066F"/>
    <w:rsid w:val="009E16B9"/>
    <w:rsid w:val="009E1C8D"/>
    <w:rsid w:val="009E3ABF"/>
    <w:rsid w:val="009E3E84"/>
    <w:rsid w:val="009E4A7F"/>
    <w:rsid w:val="009E5464"/>
    <w:rsid w:val="009E6704"/>
    <w:rsid w:val="009E6C98"/>
    <w:rsid w:val="009E6DD2"/>
    <w:rsid w:val="009F0EE3"/>
    <w:rsid w:val="009F224B"/>
    <w:rsid w:val="009F2CD8"/>
    <w:rsid w:val="009F2D2A"/>
    <w:rsid w:val="009F36A7"/>
    <w:rsid w:val="009F3AB9"/>
    <w:rsid w:val="009F3DC0"/>
    <w:rsid w:val="009F3F33"/>
    <w:rsid w:val="009F42E7"/>
    <w:rsid w:val="009F4F54"/>
    <w:rsid w:val="009F53D9"/>
    <w:rsid w:val="009F54B1"/>
    <w:rsid w:val="009F6D90"/>
    <w:rsid w:val="009F730B"/>
    <w:rsid w:val="00A00058"/>
    <w:rsid w:val="00A00DCE"/>
    <w:rsid w:val="00A018FF"/>
    <w:rsid w:val="00A03CBC"/>
    <w:rsid w:val="00A03DA9"/>
    <w:rsid w:val="00A047FA"/>
    <w:rsid w:val="00A06AFF"/>
    <w:rsid w:val="00A06E84"/>
    <w:rsid w:val="00A07341"/>
    <w:rsid w:val="00A075DA"/>
    <w:rsid w:val="00A07FC1"/>
    <w:rsid w:val="00A10408"/>
    <w:rsid w:val="00A1072A"/>
    <w:rsid w:val="00A1096B"/>
    <w:rsid w:val="00A1131A"/>
    <w:rsid w:val="00A1231E"/>
    <w:rsid w:val="00A123CE"/>
    <w:rsid w:val="00A1245E"/>
    <w:rsid w:val="00A126E4"/>
    <w:rsid w:val="00A12906"/>
    <w:rsid w:val="00A129F3"/>
    <w:rsid w:val="00A12E31"/>
    <w:rsid w:val="00A13AFF"/>
    <w:rsid w:val="00A13C68"/>
    <w:rsid w:val="00A13FA0"/>
    <w:rsid w:val="00A13FC3"/>
    <w:rsid w:val="00A143F9"/>
    <w:rsid w:val="00A15D73"/>
    <w:rsid w:val="00A15D9F"/>
    <w:rsid w:val="00A160C0"/>
    <w:rsid w:val="00A162F2"/>
    <w:rsid w:val="00A16E80"/>
    <w:rsid w:val="00A218F1"/>
    <w:rsid w:val="00A21BD2"/>
    <w:rsid w:val="00A22E63"/>
    <w:rsid w:val="00A23105"/>
    <w:rsid w:val="00A25283"/>
    <w:rsid w:val="00A26462"/>
    <w:rsid w:val="00A26C61"/>
    <w:rsid w:val="00A26C87"/>
    <w:rsid w:val="00A26D06"/>
    <w:rsid w:val="00A30469"/>
    <w:rsid w:val="00A30A7C"/>
    <w:rsid w:val="00A311BA"/>
    <w:rsid w:val="00A31FBA"/>
    <w:rsid w:val="00A32D7E"/>
    <w:rsid w:val="00A3305F"/>
    <w:rsid w:val="00A333A0"/>
    <w:rsid w:val="00A34314"/>
    <w:rsid w:val="00A34AEF"/>
    <w:rsid w:val="00A3525B"/>
    <w:rsid w:val="00A3599B"/>
    <w:rsid w:val="00A35CA0"/>
    <w:rsid w:val="00A35E8A"/>
    <w:rsid w:val="00A36BF6"/>
    <w:rsid w:val="00A374EB"/>
    <w:rsid w:val="00A37B55"/>
    <w:rsid w:val="00A37D99"/>
    <w:rsid w:val="00A402F8"/>
    <w:rsid w:val="00A4038F"/>
    <w:rsid w:val="00A403C7"/>
    <w:rsid w:val="00A41900"/>
    <w:rsid w:val="00A41AC0"/>
    <w:rsid w:val="00A42FFD"/>
    <w:rsid w:val="00A438A6"/>
    <w:rsid w:val="00A43971"/>
    <w:rsid w:val="00A44075"/>
    <w:rsid w:val="00A4428B"/>
    <w:rsid w:val="00A44E70"/>
    <w:rsid w:val="00A45C44"/>
    <w:rsid w:val="00A45D28"/>
    <w:rsid w:val="00A46517"/>
    <w:rsid w:val="00A46ECD"/>
    <w:rsid w:val="00A50D03"/>
    <w:rsid w:val="00A50DDE"/>
    <w:rsid w:val="00A50FAD"/>
    <w:rsid w:val="00A51DD2"/>
    <w:rsid w:val="00A536E4"/>
    <w:rsid w:val="00A54267"/>
    <w:rsid w:val="00A55536"/>
    <w:rsid w:val="00A555C1"/>
    <w:rsid w:val="00A56204"/>
    <w:rsid w:val="00A563B1"/>
    <w:rsid w:val="00A57DBB"/>
    <w:rsid w:val="00A605EA"/>
    <w:rsid w:val="00A6181E"/>
    <w:rsid w:val="00A62FEC"/>
    <w:rsid w:val="00A631BA"/>
    <w:rsid w:val="00A631E9"/>
    <w:rsid w:val="00A64DB7"/>
    <w:rsid w:val="00A65007"/>
    <w:rsid w:val="00A65656"/>
    <w:rsid w:val="00A675B8"/>
    <w:rsid w:val="00A679D1"/>
    <w:rsid w:val="00A67AD8"/>
    <w:rsid w:val="00A67BE7"/>
    <w:rsid w:val="00A7057E"/>
    <w:rsid w:val="00A705CD"/>
    <w:rsid w:val="00A707E1"/>
    <w:rsid w:val="00A70BDF"/>
    <w:rsid w:val="00A71C82"/>
    <w:rsid w:val="00A7270D"/>
    <w:rsid w:val="00A735AE"/>
    <w:rsid w:val="00A747C7"/>
    <w:rsid w:val="00A74E7B"/>
    <w:rsid w:val="00A75364"/>
    <w:rsid w:val="00A75473"/>
    <w:rsid w:val="00A75C85"/>
    <w:rsid w:val="00A768D4"/>
    <w:rsid w:val="00A775E9"/>
    <w:rsid w:val="00A778E5"/>
    <w:rsid w:val="00A77F2D"/>
    <w:rsid w:val="00A806BF"/>
    <w:rsid w:val="00A8080D"/>
    <w:rsid w:val="00A80CB1"/>
    <w:rsid w:val="00A818D6"/>
    <w:rsid w:val="00A821D3"/>
    <w:rsid w:val="00A82EE2"/>
    <w:rsid w:val="00A83CC4"/>
    <w:rsid w:val="00A85715"/>
    <w:rsid w:val="00A857B1"/>
    <w:rsid w:val="00A85BC3"/>
    <w:rsid w:val="00A85BE4"/>
    <w:rsid w:val="00A85DC6"/>
    <w:rsid w:val="00A85F25"/>
    <w:rsid w:val="00A868D1"/>
    <w:rsid w:val="00A86A84"/>
    <w:rsid w:val="00A86B16"/>
    <w:rsid w:val="00A86E90"/>
    <w:rsid w:val="00A87E95"/>
    <w:rsid w:val="00A911FA"/>
    <w:rsid w:val="00A91413"/>
    <w:rsid w:val="00A93662"/>
    <w:rsid w:val="00A9461E"/>
    <w:rsid w:val="00A951F4"/>
    <w:rsid w:val="00A952D4"/>
    <w:rsid w:val="00A95657"/>
    <w:rsid w:val="00A956A3"/>
    <w:rsid w:val="00A9700E"/>
    <w:rsid w:val="00AA0DE0"/>
    <w:rsid w:val="00AA1A6C"/>
    <w:rsid w:val="00AA1D92"/>
    <w:rsid w:val="00AA2443"/>
    <w:rsid w:val="00AA2B61"/>
    <w:rsid w:val="00AA42DD"/>
    <w:rsid w:val="00AA476B"/>
    <w:rsid w:val="00AA4A06"/>
    <w:rsid w:val="00AA5C8B"/>
    <w:rsid w:val="00AA67DA"/>
    <w:rsid w:val="00AA6946"/>
    <w:rsid w:val="00AA699F"/>
    <w:rsid w:val="00AA7199"/>
    <w:rsid w:val="00AA798F"/>
    <w:rsid w:val="00AA7B3B"/>
    <w:rsid w:val="00AB0A35"/>
    <w:rsid w:val="00AB1182"/>
    <w:rsid w:val="00AB13E8"/>
    <w:rsid w:val="00AB1CD6"/>
    <w:rsid w:val="00AB20A3"/>
    <w:rsid w:val="00AB29AE"/>
    <w:rsid w:val="00AB2DB2"/>
    <w:rsid w:val="00AB3166"/>
    <w:rsid w:val="00AB352F"/>
    <w:rsid w:val="00AB639B"/>
    <w:rsid w:val="00AB65C0"/>
    <w:rsid w:val="00AB717E"/>
    <w:rsid w:val="00AB734D"/>
    <w:rsid w:val="00AB7D4A"/>
    <w:rsid w:val="00AC0DCE"/>
    <w:rsid w:val="00AC103C"/>
    <w:rsid w:val="00AC161F"/>
    <w:rsid w:val="00AC1622"/>
    <w:rsid w:val="00AC16F1"/>
    <w:rsid w:val="00AC1A77"/>
    <w:rsid w:val="00AC1B36"/>
    <w:rsid w:val="00AC28DC"/>
    <w:rsid w:val="00AC2F7C"/>
    <w:rsid w:val="00AC3D72"/>
    <w:rsid w:val="00AC458A"/>
    <w:rsid w:val="00AC54EA"/>
    <w:rsid w:val="00AC60EE"/>
    <w:rsid w:val="00AC6247"/>
    <w:rsid w:val="00AC67B7"/>
    <w:rsid w:val="00AC6E98"/>
    <w:rsid w:val="00AC71FB"/>
    <w:rsid w:val="00AD0124"/>
    <w:rsid w:val="00AD0268"/>
    <w:rsid w:val="00AD0817"/>
    <w:rsid w:val="00AD28FC"/>
    <w:rsid w:val="00AD3BBF"/>
    <w:rsid w:val="00AD59DF"/>
    <w:rsid w:val="00AD5B25"/>
    <w:rsid w:val="00AD7937"/>
    <w:rsid w:val="00AE09F5"/>
    <w:rsid w:val="00AE0ABC"/>
    <w:rsid w:val="00AE0B89"/>
    <w:rsid w:val="00AE12AC"/>
    <w:rsid w:val="00AE2F30"/>
    <w:rsid w:val="00AE461C"/>
    <w:rsid w:val="00AE52C6"/>
    <w:rsid w:val="00AE5644"/>
    <w:rsid w:val="00AE5E00"/>
    <w:rsid w:val="00AE5E65"/>
    <w:rsid w:val="00AE6263"/>
    <w:rsid w:val="00AE6272"/>
    <w:rsid w:val="00AE64A7"/>
    <w:rsid w:val="00AE6658"/>
    <w:rsid w:val="00AE6E04"/>
    <w:rsid w:val="00AE73DF"/>
    <w:rsid w:val="00AE7503"/>
    <w:rsid w:val="00AE7A69"/>
    <w:rsid w:val="00AE7F91"/>
    <w:rsid w:val="00AF1035"/>
    <w:rsid w:val="00AF1409"/>
    <w:rsid w:val="00AF1E11"/>
    <w:rsid w:val="00AF3AB7"/>
    <w:rsid w:val="00AF5859"/>
    <w:rsid w:val="00AF62E5"/>
    <w:rsid w:val="00AF6426"/>
    <w:rsid w:val="00AF6C3C"/>
    <w:rsid w:val="00AF6FB1"/>
    <w:rsid w:val="00AF734A"/>
    <w:rsid w:val="00AF7C7E"/>
    <w:rsid w:val="00AF7D7F"/>
    <w:rsid w:val="00B00262"/>
    <w:rsid w:val="00B0142F"/>
    <w:rsid w:val="00B01587"/>
    <w:rsid w:val="00B016B6"/>
    <w:rsid w:val="00B01BB6"/>
    <w:rsid w:val="00B024A5"/>
    <w:rsid w:val="00B02B41"/>
    <w:rsid w:val="00B0347C"/>
    <w:rsid w:val="00B03B2D"/>
    <w:rsid w:val="00B04530"/>
    <w:rsid w:val="00B051E8"/>
    <w:rsid w:val="00B06419"/>
    <w:rsid w:val="00B06788"/>
    <w:rsid w:val="00B11347"/>
    <w:rsid w:val="00B11457"/>
    <w:rsid w:val="00B1179C"/>
    <w:rsid w:val="00B11DA3"/>
    <w:rsid w:val="00B12266"/>
    <w:rsid w:val="00B12CDF"/>
    <w:rsid w:val="00B12F92"/>
    <w:rsid w:val="00B14D73"/>
    <w:rsid w:val="00B14F24"/>
    <w:rsid w:val="00B15579"/>
    <w:rsid w:val="00B15B1F"/>
    <w:rsid w:val="00B20242"/>
    <w:rsid w:val="00B215A6"/>
    <w:rsid w:val="00B21C67"/>
    <w:rsid w:val="00B21F0C"/>
    <w:rsid w:val="00B24322"/>
    <w:rsid w:val="00B245C1"/>
    <w:rsid w:val="00B24E69"/>
    <w:rsid w:val="00B24F8D"/>
    <w:rsid w:val="00B2557B"/>
    <w:rsid w:val="00B25C49"/>
    <w:rsid w:val="00B26550"/>
    <w:rsid w:val="00B26F5A"/>
    <w:rsid w:val="00B271D3"/>
    <w:rsid w:val="00B27441"/>
    <w:rsid w:val="00B27612"/>
    <w:rsid w:val="00B307EB"/>
    <w:rsid w:val="00B316E9"/>
    <w:rsid w:val="00B3270B"/>
    <w:rsid w:val="00B32DBE"/>
    <w:rsid w:val="00B32E62"/>
    <w:rsid w:val="00B338C6"/>
    <w:rsid w:val="00B3393A"/>
    <w:rsid w:val="00B34CDA"/>
    <w:rsid w:val="00B35139"/>
    <w:rsid w:val="00B3597F"/>
    <w:rsid w:val="00B35C1B"/>
    <w:rsid w:val="00B35F7F"/>
    <w:rsid w:val="00B362B9"/>
    <w:rsid w:val="00B364B0"/>
    <w:rsid w:val="00B36610"/>
    <w:rsid w:val="00B375C5"/>
    <w:rsid w:val="00B378A3"/>
    <w:rsid w:val="00B401D8"/>
    <w:rsid w:val="00B41968"/>
    <w:rsid w:val="00B42009"/>
    <w:rsid w:val="00B42C06"/>
    <w:rsid w:val="00B4345D"/>
    <w:rsid w:val="00B4360F"/>
    <w:rsid w:val="00B43EE0"/>
    <w:rsid w:val="00B441F3"/>
    <w:rsid w:val="00B44661"/>
    <w:rsid w:val="00B45F1F"/>
    <w:rsid w:val="00B4765A"/>
    <w:rsid w:val="00B47D21"/>
    <w:rsid w:val="00B47EA6"/>
    <w:rsid w:val="00B50132"/>
    <w:rsid w:val="00B5171F"/>
    <w:rsid w:val="00B52E5A"/>
    <w:rsid w:val="00B53872"/>
    <w:rsid w:val="00B540E2"/>
    <w:rsid w:val="00B54512"/>
    <w:rsid w:val="00B54DE5"/>
    <w:rsid w:val="00B56633"/>
    <w:rsid w:val="00B567F5"/>
    <w:rsid w:val="00B56C59"/>
    <w:rsid w:val="00B56EE1"/>
    <w:rsid w:val="00B602A3"/>
    <w:rsid w:val="00B612FF"/>
    <w:rsid w:val="00B614C9"/>
    <w:rsid w:val="00B61EF9"/>
    <w:rsid w:val="00B62097"/>
    <w:rsid w:val="00B624B8"/>
    <w:rsid w:val="00B6294D"/>
    <w:rsid w:val="00B62D9D"/>
    <w:rsid w:val="00B631CC"/>
    <w:rsid w:val="00B633F3"/>
    <w:rsid w:val="00B63621"/>
    <w:rsid w:val="00B644FE"/>
    <w:rsid w:val="00B6511B"/>
    <w:rsid w:val="00B65630"/>
    <w:rsid w:val="00B65CA6"/>
    <w:rsid w:val="00B66344"/>
    <w:rsid w:val="00B674D0"/>
    <w:rsid w:val="00B679FE"/>
    <w:rsid w:val="00B67ABD"/>
    <w:rsid w:val="00B67F03"/>
    <w:rsid w:val="00B70567"/>
    <w:rsid w:val="00B70708"/>
    <w:rsid w:val="00B70951"/>
    <w:rsid w:val="00B70F38"/>
    <w:rsid w:val="00B71174"/>
    <w:rsid w:val="00B714EE"/>
    <w:rsid w:val="00B7187F"/>
    <w:rsid w:val="00B719C3"/>
    <w:rsid w:val="00B72A07"/>
    <w:rsid w:val="00B72C77"/>
    <w:rsid w:val="00B742EA"/>
    <w:rsid w:val="00B75A27"/>
    <w:rsid w:val="00B762F9"/>
    <w:rsid w:val="00B76B3C"/>
    <w:rsid w:val="00B778C5"/>
    <w:rsid w:val="00B77B64"/>
    <w:rsid w:val="00B815A8"/>
    <w:rsid w:val="00B81BE5"/>
    <w:rsid w:val="00B81E8C"/>
    <w:rsid w:val="00B835B7"/>
    <w:rsid w:val="00B83A0E"/>
    <w:rsid w:val="00B83F0A"/>
    <w:rsid w:val="00B840AC"/>
    <w:rsid w:val="00B85541"/>
    <w:rsid w:val="00B85AE7"/>
    <w:rsid w:val="00B86478"/>
    <w:rsid w:val="00B86487"/>
    <w:rsid w:val="00B86676"/>
    <w:rsid w:val="00B873D3"/>
    <w:rsid w:val="00B87AD1"/>
    <w:rsid w:val="00B87C28"/>
    <w:rsid w:val="00B90034"/>
    <w:rsid w:val="00B9131C"/>
    <w:rsid w:val="00B91461"/>
    <w:rsid w:val="00B92762"/>
    <w:rsid w:val="00B9341E"/>
    <w:rsid w:val="00B94B23"/>
    <w:rsid w:val="00B94F18"/>
    <w:rsid w:val="00B9511B"/>
    <w:rsid w:val="00B95B99"/>
    <w:rsid w:val="00B95FDF"/>
    <w:rsid w:val="00B96681"/>
    <w:rsid w:val="00B96D9E"/>
    <w:rsid w:val="00B96E25"/>
    <w:rsid w:val="00B96EDF"/>
    <w:rsid w:val="00B973C0"/>
    <w:rsid w:val="00B97830"/>
    <w:rsid w:val="00B97B79"/>
    <w:rsid w:val="00B97B98"/>
    <w:rsid w:val="00B97E1F"/>
    <w:rsid w:val="00BA1719"/>
    <w:rsid w:val="00BA1FF5"/>
    <w:rsid w:val="00BA205E"/>
    <w:rsid w:val="00BA20EE"/>
    <w:rsid w:val="00BA26E0"/>
    <w:rsid w:val="00BA2757"/>
    <w:rsid w:val="00BA2C4D"/>
    <w:rsid w:val="00BA40F6"/>
    <w:rsid w:val="00BA4501"/>
    <w:rsid w:val="00BA4B37"/>
    <w:rsid w:val="00BA6CBA"/>
    <w:rsid w:val="00BB1049"/>
    <w:rsid w:val="00BB1EED"/>
    <w:rsid w:val="00BB2748"/>
    <w:rsid w:val="00BB3CDA"/>
    <w:rsid w:val="00BB424E"/>
    <w:rsid w:val="00BB645D"/>
    <w:rsid w:val="00BB683A"/>
    <w:rsid w:val="00BB7999"/>
    <w:rsid w:val="00BC0465"/>
    <w:rsid w:val="00BC1540"/>
    <w:rsid w:val="00BC29B2"/>
    <w:rsid w:val="00BC2A04"/>
    <w:rsid w:val="00BC2C2E"/>
    <w:rsid w:val="00BC335B"/>
    <w:rsid w:val="00BC3369"/>
    <w:rsid w:val="00BC3F9A"/>
    <w:rsid w:val="00BC468B"/>
    <w:rsid w:val="00BC5B14"/>
    <w:rsid w:val="00BC5CC9"/>
    <w:rsid w:val="00BC66AC"/>
    <w:rsid w:val="00BC6A3E"/>
    <w:rsid w:val="00BC6E9D"/>
    <w:rsid w:val="00BC7E1F"/>
    <w:rsid w:val="00BD1964"/>
    <w:rsid w:val="00BD1AEF"/>
    <w:rsid w:val="00BD20DF"/>
    <w:rsid w:val="00BD2901"/>
    <w:rsid w:val="00BD337A"/>
    <w:rsid w:val="00BD37B7"/>
    <w:rsid w:val="00BD3C53"/>
    <w:rsid w:val="00BD3DB5"/>
    <w:rsid w:val="00BD4C2B"/>
    <w:rsid w:val="00BD5444"/>
    <w:rsid w:val="00BE0096"/>
    <w:rsid w:val="00BE027E"/>
    <w:rsid w:val="00BE0E07"/>
    <w:rsid w:val="00BE116A"/>
    <w:rsid w:val="00BE216B"/>
    <w:rsid w:val="00BE2C26"/>
    <w:rsid w:val="00BE3227"/>
    <w:rsid w:val="00BE388B"/>
    <w:rsid w:val="00BE46DB"/>
    <w:rsid w:val="00BE5177"/>
    <w:rsid w:val="00BE5290"/>
    <w:rsid w:val="00BE573E"/>
    <w:rsid w:val="00BE61A0"/>
    <w:rsid w:val="00BE76F3"/>
    <w:rsid w:val="00BE7EC7"/>
    <w:rsid w:val="00BE7F9C"/>
    <w:rsid w:val="00BF0AB8"/>
    <w:rsid w:val="00BF19CC"/>
    <w:rsid w:val="00BF303A"/>
    <w:rsid w:val="00BF37E5"/>
    <w:rsid w:val="00BF3F6E"/>
    <w:rsid w:val="00BF44CF"/>
    <w:rsid w:val="00BF55AC"/>
    <w:rsid w:val="00BF5F1A"/>
    <w:rsid w:val="00BF620B"/>
    <w:rsid w:val="00BF634D"/>
    <w:rsid w:val="00BF6829"/>
    <w:rsid w:val="00BF71BC"/>
    <w:rsid w:val="00BF74BE"/>
    <w:rsid w:val="00C0045A"/>
    <w:rsid w:val="00C01776"/>
    <w:rsid w:val="00C01814"/>
    <w:rsid w:val="00C01A9D"/>
    <w:rsid w:val="00C0270B"/>
    <w:rsid w:val="00C02C2C"/>
    <w:rsid w:val="00C02E1E"/>
    <w:rsid w:val="00C03242"/>
    <w:rsid w:val="00C03C3B"/>
    <w:rsid w:val="00C0463E"/>
    <w:rsid w:val="00C0508D"/>
    <w:rsid w:val="00C051EF"/>
    <w:rsid w:val="00C05E4E"/>
    <w:rsid w:val="00C06BD7"/>
    <w:rsid w:val="00C11EAA"/>
    <w:rsid w:val="00C120E8"/>
    <w:rsid w:val="00C13049"/>
    <w:rsid w:val="00C13B12"/>
    <w:rsid w:val="00C1474B"/>
    <w:rsid w:val="00C1554C"/>
    <w:rsid w:val="00C1555F"/>
    <w:rsid w:val="00C15753"/>
    <w:rsid w:val="00C162D7"/>
    <w:rsid w:val="00C1678B"/>
    <w:rsid w:val="00C16A1D"/>
    <w:rsid w:val="00C1704A"/>
    <w:rsid w:val="00C201D1"/>
    <w:rsid w:val="00C20A05"/>
    <w:rsid w:val="00C20DAA"/>
    <w:rsid w:val="00C21B76"/>
    <w:rsid w:val="00C234C1"/>
    <w:rsid w:val="00C23F86"/>
    <w:rsid w:val="00C24719"/>
    <w:rsid w:val="00C24906"/>
    <w:rsid w:val="00C25103"/>
    <w:rsid w:val="00C25113"/>
    <w:rsid w:val="00C26384"/>
    <w:rsid w:val="00C26956"/>
    <w:rsid w:val="00C30403"/>
    <w:rsid w:val="00C30CC8"/>
    <w:rsid w:val="00C3185D"/>
    <w:rsid w:val="00C32A98"/>
    <w:rsid w:val="00C32E24"/>
    <w:rsid w:val="00C3313C"/>
    <w:rsid w:val="00C33250"/>
    <w:rsid w:val="00C3342B"/>
    <w:rsid w:val="00C3366D"/>
    <w:rsid w:val="00C34415"/>
    <w:rsid w:val="00C354BA"/>
    <w:rsid w:val="00C35C1B"/>
    <w:rsid w:val="00C364A1"/>
    <w:rsid w:val="00C36750"/>
    <w:rsid w:val="00C36922"/>
    <w:rsid w:val="00C3694C"/>
    <w:rsid w:val="00C36CD9"/>
    <w:rsid w:val="00C37711"/>
    <w:rsid w:val="00C402B0"/>
    <w:rsid w:val="00C4040C"/>
    <w:rsid w:val="00C4096F"/>
    <w:rsid w:val="00C40FAE"/>
    <w:rsid w:val="00C41221"/>
    <w:rsid w:val="00C418C1"/>
    <w:rsid w:val="00C42D2A"/>
    <w:rsid w:val="00C4394A"/>
    <w:rsid w:val="00C444B9"/>
    <w:rsid w:val="00C44C2B"/>
    <w:rsid w:val="00C44E8B"/>
    <w:rsid w:val="00C45BE7"/>
    <w:rsid w:val="00C46242"/>
    <w:rsid w:val="00C46B1F"/>
    <w:rsid w:val="00C473C8"/>
    <w:rsid w:val="00C475A1"/>
    <w:rsid w:val="00C508D5"/>
    <w:rsid w:val="00C50919"/>
    <w:rsid w:val="00C50B6C"/>
    <w:rsid w:val="00C50E09"/>
    <w:rsid w:val="00C52BF0"/>
    <w:rsid w:val="00C53494"/>
    <w:rsid w:val="00C5363F"/>
    <w:rsid w:val="00C53A74"/>
    <w:rsid w:val="00C545CE"/>
    <w:rsid w:val="00C54A0C"/>
    <w:rsid w:val="00C54DC0"/>
    <w:rsid w:val="00C5534A"/>
    <w:rsid w:val="00C5593C"/>
    <w:rsid w:val="00C5623A"/>
    <w:rsid w:val="00C56A74"/>
    <w:rsid w:val="00C57495"/>
    <w:rsid w:val="00C5795A"/>
    <w:rsid w:val="00C57C9C"/>
    <w:rsid w:val="00C60817"/>
    <w:rsid w:val="00C60FBD"/>
    <w:rsid w:val="00C62033"/>
    <w:rsid w:val="00C63219"/>
    <w:rsid w:val="00C63DC0"/>
    <w:rsid w:val="00C64282"/>
    <w:rsid w:val="00C64582"/>
    <w:rsid w:val="00C6552D"/>
    <w:rsid w:val="00C66693"/>
    <w:rsid w:val="00C6679B"/>
    <w:rsid w:val="00C66906"/>
    <w:rsid w:val="00C66E60"/>
    <w:rsid w:val="00C675BF"/>
    <w:rsid w:val="00C70755"/>
    <w:rsid w:val="00C7077D"/>
    <w:rsid w:val="00C713E4"/>
    <w:rsid w:val="00C71C93"/>
    <w:rsid w:val="00C73756"/>
    <w:rsid w:val="00C7577E"/>
    <w:rsid w:val="00C75D28"/>
    <w:rsid w:val="00C76068"/>
    <w:rsid w:val="00C762B3"/>
    <w:rsid w:val="00C771A3"/>
    <w:rsid w:val="00C80291"/>
    <w:rsid w:val="00C80CAE"/>
    <w:rsid w:val="00C811F0"/>
    <w:rsid w:val="00C86A5F"/>
    <w:rsid w:val="00C86AAC"/>
    <w:rsid w:val="00C876F5"/>
    <w:rsid w:val="00C87F1D"/>
    <w:rsid w:val="00C90381"/>
    <w:rsid w:val="00C90536"/>
    <w:rsid w:val="00C905E5"/>
    <w:rsid w:val="00C9082E"/>
    <w:rsid w:val="00C908FC"/>
    <w:rsid w:val="00C92CD0"/>
    <w:rsid w:val="00C93684"/>
    <w:rsid w:val="00C93CC5"/>
    <w:rsid w:val="00C93DA3"/>
    <w:rsid w:val="00C950D1"/>
    <w:rsid w:val="00C95125"/>
    <w:rsid w:val="00C95C16"/>
    <w:rsid w:val="00C95D40"/>
    <w:rsid w:val="00C97018"/>
    <w:rsid w:val="00C9790F"/>
    <w:rsid w:val="00C97C7F"/>
    <w:rsid w:val="00CA0C1A"/>
    <w:rsid w:val="00CA12E4"/>
    <w:rsid w:val="00CA150E"/>
    <w:rsid w:val="00CA28CF"/>
    <w:rsid w:val="00CA379F"/>
    <w:rsid w:val="00CA5C09"/>
    <w:rsid w:val="00CA650E"/>
    <w:rsid w:val="00CA70E0"/>
    <w:rsid w:val="00CA7445"/>
    <w:rsid w:val="00CA7A17"/>
    <w:rsid w:val="00CA7CB2"/>
    <w:rsid w:val="00CA7D3A"/>
    <w:rsid w:val="00CB1863"/>
    <w:rsid w:val="00CB1933"/>
    <w:rsid w:val="00CB2698"/>
    <w:rsid w:val="00CB2882"/>
    <w:rsid w:val="00CB3F1A"/>
    <w:rsid w:val="00CB5B2C"/>
    <w:rsid w:val="00CB5E84"/>
    <w:rsid w:val="00CC12AB"/>
    <w:rsid w:val="00CC2F7E"/>
    <w:rsid w:val="00CC40A6"/>
    <w:rsid w:val="00CC4B02"/>
    <w:rsid w:val="00CC5615"/>
    <w:rsid w:val="00CC67BC"/>
    <w:rsid w:val="00CD0734"/>
    <w:rsid w:val="00CD0C5D"/>
    <w:rsid w:val="00CD3860"/>
    <w:rsid w:val="00CD39DF"/>
    <w:rsid w:val="00CD3FE7"/>
    <w:rsid w:val="00CD4601"/>
    <w:rsid w:val="00CD46BE"/>
    <w:rsid w:val="00CD4A9E"/>
    <w:rsid w:val="00CD4B9E"/>
    <w:rsid w:val="00CD4C8F"/>
    <w:rsid w:val="00CD52B0"/>
    <w:rsid w:val="00CD5378"/>
    <w:rsid w:val="00CD6586"/>
    <w:rsid w:val="00CD6622"/>
    <w:rsid w:val="00CD6916"/>
    <w:rsid w:val="00CD7903"/>
    <w:rsid w:val="00CE0532"/>
    <w:rsid w:val="00CE0B61"/>
    <w:rsid w:val="00CE0DF7"/>
    <w:rsid w:val="00CE0FAC"/>
    <w:rsid w:val="00CE1022"/>
    <w:rsid w:val="00CE2078"/>
    <w:rsid w:val="00CE2429"/>
    <w:rsid w:val="00CE433B"/>
    <w:rsid w:val="00CE5916"/>
    <w:rsid w:val="00CE5D89"/>
    <w:rsid w:val="00CE5EDC"/>
    <w:rsid w:val="00CE6974"/>
    <w:rsid w:val="00CE6D6E"/>
    <w:rsid w:val="00CE70C8"/>
    <w:rsid w:val="00CE728F"/>
    <w:rsid w:val="00CE78F2"/>
    <w:rsid w:val="00CF000B"/>
    <w:rsid w:val="00CF0291"/>
    <w:rsid w:val="00CF0501"/>
    <w:rsid w:val="00CF0B32"/>
    <w:rsid w:val="00CF0E4D"/>
    <w:rsid w:val="00CF1159"/>
    <w:rsid w:val="00CF117E"/>
    <w:rsid w:val="00CF1AAA"/>
    <w:rsid w:val="00CF2AF5"/>
    <w:rsid w:val="00CF3156"/>
    <w:rsid w:val="00CF3A98"/>
    <w:rsid w:val="00CF3AF2"/>
    <w:rsid w:val="00CF3BD8"/>
    <w:rsid w:val="00CF59D5"/>
    <w:rsid w:val="00CF5ADD"/>
    <w:rsid w:val="00CF75E1"/>
    <w:rsid w:val="00D001A9"/>
    <w:rsid w:val="00D00F88"/>
    <w:rsid w:val="00D026E7"/>
    <w:rsid w:val="00D03903"/>
    <w:rsid w:val="00D03FF2"/>
    <w:rsid w:val="00D0402D"/>
    <w:rsid w:val="00D046D0"/>
    <w:rsid w:val="00D047B3"/>
    <w:rsid w:val="00D049F5"/>
    <w:rsid w:val="00D05714"/>
    <w:rsid w:val="00D05B80"/>
    <w:rsid w:val="00D063BC"/>
    <w:rsid w:val="00D065FB"/>
    <w:rsid w:val="00D06E7A"/>
    <w:rsid w:val="00D076EE"/>
    <w:rsid w:val="00D07924"/>
    <w:rsid w:val="00D10679"/>
    <w:rsid w:val="00D106C3"/>
    <w:rsid w:val="00D10A84"/>
    <w:rsid w:val="00D1166A"/>
    <w:rsid w:val="00D120E7"/>
    <w:rsid w:val="00D12DF4"/>
    <w:rsid w:val="00D131C6"/>
    <w:rsid w:val="00D13311"/>
    <w:rsid w:val="00D136B3"/>
    <w:rsid w:val="00D13C1F"/>
    <w:rsid w:val="00D13E35"/>
    <w:rsid w:val="00D14A21"/>
    <w:rsid w:val="00D14AC1"/>
    <w:rsid w:val="00D15455"/>
    <w:rsid w:val="00D15DCD"/>
    <w:rsid w:val="00D165CB"/>
    <w:rsid w:val="00D1665E"/>
    <w:rsid w:val="00D171B5"/>
    <w:rsid w:val="00D171E0"/>
    <w:rsid w:val="00D17435"/>
    <w:rsid w:val="00D17D8F"/>
    <w:rsid w:val="00D208A6"/>
    <w:rsid w:val="00D22D21"/>
    <w:rsid w:val="00D23059"/>
    <w:rsid w:val="00D230AA"/>
    <w:rsid w:val="00D246AE"/>
    <w:rsid w:val="00D248CA"/>
    <w:rsid w:val="00D24EEF"/>
    <w:rsid w:val="00D24FDB"/>
    <w:rsid w:val="00D251A3"/>
    <w:rsid w:val="00D2545B"/>
    <w:rsid w:val="00D259E2"/>
    <w:rsid w:val="00D26988"/>
    <w:rsid w:val="00D272D7"/>
    <w:rsid w:val="00D2756F"/>
    <w:rsid w:val="00D27FC2"/>
    <w:rsid w:val="00D30252"/>
    <w:rsid w:val="00D30297"/>
    <w:rsid w:val="00D30881"/>
    <w:rsid w:val="00D30E93"/>
    <w:rsid w:val="00D312A2"/>
    <w:rsid w:val="00D330CE"/>
    <w:rsid w:val="00D33477"/>
    <w:rsid w:val="00D34AAC"/>
    <w:rsid w:val="00D34ECD"/>
    <w:rsid w:val="00D3573A"/>
    <w:rsid w:val="00D358DF"/>
    <w:rsid w:val="00D35FAB"/>
    <w:rsid w:val="00D36812"/>
    <w:rsid w:val="00D37186"/>
    <w:rsid w:val="00D4008B"/>
    <w:rsid w:val="00D40212"/>
    <w:rsid w:val="00D41A93"/>
    <w:rsid w:val="00D42413"/>
    <w:rsid w:val="00D4265B"/>
    <w:rsid w:val="00D43747"/>
    <w:rsid w:val="00D43872"/>
    <w:rsid w:val="00D4393B"/>
    <w:rsid w:val="00D44C4C"/>
    <w:rsid w:val="00D45558"/>
    <w:rsid w:val="00D463EF"/>
    <w:rsid w:val="00D466FC"/>
    <w:rsid w:val="00D470A3"/>
    <w:rsid w:val="00D5004E"/>
    <w:rsid w:val="00D505BD"/>
    <w:rsid w:val="00D5116F"/>
    <w:rsid w:val="00D5184A"/>
    <w:rsid w:val="00D51D4E"/>
    <w:rsid w:val="00D52D0B"/>
    <w:rsid w:val="00D53C8B"/>
    <w:rsid w:val="00D542DA"/>
    <w:rsid w:val="00D5457B"/>
    <w:rsid w:val="00D54E38"/>
    <w:rsid w:val="00D55244"/>
    <w:rsid w:val="00D55ACC"/>
    <w:rsid w:val="00D576E3"/>
    <w:rsid w:val="00D577D9"/>
    <w:rsid w:val="00D6006C"/>
    <w:rsid w:val="00D60265"/>
    <w:rsid w:val="00D6040D"/>
    <w:rsid w:val="00D60DDA"/>
    <w:rsid w:val="00D62B5D"/>
    <w:rsid w:val="00D63C9D"/>
    <w:rsid w:val="00D640B0"/>
    <w:rsid w:val="00D65098"/>
    <w:rsid w:val="00D65432"/>
    <w:rsid w:val="00D65967"/>
    <w:rsid w:val="00D65ED4"/>
    <w:rsid w:val="00D65F3D"/>
    <w:rsid w:val="00D66183"/>
    <w:rsid w:val="00D661B6"/>
    <w:rsid w:val="00D6630A"/>
    <w:rsid w:val="00D66813"/>
    <w:rsid w:val="00D668E3"/>
    <w:rsid w:val="00D66C8B"/>
    <w:rsid w:val="00D670B7"/>
    <w:rsid w:val="00D677B0"/>
    <w:rsid w:val="00D701A9"/>
    <w:rsid w:val="00D701E9"/>
    <w:rsid w:val="00D71F91"/>
    <w:rsid w:val="00D73002"/>
    <w:rsid w:val="00D73037"/>
    <w:rsid w:val="00D7344F"/>
    <w:rsid w:val="00D74376"/>
    <w:rsid w:val="00D754D8"/>
    <w:rsid w:val="00D75E70"/>
    <w:rsid w:val="00D762A9"/>
    <w:rsid w:val="00D77B0B"/>
    <w:rsid w:val="00D80E58"/>
    <w:rsid w:val="00D816DD"/>
    <w:rsid w:val="00D82894"/>
    <w:rsid w:val="00D839A8"/>
    <w:rsid w:val="00D8499A"/>
    <w:rsid w:val="00D85D9A"/>
    <w:rsid w:val="00D85DD7"/>
    <w:rsid w:val="00D860F5"/>
    <w:rsid w:val="00D8615E"/>
    <w:rsid w:val="00D8630E"/>
    <w:rsid w:val="00D86477"/>
    <w:rsid w:val="00D87EC7"/>
    <w:rsid w:val="00D87FAB"/>
    <w:rsid w:val="00D90F30"/>
    <w:rsid w:val="00D915BF"/>
    <w:rsid w:val="00D91CFF"/>
    <w:rsid w:val="00D92179"/>
    <w:rsid w:val="00D925BF"/>
    <w:rsid w:val="00D92B01"/>
    <w:rsid w:val="00D93055"/>
    <w:rsid w:val="00D93294"/>
    <w:rsid w:val="00D9379F"/>
    <w:rsid w:val="00D953AF"/>
    <w:rsid w:val="00D954AD"/>
    <w:rsid w:val="00D96FB1"/>
    <w:rsid w:val="00D96FB4"/>
    <w:rsid w:val="00DA015E"/>
    <w:rsid w:val="00DA09A4"/>
    <w:rsid w:val="00DA1428"/>
    <w:rsid w:val="00DA14C5"/>
    <w:rsid w:val="00DA1C43"/>
    <w:rsid w:val="00DA2079"/>
    <w:rsid w:val="00DA2283"/>
    <w:rsid w:val="00DA2B68"/>
    <w:rsid w:val="00DA32F2"/>
    <w:rsid w:val="00DA3DB4"/>
    <w:rsid w:val="00DA40EE"/>
    <w:rsid w:val="00DA62A2"/>
    <w:rsid w:val="00DA665A"/>
    <w:rsid w:val="00DA79A8"/>
    <w:rsid w:val="00DB011E"/>
    <w:rsid w:val="00DB07E2"/>
    <w:rsid w:val="00DB07FE"/>
    <w:rsid w:val="00DB1866"/>
    <w:rsid w:val="00DB2210"/>
    <w:rsid w:val="00DB28EA"/>
    <w:rsid w:val="00DB3885"/>
    <w:rsid w:val="00DB3C10"/>
    <w:rsid w:val="00DB3C3D"/>
    <w:rsid w:val="00DB3F8E"/>
    <w:rsid w:val="00DB50A3"/>
    <w:rsid w:val="00DB51DC"/>
    <w:rsid w:val="00DB6634"/>
    <w:rsid w:val="00DB68D3"/>
    <w:rsid w:val="00DB76F5"/>
    <w:rsid w:val="00DC125F"/>
    <w:rsid w:val="00DC1748"/>
    <w:rsid w:val="00DC1AD3"/>
    <w:rsid w:val="00DC1B37"/>
    <w:rsid w:val="00DC1BAD"/>
    <w:rsid w:val="00DC1DC6"/>
    <w:rsid w:val="00DC2307"/>
    <w:rsid w:val="00DC2376"/>
    <w:rsid w:val="00DC258A"/>
    <w:rsid w:val="00DC3280"/>
    <w:rsid w:val="00DC332E"/>
    <w:rsid w:val="00DC357F"/>
    <w:rsid w:val="00DC383B"/>
    <w:rsid w:val="00DC4DAC"/>
    <w:rsid w:val="00DC54E4"/>
    <w:rsid w:val="00DC612A"/>
    <w:rsid w:val="00DC6AC7"/>
    <w:rsid w:val="00DC6FF7"/>
    <w:rsid w:val="00DD0858"/>
    <w:rsid w:val="00DD08A4"/>
    <w:rsid w:val="00DD0DCA"/>
    <w:rsid w:val="00DD0E49"/>
    <w:rsid w:val="00DD1415"/>
    <w:rsid w:val="00DD20CD"/>
    <w:rsid w:val="00DD29E1"/>
    <w:rsid w:val="00DD2D72"/>
    <w:rsid w:val="00DD30E5"/>
    <w:rsid w:val="00DD4E44"/>
    <w:rsid w:val="00DD58DE"/>
    <w:rsid w:val="00DD5D70"/>
    <w:rsid w:val="00DD6009"/>
    <w:rsid w:val="00DD670B"/>
    <w:rsid w:val="00DD6F86"/>
    <w:rsid w:val="00DD7682"/>
    <w:rsid w:val="00DD79DD"/>
    <w:rsid w:val="00DE1887"/>
    <w:rsid w:val="00DE1ABF"/>
    <w:rsid w:val="00DE1C88"/>
    <w:rsid w:val="00DE2DFD"/>
    <w:rsid w:val="00DE2F70"/>
    <w:rsid w:val="00DE4E6F"/>
    <w:rsid w:val="00DE694E"/>
    <w:rsid w:val="00DF1776"/>
    <w:rsid w:val="00DF1EAF"/>
    <w:rsid w:val="00DF3945"/>
    <w:rsid w:val="00DF3B70"/>
    <w:rsid w:val="00DF3D9D"/>
    <w:rsid w:val="00DF73BA"/>
    <w:rsid w:val="00DF76D7"/>
    <w:rsid w:val="00DF7B33"/>
    <w:rsid w:val="00E0076E"/>
    <w:rsid w:val="00E00DB4"/>
    <w:rsid w:val="00E021CC"/>
    <w:rsid w:val="00E02283"/>
    <w:rsid w:val="00E023E0"/>
    <w:rsid w:val="00E026BF"/>
    <w:rsid w:val="00E02F85"/>
    <w:rsid w:val="00E0322D"/>
    <w:rsid w:val="00E03C0F"/>
    <w:rsid w:val="00E04507"/>
    <w:rsid w:val="00E0504E"/>
    <w:rsid w:val="00E0563B"/>
    <w:rsid w:val="00E06256"/>
    <w:rsid w:val="00E0658F"/>
    <w:rsid w:val="00E06AA9"/>
    <w:rsid w:val="00E0769E"/>
    <w:rsid w:val="00E078CB"/>
    <w:rsid w:val="00E07B60"/>
    <w:rsid w:val="00E106BE"/>
    <w:rsid w:val="00E10C2A"/>
    <w:rsid w:val="00E11159"/>
    <w:rsid w:val="00E11E9E"/>
    <w:rsid w:val="00E133CC"/>
    <w:rsid w:val="00E13BB3"/>
    <w:rsid w:val="00E14230"/>
    <w:rsid w:val="00E14611"/>
    <w:rsid w:val="00E14F17"/>
    <w:rsid w:val="00E15F69"/>
    <w:rsid w:val="00E177FD"/>
    <w:rsid w:val="00E205B3"/>
    <w:rsid w:val="00E20847"/>
    <w:rsid w:val="00E20DF4"/>
    <w:rsid w:val="00E20FA4"/>
    <w:rsid w:val="00E210B7"/>
    <w:rsid w:val="00E21999"/>
    <w:rsid w:val="00E21F3F"/>
    <w:rsid w:val="00E22C1C"/>
    <w:rsid w:val="00E22C94"/>
    <w:rsid w:val="00E241F2"/>
    <w:rsid w:val="00E25032"/>
    <w:rsid w:val="00E26EB7"/>
    <w:rsid w:val="00E27177"/>
    <w:rsid w:val="00E271BE"/>
    <w:rsid w:val="00E27E5A"/>
    <w:rsid w:val="00E304A9"/>
    <w:rsid w:val="00E309AC"/>
    <w:rsid w:val="00E30A6D"/>
    <w:rsid w:val="00E30E87"/>
    <w:rsid w:val="00E316FA"/>
    <w:rsid w:val="00E32163"/>
    <w:rsid w:val="00E32527"/>
    <w:rsid w:val="00E32542"/>
    <w:rsid w:val="00E32F00"/>
    <w:rsid w:val="00E34BE4"/>
    <w:rsid w:val="00E3541F"/>
    <w:rsid w:val="00E356E1"/>
    <w:rsid w:val="00E35B81"/>
    <w:rsid w:val="00E3618F"/>
    <w:rsid w:val="00E3643F"/>
    <w:rsid w:val="00E36976"/>
    <w:rsid w:val="00E36E66"/>
    <w:rsid w:val="00E371A9"/>
    <w:rsid w:val="00E37FF7"/>
    <w:rsid w:val="00E40128"/>
    <w:rsid w:val="00E407C9"/>
    <w:rsid w:val="00E407D2"/>
    <w:rsid w:val="00E40E82"/>
    <w:rsid w:val="00E41739"/>
    <w:rsid w:val="00E41D45"/>
    <w:rsid w:val="00E44184"/>
    <w:rsid w:val="00E44341"/>
    <w:rsid w:val="00E454D4"/>
    <w:rsid w:val="00E4587A"/>
    <w:rsid w:val="00E458DE"/>
    <w:rsid w:val="00E4665A"/>
    <w:rsid w:val="00E46FD1"/>
    <w:rsid w:val="00E47335"/>
    <w:rsid w:val="00E47637"/>
    <w:rsid w:val="00E476CE"/>
    <w:rsid w:val="00E51566"/>
    <w:rsid w:val="00E51908"/>
    <w:rsid w:val="00E51C25"/>
    <w:rsid w:val="00E5555A"/>
    <w:rsid w:val="00E55D17"/>
    <w:rsid w:val="00E569AF"/>
    <w:rsid w:val="00E56C81"/>
    <w:rsid w:val="00E56EF9"/>
    <w:rsid w:val="00E575B8"/>
    <w:rsid w:val="00E608E0"/>
    <w:rsid w:val="00E61843"/>
    <w:rsid w:val="00E62EB9"/>
    <w:rsid w:val="00E6312C"/>
    <w:rsid w:val="00E632BC"/>
    <w:rsid w:val="00E63FB9"/>
    <w:rsid w:val="00E64C53"/>
    <w:rsid w:val="00E656C1"/>
    <w:rsid w:val="00E65A1F"/>
    <w:rsid w:val="00E660D2"/>
    <w:rsid w:val="00E66C15"/>
    <w:rsid w:val="00E66E1E"/>
    <w:rsid w:val="00E6797C"/>
    <w:rsid w:val="00E71274"/>
    <w:rsid w:val="00E71293"/>
    <w:rsid w:val="00E71DD5"/>
    <w:rsid w:val="00E72C9C"/>
    <w:rsid w:val="00E730C8"/>
    <w:rsid w:val="00E73BD6"/>
    <w:rsid w:val="00E75420"/>
    <w:rsid w:val="00E758F4"/>
    <w:rsid w:val="00E7592A"/>
    <w:rsid w:val="00E7622B"/>
    <w:rsid w:val="00E7747C"/>
    <w:rsid w:val="00E777D1"/>
    <w:rsid w:val="00E81B8C"/>
    <w:rsid w:val="00E82519"/>
    <w:rsid w:val="00E82AD2"/>
    <w:rsid w:val="00E838C5"/>
    <w:rsid w:val="00E83C86"/>
    <w:rsid w:val="00E83D41"/>
    <w:rsid w:val="00E83FDF"/>
    <w:rsid w:val="00E847F2"/>
    <w:rsid w:val="00E86239"/>
    <w:rsid w:val="00E9047B"/>
    <w:rsid w:val="00E91B6C"/>
    <w:rsid w:val="00E91EE9"/>
    <w:rsid w:val="00E923D1"/>
    <w:rsid w:val="00E92EE8"/>
    <w:rsid w:val="00E93A20"/>
    <w:rsid w:val="00E93D7C"/>
    <w:rsid w:val="00E945CA"/>
    <w:rsid w:val="00E94C7D"/>
    <w:rsid w:val="00E9508C"/>
    <w:rsid w:val="00E974DB"/>
    <w:rsid w:val="00EA02C4"/>
    <w:rsid w:val="00EA07A0"/>
    <w:rsid w:val="00EA0D52"/>
    <w:rsid w:val="00EA12CE"/>
    <w:rsid w:val="00EA14F1"/>
    <w:rsid w:val="00EA22FE"/>
    <w:rsid w:val="00EA3A52"/>
    <w:rsid w:val="00EA47DD"/>
    <w:rsid w:val="00EA4C61"/>
    <w:rsid w:val="00EA4FDC"/>
    <w:rsid w:val="00EA7701"/>
    <w:rsid w:val="00EA7A13"/>
    <w:rsid w:val="00EA7C47"/>
    <w:rsid w:val="00EB037C"/>
    <w:rsid w:val="00EB069B"/>
    <w:rsid w:val="00EB25EB"/>
    <w:rsid w:val="00EB2750"/>
    <w:rsid w:val="00EB28C3"/>
    <w:rsid w:val="00EB3BCE"/>
    <w:rsid w:val="00EB3E66"/>
    <w:rsid w:val="00EB4011"/>
    <w:rsid w:val="00EB40C9"/>
    <w:rsid w:val="00EB4474"/>
    <w:rsid w:val="00EB45A4"/>
    <w:rsid w:val="00EB4BBC"/>
    <w:rsid w:val="00EB532F"/>
    <w:rsid w:val="00EB543F"/>
    <w:rsid w:val="00EB6E99"/>
    <w:rsid w:val="00EB73D6"/>
    <w:rsid w:val="00EC0DD8"/>
    <w:rsid w:val="00EC0FC0"/>
    <w:rsid w:val="00EC2182"/>
    <w:rsid w:val="00EC252A"/>
    <w:rsid w:val="00EC2AB3"/>
    <w:rsid w:val="00EC2F31"/>
    <w:rsid w:val="00EC3E32"/>
    <w:rsid w:val="00EC4076"/>
    <w:rsid w:val="00EC4414"/>
    <w:rsid w:val="00EC4BCA"/>
    <w:rsid w:val="00EC518D"/>
    <w:rsid w:val="00EC53A8"/>
    <w:rsid w:val="00EC6040"/>
    <w:rsid w:val="00EC71A9"/>
    <w:rsid w:val="00EC725F"/>
    <w:rsid w:val="00EC7615"/>
    <w:rsid w:val="00EC7C71"/>
    <w:rsid w:val="00ED019D"/>
    <w:rsid w:val="00ED03E5"/>
    <w:rsid w:val="00ED2554"/>
    <w:rsid w:val="00ED2711"/>
    <w:rsid w:val="00ED2ECB"/>
    <w:rsid w:val="00ED483E"/>
    <w:rsid w:val="00ED4880"/>
    <w:rsid w:val="00ED5228"/>
    <w:rsid w:val="00ED5AB2"/>
    <w:rsid w:val="00ED5D92"/>
    <w:rsid w:val="00ED61E4"/>
    <w:rsid w:val="00ED67CB"/>
    <w:rsid w:val="00ED70FB"/>
    <w:rsid w:val="00ED774B"/>
    <w:rsid w:val="00ED7BA8"/>
    <w:rsid w:val="00EE1D50"/>
    <w:rsid w:val="00EE1DFB"/>
    <w:rsid w:val="00EE211E"/>
    <w:rsid w:val="00EE2844"/>
    <w:rsid w:val="00EE315B"/>
    <w:rsid w:val="00EE3271"/>
    <w:rsid w:val="00EE3862"/>
    <w:rsid w:val="00EE40A4"/>
    <w:rsid w:val="00EE5F2A"/>
    <w:rsid w:val="00EE7567"/>
    <w:rsid w:val="00EE7809"/>
    <w:rsid w:val="00EF008A"/>
    <w:rsid w:val="00EF02CC"/>
    <w:rsid w:val="00EF0AD5"/>
    <w:rsid w:val="00EF1061"/>
    <w:rsid w:val="00EF1EC0"/>
    <w:rsid w:val="00EF24A2"/>
    <w:rsid w:val="00EF2B7E"/>
    <w:rsid w:val="00EF2D05"/>
    <w:rsid w:val="00EF3E9C"/>
    <w:rsid w:val="00EF5931"/>
    <w:rsid w:val="00F022C8"/>
    <w:rsid w:val="00F0282B"/>
    <w:rsid w:val="00F02F4B"/>
    <w:rsid w:val="00F03007"/>
    <w:rsid w:val="00F034E4"/>
    <w:rsid w:val="00F03A51"/>
    <w:rsid w:val="00F048D3"/>
    <w:rsid w:val="00F04C17"/>
    <w:rsid w:val="00F06F98"/>
    <w:rsid w:val="00F07439"/>
    <w:rsid w:val="00F104B2"/>
    <w:rsid w:val="00F11D33"/>
    <w:rsid w:val="00F123C3"/>
    <w:rsid w:val="00F12D35"/>
    <w:rsid w:val="00F13C55"/>
    <w:rsid w:val="00F13E80"/>
    <w:rsid w:val="00F1522F"/>
    <w:rsid w:val="00F1610F"/>
    <w:rsid w:val="00F16237"/>
    <w:rsid w:val="00F16551"/>
    <w:rsid w:val="00F16AFD"/>
    <w:rsid w:val="00F178E1"/>
    <w:rsid w:val="00F17963"/>
    <w:rsid w:val="00F17D16"/>
    <w:rsid w:val="00F17F0C"/>
    <w:rsid w:val="00F2098B"/>
    <w:rsid w:val="00F223EB"/>
    <w:rsid w:val="00F22895"/>
    <w:rsid w:val="00F228BB"/>
    <w:rsid w:val="00F22C7D"/>
    <w:rsid w:val="00F23A81"/>
    <w:rsid w:val="00F23C90"/>
    <w:rsid w:val="00F23FA5"/>
    <w:rsid w:val="00F243BA"/>
    <w:rsid w:val="00F244B7"/>
    <w:rsid w:val="00F2472B"/>
    <w:rsid w:val="00F248AB"/>
    <w:rsid w:val="00F2538B"/>
    <w:rsid w:val="00F274E2"/>
    <w:rsid w:val="00F305CB"/>
    <w:rsid w:val="00F319F3"/>
    <w:rsid w:val="00F32B38"/>
    <w:rsid w:val="00F342E8"/>
    <w:rsid w:val="00F34520"/>
    <w:rsid w:val="00F365DE"/>
    <w:rsid w:val="00F368FD"/>
    <w:rsid w:val="00F3738B"/>
    <w:rsid w:val="00F37480"/>
    <w:rsid w:val="00F400A7"/>
    <w:rsid w:val="00F42484"/>
    <w:rsid w:val="00F4363E"/>
    <w:rsid w:val="00F43CA9"/>
    <w:rsid w:val="00F43F81"/>
    <w:rsid w:val="00F44D8A"/>
    <w:rsid w:val="00F44FB2"/>
    <w:rsid w:val="00F46802"/>
    <w:rsid w:val="00F46BCA"/>
    <w:rsid w:val="00F47C2F"/>
    <w:rsid w:val="00F5166B"/>
    <w:rsid w:val="00F52301"/>
    <w:rsid w:val="00F523D7"/>
    <w:rsid w:val="00F52596"/>
    <w:rsid w:val="00F52B74"/>
    <w:rsid w:val="00F5381B"/>
    <w:rsid w:val="00F54384"/>
    <w:rsid w:val="00F55358"/>
    <w:rsid w:val="00F556E9"/>
    <w:rsid w:val="00F57D91"/>
    <w:rsid w:val="00F61084"/>
    <w:rsid w:val="00F61424"/>
    <w:rsid w:val="00F6173E"/>
    <w:rsid w:val="00F619ED"/>
    <w:rsid w:val="00F61A74"/>
    <w:rsid w:val="00F62507"/>
    <w:rsid w:val="00F62737"/>
    <w:rsid w:val="00F627D6"/>
    <w:rsid w:val="00F62941"/>
    <w:rsid w:val="00F63BC8"/>
    <w:rsid w:val="00F63EF8"/>
    <w:rsid w:val="00F63F54"/>
    <w:rsid w:val="00F641F8"/>
    <w:rsid w:val="00F64EE0"/>
    <w:rsid w:val="00F66936"/>
    <w:rsid w:val="00F67100"/>
    <w:rsid w:val="00F708BA"/>
    <w:rsid w:val="00F70E6C"/>
    <w:rsid w:val="00F710D2"/>
    <w:rsid w:val="00F71B7E"/>
    <w:rsid w:val="00F71CBD"/>
    <w:rsid w:val="00F72729"/>
    <w:rsid w:val="00F727FE"/>
    <w:rsid w:val="00F72EAC"/>
    <w:rsid w:val="00F72EC8"/>
    <w:rsid w:val="00F72F52"/>
    <w:rsid w:val="00F73732"/>
    <w:rsid w:val="00F74139"/>
    <w:rsid w:val="00F744A1"/>
    <w:rsid w:val="00F74C19"/>
    <w:rsid w:val="00F76AE0"/>
    <w:rsid w:val="00F778F7"/>
    <w:rsid w:val="00F808D0"/>
    <w:rsid w:val="00F8121F"/>
    <w:rsid w:val="00F816D9"/>
    <w:rsid w:val="00F82129"/>
    <w:rsid w:val="00F82573"/>
    <w:rsid w:val="00F83619"/>
    <w:rsid w:val="00F83EBC"/>
    <w:rsid w:val="00F84296"/>
    <w:rsid w:val="00F8507B"/>
    <w:rsid w:val="00F8587F"/>
    <w:rsid w:val="00F85A0A"/>
    <w:rsid w:val="00F85E83"/>
    <w:rsid w:val="00F861B3"/>
    <w:rsid w:val="00F862F6"/>
    <w:rsid w:val="00F87B43"/>
    <w:rsid w:val="00F90441"/>
    <w:rsid w:val="00F9217A"/>
    <w:rsid w:val="00F92741"/>
    <w:rsid w:val="00F9300D"/>
    <w:rsid w:val="00F934B2"/>
    <w:rsid w:val="00F936B7"/>
    <w:rsid w:val="00F93D4C"/>
    <w:rsid w:val="00F945D0"/>
    <w:rsid w:val="00F94823"/>
    <w:rsid w:val="00F94FA8"/>
    <w:rsid w:val="00F952FF"/>
    <w:rsid w:val="00F962D8"/>
    <w:rsid w:val="00F96342"/>
    <w:rsid w:val="00F96683"/>
    <w:rsid w:val="00FA1421"/>
    <w:rsid w:val="00FA1AC6"/>
    <w:rsid w:val="00FA260C"/>
    <w:rsid w:val="00FA3870"/>
    <w:rsid w:val="00FA488B"/>
    <w:rsid w:val="00FA64B1"/>
    <w:rsid w:val="00FA7591"/>
    <w:rsid w:val="00FA7BEB"/>
    <w:rsid w:val="00FB0142"/>
    <w:rsid w:val="00FB0BF4"/>
    <w:rsid w:val="00FB22B6"/>
    <w:rsid w:val="00FB264E"/>
    <w:rsid w:val="00FB29FF"/>
    <w:rsid w:val="00FB2A1D"/>
    <w:rsid w:val="00FB36BF"/>
    <w:rsid w:val="00FB4622"/>
    <w:rsid w:val="00FB4A5F"/>
    <w:rsid w:val="00FB51C9"/>
    <w:rsid w:val="00FB560C"/>
    <w:rsid w:val="00FB5FE3"/>
    <w:rsid w:val="00FB6157"/>
    <w:rsid w:val="00FB6567"/>
    <w:rsid w:val="00FB786D"/>
    <w:rsid w:val="00FB7A43"/>
    <w:rsid w:val="00FB7C04"/>
    <w:rsid w:val="00FB7F74"/>
    <w:rsid w:val="00FC0034"/>
    <w:rsid w:val="00FC0B84"/>
    <w:rsid w:val="00FC23B0"/>
    <w:rsid w:val="00FC2E62"/>
    <w:rsid w:val="00FC3CD5"/>
    <w:rsid w:val="00FC3E0A"/>
    <w:rsid w:val="00FC48F5"/>
    <w:rsid w:val="00FC4EDC"/>
    <w:rsid w:val="00FC520C"/>
    <w:rsid w:val="00FC56D0"/>
    <w:rsid w:val="00FC6C88"/>
    <w:rsid w:val="00FC6E8A"/>
    <w:rsid w:val="00FC751A"/>
    <w:rsid w:val="00FD0015"/>
    <w:rsid w:val="00FD162B"/>
    <w:rsid w:val="00FD19BD"/>
    <w:rsid w:val="00FD2570"/>
    <w:rsid w:val="00FD3D87"/>
    <w:rsid w:val="00FD4216"/>
    <w:rsid w:val="00FD4845"/>
    <w:rsid w:val="00FD649E"/>
    <w:rsid w:val="00FD7A4F"/>
    <w:rsid w:val="00FD7C62"/>
    <w:rsid w:val="00FD7E72"/>
    <w:rsid w:val="00FD7ED9"/>
    <w:rsid w:val="00FE0367"/>
    <w:rsid w:val="00FE0A84"/>
    <w:rsid w:val="00FE24DB"/>
    <w:rsid w:val="00FE27BF"/>
    <w:rsid w:val="00FE5558"/>
    <w:rsid w:val="00FE71AE"/>
    <w:rsid w:val="00FF00CC"/>
    <w:rsid w:val="00FF14FE"/>
    <w:rsid w:val="00FF1FB6"/>
    <w:rsid w:val="00FF23BC"/>
    <w:rsid w:val="00FF39A7"/>
    <w:rsid w:val="00FF3BA7"/>
    <w:rsid w:val="00FF4739"/>
    <w:rsid w:val="00FF4BA1"/>
    <w:rsid w:val="00FF4E42"/>
    <w:rsid w:val="00FF5545"/>
    <w:rsid w:val="00FF5A49"/>
    <w:rsid w:val="00FF5A76"/>
    <w:rsid w:val="00FF65CF"/>
    <w:rsid w:val="00FF6BD1"/>
    <w:rsid w:val="291094AA"/>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D32E9D0"/>
  <w15:docId w15:val="{A0A72D29-A395-4439-AE2D-FD98C408A3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A207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E30B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024A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FA260C"/>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A2079"/>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0E30BF"/>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B024A5"/>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FA260C"/>
    <w:rPr>
      <w:rFonts w:asciiTheme="majorHAnsi" w:eastAsiaTheme="majorEastAsia" w:hAnsiTheme="majorHAnsi" w:cstheme="majorBidi"/>
      <w:i/>
      <w:iCs/>
      <w:color w:val="2F5496" w:themeColor="accent1" w:themeShade="BF"/>
    </w:rPr>
  </w:style>
  <w:style w:type="paragraph" w:styleId="Title">
    <w:name w:val="Title"/>
    <w:basedOn w:val="Normal"/>
    <w:next w:val="Normal"/>
    <w:link w:val="TitleChar"/>
    <w:uiPriority w:val="10"/>
    <w:qFormat/>
    <w:rsid w:val="007574B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574BE"/>
    <w:rPr>
      <w:rFonts w:asciiTheme="majorHAnsi" w:eastAsiaTheme="majorEastAsia" w:hAnsiTheme="majorHAnsi" w:cstheme="majorBidi"/>
      <w:spacing w:val="-10"/>
      <w:kern w:val="28"/>
      <w:sz w:val="56"/>
      <w:szCs w:val="56"/>
    </w:rPr>
  </w:style>
  <w:style w:type="paragraph" w:styleId="ListParagraph">
    <w:name w:val="List Paragraph"/>
    <w:basedOn w:val="Normal"/>
    <w:uiPriority w:val="34"/>
    <w:qFormat/>
    <w:rsid w:val="00DA2079"/>
    <w:pPr>
      <w:ind w:left="720"/>
      <w:contextualSpacing/>
    </w:pPr>
  </w:style>
  <w:style w:type="character" w:styleId="CommentReference">
    <w:name w:val="annotation reference"/>
    <w:basedOn w:val="DefaultParagraphFont"/>
    <w:uiPriority w:val="99"/>
    <w:semiHidden/>
    <w:unhideWhenUsed/>
    <w:rsid w:val="00D42413"/>
    <w:rPr>
      <w:sz w:val="16"/>
      <w:szCs w:val="16"/>
    </w:rPr>
  </w:style>
  <w:style w:type="paragraph" w:styleId="CommentText">
    <w:name w:val="annotation text"/>
    <w:basedOn w:val="Normal"/>
    <w:link w:val="CommentTextChar"/>
    <w:uiPriority w:val="99"/>
    <w:unhideWhenUsed/>
    <w:rsid w:val="00D42413"/>
    <w:pPr>
      <w:spacing w:line="240" w:lineRule="auto"/>
    </w:pPr>
    <w:rPr>
      <w:sz w:val="20"/>
      <w:szCs w:val="20"/>
    </w:rPr>
  </w:style>
  <w:style w:type="character" w:customStyle="1" w:styleId="CommentTextChar">
    <w:name w:val="Comment Text Char"/>
    <w:basedOn w:val="DefaultParagraphFont"/>
    <w:link w:val="CommentText"/>
    <w:uiPriority w:val="99"/>
    <w:rsid w:val="00D42413"/>
    <w:rPr>
      <w:sz w:val="20"/>
      <w:szCs w:val="20"/>
    </w:rPr>
  </w:style>
  <w:style w:type="paragraph" w:styleId="CommentSubject">
    <w:name w:val="annotation subject"/>
    <w:basedOn w:val="CommentText"/>
    <w:next w:val="CommentText"/>
    <w:link w:val="CommentSubjectChar"/>
    <w:uiPriority w:val="99"/>
    <w:semiHidden/>
    <w:unhideWhenUsed/>
    <w:rsid w:val="00D42413"/>
    <w:rPr>
      <w:b/>
      <w:bCs/>
    </w:rPr>
  </w:style>
  <w:style w:type="character" w:customStyle="1" w:styleId="CommentSubjectChar">
    <w:name w:val="Comment Subject Char"/>
    <w:basedOn w:val="CommentTextChar"/>
    <w:link w:val="CommentSubject"/>
    <w:uiPriority w:val="99"/>
    <w:semiHidden/>
    <w:rsid w:val="00D42413"/>
    <w:rPr>
      <w:b/>
      <w:bCs/>
      <w:sz w:val="20"/>
      <w:szCs w:val="20"/>
    </w:rPr>
  </w:style>
  <w:style w:type="paragraph" w:styleId="BalloonText">
    <w:name w:val="Balloon Text"/>
    <w:basedOn w:val="Normal"/>
    <w:link w:val="BalloonTextChar"/>
    <w:uiPriority w:val="99"/>
    <w:semiHidden/>
    <w:unhideWhenUsed/>
    <w:rsid w:val="00D4241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42413"/>
    <w:rPr>
      <w:rFonts w:ascii="Segoe UI" w:hAnsi="Segoe UI" w:cs="Segoe UI"/>
      <w:sz w:val="18"/>
      <w:szCs w:val="18"/>
    </w:rPr>
  </w:style>
  <w:style w:type="character" w:styleId="PlaceholderText">
    <w:name w:val="Placeholder Text"/>
    <w:basedOn w:val="DefaultParagraphFont"/>
    <w:uiPriority w:val="99"/>
    <w:semiHidden/>
    <w:rsid w:val="007D00C6"/>
    <w:rPr>
      <w:color w:val="808080"/>
    </w:rPr>
  </w:style>
  <w:style w:type="table" w:styleId="TableGrid">
    <w:name w:val="Table Grid"/>
    <w:basedOn w:val="TableNormal"/>
    <w:uiPriority w:val="39"/>
    <w:rsid w:val="006C33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uiPriority w:val="42"/>
    <w:rsid w:val="00B0158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Hyperlink">
    <w:name w:val="Hyperlink"/>
    <w:basedOn w:val="DefaultParagraphFont"/>
    <w:uiPriority w:val="99"/>
    <w:unhideWhenUsed/>
    <w:rsid w:val="007B3142"/>
    <w:rPr>
      <w:color w:val="0563C1" w:themeColor="hyperlink"/>
      <w:u w:val="single"/>
    </w:rPr>
  </w:style>
  <w:style w:type="character" w:styleId="FollowedHyperlink">
    <w:name w:val="FollowedHyperlink"/>
    <w:basedOn w:val="DefaultParagraphFont"/>
    <w:uiPriority w:val="99"/>
    <w:semiHidden/>
    <w:unhideWhenUsed/>
    <w:rsid w:val="00742BDE"/>
    <w:rPr>
      <w:color w:val="954F72" w:themeColor="followedHyperlink"/>
      <w:u w:val="single"/>
    </w:rPr>
  </w:style>
  <w:style w:type="paragraph" w:styleId="Revision">
    <w:name w:val="Revision"/>
    <w:hidden/>
    <w:uiPriority w:val="99"/>
    <w:semiHidden/>
    <w:rsid w:val="00042280"/>
    <w:pPr>
      <w:spacing w:after="0" w:line="240" w:lineRule="auto"/>
    </w:pPr>
  </w:style>
  <w:style w:type="character" w:styleId="LineNumber">
    <w:name w:val="line number"/>
    <w:basedOn w:val="DefaultParagraphFont"/>
    <w:uiPriority w:val="99"/>
    <w:semiHidden/>
    <w:unhideWhenUsed/>
    <w:rsid w:val="00C95D40"/>
  </w:style>
  <w:style w:type="paragraph" w:styleId="NormalWeb">
    <w:name w:val="Normal (Web)"/>
    <w:basedOn w:val="Normal"/>
    <w:uiPriority w:val="99"/>
    <w:semiHidden/>
    <w:unhideWhenUsed/>
    <w:rsid w:val="000E764D"/>
    <w:pPr>
      <w:spacing w:before="100" w:beforeAutospacing="1" w:after="100" w:afterAutospacing="1" w:line="240" w:lineRule="auto"/>
    </w:pPr>
    <w:rPr>
      <w:rFonts w:ascii="Times New Roman" w:eastAsia="Times New Roman" w:hAnsi="Times New Roman" w:cs="Times New Roman"/>
      <w:sz w:val="24"/>
      <w:szCs w:val="24"/>
      <w:lang w:eastAsia="en-GB"/>
    </w:rPr>
  </w:style>
  <w:style w:type="table" w:customStyle="1" w:styleId="PlainTable22">
    <w:name w:val="Plain Table 22"/>
    <w:basedOn w:val="TableNormal"/>
    <w:uiPriority w:val="42"/>
    <w:rsid w:val="00516F3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Header">
    <w:name w:val="header"/>
    <w:basedOn w:val="Normal"/>
    <w:link w:val="HeaderChar"/>
    <w:uiPriority w:val="99"/>
    <w:unhideWhenUsed/>
    <w:rsid w:val="008137BF"/>
    <w:pPr>
      <w:tabs>
        <w:tab w:val="center" w:pos="4513"/>
        <w:tab w:val="right" w:pos="9026"/>
      </w:tabs>
      <w:spacing w:after="0" w:line="240" w:lineRule="auto"/>
    </w:pPr>
  </w:style>
  <w:style w:type="character" w:customStyle="1" w:styleId="HeaderChar">
    <w:name w:val="Header Char"/>
    <w:basedOn w:val="DefaultParagraphFont"/>
    <w:link w:val="Header"/>
    <w:uiPriority w:val="99"/>
    <w:rsid w:val="008137BF"/>
  </w:style>
  <w:style w:type="paragraph" w:styleId="Footer">
    <w:name w:val="footer"/>
    <w:basedOn w:val="Normal"/>
    <w:link w:val="FooterChar"/>
    <w:uiPriority w:val="99"/>
    <w:unhideWhenUsed/>
    <w:rsid w:val="008137BF"/>
    <w:pPr>
      <w:tabs>
        <w:tab w:val="center" w:pos="4513"/>
        <w:tab w:val="right" w:pos="9026"/>
      </w:tabs>
      <w:spacing w:after="0" w:line="240" w:lineRule="auto"/>
    </w:pPr>
  </w:style>
  <w:style w:type="character" w:customStyle="1" w:styleId="FooterChar">
    <w:name w:val="Footer Char"/>
    <w:basedOn w:val="DefaultParagraphFont"/>
    <w:link w:val="Footer"/>
    <w:uiPriority w:val="99"/>
    <w:rsid w:val="008137BF"/>
  </w:style>
  <w:style w:type="character" w:customStyle="1" w:styleId="UnresolvedMention1">
    <w:name w:val="Unresolved Mention1"/>
    <w:basedOn w:val="DefaultParagraphFont"/>
    <w:uiPriority w:val="99"/>
    <w:semiHidden/>
    <w:unhideWhenUsed/>
    <w:rsid w:val="00881DC4"/>
    <w:rPr>
      <w:color w:val="605E5C"/>
      <w:shd w:val="clear" w:color="auto" w:fill="E1DFDD"/>
    </w:rPr>
  </w:style>
  <w:style w:type="table" w:customStyle="1" w:styleId="PlainTable221">
    <w:name w:val="Plain Table 221"/>
    <w:basedOn w:val="TableNormal"/>
    <w:uiPriority w:val="42"/>
    <w:rsid w:val="00667E9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2">
    <w:name w:val="Plain Table 2"/>
    <w:basedOn w:val="TableNormal"/>
    <w:uiPriority w:val="42"/>
    <w:rsid w:val="008B34E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UnresolvedMention">
    <w:name w:val="Unresolved Mention"/>
    <w:basedOn w:val="DefaultParagraphFont"/>
    <w:uiPriority w:val="99"/>
    <w:semiHidden/>
    <w:unhideWhenUsed/>
    <w:rsid w:val="008B34EA"/>
    <w:rPr>
      <w:color w:val="605E5C"/>
      <w:shd w:val="clear" w:color="auto" w:fill="E1DFDD"/>
    </w:rPr>
  </w:style>
  <w:style w:type="paragraph" w:customStyle="1" w:styleId="Default">
    <w:name w:val="Default"/>
    <w:rsid w:val="003A4262"/>
    <w:pPr>
      <w:autoSpaceDE w:val="0"/>
      <w:autoSpaceDN w:val="0"/>
      <w:adjustRightInd w:val="0"/>
      <w:spacing w:after="0" w:line="240" w:lineRule="auto"/>
    </w:pPr>
    <w:rPr>
      <w:rFonts w:ascii="Calibri" w:eastAsia="Calibri" w:hAnsi="Calibri" w:cs="Calibri"/>
      <w:color w:val="000000"/>
      <w:sz w:val="24"/>
      <w:szCs w:val="24"/>
      <w:lang w:eastAsia="en-GB"/>
    </w:rPr>
  </w:style>
  <w:style w:type="character" w:customStyle="1" w:styleId="cf01">
    <w:name w:val="cf01"/>
    <w:basedOn w:val="DefaultParagraphFont"/>
    <w:rsid w:val="00763873"/>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6463607">
      <w:bodyDiv w:val="1"/>
      <w:marLeft w:val="0"/>
      <w:marRight w:val="0"/>
      <w:marTop w:val="0"/>
      <w:marBottom w:val="0"/>
      <w:divBdr>
        <w:top w:val="none" w:sz="0" w:space="0" w:color="auto"/>
        <w:left w:val="none" w:sz="0" w:space="0" w:color="auto"/>
        <w:bottom w:val="none" w:sz="0" w:space="0" w:color="auto"/>
        <w:right w:val="none" w:sz="0" w:space="0" w:color="auto"/>
      </w:divBdr>
    </w:div>
    <w:div w:id="374894827">
      <w:bodyDiv w:val="1"/>
      <w:marLeft w:val="0"/>
      <w:marRight w:val="0"/>
      <w:marTop w:val="0"/>
      <w:marBottom w:val="0"/>
      <w:divBdr>
        <w:top w:val="none" w:sz="0" w:space="0" w:color="auto"/>
        <w:left w:val="none" w:sz="0" w:space="0" w:color="auto"/>
        <w:bottom w:val="none" w:sz="0" w:space="0" w:color="auto"/>
        <w:right w:val="none" w:sz="0" w:space="0" w:color="auto"/>
      </w:divBdr>
      <w:divsChild>
        <w:div w:id="35201557">
          <w:marLeft w:val="0"/>
          <w:marRight w:val="0"/>
          <w:marTop w:val="0"/>
          <w:marBottom w:val="0"/>
          <w:divBdr>
            <w:top w:val="none" w:sz="0" w:space="0" w:color="auto"/>
            <w:left w:val="none" w:sz="0" w:space="0" w:color="auto"/>
            <w:bottom w:val="none" w:sz="0" w:space="0" w:color="auto"/>
            <w:right w:val="none" w:sz="0" w:space="0" w:color="auto"/>
          </w:divBdr>
        </w:div>
        <w:div w:id="70125610">
          <w:marLeft w:val="0"/>
          <w:marRight w:val="0"/>
          <w:marTop w:val="0"/>
          <w:marBottom w:val="0"/>
          <w:divBdr>
            <w:top w:val="none" w:sz="0" w:space="0" w:color="auto"/>
            <w:left w:val="none" w:sz="0" w:space="0" w:color="auto"/>
            <w:bottom w:val="none" w:sz="0" w:space="0" w:color="auto"/>
            <w:right w:val="none" w:sz="0" w:space="0" w:color="auto"/>
          </w:divBdr>
        </w:div>
        <w:div w:id="98532235">
          <w:marLeft w:val="0"/>
          <w:marRight w:val="0"/>
          <w:marTop w:val="0"/>
          <w:marBottom w:val="0"/>
          <w:divBdr>
            <w:top w:val="none" w:sz="0" w:space="0" w:color="auto"/>
            <w:left w:val="none" w:sz="0" w:space="0" w:color="auto"/>
            <w:bottom w:val="none" w:sz="0" w:space="0" w:color="auto"/>
            <w:right w:val="none" w:sz="0" w:space="0" w:color="auto"/>
          </w:divBdr>
        </w:div>
        <w:div w:id="108790353">
          <w:marLeft w:val="0"/>
          <w:marRight w:val="0"/>
          <w:marTop w:val="0"/>
          <w:marBottom w:val="0"/>
          <w:divBdr>
            <w:top w:val="none" w:sz="0" w:space="0" w:color="auto"/>
            <w:left w:val="none" w:sz="0" w:space="0" w:color="auto"/>
            <w:bottom w:val="none" w:sz="0" w:space="0" w:color="auto"/>
            <w:right w:val="none" w:sz="0" w:space="0" w:color="auto"/>
          </w:divBdr>
        </w:div>
        <w:div w:id="176818751">
          <w:marLeft w:val="0"/>
          <w:marRight w:val="0"/>
          <w:marTop w:val="0"/>
          <w:marBottom w:val="0"/>
          <w:divBdr>
            <w:top w:val="none" w:sz="0" w:space="0" w:color="auto"/>
            <w:left w:val="none" w:sz="0" w:space="0" w:color="auto"/>
            <w:bottom w:val="none" w:sz="0" w:space="0" w:color="auto"/>
            <w:right w:val="none" w:sz="0" w:space="0" w:color="auto"/>
          </w:divBdr>
        </w:div>
        <w:div w:id="178154920">
          <w:marLeft w:val="0"/>
          <w:marRight w:val="0"/>
          <w:marTop w:val="0"/>
          <w:marBottom w:val="0"/>
          <w:divBdr>
            <w:top w:val="none" w:sz="0" w:space="0" w:color="auto"/>
            <w:left w:val="none" w:sz="0" w:space="0" w:color="auto"/>
            <w:bottom w:val="none" w:sz="0" w:space="0" w:color="auto"/>
            <w:right w:val="none" w:sz="0" w:space="0" w:color="auto"/>
          </w:divBdr>
        </w:div>
        <w:div w:id="183251737">
          <w:marLeft w:val="0"/>
          <w:marRight w:val="0"/>
          <w:marTop w:val="0"/>
          <w:marBottom w:val="0"/>
          <w:divBdr>
            <w:top w:val="none" w:sz="0" w:space="0" w:color="auto"/>
            <w:left w:val="none" w:sz="0" w:space="0" w:color="auto"/>
            <w:bottom w:val="none" w:sz="0" w:space="0" w:color="auto"/>
            <w:right w:val="none" w:sz="0" w:space="0" w:color="auto"/>
          </w:divBdr>
        </w:div>
        <w:div w:id="605230108">
          <w:marLeft w:val="0"/>
          <w:marRight w:val="0"/>
          <w:marTop w:val="0"/>
          <w:marBottom w:val="0"/>
          <w:divBdr>
            <w:top w:val="none" w:sz="0" w:space="0" w:color="auto"/>
            <w:left w:val="none" w:sz="0" w:space="0" w:color="auto"/>
            <w:bottom w:val="none" w:sz="0" w:space="0" w:color="auto"/>
            <w:right w:val="none" w:sz="0" w:space="0" w:color="auto"/>
          </w:divBdr>
        </w:div>
        <w:div w:id="712392345">
          <w:marLeft w:val="0"/>
          <w:marRight w:val="0"/>
          <w:marTop w:val="0"/>
          <w:marBottom w:val="0"/>
          <w:divBdr>
            <w:top w:val="none" w:sz="0" w:space="0" w:color="auto"/>
            <w:left w:val="none" w:sz="0" w:space="0" w:color="auto"/>
            <w:bottom w:val="none" w:sz="0" w:space="0" w:color="auto"/>
            <w:right w:val="none" w:sz="0" w:space="0" w:color="auto"/>
          </w:divBdr>
        </w:div>
        <w:div w:id="908614064">
          <w:marLeft w:val="0"/>
          <w:marRight w:val="0"/>
          <w:marTop w:val="0"/>
          <w:marBottom w:val="0"/>
          <w:divBdr>
            <w:top w:val="none" w:sz="0" w:space="0" w:color="auto"/>
            <w:left w:val="none" w:sz="0" w:space="0" w:color="auto"/>
            <w:bottom w:val="none" w:sz="0" w:space="0" w:color="auto"/>
            <w:right w:val="none" w:sz="0" w:space="0" w:color="auto"/>
          </w:divBdr>
        </w:div>
        <w:div w:id="1113985959">
          <w:marLeft w:val="0"/>
          <w:marRight w:val="0"/>
          <w:marTop w:val="0"/>
          <w:marBottom w:val="0"/>
          <w:divBdr>
            <w:top w:val="none" w:sz="0" w:space="0" w:color="auto"/>
            <w:left w:val="none" w:sz="0" w:space="0" w:color="auto"/>
            <w:bottom w:val="none" w:sz="0" w:space="0" w:color="auto"/>
            <w:right w:val="none" w:sz="0" w:space="0" w:color="auto"/>
          </w:divBdr>
        </w:div>
        <w:div w:id="1132821835">
          <w:marLeft w:val="0"/>
          <w:marRight w:val="0"/>
          <w:marTop w:val="0"/>
          <w:marBottom w:val="0"/>
          <w:divBdr>
            <w:top w:val="none" w:sz="0" w:space="0" w:color="auto"/>
            <w:left w:val="none" w:sz="0" w:space="0" w:color="auto"/>
            <w:bottom w:val="none" w:sz="0" w:space="0" w:color="auto"/>
            <w:right w:val="none" w:sz="0" w:space="0" w:color="auto"/>
          </w:divBdr>
        </w:div>
        <w:div w:id="1271933715">
          <w:marLeft w:val="0"/>
          <w:marRight w:val="0"/>
          <w:marTop w:val="0"/>
          <w:marBottom w:val="0"/>
          <w:divBdr>
            <w:top w:val="none" w:sz="0" w:space="0" w:color="auto"/>
            <w:left w:val="none" w:sz="0" w:space="0" w:color="auto"/>
            <w:bottom w:val="none" w:sz="0" w:space="0" w:color="auto"/>
            <w:right w:val="none" w:sz="0" w:space="0" w:color="auto"/>
          </w:divBdr>
        </w:div>
        <w:div w:id="1318604965">
          <w:marLeft w:val="0"/>
          <w:marRight w:val="0"/>
          <w:marTop w:val="0"/>
          <w:marBottom w:val="0"/>
          <w:divBdr>
            <w:top w:val="none" w:sz="0" w:space="0" w:color="auto"/>
            <w:left w:val="none" w:sz="0" w:space="0" w:color="auto"/>
            <w:bottom w:val="none" w:sz="0" w:space="0" w:color="auto"/>
            <w:right w:val="none" w:sz="0" w:space="0" w:color="auto"/>
          </w:divBdr>
        </w:div>
        <w:div w:id="1370227604">
          <w:marLeft w:val="0"/>
          <w:marRight w:val="0"/>
          <w:marTop w:val="0"/>
          <w:marBottom w:val="0"/>
          <w:divBdr>
            <w:top w:val="none" w:sz="0" w:space="0" w:color="auto"/>
            <w:left w:val="none" w:sz="0" w:space="0" w:color="auto"/>
            <w:bottom w:val="none" w:sz="0" w:space="0" w:color="auto"/>
            <w:right w:val="none" w:sz="0" w:space="0" w:color="auto"/>
          </w:divBdr>
        </w:div>
        <w:div w:id="1570456939">
          <w:marLeft w:val="0"/>
          <w:marRight w:val="0"/>
          <w:marTop w:val="0"/>
          <w:marBottom w:val="0"/>
          <w:divBdr>
            <w:top w:val="none" w:sz="0" w:space="0" w:color="auto"/>
            <w:left w:val="none" w:sz="0" w:space="0" w:color="auto"/>
            <w:bottom w:val="none" w:sz="0" w:space="0" w:color="auto"/>
            <w:right w:val="none" w:sz="0" w:space="0" w:color="auto"/>
          </w:divBdr>
        </w:div>
        <w:div w:id="1588490951">
          <w:marLeft w:val="0"/>
          <w:marRight w:val="0"/>
          <w:marTop w:val="0"/>
          <w:marBottom w:val="0"/>
          <w:divBdr>
            <w:top w:val="none" w:sz="0" w:space="0" w:color="auto"/>
            <w:left w:val="none" w:sz="0" w:space="0" w:color="auto"/>
            <w:bottom w:val="none" w:sz="0" w:space="0" w:color="auto"/>
            <w:right w:val="none" w:sz="0" w:space="0" w:color="auto"/>
          </w:divBdr>
        </w:div>
        <w:div w:id="1661229284">
          <w:marLeft w:val="0"/>
          <w:marRight w:val="0"/>
          <w:marTop w:val="0"/>
          <w:marBottom w:val="0"/>
          <w:divBdr>
            <w:top w:val="none" w:sz="0" w:space="0" w:color="auto"/>
            <w:left w:val="none" w:sz="0" w:space="0" w:color="auto"/>
            <w:bottom w:val="none" w:sz="0" w:space="0" w:color="auto"/>
            <w:right w:val="none" w:sz="0" w:space="0" w:color="auto"/>
          </w:divBdr>
        </w:div>
        <w:div w:id="1741249199">
          <w:marLeft w:val="0"/>
          <w:marRight w:val="0"/>
          <w:marTop w:val="0"/>
          <w:marBottom w:val="0"/>
          <w:divBdr>
            <w:top w:val="none" w:sz="0" w:space="0" w:color="auto"/>
            <w:left w:val="none" w:sz="0" w:space="0" w:color="auto"/>
            <w:bottom w:val="none" w:sz="0" w:space="0" w:color="auto"/>
            <w:right w:val="none" w:sz="0" w:space="0" w:color="auto"/>
          </w:divBdr>
        </w:div>
        <w:div w:id="1981685392">
          <w:marLeft w:val="0"/>
          <w:marRight w:val="0"/>
          <w:marTop w:val="0"/>
          <w:marBottom w:val="0"/>
          <w:divBdr>
            <w:top w:val="none" w:sz="0" w:space="0" w:color="auto"/>
            <w:left w:val="none" w:sz="0" w:space="0" w:color="auto"/>
            <w:bottom w:val="none" w:sz="0" w:space="0" w:color="auto"/>
            <w:right w:val="none" w:sz="0" w:space="0" w:color="auto"/>
          </w:divBdr>
        </w:div>
        <w:div w:id="2117674410">
          <w:marLeft w:val="0"/>
          <w:marRight w:val="0"/>
          <w:marTop w:val="0"/>
          <w:marBottom w:val="0"/>
          <w:divBdr>
            <w:top w:val="none" w:sz="0" w:space="0" w:color="auto"/>
            <w:left w:val="none" w:sz="0" w:space="0" w:color="auto"/>
            <w:bottom w:val="none" w:sz="0" w:space="0" w:color="auto"/>
            <w:right w:val="none" w:sz="0" w:space="0" w:color="auto"/>
          </w:divBdr>
        </w:div>
      </w:divsChild>
    </w:div>
    <w:div w:id="536357871">
      <w:bodyDiv w:val="1"/>
      <w:marLeft w:val="0"/>
      <w:marRight w:val="0"/>
      <w:marTop w:val="0"/>
      <w:marBottom w:val="0"/>
      <w:divBdr>
        <w:top w:val="none" w:sz="0" w:space="0" w:color="auto"/>
        <w:left w:val="none" w:sz="0" w:space="0" w:color="auto"/>
        <w:bottom w:val="none" w:sz="0" w:space="0" w:color="auto"/>
        <w:right w:val="none" w:sz="0" w:space="0" w:color="auto"/>
      </w:divBdr>
    </w:div>
    <w:div w:id="588808007">
      <w:bodyDiv w:val="1"/>
      <w:marLeft w:val="0"/>
      <w:marRight w:val="0"/>
      <w:marTop w:val="0"/>
      <w:marBottom w:val="0"/>
      <w:divBdr>
        <w:top w:val="none" w:sz="0" w:space="0" w:color="auto"/>
        <w:left w:val="none" w:sz="0" w:space="0" w:color="auto"/>
        <w:bottom w:val="none" w:sz="0" w:space="0" w:color="auto"/>
        <w:right w:val="none" w:sz="0" w:space="0" w:color="auto"/>
      </w:divBdr>
    </w:div>
    <w:div w:id="785853215">
      <w:bodyDiv w:val="1"/>
      <w:marLeft w:val="0"/>
      <w:marRight w:val="0"/>
      <w:marTop w:val="0"/>
      <w:marBottom w:val="0"/>
      <w:divBdr>
        <w:top w:val="none" w:sz="0" w:space="0" w:color="auto"/>
        <w:left w:val="none" w:sz="0" w:space="0" w:color="auto"/>
        <w:bottom w:val="none" w:sz="0" w:space="0" w:color="auto"/>
        <w:right w:val="none" w:sz="0" w:space="0" w:color="auto"/>
      </w:divBdr>
    </w:div>
    <w:div w:id="982926409">
      <w:bodyDiv w:val="1"/>
      <w:marLeft w:val="0"/>
      <w:marRight w:val="0"/>
      <w:marTop w:val="0"/>
      <w:marBottom w:val="0"/>
      <w:divBdr>
        <w:top w:val="none" w:sz="0" w:space="0" w:color="auto"/>
        <w:left w:val="none" w:sz="0" w:space="0" w:color="auto"/>
        <w:bottom w:val="none" w:sz="0" w:space="0" w:color="auto"/>
        <w:right w:val="none" w:sz="0" w:space="0" w:color="auto"/>
      </w:divBdr>
    </w:div>
    <w:div w:id="1127117681">
      <w:bodyDiv w:val="1"/>
      <w:marLeft w:val="0"/>
      <w:marRight w:val="0"/>
      <w:marTop w:val="0"/>
      <w:marBottom w:val="0"/>
      <w:divBdr>
        <w:top w:val="none" w:sz="0" w:space="0" w:color="auto"/>
        <w:left w:val="none" w:sz="0" w:space="0" w:color="auto"/>
        <w:bottom w:val="none" w:sz="0" w:space="0" w:color="auto"/>
        <w:right w:val="none" w:sz="0" w:space="0" w:color="auto"/>
      </w:divBdr>
    </w:div>
    <w:div w:id="1396394140">
      <w:bodyDiv w:val="1"/>
      <w:marLeft w:val="0"/>
      <w:marRight w:val="0"/>
      <w:marTop w:val="0"/>
      <w:marBottom w:val="0"/>
      <w:divBdr>
        <w:top w:val="none" w:sz="0" w:space="0" w:color="auto"/>
        <w:left w:val="none" w:sz="0" w:space="0" w:color="auto"/>
        <w:bottom w:val="none" w:sz="0" w:space="0" w:color="auto"/>
        <w:right w:val="none" w:sz="0" w:space="0" w:color="auto"/>
      </w:divBdr>
    </w:div>
    <w:div w:id="1453667731">
      <w:bodyDiv w:val="1"/>
      <w:marLeft w:val="0"/>
      <w:marRight w:val="0"/>
      <w:marTop w:val="0"/>
      <w:marBottom w:val="0"/>
      <w:divBdr>
        <w:top w:val="none" w:sz="0" w:space="0" w:color="auto"/>
        <w:left w:val="none" w:sz="0" w:space="0" w:color="auto"/>
        <w:bottom w:val="none" w:sz="0" w:space="0" w:color="auto"/>
        <w:right w:val="none" w:sz="0" w:space="0" w:color="auto"/>
      </w:divBdr>
    </w:div>
    <w:div w:id="1538464873">
      <w:bodyDiv w:val="1"/>
      <w:marLeft w:val="0"/>
      <w:marRight w:val="0"/>
      <w:marTop w:val="0"/>
      <w:marBottom w:val="0"/>
      <w:divBdr>
        <w:top w:val="none" w:sz="0" w:space="0" w:color="auto"/>
        <w:left w:val="none" w:sz="0" w:space="0" w:color="auto"/>
        <w:bottom w:val="none" w:sz="0" w:space="0" w:color="auto"/>
        <w:right w:val="none" w:sz="0" w:space="0" w:color="auto"/>
      </w:divBdr>
    </w:div>
    <w:div w:id="1555845483">
      <w:bodyDiv w:val="1"/>
      <w:marLeft w:val="0"/>
      <w:marRight w:val="0"/>
      <w:marTop w:val="0"/>
      <w:marBottom w:val="0"/>
      <w:divBdr>
        <w:top w:val="none" w:sz="0" w:space="0" w:color="auto"/>
        <w:left w:val="none" w:sz="0" w:space="0" w:color="auto"/>
        <w:bottom w:val="none" w:sz="0" w:space="0" w:color="auto"/>
        <w:right w:val="none" w:sz="0" w:space="0" w:color="auto"/>
      </w:divBdr>
    </w:div>
    <w:div w:id="1556548584">
      <w:bodyDiv w:val="1"/>
      <w:marLeft w:val="0"/>
      <w:marRight w:val="0"/>
      <w:marTop w:val="0"/>
      <w:marBottom w:val="0"/>
      <w:divBdr>
        <w:top w:val="none" w:sz="0" w:space="0" w:color="auto"/>
        <w:left w:val="none" w:sz="0" w:space="0" w:color="auto"/>
        <w:bottom w:val="none" w:sz="0" w:space="0" w:color="auto"/>
        <w:right w:val="none" w:sz="0" w:space="0" w:color="auto"/>
      </w:divBdr>
    </w:div>
    <w:div w:id="1569487702">
      <w:bodyDiv w:val="1"/>
      <w:marLeft w:val="0"/>
      <w:marRight w:val="0"/>
      <w:marTop w:val="0"/>
      <w:marBottom w:val="0"/>
      <w:divBdr>
        <w:top w:val="none" w:sz="0" w:space="0" w:color="auto"/>
        <w:left w:val="none" w:sz="0" w:space="0" w:color="auto"/>
        <w:bottom w:val="none" w:sz="0" w:space="0" w:color="auto"/>
        <w:right w:val="none" w:sz="0" w:space="0" w:color="auto"/>
      </w:divBdr>
    </w:div>
    <w:div w:id="1583177233">
      <w:bodyDiv w:val="1"/>
      <w:marLeft w:val="0"/>
      <w:marRight w:val="0"/>
      <w:marTop w:val="0"/>
      <w:marBottom w:val="0"/>
      <w:divBdr>
        <w:top w:val="none" w:sz="0" w:space="0" w:color="auto"/>
        <w:left w:val="none" w:sz="0" w:space="0" w:color="auto"/>
        <w:bottom w:val="none" w:sz="0" w:space="0" w:color="auto"/>
        <w:right w:val="none" w:sz="0" w:space="0" w:color="auto"/>
      </w:divBdr>
      <w:divsChild>
        <w:div w:id="49153664">
          <w:marLeft w:val="0"/>
          <w:marRight w:val="0"/>
          <w:marTop w:val="0"/>
          <w:marBottom w:val="0"/>
          <w:divBdr>
            <w:top w:val="none" w:sz="0" w:space="0" w:color="auto"/>
            <w:left w:val="none" w:sz="0" w:space="0" w:color="auto"/>
            <w:bottom w:val="none" w:sz="0" w:space="0" w:color="auto"/>
            <w:right w:val="none" w:sz="0" w:space="0" w:color="auto"/>
          </w:divBdr>
        </w:div>
        <w:div w:id="67575328">
          <w:marLeft w:val="0"/>
          <w:marRight w:val="0"/>
          <w:marTop w:val="0"/>
          <w:marBottom w:val="0"/>
          <w:divBdr>
            <w:top w:val="none" w:sz="0" w:space="0" w:color="auto"/>
            <w:left w:val="none" w:sz="0" w:space="0" w:color="auto"/>
            <w:bottom w:val="none" w:sz="0" w:space="0" w:color="auto"/>
            <w:right w:val="none" w:sz="0" w:space="0" w:color="auto"/>
          </w:divBdr>
        </w:div>
        <w:div w:id="165637463">
          <w:marLeft w:val="0"/>
          <w:marRight w:val="0"/>
          <w:marTop w:val="0"/>
          <w:marBottom w:val="0"/>
          <w:divBdr>
            <w:top w:val="none" w:sz="0" w:space="0" w:color="auto"/>
            <w:left w:val="none" w:sz="0" w:space="0" w:color="auto"/>
            <w:bottom w:val="none" w:sz="0" w:space="0" w:color="auto"/>
            <w:right w:val="none" w:sz="0" w:space="0" w:color="auto"/>
          </w:divBdr>
        </w:div>
        <w:div w:id="269632639">
          <w:marLeft w:val="0"/>
          <w:marRight w:val="0"/>
          <w:marTop w:val="0"/>
          <w:marBottom w:val="0"/>
          <w:divBdr>
            <w:top w:val="none" w:sz="0" w:space="0" w:color="auto"/>
            <w:left w:val="none" w:sz="0" w:space="0" w:color="auto"/>
            <w:bottom w:val="none" w:sz="0" w:space="0" w:color="auto"/>
            <w:right w:val="none" w:sz="0" w:space="0" w:color="auto"/>
          </w:divBdr>
        </w:div>
        <w:div w:id="290869874">
          <w:marLeft w:val="0"/>
          <w:marRight w:val="0"/>
          <w:marTop w:val="0"/>
          <w:marBottom w:val="0"/>
          <w:divBdr>
            <w:top w:val="none" w:sz="0" w:space="0" w:color="auto"/>
            <w:left w:val="none" w:sz="0" w:space="0" w:color="auto"/>
            <w:bottom w:val="none" w:sz="0" w:space="0" w:color="auto"/>
            <w:right w:val="none" w:sz="0" w:space="0" w:color="auto"/>
          </w:divBdr>
        </w:div>
        <w:div w:id="333530506">
          <w:marLeft w:val="0"/>
          <w:marRight w:val="0"/>
          <w:marTop w:val="0"/>
          <w:marBottom w:val="0"/>
          <w:divBdr>
            <w:top w:val="none" w:sz="0" w:space="0" w:color="auto"/>
            <w:left w:val="none" w:sz="0" w:space="0" w:color="auto"/>
            <w:bottom w:val="none" w:sz="0" w:space="0" w:color="auto"/>
            <w:right w:val="none" w:sz="0" w:space="0" w:color="auto"/>
          </w:divBdr>
        </w:div>
        <w:div w:id="561647346">
          <w:marLeft w:val="0"/>
          <w:marRight w:val="0"/>
          <w:marTop w:val="0"/>
          <w:marBottom w:val="0"/>
          <w:divBdr>
            <w:top w:val="none" w:sz="0" w:space="0" w:color="auto"/>
            <w:left w:val="none" w:sz="0" w:space="0" w:color="auto"/>
            <w:bottom w:val="none" w:sz="0" w:space="0" w:color="auto"/>
            <w:right w:val="none" w:sz="0" w:space="0" w:color="auto"/>
          </w:divBdr>
        </w:div>
        <w:div w:id="891846506">
          <w:marLeft w:val="0"/>
          <w:marRight w:val="0"/>
          <w:marTop w:val="0"/>
          <w:marBottom w:val="0"/>
          <w:divBdr>
            <w:top w:val="none" w:sz="0" w:space="0" w:color="auto"/>
            <w:left w:val="none" w:sz="0" w:space="0" w:color="auto"/>
            <w:bottom w:val="none" w:sz="0" w:space="0" w:color="auto"/>
            <w:right w:val="none" w:sz="0" w:space="0" w:color="auto"/>
          </w:divBdr>
        </w:div>
        <w:div w:id="993413165">
          <w:marLeft w:val="0"/>
          <w:marRight w:val="0"/>
          <w:marTop w:val="0"/>
          <w:marBottom w:val="0"/>
          <w:divBdr>
            <w:top w:val="none" w:sz="0" w:space="0" w:color="auto"/>
            <w:left w:val="none" w:sz="0" w:space="0" w:color="auto"/>
            <w:bottom w:val="none" w:sz="0" w:space="0" w:color="auto"/>
            <w:right w:val="none" w:sz="0" w:space="0" w:color="auto"/>
          </w:divBdr>
        </w:div>
        <w:div w:id="1023479986">
          <w:marLeft w:val="0"/>
          <w:marRight w:val="0"/>
          <w:marTop w:val="0"/>
          <w:marBottom w:val="0"/>
          <w:divBdr>
            <w:top w:val="none" w:sz="0" w:space="0" w:color="auto"/>
            <w:left w:val="none" w:sz="0" w:space="0" w:color="auto"/>
            <w:bottom w:val="none" w:sz="0" w:space="0" w:color="auto"/>
            <w:right w:val="none" w:sz="0" w:space="0" w:color="auto"/>
          </w:divBdr>
        </w:div>
        <w:div w:id="1040979341">
          <w:marLeft w:val="0"/>
          <w:marRight w:val="0"/>
          <w:marTop w:val="0"/>
          <w:marBottom w:val="0"/>
          <w:divBdr>
            <w:top w:val="none" w:sz="0" w:space="0" w:color="auto"/>
            <w:left w:val="none" w:sz="0" w:space="0" w:color="auto"/>
            <w:bottom w:val="none" w:sz="0" w:space="0" w:color="auto"/>
            <w:right w:val="none" w:sz="0" w:space="0" w:color="auto"/>
          </w:divBdr>
        </w:div>
        <w:div w:id="1103961400">
          <w:marLeft w:val="0"/>
          <w:marRight w:val="0"/>
          <w:marTop w:val="0"/>
          <w:marBottom w:val="0"/>
          <w:divBdr>
            <w:top w:val="none" w:sz="0" w:space="0" w:color="auto"/>
            <w:left w:val="none" w:sz="0" w:space="0" w:color="auto"/>
            <w:bottom w:val="none" w:sz="0" w:space="0" w:color="auto"/>
            <w:right w:val="none" w:sz="0" w:space="0" w:color="auto"/>
          </w:divBdr>
        </w:div>
        <w:div w:id="1295939273">
          <w:marLeft w:val="0"/>
          <w:marRight w:val="0"/>
          <w:marTop w:val="0"/>
          <w:marBottom w:val="0"/>
          <w:divBdr>
            <w:top w:val="none" w:sz="0" w:space="0" w:color="auto"/>
            <w:left w:val="none" w:sz="0" w:space="0" w:color="auto"/>
            <w:bottom w:val="none" w:sz="0" w:space="0" w:color="auto"/>
            <w:right w:val="none" w:sz="0" w:space="0" w:color="auto"/>
          </w:divBdr>
        </w:div>
        <w:div w:id="1304581783">
          <w:marLeft w:val="0"/>
          <w:marRight w:val="0"/>
          <w:marTop w:val="0"/>
          <w:marBottom w:val="0"/>
          <w:divBdr>
            <w:top w:val="none" w:sz="0" w:space="0" w:color="auto"/>
            <w:left w:val="none" w:sz="0" w:space="0" w:color="auto"/>
            <w:bottom w:val="none" w:sz="0" w:space="0" w:color="auto"/>
            <w:right w:val="none" w:sz="0" w:space="0" w:color="auto"/>
          </w:divBdr>
        </w:div>
        <w:div w:id="1352998778">
          <w:marLeft w:val="0"/>
          <w:marRight w:val="0"/>
          <w:marTop w:val="0"/>
          <w:marBottom w:val="0"/>
          <w:divBdr>
            <w:top w:val="none" w:sz="0" w:space="0" w:color="auto"/>
            <w:left w:val="none" w:sz="0" w:space="0" w:color="auto"/>
            <w:bottom w:val="none" w:sz="0" w:space="0" w:color="auto"/>
            <w:right w:val="none" w:sz="0" w:space="0" w:color="auto"/>
          </w:divBdr>
        </w:div>
        <w:div w:id="1519080043">
          <w:marLeft w:val="0"/>
          <w:marRight w:val="0"/>
          <w:marTop w:val="0"/>
          <w:marBottom w:val="0"/>
          <w:divBdr>
            <w:top w:val="none" w:sz="0" w:space="0" w:color="auto"/>
            <w:left w:val="none" w:sz="0" w:space="0" w:color="auto"/>
            <w:bottom w:val="none" w:sz="0" w:space="0" w:color="auto"/>
            <w:right w:val="none" w:sz="0" w:space="0" w:color="auto"/>
          </w:divBdr>
        </w:div>
        <w:div w:id="1588032111">
          <w:marLeft w:val="0"/>
          <w:marRight w:val="0"/>
          <w:marTop w:val="0"/>
          <w:marBottom w:val="0"/>
          <w:divBdr>
            <w:top w:val="none" w:sz="0" w:space="0" w:color="auto"/>
            <w:left w:val="none" w:sz="0" w:space="0" w:color="auto"/>
            <w:bottom w:val="none" w:sz="0" w:space="0" w:color="auto"/>
            <w:right w:val="none" w:sz="0" w:space="0" w:color="auto"/>
          </w:divBdr>
        </w:div>
        <w:div w:id="1882329263">
          <w:marLeft w:val="0"/>
          <w:marRight w:val="0"/>
          <w:marTop w:val="0"/>
          <w:marBottom w:val="0"/>
          <w:divBdr>
            <w:top w:val="none" w:sz="0" w:space="0" w:color="auto"/>
            <w:left w:val="none" w:sz="0" w:space="0" w:color="auto"/>
            <w:bottom w:val="none" w:sz="0" w:space="0" w:color="auto"/>
            <w:right w:val="none" w:sz="0" w:space="0" w:color="auto"/>
          </w:divBdr>
        </w:div>
        <w:div w:id="1898394577">
          <w:marLeft w:val="0"/>
          <w:marRight w:val="0"/>
          <w:marTop w:val="0"/>
          <w:marBottom w:val="0"/>
          <w:divBdr>
            <w:top w:val="none" w:sz="0" w:space="0" w:color="auto"/>
            <w:left w:val="none" w:sz="0" w:space="0" w:color="auto"/>
            <w:bottom w:val="none" w:sz="0" w:space="0" w:color="auto"/>
            <w:right w:val="none" w:sz="0" w:space="0" w:color="auto"/>
          </w:divBdr>
        </w:div>
        <w:div w:id="1943226430">
          <w:marLeft w:val="0"/>
          <w:marRight w:val="0"/>
          <w:marTop w:val="0"/>
          <w:marBottom w:val="0"/>
          <w:divBdr>
            <w:top w:val="none" w:sz="0" w:space="0" w:color="auto"/>
            <w:left w:val="none" w:sz="0" w:space="0" w:color="auto"/>
            <w:bottom w:val="none" w:sz="0" w:space="0" w:color="auto"/>
            <w:right w:val="none" w:sz="0" w:space="0" w:color="auto"/>
          </w:divBdr>
        </w:div>
        <w:div w:id="2008170252">
          <w:marLeft w:val="0"/>
          <w:marRight w:val="0"/>
          <w:marTop w:val="0"/>
          <w:marBottom w:val="0"/>
          <w:divBdr>
            <w:top w:val="none" w:sz="0" w:space="0" w:color="auto"/>
            <w:left w:val="none" w:sz="0" w:space="0" w:color="auto"/>
            <w:bottom w:val="none" w:sz="0" w:space="0" w:color="auto"/>
            <w:right w:val="none" w:sz="0" w:space="0" w:color="auto"/>
          </w:divBdr>
        </w:div>
      </w:divsChild>
    </w:div>
    <w:div w:id="1625847797">
      <w:bodyDiv w:val="1"/>
      <w:marLeft w:val="0"/>
      <w:marRight w:val="0"/>
      <w:marTop w:val="0"/>
      <w:marBottom w:val="0"/>
      <w:divBdr>
        <w:top w:val="none" w:sz="0" w:space="0" w:color="auto"/>
        <w:left w:val="none" w:sz="0" w:space="0" w:color="auto"/>
        <w:bottom w:val="none" w:sz="0" w:space="0" w:color="auto"/>
        <w:right w:val="none" w:sz="0" w:space="0" w:color="auto"/>
      </w:divBdr>
    </w:div>
    <w:div w:id="1646003757">
      <w:bodyDiv w:val="1"/>
      <w:marLeft w:val="0"/>
      <w:marRight w:val="0"/>
      <w:marTop w:val="0"/>
      <w:marBottom w:val="0"/>
      <w:divBdr>
        <w:top w:val="none" w:sz="0" w:space="0" w:color="auto"/>
        <w:left w:val="none" w:sz="0" w:space="0" w:color="auto"/>
        <w:bottom w:val="none" w:sz="0" w:space="0" w:color="auto"/>
        <w:right w:val="none" w:sz="0" w:space="0" w:color="auto"/>
      </w:divBdr>
      <w:divsChild>
        <w:div w:id="1889536023">
          <w:marLeft w:val="0"/>
          <w:marRight w:val="0"/>
          <w:marTop w:val="0"/>
          <w:marBottom w:val="0"/>
          <w:divBdr>
            <w:top w:val="none" w:sz="0" w:space="0" w:color="auto"/>
            <w:left w:val="none" w:sz="0" w:space="0" w:color="auto"/>
            <w:bottom w:val="none" w:sz="0" w:space="0" w:color="auto"/>
            <w:right w:val="none" w:sz="0" w:space="0" w:color="auto"/>
          </w:divBdr>
        </w:div>
        <w:div w:id="1914776879">
          <w:marLeft w:val="0"/>
          <w:marRight w:val="0"/>
          <w:marTop w:val="0"/>
          <w:marBottom w:val="0"/>
          <w:divBdr>
            <w:top w:val="none" w:sz="0" w:space="0" w:color="auto"/>
            <w:left w:val="none" w:sz="0" w:space="0" w:color="auto"/>
            <w:bottom w:val="none" w:sz="0" w:space="0" w:color="auto"/>
            <w:right w:val="none" w:sz="0" w:space="0" w:color="auto"/>
          </w:divBdr>
        </w:div>
      </w:divsChild>
    </w:div>
    <w:div w:id="1651403113">
      <w:bodyDiv w:val="1"/>
      <w:marLeft w:val="0"/>
      <w:marRight w:val="0"/>
      <w:marTop w:val="0"/>
      <w:marBottom w:val="0"/>
      <w:divBdr>
        <w:top w:val="none" w:sz="0" w:space="0" w:color="auto"/>
        <w:left w:val="none" w:sz="0" w:space="0" w:color="auto"/>
        <w:bottom w:val="none" w:sz="0" w:space="0" w:color="auto"/>
        <w:right w:val="none" w:sz="0" w:space="0" w:color="auto"/>
      </w:divBdr>
    </w:div>
    <w:div w:id="1674599421">
      <w:bodyDiv w:val="1"/>
      <w:marLeft w:val="0"/>
      <w:marRight w:val="0"/>
      <w:marTop w:val="0"/>
      <w:marBottom w:val="0"/>
      <w:divBdr>
        <w:top w:val="none" w:sz="0" w:space="0" w:color="auto"/>
        <w:left w:val="none" w:sz="0" w:space="0" w:color="auto"/>
        <w:bottom w:val="none" w:sz="0" w:space="0" w:color="auto"/>
        <w:right w:val="none" w:sz="0" w:space="0" w:color="auto"/>
      </w:divBdr>
    </w:div>
    <w:div w:id="1938250233">
      <w:bodyDiv w:val="1"/>
      <w:marLeft w:val="0"/>
      <w:marRight w:val="0"/>
      <w:marTop w:val="0"/>
      <w:marBottom w:val="0"/>
      <w:divBdr>
        <w:top w:val="none" w:sz="0" w:space="0" w:color="auto"/>
        <w:left w:val="none" w:sz="0" w:space="0" w:color="auto"/>
        <w:bottom w:val="none" w:sz="0" w:space="0" w:color="auto"/>
        <w:right w:val="none" w:sz="0" w:space="0" w:color="auto"/>
      </w:divBdr>
    </w:div>
    <w:div w:id="1962229572">
      <w:bodyDiv w:val="1"/>
      <w:marLeft w:val="0"/>
      <w:marRight w:val="0"/>
      <w:marTop w:val="0"/>
      <w:marBottom w:val="0"/>
      <w:divBdr>
        <w:top w:val="none" w:sz="0" w:space="0" w:color="auto"/>
        <w:left w:val="none" w:sz="0" w:space="0" w:color="auto"/>
        <w:bottom w:val="none" w:sz="0" w:space="0" w:color="auto"/>
        <w:right w:val="none" w:sz="0" w:space="0" w:color="auto"/>
      </w:divBdr>
    </w:div>
    <w:div w:id="1994335479">
      <w:bodyDiv w:val="1"/>
      <w:marLeft w:val="0"/>
      <w:marRight w:val="0"/>
      <w:marTop w:val="0"/>
      <w:marBottom w:val="0"/>
      <w:divBdr>
        <w:top w:val="none" w:sz="0" w:space="0" w:color="auto"/>
        <w:left w:val="none" w:sz="0" w:space="0" w:color="auto"/>
        <w:bottom w:val="none" w:sz="0" w:space="0" w:color="auto"/>
        <w:right w:val="none" w:sz="0" w:space="0" w:color="auto"/>
      </w:divBdr>
    </w:div>
    <w:div w:id="20121804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kaja.fenn@liverpool.ac.uk" TargetMode="External"/><Relationship Id="rId13" Type="http://schemas.openxmlformats.org/officeDocument/2006/relationships/image" Target="media/image4.jpg"/><Relationship Id="rId18"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5" Type="http://schemas.openxmlformats.org/officeDocument/2006/relationships/webSettings" Target="webSettings.xml"/><Relationship Id="rId15" Type="http://schemas.openxmlformats.org/officeDocument/2006/relationships/image" Target="media/image6.jpeg"/><Relationship Id="rId10" Type="http://schemas.openxmlformats.org/officeDocument/2006/relationships/image" Target="media/image1.jpeg"/><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7DB39C-329A-41B9-8900-E8CE9A8716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166876</Words>
  <Characters>951195</Characters>
  <Application>Microsoft Office Word</Application>
  <DocSecurity>0</DocSecurity>
  <Lines>7926</Lines>
  <Paragraphs>2231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1115840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Kaja Fenn</dc:creator>
  <cp:keywords/>
  <dc:description/>
  <cp:lastModifiedBy>Fenn, Kaja</cp:lastModifiedBy>
  <cp:revision>4</cp:revision>
  <cp:lastPrinted>2021-06-09T15:32:00Z</cp:lastPrinted>
  <dcterms:created xsi:type="dcterms:W3CDTF">2021-11-17T11:47:00Z</dcterms:created>
  <dcterms:modified xsi:type="dcterms:W3CDTF">2021-11-17T11:47:00Z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http://www.zotero.org/styles/annual-reviews-without-titles</vt:lpwstr>
  </property>
  <property fmtid="{D5CDD505-2E9C-101B-9397-08002B2CF9AE}" pid="5" name="Mendeley Recent Style Name 1_1">
    <vt:lpwstr>Annual Reviews (sorted by order of appearance, without titles)</vt:lpwstr>
  </property>
  <property fmtid="{D5CDD505-2E9C-101B-9397-08002B2CF9AE}" pid="6" name="Mendeley Recent Style Id 2_1">
    <vt:lpwstr>http://www.zotero.org/styles/harvard-cite-them-right</vt:lpwstr>
  </property>
  <property fmtid="{D5CDD505-2E9C-101B-9397-08002B2CF9AE}" pid="7" name="Mendeley Recent Style Name 2_1">
    <vt:lpwstr>Cite Them Right 10th edition - Harvard</vt:lpwstr>
  </property>
  <property fmtid="{D5CDD505-2E9C-101B-9397-08002B2CF9AE}" pid="8" name="Mendeley Recent Style Id 3_1">
    <vt:lpwstr>http://www.zotero.org/styles/earth-and-planetary-science-letters</vt:lpwstr>
  </property>
  <property fmtid="{D5CDD505-2E9C-101B-9397-08002B2CF9AE}" pid="9" name="Mendeley Recent Style Name 3_1">
    <vt:lpwstr>Earth and Planetary Science Letters</vt:lpwstr>
  </property>
  <property fmtid="{D5CDD505-2E9C-101B-9397-08002B2CF9AE}" pid="10" name="Mendeley Recent Style Id 4_1">
    <vt:lpwstr>http://www.zotero.org/styles/elsevier-harvard2</vt:lpwstr>
  </property>
  <property fmtid="{D5CDD505-2E9C-101B-9397-08002B2CF9AE}" pid="11" name="Mendeley Recent Style Name 4_1">
    <vt:lpwstr>Elsevier - Harvard 2</vt:lpwstr>
  </property>
  <property fmtid="{D5CDD505-2E9C-101B-9397-08002B2CF9AE}" pid="12" name="Mendeley Recent Style Id 5_1">
    <vt:lpwstr>http://www.zotero.org/styles/molecular-metabolism</vt:lpwstr>
  </property>
  <property fmtid="{D5CDD505-2E9C-101B-9397-08002B2CF9AE}" pid="13" name="Mendeley Recent Style Name 5_1">
    <vt:lpwstr>Molecular Metabolism</vt:lpwstr>
  </property>
  <property fmtid="{D5CDD505-2E9C-101B-9397-08002B2CF9AE}" pid="14" name="Mendeley Recent Style Id 6_1">
    <vt:lpwstr>http://www.zotero.org/styles/nature</vt:lpwstr>
  </property>
  <property fmtid="{D5CDD505-2E9C-101B-9397-08002B2CF9AE}" pid="15" name="Mendeley Recent Style Name 6_1">
    <vt:lpwstr>Nature</vt:lpwstr>
  </property>
  <property fmtid="{D5CDD505-2E9C-101B-9397-08002B2CF9AE}" pid="16" name="Mendeley Recent Style Id 7_1">
    <vt:lpwstr>http://www.zotero.org/styles/quaternary-geochronology</vt:lpwstr>
  </property>
  <property fmtid="{D5CDD505-2E9C-101B-9397-08002B2CF9AE}" pid="17" name="Mendeley Recent Style Name 7_1">
    <vt:lpwstr>Quaternary Geochronology</vt:lpwstr>
  </property>
  <property fmtid="{D5CDD505-2E9C-101B-9397-08002B2CF9AE}" pid="18" name="Mendeley Recent Style Id 8_1">
    <vt:lpwstr>http://www.zotero.org/styles/quaternary-international</vt:lpwstr>
  </property>
  <property fmtid="{D5CDD505-2E9C-101B-9397-08002B2CF9AE}" pid="19" name="Mendeley Recent Style Name 8_1">
    <vt:lpwstr>Quaternary International</vt:lpwstr>
  </property>
  <property fmtid="{D5CDD505-2E9C-101B-9397-08002B2CF9AE}" pid="20" name="Mendeley Recent Style Id 9_1">
    <vt:lpwstr>http://www.zotero.org/styles/quaternary-science-reviews</vt:lpwstr>
  </property>
  <property fmtid="{D5CDD505-2E9C-101B-9397-08002B2CF9AE}" pid="21" name="Mendeley Recent Style Name 9_1">
    <vt:lpwstr>Quaternary Science Reviews</vt:lpwstr>
  </property>
  <property fmtid="{D5CDD505-2E9C-101B-9397-08002B2CF9AE}" pid="22" name="Mendeley Document_1">
    <vt:lpwstr>True</vt:lpwstr>
  </property>
  <property fmtid="{D5CDD505-2E9C-101B-9397-08002B2CF9AE}" pid="23" name="Mendeley Unique User Id_1">
    <vt:lpwstr>aba322c6-33c0-387f-85c6-f5f4e8a358af</vt:lpwstr>
  </property>
  <property fmtid="{D5CDD505-2E9C-101B-9397-08002B2CF9AE}" pid="24" name="Mendeley Citation Style_1">
    <vt:lpwstr>http://www.zotero.org/styles/quaternary-science-reviews</vt:lpwstr>
  </property>
</Properties>
</file>