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2E21" w14:textId="2375CB0B" w:rsidR="002E76FE" w:rsidRPr="006C24F9" w:rsidRDefault="002E76FE" w:rsidP="006C24F9">
      <w:pPr>
        <w:rPr>
          <w:rFonts w:cstheme="minorHAnsi"/>
          <w:b/>
        </w:rPr>
      </w:pPr>
      <w:bookmarkStart w:id="0" w:name="_GoBack"/>
      <w:bookmarkEnd w:id="0"/>
      <w:r>
        <w:rPr>
          <w:b/>
        </w:rPr>
        <w:t>Title</w:t>
      </w:r>
      <w:bookmarkStart w:id="1" w:name="_Hlk520882471"/>
      <w:r w:rsidR="00951C78">
        <w:rPr>
          <w:b/>
        </w:rPr>
        <w:t xml:space="preserve"> Page</w:t>
      </w:r>
      <w:r w:rsidR="006E647E">
        <w:rPr>
          <w:b/>
        </w:rPr>
        <w:t xml:space="preserve"> </w:t>
      </w:r>
    </w:p>
    <w:p w14:paraId="78FB18B2" w14:textId="77777777" w:rsidR="00951C78" w:rsidRPr="006C24F9" w:rsidRDefault="00951C78" w:rsidP="006C24F9">
      <w:pPr>
        <w:rPr>
          <w:rFonts w:cstheme="minorHAnsi"/>
          <w:b/>
        </w:rPr>
      </w:pPr>
    </w:p>
    <w:p w14:paraId="5E4EC470" w14:textId="174610A8" w:rsidR="00AA32DD" w:rsidRPr="006C24F9" w:rsidRDefault="00AA32DD" w:rsidP="006C24F9">
      <w:pPr>
        <w:rPr>
          <w:rFonts w:cstheme="minorHAnsi"/>
          <w:b/>
        </w:rPr>
      </w:pPr>
      <w:bookmarkStart w:id="2" w:name="_Hlk49588633"/>
      <w:bookmarkEnd w:id="1"/>
      <w:r w:rsidRPr="00AA32DD">
        <w:rPr>
          <w:rFonts w:cstheme="minorHAnsi"/>
          <w:b/>
        </w:rPr>
        <w:t xml:space="preserve">Intentions, </w:t>
      </w:r>
      <w:r>
        <w:rPr>
          <w:rFonts w:cstheme="minorHAnsi"/>
          <w:b/>
        </w:rPr>
        <w:t>A</w:t>
      </w:r>
      <w:r w:rsidRPr="00AA32DD">
        <w:rPr>
          <w:rFonts w:cstheme="minorHAnsi"/>
          <w:b/>
        </w:rPr>
        <w:t xml:space="preserve">ctions and </w:t>
      </w:r>
      <w:r>
        <w:rPr>
          <w:rFonts w:cstheme="minorHAnsi"/>
          <w:b/>
        </w:rPr>
        <w:t>O</w:t>
      </w:r>
      <w:r w:rsidRPr="00AA32DD">
        <w:rPr>
          <w:rFonts w:cstheme="minorHAnsi"/>
          <w:b/>
        </w:rPr>
        <w:t xml:space="preserve">utcomes: </w:t>
      </w:r>
      <w:r>
        <w:rPr>
          <w:rFonts w:cstheme="minorHAnsi"/>
          <w:b/>
        </w:rPr>
        <w:t>A</w:t>
      </w:r>
      <w:r w:rsidRPr="00AA32DD">
        <w:rPr>
          <w:rFonts w:cstheme="minorHAnsi"/>
          <w:b/>
        </w:rPr>
        <w:t xml:space="preserve"> follow up survey on harm reduction practices </w:t>
      </w:r>
      <w:r>
        <w:rPr>
          <w:rFonts w:cstheme="minorHAnsi"/>
          <w:b/>
        </w:rPr>
        <w:t xml:space="preserve">after </w:t>
      </w:r>
      <w:r w:rsidR="0052150A">
        <w:rPr>
          <w:rFonts w:cstheme="minorHAnsi"/>
          <w:b/>
        </w:rPr>
        <w:t xml:space="preserve">using </w:t>
      </w:r>
      <w:r w:rsidRPr="00AA32DD">
        <w:rPr>
          <w:rFonts w:cstheme="minorHAnsi"/>
          <w:b/>
        </w:rPr>
        <w:t>an English festival drug checking service</w:t>
      </w:r>
    </w:p>
    <w:bookmarkEnd w:id="2"/>
    <w:p w14:paraId="385D9AAF" w14:textId="1B42E64F" w:rsidR="00AA0F08" w:rsidRDefault="00AA0F08" w:rsidP="006C24F9">
      <w:pPr>
        <w:rPr>
          <w:rFonts w:cstheme="minorHAnsi"/>
        </w:rPr>
      </w:pPr>
    </w:p>
    <w:p w14:paraId="708A2463" w14:textId="77777777" w:rsidR="00F32C78" w:rsidRPr="006C24F9" w:rsidRDefault="00F32C78" w:rsidP="006C24F9">
      <w:pPr>
        <w:rPr>
          <w:rFonts w:cstheme="minorHAnsi"/>
        </w:rPr>
      </w:pPr>
    </w:p>
    <w:p w14:paraId="3BE9F134" w14:textId="71C32829" w:rsidR="002E76FE" w:rsidRPr="006C24F9" w:rsidRDefault="000C7C42" w:rsidP="006C24F9">
      <w:pPr>
        <w:rPr>
          <w:rFonts w:cstheme="minorHAnsi"/>
        </w:rPr>
      </w:pPr>
      <w:r w:rsidRPr="006C24F9">
        <w:rPr>
          <w:rFonts w:cstheme="minorHAnsi"/>
          <w:b/>
        </w:rPr>
        <w:t xml:space="preserve">Author </w:t>
      </w:r>
      <w:r w:rsidR="00F56845" w:rsidRPr="006C24F9">
        <w:rPr>
          <w:rFonts w:cstheme="minorHAnsi"/>
          <w:b/>
        </w:rPr>
        <w:t xml:space="preserve">names and </w:t>
      </w:r>
      <w:r w:rsidRPr="006C24F9">
        <w:rPr>
          <w:rFonts w:cstheme="minorHAnsi"/>
          <w:b/>
        </w:rPr>
        <w:t>affiliations</w:t>
      </w:r>
      <w:r w:rsidR="00F56845" w:rsidRPr="006C24F9">
        <w:rPr>
          <w:rFonts w:cstheme="minorHAnsi"/>
          <w:b/>
        </w:rPr>
        <w:t>:</w:t>
      </w:r>
    </w:p>
    <w:p w14:paraId="5DF88914" w14:textId="40F6FF8A" w:rsidR="00366B20" w:rsidRPr="006C24F9" w:rsidRDefault="00366B20" w:rsidP="006C24F9">
      <w:pPr>
        <w:rPr>
          <w:rFonts w:cstheme="minorHAnsi"/>
        </w:rPr>
      </w:pPr>
      <w:r w:rsidRPr="006C24F9">
        <w:rPr>
          <w:rFonts w:cstheme="minorHAnsi"/>
        </w:rPr>
        <w:t xml:space="preserve">Professor </w:t>
      </w:r>
      <w:r w:rsidR="000C7C42" w:rsidRPr="006C24F9">
        <w:rPr>
          <w:rFonts w:cstheme="minorHAnsi"/>
        </w:rPr>
        <w:t>Fiona Measham</w:t>
      </w:r>
      <w:r w:rsidR="00F56845" w:rsidRPr="006C24F9">
        <w:rPr>
          <w:rFonts w:cstheme="minorHAnsi"/>
        </w:rPr>
        <w:t xml:space="preserve"> (corresponding author)</w:t>
      </w:r>
    </w:p>
    <w:p w14:paraId="27813863" w14:textId="30E718E3" w:rsidR="00366B20" w:rsidRPr="006C24F9" w:rsidRDefault="00366B20" w:rsidP="006C24F9">
      <w:pPr>
        <w:rPr>
          <w:rFonts w:cstheme="minorHAnsi"/>
        </w:rPr>
      </w:pPr>
      <w:r w:rsidRPr="006C24F9">
        <w:rPr>
          <w:rFonts w:cstheme="minorHAnsi"/>
        </w:rPr>
        <w:t>Chair in Criminology</w:t>
      </w:r>
    </w:p>
    <w:p w14:paraId="3205A895" w14:textId="07E45629" w:rsidR="00366B20" w:rsidRPr="006C24F9" w:rsidRDefault="00366B20" w:rsidP="006C24F9">
      <w:pPr>
        <w:rPr>
          <w:rFonts w:cstheme="minorHAnsi"/>
        </w:rPr>
      </w:pPr>
      <w:r w:rsidRPr="006C24F9">
        <w:rPr>
          <w:rFonts w:cstheme="minorHAnsi"/>
        </w:rPr>
        <w:t>University of Liverpool</w:t>
      </w:r>
    </w:p>
    <w:p w14:paraId="094F4C13" w14:textId="2AC3A377" w:rsidR="000C7C42" w:rsidRPr="006C24F9" w:rsidRDefault="00BC4110" w:rsidP="006C24F9">
      <w:pPr>
        <w:rPr>
          <w:rFonts w:cstheme="minorHAnsi"/>
        </w:rPr>
      </w:pPr>
      <w:r w:rsidRPr="006C24F9">
        <w:rPr>
          <w:rFonts w:cstheme="minorHAnsi"/>
        </w:rPr>
        <w:t xml:space="preserve">Liverpool, </w:t>
      </w:r>
      <w:r w:rsidR="00366B20" w:rsidRPr="006C24F9">
        <w:rPr>
          <w:rFonts w:cstheme="minorHAnsi"/>
        </w:rPr>
        <w:t>UK</w:t>
      </w:r>
      <w:r w:rsidR="007060D6" w:rsidRPr="006C24F9">
        <w:rPr>
          <w:rFonts w:cstheme="minorHAnsi"/>
        </w:rPr>
        <w:t>.</w:t>
      </w:r>
    </w:p>
    <w:p w14:paraId="099EBBCA" w14:textId="2996F7AC" w:rsidR="00E95525" w:rsidRPr="006C24F9" w:rsidRDefault="00E95525" w:rsidP="006C24F9">
      <w:pPr>
        <w:rPr>
          <w:rFonts w:cstheme="minorHAnsi"/>
        </w:rPr>
      </w:pPr>
      <w:r w:rsidRPr="006C24F9">
        <w:rPr>
          <w:rFonts w:cstheme="minorHAnsi"/>
        </w:rPr>
        <w:t>&amp;</w:t>
      </w:r>
    </w:p>
    <w:p w14:paraId="42261BB7" w14:textId="0C77B3DE" w:rsidR="000C7C42" w:rsidRPr="006C24F9" w:rsidRDefault="00E95525" w:rsidP="006C24F9">
      <w:pPr>
        <w:rPr>
          <w:rFonts w:cstheme="minorHAnsi"/>
        </w:rPr>
      </w:pPr>
      <w:r w:rsidRPr="006C24F9">
        <w:rPr>
          <w:rFonts w:cstheme="minorHAnsi"/>
        </w:rPr>
        <w:t>Honorary Professor</w:t>
      </w:r>
    </w:p>
    <w:p w14:paraId="673C0D82" w14:textId="03FF89FE" w:rsidR="00E95525" w:rsidRPr="006C24F9" w:rsidRDefault="00E95525" w:rsidP="006C24F9">
      <w:pPr>
        <w:rPr>
          <w:rFonts w:cstheme="minorHAnsi"/>
        </w:rPr>
      </w:pPr>
      <w:r w:rsidRPr="006C24F9">
        <w:rPr>
          <w:rFonts w:cstheme="minorHAnsi"/>
        </w:rPr>
        <w:t>RMIT</w:t>
      </w:r>
      <w:r w:rsidR="00BC4110" w:rsidRPr="006C24F9">
        <w:rPr>
          <w:rFonts w:cstheme="minorHAnsi"/>
        </w:rPr>
        <w:t xml:space="preserve"> University</w:t>
      </w:r>
    </w:p>
    <w:p w14:paraId="09CA3AD9" w14:textId="67D552A8" w:rsidR="00E95525" w:rsidRPr="006C24F9" w:rsidRDefault="00BC4110" w:rsidP="006C24F9">
      <w:pPr>
        <w:rPr>
          <w:rFonts w:cstheme="minorHAnsi"/>
        </w:rPr>
      </w:pPr>
      <w:r w:rsidRPr="006C24F9">
        <w:rPr>
          <w:rFonts w:cstheme="minorHAnsi"/>
        </w:rPr>
        <w:t xml:space="preserve">Victoria, </w:t>
      </w:r>
      <w:r w:rsidR="00E95525" w:rsidRPr="006C24F9">
        <w:rPr>
          <w:rFonts w:cstheme="minorHAnsi"/>
        </w:rPr>
        <w:t>Australia</w:t>
      </w:r>
      <w:r w:rsidR="005E7425" w:rsidRPr="006C24F9">
        <w:rPr>
          <w:rFonts w:cstheme="minorHAnsi"/>
        </w:rPr>
        <w:t>.</w:t>
      </w:r>
    </w:p>
    <w:p w14:paraId="396E6C9D" w14:textId="77777777" w:rsidR="00F56845" w:rsidRPr="006C24F9" w:rsidRDefault="00C94FFB" w:rsidP="006C24F9">
      <w:pPr>
        <w:rPr>
          <w:rFonts w:cstheme="minorHAnsi"/>
        </w:rPr>
      </w:pPr>
      <w:hyperlink r:id="rId8" w:history="1">
        <w:r w:rsidR="00F56845" w:rsidRPr="006C24F9">
          <w:rPr>
            <w:rStyle w:val="Hyperlink"/>
            <w:rFonts w:cstheme="minorHAnsi"/>
          </w:rPr>
          <w:t>f.measham@liverpool.ac.uk</w:t>
        </w:r>
      </w:hyperlink>
    </w:p>
    <w:p w14:paraId="528028B2" w14:textId="77777777" w:rsidR="00E95525" w:rsidRPr="006C24F9" w:rsidRDefault="00E95525" w:rsidP="006C24F9">
      <w:pPr>
        <w:rPr>
          <w:rFonts w:cstheme="minorHAnsi"/>
        </w:rPr>
      </w:pPr>
    </w:p>
    <w:p w14:paraId="381F76D5" w14:textId="62FD7FBF" w:rsidR="00366B20" w:rsidRPr="006C24F9" w:rsidRDefault="000C7C42" w:rsidP="006C24F9">
      <w:pPr>
        <w:rPr>
          <w:rFonts w:cstheme="minorHAnsi"/>
        </w:rPr>
      </w:pPr>
      <w:r w:rsidRPr="006C24F9">
        <w:rPr>
          <w:rFonts w:cstheme="minorHAnsi"/>
        </w:rPr>
        <w:t>Dr Gavin Turnbull</w:t>
      </w:r>
    </w:p>
    <w:p w14:paraId="4B0218C4" w14:textId="729C81B4" w:rsidR="000C7C42" w:rsidRPr="006C24F9" w:rsidRDefault="000C7C42" w:rsidP="006C24F9">
      <w:pPr>
        <w:rPr>
          <w:rFonts w:cstheme="minorHAnsi"/>
        </w:rPr>
      </w:pPr>
      <w:r w:rsidRPr="006C24F9">
        <w:rPr>
          <w:rFonts w:cstheme="minorHAnsi"/>
        </w:rPr>
        <w:t xml:space="preserve">Honorary Fellow </w:t>
      </w:r>
    </w:p>
    <w:p w14:paraId="0C4CF348" w14:textId="74CF9D6A" w:rsidR="00366B20" w:rsidRPr="006C24F9" w:rsidRDefault="000C7C42" w:rsidP="006C24F9">
      <w:pPr>
        <w:rPr>
          <w:rFonts w:cstheme="minorHAnsi"/>
        </w:rPr>
      </w:pPr>
      <w:r w:rsidRPr="006C24F9">
        <w:rPr>
          <w:rFonts w:cstheme="minorHAnsi"/>
        </w:rPr>
        <w:t>Durham University</w:t>
      </w:r>
    </w:p>
    <w:p w14:paraId="6EBB9D69" w14:textId="3B995CD6" w:rsidR="000C7C42" w:rsidRPr="006C24F9" w:rsidRDefault="000C7C42" w:rsidP="006C24F9">
      <w:pPr>
        <w:rPr>
          <w:rFonts w:cstheme="minorHAnsi"/>
        </w:rPr>
      </w:pPr>
      <w:r w:rsidRPr="006C24F9">
        <w:rPr>
          <w:rFonts w:cstheme="minorHAnsi"/>
        </w:rPr>
        <w:t xml:space="preserve">Durham, </w:t>
      </w:r>
      <w:r w:rsidR="00366B20" w:rsidRPr="006C24F9">
        <w:rPr>
          <w:rFonts w:cstheme="minorHAnsi"/>
        </w:rPr>
        <w:t>UK</w:t>
      </w:r>
      <w:r w:rsidR="007060D6" w:rsidRPr="006C24F9">
        <w:rPr>
          <w:rFonts w:cstheme="minorHAnsi"/>
        </w:rPr>
        <w:t>.</w:t>
      </w:r>
    </w:p>
    <w:p w14:paraId="15115401" w14:textId="5456FA96" w:rsidR="00F56845" w:rsidRDefault="00F56845" w:rsidP="006C24F9">
      <w:pPr>
        <w:rPr>
          <w:rFonts w:cstheme="minorHAnsi"/>
          <w:b/>
        </w:rPr>
      </w:pPr>
    </w:p>
    <w:p w14:paraId="27D837A4" w14:textId="2CDB5EAE" w:rsidR="00603AC8" w:rsidRDefault="00603AC8" w:rsidP="006C24F9">
      <w:pPr>
        <w:rPr>
          <w:rFonts w:cstheme="minorHAnsi"/>
          <w:b/>
        </w:rPr>
      </w:pPr>
    </w:p>
    <w:p w14:paraId="76CBF35A" w14:textId="77777777" w:rsidR="00603AC8" w:rsidRPr="006C24F9" w:rsidRDefault="00603AC8" w:rsidP="006C24F9">
      <w:pPr>
        <w:rPr>
          <w:rFonts w:cstheme="minorHAnsi"/>
          <w:b/>
        </w:rPr>
      </w:pPr>
    </w:p>
    <w:p w14:paraId="0C4518DD" w14:textId="026BC337" w:rsidR="00625229" w:rsidRPr="006C24F9" w:rsidRDefault="00625229" w:rsidP="006C24F9">
      <w:pPr>
        <w:rPr>
          <w:rFonts w:cstheme="minorHAnsi"/>
          <w:b/>
        </w:rPr>
      </w:pPr>
      <w:r w:rsidRPr="006C24F9">
        <w:rPr>
          <w:rFonts w:cstheme="minorHAnsi"/>
          <w:b/>
        </w:rPr>
        <w:t xml:space="preserve">Running Head: </w:t>
      </w:r>
    </w:p>
    <w:p w14:paraId="78D1AEE5" w14:textId="34871BD7" w:rsidR="00625229" w:rsidRPr="006C24F9" w:rsidRDefault="008745D6" w:rsidP="006C24F9">
      <w:pPr>
        <w:rPr>
          <w:rFonts w:cstheme="minorHAnsi"/>
        </w:rPr>
      </w:pPr>
      <w:r>
        <w:rPr>
          <w:rFonts w:cstheme="minorHAnsi"/>
        </w:rPr>
        <w:t>English</w:t>
      </w:r>
      <w:r w:rsidR="009643C8" w:rsidRPr="006C24F9">
        <w:rPr>
          <w:rFonts w:cstheme="minorHAnsi"/>
        </w:rPr>
        <w:t xml:space="preserve"> festival drug checking </w:t>
      </w:r>
      <w:r w:rsidR="008A65D1">
        <w:rPr>
          <w:rFonts w:cstheme="minorHAnsi"/>
        </w:rPr>
        <w:t xml:space="preserve">follow-up </w:t>
      </w:r>
      <w:r w:rsidR="00B32AC9">
        <w:rPr>
          <w:rFonts w:cstheme="minorHAnsi"/>
        </w:rPr>
        <w:t>study</w:t>
      </w:r>
    </w:p>
    <w:p w14:paraId="485E8FC7" w14:textId="62E4B09C" w:rsidR="00036579" w:rsidRDefault="00036579" w:rsidP="00036579">
      <w:pPr>
        <w:rPr>
          <w:rFonts w:cstheme="minorHAnsi"/>
        </w:rPr>
      </w:pPr>
    </w:p>
    <w:p w14:paraId="7A58300D" w14:textId="77777777" w:rsidR="00B75B18" w:rsidRPr="00036579" w:rsidRDefault="00B75B18" w:rsidP="00036579">
      <w:pPr>
        <w:rPr>
          <w:rFonts w:cstheme="minorHAnsi"/>
        </w:rPr>
      </w:pPr>
    </w:p>
    <w:p w14:paraId="012DA6A9" w14:textId="57CD1223" w:rsidR="0059455D" w:rsidRPr="0059455D" w:rsidRDefault="0059455D" w:rsidP="0059455D">
      <w:pPr>
        <w:rPr>
          <w:rFonts w:cstheme="minorHAnsi"/>
          <w:b/>
        </w:rPr>
      </w:pPr>
      <w:r w:rsidRPr="0059455D">
        <w:rPr>
          <w:rFonts w:cstheme="minorHAnsi"/>
          <w:b/>
        </w:rPr>
        <w:t>Acknowledgements</w:t>
      </w:r>
    </w:p>
    <w:p w14:paraId="4F5F49EE" w14:textId="556A35B6" w:rsidR="0059455D" w:rsidRDefault="0059455D" w:rsidP="0059455D">
      <w:pPr>
        <w:rPr>
          <w:rFonts w:cstheme="minorHAnsi"/>
        </w:rPr>
      </w:pPr>
      <w:r w:rsidRPr="0059455D">
        <w:rPr>
          <w:rFonts w:cstheme="minorHAnsi"/>
        </w:rPr>
        <w:t xml:space="preserve">With thanks to </w:t>
      </w:r>
      <w:r w:rsidR="00036579">
        <w:rPr>
          <w:rFonts w:cstheme="minorHAnsi"/>
        </w:rPr>
        <w:t xml:space="preserve">all </w:t>
      </w:r>
      <w:r w:rsidRPr="0059455D">
        <w:rPr>
          <w:rFonts w:cstheme="minorHAnsi"/>
        </w:rPr>
        <w:t xml:space="preserve">festivals, stakeholders and Loop staff for supporting the delivery of </w:t>
      </w:r>
      <w:r w:rsidR="00036579">
        <w:rPr>
          <w:rFonts w:cstheme="minorHAnsi"/>
        </w:rPr>
        <w:t>drug checking services</w:t>
      </w:r>
      <w:r w:rsidR="001465CB">
        <w:rPr>
          <w:rFonts w:cstheme="minorHAnsi"/>
        </w:rPr>
        <w:t xml:space="preserve"> at the three fieldwork festivals</w:t>
      </w:r>
      <w:r w:rsidRPr="0059455D">
        <w:rPr>
          <w:rFonts w:cstheme="minorHAnsi"/>
        </w:rPr>
        <w:t>.</w:t>
      </w:r>
    </w:p>
    <w:p w14:paraId="669B6A8C" w14:textId="77777777" w:rsidR="00AA0F08" w:rsidRPr="0059455D" w:rsidRDefault="00AA0F08" w:rsidP="0059455D">
      <w:pPr>
        <w:rPr>
          <w:rFonts w:cstheme="minorHAnsi"/>
        </w:rPr>
      </w:pPr>
    </w:p>
    <w:p w14:paraId="50242A46" w14:textId="167694ED" w:rsidR="00CC2CD7" w:rsidRPr="006C24F9" w:rsidRDefault="00CC2CD7" w:rsidP="006C24F9">
      <w:pPr>
        <w:rPr>
          <w:rFonts w:cstheme="minorHAnsi"/>
        </w:rPr>
      </w:pPr>
      <w:r w:rsidRPr="006C24F9">
        <w:rPr>
          <w:rFonts w:cstheme="minorHAnsi"/>
        </w:rPr>
        <w:br w:type="page"/>
      </w:r>
    </w:p>
    <w:p w14:paraId="5E3C053D" w14:textId="77777777" w:rsidR="00CC2CD7" w:rsidRPr="006C24F9" w:rsidRDefault="00CC2CD7" w:rsidP="006C24F9">
      <w:pPr>
        <w:rPr>
          <w:rFonts w:cstheme="minorHAnsi"/>
        </w:rPr>
      </w:pPr>
    </w:p>
    <w:p w14:paraId="633C2DAC" w14:textId="77777777" w:rsidR="0052150A" w:rsidRPr="0052150A" w:rsidRDefault="0052150A" w:rsidP="0052150A">
      <w:pPr>
        <w:outlineLvl w:val="0"/>
        <w:rPr>
          <w:rFonts w:cstheme="minorHAnsi"/>
          <w:b/>
        </w:rPr>
      </w:pPr>
      <w:r w:rsidRPr="0052150A">
        <w:rPr>
          <w:rFonts w:cstheme="minorHAnsi"/>
          <w:b/>
        </w:rPr>
        <w:t>Intentions, Actions and Outcomes: A follow up survey on harm reduction practices after using an English festival drug checking service</w:t>
      </w:r>
    </w:p>
    <w:p w14:paraId="4281D0F9" w14:textId="77777777" w:rsidR="00617FD2" w:rsidRPr="00E04F3F" w:rsidRDefault="00617FD2" w:rsidP="006C24F9">
      <w:pPr>
        <w:outlineLvl w:val="0"/>
        <w:rPr>
          <w:rFonts w:cstheme="minorHAnsi"/>
          <w:b/>
        </w:rPr>
      </w:pPr>
    </w:p>
    <w:p w14:paraId="2E2DAB4C" w14:textId="32109803" w:rsidR="00751624" w:rsidRPr="00E04F3F" w:rsidRDefault="008C6AA0" w:rsidP="006C24F9">
      <w:pPr>
        <w:outlineLvl w:val="0"/>
        <w:rPr>
          <w:rFonts w:cstheme="minorHAnsi"/>
          <w:b/>
        </w:rPr>
      </w:pPr>
      <w:r w:rsidRPr="00E04F3F">
        <w:rPr>
          <w:rFonts w:cstheme="minorHAnsi"/>
          <w:b/>
        </w:rPr>
        <w:t>Abstract</w:t>
      </w:r>
    </w:p>
    <w:p w14:paraId="6D188E6A" w14:textId="77777777" w:rsidR="001853AE" w:rsidRPr="00E04F3F" w:rsidRDefault="001853AE" w:rsidP="006C24F9">
      <w:pPr>
        <w:rPr>
          <w:rFonts w:cstheme="minorHAnsi"/>
          <w:b/>
        </w:rPr>
      </w:pPr>
    </w:p>
    <w:p w14:paraId="1756F7D1" w14:textId="77777777" w:rsidR="00F779ED" w:rsidRPr="00E04F3F" w:rsidRDefault="00A6350C" w:rsidP="006C24F9">
      <w:pPr>
        <w:rPr>
          <w:rFonts w:cstheme="minorHAnsi"/>
        </w:rPr>
      </w:pPr>
      <w:r w:rsidRPr="00E04F3F">
        <w:rPr>
          <w:rFonts w:cstheme="minorHAnsi"/>
          <w:b/>
        </w:rPr>
        <w:t>Background:</w:t>
      </w:r>
      <w:r w:rsidRPr="00E04F3F">
        <w:rPr>
          <w:rFonts w:cstheme="minorHAnsi"/>
        </w:rPr>
        <w:t xml:space="preserve"> </w:t>
      </w:r>
    </w:p>
    <w:p w14:paraId="11D9D712" w14:textId="3FB03860" w:rsidR="00694097" w:rsidRPr="00E04F3F" w:rsidRDefault="006E0BE2" w:rsidP="006C24F9">
      <w:pPr>
        <w:rPr>
          <w:rFonts w:cstheme="minorHAnsi"/>
        </w:rPr>
      </w:pPr>
      <w:r w:rsidRPr="00E04F3F">
        <w:rPr>
          <w:rFonts w:cstheme="minorHAnsi"/>
        </w:rPr>
        <w:t>Drug checking is a health service whose behavioural</w:t>
      </w:r>
      <w:r w:rsidR="009C6032" w:rsidRPr="00E04F3F">
        <w:rPr>
          <w:rFonts w:cstheme="minorHAnsi"/>
        </w:rPr>
        <w:t xml:space="preserve"> outcomes </w:t>
      </w:r>
      <w:r w:rsidR="009730BF" w:rsidRPr="00E04F3F">
        <w:rPr>
          <w:rFonts w:cstheme="minorHAnsi"/>
        </w:rPr>
        <w:t xml:space="preserve">have </w:t>
      </w:r>
      <w:r w:rsidRPr="00E04F3F">
        <w:rPr>
          <w:rFonts w:cstheme="minorHAnsi"/>
        </w:rPr>
        <w:t xml:space="preserve">been </w:t>
      </w:r>
      <w:r w:rsidR="002D3BBA" w:rsidRPr="00E04F3F">
        <w:rPr>
          <w:rFonts w:cstheme="minorHAnsi"/>
        </w:rPr>
        <w:t xml:space="preserve">assessed </w:t>
      </w:r>
      <w:r w:rsidR="00C0373D" w:rsidRPr="00E04F3F">
        <w:rPr>
          <w:rFonts w:cstheme="minorHAnsi"/>
        </w:rPr>
        <w:t xml:space="preserve">primarily </w:t>
      </w:r>
      <w:r w:rsidR="009C6032" w:rsidRPr="00E04F3F">
        <w:rPr>
          <w:rFonts w:cstheme="minorHAnsi"/>
        </w:rPr>
        <w:t>through reported intentions</w:t>
      </w:r>
      <w:r w:rsidR="00CA6AE6" w:rsidRPr="00E04F3F">
        <w:rPr>
          <w:rFonts w:cstheme="minorHAnsi"/>
        </w:rPr>
        <w:t xml:space="preserve"> </w:t>
      </w:r>
      <w:r w:rsidR="00A86395" w:rsidRPr="00E04F3F">
        <w:rPr>
          <w:rFonts w:cstheme="minorHAnsi"/>
        </w:rPr>
        <w:t>of service users</w:t>
      </w:r>
      <w:r w:rsidR="00D7492F" w:rsidRPr="00E04F3F">
        <w:rPr>
          <w:rFonts w:cstheme="minorHAnsi"/>
        </w:rPr>
        <w:t xml:space="preserve"> after receiving healthcare consultations</w:t>
      </w:r>
      <w:r w:rsidR="00D71BC5" w:rsidRPr="00E04F3F">
        <w:rPr>
          <w:rFonts w:cstheme="minorHAnsi"/>
        </w:rPr>
        <w:t xml:space="preserve"> or brief interventions (BIs)</w:t>
      </w:r>
      <w:r w:rsidR="009C6032" w:rsidRPr="00E04F3F">
        <w:rPr>
          <w:rFonts w:cstheme="minorHAnsi"/>
        </w:rPr>
        <w:t xml:space="preserve">. </w:t>
      </w:r>
      <w:bookmarkStart w:id="3" w:name="_Hlk66971949"/>
      <w:r w:rsidR="00520EA7" w:rsidRPr="00E04F3F">
        <w:rPr>
          <w:rFonts w:cstheme="minorHAnsi"/>
        </w:rPr>
        <w:t xml:space="preserve">This </w:t>
      </w:r>
      <w:r w:rsidR="007A76CF" w:rsidRPr="00E04F3F">
        <w:rPr>
          <w:rFonts w:cstheme="minorHAnsi"/>
        </w:rPr>
        <w:t xml:space="preserve">study </w:t>
      </w:r>
      <w:r w:rsidR="00FB619A">
        <w:rPr>
          <w:rFonts w:cstheme="minorHAnsi"/>
        </w:rPr>
        <w:t>contributes to</w:t>
      </w:r>
      <w:r w:rsidR="007B3AF0">
        <w:rPr>
          <w:rFonts w:cstheme="minorHAnsi"/>
        </w:rPr>
        <w:t xml:space="preserve"> the evidence base through utilising a follow-up design </w:t>
      </w:r>
      <w:r w:rsidR="00E82DB3">
        <w:rPr>
          <w:rFonts w:cstheme="minorHAnsi"/>
        </w:rPr>
        <w:t>to</w:t>
      </w:r>
      <w:r w:rsidR="007B3AF0">
        <w:rPr>
          <w:rFonts w:cstheme="minorHAnsi"/>
        </w:rPr>
        <w:t xml:space="preserve"> </w:t>
      </w:r>
      <w:r w:rsidR="009B3AB0">
        <w:rPr>
          <w:rFonts w:cstheme="minorHAnsi"/>
        </w:rPr>
        <w:t xml:space="preserve">compare </w:t>
      </w:r>
      <w:r w:rsidR="00E82DB3">
        <w:rPr>
          <w:rFonts w:cstheme="minorHAnsi"/>
        </w:rPr>
        <w:t xml:space="preserve">outcomes </w:t>
      </w:r>
      <w:r w:rsidR="006460D9">
        <w:rPr>
          <w:rFonts w:cstheme="minorHAnsi"/>
        </w:rPr>
        <w:t xml:space="preserve">of risk communications on </w:t>
      </w:r>
      <w:r w:rsidR="009B3AB0" w:rsidRPr="00E04F3F">
        <w:rPr>
          <w:rFonts w:cstheme="minorHAnsi"/>
        </w:rPr>
        <w:t>risk management and harm reduction practices</w:t>
      </w:r>
      <w:bookmarkEnd w:id="3"/>
      <w:r w:rsidR="006460D9">
        <w:rPr>
          <w:rFonts w:cstheme="minorHAnsi"/>
        </w:rPr>
        <w:t xml:space="preserve"> both at </w:t>
      </w:r>
      <w:r w:rsidR="000069A0">
        <w:rPr>
          <w:rFonts w:cstheme="minorHAnsi"/>
        </w:rPr>
        <w:t xml:space="preserve">and after attending </w:t>
      </w:r>
      <w:r w:rsidR="000069A0" w:rsidRPr="00E04F3F">
        <w:rPr>
          <w:rFonts w:cstheme="minorHAnsi"/>
        </w:rPr>
        <w:t>drug checking service</w:t>
      </w:r>
      <w:r w:rsidR="000069A0">
        <w:rPr>
          <w:rFonts w:cstheme="minorHAnsi"/>
        </w:rPr>
        <w:t>s</w:t>
      </w:r>
      <w:r w:rsidR="000069A0" w:rsidRPr="00E04F3F">
        <w:rPr>
          <w:rFonts w:cstheme="minorHAnsi"/>
        </w:rPr>
        <w:t xml:space="preserve"> at three English music festivals in 2017</w:t>
      </w:r>
      <w:r w:rsidR="00695C0C" w:rsidRPr="00E04F3F">
        <w:rPr>
          <w:rFonts w:cstheme="minorHAnsi"/>
        </w:rPr>
        <w:t>.</w:t>
      </w:r>
    </w:p>
    <w:p w14:paraId="065BCAB3" w14:textId="77777777" w:rsidR="00B4184B" w:rsidRPr="00E04F3F" w:rsidRDefault="00A6350C" w:rsidP="006C24F9">
      <w:pPr>
        <w:rPr>
          <w:rFonts w:cstheme="minorHAnsi"/>
        </w:rPr>
      </w:pPr>
      <w:r w:rsidRPr="00E04F3F">
        <w:rPr>
          <w:rFonts w:cstheme="minorHAnsi"/>
          <w:b/>
        </w:rPr>
        <w:t>Methods</w:t>
      </w:r>
      <w:r w:rsidR="00733208" w:rsidRPr="00E04F3F">
        <w:rPr>
          <w:rFonts w:cstheme="minorHAnsi"/>
          <w:b/>
        </w:rPr>
        <w:t>:</w:t>
      </w:r>
      <w:r w:rsidR="005147DE" w:rsidRPr="00E04F3F">
        <w:rPr>
          <w:rFonts w:cstheme="minorHAnsi"/>
        </w:rPr>
        <w:t xml:space="preserve"> </w:t>
      </w:r>
    </w:p>
    <w:p w14:paraId="3F90C609" w14:textId="7E9248D1" w:rsidR="00A6350C" w:rsidRPr="00E04F3F" w:rsidRDefault="00E6600D" w:rsidP="006C24F9">
      <w:pPr>
        <w:rPr>
          <w:rFonts w:cstheme="minorHAnsi"/>
        </w:rPr>
      </w:pPr>
      <w:r w:rsidRPr="00E04F3F">
        <w:rPr>
          <w:rFonts w:cstheme="minorHAnsi"/>
        </w:rPr>
        <w:t xml:space="preserve">Data </w:t>
      </w:r>
      <w:r w:rsidR="00520EA7" w:rsidRPr="00E04F3F">
        <w:rPr>
          <w:rFonts w:cstheme="minorHAnsi"/>
        </w:rPr>
        <w:t>were collected</w:t>
      </w:r>
      <w:r w:rsidR="0069478B">
        <w:rPr>
          <w:rFonts w:cstheme="minorHAnsi"/>
        </w:rPr>
        <w:t xml:space="preserve"> and</w:t>
      </w:r>
      <w:r w:rsidR="001155A8" w:rsidRPr="00E04F3F">
        <w:rPr>
          <w:rFonts w:cstheme="minorHAnsi"/>
        </w:rPr>
        <w:t xml:space="preserve"> analysed </w:t>
      </w:r>
      <w:r w:rsidRPr="00E04F3F">
        <w:rPr>
          <w:rFonts w:cstheme="minorHAnsi"/>
        </w:rPr>
        <w:t>from</w:t>
      </w:r>
      <w:r w:rsidR="00E73A03" w:rsidRPr="00E04F3F">
        <w:rPr>
          <w:rFonts w:cstheme="minorHAnsi"/>
        </w:rPr>
        <w:t xml:space="preserve">: </w:t>
      </w:r>
      <w:r w:rsidR="00872AE0">
        <w:rPr>
          <w:rFonts w:cstheme="minorHAnsi"/>
        </w:rPr>
        <w:t>(</w:t>
      </w:r>
      <w:proofErr w:type="spellStart"/>
      <w:r w:rsidR="00872AE0">
        <w:rPr>
          <w:rFonts w:cstheme="minorHAnsi"/>
        </w:rPr>
        <w:t>i</w:t>
      </w:r>
      <w:proofErr w:type="spellEnd"/>
      <w:r w:rsidR="00872AE0">
        <w:rPr>
          <w:rFonts w:cstheme="minorHAnsi"/>
        </w:rPr>
        <w:t xml:space="preserve">) 1,482 </w:t>
      </w:r>
      <w:r w:rsidR="002D6A7A">
        <w:rPr>
          <w:rFonts w:cstheme="minorHAnsi"/>
        </w:rPr>
        <w:t>self-complete</w:t>
      </w:r>
      <w:r w:rsidR="00872AE0">
        <w:rPr>
          <w:rFonts w:cstheme="minorHAnsi"/>
        </w:rPr>
        <w:t xml:space="preserve"> questionnaires at sample drop-off; </w:t>
      </w:r>
      <w:r w:rsidR="00CA6AE6" w:rsidRPr="00E04F3F">
        <w:rPr>
          <w:rFonts w:cstheme="minorHAnsi"/>
        </w:rPr>
        <w:t>(i</w:t>
      </w:r>
      <w:r w:rsidR="00872AE0">
        <w:rPr>
          <w:rFonts w:cstheme="minorHAnsi"/>
        </w:rPr>
        <w:t>i</w:t>
      </w:r>
      <w:r w:rsidR="00CA6AE6" w:rsidRPr="00E04F3F">
        <w:rPr>
          <w:rFonts w:cstheme="minorHAnsi"/>
        </w:rPr>
        <w:t xml:space="preserve">) </w:t>
      </w:r>
      <w:bookmarkStart w:id="4" w:name="_Hlk51141452"/>
      <w:r w:rsidR="00E73467" w:rsidRPr="00E04F3F">
        <w:rPr>
          <w:rFonts w:cstheme="minorHAnsi"/>
        </w:rPr>
        <w:t xml:space="preserve">1,482 </w:t>
      </w:r>
      <w:bookmarkEnd w:id="4"/>
      <w:r w:rsidR="004E6665">
        <w:rPr>
          <w:rFonts w:cstheme="minorHAnsi"/>
        </w:rPr>
        <w:t xml:space="preserve">nominated </w:t>
      </w:r>
      <w:r w:rsidR="004F0009" w:rsidRPr="00E04F3F">
        <w:rPr>
          <w:rFonts w:cstheme="minorHAnsi"/>
        </w:rPr>
        <w:t xml:space="preserve">primary service users </w:t>
      </w:r>
      <w:r w:rsidR="00FB619A">
        <w:rPr>
          <w:rFonts w:cstheme="minorHAnsi"/>
        </w:rPr>
        <w:t xml:space="preserve">at </w:t>
      </w:r>
      <w:r w:rsidR="00E73467" w:rsidRPr="00E04F3F">
        <w:rPr>
          <w:rFonts w:cstheme="minorHAnsi"/>
        </w:rPr>
        <w:t xml:space="preserve">1,482 </w:t>
      </w:r>
      <w:r w:rsidR="008D2DF7" w:rsidRPr="00E04F3F">
        <w:rPr>
          <w:rFonts w:cstheme="minorHAnsi"/>
        </w:rPr>
        <w:t xml:space="preserve">face-to-face </w:t>
      </w:r>
      <w:r w:rsidR="00D71BC5" w:rsidRPr="00E04F3F">
        <w:rPr>
          <w:rFonts w:cstheme="minorHAnsi"/>
        </w:rPr>
        <w:t>BI</w:t>
      </w:r>
      <w:r w:rsidR="006666EE" w:rsidRPr="00E04F3F">
        <w:rPr>
          <w:rFonts w:cstheme="minorHAnsi"/>
        </w:rPr>
        <w:t>s</w:t>
      </w:r>
      <w:r w:rsidR="00A30225" w:rsidRPr="00E04F3F">
        <w:rPr>
          <w:rFonts w:cstheme="minorHAnsi"/>
        </w:rPr>
        <w:t>;</w:t>
      </w:r>
      <w:r w:rsidR="00E73A03" w:rsidRPr="00E04F3F">
        <w:rPr>
          <w:rFonts w:cstheme="minorHAnsi"/>
        </w:rPr>
        <w:t xml:space="preserve"> </w:t>
      </w:r>
      <w:r w:rsidR="00190F84" w:rsidRPr="00E04F3F">
        <w:rPr>
          <w:rFonts w:cstheme="minorHAnsi"/>
        </w:rPr>
        <w:t xml:space="preserve">and </w:t>
      </w:r>
      <w:r w:rsidR="00CA6AE6" w:rsidRPr="00E04F3F">
        <w:rPr>
          <w:rFonts w:cstheme="minorHAnsi"/>
        </w:rPr>
        <w:t>(ii</w:t>
      </w:r>
      <w:r w:rsidR="00872AE0">
        <w:rPr>
          <w:rFonts w:cstheme="minorHAnsi"/>
        </w:rPr>
        <w:t>i</w:t>
      </w:r>
      <w:r w:rsidR="00CA6AE6" w:rsidRPr="00E04F3F">
        <w:rPr>
          <w:rFonts w:cstheme="minorHAnsi"/>
        </w:rPr>
        <w:t xml:space="preserve">) </w:t>
      </w:r>
      <w:r w:rsidR="00A6350C" w:rsidRPr="00E04F3F">
        <w:rPr>
          <w:rFonts w:cstheme="minorHAnsi"/>
        </w:rPr>
        <w:t>a</w:t>
      </w:r>
      <w:r w:rsidR="00C0373D" w:rsidRPr="00E04F3F">
        <w:rPr>
          <w:rFonts w:cstheme="minorHAnsi"/>
        </w:rPr>
        <w:t>n anonymous</w:t>
      </w:r>
      <w:r w:rsidR="00A6350C" w:rsidRPr="00E04F3F">
        <w:rPr>
          <w:rFonts w:cstheme="minorHAnsi"/>
        </w:rPr>
        <w:t xml:space="preserve"> </w:t>
      </w:r>
      <w:r w:rsidR="0034126E" w:rsidRPr="00E04F3F">
        <w:rPr>
          <w:rFonts w:cstheme="minorHAnsi"/>
        </w:rPr>
        <w:t xml:space="preserve">online </w:t>
      </w:r>
      <w:r w:rsidR="002F2E91" w:rsidRPr="00E04F3F">
        <w:rPr>
          <w:rFonts w:cstheme="minorHAnsi"/>
        </w:rPr>
        <w:t>self</w:t>
      </w:r>
      <w:r w:rsidR="00DD4ABF" w:rsidRPr="00E04F3F">
        <w:rPr>
          <w:rFonts w:cstheme="minorHAnsi"/>
        </w:rPr>
        <w:t>-</w:t>
      </w:r>
      <w:r w:rsidR="002F2E91" w:rsidRPr="00E04F3F">
        <w:rPr>
          <w:rFonts w:cstheme="minorHAnsi"/>
        </w:rPr>
        <w:t xml:space="preserve">report </w:t>
      </w:r>
      <w:r w:rsidR="00C76B5E" w:rsidRPr="00E04F3F">
        <w:rPr>
          <w:rFonts w:cstheme="minorHAnsi"/>
        </w:rPr>
        <w:t xml:space="preserve">follow-up </w:t>
      </w:r>
      <w:r w:rsidR="00F254BF" w:rsidRPr="00E04F3F">
        <w:rPr>
          <w:rFonts w:cstheme="minorHAnsi"/>
        </w:rPr>
        <w:t xml:space="preserve">survey </w:t>
      </w:r>
      <w:r w:rsidR="00E050CC" w:rsidRPr="00E04F3F">
        <w:rPr>
          <w:rFonts w:cstheme="minorHAnsi"/>
        </w:rPr>
        <w:t xml:space="preserve">completed by </w:t>
      </w:r>
      <w:r w:rsidR="00A6350C" w:rsidRPr="00E04F3F">
        <w:rPr>
          <w:rFonts w:cstheme="minorHAnsi"/>
        </w:rPr>
        <w:t>a sub</w:t>
      </w:r>
      <w:r w:rsidR="00BF6108" w:rsidRPr="00E04F3F">
        <w:rPr>
          <w:rFonts w:cstheme="minorHAnsi"/>
        </w:rPr>
        <w:t>-</w:t>
      </w:r>
      <w:r w:rsidR="00A6350C" w:rsidRPr="00E04F3F">
        <w:rPr>
          <w:rFonts w:cstheme="minorHAnsi"/>
        </w:rPr>
        <w:t xml:space="preserve">sample of 130 </w:t>
      </w:r>
      <w:r w:rsidR="00E73467" w:rsidRPr="00E04F3F">
        <w:rPr>
          <w:rFonts w:cstheme="minorHAnsi"/>
        </w:rPr>
        <w:t xml:space="preserve">primary </w:t>
      </w:r>
      <w:r w:rsidR="00A6350C" w:rsidRPr="00E04F3F">
        <w:rPr>
          <w:rFonts w:cstheme="minorHAnsi"/>
        </w:rPr>
        <w:t>service users (</w:t>
      </w:r>
      <w:r w:rsidR="00987551">
        <w:rPr>
          <w:rFonts w:cstheme="minorHAnsi"/>
        </w:rPr>
        <w:t>one</w:t>
      </w:r>
      <w:r w:rsidR="00621DD6" w:rsidRPr="00E04F3F">
        <w:rPr>
          <w:rFonts w:cstheme="minorHAnsi"/>
        </w:rPr>
        <w:t xml:space="preserve"> quarter </w:t>
      </w:r>
      <w:r w:rsidR="00A6350C" w:rsidRPr="00E04F3F">
        <w:rPr>
          <w:rFonts w:cstheme="minorHAnsi"/>
        </w:rPr>
        <w:t xml:space="preserve">of </w:t>
      </w:r>
      <w:r w:rsidR="002B3497" w:rsidRPr="00E04F3F">
        <w:rPr>
          <w:rFonts w:cstheme="minorHAnsi"/>
        </w:rPr>
        <w:t>legible</w:t>
      </w:r>
      <w:r w:rsidR="00021C1A" w:rsidRPr="00E04F3F">
        <w:rPr>
          <w:rFonts w:cstheme="minorHAnsi"/>
        </w:rPr>
        <w:t>,</w:t>
      </w:r>
      <w:r w:rsidR="002B3497" w:rsidRPr="00E04F3F">
        <w:rPr>
          <w:rFonts w:cstheme="minorHAnsi"/>
        </w:rPr>
        <w:t xml:space="preserve"> functioning </w:t>
      </w:r>
      <w:r w:rsidR="00A6350C" w:rsidRPr="00E04F3F">
        <w:rPr>
          <w:rFonts w:cstheme="minorHAnsi"/>
        </w:rPr>
        <w:t>email addresses</w:t>
      </w:r>
      <w:r w:rsidR="0036145A" w:rsidRPr="00E04F3F">
        <w:rPr>
          <w:rFonts w:cstheme="minorHAnsi"/>
        </w:rPr>
        <w:t xml:space="preserve"> received</w:t>
      </w:r>
      <w:r w:rsidR="00D7492F" w:rsidRPr="00E04F3F">
        <w:rPr>
          <w:rFonts w:cstheme="minorHAnsi"/>
        </w:rPr>
        <w:t>)</w:t>
      </w:r>
      <w:r w:rsidR="00D3130D" w:rsidRPr="00E04F3F">
        <w:rPr>
          <w:rFonts w:cstheme="minorHAnsi"/>
        </w:rPr>
        <w:t xml:space="preserve"> </w:t>
      </w:r>
      <w:r w:rsidR="002F2E91" w:rsidRPr="00E04F3F">
        <w:rPr>
          <w:rFonts w:cstheme="minorHAnsi"/>
        </w:rPr>
        <w:t xml:space="preserve">followed up </w:t>
      </w:r>
      <w:r w:rsidR="00D3130D" w:rsidRPr="00E04F3F">
        <w:rPr>
          <w:rFonts w:cstheme="minorHAnsi"/>
        </w:rPr>
        <w:t xml:space="preserve">three months </w:t>
      </w:r>
      <w:r w:rsidR="004854D9">
        <w:rPr>
          <w:rFonts w:cstheme="minorHAnsi"/>
        </w:rPr>
        <w:t>later</w:t>
      </w:r>
      <w:r w:rsidR="00330875" w:rsidRPr="00E04F3F">
        <w:rPr>
          <w:rFonts w:cstheme="minorHAnsi"/>
        </w:rPr>
        <w:t>.</w:t>
      </w:r>
      <w:r w:rsidR="00A6350C" w:rsidRPr="00E04F3F">
        <w:rPr>
          <w:rFonts w:cstheme="minorHAnsi"/>
        </w:rPr>
        <w:t xml:space="preserve"> </w:t>
      </w:r>
      <w:r w:rsidR="00F8584E">
        <w:rPr>
          <w:rFonts w:cstheme="minorHAnsi"/>
        </w:rPr>
        <w:t xml:space="preserve">Ten </w:t>
      </w:r>
      <w:r w:rsidR="00EA03DE">
        <w:rPr>
          <w:rFonts w:cstheme="minorHAnsi"/>
        </w:rPr>
        <w:t>measures</w:t>
      </w:r>
      <w:r w:rsidR="00E74E95">
        <w:rPr>
          <w:rFonts w:cstheme="minorHAnsi"/>
        </w:rPr>
        <w:t xml:space="preserve"> (one </w:t>
      </w:r>
      <w:r w:rsidR="00E82DB3">
        <w:rPr>
          <w:rFonts w:cstheme="minorHAnsi"/>
        </w:rPr>
        <w:t xml:space="preserve">verified </w:t>
      </w:r>
      <w:r w:rsidR="00E74E95">
        <w:rPr>
          <w:rFonts w:cstheme="minorHAnsi"/>
        </w:rPr>
        <w:t xml:space="preserve">action and </w:t>
      </w:r>
      <w:r w:rsidR="003E76D5">
        <w:rPr>
          <w:rFonts w:cstheme="minorHAnsi"/>
        </w:rPr>
        <w:t>nine</w:t>
      </w:r>
      <w:r w:rsidR="00E74E95">
        <w:rPr>
          <w:rFonts w:cstheme="minorHAnsi"/>
        </w:rPr>
        <w:t xml:space="preserve"> </w:t>
      </w:r>
      <w:r w:rsidR="00E74E95" w:rsidRPr="00E04F3F">
        <w:rPr>
          <w:rFonts w:cstheme="minorHAnsi"/>
        </w:rPr>
        <w:t>intentions</w:t>
      </w:r>
      <w:r w:rsidR="002D021D">
        <w:rPr>
          <w:rFonts w:cstheme="minorHAnsi"/>
        </w:rPr>
        <w:t>)</w:t>
      </w:r>
      <w:r w:rsidR="00E74E95">
        <w:rPr>
          <w:rFonts w:cstheme="minorHAnsi"/>
        </w:rPr>
        <w:t xml:space="preserve"> were </w:t>
      </w:r>
      <w:r w:rsidR="00E74E95" w:rsidRPr="00E04F3F">
        <w:rPr>
          <w:rFonts w:cstheme="minorHAnsi"/>
        </w:rPr>
        <w:t xml:space="preserve">recorded at point of BI </w:t>
      </w:r>
      <w:r w:rsidR="00E74E95">
        <w:rPr>
          <w:rFonts w:cstheme="minorHAnsi"/>
        </w:rPr>
        <w:t xml:space="preserve">and compared </w:t>
      </w:r>
      <w:r w:rsidR="00E74E95" w:rsidRPr="00E04F3F">
        <w:rPr>
          <w:rFonts w:cstheme="minorHAnsi"/>
        </w:rPr>
        <w:t xml:space="preserve">with retrospectively </w:t>
      </w:r>
      <w:r w:rsidR="005C0CDB">
        <w:rPr>
          <w:rFonts w:cstheme="minorHAnsi"/>
        </w:rPr>
        <w:t>reported</w:t>
      </w:r>
      <w:r w:rsidR="00E74E95" w:rsidRPr="00E04F3F">
        <w:rPr>
          <w:rFonts w:cstheme="minorHAnsi"/>
        </w:rPr>
        <w:t xml:space="preserve"> outcomes and ongoing changes post-BI</w:t>
      </w:r>
      <w:r w:rsidR="00E74E95">
        <w:rPr>
          <w:rFonts w:cstheme="minorHAnsi"/>
        </w:rPr>
        <w:t>.</w:t>
      </w:r>
    </w:p>
    <w:p w14:paraId="24D1FB61" w14:textId="4FE77311" w:rsidR="00766DAB" w:rsidRPr="00E04F3F" w:rsidRDefault="00A6350C" w:rsidP="006C24F9">
      <w:pPr>
        <w:rPr>
          <w:rFonts w:cstheme="minorHAnsi"/>
        </w:rPr>
      </w:pPr>
      <w:r w:rsidRPr="00E04F3F">
        <w:rPr>
          <w:rFonts w:cstheme="minorHAnsi"/>
          <w:b/>
        </w:rPr>
        <w:t>Results</w:t>
      </w:r>
      <w:r w:rsidR="00733208" w:rsidRPr="00E04F3F">
        <w:rPr>
          <w:rFonts w:cstheme="minorHAnsi"/>
          <w:b/>
        </w:rPr>
        <w:t>:</w:t>
      </w:r>
      <w:r w:rsidR="00733208" w:rsidRPr="00E04F3F">
        <w:rPr>
          <w:rFonts w:cstheme="minorHAnsi"/>
        </w:rPr>
        <w:t xml:space="preserve"> </w:t>
      </w:r>
    </w:p>
    <w:p w14:paraId="3397DFE9" w14:textId="570528AC" w:rsidR="000C3E85" w:rsidRDefault="000C3E85" w:rsidP="006C24F9">
      <w:pPr>
        <w:rPr>
          <w:rFonts w:cstheme="minorHAnsi"/>
        </w:rPr>
      </w:pPr>
      <w:r>
        <w:rPr>
          <w:rFonts w:cstheme="minorHAnsi"/>
        </w:rPr>
        <w:t>Outcomes at follow-up were correlated with a</w:t>
      </w:r>
      <w:r w:rsidR="005C0CDB">
        <w:rPr>
          <w:rFonts w:cstheme="minorHAnsi"/>
        </w:rPr>
        <w:t>ctions and i</w:t>
      </w:r>
      <w:r w:rsidR="00FA360A" w:rsidRPr="00E04F3F">
        <w:rPr>
          <w:rFonts w:cstheme="minorHAnsi"/>
        </w:rPr>
        <w:t xml:space="preserve">ntentions </w:t>
      </w:r>
      <w:r>
        <w:rPr>
          <w:rFonts w:cstheme="minorHAnsi"/>
        </w:rPr>
        <w:t xml:space="preserve">at </w:t>
      </w:r>
      <w:r w:rsidR="00FA360A" w:rsidRPr="00E04F3F">
        <w:rPr>
          <w:rFonts w:cstheme="minorHAnsi"/>
        </w:rPr>
        <w:t xml:space="preserve">BI </w:t>
      </w:r>
      <w:r>
        <w:rPr>
          <w:rFonts w:cstheme="minorHAnsi"/>
        </w:rPr>
        <w:t xml:space="preserve">for </w:t>
      </w:r>
      <w:r w:rsidR="00E9538E">
        <w:rPr>
          <w:rFonts w:cstheme="minorHAnsi"/>
        </w:rPr>
        <w:t xml:space="preserve">nine of the ten </w:t>
      </w:r>
      <w:r w:rsidR="00EA03DE">
        <w:rPr>
          <w:rFonts w:cstheme="minorHAnsi"/>
        </w:rPr>
        <w:t>measures</w:t>
      </w:r>
      <w:r w:rsidR="003E76D5">
        <w:rPr>
          <w:rFonts w:cstheme="minorHAnsi"/>
        </w:rPr>
        <w:t>,</w:t>
      </w:r>
      <w:r w:rsidR="00E9538E">
        <w:rPr>
          <w:rFonts w:cstheme="minorHAnsi"/>
        </w:rPr>
        <w:t xml:space="preserve"> including </w:t>
      </w:r>
      <w:r w:rsidR="00ED6276">
        <w:rPr>
          <w:rFonts w:cstheme="minorHAnsi"/>
        </w:rPr>
        <w:t xml:space="preserve">over half </w:t>
      </w:r>
      <w:r w:rsidR="00753DB4">
        <w:rPr>
          <w:rFonts w:cstheme="minorHAnsi"/>
        </w:rPr>
        <w:t xml:space="preserve">of service users </w:t>
      </w:r>
      <w:r w:rsidR="00ED6276">
        <w:rPr>
          <w:rFonts w:cstheme="minorHAnsi"/>
        </w:rPr>
        <w:t xml:space="preserve">disposing of samples identified as other than expected and </w:t>
      </w:r>
      <w:r>
        <w:rPr>
          <w:rFonts w:cstheme="minorHAnsi"/>
        </w:rPr>
        <w:t xml:space="preserve">two </w:t>
      </w:r>
      <w:r w:rsidR="001F01CB">
        <w:rPr>
          <w:rFonts w:cstheme="minorHAnsi"/>
        </w:rPr>
        <w:t xml:space="preserve">in five </w:t>
      </w:r>
      <w:r w:rsidR="00B97154">
        <w:rPr>
          <w:rFonts w:cstheme="minorHAnsi"/>
        </w:rPr>
        <w:t xml:space="preserve">reporting reduced </w:t>
      </w:r>
      <w:r>
        <w:rPr>
          <w:rFonts w:cstheme="minorHAnsi"/>
        </w:rPr>
        <w:t>dosage for samples identified as expected</w:t>
      </w:r>
      <w:r w:rsidR="00977939">
        <w:rPr>
          <w:rFonts w:cstheme="minorHAnsi"/>
        </w:rPr>
        <w:t xml:space="preserve">. One </w:t>
      </w:r>
      <w:r w:rsidR="00753DB4">
        <w:rPr>
          <w:rFonts w:cstheme="minorHAnsi"/>
        </w:rPr>
        <w:t>in five</w:t>
      </w:r>
      <w:r w:rsidR="00376EC3">
        <w:rPr>
          <w:rFonts w:cstheme="minorHAnsi"/>
        </w:rPr>
        <w:t xml:space="preserve"> </w:t>
      </w:r>
      <w:r w:rsidR="00977939">
        <w:rPr>
          <w:rFonts w:cstheme="minorHAnsi"/>
        </w:rPr>
        <w:t xml:space="preserve">reported </w:t>
      </w:r>
      <w:r w:rsidR="00376EC3">
        <w:rPr>
          <w:rFonts w:cstheme="minorHAnsi"/>
        </w:rPr>
        <w:t>alerting their friends to substances of concern</w:t>
      </w:r>
      <w:r>
        <w:rPr>
          <w:rFonts w:cstheme="minorHAnsi"/>
        </w:rPr>
        <w:t xml:space="preserve">. </w:t>
      </w:r>
    </w:p>
    <w:p w14:paraId="7A6E6C7D" w14:textId="53AEAB14" w:rsidR="00335CCE" w:rsidRPr="00E04F3F" w:rsidRDefault="00733208" w:rsidP="006C24F9">
      <w:pPr>
        <w:rPr>
          <w:rFonts w:cstheme="minorHAnsi"/>
        </w:rPr>
      </w:pPr>
      <w:r w:rsidRPr="00E04F3F">
        <w:rPr>
          <w:rFonts w:cstheme="minorHAnsi"/>
          <w:b/>
        </w:rPr>
        <w:t>Conclusion:</w:t>
      </w:r>
      <w:r w:rsidRPr="00E04F3F">
        <w:rPr>
          <w:rFonts w:cstheme="minorHAnsi"/>
        </w:rPr>
        <w:t xml:space="preserve"> </w:t>
      </w:r>
    </w:p>
    <w:p w14:paraId="07C08130" w14:textId="032D6149" w:rsidR="00A96321" w:rsidRDefault="00A96321" w:rsidP="006C24F9">
      <w:pPr>
        <w:rPr>
          <w:rFonts w:cstheme="minorHAnsi"/>
        </w:rPr>
      </w:pPr>
      <w:bookmarkStart w:id="5" w:name="_Hlk66606119"/>
      <w:r>
        <w:rPr>
          <w:rFonts w:cstheme="minorHAnsi"/>
        </w:rPr>
        <w:t>E</w:t>
      </w:r>
      <w:r w:rsidR="007E6EF5" w:rsidRPr="00E04F3F">
        <w:rPr>
          <w:rFonts w:cstheme="minorHAnsi"/>
        </w:rPr>
        <w:t>vent</w:t>
      </w:r>
      <w:r w:rsidR="00FA360A" w:rsidRPr="00E04F3F">
        <w:rPr>
          <w:rFonts w:cstheme="minorHAnsi"/>
        </w:rPr>
        <w:t xml:space="preserve">-based drug checking </w:t>
      </w:r>
      <w:r w:rsidR="007E6EF5" w:rsidRPr="00E04F3F">
        <w:rPr>
          <w:rFonts w:cstheme="minorHAnsi"/>
        </w:rPr>
        <w:t>service</w:t>
      </w:r>
      <w:r w:rsidR="00875371">
        <w:rPr>
          <w:rFonts w:cstheme="minorHAnsi"/>
        </w:rPr>
        <w:t>s</w:t>
      </w:r>
      <w:r w:rsidR="006912D3" w:rsidRPr="00E04F3F">
        <w:rPr>
          <w:rFonts w:cstheme="minorHAnsi"/>
        </w:rPr>
        <w:t xml:space="preserve"> </w:t>
      </w:r>
      <w:r w:rsidR="001B26D4" w:rsidRPr="00E04F3F">
        <w:rPr>
          <w:rFonts w:cstheme="minorHAnsi"/>
        </w:rPr>
        <w:t>can</w:t>
      </w:r>
      <w:r w:rsidR="006912D3" w:rsidRPr="00E04F3F">
        <w:rPr>
          <w:rFonts w:cstheme="minorHAnsi"/>
        </w:rPr>
        <w:t xml:space="preserve"> </w:t>
      </w:r>
      <w:r w:rsidR="00FA360A" w:rsidRPr="00E04F3F">
        <w:rPr>
          <w:rFonts w:cstheme="minorHAnsi"/>
        </w:rPr>
        <w:t xml:space="preserve">access </w:t>
      </w:r>
      <w:r w:rsidR="006912D3" w:rsidRPr="00E04F3F">
        <w:rPr>
          <w:rFonts w:cstheme="minorHAnsi"/>
        </w:rPr>
        <w:t xml:space="preserve">and engage productively with </w:t>
      </w:r>
      <w:r w:rsidR="00FA360A" w:rsidRPr="00E04F3F">
        <w:rPr>
          <w:rFonts w:cstheme="minorHAnsi"/>
        </w:rPr>
        <w:t xml:space="preserve">young adults </w:t>
      </w:r>
      <w:r w:rsidR="007E6EF5" w:rsidRPr="00E04F3F">
        <w:rPr>
          <w:rFonts w:cstheme="minorHAnsi"/>
        </w:rPr>
        <w:t xml:space="preserve">earlier in drug taking careers </w:t>
      </w:r>
      <w:r w:rsidR="002F2393">
        <w:rPr>
          <w:rFonts w:cstheme="minorHAnsi"/>
        </w:rPr>
        <w:t xml:space="preserve">and </w:t>
      </w:r>
      <w:r w:rsidRPr="00E04F3F">
        <w:rPr>
          <w:rFonts w:cstheme="minorHAnsi"/>
        </w:rPr>
        <w:t>not in touch with health services</w:t>
      </w:r>
      <w:r w:rsidR="005C17D0">
        <w:rPr>
          <w:rFonts w:cstheme="minorHAnsi"/>
        </w:rPr>
        <w:t>,</w:t>
      </w:r>
      <w:r w:rsidRPr="00E04F3F">
        <w:rPr>
          <w:rFonts w:cstheme="minorHAnsi"/>
        </w:rPr>
        <w:t xml:space="preserve"> </w:t>
      </w:r>
      <w:r w:rsidR="00ED6276">
        <w:rPr>
          <w:rFonts w:cstheme="minorHAnsi"/>
        </w:rPr>
        <w:t xml:space="preserve">through </w:t>
      </w:r>
      <w:r w:rsidR="00E900EA">
        <w:rPr>
          <w:rFonts w:cstheme="minorHAnsi"/>
        </w:rPr>
        <w:t>tailored polydrug BIs</w:t>
      </w:r>
      <w:r w:rsidR="00FA360A" w:rsidRPr="00E04F3F">
        <w:rPr>
          <w:rFonts w:cstheme="minorHAnsi"/>
        </w:rPr>
        <w:t xml:space="preserve">. </w:t>
      </w:r>
      <w:r w:rsidR="001511A9">
        <w:rPr>
          <w:rFonts w:cstheme="minorHAnsi"/>
        </w:rPr>
        <w:t xml:space="preserve">Rapid identification of </w:t>
      </w:r>
      <w:r w:rsidR="001511A9" w:rsidRPr="001511A9">
        <w:rPr>
          <w:rFonts w:cstheme="minorHAnsi"/>
        </w:rPr>
        <w:t>substances of concern</w:t>
      </w:r>
      <w:r w:rsidR="001511A9">
        <w:rPr>
          <w:rFonts w:cstheme="minorHAnsi"/>
        </w:rPr>
        <w:t>, d</w:t>
      </w:r>
      <w:r>
        <w:rPr>
          <w:rFonts w:cstheme="minorHAnsi"/>
        </w:rPr>
        <w:t xml:space="preserve">issemination of test results </w:t>
      </w:r>
      <w:r w:rsidR="001511A9">
        <w:rPr>
          <w:rFonts w:cstheme="minorHAnsi"/>
        </w:rPr>
        <w:t xml:space="preserve">and associated risk </w:t>
      </w:r>
      <w:r w:rsidR="002D021D">
        <w:rPr>
          <w:rFonts w:cstheme="minorHAnsi"/>
        </w:rPr>
        <w:t>communications</w:t>
      </w:r>
      <w:r w:rsidR="001511A9">
        <w:rPr>
          <w:rFonts w:cstheme="minorHAnsi"/>
        </w:rPr>
        <w:t xml:space="preserve"> </w:t>
      </w:r>
      <w:r w:rsidR="00A8504A">
        <w:rPr>
          <w:rFonts w:cstheme="minorHAnsi"/>
        </w:rPr>
        <w:t>during</w:t>
      </w:r>
      <w:r w:rsidR="005C17D0">
        <w:rPr>
          <w:rFonts w:cstheme="minorHAnsi"/>
        </w:rPr>
        <w:t xml:space="preserve"> and after events through</w:t>
      </w:r>
      <w:r>
        <w:rPr>
          <w:rFonts w:cstheme="minorHAnsi"/>
        </w:rPr>
        <w:t xml:space="preserve"> friendship networks</w:t>
      </w:r>
      <w:r w:rsidR="005C17D0">
        <w:rPr>
          <w:rFonts w:cstheme="minorHAnsi"/>
        </w:rPr>
        <w:t>,</w:t>
      </w:r>
      <w:r>
        <w:rPr>
          <w:rFonts w:cstheme="minorHAnsi"/>
        </w:rPr>
        <w:t xml:space="preserve"> support services and early warning systems</w:t>
      </w:r>
      <w:r w:rsidR="002570C4">
        <w:rPr>
          <w:rFonts w:cstheme="minorHAnsi"/>
        </w:rPr>
        <w:t xml:space="preserve"> suggest </w:t>
      </w:r>
      <w:r w:rsidR="002570C4" w:rsidRPr="002570C4">
        <w:rPr>
          <w:rFonts w:cstheme="minorHAnsi"/>
        </w:rPr>
        <w:t xml:space="preserve">that the benefits of </w:t>
      </w:r>
      <w:r w:rsidR="005C17D0">
        <w:rPr>
          <w:rFonts w:cstheme="minorHAnsi"/>
        </w:rPr>
        <w:t xml:space="preserve">drug checking </w:t>
      </w:r>
      <w:r w:rsidR="002570C4" w:rsidRPr="002570C4">
        <w:rPr>
          <w:rFonts w:cstheme="minorHAnsi"/>
        </w:rPr>
        <w:t>can extend beyond service user</w:t>
      </w:r>
      <w:r w:rsidR="009D032D">
        <w:rPr>
          <w:rFonts w:cstheme="minorHAnsi"/>
        </w:rPr>
        <w:t>s</w:t>
      </w:r>
      <w:r w:rsidR="002570C4" w:rsidRPr="002570C4">
        <w:rPr>
          <w:rFonts w:cstheme="minorHAnsi"/>
        </w:rPr>
        <w:t xml:space="preserve"> and point of </w:t>
      </w:r>
      <w:r w:rsidR="00FD129A">
        <w:rPr>
          <w:rFonts w:cstheme="minorHAnsi"/>
        </w:rPr>
        <w:t>BI</w:t>
      </w:r>
      <w:r w:rsidR="001511A9">
        <w:rPr>
          <w:rFonts w:cstheme="minorHAnsi"/>
        </w:rPr>
        <w:t xml:space="preserve"> and can </w:t>
      </w:r>
      <w:r w:rsidR="001511A9" w:rsidRPr="001511A9">
        <w:rPr>
          <w:rFonts w:cstheme="minorHAnsi"/>
        </w:rPr>
        <w:t xml:space="preserve">increase strategies and behaviours </w:t>
      </w:r>
      <w:r w:rsidR="001511A9">
        <w:rPr>
          <w:rFonts w:cstheme="minorHAnsi"/>
        </w:rPr>
        <w:t xml:space="preserve">to </w:t>
      </w:r>
      <w:r w:rsidR="001511A9" w:rsidRPr="001511A9">
        <w:rPr>
          <w:rFonts w:cstheme="minorHAnsi"/>
        </w:rPr>
        <w:t>reduce drug-related harm such as poisoning and overdose.</w:t>
      </w:r>
    </w:p>
    <w:p w14:paraId="719B7876" w14:textId="77777777" w:rsidR="00E82DB3" w:rsidRDefault="00E82DB3" w:rsidP="006C24F9">
      <w:pPr>
        <w:rPr>
          <w:rFonts w:cstheme="minorHAnsi"/>
        </w:rPr>
      </w:pPr>
    </w:p>
    <w:bookmarkEnd w:id="5"/>
    <w:p w14:paraId="5141227D" w14:textId="77777777" w:rsidR="002F2393" w:rsidRPr="00E04F3F" w:rsidRDefault="002F2393" w:rsidP="006C24F9">
      <w:pPr>
        <w:rPr>
          <w:rFonts w:cstheme="minorHAnsi"/>
        </w:rPr>
      </w:pPr>
    </w:p>
    <w:p w14:paraId="675C300A" w14:textId="18F24666" w:rsidR="00373EE5" w:rsidRPr="00E04F3F" w:rsidRDefault="007546E7" w:rsidP="006C24F9">
      <w:pPr>
        <w:rPr>
          <w:rFonts w:cstheme="minorHAnsi"/>
          <w:b/>
          <w:bCs/>
        </w:rPr>
      </w:pPr>
      <w:r w:rsidRPr="00E04F3F">
        <w:rPr>
          <w:rFonts w:cstheme="minorHAnsi"/>
          <w:b/>
          <w:bCs/>
        </w:rPr>
        <w:t>K</w:t>
      </w:r>
      <w:r w:rsidR="00D40482" w:rsidRPr="00E04F3F">
        <w:rPr>
          <w:rFonts w:cstheme="minorHAnsi"/>
          <w:b/>
          <w:bCs/>
        </w:rPr>
        <w:t>ey words</w:t>
      </w:r>
    </w:p>
    <w:p w14:paraId="528E2714" w14:textId="455276B4" w:rsidR="00810836" w:rsidRPr="00E04F3F" w:rsidRDefault="00275182" w:rsidP="006C24F9">
      <w:pPr>
        <w:rPr>
          <w:rFonts w:cstheme="minorHAnsi"/>
        </w:rPr>
      </w:pPr>
      <w:r w:rsidRPr="00E04F3F">
        <w:rPr>
          <w:rFonts w:cstheme="minorHAnsi"/>
        </w:rPr>
        <w:t>drug checking</w:t>
      </w:r>
      <w:r w:rsidR="009F1213" w:rsidRPr="00E04F3F">
        <w:rPr>
          <w:rFonts w:cstheme="minorHAnsi"/>
        </w:rPr>
        <w:t>;</w:t>
      </w:r>
      <w:r w:rsidRPr="00E04F3F">
        <w:rPr>
          <w:rFonts w:cstheme="minorHAnsi"/>
        </w:rPr>
        <w:t xml:space="preserve"> </w:t>
      </w:r>
      <w:r w:rsidR="00D40482" w:rsidRPr="00E04F3F">
        <w:rPr>
          <w:rFonts w:cstheme="minorHAnsi"/>
        </w:rPr>
        <w:t>harm reduction</w:t>
      </w:r>
      <w:r w:rsidR="009F1213" w:rsidRPr="00E04F3F">
        <w:rPr>
          <w:rFonts w:cstheme="minorHAnsi"/>
        </w:rPr>
        <w:t>;</w:t>
      </w:r>
      <w:r w:rsidR="00D40482" w:rsidRPr="00E04F3F">
        <w:rPr>
          <w:rFonts w:cstheme="minorHAnsi"/>
        </w:rPr>
        <w:t xml:space="preserve"> </w:t>
      </w:r>
      <w:r w:rsidR="007546E7" w:rsidRPr="00E04F3F">
        <w:rPr>
          <w:rFonts w:cstheme="minorHAnsi"/>
        </w:rPr>
        <w:t>brief interventions</w:t>
      </w:r>
      <w:r w:rsidR="009F1213" w:rsidRPr="00E04F3F">
        <w:rPr>
          <w:rFonts w:cstheme="minorHAnsi"/>
        </w:rPr>
        <w:t>;</w:t>
      </w:r>
      <w:r w:rsidR="007546E7" w:rsidRPr="00E04F3F">
        <w:rPr>
          <w:rFonts w:cstheme="minorHAnsi"/>
        </w:rPr>
        <w:t xml:space="preserve"> </w:t>
      </w:r>
      <w:r w:rsidR="00FB375F" w:rsidRPr="00E04F3F">
        <w:rPr>
          <w:rFonts w:cstheme="minorHAnsi"/>
        </w:rPr>
        <w:t>behavioural outcomes</w:t>
      </w:r>
      <w:r w:rsidR="009F1213" w:rsidRPr="00E04F3F">
        <w:rPr>
          <w:rFonts w:cstheme="minorHAnsi"/>
        </w:rPr>
        <w:t>;</w:t>
      </w:r>
      <w:r w:rsidR="00466C40" w:rsidRPr="00E04F3F">
        <w:rPr>
          <w:rFonts w:cstheme="minorHAnsi"/>
        </w:rPr>
        <w:t xml:space="preserve"> follow-up</w:t>
      </w:r>
      <w:r w:rsidR="009F1213" w:rsidRPr="00E04F3F">
        <w:rPr>
          <w:rFonts w:cstheme="minorHAnsi"/>
        </w:rPr>
        <w:t>;</w:t>
      </w:r>
      <w:r w:rsidR="00916F2C" w:rsidRPr="00E04F3F">
        <w:rPr>
          <w:rFonts w:cstheme="minorHAnsi"/>
        </w:rPr>
        <w:t xml:space="preserve"> </w:t>
      </w:r>
      <w:r w:rsidR="003B6F02" w:rsidRPr="00E04F3F">
        <w:rPr>
          <w:rFonts w:cstheme="minorHAnsi"/>
        </w:rPr>
        <w:t>festivals</w:t>
      </w:r>
      <w:r w:rsidR="009F1213" w:rsidRPr="00E04F3F">
        <w:rPr>
          <w:rFonts w:cstheme="minorHAnsi"/>
        </w:rPr>
        <w:t>;</w:t>
      </w:r>
      <w:r w:rsidR="003B6F02" w:rsidRPr="00E04F3F">
        <w:rPr>
          <w:rFonts w:cstheme="minorHAnsi"/>
        </w:rPr>
        <w:t xml:space="preserve"> </w:t>
      </w:r>
      <w:r w:rsidR="001D349B">
        <w:rPr>
          <w:rFonts w:cstheme="minorHAnsi"/>
        </w:rPr>
        <w:t>risk management</w:t>
      </w:r>
      <w:r w:rsidR="00926E76" w:rsidRPr="00E04F3F">
        <w:rPr>
          <w:rFonts w:cstheme="minorHAnsi"/>
        </w:rPr>
        <w:t>;</w:t>
      </w:r>
      <w:r w:rsidR="008352C3" w:rsidRPr="00E04F3F">
        <w:rPr>
          <w:rFonts w:cstheme="minorHAnsi"/>
        </w:rPr>
        <w:t xml:space="preserve"> </w:t>
      </w:r>
    </w:p>
    <w:p w14:paraId="61D66BE2" w14:textId="77777777" w:rsidR="00FB375F" w:rsidRPr="00E04F3F" w:rsidRDefault="00FB375F" w:rsidP="006C24F9">
      <w:pPr>
        <w:rPr>
          <w:rFonts w:cstheme="minorHAnsi"/>
        </w:rPr>
      </w:pPr>
    </w:p>
    <w:p w14:paraId="4F49F7B0" w14:textId="63AFF047" w:rsidR="007F3D08" w:rsidRPr="006C24F9" w:rsidRDefault="007F3D08" w:rsidP="006C24F9">
      <w:pPr>
        <w:rPr>
          <w:rFonts w:cstheme="minorHAnsi"/>
          <w:i/>
        </w:rPr>
      </w:pPr>
      <w:r w:rsidRPr="006C24F9">
        <w:rPr>
          <w:rFonts w:cstheme="minorHAnsi"/>
          <w:i/>
        </w:rPr>
        <w:br w:type="page"/>
      </w:r>
    </w:p>
    <w:p w14:paraId="0E6921C9" w14:textId="77777777" w:rsidR="0052150A" w:rsidRPr="0052150A" w:rsidRDefault="0052150A" w:rsidP="0052150A">
      <w:pPr>
        <w:rPr>
          <w:rFonts w:cstheme="minorHAnsi"/>
          <w:b/>
        </w:rPr>
      </w:pPr>
      <w:r w:rsidRPr="0052150A">
        <w:rPr>
          <w:rFonts w:cstheme="minorHAnsi"/>
          <w:b/>
        </w:rPr>
        <w:lastRenderedPageBreak/>
        <w:t>Intentions, Actions and Outcomes: A follow up survey on harm reduction practices after using an English festival drug checking service</w:t>
      </w:r>
    </w:p>
    <w:p w14:paraId="15A93985" w14:textId="77777777" w:rsidR="00AE76FE" w:rsidRPr="006C24F9" w:rsidRDefault="00AE76FE" w:rsidP="006C24F9">
      <w:pPr>
        <w:rPr>
          <w:rFonts w:cstheme="minorHAnsi"/>
        </w:rPr>
      </w:pPr>
    </w:p>
    <w:p w14:paraId="305690A8" w14:textId="538F3696" w:rsidR="00F50AEB" w:rsidRPr="006C24F9" w:rsidRDefault="00E60B2A" w:rsidP="006C24F9">
      <w:pPr>
        <w:rPr>
          <w:rFonts w:cstheme="minorHAnsi"/>
          <w:b/>
        </w:rPr>
      </w:pPr>
      <w:r>
        <w:rPr>
          <w:rFonts w:cstheme="minorHAnsi"/>
          <w:b/>
        </w:rPr>
        <w:t>Introduction</w:t>
      </w:r>
    </w:p>
    <w:p w14:paraId="0D95CD52" w14:textId="77777777" w:rsidR="002919E6" w:rsidRPr="006C24F9" w:rsidRDefault="002919E6" w:rsidP="006C24F9">
      <w:pPr>
        <w:rPr>
          <w:rFonts w:cstheme="minorHAnsi"/>
        </w:rPr>
      </w:pPr>
    </w:p>
    <w:p w14:paraId="77FCD51C" w14:textId="29558583" w:rsidR="00A403CD" w:rsidRPr="006C24F9" w:rsidRDefault="00F76B2A" w:rsidP="006C24F9">
      <w:pPr>
        <w:rPr>
          <w:rFonts w:cstheme="minorHAnsi"/>
        </w:rPr>
      </w:pPr>
      <w:r w:rsidRPr="006C24F9">
        <w:rPr>
          <w:rFonts w:cstheme="minorHAnsi"/>
        </w:rPr>
        <w:t>Dr</w:t>
      </w:r>
      <w:r w:rsidR="003E4301" w:rsidRPr="006C24F9">
        <w:rPr>
          <w:rFonts w:cstheme="minorHAnsi"/>
        </w:rPr>
        <w:t xml:space="preserve">ug </w:t>
      </w:r>
      <w:r w:rsidR="002E566B" w:rsidRPr="006C24F9">
        <w:rPr>
          <w:rFonts w:cstheme="minorHAnsi"/>
        </w:rPr>
        <w:t xml:space="preserve">checking </w:t>
      </w:r>
      <w:r w:rsidR="005B4363" w:rsidRPr="006C24F9">
        <w:rPr>
          <w:rFonts w:cstheme="minorHAnsi"/>
        </w:rPr>
        <w:t>combines</w:t>
      </w:r>
      <w:r w:rsidR="004A76BA" w:rsidRPr="006C24F9">
        <w:rPr>
          <w:rFonts w:cstheme="minorHAnsi"/>
        </w:rPr>
        <w:t xml:space="preserve"> </w:t>
      </w:r>
      <w:r w:rsidR="008404FE">
        <w:rPr>
          <w:rFonts w:cstheme="minorHAnsi"/>
        </w:rPr>
        <w:t>chemical</w:t>
      </w:r>
      <w:r w:rsidR="0006464B">
        <w:rPr>
          <w:rFonts w:cstheme="minorHAnsi"/>
        </w:rPr>
        <w:t xml:space="preserve"> </w:t>
      </w:r>
      <w:r w:rsidR="00AD1167" w:rsidRPr="006C24F9">
        <w:rPr>
          <w:rFonts w:cstheme="minorHAnsi"/>
        </w:rPr>
        <w:t xml:space="preserve">analysis </w:t>
      </w:r>
      <w:r w:rsidR="00190C06">
        <w:rPr>
          <w:rFonts w:cstheme="minorHAnsi"/>
        </w:rPr>
        <w:t>with</w:t>
      </w:r>
      <w:r w:rsidR="00004F5F" w:rsidRPr="006C24F9">
        <w:rPr>
          <w:rFonts w:cstheme="minorHAnsi"/>
        </w:rPr>
        <w:t xml:space="preserve"> </w:t>
      </w:r>
      <w:r w:rsidR="0006464B">
        <w:rPr>
          <w:rFonts w:cstheme="minorHAnsi"/>
        </w:rPr>
        <w:t xml:space="preserve">health </w:t>
      </w:r>
      <w:r w:rsidR="00004F5F" w:rsidRPr="006C24F9">
        <w:rPr>
          <w:rFonts w:cstheme="minorHAnsi"/>
        </w:rPr>
        <w:t>consultations</w:t>
      </w:r>
      <w:r w:rsidR="00297212">
        <w:rPr>
          <w:rFonts w:cstheme="minorHAnsi"/>
        </w:rPr>
        <w:t>,</w:t>
      </w:r>
      <w:r w:rsidR="0006464B">
        <w:rPr>
          <w:rFonts w:cstheme="minorHAnsi"/>
        </w:rPr>
        <w:t xml:space="preserve"> </w:t>
      </w:r>
      <w:r w:rsidR="00294EF5" w:rsidRPr="006C24F9">
        <w:rPr>
          <w:rFonts w:cstheme="minorHAnsi"/>
        </w:rPr>
        <w:t xml:space="preserve">with the primary aim of </w:t>
      </w:r>
      <w:r w:rsidR="00A76EC1">
        <w:rPr>
          <w:rFonts w:cstheme="minorHAnsi"/>
        </w:rPr>
        <w:t xml:space="preserve">reducing harmful drug use </w:t>
      </w:r>
      <w:r w:rsidR="0065415D" w:rsidRPr="006C24F9">
        <w:rPr>
          <w:rFonts w:cstheme="minorHAnsi"/>
        </w:rPr>
        <w:t xml:space="preserve">and primary characteristic of </w:t>
      </w:r>
      <w:r w:rsidR="00A76EC1">
        <w:rPr>
          <w:rFonts w:cstheme="minorHAnsi"/>
        </w:rPr>
        <w:t xml:space="preserve">direct engagement with </w:t>
      </w:r>
      <w:r w:rsidR="00B92B74">
        <w:rPr>
          <w:rFonts w:cstheme="minorHAnsi"/>
        </w:rPr>
        <w:t>people who use drugs</w:t>
      </w:r>
      <w:r w:rsidR="003E4301" w:rsidRPr="006C24F9">
        <w:rPr>
          <w:rFonts w:cstheme="minorHAnsi"/>
        </w:rPr>
        <w:t>.</w:t>
      </w:r>
      <w:r w:rsidR="003032D2" w:rsidRPr="006C24F9">
        <w:rPr>
          <w:rFonts w:cstheme="minorHAnsi"/>
        </w:rPr>
        <w:t xml:space="preserve"> </w:t>
      </w:r>
      <w:r w:rsidR="00A403CD" w:rsidRPr="006C24F9">
        <w:rPr>
          <w:rFonts w:cstheme="minorHAnsi"/>
        </w:rPr>
        <w:t xml:space="preserve">Drug </w:t>
      </w:r>
      <w:r w:rsidR="00BA36B6" w:rsidRPr="006C24F9">
        <w:rPr>
          <w:rFonts w:cstheme="minorHAnsi"/>
        </w:rPr>
        <w:t xml:space="preserve">checking </w:t>
      </w:r>
      <w:r w:rsidR="00A403CD" w:rsidRPr="006C24F9">
        <w:rPr>
          <w:rFonts w:cstheme="minorHAnsi"/>
        </w:rPr>
        <w:t xml:space="preserve">is predicated upon a number of assumptions about drug-related harm. Whilst </w:t>
      </w:r>
      <w:r w:rsidR="00582E57" w:rsidRPr="006C24F9">
        <w:rPr>
          <w:rFonts w:cstheme="minorHAnsi"/>
        </w:rPr>
        <w:t>drug-related deaths (</w:t>
      </w:r>
      <w:r w:rsidR="00A403CD" w:rsidRPr="006C24F9">
        <w:rPr>
          <w:rFonts w:cstheme="minorHAnsi"/>
        </w:rPr>
        <w:t>DRDs</w:t>
      </w:r>
      <w:r w:rsidR="00582E57" w:rsidRPr="006C24F9">
        <w:rPr>
          <w:rFonts w:cstheme="minorHAnsi"/>
        </w:rPr>
        <w:t>)</w:t>
      </w:r>
      <w:r w:rsidR="00A403CD" w:rsidRPr="006C24F9">
        <w:rPr>
          <w:rFonts w:cstheme="minorHAnsi"/>
        </w:rPr>
        <w:t xml:space="preserve"> are a key harm and their prevention is a primary goal, other drug-specific and drug-related harms arise </w:t>
      </w:r>
      <w:r w:rsidR="00DD4286" w:rsidRPr="006C24F9">
        <w:rPr>
          <w:rFonts w:cstheme="minorHAnsi"/>
        </w:rPr>
        <w:t xml:space="preserve">for individual users and wider society </w:t>
      </w:r>
      <w:r w:rsidR="00A403CD" w:rsidRPr="006C24F9">
        <w:rPr>
          <w:rFonts w:cstheme="minorHAnsi"/>
        </w:rPr>
        <w:t xml:space="preserve">from adulteration, </w:t>
      </w:r>
      <w:proofErr w:type="spellStart"/>
      <w:r w:rsidR="00CD14F8" w:rsidRPr="006C24F9">
        <w:rPr>
          <w:rFonts w:cstheme="minorHAnsi"/>
        </w:rPr>
        <w:t>misselling</w:t>
      </w:r>
      <w:proofErr w:type="spellEnd"/>
      <w:r w:rsidR="00BA3ABA">
        <w:rPr>
          <w:rFonts w:cstheme="minorHAnsi"/>
        </w:rPr>
        <w:t xml:space="preserve"> and</w:t>
      </w:r>
      <w:r w:rsidR="00A403CD" w:rsidRPr="006C24F9">
        <w:rPr>
          <w:rFonts w:cstheme="minorHAnsi"/>
        </w:rPr>
        <w:t xml:space="preserve"> </w:t>
      </w:r>
      <w:r w:rsidR="00F60EAB" w:rsidRPr="006C24F9">
        <w:rPr>
          <w:rFonts w:cstheme="minorHAnsi"/>
        </w:rPr>
        <w:t>varia</w:t>
      </w:r>
      <w:r w:rsidR="009A56D5" w:rsidRPr="006C24F9">
        <w:rPr>
          <w:rFonts w:cstheme="minorHAnsi"/>
        </w:rPr>
        <w:t xml:space="preserve">tions in </w:t>
      </w:r>
      <w:r w:rsidR="00F83127" w:rsidRPr="006C24F9">
        <w:rPr>
          <w:rFonts w:cstheme="minorHAnsi"/>
        </w:rPr>
        <w:t>strength</w:t>
      </w:r>
      <w:r w:rsidR="002A5947">
        <w:rPr>
          <w:rFonts w:cstheme="minorHAnsi"/>
        </w:rPr>
        <w:t xml:space="preserve">, </w:t>
      </w:r>
      <w:r w:rsidR="00731F98">
        <w:rPr>
          <w:rFonts w:cstheme="minorHAnsi"/>
        </w:rPr>
        <w:t xml:space="preserve">that are </w:t>
      </w:r>
      <w:r w:rsidR="002A5947">
        <w:rPr>
          <w:rFonts w:cstheme="minorHAnsi"/>
        </w:rPr>
        <w:t>the</w:t>
      </w:r>
      <w:r w:rsidR="00041C99">
        <w:rPr>
          <w:rFonts w:cstheme="minorHAnsi"/>
        </w:rPr>
        <w:t xml:space="preserve"> focus here</w:t>
      </w:r>
      <w:r w:rsidR="00A403CD" w:rsidRPr="006C24F9">
        <w:rPr>
          <w:rFonts w:cstheme="minorHAnsi"/>
        </w:rPr>
        <w:t xml:space="preserve">. For example, overdose </w:t>
      </w:r>
      <w:r w:rsidR="00975DDB">
        <w:rPr>
          <w:rFonts w:cstheme="minorHAnsi"/>
        </w:rPr>
        <w:t xml:space="preserve">can result </w:t>
      </w:r>
      <w:r w:rsidR="00A403CD" w:rsidRPr="006C24F9">
        <w:rPr>
          <w:rFonts w:cstheme="minorHAnsi"/>
        </w:rPr>
        <w:t>from 25x-NBOMe missold as LSD</w:t>
      </w:r>
      <w:r w:rsidR="004708FC" w:rsidRPr="006C24F9">
        <w:rPr>
          <w:rFonts w:cstheme="minorHAnsi"/>
        </w:rPr>
        <w:t xml:space="preserve"> (Martins et al, 201</w:t>
      </w:r>
      <w:r w:rsidR="000F220B" w:rsidRPr="006C24F9">
        <w:rPr>
          <w:rFonts w:cstheme="minorHAnsi"/>
        </w:rPr>
        <w:t>7</w:t>
      </w:r>
      <w:r w:rsidR="00102297" w:rsidRPr="006C24F9">
        <w:rPr>
          <w:rFonts w:cstheme="minorHAnsi"/>
        </w:rPr>
        <w:t>; Measham,</w:t>
      </w:r>
      <w:r w:rsidR="00F10C28" w:rsidRPr="006C24F9">
        <w:rPr>
          <w:rFonts w:cstheme="minorHAnsi"/>
        </w:rPr>
        <w:t xml:space="preserve"> </w:t>
      </w:r>
      <w:r w:rsidR="00102297" w:rsidRPr="006C24F9">
        <w:rPr>
          <w:rFonts w:cstheme="minorHAnsi"/>
        </w:rPr>
        <w:t>2020</w:t>
      </w:r>
      <w:r w:rsidR="004708FC" w:rsidRPr="006C24F9">
        <w:rPr>
          <w:rFonts w:cstheme="minorHAnsi"/>
        </w:rPr>
        <w:t>)</w:t>
      </w:r>
      <w:r w:rsidR="00A403CD" w:rsidRPr="006C24F9">
        <w:rPr>
          <w:rFonts w:cstheme="minorHAnsi"/>
        </w:rPr>
        <w:t xml:space="preserve">; </w:t>
      </w:r>
      <w:r w:rsidR="00AE0760" w:rsidRPr="006C24F9">
        <w:rPr>
          <w:rFonts w:cstheme="minorHAnsi"/>
        </w:rPr>
        <w:t xml:space="preserve">anxiety, </w:t>
      </w:r>
      <w:r w:rsidR="00A403CD" w:rsidRPr="006C24F9">
        <w:rPr>
          <w:rFonts w:cstheme="minorHAnsi"/>
        </w:rPr>
        <w:t xml:space="preserve">paranoia and psychosis from </w:t>
      </w:r>
      <w:r w:rsidR="00313C56">
        <w:rPr>
          <w:rFonts w:cstheme="minorHAnsi"/>
        </w:rPr>
        <w:t xml:space="preserve">potent </w:t>
      </w:r>
      <w:proofErr w:type="spellStart"/>
      <w:r w:rsidR="00494C84" w:rsidRPr="006C24F9">
        <w:rPr>
          <w:rFonts w:cstheme="minorHAnsi"/>
        </w:rPr>
        <w:t>cathinones</w:t>
      </w:r>
      <w:proofErr w:type="spellEnd"/>
      <w:r w:rsidR="00494C84" w:rsidRPr="006C24F9">
        <w:rPr>
          <w:rFonts w:cstheme="minorHAnsi"/>
        </w:rPr>
        <w:t xml:space="preserve"> such as </w:t>
      </w:r>
      <w:r w:rsidR="00FF27F5">
        <w:rPr>
          <w:rFonts w:cstheme="minorHAnsi"/>
        </w:rPr>
        <w:t>N</w:t>
      </w:r>
      <w:r w:rsidR="00A403CD" w:rsidRPr="006C24F9">
        <w:rPr>
          <w:rFonts w:cstheme="minorHAnsi"/>
        </w:rPr>
        <w:t>-</w:t>
      </w:r>
      <w:proofErr w:type="spellStart"/>
      <w:r w:rsidR="00A403CD" w:rsidRPr="006C24F9">
        <w:rPr>
          <w:rFonts w:cstheme="minorHAnsi"/>
        </w:rPr>
        <w:t>ethylpentylone</w:t>
      </w:r>
      <w:proofErr w:type="spellEnd"/>
      <w:r w:rsidR="00A403CD" w:rsidRPr="006C24F9">
        <w:rPr>
          <w:rFonts w:cstheme="minorHAnsi"/>
        </w:rPr>
        <w:t xml:space="preserve"> </w:t>
      </w:r>
      <w:proofErr w:type="spellStart"/>
      <w:r w:rsidR="00A403CD" w:rsidRPr="006C24F9">
        <w:rPr>
          <w:rFonts w:cstheme="minorHAnsi"/>
        </w:rPr>
        <w:t>missold</w:t>
      </w:r>
      <w:proofErr w:type="spellEnd"/>
      <w:r w:rsidR="00A403CD" w:rsidRPr="006C24F9">
        <w:rPr>
          <w:rFonts w:cstheme="minorHAnsi"/>
        </w:rPr>
        <w:t xml:space="preserve"> as MDMA</w:t>
      </w:r>
      <w:r w:rsidR="006A12CF" w:rsidRPr="006C24F9">
        <w:rPr>
          <w:rFonts w:cstheme="minorHAnsi"/>
        </w:rPr>
        <w:t xml:space="preserve"> (Measham and Jones, 2017)</w:t>
      </w:r>
      <w:r w:rsidR="00A403CD" w:rsidRPr="006C24F9">
        <w:rPr>
          <w:rFonts w:cstheme="minorHAnsi"/>
        </w:rPr>
        <w:t xml:space="preserve">; </w:t>
      </w:r>
      <w:r w:rsidR="00E34AE1" w:rsidRPr="006C24F9">
        <w:rPr>
          <w:rFonts w:cstheme="minorHAnsi"/>
        </w:rPr>
        <w:t xml:space="preserve">severe toxicity </w:t>
      </w:r>
      <w:r w:rsidR="00975DDB">
        <w:rPr>
          <w:rFonts w:cstheme="minorHAnsi"/>
        </w:rPr>
        <w:t xml:space="preserve">from </w:t>
      </w:r>
      <w:r w:rsidR="00E34AE1" w:rsidRPr="006C24F9">
        <w:rPr>
          <w:rFonts w:cstheme="minorHAnsi"/>
        </w:rPr>
        <w:t>high dosage (Black et al, 2020)</w:t>
      </w:r>
      <w:r w:rsidR="00E34AE1">
        <w:rPr>
          <w:rFonts w:cstheme="minorHAnsi"/>
        </w:rPr>
        <w:t>;</w:t>
      </w:r>
      <w:r w:rsidR="00E34AE1" w:rsidRPr="006C24F9">
        <w:rPr>
          <w:rFonts w:cstheme="minorHAnsi"/>
        </w:rPr>
        <w:t xml:space="preserve"> </w:t>
      </w:r>
      <w:r w:rsidR="00975DDB">
        <w:rPr>
          <w:rFonts w:cstheme="minorHAnsi"/>
        </w:rPr>
        <w:t xml:space="preserve">from mixing </w:t>
      </w:r>
      <w:r w:rsidR="00A403CD" w:rsidRPr="006C24F9">
        <w:rPr>
          <w:rFonts w:cstheme="minorHAnsi"/>
        </w:rPr>
        <w:t>polydrug use</w:t>
      </w:r>
      <w:r w:rsidR="0083222C">
        <w:rPr>
          <w:rFonts w:cstheme="minorHAnsi"/>
        </w:rPr>
        <w:t xml:space="preserve"> and</w:t>
      </w:r>
      <w:r w:rsidR="00A403CD" w:rsidRPr="006C24F9">
        <w:rPr>
          <w:rFonts w:cstheme="minorHAnsi"/>
        </w:rPr>
        <w:t xml:space="preserve"> medications </w:t>
      </w:r>
      <w:r w:rsidR="0083222C">
        <w:rPr>
          <w:rFonts w:cstheme="minorHAnsi"/>
        </w:rPr>
        <w:t>with</w:t>
      </w:r>
      <w:r w:rsidR="00A403CD" w:rsidRPr="006C24F9">
        <w:rPr>
          <w:rFonts w:cstheme="minorHAnsi"/>
        </w:rPr>
        <w:t xml:space="preserve"> pre-existing health conditions</w:t>
      </w:r>
      <w:r w:rsidR="0032647B" w:rsidRPr="006C24F9">
        <w:rPr>
          <w:rFonts w:cstheme="minorHAnsi"/>
        </w:rPr>
        <w:t xml:space="preserve"> (</w:t>
      </w:r>
      <w:proofErr w:type="spellStart"/>
      <w:r w:rsidR="00364F86" w:rsidRPr="006C24F9">
        <w:rPr>
          <w:rFonts w:cstheme="minorHAnsi"/>
        </w:rPr>
        <w:t>Liamis</w:t>
      </w:r>
      <w:proofErr w:type="spellEnd"/>
      <w:r w:rsidR="00364F86" w:rsidRPr="006C24F9">
        <w:rPr>
          <w:rFonts w:cstheme="minorHAnsi"/>
        </w:rPr>
        <w:t xml:space="preserve"> et al 2008; </w:t>
      </w:r>
      <w:r w:rsidR="0032647B" w:rsidRPr="006C24F9">
        <w:rPr>
          <w:rFonts w:cstheme="minorHAnsi"/>
        </w:rPr>
        <w:t>Wu et al, 2009)</w:t>
      </w:r>
      <w:r w:rsidR="00A403CD" w:rsidRPr="006C24F9">
        <w:rPr>
          <w:rFonts w:cstheme="minorHAnsi"/>
        </w:rPr>
        <w:t xml:space="preserve">; </w:t>
      </w:r>
      <w:r w:rsidR="0093003A">
        <w:rPr>
          <w:rFonts w:cstheme="minorHAnsi"/>
        </w:rPr>
        <w:t xml:space="preserve">and </w:t>
      </w:r>
      <w:r w:rsidR="00975DDB">
        <w:rPr>
          <w:rFonts w:cstheme="minorHAnsi"/>
        </w:rPr>
        <w:t xml:space="preserve">drug-related </w:t>
      </w:r>
      <w:r w:rsidR="0093003A" w:rsidRPr="006C24F9">
        <w:rPr>
          <w:rFonts w:cstheme="minorHAnsi"/>
        </w:rPr>
        <w:t>hyperthermia and hyponatremia (Campbell and Rosner, 2008)</w:t>
      </w:r>
      <w:r w:rsidR="00C12A06">
        <w:rPr>
          <w:rFonts w:cstheme="minorHAnsi"/>
        </w:rPr>
        <w:t>.</w:t>
      </w:r>
      <w:r w:rsidR="0093003A" w:rsidRPr="006C24F9">
        <w:rPr>
          <w:rFonts w:cstheme="minorHAnsi"/>
        </w:rPr>
        <w:t xml:space="preserve"> </w:t>
      </w:r>
      <w:r w:rsidR="00C12A06">
        <w:rPr>
          <w:rFonts w:cstheme="minorHAnsi"/>
        </w:rPr>
        <w:t>A</w:t>
      </w:r>
      <w:r w:rsidR="00A403CD" w:rsidRPr="006C24F9">
        <w:rPr>
          <w:rFonts w:cstheme="minorHAnsi"/>
        </w:rPr>
        <w:t>ll can result in harm ranging from low</w:t>
      </w:r>
      <w:r w:rsidR="00C70C36">
        <w:rPr>
          <w:rFonts w:cstheme="minorHAnsi"/>
        </w:rPr>
        <w:t>-</w:t>
      </w:r>
      <w:r w:rsidR="00A403CD" w:rsidRPr="006C24F9">
        <w:rPr>
          <w:rFonts w:cstheme="minorHAnsi"/>
        </w:rPr>
        <w:t xml:space="preserve">level adverse effects such as nausea </w:t>
      </w:r>
      <w:r w:rsidR="00313C56">
        <w:rPr>
          <w:rFonts w:cstheme="minorHAnsi"/>
        </w:rPr>
        <w:t xml:space="preserve">through </w:t>
      </w:r>
      <w:r w:rsidR="00A403CD" w:rsidRPr="006C24F9">
        <w:rPr>
          <w:rFonts w:cstheme="minorHAnsi"/>
        </w:rPr>
        <w:t xml:space="preserve">to </w:t>
      </w:r>
      <w:r w:rsidR="00C170F2">
        <w:rPr>
          <w:rFonts w:cstheme="minorHAnsi"/>
        </w:rPr>
        <w:t>acute</w:t>
      </w:r>
      <w:r w:rsidR="00A403CD" w:rsidRPr="006C24F9">
        <w:rPr>
          <w:rFonts w:cstheme="minorHAnsi"/>
        </w:rPr>
        <w:t xml:space="preserve"> and </w:t>
      </w:r>
      <w:r w:rsidR="00C170F2">
        <w:rPr>
          <w:rFonts w:cstheme="minorHAnsi"/>
        </w:rPr>
        <w:t xml:space="preserve">chronic </w:t>
      </w:r>
      <w:r w:rsidR="00A403CD" w:rsidRPr="006C24F9">
        <w:rPr>
          <w:rFonts w:cstheme="minorHAnsi"/>
        </w:rPr>
        <w:t xml:space="preserve">psychological and physiological problems </w:t>
      </w:r>
      <w:r w:rsidR="00313C56">
        <w:rPr>
          <w:rFonts w:cstheme="minorHAnsi"/>
        </w:rPr>
        <w:t xml:space="preserve">including permanent </w:t>
      </w:r>
      <w:r w:rsidR="003B7083" w:rsidRPr="006C24F9">
        <w:rPr>
          <w:rFonts w:cstheme="minorHAnsi"/>
        </w:rPr>
        <w:t>organ</w:t>
      </w:r>
      <w:r w:rsidR="00E45CDA" w:rsidRPr="006C24F9">
        <w:rPr>
          <w:rFonts w:cstheme="minorHAnsi"/>
        </w:rPr>
        <w:t xml:space="preserve"> </w:t>
      </w:r>
      <w:r w:rsidR="00A403CD" w:rsidRPr="006C24F9">
        <w:rPr>
          <w:rFonts w:cstheme="minorHAnsi"/>
        </w:rPr>
        <w:t xml:space="preserve">damage. Thus, </w:t>
      </w:r>
      <w:r w:rsidR="00F05ACC" w:rsidRPr="006C24F9">
        <w:rPr>
          <w:rFonts w:cstheme="minorHAnsi"/>
        </w:rPr>
        <w:t xml:space="preserve">drug </w:t>
      </w:r>
      <w:r w:rsidR="002B4898" w:rsidRPr="006C24F9">
        <w:rPr>
          <w:rFonts w:cstheme="minorHAnsi"/>
        </w:rPr>
        <w:t xml:space="preserve">checking </w:t>
      </w:r>
      <w:r w:rsidR="00346DBA" w:rsidRPr="006C24F9">
        <w:rPr>
          <w:rFonts w:cstheme="minorHAnsi"/>
        </w:rPr>
        <w:t xml:space="preserve">aims not simply to </w:t>
      </w:r>
      <w:r w:rsidR="008277E3" w:rsidRPr="006C24F9">
        <w:rPr>
          <w:rFonts w:cstheme="minorHAnsi"/>
        </w:rPr>
        <w:t xml:space="preserve">reduce </w:t>
      </w:r>
      <w:r w:rsidR="00503E09" w:rsidRPr="006C24F9">
        <w:rPr>
          <w:rFonts w:cstheme="minorHAnsi"/>
        </w:rPr>
        <w:t xml:space="preserve">DRDs but </w:t>
      </w:r>
      <w:r w:rsidR="008B36BD" w:rsidRPr="006C24F9">
        <w:rPr>
          <w:rFonts w:cstheme="minorHAnsi"/>
        </w:rPr>
        <w:t xml:space="preserve">also </w:t>
      </w:r>
      <w:r w:rsidR="004F7EB7" w:rsidRPr="006C24F9">
        <w:rPr>
          <w:rFonts w:cstheme="minorHAnsi"/>
        </w:rPr>
        <w:t xml:space="preserve">wider drug-related </w:t>
      </w:r>
      <w:r w:rsidR="00A403CD" w:rsidRPr="006C24F9">
        <w:rPr>
          <w:rFonts w:cstheme="minorHAnsi"/>
        </w:rPr>
        <w:t>harm</w:t>
      </w:r>
      <w:r w:rsidR="008B36BD" w:rsidRPr="006C24F9">
        <w:rPr>
          <w:rFonts w:cstheme="minorHAnsi"/>
        </w:rPr>
        <w:t xml:space="preserve">. </w:t>
      </w:r>
      <w:proofErr w:type="gramStart"/>
      <w:r w:rsidR="008B36BD" w:rsidRPr="006C24F9">
        <w:rPr>
          <w:rFonts w:cstheme="minorHAnsi"/>
        </w:rPr>
        <w:t>T</w:t>
      </w:r>
      <w:r w:rsidR="00346DBA" w:rsidRPr="006C24F9">
        <w:rPr>
          <w:rFonts w:cstheme="minorHAnsi"/>
        </w:rPr>
        <w:t>herefore</w:t>
      </w:r>
      <w:proofErr w:type="gramEnd"/>
      <w:r w:rsidR="00346DBA" w:rsidRPr="006C24F9">
        <w:rPr>
          <w:rFonts w:cstheme="minorHAnsi"/>
        </w:rPr>
        <w:t xml:space="preserve"> </w:t>
      </w:r>
      <w:r w:rsidR="008277E3" w:rsidRPr="006C24F9">
        <w:rPr>
          <w:rFonts w:cstheme="minorHAnsi"/>
        </w:rPr>
        <w:t xml:space="preserve">its </w:t>
      </w:r>
      <w:r w:rsidR="00975DDB">
        <w:rPr>
          <w:rFonts w:cstheme="minorHAnsi"/>
        </w:rPr>
        <w:t>effectiveness</w:t>
      </w:r>
      <w:r w:rsidR="008277E3" w:rsidRPr="006C24F9">
        <w:rPr>
          <w:rFonts w:cstheme="minorHAnsi"/>
        </w:rPr>
        <w:t xml:space="preserve"> </w:t>
      </w:r>
      <w:r w:rsidR="0073200F">
        <w:rPr>
          <w:rFonts w:cstheme="minorHAnsi"/>
        </w:rPr>
        <w:t>should</w:t>
      </w:r>
      <w:r w:rsidR="00503E09" w:rsidRPr="006C24F9">
        <w:rPr>
          <w:rFonts w:cstheme="minorHAnsi"/>
        </w:rPr>
        <w:t xml:space="preserve"> be</w:t>
      </w:r>
      <w:r w:rsidR="004F7EB7" w:rsidRPr="006C24F9">
        <w:rPr>
          <w:rFonts w:cstheme="minorHAnsi"/>
        </w:rPr>
        <w:t xml:space="preserve"> </w:t>
      </w:r>
      <w:r w:rsidR="00A403CD" w:rsidRPr="006C24F9">
        <w:rPr>
          <w:rFonts w:cstheme="minorHAnsi"/>
        </w:rPr>
        <w:t xml:space="preserve">measured </w:t>
      </w:r>
      <w:r w:rsidR="008733EB">
        <w:rPr>
          <w:rFonts w:cstheme="minorHAnsi"/>
        </w:rPr>
        <w:t xml:space="preserve">not </w:t>
      </w:r>
      <w:r w:rsidR="009B4927">
        <w:rPr>
          <w:rFonts w:cstheme="minorHAnsi"/>
        </w:rPr>
        <w:t>only</w:t>
      </w:r>
      <w:r w:rsidR="008733EB">
        <w:rPr>
          <w:rFonts w:cstheme="minorHAnsi"/>
        </w:rPr>
        <w:t xml:space="preserve"> </w:t>
      </w:r>
      <w:r w:rsidR="0073200F">
        <w:rPr>
          <w:rFonts w:cstheme="minorHAnsi"/>
        </w:rPr>
        <w:t xml:space="preserve">by a reduction in </w:t>
      </w:r>
      <w:r w:rsidR="008733EB">
        <w:rPr>
          <w:rFonts w:cstheme="minorHAnsi"/>
        </w:rPr>
        <w:t xml:space="preserve">DRDs but </w:t>
      </w:r>
      <w:r w:rsidR="0073200F">
        <w:rPr>
          <w:rFonts w:cstheme="minorHAnsi"/>
        </w:rPr>
        <w:t xml:space="preserve">by </w:t>
      </w:r>
      <w:bookmarkStart w:id="6" w:name="_Hlk51249648"/>
      <w:r w:rsidR="009B142C" w:rsidRPr="006C24F9">
        <w:rPr>
          <w:rFonts w:cstheme="minorHAnsi"/>
        </w:rPr>
        <w:t>successful risk communication</w:t>
      </w:r>
      <w:r w:rsidR="008B36BD" w:rsidRPr="006C24F9">
        <w:rPr>
          <w:rFonts w:cstheme="minorHAnsi"/>
        </w:rPr>
        <w:t>s</w:t>
      </w:r>
      <w:r w:rsidR="009B142C" w:rsidRPr="006C24F9">
        <w:rPr>
          <w:rFonts w:cstheme="minorHAnsi"/>
        </w:rPr>
        <w:t xml:space="preserve"> </w:t>
      </w:r>
      <w:r w:rsidR="00346DBA" w:rsidRPr="006C24F9">
        <w:rPr>
          <w:rFonts w:cstheme="minorHAnsi"/>
        </w:rPr>
        <w:t xml:space="preserve">that </w:t>
      </w:r>
      <w:r w:rsidR="00120AB6">
        <w:rPr>
          <w:rFonts w:cstheme="minorHAnsi"/>
        </w:rPr>
        <w:t>enhance risk management</w:t>
      </w:r>
      <w:bookmarkEnd w:id="6"/>
      <w:r w:rsidR="00190C06">
        <w:rPr>
          <w:rFonts w:cstheme="minorHAnsi"/>
        </w:rPr>
        <w:t xml:space="preserve"> and</w:t>
      </w:r>
      <w:r w:rsidR="004814A0">
        <w:rPr>
          <w:rFonts w:cstheme="minorHAnsi"/>
        </w:rPr>
        <w:t xml:space="preserve"> increase harm reduction practices</w:t>
      </w:r>
      <w:r w:rsidR="00583258">
        <w:rPr>
          <w:rFonts w:cstheme="minorHAnsi"/>
        </w:rPr>
        <w:t xml:space="preserve">. </w:t>
      </w:r>
      <w:r w:rsidR="00627220">
        <w:rPr>
          <w:rFonts w:cstheme="minorHAnsi"/>
        </w:rPr>
        <w:t>By reducing</w:t>
      </w:r>
      <w:r w:rsidR="00120AB6">
        <w:rPr>
          <w:rFonts w:cstheme="minorHAnsi"/>
        </w:rPr>
        <w:t xml:space="preserve"> </w:t>
      </w:r>
      <w:r w:rsidR="00A403CD" w:rsidRPr="006C24F9">
        <w:rPr>
          <w:rFonts w:cstheme="minorHAnsi"/>
        </w:rPr>
        <w:t>adverse effects</w:t>
      </w:r>
      <w:r w:rsidR="009B142C" w:rsidRPr="006C24F9">
        <w:rPr>
          <w:rFonts w:cstheme="minorHAnsi"/>
        </w:rPr>
        <w:t xml:space="preserve"> </w:t>
      </w:r>
      <w:r w:rsidR="00190C06">
        <w:rPr>
          <w:rFonts w:cstheme="minorHAnsi"/>
        </w:rPr>
        <w:t xml:space="preserve">such as accidental poisoning </w:t>
      </w:r>
      <w:r w:rsidR="00583258">
        <w:rPr>
          <w:rFonts w:cstheme="minorHAnsi"/>
        </w:rPr>
        <w:t xml:space="preserve">and </w:t>
      </w:r>
      <w:r w:rsidR="00190C06">
        <w:rPr>
          <w:rFonts w:cstheme="minorHAnsi"/>
        </w:rPr>
        <w:t>overdose</w:t>
      </w:r>
      <w:r w:rsidR="00627220">
        <w:rPr>
          <w:rFonts w:cstheme="minorHAnsi"/>
        </w:rPr>
        <w:t>, it is hoped that</w:t>
      </w:r>
      <w:r w:rsidR="00190C06">
        <w:rPr>
          <w:rFonts w:cstheme="minorHAnsi"/>
        </w:rPr>
        <w:t xml:space="preserve"> </w:t>
      </w:r>
      <w:r w:rsidR="00BE2205">
        <w:rPr>
          <w:rFonts w:cstheme="minorHAnsi"/>
        </w:rPr>
        <w:t>accessing</w:t>
      </w:r>
      <w:r w:rsidR="00610435" w:rsidRPr="006C24F9">
        <w:rPr>
          <w:rFonts w:cstheme="minorHAnsi"/>
        </w:rPr>
        <w:t xml:space="preserve"> </w:t>
      </w:r>
      <w:r w:rsidR="00627220">
        <w:rPr>
          <w:rFonts w:cstheme="minorHAnsi"/>
        </w:rPr>
        <w:t xml:space="preserve">emergency </w:t>
      </w:r>
      <w:r w:rsidR="00610435" w:rsidRPr="006C24F9">
        <w:rPr>
          <w:rFonts w:cstheme="minorHAnsi"/>
        </w:rPr>
        <w:t>services</w:t>
      </w:r>
      <w:r w:rsidR="00627220">
        <w:rPr>
          <w:rFonts w:cstheme="minorHAnsi"/>
        </w:rPr>
        <w:t>,</w:t>
      </w:r>
      <w:r w:rsidR="00BE2205">
        <w:rPr>
          <w:rFonts w:cstheme="minorHAnsi"/>
        </w:rPr>
        <w:t xml:space="preserve"> </w:t>
      </w:r>
      <w:r w:rsidR="00627220">
        <w:rPr>
          <w:rFonts w:cstheme="minorHAnsi"/>
        </w:rPr>
        <w:t xml:space="preserve">requiring medical intervention </w:t>
      </w:r>
      <w:r w:rsidR="00583258">
        <w:rPr>
          <w:rFonts w:cstheme="minorHAnsi"/>
        </w:rPr>
        <w:t xml:space="preserve">and </w:t>
      </w:r>
      <w:r w:rsidR="00627220">
        <w:rPr>
          <w:rFonts w:cstheme="minorHAnsi"/>
        </w:rPr>
        <w:t xml:space="preserve">admission to </w:t>
      </w:r>
      <w:r w:rsidR="00BE2205">
        <w:rPr>
          <w:rFonts w:cstheme="minorHAnsi"/>
        </w:rPr>
        <w:t>hospital</w:t>
      </w:r>
      <w:r w:rsidR="00627220">
        <w:rPr>
          <w:rFonts w:cstheme="minorHAnsi"/>
        </w:rPr>
        <w:t xml:space="preserve"> will all be reduced</w:t>
      </w:r>
      <w:r w:rsidR="00610435" w:rsidRPr="006C24F9">
        <w:rPr>
          <w:rFonts w:cstheme="minorHAnsi"/>
        </w:rPr>
        <w:t xml:space="preserve">. </w:t>
      </w:r>
      <w:r w:rsidR="00627220">
        <w:rPr>
          <w:rFonts w:cstheme="minorHAnsi"/>
        </w:rPr>
        <w:t>However, a</w:t>
      </w:r>
      <w:r w:rsidR="00B05608" w:rsidRPr="006C24F9">
        <w:rPr>
          <w:rFonts w:cstheme="minorHAnsi"/>
        </w:rPr>
        <w:t xml:space="preserve">s with </w:t>
      </w:r>
      <w:r w:rsidR="00397929" w:rsidRPr="006C24F9">
        <w:rPr>
          <w:rFonts w:cstheme="minorHAnsi"/>
        </w:rPr>
        <w:t xml:space="preserve">other harm reduction </w:t>
      </w:r>
      <w:r w:rsidR="003C6BDF" w:rsidRPr="006C24F9">
        <w:rPr>
          <w:rFonts w:cstheme="minorHAnsi"/>
        </w:rPr>
        <w:t>interventions</w:t>
      </w:r>
      <w:r w:rsidR="00B05608" w:rsidRPr="006C24F9">
        <w:rPr>
          <w:rFonts w:cstheme="minorHAnsi"/>
        </w:rPr>
        <w:t xml:space="preserve">, the aim is </w:t>
      </w:r>
      <w:r w:rsidR="00397929" w:rsidRPr="006C24F9">
        <w:rPr>
          <w:rFonts w:cstheme="minorHAnsi"/>
        </w:rPr>
        <w:t xml:space="preserve">not </w:t>
      </w:r>
      <w:r w:rsidR="00253195" w:rsidRPr="006C24F9">
        <w:rPr>
          <w:rFonts w:cstheme="minorHAnsi"/>
        </w:rPr>
        <w:t xml:space="preserve">to </w:t>
      </w:r>
      <w:r w:rsidR="00397929" w:rsidRPr="006C24F9">
        <w:rPr>
          <w:rFonts w:cstheme="minorHAnsi"/>
        </w:rPr>
        <w:t xml:space="preserve">eliminate </w:t>
      </w:r>
      <w:r w:rsidR="00B05608" w:rsidRPr="006C24F9">
        <w:rPr>
          <w:rFonts w:cstheme="minorHAnsi"/>
        </w:rPr>
        <w:t>harm</w:t>
      </w:r>
      <w:r w:rsidR="001B7379">
        <w:rPr>
          <w:rFonts w:cstheme="minorHAnsi"/>
        </w:rPr>
        <w:t xml:space="preserve"> – so </w:t>
      </w:r>
      <w:r w:rsidR="00B05608" w:rsidRPr="006C24F9">
        <w:rPr>
          <w:rFonts w:cstheme="minorHAnsi"/>
        </w:rPr>
        <w:t>long as drug use remains a possibility</w:t>
      </w:r>
      <w:r w:rsidR="00A1413A" w:rsidRPr="006C24F9">
        <w:rPr>
          <w:rFonts w:cstheme="minorHAnsi"/>
        </w:rPr>
        <w:t>,</w:t>
      </w:r>
      <w:r w:rsidR="00B05608" w:rsidRPr="006C24F9">
        <w:rPr>
          <w:rFonts w:cstheme="minorHAnsi"/>
        </w:rPr>
        <w:t xml:space="preserve"> so too does </w:t>
      </w:r>
      <w:r w:rsidR="00397929" w:rsidRPr="006C24F9">
        <w:rPr>
          <w:rFonts w:cstheme="minorHAnsi"/>
        </w:rPr>
        <w:t>drug</w:t>
      </w:r>
      <w:r w:rsidR="00B05608" w:rsidRPr="006C24F9">
        <w:rPr>
          <w:rFonts w:cstheme="minorHAnsi"/>
        </w:rPr>
        <w:t>-related harm</w:t>
      </w:r>
      <w:r w:rsidR="001B7379">
        <w:rPr>
          <w:rFonts w:cstheme="minorHAnsi"/>
        </w:rPr>
        <w:t xml:space="preserve"> – but to </w:t>
      </w:r>
      <w:r w:rsidR="00190C06">
        <w:rPr>
          <w:rFonts w:cstheme="minorHAnsi"/>
        </w:rPr>
        <w:t xml:space="preserve">identify substances of concern in circulation and to </w:t>
      </w:r>
      <w:r w:rsidR="001B7379">
        <w:rPr>
          <w:rFonts w:cstheme="minorHAnsi"/>
        </w:rPr>
        <w:t>increase strategies</w:t>
      </w:r>
      <w:r w:rsidR="00627220">
        <w:rPr>
          <w:rFonts w:cstheme="minorHAnsi"/>
        </w:rPr>
        <w:t>,</w:t>
      </w:r>
      <w:r w:rsidR="001B7379">
        <w:rPr>
          <w:rFonts w:cstheme="minorHAnsi"/>
        </w:rPr>
        <w:t xml:space="preserve"> behaviours </w:t>
      </w:r>
      <w:r w:rsidR="00627220">
        <w:rPr>
          <w:rFonts w:cstheme="minorHAnsi"/>
        </w:rPr>
        <w:t xml:space="preserve">and risk communications </w:t>
      </w:r>
      <w:r w:rsidR="001B7379">
        <w:rPr>
          <w:rFonts w:cstheme="minorHAnsi"/>
        </w:rPr>
        <w:t xml:space="preserve">that could reduce </w:t>
      </w:r>
      <w:r w:rsidR="0083222C">
        <w:rPr>
          <w:rFonts w:cstheme="minorHAnsi"/>
        </w:rPr>
        <w:t xml:space="preserve">that </w:t>
      </w:r>
      <w:r w:rsidR="001B7379">
        <w:rPr>
          <w:rFonts w:cstheme="minorHAnsi"/>
        </w:rPr>
        <w:t>harm</w:t>
      </w:r>
      <w:r w:rsidR="00B05608" w:rsidRPr="006C24F9">
        <w:rPr>
          <w:rFonts w:cstheme="minorHAnsi"/>
        </w:rPr>
        <w:t xml:space="preserve">. </w:t>
      </w:r>
    </w:p>
    <w:p w14:paraId="5524F4D7" w14:textId="77777777" w:rsidR="00722A74" w:rsidRPr="006C24F9" w:rsidRDefault="00722A74" w:rsidP="006C24F9">
      <w:pPr>
        <w:rPr>
          <w:rFonts w:cstheme="minorHAnsi"/>
        </w:rPr>
      </w:pPr>
    </w:p>
    <w:p w14:paraId="26FEDACD" w14:textId="3F3C7A60" w:rsidR="00722A74" w:rsidRPr="006C24F9" w:rsidRDefault="004F76CC" w:rsidP="006C24F9">
      <w:pPr>
        <w:rPr>
          <w:rFonts w:cstheme="minorHAnsi"/>
        </w:rPr>
      </w:pPr>
      <w:r w:rsidRPr="004F76CC">
        <w:rPr>
          <w:rFonts w:cstheme="minorHAnsi"/>
        </w:rPr>
        <w:t xml:space="preserve">Evidence highlights the value of disseminating test results obtained from both publicly accessible drug checking and </w:t>
      </w:r>
      <w:r w:rsidR="00295EEE">
        <w:rPr>
          <w:rFonts w:cstheme="minorHAnsi"/>
        </w:rPr>
        <w:t xml:space="preserve">also </w:t>
      </w:r>
      <w:proofErr w:type="spellStart"/>
      <w:r w:rsidR="00100BC3">
        <w:rPr>
          <w:rFonts w:cstheme="minorHAnsi"/>
        </w:rPr>
        <w:t>non public</w:t>
      </w:r>
      <w:proofErr w:type="spellEnd"/>
      <w:r w:rsidR="00100BC3">
        <w:rPr>
          <w:rFonts w:cstheme="minorHAnsi"/>
        </w:rPr>
        <w:t xml:space="preserve"> </w:t>
      </w:r>
      <w:r w:rsidR="00C974D5">
        <w:rPr>
          <w:rFonts w:cstheme="minorHAnsi"/>
        </w:rPr>
        <w:t>drug</w:t>
      </w:r>
      <w:r w:rsidRPr="004F76CC">
        <w:rPr>
          <w:rFonts w:cstheme="minorHAnsi"/>
        </w:rPr>
        <w:t xml:space="preserve"> testing (</w:t>
      </w:r>
      <w:proofErr w:type="spellStart"/>
      <w:r w:rsidRPr="004F76CC">
        <w:rPr>
          <w:rFonts w:cstheme="minorHAnsi"/>
        </w:rPr>
        <w:t>eg</w:t>
      </w:r>
      <w:proofErr w:type="spellEnd"/>
      <w:r w:rsidRPr="004F76CC">
        <w:rPr>
          <w:rFonts w:cstheme="minorHAnsi"/>
        </w:rPr>
        <w:t xml:space="preserve"> Johnson et al, 2020)</w:t>
      </w:r>
      <w:r w:rsidR="00100BC3">
        <w:rPr>
          <w:rFonts w:cstheme="minorHAnsi"/>
        </w:rPr>
        <w:t>,</w:t>
      </w:r>
      <w:r w:rsidRPr="004F76CC">
        <w:rPr>
          <w:rFonts w:cstheme="minorHAnsi"/>
        </w:rPr>
        <w:t xml:space="preserve"> for trend monitoring, public information alerts and early warning systems (</w:t>
      </w:r>
      <w:proofErr w:type="spellStart"/>
      <w:r w:rsidRPr="004F76CC">
        <w:rPr>
          <w:rFonts w:cstheme="minorHAnsi"/>
        </w:rPr>
        <w:t>eg</w:t>
      </w:r>
      <w:proofErr w:type="spellEnd"/>
      <w:r w:rsidRPr="004F76CC">
        <w:rPr>
          <w:rFonts w:cstheme="minorHAnsi"/>
        </w:rPr>
        <w:t xml:space="preserve"> Brunt and </w:t>
      </w:r>
      <w:proofErr w:type="spellStart"/>
      <w:r w:rsidRPr="004F76CC">
        <w:rPr>
          <w:rFonts w:cstheme="minorHAnsi"/>
        </w:rPr>
        <w:t>Niesink</w:t>
      </w:r>
      <w:proofErr w:type="spellEnd"/>
      <w:r w:rsidRPr="004F76CC">
        <w:rPr>
          <w:rFonts w:cstheme="minorHAnsi"/>
        </w:rPr>
        <w:t xml:space="preserve">, 2011; </w:t>
      </w:r>
      <w:proofErr w:type="spellStart"/>
      <w:r w:rsidRPr="004F76CC">
        <w:rPr>
          <w:rFonts w:cstheme="minorHAnsi"/>
        </w:rPr>
        <w:t>Bücheli</w:t>
      </w:r>
      <w:proofErr w:type="spellEnd"/>
      <w:r w:rsidRPr="004F76CC">
        <w:rPr>
          <w:rFonts w:cstheme="minorHAnsi"/>
        </w:rPr>
        <w:t xml:space="preserve"> et al, 2010), However, </w:t>
      </w:r>
      <w:r w:rsidR="00CD7A63">
        <w:rPr>
          <w:rFonts w:cstheme="minorHAnsi"/>
        </w:rPr>
        <w:t>a</w:t>
      </w:r>
      <w:r w:rsidRPr="004F76CC">
        <w:rPr>
          <w:rFonts w:cstheme="minorHAnsi"/>
        </w:rPr>
        <w:t xml:space="preserve"> “limited” evidence base on individual behavioural outcomes </w:t>
      </w:r>
      <w:r w:rsidR="00FB1053">
        <w:rPr>
          <w:rFonts w:cstheme="minorHAnsi"/>
        </w:rPr>
        <w:t xml:space="preserve">of drug checking </w:t>
      </w:r>
      <w:r w:rsidRPr="004F76CC">
        <w:rPr>
          <w:rFonts w:cstheme="minorHAnsi"/>
        </w:rPr>
        <w:t xml:space="preserve">has been noted (EMCDDA, 2017: 139), and there is </w:t>
      </w:r>
      <w:r w:rsidR="00AC0CF3" w:rsidRPr="006C24F9">
        <w:rPr>
          <w:rFonts w:cstheme="minorHAnsi"/>
        </w:rPr>
        <w:t xml:space="preserve">an absence of </w:t>
      </w:r>
      <w:r w:rsidR="00B5789E" w:rsidRPr="006C24F9">
        <w:rPr>
          <w:rFonts w:cstheme="minorHAnsi"/>
        </w:rPr>
        <w:t>randomised controlled trials</w:t>
      </w:r>
      <w:r w:rsidR="00B5789E">
        <w:rPr>
          <w:rFonts w:cstheme="minorHAnsi"/>
        </w:rPr>
        <w:t xml:space="preserve">, </w:t>
      </w:r>
      <w:r w:rsidR="00AC0CF3" w:rsidRPr="006C24F9">
        <w:rPr>
          <w:rFonts w:cstheme="minorHAnsi"/>
        </w:rPr>
        <w:t>longitudinal studies</w:t>
      </w:r>
      <w:r w:rsidR="00BE5107">
        <w:rPr>
          <w:rFonts w:cstheme="minorHAnsi"/>
        </w:rPr>
        <w:t xml:space="preserve"> </w:t>
      </w:r>
      <w:r w:rsidR="00755A17">
        <w:rPr>
          <w:rFonts w:cstheme="minorHAnsi"/>
        </w:rPr>
        <w:t>or</w:t>
      </w:r>
      <w:r w:rsidR="0051018D">
        <w:rPr>
          <w:rFonts w:cstheme="minorHAnsi"/>
        </w:rPr>
        <w:t xml:space="preserve"> follow-up </w:t>
      </w:r>
      <w:r w:rsidR="00C90C42">
        <w:rPr>
          <w:rFonts w:cstheme="minorHAnsi"/>
        </w:rPr>
        <w:t>studies</w:t>
      </w:r>
      <w:r w:rsidR="006228DA" w:rsidRPr="006C24F9">
        <w:rPr>
          <w:rFonts w:cstheme="minorHAnsi"/>
        </w:rPr>
        <w:t xml:space="preserve">. </w:t>
      </w:r>
      <w:r w:rsidR="0053010E">
        <w:rPr>
          <w:rFonts w:cstheme="minorHAnsi"/>
        </w:rPr>
        <w:t xml:space="preserve">Opportunities to compare drug checking outcomes at regional and national level are </w:t>
      </w:r>
      <w:r w:rsidR="00CA629D">
        <w:rPr>
          <w:rFonts w:cstheme="minorHAnsi"/>
        </w:rPr>
        <w:t xml:space="preserve">also </w:t>
      </w:r>
      <w:r w:rsidR="00AC0CF3" w:rsidRPr="006C24F9">
        <w:rPr>
          <w:rFonts w:cstheme="minorHAnsi"/>
        </w:rPr>
        <w:t xml:space="preserve">limited, with </w:t>
      </w:r>
      <w:proofErr w:type="spellStart"/>
      <w:r w:rsidR="009D4505">
        <w:rPr>
          <w:rFonts w:cstheme="minorHAnsi"/>
        </w:rPr>
        <w:t>Leece</w:t>
      </w:r>
      <w:proofErr w:type="spellEnd"/>
      <w:r w:rsidR="009D4505">
        <w:rPr>
          <w:rFonts w:cstheme="minorHAnsi"/>
        </w:rPr>
        <w:t xml:space="preserve"> (2017) and </w:t>
      </w:r>
      <w:r w:rsidR="00894E89" w:rsidRPr="006C24F9">
        <w:rPr>
          <w:rFonts w:cstheme="minorHAnsi"/>
        </w:rPr>
        <w:t xml:space="preserve">Measham (2019, 2020) </w:t>
      </w:r>
      <w:r w:rsidR="00AC0CF3" w:rsidRPr="006C24F9">
        <w:rPr>
          <w:rFonts w:cstheme="minorHAnsi"/>
        </w:rPr>
        <w:t>noting</w:t>
      </w:r>
      <w:r w:rsidR="00016487" w:rsidRPr="006C24F9">
        <w:rPr>
          <w:rFonts w:cstheme="minorHAnsi"/>
        </w:rPr>
        <w:t xml:space="preserve"> </w:t>
      </w:r>
      <w:r w:rsidR="0053010E">
        <w:rPr>
          <w:rFonts w:cstheme="minorHAnsi"/>
        </w:rPr>
        <w:t>constraints</w:t>
      </w:r>
      <w:r w:rsidR="00CA629D">
        <w:rPr>
          <w:rFonts w:cstheme="minorHAnsi"/>
        </w:rPr>
        <w:t xml:space="preserve"> such as</w:t>
      </w:r>
      <w:r w:rsidR="00AC0CF3" w:rsidRPr="006C24F9">
        <w:rPr>
          <w:rFonts w:cstheme="minorHAnsi"/>
        </w:rPr>
        <w:t xml:space="preserve"> </w:t>
      </w:r>
      <w:r w:rsidR="009D4505">
        <w:rPr>
          <w:rFonts w:cstheme="minorHAnsi"/>
        </w:rPr>
        <w:t>legal</w:t>
      </w:r>
      <w:r w:rsidR="00CA629D">
        <w:rPr>
          <w:rFonts w:cstheme="minorHAnsi"/>
        </w:rPr>
        <w:t xml:space="preserve">, political </w:t>
      </w:r>
      <w:r w:rsidR="00755A17">
        <w:rPr>
          <w:rFonts w:cstheme="minorHAnsi"/>
        </w:rPr>
        <w:t xml:space="preserve">and commercial </w:t>
      </w:r>
      <w:r w:rsidR="00241F49">
        <w:rPr>
          <w:rFonts w:cstheme="minorHAnsi"/>
        </w:rPr>
        <w:t>sensitivities</w:t>
      </w:r>
      <w:r w:rsidR="00627220">
        <w:rPr>
          <w:rFonts w:cstheme="minorHAnsi"/>
        </w:rPr>
        <w:t xml:space="preserve">. </w:t>
      </w:r>
      <w:r w:rsidR="003D6DCE">
        <w:rPr>
          <w:rFonts w:cstheme="minorHAnsi"/>
        </w:rPr>
        <w:t>A further</w:t>
      </w:r>
      <w:r w:rsidR="00627220">
        <w:rPr>
          <w:rFonts w:cstheme="minorHAnsi"/>
        </w:rPr>
        <w:t xml:space="preserve"> practical obstacle to eva</w:t>
      </w:r>
      <w:r w:rsidR="00970F20">
        <w:rPr>
          <w:rFonts w:cstheme="minorHAnsi"/>
        </w:rPr>
        <w:t>l</w:t>
      </w:r>
      <w:r w:rsidR="00627220">
        <w:rPr>
          <w:rFonts w:cstheme="minorHAnsi"/>
        </w:rPr>
        <w:t xml:space="preserve">uation </w:t>
      </w:r>
      <w:r w:rsidR="003D6DCE">
        <w:rPr>
          <w:rFonts w:cstheme="minorHAnsi"/>
        </w:rPr>
        <w:t xml:space="preserve">of event-based drug checking services </w:t>
      </w:r>
      <w:r w:rsidR="00627220">
        <w:rPr>
          <w:rFonts w:cstheme="minorHAnsi"/>
        </w:rPr>
        <w:t xml:space="preserve">is </w:t>
      </w:r>
      <w:r w:rsidR="004C22C3">
        <w:rPr>
          <w:rFonts w:cstheme="minorHAnsi"/>
        </w:rPr>
        <w:t xml:space="preserve">the </w:t>
      </w:r>
      <w:r w:rsidR="00C12A06" w:rsidRPr="006C24F9">
        <w:rPr>
          <w:rFonts w:cstheme="minorHAnsi"/>
        </w:rPr>
        <w:t>non-standardised</w:t>
      </w:r>
      <w:r w:rsidR="005E4C16" w:rsidRPr="006C24F9">
        <w:rPr>
          <w:rFonts w:cstheme="minorHAnsi"/>
        </w:rPr>
        <w:t xml:space="preserve"> </w:t>
      </w:r>
      <w:r w:rsidR="005A0BAE">
        <w:rPr>
          <w:rFonts w:cstheme="minorHAnsi"/>
        </w:rPr>
        <w:t xml:space="preserve">and resource-intensive nature of collecting </w:t>
      </w:r>
      <w:r w:rsidR="005E4C16" w:rsidRPr="006C24F9">
        <w:rPr>
          <w:rFonts w:cstheme="minorHAnsi"/>
        </w:rPr>
        <w:t>data</w:t>
      </w:r>
      <w:r w:rsidR="005A0BAE">
        <w:rPr>
          <w:rFonts w:cstheme="minorHAnsi"/>
        </w:rPr>
        <w:t xml:space="preserve"> from</w:t>
      </w:r>
      <w:r w:rsidR="004C22C3">
        <w:rPr>
          <w:rFonts w:cstheme="minorHAnsi"/>
        </w:rPr>
        <w:t xml:space="preserve"> </w:t>
      </w:r>
      <w:r w:rsidR="00CA629D">
        <w:rPr>
          <w:rFonts w:cstheme="minorHAnsi"/>
        </w:rPr>
        <w:t xml:space="preserve">individual </w:t>
      </w:r>
      <w:r w:rsidR="004C22C3">
        <w:rPr>
          <w:rFonts w:cstheme="minorHAnsi"/>
        </w:rPr>
        <w:t xml:space="preserve">event </w:t>
      </w:r>
      <w:r w:rsidR="005A0BAE">
        <w:rPr>
          <w:rFonts w:cstheme="minorHAnsi"/>
        </w:rPr>
        <w:t>management</w:t>
      </w:r>
      <w:r w:rsidR="00CA629D">
        <w:rPr>
          <w:rFonts w:cstheme="minorHAnsi"/>
        </w:rPr>
        <w:t>,</w:t>
      </w:r>
      <w:r w:rsidR="005A0BAE">
        <w:rPr>
          <w:rFonts w:cstheme="minorHAnsi"/>
        </w:rPr>
        <w:t xml:space="preserve"> </w:t>
      </w:r>
      <w:r w:rsidR="001D57F2">
        <w:rPr>
          <w:rFonts w:cstheme="minorHAnsi"/>
        </w:rPr>
        <w:t xml:space="preserve">support </w:t>
      </w:r>
      <w:r w:rsidR="004C22C3">
        <w:rPr>
          <w:rFonts w:cstheme="minorHAnsi"/>
        </w:rPr>
        <w:t>services</w:t>
      </w:r>
      <w:r w:rsidR="00CA629D">
        <w:rPr>
          <w:rFonts w:cstheme="minorHAnsi"/>
        </w:rPr>
        <w:t xml:space="preserve"> and other agencies</w:t>
      </w:r>
      <w:r w:rsidR="009D3C2C">
        <w:rPr>
          <w:rFonts w:cstheme="minorHAnsi"/>
        </w:rPr>
        <w:t xml:space="preserve"> </w:t>
      </w:r>
      <w:r w:rsidR="008341A8">
        <w:rPr>
          <w:rFonts w:cstheme="minorHAnsi"/>
        </w:rPr>
        <w:t xml:space="preserve">in order to monitor </w:t>
      </w:r>
      <w:r w:rsidR="003D6DCE">
        <w:rPr>
          <w:rFonts w:cstheme="minorHAnsi"/>
        </w:rPr>
        <w:t xml:space="preserve">trends in </w:t>
      </w:r>
      <w:r w:rsidR="009D3C2C">
        <w:rPr>
          <w:rFonts w:cstheme="minorHAnsi"/>
        </w:rPr>
        <w:t>drug-related incidents</w:t>
      </w:r>
      <w:r w:rsidR="00B44559" w:rsidRPr="006C24F9">
        <w:rPr>
          <w:rFonts w:cstheme="minorHAnsi"/>
        </w:rPr>
        <w:t>.</w:t>
      </w:r>
      <w:r w:rsidR="006228DA" w:rsidRPr="006C24F9">
        <w:rPr>
          <w:rFonts w:cstheme="minorHAnsi"/>
        </w:rPr>
        <w:t xml:space="preserve"> </w:t>
      </w:r>
    </w:p>
    <w:p w14:paraId="1A1CB9E6" w14:textId="77777777" w:rsidR="00722A74" w:rsidRPr="006C24F9" w:rsidRDefault="00722A74" w:rsidP="006C24F9">
      <w:pPr>
        <w:rPr>
          <w:rFonts w:cstheme="minorHAnsi"/>
        </w:rPr>
      </w:pPr>
    </w:p>
    <w:p w14:paraId="511794E7" w14:textId="69FF8092" w:rsidR="00592181" w:rsidRDefault="008267D0" w:rsidP="006C24F9">
      <w:pPr>
        <w:rPr>
          <w:rFonts w:cstheme="minorHAnsi"/>
        </w:rPr>
      </w:pPr>
      <w:r>
        <w:rPr>
          <w:rFonts w:cstheme="minorHAnsi"/>
        </w:rPr>
        <w:t>E</w:t>
      </w:r>
      <w:r w:rsidR="008359CF" w:rsidRPr="006C24F9">
        <w:rPr>
          <w:rFonts w:cstheme="minorHAnsi"/>
        </w:rPr>
        <w:t>valu</w:t>
      </w:r>
      <w:r w:rsidR="003B5C55" w:rsidRPr="006C24F9">
        <w:rPr>
          <w:rFonts w:cstheme="minorHAnsi"/>
        </w:rPr>
        <w:t>a</w:t>
      </w:r>
      <w:r w:rsidR="008359CF" w:rsidRPr="006C24F9">
        <w:rPr>
          <w:rFonts w:cstheme="minorHAnsi"/>
        </w:rPr>
        <w:t>tion</w:t>
      </w:r>
      <w:r w:rsidR="000322E1" w:rsidRPr="006C24F9">
        <w:rPr>
          <w:rFonts w:cstheme="minorHAnsi"/>
        </w:rPr>
        <w:t>s</w:t>
      </w:r>
      <w:r w:rsidR="00944933" w:rsidRPr="006C24F9">
        <w:rPr>
          <w:rFonts w:cstheme="minorHAnsi"/>
        </w:rPr>
        <w:t xml:space="preserve"> of individual behavioural outcome</w:t>
      </w:r>
      <w:r w:rsidR="008359CF" w:rsidRPr="006C24F9">
        <w:rPr>
          <w:rFonts w:cstheme="minorHAnsi"/>
        </w:rPr>
        <w:t xml:space="preserve">s </w:t>
      </w:r>
      <w:r w:rsidR="00046180">
        <w:rPr>
          <w:rFonts w:cstheme="minorHAnsi"/>
        </w:rPr>
        <w:t xml:space="preserve">of drug checking </w:t>
      </w:r>
      <w:r w:rsidR="00722A74" w:rsidRPr="006C24F9">
        <w:rPr>
          <w:rFonts w:cstheme="minorHAnsi"/>
        </w:rPr>
        <w:t xml:space="preserve">have </w:t>
      </w:r>
      <w:r w:rsidR="009D2FDE">
        <w:rPr>
          <w:rFonts w:cstheme="minorHAnsi"/>
        </w:rPr>
        <w:t xml:space="preserve">focused on </w:t>
      </w:r>
      <w:r w:rsidR="00C12A06" w:rsidRPr="006C24F9">
        <w:rPr>
          <w:rFonts w:cstheme="minorHAnsi"/>
        </w:rPr>
        <w:t>self-reported</w:t>
      </w:r>
      <w:r w:rsidR="00722A74" w:rsidRPr="006C24F9">
        <w:rPr>
          <w:rFonts w:cstheme="minorHAnsi"/>
        </w:rPr>
        <w:t xml:space="preserve"> intentions of service users</w:t>
      </w:r>
      <w:r w:rsidR="009D2FDE">
        <w:rPr>
          <w:rFonts w:cstheme="minorHAnsi"/>
        </w:rPr>
        <w:t>,</w:t>
      </w:r>
      <w:r w:rsidR="00722A74" w:rsidRPr="006C24F9">
        <w:rPr>
          <w:rFonts w:cstheme="minorHAnsi"/>
        </w:rPr>
        <w:t xml:space="preserve"> </w:t>
      </w:r>
      <w:r w:rsidR="00BA50D1">
        <w:rPr>
          <w:rFonts w:cstheme="minorHAnsi"/>
        </w:rPr>
        <w:t xml:space="preserve">whether </w:t>
      </w:r>
      <w:r w:rsidR="00722A74" w:rsidRPr="006C24F9">
        <w:rPr>
          <w:rFonts w:cstheme="minorHAnsi"/>
        </w:rPr>
        <w:t xml:space="preserve">linked to </w:t>
      </w:r>
      <w:r w:rsidR="003B5C55" w:rsidRPr="006C24F9">
        <w:rPr>
          <w:rFonts w:cstheme="minorHAnsi"/>
        </w:rPr>
        <w:t>future</w:t>
      </w:r>
      <w:r w:rsidR="004A3B28" w:rsidRPr="006C24F9">
        <w:rPr>
          <w:rFonts w:cstheme="minorHAnsi"/>
        </w:rPr>
        <w:t>/</w:t>
      </w:r>
      <w:r w:rsidR="00722A74" w:rsidRPr="006C24F9">
        <w:rPr>
          <w:rFonts w:cstheme="minorHAnsi"/>
        </w:rPr>
        <w:t>hypothetical (</w:t>
      </w:r>
      <w:proofErr w:type="spellStart"/>
      <w:r w:rsidR="00722A74" w:rsidRPr="006C24F9">
        <w:rPr>
          <w:rFonts w:cstheme="minorHAnsi"/>
        </w:rPr>
        <w:t>Benschop</w:t>
      </w:r>
      <w:proofErr w:type="spellEnd"/>
      <w:r w:rsidR="00722A74" w:rsidRPr="006C24F9">
        <w:rPr>
          <w:rFonts w:cstheme="minorHAnsi"/>
        </w:rPr>
        <w:t xml:space="preserve"> et al, 2002; Johnston et al, 2006; </w:t>
      </w:r>
      <w:proofErr w:type="spellStart"/>
      <w:r w:rsidR="00722A74" w:rsidRPr="006C24F9">
        <w:rPr>
          <w:rFonts w:cstheme="minorHAnsi"/>
        </w:rPr>
        <w:t>Michelow</w:t>
      </w:r>
      <w:proofErr w:type="spellEnd"/>
      <w:r w:rsidR="00722A74" w:rsidRPr="006C24F9">
        <w:rPr>
          <w:rFonts w:cstheme="minorHAnsi"/>
        </w:rPr>
        <w:t xml:space="preserve"> and Dowden, 2015</w:t>
      </w:r>
      <w:r w:rsidR="004366C5">
        <w:rPr>
          <w:rFonts w:cstheme="minorHAnsi"/>
        </w:rPr>
        <w:t>;</w:t>
      </w:r>
      <w:r w:rsidR="004366C5" w:rsidRPr="004366C5">
        <w:t xml:space="preserve"> </w:t>
      </w:r>
      <w:r w:rsidR="004366C5" w:rsidRPr="004366C5">
        <w:rPr>
          <w:rFonts w:cstheme="minorHAnsi"/>
        </w:rPr>
        <w:t>Southey</w:t>
      </w:r>
      <w:r w:rsidR="004366C5">
        <w:rPr>
          <w:rFonts w:cstheme="minorHAnsi"/>
        </w:rPr>
        <w:t xml:space="preserve"> et al, 2020</w:t>
      </w:r>
      <w:r w:rsidR="00722A74" w:rsidRPr="006C24F9">
        <w:rPr>
          <w:rFonts w:cstheme="minorHAnsi"/>
        </w:rPr>
        <w:t xml:space="preserve">) </w:t>
      </w:r>
      <w:r w:rsidR="009D2FDE">
        <w:rPr>
          <w:rFonts w:cstheme="minorHAnsi"/>
        </w:rPr>
        <w:t>or</w:t>
      </w:r>
      <w:r w:rsidR="00286926" w:rsidRPr="006C24F9">
        <w:rPr>
          <w:rFonts w:cstheme="minorHAnsi"/>
        </w:rPr>
        <w:t xml:space="preserve"> </w:t>
      </w:r>
      <w:r w:rsidR="00722A74" w:rsidRPr="006C24F9">
        <w:rPr>
          <w:rFonts w:cstheme="minorHAnsi"/>
        </w:rPr>
        <w:t>past</w:t>
      </w:r>
      <w:r w:rsidR="004A3B28" w:rsidRPr="006C24F9">
        <w:rPr>
          <w:rFonts w:cstheme="minorHAnsi"/>
        </w:rPr>
        <w:t>/</w:t>
      </w:r>
      <w:r w:rsidR="00722A74" w:rsidRPr="006C24F9">
        <w:rPr>
          <w:rFonts w:cstheme="minorHAnsi"/>
        </w:rPr>
        <w:t>actual test results (</w:t>
      </w:r>
      <w:proofErr w:type="spellStart"/>
      <w:r w:rsidR="00722A74" w:rsidRPr="006C24F9">
        <w:rPr>
          <w:rFonts w:cstheme="minorHAnsi"/>
        </w:rPr>
        <w:t>Kriener</w:t>
      </w:r>
      <w:proofErr w:type="spellEnd"/>
      <w:r w:rsidR="00722A74" w:rsidRPr="006C24F9">
        <w:rPr>
          <w:rFonts w:cstheme="minorHAnsi"/>
        </w:rPr>
        <w:t xml:space="preserve"> and Schmid, 2002; Martins et al, 2017; </w:t>
      </w:r>
      <w:proofErr w:type="spellStart"/>
      <w:r w:rsidR="00722A74" w:rsidRPr="006C24F9">
        <w:rPr>
          <w:rFonts w:cstheme="minorHAnsi"/>
        </w:rPr>
        <w:t>Saleemi</w:t>
      </w:r>
      <w:proofErr w:type="spellEnd"/>
      <w:r w:rsidR="00722A74" w:rsidRPr="006C24F9">
        <w:rPr>
          <w:rFonts w:cstheme="minorHAnsi"/>
        </w:rPr>
        <w:t xml:space="preserve"> et al, 2017; Schroers, 2002)</w:t>
      </w:r>
      <w:r w:rsidR="00344A2B" w:rsidRPr="006C24F9">
        <w:rPr>
          <w:rFonts w:cstheme="minorHAnsi"/>
        </w:rPr>
        <w:t>.</w:t>
      </w:r>
      <w:r w:rsidR="00722A74" w:rsidRPr="006C24F9">
        <w:rPr>
          <w:rFonts w:cstheme="minorHAnsi"/>
        </w:rPr>
        <w:t xml:space="preserve"> </w:t>
      </w:r>
      <w:proofErr w:type="spellStart"/>
      <w:r w:rsidR="00722A74" w:rsidRPr="006C24F9">
        <w:rPr>
          <w:rFonts w:cstheme="minorHAnsi"/>
        </w:rPr>
        <w:t>Leece’s</w:t>
      </w:r>
      <w:proofErr w:type="spellEnd"/>
      <w:r w:rsidR="00722A74" w:rsidRPr="006C24F9">
        <w:rPr>
          <w:rFonts w:cstheme="minorHAnsi"/>
        </w:rPr>
        <w:t xml:space="preserve"> (2017) review estimat</w:t>
      </w:r>
      <w:r w:rsidR="00E601EF">
        <w:rPr>
          <w:rFonts w:cstheme="minorHAnsi"/>
        </w:rPr>
        <w:t>ed</w:t>
      </w:r>
      <w:r w:rsidR="00722A74" w:rsidRPr="006C24F9">
        <w:rPr>
          <w:rFonts w:cstheme="minorHAnsi"/>
        </w:rPr>
        <w:t xml:space="preserve"> that 4-76% of </w:t>
      </w:r>
      <w:r w:rsidR="009D4505">
        <w:rPr>
          <w:rFonts w:cstheme="minorHAnsi"/>
        </w:rPr>
        <w:t xml:space="preserve">participants </w:t>
      </w:r>
      <w:r w:rsidR="00E601EF">
        <w:rPr>
          <w:rFonts w:cstheme="minorHAnsi"/>
        </w:rPr>
        <w:t xml:space="preserve">intended </w:t>
      </w:r>
      <w:r w:rsidR="009D4505">
        <w:rPr>
          <w:rFonts w:cstheme="minorHAnsi"/>
        </w:rPr>
        <w:t xml:space="preserve">to </w:t>
      </w:r>
      <w:r w:rsidR="009D4505">
        <w:rPr>
          <w:rFonts w:cstheme="minorHAnsi"/>
        </w:rPr>
        <w:lastRenderedPageBreak/>
        <w:t xml:space="preserve">discard </w:t>
      </w:r>
      <w:r w:rsidR="00722A74" w:rsidRPr="006C24F9">
        <w:rPr>
          <w:rFonts w:cstheme="minorHAnsi"/>
        </w:rPr>
        <w:t>substances</w:t>
      </w:r>
      <w:r w:rsidR="003D5667">
        <w:rPr>
          <w:rFonts w:cstheme="minorHAnsi"/>
        </w:rPr>
        <w:t xml:space="preserve"> of concern</w:t>
      </w:r>
      <w:r w:rsidR="00722A74" w:rsidRPr="006C24F9">
        <w:rPr>
          <w:rFonts w:cstheme="minorHAnsi"/>
        </w:rPr>
        <w:t xml:space="preserve"> if </w:t>
      </w:r>
      <w:r w:rsidR="00D860D6">
        <w:rPr>
          <w:rFonts w:cstheme="minorHAnsi"/>
        </w:rPr>
        <w:t xml:space="preserve">test results revealed them to be </w:t>
      </w:r>
      <w:r w:rsidR="00722A74" w:rsidRPr="006C24F9">
        <w:rPr>
          <w:rFonts w:cstheme="minorHAnsi"/>
        </w:rPr>
        <w:t>other than expected</w:t>
      </w:r>
      <w:r w:rsidR="00D860D6">
        <w:rPr>
          <w:rFonts w:cstheme="minorHAnsi"/>
        </w:rPr>
        <w:t>,</w:t>
      </w:r>
      <w:r w:rsidR="009D4505">
        <w:rPr>
          <w:rFonts w:cstheme="minorHAnsi"/>
        </w:rPr>
        <w:t xml:space="preserve"> </w:t>
      </w:r>
      <w:r w:rsidR="00722A74" w:rsidRPr="006C24F9">
        <w:rPr>
          <w:rFonts w:cstheme="minorHAnsi"/>
        </w:rPr>
        <w:t xml:space="preserve">depending on </w:t>
      </w:r>
      <w:r w:rsidR="000322E1" w:rsidRPr="006C24F9">
        <w:rPr>
          <w:rFonts w:cstheme="minorHAnsi"/>
        </w:rPr>
        <w:t xml:space="preserve">which </w:t>
      </w:r>
      <w:r w:rsidR="00722A74" w:rsidRPr="006C24F9">
        <w:rPr>
          <w:rFonts w:cstheme="minorHAnsi"/>
        </w:rPr>
        <w:t xml:space="preserve">drugs </w:t>
      </w:r>
      <w:r w:rsidR="000322E1" w:rsidRPr="006C24F9">
        <w:rPr>
          <w:rFonts w:cstheme="minorHAnsi"/>
        </w:rPr>
        <w:t xml:space="preserve">were </w:t>
      </w:r>
      <w:r w:rsidR="00722A74" w:rsidRPr="006C24F9">
        <w:rPr>
          <w:rFonts w:cstheme="minorHAnsi"/>
        </w:rPr>
        <w:t xml:space="preserve">tested and other criteria. </w:t>
      </w:r>
      <w:r w:rsidR="00F120F0">
        <w:rPr>
          <w:rFonts w:cstheme="minorHAnsi"/>
        </w:rPr>
        <w:t xml:space="preserve">For example, </w:t>
      </w:r>
      <w:r w:rsidR="00F120F0" w:rsidRPr="00F120F0">
        <w:rPr>
          <w:rFonts w:cstheme="minorHAnsi"/>
        </w:rPr>
        <w:t xml:space="preserve">Valente et </w:t>
      </w:r>
      <w:proofErr w:type="spellStart"/>
      <w:r w:rsidR="00F120F0" w:rsidRPr="00F120F0">
        <w:rPr>
          <w:rFonts w:cstheme="minorHAnsi"/>
        </w:rPr>
        <w:t>al’s</w:t>
      </w:r>
      <w:proofErr w:type="spellEnd"/>
      <w:r w:rsidR="00F120F0" w:rsidRPr="00F120F0">
        <w:rPr>
          <w:rFonts w:cstheme="minorHAnsi"/>
        </w:rPr>
        <w:t xml:space="preserve"> (2019) study found a statistically significant association between intentions and test results</w:t>
      </w:r>
      <w:r w:rsidR="00DB5059">
        <w:rPr>
          <w:rFonts w:cstheme="minorHAnsi"/>
        </w:rPr>
        <w:t xml:space="preserve">, immediately before and immediately after receiving </w:t>
      </w:r>
      <w:r w:rsidR="003D5667">
        <w:rPr>
          <w:rFonts w:cstheme="minorHAnsi"/>
        </w:rPr>
        <w:t>a</w:t>
      </w:r>
      <w:r w:rsidR="004B2AF6">
        <w:rPr>
          <w:rFonts w:cstheme="minorHAnsi"/>
        </w:rPr>
        <w:t xml:space="preserve"> result</w:t>
      </w:r>
      <w:r w:rsidR="00F120F0" w:rsidRPr="00F120F0">
        <w:rPr>
          <w:rFonts w:cstheme="minorHAnsi"/>
        </w:rPr>
        <w:t xml:space="preserve">. </w:t>
      </w:r>
      <w:r w:rsidR="003D5667">
        <w:rPr>
          <w:rFonts w:cstheme="minorHAnsi"/>
        </w:rPr>
        <w:t>A</w:t>
      </w:r>
      <w:r w:rsidR="005359C1">
        <w:rPr>
          <w:rFonts w:cstheme="minorHAnsi"/>
        </w:rPr>
        <w:t xml:space="preserve"> handful of studies record</w:t>
      </w:r>
      <w:r w:rsidR="00703DB7">
        <w:rPr>
          <w:rFonts w:cstheme="minorHAnsi"/>
        </w:rPr>
        <w:t>ing</w:t>
      </w:r>
      <w:r w:rsidR="005359C1">
        <w:rPr>
          <w:rFonts w:cstheme="minorHAnsi"/>
        </w:rPr>
        <w:t xml:space="preserve"> verified disposals </w:t>
      </w:r>
      <w:r w:rsidR="0022378E">
        <w:rPr>
          <w:rFonts w:cstheme="minorHAnsi"/>
        </w:rPr>
        <w:t xml:space="preserve">to </w:t>
      </w:r>
      <w:r w:rsidR="0022378E" w:rsidRPr="00F120F0">
        <w:rPr>
          <w:rFonts w:cstheme="minorHAnsi"/>
        </w:rPr>
        <w:t>drug checking service</w:t>
      </w:r>
      <w:r w:rsidR="0022378E">
        <w:rPr>
          <w:rFonts w:cstheme="minorHAnsi"/>
        </w:rPr>
        <w:t xml:space="preserve">s </w:t>
      </w:r>
      <w:r w:rsidR="005359C1">
        <w:rPr>
          <w:rFonts w:cstheme="minorHAnsi"/>
        </w:rPr>
        <w:t xml:space="preserve">rather than </w:t>
      </w:r>
      <w:proofErr w:type="spellStart"/>
      <w:r w:rsidR="00A2360D">
        <w:rPr>
          <w:rFonts w:cstheme="minorHAnsi"/>
        </w:rPr>
        <w:t>self reported</w:t>
      </w:r>
      <w:proofErr w:type="spellEnd"/>
      <w:r w:rsidR="00A2360D">
        <w:rPr>
          <w:rFonts w:cstheme="minorHAnsi"/>
        </w:rPr>
        <w:t xml:space="preserve"> </w:t>
      </w:r>
      <w:r w:rsidR="009E45A9">
        <w:rPr>
          <w:rFonts w:cstheme="minorHAnsi"/>
        </w:rPr>
        <w:t xml:space="preserve">future </w:t>
      </w:r>
      <w:r w:rsidR="005359C1">
        <w:rPr>
          <w:rFonts w:cstheme="minorHAnsi"/>
        </w:rPr>
        <w:t xml:space="preserve">intentions </w:t>
      </w:r>
      <w:r w:rsidR="00703DB7">
        <w:rPr>
          <w:rFonts w:cstheme="minorHAnsi"/>
        </w:rPr>
        <w:t xml:space="preserve">also have found </w:t>
      </w:r>
      <w:r w:rsidR="00703DB7" w:rsidRPr="00F120F0">
        <w:rPr>
          <w:rFonts w:cstheme="minorHAnsi"/>
        </w:rPr>
        <w:t>significant relationship</w:t>
      </w:r>
      <w:r w:rsidR="00703DB7">
        <w:rPr>
          <w:rFonts w:cstheme="minorHAnsi"/>
        </w:rPr>
        <w:t>s</w:t>
      </w:r>
      <w:r w:rsidR="00703DB7" w:rsidRPr="00F120F0">
        <w:rPr>
          <w:rFonts w:cstheme="minorHAnsi"/>
        </w:rPr>
        <w:t xml:space="preserve"> between receiving unexpected test result</w:t>
      </w:r>
      <w:r w:rsidR="00703DB7">
        <w:rPr>
          <w:rFonts w:cstheme="minorHAnsi"/>
        </w:rPr>
        <w:t>s</w:t>
      </w:r>
      <w:r w:rsidR="00703DB7" w:rsidRPr="00F120F0">
        <w:rPr>
          <w:rFonts w:cstheme="minorHAnsi"/>
        </w:rPr>
        <w:t xml:space="preserve"> and </w:t>
      </w:r>
      <w:r w:rsidR="00703DB7">
        <w:rPr>
          <w:rFonts w:cstheme="minorHAnsi"/>
        </w:rPr>
        <w:t xml:space="preserve">subsequent disposals </w:t>
      </w:r>
      <w:r w:rsidR="005359C1">
        <w:rPr>
          <w:rFonts w:cstheme="minorHAnsi"/>
        </w:rPr>
        <w:t>(</w:t>
      </w:r>
      <w:proofErr w:type="spellStart"/>
      <w:r w:rsidR="005359C1">
        <w:rPr>
          <w:rFonts w:cstheme="minorHAnsi"/>
        </w:rPr>
        <w:t>eg.</w:t>
      </w:r>
      <w:proofErr w:type="spellEnd"/>
      <w:r w:rsidR="00F120F0" w:rsidRPr="00F120F0">
        <w:rPr>
          <w:rFonts w:cstheme="minorHAnsi"/>
        </w:rPr>
        <w:t xml:space="preserve"> </w:t>
      </w:r>
      <w:r w:rsidR="005359C1">
        <w:rPr>
          <w:rFonts w:cstheme="minorHAnsi"/>
        </w:rPr>
        <w:t xml:space="preserve">Measham, 2019; </w:t>
      </w:r>
      <w:proofErr w:type="spellStart"/>
      <w:r w:rsidR="00F120F0" w:rsidRPr="00F120F0">
        <w:rPr>
          <w:rFonts w:cstheme="minorHAnsi"/>
        </w:rPr>
        <w:t>Mema</w:t>
      </w:r>
      <w:proofErr w:type="spellEnd"/>
      <w:r w:rsidR="00F120F0" w:rsidRPr="00F120F0">
        <w:rPr>
          <w:rFonts w:cstheme="minorHAnsi"/>
        </w:rPr>
        <w:t xml:space="preserve"> et al</w:t>
      </w:r>
      <w:r w:rsidR="005359C1">
        <w:rPr>
          <w:rFonts w:cstheme="minorHAnsi"/>
        </w:rPr>
        <w:t>,</w:t>
      </w:r>
      <w:r w:rsidR="00F120F0" w:rsidRPr="00F120F0">
        <w:rPr>
          <w:rFonts w:cstheme="minorHAnsi"/>
        </w:rPr>
        <w:t xml:space="preserve"> 2018</w:t>
      </w:r>
      <w:r w:rsidR="005359C1">
        <w:rPr>
          <w:rFonts w:cstheme="minorHAnsi"/>
        </w:rPr>
        <w:t>)</w:t>
      </w:r>
      <w:r w:rsidR="00F120F0" w:rsidRPr="00F120F0">
        <w:rPr>
          <w:rFonts w:cstheme="minorHAnsi"/>
        </w:rPr>
        <w:t>.</w:t>
      </w:r>
      <w:r w:rsidR="00F120F0">
        <w:rPr>
          <w:rFonts w:cstheme="minorHAnsi"/>
        </w:rPr>
        <w:t xml:space="preserve"> </w:t>
      </w:r>
      <w:r w:rsidR="00FB5806" w:rsidRPr="00FB5806">
        <w:rPr>
          <w:rFonts w:cstheme="minorHAnsi"/>
        </w:rPr>
        <w:t xml:space="preserve">Alongside disposal of unwanted substances, reviews by Kerr and Tupper (2017) </w:t>
      </w:r>
      <w:r w:rsidR="00B66A05">
        <w:rPr>
          <w:rFonts w:cstheme="minorHAnsi"/>
        </w:rPr>
        <w:t xml:space="preserve">and </w:t>
      </w:r>
      <w:r w:rsidR="00B66A05" w:rsidRPr="00B66A05">
        <w:rPr>
          <w:rFonts w:cstheme="minorHAnsi"/>
        </w:rPr>
        <w:t>Danish Health Authority and Centre for Alcohol and Drug Research</w:t>
      </w:r>
      <w:r w:rsidR="00B66A05">
        <w:rPr>
          <w:rFonts w:cstheme="minorHAnsi"/>
        </w:rPr>
        <w:t xml:space="preserve"> </w:t>
      </w:r>
      <w:r w:rsidR="00FB5806" w:rsidRPr="00FB5806">
        <w:rPr>
          <w:rFonts w:cstheme="minorHAnsi"/>
        </w:rPr>
        <w:t xml:space="preserve">(2019) </w:t>
      </w:r>
      <w:r w:rsidR="00C33D12">
        <w:rPr>
          <w:rFonts w:cstheme="minorHAnsi"/>
        </w:rPr>
        <w:t xml:space="preserve">also </w:t>
      </w:r>
      <w:r w:rsidR="00FB5806" w:rsidRPr="00FB5806">
        <w:rPr>
          <w:rFonts w:cstheme="minorHAnsi"/>
        </w:rPr>
        <w:t xml:space="preserve">note a range of other </w:t>
      </w:r>
      <w:r w:rsidR="00FB5806">
        <w:rPr>
          <w:rFonts w:cstheme="minorHAnsi"/>
        </w:rPr>
        <w:t xml:space="preserve">intentions expressed by </w:t>
      </w:r>
      <w:r w:rsidR="00FB5806" w:rsidRPr="00FB5806">
        <w:rPr>
          <w:rFonts w:cstheme="minorHAnsi"/>
        </w:rPr>
        <w:t xml:space="preserve">drug checking </w:t>
      </w:r>
      <w:r w:rsidR="00FB5806">
        <w:rPr>
          <w:rFonts w:cstheme="minorHAnsi"/>
        </w:rPr>
        <w:t xml:space="preserve">service users </w:t>
      </w:r>
      <w:r w:rsidR="00FB5806" w:rsidRPr="00FB5806">
        <w:rPr>
          <w:rFonts w:cstheme="minorHAnsi"/>
        </w:rPr>
        <w:t xml:space="preserve">that might reduce </w:t>
      </w:r>
      <w:r w:rsidR="00FB5806">
        <w:rPr>
          <w:rFonts w:cstheme="minorHAnsi"/>
        </w:rPr>
        <w:t xml:space="preserve">future </w:t>
      </w:r>
      <w:r w:rsidR="00FB5806" w:rsidRPr="00FB5806">
        <w:rPr>
          <w:rFonts w:cstheme="minorHAnsi"/>
        </w:rPr>
        <w:t>drug-related harm</w:t>
      </w:r>
      <w:r w:rsidR="00FB5806">
        <w:rPr>
          <w:rFonts w:cstheme="minorHAnsi"/>
        </w:rPr>
        <w:t>,</w:t>
      </w:r>
      <w:r w:rsidR="00FB5806" w:rsidRPr="00FB5806">
        <w:rPr>
          <w:rFonts w:cstheme="minorHAnsi"/>
        </w:rPr>
        <w:t xml:space="preserve"> including reduced polydrug use, reduced dosage, and the sharing of </w:t>
      </w:r>
      <w:r w:rsidR="008416D2">
        <w:rPr>
          <w:rFonts w:cstheme="minorHAnsi"/>
        </w:rPr>
        <w:t xml:space="preserve">alerts, </w:t>
      </w:r>
      <w:r w:rsidR="00FB5806" w:rsidRPr="00FB5806">
        <w:rPr>
          <w:rFonts w:cstheme="minorHAnsi"/>
        </w:rPr>
        <w:t>test results and harm reduction advice between friends.</w:t>
      </w:r>
      <w:r w:rsidR="00672314">
        <w:rPr>
          <w:rFonts w:cstheme="minorHAnsi"/>
        </w:rPr>
        <w:t xml:space="preserve"> </w:t>
      </w:r>
    </w:p>
    <w:p w14:paraId="0558247B" w14:textId="77777777" w:rsidR="00592181" w:rsidRDefault="00592181" w:rsidP="006C24F9">
      <w:pPr>
        <w:rPr>
          <w:rFonts w:cstheme="minorHAnsi"/>
        </w:rPr>
      </w:pPr>
    </w:p>
    <w:p w14:paraId="14EE957F" w14:textId="0B39C912" w:rsidR="00E16712" w:rsidRDefault="00672314" w:rsidP="008B6852">
      <w:pPr>
        <w:rPr>
          <w:rFonts w:cstheme="minorHAnsi"/>
        </w:rPr>
      </w:pPr>
      <w:r>
        <w:rPr>
          <w:rFonts w:cstheme="minorHAnsi"/>
        </w:rPr>
        <w:t xml:space="preserve">In the alcohol field, </w:t>
      </w:r>
      <w:r w:rsidR="00344A2B" w:rsidRPr="006C24F9">
        <w:rPr>
          <w:rFonts w:cstheme="minorHAnsi"/>
        </w:rPr>
        <w:t>a follow-up study design</w:t>
      </w:r>
      <w:r>
        <w:rPr>
          <w:rFonts w:cstheme="minorHAnsi"/>
        </w:rPr>
        <w:t xml:space="preserve"> has been utilised to compare </w:t>
      </w:r>
      <w:r w:rsidR="004B3F9A">
        <w:rPr>
          <w:rFonts w:cstheme="minorHAnsi"/>
        </w:rPr>
        <w:t>brief intervention (</w:t>
      </w:r>
      <w:r>
        <w:rPr>
          <w:rFonts w:cstheme="minorHAnsi"/>
        </w:rPr>
        <w:t>BI</w:t>
      </w:r>
      <w:r w:rsidR="004B3F9A">
        <w:rPr>
          <w:rFonts w:cstheme="minorHAnsi"/>
        </w:rPr>
        <w:t>)</w:t>
      </w:r>
      <w:r>
        <w:rPr>
          <w:rFonts w:cstheme="minorHAnsi"/>
        </w:rPr>
        <w:t xml:space="preserve"> intentions with outcomes</w:t>
      </w:r>
      <w:r w:rsidR="000F53CC">
        <w:rPr>
          <w:rFonts w:cstheme="minorHAnsi"/>
        </w:rPr>
        <w:t>.</w:t>
      </w:r>
      <w:r w:rsidR="00344A2B" w:rsidRPr="006C24F9">
        <w:rPr>
          <w:rFonts w:cstheme="minorHAnsi"/>
        </w:rPr>
        <w:t xml:space="preserve"> </w:t>
      </w:r>
      <w:r>
        <w:rPr>
          <w:rFonts w:cstheme="minorHAnsi"/>
        </w:rPr>
        <w:t xml:space="preserve">For example, </w:t>
      </w:r>
      <w:proofErr w:type="spellStart"/>
      <w:r w:rsidR="00344A2B" w:rsidRPr="006C24F9">
        <w:rPr>
          <w:rFonts w:cstheme="minorHAnsi"/>
        </w:rPr>
        <w:t>Daeppen</w:t>
      </w:r>
      <w:proofErr w:type="spellEnd"/>
      <w:r w:rsidR="00344A2B" w:rsidRPr="006C24F9">
        <w:rPr>
          <w:rFonts w:cstheme="minorHAnsi"/>
        </w:rPr>
        <w:t xml:space="preserve"> et </w:t>
      </w:r>
      <w:proofErr w:type="spellStart"/>
      <w:r w:rsidR="00344A2B" w:rsidRPr="006C24F9">
        <w:rPr>
          <w:rFonts w:cstheme="minorHAnsi"/>
        </w:rPr>
        <w:t>al’s</w:t>
      </w:r>
      <w:proofErr w:type="spellEnd"/>
      <w:r w:rsidR="00344A2B" w:rsidRPr="006C24F9">
        <w:rPr>
          <w:rFonts w:cstheme="minorHAnsi"/>
        </w:rPr>
        <w:t xml:space="preserve"> (2007) </w:t>
      </w:r>
      <w:r w:rsidR="000F53CC">
        <w:rPr>
          <w:rFonts w:cstheme="minorHAnsi"/>
        </w:rPr>
        <w:t>evaluation of</w:t>
      </w:r>
      <w:r w:rsidR="00344A2B" w:rsidRPr="006C24F9">
        <w:rPr>
          <w:rFonts w:cstheme="minorHAnsi"/>
        </w:rPr>
        <w:t xml:space="preserve"> </w:t>
      </w:r>
      <w:r w:rsidR="00881281" w:rsidRPr="006C24F9">
        <w:rPr>
          <w:rFonts w:cstheme="minorHAnsi"/>
        </w:rPr>
        <w:t xml:space="preserve">the impact of BIs </w:t>
      </w:r>
      <w:r w:rsidR="000F53CC">
        <w:rPr>
          <w:rFonts w:cstheme="minorHAnsi"/>
        </w:rPr>
        <w:t xml:space="preserve">with </w:t>
      </w:r>
      <w:r w:rsidR="001120E8" w:rsidRPr="006C24F9">
        <w:rPr>
          <w:rFonts w:cstheme="minorHAnsi"/>
        </w:rPr>
        <w:t>hazardous drinkers</w:t>
      </w:r>
      <w:r w:rsidR="000F53CC">
        <w:rPr>
          <w:rFonts w:cstheme="minorHAnsi"/>
        </w:rPr>
        <w:t xml:space="preserve"> found that those </w:t>
      </w:r>
      <w:r w:rsidR="001120E8" w:rsidRPr="006C24F9">
        <w:rPr>
          <w:rFonts w:cstheme="minorHAnsi"/>
        </w:rPr>
        <w:t xml:space="preserve">who expressed a stronger intention </w:t>
      </w:r>
      <w:r w:rsidR="000F53CC">
        <w:rPr>
          <w:rFonts w:cstheme="minorHAnsi"/>
        </w:rPr>
        <w:t xml:space="preserve">at BI </w:t>
      </w:r>
      <w:r w:rsidR="001120E8" w:rsidRPr="006C24F9">
        <w:rPr>
          <w:rFonts w:cstheme="minorHAnsi"/>
        </w:rPr>
        <w:t xml:space="preserve">to change their alcohol consumption </w:t>
      </w:r>
      <w:r w:rsidR="00486E68" w:rsidRPr="006C24F9">
        <w:rPr>
          <w:rFonts w:cstheme="minorHAnsi"/>
        </w:rPr>
        <w:t xml:space="preserve">were significantly </w:t>
      </w:r>
      <w:r w:rsidR="001120E8" w:rsidRPr="006C24F9">
        <w:rPr>
          <w:rFonts w:cstheme="minorHAnsi"/>
        </w:rPr>
        <w:t xml:space="preserve">more likely to have reduced </w:t>
      </w:r>
      <w:r w:rsidR="000F53CC">
        <w:rPr>
          <w:rFonts w:cstheme="minorHAnsi"/>
        </w:rPr>
        <w:t xml:space="preserve">their alcohol </w:t>
      </w:r>
      <w:r w:rsidR="001120E8" w:rsidRPr="006C24F9">
        <w:rPr>
          <w:rFonts w:cstheme="minorHAnsi"/>
        </w:rPr>
        <w:t xml:space="preserve">consumption in the subsequent </w:t>
      </w:r>
      <w:r w:rsidR="00486E68" w:rsidRPr="006C24F9">
        <w:rPr>
          <w:rFonts w:cstheme="minorHAnsi"/>
        </w:rPr>
        <w:t>12 months.</w:t>
      </w:r>
      <w:r w:rsidR="00881281" w:rsidRPr="006C24F9">
        <w:rPr>
          <w:rFonts w:cstheme="minorHAnsi"/>
        </w:rPr>
        <w:t xml:space="preserve"> </w:t>
      </w:r>
      <w:r w:rsidR="004D6078">
        <w:rPr>
          <w:rFonts w:cstheme="minorHAnsi"/>
        </w:rPr>
        <w:t>A</w:t>
      </w:r>
      <w:r w:rsidR="004D6078" w:rsidRPr="00E16712">
        <w:rPr>
          <w:rFonts w:cstheme="minorHAnsi"/>
        </w:rPr>
        <w:t>cross a range of settings</w:t>
      </w:r>
      <w:r w:rsidR="004D6078">
        <w:rPr>
          <w:rFonts w:cstheme="minorHAnsi"/>
        </w:rPr>
        <w:t>,</w:t>
      </w:r>
      <w:r w:rsidR="004D6078" w:rsidRPr="00E16712">
        <w:rPr>
          <w:rFonts w:cstheme="minorHAnsi"/>
        </w:rPr>
        <w:t xml:space="preserve"> </w:t>
      </w:r>
      <w:r w:rsidR="00E16712" w:rsidRPr="00E16712">
        <w:rPr>
          <w:rFonts w:cstheme="minorHAnsi"/>
        </w:rPr>
        <w:t xml:space="preserve">BIs in the alcohol field have demonstrated </w:t>
      </w:r>
      <w:r w:rsidR="004D6078">
        <w:rPr>
          <w:rFonts w:cstheme="minorHAnsi"/>
        </w:rPr>
        <w:t xml:space="preserve">their </w:t>
      </w:r>
      <w:r w:rsidR="00E16712" w:rsidRPr="00E16712">
        <w:rPr>
          <w:rFonts w:cstheme="minorHAnsi"/>
        </w:rPr>
        <w:t xml:space="preserve">value in reducing negative outcomes (Jackson et al, 2009; Moyer et al, 2002; </w:t>
      </w:r>
      <w:proofErr w:type="spellStart"/>
      <w:r w:rsidR="00E16712" w:rsidRPr="00E16712">
        <w:rPr>
          <w:rFonts w:cstheme="minorHAnsi"/>
        </w:rPr>
        <w:t>Doumas</w:t>
      </w:r>
      <w:proofErr w:type="spellEnd"/>
      <w:r w:rsidR="00E16712" w:rsidRPr="00E16712">
        <w:rPr>
          <w:rFonts w:cstheme="minorHAnsi"/>
        </w:rPr>
        <w:t xml:space="preserve"> et al, 2009; </w:t>
      </w:r>
      <w:proofErr w:type="spellStart"/>
      <w:r w:rsidR="00E16712" w:rsidRPr="00E16712">
        <w:rPr>
          <w:rFonts w:cstheme="minorHAnsi"/>
        </w:rPr>
        <w:t>Kaner</w:t>
      </w:r>
      <w:proofErr w:type="spellEnd"/>
      <w:r w:rsidR="00E16712" w:rsidRPr="00E16712">
        <w:rPr>
          <w:rFonts w:cstheme="minorHAnsi"/>
        </w:rPr>
        <w:t xml:space="preserve"> et al, 2009; O'Donnell et al, 2014), including in prisons (Newbury-Birch et al, 2018) and emergency rooms (Schmidt et al, 2016), as well as reaching people who otherwise might not seek formal help (</w:t>
      </w:r>
      <w:proofErr w:type="spellStart"/>
      <w:r w:rsidR="00E16712" w:rsidRPr="00E16712">
        <w:rPr>
          <w:rFonts w:cstheme="minorHAnsi"/>
        </w:rPr>
        <w:t>Rumpf</w:t>
      </w:r>
      <w:proofErr w:type="spellEnd"/>
      <w:r w:rsidR="00E16712" w:rsidRPr="00E16712">
        <w:rPr>
          <w:rFonts w:cstheme="minorHAnsi"/>
        </w:rPr>
        <w:t xml:space="preserve"> et al, 1998). BIs in the drugs field have also been shown to have value in primary care settings (Bernstein et al, 2009); with polysubstance users (</w:t>
      </w:r>
      <w:proofErr w:type="spellStart"/>
      <w:r w:rsidR="00E16712" w:rsidRPr="00E16712">
        <w:rPr>
          <w:rFonts w:cstheme="minorHAnsi"/>
        </w:rPr>
        <w:t>Gmel</w:t>
      </w:r>
      <w:proofErr w:type="spellEnd"/>
      <w:r w:rsidR="00E16712" w:rsidRPr="00E16712">
        <w:rPr>
          <w:rFonts w:cstheme="minorHAnsi"/>
        </w:rPr>
        <w:t xml:space="preserve"> et al, 2013, </w:t>
      </w:r>
      <w:proofErr w:type="spellStart"/>
      <w:r w:rsidR="00E16712" w:rsidRPr="00E16712">
        <w:rPr>
          <w:rFonts w:cstheme="minorHAnsi"/>
        </w:rPr>
        <w:t>McCambridge</w:t>
      </w:r>
      <w:proofErr w:type="spellEnd"/>
      <w:r w:rsidR="00E16712" w:rsidRPr="00E16712">
        <w:rPr>
          <w:rFonts w:cstheme="minorHAnsi"/>
        </w:rPr>
        <w:t xml:space="preserve"> and Strang, 2004); and in preventing increased drug use amongst lower risk drug users (</w:t>
      </w:r>
      <w:proofErr w:type="spellStart"/>
      <w:r w:rsidR="00E16712" w:rsidRPr="00E16712">
        <w:rPr>
          <w:rFonts w:cstheme="minorHAnsi"/>
        </w:rPr>
        <w:t>Bertholet</w:t>
      </w:r>
      <w:proofErr w:type="spellEnd"/>
      <w:r w:rsidR="00E16712" w:rsidRPr="00E16712">
        <w:rPr>
          <w:rFonts w:cstheme="minorHAnsi"/>
        </w:rPr>
        <w:t xml:space="preserve"> et al, 2020). Evidence on </w:t>
      </w:r>
      <w:r w:rsidR="004064BD">
        <w:rPr>
          <w:rFonts w:cstheme="minorHAnsi"/>
        </w:rPr>
        <w:t>effectiveness</w:t>
      </w:r>
      <w:r w:rsidR="00E16712" w:rsidRPr="00E16712">
        <w:rPr>
          <w:rFonts w:cstheme="minorHAnsi"/>
        </w:rPr>
        <w:t xml:space="preserve"> of drug-related BIs in recreational settings is more limited, however, with a review of polydrug BIs in recreational settings by Akbar et al (2011) noting a lack of uniformity in service design, evaluations or outcomes and a lack of consideration of grey literature.</w:t>
      </w:r>
      <w:r w:rsidR="008416D2" w:rsidRPr="008416D2">
        <w:rPr>
          <w:rFonts w:cstheme="minorHAnsi"/>
        </w:rPr>
        <w:t xml:space="preserve"> </w:t>
      </w:r>
    </w:p>
    <w:p w14:paraId="59100D2F" w14:textId="77777777" w:rsidR="00E16712" w:rsidRDefault="00E16712" w:rsidP="008B6852">
      <w:pPr>
        <w:rPr>
          <w:rFonts w:cstheme="minorHAnsi"/>
        </w:rPr>
      </w:pPr>
    </w:p>
    <w:p w14:paraId="066EF2EC" w14:textId="0FAA792A" w:rsidR="008B6852" w:rsidRDefault="008B6852" w:rsidP="008B6852">
      <w:pPr>
        <w:rPr>
          <w:rFonts w:cstheme="minorHAnsi"/>
        </w:rPr>
      </w:pPr>
      <w:r w:rsidRPr="00AD79C1">
        <w:rPr>
          <w:rFonts w:cstheme="minorHAnsi"/>
        </w:rPr>
        <w:t xml:space="preserve">The added value </w:t>
      </w:r>
      <w:r w:rsidR="00F163A0">
        <w:rPr>
          <w:rFonts w:cstheme="minorHAnsi"/>
        </w:rPr>
        <w:t xml:space="preserve">of a follow-up design </w:t>
      </w:r>
      <w:r w:rsidRPr="00AD79C1">
        <w:rPr>
          <w:rFonts w:cstheme="minorHAnsi"/>
        </w:rPr>
        <w:t>for drug checking evaluations</w:t>
      </w:r>
      <w:r w:rsidR="008416D2">
        <w:rPr>
          <w:rFonts w:cstheme="minorHAnsi"/>
        </w:rPr>
        <w:t xml:space="preserve"> </w:t>
      </w:r>
      <w:r w:rsidRPr="00AD79C1">
        <w:rPr>
          <w:rFonts w:cstheme="minorHAnsi"/>
        </w:rPr>
        <w:t xml:space="preserve">is that </w:t>
      </w:r>
      <w:r w:rsidR="008416D2">
        <w:rPr>
          <w:rFonts w:cstheme="minorHAnsi"/>
        </w:rPr>
        <w:t xml:space="preserve">it can firstly, </w:t>
      </w:r>
      <w:r w:rsidRPr="00AD79C1">
        <w:rPr>
          <w:rFonts w:cstheme="minorHAnsi"/>
        </w:rPr>
        <w:t xml:space="preserve">assess impact </w:t>
      </w:r>
      <w:r w:rsidR="00640CDF">
        <w:rPr>
          <w:rFonts w:cstheme="minorHAnsi"/>
        </w:rPr>
        <w:t xml:space="preserve">of </w:t>
      </w:r>
      <w:r w:rsidR="00727B12">
        <w:rPr>
          <w:rFonts w:cstheme="minorHAnsi"/>
        </w:rPr>
        <w:t xml:space="preserve">the service from retrospectively reported responses to BIs by </w:t>
      </w:r>
      <w:r w:rsidR="00443D67">
        <w:rPr>
          <w:rFonts w:cstheme="minorHAnsi"/>
        </w:rPr>
        <w:t>service users</w:t>
      </w:r>
      <w:r w:rsidR="004A5BE1">
        <w:rPr>
          <w:rFonts w:cstheme="minorHAnsi"/>
        </w:rPr>
        <w:t xml:space="preserve">; secondly, </w:t>
      </w:r>
      <w:r w:rsidR="00873594">
        <w:rPr>
          <w:rFonts w:cstheme="minorHAnsi"/>
        </w:rPr>
        <w:t>identify any</w:t>
      </w:r>
      <w:r w:rsidRPr="00AD79C1">
        <w:rPr>
          <w:rFonts w:cstheme="minorHAnsi"/>
        </w:rPr>
        <w:t xml:space="preserve"> </w:t>
      </w:r>
      <w:r w:rsidR="00727B12">
        <w:rPr>
          <w:rFonts w:cstheme="minorHAnsi"/>
        </w:rPr>
        <w:t xml:space="preserve">ongoing </w:t>
      </w:r>
      <w:r w:rsidR="00C82836">
        <w:rPr>
          <w:rFonts w:cstheme="minorHAnsi"/>
        </w:rPr>
        <w:t>change</w:t>
      </w:r>
      <w:r w:rsidRPr="00AD79C1">
        <w:rPr>
          <w:rFonts w:cstheme="minorHAnsi"/>
        </w:rPr>
        <w:t xml:space="preserve"> in the </w:t>
      </w:r>
      <w:r w:rsidR="00076933">
        <w:rPr>
          <w:rFonts w:cstheme="minorHAnsi"/>
        </w:rPr>
        <w:t xml:space="preserve">time </w:t>
      </w:r>
      <w:r w:rsidR="00E2147A">
        <w:rPr>
          <w:rFonts w:cstheme="minorHAnsi"/>
        </w:rPr>
        <w:t>period between BI and follow-up</w:t>
      </w:r>
      <w:r w:rsidR="004A5BE1">
        <w:rPr>
          <w:rFonts w:cstheme="minorHAnsi"/>
        </w:rPr>
        <w:t>;</w:t>
      </w:r>
      <w:r w:rsidRPr="00AD79C1">
        <w:rPr>
          <w:rFonts w:cstheme="minorHAnsi"/>
        </w:rPr>
        <w:t xml:space="preserve"> and </w:t>
      </w:r>
      <w:r w:rsidR="004A5BE1">
        <w:rPr>
          <w:rFonts w:cstheme="minorHAnsi"/>
        </w:rPr>
        <w:t xml:space="preserve">thirdly, </w:t>
      </w:r>
      <w:r w:rsidRPr="00AD79C1">
        <w:rPr>
          <w:rFonts w:cstheme="minorHAnsi"/>
        </w:rPr>
        <w:t xml:space="preserve">compare </w:t>
      </w:r>
      <w:r w:rsidR="008416D2">
        <w:rPr>
          <w:rFonts w:cstheme="minorHAnsi"/>
        </w:rPr>
        <w:t xml:space="preserve">outcomes at </w:t>
      </w:r>
      <w:r w:rsidR="00727B12">
        <w:rPr>
          <w:rFonts w:cstheme="minorHAnsi"/>
        </w:rPr>
        <w:t>BI</w:t>
      </w:r>
      <w:r>
        <w:rPr>
          <w:rFonts w:cstheme="minorHAnsi"/>
        </w:rPr>
        <w:t xml:space="preserve"> with recollected </w:t>
      </w:r>
      <w:r w:rsidRPr="00AD79C1">
        <w:rPr>
          <w:rFonts w:cstheme="minorHAnsi"/>
        </w:rPr>
        <w:t xml:space="preserve">outcomes </w:t>
      </w:r>
      <w:r w:rsidR="004A5BE1">
        <w:rPr>
          <w:rFonts w:cstheme="minorHAnsi"/>
        </w:rPr>
        <w:t xml:space="preserve">reported retrospectively </w:t>
      </w:r>
      <w:r w:rsidRPr="00AD79C1">
        <w:rPr>
          <w:rFonts w:cstheme="minorHAnsi"/>
        </w:rPr>
        <w:t xml:space="preserve">for </w:t>
      </w:r>
      <w:r>
        <w:rPr>
          <w:rFonts w:cstheme="minorHAnsi"/>
        </w:rPr>
        <w:t xml:space="preserve">purposes of </w:t>
      </w:r>
      <w:r w:rsidRPr="00AD79C1">
        <w:rPr>
          <w:rFonts w:cstheme="minorHAnsi"/>
        </w:rPr>
        <w:t>internal validity.</w:t>
      </w:r>
      <w:r w:rsidR="00443D67">
        <w:rPr>
          <w:rFonts w:cstheme="minorHAnsi"/>
        </w:rPr>
        <w:t xml:space="preserve"> </w:t>
      </w:r>
      <w:r w:rsidR="00360726">
        <w:rPr>
          <w:rFonts w:cstheme="minorHAnsi"/>
        </w:rPr>
        <w:t>However, d</w:t>
      </w:r>
      <w:r w:rsidR="00360726" w:rsidRPr="00360726">
        <w:rPr>
          <w:rFonts w:cstheme="minorHAnsi"/>
        </w:rPr>
        <w:t xml:space="preserve">espite </w:t>
      </w:r>
      <w:r w:rsidR="00CF0562">
        <w:rPr>
          <w:rFonts w:cstheme="minorHAnsi"/>
        </w:rPr>
        <w:t xml:space="preserve">future </w:t>
      </w:r>
      <w:r w:rsidR="00360726" w:rsidRPr="00360726">
        <w:rPr>
          <w:rFonts w:cstheme="minorHAnsi"/>
        </w:rPr>
        <w:t>intentions being the main measure of behavioural change</w:t>
      </w:r>
      <w:r w:rsidR="00770F12">
        <w:rPr>
          <w:rFonts w:cstheme="minorHAnsi"/>
        </w:rPr>
        <w:t xml:space="preserve"> in drug checking evaluations</w:t>
      </w:r>
      <w:r w:rsidR="00360726" w:rsidRPr="00360726">
        <w:rPr>
          <w:rFonts w:cstheme="minorHAnsi"/>
        </w:rPr>
        <w:t xml:space="preserve">, there </w:t>
      </w:r>
      <w:r w:rsidR="0006177F">
        <w:rPr>
          <w:rFonts w:cstheme="minorHAnsi"/>
        </w:rPr>
        <w:t xml:space="preserve">are no </w:t>
      </w:r>
      <w:r w:rsidR="003A20FF">
        <w:rPr>
          <w:rFonts w:cstheme="minorHAnsi"/>
        </w:rPr>
        <w:t xml:space="preserve">known </w:t>
      </w:r>
      <w:r w:rsidR="0006177F">
        <w:rPr>
          <w:rFonts w:cstheme="minorHAnsi"/>
        </w:rPr>
        <w:t xml:space="preserve">published </w:t>
      </w:r>
      <w:r w:rsidR="00DC6203">
        <w:rPr>
          <w:rFonts w:cstheme="minorHAnsi"/>
        </w:rPr>
        <w:t xml:space="preserve">surveys </w:t>
      </w:r>
      <w:r w:rsidR="0006177F">
        <w:rPr>
          <w:rFonts w:cstheme="minorHAnsi"/>
        </w:rPr>
        <w:t>to date of service</w:t>
      </w:r>
      <w:r w:rsidR="001E1C38">
        <w:rPr>
          <w:rFonts w:cstheme="minorHAnsi"/>
        </w:rPr>
        <w:t xml:space="preserve"> users</w:t>
      </w:r>
      <w:r w:rsidR="00A06242">
        <w:rPr>
          <w:rFonts w:cstheme="minorHAnsi"/>
        </w:rPr>
        <w:t xml:space="preserve"> followed up in the </w:t>
      </w:r>
      <w:r w:rsidR="00CF0562">
        <w:rPr>
          <w:rFonts w:cstheme="minorHAnsi"/>
        </w:rPr>
        <w:t xml:space="preserve">weeks </w:t>
      </w:r>
      <w:r w:rsidR="00A06242">
        <w:rPr>
          <w:rFonts w:cstheme="minorHAnsi"/>
        </w:rPr>
        <w:t>after using a drug checking service</w:t>
      </w:r>
      <w:r w:rsidR="00433999">
        <w:rPr>
          <w:rFonts w:cstheme="minorHAnsi"/>
        </w:rPr>
        <w:t xml:space="preserve"> to compare intentions with outcomes</w:t>
      </w:r>
      <w:r w:rsidR="00AC008E">
        <w:rPr>
          <w:rFonts w:cstheme="minorHAnsi"/>
        </w:rPr>
        <w:t xml:space="preserve">, at individual or </w:t>
      </w:r>
      <w:r w:rsidR="002736B4">
        <w:rPr>
          <w:rFonts w:cstheme="minorHAnsi"/>
        </w:rPr>
        <w:t xml:space="preserve">population </w:t>
      </w:r>
      <w:r w:rsidR="00AC008E">
        <w:rPr>
          <w:rFonts w:cstheme="minorHAnsi"/>
        </w:rPr>
        <w:t>level</w:t>
      </w:r>
      <w:r w:rsidR="0006177F">
        <w:rPr>
          <w:rFonts w:cstheme="minorHAnsi"/>
        </w:rPr>
        <w:t>.</w:t>
      </w:r>
      <w:r w:rsidR="00FB270E">
        <w:rPr>
          <w:rFonts w:cstheme="minorHAnsi"/>
        </w:rPr>
        <w:t xml:space="preserve"> This </w:t>
      </w:r>
      <w:r w:rsidR="00D12286">
        <w:rPr>
          <w:rFonts w:cstheme="minorHAnsi"/>
        </w:rPr>
        <w:t>study</w:t>
      </w:r>
      <w:r w:rsidR="00FB270E">
        <w:rPr>
          <w:rFonts w:cstheme="minorHAnsi"/>
        </w:rPr>
        <w:t xml:space="preserve"> </w:t>
      </w:r>
      <w:r w:rsidR="00D12286">
        <w:rPr>
          <w:rFonts w:cstheme="minorHAnsi"/>
        </w:rPr>
        <w:t xml:space="preserve">seeks to </w:t>
      </w:r>
      <w:r w:rsidR="00FB270E">
        <w:rPr>
          <w:rFonts w:cstheme="minorHAnsi"/>
        </w:rPr>
        <w:t>address th</w:t>
      </w:r>
      <w:r w:rsidR="00D12286">
        <w:rPr>
          <w:rFonts w:cstheme="minorHAnsi"/>
        </w:rPr>
        <w:t>e</w:t>
      </w:r>
      <w:r w:rsidR="00FB270E">
        <w:rPr>
          <w:rFonts w:cstheme="minorHAnsi"/>
        </w:rPr>
        <w:t xml:space="preserve"> intention-behaviour gap in existing drug checking evaluations (</w:t>
      </w:r>
      <w:proofErr w:type="spellStart"/>
      <w:r w:rsidR="00FB270E">
        <w:rPr>
          <w:rFonts w:cstheme="minorHAnsi"/>
        </w:rPr>
        <w:t>Maghsoudi</w:t>
      </w:r>
      <w:proofErr w:type="spellEnd"/>
      <w:r w:rsidR="00FB270E">
        <w:rPr>
          <w:rFonts w:cstheme="minorHAnsi"/>
        </w:rPr>
        <w:t xml:space="preserve"> et al, 2021). </w:t>
      </w:r>
    </w:p>
    <w:p w14:paraId="4F240FCB" w14:textId="77777777" w:rsidR="008B6852" w:rsidRPr="006C24F9" w:rsidRDefault="008B6852" w:rsidP="008B6852">
      <w:pPr>
        <w:rPr>
          <w:rFonts w:cstheme="minorHAnsi"/>
        </w:rPr>
      </w:pPr>
    </w:p>
    <w:p w14:paraId="7DF0C27C" w14:textId="283AA409" w:rsidR="00511D6D" w:rsidRPr="005F122D" w:rsidRDefault="00551680" w:rsidP="006C24F9">
      <w:pPr>
        <w:rPr>
          <w:rFonts w:cstheme="minorHAnsi"/>
          <w:i/>
          <w:iCs/>
        </w:rPr>
      </w:pPr>
      <w:r>
        <w:rPr>
          <w:rFonts w:cstheme="minorHAnsi"/>
          <w:i/>
          <w:iCs/>
        </w:rPr>
        <w:t>The f</w:t>
      </w:r>
      <w:r w:rsidR="001F2D0E">
        <w:rPr>
          <w:rFonts w:cstheme="minorHAnsi"/>
          <w:i/>
          <w:iCs/>
        </w:rPr>
        <w:t xml:space="preserve">estival </w:t>
      </w:r>
      <w:r w:rsidR="0091046A">
        <w:rPr>
          <w:rFonts w:cstheme="minorHAnsi"/>
          <w:i/>
          <w:iCs/>
        </w:rPr>
        <w:t>context</w:t>
      </w:r>
    </w:p>
    <w:p w14:paraId="3C210FDB" w14:textId="77777777" w:rsidR="001A02CB" w:rsidRPr="006C24F9" w:rsidRDefault="001A02CB" w:rsidP="006C24F9">
      <w:pPr>
        <w:rPr>
          <w:rFonts w:cstheme="minorHAnsi"/>
        </w:rPr>
      </w:pPr>
    </w:p>
    <w:p w14:paraId="08CC1A89" w14:textId="58AD28B5" w:rsidR="00430048" w:rsidRDefault="00885B6B" w:rsidP="006C24F9">
      <w:pPr>
        <w:rPr>
          <w:rFonts w:cstheme="minorHAnsi"/>
        </w:rPr>
      </w:pPr>
      <w:r>
        <w:rPr>
          <w:rFonts w:cstheme="minorHAnsi"/>
        </w:rPr>
        <w:t>M</w:t>
      </w:r>
      <w:r w:rsidR="00430048">
        <w:rPr>
          <w:rFonts w:cstheme="minorHAnsi"/>
        </w:rPr>
        <w:t>usic festivals are increasingly popular leisure events</w:t>
      </w:r>
      <w:r>
        <w:rPr>
          <w:rFonts w:cstheme="minorHAnsi"/>
        </w:rPr>
        <w:t xml:space="preserve"> in the UK, with </w:t>
      </w:r>
      <w:r w:rsidR="00F82462">
        <w:rPr>
          <w:rFonts w:cstheme="minorHAnsi"/>
        </w:rPr>
        <w:t xml:space="preserve">975 music festivals attended by </w:t>
      </w:r>
      <w:r w:rsidR="00430048" w:rsidRPr="00430048">
        <w:rPr>
          <w:rFonts w:cstheme="minorHAnsi"/>
        </w:rPr>
        <w:t>a</w:t>
      </w:r>
      <w:r w:rsidR="006767AA">
        <w:rPr>
          <w:rFonts w:cstheme="minorHAnsi"/>
        </w:rPr>
        <w:t>n estimated</w:t>
      </w:r>
      <w:r w:rsidR="00430048" w:rsidRPr="00430048">
        <w:rPr>
          <w:rFonts w:cstheme="minorHAnsi"/>
        </w:rPr>
        <w:t xml:space="preserve"> </w:t>
      </w:r>
      <w:r w:rsidR="00ED5288">
        <w:rPr>
          <w:rFonts w:cstheme="minorHAnsi"/>
        </w:rPr>
        <w:t>5.2</w:t>
      </w:r>
      <w:r w:rsidR="00430048" w:rsidRPr="00430048">
        <w:rPr>
          <w:rFonts w:cstheme="minorHAnsi"/>
        </w:rPr>
        <w:t xml:space="preserve"> million people </w:t>
      </w:r>
      <w:r>
        <w:rPr>
          <w:rFonts w:cstheme="minorHAnsi"/>
        </w:rPr>
        <w:t xml:space="preserve">in 2019 </w:t>
      </w:r>
      <w:r w:rsidR="006767AA" w:rsidRPr="00430048">
        <w:rPr>
          <w:rFonts w:cstheme="minorHAnsi"/>
        </w:rPr>
        <w:t>(</w:t>
      </w:r>
      <w:proofErr w:type="spellStart"/>
      <w:r w:rsidR="006767AA" w:rsidRPr="00430048">
        <w:rPr>
          <w:rFonts w:cstheme="minorHAnsi"/>
        </w:rPr>
        <w:t>Statistica</w:t>
      </w:r>
      <w:proofErr w:type="spellEnd"/>
      <w:r w:rsidR="006767AA" w:rsidRPr="00430048">
        <w:rPr>
          <w:rFonts w:cstheme="minorHAnsi"/>
        </w:rPr>
        <w:t>, 20</w:t>
      </w:r>
      <w:r w:rsidR="006767AA">
        <w:rPr>
          <w:rFonts w:cstheme="minorHAnsi"/>
        </w:rPr>
        <w:t>20) and</w:t>
      </w:r>
      <w:r w:rsidR="006767AA" w:rsidRPr="003B5A15">
        <w:rPr>
          <w:rFonts w:cstheme="minorHAnsi"/>
        </w:rPr>
        <w:t xml:space="preserve"> </w:t>
      </w:r>
      <w:r>
        <w:rPr>
          <w:rFonts w:cstheme="minorHAnsi"/>
        </w:rPr>
        <w:t xml:space="preserve">a </w:t>
      </w:r>
      <w:r w:rsidR="00B30B62">
        <w:rPr>
          <w:rFonts w:cstheme="minorHAnsi"/>
        </w:rPr>
        <w:t xml:space="preserve">music and cultural </w:t>
      </w:r>
      <w:r w:rsidR="00912404">
        <w:rPr>
          <w:rFonts w:cstheme="minorHAnsi"/>
        </w:rPr>
        <w:t>festival sector valued at £1.1 billion before COVID-19 (Eventbrite, 2019)</w:t>
      </w:r>
      <w:r w:rsidR="00430048">
        <w:rPr>
          <w:rFonts w:cstheme="minorHAnsi"/>
        </w:rPr>
        <w:t xml:space="preserve">. </w:t>
      </w:r>
      <w:r w:rsidR="00CF0562">
        <w:rPr>
          <w:rFonts w:cstheme="minorHAnsi"/>
        </w:rPr>
        <w:t xml:space="preserve">Larger music </w:t>
      </w:r>
      <w:r>
        <w:rPr>
          <w:rFonts w:cstheme="minorHAnsi"/>
        </w:rPr>
        <w:t>festivals</w:t>
      </w:r>
      <w:r w:rsidR="00CF0562">
        <w:rPr>
          <w:rFonts w:cstheme="minorHAnsi"/>
        </w:rPr>
        <w:t xml:space="preserve"> </w:t>
      </w:r>
      <w:r>
        <w:rPr>
          <w:rFonts w:cstheme="minorHAnsi"/>
        </w:rPr>
        <w:t>tend to be headliner-driven</w:t>
      </w:r>
      <w:r w:rsidR="003C7886">
        <w:rPr>
          <w:rFonts w:cstheme="minorHAnsi"/>
        </w:rPr>
        <w:t>, multi genre or</w:t>
      </w:r>
      <w:r>
        <w:rPr>
          <w:rFonts w:cstheme="minorHAnsi"/>
        </w:rPr>
        <w:t xml:space="preserve"> genre-distinct events attracting </w:t>
      </w:r>
      <w:r w:rsidR="006B73C4">
        <w:rPr>
          <w:rFonts w:cstheme="minorHAnsi"/>
        </w:rPr>
        <w:lastRenderedPageBreak/>
        <w:t>10</w:t>
      </w:r>
      <w:r w:rsidR="006251D3">
        <w:rPr>
          <w:rFonts w:cstheme="minorHAnsi"/>
        </w:rPr>
        <w:t>0</w:t>
      </w:r>
      <w:r w:rsidR="006B73C4">
        <w:rPr>
          <w:rFonts w:cstheme="minorHAnsi"/>
        </w:rPr>
        <w:t xml:space="preserve">,000s of </w:t>
      </w:r>
      <w:r w:rsidR="00792635">
        <w:rPr>
          <w:rFonts w:cstheme="minorHAnsi"/>
        </w:rPr>
        <w:t>young adult</w:t>
      </w:r>
      <w:r w:rsidR="00CF0562">
        <w:rPr>
          <w:rFonts w:cstheme="minorHAnsi"/>
        </w:rPr>
        <w:t>s</w:t>
      </w:r>
      <w:r>
        <w:rPr>
          <w:rFonts w:cstheme="minorHAnsi"/>
        </w:rPr>
        <w:t xml:space="preserve"> from across the UK and overseas. Smaller festivals are </w:t>
      </w:r>
      <w:r w:rsidR="00792635">
        <w:rPr>
          <w:rFonts w:cstheme="minorHAnsi"/>
        </w:rPr>
        <w:t xml:space="preserve">less commercial, </w:t>
      </w:r>
      <w:r w:rsidR="0055022F">
        <w:rPr>
          <w:rFonts w:cstheme="minorHAnsi"/>
        </w:rPr>
        <w:t>have</w:t>
      </w:r>
      <w:r w:rsidR="00792635">
        <w:rPr>
          <w:rFonts w:cstheme="minorHAnsi"/>
        </w:rPr>
        <w:t xml:space="preserve"> multi arts foc</w:t>
      </w:r>
      <w:r w:rsidR="0055022F">
        <w:rPr>
          <w:rFonts w:cstheme="minorHAnsi"/>
        </w:rPr>
        <w:t>i,</w:t>
      </w:r>
      <w:r w:rsidR="00792635">
        <w:rPr>
          <w:rFonts w:cstheme="minorHAnsi"/>
        </w:rPr>
        <w:t xml:space="preserve"> </w:t>
      </w:r>
      <w:r>
        <w:rPr>
          <w:rFonts w:cstheme="minorHAnsi"/>
        </w:rPr>
        <w:t>family-oriented</w:t>
      </w:r>
      <w:r w:rsidR="006767AA">
        <w:rPr>
          <w:rFonts w:cstheme="minorHAnsi"/>
        </w:rPr>
        <w:t xml:space="preserve"> entertainment</w:t>
      </w:r>
      <w:r w:rsidR="00792635">
        <w:rPr>
          <w:rFonts w:cstheme="minorHAnsi"/>
        </w:rPr>
        <w:t>s,</w:t>
      </w:r>
      <w:r w:rsidR="00792635" w:rsidRPr="00792635">
        <w:rPr>
          <w:rFonts w:cstheme="minorHAnsi"/>
        </w:rPr>
        <w:t xml:space="preserve"> </w:t>
      </w:r>
      <w:r w:rsidR="00792635">
        <w:rPr>
          <w:rFonts w:cstheme="minorHAnsi"/>
        </w:rPr>
        <w:t>local community engagement and a broader demographic reach</w:t>
      </w:r>
      <w:r>
        <w:rPr>
          <w:rFonts w:cstheme="minorHAnsi"/>
        </w:rPr>
        <w:t xml:space="preserve">. Almost all provide onsite </w:t>
      </w:r>
      <w:r w:rsidR="00AB3916">
        <w:rPr>
          <w:rFonts w:cstheme="minorHAnsi"/>
        </w:rPr>
        <w:t xml:space="preserve">support services </w:t>
      </w:r>
      <w:r>
        <w:rPr>
          <w:rFonts w:cstheme="minorHAnsi"/>
        </w:rPr>
        <w:t xml:space="preserve">such as </w:t>
      </w:r>
      <w:r w:rsidR="00AB3916">
        <w:rPr>
          <w:rFonts w:cstheme="minorHAnsi"/>
        </w:rPr>
        <w:t>medical, welfare and security</w:t>
      </w:r>
      <w:r>
        <w:rPr>
          <w:rFonts w:cstheme="minorHAnsi"/>
        </w:rPr>
        <w:t xml:space="preserve"> as a condition of their license</w:t>
      </w:r>
      <w:r w:rsidR="006767AA">
        <w:rPr>
          <w:rFonts w:cstheme="minorHAnsi"/>
        </w:rPr>
        <w:t>.</w:t>
      </w:r>
    </w:p>
    <w:p w14:paraId="633791BA" w14:textId="77777777" w:rsidR="00430048" w:rsidRDefault="00430048" w:rsidP="006C24F9">
      <w:pPr>
        <w:rPr>
          <w:rFonts w:cstheme="minorHAnsi"/>
        </w:rPr>
      </w:pPr>
    </w:p>
    <w:p w14:paraId="07367FC6" w14:textId="21F16288" w:rsidR="001C3EF8" w:rsidRDefault="00100C97" w:rsidP="006C24F9">
      <w:pPr>
        <w:rPr>
          <w:rFonts w:cstheme="minorHAnsi"/>
        </w:rPr>
      </w:pPr>
      <w:r>
        <w:rPr>
          <w:rFonts w:cstheme="minorHAnsi"/>
        </w:rPr>
        <w:t xml:space="preserve">Research </w:t>
      </w:r>
      <w:r w:rsidR="00035181" w:rsidRPr="006C24F9">
        <w:rPr>
          <w:rFonts w:cstheme="minorHAnsi"/>
        </w:rPr>
        <w:t>indicate</w:t>
      </w:r>
      <w:r>
        <w:rPr>
          <w:rFonts w:cstheme="minorHAnsi"/>
        </w:rPr>
        <w:t>s</w:t>
      </w:r>
      <w:r w:rsidR="00035181" w:rsidRPr="006C24F9">
        <w:rPr>
          <w:rFonts w:cstheme="minorHAnsi"/>
        </w:rPr>
        <w:t xml:space="preserve"> that festival</w:t>
      </w:r>
      <w:r>
        <w:rPr>
          <w:rFonts w:cstheme="minorHAnsi"/>
        </w:rPr>
        <w:t>-goers</w:t>
      </w:r>
      <w:r w:rsidR="00035181" w:rsidRPr="006C24F9">
        <w:rPr>
          <w:rFonts w:cstheme="minorHAnsi"/>
        </w:rPr>
        <w:t xml:space="preserve"> have a higher prevalence of drug use than the general population </w:t>
      </w:r>
      <w:r w:rsidR="003A3671" w:rsidRPr="006C24F9">
        <w:rPr>
          <w:rFonts w:cstheme="minorHAnsi"/>
        </w:rPr>
        <w:t xml:space="preserve">(Hesse and </w:t>
      </w:r>
      <w:proofErr w:type="spellStart"/>
      <w:r w:rsidR="003A3671" w:rsidRPr="006C24F9">
        <w:rPr>
          <w:rFonts w:cstheme="minorHAnsi"/>
        </w:rPr>
        <w:t>Tutenges</w:t>
      </w:r>
      <w:proofErr w:type="spellEnd"/>
      <w:r w:rsidR="003A3671" w:rsidRPr="006C24F9">
        <w:rPr>
          <w:rFonts w:cstheme="minorHAnsi"/>
        </w:rPr>
        <w:t xml:space="preserve">, 2012; Lim et al, 2010; </w:t>
      </w:r>
      <w:r w:rsidR="00F01E63">
        <w:rPr>
          <w:rFonts w:cstheme="minorHAnsi"/>
        </w:rPr>
        <w:t xml:space="preserve">McCormack et al, 2021; </w:t>
      </w:r>
      <w:proofErr w:type="spellStart"/>
      <w:r w:rsidR="003A3671" w:rsidRPr="006C24F9">
        <w:rPr>
          <w:rFonts w:cstheme="minorHAnsi"/>
        </w:rPr>
        <w:t>Martinus</w:t>
      </w:r>
      <w:proofErr w:type="spellEnd"/>
      <w:r w:rsidR="003A3671" w:rsidRPr="006C24F9">
        <w:rPr>
          <w:rFonts w:cstheme="minorHAnsi"/>
        </w:rPr>
        <w:t xml:space="preserve"> et al, 2010)</w:t>
      </w:r>
      <w:r w:rsidR="005E1E44">
        <w:rPr>
          <w:rFonts w:cstheme="minorHAnsi"/>
        </w:rPr>
        <w:t>,</w:t>
      </w:r>
      <w:r w:rsidR="00BA587C" w:rsidRPr="006C24F9">
        <w:rPr>
          <w:rFonts w:cstheme="minorHAnsi"/>
        </w:rPr>
        <w:t xml:space="preserve"> </w:t>
      </w:r>
      <w:r w:rsidR="00C22D0C">
        <w:rPr>
          <w:rFonts w:cstheme="minorHAnsi"/>
        </w:rPr>
        <w:t xml:space="preserve">with </w:t>
      </w:r>
      <w:r w:rsidR="00244D36">
        <w:rPr>
          <w:rFonts w:cstheme="minorHAnsi"/>
        </w:rPr>
        <w:t xml:space="preserve">music </w:t>
      </w:r>
      <w:r>
        <w:rPr>
          <w:rFonts w:cstheme="minorHAnsi"/>
        </w:rPr>
        <w:t xml:space="preserve">festivals </w:t>
      </w:r>
      <w:r w:rsidR="00C22D0C">
        <w:rPr>
          <w:rFonts w:cstheme="minorHAnsi"/>
        </w:rPr>
        <w:t xml:space="preserve">acting as </w:t>
      </w:r>
      <w:r w:rsidR="00BA587C" w:rsidRPr="006C24F9">
        <w:rPr>
          <w:rFonts w:cstheme="minorHAnsi"/>
        </w:rPr>
        <w:t xml:space="preserve">sites </w:t>
      </w:r>
      <w:r w:rsidR="00C22D0C">
        <w:rPr>
          <w:rFonts w:cstheme="minorHAnsi"/>
        </w:rPr>
        <w:t>for</w:t>
      </w:r>
      <w:r w:rsidR="00BA587C" w:rsidRPr="006C24F9">
        <w:rPr>
          <w:rFonts w:cstheme="minorHAnsi"/>
        </w:rPr>
        <w:t xml:space="preserve"> “atypical intoxication” (Turner and Measham, 2019)</w:t>
      </w:r>
      <w:r w:rsidR="00736A03">
        <w:rPr>
          <w:rFonts w:cstheme="minorHAnsi"/>
        </w:rPr>
        <w:t>,</w:t>
      </w:r>
      <w:r w:rsidR="00C22D0C">
        <w:rPr>
          <w:rFonts w:cstheme="minorHAnsi"/>
        </w:rPr>
        <w:t xml:space="preserve"> </w:t>
      </w:r>
      <w:r w:rsidR="00E31AAF">
        <w:rPr>
          <w:rFonts w:cstheme="minorHAnsi"/>
        </w:rPr>
        <w:t xml:space="preserve">psychedelic </w:t>
      </w:r>
      <w:r w:rsidR="00FC08B3">
        <w:rPr>
          <w:rFonts w:cstheme="minorHAnsi"/>
        </w:rPr>
        <w:t>experimentation</w:t>
      </w:r>
      <w:r w:rsidR="00FC08B3" w:rsidRPr="003E7208">
        <w:rPr>
          <w:rFonts w:cstheme="minorHAnsi"/>
        </w:rPr>
        <w:t xml:space="preserve"> </w:t>
      </w:r>
      <w:r w:rsidR="00FC08B3">
        <w:rPr>
          <w:rFonts w:cstheme="minorHAnsi"/>
        </w:rPr>
        <w:t xml:space="preserve">(Ruane, 2018), </w:t>
      </w:r>
      <w:r w:rsidR="00DB2364">
        <w:rPr>
          <w:rFonts w:cstheme="minorHAnsi"/>
        </w:rPr>
        <w:t xml:space="preserve">and </w:t>
      </w:r>
      <w:r w:rsidR="00FC08B3">
        <w:rPr>
          <w:rFonts w:cstheme="minorHAnsi"/>
        </w:rPr>
        <w:t xml:space="preserve">normalised </w:t>
      </w:r>
      <w:r w:rsidR="005E1E44">
        <w:rPr>
          <w:rFonts w:cstheme="minorHAnsi"/>
        </w:rPr>
        <w:t>illicit drug use (Fox et al, 201</w:t>
      </w:r>
      <w:r w:rsidR="000C0CEC">
        <w:rPr>
          <w:rFonts w:cstheme="minorHAnsi"/>
        </w:rPr>
        <w:t>7</w:t>
      </w:r>
      <w:r w:rsidR="005E1E44">
        <w:rPr>
          <w:rFonts w:cstheme="minorHAnsi"/>
        </w:rPr>
        <w:t>)</w:t>
      </w:r>
      <w:r w:rsidR="00324EEE" w:rsidRPr="006C24F9">
        <w:rPr>
          <w:rFonts w:cstheme="minorHAnsi"/>
        </w:rPr>
        <w:t xml:space="preserve">. </w:t>
      </w:r>
      <w:r w:rsidR="00A420E0">
        <w:rPr>
          <w:rFonts w:cstheme="minorHAnsi"/>
        </w:rPr>
        <w:t>T</w:t>
      </w:r>
      <w:r w:rsidR="00FC08B3">
        <w:rPr>
          <w:rFonts w:cstheme="minorHAnsi"/>
        </w:rPr>
        <w:t xml:space="preserve">he </w:t>
      </w:r>
      <w:r w:rsidR="00F15F16" w:rsidRPr="006C24F9">
        <w:rPr>
          <w:rFonts w:cstheme="minorHAnsi"/>
        </w:rPr>
        <w:t xml:space="preserve">annual </w:t>
      </w:r>
      <w:r w:rsidR="000654BF">
        <w:rPr>
          <w:rFonts w:cstheme="minorHAnsi"/>
        </w:rPr>
        <w:t>English Festival Survey</w:t>
      </w:r>
      <w:r w:rsidR="00FC08B3">
        <w:rPr>
          <w:rFonts w:cstheme="minorHAnsi"/>
        </w:rPr>
        <w:t xml:space="preserve"> </w:t>
      </w:r>
      <w:r w:rsidR="00670CE0">
        <w:rPr>
          <w:rFonts w:cstheme="minorHAnsi"/>
        </w:rPr>
        <w:t xml:space="preserve">conducted from 2010 onwards found </w:t>
      </w:r>
      <w:r w:rsidR="000654BF">
        <w:rPr>
          <w:rFonts w:cstheme="minorHAnsi"/>
        </w:rPr>
        <w:t xml:space="preserve">in </w:t>
      </w:r>
      <w:r w:rsidR="00670CE0">
        <w:rPr>
          <w:rFonts w:cstheme="minorHAnsi"/>
        </w:rPr>
        <w:t xml:space="preserve">its </w:t>
      </w:r>
      <w:r w:rsidR="000654BF">
        <w:rPr>
          <w:rFonts w:cstheme="minorHAnsi"/>
        </w:rPr>
        <w:t xml:space="preserve">2018 </w:t>
      </w:r>
      <w:r w:rsidR="00670CE0">
        <w:rPr>
          <w:rFonts w:cstheme="minorHAnsi"/>
        </w:rPr>
        <w:t xml:space="preserve">tranche </w:t>
      </w:r>
      <w:r w:rsidR="00586736" w:rsidRPr="006C24F9">
        <w:rPr>
          <w:rFonts w:cstheme="minorHAnsi"/>
        </w:rPr>
        <w:t xml:space="preserve">that </w:t>
      </w:r>
      <w:r w:rsidR="00923908" w:rsidRPr="006C24F9">
        <w:rPr>
          <w:rFonts w:cstheme="minorHAnsi"/>
        </w:rPr>
        <w:t>over half of</w:t>
      </w:r>
      <w:r w:rsidR="001A02CB" w:rsidRPr="006C24F9">
        <w:rPr>
          <w:rFonts w:cstheme="minorHAnsi"/>
        </w:rPr>
        <w:t xml:space="preserve"> </w:t>
      </w:r>
      <w:r w:rsidR="00196971">
        <w:rPr>
          <w:rFonts w:cstheme="minorHAnsi"/>
        </w:rPr>
        <w:t xml:space="preserve">its 2,250 </w:t>
      </w:r>
      <w:r w:rsidR="001A02CB" w:rsidRPr="006C24F9">
        <w:rPr>
          <w:rFonts w:cstheme="minorHAnsi"/>
        </w:rPr>
        <w:t xml:space="preserve">respondents </w:t>
      </w:r>
      <w:r w:rsidR="006C29B0" w:rsidRPr="006C24F9">
        <w:rPr>
          <w:rFonts w:cstheme="minorHAnsi"/>
        </w:rPr>
        <w:t>report</w:t>
      </w:r>
      <w:r w:rsidR="009310CD">
        <w:rPr>
          <w:rFonts w:cstheme="minorHAnsi"/>
        </w:rPr>
        <w:t>ed</w:t>
      </w:r>
      <w:r w:rsidR="006C29B0" w:rsidRPr="006C24F9">
        <w:rPr>
          <w:rFonts w:cstheme="minorHAnsi"/>
        </w:rPr>
        <w:t xml:space="preserve"> </w:t>
      </w:r>
      <w:r w:rsidR="00CF45AD" w:rsidRPr="006C24F9">
        <w:rPr>
          <w:rFonts w:cstheme="minorHAnsi"/>
        </w:rPr>
        <w:t xml:space="preserve">having taken and/or </w:t>
      </w:r>
      <w:r w:rsidR="00B67C50" w:rsidRPr="006C24F9">
        <w:rPr>
          <w:rFonts w:cstheme="minorHAnsi"/>
        </w:rPr>
        <w:t xml:space="preserve">intending to </w:t>
      </w:r>
      <w:r w:rsidR="00CF45AD" w:rsidRPr="006C24F9">
        <w:rPr>
          <w:rFonts w:cstheme="minorHAnsi"/>
        </w:rPr>
        <w:t>take</w:t>
      </w:r>
      <w:r w:rsidR="00B67C50" w:rsidRPr="006C24F9">
        <w:rPr>
          <w:rFonts w:cstheme="minorHAnsi"/>
        </w:rPr>
        <w:t xml:space="preserve"> </w:t>
      </w:r>
      <w:r w:rsidR="00074A3C">
        <w:rPr>
          <w:rFonts w:cstheme="minorHAnsi"/>
        </w:rPr>
        <w:t>illicit</w:t>
      </w:r>
      <w:r w:rsidR="00B67C50" w:rsidRPr="006C24F9">
        <w:rPr>
          <w:rFonts w:cstheme="minorHAnsi"/>
        </w:rPr>
        <w:t xml:space="preserve"> drugs </w:t>
      </w:r>
      <w:r w:rsidR="00324EEE" w:rsidRPr="006C24F9">
        <w:rPr>
          <w:rFonts w:cstheme="minorHAnsi"/>
        </w:rPr>
        <w:t xml:space="preserve">that </w:t>
      </w:r>
      <w:r w:rsidR="00B67C50" w:rsidRPr="006C24F9">
        <w:rPr>
          <w:rFonts w:cstheme="minorHAnsi"/>
        </w:rPr>
        <w:t>day</w:t>
      </w:r>
      <w:r w:rsidR="00983291">
        <w:rPr>
          <w:rFonts w:cstheme="minorHAnsi"/>
        </w:rPr>
        <w:t xml:space="preserve"> and</w:t>
      </w:r>
      <w:r w:rsidR="00FC08B3">
        <w:rPr>
          <w:rFonts w:cstheme="minorHAnsi"/>
        </w:rPr>
        <w:t xml:space="preserve"> </w:t>
      </w:r>
      <w:r w:rsidR="003D296E" w:rsidRPr="006C24F9">
        <w:rPr>
          <w:rFonts w:cstheme="minorHAnsi"/>
        </w:rPr>
        <w:t xml:space="preserve">over half of </w:t>
      </w:r>
      <w:r w:rsidR="00895700" w:rsidRPr="006C24F9">
        <w:rPr>
          <w:rFonts w:cstheme="minorHAnsi"/>
        </w:rPr>
        <w:t xml:space="preserve">those </w:t>
      </w:r>
      <w:r w:rsidR="00FC08B3">
        <w:rPr>
          <w:rFonts w:cstheme="minorHAnsi"/>
        </w:rPr>
        <w:t xml:space="preserve">took </w:t>
      </w:r>
      <w:r w:rsidR="003D296E" w:rsidRPr="006C24F9">
        <w:rPr>
          <w:rFonts w:cstheme="minorHAnsi"/>
        </w:rPr>
        <w:t xml:space="preserve">larger quantities of drugs than they </w:t>
      </w:r>
      <w:r w:rsidR="00771541">
        <w:rPr>
          <w:rFonts w:cstheme="minorHAnsi"/>
        </w:rPr>
        <w:t>otherwise</w:t>
      </w:r>
      <w:r w:rsidR="004C58F4" w:rsidRPr="006C24F9">
        <w:rPr>
          <w:rFonts w:cstheme="minorHAnsi"/>
        </w:rPr>
        <w:t xml:space="preserve"> </w:t>
      </w:r>
      <w:r w:rsidR="00771541">
        <w:rPr>
          <w:rFonts w:cstheme="minorHAnsi"/>
        </w:rPr>
        <w:t xml:space="preserve">would outside </w:t>
      </w:r>
      <w:r w:rsidR="004C58F4" w:rsidRPr="006C24F9">
        <w:rPr>
          <w:rFonts w:cstheme="minorHAnsi"/>
        </w:rPr>
        <w:t xml:space="preserve">of a festival environment </w:t>
      </w:r>
      <w:r w:rsidR="00B67C50" w:rsidRPr="006C24F9">
        <w:rPr>
          <w:rFonts w:cstheme="minorHAnsi"/>
        </w:rPr>
        <w:t xml:space="preserve">(Turner and Measham, </w:t>
      </w:r>
      <w:r w:rsidR="001A02CB" w:rsidRPr="006C24F9">
        <w:rPr>
          <w:rFonts w:cstheme="minorHAnsi"/>
        </w:rPr>
        <w:t>2019</w:t>
      </w:r>
      <w:r w:rsidR="00B67C50" w:rsidRPr="006C24F9">
        <w:rPr>
          <w:rFonts w:cstheme="minorHAnsi"/>
        </w:rPr>
        <w:t>).</w:t>
      </w:r>
      <w:r w:rsidR="00C415D0" w:rsidRPr="006C24F9">
        <w:rPr>
          <w:rFonts w:cstheme="minorHAnsi"/>
        </w:rPr>
        <w:t xml:space="preserve"> </w:t>
      </w:r>
    </w:p>
    <w:p w14:paraId="63757356" w14:textId="77777777" w:rsidR="004B3F9A" w:rsidRDefault="004B3F9A" w:rsidP="006C24F9">
      <w:pPr>
        <w:rPr>
          <w:rFonts w:cstheme="minorHAnsi"/>
        </w:rPr>
      </w:pPr>
    </w:p>
    <w:p w14:paraId="3B55AB6A" w14:textId="51132A5F" w:rsidR="00690EEA" w:rsidRPr="00690EEA" w:rsidRDefault="00690EEA" w:rsidP="006C24F9">
      <w:pPr>
        <w:rPr>
          <w:rFonts w:cstheme="minorHAnsi"/>
          <w:b/>
          <w:bCs/>
        </w:rPr>
      </w:pPr>
      <w:r w:rsidRPr="00690EEA">
        <w:rPr>
          <w:rFonts w:cstheme="minorHAnsi"/>
          <w:b/>
          <w:bCs/>
        </w:rPr>
        <w:t>Methods</w:t>
      </w:r>
    </w:p>
    <w:p w14:paraId="6A5D98BB" w14:textId="77777777" w:rsidR="00C4484B" w:rsidRPr="00C4484B" w:rsidRDefault="00C4484B" w:rsidP="00C4484B">
      <w:pPr>
        <w:rPr>
          <w:rFonts w:cstheme="minorHAnsi"/>
        </w:rPr>
      </w:pPr>
    </w:p>
    <w:p w14:paraId="23B929E8" w14:textId="77777777" w:rsidR="00C4484B" w:rsidRPr="00C4484B" w:rsidRDefault="00C4484B" w:rsidP="00C4484B">
      <w:pPr>
        <w:rPr>
          <w:rFonts w:cstheme="minorHAnsi"/>
          <w:i/>
          <w:iCs/>
        </w:rPr>
      </w:pPr>
      <w:r w:rsidRPr="00C4484B">
        <w:rPr>
          <w:rFonts w:cstheme="minorHAnsi"/>
          <w:i/>
          <w:iCs/>
        </w:rPr>
        <w:t>Aims</w:t>
      </w:r>
    </w:p>
    <w:p w14:paraId="1189794F" w14:textId="77777777" w:rsidR="00C4484B" w:rsidRPr="00C4484B" w:rsidRDefault="00C4484B" w:rsidP="00C4484B">
      <w:pPr>
        <w:rPr>
          <w:rFonts w:cstheme="minorHAnsi"/>
        </w:rPr>
      </w:pPr>
    </w:p>
    <w:p w14:paraId="1B0A885A" w14:textId="09651269" w:rsidR="006A6FFB" w:rsidRDefault="00C4484B" w:rsidP="00C4484B">
      <w:pPr>
        <w:rPr>
          <w:rFonts w:cstheme="minorHAnsi"/>
        </w:rPr>
      </w:pPr>
      <w:r w:rsidRPr="00C4484B">
        <w:rPr>
          <w:rFonts w:cstheme="minorHAnsi"/>
        </w:rPr>
        <w:t xml:space="preserve">This </w:t>
      </w:r>
      <w:r w:rsidR="00D03269">
        <w:rPr>
          <w:rFonts w:cstheme="minorHAnsi"/>
        </w:rPr>
        <w:t xml:space="preserve">paper </w:t>
      </w:r>
      <w:r w:rsidRPr="00C4484B">
        <w:rPr>
          <w:rFonts w:cstheme="minorHAnsi"/>
        </w:rPr>
        <w:t xml:space="preserve">presents first findings from drug checking </w:t>
      </w:r>
      <w:r w:rsidR="00560B63">
        <w:rPr>
          <w:rFonts w:cstheme="minorHAnsi"/>
        </w:rPr>
        <w:t xml:space="preserve">services delivered </w:t>
      </w:r>
      <w:r w:rsidR="00D269D5">
        <w:rPr>
          <w:rFonts w:cstheme="minorHAnsi"/>
        </w:rPr>
        <w:t>at English music festivals in 2017</w:t>
      </w:r>
      <w:r w:rsidR="002F46A7">
        <w:rPr>
          <w:rFonts w:cstheme="minorHAnsi"/>
        </w:rPr>
        <w:t xml:space="preserve">, </w:t>
      </w:r>
      <w:r w:rsidR="002F46A7" w:rsidRPr="00C4484B">
        <w:rPr>
          <w:rFonts w:cstheme="minorHAnsi"/>
        </w:rPr>
        <w:t>focus</w:t>
      </w:r>
      <w:r w:rsidR="002F46A7">
        <w:rPr>
          <w:rFonts w:cstheme="minorHAnsi"/>
        </w:rPr>
        <w:t xml:space="preserve">ing here </w:t>
      </w:r>
      <w:r w:rsidR="002F46A7" w:rsidRPr="00C4484B">
        <w:rPr>
          <w:rFonts w:cstheme="minorHAnsi"/>
        </w:rPr>
        <w:t xml:space="preserve">on </w:t>
      </w:r>
      <w:r w:rsidR="00D03269">
        <w:rPr>
          <w:rFonts w:cstheme="minorHAnsi"/>
        </w:rPr>
        <w:t xml:space="preserve">the follow-up component of the study. Data are presented for ten measures recorded </w:t>
      </w:r>
      <w:r w:rsidR="00D03269" w:rsidRPr="00C4484B">
        <w:rPr>
          <w:rFonts w:cstheme="minorHAnsi"/>
        </w:rPr>
        <w:t>at point of BI and compare</w:t>
      </w:r>
      <w:r w:rsidR="00D03269">
        <w:rPr>
          <w:rFonts w:cstheme="minorHAnsi"/>
        </w:rPr>
        <w:t>d</w:t>
      </w:r>
      <w:r w:rsidR="00D03269" w:rsidRPr="00C4484B">
        <w:rPr>
          <w:rFonts w:cstheme="minorHAnsi"/>
        </w:rPr>
        <w:t xml:space="preserve"> with recollected outcomes in relation to the same </w:t>
      </w:r>
      <w:r w:rsidR="00D03269">
        <w:rPr>
          <w:rFonts w:cstheme="minorHAnsi"/>
        </w:rPr>
        <w:t>ten measures in a follow-up survey</w:t>
      </w:r>
      <w:r w:rsidR="00B06C94">
        <w:rPr>
          <w:rFonts w:cstheme="minorHAnsi"/>
        </w:rPr>
        <w:t xml:space="preserve"> of the same service users three months later, </w:t>
      </w:r>
      <w:r w:rsidR="00D03269" w:rsidRPr="00C4484B">
        <w:rPr>
          <w:rFonts w:cstheme="minorHAnsi"/>
        </w:rPr>
        <w:t xml:space="preserve">to </w:t>
      </w:r>
      <w:r w:rsidR="00EC75A3">
        <w:rPr>
          <w:rFonts w:cstheme="minorHAnsi"/>
        </w:rPr>
        <w:t>explore</w:t>
      </w:r>
      <w:r w:rsidR="00D03269" w:rsidRPr="00C4484B">
        <w:rPr>
          <w:rFonts w:cstheme="minorHAnsi"/>
        </w:rPr>
        <w:t xml:space="preserve"> whether the service and its risk communications </w:t>
      </w:r>
      <w:r w:rsidR="00EC75A3">
        <w:rPr>
          <w:rFonts w:cstheme="minorHAnsi"/>
        </w:rPr>
        <w:t xml:space="preserve">could </w:t>
      </w:r>
      <w:r w:rsidR="00D03269">
        <w:rPr>
          <w:rFonts w:cstheme="minorHAnsi"/>
        </w:rPr>
        <w:t xml:space="preserve">enhance individual </w:t>
      </w:r>
      <w:r w:rsidR="00D03269" w:rsidRPr="00C4484B">
        <w:rPr>
          <w:rFonts w:cstheme="minorHAnsi"/>
        </w:rPr>
        <w:t xml:space="preserve">risk management and </w:t>
      </w:r>
      <w:r w:rsidR="00D03269">
        <w:rPr>
          <w:rFonts w:cstheme="minorHAnsi"/>
        </w:rPr>
        <w:t xml:space="preserve">increase </w:t>
      </w:r>
      <w:r w:rsidR="00D03269" w:rsidRPr="00C4484B">
        <w:rPr>
          <w:rFonts w:cstheme="minorHAnsi"/>
        </w:rPr>
        <w:t xml:space="preserve">harm reduction practices. </w:t>
      </w:r>
      <w:r w:rsidR="000E2FF1" w:rsidRPr="000E2FF1">
        <w:rPr>
          <w:rFonts w:cstheme="minorHAnsi"/>
        </w:rPr>
        <w:t xml:space="preserve">Nine of the ten </w:t>
      </w:r>
      <w:r w:rsidR="002708B2">
        <w:rPr>
          <w:rFonts w:cstheme="minorHAnsi"/>
        </w:rPr>
        <w:t>measures</w:t>
      </w:r>
      <w:r w:rsidR="000E2FF1" w:rsidRPr="000E2FF1">
        <w:rPr>
          <w:rFonts w:cstheme="minorHAnsi"/>
        </w:rPr>
        <w:t xml:space="preserve"> </w:t>
      </w:r>
      <w:r w:rsidR="002F46A7">
        <w:rPr>
          <w:rFonts w:cstheme="minorHAnsi"/>
        </w:rPr>
        <w:t xml:space="preserve">reported here </w:t>
      </w:r>
      <w:r w:rsidR="000E2FF1" w:rsidRPr="000E2FF1">
        <w:rPr>
          <w:rFonts w:cstheme="minorHAnsi"/>
        </w:rPr>
        <w:t>were intentions and one was an action</w:t>
      </w:r>
      <w:r w:rsidR="00902CD4">
        <w:rPr>
          <w:rFonts w:cstheme="minorHAnsi"/>
        </w:rPr>
        <w:t xml:space="preserve">, </w:t>
      </w:r>
      <w:r w:rsidR="000E2FF1" w:rsidRPr="000E2FF1">
        <w:rPr>
          <w:rFonts w:cstheme="minorHAnsi"/>
        </w:rPr>
        <w:t xml:space="preserve">the disposal of further substances of concern </w:t>
      </w:r>
      <w:r w:rsidR="00EC75A3">
        <w:rPr>
          <w:rFonts w:cstheme="minorHAnsi"/>
        </w:rPr>
        <w:t xml:space="preserve">directly </w:t>
      </w:r>
      <w:r w:rsidR="000E2FF1" w:rsidRPr="000E2FF1">
        <w:rPr>
          <w:rFonts w:cstheme="minorHAnsi"/>
        </w:rPr>
        <w:t>with the NGO for independent verification, collection and destruction</w:t>
      </w:r>
      <w:r w:rsidR="00EC75A3">
        <w:rPr>
          <w:rFonts w:cstheme="minorHAnsi"/>
        </w:rPr>
        <w:t xml:space="preserve"> by police</w:t>
      </w:r>
      <w:r w:rsidR="000E2FF1" w:rsidRPr="000E2FF1">
        <w:rPr>
          <w:rFonts w:cstheme="minorHAnsi"/>
        </w:rPr>
        <w:t xml:space="preserve">. Six of the </w:t>
      </w:r>
      <w:r w:rsidR="002708B2">
        <w:rPr>
          <w:rFonts w:cstheme="minorHAnsi"/>
        </w:rPr>
        <w:t>measures</w:t>
      </w:r>
      <w:r w:rsidR="000E2FF1" w:rsidRPr="000E2FF1">
        <w:rPr>
          <w:rFonts w:cstheme="minorHAnsi"/>
        </w:rPr>
        <w:t xml:space="preserve"> were broadly positive (verified destruction, self-disposal, taking a smaller dose, alerting friends, taking over an extended time period, and greater caution mixing drugs); two were broadly negative (taking a larger dose, and obtaining more onsite); and two were broadly neutral or potentially positive or negative dependent on context (taking the previously intended dose, and returning the substance to their supplier). </w:t>
      </w:r>
      <w:r w:rsidR="002708B2">
        <w:rPr>
          <w:rFonts w:cstheme="minorHAnsi"/>
        </w:rPr>
        <w:t>Measures</w:t>
      </w:r>
      <w:r w:rsidR="000E2FF1" w:rsidRPr="000E2FF1">
        <w:rPr>
          <w:rFonts w:cstheme="minorHAnsi"/>
        </w:rPr>
        <w:t xml:space="preserve"> were compiled from open ended responses to drug checking in the previous year’s </w:t>
      </w:r>
      <w:r w:rsidR="00130739">
        <w:rPr>
          <w:rFonts w:cstheme="minorHAnsi"/>
        </w:rPr>
        <w:t xml:space="preserve">first festival </w:t>
      </w:r>
      <w:r w:rsidR="000E2FF1" w:rsidRPr="000E2FF1">
        <w:rPr>
          <w:rFonts w:cstheme="minorHAnsi"/>
        </w:rPr>
        <w:t>pilot (Measham, 2019).</w:t>
      </w:r>
    </w:p>
    <w:p w14:paraId="4F978AD6" w14:textId="77777777" w:rsidR="006A6FFB" w:rsidRDefault="006A6FFB" w:rsidP="00C4484B">
      <w:pPr>
        <w:rPr>
          <w:rFonts w:cstheme="minorHAnsi"/>
        </w:rPr>
      </w:pPr>
    </w:p>
    <w:p w14:paraId="61FF7EE0" w14:textId="7E1D92D9" w:rsidR="00C4484B" w:rsidRPr="00C4484B" w:rsidRDefault="00C4484B" w:rsidP="00C4484B">
      <w:pPr>
        <w:rPr>
          <w:rFonts w:cstheme="minorHAnsi"/>
        </w:rPr>
      </w:pPr>
      <w:r w:rsidRPr="00C4484B">
        <w:rPr>
          <w:rFonts w:cstheme="minorHAnsi"/>
        </w:rPr>
        <w:t>The study ha</w:t>
      </w:r>
      <w:r w:rsidR="006A6FFB">
        <w:rPr>
          <w:rFonts w:cstheme="minorHAnsi"/>
        </w:rPr>
        <w:t>d</w:t>
      </w:r>
      <w:r w:rsidRPr="00C4484B">
        <w:rPr>
          <w:rFonts w:cstheme="minorHAnsi"/>
        </w:rPr>
        <w:t xml:space="preserve"> four aims: </w:t>
      </w:r>
    </w:p>
    <w:p w14:paraId="21B3338A" w14:textId="2741CFFA" w:rsidR="00C4484B" w:rsidRPr="00C4484B" w:rsidRDefault="00C4484B" w:rsidP="00C4484B">
      <w:pPr>
        <w:rPr>
          <w:rFonts w:cstheme="minorHAnsi"/>
        </w:rPr>
      </w:pPr>
      <w:bookmarkStart w:id="7" w:name="_Hlk66696227"/>
      <w:r w:rsidRPr="00C4484B">
        <w:rPr>
          <w:rFonts w:cstheme="minorHAnsi"/>
        </w:rPr>
        <w:t xml:space="preserve">1. To assess whether drug checking reached its target audience of young adult drug users </w:t>
      </w:r>
      <w:r w:rsidR="00F45D52">
        <w:rPr>
          <w:rFonts w:cstheme="minorHAnsi"/>
        </w:rPr>
        <w:t xml:space="preserve">otherwise </w:t>
      </w:r>
      <w:r w:rsidRPr="00C4484B">
        <w:rPr>
          <w:rFonts w:cstheme="minorHAnsi"/>
        </w:rPr>
        <w:t xml:space="preserve">not in touch with health or </w:t>
      </w:r>
      <w:r w:rsidR="00F45D52">
        <w:rPr>
          <w:rFonts w:cstheme="minorHAnsi"/>
        </w:rPr>
        <w:t xml:space="preserve">substance misuse </w:t>
      </w:r>
      <w:r w:rsidRPr="00C4484B">
        <w:rPr>
          <w:rFonts w:cstheme="minorHAnsi"/>
        </w:rPr>
        <w:t>services</w:t>
      </w:r>
      <w:r w:rsidR="00F45D52">
        <w:rPr>
          <w:rFonts w:cstheme="minorHAnsi"/>
        </w:rPr>
        <w:t xml:space="preserve"> (SMS)</w:t>
      </w:r>
      <w:r w:rsidRPr="00C4484B">
        <w:rPr>
          <w:rFonts w:cstheme="minorHAnsi"/>
        </w:rPr>
        <w:t xml:space="preserve">; </w:t>
      </w:r>
    </w:p>
    <w:p w14:paraId="72CCF8A4" w14:textId="06207554" w:rsidR="00C4484B" w:rsidRPr="00C4484B" w:rsidRDefault="00C4484B" w:rsidP="00C4484B">
      <w:pPr>
        <w:rPr>
          <w:rFonts w:cstheme="minorHAnsi"/>
        </w:rPr>
      </w:pPr>
      <w:r w:rsidRPr="00C4484B">
        <w:rPr>
          <w:rFonts w:cstheme="minorHAnsi"/>
        </w:rPr>
        <w:t xml:space="preserve">2. To assess </w:t>
      </w:r>
      <w:r w:rsidR="00E441D8">
        <w:rPr>
          <w:rFonts w:cstheme="minorHAnsi"/>
        </w:rPr>
        <w:t>ten</w:t>
      </w:r>
      <w:r w:rsidR="009B5806">
        <w:rPr>
          <w:rFonts w:cstheme="minorHAnsi"/>
        </w:rPr>
        <w:t xml:space="preserve"> </w:t>
      </w:r>
      <w:r w:rsidR="00512843">
        <w:rPr>
          <w:rFonts w:cstheme="minorHAnsi"/>
        </w:rPr>
        <w:t xml:space="preserve">key </w:t>
      </w:r>
      <w:r w:rsidR="008C0189">
        <w:rPr>
          <w:rFonts w:cstheme="minorHAnsi"/>
        </w:rPr>
        <w:t>measures</w:t>
      </w:r>
      <w:r w:rsidR="00D01589">
        <w:rPr>
          <w:rFonts w:cstheme="minorHAnsi"/>
        </w:rPr>
        <w:t xml:space="preserve"> </w:t>
      </w:r>
      <w:r w:rsidR="00F45D52">
        <w:rPr>
          <w:rFonts w:cstheme="minorHAnsi"/>
        </w:rPr>
        <w:t xml:space="preserve">(one action and </w:t>
      </w:r>
      <w:r w:rsidR="00E441D8">
        <w:rPr>
          <w:rFonts w:cstheme="minorHAnsi"/>
        </w:rPr>
        <w:t xml:space="preserve">nine </w:t>
      </w:r>
      <w:r w:rsidR="00F45D52">
        <w:rPr>
          <w:rFonts w:cstheme="minorHAnsi"/>
        </w:rPr>
        <w:t xml:space="preserve">intentions) </w:t>
      </w:r>
      <w:r w:rsidR="00D01589">
        <w:rPr>
          <w:rFonts w:cstheme="minorHAnsi"/>
        </w:rPr>
        <w:t xml:space="preserve">recorded </w:t>
      </w:r>
      <w:r w:rsidR="005877E1">
        <w:rPr>
          <w:rFonts w:cstheme="minorHAnsi"/>
        </w:rPr>
        <w:t>at</w:t>
      </w:r>
      <w:r w:rsidR="00A96321">
        <w:rPr>
          <w:rFonts w:cstheme="minorHAnsi"/>
        </w:rPr>
        <w:t xml:space="preserve"> </w:t>
      </w:r>
      <w:r w:rsidRPr="00C4484B">
        <w:rPr>
          <w:rFonts w:cstheme="minorHAnsi"/>
        </w:rPr>
        <w:t xml:space="preserve">a </w:t>
      </w:r>
      <w:r w:rsidR="001836D8">
        <w:rPr>
          <w:rFonts w:cstheme="minorHAnsi"/>
        </w:rPr>
        <w:t xml:space="preserve">festival drug checking service with </w:t>
      </w:r>
      <w:r w:rsidRPr="00C4484B">
        <w:rPr>
          <w:rFonts w:cstheme="minorHAnsi"/>
        </w:rPr>
        <w:t>BI;</w:t>
      </w:r>
    </w:p>
    <w:p w14:paraId="4B52BC00" w14:textId="7DF69B5B" w:rsidR="00512843" w:rsidRPr="00C4484B" w:rsidRDefault="00512843" w:rsidP="00512843">
      <w:pPr>
        <w:rPr>
          <w:rFonts w:cstheme="minorHAnsi"/>
        </w:rPr>
      </w:pPr>
      <w:r>
        <w:rPr>
          <w:rFonts w:cstheme="minorHAnsi"/>
        </w:rPr>
        <w:t>3</w:t>
      </w:r>
      <w:r w:rsidRPr="00C4484B">
        <w:rPr>
          <w:rFonts w:cstheme="minorHAnsi"/>
        </w:rPr>
        <w:t xml:space="preserve">. To compare </w:t>
      </w:r>
      <w:r>
        <w:rPr>
          <w:rFonts w:cstheme="minorHAnsi"/>
        </w:rPr>
        <w:t xml:space="preserve">the </w:t>
      </w:r>
      <w:r w:rsidR="005877E1">
        <w:rPr>
          <w:rFonts w:cstheme="minorHAnsi"/>
        </w:rPr>
        <w:t xml:space="preserve">same </w:t>
      </w:r>
      <w:r w:rsidR="00E441D8">
        <w:rPr>
          <w:rFonts w:cstheme="minorHAnsi"/>
        </w:rPr>
        <w:t xml:space="preserve">ten </w:t>
      </w:r>
      <w:r w:rsidR="002708B2">
        <w:rPr>
          <w:rFonts w:cstheme="minorHAnsi"/>
        </w:rPr>
        <w:t>measures</w:t>
      </w:r>
      <w:r w:rsidR="000A429D">
        <w:rPr>
          <w:rFonts w:cstheme="minorHAnsi"/>
        </w:rPr>
        <w:t xml:space="preserve"> </w:t>
      </w:r>
      <w:r w:rsidRPr="00C4484B">
        <w:rPr>
          <w:rFonts w:cstheme="minorHAnsi"/>
        </w:rPr>
        <w:t xml:space="preserve">at BI with outcomes recalled </w:t>
      </w:r>
      <w:r w:rsidR="00A96321">
        <w:rPr>
          <w:rFonts w:cstheme="minorHAnsi"/>
        </w:rPr>
        <w:t xml:space="preserve">by a </w:t>
      </w:r>
      <w:r w:rsidR="00E441D8">
        <w:rPr>
          <w:rFonts w:cstheme="minorHAnsi"/>
        </w:rPr>
        <w:t xml:space="preserve">follow-up </w:t>
      </w:r>
      <w:r w:rsidR="00A96321">
        <w:rPr>
          <w:rFonts w:cstheme="minorHAnsi"/>
        </w:rPr>
        <w:t xml:space="preserve">sub-sample </w:t>
      </w:r>
      <w:r w:rsidR="006C3864">
        <w:rPr>
          <w:rFonts w:cstheme="minorHAnsi"/>
        </w:rPr>
        <w:t xml:space="preserve">surveyed </w:t>
      </w:r>
      <w:r w:rsidRPr="00C4484B">
        <w:rPr>
          <w:rFonts w:cstheme="minorHAnsi"/>
        </w:rPr>
        <w:t>three months later</w:t>
      </w:r>
      <w:r w:rsidR="002D0EBE">
        <w:rPr>
          <w:rFonts w:cstheme="minorHAnsi"/>
        </w:rPr>
        <w:t xml:space="preserve"> (at group not individual level)</w:t>
      </w:r>
      <w:r>
        <w:rPr>
          <w:rFonts w:cstheme="minorHAnsi"/>
        </w:rPr>
        <w:t>;</w:t>
      </w:r>
    </w:p>
    <w:p w14:paraId="3C6B9EAB" w14:textId="3D44843F" w:rsidR="00C4484B" w:rsidRPr="00C4484B" w:rsidRDefault="00512843" w:rsidP="00C4484B">
      <w:pPr>
        <w:rPr>
          <w:rFonts w:cstheme="minorHAnsi"/>
        </w:rPr>
      </w:pPr>
      <w:r>
        <w:rPr>
          <w:rFonts w:cstheme="minorHAnsi"/>
        </w:rPr>
        <w:t>4</w:t>
      </w:r>
      <w:r w:rsidR="00C4484B" w:rsidRPr="00C4484B">
        <w:rPr>
          <w:rFonts w:cstheme="minorHAnsi"/>
        </w:rPr>
        <w:t xml:space="preserve">. To identify any </w:t>
      </w:r>
      <w:r w:rsidR="00D76CDC">
        <w:rPr>
          <w:rFonts w:cstheme="minorHAnsi"/>
        </w:rPr>
        <w:t>self-reported</w:t>
      </w:r>
      <w:r w:rsidR="00893FFC">
        <w:rPr>
          <w:rFonts w:cstheme="minorHAnsi"/>
        </w:rPr>
        <w:t xml:space="preserve"> </w:t>
      </w:r>
      <w:r w:rsidR="00C4484B" w:rsidRPr="00C4484B">
        <w:rPr>
          <w:rFonts w:cstheme="minorHAnsi"/>
        </w:rPr>
        <w:t xml:space="preserve">ongoing </w:t>
      </w:r>
      <w:r w:rsidR="00893FFC">
        <w:rPr>
          <w:rFonts w:cstheme="minorHAnsi"/>
        </w:rPr>
        <w:t xml:space="preserve">behavioural </w:t>
      </w:r>
      <w:r w:rsidR="00C4484B" w:rsidRPr="00C4484B">
        <w:rPr>
          <w:rFonts w:cstheme="minorHAnsi"/>
        </w:rPr>
        <w:t xml:space="preserve">change in the </w:t>
      </w:r>
      <w:r w:rsidR="0029698C">
        <w:rPr>
          <w:rFonts w:cstheme="minorHAnsi"/>
        </w:rPr>
        <w:t xml:space="preserve">subsequent </w:t>
      </w:r>
      <w:r w:rsidR="00C4484B" w:rsidRPr="00C4484B">
        <w:rPr>
          <w:rFonts w:cstheme="minorHAnsi"/>
        </w:rPr>
        <w:t>three months</w:t>
      </w:r>
      <w:r>
        <w:rPr>
          <w:rFonts w:cstheme="minorHAnsi"/>
        </w:rPr>
        <w:t>.</w:t>
      </w:r>
    </w:p>
    <w:bookmarkEnd w:id="7"/>
    <w:p w14:paraId="241FA98E" w14:textId="77777777" w:rsidR="00690EEA" w:rsidRPr="006C24F9" w:rsidRDefault="00690EEA" w:rsidP="006C24F9">
      <w:pPr>
        <w:rPr>
          <w:rFonts w:cstheme="minorHAnsi"/>
        </w:rPr>
      </w:pPr>
    </w:p>
    <w:p w14:paraId="11C9B17D" w14:textId="43D0DA5D" w:rsidR="00EC743C" w:rsidRPr="00690EEA" w:rsidRDefault="005C1CD1" w:rsidP="006C24F9">
      <w:pPr>
        <w:rPr>
          <w:rFonts w:cstheme="minorHAnsi"/>
          <w:bCs/>
          <w:i/>
          <w:iCs/>
        </w:rPr>
      </w:pPr>
      <w:r>
        <w:rPr>
          <w:rFonts w:cstheme="minorHAnsi"/>
          <w:bCs/>
          <w:i/>
          <w:iCs/>
        </w:rPr>
        <w:t xml:space="preserve">Overview of </w:t>
      </w:r>
      <w:r w:rsidR="001A26E4">
        <w:rPr>
          <w:rFonts w:cstheme="minorHAnsi"/>
          <w:bCs/>
          <w:i/>
          <w:iCs/>
        </w:rPr>
        <w:t xml:space="preserve">the 2017 </w:t>
      </w:r>
      <w:r w:rsidR="00E22F73">
        <w:rPr>
          <w:rFonts w:cstheme="minorHAnsi"/>
          <w:bCs/>
          <w:i/>
          <w:iCs/>
        </w:rPr>
        <w:t>f</w:t>
      </w:r>
      <w:r w:rsidR="00560B63">
        <w:rPr>
          <w:rFonts w:cstheme="minorHAnsi"/>
          <w:bCs/>
          <w:i/>
          <w:iCs/>
        </w:rPr>
        <w:t xml:space="preserve">estival </w:t>
      </w:r>
      <w:r w:rsidR="00E22F73">
        <w:rPr>
          <w:rFonts w:cstheme="minorHAnsi"/>
          <w:bCs/>
          <w:i/>
          <w:iCs/>
        </w:rPr>
        <w:t>d</w:t>
      </w:r>
      <w:r>
        <w:rPr>
          <w:rFonts w:cstheme="minorHAnsi"/>
          <w:bCs/>
          <w:i/>
          <w:iCs/>
        </w:rPr>
        <w:t xml:space="preserve">rug </w:t>
      </w:r>
      <w:r w:rsidR="00E22F73">
        <w:rPr>
          <w:rFonts w:cstheme="minorHAnsi"/>
          <w:bCs/>
          <w:i/>
          <w:iCs/>
        </w:rPr>
        <w:t>c</w:t>
      </w:r>
      <w:r>
        <w:rPr>
          <w:rFonts w:cstheme="minorHAnsi"/>
          <w:bCs/>
          <w:i/>
          <w:iCs/>
        </w:rPr>
        <w:t xml:space="preserve">hecking </w:t>
      </w:r>
      <w:r w:rsidR="00E22F73">
        <w:rPr>
          <w:rFonts w:cstheme="minorHAnsi"/>
          <w:bCs/>
          <w:i/>
          <w:iCs/>
        </w:rPr>
        <w:t>s</w:t>
      </w:r>
      <w:r>
        <w:rPr>
          <w:rFonts w:cstheme="minorHAnsi"/>
          <w:bCs/>
          <w:i/>
          <w:iCs/>
        </w:rPr>
        <w:t>ervice</w:t>
      </w:r>
    </w:p>
    <w:p w14:paraId="7BCD0711" w14:textId="77777777" w:rsidR="00334989" w:rsidRDefault="00334989" w:rsidP="00334989">
      <w:pPr>
        <w:rPr>
          <w:rFonts w:cstheme="minorHAnsi"/>
        </w:rPr>
      </w:pPr>
    </w:p>
    <w:p w14:paraId="2C69CD92" w14:textId="77777777" w:rsidR="00560B63" w:rsidRDefault="00243C63" w:rsidP="00897324">
      <w:pPr>
        <w:rPr>
          <w:rFonts w:cstheme="minorHAnsi"/>
        </w:rPr>
      </w:pPr>
      <w:r>
        <w:rPr>
          <w:rFonts w:cstheme="minorHAnsi"/>
        </w:rPr>
        <w:lastRenderedPageBreak/>
        <w:t xml:space="preserve">The 2017 </w:t>
      </w:r>
      <w:r w:rsidR="00A173BE">
        <w:rPr>
          <w:rFonts w:cstheme="minorHAnsi"/>
        </w:rPr>
        <w:t xml:space="preserve">drug checking service </w:t>
      </w:r>
      <w:r w:rsidR="001360A3" w:rsidRPr="006C24F9">
        <w:rPr>
          <w:rFonts w:cstheme="minorHAnsi"/>
        </w:rPr>
        <w:t>operate</w:t>
      </w:r>
      <w:r w:rsidR="00334989">
        <w:rPr>
          <w:rFonts w:cstheme="minorHAnsi"/>
        </w:rPr>
        <w:t>d</w:t>
      </w:r>
      <w:r w:rsidR="001360A3" w:rsidRPr="006C24F9">
        <w:rPr>
          <w:rFonts w:cstheme="minorHAnsi"/>
        </w:rPr>
        <w:t xml:space="preserve"> by members of the public </w:t>
      </w:r>
      <w:r w:rsidR="00C65BB4">
        <w:rPr>
          <w:rFonts w:cstheme="minorHAnsi"/>
        </w:rPr>
        <w:t xml:space="preserve">voluntarily and anonymously </w:t>
      </w:r>
      <w:r w:rsidR="0075148E">
        <w:rPr>
          <w:rFonts w:cstheme="minorHAnsi"/>
        </w:rPr>
        <w:t>submit</w:t>
      </w:r>
      <w:r>
        <w:rPr>
          <w:rFonts w:cstheme="minorHAnsi"/>
        </w:rPr>
        <w:t>ting</w:t>
      </w:r>
      <w:r w:rsidR="0075148E">
        <w:rPr>
          <w:rFonts w:cstheme="minorHAnsi"/>
        </w:rPr>
        <w:t xml:space="preserve"> </w:t>
      </w:r>
      <w:r w:rsidR="006624AD">
        <w:rPr>
          <w:rFonts w:cstheme="minorHAnsi"/>
        </w:rPr>
        <w:t xml:space="preserve">one dose of a </w:t>
      </w:r>
      <w:r w:rsidR="0075148E" w:rsidRPr="006C24F9">
        <w:rPr>
          <w:rFonts w:cstheme="minorHAnsi"/>
        </w:rPr>
        <w:t xml:space="preserve">substance of concern </w:t>
      </w:r>
      <w:r w:rsidR="0075148E">
        <w:rPr>
          <w:rFonts w:cstheme="minorHAnsi"/>
        </w:rPr>
        <w:t>for laboratory analysis</w:t>
      </w:r>
      <w:r w:rsidR="009A4123" w:rsidRPr="009A4123">
        <w:rPr>
          <w:rFonts w:cstheme="minorHAnsi"/>
        </w:rPr>
        <w:t xml:space="preserve"> </w:t>
      </w:r>
      <w:r w:rsidR="008A2C80">
        <w:rPr>
          <w:rFonts w:cstheme="minorHAnsi"/>
        </w:rPr>
        <w:t>to</w:t>
      </w:r>
      <w:r w:rsidR="009A4123">
        <w:rPr>
          <w:rFonts w:cstheme="minorHAnsi"/>
        </w:rPr>
        <w:t xml:space="preserve"> a</w:t>
      </w:r>
      <w:r w:rsidR="009A4123" w:rsidRPr="006C24F9">
        <w:rPr>
          <w:rFonts w:cstheme="minorHAnsi"/>
        </w:rPr>
        <w:t xml:space="preserve"> non-profit non-government organisation (NGO)</w:t>
      </w:r>
      <w:r w:rsidR="0075148E">
        <w:rPr>
          <w:rFonts w:cstheme="minorHAnsi"/>
        </w:rPr>
        <w:t xml:space="preserve">. </w:t>
      </w:r>
      <w:r w:rsidR="00560B63" w:rsidRPr="00560B63">
        <w:rPr>
          <w:rFonts w:cstheme="minorHAnsi"/>
        </w:rPr>
        <w:t xml:space="preserve">Three contrasting festivals were chosen: two were electronic music-oriented with a predominantly young adult customer base and the third targeted a family-oriented demographic with a broader range of mainstream festival acts and entertainments. All three were outdoor camping festivals of four or more days in length in rural locations across England. </w:t>
      </w:r>
    </w:p>
    <w:p w14:paraId="0957F881" w14:textId="77777777" w:rsidR="00560B63" w:rsidRDefault="00560B63" w:rsidP="00897324">
      <w:pPr>
        <w:rPr>
          <w:rFonts w:cstheme="minorHAnsi"/>
        </w:rPr>
      </w:pPr>
    </w:p>
    <w:p w14:paraId="6ECF40F4" w14:textId="34F3704A" w:rsidR="00C35124" w:rsidRPr="006C24F9" w:rsidRDefault="00897324" w:rsidP="00897324">
      <w:pPr>
        <w:rPr>
          <w:rFonts w:cstheme="minorHAnsi"/>
        </w:rPr>
      </w:pPr>
      <w:r w:rsidRPr="00897324">
        <w:rPr>
          <w:rFonts w:cstheme="minorHAnsi"/>
        </w:rPr>
        <w:t>For each</w:t>
      </w:r>
      <w:r>
        <w:rPr>
          <w:rFonts w:cstheme="minorHAnsi"/>
        </w:rPr>
        <w:t xml:space="preserve"> submitted </w:t>
      </w:r>
      <w:r w:rsidRPr="00897324">
        <w:rPr>
          <w:rFonts w:cstheme="minorHAnsi"/>
        </w:rPr>
        <w:t>sample</w:t>
      </w:r>
      <w:r>
        <w:rPr>
          <w:rFonts w:cstheme="minorHAnsi"/>
        </w:rPr>
        <w:t>, service users</w:t>
      </w:r>
      <w:r w:rsidRPr="00897324">
        <w:rPr>
          <w:rFonts w:cstheme="minorHAnsi"/>
        </w:rPr>
        <w:t xml:space="preserve"> </w:t>
      </w:r>
      <w:r w:rsidR="00E85E5C">
        <w:rPr>
          <w:rFonts w:cstheme="minorHAnsi"/>
        </w:rPr>
        <w:t xml:space="preserve">completed a questionnaire about their </w:t>
      </w:r>
      <w:r w:rsidRPr="00897324">
        <w:rPr>
          <w:rFonts w:cstheme="minorHAnsi"/>
        </w:rPr>
        <w:t>expectation</w:t>
      </w:r>
      <w:r w:rsidR="00FD51E6">
        <w:rPr>
          <w:rFonts w:cstheme="minorHAnsi"/>
        </w:rPr>
        <w:t xml:space="preserve">s and </w:t>
      </w:r>
      <w:r w:rsidR="00E85E5C">
        <w:rPr>
          <w:rFonts w:cstheme="minorHAnsi"/>
        </w:rPr>
        <w:t xml:space="preserve">previous </w:t>
      </w:r>
      <w:r w:rsidR="00FD51E6">
        <w:rPr>
          <w:rFonts w:cstheme="minorHAnsi"/>
        </w:rPr>
        <w:t>experiences</w:t>
      </w:r>
      <w:r w:rsidRPr="00897324">
        <w:rPr>
          <w:rFonts w:cstheme="minorHAnsi"/>
        </w:rPr>
        <w:t xml:space="preserve"> of the</w:t>
      </w:r>
      <w:r>
        <w:rPr>
          <w:rFonts w:cstheme="minorHAnsi"/>
        </w:rPr>
        <w:t xml:space="preserve"> </w:t>
      </w:r>
      <w:r w:rsidRPr="00897324">
        <w:rPr>
          <w:rFonts w:cstheme="minorHAnsi"/>
        </w:rPr>
        <w:t>substance in advance of the test</w:t>
      </w:r>
      <w:r w:rsidR="00FD51E6" w:rsidRPr="00FD51E6">
        <w:rPr>
          <w:rFonts w:cstheme="minorHAnsi"/>
        </w:rPr>
        <w:t xml:space="preserve"> </w:t>
      </w:r>
      <w:r w:rsidR="00FD51E6">
        <w:rPr>
          <w:rFonts w:cstheme="minorHAnsi"/>
        </w:rPr>
        <w:t>and these were recorded in the NGO database</w:t>
      </w:r>
      <w:r w:rsidRPr="00897324">
        <w:rPr>
          <w:rFonts w:cstheme="minorHAnsi"/>
        </w:rPr>
        <w:t xml:space="preserve">. </w:t>
      </w:r>
      <w:r w:rsidR="00243C63">
        <w:rPr>
          <w:rFonts w:cstheme="minorHAnsi"/>
        </w:rPr>
        <w:t xml:space="preserve">Submitted substances </w:t>
      </w:r>
      <w:r w:rsidR="00334989">
        <w:rPr>
          <w:rFonts w:cstheme="minorHAnsi"/>
        </w:rPr>
        <w:t>we</w:t>
      </w:r>
      <w:r w:rsidR="00370986">
        <w:rPr>
          <w:rFonts w:cstheme="minorHAnsi"/>
        </w:rPr>
        <w:t xml:space="preserve">re transported to </w:t>
      </w:r>
      <w:r w:rsidR="00D76CDC">
        <w:rPr>
          <w:rFonts w:cstheme="minorHAnsi"/>
        </w:rPr>
        <w:t>non-publicly</w:t>
      </w:r>
      <w:r w:rsidR="00370986">
        <w:rPr>
          <w:rFonts w:cstheme="minorHAnsi"/>
        </w:rPr>
        <w:t xml:space="preserve"> accessible </w:t>
      </w:r>
      <w:r w:rsidR="004117DD">
        <w:rPr>
          <w:rFonts w:cstheme="minorHAnsi"/>
        </w:rPr>
        <w:t>field</w:t>
      </w:r>
      <w:r w:rsidR="00D70A9B">
        <w:rPr>
          <w:rFonts w:cstheme="minorHAnsi"/>
        </w:rPr>
        <w:t xml:space="preserve"> </w:t>
      </w:r>
      <w:r w:rsidR="00370986">
        <w:rPr>
          <w:rFonts w:cstheme="minorHAnsi"/>
        </w:rPr>
        <w:t>laborator</w:t>
      </w:r>
      <w:r w:rsidR="00C94804">
        <w:rPr>
          <w:rFonts w:cstheme="minorHAnsi"/>
        </w:rPr>
        <w:t>ies</w:t>
      </w:r>
      <w:r w:rsidR="00370986">
        <w:rPr>
          <w:rFonts w:cstheme="minorHAnsi"/>
        </w:rPr>
        <w:t xml:space="preserve"> by police-approved personnel. </w:t>
      </w:r>
      <w:r w:rsidR="00647DD6" w:rsidRPr="006C24F9">
        <w:rPr>
          <w:rFonts w:cstheme="minorHAnsi"/>
        </w:rPr>
        <w:t>Teams of up to 30 c</w:t>
      </w:r>
      <w:r w:rsidR="001360A3" w:rsidRPr="006C24F9">
        <w:rPr>
          <w:rFonts w:cstheme="minorHAnsi"/>
        </w:rPr>
        <w:t xml:space="preserve">hemists </w:t>
      </w:r>
      <w:r w:rsidR="004725C8" w:rsidRPr="006C24F9">
        <w:rPr>
          <w:rFonts w:cstheme="minorHAnsi"/>
        </w:rPr>
        <w:t>prepare</w:t>
      </w:r>
      <w:r w:rsidR="00334989">
        <w:rPr>
          <w:rFonts w:cstheme="minorHAnsi"/>
        </w:rPr>
        <w:t>d</w:t>
      </w:r>
      <w:r w:rsidR="004725C8" w:rsidRPr="006C24F9">
        <w:rPr>
          <w:rFonts w:cstheme="minorHAnsi"/>
        </w:rPr>
        <w:t xml:space="preserve"> and </w:t>
      </w:r>
      <w:r w:rsidR="001360A3" w:rsidRPr="006C24F9">
        <w:rPr>
          <w:rFonts w:cstheme="minorHAnsi"/>
        </w:rPr>
        <w:t>analyse</w:t>
      </w:r>
      <w:r w:rsidR="00334989">
        <w:rPr>
          <w:rFonts w:cstheme="minorHAnsi"/>
        </w:rPr>
        <w:t>d</w:t>
      </w:r>
      <w:r w:rsidR="001360A3" w:rsidRPr="006C24F9">
        <w:rPr>
          <w:rFonts w:cstheme="minorHAnsi"/>
        </w:rPr>
        <w:t xml:space="preserve"> </w:t>
      </w:r>
      <w:r w:rsidR="004725C8" w:rsidRPr="006C24F9">
        <w:rPr>
          <w:rFonts w:cstheme="minorHAnsi"/>
        </w:rPr>
        <w:t>samples</w:t>
      </w:r>
      <w:r w:rsidR="001360A3" w:rsidRPr="006C24F9">
        <w:rPr>
          <w:rFonts w:cstheme="minorHAnsi"/>
        </w:rPr>
        <w:t xml:space="preserve"> </w:t>
      </w:r>
      <w:r w:rsidR="0015293F">
        <w:rPr>
          <w:rFonts w:cstheme="minorHAnsi"/>
        </w:rPr>
        <w:t xml:space="preserve">over </w:t>
      </w:r>
      <w:r w:rsidR="00421D0A">
        <w:rPr>
          <w:rFonts w:cstheme="minorHAnsi"/>
        </w:rPr>
        <w:t>the course of</w:t>
      </w:r>
      <w:r w:rsidR="0015293F">
        <w:rPr>
          <w:rFonts w:cstheme="minorHAnsi"/>
        </w:rPr>
        <w:t xml:space="preserve"> an hour, </w:t>
      </w:r>
      <w:r w:rsidR="001360A3" w:rsidRPr="006C24F9">
        <w:rPr>
          <w:rFonts w:cstheme="minorHAnsi"/>
        </w:rPr>
        <w:t xml:space="preserve">using a </w:t>
      </w:r>
      <w:r w:rsidR="00ED79ED">
        <w:rPr>
          <w:rFonts w:cstheme="minorHAnsi"/>
        </w:rPr>
        <w:t>suite</w:t>
      </w:r>
      <w:r w:rsidR="00621F9D">
        <w:rPr>
          <w:rFonts w:cstheme="minorHAnsi"/>
        </w:rPr>
        <w:t xml:space="preserve"> of chemical techniques and instruments for </w:t>
      </w:r>
      <w:r w:rsidR="004725C8" w:rsidRPr="006C24F9">
        <w:rPr>
          <w:rFonts w:cstheme="minorHAnsi"/>
        </w:rPr>
        <w:t xml:space="preserve">qualitative and quantitative </w:t>
      </w:r>
      <w:r w:rsidR="00621F9D">
        <w:rPr>
          <w:rFonts w:cstheme="minorHAnsi"/>
        </w:rPr>
        <w:t>analysis</w:t>
      </w:r>
      <w:r w:rsidR="00543003">
        <w:rPr>
          <w:rFonts w:cstheme="minorHAnsi"/>
        </w:rPr>
        <w:t xml:space="preserve"> </w:t>
      </w:r>
      <w:r w:rsidR="00B67228" w:rsidRPr="006C24F9">
        <w:rPr>
          <w:rFonts w:cstheme="minorHAnsi"/>
        </w:rPr>
        <w:t>including</w:t>
      </w:r>
      <w:r w:rsidR="00543003">
        <w:rPr>
          <w:rFonts w:cstheme="minorHAnsi"/>
        </w:rPr>
        <w:t xml:space="preserve"> </w:t>
      </w:r>
      <w:proofErr w:type="spellStart"/>
      <w:r w:rsidR="00147FB9" w:rsidRPr="006C24F9">
        <w:rPr>
          <w:rFonts w:cstheme="minorHAnsi"/>
        </w:rPr>
        <w:t>fourier</w:t>
      </w:r>
      <w:proofErr w:type="spellEnd"/>
      <w:r w:rsidR="00147FB9" w:rsidRPr="006C24F9">
        <w:rPr>
          <w:rFonts w:cstheme="minorHAnsi"/>
        </w:rPr>
        <w:t xml:space="preserve"> transf</w:t>
      </w:r>
      <w:r w:rsidR="0061240B" w:rsidRPr="006C24F9">
        <w:rPr>
          <w:rFonts w:cstheme="minorHAnsi"/>
        </w:rPr>
        <w:t xml:space="preserve">orm </w:t>
      </w:r>
      <w:r w:rsidR="001360A3" w:rsidRPr="006C24F9">
        <w:rPr>
          <w:rFonts w:cstheme="minorHAnsi"/>
        </w:rPr>
        <w:t>infrared</w:t>
      </w:r>
      <w:r w:rsidR="00163114" w:rsidRPr="006C24F9">
        <w:rPr>
          <w:rFonts w:cstheme="minorHAnsi"/>
        </w:rPr>
        <w:t xml:space="preserve"> </w:t>
      </w:r>
      <w:r w:rsidR="001360A3" w:rsidRPr="006C24F9">
        <w:rPr>
          <w:rFonts w:cstheme="minorHAnsi"/>
        </w:rPr>
        <w:t xml:space="preserve">spectroscopy, </w:t>
      </w:r>
      <w:r w:rsidR="00D76CDC" w:rsidRPr="006C24F9">
        <w:rPr>
          <w:rFonts w:cstheme="minorHAnsi"/>
        </w:rPr>
        <w:t>ultraviolet</w:t>
      </w:r>
      <w:r w:rsidR="005C43F5" w:rsidRPr="006C24F9">
        <w:rPr>
          <w:rFonts w:cstheme="minorHAnsi"/>
        </w:rPr>
        <w:t xml:space="preserve"> spectroscopy, </w:t>
      </w:r>
      <w:r w:rsidR="001360A3" w:rsidRPr="006C24F9">
        <w:rPr>
          <w:rFonts w:cstheme="minorHAnsi"/>
        </w:rPr>
        <w:t xml:space="preserve">colorimetric </w:t>
      </w:r>
      <w:r w:rsidR="00ED79ED">
        <w:rPr>
          <w:rFonts w:cstheme="minorHAnsi"/>
        </w:rPr>
        <w:t>reagents</w:t>
      </w:r>
      <w:r w:rsidR="004725C8" w:rsidRPr="006C24F9">
        <w:rPr>
          <w:rFonts w:cstheme="minorHAnsi"/>
        </w:rPr>
        <w:t xml:space="preserve">, </w:t>
      </w:r>
      <w:r w:rsidR="00163114" w:rsidRPr="006C24F9">
        <w:rPr>
          <w:rFonts w:cstheme="minorHAnsi"/>
        </w:rPr>
        <w:t xml:space="preserve">mass loss analysis </w:t>
      </w:r>
      <w:r w:rsidR="005C43F5" w:rsidRPr="006C24F9">
        <w:rPr>
          <w:rFonts w:cstheme="minorHAnsi"/>
        </w:rPr>
        <w:t>and fentanyl strips</w:t>
      </w:r>
      <w:r w:rsidR="00ED79ED">
        <w:rPr>
          <w:rFonts w:cstheme="minorHAnsi"/>
        </w:rPr>
        <w:t xml:space="preserve">. </w:t>
      </w:r>
      <w:r w:rsidR="00D57EBE">
        <w:rPr>
          <w:rFonts w:cstheme="minorHAnsi"/>
        </w:rPr>
        <w:t xml:space="preserve">An integrated </w:t>
      </w:r>
      <w:r w:rsidR="00621F9D">
        <w:rPr>
          <w:rFonts w:cstheme="minorHAnsi"/>
        </w:rPr>
        <w:t>m</w:t>
      </w:r>
      <w:r w:rsidR="002474E1">
        <w:rPr>
          <w:rFonts w:cstheme="minorHAnsi"/>
        </w:rPr>
        <w:t xml:space="preserve">ultiple </w:t>
      </w:r>
      <w:r w:rsidR="00621F9D">
        <w:rPr>
          <w:rFonts w:cstheme="minorHAnsi"/>
        </w:rPr>
        <w:t>technolog</w:t>
      </w:r>
      <w:r w:rsidR="00D57EBE">
        <w:rPr>
          <w:rFonts w:cstheme="minorHAnsi"/>
        </w:rPr>
        <w:t xml:space="preserve">y model </w:t>
      </w:r>
      <w:r w:rsidR="00621F9D">
        <w:rPr>
          <w:rFonts w:cstheme="minorHAnsi"/>
        </w:rPr>
        <w:t xml:space="preserve">allows </w:t>
      </w:r>
      <w:r w:rsidR="002474E1">
        <w:rPr>
          <w:rFonts w:cstheme="minorHAnsi"/>
        </w:rPr>
        <w:t xml:space="preserve">drug checking services </w:t>
      </w:r>
      <w:r w:rsidR="00621F9D">
        <w:rPr>
          <w:rFonts w:cstheme="minorHAnsi"/>
        </w:rPr>
        <w:t xml:space="preserve">to establish best practice </w:t>
      </w:r>
      <w:r w:rsidR="00100C15">
        <w:rPr>
          <w:rFonts w:cstheme="minorHAnsi"/>
        </w:rPr>
        <w:t>in rapid and accurate identification of the contents and strength of submitted substances within time</w:t>
      </w:r>
      <w:r w:rsidR="00E85E5C">
        <w:rPr>
          <w:rFonts w:cstheme="minorHAnsi"/>
        </w:rPr>
        <w:t>,</w:t>
      </w:r>
      <w:r w:rsidR="00100C15">
        <w:rPr>
          <w:rFonts w:cstheme="minorHAnsi"/>
        </w:rPr>
        <w:t xml:space="preserve"> space </w:t>
      </w:r>
      <w:r w:rsidR="00E85E5C">
        <w:rPr>
          <w:rFonts w:cstheme="minorHAnsi"/>
        </w:rPr>
        <w:t xml:space="preserve">and field </w:t>
      </w:r>
      <w:r w:rsidR="00100C15">
        <w:rPr>
          <w:rFonts w:cstheme="minorHAnsi"/>
        </w:rPr>
        <w:t xml:space="preserve">constraints </w:t>
      </w:r>
      <w:r w:rsidR="002474E1">
        <w:rPr>
          <w:rFonts w:cstheme="minorHAnsi"/>
        </w:rPr>
        <w:t>(</w:t>
      </w:r>
      <w:r w:rsidR="00621F9D">
        <w:rPr>
          <w:rFonts w:cstheme="minorHAnsi"/>
        </w:rPr>
        <w:t>Wallace et al, 2021)</w:t>
      </w:r>
      <w:r w:rsidR="00ED79ED">
        <w:rPr>
          <w:rFonts w:cstheme="minorHAnsi"/>
        </w:rPr>
        <w:t>.</w:t>
      </w:r>
      <w:r w:rsidR="00BE0DE7">
        <w:rPr>
          <w:rFonts w:cstheme="minorHAnsi"/>
        </w:rPr>
        <w:t xml:space="preserve"> In the UK </w:t>
      </w:r>
      <w:r w:rsidR="002D0F95">
        <w:rPr>
          <w:rFonts w:cstheme="minorHAnsi"/>
        </w:rPr>
        <w:t xml:space="preserve">festival </w:t>
      </w:r>
      <w:r w:rsidR="00BE0DE7">
        <w:rPr>
          <w:rFonts w:cstheme="minorHAnsi"/>
        </w:rPr>
        <w:t xml:space="preserve">context, </w:t>
      </w:r>
      <w:r w:rsidR="002D0F95">
        <w:rPr>
          <w:rFonts w:cstheme="minorHAnsi"/>
        </w:rPr>
        <w:t xml:space="preserve">this </w:t>
      </w:r>
      <w:r w:rsidR="0036084F">
        <w:rPr>
          <w:rFonts w:cstheme="minorHAnsi"/>
        </w:rPr>
        <w:t xml:space="preserve">integrated </w:t>
      </w:r>
      <w:r w:rsidR="00CF4192">
        <w:rPr>
          <w:rFonts w:cstheme="minorHAnsi"/>
        </w:rPr>
        <w:t xml:space="preserve">multiple technology model </w:t>
      </w:r>
      <w:r w:rsidR="002D0F95">
        <w:rPr>
          <w:rFonts w:cstheme="minorHAnsi"/>
        </w:rPr>
        <w:t>facilitate</w:t>
      </w:r>
      <w:r w:rsidR="00CF4192">
        <w:rPr>
          <w:rFonts w:cstheme="minorHAnsi"/>
        </w:rPr>
        <w:t>d</w:t>
      </w:r>
      <w:r w:rsidR="002D0F95">
        <w:rPr>
          <w:rFonts w:cstheme="minorHAnsi"/>
        </w:rPr>
        <w:t xml:space="preserve"> </w:t>
      </w:r>
      <w:r w:rsidR="00100C15">
        <w:rPr>
          <w:rFonts w:cstheme="minorHAnsi"/>
        </w:rPr>
        <w:t xml:space="preserve">triangulation </w:t>
      </w:r>
      <w:r w:rsidR="0023647A">
        <w:rPr>
          <w:rFonts w:cstheme="minorHAnsi"/>
        </w:rPr>
        <w:t xml:space="preserve">and identification of </w:t>
      </w:r>
      <w:r w:rsidR="00E3076A">
        <w:rPr>
          <w:rFonts w:cstheme="minorHAnsi"/>
        </w:rPr>
        <w:t xml:space="preserve">up to </w:t>
      </w:r>
      <w:r w:rsidR="00E3076A" w:rsidRPr="00543003">
        <w:rPr>
          <w:rFonts w:cstheme="minorHAnsi"/>
        </w:rPr>
        <w:t xml:space="preserve">several </w:t>
      </w:r>
      <w:r w:rsidR="00CD3585" w:rsidRPr="00543003">
        <w:rPr>
          <w:rFonts w:cstheme="minorHAnsi"/>
        </w:rPr>
        <w:t>hundred</w:t>
      </w:r>
      <w:r w:rsidR="00CD3585">
        <w:rPr>
          <w:rFonts w:cstheme="minorHAnsi"/>
        </w:rPr>
        <w:t xml:space="preserve"> submitted substances </w:t>
      </w:r>
      <w:r w:rsidR="002D0F95">
        <w:rPr>
          <w:rFonts w:cstheme="minorHAnsi"/>
        </w:rPr>
        <w:t>each day</w:t>
      </w:r>
      <w:r w:rsidR="0023647A">
        <w:rPr>
          <w:rFonts w:cstheme="minorHAnsi"/>
        </w:rPr>
        <w:t xml:space="preserve">, focused </w:t>
      </w:r>
      <w:r w:rsidR="0036084F">
        <w:rPr>
          <w:rFonts w:cstheme="minorHAnsi"/>
        </w:rPr>
        <w:t xml:space="preserve">on </w:t>
      </w:r>
      <w:r w:rsidR="00100C15">
        <w:rPr>
          <w:rFonts w:cstheme="minorHAnsi"/>
        </w:rPr>
        <w:t xml:space="preserve">the primary purpose of informing risk communications </w:t>
      </w:r>
      <w:r w:rsidR="00BE0DE7">
        <w:rPr>
          <w:rFonts w:cstheme="minorHAnsi"/>
        </w:rPr>
        <w:t>deliver</w:t>
      </w:r>
      <w:r w:rsidR="00100C15">
        <w:rPr>
          <w:rFonts w:cstheme="minorHAnsi"/>
        </w:rPr>
        <w:t xml:space="preserve">ed through </w:t>
      </w:r>
      <w:r w:rsidR="00CD3585">
        <w:rPr>
          <w:rFonts w:cstheme="minorHAnsi"/>
        </w:rPr>
        <w:t xml:space="preserve">tailored </w:t>
      </w:r>
      <w:r w:rsidR="00BE0DE7">
        <w:rPr>
          <w:rFonts w:cstheme="minorHAnsi"/>
        </w:rPr>
        <w:t>BIs.</w:t>
      </w:r>
      <w:r w:rsidR="00E85E5C">
        <w:rPr>
          <w:rFonts w:cstheme="minorHAnsi"/>
        </w:rPr>
        <w:t xml:space="preserve"> </w:t>
      </w:r>
    </w:p>
    <w:p w14:paraId="16772F09" w14:textId="4564FD5E" w:rsidR="00C35124" w:rsidRPr="006C24F9" w:rsidRDefault="00C35124" w:rsidP="006C24F9">
      <w:pPr>
        <w:rPr>
          <w:rFonts w:cstheme="minorHAnsi"/>
        </w:rPr>
      </w:pPr>
    </w:p>
    <w:p w14:paraId="1B6B6157" w14:textId="7F12F8CA" w:rsidR="00A411DA" w:rsidRPr="006C24F9" w:rsidRDefault="009142C2" w:rsidP="006C24F9">
      <w:pPr>
        <w:rPr>
          <w:rFonts w:cstheme="minorHAnsi"/>
        </w:rPr>
      </w:pPr>
      <w:r>
        <w:rPr>
          <w:rFonts w:cstheme="minorHAnsi"/>
        </w:rPr>
        <w:t>The drug checking service</w:t>
      </w:r>
      <w:r w:rsidR="00F1796A" w:rsidRPr="006C24F9">
        <w:rPr>
          <w:rFonts w:cstheme="minorHAnsi"/>
        </w:rPr>
        <w:t xml:space="preserve"> employ</w:t>
      </w:r>
      <w:r w:rsidR="00874CE5">
        <w:rPr>
          <w:rFonts w:cstheme="minorHAnsi"/>
        </w:rPr>
        <w:t>ed</w:t>
      </w:r>
      <w:r w:rsidR="00F1796A" w:rsidRPr="006C24F9">
        <w:rPr>
          <w:rFonts w:cstheme="minorHAnsi"/>
        </w:rPr>
        <w:t xml:space="preserve"> a multi-faceted </w:t>
      </w:r>
      <w:r w:rsidR="00DF0463" w:rsidRPr="006C24F9">
        <w:rPr>
          <w:rFonts w:cstheme="minorHAnsi"/>
        </w:rPr>
        <w:t xml:space="preserve">harm reduction </w:t>
      </w:r>
      <w:r w:rsidR="00F1796A" w:rsidRPr="006C24F9">
        <w:rPr>
          <w:rFonts w:cstheme="minorHAnsi"/>
        </w:rPr>
        <w:t xml:space="preserve">logic model </w:t>
      </w:r>
      <w:r w:rsidR="004E759D" w:rsidRPr="006C24F9">
        <w:rPr>
          <w:rFonts w:cstheme="minorHAnsi"/>
        </w:rPr>
        <w:t>(Rossi</w:t>
      </w:r>
      <w:r w:rsidR="00336BC3" w:rsidRPr="006C24F9">
        <w:rPr>
          <w:rFonts w:cstheme="minorHAnsi"/>
        </w:rPr>
        <w:t xml:space="preserve"> et al</w:t>
      </w:r>
      <w:r w:rsidR="004E759D" w:rsidRPr="006C24F9">
        <w:rPr>
          <w:rFonts w:cstheme="minorHAnsi"/>
        </w:rPr>
        <w:t>, 2004)</w:t>
      </w:r>
      <w:r w:rsidR="00F1796A" w:rsidRPr="006C24F9">
        <w:rPr>
          <w:rFonts w:cstheme="minorHAnsi"/>
        </w:rPr>
        <w:t xml:space="preserve">. </w:t>
      </w:r>
      <w:r w:rsidR="00C61495" w:rsidRPr="006C24F9">
        <w:rPr>
          <w:rFonts w:cstheme="minorHAnsi"/>
        </w:rPr>
        <w:t xml:space="preserve">Firstly, </w:t>
      </w:r>
      <w:r w:rsidR="00962FDB">
        <w:rPr>
          <w:rFonts w:cstheme="minorHAnsi"/>
        </w:rPr>
        <w:t xml:space="preserve">test results </w:t>
      </w:r>
      <w:r w:rsidR="00864D0E">
        <w:rPr>
          <w:rFonts w:cstheme="minorHAnsi"/>
        </w:rPr>
        <w:t>we</w:t>
      </w:r>
      <w:r w:rsidR="00962FDB">
        <w:rPr>
          <w:rFonts w:cstheme="minorHAnsi"/>
        </w:rPr>
        <w:t xml:space="preserve">re disseminated </w:t>
      </w:r>
      <w:r w:rsidR="00F1796A" w:rsidRPr="006C24F9">
        <w:rPr>
          <w:rFonts w:cstheme="minorHAnsi"/>
        </w:rPr>
        <w:t xml:space="preserve">directly to </w:t>
      </w:r>
      <w:r w:rsidR="008424BA" w:rsidRPr="006C24F9">
        <w:rPr>
          <w:rFonts w:cstheme="minorHAnsi"/>
        </w:rPr>
        <w:t xml:space="preserve">service users </w:t>
      </w:r>
      <w:r w:rsidR="007E4A84">
        <w:rPr>
          <w:rFonts w:cstheme="minorHAnsi"/>
        </w:rPr>
        <w:t xml:space="preserve">to </w:t>
      </w:r>
      <w:r w:rsidR="008424BA" w:rsidRPr="006C24F9">
        <w:rPr>
          <w:rFonts w:cstheme="minorHAnsi"/>
        </w:rPr>
        <w:t>increase</w:t>
      </w:r>
      <w:r w:rsidR="007E4A84">
        <w:rPr>
          <w:rFonts w:cstheme="minorHAnsi"/>
        </w:rPr>
        <w:t xml:space="preserve"> their</w:t>
      </w:r>
      <w:r w:rsidR="00F1796A" w:rsidRPr="006C24F9">
        <w:rPr>
          <w:rFonts w:cstheme="minorHAnsi"/>
        </w:rPr>
        <w:t xml:space="preserve"> knowledge of substance</w:t>
      </w:r>
      <w:r w:rsidR="001E7870" w:rsidRPr="006C24F9">
        <w:rPr>
          <w:rFonts w:cstheme="minorHAnsi"/>
        </w:rPr>
        <w:t>s</w:t>
      </w:r>
      <w:r w:rsidR="00F1796A" w:rsidRPr="006C24F9">
        <w:rPr>
          <w:rFonts w:cstheme="minorHAnsi"/>
        </w:rPr>
        <w:t xml:space="preserve"> they (and/ or their friends) </w:t>
      </w:r>
      <w:r w:rsidR="001360A3" w:rsidRPr="006C24F9">
        <w:rPr>
          <w:rFonts w:cstheme="minorHAnsi"/>
        </w:rPr>
        <w:t>ha</w:t>
      </w:r>
      <w:r w:rsidR="00864D0E">
        <w:rPr>
          <w:rFonts w:cstheme="minorHAnsi"/>
        </w:rPr>
        <w:t>d</w:t>
      </w:r>
      <w:r w:rsidR="001360A3" w:rsidRPr="006C24F9">
        <w:rPr>
          <w:rFonts w:cstheme="minorHAnsi"/>
        </w:rPr>
        <w:t xml:space="preserve"> taken or plan</w:t>
      </w:r>
      <w:r w:rsidR="00864D0E">
        <w:rPr>
          <w:rFonts w:cstheme="minorHAnsi"/>
        </w:rPr>
        <w:t>ned</w:t>
      </w:r>
      <w:r w:rsidR="001360A3" w:rsidRPr="006C24F9">
        <w:rPr>
          <w:rFonts w:cstheme="minorHAnsi"/>
        </w:rPr>
        <w:t xml:space="preserve"> </w:t>
      </w:r>
      <w:r w:rsidR="00F1796A" w:rsidRPr="006C24F9">
        <w:rPr>
          <w:rFonts w:cstheme="minorHAnsi"/>
        </w:rPr>
        <w:t>to take</w:t>
      </w:r>
      <w:r w:rsidR="00ED4A59" w:rsidRPr="006C24F9">
        <w:rPr>
          <w:rFonts w:cstheme="minorHAnsi"/>
        </w:rPr>
        <w:t>,</w:t>
      </w:r>
      <w:r w:rsidR="00F1796A" w:rsidRPr="006C24F9">
        <w:rPr>
          <w:rFonts w:cstheme="minorHAnsi"/>
        </w:rPr>
        <w:t xml:space="preserve"> resulting, it </w:t>
      </w:r>
      <w:r w:rsidR="00874CE5">
        <w:rPr>
          <w:rFonts w:cstheme="minorHAnsi"/>
        </w:rPr>
        <w:t>wa</w:t>
      </w:r>
      <w:r w:rsidR="00F1796A" w:rsidRPr="006C24F9">
        <w:rPr>
          <w:rFonts w:cstheme="minorHAnsi"/>
        </w:rPr>
        <w:t xml:space="preserve">s hoped, in </w:t>
      </w:r>
      <w:r w:rsidR="001360A3" w:rsidRPr="006C24F9">
        <w:rPr>
          <w:rFonts w:cstheme="minorHAnsi"/>
        </w:rPr>
        <w:t xml:space="preserve">increased </w:t>
      </w:r>
      <w:r w:rsidR="00F1796A" w:rsidRPr="006C24F9">
        <w:rPr>
          <w:rFonts w:cstheme="minorHAnsi"/>
        </w:rPr>
        <w:t>risk</w:t>
      </w:r>
      <w:r w:rsidR="001360A3" w:rsidRPr="006C24F9">
        <w:rPr>
          <w:rFonts w:cstheme="minorHAnsi"/>
        </w:rPr>
        <w:t xml:space="preserve"> </w:t>
      </w:r>
      <w:r w:rsidR="00F1796A" w:rsidRPr="006C24F9">
        <w:rPr>
          <w:rFonts w:cstheme="minorHAnsi"/>
        </w:rPr>
        <w:t>aware</w:t>
      </w:r>
      <w:r w:rsidR="001360A3" w:rsidRPr="006C24F9">
        <w:rPr>
          <w:rFonts w:cstheme="minorHAnsi"/>
        </w:rPr>
        <w:t>ness around</w:t>
      </w:r>
      <w:r w:rsidR="00F1796A" w:rsidRPr="006C24F9">
        <w:rPr>
          <w:rFonts w:cstheme="minorHAnsi"/>
        </w:rPr>
        <w:t xml:space="preserve"> consumption</w:t>
      </w:r>
      <w:r w:rsidR="000E02F8" w:rsidRPr="006C24F9">
        <w:rPr>
          <w:rFonts w:cstheme="minorHAnsi"/>
        </w:rPr>
        <w:t xml:space="preserve">. </w:t>
      </w:r>
      <w:r w:rsidR="00864D0E">
        <w:rPr>
          <w:rFonts w:cstheme="minorHAnsi"/>
        </w:rPr>
        <w:t xml:space="preserve">All service users </w:t>
      </w:r>
      <w:r w:rsidR="003D6CE7">
        <w:rPr>
          <w:rFonts w:cstheme="minorHAnsi"/>
        </w:rPr>
        <w:t>were given</w:t>
      </w:r>
      <w:r w:rsidR="00864D0E">
        <w:rPr>
          <w:rFonts w:cstheme="minorHAnsi"/>
        </w:rPr>
        <w:t xml:space="preserve"> </w:t>
      </w:r>
      <w:r w:rsidR="00864D0E" w:rsidRPr="006C24F9">
        <w:rPr>
          <w:rFonts w:cstheme="minorHAnsi"/>
        </w:rPr>
        <w:t xml:space="preserve">an opportunity to dispose of further substances of concern with the testing service for onward </w:t>
      </w:r>
      <w:r w:rsidR="00864D0E">
        <w:rPr>
          <w:rFonts w:cstheme="minorHAnsi"/>
        </w:rPr>
        <w:t xml:space="preserve">safe </w:t>
      </w:r>
      <w:r w:rsidR="00864D0E" w:rsidRPr="006C24F9">
        <w:rPr>
          <w:rFonts w:cstheme="minorHAnsi"/>
        </w:rPr>
        <w:t xml:space="preserve">police destruction </w:t>
      </w:r>
      <w:r w:rsidR="00864D0E">
        <w:rPr>
          <w:rFonts w:cstheme="minorHAnsi"/>
        </w:rPr>
        <w:t>(</w:t>
      </w:r>
      <w:r w:rsidR="00864D0E" w:rsidRPr="006C24F9">
        <w:rPr>
          <w:rFonts w:cstheme="minorHAnsi"/>
        </w:rPr>
        <w:t>as recommended by Valente et al</w:t>
      </w:r>
      <w:r w:rsidR="00864D0E">
        <w:rPr>
          <w:rFonts w:cstheme="minorHAnsi"/>
        </w:rPr>
        <w:t>,</w:t>
      </w:r>
      <w:r w:rsidR="00864D0E" w:rsidRPr="006C24F9">
        <w:rPr>
          <w:rFonts w:cstheme="minorHAnsi"/>
        </w:rPr>
        <w:t xml:space="preserve"> 2019)</w:t>
      </w:r>
      <w:r w:rsidR="00864D0E">
        <w:rPr>
          <w:rFonts w:cstheme="minorHAnsi"/>
        </w:rPr>
        <w:t>, for example when</w:t>
      </w:r>
      <w:r w:rsidR="00F1796A" w:rsidRPr="006C24F9">
        <w:rPr>
          <w:rFonts w:cstheme="minorHAnsi"/>
        </w:rPr>
        <w:t xml:space="preserve"> </w:t>
      </w:r>
      <w:r w:rsidR="00A34282" w:rsidRPr="006C24F9">
        <w:rPr>
          <w:rFonts w:cstheme="minorHAnsi"/>
        </w:rPr>
        <w:t xml:space="preserve">unwanted </w:t>
      </w:r>
      <w:r w:rsidR="00A34282">
        <w:rPr>
          <w:rFonts w:cstheme="minorHAnsi"/>
        </w:rPr>
        <w:t xml:space="preserve">or </w:t>
      </w:r>
      <w:r w:rsidR="005B76D7" w:rsidRPr="006C24F9">
        <w:rPr>
          <w:rFonts w:cstheme="minorHAnsi"/>
        </w:rPr>
        <w:t xml:space="preserve">potentially </w:t>
      </w:r>
      <w:r w:rsidR="008F5661" w:rsidRPr="006C24F9">
        <w:rPr>
          <w:rFonts w:cstheme="minorHAnsi"/>
        </w:rPr>
        <w:t>harmful</w:t>
      </w:r>
      <w:r w:rsidR="00F1796A" w:rsidRPr="006C24F9">
        <w:rPr>
          <w:rFonts w:cstheme="minorHAnsi"/>
        </w:rPr>
        <w:t xml:space="preserve"> substances </w:t>
      </w:r>
      <w:r w:rsidR="00864D0E">
        <w:rPr>
          <w:rFonts w:cstheme="minorHAnsi"/>
        </w:rPr>
        <w:t>we</w:t>
      </w:r>
      <w:r w:rsidR="00F1796A" w:rsidRPr="006C24F9">
        <w:rPr>
          <w:rFonts w:cstheme="minorHAnsi"/>
        </w:rPr>
        <w:t>re identified</w:t>
      </w:r>
      <w:r w:rsidR="00C61495" w:rsidRPr="006C24F9">
        <w:rPr>
          <w:rFonts w:cstheme="minorHAnsi"/>
        </w:rPr>
        <w:t>.</w:t>
      </w:r>
    </w:p>
    <w:p w14:paraId="76FE6B47" w14:textId="77777777" w:rsidR="00A411DA" w:rsidRPr="006C24F9" w:rsidRDefault="00A411DA" w:rsidP="006C24F9">
      <w:pPr>
        <w:rPr>
          <w:rFonts w:cstheme="minorHAnsi"/>
        </w:rPr>
      </w:pPr>
    </w:p>
    <w:p w14:paraId="67693B09" w14:textId="2E574360" w:rsidR="00CE187C" w:rsidRPr="006C24F9" w:rsidRDefault="00C61495" w:rsidP="00D969AF">
      <w:pPr>
        <w:rPr>
          <w:rFonts w:cstheme="minorHAnsi"/>
        </w:rPr>
      </w:pPr>
      <w:r w:rsidRPr="00025AB8">
        <w:rPr>
          <w:rFonts w:cstheme="minorHAnsi"/>
        </w:rPr>
        <w:t xml:space="preserve">Secondly, </w:t>
      </w:r>
      <w:r w:rsidR="00897324">
        <w:rPr>
          <w:rFonts w:cstheme="minorHAnsi"/>
        </w:rPr>
        <w:t>p</w:t>
      </w:r>
      <w:r w:rsidR="00897324" w:rsidRPr="00897324">
        <w:rPr>
          <w:rFonts w:cstheme="minorHAnsi"/>
        </w:rPr>
        <w:t>re-test information</w:t>
      </w:r>
      <w:r w:rsidR="00897324">
        <w:rPr>
          <w:rFonts w:cstheme="minorHAnsi"/>
        </w:rPr>
        <w:t xml:space="preserve"> on service user expectations</w:t>
      </w:r>
      <w:r w:rsidR="005E529E">
        <w:rPr>
          <w:rFonts w:cstheme="minorHAnsi"/>
        </w:rPr>
        <w:t xml:space="preserve"> and experiences</w:t>
      </w:r>
      <w:r w:rsidR="00897324" w:rsidRPr="00897324">
        <w:rPr>
          <w:rFonts w:cstheme="minorHAnsi"/>
        </w:rPr>
        <w:t xml:space="preserve">, along with the drug checking results, </w:t>
      </w:r>
      <w:r w:rsidR="00897324">
        <w:rPr>
          <w:rFonts w:cstheme="minorHAnsi"/>
        </w:rPr>
        <w:t xml:space="preserve">were </w:t>
      </w:r>
      <w:r w:rsidR="00897324" w:rsidRPr="00897324">
        <w:rPr>
          <w:rFonts w:cstheme="minorHAnsi"/>
        </w:rPr>
        <w:t>entered in</w:t>
      </w:r>
      <w:r w:rsidR="00897324">
        <w:rPr>
          <w:rFonts w:cstheme="minorHAnsi"/>
        </w:rPr>
        <w:t>to</w:t>
      </w:r>
      <w:r w:rsidR="00897324" w:rsidRPr="00897324">
        <w:rPr>
          <w:rFonts w:cstheme="minorHAnsi"/>
        </w:rPr>
        <w:t xml:space="preserve"> a</w:t>
      </w:r>
      <w:r w:rsidR="00897324">
        <w:rPr>
          <w:rFonts w:cstheme="minorHAnsi"/>
        </w:rPr>
        <w:t xml:space="preserve">n electronic database by chemists that was accessed </w:t>
      </w:r>
      <w:r w:rsidR="00AB688C">
        <w:rPr>
          <w:rFonts w:cstheme="minorHAnsi"/>
        </w:rPr>
        <w:t xml:space="preserve">in ‘real time’ </w:t>
      </w:r>
      <w:r w:rsidR="00897324">
        <w:rPr>
          <w:rFonts w:cstheme="minorHAnsi"/>
        </w:rPr>
        <w:t xml:space="preserve">by the </w:t>
      </w:r>
      <w:r w:rsidR="00D47EE8">
        <w:rPr>
          <w:rFonts w:cstheme="minorHAnsi"/>
        </w:rPr>
        <w:t xml:space="preserve">NGO </w:t>
      </w:r>
      <w:r w:rsidR="00897324">
        <w:rPr>
          <w:rFonts w:cstheme="minorHAnsi"/>
        </w:rPr>
        <w:t>chemistry and healthcare teams split across the festival site.</w:t>
      </w:r>
      <w:r w:rsidR="00897324" w:rsidRPr="00897324">
        <w:rPr>
          <w:rFonts w:cstheme="minorHAnsi"/>
        </w:rPr>
        <w:t xml:space="preserve"> </w:t>
      </w:r>
      <w:r w:rsidR="00897324">
        <w:rPr>
          <w:rFonts w:cstheme="minorHAnsi"/>
        </w:rPr>
        <w:t xml:space="preserve">These </w:t>
      </w:r>
      <w:r w:rsidRPr="00025AB8">
        <w:rPr>
          <w:rFonts w:cstheme="minorHAnsi"/>
        </w:rPr>
        <w:t xml:space="preserve">test results </w:t>
      </w:r>
      <w:r w:rsidR="00E34665">
        <w:rPr>
          <w:rFonts w:cstheme="minorHAnsi"/>
        </w:rPr>
        <w:t xml:space="preserve">were </w:t>
      </w:r>
      <w:r w:rsidR="00897324">
        <w:rPr>
          <w:rFonts w:cstheme="minorHAnsi"/>
        </w:rPr>
        <w:t xml:space="preserve">then </w:t>
      </w:r>
      <w:r w:rsidR="00E34665">
        <w:rPr>
          <w:rFonts w:cstheme="minorHAnsi"/>
        </w:rPr>
        <w:t xml:space="preserve">embedded </w:t>
      </w:r>
      <w:r w:rsidRPr="00025AB8">
        <w:rPr>
          <w:rFonts w:cstheme="minorHAnsi"/>
        </w:rPr>
        <w:t xml:space="preserve">within </w:t>
      </w:r>
      <w:r w:rsidR="002F0732" w:rsidRPr="00025AB8">
        <w:rPr>
          <w:rFonts w:cstheme="minorHAnsi"/>
        </w:rPr>
        <w:t>structured</w:t>
      </w:r>
      <w:r w:rsidR="00B5630D">
        <w:rPr>
          <w:rFonts w:cstheme="minorHAnsi"/>
        </w:rPr>
        <w:t xml:space="preserve"> </w:t>
      </w:r>
      <w:r w:rsidR="0004105A">
        <w:rPr>
          <w:rFonts w:cstheme="minorHAnsi"/>
        </w:rPr>
        <w:t xml:space="preserve">polydrug </w:t>
      </w:r>
      <w:r w:rsidR="00B5630D">
        <w:rPr>
          <w:rFonts w:cstheme="minorHAnsi"/>
        </w:rPr>
        <w:t>BI</w:t>
      </w:r>
      <w:r w:rsidR="00DA5D6B">
        <w:rPr>
          <w:rFonts w:cstheme="minorHAnsi"/>
        </w:rPr>
        <w:t>s</w:t>
      </w:r>
      <w:r w:rsidR="00B5630D">
        <w:rPr>
          <w:rFonts w:cstheme="minorHAnsi"/>
        </w:rPr>
        <w:t xml:space="preserve"> </w:t>
      </w:r>
      <w:r w:rsidRPr="00025AB8">
        <w:rPr>
          <w:rFonts w:cstheme="minorHAnsi"/>
        </w:rPr>
        <w:t xml:space="preserve">delivered by </w:t>
      </w:r>
      <w:r w:rsidR="00E34665">
        <w:rPr>
          <w:rFonts w:cstheme="minorHAnsi"/>
        </w:rPr>
        <w:t xml:space="preserve">multidisciplinary </w:t>
      </w:r>
      <w:r w:rsidR="00647DD6" w:rsidRPr="00025AB8">
        <w:rPr>
          <w:rFonts w:cstheme="minorHAnsi"/>
        </w:rPr>
        <w:t xml:space="preserve">teams of up to 30 </w:t>
      </w:r>
      <w:r w:rsidR="00723B75" w:rsidRPr="00025AB8">
        <w:rPr>
          <w:rFonts w:cstheme="minorHAnsi"/>
        </w:rPr>
        <w:t xml:space="preserve">qualified </w:t>
      </w:r>
      <w:r w:rsidRPr="00025AB8">
        <w:rPr>
          <w:rFonts w:cstheme="minorHAnsi"/>
        </w:rPr>
        <w:t>health</w:t>
      </w:r>
      <w:r w:rsidR="0004105A">
        <w:rPr>
          <w:rFonts w:cstheme="minorHAnsi"/>
        </w:rPr>
        <w:t xml:space="preserve"> professionals </w:t>
      </w:r>
      <w:r w:rsidR="009C44FD">
        <w:rPr>
          <w:rFonts w:cstheme="minorHAnsi"/>
        </w:rPr>
        <w:t xml:space="preserve">– trained in harm reduction risk communications and </w:t>
      </w:r>
      <w:r w:rsidR="00D230DF" w:rsidRPr="00025AB8">
        <w:rPr>
          <w:rFonts w:cstheme="minorHAnsi"/>
        </w:rPr>
        <w:t>experienced</w:t>
      </w:r>
      <w:r w:rsidR="009C44FD">
        <w:rPr>
          <w:rFonts w:cstheme="minorHAnsi"/>
        </w:rPr>
        <w:t xml:space="preserve"> </w:t>
      </w:r>
      <w:r w:rsidR="00D230DF" w:rsidRPr="00025AB8">
        <w:rPr>
          <w:rFonts w:cstheme="minorHAnsi"/>
        </w:rPr>
        <w:t xml:space="preserve">in delivery of </w:t>
      </w:r>
      <w:r w:rsidR="004549D0" w:rsidRPr="00025AB8">
        <w:rPr>
          <w:rFonts w:cstheme="minorHAnsi"/>
        </w:rPr>
        <w:t>clinical results</w:t>
      </w:r>
      <w:r w:rsidR="004549D0">
        <w:rPr>
          <w:rFonts w:cstheme="minorHAnsi"/>
        </w:rPr>
        <w:t xml:space="preserve"> and </w:t>
      </w:r>
      <w:r w:rsidR="00D230DF" w:rsidRPr="00025AB8">
        <w:rPr>
          <w:rFonts w:cstheme="minorHAnsi"/>
        </w:rPr>
        <w:t>BIs</w:t>
      </w:r>
      <w:r w:rsidR="004549D0">
        <w:rPr>
          <w:rFonts w:cstheme="minorHAnsi"/>
        </w:rPr>
        <w:t xml:space="preserve"> </w:t>
      </w:r>
      <w:r w:rsidR="009C44FD">
        <w:rPr>
          <w:rFonts w:cstheme="minorHAnsi"/>
        </w:rPr>
        <w:t xml:space="preserve">– </w:t>
      </w:r>
      <w:r w:rsidR="00560D12">
        <w:rPr>
          <w:rFonts w:cstheme="minorHAnsi"/>
        </w:rPr>
        <w:t>composed</w:t>
      </w:r>
      <w:r w:rsidR="009C44FD">
        <w:rPr>
          <w:rFonts w:cstheme="minorHAnsi"/>
        </w:rPr>
        <w:t xml:space="preserve"> </w:t>
      </w:r>
      <w:r w:rsidR="00560D12">
        <w:rPr>
          <w:rFonts w:cstheme="minorHAnsi"/>
        </w:rPr>
        <w:t>of</w:t>
      </w:r>
      <w:r w:rsidR="006418F7" w:rsidRPr="00025AB8">
        <w:rPr>
          <w:rFonts w:cstheme="minorHAnsi"/>
        </w:rPr>
        <w:t xml:space="preserve"> medical doctors, nurses, pharmacists, psychiatrists</w:t>
      </w:r>
      <w:r w:rsidR="00560D12">
        <w:rPr>
          <w:rFonts w:cstheme="minorHAnsi"/>
        </w:rPr>
        <w:t xml:space="preserve">, </w:t>
      </w:r>
      <w:r w:rsidR="00E34665">
        <w:rPr>
          <w:rFonts w:cstheme="minorHAnsi"/>
        </w:rPr>
        <w:t xml:space="preserve">social workers and </w:t>
      </w:r>
      <w:r w:rsidR="006418F7" w:rsidRPr="00025AB8">
        <w:rPr>
          <w:rFonts w:cstheme="minorHAnsi"/>
        </w:rPr>
        <w:t>substance misuse practitioners</w:t>
      </w:r>
      <w:r w:rsidR="00D230DF" w:rsidRPr="00025AB8">
        <w:rPr>
          <w:rFonts w:cstheme="minorHAnsi"/>
        </w:rPr>
        <w:t xml:space="preserve">. </w:t>
      </w:r>
      <w:r w:rsidR="00F66FC0">
        <w:rPr>
          <w:rFonts w:cstheme="minorHAnsi"/>
        </w:rPr>
        <w:t xml:space="preserve">The 2017 BI format </w:t>
      </w:r>
      <w:r w:rsidR="002452D1">
        <w:rPr>
          <w:rFonts w:cstheme="minorHAnsi"/>
        </w:rPr>
        <w:t>covered</w:t>
      </w:r>
      <w:r w:rsidR="00F66FC0">
        <w:rPr>
          <w:rFonts w:cstheme="minorHAnsi"/>
        </w:rPr>
        <w:t xml:space="preserve"> </w:t>
      </w:r>
      <w:r w:rsidR="00D969AF">
        <w:rPr>
          <w:rFonts w:cstheme="minorHAnsi"/>
        </w:rPr>
        <w:t>an i</w:t>
      </w:r>
      <w:r w:rsidR="00D969AF" w:rsidRPr="00D969AF">
        <w:rPr>
          <w:rFonts w:cstheme="minorHAnsi"/>
        </w:rPr>
        <w:t>ntoxication screen</w:t>
      </w:r>
      <w:r w:rsidR="00D969AF">
        <w:rPr>
          <w:rFonts w:cstheme="minorHAnsi"/>
        </w:rPr>
        <w:t>ing</w:t>
      </w:r>
      <w:r w:rsidR="0004105A">
        <w:rPr>
          <w:rFonts w:cstheme="minorHAnsi"/>
        </w:rPr>
        <w:t>;</w:t>
      </w:r>
      <w:r w:rsidR="00D969AF">
        <w:rPr>
          <w:rFonts w:cstheme="minorHAnsi"/>
        </w:rPr>
        <w:t xml:space="preserve"> </w:t>
      </w:r>
      <w:r w:rsidR="00510F45">
        <w:rPr>
          <w:rFonts w:cstheme="minorHAnsi"/>
        </w:rPr>
        <w:t xml:space="preserve">legal </w:t>
      </w:r>
      <w:r w:rsidR="00D969AF" w:rsidRPr="00D969AF">
        <w:rPr>
          <w:rFonts w:cstheme="minorHAnsi"/>
        </w:rPr>
        <w:t>disclaimer</w:t>
      </w:r>
      <w:r w:rsidR="0004105A">
        <w:rPr>
          <w:rFonts w:cstheme="minorHAnsi"/>
        </w:rPr>
        <w:t>;</w:t>
      </w:r>
      <w:r w:rsidR="00D969AF">
        <w:rPr>
          <w:rFonts w:cstheme="minorHAnsi"/>
        </w:rPr>
        <w:t xml:space="preserve"> informed consent</w:t>
      </w:r>
      <w:r w:rsidR="0004105A">
        <w:rPr>
          <w:rFonts w:cstheme="minorHAnsi"/>
        </w:rPr>
        <w:t xml:space="preserve">; </w:t>
      </w:r>
      <w:r w:rsidR="005B7DAC">
        <w:rPr>
          <w:rFonts w:cstheme="minorHAnsi"/>
        </w:rPr>
        <w:t>historical and current use of medicines and illicit drugs</w:t>
      </w:r>
      <w:r w:rsidR="004D4C60" w:rsidRPr="00025AB8">
        <w:rPr>
          <w:rFonts w:cstheme="minorHAnsi"/>
        </w:rPr>
        <w:t xml:space="preserve">; </w:t>
      </w:r>
      <w:r w:rsidR="00730967">
        <w:rPr>
          <w:rFonts w:cstheme="minorHAnsi"/>
        </w:rPr>
        <w:t>substance</w:t>
      </w:r>
      <w:r w:rsidR="00D53826" w:rsidRPr="00025AB8">
        <w:rPr>
          <w:rFonts w:cstheme="minorHAnsi"/>
        </w:rPr>
        <w:t xml:space="preserve"> origin and expected contents; </w:t>
      </w:r>
      <w:r w:rsidR="004D4C60" w:rsidRPr="00025AB8">
        <w:rPr>
          <w:rFonts w:cstheme="minorHAnsi"/>
        </w:rPr>
        <w:t>test result</w:t>
      </w:r>
      <w:r w:rsidR="00D23AD3" w:rsidRPr="00025AB8">
        <w:rPr>
          <w:rFonts w:cstheme="minorHAnsi"/>
        </w:rPr>
        <w:t xml:space="preserve">, dosage and effects; post-test </w:t>
      </w:r>
      <w:r w:rsidR="000C41C9" w:rsidRPr="00025AB8">
        <w:rPr>
          <w:rFonts w:cstheme="minorHAnsi"/>
        </w:rPr>
        <w:t>intentions</w:t>
      </w:r>
      <w:r w:rsidR="00D53826" w:rsidRPr="00025AB8">
        <w:rPr>
          <w:rFonts w:cstheme="minorHAnsi"/>
        </w:rPr>
        <w:t>;</w:t>
      </w:r>
      <w:r w:rsidR="00D23AD3" w:rsidRPr="00025AB8">
        <w:rPr>
          <w:rFonts w:cstheme="minorHAnsi"/>
        </w:rPr>
        <w:t xml:space="preserve"> </w:t>
      </w:r>
      <w:r w:rsidR="002452D1">
        <w:rPr>
          <w:rFonts w:cstheme="minorHAnsi"/>
        </w:rPr>
        <w:t xml:space="preserve">the </w:t>
      </w:r>
      <w:r w:rsidR="00612A75">
        <w:rPr>
          <w:rFonts w:cstheme="minorHAnsi"/>
        </w:rPr>
        <w:t>opportunit</w:t>
      </w:r>
      <w:r w:rsidR="002452D1">
        <w:rPr>
          <w:rFonts w:cstheme="minorHAnsi"/>
        </w:rPr>
        <w:t>y</w:t>
      </w:r>
      <w:r w:rsidR="00691E09">
        <w:rPr>
          <w:rFonts w:cstheme="minorHAnsi"/>
        </w:rPr>
        <w:t xml:space="preserve"> to </w:t>
      </w:r>
      <w:r w:rsidR="00345D27" w:rsidRPr="00025AB8">
        <w:rPr>
          <w:rFonts w:cstheme="minorHAnsi"/>
        </w:rPr>
        <w:t>dispos</w:t>
      </w:r>
      <w:r w:rsidR="00897117">
        <w:rPr>
          <w:rFonts w:cstheme="minorHAnsi"/>
        </w:rPr>
        <w:t xml:space="preserve">e </w:t>
      </w:r>
      <w:r w:rsidR="00820EB5">
        <w:rPr>
          <w:rFonts w:cstheme="minorHAnsi"/>
        </w:rPr>
        <w:t xml:space="preserve">of </w:t>
      </w:r>
      <w:r w:rsidR="00897117">
        <w:rPr>
          <w:rFonts w:cstheme="minorHAnsi"/>
        </w:rPr>
        <w:t>further substances of concern</w:t>
      </w:r>
      <w:r w:rsidR="009C44FD">
        <w:rPr>
          <w:rFonts w:cstheme="minorHAnsi"/>
        </w:rPr>
        <w:t xml:space="preserve">, </w:t>
      </w:r>
      <w:r w:rsidR="00897117">
        <w:rPr>
          <w:rFonts w:cstheme="minorHAnsi"/>
        </w:rPr>
        <w:t xml:space="preserve">ask </w:t>
      </w:r>
      <w:r w:rsidR="009C44FD">
        <w:rPr>
          <w:rFonts w:cstheme="minorHAnsi"/>
        </w:rPr>
        <w:t>questions</w:t>
      </w:r>
      <w:r w:rsidR="00345D27" w:rsidRPr="00025AB8">
        <w:rPr>
          <w:rFonts w:cstheme="minorHAnsi"/>
        </w:rPr>
        <w:t xml:space="preserve"> and </w:t>
      </w:r>
      <w:r w:rsidR="00897117">
        <w:rPr>
          <w:rFonts w:cstheme="minorHAnsi"/>
        </w:rPr>
        <w:t xml:space="preserve">be </w:t>
      </w:r>
      <w:r w:rsidR="00345D27" w:rsidRPr="00025AB8">
        <w:rPr>
          <w:rFonts w:cstheme="minorHAnsi"/>
        </w:rPr>
        <w:t>signpost</w:t>
      </w:r>
      <w:r w:rsidR="00121B84">
        <w:rPr>
          <w:rFonts w:cstheme="minorHAnsi"/>
        </w:rPr>
        <w:t xml:space="preserve">ed or referred </w:t>
      </w:r>
      <w:r w:rsidR="00345D27" w:rsidRPr="00025AB8">
        <w:rPr>
          <w:rFonts w:cstheme="minorHAnsi"/>
        </w:rPr>
        <w:t xml:space="preserve">to </w:t>
      </w:r>
      <w:r w:rsidR="00897117">
        <w:rPr>
          <w:rFonts w:cstheme="minorHAnsi"/>
        </w:rPr>
        <w:t>SMS and other support services</w:t>
      </w:r>
      <w:r w:rsidR="00345D27" w:rsidRPr="00025AB8">
        <w:rPr>
          <w:rFonts w:cstheme="minorHAnsi"/>
        </w:rPr>
        <w:t>;</w:t>
      </w:r>
      <w:r w:rsidR="00385153" w:rsidRPr="00025AB8">
        <w:rPr>
          <w:rFonts w:cstheme="minorHAnsi"/>
        </w:rPr>
        <w:t xml:space="preserve"> </w:t>
      </w:r>
      <w:r w:rsidR="00D23AD3" w:rsidRPr="00025AB8">
        <w:rPr>
          <w:rFonts w:cstheme="minorHAnsi"/>
        </w:rPr>
        <w:t xml:space="preserve">and </w:t>
      </w:r>
      <w:r w:rsidR="00345D27" w:rsidRPr="00025AB8">
        <w:rPr>
          <w:rFonts w:cstheme="minorHAnsi"/>
        </w:rPr>
        <w:t xml:space="preserve">further </w:t>
      </w:r>
      <w:r w:rsidR="00D230DF" w:rsidRPr="00025AB8">
        <w:rPr>
          <w:rFonts w:cstheme="minorHAnsi"/>
        </w:rPr>
        <w:t>information</w:t>
      </w:r>
      <w:r w:rsidR="0004105A">
        <w:rPr>
          <w:rFonts w:cstheme="minorHAnsi"/>
        </w:rPr>
        <w:t xml:space="preserve"> </w:t>
      </w:r>
      <w:r w:rsidR="00121B84">
        <w:rPr>
          <w:rFonts w:cstheme="minorHAnsi"/>
        </w:rPr>
        <w:t xml:space="preserve">such as </w:t>
      </w:r>
      <w:r w:rsidR="00D23AD3" w:rsidRPr="00025AB8">
        <w:rPr>
          <w:rFonts w:cstheme="minorHAnsi"/>
        </w:rPr>
        <w:t>regarding polydrug use, alcohol</w:t>
      </w:r>
      <w:r w:rsidR="00E34665">
        <w:rPr>
          <w:rFonts w:cstheme="minorHAnsi"/>
        </w:rPr>
        <w:t xml:space="preserve"> and</w:t>
      </w:r>
      <w:r w:rsidR="00D23AD3" w:rsidRPr="00025AB8">
        <w:rPr>
          <w:rFonts w:cstheme="minorHAnsi"/>
        </w:rPr>
        <w:t xml:space="preserve"> hydration</w:t>
      </w:r>
      <w:r w:rsidR="00A411DA" w:rsidRPr="00025AB8">
        <w:rPr>
          <w:rFonts w:cstheme="minorHAnsi"/>
        </w:rPr>
        <w:t xml:space="preserve">. </w:t>
      </w:r>
      <w:r w:rsidR="0004105A">
        <w:rPr>
          <w:rFonts w:cstheme="minorHAnsi"/>
        </w:rPr>
        <w:t>H</w:t>
      </w:r>
      <w:r w:rsidR="00A411DA" w:rsidRPr="00025AB8">
        <w:rPr>
          <w:rFonts w:cstheme="minorHAnsi"/>
        </w:rPr>
        <w:t xml:space="preserve">arm reduction advice </w:t>
      </w:r>
      <w:r w:rsidR="0004105A">
        <w:rPr>
          <w:rFonts w:cstheme="minorHAnsi"/>
        </w:rPr>
        <w:t xml:space="preserve">was tailored </w:t>
      </w:r>
      <w:r w:rsidR="00D23AD3" w:rsidRPr="00025AB8">
        <w:rPr>
          <w:rFonts w:cstheme="minorHAnsi"/>
        </w:rPr>
        <w:t xml:space="preserve">to </w:t>
      </w:r>
      <w:r w:rsidR="0004105A">
        <w:rPr>
          <w:rFonts w:cstheme="minorHAnsi"/>
        </w:rPr>
        <w:t xml:space="preserve">the </w:t>
      </w:r>
      <w:r w:rsidR="00D23AD3" w:rsidRPr="00025AB8">
        <w:rPr>
          <w:rFonts w:cstheme="minorHAnsi"/>
        </w:rPr>
        <w:t xml:space="preserve">individual </w:t>
      </w:r>
      <w:r w:rsidR="00A411DA" w:rsidRPr="00025AB8">
        <w:rPr>
          <w:rFonts w:cstheme="minorHAnsi"/>
        </w:rPr>
        <w:t>test result</w:t>
      </w:r>
      <w:r w:rsidR="00413540" w:rsidRPr="00025AB8">
        <w:rPr>
          <w:rFonts w:cstheme="minorHAnsi"/>
        </w:rPr>
        <w:t>,</w:t>
      </w:r>
      <w:r w:rsidR="00A411DA" w:rsidRPr="00025AB8">
        <w:rPr>
          <w:rFonts w:cstheme="minorHAnsi"/>
        </w:rPr>
        <w:t xml:space="preserve"> </w:t>
      </w:r>
      <w:r w:rsidR="00606E35" w:rsidRPr="00025AB8">
        <w:rPr>
          <w:rFonts w:cstheme="minorHAnsi"/>
        </w:rPr>
        <w:t>service user</w:t>
      </w:r>
      <w:r w:rsidR="0004105A">
        <w:rPr>
          <w:rFonts w:cstheme="minorHAnsi"/>
        </w:rPr>
        <w:t>(s)</w:t>
      </w:r>
      <w:r w:rsidR="00413540" w:rsidRPr="00025AB8">
        <w:rPr>
          <w:rFonts w:cstheme="minorHAnsi"/>
        </w:rPr>
        <w:t xml:space="preserve"> and local drug market</w:t>
      </w:r>
      <w:r w:rsidR="00A411DA" w:rsidRPr="00025AB8">
        <w:rPr>
          <w:rFonts w:cstheme="minorHAnsi"/>
        </w:rPr>
        <w:t>.</w:t>
      </w:r>
      <w:r w:rsidR="009A1B91" w:rsidRPr="00025AB8">
        <w:rPr>
          <w:rFonts w:cstheme="minorHAnsi"/>
        </w:rPr>
        <w:t xml:space="preserve"> </w:t>
      </w:r>
      <w:r w:rsidR="00D23AD3" w:rsidRPr="00025AB8">
        <w:rPr>
          <w:rFonts w:cstheme="minorHAnsi"/>
        </w:rPr>
        <w:t xml:space="preserve">Whilst the testing service </w:t>
      </w:r>
      <w:r w:rsidR="00E34665">
        <w:rPr>
          <w:rFonts w:cstheme="minorHAnsi"/>
        </w:rPr>
        <w:t>wa</w:t>
      </w:r>
      <w:r w:rsidR="00D23AD3" w:rsidRPr="00025AB8">
        <w:rPr>
          <w:rFonts w:cstheme="minorHAnsi"/>
        </w:rPr>
        <w:t xml:space="preserve">s framed as free, confidential and non-judgemental with drug use neither </w:t>
      </w:r>
      <w:r w:rsidR="00560D12">
        <w:rPr>
          <w:rFonts w:cstheme="minorHAnsi"/>
        </w:rPr>
        <w:t xml:space="preserve">encouraged nor </w:t>
      </w:r>
      <w:r w:rsidR="00560D12">
        <w:rPr>
          <w:rFonts w:cstheme="minorHAnsi"/>
        </w:rPr>
        <w:lastRenderedPageBreak/>
        <w:t>discouraged</w:t>
      </w:r>
      <w:r w:rsidR="00D23AD3" w:rsidRPr="00025AB8">
        <w:rPr>
          <w:rFonts w:cstheme="minorHAnsi"/>
        </w:rPr>
        <w:t>, BIs emphasise</w:t>
      </w:r>
      <w:r w:rsidR="00E34665">
        <w:rPr>
          <w:rFonts w:cstheme="minorHAnsi"/>
        </w:rPr>
        <w:t>d</w:t>
      </w:r>
      <w:r w:rsidR="00D23AD3" w:rsidRPr="00025AB8">
        <w:rPr>
          <w:rFonts w:cstheme="minorHAnsi"/>
        </w:rPr>
        <w:t xml:space="preserve"> the potential risks involved in all drug use</w:t>
      </w:r>
      <w:r w:rsidR="00612A75">
        <w:rPr>
          <w:rFonts w:cstheme="minorHAnsi"/>
        </w:rPr>
        <w:t>,</w:t>
      </w:r>
      <w:r w:rsidR="00AC64D4" w:rsidRPr="00025AB8">
        <w:rPr>
          <w:rFonts w:cstheme="minorHAnsi"/>
        </w:rPr>
        <w:t xml:space="preserve"> and </w:t>
      </w:r>
      <w:r w:rsidR="00C51D8F" w:rsidRPr="00025AB8">
        <w:rPr>
          <w:rFonts w:cstheme="minorHAnsi"/>
        </w:rPr>
        <w:t xml:space="preserve">staff training and service delivery </w:t>
      </w:r>
      <w:r w:rsidR="00820EB5">
        <w:rPr>
          <w:rFonts w:cstheme="minorHAnsi"/>
        </w:rPr>
        <w:t>were</w:t>
      </w:r>
      <w:r w:rsidR="00606E35" w:rsidRPr="00025AB8">
        <w:rPr>
          <w:rFonts w:cstheme="minorHAnsi"/>
        </w:rPr>
        <w:t xml:space="preserve"> </w:t>
      </w:r>
      <w:r w:rsidR="00D23AD3" w:rsidRPr="00025AB8">
        <w:rPr>
          <w:rFonts w:cstheme="minorHAnsi"/>
        </w:rPr>
        <w:t>mindful to policy</w:t>
      </w:r>
      <w:r w:rsidR="00AC64D4" w:rsidRPr="00025AB8">
        <w:rPr>
          <w:rFonts w:cstheme="minorHAnsi"/>
        </w:rPr>
        <w:t xml:space="preserve"> and </w:t>
      </w:r>
      <w:r w:rsidR="00D23AD3" w:rsidRPr="00025AB8">
        <w:rPr>
          <w:rFonts w:cstheme="minorHAnsi"/>
        </w:rPr>
        <w:t>legislative constraints.</w:t>
      </w:r>
      <w:r w:rsidR="00D23AD3" w:rsidRPr="006C24F9">
        <w:rPr>
          <w:rFonts w:cstheme="minorHAnsi"/>
        </w:rPr>
        <w:t xml:space="preserve"> </w:t>
      </w:r>
    </w:p>
    <w:p w14:paraId="36F5BAC2" w14:textId="77777777" w:rsidR="009A1B91" w:rsidRPr="006C24F9" w:rsidRDefault="009A1B91" w:rsidP="006C24F9">
      <w:pPr>
        <w:rPr>
          <w:rFonts w:cstheme="minorHAnsi"/>
        </w:rPr>
      </w:pPr>
    </w:p>
    <w:p w14:paraId="128C08C7" w14:textId="4BDBFE7C" w:rsidR="00AB1077" w:rsidRPr="006C24F9" w:rsidRDefault="001360A3" w:rsidP="006C24F9">
      <w:pPr>
        <w:rPr>
          <w:rFonts w:cstheme="minorHAnsi"/>
        </w:rPr>
      </w:pPr>
      <w:r w:rsidRPr="006C24F9">
        <w:rPr>
          <w:rFonts w:cstheme="minorHAnsi"/>
        </w:rPr>
        <w:t xml:space="preserve">Thirdly, </w:t>
      </w:r>
      <w:r w:rsidR="008E51CC">
        <w:rPr>
          <w:rFonts w:cstheme="minorHAnsi"/>
        </w:rPr>
        <w:t xml:space="preserve">the </w:t>
      </w:r>
      <w:r w:rsidR="00AD7C21" w:rsidRPr="006C24F9">
        <w:rPr>
          <w:rFonts w:cstheme="minorHAnsi"/>
        </w:rPr>
        <w:t>multi-agency</w:t>
      </w:r>
      <w:r w:rsidR="00E4203F" w:rsidRPr="006C24F9">
        <w:rPr>
          <w:rFonts w:cstheme="minorHAnsi"/>
        </w:rPr>
        <w:t xml:space="preserve"> </w:t>
      </w:r>
      <w:r w:rsidR="006E2379">
        <w:rPr>
          <w:rFonts w:cstheme="minorHAnsi"/>
        </w:rPr>
        <w:t xml:space="preserve">emphasis involved testing </w:t>
      </w:r>
      <w:r w:rsidR="007C0E79">
        <w:rPr>
          <w:rFonts w:cstheme="minorHAnsi"/>
        </w:rPr>
        <w:t xml:space="preserve">substances </w:t>
      </w:r>
      <w:r w:rsidR="006E2379">
        <w:rPr>
          <w:rFonts w:cstheme="minorHAnsi"/>
        </w:rPr>
        <w:t xml:space="preserve">of </w:t>
      </w:r>
      <w:r w:rsidR="007C0E79">
        <w:rPr>
          <w:rFonts w:cstheme="minorHAnsi"/>
        </w:rPr>
        <w:t xml:space="preserve">concern </w:t>
      </w:r>
      <w:r w:rsidR="004E10A0">
        <w:rPr>
          <w:rFonts w:cstheme="minorHAnsi"/>
        </w:rPr>
        <w:t xml:space="preserve">and sharing </w:t>
      </w:r>
      <w:r w:rsidR="00CA3851">
        <w:rPr>
          <w:rFonts w:cstheme="minorHAnsi"/>
        </w:rPr>
        <w:t xml:space="preserve">test </w:t>
      </w:r>
      <w:r w:rsidR="004E10A0">
        <w:rPr>
          <w:rFonts w:cstheme="minorHAnsi"/>
        </w:rPr>
        <w:t xml:space="preserve">results </w:t>
      </w:r>
      <w:r w:rsidR="002B6665" w:rsidRPr="006C24F9">
        <w:rPr>
          <w:rFonts w:cstheme="minorHAnsi"/>
        </w:rPr>
        <w:t xml:space="preserve">with stakeholders </w:t>
      </w:r>
      <w:r w:rsidR="006E2379">
        <w:rPr>
          <w:rFonts w:cstheme="minorHAnsi"/>
        </w:rPr>
        <w:t>daily</w:t>
      </w:r>
      <w:r w:rsidR="00B3560A" w:rsidRPr="006C24F9">
        <w:rPr>
          <w:rFonts w:cstheme="minorHAnsi"/>
        </w:rPr>
        <w:t xml:space="preserve"> </w:t>
      </w:r>
      <w:r w:rsidR="002B6665" w:rsidRPr="006C24F9">
        <w:rPr>
          <w:rFonts w:cstheme="minorHAnsi"/>
        </w:rPr>
        <w:t>(Fisher and Measham</w:t>
      </w:r>
      <w:r w:rsidR="00CF054B" w:rsidRPr="006C24F9">
        <w:rPr>
          <w:rFonts w:cstheme="minorHAnsi"/>
        </w:rPr>
        <w:t>,</w:t>
      </w:r>
      <w:r w:rsidR="002B6665" w:rsidRPr="006C24F9">
        <w:rPr>
          <w:rFonts w:cstheme="minorHAnsi"/>
        </w:rPr>
        <w:t xml:space="preserve"> 2018)</w:t>
      </w:r>
      <w:r w:rsidR="00281C2B" w:rsidRPr="006C24F9">
        <w:rPr>
          <w:rFonts w:cstheme="minorHAnsi"/>
        </w:rPr>
        <w:t>.</w:t>
      </w:r>
      <w:r w:rsidR="001E3097" w:rsidRPr="006C24F9">
        <w:rPr>
          <w:rFonts w:cstheme="minorHAnsi"/>
        </w:rPr>
        <w:t xml:space="preserve"> </w:t>
      </w:r>
      <w:r w:rsidR="000725B1">
        <w:rPr>
          <w:rFonts w:cstheme="minorHAnsi"/>
        </w:rPr>
        <w:t>Such p</w:t>
      </w:r>
      <w:r w:rsidR="000725B1" w:rsidRPr="006C24F9">
        <w:rPr>
          <w:rFonts w:cstheme="minorHAnsi"/>
        </w:rPr>
        <w:t>artnerships with medical, welfare and other emergency and support services facilitate prompt presentation</w:t>
      </w:r>
      <w:r w:rsidR="000725B1">
        <w:rPr>
          <w:rFonts w:cstheme="minorHAnsi"/>
        </w:rPr>
        <w:t>,</w:t>
      </w:r>
      <w:r w:rsidR="000725B1" w:rsidRPr="006C24F9">
        <w:rPr>
          <w:rFonts w:cstheme="minorHAnsi"/>
        </w:rPr>
        <w:t xml:space="preserve"> rapid diagnosis and </w:t>
      </w:r>
      <w:r w:rsidR="000725B1">
        <w:rPr>
          <w:rFonts w:cstheme="minorHAnsi"/>
        </w:rPr>
        <w:t xml:space="preserve">effective </w:t>
      </w:r>
      <w:r w:rsidR="000725B1" w:rsidRPr="006C24F9">
        <w:rPr>
          <w:rFonts w:cstheme="minorHAnsi"/>
        </w:rPr>
        <w:t>response to emergent conditions</w:t>
      </w:r>
      <w:r w:rsidR="000725B1">
        <w:rPr>
          <w:rFonts w:cstheme="minorHAnsi"/>
        </w:rPr>
        <w:t xml:space="preserve"> onsite and offsite</w:t>
      </w:r>
      <w:r w:rsidR="00CF591C">
        <w:rPr>
          <w:rFonts w:cstheme="minorHAnsi"/>
        </w:rPr>
        <w:t xml:space="preserve"> as well as trend monitoring</w:t>
      </w:r>
      <w:r w:rsidR="000725B1" w:rsidRPr="006C24F9">
        <w:rPr>
          <w:rFonts w:cstheme="minorHAnsi"/>
        </w:rPr>
        <w:t xml:space="preserve">. </w:t>
      </w:r>
      <w:r w:rsidR="0022459E">
        <w:rPr>
          <w:rFonts w:cstheme="minorHAnsi"/>
        </w:rPr>
        <w:t>Data on</w:t>
      </w:r>
      <w:r w:rsidR="00370CF7" w:rsidRPr="006C24F9">
        <w:rPr>
          <w:rFonts w:cstheme="minorHAnsi"/>
        </w:rPr>
        <w:t xml:space="preserve"> content and strength of submitted substances of concern </w:t>
      </w:r>
      <w:r w:rsidR="0022459E">
        <w:rPr>
          <w:rFonts w:cstheme="minorHAnsi"/>
        </w:rPr>
        <w:t xml:space="preserve">were </w:t>
      </w:r>
      <w:r w:rsidR="00950F1F">
        <w:rPr>
          <w:rFonts w:cstheme="minorHAnsi"/>
        </w:rPr>
        <w:t xml:space="preserve">also </w:t>
      </w:r>
      <w:r w:rsidR="00370CF7" w:rsidRPr="006C24F9">
        <w:rPr>
          <w:rFonts w:cstheme="minorHAnsi"/>
        </w:rPr>
        <w:t xml:space="preserve">passed to </w:t>
      </w:r>
      <w:r w:rsidR="00950F1F">
        <w:rPr>
          <w:rFonts w:cstheme="minorHAnsi"/>
        </w:rPr>
        <w:t xml:space="preserve">offsite </w:t>
      </w:r>
      <w:r w:rsidR="000725B1">
        <w:rPr>
          <w:rFonts w:cstheme="minorHAnsi"/>
        </w:rPr>
        <w:t>stakeholders</w:t>
      </w:r>
      <w:r w:rsidR="00D72FAD">
        <w:rPr>
          <w:rFonts w:cstheme="minorHAnsi"/>
        </w:rPr>
        <w:t xml:space="preserve"> and to</w:t>
      </w:r>
      <w:r w:rsidR="00370CF7" w:rsidRPr="006C24F9">
        <w:rPr>
          <w:rFonts w:cstheme="minorHAnsi"/>
        </w:rPr>
        <w:t xml:space="preserve"> </w:t>
      </w:r>
      <w:r w:rsidR="008D1EC0" w:rsidRPr="006C24F9">
        <w:rPr>
          <w:rFonts w:cstheme="minorHAnsi"/>
        </w:rPr>
        <w:t xml:space="preserve">local, national and international early warning systems </w:t>
      </w:r>
      <w:r w:rsidR="008D1EC0">
        <w:rPr>
          <w:rFonts w:cstheme="minorHAnsi"/>
        </w:rPr>
        <w:t>(</w:t>
      </w:r>
      <w:proofErr w:type="spellStart"/>
      <w:r w:rsidR="008D1EC0">
        <w:rPr>
          <w:rFonts w:cstheme="minorHAnsi"/>
        </w:rPr>
        <w:t>eg</w:t>
      </w:r>
      <w:proofErr w:type="spellEnd"/>
      <w:r w:rsidR="008D1EC0">
        <w:rPr>
          <w:rFonts w:cstheme="minorHAnsi"/>
        </w:rPr>
        <w:t xml:space="preserve"> </w:t>
      </w:r>
      <w:r w:rsidR="00B64E82" w:rsidRPr="006C24F9">
        <w:rPr>
          <w:rFonts w:cstheme="minorHAnsi"/>
        </w:rPr>
        <w:t>EMCDDA, 2012</w:t>
      </w:r>
      <w:r w:rsidR="00B64E82">
        <w:rPr>
          <w:rFonts w:cstheme="minorHAnsi"/>
        </w:rPr>
        <w:t xml:space="preserve">, </w:t>
      </w:r>
      <w:r w:rsidR="00B64E82" w:rsidRPr="006C24F9">
        <w:rPr>
          <w:rFonts w:cstheme="minorHAnsi"/>
        </w:rPr>
        <w:t xml:space="preserve">2019; </w:t>
      </w:r>
      <w:r w:rsidR="008D1EC0">
        <w:rPr>
          <w:rFonts w:cstheme="minorHAnsi"/>
        </w:rPr>
        <w:t>Measham, 2020)</w:t>
      </w:r>
      <w:r w:rsidR="00D72FAD">
        <w:rPr>
          <w:rFonts w:cstheme="minorHAnsi"/>
        </w:rPr>
        <w:t xml:space="preserve"> and</w:t>
      </w:r>
      <w:r w:rsidR="008D1EC0">
        <w:rPr>
          <w:rFonts w:cstheme="minorHAnsi"/>
        </w:rPr>
        <w:t xml:space="preserve"> other </w:t>
      </w:r>
      <w:r w:rsidR="00894B9F">
        <w:rPr>
          <w:rFonts w:cstheme="minorHAnsi"/>
        </w:rPr>
        <w:t xml:space="preserve">international </w:t>
      </w:r>
      <w:r w:rsidR="008D1EC0">
        <w:rPr>
          <w:rFonts w:cstheme="minorHAnsi"/>
        </w:rPr>
        <w:t>drug checking NGOs</w:t>
      </w:r>
      <w:r w:rsidR="00D72FAD">
        <w:rPr>
          <w:rFonts w:cstheme="minorHAnsi"/>
        </w:rPr>
        <w:t>. A</w:t>
      </w:r>
      <w:r w:rsidR="00714A46">
        <w:rPr>
          <w:rFonts w:cstheme="minorHAnsi"/>
        </w:rPr>
        <w:t xml:space="preserve"> number of </w:t>
      </w:r>
      <w:r w:rsidR="00763751" w:rsidRPr="006C24F9">
        <w:rPr>
          <w:rFonts w:cstheme="minorHAnsi"/>
        </w:rPr>
        <w:t xml:space="preserve">media and </w:t>
      </w:r>
      <w:r w:rsidR="00D05AAF" w:rsidRPr="006C24F9">
        <w:rPr>
          <w:rFonts w:cstheme="minorHAnsi"/>
        </w:rPr>
        <w:t>s</w:t>
      </w:r>
      <w:r w:rsidR="00AB1077" w:rsidRPr="006C24F9">
        <w:rPr>
          <w:rFonts w:cstheme="minorHAnsi"/>
        </w:rPr>
        <w:t xml:space="preserve">ocial media </w:t>
      </w:r>
      <w:r w:rsidR="006F12D4" w:rsidRPr="006C24F9">
        <w:rPr>
          <w:rFonts w:cstheme="minorHAnsi"/>
        </w:rPr>
        <w:t xml:space="preserve">alerts </w:t>
      </w:r>
      <w:r w:rsidR="000725B1">
        <w:rPr>
          <w:rFonts w:cstheme="minorHAnsi"/>
        </w:rPr>
        <w:t>were</w:t>
      </w:r>
      <w:r w:rsidR="00560BAA">
        <w:rPr>
          <w:rFonts w:cstheme="minorHAnsi"/>
        </w:rPr>
        <w:t xml:space="preserve"> </w:t>
      </w:r>
      <w:r w:rsidR="004765A9" w:rsidRPr="006C24F9">
        <w:rPr>
          <w:rFonts w:cstheme="minorHAnsi"/>
        </w:rPr>
        <w:t>issued</w:t>
      </w:r>
      <w:r w:rsidR="00560BAA">
        <w:rPr>
          <w:rFonts w:cstheme="minorHAnsi"/>
        </w:rPr>
        <w:t xml:space="preserve"> </w:t>
      </w:r>
      <w:r w:rsidR="00B965BF">
        <w:rPr>
          <w:rFonts w:cstheme="minorHAnsi"/>
        </w:rPr>
        <w:t>in partnership with</w:t>
      </w:r>
      <w:r w:rsidR="00560BAA">
        <w:rPr>
          <w:rFonts w:cstheme="minorHAnsi"/>
        </w:rPr>
        <w:t xml:space="preserve"> stakeholder</w:t>
      </w:r>
      <w:r w:rsidR="00B965BF">
        <w:rPr>
          <w:rFonts w:cstheme="minorHAnsi"/>
        </w:rPr>
        <w:t>s</w:t>
      </w:r>
      <w:r w:rsidR="00D72FAD">
        <w:rPr>
          <w:rFonts w:cstheme="minorHAnsi"/>
        </w:rPr>
        <w:t>,</w:t>
      </w:r>
      <w:r w:rsidR="00241BF8">
        <w:rPr>
          <w:rFonts w:cstheme="minorHAnsi"/>
        </w:rPr>
        <w:t xml:space="preserve"> following pre-</w:t>
      </w:r>
      <w:r w:rsidR="00950F1F">
        <w:rPr>
          <w:rFonts w:cstheme="minorHAnsi"/>
        </w:rPr>
        <w:t>agreed</w:t>
      </w:r>
      <w:r w:rsidR="00241BF8">
        <w:rPr>
          <w:rFonts w:cstheme="minorHAnsi"/>
        </w:rPr>
        <w:t xml:space="preserve"> protocols</w:t>
      </w:r>
      <w:r w:rsidR="00CF5F85">
        <w:rPr>
          <w:rFonts w:cstheme="minorHAnsi"/>
        </w:rPr>
        <w:t xml:space="preserve"> and in line with good practice (Sumnall and Atkinson, 2021)</w:t>
      </w:r>
      <w:r w:rsidR="008D1EC0">
        <w:rPr>
          <w:rFonts w:cstheme="minorHAnsi"/>
        </w:rPr>
        <w:t xml:space="preserve">. </w:t>
      </w:r>
    </w:p>
    <w:p w14:paraId="2B9785C9" w14:textId="60E3D741" w:rsidR="000112F7" w:rsidRDefault="000112F7" w:rsidP="000112F7">
      <w:pPr>
        <w:rPr>
          <w:rFonts w:cstheme="minorHAnsi"/>
        </w:rPr>
      </w:pPr>
    </w:p>
    <w:p w14:paraId="71CB35C8" w14:textId="2BF378A2" w:rsidR="00706033" w:rsidRPr="00706033" w:rsidRDefault="00706033" w:rsidP="00706033">
      <w:pPr>
        <w:rPr>
          <w:rFonts w:cstheme="minorHAnsi"/>
          <w:i/>
          <w:iCs/>
        </w:rPr>
      </w:pPr>
      <w:r w:rsidRPr="00706033">
        <w:rPr>
          <w:rFonts w:cstheme="minorHAnsi"/>
          <w:i/>
          <w:iCs/>
        </w:rPr>
        <w:t>Data collection</w:t>
      </w:r>
    </w:p>
    <w:p w14:paraId="40762AA4" w14:textId="77777777" w:rsidR="00706033" w:rsidRPr="00706033" w:rsidRDefault="00706033" w:rsidP="00706033">
      <w:pPr>
        <w:rPr>
          <w:rFonts w:cstheme="minorHAnsi"/>
        </w:rPr>
      </w:pPr>
    </w:p>
    <w:p w14:paraId="623E3426" w14:textId="1C6FACD6" w:rsidR="0069478B" w:rsidRDefault="00706033" w:rsidP="00706033">
      <w:pPr>
        <w:rPr>
          <w:rFonts w:cstheme="minorHAnsi"/>
        </w:rPr>
      </w:pPr>
      <w:r w:rsidRPr="00706033">
        <w:rPr>
          <w:rFonts w:cstheme="minorHAnsi"/>
        </w:rPr>
        <w:t>T</w:t>
      </w:r>
      <w:r w:rsidR="0069478B">
        <w:rPr>
          <w:rFonts w:cstheme="minorHAnsi"/>
        </w:rPr>
        <w:t xml:space="preserve">hree </w:t>
      </w:r>
      <w:r w:rsidR="00F021F7">
        <w:rPr>
          <w:rFonts w:cstheme="minorHAnsi"/>
        </w:rPr>
        <w:t xml:space="preserve">electronic </w:t>
      </w:r>
      <w:r w:rsidRPr="00706033">
        <w:rPr>
          <w:rFonts w:cstheme="minorHAnsi"/>
        </w:rPr>
        <w:t xml:space="preserve">data collection sources were utilised: </w:t>
      </w:r>
      <w:r w:rsidR="0069478B">
        <w:rPr>
          <w:rFonts w:cstheme="minorHAnsi"/>
        </w:rPr>
        <w:t xml:space="preserve">two </w:t>
      </w:r>
      <w:r w:rsidRPr="00706033">
        <w:rPr>
          <w:rFonts w:cstheme="minorHAnsi"/>
        </w:rPr>
        <w:t>onsite</w:t>
      </w:r>
      <w:r w:rsidR="008020FC">
        <w:rPr>
          <w:rFonts w:cstheme="minorHAnsi"/>
        </w:rPr>
        <w:t>,</w:t>
      </w:r>
      <w:r w:rsidRPr="00706033">
        <w:rPr>
          <w:rFonts w:cstheme="minorHAnsi"/>
        </w:rPr>
        <w:t xml:space="preserve"> and </w:t>
      </w:r>
      <w:r w:rsidR="0069478B">
        <w:rPr>
          <w:rFonts w:cstheme="minorHAnsi"/>
        </w:rPr>
        <w:t xml:space="preserve">one </w:t>
      </w:r>
      <w:r w:rsidRPr="00706033">
        <w:rPr>
          <w:rFonts w:cstheme="minorHAnsi"/>
        </w:rPr>
        <w:t xml:space="preserve">online three to four months </w:t>
      </w:r>
      <w:r w:rsidR="00047CB2">
        <w:rPr>
          <w:rFonts w:cstheme="minorHAnsi"/>
        </w:rPr>
        <w:t xml:space="preserve">after the festival finished </w:t>
      </w:r>
      <w:r w:rsidRPr="00706033">
        <w:rPr>
          <w:rFonts w:cstheme="minorHAnsi"/>
        </w:rPr>
        <w:t xml:space="preserve">(see Table 1 and Chart 1). </w:t>
      </w:r>
      <w:r w:rsidR="007352B6">
        <w:rPr>
          <w:rFonts w:cstheme="minorHAnsi"/>
        </w:rPr>
        <w:t xml:space="preserve">Firstly, </w:t>
      </w:r>
      <w:r w:rsidR="0069478B">
        <w:rPr>
          <w:rFonts w:cstheme="minorHAnsi"/>
        </w:rPr>
        <w:t xml:space="preserve">a </w:t>
      </w:r>
      <w:proofErr w:type="spellStart"/>
      <w:r w:rsidR="0069478B">
        <w:rPr>
          <w:rFonts w:cstheme="minorHAnsi"/>
        </w:rPr>
        <w:t>self complete</w:t>
      </w:r>
      <w:proofErr w:type="spellEnd"/>
      <w:r w:rsidR="0069478B">
        <w:rPr>
          <w:rFonts w:cstheme="minorHAnsi"/>
        </w:rPr>
        <w:t xml:space="preserve"> questionnaire was </w:t>
      </w:r>
      <w:r w:rsidR="00047CB2">
        <w:rPr>
          <w:rFonts w:cstheme="minorHAnsi"/>
        </w:rPr>
        <w:t>utilised at sample submission</w:t>
      </w:r>
      <w:r w:rsidR="0069478B">
        <w:rPr>
          <w:rFonts w:cstheme="minorHAnsi"/>
        </w:rPr>
        <w:t xml:space="preserve">. The questionnaire asked the service user what the </w:t>
      </w:r>
      <w:r w:rsidR="00047CB2">
        <w:rPr>
          <w:rFonts w:cstheme="minorHAnsi"/>
        </w:rPr>
        <w:t xml:space="preserve">submitted </w:t>
      </w:r>
      <w:r w:rsidR="0069478B">
        <w:rPr>
          <w:rFonts w:cstheme="minorHAnsi"/>
        </w:rPr>
        <w:t xml:space="preserve">substance of concern was </w:t>
      </w:r>
      <w:r w:rsidR="00153134">
        <w:rPr>
          <w:rFonts w:cstheme="minorHAnsi"/>
        </w:rPr>
        <w:t>sold</w:t>
      </w:r>
      <w:r w:rsidR="0069478B">
        <w:rPr>
          <w:rFonts w:cstheme="minorHAnsi"/>
        </w:rPr>
        <w:t xml:space="preserve"> or acquired as; what the service user thought it </w:t>
      </w:r>
      <w:r w:rsidR="00713B74">
        <w:rPr>
          <w:rFonts w:cstheme="minorHAnsi"/>
        </w:rPr>
        <w:t>contained</w:t>
      </w:r>
      <w:r w:rsidR="0069478B">
        <w:rPr>
          <w:rFonts w:cstheme="minorHAnsi"/>
        </w:rPr>
        <w:t>; if the</w:t>
      </w:r>
      <w:r w:rsidR="008A2080">
        <w:rPr>
          <w:rFonts w:cstheme="minorHAnsi"/>
        </w:rPr>
        <w:t>y</w:t>
      </w:r>
      <w:r w:rsidR="0069478B">
        <w:rPr>
          <w:rFonts w:cstheme="minorHAnsi"/>
        </w:rPr>
        <w:t xml:space="preserve"> or anyone they knew had </w:t>
      </w:r>
      <w:r w:rsidR="00713B74">
        <w:rPr>
          <w:rFonts w:cstheme="minorHAnsi"/>
        </w:rPr>
        <w:t xml:space="preserve">consumed </w:t>
      </w:r>
      <w:r w:rsidR="0069478B">
        <w:rPr>
          <w:rFonts w:cstheme="minorHAnsi"/>
        </w:rPr>
        <w:t xml:space="preserve">the substance; and if yes, if they had a bad experience with it. </w:t>
      </w:r>
      <w:r w:rsidR="008A2080">
        <w:rPr>
          <w:rFonts w:cstheme="minorHAnsi"/>
        </w:rPr>
        <w:t xml:space="preserve">This information </w:t>
      </w:r>
      <w:r w:rsidR="004D3F66">
        <w:rPr>
          <w:rFonts w:cstheme="minorHAnsi"/>
        </w:rPr>
        <w:t>directed</w:t>
      </w:r>
      <w:r w:rsidR="008020FC">
        <w:rPr>
          <w:rFonts w:cstheme="minorHAnsi"/>
        </w:rPr>
        <w:t xml:space="preserve"> </w:t>
      </w:r>
      <w:r w:rsidR="008A2080">
        <w:rPr>
          <w:rFonts w:cstheme="minorHAnsi"/>
        </w:rPr>
        <w:t xml:space="preserve">chemists to potential adulteration </w:t>
      </w:r>
      <w:r w:rsidR="00713B74">
        <w:rPr>
          <w:rFonts w:cstheme="minorHAnsi"/>
        </w:rPr>
        <w:t xml:space="preserve">before starting </w:t>
      </w:r>
      <w:r w:rsidR="008A2080">
        <w:rPr>
          <w:rFonts w:cstheme="minorHAnsi"/>
        </w:rPr>
        <w:t xml:space="preserve">their suite of </w:t>
      </w:r>
      <w:r w:rsidR="00511101">
        <w:rPr>
          <w:rFonts w:cstheme="minorHAnsi"/>
        </w:rPr>
        <w:t>chemical analyses</w:t>
      </w:r>
      <w:r w:rsidR="008A2080">
        <w:rPr>
          <w:rFonts w:cstheme="minorHAnsi"/>
        </w:rPr>
        <w:t xml:space="preserve">. </w:t>
      </w:r>
    </w:p>
    <w:p w14:paraId="0F4B6142" w14:textId="77777777" w:rsidR="0069478B" w:rsidRDefault="0069478B" w:rsidP="00706033">
      <w:pPr>
        <w:rPr>
          <w:rFonts w:cstheme="minorHAnsi"/>
        </w:rPr>
      </w:pPr>
    </w:p>
    <w:p w14:paraId="7E7A8288" w14:textId="1A379C76" w:rsidR="00F66FC0" w:rsidRDefault="0069478B" w:rsidP="00706033">
      <w:pPr>
        <w:rPr>
          <w:rFonts w:cstheme="minorHAnsi"/>
        </w:rPr>
      </w:pPr>
      <w:r>
        <w:rPr>
          <w:rFonts w:cstheme="minorHAnsi"/>
        </w:rPr>
        <w:t xml:space="preserve">Secondly, </w:t>
      </w:r>
      <w:r w:rsidR="002100FE">
        <w:rPr>
          <w:rFonts w:cstheme="minorHAnsi"/>
        </w:rPr>
        <w:t xml:space="preserve">face-to-face </w:t>
      </w:r>
      <w:r w:rsidR="00F021F7">
        <w:rPr>
          <w:rFonts w:cstheme="minorHAnsi"/>
        </w:rPr>
        <w:t xml:space="preserve">tailored </w:t>
      </w:r>
      <w:r w:rsidR="007352B6">
        <w:rPr>
          <w:rFonts w:cstheme="minorHAnsi"/>
        </w:rPr>
        <w:t xml:space="preserve">BIs were </w:t>
      </w:r>
      <w:r w:rsidR="00706033" w:rsidRPr="00706033">
        <w:rPr>
          <w:rFonts w:cstheme="minorHAnsi"/>
        </w:rPr>
        <w:t xml:space="preserve">delivered directly to 3,498 festival-goers </w:t>
      </w:r>
      <w:r w:rsidR="00895314">
        <w:rPr>
          <w:rFonts w:cstheme="minorHAnsi"/>
        </w:rPr>
        <w:t xml:space="preserve">in </w:t>
      </w:r>
      <w:bookmarkStart w:id="8" w:name="_Hlk60246852"/>
      <w:r w:rsidR="00895314" w:rsidRPr="00706033">
        <w:rPr>
          <w:rFonts w:cstheme="minorHAnsi"/>
        </w:rPr>
        <w:t xml:space="preserve">1,482 </w:t>
      </w:r>
      <w:r w:rsidR="00895314">
        <w:rPr>
          <w:rFonts w:cstheme="minorHAnsi"/>
        </w:rPr>
        <w:t>friendship groups</w:t>
      </w:r>
      <w:bookmarkEnd w:id="8"/>
      <w:r w:rsidR="00895314">
        <w:rPr>
          <w:rFonts w:cstheme="minorHAnsi"/>
        </w:rPr>
        <w:t xml:space="preserve">, </w:t>
      </w:r>
      <w:r w:rsidR="00706033" w:rsidRPr="00706033">
        <w:rPr>
          <w:rFonts w:cstheme="minorHAnsi"/>
        </w:rPr>
        <w:t xml:space="preserve">along with their </w:t>
      </w:r>
      <w:r w:rsidR="00F021F7">
        <w:rPr>
          <w:rFonts w:cstheme="minorHAnsi"/>
        </w:rPr>
        <w:t xml:space="preserve">individual </w:t>
      </w:r>
      <w:r w:rsidR="00706033" w:rsidRPr="00706033">
        <w:rPr>
          <w:rFonts w:cstheme="minorHAnsi"/>
        </w:rPr>
        <w:t xml:space="preserve">test result. Data </w:t>
      </w:r>
      <w:r w:rsidR="00A11F71">
        <w:rPr>
          <w:rFonts w:cstheme="minorHAnsi"/>
        </w:rPr>
        <w:t xml:space="preserve">on service user responses </w:t>
      </w:r>
      <w:r w:rsidR="00706033" w:rsidRPr="00706033">
        <w:rPr>
          <w:rFonts w:cstheme="minorHAnsi"/>
        </w:rPr>
        <w:t xml:space="preserve">were collected </w:t>
      </w:r>
      <w:r w:rsidR="005F122D">
        <w:rPr>
          <w:rFonts w:cstheme="minorHAnsi"/>
        </w:rPr>
        <w:t xml:space="preserve">and </w:t>
      </w:r>
      <w:r w:rsidR="005F122D" w:rsidRPr="00706033">
        <w:rPr>
          <w:rFonts w:cstheme="minorHAnsi"/>
        </w:rPr>
        <w:t xml:space="preserve">electronically recorded by </w:t>
      </w:r>
      <w:r w:rsidR="005F122D">
        <w:rPr>
          <w:rFonts w:cstheme="minorHAnsi"/>
        </w:rPr>
        <w:t xml:space="preserve">health </w:t>
      </w:r>
      <w:r w:rsidR="005F122D" w:rsidRPr="00706033">
        <w:rPr>
          <w:rFonts w:cstheme="minorHAnsi"/>
        </w:rPr>
        <w:t xml:space="preserve">staff </w:t>
      </w:r>
      <w:r w:rsidR="004B2485">
        <w:rPr>
          <w:rFonts w:cstheme="minorHAnsi"/>
        </w:rPr>
        <w:t>during</w:t>
      </w:r>
      <w:r w:rsidR="00895314" w:rsidRPr="00706033">
        <w:rPr>
          <w:rFonts w:cstheme="minorHAnsi"/>
        </w:rPr>
        <w:t xml:space="preserve"> BI</w:t>
      </w:r>
      <w:r w:rsidR="004B2485">
        <w:rPr>
          <w:rFonts w:cstheme="minorHAnsi"/>
        </w:rPr>
        <w:t>s</w:t>
      </w:r>
      <w:r w:rsidR="00895314" w:rsidRPr="00706033">
        <w:rPr>
          <w:rFonts w:cstheme="minorHAnsi"/>
        </w:rPr>
        <w:t xml:space="preserve"> </w:t>
      </w:r>
      <w:r w:rsidR="009A1198" w:rsidRPr="00706033">
        <w:rPr>
          <w:rFonts w:cstheme="minorHAnsi"/>
        </w:rPr>
        <w:t>from 1,482 primary service users</w:t>
      </w:r>
      <w:r w:rsidR="009A1198">
        <w:rPr>
          <w:rFonts w:cstheme="minorHAnsi"/>
        </w:rPr>
        <w:t>,</w:t>
      </w:r>
      <w:r w:rsidR="009A1198" w:rsidRPr="00706033">
        <w:rPr>
          <w:rFonts w:cstheme="minorHAnsi"/>
        </w:rPr>
        <w:t xml:space="preserve"> </w:t>
      </w:r>
      <w:r w:rsidR="009A1198">
        <w:rPr>
          <w:rFonts w:cstheme="minorHAnsi"/>
        </w:rPr>
        <w:t xml:space="preserve">one </w:t>
      </w:r>
      <w:r w:rsidR="004612E7">
        <w:rPr>
          <w:rFonts w:cstheme="minorHAnsi"/>
        </w:rPr>
        <w:t xml:space="preserve">person </w:t>
      </w:r>
      <w:r w:rsidR="009A1198" w:rsidRPr="00706033">
        <w:rPr>
          <w:rFonts w:cstheme="minorHAnsi"/>
        </w:rPr>
        <w:t xml:space="preserve">nominated by </w:t>
      </w:r>
      <w:r w:rsidR="009A1198">
        <w:rPr>
          <w:rFonts w:cstheme="minorHAnsi"/>
        </w:rPr>
        <w:t xml:space="preserve">each </w:t>
      </w:r>
      <w:r w:rsidR="009142C2">
        <w:rPr>
          <w:rFonts w:cstheme="minorHAnsi"/>
        </w:rPr>
        <w:t xml:space="preserve">of the </w:t>
      </w:r>
      <w:r w:rsidR="009142C2" w:rsidRPr="009142C2">
        <w:rPr>
          <w:rFonts w:cstheme="minorHAnsi"/>
        </w:rPr>
        <w:t xml:space="preserve">1,482 friendship groups </w:t>
      </w:r>
      <w:r w:rsidR="009A1198" w:rsidRPr="00706033">
        <w:rPr>
          <w:rFonts w:cstheme="minorHAnsi"/>
        </w:rPr>
        <w:t>receiving the BI together</w:t>
      </w:r>
      <w:r w:rsidR="008A247B" w:rsidRPr="00706033">
        <w:rPr>
          <w:rFonts w:cstheme="minorHAnsi"/>
        </w:rPr>
        <w:t>.</w:t>
      </w:r>
      <w:r w:rsidR="007352B6">
        <w:rPr>
          <w:rFonts w:cstheme="minorHAnsi"/>
        </w:rPr>
        <w:t xml:space="preserve"> </w:t>
      </w:r>
      <w:r w:rsidR="00F138AB">
        <w:rPr>
          <w:rFonts w:cstheme="minorHAnsi"/>
        </w:rPr>
        <w:t>Data on o</w:t>
      </w:r>
      <w:r w:rsidR="00F03AEF">
        <w:rPr>
          <w:rFonts w:cstheme="minorHAnsi"/>
        </w:rPr>
        <w:t xml:space="preserve">utcomes were </w:t>
      </w:r>
      <w:r w:rsidR="008578EA">
        <w:rPr>
          <w:rFonts w:cstheme="minorHAnsi"/>
        </w:rPr>
        <w:t>recorded</w:t>
      </w:r>
      <w:r w:rsidR="00F03AEF">
        <w:rPr>
          <w:rFonts w:cstheme="minorHAnsi"/>
        </w:rPr>
        <w:t xml:space="preserve"> </w:t>
      </w:r>
      <w:r w:rsidR="00092B1E">
        <w:rPr>
          <w:rFonts w:cstheme="minorHAnsi"/>
        </w:rPr>
        <w:t>at</w:t>
      </w:r>
      <w:r w:rsidR="00F03AEF">
        <w:rPr>
          <w:rFonts w:cstheme="minorHAnsi"/>
        </w:rPr>
        <w:t xml:space="preserve"> the end of the BI.</w:t>
      </w:r>
    </w:p>
    <w:p w14:paraId="2819A9E7" w14:textId="77777777" w:rsidR="00F66FC0" w:rsidRDefault="00F66FC0" w:rsidP="00706033">
      <w:pPr>
        <w:rPr>
          <w:rFonts w:cstheme="minorHAnsi"/>
        </w:rPr>
      </w:pPr>
    </w:p>
    <w:p w14:paraId="5C254075" w14:textId="415E4499" w:rsidR="00706033" w:rsidRDefault="0069478B" w:rsidP="00706033">
      <w:pPr>
        <w:rPr>
          <w:rFonts w:cstheme="minorHAnsi"/>
        </w:rPr>
      </w:pPr>
      <w:r>
        <w:rPr>
          <w:rFonts w:cstheme="minorHAnsi"/>
        </w:rPr>
        <w:t>Thirdly, o</w:t>
      </w:r>
      <w:r w:rsidR="008A247B">
        <w:rPr>
          <w:rFonts w:cstheme="minorHAnsi"/>
        </w:rPr>
        <w:t xml:space="preserve">ver two in five </w:t>
      </w:r>
      <w:r w:rsidR="00706033" w:rsidRPr="00706033">
        <w:rPr>
          <w:rFonts w:cstheme="minorHAnsi"/>
        </w:rPr>
        <w:t>BI primary service users (44.3%</w:t>
      </w:r>
      <w:r w:rsidR="008A247B">
        <w:rPr>
          <w:rFonts w:cstheme="minorHAnsi"/>
        </w:rPr>
        <w:t>, n=</w:t>
      </w:r>
      <w:r w:rsidR="008A247B" w:rsidRPr="00706033">
        <w:rPr>
          <w:rFonts w:cstheme="minorHAnsi"/>
        </w:rPr>
        <w:t>657</w:t>
      </w:r>
      <w:r w:rsidR="008A247B">
        <w:rPr>
          <w:rFonts w:cstheme="minorHAnsi"/>
        </w:rPr>
        <w:t>)</w:t>
      </w:r>
      <w:r w:rsidR="00706033" w:rsidRPr="00706033">
        <w:rPr>
          <w:rFonts w:cstheme="minorHAnsi"/>
        </w:rPr>
        <w:t xml:space="preserve"> </w:t>
      </w:r>
      <w:r w:rsidR="009A1198">
        <w:rPr>
          <w:rFonts w:cstheme="minorHAnsi"/>
        </w:rPr>
        <w:t>consented</w:t>
      </w:r>
      <w:r w:rsidR="007352B6">
        <w:rPr>
          <w:rFonts w:cstheme="minorHAnsi"/>
        </w:rPr>
        <w:t xml:space="preserve"> </w:t>
      </w:r>
      <w:r w:rsidR="007352B6" w:rsidRPr="00706033">
        <w:rPr>
          <w:rFonts w:cstheme="minorHAnsi"/>
        </w:rPr>
        <w:t xml:space="preserve">to participate in an anonymous online follow-up survey </w:t>
      </w:r>
      <w:r w:rsidR="007352B6">
        <w:rPr>
          <w:rFonts w:cstheme="minorHAnsi"/>
        </w:rPr>
        <w:t xml:space="preserve">and </w:t>
      </w:r>
      <w:r w:rsidR="00706033" w:rsidRPr="00706033">
        <w:rPr>
          <w:rFonts w:cstheme="minorHAnsi"/>
        </w:rPr>
        <w:t xml:space="preserve">provided </w:t>
      </w:r>
      <w:r w:rsidR="007352B6">
        <w:rPr>
          <w:rFonts w:cstheme="minorHAnsi"/>
        </w:rPr>
        <w:t xml:space="preserve">their </w:t>
      </w:r>
      <w:r w:rsidR="00706033" w:rsidRPr="00706033">
        <w:rPr>
          <w:rFonts w:cstheme="minorHAnsi"/>
        </w:rPr>
        <w:t xml:space="preserve">email addresses </w:t>
      </w:r>
      <w:r w:rsidR="007352B6">
        <w:rPr>
          <w:rFonts w:cstheme="minorHAnsi"/>
        </w:rPr>
        <w:t>after BI</w:t>
      </w:r>
      <w:r w:rsidR="00F9353B">
        <w:rPr>
          <w:rFonts w:cstheme="minorHAnsi"/>
        </w:rPr>
        <w:t xml:space="preserve"> </w:t>
      </w:r>
      <w:r w:rsidR="0067302E">
        <w:rPr>
          <w:rFonts w:cstheme="minorHAnsi"/>
        </w:rPr>
        <w:t xml:space="preserve">and </w:t>
      </w:r>
      <w:r w:rsidR="00F9353B">
        <w:rPr>
          <w:rFonts w:cstheme="minorHAnsi"/>
        </w:rPr>
        <w:t>before leaving the service</w:t>
      </w:r>
      <w:r w:rsidR="003E7CD6">
        <w:rPr>
          <w:rFonts w:cstheme="minorHAnsi"/>
        </w:rPr>
        <w:t>, written on paper and deposited in a box</w:t>
      </w:r>
      <w:r w:rsidR="009142C2">
        <w:rPr>
          <w:rFonts w:cstheme="minorHAnsi"/>
        </w:rPr>
        <w:t xml:space="preserve"> by the entrance</w:t>
      </w:r>
      <w:r w:rsidR="00706033" w:rsidRPr="00706033">
        <w:rPr>
          <w:rFonts w:cstheme="minorHAnsi"/>
        </w:rPr>
        <w:t>. Eight in ten (n=526) of the submitted email addresses were legible and functioning three months later and were sent links to an online survey. One in four of those</w:t>
      </w:r>
      <w:r w:rsidR="005956FF">
        <w:rPr>
          <w:rFonts w:cstheme="minorHAnsi"/>
        </w:rPr>
        <w:t xml:space="preserve"> who consented to follow-up and provided </w:t>
      </w:r>
      <w:r w:rsidR="00DC0C14">
        <w:rPr>
          <w:rFonts w:cstheme="minorHAnsi"/>
        </w:rPr>
        <w:t xml:space="preserve">legible </w:t>
      </w:r>
      <w:r w:rsidR="005956FF">
        <w:rPr>
          <w:rFonts w:cstheme="minorHAnsi"/>
        </w:rPr>
        <w:t xml:space="preserve">email addresses (n=130) </w:t>
      </w:r>
      <w:r w:rsidR="00706033" w:rsidRPr="00706033">
        <w:rPr>
          <w:rFonts w:cstheme="minorHAnsi"/>
        </w:rPr>
        <w:t xml:space="preserve">fully completed the </w:t>
      </w:r>
      <w:r w:rsidR="003534A5">
        <w:rPr>
          <w:rFonts w:cstheme="minorHAnsi"/>
        </w:rPr>
        <w:t xml:space="preserve">online </w:t>
      </w:r>
      <w:r w:rsidR="00706033" w:rsidRPr="00706033">
        <w:rPr>
          <w:rFonts w:cstheme="minorHAnsi"/>
        </w:rPr>
        <w:t xml:space="preserve">follow-up survey </w:t>
      </w:r>
      <w:r w:rsidR="004612E7">
        <w:rPr>
          <w:rFonts w:cstheme="minorHAnsi"/>
        </w:rPr>
        <w:t xml:space="preserve">at </w:t>
      </w:r>
      <w:r w:rsidR="00706033" w:rsidRPr="00706033">
        <w:rPr>
          <w:rFonts w:cstheme="minorHAnsi"/>
        </w:rPr>
        <w:t xml:space="preserve">three </w:t>
      </w:r>
      <w:r w:rsidR="007326A7">
        <w:rPr>
          <w:rFonts w:cstheme="minorHAnsi"/>
        </w:rPr>
        <w:t xml:space="preserve">to four </w:t>
      </w:r>
      <w:r w:rsidR="00706033" w:rsidRPr="00706033">
        <w:rPr>
          <w:rFonts w:cstheme="minorHAnsi"/>
        </w:rPr>
        <w:t xml:space="preserve">months </w:t>
      </w:r>
      <w:r w:rsidR="004612E7">
        <w:rPr>
          <w:rFonts w:cstheme="minorHAnsi"/>
        </w:rPr>
        <w:t>after their BI</w:t>
      </w:r>
      <w:r w:rsidR="00706033" w:rsidRPr="00706033">
        <w:rPr>
          <w:rFonts w:cstheme="minorHAnsi"/>
        </w:rPr>
        <w:t>.</w:t>
      </w:r>
      <w:r w:rsidR="008A247B">
        <w:rPr>
          <w:rFonts w:cstheme="minorHAnsi"/>
        </w:rPr>
        <w:t xml:space="preserve"> </w:t>
      </w:r>
      <w:r w:rsidR="00F9353B">
        <w:rPr>
          <w:rFonts w:cstheme="minorHAnsi"/>
        </w:rPr>
        <w:t>Electronic datasets collected o</w:t>
      </w:r>
      <w:r w:rsidR="00E2639B">
        <w:rPr>
          <w:rFonts w:cstheme="minorHAnsi"/>
        </w:rPr>
        <w:t xml:space="preserve">nsite and online </w:t>
      </w:r>
      <w:r w:rsidR="008A247B">
        <w:rPr>
          <w:rFonts w:cstheme="minorHAnsi"/>
        </w:rPr>
        <w:t xml:space="preserve">were </w:t>
      </w:r>
      <w:r w:rsidR="003139F3">
        <w:rPr>
          <w:rFonts w:cstheme="minorHAnsi"/>
        </w:rPr>
        <w:t xml:space="preserve">cleaned, conditioned and </w:t>
      </w:r>
      <w:r w:rsidR="008A247B" w:rsidRPr="008A247B">
        <w:rPr>
          <w:rFonts w:cstheme="minorHAnsi"/>
        </w:rPr>
        <w:t xml:space="preserve">analysed by the authors using </w:t>
      </w:r>
      <w:r w:rsidR="004612E7">
        <w:rPr>
          <w:rFonts w:cstheme="minorHAnsi"/>
        </w:rPr>
        <w:t xml:space="preserve">Python, </w:t>
      </w:r>
      <w:r w:rsidR="008A247B" w:rsidRPr="008A247B">
        <w:rPr>
          <w:rFonts w:cstheme="minorHAnsi"/>
        </w:rPr>
        <w:t xml:space="preserve">Excel and SPSS statistical software. Ethical approval </w:t>
      </w:r>
      <w:r w:rsidR="00EB2B1B">
        <w:rPr>
          <w:rFonts w:cstheme="minorHAnsi"/>
        </w:rPr>
        <w:t xml:space="preserve">was </w:t>
      </w:r>
      <w:r w:rsidR="008A247B" w:rsidRPr="008A247B">
        <w:rPr>
          <w:rFonts w:cstheme="minorHAnsi"/>
        </w:rPr>
        <w:t xml:space="preserve">obtained from </w:t>
      </w:r>
      <w:r w:rsidR="007326A7">
        <w:rPr>
          <w:rFonts w:cstheme="minorHAnsi"/>
        </w:rPr>
        <w:t>Durham</w:t>
      </w:r>
      <w:r w:rsidR="008A247B" w:rsidRPr="008A247B">
        <w:rPr>
          <w:rFonts w:cstheme="minorHAnsi"/>
        </w:rPr>
        <w:t xml:space="preserve"> </w:t>
      </w:r>
      <w:r w:rsidR="007326A7">
        <w:rPr>
          <w:rFonts w:cstheme="minorHAnsi"/>
        </w:rPr>
        <w:t>U</w:t>
      </w:r>
      <w:r w:rsidR="008A247B" w:rsidRPr="008A247B">
        <w:rPr>
          <w:rFonts w:cstheme="minorHAnsi"/>
        </w:rPr>
        <w:t xml:space="preserve">niversity and stakeholder </w:t>
      </w:r>
      <w:r w:rsidR="008A247B">
        <w:rPr>
          <w:rFonts w:cstheme="minorHAnsi"/>
        </w:rPr>
        <w:t>approval</w:t>
      </w:r>
      <w:r w:rsidR="008A247B" w:rsidRPr="008A247B">
        <w:rPr>
          <w:rFonts w:cstheme="minorHAnsi"/>
        </w:rPr>
        <w:t xml:space="preserve"> for the drug checking service </w:t>
      </w:r>
      <w:r w:rsidR="008A247B">
        <w:rPr>
          <w:rFonts w:cstheme="minorHAnsi"/>
        </w:rPr>
        <w:t xml:space="preserve">was obtained </w:t>
      </w:r>
      <w:r w:rsidR="008A247B" w:rsidRPr="008A247B">
        <w:rPr>
          <w:rFonts w:cstheme="minorHAnsi"/>
        </w:rPr>
        <w:t xml:space="preserve">from </w:t>
      </w:r>
      <w:r w:rsidR="008A247B">
        <w:rPr>
          <w:rFonts w:cstheme="minorHAnsi"/>
        </w:rPr>
        <w:t>the relevant</w:t>
      </w:r>
      <w:r w:rsidR="008A247B" w:rsidRPr="008A247B">
        <w:rPr>
          <w:rFonts w:cstheme="minorHAnsi"/>
        </w:rPr>
        <w:t xml:space="preserve"> local authorities, </w:t>
      </w:r>
      <w:r w:rsidR="008A247B">
        <w:rPr>
          <w:rFonts w:cstheme="minorHAnsi"/>
        </w:rPr>
        <w:t xml:space="preserve">police, </w:t>
      </w:r>
      <w:r w:rsidR="008A247B" w:rsidRPr="008A247B">
        <w:rPr>
          <w:rFonts w:cstheme="minorHAnsi"/>
        </w:rPr>
        <w:t>public health and festival management</w:t>
      </w:r>
      <w:r w:rsidR="008A247B">
        <w:rPr>
          <w:rFonts w:cstheme="minorHAnsi"/>
        </w:rPr>
        <w:t>.</w:t>
      </w:r>
      <w:r w:rsidR="001F5E84">
        <w:rPr>
          <w:rFonts w:cstheme="minorHAnsi"/>
        </w:rPr>
        <w:t xml:space="preserve"> In order to prioritise trust and engagement with a novel drug checking service in only the second year of its delivery in the UK, both the BI and follow-up survey were anonymous and therefore data </w:t>
      </w:r>
      <w:r w:rsidR="00C66255">
        <w:rPr>
          <w:rFonts w:cstheme="minorHAnsi"/>
        </w:rPr>
        <w:t>were</w:t>
      </w:r>
      <w:r w:rsidR="00FF4F31">
        <w:rPr>
          <w:rFonts w:cstheme="minorHAnsi"/>
        </w:rPr>
        <w:t xml:space="preserve"> not </w:t>
      </w:r>
      <w:r w:rsidR="001F5E84">
        <w:rPr>
          <w:rFonts w:cstheme="minorHAnsi"/>
        </w:rPr>
        <w:t xml:space="preserve">individually </w:t>
      </w:r>
      <w:r w:rsidR="00FF4F31">
        <w:rPr>
          <w:rFonts w:cstheme="minorHAnsi"/>
        </w:rPr>
        <w:t>matched</w:t>
      </w:r>
      <w:r w:rsidR="001F5E84">
        <w:rPr>
          <w:rFonts w:cstheme="minorHAnsi"/>
        </w:rPr>
        <w:t xml:space="preserve">. </w:t>
      </w:r>
    </w:p>
    <w:p w14:paraId="451B8AD8" w14:textId="77777777" w:rsidR="00C4484B" w:rsidRPr="00C4484B" w:rsidRDefault="00C4484B" w:rsidP="00C4484B">
      <w:pPr>
        <w:rPr>
          <w:rFonts w:cstheme="minorHAnsi"/>
        </w:rPr>
      </w:pPr>
    </w:p>
    <w:p w14:paraId="4CAA5AE8" w14:textId="77777777" w:rsidR="00C4484B" w:rsidRPr="00C4484B" w:rsidRDefault="00C4484B" w:rsidP="00C4484B">
      <w:pPr>
        <w:rPr>
          <w:rFonts w:cstheme="minorHAnsi"/>
        </w:rPr>
      </w:pPr>
      <w:r w:rsidRPr="00C4484B">
        <w:rPr>
          <w:rFonts w:cstheme="minorHAnsi"/>
        </w:rPr>
        <w:t>[Table 1 and Chart 1 about here]</w:t>
      </w:r>
    </w:p>
    <w:p w14:paraId="3FBABA03" w14:textId="77777777" w:rsidR="00404D8D" w:rsidRPr="006C24F9" w:rsidRDefault="00404D8D" w:rsidP="00404D8D">
      <w:pPr>
        <w:rPr>
          <w:rFonts w:cstheme="minorHAnsi"/>
        </w:rPr>
      </w:pPr>
    </w:p>
    <w:p w14:paraId="35A3E703" w14:textId="77D5A001" w:rsidR="00DE40AE" w:rsidRPr="006C24F9" w:rsidRDefault="00DE40AE" w:rsidP="006C24F9">
      <w:pPr>
        <w:rPr>
          <w:rFonts w:cstheme="minorHAnsi"/>
          <w:b/>
        </w:rPr>
      </w:pPr>
      <w:r w:rsidRPr="006C24F9">
        <w:rPr>
          <w:rFonts w:cstheme="minorHAnsi"/>
          <w:b/>
        </w:rPr>
        <w:t>Results</w:t>
      </w:r>
    </w:p>
    <w:p w14:paraId="62507690" w14:textId="77777777" w:rsidR="001610CA" w:rsidRDefault="001610CA" w:rsidP="00D9398D">
      <w:pPr>
        <w:rPr>
          <w:rFonts w:cstheme="minorHAnsi"/>
        </w:rPr>
      </w:pPr>
    </w:p>
    <w:p w14:paraId="394C76A3" w14:textId="0ABE7C1F" w:rsidR="001610CA" w:rsidRPr="001610CA" w:rsidRDefault="001610CA" w:rsidP="00D9398D">
      <w:pPr>
        <w:rPr>
          <w:rFonts w:cstheme="minorHAnsi"/>
          <w:i/>
          <w:iCs/>
        </w:rPr>
      </w:pPr>
      <w:r w:rsidRPr="001610CA">
        <w:rPr>
          <w:rFonts w:cstheme="minorHAnsi"/>
          <w:i/>
          <w:iCs/>
        </w:rPr>
        <w:lastRenderedPageBreak/>
        <w:t>Sample demographics</w:t>
      </w:r>
    </w:p>
    <w:p w14:paraId="0C2B7DF7" w14:textId="77777777" w:rsidR="001610CA" w:rsidRDefault="001610CA" w:rsidP="00D9398D">
      <w:pPr>
        <w:rPr>
          <w:rFonts w:cstheme="minorHAnsi"/>
        </w:rPr>
      </w:pPr>
    </w:p>
    <w:p w14:paraId="65E556BF" w14:textId="4BAA2D58" w:rsidR="00D9398D" w:rsidRDefault="00F429A8" w:rsidP="00D9398D">
      <w:pPr>
        <w:rPr>
          <w:rFonts w:cstheme="minorHAnsi"/>
        </w:rPr>
      </w:pPr>
      <w:r>
        <w:rPr>
          <w:rFonts w:cstheme="minorHAnsi"/>
        </w:rPr>
        <w:t xml:space="preserve">2017 </w:t>
      </w:r>
      <w:r w:rsidR="009F5785">
        <w:rPr>
          <w:rFonts w:cstheme="minorHAnsi"/>
        </w:rPr>
        <w:t>festival</w:t>
      </w:r>
      <w:r w:rsidR="009E601F">
        <w:rPr>
          <w:rFonts w:cstheme="minorHAnsi"/>
        </w:rPr>
        <w:t xml:space="preserve"> </w:t>
      </w:r>
      <w:r w:rsidR="001610CA">
        <w:rPr>
          <w:rFonts w:cstheme="minorHAnsi"/>
        </w:rPr>
        <w:t>BI p</w:t>
      </w:r>
      <w:r w:rsidR="001610CA" w:rsidRPr="001610CA">
        <w:rPr>
          <w:rFonts w:cstheme="minorHAnsi"/>
        </w:rPr>
        <w:t>rimary service users were 64% male, 86.4% identified as white</w:t>
      </w:r>
      <w:r w:rsidR="00D27631">
        <w:rPr>
          <w:rFonts w:cstheme="minorHAnsi"/>
        </w:rPr>
        <w:t xml:space="preserve"> </w:t>
      </w:r>
      <w:r w:rsidR="001610CA" w:rsidRPr="001610CA">
        <w:rPr>
          <w:rFonts w:cstheme="minorHAnsi"/>
        </w:rPr>
        <w:t xml:space="preserve">and </w:t>
      </w:r>
      <w:r w:rsidR="00502D2D">
        <w:rPr>
          <w:rFonts w:cstheme="minorHAnsi"/>
        </w:rPr>
        <w:t xml:space="preserve">had </w:t>
      </w:r>
      <w:r w:rsidR="001610CA" w:rsidRPr="001610CA">
        <w:rPr>
          <w:rFonts w:cstheme="minorHAnsi"/>
        </w:rPr>
        <w:t>a mean age of 23.5 years old.</w:t>
      </w:r>
      <w:r w:rsidR="001610CA">
        <w:rPr>
          <w:rFonts w:cstheme="minorHAnsi"/>
        </w:rPr>
        <w:t xml:space="preserve"> Follow-up sub-sample respondents were </w:t>
      </w:r>
      <w:r w:rsidR="001610CA" w:rsidRPr="00405297">
        <w:rPr>
          <w:rFonts w:cstheme="minorHAnsi"/>
        </w:rPr>
        <w:t xml:space="preserve">60% male, 90% identified as white and </w:t>
      </w:r>
      <w:r w:rsidR="00502D2D">
        <w:rPr>
          <w:rFonts w:cstheme="minorHAnsi"/>
        </w:rPr>
        <w:t xml:space="preserve">had </w:t>
      </w:r>
      <w:r w:rsidR="001610CA" w:rsidRPr="00405297">
        <w:rPr>
          <w:rFonts w:cstheme="minorHAnsi"/>
        </w:rPr>
        <w:t xml:space="preserve">a mean age of 23.4 years old. </w:t>
      </w:r>
      <w:r w:rsidR="00ED6F22">
        <w:rPr>
          <w:rFonts w:cstheme="minorHAnsi"/>
        </w:rPr>
        <w:t xml:space="preserve">There were no statistically significant differences between the gender and age of BI and </w:t>
      </w:r>
      <w:r w:rsidR="00ED6F22" w:rsidRPr="00405297">
        <w:rPr>
          <w:rFonts w:cstheme="minorHAnsi"/>
        </w:rPr>
        <w:t xml:space="preserve">follow-up </w:t>
      </w:r>
      <w:r w:rsidR="00262F04">
        <w:rPr>
          <w:rFonts w:cstheme="minorHAnsi"/>
        </w:rPr>
        <w:t>service users</w:t>
      </w:r>
      <w:r w:rsidR="001610CA" w:rsidRPr="00405297">
        <w:rPr>
          <w:rFonts w:cstheme="minorHAnsi"/>
        </w:rPr>
        <w:t xml:space="preserve"> </w:t>
      </w:r>
      <w:r w:rsidR="001A71F5">
        <w:rPr>
          <w:rFonts w:cstheme="minorHAnsi"/>
        </w:rPr>
        <w:t>(s</w:t>
      </w:r>
      <w:r w:rsidR="001610CA" w:rsidRPr="006C24F9">
        <w:rPr>
          <w:rFonts w:cstheme="minorHAnsi"/>
        </w:rPr>
        <w:t>ee Table 2</w:t>
      </w:r>
      <w:r w:rsidR="001A71F5">
        <w:rPr>
          <w:rFonts w:cstheme="minorHAnsi"/>
        </w:rPr>
        <w:t>)</w:t>
      </w:r>
      <w:r w:rsidR="001610CA" w:rsidRPr="006C24F9">
        <w:rPr>
          <w:rFonts w:cstheme="minorHAnsi"/>
        </w:rPr>
        <w:t>.</w:t>
      </w:r>
      <w:r w:rsidR="00ED6F22">
        <w:rPr>
          <w:rFonts w:cstheme="minorHAnsi"/>
        </w:rPr>
        <w:t xml:space="preserve"> Ethnicity was </w:t>
      </w:r>
      <w:r w:rsidR="00965272">
        <w:rPr>
          <w:rFonts w:cstheme="minorHAnsi"/>
        </w:rPr>
        <w:t xml:space="preserve">statistically </w:t>
      </w:r>
      <w:r w:rsidR="00ED6F22">
        <w:rPr>
          <w:rFonts w:cstheme="minorHAnsi"/>
        </w:rPr>
        <w:t>different</w:t>
      </w:r>
      <w:r w:rsidR="00965272">
        <w:rPr>
          <w:rFonts w:cstheme="minorHAnsi"/>
        </w:rPr>
        <w:t xml:space="preserve"> between BI and follow-up</w:t>
      </w:r>
      <w:r w:rsidR="00ED6F22">
        <w:rPr>
          <w:rFonts w:cstheme="minorHAnsi"/>
        </w:rPr>
        <w:t xml:space="preserve">, suggesting that </w:t>
      </w:r>
      <w:r w:rsidR="00D76CDC">
        <w:rPr>
          <w:rFonts w:cstheme="minorHAnsi"/>
        </w:rPr>
        <w:t>non-White</w:t>
      </w:r>
      <w:r w:rsidR="00ED6F22">
        <w:rPr>
          <w:rFonts w:cstheme="minorHAnsi"/>
        </w:rPr>
        <w:t xml:space="preserve"> respondents were </w:t>
      </w:r>
      <w:r w:rsidR="00965272">
        <w:rPr>
          <w:rFonts w:cstheme="minorHAnsi"/>
        </w:rPr>
        <w:t xml:space="preserve">slightly </w:t>
      </w:r>
      <w:r w:rsidR="00ED6F22">
        <w:rPr>
          <w:rFonts w:cstheme="minorHAnsi"/>
        </w:rPr>
        <w:t>less likely to complete the follow-up survey.</w:t>
      </w:r>
    </w:p>
    <w:p w14:paraId="78B54867" w14:textId="77777777" w:rsidR="009E601F" w:rsidRDefault="009E601F" w:rsidP="009E601F">
      <w:pPr>
        <w:rPr>
          <w:rFonts w:cstheme="minorHAnsi"/>
        </w:rPr>
      </w:pPr>
    </w:p>
    <w:p w14:paraId="5DA79572" w14:textId="77777777" w:rsidR="009E601F" w:rsidRPr="006C24F9" w:rsidRDefault="009E601F" w:rsidP="009E601F">
      <w:pPr>
        <w:rPr>
          <w:rFonts w:cstheme="minorHAnsi"/>
        </w:rPr>
      </w:pPr>
      <w:r w:rsidRPr="006C24F9">
        <w:rPr>
          <w:rFonts w:cstheme="minorHAnsi"/>
        </w:rPr>
        <w:t>[Table 2 about here]</w:t>
      </w:r>
    </w:p>
    <w:p w14:paraId="79058A5E" w14:textId="77777777" w:rsidR="001610CA" w:rsidRPr="00D9398D" w:rsidRDefault="001610CA" w:rsidP="00D9398D">
      <w:pPr>
        <w:rPr>
          <w:rFonts w:cstheme="minorHAnsi"/>
        </w:rPr>
      </w:pPr>
    </w:p>
    <w:p w14:paraId="2A3DBA4D" w14:textId="302DCB55" w:rsidR="00D9398D" w:rsidRPr="00F36701" w:rsidRDefault="00D9398D" w:rsidP="00D9398D">
      <w:pPr>
        <w:rPr>
          <w:rFonts w:cstheme="minorHAnsi"/>
          <w:i/>
          <w:iCs/>
        </w:rPr>
      </w:pPr>
      <w:r w:rsidRPr="00F36701">
        <w:rPr>
          <w:rFonts w:cstheme="minorHAnsi"/>
          <w:i/>
          <w:iCs/>
        </w:rPr>
        <w:t xml:space="preserve">Contact with healthcare services before and after the </w:t>
      </w:r>
      <w:r w:rsidR="00CD5258">
        <w:rPr>
          <w:rFonts w:cstheme="minorHAnsi"/>
          <w:i/>
          <w:iCs/>
        </w:rPr>
        <w:t>BI</w:t>
      </w:r>
    </w:p>
    <w:p w14:paraId="1D20D871" w14:textId="77777777" w:rsidR="00D9398D" w:rsidRPr="00D9398D" w:rsidRDefault="00D9398D" w:rsidP="00D9398D">
      <w:pPr>
        <w:rPr>
          <w:rFonts w:cstheme="minorHAnsi"/>
        </w:rPr>
      </w:pPr>
    </w:p>
    <w:p w14:paraId="3BE72C0D" w14:textId="15A4BFCC" w:rsidR="00E7648D" w:rsidRDefault="00F24D43" w:rsidP="00D9398D">
      <w:pPr>
        <w:rPr>
          <w:rFonts w:cstheme="minorHAnsi"/>
        </w:rPr>
      </w:pPr>
      <w:r>
        <w:rPr>
          <w:rFonts w:cstheme="minorHAnsi"/>
        </w:rPr>
        <w:t xml:space="preserve">Just </w:t>
      </w:r>
      <w:r w:rsidR="00D9398D" w:rsidRPr="00D9398D">
        <w:rPr>
          <w:rFonts w:cstheme="minorHAnsi"/>
        </w:rPr>
        <w:t xml:space="preserve">3.6% of all </w:t>
      </w:r>
      <w:r w:rsidR="00455682">
        <w:rPr>
          <w:rFonts w:cstheme="minorHAnsi"/>
        </w:rPr>
        <w:t xml:space="preserve">2017 </w:t>
      </w:r>
      <w:r w:rsidR="009F5785">
        <w:rPr>
          <w:rFonts w:cstheme="minorHAnsi"/>
        </w:rPr>
        <w:t>festival</w:t>
      </w:r>
      <w:r w:rsidR="005E5D0B">
        <w:rPr>
          <w:rFonts w:cstheme="minorHAnsi"/>
        </w:rPr>
        <w:t xml:space="preserve"> </w:t>
      </w:r>
      <w:r w:rsidR="009E49F0">
        <w:rPr>
          <w:rFonts w:cstheme="minorHAnsi"/>
        </w:rPr>
        <w:t xml:space="preserve">BI </w:t>
      </w:r>
      <w:r w:rsidR="00D9398D" w:rsidRPr="00D9398D">
        <w:rPr>
          <w:rFonts w:cstheme="minorHAnsi"/>
        </w:rPr>
        <w:t xml:space="preserve">primary service users reported having spoken with a health professional about their </w:t>
      </w:r>
      <w:r w:rsidR="007F026F">
        <w:rPr>
          <w:rFonts w:cstheme="minorHAnsi"/>
        </w:rPr>
        <w:t xml:space="preserve">alcohol or other </w:t>
      </w:r>
      <w:r w:rsidR="00D9398D" w:rsidRPr="00D9398D">
        <w:rPr>
          <w:rFonts w:cstheme="minorHAnsi"/>
        </w:rPr>
        <w:t>drug use</w:t>
      </w:r>
      <w:r w:rsidR="00C66255" w:rsidRPr="00C66255">
        <w:rPr>
          <w:rFonts w:cstheme="minorHAnsi"/>
        </w:rPr>
        <w:t xml:space="preserve"> </w:t>
      </w:r>
      <w:r w:rsidR="00C66255" w:rsidRPr="00D9398D">
        <w:rPr>
          <w:rFonts w:cstheme="minorHAnsi"/>
        </w:rPr>
        <w:t>previously</w:t>
      </w:r>
      <w:r w:rsidR="00D9398D" w:rsidRPr="00D9398D">
        <w:rPr>
          <w:rFonts w:cstheme="minorHAnsi"/>
        </w:rPr>
        <w:t xml:space="preserve">. </w:t>
      </w:r>
      <w:r w:rsidR="00A242BD">
        <w:rPr>
          <w:rFonts w:cstheme="minorHAnsi"/>
        </w:rPr>
        <w:t>Over one in twenty (</w:t>
      </w:r>
      <w:r w:rsidR="00D9398D" w:rsidRPr="00D9398D">
        <w:rPr>
          <w:rFonts w:cstheme="minorHAnsi"/>
        </w:rPr>
        <w:t>6.3%</w:t>
      </w:r>
      <w:r w:rsidR="00A242BD">
        <w:rPr>
          <w:rFonts w:cstheme="minorHAnsi"/>
        </w:rPr>
        <w:t>)</w:t>
      </w:r>
      <w:r w:rsidR="00D9398D" w:rsidRPr="00D9398D">
        <w:rPr>
          <w:rFonts w:cstheme="minorHAnsi"/>
        </w:rPr>
        <w:t xml:space="preserve"> requested signposting and onwards referrals to local healthcare and SMS after the festival finished. </w:t>
      </w:r>
    </w:p>
    <w:p w14:paraId="7571B92D" w14:textId="77777777" w:rsidR="00D9398D" w:rsidRPr="006C24F9" w:rsidRDefault="00D9398D" w:rsidP="00D9398D">
      <w:pPr>
        <w:rPr>
          <w:rFonts w:cstheme="minorHAnsi"/>
        </w:rPr>
      </w:pPr>
    </w:p>
    <w:p w14:paraId="2832C039" w14:textId="35C41B6E" w:rsidR="00E7648D" w:rsidRPr="006C24F9" w:rsidRDefault="009F5785" w:rsidP="006C24F9">
      <w:pPr>
        <w:rPr>
          <w:rFonts w:cstheme="minorHAnsi"/>
          <w:i/>
        </w:rPr>
      </w:pPr>
      <w:r>
        <w:rPr>
          <w:rFonts w:cstheme="minorHAnsi"/>
          <w:i/>
        </w:rPr>
        <w:t xml:space="preserve">Festival </w:t>
      </w:r>
      <w:r w:rsidR="00E22F73">
        <w:rPr>
          <w:rFonts w:cstheme="minorHAnsi"/>
          <w:i/>
        </w:rPr>
        <w:t xml:space="preserve">drug checking </w:t>
      </w:r>
      <w:r w:rsidR="001A3341">
        <w:rPr>
          <w:rFonts w:cstheme="minorHAnsi"/>
          <w:i/>
        </w:rPr>
        <w:t xml:space="preserve">test </w:t>
      </w:r>
      <w:r w:rsidR="00F6627D" w:rsidRPr="006C24F9">
        <w:rPr>
          <w:rFonts w:cstheme="minorHAnsi"/>
          <w:i/>
        </w:rPr>
        <w:t>results</w:t>
      </w:r>
    </w:p>
    <w:p w14:paraId="117B3700" w14:textId="7013CFD1" w:rsidR="00CC296A" w:rsidRPr="006C24F9" w:rsidRDefault="00CC296A" w:rsidP="00EB37CD">
      <w:pPr>
        <w:rPr>
          <w:rFonts w:cstheme="minorHAnsi"/>
        </w:rPr>
      </w:pPr>
    </w:p>
    <w:p w14:paraId="4C2F8A4A" w14:textId="6934E15D" w:rsidR="00791EB2" w:rsidRPr="006C24F9" w:rsidRDefault="00791EB2" w:rsidP="006C24F9">
      <w:pPr>
        <w:rPr>
          <w:rFonts w:cstheme="minorHAnsi"/>
        </w:rPr>
      </w:pPr>
      <w:bookmarkStart w:id="9" w:name="_Hlk66724909"/>
      <w:r w:rsidRPr="006C24F9">
        <w:rPr>
          <w:rFonts w:cstheme="minorHAnsi"/>
        </w:rPr>
        <w:t xml:space="preserve">For </w:t>
      </w:r>
      <w:r w:rsidR="006659FE" w:rsidRPr="006C24F9">
        <w:rPr>
          <w:rFonts w:cstheme="minorHAnsi"/>
        </w:rPr>
        <w:t xml:space="preserve">the </w:t>
      </w:r>
      <w:r w:rsidR="00902A7C" w:rsidRPr="006C24F9">
        <w:rPr>
          <w:rFonts w:cstheme="minorHAnsi"/>
        </w:rPr>
        <w:t xml:space="preserve">1,482 tested samples with linked </w:t>
      </w:r>
      <w:r w:rsidRPr="006C24F9">
        <w:rPr>
          <w:rFonts w:cstheme="minorHAnsi"/>
        </w:rPr>
        <w:t xml:space="preserve">BIs, 77.3% (n=1,146) of </w:t>
      </w:r>
      <w:bookmarkStart w:id="10" w:name="_Hlk37002604"/>
      <w:r w:rsidRPr="006C24F9">
        <w:rPr>
          <w:rFonts w:cstheme="minorHAnsi"/>
        </w:rPr>
        <w:t xml:space="preserve">samples were </w:t>
      </w:r>
      <w:r w:rsidR="00587781" w:rsidRPr="006C24F9">
        <w:rPr>
          <w:rFonts w:cstheme="minorHAnsi"/>
        </w:rPr>
        <w:t xml:space="preserve">identified </w:t>
      </w:r>
      <w:r w:rsidR="00D3107B" w:rsidRPr="006C24F9">
        <w:rPr>
          <w:rFonts w:cstheme="minorHAnsi"/>
        </w:rPr>
        <w:t xml:space="preserve">as </w:t>
      </w:r>
      <w:r w:rsidR="00CD55C6" w:rsidRPr="006C24F9">
        <w:rPr>
          <w:rFonts w:cstheme="minorHAnsi"/>
        </w:rPr>
        <w:t>the expected</w:t>
      </w:r>
      <w:r w:rsidR="005B213C" w:rsidRPr="006C24F9">
        <w:rPr>
          <w:rFonts w:cstheme="minorHAnsi"/>
        </w:rPr>
        <w:t xml:space="preserve"> substance</w:t>
      </w:r>
      <w:r w:rsidRPr="006C24F9">
        <w:rPr>
          <w:rFonts w:cstheme="minorHAnsi"/>
        </w:rPr>
        <w:t>,</w:t>
      </w:r>
      <w:r w:rsidR="009A4A80" w:rsidRPr="006C24F9">
        <w:rPr>
          <w:rFonts w:cstheme="minorHAnsi"/>
        </w:rPr>
        <w:t xml:space="preserve"> that is, it was the drug that they thought </w:t>
      </w:r>
      <w:r w:rsidR="001F4FAA" w:rsidRPr="006C24F9">
        <w:rPr>
          <w:rFonts w:cstheme="minorHAnsi"/>
        </w:rPr>
        <w:t xml:space="preserve">they </w:t>
      </w:r>
      <w:r w:rsidR="009A4A80" w:rsidRPr="006C24F9">
        <w:rPr>
          <w:rFonts w:cstheme="minorHAnsi"/>
        </w:rPr>
        <w:t>had been sold or given</w:t>
      </w:r>
      <w:bookmarkEnd w:id="10"/>
      <w:r w:rsidR="003550E6">
        <w:rPr>
          <w:rFonts w:cstheme="minorHAnsi"/>
        </w:rPr>
        <w:t xml:space="preserve"> (see Table</w:t>
      </w:r>
      <w:r w:rsidR="00DB5101">
        <w:rPr>
          <w:rFonts w:cstheme="minorHAnsi"/>
        </w:rPr>
        <w:t>s</w:t>
      </w:r>
      <w:r w:rsidR="003550E6">
        <w:rPr>
          <w:rFonts w:cstheme="minorHAnsi"/>
        </w:rPr>
        <w:t xml:space="preserve"> 3</w:t>
      </w:r>
      <w:r w:rsidR="00DB5101">
        <w:rPr>
          <w:rFonts w:cstheme="minorHAnsi"/>
        </w:rPr>
        <w:t xml:space="preserve"> and 4</w:t>
      </w:r>
      <w:r w:rsidR="003550E6">
        <w:rPr>
          <w:rFonts w:cstheme="minorHAnsi"/>
        </w:rPr>
        <w:t>)</w:t>
      </w:r>
      <w:r w:rsidR="009A4A80" w:rsidRPr="006C24F9">
        <w:rPr>
          <w:rFonts w:cstheme="minorHAnsi"/>
        </w:rPr>
        <w:t>.</w:t>
      </w:r>
      <w:r w:rsidRPr="006C24F9">
        <w:rPr>
          <w:rFonts w:cstheme="minorHAnsi"/>
        </w:rPr>
        <w:t xml:space="preserve"> </w:t>
      </w:r>
      <w:bookmarkEnd w:id="9"/>
      <w:r w:rsidR="009A4A80" w:rsidRPr="006C24F9">
        <w:rPr>
          <w:rFonts w:cstheme="minorHAnsi"/>
        </w:rPr>
        <w:t>A</w:t>
      </w:r>
      <w:r w:rsidRPr="006C24F9">
        <w:rPr>
          <w:rFonts w:cstheme="minorHAnsi"/>
        </w:rPr>
        <w:t xml:space="preserve">nother 10.7% (n=159) of samples were </w:t>
      </w:r>
      <w:r w:rsidR="00CD55C6" w:rsidRPr="006C24F9">
        <w:rPr>
          <w:rFonts w:cstheme="minorHAnsi"/>
        </w:rPr>
        <w:t xml:space="preserve">substances </w:t>
      </w:r>
      <w:r w:rsidR="009A4A80" w:rsidRPr="006C24F9">
        <w:rPr>
          <w:rFonts w:cstheme="minorHAnsi"/>
        </w:rPr>
        <w:t xml:space="preserve">other than </w:t>
      </w:r>
      <w:r w:rsidR="006659FE" w:rsidRPr="006C24F9">
        <w:rPr>
          <w:rFonts w:cstheme="minorHAnsi"/>
        </w:rPr>
        <w:t xml:space="preserve">what they </w:t>
      </w:r>
      <w:r w:rsidR="00816CB0" w:rsidRPr="006C24F9">
        <w:rPr>
          <w:rFonts w:cstheme="minorHAnsi"/>
        </w:rPr>
        <w:t xml:space="preserve">thought they </w:t>
      </w:r>
      <w:r w:rsidR="006659FE" w:rsidRPr="006C24F9">
        <w:rPr>
          <w:rFonts w:cstheme="minorHAnsi"/>
        </w:rPr>
        <w:t>had been sold or given,</w:t>
      </w:r>
      <w:r w:rsidR="00587781" w:rsidRPr="006C24F9">
        <w:rPr>
          <w:rFonts w:cstheme="minorHAnsi"/>
        </w:rPr>
        <w:t xml:space="preserve"> </w:t>
      </w:r>
      <w:r w:rsidRPr="006C24F9">
        <w:rPr>
          <w:rFonts w:cstheme="minorHAnsi"/>
        </w:rPr>
        <w:t xml:space="preserve">and 11.9% (n=177) had no expectation of </w:t>
      </w:r>
      <w:r w:rsidR="001F4FAA" w:rsidRPr="006C24F9">
        <w:rPr>
          <w:rFonts w:cstheme="minorHAnsi"/>
        </w:rPr>
        <w:t xml:space="preserve">sample </w:t>
      </w:r>
      <w:r w:rsidRPr="006C24F9">
        <w:rPr>
          <w:rFonts w:cstheme="minorHAnsi"/>
        </w:rPr>
        <w:t>contents</w:t>
      </w:r>
      <w:r w:rsidR="007406BC" w:rsidRPr="006C24F9">
        <w:rPr>
          <w:rFonts w:cstheme="minorHAnsi"/>
        </w:rPr>
        <w:t xml:space="preserve">, for example </w:t>
      </w:r>
      <w:r w:rsidRPr="006C24F9">
        <w:rPr>
          <w:rFonts w:cstheme="minorHAnsi"/>
        </w:rPr>
        <w:t xml:space="preserve">if found </w:t>
      </w:r>
      <w:r w:rsidR="00DA08F5">
        <w:rPr>
          <w:rFonts w:cstheme="minorHAnsi"/>
        </w:rPr>
        <w:t xml:space="preserve">on the ground </w:t>
      </w:r>
      <w:r w:rsidR="00980612" w:rsidRPr="006C24F9">
        <w:rPr>
          <w:rFonts w:cstheme="minorHAnsi"/>
        </w:rPr>
        <w:t>or gifted</w:t>
      </w:r>
      <w:r w:rsidR="006659FE" w:rsidRPr="006C24F9">
        <w:rPr>
          <w:rFonts w:cstheme="minorHAnsi"/>
        </w:rPr>
        <w:t xml:space="preserve"> </w:t>
      </w:r>
      <w:r w:rsidR="001F4FAA" w:rsidRPr="006C24F9">
        <w:rPr>
          <w:rFonts w:cstheme="minorHAnsi"/>
        </w:rPr>
        <w:t xml:space="preserve">to them </w:t>
      </w:r>
      <w:r w:rsidR="006659FE" w:rsidRPr="006C24F9">
        <w:rPr>
          <w:rFonts w:cstheme="minorHAnsi"/>
        </w:rPr>
        <w:t>without information on contents</w:t>
      </w:r>
      <w:r w:rsidRPr="006C24F9">
        <w:rPr>
          <w:rFonts w:cstheme="minorHAnsi"/>
        </w:rPr>
        <w:t xml:space="preserve">. </w:t>
      </w:r>
      <w:r w:rsidR="003F2C37">
        <w:rPr>
          <w:rFonts w:cstheme="minorHAnsi"/>
        </w:rPr>
        <w:t xml:space="preserve">Missold </w:t>
      </w:r>
      <w:r w:rsidRPr="006C24F9">
        <w:rPr>
          <w:rFonts w:cstheme="minorHAnsi"/>
        </w:rPr>
        <w:t xml:space="preserve">substances included cutting agents such as benzocaine </w:t>
      </w:r>
      <w:r w:rsidR="006D18CB" w:rsidRPr="006C24F9">
        <w:rPr>
          <w:rFonts w:cstheme="minorHAnsi"/>
        </w:rPr>
        <w:t>mis</w:t>
      </w:r>
      <w:r w:rsidRPr="006C24F9">
        <w:rPr>
          <w:rFonts w:cstheme="minorHAnsi"/>
        </w:rPr>
        <w:t xml:space="preserve">sold as cocaine, NPS such as </w:t>
      </w:r>
      <w:r w:rsidR="00535DBF">
        <w:rPr>
          <w:rFonts w:cstheme="minorHAnsi"/>
        </w:rPr>
        <w:t>N</w:t>
      </w:r>
      <w:r w:rsidRPr="006C24F9">
        <w:rPr>
          <w:rFonts w:cstheme="minorHAnsi"/>
        </w:rPr>
        <w:t>-</w:t>
      </w:r>
      <w:proofErr w:type="spellStart"/>
      <w:r w:rsidRPr="006C24F9">
        <w:rPr>
          <w:rFonts w:cstheme="minorHAnsi"/>
        </w:rPr>
        <w:t>ethylpentylone</w:t>
      </w:r>
      <w:proofErr w:type="spellEnd"/>
      <w:r w:rsidRPr="006C24F9">
        <w:rPr>
          <w:rFonts w:cstheme="minorHAnsi"/>
        </w:rPr>
        <w:t xml:space="preserve"> </w:t>
      </w:r>
      <w:proofErr w:type="spellStart"/>
      <w:r w:rsidR="006D18CB" w:rsidRPr="006C24F9">
        <w:rPr>
          <w:rFonts w:cstheme="minorHAnsi"/>
        </w:rPr>
        <w:t>mis</w:t>
      </w:r>
      <w:r w:rsidRPr="006C24F9">
        <w:rPr>
          <w:rFonts w:cstheme="minorHAnsi"/>
        </w:rPr>
        <w:t>sold</w:t>
      </w:r>
      <w:proofErr w:type="spellEnd"/>
      <w:r w:rsidRPr="006C24F9">
        <w:rPr>
          <w:rFonts w:cstheme="minorHAnsi"/>
        </w:rPr>
        <w:t xml:space="preserve"> as MDMA, and non-psychoactive substances such as brown sugar </w:t>
      </w:r>
      <w:r w:rsidR="006D18CB" w:rsidRPr="006C24F9">
        <w:rPr>
          <w:rFonts w:cstheme="minorHAnsi"/>
        </w:rPr>
        <w:t>mis</w:t>
      </w:r>
      <w:r w:rsidRPr="006C24F9">
        <w:rPr>
          <w:rFonts w:cstheme="minorHAnsi"/>
        </w:rPr>
        <w:t xml:space="preserve">sold as MDMA and salt </w:t>
      </w:r>
      <w:r w:rsidR="006D18CB" w:rsidRPr="006C24F9">
        <w:rPr>
          <w:rFonts w:cstheme="minorHAnsi"/>
        </w:rPr>
        <w:t>mis</w:t>
      </w:r>
      <w:r w:rsidRPr="006C24F9">
        <w:rPr>
          <w:rFonts w:cstheme="minorHAnsi"/>
        </w:rPr>
        <w:t xml:space="preserve">sold as ketamine. The </w:t>
      </w:r>
      <w:r w:rsidR="000116A5">
        <w:rPr>
          <w:rFonts w:cstheme="minorHAnsi"/>
        </w:rPr>
        <w:t>identification</w:t>
      </w:r>
      <w:r w:rsidRPr="006C24F9">
        <w:rPr>
          <w:rFonts w:cstheme="minorHAnsi"/>
        </w:rPr>
        <w:t xml:space="preserve"> of </w:t>
      </w:r>
      <w:r w:rsidR="00535DBF">
        <w:rPr>
          <w:rFonts w:cstheme="minorHAnsi"/>
        </w:rPr>
        <w:t>N</w:t>
      </w:r>
      <w:r w:rsidRPr="006C24F9">
        <w:rPr>
          <w:rFonts w:cstheme="minorHAnsi"/>
        </w:rPr>
        <w:t>-</w:t>
      </w:r>
      <w:proofErr w:type="spellStart"/>
      <w:r w:rsidRPr="006C24F9">
        <w:rPr>
          <w:rFonts w:cstheme="minorHAnsi"/>
        </w:rPr>
        <w:t>ethylpentylone</w:t>
      </w:r>
      <w:proofErr w:type="spellEnd"/>
      <w:r w:rsidRPr="006C24F9">
        <w:rPr>
          <w:rFonts w:cstheme="minorHAnsi"/>
        </w:rPr>
        <w:t xml:space="preserve">, a </w:t>
      </w:r>
      <w:proofErr w:type="spellStart"/>
      <w:r w:rsidRPr="006C24F9">
        <w:rPr>
          <w:rFonts w:cstheme="minorHAnsi"/>
        </w:rPr>
        <w:t>longlasting</w:t>
      </w:r>
      <w:proofErr w:type="spellEnd"/>
      <w:r w:rsidRPr="006C24F9">
        <w:rPr>
          <w:rFonts w:cstheme="minorHAnsi"/>
        </w:rPr>
        <w:t xml:space="preserve"> cathinone, being missold as MDMA triggered alert</w:t>
      </w:r>
      <w:r w:rsidR="006F412D">
        <w:rPr>
          <w:rFonts w:cstheme="minorHAnsi"/>
        </w:rPr>
        <w:t>s</w:t>
      </w:r>
      <w:r w:rsidRPr="006C24F9">
        <w:rPr>
          <w:rFonts w:cstheme="minorHAnsi"/>
        </w:rPr>
        <w:t xml:space="preserve"> onsite and via social media at two of the three festivals, resulting in festival</w:t>
      </w:r>
      <w:r w:rsidR="006D18CB" w:rsidRPr="006C24F9">
        <w:rPr>
          <w:rFonts w:cstheme="minorHAnsi"/>
        </w:rPr>
        <w:t>-</w:t>
      </w:r>
      <w:r w:rsidRPr="006C24F9">
        <w:rPr>
          <w:rFonts w:cstheme="minorHAnsi"/>
        </w:rPr>
        <w:t xml:space="preserve">goers handing in </w:t>
      </w:r>
      <w:r w:rsidR="004623A7">
        <w:rPr>
          <w:rFonts w:cstheme="minorHAnsi"/>
        </w:rPr>
        <w:t xml:space="preserve">additional </w:t>
      </w:r>
      <w:r w:rsidR="005E2E84">
        <w:rPr>
          <w:rFonts w:cstheme="minorHAnsi"/>
        </w:rPr>
        <w:t>substances</w:t>
      </w:r>
      <w:r w:rsidRPr="006C24F9">
        <w:rPr>
          <w:rFonts w:cstheme="minorHAnsi"/>
        </w:rPr>
        <w:t xml:space="preserve"> </w:t>
      </w:r>
      <w:r w:rsidR="008D276E" w:rsidRPr="006C24F9">
        <w:rPr>
          <w:rFonts w:cstheme="minorHAnsi"/>
        </w:rPr>
        <w:t xml:space="preserve">for police destruction </w:t>
      </w:r>
      <w:r w:rsidR="008D276E">
        <w:rPr>
          <w:rFonts w:cstheme="minorHAnsi"/>
        </w:rPr>
        <w:t xml:space="preserve">that had been </w:t>
      </w:r>
      <w:r w:rsidR="00E9008C" w:rsidRPr="006C24F9">
        <w:rPr>
          <w:rFonts w:cstheme="minorHAnsi"/>
        </w:rPr>
        <w:t xml:space="preserve">bought onsite </w:t>
      </w:r>
      <w:r w:rsidRPr="006C24F9">
        <w:rPr>
          <w:rFonts w:cstheme="minorHAnsi"/>
        </w:rPr>
        <w:t xml:space="preserve">(Measham and Jones, 2017). </w:t>
      </w:r>
    </w:p>
    <w:p w14:paraId="1C59763F" w14:textId="77777777" w:rsidR="005E2E84" w:rsidRDefault="005E2E84" w:rsidP="005E2E84">
      <w:pPr>
        <w:rPr>
          <w:rFonts w:cstheme="minorHAnsi"/>
        </w:rPr>
      </w:pPr>
    </w:p>
    <w:p w14:paraId="2F1A11A6" w14:textId="77777777" w:rsidR="005E2E84" w:rsidRDefault="005E2E84" w:rsidP="005E2E84">
      <w:pPr>
        <w:rPr>
          <w:rFonts w:cstheme="minorHAnsi"/>
        </w:rPr>
      </w:pPr>
      <w:r>
        <w:rPr>
          <w:rFonts w:cstheme="minorHAnsi"/>
        </w:rPr>
        <w:t>[Tables 3 and 4 about here]</w:t>
      </w:r>
    </w:p>
    <w:p w14:paraId="3A82BCB5" w14:textId="77777777" w:rsidR="00791EB2" w:rsidRPr="006C24F9" w:rsidRDefault="00791EB2" w:rsidP="006C24F9">
      <w:pPr>
        <w:rPr>
          <w:rFonts w:cstheme="minorHAnsi"/>
        </w:rPr>
      </w:pPr>
    </w:p>
    <w:p w14:paraId="307E0454" w14:textId="6DDB08E7" w:rsidR="004828EC" w:rsidRPr="0027783C" w:rsidRDefault="004828EC" w:rsidP="006C24F9">
      <w:pPr>
        <w:rPr>
          <w:rFonts w:cstheme="minorHAnsi"/>
          <w:i/>
          <w:iCs/>
        </w:rPr>
      </w:pPr>
      <w:r w:rsidRPr="0027783C">
        <w:rPr>
          <w:rFonts w:cstheme="minorHAnsi"/>
          <w:i/>
          <w:iCs/>
        </w:rPr>
        <w:t>Sub-sample test results</w:t>
      </w:r>
    </w:p>
    <w:p w14:paraId="5F16A00E" w14:textId="37C770F9" w:rsidR="00A7138E" w:rsidRDefault="00A7138E" w:rsidP="006C24F9">
      <w:pPr>
        <w:rPr>
          <w:rFonts w:cstheme="minorHAnsi"/>
        </w:rPr>
      </w:pPr>
    </w:p>
    <w:p w14:paraId="48CDF84F" w14:textId="2CD6DB4C" w:rsidR="004828EC" w:rsidRDefault="002E5B2D" w:rsidP="006C24F9">
      <w:pPr>
        <w:rPr>
          <w:rFonts w:cstheme="minorHAnsi"/>
        </w:rPr>
      </w:pPr>
      <w:r>
        <w:rPr>
          <w:rFonts w:cstheme="minorHAnsi"/>
        </w:rPr>
        <w:t>Over f</w:t>
      </w:r>
      <w:r w:rsidR="001A0535">
        <w:rPr>
          <w:rFonts w:cstheme="minorHAnsi"/>
        </w:rPr>
        <w:t xml:space="preserve">our in five follow-up </w:t>
      </w:r>
      <w:r w:rsidR="00262F04">
        <w:rPr>
          <w:rFonts w:cstheme="minorHAnsi"/>
        </w:rPr>
        <w:t xml:space="preserve">respondents </w:t>
      </w:r>
      <w:r w:rsidR="001A0535">
        <w:rPr>
          <w:rFonts w:cstheme="minorHAnsi"/>
        </w:rPr>
        <w:t>(8</w:t>
      </w:r>
      <w:r w:rsidR="00B823B7">
        <w:rPr>
          <w:rFonts w:cstheme="minorHAnsi"/>
        </w:rPr>
        <w:t>4</w:t>
      </w:r>
      <w:r w:rsidR="001A0535" w:rsidRPr="001A0535">
        <w:rPr>
          <w:rFonts w:cstheme="minorHAnsi"/>
        </w:rPr>
        <w:t>.</w:t>
      </w:r>
      <w:r w:rsidR="00B823B7">
        <w:rPr>
          <w:rFonts w:cstheme="minorHAnsi"/>
        </w:rPr>
        <w:t>6</w:t>
      </w:r>
      <w:r w:rsidR="001A0535" w:rsidRPr="001A0535">
        <w:rPr>
          <w:rFonts w:cstheme="minorHAnsi"/>
        </w:rPr>
        <w:t>%</w:t>
      </w:r>
      <w:r w:rsidR="001A0535">
        <w:rPr>
          <w:rFonts w:cstheme="minorHAnsi"/>
        </w:rPr>
        <w:t>,</w:t>
      </w:r>
      <w:r w:rsidR="001A0535" w:rsidRPr="001A0535">
        <w:rPr>
          <w:rFonts w:cstheme="minorHAnsi"/>
        </w:rPr>
        <w:t xml:space="preserve"> n=1</w:t>
      </w:r>
      <w:r w:rsidR="00B823B7">
        <w:rPr>
          <w:rFonts w:cstheme="minorHAnsi"/>
        </w:rPr>
        <w:t>10</w:t>
      </w:r>
      <w:r w:rsidR="001A0535" w:rsidRPr="001A0535">
        <w:rPr>
          <w:rFonts w:cstheme="minorHAnsi"/>
        </w:rPr>
        <w:t xml:space="preserve">) </w:t>
      </w:r>
      <w:r w:rsidR="001A0535">
        <w:rPr>
          <w:rFonts w:cstheme="minorHAnsi"/>
        </w:rPr>
        <w:t xml:space="preserve">recollected that their </w:t>
      </w:r>
      <w:r>
        <w:rPr>
          <w:rFonts w:cstheme="minorHAnsi"/>
        </w:rPr>
        <w:t xml:space="preserve">submitted </w:t>
      </w:r>
      <w:r w:rsidR="001A0535" w:rsidRPr="001A0535">
        <w:rPr>
          <w:rFonts w:cstheme="minorHAnsi"/>
        </w:rPr>
        <w:t xml:space="preserve">sample </w:t>
      </w:r>
      <w:r>
        <w:rPr>
          <w:rFonts w:cstheme="minorHAnsi"/>
        </w:rPr>
        <w:t xml:space="preserve">was </w:t>
      </w:r>
      <w:r w:rsidR="001A0535" w:rsidRPr="001A0535">
        <w:rPr>
          <w:rFonts w:cstheme="minorHAnsi"/>
        </w:rPr>
        <w:t>identified as the expected substance, that is, it was the drug that they thought they had been sold or given</w:t>
      </w:r>
      <w:r>
        <w:rPr>
          <w:rFonts w:cstheme="minorHAnsi"/>
        </w:rPr>
        <w:t xml:space="preserve"> (see</w:t>
      </w:r>
      <w:r w:rsidR="001A0535" w:rsidRPr="001A0535">
        <w:rPr>
          <w:rFonts w:cstheme="minorHAnsi"/>
        </w:rPr>
        <w:t xml:space="preserve"> Tables 3</w:t>
      </w:r>
      <w:r>
        <w:rPr>
          <w:rFonts w:cstheme="minorHAnsi"/>
        </w:rPr>
        <w:t>-5</w:t>
      </w:r>
      <w:r w:rsidR="001A0535" w:rsidRPr="001A0535">
        <w:rPr>
          <w:rFonts w:cstheme="minorHAnsi"/>
        </w:rPr>
        <w:t>).</w:t>
      </w:r>
      <w:r w:rsidR="003B5BD1">
        <w:rPr>
          <w:rFonts w:cstheme="minorHAnsi"/>
        </w:rPr>
        <w:t xml:space="preserve"> </w:t>
      </w:r>
      <w:r w:rsidR="00AA162D">
        <w:rPr>
          <w:rFonts w:cstheme="minorHAnsi"/>
        </w:rPr>
        <w:t>For those samples whose contents were as expected, nearly two thirds (63.6%, n=70) were the expected strength as well</w:t>
      </w:r>
      <w:r w:rsidR="004828EC" w:rsidRPr="004828EC">
        <w:rPr>
          <w:rFonts w:cstheme="minorHAnsi"/>
        </w:rPr>
        <w:t xml:space="preserve">, whereas </w:t>
      </w:r>
      <w:r w:rsidR="00AA6F46">
        <w:rPr>
          <w:rFonts w:cstheme="minorHAnsi"/>
        </w:rPr>
        <w:t xml:space="preserve">for </w:t>
      </w:r>
      <w:r w:rsidR="001C48F3">
        <w:rPr>
          <w:rFonts w:cstheme="minorHAnsi"/>
        </w:rPr>
        <w:t xml:space="preserve">three in ten </w:t>
      </w:r>
      <w:r w:rsidR="00AA162D">
        <w:rPr>
          <w:rFonts w:cstheme="minorHAnsi"/>
        </w:rPr>
        <w:t xml:space="preserve">(30%, n=33) </w:t>
      </w:r>
      <w:r w:rsidR="00AA6F46">
        <w:rPr>
          <w:rFonts w:cstheme="minorHAnsi"/>
        </w:rPr>
        <w:t xml:space="preserve">their sample was a </w:t>
      </w:r>
      <w:r w:rsidR="004828EC" w:rsidRPr="004828EC">
        <w:rPr>
          <w:rFonts w:cstheme="minorHAnsi"/>
        </w:rPr>
        <w:t xml:space="preserve">higher strength than expected and </w:t>
      </w:r>
      <w:r w:rsidR="00AA6F46">
        <w:rPr>
          <w:rFonts w:cstheme="minorHAnsi"/>
        </w:rPr>
        <w:t xml:space="preserve">for </w:t>
      </w:r>
      <w:r w:rsidR="004828EC" w:rsidRPr="004828EC">
        <w:rPr>
          <w:rFonts w:cstheme="minorHAnsi"/>
        </w:rPr>
        <w:t xml:space="preserve">one in </w:t>
      </w:r>
      <w:r w:rsidR="00AA162D">
        <w:rPr>
          <w:rFonts w:cstheme="minorHAnsi"/>
        </w:rPr>
        <w:t>fifteen</w:t>
      </w:r>
      <w:r w:rsidR="00CD098E">
        <w:rPr>
          <w:rFonts w:cstheme="minorHAnsi"/>
        </w:rPr>
        <w:t xml:space="preserve"> </w:t>
      </w:r>
      <w:r w:rsidR="00AA162D">
        <w:rPr>
          <w:rFonts w:cstheme="minorHAnsi"/>
        </w:rPr>
        <w:t xml:space="preserve">(6.4%, n=7), </w:t>
      </w:r>
      <w:r w:rsidR="00AA6F46">
        <w:rPr>
          <w:rFonts w:cstheme="minorHAnsi"/>
        </w:rPr>
        <w:t xml:space="preserve">their sample was </w:t>
      </w:r>
      <w:r w:rsidR="004828EC" w:rsidRPr="004828EC">
        <w:rPr>
          <w:rFonts w:cstheme="minorHAnsi"/>
        </w:rPr>
        <w:t xml:space="preserve">lower strength. This suggests that by providing information on a submitted sample’s strength as well as contents, drug checking services create an additional opportunity to provide </w:t>
      </w:r>
      <w:r w:rsidR="002A6BA0" w:rsidRPr="004828EC">
        <w:rPr>
          <w:rFonts w:cstheme="minorHAnsi"/>
        </w:rPr>
        <w:t xml:space="preserve">individually tailored </w:t>
      </w:r>
      <w:r w:rsidR="004828EC" w:rsidRPr="004828EC">
        <w:rPr>
          <w:rFonts w:cstheme="minorHAnsi"/>
        </w:rPr>
        <w:t xml:space="preserve">advice on dosage </w:t>
      </w:r>
      <w:r w:rsidR="00BC3EAA">
        <w:rPr>
          <w:rFonts w:cstheme="minorHAnsi"/>
        </w:rPr>
        <w:t xml:space="preserve">– </w:t>
      </w:r>
      <w:r w:rsidR="004828EC" w:rsidRPr="004828EC">
        <w:rPr>
          <w:rFonts w:cstheme="minorHAnsi"/>
        </w:rPr>
        <w:t>which</w:t>
      </w:r>
      <w:r w:rsidR="00BC3EAA">
        <w:rPr>
          <w:rFonts w:cstheme="minorHAnsi"/>
        </w:rPr>
        <w:t xml:space="preserve"> </w:t>
      </w:r>
      <w:r w:rsidR="00CD098E">
        <w:rPr>
          <w:rFonts w:cstheme="minorHAnsi"/>
        </w:rPr>
        <w:t xml:space="preserve">was </w:t>
      </w:r>
      <w:r w:rsidR="004828EC" w:rsidRPr="004828EC">
        <w:rPr>
          <w:rFonts w:cstheme="minorHAnsi"/>
        </w:rPr>
        <w:t>unexpected</w:t>
      </w:r>
      <w:r w:rsidR="00457131">
        <w:rPr>
          <w:rFonts w:cstheme="minorHAnsi"/>
        </w:rPr>
        <w:t>ly high</w:t>
      </w:r>
      <w:r w:rsidR="0029772D">
        <w:rPr>
          <w:rFonts w:cstheme="minorHAnsi"/>
        </w:rPr>
        <w:t xml:space="preserve"> </w:t>
      </w:r>
      <w:r w:rsidR="004828EC" w:rsidRPr="004828EC">
        <w:rPr>
          <w:rFonts w:cstheme="minorHAnsi"/>
        </w:rPr>
        <w:t xml:space="preserve">for </w:t>
      </w:r>
      <w:r w:rsidR="00CD098E">
        <w:rPr>
          <w:rFonts w:cstheme="minorHAnsi"/>
        </w:rPr>
        <w:t xml:space="preserve">nearly half </w:t>
      </w:r>
      <w:r w:rsidR="004828EC" w:rsidRPr="004828EC">
        <w:rPr>
          <w:rFonts w:cstheme="minorHAnsi"/>
        </w:rPr>
        <w:t xml:space="preserve">of </w:t>
      </w:r>
      <w:r w:rsidR="00CD098E">
        <w:rPr>
          <w:rFonts w:cstheme="minorHAnsi"/>
        </w:rPr>
        <w:t>follow-up respondents</w:t>
      </w:r>
      <w:r w:rsidR="00BC3EAA">
        <w:rPr>
          <w:rFonts w:cstheme="minorHAnsi"/>
        </w:rPr>
        <w:t xml:space="preserve"> – </w:t>
      </w:r>
      <w:r w:rsidR="004828EC" w:rsidRPr="004828EC">
        <w:rPr>
          <w:rFonts w:cstheme="minorHAnsi"/>
        </w:rPr>
        <w:t>as</w:t>
      </w:r>
      <w:r w:rsidR="00BC3EAA">
        <w:rPr>
          <w:rFonts w:cstheme="minorHAnsi"/>
        </w:rPr>
        <w:t xml:space="preserve"> </w:t>
      </w:r>
      <w:r w:rsidR="004828EC" w:rsidRPr="004828EC">
        <w:rPr>
          <w:rFonts w:cstheme="minorHAnsi"/>
        </w:rPr>
        <w:t xml:space="preserve">well as addressing potential misunderstandings about dosage in general and their substance of concern in particular. Of the </w:t>
      </w:r>
      <w:r w:rsidR="00114FAA">
        <w:rPr>
          <w:rFonts w:cstheme="minorHAnsi"/>
        </w:rPr>
        <w:t>one in six</w:t>
      </w:r>
      <w:r w:rsidR="004828EC" w:rsidRPr="004828EC">
        <w:rPr>
          <w:rFonts w:cstheme="minorHAnsi"/>
        </w:rPr>
        <w:t xml:space="preserve"> </w:t>
      </w:r>
      <w:r w:rsidR="00867FA4">
        <w:rPr>
          <w:rFonts w:cstheme="minorHAnsi"/>
        </w:rPr>
        <w:t xml:space="preserve">follow-up </w:t>
      </w:r>
      <w:r w:rsidR="004828EC" w:rsidRPr="004828EC">
        <w:rPr>
          <w:rFonts w:cstheme="minorHAnsi"/>
        </w:rPr>
        <w:t xml:space="preserve">respondents </w:t>
      </w:r>
      <w:r w:rsidR="00010DC4">
        <w:rPr>
          <w:rFonts w:cstheme="minorHAnsi"/>
        </w:rPr>
        <w:t>(</w:t>
      </w:r>
      <w:r w:rsidR="00010DC4" w:rsidRPr="004828EC">
        <w:rPr>
          <w:rFonts w:cstheme="minorHAnsi"/>
        </w:rPr>
        <w:t>15.4%</w:t>
      </w:r>
      <w:r w:rsidR="00010DC4">
        <w:rPr>
          <w:rFonts w:cstheme="minorHAnsi"/>
        </w:rPr>
        <w:t>,</w:t>
      </w:r>
      <w:r w:rsidR="00010DC4" w:rsidRPr="004828EC">
        <w:rPr>
          <w:rFonts w:cstheme="minorHAnsi"/>
        </w:rPr>
        <w:t xml:space="preserve"> n=20) </w:t>
      </w:r>
      <w:r w:rsidR="00867FA4">
        <w:rPr>
          <w:rFonts w:cstheme="minorHAnsi"/>
        </w:rPr>
        <w:t xml:space="preserve">whose </w:t>
      </w:r>
      <w:r w:rsidR="004828EC" w:rsidRPr="004828EC">
        <w:rPr>
          <w:rFonts w:cstheme="minorHAnsi"/>
        </w:rPr>
        <w:t xml:space="preserve">submitted </w:t>
      </w:r>
      <w:r w:rsidR="00114FAA">
        <w:rPr>
          <w:rFonts w:cstheme="minorHAnsi"/>
        </w:rPr>
        <w:t xml:space="preserve">sample </w:t>
      </w:r>
      <w:r w:rsidR="004828EC" w:rsidRPr="004828EC">
        <w:rPr>
          <w:rFonts w:cstheme="minorHAnsi"/>
        </w:rPr>
        <w:lastRenderedPageBreak/>
        <w:t xml:space="preserve">was </w:t>
      </w:r>
      <w:r w:rsidR="00114FAA">
        <w:rPr>
          <w:rFonts w:cstheme="minorHAnsi"/>
        </w:rPr>
        <w:t xml:space="preserve">other than </w:t>
      </w:r>
      <w:r w:rsidR="004828EC" w:rsidRPr="004828EC">
        <w:rPr>
          <w:rFonts w:cstheme="minorHAnsi"/>
        </w:rPr>
        <w:t>expected, three quarters reported that it was a different drug and a quarter</w:t>
      </w:r>
      <w:r w:rsidR="00CD098E">
        <w:rPr>
          <w:rFonts w:cstheme="minorHAnsi"/>
        </w:rPr>
        <w:t xml:space="preserve"> </w:t>
      </w:r>
      <w:r w:rsidR="004828EC" w:rsidRPr="004828EC">
        <w:rPr>
          <w:rFonts w:cstheme="minorHAnsi"/>
        </w:rPr>
        <w:t xml:space="preserve">reported that it </w:t>
      </w:r>
      <w:r w:rsidR="00CD098E">
        <w:rPr>
          <w:rFonts w:cstheme="minorHAnsi"/>
        </w:rPr>
        <w:t xml:space="preserve">contained </w:t>
      </w:r>
      <w:r w:rsidR="004828EC" w:rsidRPr="004828EC">
        <w:rPr>
          <w:rFonts w:cstheme="minorHAnsi"/>
        </w:rPr>
        <w:t xml:space="preserve">a </w:t>
      </w:r>
      <w:r w:rsidR="001E02AD" w:rsidRPr="004828EC">
        <w:rPr>
          <w:rFonts w:cstheme="minorHAnsi"/>
        </w:rPr>
        <w:t>non-psychoactive</w:t>
      </w:r>
      <w:r w:rsidR="004828EC" w:rsidRPr="004828EC">
        <w:rPr>
          <w:rFonts w:cstheme="minorHAnsi"/>
        </w:rPr>
        <w:t xml:space="preserve"> adulterant.</w:t>
      </w:r>
      <w:r w:rsidR="00C270A7">
        <w:rPr>
          <w:rFonts w:cstheme="minorHAnsi"/>
        </w:rPr>
        <w:t xml:space="preserve"> </w:t>
      </w:r>
    </w:p>
    <w:p w14:paraId="4B7BE7E5" w14:textId="77777777" w:rsidR="005E2E84" w:rsidRDefault="005E2E84" w:rsidP="005E2E84">
      <w:pPr>
        <w:rPr>
          <w:rFonts w:cstheme="minorHAnsi"/>
        </w:rPr>
      </w:pPr>
    </w:p>
    <w:p w14:paraId="6B7C25D7" w14:textId="77777777" w:rsidR="005E2E84" w:rsidRDefault="005E2E84" w:rsidP="005E2E84">
      <w:pPr>
        <w:rPr>
          <w:rFonts w:cstheme="minorHAnsi"/>
        </w:rPr>
      </w:pPr>
      <w:r>
        <w:rPr>
          <w:rFonts w:cstheme="minorHAnsi"/>
        </w:rPr>
        <w:t>[Table 5 about here]</w:t>
      </w:r>
    </w:p>
    <w:p w14:paraId="174CEE3A" w14:textId="77777777" w:rsidR="00142D47" w:rsidRDefault="00142D47" w:rsidP="00A62BFB">
      <w:pPr>
        <w:rPr>
          <w:rFonts w:cstheme="minorHAnsi"/>
        </w:rPr>
      </w:pPr>
    </w:p>
    <w:p w14:paraId="7E9FFE4F" w14:textId="2BB74DF6" w:rsidR="000F00F5" w:rsidRDefault="00DD51C6" w:rsidP="00A62BFB">
      <w:pPr>
        <w:rPr>
          <w:rFonts w:cstheme="minorHAnsi"/>
        </w:rPr>
      </w:pPr>
      <w:r>
        <w:rPr>
          <w:rFonts w:cstheme="minorHAnsi"/>
        </w:rPr>
        <w:t>S</w:t>
      </w:r>
      <w:r w:rsidR="00F26339" w:rsidRPr="006C24F9">
        <w:rPr>
          <w:rFonts w:cstheme="minorHAnsi"/>
        </w:rPr>
        <w:t>ervice user</w:t>
      </w:r>
      <w:r w:rsidR="009D380C">
        <w:rPr>
          <w:rFonts w:cstheme="minorHAnsi"/>
        </w:rPr>
        <w:t xml:space="preserve"> </w:t>
      </w:r>
      <w:r w:rsidR="007C652D">
        <w:rPr>
          <w:rFonts w:cstheme="minorHAnsi"/>
        </w:rPr>
        <w:t>responses</w:t>
      </w:r>
      <w:r w:rsidR="009D380C" w:rsidRPr="009D380C">
        <w:rPr>
          <w:rFonts w:cstheme="minorHAnsi"/>
        </w:rPr>
        <w:t xml:space="preserve"> </w:t>
      </w:r>
      <w:r w:rsidR="00080AE3">
        <w:rPr>
          <w:rFonts w:cstheme="minorHAnsi"/>
        </w:rPr>
        <w:t xml:space="preserve">to </w:t>
      </w:r>
      <w:r w:rsidR="009D380C" w:rsidRPr="009D380C">
        <w:rPr>
          <w:rFonts w:cstheme="minorHAnsi"/>
        </w:rPr>
        <w:t xml:space="preserve">BI </w:t>
      </w:r>
      <w:r>
        <w:rPr>
          <w:rFonts w:cstheme="minorHAnsi"/>
        </w:rPr>
        <w:t>were</w:t>
      </w:r>
      <w:r w:rsidR="00283D60">
        <w:rPr>
          <w:rFonts w:cstheme="minorHAnsi"/>
        </w:rPr>
        <w:t xml:space="preserve"> </w:t>
      </w:r>
      <w:r w:rsidR="00080AE3">
        <w:rPr>
          <w:rFonts w:cstheme="minorHAnsi"/>
        </w:rPr>
        <w:t>compared</w:t>
      </w:r>
      <w:r w:rsidR="006B214F">
        <w:rPr>
          <w:rFonts w:cstheme="minorHAnsi"/>
        </w:rPr>
        <w:t xml:space="preserve"> </w:t>
      </w:r>
      <w:r>
        <w:rPr>
          <w:rFonts w:cstheme="minorHAnsi"/>
        </w:rPr>
        <w:t>with</w:t>
      </w:r>
      <w:r w:rsidR="009D380C" w:rsidRPr="009D380C">
        <w:rPr>
          <w:rFonts w:cstheme="minorHAnsi"/>
        </w:rPr>
        <w:t xml:space="preserve"> outcomes recalled retrospectively </w:t>
      </w:r>
      <w:r w:rsidR="00F75FB0">
        <w:rPr>
          <w:rFonts w:cstheme="minorHAnsi"/>
        </w:rPr>
        <w:t xml:space="preserve">over </w:t>
      </w:r>
      <w:r w:rsidR="009D380C" w:rsidRPr="009D380C">
        <w:rPr>
          <w:rFonts w:cstheme="minorHAnsi"/>
        </w:rPr>
        <w:t>three months later</w:t>
      </w:r>
      <w:r w:rsidR="002B17BE">
        <w:rPr>
          <w:rFonts w:cstheme="minorHAnsi"/>
        </w:rPr>
        <w:t>, for</w:t>
      </w:r>
      <w:r w:rsidR="001209B9">
        <w:rPr>
          <w:rFonts w:cstheme="minorHAnsi"/>
        </w:rPr>
        <w:t xml:space="preserve"> </w:t>
      </w:r>
      <w:r w:rsidR="006B214F">
        <w:rPr>
          <w:rFonts w:cstheme="minorHAnsi"/>
        </w:rPr>
        <w:t xml:space="preserve">ten </w:t>
      </w:r>
      <w:r w:rsidR="001209B9">
        <w:rPr>
          <w:rFonts w:cstheme="minorHAnsi"/>
        </w:rPr>
        <w:t xml:space="preserve">key </w:t>
      </w:r>
      <w:r w:rsidR="002708B2">
        <w:rPr>
          <w:rFonts w:cstheme="minorHAnsi"/>
        </w:rPr>
        <w:t>measures</w:t>
      </w:r>
      <w:r w:rsidR="003D277C">
        <w:rPr>
          <w:rFonts w:cstheme="minorHAnsi"/>
        </w:rPr>
        <w:t xml:space="preserve"> </w:t>
      </w:r>
      <w:r w:rsidR="001209B9">
        <w:rPr>
          <w:rFonts w:cstheme="minorHAnsi"/>
        </w:rPr>
        <w:t>summarised below</w:t>
      </w:r>
      <w:r w:rsidR="00501054">
        <w:rPr>
          <w:rFonts w:cstheme="minorHAnsi"/>
        </w:rPr>
        <w:t xml:space="preserve">. </w:t>
      </w:r>
    </w:p>
    <w:p w14:paraId="05852AB9" w14:textId="77777777" w:rsidR="00A62BFB" w:rsidRPr="006C24F9" w:rsidRDefault="00A62BFB" w:rsidP="00A62BFB">
      <w:pPr>
        <w:rPr>
          <w:rFonts w:cstheme="minorHAnsi"/>
        </w:rPr>
      </w:pPr>
    </w:p>
    <w:p w14:paraId="6349BBD7" w14:textId="6D153E5D" w:rsidR="006B4CDF" w:rsidRPr="007D6F2D" w:rsidRDefault="0057488C" w:rsidP="007D6F2D">
      <w:pPr>
        <w:pStyle w:val="ListParagraph"/>
        <w:numPr>
          <w:ilvl w:val="0"/>
          <w:numId w:val="16"/>
        </w:numPr>
        <w:rPr>
          <w:rFonts w:cstheme="minorHAnsi"/>
          <w:i/>
          <w:iCs/>
        </w:rPr>
      </w:pPr>
      <w:r w:rsidRPr="007D6F2D">
        <w:rPr>
          <w:rFonts w:cstheme="minorHAnsi"/>
          <w:i/>
          <w:iCs/>
        </w:rPr>
        <w:t>D</w:t>
      </w:r>
      <w:r w:rsidR="004828EC" w:rsidRPr="007D6F2D">
        <w:rPr>
          <w:rFonts w:cstheme="minorHAnsi"/>
          <w:i/>
          <w:iCs/>
        </w:rPr>
        <w:t>estruction</w:t>
      </w:r>
    </w:p>
    <w:p w14:paraId="18DA3E1C" w14:textId="77777777" w:rsidR="006B4CDF" w:rsidRDefault="006B4CDF" w:rsidP="006C24F9">
      <w:pPr>
        <w:rPr>
          <w:rFonts w:cstheme="minorHAnsi"/>
        </w:rPr>
      </w:pPr>
    </w:p>
    <w:p w14:paraId="56E4D2F1" w14:textId="1630CCC3" w:rsidR="002629CF" w:rsidRPr="006C24F9" w:rsidRDefault="006E0802" w:rsidP="006C24F9">
      <w:pPr>
        <w:rPr>
          <w:rFonts w:cstheme="minorHAnsi"/>
        </w:rPr>
      </w:pPr>
      <w:r>
        <w:rPr>
          <w:rFonts w:cstheme="minorHAnsi"/>
        </w:rPr>
        <w:t>One</w:t>
      </w:r>
      <w:r w:rsidR="00030F05">
        <w:rPr>
          <w:rFonts w:cstheme="minorHAnsi"/>
        </w:rPr>
        <w:t xml:space="preserve"> </w:t>
      </w:r>
      <w:r w:rsidR="000C562D" w:rsidRPr="006C24F9">
        <w:rPr>
          <w:rFonts w:cstheme="minorHAnsi"/>
        </w:rPr>
        <w:t xml:space="preserve">in </w:t>
      </w:r>
      <w:r w:rsidR="00030F05">
        <w:rPr>
          <w:rFonts w:cstheme="minorHAnsi"/>
        </w:rPr>
        <w:t xml:space="preserve">five </w:t>
      </w:r>
      <w:r w:rsidR="009F5785">
        <w:rPr>
          <w:rFonts w:cstheme="minorHAnsi"/>
        </w:rPr>
        <w:t>festival BI</w:t>
      </w:r>
      <w:r w:rsidR="002C2636">
        <w:rPr>
          <w:rFonts w:cstheme="minorHAnsi"/>
        </w:rPr>
        <w:t xml:space="preserve"> </w:t>
      </w:r>
      <w:r w:rsidR="000C562D" w:rsidRPr="006C24F9">
        <w:rPr>
          <w:rFonts w:cstheme="minorHAnsi"/>
        </w:rPr>
        <w:t>primary service users</w:t>
      </w:r>
      <w:r w:rsidR="004F7FB5">
        <w:rPr>
          <w:rFonts w:cstheme="minorHAnsi"/>
        </w:rPr>
        <w:t xml:space="preserve"> </w:t>
      </w:r>
      <w:r w:rsidR="00030F05" w:rsidRPr="006C24F9">
        <w:rPr>
          <w:rFonts w:cstheme="minorHAnsi"/>
        </w:rPr>
        <w:t xml:space="preserve">whose </w:t>
      </w:r>
      <w:r w:rsidR="001658C4">
        <w:rPr>
          <w:rFonts w:cstheme="minorHAnsi"/>
        </w:rPr>
        <w:t xml:space="preserve">submitted </w:t>
      </w:r>
      <w:r w:rsidR="00030F05" w:rsidRPr="006C24F9">
        <w:rPr>
          <w:rFonts w:cstheme="minorHAnsi"/>
        </w:rPr>
        <w:t xml:space="preserve">sample was identified as </w:t>
      </w:r>
      <w:r w:rsidR="00030F05">
        <w:rPr>
          <w:rFonts w:cstheme="minorHAnsi"/>
        </w:rPr>
        <w:t>other</w:t>
      </w:r>
      <w:r w:rsidR="00030F05" w:rsidRPr="006C24F9">
        <w:rPr>
          <w:rFonts w:cstheme="minorHAnsi"/>
        </w:rPr>
        <w:t xml:space="preserve"> </w:t>
      </w:r>
      <w:r w:rsidR="00030F05">
        <w:rPr>
          <w:rFonts w:cstheme="minorHAnsi"/>
        </w:rPr>
        <w:t>than</w:t>
      </w:r>
      <w:r w:rsidR="00030F05" w:rsidRPr="006C24F9">
        <w:rPr>
          <w:rFonts w:cstheme="minorHAnsi"/>
        </w:rPr>
        <w:t xml:space="preserve"> expected </w:t>
      </w:r>
      <w:r w:rsidR="00400B7F">
        <w:rPr>
          <w:rFonts w:cstheme="minorHAnsi"/>
        </w:rPr>
        <w:t>handed over</w:t>
      </w:r>
      <w:r w:rsidR="00030F05" w:rsidRPr="006C24F9">
        <w:rPr>
          <w:rFonts w:cstheme="minorHAnsi"/>
        </w:rPr>
        <w:t xml:space="preserve"> further substances of concern for </w:t>
      </w:r>
      <w:r w:rsidR="00F41EC0">
        <w:rPr>
          <w:rFonts w:cstheme="minorHAnsi"/>
        </w:rPr>
        <w:t xml:space="preserve">independent </w:t>
      </w:r>
      <w:r w:rsidR="009C56A4">
        <w:rPr>
          <w:rFonts w:cstheme="minorHAnsi"/>
        </w:rPr>
        <w:t xml:space="preserve">verification, </w:t>
      </w:r>
      <w:r w:rsidR="00EA1FC5">
        <w:rPr>
          <w:rFonts w:cstheme="minorHAnsi"/>
        </w:rPr>
        <w:t xml:space="preserve">collection and </w:t>
      </w:r>
      <w:r w:rsidR="00030F05" w:rsidRPr="006C24F9">
        <w:rPr>
          <w:rFonts w:cstheme="minorHAnsi"/>
        </w:rPr>
        <w:t xml:space="preserve">onward destruction by police </w:t>
      </w:r>
      <w:r w:rsidR="004F7FB5">
        <w:rPr>
          <w:rFonts w:cstheme="minorHAnsi"/>
        </w:rPr>
        <w:t xml:space="preserve">and </w:t>
      </w:r>
      <w:r w:rsidR="009B583B">
        <w:rPr>
          <w:rFonts w:cstheme="minorHAnsi"/>
        </w:rPr>
        <w:t>one</w:t>
      </w:r>
      <w:r w:rsidR="004F7FB5">
        <w:rPr>
          <w:rFonts w:cstheme="minorHAnsi"/>
        </w:rPr>
        <w:t xml:space="preserve"> in five at follow-up </w:t>
      </w:r>
      <w:r w:rsidR="004F54DE">
        <w:rPr>
          <w:rFonts w:cstheme="minorHAnsi"/>
        </w:rPr>
        <w:t>recollected</w:t>
      </w:r>
      <w:r w:rsidR="004F7FB5">
        <w:rPr>
          <w:rFonts w:cstheme="minorHAnsi"/>
        </w:rPr>
        <w:t xml:space="preserve"> having handed </w:t>
      </w:r>
      <w:r w:rsidR="006E35FE">
        <w:rPr>
          <w:rFonts w:cstheme="minorHAnsi"/>
        </w:rPr>
        <w:t xml:space="preserve">over </w:t>
      </w:r>
      <w:r w:rsidR="004F7FB5">
        <w:rPr>
          <w:rFonts w:cstheme="minorHAnsi"/>
        </w:rPr>
        <w:t>further substances for destruction</w:t>
      </w:r>
      <w:r w:rsidR="008366E1">
        <w:rPr>
          <w:rFonts w:cstheme="minorHAnsi"/>
        </w:rPr>
        <w:t xml:space="preserve"> at BI</w:t>
      </w:r>
      <w:r w:rsidR="004F7FB5">
        <w:rPr>
          <w:rFonts w:cstheme="minorHAnsi"/>
        </w:rPr>
        <w:t xml:space="preserve"> </w:t>
      </w:r>
      <w:r w:rsidR="000C562D" w:rsidRPr="006C24F9">
        <w:rPr>
          <w:rFonts w:cstheme="minorHAnsi"/>
        </w:rPr>
        <w:t>(</w:t>
      </w:r>
      <w:r w:rsidR="00B8590D" w:rsidRPr="006C24F9">
        <w:rPr>
          <w:rFonts w:cstheme="minorHAnsi"/>
        </w:rPr>
        <w:t>20.</w:t>
      </w:r>
      <w:r w:rsidR="00BF65C3">
        <w:rPr>
          <w:rFonts w:cstheme="minorHAnsi"/>
        </w:rPr>
        <w:t>8</w:t>
      </w:r>
      <w:r w:rsidR="00B8590D" w:rsidRPr="006C24F9">
        <w:rPr>
          <w:rFonts w:cstheme="minorHAnsi"/>
        </w:rPr>
        <w:t xml:space="preserve">% </w:t>
      </w:r>
      <w:r w:rsidR="00030F05">
        <w:rPr>
          <w:rFonts w:cstheme="minorHAnsi"/>
        </w:rPr>
        <w:t xml:space="preserve">and </w:t>
      </w:r>
      <w:r w:rsidR="00BE3EFB" w:rsidRPr="004828EC">
        <w:rPr>
          <w:rFonts w:cstheme="minorHAnsi"/>
        </w:rPr>
        <w:t>2</w:t>
      </w:r>
      <w:r w:rsidR="00FC22E2">
        <w:rPr>
          <w:rFonts w:cstheme="minorHAnsi"/>
        </w:rPr>
        <w:t>1.1</w:t>
      </w:r>
      <w:r w:rsidR="00BE3EFB" w:rsidRPr="004828EC">
        <w:rPr>
          <w:rFonts w:cstheme="minorHAnsi"/>
        </w:rPr>
        <w:t>%</w:t>
      </w:r>
      <w:r w:rsidR="00030F05">
        <w:rPr>
          <w:rFonts w:cstheme="minorHAnsi"/>
        </w:rPr>
        <w:t xml:space="preserve"> respectively</w:t>
      </w:r>
      <w:r w:rsidR="0024141E" w:rsidRPr="006C24F9">
        <w:rPr>
          <w:rFonts w:cstheme="minorHAnsi"/>
        </w:rPr>
        <w:t xml:space="preserve">). </w:t>
      </w:r>
      <w:r w:rsidR="004F7FB5" w:rsidRPr="004828EC">
        <w:rPr>
          <w:rFonts w:cstheme="minorHAnsi"/>
        </w:rPr>
        <w:t xml:space="preserve">Additionally, </w:t>
      </w:r>
      <w:r w:rsidR="005F5FAF">
        <w:rPr>
          <w:rFonts w:cstheme="minorHAnsi"/>
        </w:rPr>
        <w:t xml:space="preserve">a </w:t>
      </w:r>
      <w:r w:rsidR="00C72234">
        <w:rPr>
          <w:rFonts w:cstheme="minorHAnsi"/>
        </w:rPr>
        <w:t xml:space="preserve">small number of service users </w:t>
      </w:r>
      <w:r w:rsidR="00FB4704">
        <w:rPr>
          <w:rFonts w:cstheme="minorHAnsi"/>
        </w:rPr>
        <w:t xml:space="preserve">at BI and follow-up </w:t>
      </w:r>
      <w:r w:rsidR="00C72234">
        <w:rPr>
          <w:rFonts w:cstheme="minorHAnsi"/>
        </w:rPr>
        <w:t>(</w:t>
      </w:r>
      <w:r w:rsidR="004F7FB5" w:rsidRPr="004828EC">
        <w:rPr>
          <w:rFonts w:cstheme="minorHAnsi"/>
        </w:rPr>
        <w:t>2</w:t>
      </w:r>
      <w:r w:rsidR="00FC22E2">
        <w:rPr>
          <w:rFonts w:cstheme="minorHAnsi"/>
        </w:rPr>
        <w:t>.0</w:t>
      </w:r>
      <w:r w:rsidR="004F7FB5" w:rsidRPr="004828EC">
        <w:rPr>
          <w:rFonts w:cstheme="minorHAnsi"/>
        </w:rPr>
        <w:t xml:space="preserve">% </w:t>
      </w:r>
      <w:r w:rsidR="00C72234">
        <w:rPr>
          <w:rFonts w:cstheme="minorHAnsi"/>
        </w:rPr>
        <w:t>and 3.</w:t>
      </w:r>
      <w:r w:rsidR="00FC22E2">
        <w:rPr>
          <w:rFonts w:cstheme="minorHAnsi"/>
        </w:rPr>
        <w:t>7</w:t>
      </w:r>
      <w:r w:rsidR="00C72234">
        <w:rPr>
          <w:rFonts w:cstheme="minorHAnsi"/>
        </w:rPr>
        <w:t xml:space="preserve">% </w:t>
      </w:r>
      <w:r w:rsidR="00FB4704">
        <w:rPr>
          <w:rFonts w:cstheme="minorHAnsi"/>
        </w:rPr>
        <w:t>respectively</w:t>
      </w:r>
      <w:r w:rsidR="00C72234">
        <w:rPr>
          <w:rFonts w:cstheme="minorHAnsi"/>
        </w:rPr>
        <w:t xml:space="preserve">) </w:t>
      </w:r>
      <w:r w:rsidR="00FB4704">
        <w:rPr>
          <w:rFonts w:cstheme="minorHAnsi"/>
        </w:rPr>
        <w:t xml:space="preserve">whose </w:t>
      </w:r>
      <w:r w:rsidR="00EF7B55">
        <w:rPr>
          <w:rFonts w:cstheme="minorHAnsi"/>
        </w:rPr>
        <w:t xml:space="preserve">submitted </w:t>
      </w:r>
      <w:r w:rsidR="00FB4704">
        <w:rPr>
          <w:rFonts w:cstheme="minorHAnsi"/>
        </w:rPr>
        <w:t xml:space="preserve">sample </w:t>
      </w:r>
      <w:r w:rsidR="00EF7B55">
        <w:rPr>
          <w:rFonts w:cstheme="minorHAnsi"/>
        </w:rPr>
        <w:t xml:space="preserve">was </w:t>
      </w:r>
      <w:r w:rsidR="00FB4704">
        <w:rPr>
          <w:rFonts w:cstheme="minorHAnsi"/>
        </w:rPr>
        <w:t xml:space="preserve">as expected </w:t>
      </w:r>
      <w:r w:rsidR="004F7FB5" w:rsidRPr="004828EC">
        <w:rPr>
          <w:rFonts w:cstheme="minorHAnsi"/>
        </w:rPr>
        <w:t>disposed of further substances for destruction</w:t>
      </w:r>
      <w:r w:rsidR="00B00DE1">
        <w:rPr>
          <w:rFonts w:cstheme="minorHAnsi"/>
        </w:rPr>
        <w:t>,</w:t>
      </w:r>
      <w:r w:rsidR="004F7FB5" w:rsidRPr="004828EC">
        <w:rPr>
          <w:rFonts w:cstheme="minorHAnsi"/>
        </w:rPr>
        <w:t xml:space="preserve"> for example, </w:t>
      </w:r>
      <w:r w:rsidR="00E6141B">
        <w:rPr>
          <w:rFonts w:cstheme="minorHAnsi"/>
        </w:rPr>
        <w:t xml:space="preserve">if </w:t>
      </w:r>
      <w:r w:rsidR="005F5FAF">
        <w:rPr>
          <w:rFonts w:cstheme="minorHAnsi"/>
        </w:rPr>
        <w:t xml:space="preserve">having </w:t>
      </w:r>
      <w:r w:rsidR="004F7FB5" w:rsidRPr="004828EC">
        <w:rPr>
          <w:rFonts w:cstheme="minorHAnsi"/>
        </w:rPr>
        <w:t>had a bad experience with that substance.</w:t>
      </w:r>
      <w:r w:rsidR="00142D47">
        <w:rPr>
          <w:rFonts w:cstheme="minorHAnsi"/>
        </w:rPr>
        <w:t xml:space="preserve"> N</w:t>
      </w:r>
      <w:r w:rsidR="00142D47" w:rsidRPr="006C24F9">
        <w:rPr>
          <w:rFonts w:cstheme="minorHAnsi"/>
        </w:rPr>
        <w:t>early one third (31.</w:t>
      </w:r>
      <w:r w:rsidR="00142D47">
        <w:rPr>
          <w:rFonts w:cstheme="minorHAnsi"/>
        </w:rPr>
        <w:t>7</w:t>
      </w:r>
      <w:r w:rsidR="00142D47" w:rsidRPr="006C24F9">
        <w:rPr>
          <w:rFonts w:cstheme="minorHAnsi"/>
        </w:rPr>
        <w:t xml:space="preserve">%) of </w:t>
      </w:r>
      <w:r w:rsidR="009F5785">
        <w:rPr>
          <w:rFonts w:cstheme="minorHAnsi"/>
        </w:rPr>
        <w:t>festival</w:t>
      </w:r>
      <w:r w:rsidR="00142D47">
        <w:rPr>
          <w:rFonts w:cstheme="minorHAnsi"/>
        </w:rPr>
        <w:t xml:space="preserve"> </w:t>
      </w:r>
      <w:r w:rsidR="002B14E5">
        <w:rPr>
          <w:rFonts w:cstheme="minorHAnsi"/>
        </w:rPr>
        <w:t xml:space="preserve">BI </w:t>
      </w:r>
      <w:r w:rsidR="00142D47" w:rsidRPr="006C24F9">
        <w:rPr>
          <w:rFonts w:cstheme="minorHAnsi"/>
        </w:rPr>
        <w:t xml:space="preserve">service users </w:t>
      </w:r>
      <w:r w:rsidR="00DB3829">
        <w:rPr>
          <w:rFonts w:cstheme="minorHAnsi"/>
        </w:rPr>
        <w:t xml:space="preserve">reported </w:t>
      </w:r>
      <w:r w:rsidR="00142D47" w:rsidRPr="006C24F9">
        <w:rPr>
          <w:rFonts w:cstheme="minorHAnsi"/>
        </w:rPr>
        <w:t xml:space="preserve">already </w:t>
      </w:r>
      <w:r w:rsidR="00FC792F">
        <w:rPr>
          <w:rFonts w:cstheme="minorHAnsi"/>
        </w:rPr>
        <w:t xml:space="preserve">having </w:t>
      </w:r>
      <w:r w:rsidR="00142D47" w:rsidRPr="006C24F9">
        <w:rPr>
          <w:rFonts w:cstheme="minorHAnsi"/>
        </w:rPr>
        <w:t>had a bad experience with that substance</w:t>
      </w:r>
      <w:r w:rsidR="00142D47">
        <w:rPr>
          <w:rFonts w:cstheme="minorHAnsi"/>
        </w:rPr>
        <w:t xml:space="preserve">, </w:t>
      </w:r>
      <w:r w:rsidR="00DB3829">
        <w:rPr>
          <w:rFonts w:cstheme="minorHAnsi"/>
        </w:rPr>
        <w:t xml:space="preserve">along with seven already having received </w:t>
      </w:r>
      <w:r w:rsidR="00B772DB">
        <w:rPr>
          <w:rFonts w:cstheme="minorHAnsi"/>
        </w:rPr>
        <w:t xml:space="preserve">onsite </w:t>
      </w:r>
      <w:r w:rsidR="00DB3829">
        <w:rPr>
          <w:rFonts w:cstheme="minorHAnsi"/>
        </w:rPr>
        <w:t>medical or welfare assistance at that festival</w:t>
      </w:r>
      <w:r w:rsidR="001E653C">
        <w:rPr>
          <w:rFonts w:cstheme="minorHAnsi"/>
        </w:rPr>
        <w:t>,</w:t>
      </w:r>
      <w:r w:rsidR="00DB3829">
        <w:rPr>
          <w:rFonts w:cstheme="minorHAnsi"/>
        </w:rPr>
        <w:t xml:space="preserve"> and two having been </w:t>
      </w:r>
      <w:r w:rsidR="001E653C">
        <w:rPr>
          <w:rFonts w:cstheme="minorHAnsi"/>
        </w:rPr>
        <w:t xml:space="preserve">taken </w:t>
      </w:r>
      <w:r w:rsidR="00DB3829">
        <w:rPr>
          <w:rFonts w:cstheme="minorHAnsi"/>
        </w:rPr>
        <w:t>to hospital</w:t>
      </w:r>
      <w:r w:rsidR="00B772DB">
        <w:rPr>
          <w:rFonts w:cstheme="minorHAnsi"/>
        </w:rPr>
        <w:t xml:space="preserve"> from that festival</w:t>
      </w:r>
      <w:r w:rsidR="001E653C">
        <w:rPr>
          <w:rFonts w:cstheme="minorHAnsi"/>
        </w:rPr>
        <w:t xml:space="preserve"> and returned</w:t>
      </w:r>
      <w:r w:rsidR="00DB3829">
        <w:rPr>
          <w:rFonts w:cstheme="minorHAnsi"/>
        </w:rPr>
        <w:t xml:space="preserve">. This </w:t>
      </w:r>
      <w:r w:rsidR="000E0D31">
        <w:rPr>
          <w:rFonts w:cstheme="minorHAnsi"/>
        </w:rPr>
        <w:t xml:space="preserve">suggests </w:t>
      </w:r>
      <w:r w:rsidR="00142D47">
        <w:rPr>
          <w:rFonts w:cstheme="minorHAnsi"/>
        </w:rPr>
        <w:t xml:space="preserve">that motivation for using a drug checking service </w:t>
      </w:r>
      <w:r w:rsidR="0083147E">
        <w:rPr>
          <w:rFonts w:cstheme="minorHAnsi"/>
        </w:rPr>
        <w:t>can</w:t>
      </w:r>
      <w:r w:rsidR="002B14E5">
        <w:rPr>
          <w:rFonts w:cstheme="minorHAnsi"/>
        </w:rPr>
        <w:t xml:space="preserve"> </w:t>
      </w:r>
      <w:r w:rsidR="00142D47">
        <w:rPr>
          <w:rFonts w:cstheme="minorHAnsi"/>
        </w:rPr>
        <w:t xml:space="preserve">include </w:t>
      </w:r>
      <w:r w:rsidR="00003F1B">
        <w:rPr>
          <w:rFonts w:cstheme="minorHAnsi"/>
        </w:rPr>
        <w:t xml:space="preserve">seeking out a learning opportunity, such as obtaining </w:t>
      </w:r>
      <w:r w:rsidR="00142D47">
        <w:rPr>
          <w:rFonts w:cstheme="minorHAnsi"/>
        </w:rPr>
        <w:t xml:space="preserve">more information about a previous </w:t>
      </w:r>
      <w:r w:rsidR="00AE216E">
        <w:rPr>
          <w:rFonts w:cstheme="minorHAnsi"/>
        </w:rPr>
        <w:t xml:space="preserve">negative </w:t>
      </w:r>
      <w:r w:rsidR="00142D47">
        <w:rPr>
          <w:rFonts w:cstheme="minorHAnsi"/>
        </w:rPr>
        <w:t xml:space="preserve">drug taking </w:t>
      </w:r>
      <w:r w:rsidR="000E0D31">
        <w:rPr>
          <w:rFonts w:cstheme="minorHAnsi"/>
        </w:rPr>
        <w:t>episode</w:t>
      </w:r>
      <w:r w:rsidR="00B772DB">
        <w:rPr>
          <w:rFonts w:cstheme="minorHAnsi"/>
        </w:rPr>
        <w:t xml:space="preserve"> </w:t>
      </w:r>
      <w:r w:rsidR="002B14E5">
        <w:rPr>
          <w:rFonts w:cstheme="minorHAnsi"/>
        </w:rPr>
        <w:t>and associated ill health</w:t>
      </w:r>
      <w:r w:rsidR="00142D47" w:rsidRPr="006C24F9">
        <w:rPr>
          <w:rFonts w:cstheme="minorHAnsi"/>
        </w:rPr>
        <w:t>.</w:t>
      </w:r>
      <w:r w:rsidR="004F54DE" w:rsidRPr="004F54DE">
        <w:rPr>
          <w:rFonts w:cstheme="minorHAnsi"/>
        </w:rPr>
        <w:t xml:space="preserve"> </w:t>
      </w:r>
    </w:p>
    <w:p w14:paraId="6BFE6AC5" w14:textId="01DA3063" w:rsidR="004828EC" w:rsidRDefault="004828EC" w:rsidP="006C24F9">
      <w:pPr>
        <w:rPr>
          <w:rFonts w:cstheme="minorHAnsi"/>
        </w:rPr>
      </w:pPr>
    </w:p>
    <w:p w14:paraId="2A7EFF10" w14:textId="445DBF5E" w:rsidR="004828EC" w:rsidRPr="007D6F2D" w:rsidRDefault="00354308" w:rsidP="007D6F2D">
      <w:pPr>
        <w:pStyle w:val="ListParagraph"/>
        <w:numPr>
          <w:ilvl w:val="0"/>
          <w:numId w:val="16"/>
        </w:numPr>
        <w:rPr>
          <w:rFonts w:cstheme="minorHAnsi"/>
          <w:i/>
          <w:iCs/>
        </w:rPr>
      </w:pPr>
      <w:r>
        <w:rPr>
          <w:rFonts w:cstheme="minorHAnsi"/>
          <w:i/>
          <w:iCs/>
        </w:rPr>
        <w:t>Self Disposal</w:t>
      </w:r>
    </w:p>
    <w:p w14:paraId="3811628B" w14:textId="0DFE4F88" w:rsidR="000F00F5" w:rsidRDefault="000F00F5" w:rsidP="006C24F9">
      <w:pPr>
        <w:rPr>
          <w:rFonts w:cstheme="minorHAnsi"/>
        </w:rPr>
      </w:pPr>
    </w:p>
    <w:p w14:paraId="7E3F58BC" w14:textId="6E7D229F" w:rsidR="00422345" w:rsidRDefault="001A21B7" w:rsidP="006C24F9">
      <w:pPr>
        <w:rPr>
          <w:rFonts w:cstheme="minorHAnsi"/>
        </w:rPr>
      </w:pPr>
      <w:r>
        <w:rPr>
          <w:rFonts w:cstheme="minorHAnsi"/>
        </w:rPr>
        <w:t xml:space="preserve">Intention to </w:t>
      </w:r>
      <w:r w:rsidR="000B01E8">
        <w:rPr>
          <w:rFonts w:cstheme="minorHAnsi"/>
        </w:rPr>
        <w:t xml:space="preserve">dispose of </w:t>
      </w:r>
      <w:r w:rsidR="00422345">
        <w:rPr>
          <w:rFonts w:cstheme="minorHAnsi"/>
        </w:rPr>
        <w:t xml:space="preserve">further substances of concern is distinguished </w:t>
      </w:r>
      <w:r w:rsidR="00684E50">
        <w:rPr>
          <w:rFonts w:cstheme="minorHAnsi"/>
        </w:rPr>
        <w:t xml:space="preserve">here </w:t>
      </w:r>
      <w:r w:rsidR="00422345">
        <w:rPr>
          <w:rFonts w:cstheme="minorHAnsi"/>
        </w:rPr>
        <w:t xml:space="preserve">from </w:t>
      </w:r>
      <w:r>
        <w:rPr>
          <w:rFonts w:cstheme="minorHAnsi"/>
        </w:rPr>
        <w:t xml:space="preserve">disposal </w:t>
      </w:r>
      <w:r w:rsidR="00422345">
        <w:rPr>
          <w:rFonts w:cstheme="minorHAnsi"/>
        </w:rPr>
        <w:t xml:space="preserve">to the drug checking service for onward destruction because </w:t>
      </w:r>
      <w:r w:rsidR="006000FF">
        <w:rPr>
          <w:rFonts w:cstheme="minorHAnsi"/>
        </w:rPr>
        <w:t xml:space="preserve">it was </w:t>
      </w:r>
      <w:r>
        <w:rPr>
          <w:rFonts w:cstheme="minorHAnsi"/>
        </w:rPr>
        <w:t>un</w:t>
      </w:r>
      <w:r w:rsidR="00422345">
        <w:rPr>
          <w:rFonts w:cstheme="minorHAnsi"/>
        </w:rPr>
        <w:t xml:space="preserve">verified. </w:t>
      </w:r>
      <w:r w:rsidR="00ED067B">
        <w:rPr>
          <w:rFonts w:cstheme="minorHAnsi"/>
        </w:rPr>
        <w:t>Three in ten</w:t>
      </w:r>
      <w:r w:rsidR="00283D60">
        <w:rPr>
          <w:rFonts w:cstheme="minorHAnsi"/>
        </w:rPr>
        <w:t xml:space="preserve"> </w:t>
      </w:r>
      <w:r w:rsidR="008B04BC">
        <w:rPr>
          <w:rFonts w:cstheme="minorHAnsi"/>
        </w:rPr>
        <w:t xml:space="preserve">service users </w:t>
      </w:r>
      <w:r w:rsidR="00654746">
        <w:rPr>
          <w:rFonts w:cstheme="minorHAnsi"/>
        </w:rPr>
        <w:t xml:space="preserve">at BI and follow-up </w:t>
      </w:r>
      <w:r w:rsidR="001658C4">
        <w:rPr>
          <w:rFonts w:cstheme="minorHAnsi"/>
        </w:rPr>
        <w:t>(</w:t>
      </w:r>
      <w:r w:rsidR="0015477C">
        <w:rPr>
          <w:rFonts w:cstheme="minorHAnsi"/>
        </w:rPr>
        <w:t>29</w:t>
      </w:r>
      <w:r w:rsidR="001658C4" w:rsidRPr="008B04BC">
        <w:rPr>
          <w:rFonts w:cstheme="minorHAnsi"/>
        </w:rPr>
        <w:t>.</w:t>
      </w:r>
      <w:r w:rsidR="004120BF">
        <w:rPr>
          <w:rFonts w:cstheme="minorHAnsi"/>
        </w:rPr>
        <w:t>6</w:t>
      </w:r>
      <w:r w:rsidR="001658C4" w:rsidRPr="008B04BC">
        <w:rPr>
          <w:rFonts w:cstheme="minorHAnsi"/>
        </w:rPr>
        <w:t>%</w:t>
      </w:r>
      <w:r w:rsidR="001658C4">
        <w:rPr>
          <w:rFonts w:cstheme="minorHAnsi"/>
        </w:rPr>
        <w:t xml:space="preserve"> and </w:t>
      </w:r>
      <w:r w:rsidR="001658C4" w:rsidRPr="008B04BC">
        <w:rPr>
          <w:rFonts w:cstheme="minorHAnsi"/>
        </w:rPr>
        <w:t>3</w:t>
      </w:r>
      <w:r w:rsidR="0015477C">
        <w:rPr>
          <w:rFonts w:cstheme="minorHAnsi"/>
        </w:rPr>
        <w:t>1.6</w:t>
      </w:r>
      <w:r w:rsidR="001658C4">
        <w:rPr>
          <w:rFonts w:cstheme="minorHAnsi"/>
        </w:rPr>
        <w:t>% respectively</w:t>
      </w:r>
      <w:r w:rsidR="001658C4" w:rsidRPr="008B04BC">
        <w:rPr>
          <w:rFonts w:cstheme="minorHAnsi"/>
        </w:rPr>
        <w:t>)</w:t>
      </w:r>
      <w:r w:rsidR="001658C4">
        <w:rPr>
          <w:rFonts w:cstheme="minorHAnsi"/>
        </w:rPr>
        <w:t xml:space="preserve"> </w:t>
      </w:r>
      <w:r w:rsidR="008A6EAA" w:rsidRPr="008A6EAA">
        <w:rPr>
          <w:rFonts w:cstheme="minorHAnsi"/>
        </w:rPr>
        <w:t xml:space="preserve">whose sample </w:t>
      </w:r>
      <w:r w:rsidR="00F968FA">
        <w:rPr>
          <w:rFonts w:cstheme="minorHAnsi"/>
        </w:rPr>
        <w:t>was identified as</w:t>
      </w:r>
      <w:r w:rsidR="008A6EAA" w:rsidRPr="008A6EAA">
        <w:rPr>
          <w:rFonts w:cstheme="minorHAnsi"/>
        </w:rPr>
        <w:t xml:space="preserve"> other than expected</w:t>
      </w:r>
      <w:r w:rsidR="007A5F25">
        <w:rPr>
          <w:rFonts w:cstheme="minorHAnsi"/>
        </w:rPr>
        <w:t>,</w:t>
      </w:r>
      <w:r w:rsidR="008A6EAA" w:rsidRPr="008A6EAA">
        <w:rPr>
          <w:rFonts w:cstheme="minorHAnsi"/>
        </w:rPr>
        <w:t xml:space="preserve"> </w:t>
      </w:r>
      <w:r w:rsidR="00CE5586">
        <w:rPr>
          <w:rFonts w:cstheme="minorHAnsi"/>
        </w:rPr>
        <w:t>report</w:t>
      </w:r>
      <w:r w:rsidR="00ED067B">
        <w:rPr>
          <w:rFonts w:cstheme="minorHAnsi"/>
        </w:rPr>
        <w:t>ed</w:t>
      </w:r>
      <w:r w:rsidR="00CE5586">
        <w:rPr>
          <w:rFonts w:cstheme="minorHAnsi"/>
        </w:rPr>
        <w:t xml:space="preserve"> </w:t>
      </w:r>
      <w:r w:rsidR="008B04BC">
        <w:rPr>
          <w:rFonts w:cstheme="minorHAnsi"/>
        </w:rPr>
        <w:t>intending to</w:t>
      </w:r>
      <w:r w:rsidR="00D6384D">
        <w:rPr>
          <w:rFonts w:cstheme="minorHAnsi"/>
        </w:rPr>
        <w:t>,</w:t>
      </w:r>
      <w:r w:rsidR="008B04BC">
        <w:rPr>
          <w:rFonts w:cstheme="minorHAnsi"/>
        </w:rPr>
        <w:t xml:space="preserve"> </w:t>
      </w:r>
      <w:r w:rsidR="00E668BD">
        <w:rPr>
          <w:rFonts w:cstheme="minorHAnsi"/>
        </w:rPr>
        <w:t xml:space="preserve">and </w:t>
      </w:r>
      <w:r w:rsidR="000D313B">
        <w:rPr>
          <w:rFonts w:cstheme="minorHAnsi"/>
        </w:rPr>
        <w:t xml:space="preserve">recollected </w:t>
      </w:r>
      <w:r w:rsidR="00ED067B">
        <w:rPr>
          <w:rFonts w:cstheme="minorHAnsi"/>
        </w:rPr>
        <w:t xml:space="preserve">having </w:t>
      </w:r>
      <w:r w:rsidR="000B01E8">
        <w:rPr>
          <w:rFonts w:cstheme="minorHAnsi"/>
        </w:rPr>
        <w:t xml:space="preserve">disposed of </w:t>
      </w:r>
      <w:r w:rsidR="00D6384D" w:rsidRPr="00D6384D">
        <w:rPr>
          <w:rFonts w:cstheme="minorHAnsi"/>
        </w:rPr>
        <w:t>further substances of concern</w:t>
      </w:r>
      <w:r w:rsidR="00D6384D">
        <w:rPr>
          <w:rFonts w:cstheme="minorHAnsi"/>
        </w:rPr>
        <w:t xml:space="preserve"> </w:t>
      </w:r>
      <w:r w:rsidR="000D3F86">
        <w:rPr>
          <w:rFonts w:cstheme="minorHAnsi"/>
        </w:rPr>
        <w:t xml:space="preserve">after </w:t>
      </w:r>
      <w:r w:rsidR="007A5F25">
        <w:rPr>
          <w:rFonts w:cstheme="minorHAnsi"/>
        </w:rPr>
        <w:t>their BI</w:t>
      </w:r>
      <w:r w:rsidR="008B04BC">
        <w:rPr>
          <w:rFonts w:cstheme="minorHAnsi"/>
        </w:rPr>
        <w:t>.</w:t>
      </w:r>
    </w:p>
    <w:p w14:paraId="22E45AE5" w14:textId="77777777" w:rsidR="008B04BC" w:rsidRDefault="008B04BC" w:rsidP="006C24F9">
      <w:pPr>
        <w:rPr>
          <w:rFonts w:cstheme="minorHAnsi"/>
        </w:rPr>
      </w:pPr>
    </w:p>
    <w:p w14:paraId="703DD07F" w14:textId="3052BE2B" w:rsidR="000F00F5" w:rsidRDefault="00030F05" w:rsidP="006C24F9">
      <w:pPr>
        <w:rPr>
          <w:rFonts w:cstheme="minorHAnsi"/>
        </w:rPr>
      </w:pPr>
      <w:r w:rsidRPr="00030F05">
        <w:rPr>
          <w:rFonts w:cstheme="minorHAnsi"/>
        </w:rPr>
        <w:t>When combin</w:t>
      </w:r>
      <w:r w:rsidR="00422345">
        <w:rPr>
          <w:rFonts w:cstheme="minorHAnsi"/>
        </w:rPr>
        <w:t xml:space="preserve">ing </w:t>
      </w:r>
      <w:r w:rsidR="00714AE4">
        <w:rPr>
          <w:rFonts w:cstheme="minorHAnsi"/>
        </w:rPr>
        <w:t>the destruction</w:t>
      </w:r>
      <w:r w:rsidR="00C66C49">
        <w:rPr>
          <w:rFonts w:cstheme="minorHAnsi"/>
        </w:rPr>
        <w:t xml:space="preserve"> and </w:t>
      </w:r>
      <w:proofErr w:type="spellStart"/>
      <w:r w:rsidR="000B01E8">
        <w:rPr>
          <w:rFonts w:cstheme="minorHAnsi"/>
        </w:rPr>
        <w:t>self disposal</w:t>
      </w:r>
      <w:proofErr w:type="spellEnd"/>
      <w:r w:rsidR="000B01E8">
        <w:rPr>
          <w:rFonts w:cstheme="minorHAnsi"/>
        </w:rPr>
        <w:t xml:space="preserve"> </w:t>
      </w:r>
      <w:r w:rsidR="002708B2">
        <w:rPr>
          <w:rFonts w:cstheme="minorHAnsi"/>
        </w:rPr>
        <w:t>measures</w:t>
      </w:r>
      <w:r w:rsidRPr="00030F05">
        <w:rPr>
          <w:rFonts w:cstheme="minorHAnsi"/>
        </w:rPr>
        <w:t xml:space="preserve">, </w:t>
      </w:r>
      <w:r w:rsidR="00D21E91">
        <w:rPr>
          <w:rFonts w:cstheme="minorHAnsi"/>
        </w:rPr>
        <w:t xml:space="preserve">in total </w:t>
      </w:r>
      <w:r w:rsidR="003F180B">
        <w:rPr>
          <w:rFonts w:cstheme="minorHAnsi"/>
        </w:rPr>
        <w:t xml:space="preserve">over </w:t>
      </w:r>
      <w:r w:rsidRPr="00030F05">
        <w:rPr>
          <w:rFonts w:cstheme="minorHAnsi"/>
        </w:rPr>
        <w:t xml:space="preserve">half </w:t>
      </w:r>
      <w:r w:rsidR="00422345">
        <w:rPr>
          <w:rFonts w:cstheme="minorHAnsi"/>
        </w:rPr>
        <w:t xml:space="preserve">of service users </w:t>
      </w:r>
      <w:r w:rsidR="00D21E91">
        <w:rPr>
          <w:rFonts w:cstheme="minorHAnsi"/>
        </w:rPr>
        <w:t xml:space="preserve">at BI and follow-up </w:t>
      </w:r>
      <w:r w:rsidR="00D21E91" w:rsidRPr="00030F05">
        <w:rPr>
          <w:rFonts w:cstheme="minorHAnsi"/>
        </w:rPr>
        <w:t>(5</w:t>
      </w:r>
      <w:r w:rsidR="003F180B">
        <w:rPr>
          <w:rFonts w:cstheme="minorHAnsi"/>
        </w:rPr>
        <w:t>0</w:t>
      </w:r>
      <w:r w:rsidR="00D21E91" w:rsidRPr="00030F05">
        <w:rPr>
          <w:rFonts w:cstheme="minorHAnsi"/>
        </w:rPr>
        <w:t>.</w:t>
      </w:r>
      <w:r w:rsidR="003F180B">
        <w:rPr>
          <w:rFonts w:cstheme="minorHAnsi"/>
        </w:rPr>
        <w:t>3</w:t>
      </w:r>
      <w:r w:rsidR="00D21E91" w:rsidRPr="00030F05">
        <w:rPr>
          <w:rFonts w:cstheme="minorHAnsi"/>
        </w:rPr>
        <w:t>%</w:t>
      </w:r>
      <w:r w:rsidR="00D21E91">
        <w:rPr>
          <w:rFonts w:cstheme="minorHAnsi"/>
        </w:rPr>
        <w:t xml:space="preserve"> and 5</w:t>
      </w:r>
      <w:r w:rsidR="005E4110">
        <w:rPr>
          <w:rFonts w:cstheme="minorHAnsi"/>
        </w:rPr>
        <w:t>2.6</w:t>
      </w:r>
      <w:r w:rsidR="00D21E91">
        <w:rPr>
          <w:rFonts w:cstheme="minorHAnsi"/>
        </w:rPr>
        <w:t>% respectively</w:t>
      </w:r>
      <w:r w:rsidR="00D21E91" w:rsidRPr="00030F05">
        <w:rPr>
          <w:rFonts w:cstheme="minorHAnsi"/>
        </w:rPr>
        <w:t>)</w:t>
      </w:r>
      <w:r w:rsidR="00D21E91">
        <w:rPr>
          <w:rFonts w:cstheme="minorHAnsi"/>
        </w:rPr>
        <w:t xml:space="preserve"> </w:t>
      </w:r>
      <w:r w:rsidR="00EE3A46" w:rsidRPr="00030F05">
        <w:rPr>
          <w:rFonts w:cstheme="minorHAnsi"/>
        </w:rPr>
        <w:t xml:space="preserve">whose sample </w:t>
      </w:r>
      <w:r w:rsidR="00EF7B55">
        <w:rPr>
          <w:rFonts w:cstheme="minorHAnsi"/>
        </w:rPr>
        <w:t xml:space="preserve">was identified as </w:t>
      </w:r>
      <w:r w:rsidR="00EE3A46" w:rsidRPr="00030F05">
        <w:rPr>
          <w:rFonts w:cstheme="minorHAnsi"/>
        </w:rPr>
        <w:t>other than expected</w:t>
      </w:r>
      <w:r w:rsidR="00D21E91">
        <w:rPr>
          <w:rFonts w:cstheme="minorHAnsi"/>
        </w:rPr>
        <w:t>,</w:t>
      </w:r>
      <w:r w:rsidR="00EE3A46">
        <w:rPr>
          <w:rFonts w:cstheme="minorHAnsi"/>
        </w:rPr>
        <w:t xml:space="preserve"> reported</w:t>
      </w:r>
      <w:r w:rsidR="00EE3A46" w:rsidRPr="00030F05">
        <w:rPr>
          <w:rFonts w:cstheme="minorHAnsi"/>
        </w:rPr>
        <w:t xml:space="preserve"> either </w:t>
      </w:r>
      <w:r w:rsidR="00EE3A46">
        <w:rPr>
          <w:rFonts w:cstheme="minorHAnsi"/>
        </w:rPr>
        <w:t xml:space="preserve">handing over </w:t>
      </w:r>
      <w:r w:rsidR="00EE3A46" w:rsidRPr="00030F05">
        <w:rPr>
          <w:rFonts w:cstheme="minorHAnsi"/>
        </w:rPr>
        <w:t>further substances of concern in their possession for onward destruction (</w:t>
      </w:r>
      <w:r w:rsidR="00684E50">
        <w:rPr>
          <w:rFonts w:cstheme="minorHAnsi"/>
        </w:rPr>
        <w:t>for example</w:t>
      </w:r>
      <w:r w:rsidR="00906EA1">
        <w:rPr>
          <w:rFonts w:cstheme="minorHAnsi"/>
        </w:rPr>
        <w:t>,</w:t>
      </w:r>
      <w:r w:rsidR="00EE3A46" w:rsidRPr="00030F05">
        <w:rPr>
          <w:rFonts w:cstheme="minorHAnsi"/>
        </w:rPr>
        <w:t xml:space="preserve"> if </w:t>
      </w:r>
      <w:r w:rsidR="00545BFF">
        <w:rPr>
          <w:rFonts w:cstheme="minorHAnsi"/>
        </w:rPr>
        <w:t xml:space="preserve">their </w:t>
      </w:r>
      <w:r w:rsidR="00EE3A46" w:rsidRPr="00030F05">
        <w:rPr>
          <w:rFonts w:cstheme="minorHAnsi"/>
        </w:rPr>
        <w:t>stock</w:t>
      </w:r>
      <w:r w:rsidR="00906EA1">
        <w:rPr>
          <w:rFonts w:cstheme="minorHAnsi"/>
        </w:rPr>
        <w:t xml:space="preserve"> was </w:t>
      </w:r>
      <w:r w:rsidR="00EE3A46" w:rsidRPr="00030F05">
        <w:rPr>
          <w:rFonts w:cstheme="minorHAnsi"/>
        </w:rPr>
        <w:t>on their person</w:t>
      </w:r>
      <w:r w:rsidR="00FC1447">
        <w:rPr>
          <w:rFonts w:cstheme="minorHAnsi"/>
        </w:rPr>
        <w:t xml:space="preserve"> at </w:t>
      </w:r>
      <w:r w:rsidR="00B26589">
        <w:rPr>
          <w:rFonts w:cstheme="minorHAnsi"/>
        </w:rPr>
        <w:t xml:space="preserve">the </w:t>
      </w:r>
      <w:r w:rsidR="00FC1447">
        <w:rPr>
          <w:rFonts w:cstheme="minorHAnsi"/>
        </w:rPr>
        <w:t>BI</w:t>
      </w:r>
      <w:r w:rsidR="00EE3A46" w:rsidRPr="00030F05">
        <w:rPr>
          <w:rFonts w:cstheme="minorHAnsi"/>
        </w:rPr>
        <w:t xml:space="preserve">) or expressed an intention to </w:t>
      </w:r>
      <w:r w:rsidR="000B01E8">
        <w:rPr>
          <w:rFonts w:cstheme="minorHAnsi"/>
        </w:rPr>
        <w:t>dispose of</w:t>
      </w:r>
      <w:r w:rsidR="000B01E8" w:rsidRPr="00030F05">
        <w:rPr>
          <w:rFonts w:cstheme="minorHAnsi"/>
        </w:rPr>
        <w:t xml:space="preserve"> </w:t>
      </w:r>
      <w:r w:rsidR="00EE3A46" w:rsidRPr="00030F05">
        <w:rPr>
          <w:rFonts w:cstheme="minorHAnsi"/>
        </w:rPr>
        <w:t xml:space="preserve">further substances </w:t>
      </w:r>
      <w:r w:rsidR="00073302">
        <w:rPr>
          <w:rFonts w:cstheme="minorHAnsi"/>
        </w:rPr>
        <w:t xml:space="preserve">in their possession </w:t>
      </w:r>
      <w:r w:rsidR="00EE3A46" w:rsidRPr="00030F05">
        <w:rPr>
          <w:rFonts w:cstheme="minorHAnsi"/>
        </w:rPr>
        <w:t>themselves later (</w:t>
      </w:r>
      <w:r w:rsidR="00684E50">
        <w:rPr>
          <w:rFonts w:cstheme="minorHAnsi"/>
        </w:rPr>
        <w:t>for example</w:t>
      </w:r>
      <w:r w:rsidR="00906EA1">
        <w:rPr>
          <w:rFonts w:cstheme="minorHAnsi"/>
        </w:rPr>
        <w:t>,</w:t>
      </w:r>
      <w:r w:rsidR="00684E50">
        <w:rPr>
          <w:rFonts w:cstheme="minorHAnsi"/>
        </w:rPr>
        <w:t xml:space="preserve"> </w:t>
      </w:r>
      <w:r w:rsidR="00EE3A46" w:rsidRPr="00030F05">
        <w:rPr>
          <w:rFonts w:cstheme="minorHAnsi"/>
        </w:rPr>
        <w:t>if their stock</w:t>
      </w:r>
      <w:r w:rsidR="00906EA1">
        <w:rPr>
          <w:rFonts w:cstheme="minorHAnsi"/>
        </w:rPr>
        <w:t xml:space="preserve"> was </w:t>
      </w:r>
      <w:r w:rsidR="00EE3A46" w:rsidRPr="00030F05">
        <w:rPr>
          <w:rFonts w:cstheme="minorHAnsi"/>
        </w:rPr>
        <w:t>stored in their tent)</w:t>
      </w:r>
      <w:r w:rsidR="00422345">
        <w:rPr>
          <w:rFonts w:cstheme="minorHAnsi"/>
        </w:rPr>
        <w:t>.</w:t>
      </w:r>
      <w:r w:rsidR="000215B3">
        <w:rPr>
          <w:rFonts w:cstheme="minorHAnsi"/>
        </w:rPr>
        <w:t xml:space="preserve"> </w:t>
      </w:r>
    </w:p>
    <w:p w14:paraId="06552FA6" w14:textId="0D11AF8D" w:rsidR="001A3341" w:rsidRDefault="001A3341" w:rsidP="006C24F9">
      <w:pPr>
        <w:rPr>
          <w:rFonts w:cstheme="minorHAnsi"/>
        </w:rPr>
      </w:pPr>
    </w:p>
    <w:p w14:paraId="7A886932" w14:textId="50F128FC" w:rsidR="001A3341" w:rsidRPr="007D6F2D" w:rsidRDefault="001A3341" w:rsidP="007D6F2D">
      <w:pPr>
        <w:pStyle w:val="ListParagraph"/>
        <w:numPr>
          <w:ilvl w:val="0"/>
          <w:numId w:val="16"/>
        </w:numPr>
        <w:rPr>
          <w:rFonts w:cstheme="minorHAnsi"/>
          <w:i/>
          <w:iCs/>
        </w:rPr>
      </w:pPr>
      <w:r w:rsidRPr="007D6F2D">
        <w:rPr>
          <w:rFonts w:cstheme="minorHAnsi"/>
          <w:i/>
          <w:iCs/>
        </w:rPr>
        <w:t>Smaller dose</w:t>
      </w:r>
      <w:r w:rsidR="006B4CDF" w:rsidRPr="007D6F2D">
        <w:rPr>
          <w:rFonts w:cstheme="minorHAnsi"/>
          <w:i/>
          <w:iCs/>
        </w:rPr>
        <w:t>s</w:t>
      </w:r>
      <w:r w:rsidRPr="007D6F2D">
        <w:rPr>
          <w:rFonts w:cstheme="minorHAnsi"/>
          <w:i/>
          <w:iCs/>
        </w:rPr>
        <w:t xml:space="preserve"> </w:t>
      </w:r>
    </w:p>
    <w:p w14:paraId="5840ABE8" w14:textId="440FC224" w:rsidR="006B4CDF" w:rsidRDefault="006B4CDF" w:rsidP="006C24F9">
      <w:pPr>
        <w:rPr>
          <w:rFonts w:cstheme="minorHAnsi"/>
        </w:rPr>
      </w:pPr>
    </w:p>
    <w:p w14:paraId="42DC760D" w14:textId="6FD1E99C" w:rsidR="00E56485" w:rsidRDefault="002B2504" w:rsidP="00E56485">
      <w:pPr>
        <w:rPr>
          <w:rFonts w:cstheme="minorHAnsi"/>
        </w:rPr>
      </w:pPr>
      <w:r>
        <w:rPr>
          <w:rFonts w:cstheme="minorHAnsi"/>
        </w:rPr>
        <w:t>Healthcare consultations contextualised the strength of submitted substances in an individually tailored discussion</w:t>
      </w:r>
      <w:r w:rsidR="0080383B">
        <w:rPr>
          <w:rFonts w:cstheme="minorHAnsi"/>
        </w:rPr>
        <w:t xml:space="preserve"> about </w:t>
      </w:r>
      <w:r w:rsidR="00AC7F5E">
        <w:rPr>
          <w:rFonts w:cstheme="minorHAnsi"/>
        </w:rPr>
        <w:t xml:space="preserve">dosage and differential risk around issues such as body mass index, </w:t>
      </w:r>
      <w:r w:rsidR="00A91599">
        <w:rPr>
          <w:rFonts w:cstheme="minorHAnsi"/>
        </w:rPr>
        <w:t xml:space="preserve">gender, </w:t>
      </w:r>
      <w:r w:rsidR="00AC7F5E">
        <w:rPr>
          <w:rFonts w:cstheme="minorHAnsi"/>
        </w:rPr>
        <w:t>tolerance</w:t>
      </w:r>
      <w:r w:rsidR="002206E8">
        <w:rPr>
          <w:rFonts w:cstheme="minorHAnsi"/>
        </w:rPr>
        <w:t>,</w:t>
      </w:r>
      <w:r w:rsidR="00AC7F5E">
        <w:rPr>
          <w:rFonts w:cstheme="minorHAnsi"/>
        </w:rPr>
        <w:t xml:space="preserve"> and mixing with other </w:t>
      </w:r>
      <w:r w:rsidR="00536BE0">
        <w:rPr>
          <w:rFonts w:cstheme="minorHAnsi"/>
        </w:rPr>
        <w:t xml:space="preserve">legal </w:t>
      </w:r>
      <w:r w:rsidR="00AA3BEE">
        <w:rPr>
          <w:rFonts w:cstheme="minorHAnsi"/>
        </w:rPr>
        <w:t xml:space="preserve">or </w:t>
      </w:r>
      <w:r w:rsidR="004B547F">
        <w:rPr>
          <w:rFonts w:cstheme="minorHAnsi"/>
        </w:rPr>
        <w:t xml:space="preserve">illicit </w:t>
      </w:r>
      <w:r w:rsidR="00AC7F5E">
        <w:rPr>
          <w:rFonts w:cstheme="minorHAnsi"/>
        </w:rPr>
        <w:t>drugs</w:t>
      </w:r>
      <w:r>
        <w:rPr>
          <w:rFonts w:cstheme="minorHAnsi"/>
        </w:rPr>
        <w:t xml:space="preserve">. </w:t>
      </w:r>
      <w:r w:rsidR="002C0496">
        <w:rPr>
          <w:rFonts w:cstheme="minorHAnsi"/>
        </w:rPr>
        <w:t>Two</w:t>
      </w:r>
      <w:r w:rsidR="00E56485">
        <w:rPr>
          <w:rFonts w:cstheme="minorHAnsi"/>
        </w:rPr>
        <w:t xml:space="preserve"> in five service users</w:t>
      </w:r>
      <w:r w:rsidR="00E56485" w:rsidRPr="00E56485">
        <w:rPr>
          <w:rFonts w:cstheme="minorHAnsi"/>
        </w:rPr>
        <w:t xml:space="preserve"> </w:t>
      </w:r>
      <w:r w:rsidR="00E56485">
        <w:rPr>
          <w:rFonts w:cstheme="minorHAnsi"/>
        </w:rPr>
        <w:t xml:space="preserve">at </w:t>
      </w:r>
      <w:r w:rsidR="00E56485" w:rsidRPr="00E56485">
        <w:rPr>
          <w:rFonts w:cstheme="minorHAnsi"/>
        </w:rPr>
        <w:t xml:space="preserve">BI and </w:t>
      </w:r>
      <w:r w:rsidR="00E56485">
        <w:rPr>
          <w:rFonts w:cstheme="minorHAnsi"/>
        </w:rPr>
        <w:t xml:space="preserve">follow-up </w:t>
      </w:r>
      <w:r w:rsidR="001658C4" w:rsidRPr="00E56485">
        <w:rPr>
          <w:rFonts w:cstheme="minorHAnsi"/>
        </w:rPr>
        <w:t>(3</w:t>
      </w:r>
      <w:r w:rsidR="0083635F">
        <w:rPr>
          <w:rFonts w:cstheme="minorHAnsi"/>
        </w:rPr>
        <w:t>8</w:t>
      </w:r>
      <w:r w:rsidR="001658C4" w:rsidRPr="00E56485">
        <w:rPr>
          <w:rFonts w:cstheme="minorHAnsi"/>
        </w:rPr>
        <w:t>.</w:t>
      </w:r>
      <w:r w:rsidR="00FB2E59">
        <w:rPr>
          <w:rFonts w:cstheme="minorHAnsi"/>
        </w:rPr>
        <w:t>3</w:t>
      </w:r>
      <w:r w:rsidR="001658C4" w:rsidRPr="00E56485">
        <w:rPr>
          <w:rFonts w:cstheme="minorHAnsi"/>
        </w:rPr>
        <w:t>% and 4</w:t>
      </w:r>
      <w:r w:rsidR="0083635F">
        <w:rPr>
          <w:rFonts w:cstheme="minorHAnsi"/>
        </w:rPr>
        <w:t>1.</w:t>
      </w:r>
      <w:r w:rsidR="007D1BCD">
        <w:rPr>
          <w:rFonts w:cstheme="minorHAnsi"/>
        </w:rPr>
        <w:t>7</w:t>
      </w:r>
      <w:r w:rsidR="001658C4" w:rsidRPr="00E56485">
        <w:rPr>
          <w:rFonts w:cstheme="minorHAnsi"/>
        </w:rPr>
        <w:t>% respectively)</w:t>
      </w:r>
      <w:r w:rsidR="001658C4">
        <w:rPr>
          <w:rFonts w:cstheme="minorHAnsi"/>
        </w:rPr>
        <w:t xml:space="preserve"> </w:t>
      </w:r>
      <w:r w:rsidR="00293DC6" w:rsidRPr="00293DC6">
        <w:rPr>
          <w:rFonts w:cstheme="minorHAnsi"/>
        </w:rPr>
        <w:t xml:space="preserve">whose sample </w:t>
      </w:r>
      <w:r w:rsidR="00CC7603">
        <w:rPr>
          <w:rFonts w:cstheme="minorHAnsi"/>
        </w:rPr>
        <w:t xml:space="preserve">was identified </w:t>
      </w:r>
      <w:r w:rsidR="00293DC6" w:rsidRPr="00293DC6">
        <w:rPr>
          <w:rFonts w:cstheme="minorHAnsi"/>
        </w:rPr>
        <w:t>as expected</w:t>
      </w:r>
      <w:r w:rsidR="00E56485" w:rsidRPr="00E56485">
        <w:rPr>
          <w:rFonts w:cstheme="minorHAnsi"/>
        </w:rPr>
        <w:t xml:space="preserve">, reported intending to, </w:t>
      </w:r>
      <w:r w:rsidR="001B3357">
        <w:rPr>
          <w:rFonts w:cstheme="minorHAnsi"/>
        </w:rPr>
        <w:t>and</w:t>
      </w:r>
      <w:r w:rsidR="00E56485" w:rsidRPr="00E56485">
        <w:rPr>
          <w:rFonts w:cstheme="minorHAnsi"/>
        </w:rPr>
        <w:t xml:space="preserve"> </w:t>
      </w:r>
      <w:r w:rsidR="000D313B">
        <w:rPr>
          <w:rFonts w:cstheme="minorHAnsi"/>
        </w:rPr>
        <w:t xml:space="preserve">recollected </w:t>
      </w:r>
      <w:r w:rsidR="00E56485" w:rsidRPr="00E56485">
        <w:rPr>
          <w:rFonts w:cstheme="minorHAnsi"/>
        </w:rPr>
        <w:t xml:space="preserve">having taken, a smaller dose of </w:t>
      </w:r>
      <w:r w:rsidR="002F617F">
        <w:rPr>
          <w:rFonts w:cstheme="minorHAnsi"/>
        </w:rPr>
        <w:t xml:space="preserve">further </w:t>
      </w:r>
      <w:r w:rsidR="00E56485" w:rsidRPr="00E56485">
        <w:rPr>
          <w:rFonts w:cstheme="minorHAnsi"/>
        </w:rPr>
        <w:t>substance</w:t>
      </w:r>
      <w:r w:rsidR="002F617F">
        <w:rPr>
          <w:rFonts w:cstheme="minorHAnsi"/>
        </w:rPr>
        <w:t>s</w:t>
      </w:r>
      <w:r w:rsidR="00E56485" w:rsidRPr="00E56485">
        <w:rPr>
          <w:rFonts w:cstheme="minorHAnsi"/>
        </w:rPr>
        <w:t xml:space="preserve"> </w:t>
      </w:r>
      <w:r w:rsidR="00293DC6" w:rsidRPr="006C24F9">
        <w:rPr>
          <w:rFonts w:cstheme="minorHAnsi"/>
        </w:rPr>
        <w:t xml:space="preserve">after receiving their </w:t>
      </w:r>
      <w:r w:rsidR="00293DC6">
        <w:rPr>
          <w:rFonts w:cstheme="minorHAnsi"/>
        </w:rPr>
        <w:t>BI</w:t>
      </w:r>
      <w:r w:rsidR="00C063CE" w:rsidRPr="00C063CE">
        <w:rPr>
          <w:rFonts w:cstheme="minorHAnsi"/>
        </w:rPr>
        <w:t xml:space="preserve"> </w:t>
      </w:r>
      <w:r w:rsidR="00C063CE" w:rsidRPr="00E56485">
        <w:rPr>
          <w:rFonts w:cstheme="minorHAnsi"/>
        </w:rPr>
        <w:t xml:space="preserve">than </w:t>
      </w:r>
      <w:r w:rsidR="00C063CE">
        <w:rPr>
          <w:rFonts w:cstheme="minorHAnsi"/>
        </w:rPr>
        <w:t xml:space="preserve">they had </w:t>
      </w:r>
      <w:r w:rsidR="00C063CE" w:rsidRPr="00E56485">
        <w:rPr>
          <w:rFonts w:cstheme="minorHAnsi"/>
        </w:rPr>
        <w:t>planned before using the service</w:t>
      </w:r>
      <w:r w:rsidR="004B547F">
        <w:rPr>
          <w:rFonts w:cstheme="minorHAnsi"/>
        </w:rPr>
        <w:t>. This was</w:t>
      </w:r>
      <w:r w:rsidR="00293DC6" w:rsidRPr="006C24F9">
        <w:rPr>
          <w:rFonts w:cstheme="minorHAnsi"/>
        </w:rPr>
        <w:t xml:space="preserve"> </w:t>
      </w:r>
      <w:bookmarkStart w:id="11" w:name="_Hlk34842254"/>
      <w:r w:rsidR="00293DC6" w:rsidRPr="006C24F9">
        <w:rPr>
          <w:rFonts w:cstheme="minorHAnsi"/>
        </w:rPr>
        <w:lastRenderedPageBreak/>
        <w:t xml:space="preserve">usually in cases where the strength of their sample and/or accompanying advice on purity trends and dosage suggested a higher strength than they had expected and/or a greater </w:t>
      </w:r>
      <w:r w:rsidR="00790B24">
        <w:rPr>
          <w:rFonts w:cstheme="minorHAnsi"/>
        </w:rPr>
        <w:t>appreciation</w:t>
      </w:r>
      <w:r w:rsidR="00293DC6" w:rsidRPr="006C24F9">
        <w:rPr>
          <w:rFonts w:cstheme="minorHAnsi"/>
        </w:rPr>
        <w:t xml:space="preserve"> of the risk from their usual dose of that substance than they had previously understood to be the case</w:t>
      </w:r>
      <w:bookmarkEnd w:id="11"/>
      <w:r w:rsidR="00A84815">
        <w:rPr>
          <w:rFonts w:cstheme="minorHAnsi"/>
        </w:rPr>
        <w:t>.</w:t>
      </w:r>
      <w:r w:rsidR="00E56485" w:rsidRPr="00E56485">
        <w:rPr>
          <w:rFonts w:cstheme="minorHAnsi"/>
        </w:rPr>
        <w:t xml:space="preserve"> </w:t>
      </w:r>
    </w:p>
    <w:p w14:paraId="6C4F1B83" w14:textId="1CAE71CA" w:rsidR="00E56485" w:rsidRDefault="00E56485" w:rsidP="00E56485">
      <w:pPr>
        <w:rPr>
          <w:rFonts w:cstheme="minorHAnsi"/>
        </w:rPr>
      </w:pPr>
    </w:p>
    <w:p w14:paraId="75E7B461" w14:textId="7EA86AF2" w:rsidR="0031209E" w:rsidRDefault="00483870" w:rsidP="001A3341">
      <w:pPr>
        <w:rPr>
          <w:rFonts w:cstheme="minorHAnsi"/>
        </w:rPr>
      </w:pPr>
      <w:r>
        <w:rPr>
          <w:rFonts w:cstheme="minorHAnsi"/>
        </w:rPr>
        <w:t>For</w:t>
      </w:r>
      <w:r w:rsidR="0031209E" w:rsidRPr="0031209E">
        <w:rPr>
          <w:rFonts w:cstheme="minorHAnsi"/>
        </w:rPr>
        <w:t xml:space="preserve"> </w:t>
      </w:r>
      <w:r w:rsidR="00292B28" w:rsidRPr="0031209E">
        <w:rPr>
          <w:rFonts w:cstheme="minorHAnsi"/>
        </w:rPr>
        <w:t xml:space="preserve">follow-up </w:t>
      </w:r>
      <w:r w:rsidR="00262F04">
        <w:rPr>
          <w:rFonts w:cstheme="minorHAnsi"/>
        </w:rPr>
        <w:t xml:space="preserve">respondents </w:t>
      </w:r>
      <w:r w:rsidR="008A65E3">
        <w:rPr>
          <w:rFonts w:cstheme="minorHAnsi"/>
        </w:rPr>
        <w:t xml:space="preserve">whose </w:t>
      </w:r>
      <w:r w:rsidR="0031209E" w:rsidRPr="0031209E">
        <w:rPr>
          <w:rFonts w:cstheme="minorHAnsi"/>
        </w:rPr>
        <w:t>test identified the expected substance but at a higher strength than anticipated, 5</w:t>
      </w:r>
      <w:r w:rsidR="00C4121E">
        <w:rPr>
          <w:rFonts w:cstheme="minorHAnsi"/>
        </w:rPr>
        <w:t>9</w:t>
      </w:r>
      <w:r w:rsidR="0076478E">
        <w:rPr>
          <w:rFonts w:cstheme="minorHAnsi"/>
        </w:rPr>
        <w:t>.</w:t>
      </w:r>
      <w:r w:rsidR="00C4121E">
        <w:rPr>
          <w:rFonts w:cstheme="minorHAnsi"/>
        </w:rPr>
        <w:t>4</w:t>
      </w:r>
      <w:r w:rsidR="0031209E" w:rsidRPr="0031209E">
        <w:rPr>
          <w:rFonts w:cstheme="minorHAnsi"/>
        </w:rPr>
        <w:t>%</w:t>
      </w:r>
      <w:r w:rsidR="00F13674">
        <w:rPr>
          <w:rFonts w:cstheme="minorHAnsi"/>
        </w:rPr>
        <w:t xml:space="preserve"> (n=19</w:t>
      </w:r>
      <w:r w:rsidR="0031209E" w:rsidRPr="0031209E">
        <w:rPr>
          <w:rFonts w:cstheme="minorHAnsi"/>
        </w:rPr>
        <w:t>) took a lower dose and 1</w:t>
      </w:r>
      <w:r w:rsidR="0076478E">
        <w:rPr>
          <w:rFonts w:cstheme="minorHAnsi"/>
        </w:rPr>
        <w:t>2.</w:t>
      </w:r>
      <w:r w:rsidR="00C4121E">
        <w:rPr>
          <w:rFonts w:cstheme="minorHAnsi"/>
        </w:rPr>
        <w:t>5</w:t>
      </w:r>
      <w:r w:rsidR="0031209E" w:rsidRPr="0031209E">
        <w:rPr>
          <w:rFonts w:cstheme="minorHAnsi"/>
        </w:rPr>
        <w:t>%</w:t>
      </w:r>
      <w:r w:rsidR="00F13674">
        <w:rPr>
          <w:rFonts w:cstheme="minorHAnsi"/>
        </w:rPr>
        <w:t xml:space="preserve"> (n=4</w:t>
      </w:r>
      <w:r w:rsidR="0031209E" w:rsidRPr="0031209E">
        <w:rPr>
          <w:rFonts w:cstheme="minorHAnsi"/>
        </w:rPr>
        <w:t xml:space="preserve">) did not take any more of the substance. </w:t>
      </w:r>
    </w:p>
    <w:p w14:paraId="091126D7" w14:textId="77777777" w:rsidR="0031209E" w:rsidRDefault="0031209E" w:rsidP="001A3341">
      <w:pPr>
        <w:rPr>
          <w:rFonts w:cstheme="minorHAnsi"/>
        </w:rPr>
      </w:pPr>
    </w:p>
    <w:p w14:paraId="5AB1E26F" w14:textId="32E974A4" w:rsidR="001A3341" w:rsidRPr="007D6F2D" w:rsidRDefault="001A3341" w:rsidP="007D6F2D">
      <w:pPr>
        <w:pStyle w:val="ListParagraph"/>
        <w:numPr>
          <w:ilvl w:val="0"/>
          <w:numId w:val="16"/>
        </w:numPr>
        <w:rPr>
          <w:rFonts w:cstheme="minorHAnsi"/>
          <w:i/>
          <w:iCs/>
        </w:rPr>
      </w:pPr>
      <w:r w:rsidRPr="007D6F2D">
        <w:rPr>
          <w:rFonts w:cstheme="minorHAnsi"/>
          <w:i/>
          <w:iCs/>
        </w:rPr>
        <w:t>Same sized dose</w:t>
      </w:r>
    </w:p>
    <w:p w14:paraId="34D56483" w14:textId="6450C56D" w:rsidR="006B4CDF" w:rsidRDefault="006B4CDF" w:rsidP="001A3341">
      <w:pPr>
        <w:rPr>
          <w:rFonts w:cstheme="minorHAnsi"/>
        </w:rPr>
      </w:pPr>
    </w:p>
    <w:p w14:paraId="44550D21" w14:textId="15B41293" w:rsidR="00E56485" w:rsidRDefault="00F21B68" w:rsidP="00E56485">
      <w:pPr>
        <w:rPr>
          <w:rFonts w:cstheme="minorHAnsi"/>
        </w:rPr>
      </w:pPr>
      <w:r>
        <w:rPr>
          <w:rFonts w:cstheme="minorHAnsi"/>
        </w:rPr>
        <w:t>Over t</w:t>
      </w:r>
      <w:r w:rsidR="00E56485" w:rsidRPr="00E56485">
        <w:rPr>
          <w:rFonts w:cstheme="minorHAnsi"/>
        </w:rPr>
        <w:t xml:space="preserve">wo in five </w:t>
      </w:r>
      <w:r w:rsidR="00E56485">
        <w:rPr>
          <w:rFonts w:cstheme="minorHAnsi"/>
        </w:rPr>
        <w:t xml:space="preserve">service users </w:t>
      </w:r>
      <w:bookmarkStart w:id="12" w:name="_Hlk65941189"/>
      <w:r w:rsidR="00FB4704">
        <w:rPr>
          <w:rFonts w:cstheme="minorHAnsi"/>
        </w:rPr>
        <w:t xml:space="preserve">at BI and follow-up </w:t>
      </w:r>
      <w:r w:rsidR="00FB4704" w:rsidRPr="00E56485">
        <w:rPr>
          <w:rFonts w:cstheme="minorHAnsi"/>
        </w:rPr>
        <w:t>(4</w:t>
      </w:r>
      <w:r w:rsidR="0043696B">
        <w:rPr>
          <w:rFonts w:cstheme="minorHAnsi"/>
        </w:rPr>
        <w:t>3.</w:t>
      </w:r>
      <w:r w:rsidR="00A233DF">
        <w:rPr>
          <w:rFonts w:cstheme="minorHAnsi"/>
        </w:rPr>
        <w:t>1</w:t>
      </w:r>
      <w:r w:rsidR="00FB4704" w:rsidRPr="00E56485">
        <w:rPr>
          <w:rFonts w:cstheme="minorHAnsi"/>
        </w:rPr>
        <w:t>% and 4</w:t>
      </w:r>
      <w:r w:rsidR="007D1BCD">
        <w:rPr>
          <w:rFonts w:cstheme="minorHAnsi"/>
        </w:rPr>
        <w:t>2</w:t>
      </w:r>
      <w:r w:rsidR="00FB4704" w:rsidRPr="00E56485">
        <w:rPr>
          <w:rFonts w:cstheme="minorHAnsi"/>
        </w:rPr>
        <w:t>.</w:t>
      </w:r>
      <w:r w:rsidR="007D1BCD">
        <w:rPr>
          <w:rFonts w:cstheme="minorHAnsi"/>
        </w:rPr>
        <w:t>6</w:t>
      </w:r>
      <w:r w:rsidR="00FB4704" w:rsidRPr="00E56485">
        <w:rPr>
          <w:rFonts w:cstheme="minorHAnsi"/>
        </w:rPr>
        <w:t>% respectively)</w:t>
      </w:r>
      <w:r w:rsidR="00FB4704">
        <w:rPr>
          <w:rFonts w:cstheme="minorHAnsi"/>
        </w:rPr>
        <w:t xml:space="preserve"> </w:t>
      </w:r>
      <w:r w:rsidR="00591DAB">
        <w:rPr>
          <w:rFonts w:cstheme="minorHAnsi"/>
        </w:rPr>
        <w:t xml:space="preserve">whose sample was </w:t>
      </w:r>
      <w:r w:rsidR="00CC7603">
        <w:rPr>
          <w:rFonts w:cstheme="minorHAnsi"/>
        </w:rPr>
        <w:t xml:space="preserve">identified </w:t>
      </w:r>
      <w:r w:rsidR="00591DAB">
        <w:rPr>
          <w:rFonts w:cstheme="minorHAnsi"/>
        </w:rPr>
        <w:t>as expected</w:t>
      </w:r>
      <w:r w:rsidR="00E56485">
        <w:rPr>
          <w:rFonts w:cstheme="minorHAnsi"/>
        </w:rPr>
        <w:t xml:space="preserve"> r</w:t>
      </w:r>
      <w:r w:rsidR="00E56485" w:rsidRPr="00E56485">
        <w:rPr>
          <w:rFonts w:cstheme="minorHAnsi"/>
        </w:rPr>
        <w:t xml:space="preserve">eported intending to, </w:t>
      </w:r>
      <w:r w:rsidR="001B3357">
        <w:rPr>
          <w:rFonts w:cstheme="minorHAnsi"/>
        </w:rPr>
        <w:t>and</w:t>
      </w:r>
      <w:r w:rsidR="00E56485" w:rsidRPr="00E56485">
        <w:rPr>
          <w:rFonts w:cstheme="minorHAnsi"/>
        </w:rPr>
        <w:t xml:space="preserve"> </w:t>
      </w:r>
      <w:r w:rsidR="000D313B">
        <w:rPr>
          <w:rFonts w:cstheme="minorHAnsi"/>
        </w:rPr>
        <w:t xml:space="preserve">recollected </w:t>
      </w:r>
      <w:r w:rsidR="00E56485" w:rsidRPr="00E56485">
        <w:rPr>
          <w:rFonts w:cstheme="minorHAnsi"/>
        </w:rPr>
        <w:t xml:space="preserve">having </w:t>
      </w:r>
      <w:bookmarkEnd w:id="12"/>
      <w:r w:rsidR="00E56485" w:rsidRPr="00E56485">
        <w:rPr>
          <w:rFonts w:cstheme="minorHAnsi"/>
        </w:rPr>
        <w:t xml:space="preserve">taken, the same sized dose of </w:t>
      </w:r>
      <w:r w:rsidR="006D396F">
        <w:rPr>
          <w:rFonts w:cstheme="minorHAnsi"/>
        </w:rPr>
        <w:t>the submitted</w:t>
      </w:r>
      <w:r w:rsidR="00E56485" w:rsidRPr="00E56485">
        <w:rPr>
          <w:rFonts w:cstheme="minorHAnsi"/>
        </w:rPr>
        <w:t xml:space="preserve"> substance </w:t>
      </w:r>
      <w:r w:rsidR="006D396F">
        <w:rPr>
          <w:rFonts w:cstheme="minorHAnsi"/>
        </w:rPr>
        <w:t xml:space="preserve">in future </w:t>
      </w:r>
      <w:r w:rsidR="00E56485" w:rsidRPr="00E56485">
        <w:rPr>
          <w:rFonts w:cstheme="minorHAnsi"/>
        </w:rPr>
        <w:t xml:space="preserve">as </w:t>
      </w:r>
      <w:r w:rsidR="006D396F">
        <w:rPr>
          <w:rFonts w:cstheme="minorHAnsi"/>
        </w:rPr>
        <w:t xml:space="preserve">they had intended to do </w:t>
      </w:r>
      <w:r w:rsidR="00E56485" w:rsidRPr="00E56485">
        <w:rPr>
          <w:rFonts w:cstheme="minorHAnsi"/>
        </w:rPr>
        <w:t xml:space="preserve">before </w:t>
      </w:r>
      <w:r w:rsidR="006D396F">
        <w:rPr>
          <w:rFonts w:cstheme="minorHAnsi"/>
        </w:rPr>
        <w:t>receiving the BI</w:t>
      </w:r>
      <w:r w:rsidR="00591DAB">
        <w:rPr>
          <w:rFonts w:cstheme="minorHAnsi"/>
        </w:rPr>
        <w:t>. This was</w:t>
      </w:r>
      <w:r w:rsidR="00E56485" w:rsidRPr="00E56485">
        <w:rPr>
          <w:rFonts w:cstheme="minorHAnsi"/>
        </w:rPr>
        <w:t xml:space="preserve"> </w:t>
      </w:r>
      <w:r w:rsidR="00F13674">
        <w:rPr>
          <w:rFonts w:cstheme="minorHAnsi"/>
        </w:rPr>
        <w:t>often</w:t>
      </w:r>
      <w:r w:rsidR="006D396F" w:rsidRPr="006C24F9">
        <w:rPr>
          <w:rFonts w:cstheme="minorHAnsi"/>
        </w:rPr>
        <w:t xml:space="preserve"> in cases where the test result, strength and/or accompanying advice on purity trends and dosage were as expected</w:t>
      </w:r>
      <w:r w:rsidR="00FB4704">
        <w:rPr>
          <w:rFonts w:cstheme="minorHAnsi"/>
        </w:rPr>
        <w:t xml:space="preserve">. </w:t>
      </w:r>
    </w:p>
    <w:p w14:paraId="46EAAAFE" w14:textId="77777777" w:rsidR="007D6F2D" w:rsidRDefault="007D6F2D" w:rsidP="007D6F2D">
      <w:pPr>
        <w:rPr>
          <w:rFonts w:cstheme="minorHAnsi"/>
        </w:rPr>
      </w:pPr>
    </w:p>
    <w:p w14:paraId="33AEB7A7" w14:textId="354615DE" w:rsidR="007D6F2D" w:rsidRPr="007D6F2D" w:rsidRDefault="007D6F2D" w:rsidP="007D6F2D">
      <w:pPr>
        <w:pStyle w:val="ListParagraph"/>
        <w:numPr>
          <w:ilvl w:val="0"/>
          <w:numId w:val="16"/>
        </w:numPr>
        <w:rPr>
          <w:rFonts w:cstheme="minorHAnsi"/>
          <w:i/>
          <w:iCs/>
        </w:rPr>
      </w:pPr>
      <w:r w:rsidRPr="007D6F2D">
        <w:rPr>
          <w:rFonts w:cstheme="minorHAnsi"/>
          <w:i/>
          <w:iCs/>
        </w:rPr>
        <w:t>Larger doses</w:t>
      </w:r>
    </w:p>
    <w:p w14:paraId="50C8524A" w14:textId="77777777" w:rsidR="007D6F2D" w:rsidRDefault="007D6F2D" w:rsidP="007D6F2D">
      <w:pPr>
        <w:rPr>
          <w:rFonts w:cstheme="minorHAnsi"/>
        </w:rPr>
      </w:pPr>
    </w:p>
    <w:p w14:paraId="3009CBCF" w14:textId="5ED26F66" w:rsidR="007D6F2D" w:rsidRPr="006C24F9" w:rsidRDefault="007D6F2D" w:rsidP="007D6F2D">
      <w:pPr>
        <w:rPr>
          <w:rFonts w:cstheme="minorHAnsi"/>
        </w:rPr>
      </w:pPr>
      <w:bookmarkStart w:id="13" w:name="_Hlk66609713"/>
      <w:r>
        <w:rPr>
          <w:rFonts w:cstheme="minorHAnsi"/>
        </w:rPr>
        <w:t xml:space="preserve">A small number of </w:t>
      </w:r>
      <w:r w:rsidRPr="006C24F9">
        <w:rPr>
          <w:rFonts w:cstheme="minorHAnsi"/>
        </w:rPr>
        <w:t xml:space="preserve">service </w:t>
      </w:r>
      <w:r>
        <w:rPr>
          <w:rFonts w:cstheme="minorHAnsi"/>
        </w:rPr>
        <w:t>users</w:t>
      </w:r>
      <w:r w:rsidRPr="006C24F9">
        <w:rPr>
          <w:rFonts w:cstheme="minorHAnsi"/>
        </w:rPr>
        <w:t xml:space="preserve"> </w:t>
      </w:r>
      <w:r>
        <w:rPr>
          <w:rFonts w:cstheme="minorHAnsi"/>
        </w:rPr>
        <w:t>at BI and follow-up (2.</w:t>
      </w:r>
      <w:r w:rsidR="0007561C">
        <w:rPr>
          <w:rFonts w:cstheme="minorHAnsi"/>
        </w:rPr>
        <w:t>5</w:t>
      </w:r>
      <w:r>
        <w:rPr>
          <w:rFonts w:cstheme="minorHAnsi"/>
        </w:rPr>
        <w:t>% and 6.</w:t>
      </w:r>
      <w:r w:rsidR="00115CC7">
        <w:rPr>
          <w:rFonts w:cstheme="minorHAnsi"/>
        </w:rPr>
        <w:t>5</w:t>
      </w:r>
      <w:r>
        <w:rPr>
          <w:rFonts w:cstheme="minorHAnsi"/>
        </w:rPr>
        <w:t xml:space="preserve">% respectively) whose sample was </w:t>
      </w:r>
      <w:r w:rsidR="00CC7603">
        <w:rPr>
          <w:rFonts w:cstheme="minorHAnsi"/>
        </w:rPr>
        <w:t xml:space="preserve">identified </w:t>
      </w:r>
      <w:r>
        <w:rPr>
          <w:rFonts w:cstheme="minorHAnsi"/>
        </w:rPr>
        <w:t xml:space="preserve">as expected </w:t>
      </w:r>
      <w:r w:rsidRPr="006C24F9">
        <w:rPr>
          <w:rFonts w:cstheme="minorHAnsi"/>
        </w:rPr>
        <w:t>reported intending to</w:t>
      </w:r>
      <w:r>
        <w:rPr>
          <w:rFonts w:cstheme="minorHAnsi"/>
        </w:rPr>
        <w:t xml:space="preserve">, </w:t>
      </w:r>
      <w:r w:rsidR="001B3357">
        <w:rPr>
          <w:rFonts w:cstheme="minorHAnsi"/>
        </w:rPr>
        <w:t>and</w:t>
      </w:r>
      <w:r>
        <w:rPr>
          <w:rFonts w:cstheme="minorHAnsi"/>
        </w:rPr>
        <w:t xml:space="preserve"> </w:t>
      </w:r>
      <w:r w:rsidR="000D313B">
        <w:rPr>
          <w:rFonts w:cstheme="minorHAnsi"/>
        </w:rPr>
        <w:t xml:space="preserve">recollected </w:t>
      </w:r>
      <w:r>
        <w:rPr>
          <w:rFonts w:cstheme="minorHAnsi"/>
        </w:rPr>
        <w:t>having taken</w:t>
      </w:r>
      <w:r w:rsidRPr="006C24F9">
        <w:rPr>
          <w:rFonts w:cstheme="minorHAnsi"/>
        </w:rPr>
        <w:t xml:space="preserve"> a </w:t>
      </w:r>
      <w:r w:rsidRPr="003D3937">
        <w:rPr>
          <w:rFonts w:cstheme="minorHAnsi"/>
        </w:rPr>
        <w:t>larger dose</w:t>
      </w:r>
      <w:r>
        <w:rPr>
          <w:rFonts w:cstheme="minorHAnsi"/>
        </w:rPr>
        <w:t xml:space="preserve"> of the submitted substance than they intended to before using the drug checking service. </w:t>
      </w:r>
      <w:bookmarkEnd w:id="13"/>
      <w:r>
        <w:rPr>
          <w:rFonts w:cstheme="minorHAnsi"/>
        </w:rPr>
        <w:t xml:space="preserve">This included respondents whose </w:t>
      </w:r>
      <w:r w:rsidRPr="006C24F9">
        <w:rPr>
          <w:rFonts w:cstheme="minorHAnsi"/>
        </w:rPr>
        <w:t xml:space="preserve">sample </w:t>
      </w:r>
      <w:r>
        <w:rPr>
          <w:rFonts w:cstheme="minorHAnsi"/>
        </w:rPr>
        <w:t xml:space="preserve">strength </w:t>
      </w:r>
      <w:r w:rsidRPr="006C24F9">
        <w:rPr>
          <w:rFonts w:cstheme="minorHAnsi"/>
        </w:rPr>
        <w:t xml:space="preserve">and/or accompanying advice on purity trends and dosage suggested a lower strength than they had expected and/or a greater </w:t>
      </w:r>
      <w:r w:rsidR="00D26291">
        <w:rPr>
          <w:rFonts w:cstheme="minorHAnsi"/>
        </w:rPr>
        <w:t>appreciation</w:t>
      </w:r>
      <w:r w:rsidRPr="006C24F9">
        <w:rPr>
          <w:rFonts w:cstheme="minorHAnsi"/>
        </w:rPr>
        <w:t xml:space="preserve"> of common dosage for that substance than they had previously understood to be the case</w:t>
      </w:r>
      <w:r w:rsidR="001B3357">
        <w:rPr>
          <w:rFonts w:cstheme="minorHAnsi"/>
        </w:rPr>
        <w:t xml:space="preserve">, and </w:t>
      </w:r>
      <w:r w:rsidR="0014007E">
        <w:rPr>
          <w:rFonts w:cstheme="minorHAnsi"/>
        </w:rPr>
        <w:t xml:space="preserve">also </w:t>
      </w:r>
      <w:r w:rsidR="001B3357">
        <w:rPr>
          <w:rFonts w:cstheme="minorHAnsi"/>
        </w:rPr>
        <w:t xml:space="preserve">those taking a larger dose </w:t>
      </w:r>
      <w:r w:rsidR="0014007E">
        <w:rPr>
          <w:rFonts w:cstheme="minorHAnsi"/>
        </w:rPr>
        <w:t xml:space="preserve">spread </w:t>
      </w:r>
      <w:r w:rsidR="001B3357">
        <w:rPr>
          <w:rFonts w:cstheme="minorHAnsi"/>
        </w:rPr>
        <w:t>over a longer time period</w:t>
      </w:r>
      <w:r>
        <w:rPr>
          <w:rFonts w:cstheme="minorHAnsi"/>
        </w:rPr>
        <w:t xml:space="preserve">. </w:t>
      </w:r>
    </w:p>
    <w:p w14:paraId="1AE26F30" w14:textId="77777777" w:rsidR="001B5822" w:rsidRDefault="001B5822" w:rsidP="001B5822">
      <w:pPr>
        <w:rPr>
          <w:rFonts w:cstheme="minorHAnsi"/>
        </w:rPr>
      </w:pPr>
    </w:p>
    <w:p w14:paraId="7BD0319E" w14:textId="2CF36894" w:rsidR="001B5822" w:rsidRDefault="001B5822" w:rsidP="001B5822">
      <w:pPr>
        <w:pStyle w:val="ListParagraph"/>
        <w:numPr>
          <w:ilvl w:val="0"/>
          <w:numId w:val="16"/>
        </w:numPr>
        <w:rPr>
          <w:rFonts w:cstheme="minorHAnsi"/>
          <w:i/>
          <w:iCs/>
        </w:rPr>
      </w:pPr>
      <w:r>
        <w:rPr>
          <w:rFonts w:cstheme="minorHAnsi"/>
          <w:i/>
          <w:iCs/>
        </w:rPr>
        <w:t xml:space="preserve">Returned to </w:t>
      </w:r>
      <w:r w:rsidR="00F13674">
        <w:rPr>
          <w:rFonts w:cstheme="minorHAnsi"/>
          <w:i/>
          <w:iCs/>
        </w:rPr>
        <w:t>supplier</w:t>
      </w:r>
    </w:p>
    <w:p w14:paraId="7D0C688A" w14:textId="0D9EF4CD" w:rsidR="001B5822" w:rsidRDefault="001B5822" w:rsidP="001B5822">
      <w:pPr>
        <w:rPr>
          <w:rFonts w:cstheme="minorHAnsi"/>
        </w:rPr>
      </w:pPr>
    </w:p>
    <w:p w14:paraId="601376EF" w14:textId="6E8A05EA" w:rsidR="001B5822" w:rsidRDefault="00A24EF3" w:rsidP="001B5822">
      <w:pPr>
        <w:rPr>
          <w:rFonts w:cstheme="minorHAnsi"/>
        </w:rPr>
      </w:pPr>
      <w:r>
        <w:rPr>
          <w:rFonts w:cstheme="minorHAnsi"/>
        </w:rPr>
        <w:t xml:space="preserve">About one in ten </w:t>
      </w:r>
      <w:r w:rsidR="00001936" w:rsidRPr="00001936">
        <w:rPr>
          <w:rFonts w:cstheme="minorHAnsi"/>
        </w:rPr>
        <w:t xml:space="preserve">service users at BI and </w:t>
      </w:r>
      <w:r w:rsidR="00982927">
        <w:rPr>
          <w:rFonts w:cstheme="minorHAnsi"/>
        </w:rPr>
        <w:t xml:space="preserve">one in </w:t>
      </w:r>
      <w:r>
        <w:rPr>
          <w:rFonts w:cstheme="minorHAnsi"/>
        </w:rPr>
        <w:t xml:space="preserve">six at </w:t>
      </w:r>
      <w:r w:rsidR="00001936" w:rsidRPr="00001936">
        <w:rPr>
          <w:rFonts w:cstheme="minorHAnsi"/>
        </w:rPr>
        <w:t>follow-up (</w:t>
      </w:r>
      <w:r>
        <w:rPr>
          <w:rFonts w:cstheme="minorHAnsi"/>
        </w:rPr>
        <w:t>9</w:t>
      </w:r>
      <w:r w:rsidR="00001936" w:rsidRPr="00001936">
        <w:rPr>
          <w:rFonts w:cstheme="minorHAnsi"/>
        </w:rPr>
        <w:t>.</w:t>
      </w:r>
      <w:r>
        <w:rPr>
          <w:rFonts w:cstheme="minorHAnsi"/>
        </w:rPr>
        <w:t>4</w:t>
      </w:r>
      <w:r w:rsidR="00001936" w:rsidRPr="00001936">
        <w:rPr>
          <w:rFonts w:cstheme="minorHAnsi"/>
        </w:rPr>
        <w:t xml:space="preserve">% and </w:t>
      </w:r>
      <w:r>
        <w:rPr>
          <w:rFonts w:cstheme="minorHAnsi"/>
        </w:rPr>
        <w:t>15</w:t>
      </w:r>
      <w:r w:rsidR="00001936" w:rsidRPr="00001936">
        <w:rPr>
          <w:rFonts w:cstheme="minorHAnsi"/>
        </w:rPr>
        <w:t>.</w:t>
      </w:r>
      <w:r>
        <w:rPr>
          <w:rFonts w:cstheme="minorHAnsi"/>
        </w:rPr>
        <w:t>8</w:t>
      </w:r>
      <w:r w:rsidR="00001936" w:rsidRPr="00001936">
        <w:rPr>
          <w:rFonts w:cstheme="minorHAnsi"/>
        </w:rPr>
        <w:t xml:space="preserve">% respectively) whose sample was </w:t>
      </w:r>
      <w:r w:rsidR="0090499E">
        <w:rPr>
          <w:rFonts w:cstheme="minorHAnsi"/>
        </w:rPr>
        <w:t xml:space="preserve">identified as </w:t>
      </w:r>
      <w:r w:rsidR="00001936">
        <w:rPr>
          <w:rFonts w:cstheme="minorHAnsi"/>
        </w:rPr>
        <w:t>other than</w:t>
      </w:r>
      <w:r w:rsidR="00001936" w:rsidRPr="00001936">
        <w:rPr>
          <w:rFonts w:cstheme="minorHAnsi"/>
        </w:rPr>
        <w:t xml:space="preserve"> expected reported intending to, </w:t>
      </w:r>
      <w:r w:rsidR="001B3357">
        <w:rPr>
          <w:rFonts w:cstheme="minorHAnsi"/>
        </w:rPr>
        <w:t>and</w:t>
      </w:r>
      <w:r w:rsidR="00001936" w:rsidRPr="00001936">
        <w:rPr>
          <w:rFonts w:cstheme="minorHAnsi"/>
        </w:rPr>
        <w:t xml:space="preserve"> recollected having </w:t>
      </w:r>
      <w:r w:rsidR="00001936">
        <w:rPr>
          <w:rFonts w:cstheme="minorHAnsi"/>
        </w:rPr>
        <w:t xml:space="preserve">returned the </w:t>
      </w:r>
      <w:r w:rsidR="001B5822">
        <w:rPr>
          <w:rFonts w:cstheme="minorHAnsi"/>
        </w:rPr>
        <w:t xml:space="preserve">substance of concern to the person who supplied it. </w:t>
      </w:r>
    </w:p>
    <w:p w14:paraId="799CE80E" w14:textId="137F4917" w:rsidR="004828EC" w:rsidRDefault="004828EC" w:rsidP="004828EC">
      <w:pPr>
        <w:rPr>
          <w:rFonts w:cstheme="minorHAnsi"/>
        </w:rPr>
      </w:pPr>
    </w:p>
    <w:p w14:paraId="56C74729" w14:textId="2C51E9EC" w:rsidR="004828EC" w:rsidRPr="007D6F2D" w:rsidRDefault="003C2DD3" w:rsidP="001B5822">
      <w:pPr>
        <w:pStyle w:val="ListParagraph"/>
        <w:numPr>
          <w:ilvl w:val="0"/>
          <w:numId w:val="16"/>
        </w:numPr>
        <w:rPr>
          <w:rFonts w:cstheme="minorHAnsi"/>
          <w:i/>
          <w:iCs/>
        </w:rPr>
      </w:pPr>
      <w:r w:rsidRPr="007D6F2D">
        <w:rPr>
          <w:rFonts w:cstheme="minorHAnsi"/>
          <w:i/>
          <w:iCs/>
        </w:rPr>
        <w:t>M</w:t>
      </w:r>
      <w:r w:rsidR="004828EC" w:rsidRPr="007D6F2D">
        <w:rPr>
          <w:rFonts w:cstheme="minorHAnsi"/>
          <w:i/>
          <w:iCs/>
        </w:rPr>
        <w:t xml:space="preserve">ixing </w:t>
      </w:r>
      <w:r w:rsidR="00713849" w:rsidRPr="007D6F2D">
        <w:rPr>
          <w:rFonts w:cstheme="minorHAnsi"/>
          <w:i/>
          <w:iCs/>
        </w:rPr>
        <w:t>drugs</w:t>
      </w:r>
    </w:p>
    <w:p w14:paraId="04385073" w14:textId="7F72F0F0" w:rsidR="004828EC" w:rsidRDefault="004828EC" w:rsidP="004828EC">
      <w:pPr>
        <w:rPr>
          <w:rFonts w:cstheme="minorHAnsi"/>
        </w:rPr>
      </w:pPr>
    </w:p>
    <w:p w14:paraId="1179FB91" w14:textId="4223597D" w:rsidR="004828EC" w:rsidRDefault="003D3937" w:rsidP="004828EC">
      <w:pPr>
        <w:rPr>
          <w:rFonts w:cstheme="minorHAnsi"/>
        </w:rPr>
      </w:pPr>
      <w:r>
        <w:rPr>
          <w:rFonts w:cstheme="minorHAnsi"/>
        </w:rPr>
        <w:t>Health staff discussed additional risks from polydrug use</w:t>
      </w:r>
      <w:r w:rsidR="00557BB3">
        <w:rPr>
          <w:rFonts w:cstheme="minorHAnsi"/>
        </w:rPr>
        <w:t xml:space="preserve">, both generally </w:t>
      </w:r>
      <w:r>
        <w:rPr>
          <w:rFonts w:cstheme="minorHAnsi"/>
        </w:rPr>
        <w:t>and in relation to the submitted substance</w:t>
      </w:r>
      <w:r w:rsidR="005B0C9F">
        <w:rPr>
          <w:rFonts w:cstheme="minorHAnsi"/>
        </w:rPr>
        <w:t>,</w:t>
      </w:r>
      <w:r>
        <w:rPr>
          <w:rFonts w:cstheme="minorHAnsi"/>
        </w:rPr>
        <w:t xml:space="preserve"> </w:t>
      </w:r>
      <w:r w:rsidR="004D0693">
        <w:rPr>
          <w:rFonts w:cstheme="minorHAnsi"/>
        </w:rPr>
        <w:t>with particular synergies of concern</w:t>
      </w:r>
      <w:r w:rsidR="007252FC">
        <w:rPr>
          <w:rFonts w:cstheme="minorHAnsi"/>
        </w:rPr>
        <w:t xml:space="preserve"> highlighted</w:t>
      </w:r>
      <w:r>
        <w:rPr>
          <w:rFonts w:cstheme="minorHAnsi"/>
        </w:rPr>
        <w:t xml:space="preserve"> including </w:t>
      </w:r>
      <w:r w:rsidR="00BE79FF">
        <w:rPr>
          <w:rFonts w:cstheme="minorHAnsi"/>
        </w:rPr>
        <w:t xml:space="preserve">regarding </w:t>
      </w:r>
      <w:r>
        <w:rPr>
          <w:rFonts w:cstheme="minorHAnsi"/>
        </w:rPr>
        <w:t xml:space="preserve">legal and </w:t>
      </w:r>
      <w:r w:rsidR="00557BB3">
        <w:rPr>
          <w:rFonts w:cstheme="minorHAnsi"/>
        </w:rPr>
        <w:t>illicit</w:t>
      </w:r>
      <w:r>
        <w:rPr>
          <w:rFonts w:cstheme="minorHAnsi"/>
        </w:rPr>
        <w:t xml:space="preserve"> drugs</w:t>
      </w:r>
      <w:r w:rsidR="00BE79FF">
        <w:rPr>
          <w:rFonts w:cstheme="minorHAnsi"/>
        </w:rPr>
        <w:t>,</w:t>
      </w:r>
      <w:r>
        <w:rPr>
          <w:rFonts w:cstheme="minorHAnsi"/>
        </w:rPr>
        <w:t xml:space="preserve"> and over-the-counter and prescri</w:t>
      </w:r>
      <w:r w:rsidR="00BE79FF">
        <w:rPr>
          <w:rFonts w:cstheme="minorHAnsi"/>
        </w:rPr>
        <w:t>ption</w:t>
      </w:r>
      <w:r>
        <w:rPr>
          <w:rFonts w:cstheme="minorHAnsi"/>
        </w:rPr>
        <w:t xml:space="preserve"> medications. </w:t>
      </w:r>
      <w:r w:rsidR="00D559D5">
        <w:rPr>
          <w:rFonts w:cstheme="minorHAnsi"/>
        </w:rPr>
        <w:t>Two</w:t>
      </w:r>
      <w:r w:rsidR="00D02161">
        <w:rPr>
          <w:rFonts w:cstheme="minorHAnsi"/>
        </w:rPr>
        <w:t xml:space="preserve"> in five </w:t>
      </w:r>
      <w:r w:rsidR="008C7DB1" w:rsidRPr="006C24F9">
        <w:rPr>
          <w:rFonts w:cstheme="minorHAnsi"/>
        </w:rPr>
        <w:t>service users</w:t>
      </w:r>
      <w:r w:rsidR="00400336">
        <w:rPr>
          <w:rFonts w:cstheme="minorHAnsi"/>
        </w:rPr>
        <w:t xml:space="preserve"> </w:t>
      </w:r>
      <w:r w:rsidR="00F16A9D">
        <w:rPr>
          <w:rFonts w:cstheme="minorHAnsi"/>
        </w:rPr>
        <w:t xml:space="preserve">at BI </w:t>
      </w:r>
      <w:r w:rsidR="00956EB6">
        <w:rPr>
          <w:rFonts w:cstheme="minorHAnsi"/>
        </w:rPr>
        <w:t xml:space="preserve">whose sample was </w:t>
      </w:r>
      <w:r w:rsidR="005B0C9F">
        <w:rPr>
          <w:rFonts w:cstheme="minorHAnsi"/>
        </w:rPr>
        <w:t xml:space="preserve">identified </w:t>
      </w:r>
      <w:r w:rsidR="00956EB6">
        <w:rPr>
          <w:rFonts w:cstheme="minorHAnsi"/>
        </w:rPr>
        <w:t xml:space="preserve">as expected </w:t>
      </w:r>
      <w:r w:rsidR="00A944C0" w:rsidRPr="006C24F9">
        <w:rPr>
          <w:rFonts w:cstheme="minorHAnsi"/>
        </w:rPr>
        <w:t xml:space="preserve">reported intending to </w:t>
      </w:r>
      <w:r w:rsidR="00176E74" w:rsidRPr="006C24F9">
        <w:rPr>
          <w:rFonts w:cstheme="minorHAnsi"/>
        </w:rPr>
        <w:t xml:space="preserve">be more careful about </w:t>
      </w:r>
      <w:r w:rsidR="00CB588E">
        <w:rPr>
          <w:rFonts w:cstheme="minorHAnsi"/>
        </w:rPr>
        <w:t xml:space="preserve">combining </w:t>
      </w:r>
      <w:r w:rsidR="00176E74" w:rsidRPr="006C24F9">
        <w:rPr>
          <w:rFonts w:cstheme="minorHAnsi"/>
        </w:rPr>
        <w:t>th</w:t>
      </w:r>
      <w:r>
        <w:rPr>
          <w:rFonts w:cstheme="minorHAnsi"/>
        </w:rPr>
        <w:t xml:space="preserve">e submitted </w:t>
      </w:r>
      <w:r w:rsidR="00176E74" w:rsidRPr="006C24F9">
        <w:rPr>
          <w:rFonts w:cstheme="minorHAnsi"/>
        </w:rPr>
        <w:t xml:space="preserve">substance </w:t>
      </w:r>
      <w:r w:rsidR="00CB588E">
        <w:rPr>
          <w:rFonts w:cstheme="minorHAnsi"/>
        </w:rPr>
        <w:t xml:space="preserve">with others </w:t>
      </w:r>
      <w:r w:rsidR="00400336">
        <w:rPr>
          <w:rFonts w:cstheme="minorHAnsi"/>
        </w:rPr>
        <w:t xml:space="preserve">and </w:t>
      </w:r>
      <w:r w:rsidR="00B666F5">
        <w:rPr>
          <w:rFonts w:cstheme="minorHAnsi"/>
        </w:rPr>
        <w:t xml:space="preserve">three in ten </w:t>
      </w:r>
      <w:r w:rsidR="00F16A9D">
        <w:rPr>
          <w:rFonts w:cstheme="minorHAnsi"/>
        </w:rPr>
        <w:t xml:space="preserve">at follow-up </w:t>
      </w:r>
      <w:r w:rsidR="007252FC">
        <w:rPr>
          <w:rFonts w:cstheme="minorHAnsi"/>
        </w:rPr>
        <w:t xml:space="preserve">recollected </w:t>
      </w:r>
      <w:r w:rsidR="001B3357">
        <w:rPr>
          <w:rFonts w:cstheme="minorHAnsi"/>
        </w:rPr>
        <w:t xml:space="preserve">having </w:t>
      </w:r>
      <w:r w:rsidR="00E0677F">
        <w:rPr>
          <w:rFonts w:cstheme="minorHAnsi"/>
        </w:rPr>
        <w:t>done so</w:t>
      </w:r>
      <w:r w:rsidR="00400336">
        <w:rPr>
          <w:rFonts w:cstheme="minorHAnsi"/>
        </w:rPr>
        <w:t xml:space="preserve"> (</w:t>
      </w:r>
      <w:r w:rsidR="00400336" w:rsidRPr="00400336">
        <w:rPr>
          <w:rFonts w:cstheme="minorHAnsi"/>
        </w:rPr>
        <w:t>39</w:t>
      </w:r>
      <w:r w:rsidR="00400336">
        <w:rPr>
          <w:rFonts w:cstheme="minorHAnsi"/>
        </w:rPr>
        <w:t xml:space="preserve">% and </w:t>
      </w:r>
      <w:r w:rsidR="00400336" w:rsidRPr="00400336">
        <w:rPr>
          <w:rFonts w:cstheme="minorHAnsi"/>
        </w:rPr>
        <w:t>29.</w:t>
      </w:r>
      <w:r w:rsidR="00D559D5">
        <w:rPr>
          <w:rFonts w:cstheme="minorHAnsi"/>
        </w:rPr>
        <w:t>4</w:t>
      </w:r>
      <w:r w:rsidR="00400336" w:rsidRPr="00400336">
        <w:rPr>
          <w:rFonts w:cstheme="minorHAnsi"/>
        </w:rPr>
        <w:t>%</w:t>
      </w:r>
      <w:r w:rsidR="00400336">
        <w:rPr>
          <w:rFonts w:cstheme="minorHAnsi"/>
        </w:rPr>
        <w:t xml:space="preserve"> respectively</w:t>
      </w:r>
      <w:r w:rsidR="00400336" w:rsidRPr="00400336">
        <w:rPr>
          <w:rFonts w:cstheme="minorHAnsi"/>
        </w:rPr>
        <w:t>)</w:t>
      </w:r>
      <w:r w:rsidR="00400336">
        <w:rPr>
          <w:rFonts w:cstheme="minorHAnsi"/>
        </w:rPr>
        <w:t xml:space="preserve">. </w:t>
      </w:r>
    </w:p>
    <w:p w14:paraId="49C23BD2" w14:textId="2C075682" w:rsidR="0024141E" w:rsidRDefault="0024141E" w:rsidP="006C24F9">
      <w:pPr>
        <w:rPr>
          <w:rFonts w:cstheme="minorHAnsi"/>
        </w:rPr>
      </w:pPr>
    </w:p>
    <w:p w14:paraId="308E75EB" w14:textId="3B7C3209" w:rsidR="00DE4187" w:rsidRPr="007D6F2D" w:rsidRDefault="00DE4187" w:rsidP="001B5822">
      <w:pPr>
        <w:pStyle w:val="ListParagraph"/>
        <w:numPr>
          <w:ilvl w:val="0"/>
          <w:numId w:val="16"/>
        </w:numPr>
        <w:rPr>
          <w:rFonts w:cstheme="minorHAnsi"/>
          <w:i/>
          <w:iCs/>
        </w:rPr>
      </w:pPr>
      <w:r w:rsidRPr="007D6F2D">
        <w:rPr>
          <w:rFonts w:cstheme="minorHAnsi"/>
          <w:i/>
          <w:iCs/>
        </w:rPr>
        <w:t>Alerting friends immediately after BI</w:t>
      </w:r>
    </w:p>
    <w:p w14:paraId="16FCF145" w14:textId="562A9A90" w:rsidR="00406979" w:rsidRDefault="00406979" w:rsidP="006C24F9">
      <w:pPr>
        <w:rPr>
          <w:rFonts w:cstheme="minorHAnsi"/>
        </w:rPr>
      </w:pPr>
    </w:p>
    <w:p w14:paraId="127C0D04" w14:textId="6AF97C73" w:rsidR="00762FB4" w:rsidRDefault="000674AD" w:rsidP="006C24F9">
      <w:pPr>
        <w:rPr>
          <w:rFonts w:cstheme="minorHAnsi"/>
        </w:rPr>
      </w:pPr>
      <w:r>
        <w:rPr>
          <w:rFonts w:cstheme="minorHAnsi"/>
        </w:rPr>
        <w:lastRenderedPageBreak/>
        <w:t>One</w:t>
      </w:r>
      <w:r w:rsidR="00723DEC" w:rsidRPr="009436E4">
        <w:rPr>
          <w:rFonts w:cstheme="minorHAnsi"/>
        </w:rPr>
        <w:t xml:space="preserve"> </w:t>
      </w:r>
      <w:r w:rsidR="00A36EC7">
        <w:rPr>
          <w:rFonts w:cstheme="minorHAnsi"/>
        </w:rPr>
        <w:t xml:space="preserve">quarter </w:t>
      </w:r>
      <w:r>
        <w:rPr>
          <w:rFonts w:cstheme="minorHAnsi"/>
        </w:rPr>
        <w:t xml:space="preserve">of </w:t>
      </w:r>
      <w:r w:rsidR="00C50285" w:rsidRPr="009436E4">
        <w:rPr>
          <w:rFonts w:cstheme="minorHAnsi"/>
        </w:rPr>
        <w:t>service users at BI reported intending to</w:t>
      </w:r>
      <w:r w:rsidR="001B3357" w:rsidRPr="001B3357">
        <w:rPr>
          <w:rFonts w:cstheme="minorHAnsi"/>
        </w:rPr>
        <w:t xml:space="preserve"> </w:t>
      </w:r>
      <w:r w:rsidR="001B3357" w:rsidRPr="009436E4">
        <w:rPr>
          <w:rFonts w:cstheme="minorHAnsi"/>
        </w:rPr>
        <w:t>alert their friends and acquaintances to their test result</w:t>
      </w:r>
      <w:r w:rsidR="00C50285" w:rsidRPr="009436E4">
        <w:rPr>
          <w:rFonts w:cstheme="minorHAnsi"/>
        </w:rPr>
        <w:t xml:space="preserve"> </w:t>
      </w:r>
      <w:r w:rsidR="001B3357">
        <w:rPr>
          <w:rFonts w:cstheme="minorHAnsi"/>
        </w:rPr>
        <w:t>and</w:t>
      </w:r>
      <w:r w:rsidR="00C50285" w:rsidRPr="009436E4">
        <w:rPr>
          <w:rFonts w:cstheme="minorHAnsi"/>
        </w:rPr>
        <w:t xml:space="preserve"> </w:t>
      </w:r>
      <w:r w:rsidR="001B3357">
        <w:rPr>
          <w:rFonts w:cstheme="minorHAnsi"/>
        </w:rPr>
        <w:t xml:space="preserve">one fifth at </w:t>
      </w:r>
      <w:r w:rsidR="001B3357" w:rsidRPr="009436E4">
        <w:rPr>
          <w:rFonts w:cstheme="minorHAnsi"/>
        </w:rPr>
        <w:t xml:space="preserve">follow-up </w:t>
      </w:r>
      <w:r w:rsidR="00CF5E74">
        <w:rPr>
          <w:rFonts w:cstheme="minorHAnsi"/>
        </w:rPr>
        <w:t xml:space="preserve">recollected </w:t>
      </w:r>
      <w:r w:rsidR="00C50285" w:rsidRPr="009436E4">
        <w:rPr>
          <w:rFonts w:cstheme="minorHAnsi"/>
        </w:rPr>
        <w:t xml:space="preserve">having </w:t>
      </w:r>
      <w:r w:rsidR="001B3357">
        <w:rPr>
          <w:rFonts w:cstheme="minorHAnsi"/>
        </w:rPr>
        <w:t xml:space="preserve">done so </w:t>
      </w:r>
      <w:r w:rsidR="00EF221E">
        <w:rPr>
          <w:rFonts w:cstheme="minorHAnsi"/>
        </w:rPr>
        <w:t>(2</w:t>
      </w:r>
      <w:r w:rsidR="00A36EC7">
        <w:rPr>
          <w:rFonts w:cstheme="minorHAnsi"/>
        </w:rPr>
        <w:t>4</w:t>
      </w:r>
      <w:r w:rsidR="00EF221E">
        <w:rPr>
          <w:rFonts w:cstheme="minorHAnsi"/>
        </w:rPr>
        <w:t>.</w:t>
      </w:r>
      <w:r>
        <w:rPr>
          <w:rFonts w:cstheme="minorHAnsi"/>
        </w:rPr>
        <w:t>8</w:t>
      </w:r>
      <w:r w:rsidR="00EF221E">
        <w:rPr>
          <w:rFonts w:cstheme="minorHAnsi"/>
        </w:rPr>
        <w:t xml:space="preserve">% and </w:t>
      </w:r>
      <w:r>
        <w:rPr>
          <w:rFonts w:cstheme="minorHAnsi"/>
        </w:rPr>
        <w:t>19.</w:t>
      </w:r>
      <w:r w:rsidR="00A36EC7">
        <w:rPr>
          <w:rFonts w:cstheme="minorHAnsi"/>
        </w:rPr>
        <w:t>5</w:t>
      </w:r>
      <w:r w:rsidR="00EF221E">
        <w:rPr>
          <w:rFonts w:cstheme="minorHAnsi"/>
        </w:rPr>
        <w:t>% respectively)</w:t>
      </w:r>
      <w:r w:rsidR="00C50285">
        <w:rPr>
          <w:rFonts w:cstheme="minorHAnsi"/>
        </w:rPr>
        <w:t xml:space="preserve">. </w:t>
      </w:r>
    </w:p>
    <w:p w14:paraId="43E60544" w14:textId="77777777" w:rsidR="005F5897" w:rsidRPr="00FC4D88" w:rsidRDefault="005F5897" w:rsidP="005F5897">
      <w:pPr>
        <w:rPr>
          <w:rFonts w:cstheme="minorHAnsi"/>
        </w:rPr>
      </w:pPr>
    </w:p>
    <w:p w14:paraId="6A64E521" w14:textId="77777777" w:rsidR="005F5897" w:rsidRPr="007D6F2D" w:rsidRDefault="005F5897" w:rsidP="005F5897">
      <w:pPr>
        <w:pStyle w:val="ListParagraph"/>
        <w:numPr>
          <w:ilvl w:val="0"/>
          <w:numId w:val="16"/>
        </w:numPr>
        <w:rPr>
          <w:rFonts w:cstheme="minorHAnsi"/>
          <w:i/>
          <w:iCs/>
        </w:rPr>
      </w:pPr>
      <w:r w:rsidRPr="007D6F2D">
        <w:rPr>
          <w:rFonts w:cstheme="minorHAnsi"/>
          <w:i/>
          <w:iCs/>
        </w:rPr>
        <w:t>Extended time frames</w:t>
      </w:r>
    </w:p>
    <w:p w14:paraId="3BB7249D" w14:textId="77777777" w:rsidR="005F5897" w:rsidRDefault="005F5897" w:rsidP="005F5897">
      <w:pPr>
        <w:rPr>
          <w:rFonts w:cstheme="minorHAnsi"/>
        </w:rPr>
      </w:pPr>
    </w:p>
    <w:p w14:paraId="7C047E03" w14:textId="05454404" w:rsidR="005F5897" w:rsidRDefault="00E04F49" w:rsidP="005F5897">
      <w:pPr>
        <w:rPr>
          <w:rFonts w:cstheme="minorHAnsi"/>
        </w:rPr>
      </w:pPr>
      <w:r>
        <w:rPr>
          <w:rFonts w:cstheme="minorHAnsi"/>
        </w:rPr>
        <w:t>Just under</w:t>
      </w:r>
      <w:r w:rsidR="005F5897">
        <w:rPr>
          <w:rFonts w:cstheme="minorHAnsi"/>
        </w:rPr>
        <w:t xml:space="preserve"> one</w:t>
      </w:r>
      <w:r w:rsidR="005F5897" w:rsidRPr="00BA2B41">
        <w:rPr>
          <w:rFonts w:cstheme="minorHAnsi"/>
        </w:rPr>
        <w:t xml:space="preserve"> </w:t>
      </w:r>
      <w:r w:rsidR="005F5897">
        <w:rPr>
          <w:rFonts w:cstheme="minorHAnsi"/>
        </w:rPr>
        <w:t xml:space="preserve">quarter of </w:t>
      </w:r>
      <w:r w:rsidR="005F5897" w:rsidRPr="00BA2B41">
        <w:rPr>
          <w:rFonts w:cstheme="minorHAnsi"/>
        </w:rPr>
        <w:t xml:space="preserve">service users </w:t>
      </w:r>
      <w:r w:rsidR="005F5897">
        <w:rPr>
          <w:rFonts w:cstheme="minorHAnsi"/>
        </w:rPr>
        <w:t xml:space="preserve">at BI </w:t>
      </w:r>
      <w:r w:rsidRPr="00BA2B41">
        <w:rPr>
          <w:rFonts w:cstheme="minorHAnsi"/>
        </w:rPr>
        <w:t xml:space="preserve">whose sample was </w:t>
      </w:r>
      <w:r w:rsidR="00761E38">
        <w:rPr>
          <w:rFonts w:cstheme="minorHAnsi"/>
        </w:rPr>
        <w:t xml:space="preserve">identified </w:t>
      </w:r>
      <w:r w:rsidRPr="00BA2B41">
        <w:rPr>
          <w:rFonts w:cstheme="minorHAnsi"/>
        </w:rPr>
        <w:t>as expected reported intending to</w:t>
      </w:r>
      <w:r>
        <w:rPr>
          <w:rFonts w:cstheme="minorHAnsi"/>
        </w:rPr>
        <w:t xml:space="preserve"> take future substances over a longer time period than </w:t>
      </w:r>
      <w:r w:rsidRPr="00BA2B41">
        <w:rPr>
          <w:rFonts w:cstheme="minorHAnsi"/>
        </w:rPr>
        <w:t xml:space="preserve">they had </w:t>
      </w:r>
      <w:r>
        <w:rPr>
          <w:rFonts w:cstheme="minorHAnsi"/>
        </w:rPr>
        <w:t xml:space="preserve">previously </w:t>
      </w:r>
      <w:r w:rsidRPr="00BA2B41">
        <w:rPr>
          <w:rFonts w:cstheme="minorHAnsi"/>
        </w:rPr>
        <w:t>intended to do before receiving the BI</w:t>
      </w:r>
      <w:r>
        <w:rPr>
          <w:rFonts w:cstheme="minorHAnsi"/>
        </w:rPr>
        <w:t xml:space="preserve"> </w:t>
      </w:r>
      <w:r w:rsidR="005F5897">
        <w:rPr>
          <w:rFonts w:cstheme="minorHAnsi"/>
        </w:rPr>
        <w:t xml:space="preserve">and </w:t>
      </w:r>
      <w:r>
        <w:rPr>
          <w:rFonts w:cstheme="minorHAnsi"/>
        </w:rPr>
        <w:t xml:space="preserve">over one quarter at </w:t>
      </w:r>
      <w:r w:rsidR="005F5897">
        <w:rPr>
          <w:rFonts w:cstheme="minorHAnsi"/>
        </w:rPr>
        <w:t xml:space="preserve">follow-up </w:t>
      </w:r>
      <w:r>
        <w:rPr>
          <w:rFonts w:cstheme="minorHAnsi"/>
        </w:rPr>
        <w:t xml:space="preserve">recollected </w:t>
      </w:r>
      <w:r w:rsidRPr="00BA2B41">
        <w:rPr>
          <w:rFonts w:cstheme="minorHAnsi"/>
        </w:rPr>
        <w:t xml:space="preserve">having </w:t>
      </w:r>
      <w:r>
        <w:rPr>
          <w:rFonts w:cstheme="minorHAnsi"/>
        </w:rPr>
        <w:t xml:space="preserve">done so </w:t>
      </w:r>
      <w:r w:rsidR="005F5897">
        <w:rPr>
          <w:rFonts w:cstheme="minorHAnsi"/>
        </w:rPr>
        <w:t>(</w:t>
      </w:r>
      <w:r w:rsidR="005F5897" w:rsidRPr="002B61B2">
        <w:rPr>
          <w:rFonts w:cstheme="minorHAnsi"/>
        </w:rPr>
        <w:t>24.3%</w:t>
      </w:r>
      <w:r w:rsidR="005F5897">
        <w:rPr>
          <w:rFonts w:cstheme="minorHAnsi"/>
        </w:rPr>
        <w:t xml:space="preserve"> and </w:t>
      </w:r>
      <w:r w:rsidR="005F5897" w:rsidRPr="002B61B2">
        <w:rPr>
          <w:rFonts w:cstheme="minorHAnsi"/>
        </w:rPr>
        <w:t>27.</w:t>
      </w:r>
      <w:r w:rsidR="005F5897">
        <w:rPr>
          <w:rFonts w:cstheme="minorHAnsi"/>
        </w:rPr>
        <w:t>5</w:t>
      </w:r>
      <w:r w:rsidR="005F5897" w:rsidRPr="002B61B2">
        <w:rPr>
          <w:rFonts w:cstheme="minorHAnsi"/>
        </w:rPr>
        <w:t>%</w:t>
      </w:r>
      <w:r w:rsidR="005F5897">
        <w:rPr>
          <w:rFonts w:cstheme="minorHAnsi"/>
        </w:rPr>
        <w:t xml:space="preserve"> respectively</w:t>
      </w:r>
      <w:r w:rsidR="005F5897" w:rsidRPr="002B61B2">
        <w:rPr>
          <w:rFonts w:cstheme="minorHAnsi"/>
        </w:rPr>
        <w:t>)</w:t>
      </w:r>
      <w:r w:rsidR="005F5897">
        <w:rPr>
          <w:rFonts w:cstheme="minorHAnsi"/>
        </w:rPr>
        <w:t xml:space="preserve">. Another one in ten service users at BI and follow-up (10.7% and 10.5% respectively) whose sample </w:t>
      </w:r>
      <w:r w:rsidR="00CA0EA5">
        <w:rPr>
          <w:rFonts w:cstheme="minorHAnsi"/>
        </w:rPr>
        <w:t>was identified as</w:t>
      </w:r>
      <w:r w:rsidR="00AB15BB">
        <w:rPr>
          <w:rFonts w:cstheme="minorHAnsi"/>
        </w:rPr>
        <w:t xml:space="preserve"> </w:t>
      </w:r>
      <w:r w:rsidR="005F5897">
        <w:rPr>
          <w:rFonts w:cstheme="minorHAnsi"/>
        </w:rPr>
        <w:t xml:space="preserve">other than expected reported intending to, then recollected having taken further substances over a longer time period. This extended time frame could </w:t>
      </w:r>
      <w:r w:rsidR="00BE32D2">
        <w:rPr>
          <w:rFonts w:cstheme="minorHAnsi"/>
        </w:rPr>
        <w:t xml:space="preserve">potentially </w:t>
      </w:r>
      <w:r w:rsidR="005F5897">
        <w:rPr>
          <w:rFonts w:cstheme="minorHAnsi"/>
        </w:rPr>
        <w:t xml:space="preserve">reduce the risk of overdose or other harms, particularly if taken </w:t>
      </w:r>
      <w:r w:rsidR="003969BD">
        <w:rPr>
          <w:rFonts w:cstheme="minorHAnsi"/>
        </w:rPr>
        <w:t xml:space="preserve">after the festival </w:t>
      </w:r>
      <w:r w:rsidR="005F5897">
        <w:rPr>
          <w:rFonts w:cstheme="minorHAnsi"/>
        </w:rPr>
        <w:t xml:space="preserve">and </w:t>
      </w:r>
      <w:r w:rsidR="001B65E0">
        <w:rPr>
          <w:rFonts w:cstheme="minorHAnsi"/>
        </w:rPr>
        <w:t xml:space="preserve">re-establishing </w:t>
      </w:r>
      <w:r w:rsidR="00597689">
        <w:rPr>
          <w:rFonts w:cstheme="minorHAnsi"/>
        </w:rPr>
        <w:t xml:space="preserve">usual </w:t>
      </w:r>
      <w:r w:rsidR="004F4578">
        <w:rPr>
          <w:rFonts w:cstheme="minorHAnsi"/>
        </w:rPr>
        <w:t xml:space="preserve">patterns of </w:t>
      </w:r>
      <w:r w:rsidR="005F5897">
        <w:rPr>
          <w:rFonts w:cstheme="minorHAnsi"/>
        </w:rPr>
        <w:t>eating and sleeping.</w:t>
      </w:r>
    </w:p>
    <w:p w14:paraId="62DEFC0C" w14:textId="77777777" w:rsidR="00FC4D88" w:rsidRPr="00FC4D88" w:rsidRDefault="00FC4D88" w:rsidP="00FC4D88">
      <w:pPr>
        <w:rPr>
          <w:rFonts w:cstheme="minorHAnsi"/>
        </w:rPr>
      </w:pPr>
    </w:p>
    <w:p w14:paraId="00F5AAF9" w14:textId="62240D65" w:rsidR="00731D3D" w:rsidRPr="007B13E3" w:rsidRDefault="007B13E3" w:rsidP="005F5897">
      <w:pPr>
        <w:pStyle w:val="ListParagraph"/>
        <w:numPr>
          <w:ilvl w:val="0"/>
          <w:numId w:val="16"/>
        </w:numPr>
        <w:rPr>
          <w:rFonts w:cstheme="minorHAnsi"/>
          <w:i/>
          <w:iCs/>
        </w:rPr>
      </w:pPr>
      <w:r w:rsidRPr="007B13E3">
        <w:rPr>
          <w:rFonts w:cstheme="minorHAnsi"/>
          <w:i/>
          <w:iCs/>
        </w:rPr>
        <w:t>Obtained more onsite</w:t>
      </w:r>
    </w:p>
    <w:p w14:paraId="39071BE7" w14:textId="0D15D499" w:rsidR="00C15629" w:rsidRDefault="00C15629" w:rsidP="006C24F9">
      <w:pPr>
        <w:rPr>
          <w:rFonts w:cstheme="minorHAnsi"/>
          <w:highlight w:val="yellow"/>
        </w:rPr>
      </w:pPr>
    </w:p>
    <w:p w14:paraId="38DC1BFA" w14:textId="4364F08F" w:rsidR="0059124A" w:rsidRDefault="00CE6F20" w:rsidP="006C24F9">
      <w:pPr>
        <w:rPr>
          <w:rFonts w:cstheme="minorHAnsi"/>
        </w:rPr>
      </w:pPr>
      <w:r>
        <w:rPr>
          <w:rFonts w:cstheme="minorHAnsi"/>
        </w:rPr>
        <w:t xml:space="preserve">The study also assessed </w:t>
      </w:r>
      <w:r w:rsidR="0059124A">
        <w:rPr>
          <w:rFonts w:cstheme="minorHAnsi"/>
        </w:rPr>
        <w:t xml:space="preserve">potential </w:t>
      </w:r>
      <w:r w:rsidR="00C061A2">
        <w:rPr>
          <w:rFonts w:cstheme="minorHAnsi"/>
        </w:rPr>
        <w:t xml:space="preserve">unintended consequences including </w:t>
      </w:r>
      <w:r>
        <w:rPr>
          <w:rFonts w:cstheme="minorHAnsi"/>
        </w:rPr>
        <w:t xml:space="preserve">incentivisation of drug </w:t>
      </w:r>
      <w:r w:rsidR="00FD5CAC">
        <w:rPr>
          <w:rFonts w:cstheme="minorHAnsi"/>
        </w:rPr>
        <w:t xml:space="preserve">supply and </w:t>
      </w:r>
      <w:r>
        <w:rPr>
          <w:rFonts w:cstheme="minorHAnsi"/>
        </w:rPr>
        <w:t xml:space="preserve">use. </w:t>
      </w:r>
      <w:r w:rsidR="00117C12">
        <w:rPr>
          <w:rFonts w:cstheme="minorHAnsi"/>
        </w:rPr>
        <w:t xml:space="preserve">One in </w:t>
      </w:r>
      <w:r w:rsidR="00C76E03">
        <w:rPr>
          <w:rFonts w:cstheme="minorHAnsi"/>
        </w:rPr>
        <w:t>40</w:t>
      </w:r>
      <w:r w:rsidRPr="00CE6F20">
        <w:rPr>
          <w:rFonts w:cstheme="minorHAnsi"/>
        </w:rPr>
        <w:t xml:space="preserve"> service users </w:t>
      </w:r>
      <w:r w:rsidR="0059124A" w:rsidRPr="0059124A">
        <w:rPr>
          <w:rFonts w:cstheme="minorHAnsi"/>
        </w:rPr>
        <w:t>at BI and follow-up (2.5% and 2.</w:t>
      </w:r>
      <w:r w:rsidR="00117C12">
        <w:rPr>
          <w:rFonts w:cstheme="minorHAnsi"/>
        </w:rPr>
        <w:t>8</w:t>
      </w:r>
      <w:r w:rsidR="0059124A" w:rsidRPr="0059124A">
        <w:rPr>
          <w:rFonts w:cstheme="minorHAnsi"/>
        </w:rPr>
        <w:t>% respectively)</w:t>
      </w:r>
      <w:r w:rsidR="0059124A">
        <w:rPr>
          <w:rFonts w:cstheme="minorHAnsi"/>
        </w:rPr>
        <w:t xml:space="preserve"> </w:t>
      </w:r>
      <w:r w:rsidR="0059124A" w:rsidRPr="0059124A">
        <w:rPr>
          <w:rFonts w:cstheme="minorHAnsi"/>
        </w:rPr>
        <w:t xml:space="preserve">whose sample was </w:t>
      </w:r>
      <w:r w:rsidR="00C165C0">
        <w:rPr>
          <w:rFonts w:cstheme="minorHAnsi"/>
        </w:rPr>
        <w:t xml:space="preserve">identified </w:t>
      </w:r>
      <w:r w:rsidR="0059124A" w:rsidRPr="0059124A">
        <w:rPr>
          <w:rFonts w:cstheme="minorHAnsi"/>
        </w:rPr>
        <w:t>as expected reported intending to</w:t>
      </w:r>
      <w:r w:rsidR="001B3357" w:rsidRPr="001B3357">
        <w:rPr>
          <w:rFonts w:cstheme="minorHAnsi"/>
        </w:rPr>
        <w:t xml:space="preserve"> </w:t>
      </w:r>
      <w:r w:rsidR="001B3357">
        <w:rPr>
          <w:rFonts w:cstheme="minorHAnsi"/>
        </w:rPr>
        <w:t xml:space="preserve">obtain more of the substance onsite after receiving their test </w:t>
      </w:r>
      <w:r w:rsidR="001B3357" w:rsidRPr="00CE6F20">
        <w:rPr>
          <w:rFonts w:cstheme="minorHAnsi"/>
        </w:rPr>
        <w:t>result</w:t>
      </w:r>
      <w:r w:rsidR="0059124A" w:rsidRPr="0059124A">
        <w:rPr>
          <w:rFonts w:cstheme="minorHAnsi"/>
        </w:rPr>
        <w:t xml:space="preserve"> </w:t>
      </w:r>
      <w:r w:rsidR="001B3357">
        <w:rPr>
          <w:rFonts w:cstheme="minorHAnsi"/>
        </w:rPr>
        <w:t>and</w:t>
      </w:r>
      <w:r w:rsidR="0059124A" w:rsidRPr="0059124A">
        <w:rPr>
          <w:rFonts w:cstheme="minorHAnsi"/>
        </w:rPr>
        <w:t xml:space="preserve"> recollected having</w:t>
      </w:r>
      <w:r w:rsidR="001B3357">
        <w:rPr>
          <w:rFonts w:cstheme="minorHAnsi"/>
        </w:rPr>
        <w:t xml:space="preserve"> done so</w:t>
      </w:r>
      <w:r w:rsidR="0059124A">
        <w:rPr>
          <w:rFonts w:cstheme="minorHAnsi"/>
        </w:rPr>
        <w:t>.</w:t>
      </w:r>
    </w:p>
    <w:p w14:paraId="283CDAF1" w14:textId="77777777" w:rsidR="00703ADF" w:rsidRDefault="00703ADF" w:rsidP="00703ADF">
      <w:pPr>
        <w:rPr>
          <w:rFonts w:cstheme="minorHAnsi"/>
        </w:rPr>
      </w:pPr>
    </w:p>
    <w:p w14:paraId="41A81576" w14:textId="4A7351C3" w:rsidR="00703ADF" w:rsidRPr="00115C52" w:rsidRDefault="00703ADF" w:rsidP="00703ADF">
      <w:pPr>
        <w:rPr>
          <w:rFonts w:cstheme="minorHAnsi"/>
          <w:i/>
          <w:iCs/>
        </w:rPr>
      </w:pPr>
      <w:r w:rsidRPr="00115C52">
        <w:rPr>
          <w:rFonts w:cstheme="minorHAnsi"/>
          <w:i/>
          <w:iCs/>
        </w:rPr>
        <w:t xml:space="preserve">Comparison of BI and follow-up </w:t>
      </w:r>
      <w:r w:rsidR="002708B2">
        <w:rPr>
          <w:rFonts w:cstheme="minorHAnsi"/>
          <w:i/>
          <w:iCs/>
        </w:rPr>
        <w:t>measures</w:t>
      </w:r>
    </w:p>
    <w:p w14:paraId="684C1566" w14:textId="77777777" w:rsidR="00703ADF" w:rsidRDefault="00703ADF" w:rsidP="00703ADF">
      <w:pPr>
        <w:rPr>
          <w:rFonts w:cstheme="minorHAnsi"/>
        </w:rPr>
      </w:pPr>
    </w:p>
    <w:p w14:paraId="49DDD979" w14:textId="24BD0811" w:rsidR="00703ADF" w:rsidRDefault="00703ADF" w:rsidP="00703ADF">
      <w:pPr>
        <w:rPr>
          <w:rFonts w:cstheme="minorHAnsi"/>
        </w:rPr>
      </w:pPr>
      <w:r>
        <w:rPr>
          <w:rFonts w:cstheme="minorHAnsi"/>
        </w:rPr>
        <w:t xml:space="preserve">Four statistical tests of association were conducted with six mutually exclusive </w:t>
      </w:r>
      <w:r w:rsidR="002708B2">
        <w:rPr>
          <w:rFonts w:cstheme="minorHAnsi"/>
        </w:rPr>
        <w:t>measures</w:t>
      </w:r>
      <w:r>
        <w:rPr>
          <w:rFonts w:cstheme="minorHAnsi"/>
        </w:rPr>
        <w:t xml:space="preserve"> (</w:t>
      </w:r>
      <w:r w:rsidR="0086337B">
        <w:rPr>
          <w:rFonts w:cstheme="minorHAnsi"/>
        </w:rPr>
        <w:t xml:space="preserve">1-6 above, </w:t>
      </w:r>
      <w:r>
        <w:rPr>
          <w:rFonts w:cstheme="minorHAnsi"/>
        </w:rPr>
        <w:t xml:space="preserve">Table 3) and four non mutually exclusive </w:t>
      </w:r>
      <w:r w:rsidR="002708B2">
        <w:rPr>
          <w:rFonts w:cstheme="minorHAnsi"/>
        </w:rPr>
        <w:t>measures</w:t>
      </w:r>
      <w:r>
        <w:rPr>
          <w:rFonts w:cstheme="minorHAnsi"/>
        </w:rPr>
        <w:t xml:space="preserve"> (</w:t>
      </w:r>
      <w:r w:rsidR="0086337B">
        <w:rPr>
          <w:rFonts w:cstheme="minorHAnsi"/>
        </w:rPr>
        <w:t xml:space="preserve">7-10 above, </w:t>
      </w:r>
      <w:r>
        <w:rPr>
          <w:rFonts w:cstheme="minorHAnsi"/>
        </w:rPr>
        <w:t>Table 4)</w:t>
      </w:r>
      <w:r w:rsidR="00DF6FA8">
        <w:rPr>
          <w:rFonts w:cstheme="minorHAnsi"/>
        </w:rPr>
        <w:t>,</w:t>
      </w:r>
      <w:r w:rsidR="00DF6FA8" w:rsidRPr="00DF6FA8">
        <w:rPr>
          <w:rFonts w:cstheme="minorHAnsi"/>
        </w:rPr>
        <w:t xml:space="preserve"> </w:t>
      </w:r>
      <w:r w:rsidR="00DF6FA8">
        <w:rPr>
          <w:rFonts w:cstheme="minorHAnsi"/>
        </w:rPr>
        <w:t xml:space="preserve">at BI and </w:t>
      </w:r>
      <w:r w:rsidR="00DF6FA8" w:rsidRPr="00DA15F7">
        <w:rPr>
          <w:rFonts w:cstheme="minorHAnsi"/>
        </w:rPr>
        <w:t>follow-up</w:t>
      </w:r>
      <w:r w:rsidR="00FB0DAD">
        <w:rPr>
          <w:rFonts w:cstheme="minorHAnsi"/>
        </w:rPr>
        <w:t>. Results showed that</w:t>
      </w:r>
      <w:r w:rsidR="00DF6FA8">
        <w:rPr>
          <w:rFonts w:cstheme="minorHAnsi"/>
        </w:rPr>
        <w:t>:</w:t>
      </w:r>
    </w:p>
    <w:p w14:paraId="5EECD49E" w14:textId="0ACAD560" w:rsidR="00703ADF" w:rsidRPr="00532A79" w:rsidRDefault="00135461" w:rsidP="00703ADF">
      <w:pPr>
        <w:pStyle w:val="ListParagraph"/>
        <w:numPr>
          <w:ilvl w:val="0"/>
          <w:numId w:val="21"/>
        </w:numPr>
        <w:rPr>
          <w:rFonts w:cstheme="minorHAnsi"/>
        </w:rPr>
      </w:pPr>
      <w:r>
        <w:rPr>
          <w:rFonts w:cstheme="minorHAnsi"/>
        </w:rPr>
        <w:t>Eight</w:t>
      </w:r>
      <w:r w:rsidR="00703ADF">
        <w:rPr>
          <w:rFonts w:cstheme="minorHAnsi"/>
        </w:rPr>
        <w:t xml:space="preserve"> of the </w:t>
      </w:r>
      <w:r w:rsidR="00F83B75">
        <w:rPr>
          <w:rFonts w:cstheme="minorHAnsi"/>
        </w:rPr>
        <w:t>ten</w:t>
      </w:r>
      <w:r w:rsidR="00703ADF">
        <w:rPr>
          <w:rFonts w:cstheme="minorHAnsi"/>
        </w:rPr>
        <w:t xml:space="preserve"> </w:t>
      </w:r>
      <w:r w:rsidR="00C165C0">
        <w:rPr>
          <w:rFonts w:cstheme="minorHAnsi"/>
        </w:rPr>
        <w:t>measures</w:t>
      </w:r>
      <w:r>
        <w:rPr>
          <w:rFonts w:cstheme="minorHAnsi"/>
        </w:rPr>
        <w:t xml:space="preserve"> at BI </w:t>
      </w:r>
      <w:r w:rsidR="00703ADF">
        <w:rPr>
          <w:rFonts w:cstheme="minorHAnsi"/>
        </w:rPr>
        <w:t xml:space="preserve">were significantly associated with whether </w:t>
      </w:r>
      <w:r w:rsidR="00AA0599">
        <w:rPr>
          <w:rFonts w:cstheme="minorHAnsi"/>
        </w:rPr>
        <w:t xml:space="preserve">the submitted </w:t>
      </w:r>
      <w:r w:rsidR="0046563A">
        <w:rPr>
          <w:rFonts w:cstheme="minorHAnsi"/>
        </w:rPr>
        <w:t xml:space="preserve">sample </w:t>
      </w:r>
      <w:r w:rsidR="00AA0599">
        <w:rPr>
          <w:rFonts w:cstheme="minorHAnsi"/>
        </w:rPr>
        <w:t xml:space="preserve">was </w:t>
      </w:r>
      <w:r w:rsidR="00703ADF">
        <w:rPr>
          <w:rFonts w:cstheme="minorHAnsi"/>
        </w:rPr>
        <w:t xml:space="preserve">identified as expected or </w:t>
      </w:r>
      <w:r w:rsidR="005E53F2">
        <w:rPr>
          <w:rFonts w:cstheme="minorHAnsi"/>
        </w:rPr>
        <w:t>not</w:t>
      </w:r>
      <w:r w:rsidR="00657009">
        <w:rPr>
          <w:rFonts w:cstheme="minorHAnsi"/>
        </w:rPr>
        <w:t>;</w:t>
      </w:r>
    </w:p>
    <w:p w14:paraId="3EA58D30" w14:textId="41B2B3DB" w:rsidR="00703ADF" w:rsidRDefault="00657009" w:rsidP="00703ADF">
      <w:pPr>
        <w:pStyle w:val="ListParagraph"/>
        <w:numPr>
          <w:ilvl w:val="0"/>
          <w:numId w:val="21"/>
        </w:numPr>
        <w:rPr>
          <w:rFonts w:cstheme="minorHAnsi"/>
        </w:rPr>
      </w:pPr>
      <w:r>
        <w:rPr>
          <w:rFonts w:cstheme="minorHAnsi"/>
        </w:rPr>
        <w:t>Seven</w:t>
      </w:r>
      <w:r w:rsidR="00703ADF">
        <w:rPr>
          <w:rFonts w:cstheme="minorHAnsi"/>
        </w:rPr>
        <w:t xml:space="preserve"> of the </w:t>
      </w:r>
      <w:r w:rsidR="00F83B75">
        <w:rPr>
          <w:rFonts w:cstheme="minorHAnsi"/>
        </w:rPr>
        <w:t xml:space="preserve">ten </w:t>
      </w:r>
      <w:r w:rsidR="00C165C0">
        <w:rPr>
          <w:rFonts w:cstheme="minorHAnsi"/>
        </w:rPr>
        <w:t xml:space="preserve">measures </w:t>
      </w:r>
      <w:r w:rsidR="00135461">
        <w:rPr>
          <w:rFonts w:cstheme="minorHAnsi"/>
        </w:rPr>
        <w:t xml:space="preserve">at follow-up </w:t>
      </w:r>
      <w:r w:rsidR="00703ADF">
        <w:rPr>
          <w:rFonts w:cstheme="minorHAnsi"/>
        </w:rPr>
        <w:t xml:space="preserve">were significantly associated with whether </w:t>
      </w:r>
      <w:r w:rsidR="00AA0599">
        <w:rPr>
          <w:rFonts w:cstheme="minorHAnsi"/>
        </w:rPr>
        <w:t xml:space="preserve">the submitted </w:t>
      </w:r>
      <w:r w:rsidR="00703ADF">
        <w:rPr>
          <w:rFonts w:cstheme="minorHAnsi"/>
        </w:rPr>
        <w:t xml:space="preserve">sample </w:t>
      </w:r>
      <w:r w:rsidR="00AA0599">
        <w:rPr>
          <w:rFonts w:cstheme="minorHAnsi"/>
        </w:rPr>
        <w:t xml:space="preserve">was </w:t>
      </w:r>
      <w:r w:rsidR="00703ADF">
        <w:rPr>
          <w:rFonts w:cstheme="minorHAnsi"/>
        </w:rPr>
        <w:t xml:space="preserve">identified as </w:t>
      </w:r>
      <w:r w:rsidR="00703ADF" w:rsidRPr="00532A79">
        <w:rPr>
          <w:rFonts w:cstheme="minorHAnsi"/>
        </w:rPr>
        <w:t xml:space="preserve">expected or </w:t>
      </w:r>
      <w:r w:rsidR="005E53F2">
        <w:rPr>
          <w:rFonts w:cstheme="minorHAnsi"/>
        </w:rPr>
        <w:t>not</w:t>
      </w:r>
      <w:r>
        <w:rPr>
          <w:rFonts w:cstheme="minorHAnsi"/>
        </w:rPr>
        <w:t>;</w:t>
      </w:r>
    </w:p>
    <w:p w14:paraId="70263178" w14:textId="6607F5DA" w:rsidR="00703ADF" w:rsidRDefault="00703ADF" w:rsidP="00703ADF">
      <w:pPr>
        <w:pStyle w:val="ListParagraph"/>
        <w:numPr>
          <w:ilvl w:val="0"/>
          <w:numId w:val="21"/>
        </w:numPr>
        <w:rPr>
          <w:rFonts w:cstheme="minorHAnsi"/>
        </w:rPr>
      </w:pPr>
      <w:r>
        <w:rPr>
          <w:rFonts w:cstheme="minorHAnsi"/>
        </w:rPr>
        <w:t xml:space="preserve">There were no statistically significant differences between </w:t>
      </w:r>
      <w:r w:rsidRPr="00532A79">
        <w:rPr>
          <w:rFonts w:cstheme="minorHAnsi"/>
        </w:rPr>
        <w:t xml:space="preserve">festival BI and follow-up outcomes </w:t>
      </w:r>
      <w:r>
        <w:rPr>
          <w:rFonts w:cstheme="minorHAnsi"/>
        </w:rPr>
        <w:t xml:space="preserve">for </w:t>
      </w:r>
      <w:r w:rsidR="00C730A2">
        <w:rPr>
          <w:rFonts w:cstheme="minorHAnsi"/>
        </w:rPr>
        <w:t xml:space="preserve">service users whose </w:t>
      </w:r>
      <w:r>
        <w:rPr>
          <w:rFonts w:cstheme="minorHAnsi"/>
        </w:rPr>
        <w:t>sample</w:t>
      </w:r>
      <w:r w:rsidR="00C730A2">
        <w:rPr>
          <w:rFonts w:cstheme="minorHAnsi"/>
        </w:rPr>
        <w:t xml:space="preserve">s were </w:t>
      </w:r>
      <w:r>
        <w:rPr>
          <w:rFonts w:cstheme="minorHAnsi"/>
        </w:rPr>
        <w:t xml:space="preserve">identified as </w:t>
      </w:r>
      <w:r w:rsidRPr="00532A79">
        <w:rPr>
          <w:rFonts w:cstheme="minorHAnsi"/>
        </w:rPr>
        <w:t>expected</w:t>
      </w:r>
      <w:r w:rsidR="00CD31D3">
        <w:rPr>
          <w:rFonts w:cstheme="minorHAnsi"/>
        </w:rPr>
        <w:t>,</w:t>
      </w:r>
      <w:r>
        <w:rPr>
          <w:rFonts w:cstheme="minorHAnsi"/>
        </w:rPr>
        <w:t xml:space="preserve"> for </w:t>
      </w:r>
      <w:r w:rsidR="00E10891">
        <w:rPr>
          <w:rFonts w:cstheme="minorHAnsi"/>
        </w:rPr>
        <w:t>nine</w:t>
      </w:r>
      <w:r>
        <w:rPr>
          <w:rFonts w:cstheme="minorHAnsi"/>
        </w:rPr>
        <w:t xml:space="preserve"> of the </w:t>
      </w:r>
      <w:r w:rsidR="00E10891">
        <w:rPr>
          <w:rFonts w:cstheme="minorHAnsi"/>
        </w:rPr>
        <w:t>ten</w:t>
      </w:r>
      <w:r>
        <w:rPr>
          <w:rFonts w:cstheme="minorHAnsi"/>
        </w:rPr>
        <w:t xml:space="preserve"> key </w:t>
      </w:r>
      <w:r w:rsidR="002708B2">
        <w:rPr>
          <w:rFonts w:cstheme="minorHAnsi"/>
        </w:rPr>
        <w:t>measures</w:t>
      </w:r>
      <w:r>
        <w:rPr>
          <w:rFonts w:cstheme="minorHAnsi"/>
        </w:rPr>
        <w:t xml:space="preserve"> </w:t>
      </w:r>
      <w:bookmarkStart w:id="14" w:name="_Hlk66618546"/>
      <w:r>
        <w:rPr>
          <w:rFonts w:cstheme="minorHAnsi"/>
        </w:rPr>
        <w:t>(the exception being alerting friends)</w:t>
      </w:r>
      <w:bookmarkEnd w:id="14"/>
      <w:r>
        <w:rPr>
          <w:rFonts w:cstheme="minorHAnsi"/>
        </w:rPr>
        <w:t>;</w:t>
      </w:r>
      <w:r w:rsidRPr="00532A79">
        <w:rPr>
          <w:rFonts w:cstheme="minorHAnsi"/>
        </w:rPr>
        <w:t xml:space="preserve"> </w:t>
      </w:r>
    </w:p>
    <w:p w14:paraId="0444A9EE" w14:textId="1BB6ABDA" w:rsidR="00703ADF" w:rsidRDefault="00703ADF" w:rsidP="00703ADF">
      <w:pPr>
        <w:pStyle w:val="ListParagraph"/>
        <w:numPr>
          <w:ilvl w:val="0"/>
          <w:numId w:val="21"/>
        </w:numPr>
        <w:rPr>
          <w:rFonts w:cstheme="minorHAnsi"/>
        </w:rPr>
      </w:pPr>
      <w:r w:rsidRPr="0034235C">
        <w:rPr>
          <w:rFonts w:cstheme="minorHAnsi"/>
        </w:rPr>
        <w:t xml:space="preserve">There were no statistically significant differences between festival BI and follow-up outcomes for </w:t>
      </w:r>
      <w:r w:rsidR="00C730A2">
        <w:rPr>
          <w:rFonts w:cstheme="minorHAnsi"/>
        </w:rPr>
        <w:t xml:space="preserve">service users </w:t>
      </w:r>
      <w:r w:rsidRPr="0034235C">
        <w:rPr>
          <w:rFonts w:cstheme="minorHAnsi"/>
        </w:rPr>
        <w:t>whose sample</w:t>
      </w:r>
      <w:r w:rsidR="00C730A2">
        <w:rPr>
          <w:rFonts w:cstheme="minorHAnsi"/>
        </w:rPr>
        <w:t xml:space="preserve">s </w:t>
      </w:r>
      <w:r w:rsidRPr="0034235C">
        <w:rPr>
          <w:rFonts w:cstheme="minorHAnsi"/>
        </w:rPr>
        <w:t xml:space="preserve">were identified as </w:t>
      </w:r>
      <w:r>
        <w:rPr>
          <w:rFonts w:cstheme="minorHAnsi"/>
        </w:rPr>
        <w:t xml:space="preserve">other than </w:t>
      </w:r>
      <w:r w:rsidRPr="0034235C">
        <w:rPr>
          <w:rFonts w:cstheme="minorHAnsi"/>
        </w:rPr>
        <w:t>expected</w:t>
      </w:r>
      <w:r w:rsidR="00CD31D3">
        <w:rPr>
          <w:rFonts w:cstheme="minorHAnsi"/>
        </w:rPr>
        <w:t>,</w:t>
      </w:r>
      <w:r>
        <w:rPr>
          <w:rFonts w:cstheme="minorHAnsi"/>
        </w:rPr>
        <w:t xml:space="preserve"> for </w:t>
      </w:r>
      <w:r w:rsidR="00E10891">
        <w:rPr>
          <w:rFonts w:cstheme="minorHAnsi"/>
        </w:rPr>
        <w:t xml:space="preserve">nine </w:t>
      </w:r>
      <w:r>
        <w:rPr>
          <w:rFonts w:cstheme="minorHAnsi"/>
        </w:rPr>
        <w:t xml:space="preserve">of the </w:t>
      </w:r>
      <w:r w:rsidR="00E10891">
        <w:rPr>
          <w:rFonts w:cstheme="minorHAnsi"/>
        </w:rPr>
        <w:t xml:space="preserve">ten </w:t>
      </w:r>
      <w:r>
        <w:rPr>
          <w:rFonts w:cstheme="minorHAnsi"/>
        </w:rPr>
        <w:t xml:space="preserve">key </w:t>
      </w:r>
      <w:r w:rsidR="002708B2">
        <w:rPr>
          <w:rFonts w:cstheme="minorHAnsi"/>
        </w:rPr>
        <w:t>measures</w:t>
      </w:r>
      <w:r>
        <w:rPr>
          <w:rFonts w:cstheme="minorHAnsi"/>
        </w:rPr>
        <w:t xml:space="preserve"> (the exception being alerting friends)</w:t>
      </w:r>
      <w:r w:rsidRPr="00532A79">
        <w:rPr>
          <w:rFonts w:cstheme="minorHAnsi"/>
        </w:rPr>
        <w:t xml:space="preserve">. </w:t>
      </w:r>
    </w:p>
    <w:p w14:paraId="323F00D6" w14:textId="0028345A" w:rsidR="00731D3D" w:rsidRDefault="00731D3D" w:rsidP="006C24F9">
      <w:pPr>
        <w:rPr>
          <w:rFonts w:cstheme="minorHAnsi"/>
          <w:highlight w:val="yellow"/>
        </w:rPr>
      </w:pPr>
    </w:p>
    <w:p w14:paraId="216D1BD1" w14:textId="17836E81" w:rsidR="00445B68" w:rsidRDefault="00445B68" w:rsidP="006C24F9">
      <w:pPr>
        <w:rPr>
          <w:rFonts w:cstheme="minorHAnsi"/>
          <w:highlight w:val="yellow"/>
        </w:rPr>
      </w:pPr>
      <w:r w:rsidRPr="00445B68">
        <w:rPr>
          <w:rFonts w:cstheme="minorHAnsi"/>
        </w:rPr>
        <w:t>Alerting friends was the only one of ten measures for which outcomes were not correlated with the contents of the submitted sample, suggesting that communications to friends happen regardless of whether contents were expected or not, and that drug checking may provide additional benefits in terms of the reach of harm reduction messaging beyond those service users directly receiving a BI.</w:t>
      </w:r>
    </w:p>
    <w:p w14:paraId="75401EA7" w14:textId="77777777" w:rsidR="00445B68" w:rsidRPr="00EF6A93" w:rsidRDefault="00445B68" w:rsidP="006C24F9">
      <w:pPr>
        <w:rPr>
          <w:rFonts w:cstheme="minorHAnsi"/>
          <w:highlight w:val="yellow"/>
        </w:rPr>
      </w:pPr>
    </w:p>
    <w:p w14:paraId="1EFFB89E" w14:textId="33F671AB" w:rsidR="00267896" w:rsidRPr="00267896" w:rsidRDefault="00267896" w:rsidP="006C24F9">
      <w:pPr>
        <w:rPr>
          <w:rFonts w:cstheme="minorHAnsi"/>
          <w:i/>
          <w:iCs/>
        </w:rPr>
      </w:pPr>
      <w:r w:rsidRPr="00267896">
        <w:rPr>
          <w:rFonts w:cstheme="minorHAnsi"/>
          <w:i/>
          <w:iCs/>
        </w:rPr>
        <w:t>Age</w:t>
      </w:r>
    </w:p>
    <w:p w14:paraId="46F43EAB" w14:textId="77777777" w:rsidR="00267896" w:rsidRPr="00EF6A93" w:rsidRDefault="00267896" w:rsidP="006C24F9">
      <w:pPr>
        <w:rPr>
          <w:rFonts w:cstheme="minorHAnsi"/>
          <w:highlight w:val="yellow"/>
        </w:rPr>
      </w:pPr>
    </w:p>
    <w:p w14:paraId="1BF47273" w14:textId="10EC1A13" w:rsidR="00B37F8D" w:rsidRPr="006C24F9" w:rsidRDefault="00ED38C9" w:rsidP="006C24F9">
      <w:pPr>
        <w:rPr>
          <w:rFonts w:cstheme="minorHAnsi"/>
        </w:rPr>
      </w:pPr>
      <w:r w:rsidRPr="006C24F9">
        <w:rPr>
          <w:rFonts w:cstheme="minorHAnsi"/>
        </w:rPr>
        <w:lastRenderedPageBreak/>
        <w:t>A</w:t>
      </w:r>
      <w:r w:rsidR="00A97325" w:rsidRPr="006C24F9">
        <w:rPr>
          <w:rFonts w:cstheme="minorHAnsi"/>
        </w:rPr>
        <w:t xml:space="preserve">nalysing </w:t>
      </w:r>
      <w:r w:rsidR="003464E9" w:rsidRPr="006C24F9">
        <w:rPr>
          <w:rFonts w:cstheme="minorHAnsi"/>
        </w:rPr>
        <w:t xml:space="preserve">responses </w:t>
      </w:r>
      <w:r w:rsidR="00A97325" w:rsidRPr="006C24F9">
        <w:rPr>
          <w:rFonts w:cstheme="minorHAnsi"/>
        </w:rPr>
        <w:t>by age</w:t>
      </w:r>
      <w:r w:rsidR="000D7D5D">
        <w:rPr>
          <w:rFonts w:cstheme="minorHAnsi"/>
        </w:rPr>
        <w:t xml:space="preserve">, service users </w:t>
      </w:r>
      <w:r w:rsidR="000048AC">
        <w:rPr>
          <w:rFonts w:cstheme="minorHAnsi"/>
        </w:rPr>
        <w:t xml:space="preserve">under 20 </w:t>
      </w:r>
      <w:r w:rsidR="00C91971">
        <w:rPr>
          <w:rFonts w:cstheme="minorHAnsi"/>
        </w:rPr>
        <w:t>years old</w:t>
      </w:r>
      <w:r w:rsidR="000D7D5D">
        <w:rPr>
          <w:rFonts w:cstheme="minorHAnsi"/>
        </w:rPr>
        <w:t xml:space="preserve"> </w:t>
      </w:r>
      <w:r w:rsidR="00E212AD">
        <w:rPr>
          <w:rFonts w:cstheme="minorHAnsi"/>
        </w:rPr>
        <w:t xml:space="preserve">at BI and follow-up </w:t>
      </w:r>
      <w:r w:rsidR="00E24062" w:rsidRPr="006C24F9">
        <w:rPr>
          <w:rFonts w:cstheme="minorHAnsi"/>
        </w:rPr>
        <w:t xml:space="preserve">were more likely </w:t>
      </w:r>
      <w:r w:rsidR="008E5249">
        <w:rPr>
          <w:rFonts w:cstheme="minorHAnsi"/>
        </w:rPr>
        <w:t>than over 20s</w:t>
      </w:r>
      <w:r w:rsidR="008E5249" w:rsidRPr="006C24F9">
        <w:rPr>
          <w:rFonts w:cstheme="minorHAnsi"/>
        </w:rPr>
        <w:t xml:space="preserve"> </w:t>
      </w:r>
      <w:r w:rsidR="00806218">
        <w:rPr>
          <w:rFonts w:cstheme="minorHAnsi"/>
        </w:rPr>
        <w:t>to have</w:t>
      </w:r>
      <w:r w:rsidR="008B596B">
        <w:rPr>
          <w:rFonts w:cstheme="minorHAnsi"/>
        </w:rPr>
        <w:t xml:space="preserve"> </w:t>
      </w:r>
      <w:r w:rsidR="000048AC">
        <w:rPr>
          <w:rFonts w:cstheme="minorHAnsi"/>
        </w:rPr>
        <w:t xml:space="preserve">been missold </w:t>
      </w:r>
      <w:r w:rsidR="005F77A7">
        <w:rPr>
          <w:rFonts w:cstheme="minorHAnsi"/>
        </w:rPr>
        <w:t xml:space="preserve">their </w:t>
      </w:r>
      <w:r w:rsidR="007347F0">
        <w:rPr>
          <w:rFonts w:cstheme="minorHAnsi"/>
        </w:rPr>
        <w:t xml:space="preserve">submitted </w:t>
      </w:r>
      <w:r w:rsidR="00806218">
        <w:rPr>
          <w:rFonts w:cstheme="minorHAnsi"/>
        </w:rPr>
        <w:t>substance</w:t>
      </w:r>
      <w:r w:rsidR="000048AC">
        <w:rPr>
          <w:rFonts w:cstheme="minorHAnsi"/>
        </w:rPr>
        <w:t xml:space="preserve">, </w:t>
      </w:r>
      <w:r w:rsidR="00893CAE" w:rsidRPr="006C24F9">
        <w:rPr>
          <w:rFonts w:cstheme="minorHAnsi"/>
        </w:rPr>
        <w:t>dispos</w:t>
      </w:r>
      <w:r w:rsidR="00806218">
        <w:rPr>
          <w:rFonts w:cstheme="minorHAnsi"/>
        </w:rPr>
        <w:t>ed</w:t>
      </w:r>
      <w:r w:rsidR="00893CAE" w:rsidRPr="006C24F9">
        <w:rPr>
          <w:rFonts w:cstheme="minorHAnsi"/>
        </w:rPr>
        <w:t xml:space="preserve"> of </w:t>
      </w:r>
      <w:r w:rsidR="008E5249">
        <w:rPr>
          <w:rFonts w:cstheme="minorHAnsi"/>
        </w:rPr>
        <w:t xml:space="preserve">further </w:t>
      </w:r>
      <w:r w:rsidR="00893CAE" w:rsidRPr="006C24F9">
        <w:rPr>
          <w:rFonts w:cstheme="minorHAnsi"/>
        </w:rPr>
        <w:t xml:space="preserve">substances with the </w:t>
      </w:r>
      <w:r w:rsidR="008E5249">
        <w:rPr>
          <w:rFonts w:cstheme="minorHAnsi"/>
        </w:rPr>
        <w:t xml:space="preserve">drug checking </w:t>
      </w:r>
      <w:r w:rsidR="00893CAE" w:rsidRPr="006C24F9">
        <w:rPr>
          <w:rFonts w:cstheme="minorHAnsi"/>
        </w:rPr>
        <w:t>service</w:t>
      </w:r>
      <w:r w:rsidR="008E5249">
        <w:rPr>
          <w:rFonts w:cstheme="minorHAnsi"/>
        </w:rPr>
        <w:t>,</w:t>
      </w:r>
      <w:r w:rsidR="00893CAE" w:rsidRPr="006C24F9">
        <w:rPr>
          <w:rFonts w:cstheme="minorHAnsi"/>
        </w:rPr>
        <w:t xml:space="preserve"> </w:t>
      </w:r>
      <w:r w:rsidR="000048AC">
        <w:rPr>
          <w:rFonts w:cstheme="minorHAnsi"/>
        </w:rPr>
        <w:t xml:space="preserve">and </w:t>
      </w:r>
      <w:r w:rsidR="00806218">
        <w:rPr>
          <w:rFonts w:cstheme="minorHAnsi"/>
        </w:rPr>
        <w:t xml:space="preserve">taken </w:t>
      </w:r>
      <w:r w:rsidR="000048AC">
        <w:rPr>
          <w:rFonts w:cstheme="minorHAnsi"/>
        </w:rPr>
        <w:t>smaller doses</w:t>
      </w:r>
      <w:r w:rsidR="005F77A7">
        <w:rPr>
          <w:rFonts w:cstheme="minorHAnsi"/>
        </w:rPr>
        <w:t xml:space="preserve"> after BI</w:t>
      </w:r>
      <w:r w:rsidR="000048AC">
        <w:rPr>
          <w:rFonts w:cstheme="minorHAnsi"/>
        </w:rPr>
        <w:t xml:space="preserve"> </w:t>
      </w:r>
      <w:r w:rsidR="00B37F8D" w:rsidRPr="006C24F9">
        <w:rPr>
          <w:rFonts w:cstheme="minorHAnsi"/>
        </w:rPr>
        <w:t xml:space="preserve">(see Chart </w:t>
      </w:r>
      <w:r w:rsidR="007C7DE7" w:rsidRPr="006C24F9">
        <w:rPr>
          <w:rFonts w:cstheme="minorHAnsi"/>
        </w:rPr>
        <w:t>2</w:t>
      </w:r>
      <w:r w:rsidR="00B37F8D" w:rsidRPr="006C24F9">
        <w:rPr>
          <w:rFonts w:cstheme="minorHAnsi"/>
        </w:rPr>
        <w:t>)</w:t>
      </w:r>
      <w:r w:rsidR="000B43B5" w:rsidRPr="006C24F9">
        <w:rPr>
          <w:rFonts w:cstheme="minorHAnsi"/>
        </w:rPr>
        <w:t xml:space="preserve">. This </w:t>
      </w:r>
      <w:r w:rsidR="006F7BB3" w:rsidRPr="006C24F9">
        <w:rPr>
          <w:rFonts w:cstheme="minorHAnsi"/>
        </w:rPr>
        <w:t xml:space="preserve">raises the possibility that </w:t>
      </w:r>
      <w:r w:rsidR="000B43B5" w:rsidRPr="006C24F9">
        <w:rPr>
          <w:rFonts w:cstheme="minorHAnsi"/>
        </w:rPr>
        <w:t xml:space="preserve">drug </w:t>
      </w:r>
      <w:r w:rsidR="00F57D27" w:rsidRPr="006C24F9">
        <w:rPr>
          <w:rFonts w:cstheme="minorHAnsi"/>
        </w:rPr>
        <w:t xml:space="preserve">checking </w:t>
      </w:r>
      <w:r w:rsidR="007347F0">
        <w:rPr>
          <w:rFonts w:cstheme="minorHAnsi"/>
        </w:rPr>
        <w:t xml:space="preserve">may </w:t>
      </w:r>
      <w:r w:rsidR="006F7BB3" w:rsidRPr="006C24F9">
        <w:rPr>
          <w:rFonts w:cstheme="minorHAnsi"/>
        </w:rPr>
        <w:t xml:space="preserve">have </w:t>
      </w:r>
      <w:r w:rsidR="00913402" w:rsidRPr="006C24F9">
        <w:rPr>
          <w:rFonts w:cstheme="minorHAnsi"/>
        </w:rPr>
        <w:t>a disproportionate</w:t>
      </w:r>
      <w:r w:rsidR="002D39C7">
        <w:rPr>
          <w:rFonts w:cstheme="minorHAnsi"/>
        </w:rPr>
        <w:t>ly greater</w:t>
      </w:r>
      <w:r w:rsidR="00615746" w:rsidRPr="006C24F9">
        <w:rPr>
          <w:rFonts w:cstheme="minorHAnsi"/>
        </w:rPr>
        <w:t xml:space="preserve"> </w:t>
      </w:r>
      <w:r w:rsidR="006F7BB3" w:rsidRPr="006C24F9">
        <w:rPr>
          <w:rFonts w:cstheme="minorHAnsi"/>
        </w:rPr>
        <w:t xml:space="preserve">impact on </w:t>
      </w:r>
      <w:r w:rsidR="00A97325" w:rsidRPr="006C24F9">
        <w:rPr>
          <w:rFonts w:cstheme="minorHAnsi"/>
        </w:rPr>
        <w:t>young</w:t>
      </w:r>
      <w:r w:rsidR="00DF18E9" w:rsidRPr="006C24F9">
        <w:rPr>
          <w:rFonts w:cstheme="minorHAnsi"/>
        </w:rPr>
        <w:t xml:space="preserve">er </w:t>
      </w:r>
      <w:r w:rsidR="00615746" w:rsidRPr="006C24F9">
        <w:rPr>
          <w:rFonts w:cstheme="minorHAnsi"/>
        </w:rPr>
        <w:t xml:space="preserve">and potentially less experienced </w:t>
      </w:r>
      <w:r w:rsidR="00DF18E9" w:rsidRPr="006C24F9">
        <w:rPr>
          <w:rFonts w:cstheme="minorHAnsi"/>
        </w:rPr>
        <w:t>drug users</w:t>
      </w:r>
      <w:r w:rsidR="000B43B5" w:rsidRPr="006C24F9">
        <w:rPr>
          <w:rFonts w:cstheme="minorHAnsi"/>
        </w:rPr>
        <w:t xml:space="preserve">, </w:t>
      </w:r>
      <w:r w:rsidR="00F24DA0">
        <w:rPr>
          <w:rFonts w:cstheme="minorHAnsi"/>
        </w:rPr>
        <w:t xml:space="preserve">earlier in drug taking careers, </w:t>
      </w:r>
      <w:r w:rsidR="008306F3" w:rsidRPr="006C24F9">
        <w:rPr>
          <w:rFonts w:cstheme="minorHAnsi"/>
        </w:rPr>
        <w:t xml:space="preserve">less </w:t>
      </w:r>
      <w:r w:rsidR="000B43B5" w:rsidRPr="006C24F9">
        <w:rPr>
          <w:rFonts w:cstheme="minorHAnsi"/>
        </w:rPr>
        <w:t xml:space="preserve">likely to </w:t>
      </w:r>
      <w:r w:rsidR="00BF5CCA">
        <w:rPr>
          <w:rFonts w:cstheme="minorHAnsi"/>
        </w:rPr>
        <w:t xml:space="preserve">be in touch with </w:t>
      </w:r>
      <w:r w:rsidR="006D0927">
        <w:rPr>
          <w:rFonts w:cstheme="minorHAnsi"/>
        </w:rPr>
        <w:t>healthcare or SMS</w:t>
      </w:r>
      <w:r w:rsidR="00BF5CCA">
        <w:rPr>
          <w:rFonts w:cstheme="minorHAnsi"/>
        </w:rPr>
        <w:t xml:space="preserve"> about </w:t>
      </w:r>
      <w:r w:rsidR="007347F0">
        <w:rPr>
          <w:rFonts w:cstheme="minorHAnsi"/>
        </w:rPr>
        <w:t xml:space="preserve">alcohol or other </w:t>
      </w:r>
      <w:r w:rsidR="00BF5CCA">
        <w:rPr>
          <w:rFonts w:cstheme="minorHAnsi"/>
        </w:rPr>
        <w:t>drug use</w:t>
      </w:r>
      <w:r w:rsidR="007E02E2" w:rsidRPr="006C24F9">
        <w:rPr>
          <w:rFonts w:cstheme="minorHAnsi"/>
        </w:rPr>
        <w:t>,</w:t>
      </w:r>
      <w:r w:rsidR="006F7BB3" w:rsidRPr="006C24F9">
        <w:rPr>
          <w:rFonts w:cstheme="minorHAnsi"/>
        </w:rPr>
        <w:t xml:space="preserve"> and </w:t>
      </w:r>
      <w:r w:rsidR="007E02E2" w:rsidRPr="006C24F9">
        <w:rPr>
          <w:rFonts w:cstheme="minorHAnsi"/>
        </w:rPr>
        <w:t>also potentially</w:t>
      </w:r>
      <w:r w:rsidR="006F7BB3" w:rsidRPr="006C24F9">
        <w:rPr>
          <w:rFonts w:cstheme="minorHAnsi"/>
        </w:rPr>
        <w:t xml:space="preserve"> </w:t>
      </w:r>
      <w:r w:rsidR="006D4951">
        <w:rPr>
          <w:rFonts w:cstheme="minorHAnsi"/>
        </w:rPr>
        <w:t xml:space="preserve">with </w:t>
      </w:r>
      <w:r w:rsidR="008E5249">
        <w:rPr>
          <w:rFonts w:cstheme="minorHAnsi"/>
        </w:rPr>
        <w:t xml:space="preserve">lower </w:t>
      </w:r>
      <w:r w:rsidR="006D4951">
        <w:rPr>
          <w:rFonts w:cstheme="minorHAnsi"/>
        </w:rPr>
        <w:t>tolerance and</w:t>
      </w:r>
      <w:r w:rsidR="005354C3">
        <w:rPr>
          <w:rFonts w:cstheme="minorHAnsi"/>
        </w:rPr>
        <w:t>/or</w:t>
      </w:r>
      <w:r w:rsidR="006D4951">
        <w:rPr>
          <w:rFonts w:cstheme="minorHAnsi"/>
        </w:rPr>
        <w:t xml:space="preserve"> </w:t>
      </w:r>
      <w:r w:rsidR="008E5249">
        <w:rPr>
          <w:rFonts w:cstheme="minorHAnsi"/>
        </w:rPr>
        <w:t xml:space="preserve">greater </w:t>
      </w:r>
      <w:r w:rsidR="00666AB3">
        <w:rPr>
          <w:rFonts w:cstheme="minorHAnsi"/>
        </w:rPr>
        <w:t>vulnerab</w:t>
      </w:r>
      <w:r w:rsidR="008E5249">
        <w:rPr>
          <w:rFonts w:cstheme="minorHAnsi"/>
        </w:rPr>
        <w:t xml:space="preserve">ility </w:t>
      </w:r>
      <w:r w:rsidR="000B43B5" w:rsidRPr="006C24F9">
        <w:rPr>
          <w:rFonts w:cstheme="minorHAnsi"/>
        </w:rPr>
        <w:t xml:space="preserve">to </w:t>
      </w:r>
      <w:r w:rsidR="007E02E2" w:rsidRPr="006C24F9">
        <w:rPr>
          <w:rFonts w:cstheme="minorHAnsi"/>
        </w:rPr>
        <w:t xml:space="preserve">drug-related </w:t>
      </w:r>
      <w:r w:rsidR="000B43B5" w:rsidRPr="006C24F9">
        <w:rPr>
          <w:rFonts w:cstheme="minorHAnsi"/>
        </w:rPr>
        <w:t>harm</w:t>
      </w:r>
      <w:r w:rsidR="007E02E2" w:rsidRPr="006C24F9">
        <w:rPr>
          <w:rFonts w:cstheme="minorHAnsi"/>
        </w:rPr>
        <w:t>s</w:t>
      </w:r>
      <w:r w:rsidR="00680E3A" w:rsidRPr="006C24F9">
        <w:rPr>
          <w:rFonts w:cstheme="minorHAnsi"/>
        </w:rPr>
        <w:t xml:space="preserve">. </w:t>
      </w:r>
      <w:r w:rsidR="00BF5699">
        <w:rPr>
          <w:rFonts w:cstheme="minorHAnsi"/>
        </w:rPr>
        <w:t xml:space="preserve">This </w:t>
      </w:r>
      <w:r w:rsidR="00680E3A" w:rsidRPr="006C24F9">
        <w:rPr>
          <w:rFonts w:cstheme="minorHAnsi"/>
        </w:rPr>
        <w:t xml:space="preserve">supports </w:t>
      </w:r>
      <w:r w:rsidR="00BF5699">
        <w:rPr>
          <w:rFonts w:cstheme="minorHAnsi"/>
        </w:rPr>
        <w:t xml:space="preserve">BI </w:t>
      </w:r>
      <w:r w:rsidR="00EB3174">
        <w:rPr>
          <w:rFonts w:cstheme="minorHAnsi"/>
        </w:rPr>
        <w:t xml:space="preserve">studies </w:t>
      </w:r>
      <w:r w:rsidR="00CD6B28">
        <w:rPr>
          <w:rFonts w:cstheme="minorHAnsi"/>
        </w:rPr>
        <w:t>that have</w:t>
      </w:r>
      <w:r w:rsidR="008B6F1D">
        <w:rPr>
          <w:rFonts w:cstheme="minorHAnsi"/>
        </w:rPr>
        <w:t xml:space="preserve"> identified </w:t>
      </w:r>
      <w:r w:rsidR="00EB3174">
        <w:rPr>
          <w:rFonts w:cstheme="minorHAnsi"/>
        </w:rPr>
        <w:t xml:space="preserve">positive </w:t>
      </w:r>
      <w:r w:rsidR="00BF5699">
        <w:rPr>
          <w:rFonts w:cstheme="minorHAnsi"/>
        </w:rPr>
        <w:t xml:space="preserve">outcomes from </w:t>
      </w:r>
      <w:r w:rsidR="00EB3174">
        <w:rPr>
          <w:rFonts w:cstheme="minorHAnsi"/>
        </w:rPr>
        <w:t xml:space="preserve">BIs with </w:t>
      </w:r>
      <w:r w:rsidR="00566665">
        <w:rPr>
          <w:rFonts w:cstheme="minorHAnsi"/>
        </w:rPr>
        <w:t xml:space="preserve">young </w:t>
      </w:r>
      <w:r w:rsidR="00EB3174">
        <w:rPr>
          <w:rFonts w:cstheme="minorHAnsi"/>
        </w:rPr>
        <w:t xml:space="preserve">drug users </w:t>
      </w:r>
      <w:r w:rsidR="00566665">
        <w:rPr>
          <w:rFonts w:cstheme="minorHAnsi"/>
        </w:rPr>
        <w:t xml:space="preserve">not previously in touch with SMS </w:t>
      </w:r>
      <w:r w:rsidR="00EB3174">
        <w:rPr>
          <w:rFonts w:cstheme="minorHAnsi"/>
        </w:rPr>
        <w:t>(</w:t>
      </w:r>
      <w:r w:rsidR="00680E3A" w:rsidRPr="00EB3174">
        <w:rPr>
          <w:rFonts w:cstheme="minorHAnsi"/>
        </w:rPr>
        <w:t>Bernstein et al</w:t>
      </w:r>
      <w:r w:rsidR="00BF669A">
        <w:rPr>
          <w:rFonts w:cstheme="minorHAnsi"/>
        </w:rPr>
        <w:t>, 2009</w:t>
      </w:r>
      <w:r w:rsidR="00680E3A" w:rsidRPr="00EB3174">
        <w:rPr>
          <w:rFonts w:cstheme="minorHAnsi"/>
        </w:rPr>
        <w:t xml:space="preserve">) </w:t>
      </w:r>
      <w:r w:rsidR="00EB3174" w:rsidRPr="00EB3174">
        <w:rPr>
          <w:rFonts w:cstheme="minorHAnsi"/>
        </w:rPr>
        <w:t xml:space="preserve">and </w:t>
      </w:r>
      <w:r w:rsidR="00566665">
        <w:rPr>
          <w:rFonts w:cstheme="minorHAnsi"/>
        </w:rPr>
        <w:t xml:space="preserve">the continuation of impact </w:t>
      </w:r>
      <w:r w:rsidR="00EB3174" w:rsidRPr="00EB3174">
        <w:rPr>
          <w:rFonts w:cstheme="minorHAnsi"/>
        </w:rPr>
        <w:t>several months after BI (</w:t>
      </w:r>
      <w:proofErr w:type="spellStart"/>
      <w:r w:rsidR="00EB3174" w:rsidRPr="00EB3174">
        <w:rPr>
          <w:rFonts w:cstheme="minorHAnsi"/>
        </w:rPr>
        <w:t>Bertholet</w:t>
      </w:r>
      <w:proofErr w:type="spellEnd"/>
      <w:r w:rsidR="00EB3174" w:rsidRPr="00EB3174">
        <w:rPr>
          <w:rFonts w:cstheme="minorHAnsi"/>
        </w:rPr>
        <w:t xml:space="preserve"> et al, 2020)</w:t>
      </w:r>
      <w:r w:rsidR="000B43B5" w:rsidRPr="00EB3174">
        <w:rPr>
          <w:rFonts w:cstheme="minorHAnsi"/>
        </w:rPr>
        <w:t>.</w:t>
      </w:r>
      <w:r w:rsidR="0074382F" w:rsidRPr="006C24F9">
        <w:rPr>
          <w:rFonts w:cstheme="minorHAnsi"/>
        </w:rPr>
        <w:t xml:space="preserve"> </w:t>
      </w:r>
    </w:p>
    <w:p w14:paraId="6122F1CA" w14:textId="545CBDB7" w:rsidR="00B37F8D" w:rsidRPr="006C24F9" w:rsidRDefault="00B37F8D" w:rsidP="006C24F9">
      <w:pPr>
        <w:rPr>
          <w:rFonts w:cstheme="minorHAnsi"/>
        </w:rPr>
      </w:pPr>
    </w:p>
    <w:p w14:paraId="04E6EC54" w14:textId="1376D1CE" w:rsidR="002C6D06" w:rsidRPr="006C24F9" w:rsidRDefault="002C6D06" w:rsidP="006C24F9">
      <w:pPr>
        <w:rPr>
          <w:rFonts w:cstheme="minorHAnsi"/>
        </w:rPr>
      </w:pPr>
      <w:r w:rsidRPr="006C24F9">
        <w:rPr>
          <w:rFonts w:cstheme="minorHAnsi"/>
        </w:rPr>
        <w:t xml:space="preserve">[Chart </w:t>
      </w:r>
      <w:r w:rsidR="007C7DE7" w:rsidRPr="006C24F9">
        <w:rPr>
          <w:rFonts w:cstheme="minorHAnsi"/>
        </w:rPr>
        <w:t>2</w:t>
      </w:r>
      <w:r w:rsidRPr="006C24F9">
        <w:rPr>
          <w:rFonts w:cstheme="minorHAnsi"/>
        </w:rPr>
        <w:t xml:space="preserve"> about here]</w:t>
      </w:r>
    </w:p>
    <w:p w14:paraId="1592B1CE" w14:textId="107377D4" w:rsidR="00B37F8D" w:rsidRDefault="00B37F8D" w:rsidP="006C24F9">
      <w:pPr>
        <w:rPr>
          <w:rFonts w:cstheme="minorHAnsi"/>
        </w:rPr>
      </w:pPr>
    </w:p>
    <w:p w14:paraId="60785700" w14:textId="0B14EF48" w:rsidR="0074382F" w:rsidRPr="006C24F9" w:rsidRDefault="000975D8" w:rsidP="006C24F9">
      <w:pPr>
        <w:rPr>
          <w:rFonts w:cstheme="minorHAnsi"/>
          <w:i/>
        </w:rPr>
      </w:pPr>
      <w:r>
        <w:rPr>
          <w:rFonts w:cstheme="minorHAnsi"/>
          <w:i/>
        </w:rPr>
        <w:t xml:space="preserve">Ongoing </w:t>
      </w:r>
      <w:r w:rsidR="002641B1">
        <w:rPr>
          <w:rFonts w:cstheme="minorHAnsi"/>
          <w:i/>
        </w:rPr>
        <w:t>b</w:t>
      </w:r>
      <w:r w:rsidR="00765439">
        <w:rPr>
          <w:rFonts w:cstheme="minorHAnsi"/>
          <w:i/>
        </w:rPr>
        <w:t xml:space="preserve">ehavioural </w:t>
      </w:r>
      <w:r w:rsidR="002641B1">
        <w:rPr>
          <w:rFonts w:cstheme="minorHAnsi"/>
          <w:i/>
        </w:rPr>
        <w:t>c</w:t>
      </w:r>
      <w:r w:rsidR="00765439">
        <w:rPr>
          <w:rFonts w:cstheme="minorHAnsi"/>
          <w:i/>
        </w:rPr>
        <w:t>hange</w:t>
      </w:r>
    </w:p>
    <w:p w14:paraId="6F2AC40E" w14:textId="77777777" w:rsidR="001E5F90" w:rsidRDefault="001E5F90" w:rsidP="006C24F9">
      <w:pPr>
        <w:rPr>
          <w:rFonts w:cstheme="minorHAnsi"/>
        </w:rPr>
      </w:pPr>
    </w:p>
    <w:p w14:paraId="7D659552" w14:textId="696FD5B5" w:rsidR="00BA2883" w:rsidRDefault="003D6579" w:rsidP="00BA2883">
      <w:pPr>
        <w:rPr>
          <w:rFonts w:cstheme="minorHAnsi"/>
        </w:rPr>
      </w:pPr>
      <w:r>
        <w:rPr>
          <w:rFonts w:cstheme="minorHAnsi"/>
        </w:rPr>
        <w:t xml:space="preserve">Nearly two thirds (63.8%, n=83) of </w:t>
      </w:r>
      <w:r w:rsidR="00A973F4" w:rsidRPr="006C24F9">
        <w:rPr>
          <w:rFonts w:cstheme="minorHAnsi"/>
        </w:rPr>
        <w:t xml:space="preserve">follow-up </w:t>
      </w:r>
      <w:r w:rsidR="00262F04">
        <w:rPr>
          <w:rFonts w:cstheme="minorHAnsi"/>
        </w:rPr>
        <w:t xml:space="preserve">respondents </w:t>
      </w:r>
      <w:r>
        <w:rPr>
          <w:rFonts w:cstheme="minorHAnsi"/>
        </w:rPr>
        <w:t xml:space="preserve">reported </w:t>
      </w:r>
      <w:r w:rsidR="00AA13C1">
        <w:rPr>
          <w:rFonts w:cstheme="minorHAnsi"/>
        </w:rPr>
        <w:t>ongoing</w:t>
      </w:r>
      <w:r w:rsidR="00065A26" w:rsidRPr="006C24F9">
        <w:rPr>
          <w:rFonts w:cstheme="minorHAnsi"/>
        </w:rPr>
        <w:t xml:space="preserve"> changes to </w:t>
      </w:r>
      <w:r w:rsidR="00AA13C1">
        <w:rPr>
          <w:rFonts w:cstheme="minorHAnsi"/>
        </w:rPr>
        <w:t xml:space="preserve">their </w:t>
      </w:r>
      <w:r w:rsidR="00065A26" w:rsidRPr="006C24F9">
        <w:rPr>
          <w:rFonts w:cstheme="minorHAnsi"/>
        </w:rPr>
        <w:t xml:space="preserve">drug-related behaviours </w:t>
      </w:r>
      <w:r w:rsidR="00AA13C1">
        <w:rPr>
          <w:rFonts w:cstheme="minorHAnsi"/>
        </w:rPr>
        <w:t xml:space="preserve">in the </w:t>
      </w:r>
      <w:r w:rsidR="00A37034">
        <w:rPr>
          <w:rFonts w:cstheme="minorHAnsi"/>
        </w:rPr>
        <w:t xml:space="preserve">three </w:t>
      </w:r>
      <w:r w:rsidR="00AA13C1">
        <w:rPr>
          <w:rFonts w:cstheme="minorHAnsi"/>
        </w:rPr>
        <w:t xml:space="preserve">months </w:t>
      </w:r>
      <w:r w:rsidR="00D47024">
        <w:rPr>
          <w:rFonts w:cstheme="minorHAnsi"/>
        </w:rPr>
        <w:t xml:space="preserve">afterwards </w:t>
      </w:r>
      <w:r w:rsidR="00055816">
        <w:rPr>
          <w:rFonts w:cstheme="minorHAnsi"/>
        </w:rPr>
        <w:t>that they attribute</w:t>
      </w:r>
      <w:r w:rsidR="006C68C9">
        <w:rPr>
          <w:rFonts w:cstheme="minorHAnsi"/>
        </w:rPr>
        <w:t>d</w:t>
      </w:r>
      <w:r w:rsidR="00055816">
        <w:rPr>
          <w:rFonts w:cstheme="minorHAnsi"/>
        </w:rPr>
        <w:t xml:space="preserve"> to </w:t>
      </w:r>
      <w:r w:rsidR="00AA13C1">
        <w:rPr>
          <w:rFonts w:cstheme="minorHAnsi"/>
        </w:rPr>
        <w:t>th</w:t>
      </w:r>
      <w:r w:rsidR="00B56A41">
        <w:rPr>
          <w:rFonts w:cstheme="minorHAnsi"/>
        </w:rPr>
        <w:t>eir BI</w:t>
      </w:r>
      <w:r w:rsidR="00194E7A" w:rsidRPr="006C24F9">
        <w:rPr>
          <w:rFonts w:cstheme="minorHAnsi"/>
        </w:rPr>
        <w:t xml:space="preserve">. </w:t>
      </w:r>
      <w:r w:rsidR="006F19F0" w:rsidRPr="006C24F9">
        <w:rPr>
          <w:rFonts w:cstheme="minorHAnsi"/>
        </w:rPr>
        <w:t xml:space="preserve">Care is required in </w:t>
      </w:r>
      <w:r w:rsidR="004D3F00" w:rsidRPr="006C24F9">
        <w:rPr>
          <w:rFonts w:cstheme="minorHAnsi"/>
        </w:rPr>
        <w:t xml:space="preserve">consideration of </w:t>
      </w:r>
      <w:r w:rsidR="006F19F0" w:rsidRPr="006C24F9">
        <w:rPr>
          <w:rFonts w:cstheme="minorHAnsi"/>
        </w:rPr>
        <w:t>such findings</w:t>
      </w:r>
      <w:r w:rsidR="006C68C9">
        <w:rPr>
          <w:rFonts w:cstheme="minorHAnsi"/>
        </w:rPr>
        <w:t>, however,</w:t>
      </w:r>
      <w:r w:rsidR="006F19F0" w:rsidRPr="006C24F9">
        <w:rPr>
          <w:rFonts w:cstheme="minorHAnsi"/>
        </w:rPr>
        <w:t xml:space="preserve"> </w:t>
      </w:r>
      <w:r w:rsidR="001569AE">
        <w:rPr>
          <w:rFonts w:cstheme="minorHAnsi"/>
        </w:rPr>
        <w:t xml:space="preserve">because </w:t>
      </w:r>
      <w:r w:rsidR="006F19F0" w:rsidRPr="006C24F9">
        <w:rPr>
          <w:rFonts w:cstheme="minorHAnsi"/>
        </w:rPr>
        <w:t xml:space="preserve">festival </w:t>
      </w:r>
      <w:r w:rsidR="00EC7725" w:rsidRPr="006C24F9">
        <w:rPr>
          <w:rFonts w:cstheme="minorHAnsi"/>
        </w:rPr>
        <w:t xml:space="preserve">drug </w:t>
      </w:r>
      <w:r w:rsidR="006F19F0" w:rsidRPr="006C24F9">
        <w:rPr>
          <w:rFonts w:cstheme="minorHAnsi"/>
        </w:rPr>
        <w:t xml:space="preserve">use may not </w:t>
      </w:r>
      <w:r w:rsidR="004D3F00" w:rsidRPr="006C24F9">
        <w:rPr>
          <w:rFonts w:cstheme="minorHAnsi"/>
        </w:rPr>
        <w:t xml:space="preserve">be representative of </w:t>
      </w:r>
      <w:r w:rsidR="00EC7725" w:rsidRPr="006C24F9">
        <w:rPr>
          <w:rFonts w:cstheme="minorHAnsi"/>
        </w:rPr>
        <w:t xml:space="preserve">consumption patterns </w:t>
      </w:r>
      <w:r w:rsidR="006F19F0" w:rsidRPr="006C24F9">
        <w:rPr>
          <w:rFonts w:cstheme="minorHAnsi"/>
        </w:rPr>
        <w:t xml:space="preserve">outside </w:t>
      </w:r>
      <w:r w:rsidR="00EC7725" w:rsidRPr="006C24F9">
        <w:rPr>
          <w:rFonts w:cstheme="minorHAnsi"/>
        </w:rPr>
        <w:t xml:space="preserve">of </w:t>
      </w:r>
      <w:r w:rsidR="006F19F0" w:rsidRPr="006C24F9">
        <w:rPr>
          <w:rFonts w:cstheme="minorHAnsi"/>
        </w:rPr>
        <w:t>festival</w:t>
      </w:r>
      <w:r w:rsidR="00EC7725" w:rsidRPr="006C24F9">
        <w:rPr>
          <w:rFonts w:cstheme="minorHAnsi"/>
        </w:rPr>
        <w:t xml:space="preserve"> settings</w:t>
      </w:r>
      <w:r w:rsidR="006F19F0" w:rsidRPr="006C24F9">
        <w:rPr>
          <w:rFonts w:cstheme="minorHAnsi"/>
        </w:rPr>
        <w:t xml:space="preserve"> and </w:t>
      </w:r>
      <w:r w:rsidR="00225067" w:rsidRPr="006C24F9">
        <w:rPr>
          <w:rFonts w:cstheme="minorHAnsi"/>
        </w:rPr>
        <w:t xml:space="preserve">any </w:t>
      </w:r>
      <w:r w:rsidR="006F19F0" w:rsidRPr="006C24F9">
        <w:rPr>
          <w:rFonts w:cstheme="minorHAnsi"/>
        </w:rPr>
        <w:t xml:space="preserve">changes cannot </w:t>
      </w:r>
      <w:r w:rsidR="00225067" w:rsidRPr="006C24F9">
        <w:rPr>
          <w:rFonts w:cstheme="minorHAnsi"/>
        </w:rPr>
        <w:t xml:space="preserve">necessarily </w:t>
      </w:r>
      <w:r w:rsidR="006F19F0" w:rsidRPr="006C24F9">
        <w:rPr>
          <w:rFonts w:cstheme="minorHAnsi"/>
        </w:rPr>
        <w:t xml:space="preserve">be </w:t>
      </w:r>
      <w:r w:rsidR="00055816">
        <w:rPr>
          <w:rFonts w:cstheme="minorHAnsi"/>
        </w:rPr>
        <w:t xml:space="preserve">causally </w:t>
      </w:r>
      <w:r w:rsidR="006F19F0" w:rsidRPr="006C24F9">
        <w:rPr>
          <w:rFonts w:cstheme="minorHAnsi"/>
        </w:rPr>
        <w:t xml:space="preserve">attributed to </w:t>
      </w:r>
      <w:r w:rsidR="00A973F4" w:rsidRPr="006C24F9">
        <w:rPr>
          <w:rFonts w:cstheme="minorHAnsi"/>
        </w:rPr>
        <w:t>the BI</w:t>
      </w:r>
      <w:r w:rsidR="006C68C9">
        <w:rPr>
          <w:rFonts w:cstheme="minorHAnsi"/>
        </w:rPr>
        <w:t>. I</w:t>
      </w:r>
      <w:r w:rsidR="00682560">
        <w:rPr>
          <w:rFonts w:cstheme="minorHAnsi"/>
        </w:rPr>
        <w:t>ndeed</w:t>
      </w:r>
      <w:r w:rsidR="00D746BC" w:rsidRPr="00D746BC">
        <w:rPr>
          <w:rFonts w:cstheme="minorHAnsi"/>
        </w:rPr>
        <w:t>, in response to questions about specific elements of post-festival behaviour change</w:t>
      </w:r>
      <w:r w:rsidR="00D746BC">
        <w:rPr>
          <w:rFonts w:cstheme="minorHAnsi"/>
        </w:rPr>
        <w:t>,</w:t>
      </w:r>
      <w:r w:rsidR="00D746BC" w:rsidRPr="00D746BC">
        <w:rPr>
          <w:rFonts w:cstheme="minorHAnsi"/>
        </w:rPr>
        <w:t xml:space="preserve"> </w:t>
      </w:r>
      <w:r w:rsidR="00FF027A">
        <w:rPr>
          <w:rFonts w:cstheme="minorHAnsi"/>
        </w:rPr>
        <w:t>one</w:t>
      </w:r>
      <w:r w:rsidR="004D3F00" w:rsidRPr="006C24F9">
        <w:rPr>
          <w:rFonts w:cstheme="minorHAnsi"/>
        </w:rPr>
        <w:t xml:space="preserve"> in six </w:t>
      </w:r>
      <w:r w:rsidR="00FA0468" w:rsidRPr="006C24F9">
        <w:rPr>
          <w:rFonts w:cstheme="minorHAnsi"/>
        </w:rPr>
        <w:t xml:space="preserve">follow-up </w:t>
      </w:r>
      <w:r w:rsidR="004D3F00" w:rsidRPr="006C24F9">
        <w:rPr>
          <w:rFonts w:cstheme="minorHAnsi"/>
        </w:rPr>
        <w:t>respondents (</w:t>
      </w:r>
      <w:r w:rsidR="006F5D52">
        <w:rPr>
          <w:rFonts w:cstheme="minorHAnsi"/>
        </w:rPr>
        <w:t xml:space="preserve">15.7%, </w:t>
      </w:r>
      <w:r w:rsidR="004D3F00" w:rsidRPr="006C24F9">
        <w:rPr>
          <w:rFonts w:cstheme="minorHAnsi"/>
        </w:rPr>
        <w:t>n=</w:t>
      </w:r>
      <w:r w:rsidR="004D3F00" w:rsidRPr="006C24F9">
        <w:rPr>
          <w:rFonts w:cstheme="minorHAnsi"/>
          <w:color w:val="000000" w:themeColor="text1"/>
        </w:rPr>
        <w:t xml:space="preserve">20) </w:t>
      </w:r>
      <w:r w:rsidR="004D3F00" w:rsidRPr="006C24F9">
        <w:rPr>
          <w:rFonts w:cstheme="minorHAnsi"/>
        </w:rPr>
        <w:t>report</w:t>
      </w:r>
      <w:r w:rsidR="00682560">
        <w:rPr>
          <w:rFonts w:cstheme="minorHAnsi"/>
        </w:rPr>
        <w:t xml:space="preserve">ed not </w:t>
      </w:r>
      <w:r w:rsidR="006F5D52">
        <w:rPr>
          <w:rFonts w:cstheme="minorHAnsi"/>
        </w:rPr>
        <w:t xml:space="preserve">taking </w:t>
      </w:r>
      <w:r w:rsidR="004D3F00" w:rsidRPr="006C24F9">
        <w:rPr>
          <w:rFonts w:cstheme="minorHAnsi"/>
        </w:rPr>
        <w:t xml:space="preserve">drugs in the </w:t>
      </w:r>
      <w:r w:rsidR="00D7264C">
        <w:rPr>
          <w:rFonts w:cstheme="minorHAnsi"/>
        </w:rPr>
        <w:t>three months</w:t>
      </w:r>
      <w:r w:rsidR="006C68C9">
        <w:rPr>
          <w:rFonts w:cstheme="minorHAnsi"/>
        </w:rPr>
        <w:t xml:space="preserve"> </w:t>
      </w:r>
      <w:r w:rsidR="004D3F00" w:rsidRPr="006C24F9">
        <w:rPr>
          <w:rFonts w:cstheme="minorHAnsi"/>
        </w:rPr>
        <w:t>since the festival</w:t>
      </w:r>
      <w:r w:rsidR="00A37034">
        <w:rPr>
          <w:rFonts w:cstheme="minorHAnsi"/>
        </w:rPr>
        <w:t xml:space="preserve"> (see Chart 3)</w:t>
      </w:r>
      <w:r w:rsidR="004D3F00" w:rsidRPr="006C24F9">
        <w:rPr>
          <w:rFonts w:cstheme="minorHAnsi"/>
        </w:rPr>
        <w:t xml:space="preserve">. </w:t>
      </w:r>
      <w:r w:rsidR="00333117" w:rsidRPr="006C24F9">
        <w:rPr>
          <w:rFonts w:cstheme="minorHAnsi"/>
        </w:rPr>
        <w:t>N</w:t>
      </w:r>
      <w:r w:rsidR="00123903" w:rsidRPr="006C24F9">
        <w:rPr>
          <w:rFonts w:cstheme="minorHAnsi"/>
        </w:rPr>
        <w:t xml:space="preserve">evertheless, </w:t>
      </w:r>
      <w:r w:rsidR="00AE7986">
        <w:rPr>
          <w:rFonts w:cstheme="minorHAnsi"/>
        </w:rPr>
        <w:t xml:space="preserve">only </w:t>
      </w:r>
      <w:r w:rsidR="000F0911">
        <w:rPr>
          <w:rFonts w:cstheme="minorHAnsi"/>
        </w:rPr>
        <w:t>ten follow-up respondents (</w:t>
      </w:r>
      <w:r w:rsidR="00AE7986">
        <w:rPr>
          <w:rFonts w:cstheme="minorHAnsi"/>
        </w:rPr>
        <w:t>7.9%</w:t>
      </w:r>
      <w:r w:rsidR="000F0911">
        <w:rPr>
          <w:rFonts w:cstheme="minorHAnsi"/>
        </w:rPr>
        <w:t>)</w:t>
      </w:r>
      <w:r w:rsidR="005452F4" w:rsidRPr="005452F4">
        <w:rPr>
          <w:rFonts w:cstheme="minorHAnsi"/>
        </w:rPr>
        <w:t xml:space="preserve"> </w:t>
      </w:r>
      <w:r w:rsidR="00AE7986">
        <w:rPr>
          <w:rFonts w:cstheme="minorHAnsi"/>
        </w:rPr>
        <w:t xml:space="preserve">reported </w:t>
      </w:r>
      <w:r w:rsidR="005452F4">
        <w:rPr>
          <w:rFonts w:cstheme="minorHAnsi"/>
        </w:rPr>
        <w:t xml:space="preserve">that </w:t>
      </w:r>
      <w:r w:rsidR="005452F4" w:rsidRPr="005452F4">
        <w:rPr>
          <w:rFonts w:cstheme="minorHAnsi"/>
        </w:rPr>
        <w:t xml:space="preserve">the drug checking service had </w:t>
      </w:r>
      <w:r w:rsidR="005452F4">
        <w:rPr>
          <w:rFonts w:cstheme="minorHAnsi"/>
        </w:rPr>
        <w:t xml:space="preserve">no </w:t>
      </w:r>
      <w:r w:rsidR="00AB258C">
        <w:rPr>
          <w:rFonts w:cstheme="minorHAnsi"/>
        </w:rPr>
        <w:t xml:space="preserve">subsequent </w:t>
      </w:r>
      <w:r w:rsidR="005452F4">
        <w:rPr>
          <w:rFonts w:cstheme="minorHAnsi"/>
        </w:rPr>
        <w:t>impact on their drug</w:t>
      </w:r>
      <w:r w:rsidR="00AB258C">
        <w:rPr>
          <w:rFonts w:cstheme="minorHAnsi"/>
        </w:rPr>
        <w:t>-related behaviours</w:t>
      </w:r>
      <w:r w:rsidR="005452F4">
        <w:rPr>
          <w:rFonts w:cstheme="minorHAnsi"/>
        </w:rPr>
        <w:t>.</w:t>
      </w:r>
      <w:r w:rsidR="005452F4" w:rsidRPr="005452F4">
        <w:rPr>
          <w:rFonts w:cstheme="minorHAnsi"/>
        </w:rPr>
        <w:t xml:space="preserve"> </w:t>
      </w:r>
      <w:r w:rsidR="003D3112">
        <w:rPr>
          <w:rFonts w:cstheme="minorHAnsi"/>
        </w:rPr>
        <w:t>N</w:t>
      </w:r>
      <w:r w:rsidR="006C3266">
        <w:rPr>
          <w:rFonts w:cstheme="minorHAnsi"/>
        </w:rPr>
        <w:t xml:space="preserve">early </w:t>
      </w:r>
      <w:r w:rsidR="00BA2883" w:rsidRPr="006C24F9">
        <w:rPr>
          <w:rFonts w:cstheme="minorHAnsi"/>
        </w:rPr>
        <w:t>one third (</w:t>
      </w:r>
      <w:r w:rsidR="00AE7986">
        <w:rPr>
          <w:rFonts w:cstheme="minorHAnsi"/>
        </w:rPr>
        <w:t xml:space="preserve">32.3%, </w:t>
      </w:r>
      <w:r w:rsidR="00BA2883" w:rsidRPr="006C24F9">
        <w:rPr>
          <w:rFonts w:cstheme="minorHAnsi"/>
        </w:rPr>
        <w:t xml:space="preserve">n=41) </w:t>
      </w:r>
      <w:r>
        <w:rPr>
          <w:rFonts w:cstheme="minorHAnsi"/>
        </w:rPr>
        <w:t xml:space="preserve">reported continuing to be </w:t>
      </w:r>
      <w:r w:rsidR="00BA2883" w:rsidRPr="006C24F9">
        <w:rPr>
          <w:rFonts w:cstheme="minorHAnsi"/>
        </w:rPr>
        <w:t xml:space="preserve">more </w:t>
      </w:r>
      <w:r w:rsidR="00BA2883">
        <w:rPr>
          <w:rFonts w:cstheme="minorHAnsi"/>
        </w:rPr>
        <w:t>cautious</w:t>
      </w:r>
      <w:r w:rsidR="00BA2883" w:rsidRPr="006C24F9">
        <w:rPr>
          <w:rFonts w:cstheme="minorHAnsi"/>
        </w:rPr>
        <w:t xml:space="preserve"> about </w:t>
      </w:r>
      <w:r w:rsidR="00590379">
        <w:rPr>
          <w:rFonts w:cstheme="minorHAnsi"/>
        </w:rPr>
        <w:t>poly</w:t>
      </w:r>
      <w:r w:rsidR="00BA2883">
        <w:rPr>
          <w:rFonts w:cstheme="minorHAnsi"/>
        </w:rPr>
        <w:t>drug</w:t>
      </w:r>
      <w:r w:rsidR="00590379">
        <w:rPr>
          <w:rFonts w:cstheme="minorHAnsi"/>
        </w:rPr>
        <w:t xml:space="preserve"> u</w:t>
      </w:r>
      <w:r w:rsidR="00BA2883">
        <w:rPr>
          <w:rFonts w:cstheme="minorHAnsi"/>
        </w:rPr>
        <w:t>s</w:t>
      </w:r>
      <w:r w:rsidR="00590379">
        <w:rPr>
          <w:rFonts w:cstheme="minorHAnsi"/>
        </w:rPr>
        <w:t>e</w:t>
      </w:r>
      <w:r w:rsidR="00B97835">
        <w:rPr>
          <w:rFonts w:cstheme="minorHAnsi"/>
        </w:rPr>
        <w:t xml:space="preserve">, over a quarter </w:t>
      </w:r>
      <w:r>
        <w:rPr>
          <w:rFonts w:cstheme="minorHAnsi"/>
        </w:rPr>
        <w:t>continu</w:t>
      </w:r>
      <w:r w:rsidR="00A36CDC">
        <w:rPr>
          <w:rFonts w:cstheme="minorHAnsi"/>
        </w:rPr>
        <w:t>ed</w:t>
      </w:r>
      <w:r>
        <w:rPr>
          <w:rFonts w:cstheme="minorHAnsi"/>
        </w:rPr>
        <w:t xml:space="preserve"> to be </w:t>
      </w:r>
      <w:r w:rsidR="00B97835">
        <w:rPr>
          <w:rFonts w:cstheme="minorHAnsi"/>
        </w:rPr>
        <w:t>less likely to buy drugs off strangers (26.8%, n=34)</w:t>
      </w:r>
      <w:r w:rsidR="00BA2883">
        <w:rPr>
          <w:rFonts w:cstheme="minorHAnsi"/>
        </w:rPr>
        <w:t xml:space="preserve"> </w:t>
      </w:r>
      <w:r w:rsidR="00BA2883" w:rsidRPr="006C24F9">
        <w:rPr>
          <w:rFonts w:cstheme="minorHAnsi"/>
        </w:rPr>
        <w:t>and one fifth (</w:t>
      </w:r>
      <w:r w:rsidR="00AE7986">
        <w:rPr>
          <w:rFonts w:cstheme="minorHAnsi"/>
        </w:rPr>
        <w:t xml:space="preserve">19.7%, </w:t>
      </w:r>
      <w:r w:rsidR="00BA2883" w:rsidRPr="006C24F9">
        <w:rPr>
          <w:rFonts w:cstheme="minorHAnsi"/>
        </w:rPr>
        <w:t xml:space="preserve">n=25) </w:t>
      </w:r>
      <w:r>
        <w:rPr>
          <w:rFonts w:cstheme="minorHAnsi"/>
        </w:rPr>
        <w:t>continu</w:t>
      </w:r>
      <w:r w:rsidR="00365C7E">
        <w:rPr>
          <w:rFonts w:cstheme="minorHAnsi"/>
        </w:rPr>
        <w:t>ed</w:t>
      </w:r>
      <w:r>
        <w:rPr>
          <w:rFonts w:cstheme="minorHAnsi"/>
        </w:rPr>
        <w:t xml:space="preserve"> to take </w:t>
      </w:r>
      <w:r w:rsidR="00BA2883" w:rsidRPr="006C24F9">
        <w:rPr>
          <w:rFonts w:cstheme="minorHAnsi"/>
        </w:rPr>
        <w:t xml:space="preserve">smaller doses. </w:t>
      </w:r>
      <w:r w:rsidR="00AC6F54">
        <w:rPr>
          <w:rFonts w:cstheme="minorHAnsi"/>
        </w:rPr>
        <w:t>Continued l</w:t>
      </w:r>
      <w:r w:rsidR="00BA2883">
        <w:rPr>
          <w:rFonts w:cstheme="minorHAnsi"/>
        </w:rPr>
        <w:t xml:space="preserve">owered dosage is </w:t>
      </w:r>
      <w:r>
        <w:rPr>
          <w:rFonts w:cstheme="minorHAnsi"/>
        </w:rPr>
        <w:t xml:space="preserve">a </w:t>
      </w:r>
      <w:r w:rsidR="00BA2883">
        <w:rPr>
          <w:rFonts w:cstheme="minorHAnsi"/>
        </w:rPr>
        <w:t xml:space="preserve">particularly valuable </w:t>
      </w:r>
      <w:r>
        <w:rPr>
          <w:rFonts w:cstheme="minorHAnsi"/>
        </w:rPr>
        <w:t xml:space="preserve">outcome </w:t>
      </w:r>
      <w:r w:rsidR="00BA2883">
        <w:rPr>
          <w:rFonts w:cstheme="minorHAnsi"/>
        </w:rPr>
        <w:t xml:space="preserve">in the </w:t>
      </w:r>
      <w:r w:rsidR="007B118E">
        <w:rPr>
          <w:rFonts w:cstheme="minorHAnsi"/>
        </w:rPr>
        <w:t xml:space="preserve">UK </w:t>
      </w:r>
      <w:r w:rsidR="00BA2883">
        <w:rPr>
          <w:rFonts w:cstheme="minorHAnsi"/>
        </w:rPr>
        <w:t xml:space="preserve">context of </w:t>
      </w:r>
      <w:r w:rsidR="001009DE">
        <w:rPr>
          <w:rFonts w:cstheme="minorHAnsi"/>
        </w:rPr>
        <w:t xml:space="preserve">record </w:t>
      </w:r>
      <w:r w:rsidR="007B118E">
        <w:rPr>
          <w:rFonts w:cstheme="minorHAnsi"/>
        </w:rPr>
        <w:t xml:space="preserve">high </w:t>
      </w:r>
      <w:r w:rsidR="00BA2883">
        <w:rPr>
          <w:rFonts w:cstheme="minorHAnsi"/>
        </w:rPr>
        <w:t xml:space="preserve">DRDs </w:t>
      </w:r>
      <w:r w:rsidR="00B8777C">
        <w:rPr>
          <w:rFonts w:cstheme="minorHAnsi"/>
        </w:rPr>
        <w:t xml:space="preserve">(ONS, 2020) </w:t>
      </w:r>
      <w:r w:rsidR="00BA2883">
        <w:rPr>
          <w:rFonts w:cstheme="minorHAnsi"/>
        </w:rPr>
        <w:t xml:space="preserve">and </w:t>
      </w:r>
      <w:r w:rsidR="001009DE">
        <w:rPr>
          <w:rFonts w:cstheme="minorHAnsi"/>
        </w:rPr>
        <w:t xml:space="preserve">their </w:t>
      </w:r>
      <w:r w:rsidR="00AC6F54">
        <w:rPr>
          <w:rFonts w:cstheme="minorHAnsi"/>
        </w:rPr>
        <w:t>association with</w:t>
      </w:r>
      <w:r w:rsidR="00BA2883">
        <w:rPr>
          <w:rFonts w:cstheme="minorHAnsi"/>
        </w:rPr>
        <w:t xml:space="preserve"> </w:t>
      </w:r>
      <w:r w:rsidR="001009DE">
        <w:rPr>
          <w:rFonts w:cstheme="minorHAnsi"/>
        </w:rPr>
        <w:t xml:space="preserve">record high strength </w:t>
      </w:r>
      <w:r w:rsidR="00BA2883">
        <w:rPr>
          <w:rFonts w:cstheme="minorHAnsi"/>
        </w:rPr>
        <w:t>cocaine and MDMA pills.</w:t>
      </w:r>
      <w:r w:rsidR="00DF6850">
        <w:rPr>
          <w:rFonts w:cstheme="minorHAnsi"/>
        </w:rPr>
        <w:t xml:space="preserve"> </w:t>
      </w:r>
      <w:r w:rsidR="002169BE">
        <w:rPr>
          <w:rFonts w:cstheme="minorHAnsi"/>
        </w:rPr>
        <w:t xml:space="preserve">Ongoing increased caution towards </w:t>
      </w:r>
      <w:r w:rsidR="00DF6850">
        <w:rPr>
          <w:rFonts w:cstheme="minorHAnsi"/>
        </w:rPr>
        <w:t xml:space="preserve">polydrug use </w:t>
      </w:r>
      <w:r w:rsidR="00DF6850" w:rsidRPr="00DF6850">
        <w:rPr>
          <w:rFonts w:cstheme="minorHAnsi"/>
        </w:rPr>
        <w:t xml:space="preserve">is </w:t>
      </w:r>
      <w:r w:rsidR="00BF3B6D">
        <w:rPr>
          <w:rFonts w:cstheme="minorHAnsi"/>
        </w:rPr>
        <w:t xml:space="preserve">also </w:t>
      </w:r>
      <w:r w:rsidR="002169BE">
        <w:rPr>
          <w:rFonts w:cstheme="minorHAnsi"/>
        </w:rPr>
        <w:t>of value for this demographic</w:t>
      </w:r>
      <w:r w:rsidR="003D0557">
        <w:rPr>
          <w:rFonts w:cstheme="minorHAnsi"/>
        </w:rPr>
        <w:t>,</w:t>
      </w:r>
      <w:r w:rsidR="00DF6850">
        <w:rPr>
          <w:rFonts w:cstheme="minorHAnsi"/>
        </w:rPr>
        <w:t xml:space="preserve"> </w:t>
      </w:r>
      <w:r w:rsidR="00DF6850" w:rsidRPr="00DF6850">
        <w:rPr>
          <w:rFonts w:cstheme="minorHAnsi"/>
        </w:rPr>
        <w:t xml:space="preserve">given </w:t>
      </w:r>
      <w:r w:rsidR="00C43ACE">
        <w:rPr>
          <w:rFonts w:cstheme="minorHAnsi"/>
        </w:rPr>
        <w:t xml:space="preserve">that </w:t>
      </w:r>
      <w:r w:rsidR="002169BE">
        <w:rPr>
          <w:rFonts w:cstheme="minorHAnsi"/>
        </w:rPr>
        <w:t xml:space="preserve">DRDs </w:t>
      </w:r>
      <w:r w:rsidR="00296108">
        <w:rPr>
          <w:rFonts w:cstheme="minorHAnsi"/>
        </w:rPr>
        <w:t>can</w:t>
      </w:r>
      <w:r w:rsidR="007B118E">
        <w:rPr>
          <w:rFonts w:cstheme="minorHAnsi"/>
        </w:rPr>
        <w:t xml:space="preserve"> occur when </w:t>
      </w:r>
      <w:r w:rsidR="00DF6850" w:rsidRPr="00DF6850">
        <w:rPr>
          <w:rFonts w:cstheme="minorHAnsi"/>
        </w:rPr>
        <w:t xml:space="preserve">two contraindicated drugs </w:t>
      </w:r>
      <w:r w:rsidR="00C47ACE">
        <w:rPr>
          <w:rFonts w:cstheme="minorHAnsi"/>
        </w:rPr>
        <w:t xml:space="preserve">are consumed </w:t>
      </w:r>
      <w:r w:rsidR="00DF6850" w:rsidRPr="00DF6850">
        <w:rPr>
          <w:rFonts w:cstheme="minorHAnsi"/>
        </w:rPr>
        <w:t xml:space="preserve">in relatively small but fatal amounts </w:t>
      </w:r>
      <w:r w:rsidR="00C47ACE">
        <w:rPr>
          <w:rFonts w:cstheme="minorHAnsi"/>
        </w:rPr>
        <w:t xml:space="preserve">in festival settings </w:t>
      </w:r>
      <w:r w:rsidR="00DF6850" w:rsidRPr="00DF6850">
        <w:rPr>
          <w:rFonts w:cstheme="minorHAnsi"/>
        </w:rPr>
        <w:t>(</w:t>
      </w:r>
      <w:proofErr w:type="spellStart"/>
      <w:r w:rsidR="00202807">
        <w:rPr>
          <w:rFonts w:cstheme="minorHAnsi"/>
        </w:rPr>
        <w:t>eg.</w:t>
      </w:r>
      <w:proofErr w:type="spellEnd"/>
      <w:r w:rsidR="00202807">
        <w:rPr>
          <w:rFonts w:cstheme="minorHAnsi"/>
        </w:rPr>
        <w:t xml:space="preserve"> </w:t>
      </w:r>
      <w:r w:rsidR="00DF6850" w:rsidRPr="00DF6850">
        <w:rPr>
          <w:rFonts w:cstheme="minorHAnsi"/>
        </w:rPr>
        <w:t>Guardian, 2014).</w:t>
      </w:r>
    </w:p>
    <w:p w14:paraId="06D4B844" w14:textId="77777777" w:rsidR="00BA2883" w:rsidRDefault="00BA2883" w:rsidP="006C24F9">
      <w:pPr>
        <w:rPr>
          <w:rFonts w:cstheme="minorHAnsi"/>
        </w:rPr>
      </w:pPr>
    </w:p>
    <w:p w14:paraId="1C7F58A9" w14:textId="3D58D0E4" w:rsidR="00A37034" w:rsidRDefault="00FB7F15" w:rsidP="006C24F9">
      <w:pPr>
        <w:rPr>
          <w:rFonts w:cstheme="minorHAnsi"/>
        </w:rPr>
      </w:pPr>
      <w:r>
        <w:rPr>
          <w:rFonts w:cstheme="minorHAnsi"/>
        </w:rPr>
        <w:t xml:space="preserve">There </w:t>
      </w:r>
      <w:r w:rsidR="00365C7E">
        <w:rPr>
          <w:rFonts w:cstheme="minorHAnsi"/>
        </w:rPr>
        <w:t xml:space="preserve">was </w:t>
      </w:r>
      <w:r>
        <w:rPr>
          <w:rFonts w:cstheme="minorHAnsi"/>
        </w:rPr>
        <w:t xml:space="preserve">also ongoing </w:t>
      </w:r>
      <w:r w:rsidR="00365C7E">
        <w:rPr>
          <w:rFonts w:cstheme="minorHAnsi"/>
        </w:rPr>
        <w:t xml:space="preserve">additional </w:t>
      </w:r>
      <w:r>
        <w:rPr>
          <w:rFonts w:cstheme="minorHAnsi"/>
        </w:rPr>
        <w:t>engagement in conversations about drugs and drug safety</w:t>
      </w:r>
      <w:r w:rsidR="007B118E" w:rsidRPr="007B118E">
        <w:rPr>
          <w:rFonts w:cstheme="minorHAnsi"/>
        </w:rPr>
        <w:t xml:space="preserve"> </w:t>
      </w:r>
      <w:r w:rsidR="007B118E">
        <w:rPr>
          <w:rFonts w:cstheme="minorHAnsi"/>
        </w:rPr>
        <w:t>three months after BI</w:t>
      </w:r>
      <w:r>
        <w:rPr>
          <w:rFonts w:cstheme="minorHAnsi"/>
        </w:rPr>
        <w:t xml:space="preserve">. </w:t>
      </w:r>
      <w:r w:rsidR="00BA7557">
        <w:rPr>
          <w:rFonts w:cstheme="minorHAnsi"/>
        </w:rPr>
        <w:t xml:space="preserve">Over two in five </w:t>
      </w:r>
      <w:r w:rsidR="00C47ACE">
        <w:rPr>
          <w:rFonts w:cstheme="minorHAnsi"/>
        </w:rPr>
        <w:t xml:space="preserve">follow-up respondents </w:t>
      </w:r>
      <w:r w:rsidR="00375401">
        <w:rPr>
          <w:rFonts w:cstheme="minorHAnsi"/>
        </w:rPr>
        <w:t xml:space="preserve">(42.5%, n=54) </w:t>
      </w:r>
      <w:r w:rsidR="00BA7557">
        <w:rPr>
          <w:rFonts w:cstheme="minorHAnsi"/>
        </w:rPr>
        <w:t>continue</w:t>
      </w:r>
      <w:r>
        <w:rPr>
          <w:rFonts w:cstheme="minorHAnsi"/>
        </w:rPr>
        <w:t>d</w:t>
      </w:r>
      <w:r w:rsidR="00BA7557">
        <w:rPr>
          <w:rFonts w:cstheme="minorHAnsi"/>
        </w:rPr>
        <w:t xml:space="preserve"> to talk </w:t>
      </w:r>
      <w:r w:rsidR="00BA7557" w:rsidRPr="00A37034">
        <w:rPr>
          <w:rFonts w:cstheme="minorHAnsi"/>
        </w:rPr>
        <w:t>more with friends and acquaintances about drug contents</w:t>
      </w:r>
      <w:r w:rsidR="00365C7E">
        <w:rPr>
          <w:rFonts w:cstheme="minorHAnsi"/>
        </w:rPr>
        <w:t>,</w:t>
      </w:r>
      <w:r w:rsidR="00BA7557">
        <w:rPr>
          <w:rFonts w:cstheme="minorHAnsi"/>
        </w:rPr>
        <w:t xml:space="preserve"> nearly two in five </w:t>
      </w:r>
      <w:r w:rsidR="00CA3A99">
        <w:rPr>
          <w:rFonts w:cstheme="minorHAnsi"/>
        </w:rPr>
        <w:t xml:space="preserve">(38.6%, 49) </w:t>
      </w:r>
      <w:r>
        <w:rPr>
          <w:rFonts w:cstheme="minorHAnsi"/>
        </w:rPr>
        <w:t>continued trying</w:t>
      </w:r>
      <w:r w:rsidR="00BA7557">
        <w:rPr>
          <w:rFonts w:cstheme="minorHAnsi"/>
        </w:rPr>
        <w:t xml:space="preserve"> </w:t>
      </w:r>
      <w:r w:rsidR="00BA7557" w:rsidRPr="00A37034">
        <w:rPr>
          <w:rFonts w:cstheme="minorHAnsi"/>
        </w:rPr>
        <w:t xml:space="preserve">to find out more information about </w:t>
      </w:r>
      <w:r w:rsidR="00BF3B6D">
        <w:rPr>
          <w:rFonts w:cstheme="minorHAnsi"/>
        </w:rPr>
        <w:t>drugs</w:t>
      </w:r>
      <w:r w:rsidR="00426E6B">
        <w:rPr>
          <w:rFonts w:cstheme="minorHAnsi"/>
        </w:rPr>
        <w:t>,</w:t>
      </w:r>
      <w:r w:rsidR="00365C7E">
        <w:rPr>
          <w:rFonts w:cstheme="minorHAnsi"/>
        </w:rPr>
        <w:t xml:space="preserve"> and o</w:t>
      </w:r>
      <w:r w:rsidR="00BA2883">
        <w:rPr>
          <w:rFonts w:cstheme="minorHAnsi"/>
        </w:rPr>
        <w:t xml:space="preserve">ver a third </w:t>
      </w:r>
      <w:r w:rsidR="004E17E3">
        <w:rPr>
          <w:rFonts w:cstheme="minorHAnsi"/>
        </w:rPr>
        <w:t xml:space="preserve">(34.6%, n=44) </w:t>
      </w:r>
      <w:r w:rsidR="00BA2883">
        <w:rPr>
          <w:rFonts w:cstheme="minorHAnsi"/>
        </w:rPr>
        <w:t xml:space="preserve">reported </w:t>
      </w:r>
      <w:r w:rsidR="00F76C89">
        <w:rPr>
          <w:rFonts w:cstheme="minorHAnsi"/>
        </w:rPr>
        <w:t xml:space="preserve">continuing to </w:t>
      </w:r>
      <w:r w:rsidR="00BA2883">
        <w:rPr>
          <w:rFonts w:cstheme="minorHAnsi"/>
        </w:rPr>
        <w:t>follow the NGO’s social media alerts and associated harm reduction advice</w:t>
      </w:r>
      <w:r>
        <w:rPr>
          <w:rFonts w:cstheme="minorHAnsi"/>
        </w:rPr>
        <w:t>.</w:t>
      </w:r>
      <w:r w:rsidR="00A37034" w:rsidRPr="00A37034">
        <w:rPr>
          <w:rFonts w:cstheme="minorHAnsi"/>
        </w:rPr>
        <w:t xml:space="preserve"> </w:t>
      </w:r>
    </w:p>
    <w:p w14:paraId="66E4A6BF" w14:textId="5AAF3B8B" w:rsidR="00722A74" w:rsidRPr="006C24F9" w:rsidRDefault="00722A74" w:rsidP="006C24F9">
      <w:pPr>
        <w:rPr>
          <w:rFonts w:cstheme="minorHAnsi"/>
        </w:rPr>
      </w:pPr>
    </w:p>
    <w:p w14:paraId="01EED488" w14:textId="6CBF0F58" w:rsidR="0074382F" w:rsidRPr="006C24F9" w:rsidRDefault="00284114" w:rsidP="006C24F9">
      <w:pPr>
        <w:rPr>
          <w:rFonts w:cstheme="minorHAnsi"/>
        </w:rPr>
      </w:pPr>
      <w:r w:rsidRPr="006C24F9">
        <w:rPr>
          <w:rFonts w:cstheme="minorHAnsi"/>
        </w:rPr>
        <w:t xml:space="preserve">In terms of service user feedback, </w:t>
      </w:r>
      <w:r w:rsidR="005B73ED">
        <w:rPr>
          <w:rFonts w:cstheme="minorHAnsi"/>
        </w:rPr>
        <w:t xml:space="preserve">over nine in ten </w:t>
      </w:r>
      <w:r w:rsidR="005B73ED" w:rsidRPr="006C24F9">
        <w:rPr>
          <w:rFonts w:cstheme="minorHAnsi"/>
        </w:rPr>
        <w:t>(92.3%</w:t>
      </w:r>
      <w:r w:rsidR="005B73ED">
        <w:rPr>
          <w:rFonts w:cstheme="minorHAnsi"/>
        </w:rPr>
        <w:t>,</w:t>
      </w:r>
      <w:r w:rsidR="005B73ED" w:rsidRPr="006C24F9">
        <w:rPr>
          <w:rFonts w:cstheme="minorHAnsi"/>
        </w:rPr>
        <w:t xml:space="preserve"> n=120) </w:t>
      </w:r>
      <w:r w:rsidRPr="006C24F9">
        <w:rPr>
          <w:rFonts w:cstheme="minorHAnsi"/>
        </w:rPr>
        <w:t xml:space="preserve">follow-up </w:t>
      </w:r>
      <w:r w:rsidR="00262F04">
        <w:rPr>
          <w:rFonts w:cstheme="minorHAnsi"/>
        </w:rPr>
        <w:t xml:space="preserve">respondents </w:t>
      </w:r>
      <w:r w:rsidRPr="006C24F9">
        <w:rPr>
          <w:rFonts w:cstheme="minorHAnsi"/>
        </w:rPr>
        <w:t xml:space="preserve">strongly agreed with the statement that they would use the NGO’s drug checking service again and the same number strongly agreed that they would be happy to recommend the NGO’s drug checking service to a friend. </w:t>
      </w:r>
      <w:r w:rsidR="006B7380" w:rsidRPr="006C24F9">
        <w:rPr>
          <w:rFonts w:cstheme="minorHAnsi"/>
        </w:rPr>
        <w:t xml:space="preserve">Nearly three quarters </w:t>
      </w:r>
      <w:r w:rsidR="004E3091">
        <w:rPr>
          <w:rFonts w:cstheme="minorHAnsi"/>
        </w:rPr>
        <w:t xml:space="preserve">were </w:t>
      </w:r>
      <w:r w:rsidR="0074382F" w:rsidRPr="006C24F9">
        <w:rPr>
          <w:rFonts w:cstheme="minorHAnsi"/>
        </w:rPr>
        <w:t xml:space="preserve">more likely to look out for festivals offering drug </w:t>
      </w:r>
      <w:r w:rsidR="00FD01B9" w:rsidRPr="006C24F9">
        <w:rPr>
          <w:rFonts w:cstheme="minorHAnsi"/>
        </w:rPr>
        <w:t xml:space="preserve">checking </w:t>
      </w:r>
      <w:r w:rsidR="0074382F" w:rsidRPr="006C24F9">
        <w:rPr>
          <w:rFonts w:cstheme="minorHAnsi"/>
        </w:rPr>
        <w:t>in future</w:t>
      </w:r>
      <w:r w:rsidR="004B1CD8" w:rsidRPr="006C24F9">
        <w:rPr>
          <w:rFonts w:cstheme="minorHAnsi"/>
        </w:rPr>
        <w:t>.</w:t>
      </w:r>
      <w:r w:rsidR="007105FA" w:rsidRPr="006C24F9">
        <w:rPr>
          <w:rFonts w:cstheme="minorHAnsi"/>
        </w:rPr>
        <w:t xml:space="preserve"> </w:t>
      </w:r>
    </w:p>
    <w:p w14:paraId="3633990A" w14:textId="77777777" w:rsidR="007077CF" w:rsidRPr="006C24F9" w:rsidRDefault="007077CF" w:rsidP="007077CF">
      <w:pPr>
        <w:rPr>
          <w:rFonts w:cstheme="minorHAnsi"/>
        </w:rPr>
      </w:pPr>
    </w:p>
    <w:p w14:paraId="7482E3AE" w14:textId="011DBF27" w:rsidR="007077CF" w:rsidRPr="006C24F9" w:rsidRDefault="007077CF" w:rsidP="007077CF">
      <w:pPr>
        <w:rPr>
          <w:rFonts w:cstheme="minorHAnsi"/>
        </w:rPr>
      </w:pPr>
      <w:r w:rsidRPr="006C24F9">
        <w:rPr>
          <w:rFonts w:cstheme="minorHAnsi"/>
        </w:rPr>
        <w:t>[</w:t>
      </w:r>
      <w:r w:rsidR="00CD3953">
        <w:rPr>
          <w:rFonts w:cstheme="minorHAnsi"/>
        </w:rPr>
        <w:t xml:space="preserve">Chart 3 </w:t>
      </w:r>
      <w:r w:rsidRPr="006C24F9">
        <w:rPr>
          <w:rFonts w:cstheme="minorHAnsi"/>
        </w:rPr>
        <w:t>about here]</w:t>
      </w:r>
    </w:p>
    <w:p w14:paraId="765F8A17" w14:textId="77777777" w:rsidR="002E0C3E" w:rsidRDefault="002E0C3E" w:rsidP="002E0C3E">
      <w:pPr>
        <w:rPr>
          <w:rFonts w:cstheme="minorHAnsi"/>
        </w:rPr>
      </w:pPr>
    </w:p>
    <w:p w14:paraId="48DF72D2" w14:textId="5C099AFF" w:rsidR="00155F2E" w:rsidRPr="006C24F9" w:rsidRDefault="009142C2" w:rsidP="006C24F9">
      <w:pPr>
        <w:rPr>
          <w:rFonts w:cstheme="minorHAnsi"/>
          <w:b/>
        </w:rPr>
      </w:pPr>
      <w:r>
        <w:rPr>
          <w:rFonts w:cstheme="minorHAnsi"/>
          <w:b/>
        </w:rPr>
        <w:t>Discussion</w:t>
      </w:r>
    </w:p>
    <w:p w14:paraId="7200CBED" w14:textId="77777777" w:rsidR="003D49CC" w:rsidRPr="00825BAE" w:rsidRDefault="003D49CC" w:rsidP="003D49CC">
      <w:pPr>
        <w:rPr>
          <w:rFonts w:cstheme="minorHAnsi"/>
        </w:rPr>
      </w:pPr>
    </w:p>
    <w:p w14:paraId="239C39F0" w14:textId="51C1BE24" w:rsidR="003D49CC" w:rsidRPr="00825BAE" w:rsidRDefault="003D49CC" w:rsidP="003D49CC">
      <w:pPr>
        <w:rPr>
          <w:rFonts w:cstheme="minorHAnsi"/>
        </w:rPr>
      </w:pPr>
      <w:r w:rsidRPr="00825BAE">
        <w:rPr>
          <w:rFonts w:cstheme="minorHAnsi"/>
        </w:rPr>
        <w:t>UK festivals provide a unique opportunity to engage large numbers of young adult drug users not previously in touch with healthcare or SMS</w:t>
      </w:r>
      <w:r w:rsidR="00134995">
        <w:rPr>
          <w:rFonts w:cstheme="minorHAnsi"/>
        </w:rPr>
        <w:t xml:space="preserve"> at point of consumption</w:t>
      </w:r>
      <w:r w:rsidRPr="00825BAE">
        <w:rPr>
          <w:rFonts w:cstheme="minorHAnsi"/>
        </w:rPr>
        <w:t xml:space="preserve"> and </w:t>
      </w:r>
      <w:r w:rsidR="00134995">
        <w:rPr>
          <w:rFonts w:cstheme="minorHAnsi"/>
        </w:rPr>
        <w:t xml:space="preserve">to </w:t>
      </w:r>
      <w:r w:rsidRPr="00825BAE">
        <w:rPr>
          <w:rFonts w:cstheme="minorHAnsi"/>
        </w:rPr>
        <w:t xml:space="preserve">create new routes into services. Rapid testing of substances of concern in circulation in local drug markets provides ‘real time’ information to inform polydrug BIs, risk </w:t>
      </w:r>
      <w:r w:rsidR="00134995">
        <w:rPr>
          <w:rFonts w:cstheme="minorHAnsi"/>
        </w:rPr>
        <w:t>communications</w:t>
      </w:r>
      <w:r w:rsidRPr="00825BAE">
        <w:rPr>
          <w:rFonts w:cstheme="minorHAnsi"/>
        </w:rPr>
        <w:t xml:space="preserve">, </w:t>
      </w:r>
      <w:r w:rsidR="00134995">
        <w:rPr>
          <w:rFonts w:cstheme="minorHAnsi"/>
        </w:rPr>
        <w:t xml:space="preserve">alerts and </w:t>
      </w:r>
      <w:r w:rsidRPr="00825BAE">
        <w:rPr>
          <w:rFonts w:cstheme="minorHAnsi"/>
        </w:rPr>
        <w:t xml:space="preserve">trend monitoring. </w:t>
      </w:r>
    </w:p>
    <w:p w14:paraId="3B6762F6" w14:textId="77777777" w:rsidR="003D49CC" w:rsidRPr="00825BAE" w:rsidRDefault="003D49CC" w:rsidP="003D49CC">
      <w:pPr>
        <w:rPr>
          <w:rFonts w:cstheme="minorHAnsi"/>
        </w:rPr>
      </w:pPr>
    </w:p>
    <w:p w14:paraId="084C48BE" w14:textId="008A7137" w:rsidR="003D49CC" w:rsidRPr="00825BAE" w:rsidRDefault="003D49CC" w:rsidP="003D49CC">
      <w:pPr>
        <w:rPr>
          <w:rFonts w:cstheme="minorHAnsi"/>
        </w:rPr>
      </w:pPr>
      <w:r w:rsidRPr="00825BAE">
        <w:rPr>
          <w:rFonts w:cstheme="minorHAnsi"/>
        </w:rPr>
        <w:t xml:space="preserve">This study </w:t>
      </w:r>
      <w:r w:rsidR="00134995">
        <w:rPr>
          <w:rFonts w:cstheme="minorHAnsi"/>
        </w:rPr>
        <w:t xml:space="preserve">compares data collected at </w:t>
      </w:r>
      <w:r w:rsidRPr="00825BAE">
        <w:rPr>
          <w:rFonts w:cstheme="minorHAnsi"/>
        </w:rPr>
        <w:t>point</w:t>
      </w:r>
      <w:r w:rsidR="00FF3382" w:rsidRPr="00825BAE">
        <w:rPr>
          <w:rFonts w:cstheme="minorHAnsi"/>
        </w:rPr>
        <w:t xml:space="preserve"> of BI</w:t>
      </w:r>
      <w:r w:rsidRPr="00825BAE">
        <w:rPr>
          <w:rFonts w:cstheme="minorHAnsi"/>
        </w:rPr>
        <w:t xml:space="preserve"> </w:t>
      </w:r>
      <w:r w:rsidR="00134995">
        <w:rPr>
          <w:rFonts w:cstheme="minorHAnsi"/>
        </w:rPr>
        <w:t xml:space="preserve">with </w:t>
      </w:r>
      <w:r w:rsidRPr="00825BAE">
        <w:rPr>
          <w:rFonts w:cstheme="minorHAnsi"/>
        </w:rPr>
        <w:t xml:space="preserve">the first known drug checking follow-up survey. The study found no statistically significant differences between </w:t>
      </w:r>
      <w:r w:rsidR="00245774">
        <w:rPr>
          <w:rFonts w:cstheme="minorHAnsi"/>
        </w:rPr>
        <w:t>nine</w:t>
      </w:r>
      <w:r w:rsidRPr="00825BAE">
        <w:rPr>
          <w:rFonts w:cstheme="minorHAnsi"/>
        </w:rPr>
        <w:t xml:space="preserve"> </w:t>
      </w:r>
      <w:r w:rsidR="00245774">
        <w:rPr>
          <w:rFonts w:cstheme="minorHAnsi"/>
        </w:rPr>
        <w:t xml:space="preserve">measures </w:t>
      </w:r>
      <w:r w:rsidRPr="00825BAE">
        <w:rPr>
          <w:rFonts w:cstheme="minorHAnsi"/>
        </w:rPr>
        <w:t xml:space="preserve">recorded at BI and </w:t>
      </w:r>
      <w:r w:rsidR="00245774">
        <w:rPr>
          <w:rFonts w:cstheme="minorHAnsi"/>
        </w:rPr>
        <w:t xml:space="preserve">recollected </w:t>
      </w:r>
      <w:r w:rsidRPr="00825BAE">
        <w:rPr>
          <w:rFonts w:cstheme="minorHAnsi"/>
        </w:rPr>
        <w:t>over three months later</w:t>
      </w:r>
      <w:r w:rsidR="00354F98">
        <w:rPr>
          <w:rFonts w:cstheme="minorHAnsi"/>
        </w:rPr>
        <w:t xml:space="preserve">, </w:t>
      </w:r>
      <w:r w:rsidRPr="00825BAE">
        <w:rPr>
          <w:rFonts w:cstheme="minorHAnsi"/>
        </w:rPr>
        <w:t xml:space="preserve">suggesting that intentions </w:t>
      </w:r>
      <w:r w:rsidR="00245774">
        <w:rPr>
          <w:rFonts w:cstheme="minorHAnsi"/>
        </w:rPr>
        <w:t xml:space="preserve">may </w:t>
      </w:r>
      <w:r w:rsidR="00BB66E6">
        <w:rPr>
          <w:rFonts w:cstheme="minorHAnsi"/>
        </w:rPr>
        <w:t xml:space="preserve">predict </w:t>
      </w:r>
      <w:r w:rsidRPr="00825BAE">
        <w:rPr>
          <w:rFonts w:cstheme="minorHAnsi"/>
        </w:rPr>
        <w:t>outcomes for this service user group (</w:t>
      </w:r>
      <w:r w:rsidR="009B0F1E">
        <w:rPr>
          <w:rFonts w:cstheme="minorHAnsi"/>
        </w:rPr>
        <w:t>al</w:t>
      </w:r>
      <w:r w:rsidRPr="00825BAE">
        <w:rPr>
          <w:rFonts w:cstheme="minorHAnsi"/>
        </w:rPr>
        <w:t xml:space="preserve">though this may depend on the relationships established at </w:t>
      </w:r>
      <w:r w:rsidR="00FF3382" w:rsidRPr="00825BAE">
        <w:rPr>
          <w:rFonts w:cstheme="minorHAnsi"/>
        </w:rPr>
        <w:t>BI</w:t>
      </w:r>
      <w:r w:rsidRPr="00825BAE">
        <w:rPr>
          <w:rFonts w:cstheme="minorHAnsi"/>
        </w:rPr>
        <w:t xml:space="preserve">). </w:t>
      </w:r>
    </w:p>
    <w:p w14:paraId="718F5E89" w14:textId="77777777" w:rsidR="003D49CC" w:rsidRPr="00825BAE" w:rsidRDefault="003D49CC" w:rsidP="003D49CC">
      <w:pPr>
        <w:rPr>
          <w:rFonts w:cstheme="minorHAnsi"/>
        </w:rPr>
      </w:pPr>
    </w:p>
    <w:p w14:paraId="242AB2D8" w14:textId="71564911" w:rsidR="003D49CC" w:rsidRPr="00825BAE" w:rsidRDefault="003D49CC" w:rsidP="003D49CC">
      <w:pPr>
        <w:rPr>
          <w:rFonts w:cstheme="minorHAnsi"/>
        </w:rPr>
      </w:pPr>
      <w:r w:rsidRPr="00825BAE">
        <w:rPr>
          <w:rFonts w:cstheme="minorHAnsi"/>
        </w:rPr>
        <w:t>Outcomes were predominantly positive</w:t>
      </w:r>
      <w:r w:rsidR="009A3843">
        <w:rPr>
          <w:rFonts w:cstheme="minorHAnsi"/>
        </w:rPr>
        <w:t>. O</w:t>
      </w:r>
      <w:r w:rsidRPr="00825BAE">
        <w:rPr>
          <w:rFonts w:cstheme="minorHAnsi"/>
        </w:rPr>
        <w:t xml:space="preserve">ver half of service users at BI and follow-up </w:t>
      </w:r>
      <w:r w:rsidR="00354F98">
        <w:rPr>
          <w:rFonts w:cstheme="minorHAnsi"/>
        </w:rPr>
        <w:t xml:space="preserve">destroyed or </w:t>
      </w:r>
      <w:r w:rsidR="00BB45E5">
        <w:rPr>
          <w:rFonts w:cstheme="minorHAnsi"/>
        </w:rPr>
        <w:t xml:space="preserve">disposed of </w:t>
      </w:r>
      <w:r w:rsidR="00A010BB">
        <w:rPr>
          <w:rFonts w:cstheme="minorHAnsi"/>
        </w:rPr>
        <w:t xml:space="preserve">further </w:t>
      </w:r>
      <w:r w:rsidRPr="00825BAE">
        <w:rPr>
          <w:rFonts w:cstheme="minorHAnsi"/>
        </w:rPr>
        <w:t>substances of concern if other than expecte</w:t>
      </w:r>
      <w:r w:rsidR="00B1392E">
        <w:rPr>
          <w:rFonts w:cstheme="minorHAnsi"/>
        </w:rPr>
        <w:t>d,</w:t>
      </w:r>
      <w:r w:rsidR="009A3843">
        <w:rPr>
          <w:rFonts w:cstheme="minorHAnsi"/>
        </w:rPr>
        <w:t xml:space="preserve"> </w:t>
      </w:r>
      <w:r w:rsidR="00201D64">
        <w:rPr>
          <w:rFonts w:cstheme="minorHAnsi"/>
        </w:rPr>
        <w:t>illustrat</w:t>
      </w:r>
      <w:r w:rsidR="00737877">
        <w:rPr>
          <w:rFonts w:cstheme="minorHAnsi"/>
        </w:rPr>
        <w:t>ing</w:t>
      </w:r>
      <w:r w:rsidR="00201D64">
        <w:rPr>
          <w:rFonts w:cstheme="minorHAnsi"/>
        </w:rPr>
        <w:t xml:space="preserve"> how drug checking </w:t>
      </w:r>
      <w:r w:rsidR="00A13559">
        <w:rPr>
          <w:rFonts w:cstheme="minorHAnsi"/>
        </w:rPr>
        <w:t xml:space="preserve">potentially </w:t>
      </w:r>
      <w:r w:rsidR="00B3559F">
        <w:rPr>
          <w:rFonts w:cstheme="minorHAnsi"/>
        </w:rPr>
        <w:t>could</w:t>
      </w:r>
      <w:r w:rsidR="00A13559">
        <w:rPr>
          <w:rFonts w:cstheme="minorHAnsi"/>
        </w:rPr>
        <w:t xml:space="preserve"> </w:t>
      </w:r>
      <w:r w:rsidR="00AE4651">
        <w:rPr>
          <w:rFonts w:cstheme="minorHAnsi"/>
        </w:rPr>
        <w:t xml:space="preserve">reduce the risk of poisoning from </w:t>
      </w:r>
      <w:r w:rsidR="009A3843">
        <w:rPr>
          <w:rFonts w:cstheme="minorHAnsi"/>
        </w:rPr>
        <w:t>harmful substances</w:t>
      </w:r>
      <w:r w:rsidRPr="00825BAE">
        <w:rPr>
          <w:rFonts w:cstheme="minorHAnsi"/>
        </w:rPr>
        <w:t xml:space="preserve">. This </w:t>
      </w:r>
      <w:r w:rsidR="00737877">
        <w:rPr>
          <w:rFonts w:cstheme="minorHAnsi"/>
        </w:rPr>
        <w:t xml:space="preserve">finding </w:t>
      </w:r>
      <w:r w:rsidR="004D0EB1">
        <w:rPr>
          <w:rFonts w:cstheme="minorHAnsi"/>
        </w:rPr>
        <w:t xml:space="preserve">supports </w:t>
      </w:r>
      <w:r w:rsidRPr="00825BAE">
        <w:rPr>
          <w:rFonts w:cstheme="minorHAnsi"/>
        </w:rPr>
        <w:t>other drug checking evaluations</w:t>
      </w:r>
      <w:r w:rsidR="00737877">
        <w:rPr>
          <w:rFonts w:cstheme="minorHAnsi"/>
        </w:rPr>
        <w:t xml:space="preserve"> on disposals</w:t>
      </w:r>
      <w:r w:rsidRPr="00825BAE">
        <w:rPr>
          <w:rFonts w:cstheme="minorHAnsi"/>
        </w:rPr>
        <w:t xml:space="preserve"> (</w:t>
      </w:r>
      <w:proofErr w:type="spellStart"/>
      <w:r w:rsidRPr="00825BAE">
        <w:rPr>
          <w:rFonts w:cstheme="minorHAnsi"/>
        </w:rPr>
        <w:t>Benschop</w:t>
      </w:r>
      <w:proofErr w:type="spellEnd"/>
      <w:r w:rsidRPr="00825BAE">
        <w:rPr>
          <w:rFonts w:cstheme="minorHAnsi"/>
        </w:rPr>
        <w:t xml:space="preserve"> et al, 2002; Martins et al, 2017; </w:t>
      </w:r>
      <w:proofErr w:type="spellStart"/>
      <w:r w:rsidRPr="00825BAE">
        <w:rPr>
          <w:rFonts w:cstheme="minorHAnsi"/>
        </w:rPr>
        <w:t>Michelow</w:t>
      </w:r>
      <w:proofErr w:type="spellEnd"/>
      <w:r w:rsidRPr="00825BAE">
        <w:rPr>
          <w:rFonts w:cstheme="minorHAnsi"/>
        </w:rPr>
        <w:t xml:space="preserve"> and Dowden, 2015; Valente et al 2019)</w:t>
      </w:r>
      <w:r w:rsidR="00B1392E">
        <w:rPr>
          <w:rFonts w:cstheme="minorHAnsi"/>
        </w:rPr>
        <w:t>,</w:t>
      </w:r>
      <w:r w:rsidRPr="00825BAE">
        <w:rPr>
          <w:rFonts w:cstheme="minorHAnsi"/>
        </w:rPr>
        <w:t xml:space="preserve"> </w:t>
      </w:r>
      <w:r w:rsidR="00737877">
        <w:rPr>
          <w:rFonts w:cstheme="minorHAnsi"/>
        </w:rPr>
        <w:t xml:space="preserve">endorses </w:t>
      </w:r>
      <w:r w:rsidR="002839A9">
        <w:rPr>
          <w:rFonts w:cstheme="minorHAnsi"/>
        </w:rPr>
        <w:t xml:space="preserve">the provision </w:t>
      </w:r>
      <w:r w:rsidRPr="00825BAE">
        <w:rPr>
          <w:rFonts w:cstheme="minorHAnsi"/>
        </w:rPr>
        <w:t>of safe disposal facilities within drug checking services</w:t>
      </w:r>
      <w:r w:rsidR="00B317D2">
        <w:rPr>
          <w:rFonts w:cstheme="minorHAnsi"/>
        </w:rPr>
        <w:t xml:space="preserve"> and the additional opportunity for independent verification of disposals</w:t>
      </w:r>
      <w:r w:rsidRPr="00825BAE">
        <w:rPr>
          <w:rFonts w:cstheme="minorHAnsi"/>
        </w:rPr>
        <w:t xml:space="preserve">. Large proportions of service users </w:t>
      </w:r>
      <w:r w:rsidR="009A3843">
        <w:rPr>
          <w:rFonts w:cstheme="minorHAnsi"/>
        </w:rPr>
        <w:t xml:space="preserve">at BI and follow-up </w:t>
      </w:r>
      <w:r w:rsidRPr="00825BAE">
        <w:rPr>
          <w:rFonts w:cstheme="minorHAnsi"/>
        </w:rPr>
        <w:t xml:space="preserve">also reported </w:t>
      </w:r>
      <w:r w:rsidR="00FF3382" w:rsidRPr="00825BAE">
        <w:rPr>
          <w:rFonts w:cstheme="minorHAnsi"/>
        </w:rPr>
        <w:t>reduc</w:t>
      </w:r>
      <w:r w:rsidR="007B29B4">
        <w:rPr>
          <w:rFonts w:cstheme="minorHAnsi"/>
        </w:rPr>
        <w:t>ing</w:t>
      </w:r>
      <w:r w:rsidR="00FF3382" w:rsidRPr="00825BAE">
        <w:rPr>
          <w:rFonts w:cstheme="minorHAnsi"/>
        </w:rPr>
        <w:t xml:space="preserve"> dosage </w:t>
      </w:r>
      <w:r w:rsidR="000F5404">
        <w:rPr>
          <w:rFonts w:cstheme="minorHAnsi"/>
        </w:rPr>
        <w:t xml:space="preserve">and </w:t>
      </w:r>
      <w:r w:rsidR="00FF3382" w:rsidRPr="00825BAE">
        <w:rPr>
          <w:rFonts w:cstheme="minorHAnsi"/>
        </w:rPr>
        <w:t>extend</w:t>
      </w:r>
      <w:r w:rsidR="007B29B4">
        <w:rPr>
          <w:rFonts w:cstheme="minorHAnsi"/>
        </w:rPr>
        <w:t>ing</w:t>
      </w:r>
      <w:r w:rsidR="00FF3382" w:rsidRPr="00825BAE">
        <w:rPr>
          <w:rFonts w:cstheme="minorHAnsi"/>
        </w:rPr>
        <w:t xml:space="preserve"> consumption </w:t>
      </w:r>
      <w:r w:rsidRPr="00825BAE">
        <w:rPr>
          <w:rFonts w:cstheme="minorHAnsi"/>
        </w:rPr>
        <w:t>period</w:t>
      </w:r>
      <w:r w:rsidR="00354F98">
        <w:rPr>
          <w:rFonts w:cstheme="minorHAnsi"/>
        </w:rPr>
        <w:t>s</w:t>
      </w:r>
      <w:r w:rsidR="006B7F06">
        <w:rPr>
          <w:rFonts w:cstheme="minorHAnsi"/>
        </w:rPr>
        <w:t>,</w:t>
      </w:r>
      <w:r w:rsidRPr="00825BAE">
        <w:rPr>
          <w:rFonts w:cstheme="minorHAnsi"/>
        </w:rPr>
        <w:t xml:space="preserve"> </w:t>
      </w:r>
      <w:r w:rsidR="006B7F06">
        <w:rPr>
          <w:rFonts w:cstheme="minorHAnsi"/>
        </w:rPr>
        <w:t xml:space="preserve">illustrating how drug checking potentially </w:t>
      </w:r>
      <w:r w:rsidR="00B3559F">
        <w:rPr>
          <w:rFonts w:cstheme="minorHAnsi"/>
        </w:rPr>
        <w:t>could</w:t>
      </w:r>
      <w:r w:rsidR="006B7F06">
        <w:rPr>
          <w:rFonts w:cstheme="minorHAnsi"/>
        </w:rPr>
        <w:t xml:space="preserve"> </w:t>
      </w:r>
      <w:r w:rsidR="007B29B4">
        <w:rPr>
          <w:rFonts w:cstheme="minorHAnsi"/>
        </w:rPr>
        <w:t>reduce the risk of overdose</w:t>
      </w:r>
      <w:r w:rsidRPr="00825BAE">
        <w:rPr>
          <w:rFonts w:cstheme="minorHAnsi"/>
        </w:rPr>
        <w:t>.</w:t>
      </w:r>
      <w:r w:rsidR="00737877">
        <w:rPr>
          <w:rFonts w:cstheme="minorHAnsi"/>
        </w:rPr>
        <w:t xml:space="preserve"> </w:t>
      </w:r>
    </w:p>
    <w:p w14:paraId="151BD2BA" w14:textId="77777777" w:rsidR="003D49CC" w:rsidRPr="00825BAE" w:rsidRDefault="003D49CC" w:rsidP="003D49CC">
      <w:pPr>
        <w:rPr>
          <w:rFonts w:cstheme="minorHAnsi"/>
        </w:rPr>
      </w:pPr>
    </w:p>
    <w:p w14:paraId="676FDD45" w14:textId="16051A35" w:rsidR="003D49CC" w:rsidRPr="00825BAE" w:rsidRDefault="00AB1B2F" w:rsidP="003D49CC">
      <w:pPr>
        <w:rPr>
          <w:rFonts w:cstheme="minorHAnsi"/>
        </w:rPr>
      </w:pPr>
      <w:r>
        <w:rPr>
          <w:rFonts w:cstheme="minorHAnsi"/>
        </w:rPr>
        <w:t>D</w:t>
      </w:r>
      <w:r w:rsidR="003D49CC" w:rsidRPr="00825BAE">
        <w:rPr>
          <w:rFonts w:cstheme="minorHAnsi"/>
        </w:rPr>
        <w:t xml:space="preserve">issemination of test results </w:t>
      </w:r>
      <w:r w:rsidR="004D0EB1">
        <w:rPr>
          <w:rFonts w:cstheme="minorHAnsi"/>
        </w:rPr>
        <w:t xml:space="preserve">and associated harm reduction advice </w:t>
      </w:r>
      <w:r w:rsidR="003D49CC" w:rsidRPr="00825BAE">
        <w:rPr>
          <w:rFonts w:cstheme="minorHAnsi"/>
        </w:rPr>
        <w:t>at and after events through friendship</w:t>
      </w:r>
      <w:r w:rsidR="004D0EB1">
        <w:rPr>
          <w:rFonts w:cstheme="minorHAnsi"/>
        </w:rPr>
        <w:t xml:space="preserve"> groups,</w:t>
      </w:r>
      <w:r>
        <w:rPr>
          <w:rFonts w:cstheme="minorHAnsi"/>
        </w:rPr>
        <w:t xml:space="preserve"> stakeholder networks</w:t>
      </w:r>
      <w:r w:rsidR="004D0EB1">
        <w:rPr>
          <w:rFonts w:cstheme="minorHAnsi"/>
        </w:rPr>
        <w:t xml:space="preserve">, </w:t>
      </w:r>
      <w:r w:rsidR="00CF1769">
        <w:rPr>
          <w:rFonts w:cstheme="minorHAnsi"/>
        </w:rPr>
        <w:t xml:space="preserve">and </w:t>
      </w:r>
      <w:r w:rsidR="004D0EB1">
        <w:rPr>
          <w:rFonts w:cstheme="minorHAnsi"/>
        </w:rPr>
        <w:t>media and social media</w:t>
      </w:r>
      <w:r w:rsidR="003D49CC" w:rsidRPr="00825BAE">
        <w:rPr>
          <w:rFonts w:cstheme="minorHAnsi"/>
        </w:rPr>
        <w:t xml:space="preserve">, highlight the </w:t>
      </w:r>
      <w:r w:rsidR="004D0EB1">
        <w:rPr>
          <w:rFonts w:cstheme="minorHAnsi"/>
        </w:rPr>
        <w:t xml:space="preserve">potential value </w:t>
      </w:r>
      <w:r w:rsidR="003D49CC" w:rsidRPr="00825BAE">
        <w:rPr>
          <w:rFonts w:cstheme="minorHAnsi"/>
        </w:rPr>
        <w:t>of drug checking beyond service user</w:t>
      </w:r>
      <w:r w:rsidR="00CF1769">
        <w:rPr>
          <w:rFonts w:cstheme="minorHAnsi"/>
        </w:rPr>
        <w:t xml:space="preserve"> groups</w:t>
      </w:r>
      <w:r w:rsidR="003D49CC" w:rsidRPr="00825BAE">
        <w:rPr>
          <w:rFonts w:cstheme="minorHAnsi"/>
        </w:rPr>
        <w:t>, as well as the role of peers and social media in risk communication</w:t>
      </w:r>
      <w:r w:rsidR="00FF3382" w:rsidRPr="00825BAE">
        <w:rPr>
          <w:rFonts w:cstheme="minorHAnsi"/>
        </w:rPr>
        <w:t>s</w:t>
      </w:r>
      <w:r w:rsidR="003D49CC" w:rsidRPr="00825BAE">
        <w:rPr>
          <w:rFonts w:cstheme="minorHAnsi"/>
        </w:rPr>
        <w:t xml:space="preserve"> (DHA/CRF, 2019; Kerr and Tupper, 2017; </w:t>
      </w:r>
      <w:r w:rsidR="00E811DF" w:rsidRPr="00E811DF">
        <w:rPr>
          <w:rFonts w:cstheme="minorHAnsi"/>
        </w:rPr>
        <w:t>Sumnall and Atkinson, 2021</w:t>
      </w:r>
      <w:r w:rsidR="00E811DF">
        <w:rPr>
          <w:rFonts w:cstheme="minorHAnsi"/>
        </w:rPr>
        <w:t xml:space="preserve">; </w:t>
      </w:r>
      <w:r w:rsidR="003D49CC" w:rsidRPr="00825BAE">
        <w:rPr>
          <w:rFonts w:cstheme="minorHAnsi"/>
        </w:rPr>
        <w:t xml:space="preserve">Valente et al, 2019). One in ten service users also reported informing their supplier of substances of concern, supporting </w:t>
      </w:r>
      <w:proofErr w:type="spellStart"/>
      <w:r w:rsidR="003D49CC" w:rsidRPr="00825BAE">
        <w:rPr>
          <w:rFonts w:cstheme="minorHAnsi"/>
        </w:rPr>
        <w:t>Betsos</w:t>
      </w:r>
      <w:proofErr w:type="spellEnd"/>
      <w:r w:rsidR="003D49CC" w:rsidRPr="00825BAE">
        <w:rPr>
          <w:rFonts w:cstheme="minorHAnsi"/>
        </w:rPr>
        <w:t xml:space="preserve"> et </w:t>
      </w:r>
      <w:proofErr w:type="spellStart"/>
      <w:r w:rsidR="003D49CC" w:rsidRPr="00825BAE">
        <w:rPr>
          <w:rFonts w:cstheme="minorHAnsi"/>
        </w:rPr>
        <w:t>al’s</w:t>
      </w:r>
      <w:proofErr w:type="spellEnd"/>
      <w:r w:rsidR="003D49CC" w:rsidRPr="00825BAE">
        <w:rPr>
          <w:rFonts w:cstheme="minorHAnsi"/>
        </w:rPr>
        <w:t xml:space="preserve"> (2021) </w:t>
      </w:r>
      <w:r w:rsidR="00CF1769">
        <w:rPr>
          <w:rFonts w:cstheme="minorHAnsi"/>
        </w:rPr>
        <w:t>suggestion</w:t>
      </w:r>
      <w:r w:rsidR="00FE13F3">
        <w:rPr>
          <w:rFonts w:cstheme="minorHAnsi"/>
        </w:rPr>
        <w:t xml:space="preserve"> </w:t>
      </w:r>
      <w:r w:rsidR="003D49CC" w:rsidRPr="00825BAE">
        <w:rPr>
          <w:rFonts w:cstheme="minorHAnsi"/>
        </w:rPr>
        <w:t xml:space="preserve">that drug checking can </w:t>
      </w:r>
      <w:r w:rsidR="00FF3382" w:rsidRPr="00825BAE">
        <w:rPr>
          <w:rFonts w:cstheme="minorHAnsi"/>
        </w:rPr>
        <w:t xml:space="preserve">create new opportunities for </w:t>
      </w:r>
      <w:r w:rsidR="003D49CC" w:rsidRPr="00825BAE">
        <w:rPr>
          <w:rFonts w:cstheme="minorHAnsi"/>
        </w:rPr>
        <w:t>accountability feedback loop</w:t>
      </w:r>
      <w:r w:rsidR="00FF3382" w:rsidRPr="00825BAE">
        <w:rPr>
          <w:rFonts w:cstheme="minorHAnsi"/>
        </w:rPr>
        <w:t>s</w:t>
      </w:r>
      <w:r w:rsidR="003D49CC" w:rsidRPr="00825BAE">
        <w:rPr>
          <w:rFonts w:cstheme="minorHAnsi"/>
        </w:rPr>
        <w:t xml:space="preserve"> along supply chain</w:t>
      </w:r>
      <w:r w:rsidR="005F5F6D">
        <w:rPr>
          <w:rFonts w:cstheme="minorHAnsi"/>
        </w:rPr>
        <w:t>s</w:t>
      </w:r>
      <w:r w:rsidR="003D49CC" w:rsidRPr="00825BAE">
        <w:rPr>
          <w:rFonts w:cstheme="minorHAnsi"/>
        </w:rPr>
        <w:t>.</w:t>
      </w:r>
    </w:p>
    <w:p w14:paraId="498886A5" w14:textId="77777777" w:rsidR="003D49CC" w:rsidRPr="00825BAE" w:rsidRDefault="003D49CC" w:rsidP="003D49CC">
      <w:pPr>
        <w:rPr>
          <w:rFonts w:cstheme="minorHAnsi"/>
        </w:rPr>
      </w:pPr>
    </w:p>
    <w:p w14:paraId="15A234F8" w14:textId="0B1F00CF" w:rsidR="003D49CC" w:rsidRPr="00825BAE" w:rsidRDefault="003D49CC" w:rsidP="003D49CC">
      <w:pPr>
        <w:rPr>
          <w:rFonts w:cstheme="minorHAnsi"/>
        </w:rPr>
      </w:pPr>
      <w:r w:rsidRPr="00825BAE">
        <w:rPr>
          <w:rFonts w:cstheme="minorHAnsi"/>
        </w:rPr>
        <w:t xml:space="preserve">Whilst relatively small, the follow-up study demonstrates the </w:t>
      </w:r>
      <w:r w:rsidR="00FF3382" w:rsidRPr="00825BAE">
        <w:rPr>
          <w:rFonts w:cstheme="minorHAnsi"/>
        </w:rPr>
        <w:t xml:space="preserve">potential </w:t>
      </w:r>
      <w:r w:rsidRPr="00825BAE">
        <w:rPr>
          <w:rFonts w:cstheme="minorHAnsi"/>
        </w:rPr>
        <w:t>value and methodological feasibility of post</w:t>
      </w:r>
      <w:r w:rsidR="00EF2A5F">
        <w:rPr>
          <w:rFonts w:cstheme="minorHAnsi"/>
        </w:rPr>
        <w:t>-</w:t>
      </w:r>
      <w:r w:rsidR="00FF3382" w:rsidRPr="00825BAE">
        <w:rPr>
          <w:rFonts w:cstheme="minorHAnsi"/>
        </w:rPr>
        <w:t xml:space="preserve">BI </w:t>
      </w:r>
      <w:r w:rsidRPr="00825BAE">
        <w:rPr>
          <w:rFonts w:cstheme="minorHAnsi"/>
        </w:rPr>
        <w:t xml:space="preserve">surveys in examining proximal and distal outcomes that </w:t>
      </w:r>
      <w:r w:rsidR="008C12B8" w:rsidRPr="00825BAE">
        <w:rPr>
          <w:rFonts w:cstheme="minorHAnsi"/>
        </w:rPr>
        <w:t xml:space="preserve">otherwise </w:t>
      </w:r>
      <w:r w:rsidRPr="00825BAE">
        <w:rPr>
          <w:rFonts w:cstheme="minorHAnsi"/>
        </w:rPr>
        <w:t xml:space="preserve">would not be identified by </w:t>
      </w:r>
      <w:r w:rsidR="0002437A">
        <w:rPr>
          <w:rFonts w:cstheme="minorHAnsi"/>
        </w:rPr>
        <w:t xml:space="preserve">evaluation at </w:t>
      </w:r>
      <w:r w:rsidRPr="00825BAE">
        <w:rPr>
          <w:rFonts w:cstheme="minorHAnsi"/>
        </w:rPr>
        <w:t>point</w:t>
      </w:r>
      <w:r w:rsidR="00FF3382" w:rsidRPr="00825BAE">
        <w:rPr>
          <w:rFonts w:cstheme="minorHAnsi"/>
        </w:rPr>
        <w:t xml:space="preserve"> of BI</w:t>
      </w:r>
      <w:r w:rsidRPr="00825BAE">
        <w:rPr>
          <w:rFonts w:cstheme="minorHAnsi"/>
        </w:rPr>
        <w:t xml:space="preserve">. Ongoing harm reduction practices that were attributed to the BI included caution about polydrug use, </w:t>
      </w:r>
      <w:r w:rsidR="00FF3382" w:rsidRPr="00825BAE">
        <w:rPr>
          <w:rFonts w:cstheme="minorHAnsi"/>
        </w:rPr>
        <w:t xml:space="preserve">reduced </w:t>
      </w:r>
      <w:r w:rsidRPr="00825BAE">
        <w:rPr>
          <w:rFonts w:cstheme="minorHAnsi"/>
        </w:rPr>
        <w:t xml:space="preserve">dosage, </w:t>
      </w:r>
      <w:r w:rsidR="00965878">
        <w:rPr>
          <w:rFonts w:cstheme="minorHAnsi"/>
        </w:rPr>
        <w:t xml:space="preserve">and </w:t>
      </w:r>
      <w:r w:rsidRPr="00825BAE">
        <w:rPr>
          <w:rFonts w:cstheme="minorHAnsi"/>
        </w:rPr>
        <w:t>increased information-seeking and communication</w:t>
      </w:r>
      <w:r w:rsidR="00EF2A5F">
        <w:rPr>
          <w:rFonts w:cstheme="minorHAnsi"/>
        </w:rPr>
        <w:t>s</w:t>
      </w:r>
      <w:r w:rsidRPr="00825BAE">
        <w:rPr>
          <w:rFonts w:cstheme="minorHAnsi"/>
        </w:rPr>
        <w:t xml:space="preserve"> about drugs. This is particularly important given the low proportion </w:t>
      </w:r>
      <w:r w:rsidR="002558CA" w:rsidRPr="00825BAE">
        <w:rPr>
          <w:rFonts w:cstheme="minorHAnsi"/>
        </w:rPr>
        <w:t xml:space="preserve">of service users </w:t>
      </w:r>
      <w:r w:rsidRPr="00825BAE">
        <w:rPr>
          <w:rFonts w:cstheme="minorHAnsi"/>
        </w:rPr>
        <w:t xml:space="preserve">(3.6%) who had spoken </w:t>
      </w:r>
      <w:r w:rsidR="002558CA" w:rsidRPr="00825BAE">
        <w:rPr>
          <w:rFonts w:cstheme="minorHAnsi"/>
        </w:rPr>
        <w:t xml:space="preserve">previously </w:t>
      </w:r>
      <w:r w:rsidR="002558CA">
        <w:rPr>
          <w:rFonts w:cstheme="minorHAnsi"/>
        </w:rPr>
        <w:t>with</w:t>
      </w:r>
      <w:r w:rsidRPr="00825BAE">
        <w:rPr>
          <w:rFonts w:cstheme="minorHAnsi"/>
        </w:rPr>
        <w:t xml:space="preserve"> health </w:t>
      </w:r>
      <w:r w:rsidR="002558CA">
        <w:rPr>
          <w:rFonts w:cstheme="minorHAnsi"/>
        </w:rPr>
        <w:t xml:space="preserve">professionals </w:t>
      </w:r>
      <w:r w:rsidRPr="00825BAE">
        <w:rPr>
          <w:rFonts w:cstheme="minorHAnsi"/>
        </w:rPr>
        <w:t xml:space="preserve">about their alcohol </w:t>
      </w:r>
      <w:r w:rsidR="00EF2A5F">
        <w:rPr>
          <w:rFonts w:cstheme="minorHAnsi"/>
        </w:rPr>
        <w:t xml:space="preserve">and other drug </w:t>
      </w:r>
      <w:r w:rsidRPr="00825BAE">
        <w:rPr>
          <w:rFonts w:cstheme="minorHAnsi"/>
        </w:rPr>
        <w:t xml:space="preserve">use. </w:t>
      </w:r>
      <w:r w:rsidR="000D3868">
        <w:rPr>
          <w:rFonts w:cstheme="minorHAnsi"/>
        </w:rPr>
        <w:t>This suggests that d</w:t>
      </w:r>
      <w:r w:rsidRPr="00825BAE">
        <w:rPr>
          <w:rFonts w:cstheme="minorHAnsi"/>
        </w:rPr>
        <w:t>rug checking, when integrated with effective BI</w:t>
      </w:r>
      <w:r w:rsidR="000D3868">
        <w:rPr>
          <w:rFonts w:cstheme="minorHAnsi"/>
        </w:rPr>
        <w:t>s</w:t>
      </w:r>
      <w:r w:rsidRPr="00825BAE">
        <w:rPr>
          <w:rFonts w:cstheme="minorHAnsi"/>
        </w:rPr>
        <w:t xml:space="preserve">, </w:t>
      </w:r>
      <w:r w:rsidR="00CF1769">
        <w:rPr>
          <w:rFonts w:cstheme="minorHAnsi"/>
        </w:rPr>
        <w:t xml:space="preserve">potentially </w:t>
      </w:r>
      <w:r w:rsidR="002122EC">
        <w:rPr>
          <w:rFonts w:cstheme="minorHAnsi"/>
        </w:rPr>
        <w:t>could</w:t>
      </w:r>
      <w:r w:rsidR="0002437A">
        <w:rPr>
          <w:rFonts w:cstheme="minorHAnsi"/>
        </w:rPr>
        <w:t xml:space="preserve"> </w:t>
      </w:r>
      <w:r w:rsidRPr="00825BAE">
        <w:rPr>
          <w:rFonts w:cstheme="minorHAnsi"/>
        </w:rPr>
        <w:t>provide opportunities to reduce drug-related harm in both the short and long</w:t>
      </w:r>
      <w:r w:rsidR="00EF2A5F">
        <w:rPr>
          <w:rFonts w:cstheme="minorHAnsi"/>
        </w:rPr>
        <w:t xml:space="preserve">er </w:t>
      </w:r>
      <w:r w:rsidRPr="00825BAE">
        <w:rPr>
          <w:rFonts w:cstheme="minorHAnsi"/>
        </w:rPr>
        <w:t>term.</w:t>
      </w:r>
    </w:p>
    <w:p w14:paraId="0AD6DD72" w14:textId="77777777" w:rsidR="003D49CC" w:rsidRPr="00825BAE" w:rsidRDefault="003D49CC" w:rsidP="003D49CC">
      <w:pPr>
        <w:rPr>
          <w:rFonts w:cstheme="minorHAnsi"/>
        </w:rPr>
      </w:pPr>
    </w:p>
    <w:p w14:paraId="6FFA1F99" w14:textId="49842E62" w:rsidR="003D49CC" w:rsidRPr="00825BAE" w:rsidRDefault="003D49CC" w:rsidP="003D49CC">
      <w:pPr>
        <w:rPr>
          <w:rFonts w:cstheme="minorHAnsi"/>
        </w:rPr>
      </w:pPr>
      <w:r w:rsidRPr="00825BAE">
        <w:rPr>
          <w:rFonts w:cstheme="minorHAnsi"/>
        </w:rPr>
        <w:t>Future research should consider how follow-up studies can further build the evidence base in this field, to assess immediate and ongoing behavioural change after engaging with a drug checking service</w:t>
      </w:r>
      <w:r w:rsidR="00965878">
        <w:rPr>
          <w:rFonts w:cstheme="minorHAnsi"/>
        </w:rPr>
        <w:t xml:space="preserve"> and to address the intention-behaviour gap</w:t>
      </w:r>
      <w:r w:rsidRPr="00825BAE">
        <w:rPr>
          <w:rFonts w:cstheme="minorHAnsi"/>
        </w:rPr>
        <w:t xml:space="preserve">. Further consideration could </w:t>
      </w:r>
      <w:r w:rsidRPr="00825BAE">
        <w:rPr>
          <w:rFonts w:cstheme="minorHAnsi"/>
        </w:rPr>
        <w:lastRenderedPageBreak/>
        <w:t>also be given to demographic differences in using drug checking services and subsequent evidence of risk reduction for event-based and community-based services.</w:t>
      </w:r>
    </w:p>
    <w:p w14:paraId="01D39EF6" w14:textId="77777777" w:rsidR="003D49CC" w:rsidRPr="00825BAE" w:rsidRDefault="003D49CC" w:rsidP="003D49CC">
      <w:pPr>
        <w:rPr>
          <w:rFonts w:cstheme="minorHAnsi"/>
        </w:rPr>
      </w:pPr>
    </w:p>
    <w:p w14:paraId="2E85EA08" w14:textId="77777777" w:rsidR="003D49CC" w:rsidRPr="00825BAE" w:rsidRDefault="003D49CC" w:rsidP="003D49CC">
      <w:pPr>
        <w:rPr>
          <w:rFonts w:cstheme="minorHAnsi"/>
          <w:b/>
          <w:bCs/>
        </w:rPr>
      </w:pPr>
      <w:r w:rsidRPr="00825BAE">
        <w:rPr>
          <w:rFonts w:cstheme="minorHAnsi"/>
          <w:b/>
          <w:bCs/>
        </w:rPr>
        <w:t>Limitations</w:t>
      </w:r>
    </w:p>
    <w:p w14:paraId="62700442" w14:textId="77777777" w:rsidR="003D49CC" w:rsidRPr="00825BAE" w:rsidRDefault="003D49CC" w:rsidP="003D49CC">
      <w:pPr>
        <w:rPr>
          <w:rFonts w:cstheme="minorHAnsi"/>
        </w:rPr>
      </w:pPr>
    </w:p>
    <w:p w14:paraId="7E60302A" w14:textId="2570DAE1" w:rsidR="003D49CC" w:rsidRPr="00825BAE" w:rsidRDefault="003D49CC" w:rsidP="003D49CC">
      <w:pPr>
        <w:rPr>
          <w:rFonts w:cstheme="minorHAnsi"/>
        </w:rPr>
      </w:pPr>
      <w:r w:rsidRPr="00825BAE">
        <w:rPr>
          <w:rFonts w:cstheme="minorHAnsi"/>
        </w:rPr>
        <w:t xml:space="preserve">This study has a number of limitations related to the nature of field conditions when delivering event-based </w:t>
      </w:r>
      <w:r w:rsidR="000D29AB">
        <w:rPr>
          <w:rFonts w:cstheme="minorHAnsi"/>
        </w:rPr>
        <w:t xml:space="preserve">drug checking </w:t>
      </w:r>
      <w:r w:rsidRPr="00825BAE">
        <w:rPr>
          <w:rFonts w:cstheme="minorHAnsi"/>
        </w:rPr>
        <w:t xml:space="preserve">services. The collection of </w:t>
      </w:r>
      <w:proofErr w:type="gramStart"/>
      <w:r w:rsidRPr="00825BAE">
        <w:rPr>
          <w:rFonts w:cstheme="minorHAnsi"/>
        </w:rPr>
        <w:t>high</w:t>
      </w:r>
      <w:r w:rsidR="000D29AB">
        <w:rPr>
          <w:rFonts w:cstheme="minorHAnsi"/>
        </w:rPr>
        <w:t xml:space="preserve"> </w:t>
      </w:r>
      <w:r w:rsidRPr="00825BAE">
        <w:rPr>
          <w:rFonts w:cstheme="minorHAnsi"/>
        </w:rPr>
        <w:t>quality</w:t>
      </w:r>
      <w:proofErr w:type="gramEnd"/>
      <w:r w:rsidRPr="00825BAE">
        <w:rPr>
          <w:rFonts w:cstheme="minorHAnsi"/>
        </w:rPr>
        <w:t xml:space="preserve"> research data around the sensitive topics of drug use and supply remains challeng</w:t>
      </w:r>
      <w:r w:rsidR="00514320">
        <w:rPr>
          <w:rFonts w:cstheme="minorHAnsi"/>
        </w:rPr>
        <w:t>ing</w:t>
      </w:r>
      <w:r w:rsidRPr="00825BAE">
        <w:rPr>
          <w:rFonts w:cstheme="minorHAnsi"/>
        </w:rPr>
        <w:t xml:space="preserve">, particularly when undertaken in the dynamic context and physical conditions of outdoor music festivals. </w:t>
      </w:r>
    </w:p>
    <w:p w14:paraId="18EA67C8" w14:textId="77777777" w:rsidR="00777F8A" w:rsidRPr="00825BAE" w:rsidRDefault="00777F8A" w:rsidP="00777F8A">
      <w:pPr>
        <w:rPr>
          <w:rFonts w:cstheme="minorHAnsi"/>
        </w:rPr>
      </w:pPr>
    </w:p>
    <w:p w14:paraId="739C17E1" w14:textId="34D017C9" w:rsidR="00777F8A" w:rsidRPr="00825BAE" w:rsidRDefault="00777F8A" w:rsidP="00777F8A">
      <w:pPr>
        <w:rPr>
          <w:rFonts w:cstheme="minorHAnsi"/>
        </w:rPr>
      </w:pPr>
      <w:r w:rsidRPr="00825BAE">
        <w:rPr>
          <w:rFonts w:cstheme="minorHAnsi"/>
        </w:rPr>
        <w:t xml:space="preserve">One in four of those who consented to follow-up and gave legible email addresses fully completed the follow-up survey, with higher attrition amongst minority ethnic service users. This was the second year of drug checking in the UK and the first year the service was advertised beforehand and available to such numbers, so this was the first direct experience of a drug checking service for the overwhelming majority. It is anticipated that follow-up response rates will improve with greater familiarity with, direct experience of, and trust in drug checking and follow-up studies in future, enabling increased statistical confidence in follow-up data. </w:t>
      </w:r>
    </w:p>
    <w:p w14:paraId="276CE78E" w14:textId="77777777" w:rsidR="00777F8A" w:rsidRPr="00825BAE" w:rsidRDefault="00777F8A" w:rsidP="00777F8A">
      <w:pPr>
        <w:rPr>
          <w:rFonts w:cstheme="minorHAnsi"/>
        </w:rPr>
      </w:pPr>
    </w:p>
    <w:p w14:paraId="17FC0A68" w14:textId="5B64887C" w:rsidR="00777F8A" w:rsidRDefault="00777F8A" w:rsidP="00777F8A">
      <w:pPr>
        <w:rPr>
          <w:rFonts w:cstheme="minorHAnsi"/>
        </w:rPr>
      </w:pPr>
      <w:r w:rsidRPr="00825BAE">
        <w:rPr>
          <w:rFonts w:cstheme="minorHAnsi"/>
        </w:rPr>
        <w:t xml:space="preserve">Social desirability or selection biases are also </w:t>
      </w:r>
      <w:proofErr w:type="gramStart"/>
      <w:r w:rsidRPr="00825BAE">
        <w:rPr>
          <w:rFonts w:cstheme="minorHAnsi"/>
        </w:rPr>
        <w:t>concerns</w:t>
      </w:r>
      <w:proofErr w:type="gramEnd"/>
      <w:r w:rsidRPr="00825BAE">
        <w:rPr>
          <w:rFonts w:cstheme="minorHAnsi"/>
        </w:rPr>
        <w:t>,</w:t>
      </w:r>
      <w:r w:rsidRPr="00825BAE">
        <w:t xml:space="preserve"> </w:t>
      </w:r>
      <w:r>
        <w:t xml:space="preserve">with </w:t>
      </w:r>
      <w:r w:rsidRPr="00825BAE">
        <w:rPr>
          <w:rFonts w:cstheme="minorHAnsi"/>
        </w:rPr>
        <w:t xml:space="preserve">follow-up respondents </w:t>
      </w:r>
      <w:r>
        <w:rPr>
          <w:rFonts w:cstheme="minorHAnsi"/>
        </w:rPr>
        <w:t xml:space="preserve">potentially disproportionately </w:t>
      </w:r>
      <w:r w:rsidRPr="00825BAE">
        <w:rPr>
          <w:rFonts w:cstheme="minorHAnsi"/>
        </w:rPr>
        <w:t xml:space="preserve">positive </w:t>
      </w:r>
      <w:r>
        <w:rPr>
          <w:rFonts w:cstheme="minorHAnsi"/>
        </w:rPr>
        <w:t xml:space="preserve">about </w:t>
      </w:r>
      <w:r w:rsidRPr="00825BAE">
        <w:rPr>
          <w:rFonts w:cstheme="minorHAnsi"/>
        </w:rPr>
        <w:t xml:space="preserve">drug checking or more confident discussing their </w:t>
      </w:r>
      <w:r>
        <w:rPr>
          <w:rFonts w:cstheme="minorHAnsi"/>
        </w:rPr>
        <w:t xml:space="preserve">drug </w:t>
      </w:r>
      <w:r w:rsidRPr="00825BAE">
        <w:rPr>
          <w:rFonts w:cstheme="minorHAnsi"/>
        </w:rPr>
        <w:t xml:space="preserve">use. This was partly addressed by an anonymous online survey. Also, there were no statistically significant differences between BI and follow-up service users regarding age, gender, test results or nine of the ten behavioural </w:t>
      </w:r>
      <w:r>
        <w:rPr>
          <w:rFonts w:cstheme="minorHAnsi"/>
        </w:rPr>
        <w:t>measures</w:t>
      </w:r>
      <w:r w:rsidRPr="00825BAE">
        <w:rPr>
          <w:rFonts w:cstheme="minorHAnsi"/>
        </w:rPr>
        <w:t xml:space="preserve">. Furthermore, given that there was no statistically significant difference </w:t>
      </w:r>
      <w:r w:rsidR="00C54E09">
        <w:rPr>
          <w:rFonts w:cstheme="minorHAnsi"/>
        </w:rPr>
        <w:t>between independently verified destruction</w:t>
      </w:r>
      <w:r w:rsidR="00C54E09" w:rsidRPr="00825BAE">
        <w:rPr>
          <w:rFonts w:cstheme="minorHAnsi"/>
        </w:rPr>
        <w:t xml:space="preserve"> </w:t>
      </w:r>
      <w:r w:rsidR="00C54E09">
        <w:rPr>
          <w:rFonts w:cstheme="minorHAnsi"/>
        </w:rPr>
        <w:t>and</w:t>
      </w:r>
      <w:r w:rsidRPr="00825BAE">
        <w:rPr>
          <w:rFonts w:cstheme="minorHAnsi"/>
        </w:rPr>
        <w:t xml:space="preserve"> follow-up respondents’ recall of handing over substances for destruction, this study found no evidence to suggest that follow-up respondents disproportionately recalled positive outcomes. Indeed, responses to the two negative outcomes were </w:t>
      </w:r>
      <w:r>
        <w:rPr>
          <w:rFonts w:cstheme="minorHAnsi"/>
        </w:rPr>
        <w:t xml:space="preserve">slightly </w:t>
      </w:r>
      <w:r w:rsidRPr="00825BAE">
        <w:rPr>
          <w:rFonts w:cstheme="minorHAnsi"/>
        </w:rPr>
        <w:t>higher at follow-up than BI.</w:t>
      </w:r>
      <w:r>
        <w:rPr>
          <w:rFonts w:cstheme="minorHAnsi"/>
        </w:rPr>
        <w:t xml:space="preserve"> </w:t>
      </w:r>
    </w:p>
    <w:p w14:paraId="4B24B371" w14:textId="77777777" w:rsidR="003D49CC" w:rsidRPr="00825BAE" w:rsidRDefault="003D49CC" w:rsidP="003D49CC">
      <w:pPr>
        <w:rPr>
          <w:rFonts w:cstheme="minorHAnsi"/>
        </w:rPr>
      </w:pPr>
    </w:p>
    <w:p w14:paraId="5A04DD60" w14:textId="0468A588" w:rsidR="003D49CC" w:rsidRDefault="003D49CC" w:rsidP="003D49CC">
      <w:pPr>
        <w:rPr>
          <w:rFonts w:cstheme="minorHAnsi"/>
        </w:rPr>
      </w:pPr>
      <w:r w:rsidRPr="00825BAE">
        <w:rPr>
          <w:rFonts w:cstheme="minorHAnsi"/>
        </w:rPr>
        <w:t xml:space="preserve">Due to the desire to ensure anonymity, no identifying information was collected to link individual service users, BIs, or follow-up surveys, and </w:t>
      </w:r>
      <w:r w:rsidR="00514320">
        <w:rPr>
          <w:rFonts w:cstheme="minorHAnsi"/>
        </w:rPr>
        <w:t xml:space="preserve">thus </w:t>
      </w:r>
      <w:r w:rsidRPr="00825BAE">
        <w:rPr>
          <w:rFonts w:cstheme="minorHAnsi"/>
        </w:rPr>
        <w:t xml:space="preserve">data at BI and follow-up were compared at population rather than individual level. Drug checking centres on </w:t>
      </w:r>
      <w:r w:rsidR="000D29AB">
        <w:rPr>
          <w:rFonts w:cstheme="minorHAnsi"/>
        </w:rPr>
        <w:t>users</w:t>
      </w:r>
      <w:r w:rsidRPr="00825BAE">
        <w:rPr>
          <w:rFonts w:cstheme="minorHAnsi"/>
        </w:rPr>
        <w:t xml:space="preserve"> trusting the service enough to submit substances of concern, the majority of which are later confirmed to be controlled drugs, leading to a risk of incrimination in a criminal offence. Consequently, building trust in the process is </w:t>
      </w:r>
      <w:r w:rsidR="000D29AB">
        <w:rPr>
          <w:rFonts w:cstheme="minorHAnsi"/>
        </w:rPr>
        <w:t xml:space="preserve">a </w:t>
      </w:r>
      <w:r w:rsidRPr="00825BAE">
        <w:rPr>
          <w:rFonts w:cstheme="minorHAnsi"/>
        </w:rPr>
        <w:t xml:space="preserve">priority for drug checking services (Sumnall and Atkinson, 2021). Future studies </w:t>
      </w:r>
      <w:r w:rsidR="00514320">
        <w:rPr>
          <w:rFonts w:cstheme="minorHAnsi"/>
        </w:rPr>
        <w:t>c</w:t>
      </w:r>
      <w:r w:rsidRPr="00825BAE">
        <w:rPr>
          <w:rFonts w:cstheme="minorHAnsi"/>
        </w:rPr>
        <w:t>ould consider case matching individuals between BI and follow-up, subject to not compromising that trust.</w:t>
      </w:r>
    </w:p>
    <w:p w14:paraId="5582A84F" w14:textId="77777777" w:rsidR="00B57E19" w:rsidRPr="006C24F9" w:rsidRDefault="00B57E19" w:rsidP="006C24F9">
      <w:pPr>
        <w:rPr>
          <w:rFonts w:cstheme="minorHAnsi"/>
        </w:rPr>
      </w:pPr>
    </w:p>
    <w:p w14:paraId="34DA9B2C" w14:textId="41ED5C6C" w:rsidR="00F94A99" w:rsidRPr="006C24F9" w:rsidRDefault="00F94A99" w:rsidP="006C24F9">
      <w:pPr>
        <w:rPr>
          <w:rFonts w:cstheme="minorHAnsi"/>
        </w:rPr>
      </w:pPr>
      <w:r w:rsidRPr="006C24F9">
        <w:rPr>
          <w:rFonts w:cstheme="minorHAnsi"/>
        </w:rPr>
        <w:br w:type="page"/>
      </w:r>
    </w:p>
    <w:p w14:paraId="1969DDDE" w14:textId="08C15AC4" w:rsidR="00095FCB" w:rsidRPr="006C24F9" w:rsidRDefault="00095FCB" w:rsidP="006C24F9">
      <w:pPr>
        <w:rPr>
          <w:rFonts w:cstheme="minorHAnsi"/>
          <w:b/>
        </w:rPr>
      </w:pPr>
      <w:r w:rsidRPr="006C24F9">
        <w:rPr>
          <w:rFonts w:cstheme="minorHAnsi"/>
          <w:b/>
        </w:rPr>
        <w:lastRenderedPageBreak/>
        <w:t>References</w:t>
      </w:r>
    </w:p>
    <w:p w14:paraId="64299586" w14:textId="77777777" w:rsidR="00043268" w:rsidRPr="006C24F9" w:rsidRDefault="00043268" w:rsidP="006C24F9">
      <w:pPr>
        <w:rPr>
          <w:rFonts w:cstheme="minorHAnsi"/>
        </w:rPr>
      </w:pPr>
    </w:p>
    <w:p w14:paraId="4B4ABB44" w14:textId="77777777" w:rsidR="000607ED" w:rsidRPr="006C24F9" w:rsidRDefault="000607ED" w:rsidP="006C24F9">
      <w:pPr>
        <w:rPr>
          <w:rFonts w:cstheme="minorHAnsi"/>
        </w:rPr>
      </w:pPr>
    </w:p>
    <w:p w14:paraId="52DCE8B9" w14:textId="27CEF1F3" w:rsidR="00E62D8F" w:rsidRPr="0043131F" w:rsidRDefault="00E62D8F" w:rsidP="006C24F9">
      <w:pPr>
        <w:rPr>
          <w:rFonts w:cstheme="minorHAnsi"/>
        </w:rPr>
      </w:pPr>
      <w:r w:rsidRPr="0043131F">
        <w:rPr>
          <w:rFonts w:cstheme="minorHAnsi"/>
        </w:rPr>
        <w:t xml:space="preserve">Akbar, T., </w:t>
      </w:r>
      <w:proofErr w:type="spellStart"/>
      <w:r w:rsidRPr="0043131F">
        <w:rPr>
          <w:rFonts w:cstheme="minorHAnsi"/>
        </w:rPr>
        <w:t>Baldacchinob</w:t>
      </w:r>
      <w:proofErr w:type="spellEnd"/>
      <w:r w:rsidRPr="0043131F">
        <w:rPr>
          <w:rFonts w:cstheme="minorHAnsi"/>
        </w:rPr>
        <w:t xml:space="preserve">, A., </w:t>
      </w:r>
      <w:proofErr w:type="spellStart"/>
      <w:r w:rsidRPr="0043131F">
        <w:rPr>
          <w:rFonts w:cstheme="minorHAnsi"/>
        </w:rPr>
        <w:t>Cecila</w:t>
      </w:r>
      <w:proofErr w:type="spellEnd"/>
      <w:r w:rsidRPr="0043131F">
        <w:rPr>
          <w:rFonts w:cstheme="minorHAnsi"/>
        </w:rPr>
        <w:t xml:space="preserve">, J., </w:t>
      </w:r>
      <w:proofErr w:type="spellStart"/>
      <w:r w:rsidRPr="0043131F">
        <w:rPr>
          <w:rFonts w:cstheme="minorHAnsi"/>
        </w:rPr>
        <w:t>Rigliettac</w:t>
      </w:r>
      <w:proofErr w:type="spellEnd"/>
      <w:r w:rsidRPr="0043131F">
        <w:rPr>
          <w:rFonts w:cstheme="minorHAnsi"/>
        </w:rPr>
        <w:t xml:space="preserve">, M., </w:t>
      </w:r>
      <w:proofErr w:type="spellStart"/>
      <w:r w:rsidRPr="0043131F">
        <w:rPr>
          <w:rFonts w:cstheme="minorHAnsi"/>
        </w:rPr>
        <w:t>Sommerd</w:t>
      </w:r>
      <w:proofErr w:type="spellEnd"/>
      <w:r w:rsidRPr="0043131F">
        <w:rPr>
          <w:rFonts w:cstheme="minorHAnsi"/>
        </w:rPr>
        <w:t xml:space="preserve">, B. and </w:t>
      </w:r>
      <w:proofErr w:type="spellStart"/>
      <w:r w:rsidRPr="0043131F">
        <w:rPr>
          <w:rFonts w:cstheme="minorHAnsi"/>
        </w:rPr>
        <w:t>Humphris</w:t>
      </w:r>
      <w:proofErr w:type="spellEnd"/>
      <w:r w:rsidRPr="0043131F">
        <w:rPr>
          <w:rFonts w:cstheme="minorHAnsi"/>
        </w:rPr>
        <w:t xml:space="preserve">, G. (2011), Poly-substance use and related harms: A systematic review of harm reduction strategies implemented in recreational settings, </w:t>
      </w:r>
      <w:r w:rsidRPr="0043131F">
        <w:rPr>
          <w:rFonts w:cstheme="minorHAnsi"/>
          <w:i/>
          <w:iCs/>
        </w:rPr>
        <w:t xml:space="preserve">Neuroscience and </w:t>
      </w:r>
      <w:proofErr w:type="spellStart"/>
      <w:r w:rsidRPr="0043131F">
        <w:rPr>
          <w:rFonts w:cstheme="minorHAnsi"/>
          <w:i/>
          <w:iCs/>
        </w:rPr>
        <w:t>Biobehavioral</w:t>
      </w:r>
      <w:proofErr w:type="spellEnd"/>
      <w:r w:rsidRPr="0043131F">
        <w:rPr>
          <w:rFonts w:cstheme="minorHAnsi"/>
          <w:i/>
          <w:iCs/>
        </w:rPr>
        <w:t xml:space="preserve"> Reviews</w:t>
      </w:r>
      <w:r w:rsidRPr="0043131F">
        <w:rPr>
          <w:rFonts w:cstheme="minorHAnsi"/>
        </w:rPr>
        <w:t>, 35, 1186-1202.</w:t>
      </w:r>
    </w:p>
    <w:p w14:paraId="2F41F353" w14:textId="77777777" w:rsidR="00E62D8F" w:rsidRPr="006C24F9" w:rsidRDefault="00E62D8F" w:rsidP="006C24F9">
      <w:pPr>
        <w:rPr>
          <w:rFonts w:cstheme="minorHAnsi"/>
          <w:highlight w:val="yellow"/>
        </w:rPr>
      </w:pPr>
    </w:p>
    <w:p w14:paraId="66BE86D1" w14:textId="5B4938FF" w:rsidR="007C1548" w:rsidRPr="006C24F9" w:rsidRDefault="00831799" w:rsidP="006C24F9">
      <w:pPr>
        <w:rPr>
          <w:rFonts w:cstheme="minorHAnsi"/>
        </w:rPr>
      </w:pPr>
      <w:proofErr w:type="spellStart"/>
      <w:r w:rsidRPr="006C24F9">
        <w:rPr>
          <w:rFonts w:cstheme="minorHAnsi"/>
        </w:rPr>
        <w:t>Benschop</w:t>
      </w:r>
      <w:proofErr w:type="spellEnd"/>
      <w:r w:rsidR="00753985" w:rsidRPr="006C24F9">
        <w:rPr>
          <w:rFonts w:cstheme="minorHAnsi"/>
        </w:rPr>
        <w:t>,</w:t>
      </w:r>
      <w:r w:rsidRPr="006C24F9">
        <w:rPr>
          <w:rFonts w:cstheme="minorHAnsi"/>
        </w:rPr>
        <w:t xml:space="preserve"> A</w:t>
      </w:r>
      <w:r w:rsidR="00753985" w:rsidRPr="006C24F9">
        <w:rPr>
          <w:rFonts w:cstheme="minorHAnsi"/>
        </w:rPr>
        <w:t>.</w:t>
      </w:r>
      <w:r w:rsidRPr="006C24F9">
        <w:rPr>
          <w:rFonts w:cstheme="minorHAnsi"/>
        </w:rPr>
        <w:t>, Rabes</w:t>
      </w:r>
      <w:r w:rsidR="00753985" w:rsidRPr="006C24F9">
        <w:rPr>
          <w:rFonts w:cstheme="minorHAnsi"/>
        </w:rPr>
        <w:t>,</w:t>
      </w:r>
      <w:r w:rsidRPr="006C24F9">
        <w:rPr>
          <w:rFonts w:cstheme="minorHAnsi"/>
        </w:rPr>
        <w:t xml:space="preserve"> M</w:t>
      </w:r>
      <w:r w:rsidR="00753985" w:rsidRPr="006C24F9">
        <w:rPr>
          <w:rFonts w:cstheme="minorHAnsi"/>
        </w:rPr>
        <w:t>. and</w:t>
      </w:r>
      <w:r w:rsidRPr="006C24F9">
        <w:rPr>
          <w:rFonts w:cstheme="minorHAnsi"/>
        </w:rPr>
        <w:t xml:space="preserve"> Korf, D. </w:t>
      </w:r>
      <w:r w:rsidR="00753985" w:rsidRPr="006C24F9">
        <w:rPr>
          <w:rFonts w:cstheme="minorHAnsi"/>
        </w:rPr>
        <w:t xml:space="preserve">(2002), </w:t>
      </w:r>
      <w:r w:rsidRPr="006C24F9">
        <w:rPr>
          <w:rFonts w:cstheme="minorHAnsi"/>
          <w:i/>
          <w:iCs/>
        </w:rPr>
        <w:t>Pill Testing Ecstasy and Prevention: Scientific Evaluation in Three European Cities</w:t>
      </w:r>
      <w:r w:rsidR="00753985" w:rsidRPr="006C24F9">
        <w:rPr>
          <w:rFonts w:cstheme="minorHAnsi"/>
        </w:rPr>
        <w:t xml:space="preserve">, </w:t>
      </w:r>
      <w:r w:rsidR="001044A5" w:rsidRPr="006C24F9">
        <w:rPr>
          <w:rFonts w:cstheme="minorHAnsi"/>
        </w:rPr>
        <w:t xml:space="preserve">Amsterdam: </w:t>
      </w:r>
      <w:proofErr w:type="spellStart"/>
      <w:r w:rsidR="001044A5" w:rsidRPr="006C24F9">
        <w:rPr>
          <w:rFonts w:cstheme="minorHAnsi"/>
        </w:rPr>
        <w:t>Rozenberg</w:t>
      </w:r>
      <w:proofErr w:type="spellEnd"/>
      <w:r w:rsidR="001044A5" w:rsidRPr="006C24F9">
        <w:rPr>
          <w:rFonts w:cstheme="minorHAnsi"/>
        </w:rPr>
        <w:t xml:space="preserve">. </w:t>
      </w:r>
    </w:p>
    <w:p w14:paraId="078BD303" w14:textId="35171937" w:rsidR="00436017" w:rsidRPr="006C24F9" w:rsidRDefault="00436017" w:rsidP="006C24F9">
      <w:pPr>
        <w:rPr>
          <w:rFonts w:cstheme="minorHAnsi"/>
          <w:highlight w:val="yellow"/>
          <w:lang w:val="en"/>
        </w:rPr>
      </w:pPr>
    </w:p>
    <w:p w14:paraId="522F12F8" w14:textId="6F534A7F" w:rsidR="002472A3" w:rsidRPr="006B1D04" w:rsidRDefault="002472A3" w:rsidP="006C24F9">
      <w:pPr>
        <w:rPr>
          <w:rFonts w:cstheme="minorHAnsi"/>
          <w:lang w:val="en"/>
        </w:rPr>
      </w:pPr>
      <w:r w:rsidRPr="006B1D04">
        <w:rPr>
          <w:rFonts w:cstheme="minorHAnsi"/>
          <w:lang w:val="en"/>
        </w:rPr>
        <w:t xml:space="preserve">Bernstein, E., Edwards, E., Dorfman, D., </w:t>
      </w:r>
      <w:proofErr w:type="spellStart"/>
      <w:r w:rsidRPr="006B1D04">
        <w:rPr>
          <w:rFonts w:cstheme="minorHAnsi"/>
          <w:lang w:val="en"/>
        </w:rPr>
        <w:t>Heeren</w:t>
      </w:r>
      <w:proofErr w:type="spellEnd"/>
      <w:r w:rsidRPr="006B1D04">
        <w:rPr>
          <w:rFonts w:cstheme="minorHAnsi"/>
          <w:lang w:val="en"/>
        </w:rPr>
        <w:t>, T., Bliss, C., &amp; Bernstein, J. (2009), Screening and brief intervention to reduce marijuana use among youth and young adults in a pediatric emergency department</w:t>
      </w:r>
      <w:r w:rsidR="006B1D04">
        <w:rPr>
          <w:rFonts w:cstheme="minorHAnsi"/>
          <w:lang w:val="en"/>
        </w:rPr>
        <w:t xml:space="preserve">, </w:t>
      </w:r>
      <w:r w:rsidRPr="006B1D04">
        <w:rPr>
          <w:rFonts w:cstheme="minorHAnsi"/>
          <w:i/>
          <w:iCs/>
          <w:lang w:val="en"/>
        </w:rPr>
        <w:t>Academic Emergency Medicine</w:t>
      </w:r>
      <w:r w:rsidRPr="006B1D04">
        <w:rPr>
          <w:rFonts w:cstheme="minorHAnsi"/>
          <w:lang w:val="en"/>
        </w:rPr>
        <w:t>, 16 (11): 1174</w:t>
      </w:r>
      <w:r w:rsidR="00DE6D34" w:rsidRPr="006B1D04">
        <w:rPr>
          <w:rFonts w:cstheme="minorHAnsi"/>
          <w:lang w:val="en"/>
        </w:rPr>
        <w:t>-</w:t>
      </w:r>
      <w:r w:rsidRPr="006B1D04">
        <w:rPr>
          <w:rFonts w:cstheme="minorHAnsi"/>
          <w:lang w:val="en"/>
        </w:rPr>
        <w:t xml:space="preserve">1185. </w:t>
      </w:r>
      <w:hyperlink r:id="rId9" w:history="1">
        <w:r w:rsidRPr="006B1D04">
          <w:rPr>
            <w:rStyle w:val="Hyperlink"/>
            <w:rFonts w:cstheme="minorHAnsi"/>
            <w:lang w:val="en"/>
          </w:rPr>
          <w:t>http://dx.doi.org/10.1111/j.1553-2712.2009.00490.x</w:t>
        </w:r>
      </w:hyperlink>
      <w:r w:rsidRPr="006B1D04">
        <w:rPr>
          <w:rFonts w:cstheme="minorHAnsi"/>
          <w:lang w:val="en"/>
        </w:rPr>
        <w:t xml:space="preserve"> </w:t>
      </w:r>
    </w:p>
    <w:p w14:paraId="1EBF137B" w14:textId="77777777" w:rsidR="002472A3" w:rsidRPr="006C24F9" w:rsidRDefault="002472A3" w:rsidP="006C24F9">
      <w:pPr>
        <w:rPr>
          <w:rFonts w:cstheme="minorHAnsi"/>
          <w:highlight w:val="yellow"/>
          <w:lang w:val="en"/>
        </w:rPr>
      </w:pPr>
    </w:p>
    <w:p w14:paraId="719018E4" w14:textId="6A658113" w:rsidR="0002125E" w:rsidRPr="0043131F" w:rsidRDefault="0002125E" w:rsidP="000578CD">
      <w:pPr>
        <w:rPr>
          <w:rFonts w:cstheme="minorHAnsi"/>
          <w:lang w:val="en"/>
        </w:rPr>
      </w:pPr>
      <w:proofErr w:type="spellStart"/>
      <w:r w:rsidRPr="0043131F">
        <w:rPr>
          <w:rFonts w:cstheme="minorHAnsi"/>
          <w:lang w:val="en"/>
        </w:rPr>
        <w:t>Bertholet</w:t>
      </w:r>
      <w:proofErr w:type="spellEnd"/>
      <w:r w:rsidRPr="0043131F">
        <w:rPr>
          <w:rFonts w:cstheme="minorHAnsi"/>
          <w:lang w:val="en"/>
        </w:rPr>
        <w:t xml:space="preserve">, N., </w:t>
      </w:r>
      <w:proofErr w:type="spellStart"/>
      <w:r w:rsidRPr="0043131F">
        <w:rPr>
          <w:rFonts w:cstheme="minorHAnsi"/>
          <w:lang w:val="en"/>
        </w:rPr>
        <w:t>Meli</w:t>
      </w:r>
      <w:proofErr w:type="spellEnd"/>
      <w:r w:rsidRPr="0043131F">
        <w:rPr>
          <w:rFonts w:cstheme="minorHAnsi"/>
          <w:lang w:val="en"/>
        </w:rPr>
        <w:t xml:space="preserve">, S., </w:t>
      </w:r>
      <w:proofErr w:type="spellStart"/>
      <w:r w:rsidRPr="0043131F">
        <w:rPr>
          <w:rFonts w:cstheme="minorHAnsi"/>
          <w:lang w:val="en"/>
        </w:rPr>
        <w:t>Palfai</w:t>
      </w:r>
      <w:proofErr w:type="spellEnd"/>
      <w:r w:rsidRPr="0043131F">
        <w:rPr>
          <w:rFonts w:cstheme="minorHAnsi"/>
          <w:lang w:val="en"/>
        </w:rPr>
        <w:t xml:space="preserve">, T., Cheng, D., Alford, D., Bernstein, J., </w:t>
      </w:r>
      <w:proofErr w:type="spellStart"/>
      <w:r w:rsidRPr="0043131F">
        <w:rPr>
          <w:rFonts w:cstheme="minorHAnsi"/>
          <w:lang w:val="en"/>
        </w:rPr>
        <w:t>Samet</w:t>
      </w:r>
      <w:proofErr w:type="spellEnd"/>
      <w:r w:rsidRPr="0043131F">
        <w:rPr>
          <w:rFonts w:cstheme="minorHAnsi"/>
          <w:lang w:val="en"/>
        </w:rPr>
        <w:t>, J., Lloyd-</w:t>
      </w:r>
      <w:proofErr w:type="spellStart"/>
      <w:r w:rsidRPr="0043131F">
        <w:rPr>
          <w:rFonts w:cstheme="minorHAnsi"/>
          <w:lang w:val="en"/>
        </w:rPr>
        <w:t>Travaglini</w:t>
      </w:r>
      <w:proofErr w:type="spellEnd"/>
      <w:r w:rsidRPr="0043131F">
        <w:rPr>
          <w:rFonts w:cstheme="minorHAnsi"/>
          <w:lang w:val="en"/>
        </w:rPr>
        <w:t xml:space="preserve">, C. and </w:t>
      </w:r>
      <w:proofErr w:type="spellStart"/>
      <w:r w:rsidRPr="0043131F">
        <w:rPr>
          <w:rFonts w:cstheme="minorHAnsi"/>
          <w:lang w:val="en"/>
        </w:rPr>
        <w:t>Saitz</w:t>
      </w:r>
      <w:proofErr w:type="spellEnd"/>
      <w:r w:rsidRPr="0043131F">
        <w:rPr>
          <w:rFonts w:cstheme="minorHAnsi"/>
          <w:lang w:val="en"/>
        </w:rPr>
        <w:t xml:space="preserve">, R. (2020), Screening and brief intervention for lower-risk drug use in primary care: A pilot randomized trial, </w:t>
      </w:r>
      <w:r w:rsidRPr="0043131F">
        <w:rPr>
          <w:rFonts w:cstheme="minorHAnsi"/>
          <w:i/>
          <w:iCs/>
          <w:lang w:val="en"/>
        </w:rPr>
        <w:t>Drug and Alcohol Dependence</w:t>
      </w:r>
      <w:r w:rsidRPr="0043131F">
        <w:rPr>
          <w:rFonts w:cstheme="minorHAnsi"/>
          <w:lang w:val="en"/>
        </w:rPr>
        <w:t xml:space="preserve">, </w:t>
      </w:r>
      <w:r w:rsidR="000578CD">
        <w:rPr>
          <w:rFonts w:cstheme="minorHAnsi"/>
          <w:lang w:val="en"/>
        </w:rPr>
        <w:t xml:space="preserve">213, </w:t>
      </w:r>
      <w:r w:rsidR="000578CD" w:rsidRPr="000578CD">
        <w:rPr>
          <w:rFonts w:cstheme="minorHAnsi"/>
          <w:lang w:val="en"/>
        </w:rPr>
        <w:t xml:space="preserve">108001. </w:t>
      </w:r>
      <w:hyperlink r:id="rId10" w:history="1">
        <w:r w:rsidR="000578CD" w:rsidRPr="000578CD">
          <w:rPr>
            <w:rStyle w:val="Hyperlink"/>
            <w:rFonts w:cstheme="minorHAnsi"/>
            <w:lang w:val="en"/>
          </w:rPr>
          <w:t>https://doi.org/10.1016/j.drugalcdep.2020.108001</w:t>
        </w:r>
      </w:hyperlink>
      <w:r w:rsidRPr="0043131F">
        <w:rPr>
          <w:rFonts w:cstheme="minorHAnsi"/>
          <w:lang w:val="en"/>
        </w:rPr>
        <w:t xml:space="preserve"> </w:t>
      </w:r>
    </w:p>
    <w:p w14:paraId="11C93F6D" w14:textId="1CCDC8DF" w:rsidR="0047550E" w:rsidRDefault="0047550E" w:rsidP="006C24F9">
      <w:pPr>
        <w:rPr>
          <w:rFonts w:cstheme="minorHAnsi"/>
        </w:rPr>
      </w:pPr>
    </w:p>
    <w:p w14:paraId="1D9FE3B6" w14:textId="775DC839" w:rsidR="00737DBA" w:rsidRDefault="00737DBA" w:rsidP="00737DBA">
      <w:pPr>
        <w:rPr>
          <w:rFonts w:cstheme="minorHAnsi"/>
        </w:rPr>
      </w:pPr>
      <w:proofErr w:type="spellStart"/>
      <w:r w:rsidRPr="00737DBA">
        <w:rPr>
          <w:rFonts w:cstheme="minorHAnsi"/>
        </w:rPr>
        <w:t>Betsos</w:t>
      </w:r>
      <w:proofErr w:type="spellEnd"/>
      <w:r>
        <w:rPr>
          <w:rFonts w:cstheme="minorHAnsi"/>
        </w:rPr>
        <w:t xml:space="preserve">, A., </w:t>
      </w:r>
      <w:proofErr w:type="spellStart"/>
      <w:r w:rsidRPr="00737DBA">
        <w:rPr>
          <w:rFonts w:cstheme="minorHAnsi"/>
        </w:rPr>
        <w:t>Valleriania</w:t>
      </w:r>
      <w:proofErr w:type="spellEnd"/>
      <w:r>
        <w:rPr>
          <w:rFonts w:cstheme="minorHAnsi"/>
        </w:rPr>
        <w:t xml:space="preserve">, J., </w:t>
      </w:r>
      <w:proofErr w:type="spellStart"/>
      <w:r w:rsidRPr="00737DBA">
        <w:rPr>
          <w:rFonts w:cstheme="minorHAnsi"/>
        </w:rPr>
        <w:t>Boyda</w:t>
      </w:r>
      <w:proofErr w:type="spellEnd"/>
      <w:r w:rsidRPr="00737DBA">
        <w:rPr>
          <w:rFonts w:cstheme="minorHAnsi"/>
        </w:rPr>
        <w:t>,</w:t>
      </w:r>
      <w:r>
        <w:rPr>
          <w:rFonts w:cstheme="minorHAnsi"/>
        </w:rPr>
        <w:t xml:space="preserve"> J., </w:t>
      </w:r>
      <w:proofErr w:type="spellStart"/>
      <w:r w:rsidRPr="00737DBA">
        <w:rPr>
          <w:rFonts w:cstheme="minorHAnsi"/>
        </w:rPr>
        <w:t>Bardwella</w:t>
      </w:r>
      <w:proofErr w:type="spellEnd"/>
      <w:r w:rsidRPr="00737DBA">
        <w:rPr>
          <w:rFonts w:cstheme="minorHAnsi"/>
        </w:rPr>
        <w:t>,</w:t>
      </w:r>
      <w:r>
        <w:rPr>
          <w:rFonts w:cstheme="minorHAnsi"/>
        </w:rPr>
        <w:t xml:space="preserve"> G.,</w:t>
      </w:r>
      <w:r w:rsidRPr="00737DBA">
        <w:rPr>
          <w:rFonts w:cstheme="minorHAnsi"/>
        </w:rPr>
        <w:t xml:space="preserve"> </w:t>
      </w:r>
      <w:proofErr w:type="spellStart"/>
      <w:r w:rsidRPr="00737DBA">
        <w:rPr>
          <w:rFonts w:cstheme="minorHAnsi"/>
        </w:rPr>
        <w:t>Kerra</w:t>
      </w:r>
      <w:proofErr w:type="spellEnd"/>
      <w:r w:rsidRPr="00737DBA">
        <w:rPr>
          <w:rFonts w:cstheme="minorHAnsi"/>
        </w:rPr>
        <w:t>,</w:t>
      </w:r>
      <w:r>
        <w:rPr>
          <w:rFonts w:cstheme="minorHAnsi"/>
        </w:rPr>
        <w:t xml:space="preserve"> T. and</w:t>
      </w:r>
      <w:r w:rsidRPr="00737DBA">
        <w:rPr>
          <w:rFonts w:cstheme="minorHAnsi"/>
        </w:rPr>
        <w:t xml:space="preserve"> McNeil</w:t>
      </w:r>
      <w:r>
        <w:rPr>
          <w:rFonts w:cstheme="minorHAnsi"/>
        </w:rPr>
        <w:t xml:space="preserve">, R. (2021), </w:t>
      </w:r>
      <w:r w:rsidRPr="00737DBA">
        <w:rPr>
          <w:rFonts w:cstheme="minorHAnsi"/>
        </w:rPr>
        <w:t>“I couldn't live with killing one of my friends or anybody”: A rapid ethnographic study of drug sellers’ use of drug checking</w:t>
      </w:r>
      <w:r>
        <w:rPr>
          <w:rFonts w:cstheme="minorHAnsi"/>
        </w:rPr>
        <w:t xml:space="preserve">, </w:t>
      </w:r>
      <w:r w:rsidRPr="00737DBA">
        <w:rPr>
          <w:rFonts w:cstheme="minorHAnsi"/>
          <w:i/>
          <w:iCs/>
        </w:rPr>
        <w:t>International Journal of Drug Policy</w:t>
      </w:r>
      <w:r>
        <w:rPr>
          <w:rFonts w:cstheme="minorHAnsi"/>
        </w:rPr>
        <w:t xml:space="preserve">, </w:t>
      </w:r>
      <w:r w:rsidR="00040A99">
        <w:rPr>
          <w:rFonts w:cstheme="minorHAnsi"/>
        </w:rPr>
        <w:t>87</w:t>
      </w:r>
      <w:r w:rsidR="0008788F">
        <w:rPr>
          <w:rFonts w:cstheme="minorHAnsi"/>
        </w:rPr>
        <w:t>, 102845</w:t>
      </w:r>
      <w:r w:rsidR="00040A99">
        <w:rPr>
          <w:rFonts w:cstheme="minorHAnsi"/>
        </w:rPr>
        <w:t>.</w:t>
      </w:r>
    </w:p>
    <w:p w14:paraId="1559FF61" w14:textId="77777777" w:rsidR="00737DBA" w:rsidRPr="006C24F9" w:rsidRDefault="00737DBA" w:rsidP="006C24F9">
      <w:pPr>
        <w:rPr>
          <w:rFonts w:cstheme="minorHAnsi"/>
        </w:rPr>
      </w:pPr>
    </w:p>
    <w:p w14:paraId="0659294E" w14:textId="5B3E5508" w:rsidR="0047550E" w:rsidRPr="006C24F9" w:rsidRDefault="0047550E" w:rsidP="006C24F9">
      <w:pPr>
        <w:rPr>
          <w:rFonts w:cstheme="minorHAnsi"/>
          <w:highlight w:val="yellow"/>
        </w:rPr>
      </w:pPr>
      <w:r w:rsidRPr="006C24F9">
        <w:rPr>
          <w:rFonts w:cstheme="minorHAnsi"/>
        </w:rPr>
        <w:t xml:space="preserve">Black, E., </w:t>
      </w:r>
      <w:proofErr w:type="spellStart"/>
      <w:r w:rsidRPr="006C24F9">
        <w:rPr>
          <w:rFonts w:cstheme="minorHAnsi"/>
        </w:rPr>
        <w:t>Govindasamy</w:t>
      </w:r>
      <w:proofErr w:type="spellEnd"/>
      <w:r w:rsidRPr="006C24F9">
        <w:rPr>
          <w:rFonts w:cstheme="minorHAnsi"/>
        </w:rPr>
        <w:t xml:space="preserve">, L., Auld, R., McArdle, K., Sharpe, C., Dawson, A., Vazquez, S., Brett, J., Friend, C., Shaw, V., Tyner, S., McDonald, C., Koop, D., Tall, G., </w:t>
      </w:r>
      <w:proofErr w:type="spellStart"/>
      <w:r w:rsidRPr="006C24F9">
        <w:rPr>
          <w:rFonts w:cstheme="minorHAnsi"/>
        </w:rPr>
        <w:t>Welsby</w:t>
      </w:r>
      <w:proofErr w:type="spellEnd"/>
      <w:r w:rsidRPr="006C24F9">
        <w:rPr>
          <w:rFonts w:cstheme="minorHAnsi"/>
        </w:rPr>
        <w:t xml:space="preserve">, D., </w:t>
      </w:r>
      <w:proofErr w:type="spellStart"/>
      <w:r w:rsidRPr="006C24F9">
        <w:rPr>
          <w:rFonts w:cstheme="minorHAnsi"/>
        </w:rPr>
        <w:t>Habig</w:t>
      </w:r>
      <w:proofErr w:type="spellEnd"/>
      <w:r w:rsidRPr="006C24F9">
        <w:rPr>
          <w:rFonts w:cstheme="minorHAnsi"/>
        </w:rPr>
        <w:t xml:space="preserve">, K., </w:t>
      </w:r>
      <w:proofErr w:type="spellStart"/>
      <w:r w:rsidRPr="006C24F9">
        <w:rPr>
          <w:rFonts w:cstheme="minorHAnsi"/>
        </w:rPr>
        <w:t>Madeddu</w:t>
      </w:r>
      <w:proofErr w:type="spellEnd"/>
      <w:r w:rsidRPr="006C24F9">
        <w:rPr>
          <w:rFonts w:cstheme="minorHAnsi"/>
        </w:rPr>
        <w:t xml:space="preserve">, D. and </w:t>
      </w:r>
      <w:proofErr w:type="spellStart"/>
      <w:r w:rsidRPr="006C24F9">
        <w:rPr>
          <w:rFonts w:cstheme="minorHAnsi"/>
        </w:rPr>
        <w:t>Cretikos</w:t>
      </w:r>
      <w:proofErr w:type="spellEnd"/>
      <w:r w:rsidRPr="006C24F9">
        <w:rPr>
          <w:rFonts w:cstheme="minorHAnsi"/>
        </w:rPr>
        <w:t xml:space="preserve">, M. (2020), Toxicological analysis of serious drug-related harm among electronic dance music festival attendees in New South Wales, Australia: A consecutive case series, </w:t>
      </w:r>
      <w:r w:rsidRPr="006C24F9">
        <w:rPr>
          <w:rFonts w:cstheme="minorHAnsi"/>
          <w:i/>
          <w:iCs/>
        </w:rPr>
        <w:t>Drug and Alcohol Dependence</w:t>
      </w:r>
      <w:r w:rsidRPr="006C24F9">
        <w:rPr>
          <w:rFonts w:cstheme="minorHAnsi"/>
        </w:rPr>
        <w:t xml:space="preserve">, 213. At: </w:t>
      </w:r>
      <w:hyperlink r:id="rId11" w:history="1">
        <w:r w:rsidRPr="006C24F9">
          <w:rPr>
            <w:rStyle w:val="Hyperlink"/>
            <w:rFonts w:cstheme="minorHAnsi"/>
          </w:rPr>
          <w:t>https://www.sciencedirect.com/science/article/abs/pii/S0376871620302350</w:t>
        </w:r>
      </w:hyperlink>
      <w:r w:rsidRPr="006C24F9">
        <w:rPr>
          <w:rFonts w:cstheme="minorHAnsi"/>
        </w:rPr>
        <w:t xml:space="preserve"> </w:t>
      </w:r>
    </w:p>
    <w:p w14:paraId="5F2AE6CD" w14:textId="77777777" w:rsidR="00F27A63" w:rsidRDefault="00F27A63" w:rsidP="006C24F9">
      <w:pPr>
        <w:rPr>
          <w:rFonts w:cstheme="minorHAnsi"/>
        </w:rPr>
      </w:pPr>
    </w:p>
    <w:p w14:paraId="52AC4B3C" w14:textId="39B13AD6" w:rsidR="00EC1460" w:rsidRPr="006C24F9" w:rsidRDefault="00EC1460" w:rsidP="006C24F9">
      <w:pPr>
        <w:rPr>
          <w:rStyle w:val="Hyperlink"/>
          <w:rFonts w:cstheme="minorHAnsi"/>
          <w:color w:val="auto"/>
          <w:u w:val="none"/>
        </w:rPr>
      </w:pPr>
      <w:r w:rsidRPr="006C24F9">
        <w:rPr>
          <w:rFonts w:cstheme="minorHAnsi"/>
        </w:rPr>
        <w:t>Brunt</w:t>
      </w:r>
      <w:r w:rsidR="00650DBD" w:rsidRPr="006C24F9">
        <w:rPr>
          <w:rFonts w:cstheme="minorHAnsi"/>
        </w:rPr>
        <w:t>,</w:t>
      </w:r>
      <w:r w:rsidR="00A95307" w:rsidRPr="006C24F9">
        <w:rPr>
          <w:rFonts w:cstheme="minorHAnsi"/>
        </w:rPr>
        <w:t xml:space="preserve"> </w:t>
      </w:r>
      <w:r w:rsidRPr="006C24F9">
        <w:rPr>
          <w:rFonts w:cstheme="minorHAnsi"/>
        </w:rPr>
        <w:t>T</w:t>
      </w:r>
      <w:r w:rsidR="00650DBD" w:rsidRPr="006C24F9">
        <w:rPr>
          <w:rFonts w:cstheme="minorHAnsi"/>
        </w:rPr>
        <w:t>. and</w:t>
      </w:r>
      <w:r w:rsidRPr="006C24F9">
        <w:rPr>
          <w:rFonts w:cstheme="minorHAnsi"/>
        </w:rPr>
        <w:t xml:space="preserve"> </w:t>
      </w:r>
      <w:bookmarkStart w:id="15" w:name="_Hlk520093420"/>
      <w:proofErr w:type="spellStart"/>
      <w:r w:rsidRPr="006C24F9">
        <w:rPr>
          <w:rFonts w:cstheme="minorHAnsi"/>
        </w:rPr>
        <w:t>Niesink</w:t>
      </w:r>
      <w:proofErr w:type="spellEnd"/>
      <w:r w:rsidR="00650DBD" w:rsidRPr="006C24F9">
        <w:rPr>
          <w:rFonts w:cstheme="minorHAnsi"/>
        </w:rPr>
        <w:t>,</w:t>
      </w:r>
      <w:r w:rsidRPr="006C24F9">
        <w:rPr>
          <w:rFonts w:cstheme="minorHAnsi"/>
        </w:rPr>
        <w:t xml:space="preserve"> </w:t>
      </w:r>
      <w:bookmarkEnd w:id="15"/>
      <w:r w:rsidR="00A95307" w:rsidRPr="006C24F9">
        <w:rPr>
          <w:rFonts w:cstheme="minorHAnsi"/>
        </w:rPr>
        <w:t>R</w:t>
      </w:r>
      <w:r w:rsidRPr="006C24F9">
        <w:rPr>
          <w:rFonts w:cstheme="minorHAnsi"/>
        </w:rPr>
        <w:t xml:space="preserve">. </w:t>
      </w:r>
      <w:r w:rsidR="001B3CE4" w:rsidRPr="006C24F9">
        <w:rPr>
          <w:rFonts w:cstheme="minorHAnsi"/>
        </w:rPr>
        <w:t xml:space="preserve">(2011), </w:t>
      </w:r>
      <w:r w:rsidRPr="006C24F9">
        <w:rPr>
          <w:rFonts w:cstheme="minorHAnsi"/>
        </w:rPr>
        <w:t>The Drug Information and Monitoring System (DIMS) in the Netherlands: implementation, results, and international comparison</w:t>
      </w:r>
      <w:r w:rsidR="001353CB" w:rsidRPr="006C24F9">
        <w:rPr>
          <w:rFonts w:cstheme="minorHAnsi"/>
        </w:rPr>
        <w:t xml:space="preserve">, </w:t>
      </w:r>
      <w:r w:rsidRPr="006C24F9">
        <w:rPr>
          <w:rFonts w:cstheme="minorHAnsi"/>
          <w:i/>
        </w:rPr>
        <w:t>Drug Testing and Analysis</w:t>
      </w:r>
      <w:r w:rsidR="001B3CE4" w:rsidRPr="006C24F9">
        <w:rPr>
          <w:rFonts w:cstheme="minorHAnsi"/>
        </w:rPr>
        <w:t>,</w:t>
      </w:r>
      <w:r w:rsidR="00650DBD" w:rsidRPr="006C24F9">
        <w:rPr>
          <w:rFonts w:cstheme="minorHAnsi"/>
        </w:rPr>
        <w:t xml:space="preserve"> </w:t>
      </w:r>
      <w:r w:rsidRPr="006C24F9">
        <w:rPr>
          <w:rFonts w:cstheme="minorHAnsi"/>
        </w:rPr>
        <w:t>3</w:t>
      </w:r>
      <w:r w:rsidR="001B3CE4" w:rsidRPr="006C24F9">
        <w:rPr>
          <w:rFonts w:cstheme="minorHAnsi"/>
        </w:rPr>
        <w:t xml:space="preserve"> </w:t>
      </w:r>
      <w:r w:rsidRPr="006C24F9">
        <w:rPr>
          <w:rFonts w:cstheme="minorHAnsi"/>
        </w:rPr>
        <w:t xml:space="preserve">(9): 621-634. </w:t>
      </w:r>
    </w:p>
    <w:p w14:paraId="512E4D88" w14:textId="3E8EB862" w:rsidR="00D114B6" w:rsidRPr="006C24F9" w:rsidRDefault="00D114B6" w:rsidP="006C24F9">
      <w:pPr>
        <w:rPr>
          <w:rFonts w:cstheme="minorHAnsi"/>
          <w:highlight w:val="yellow"/>
        </w:rPr>
      </w:pPr>
    </w:p>
    <w:p w14:paraId="04444FFC" w14:textId="0914A918" w:rsidR="002D3FF7" w:rsidRPr="006C24F9" w:rsidRDefault="002D3FF7" w:rsidP="006C24F9">
      <w:pPr>
        <w:rPr>
          <w:rFonts w:cstheme="minorHAnsi"/>
        </w:rPr>
      </w:pPr>
      <w:proofErr w:type="spellStart"/>
      <w:r w:rsidRPr="006C24F9">
        <w:rPr>
          <w:rFonts w:cstheme="minorHAnsi"/>
        </w:rPr>
        <w:t>Bücheli</w:t>
      </w:r>
      <w:proofErr w:type="spellEnd"/>
      <w:r w:rsidRPr="006C24F9">
        <w:rPr>
          <w:rFonts w:cstheme="minorHAnsi"/>
        </w:rPr>
        <w:t xml:space="preserve">, A., </w:t>
      </w:r>
      <w:proofErr w:type="spellStart"/>
      <w:r w:rsidRPr="006C24F9">
        <w:rPr>
          <w:rFonts w:cstheme="minorHAnsi"/>
        </w:rPr>
        <w:t>Hungerbühler</w:t>
      </w:r>
      <w:proofErr w:type="spellEnd"/>
      <w:r w:rsidRPr="006C24F9">
        <w:rPr>
          <w:rFonts w:cstheme="minorHAnsi"/>
        </w:rPr>
        <w:t xml:space="preserve">, I. and Schaub, M. (2010), Evaluation of Party Drug Prevention in the City of Zurich, </w:t>
      </w:r>
      <w:proofErr w:type="spellStart"/>
      <w:r w:rsidRPr="006C24F9">
        <w:rPr>
          <w:rFonts w:cstheme="minorHAnsi"/>
          <w:i/>
          <w:iCs/>
        </w:rPr>
        <w:t>Sucht</w:t>
      </w:r>
      <w:proofErr w:type="spellEnd"/>
      <w:r w:rsidRPr="006C24F9">
        <w:rPr>
          <w:rFonts w:cstheme="minorHAnsi"/>
          <w:i/>
          <w:iCs/>
        </w:rPr>
        <w:t xml:space="preserve"> </w:t>
      </w:r>
      <w:proofErr w:type="spellStart"/>
      <w:r w:rsidRPr="006C24F9">
        <w:rPr>
          <w:rFonts w:cstheme="minorHAnsi"/>
          <w:i/>
          <w:iCs/>
        </w:rPr>
        <w:t>Magazin</w:t>
      </w:r>
      <w:proofErr w:type="spellEnd"/>
      <w:r w:rsidRPr="006C24F9">
        <w:rPr>
          <w:rFonts w:cstheme="minorHAnsi"/>
        </w:rPr>
        <w:t>, 5: 38-43.</w:t>
      </w:r>
    </w:p>
    <w:p w14:paraId="410822AF" w14:textId="77777777" w:rsidR="00AA354A" w:rsidRPr="00155791" w:rsidRDefault="00AA354A" w:rsidP="006C24F9">
      <w:pPr>
        <w:rPr>
          <w:rFonts w:cstheme="minorHAnsi"/>
        </w:rPr>
      </w:pPr>
    </w:p>
    <w:p w14:paraId="42B5509A" w14:textId="4EAA9313" w:rsidR="00EC1460" w:rsidRPr="006C24F9" w:rsidRDefault="00AA354A" w:rsidP="006C24F9">
      <w:pPr>
        <w:rPr>
          <w:rFonts w:cstheme="minorHAnsi"/>
        </w:rPr>
      </w:pPr>
      <w:r w:rsidRPr="006C24F9">
        <w:rPr>
          <w:rFonts w:cstheme="minorHAnsi"/>
        </w:rPr>
        <w:t>Campbell G.</w:t>
      </w:r>
      <w:r w:rsidR="00576C89" w:rsidRPr="006C24F9">
        <w:rPr>
          <w:rFonts w:cstheme="minorHAnsi"/>
        </w:rPr>
        <w:t xml:space="preserve"> and</w:t>
      </w:r>
      <w:r w:rsidRPr="006C24F9">
        <w:rPr>
          <w:rFonts w:cstheme="minorHAnsi"/>
        </w:rPr>
        <w:t xml:space="preserve"> Rosner M. </w:t>
      </w:r>
      <w:r w:rsidR="00576C89" w:rsidRPr="006C24F9">
        <w:rPr>
          <w:rFonts w:cstheme="minorHAnsi"/>
        </w:rPr>
        <w:t xml:space="preserve">(2008), </w:t>
      </w:r>
      <w:r w:rsidRPr="006C24F9">
        <w:rPr>
          <w:rFonts w:cstheme="minorHAnsi"/>
        </w:rPr>
        <w:t>The agony of ecstasy: MDMA (3, 4-methylenedioxymethamphetamine) and the kidney</w:t>
      </w:r>
      <w:r w:rsidR="00576C89" w:rsidRPr="006C24F9">
        <w:rPr>
          <w:rFonts w:cstheme="minorHAnsi"/>
        </w:rPr>
        <w:t xml:space="preserve">, </w:t>
      </w:r>
      <w:r w:rsidR="00576C89" w:rsidRPr="006C24F9">
        <w:rPr>
          <w:rFonts w:cstheme="minorHAnsi"/>
          <w:i/>
          <w:iCs/>
        </w:rPr>
        <w:t>Clinical Journal of the American Society of Nephrology</w:t>
      </w:r>
      <w:r w:rsidRPr="006C24F9">
        <w:rPr>
          <w:rFonts w:cstheme="minorHAnsi"/>
        </w:rPr>
        <w:t>, 3:</w:t>
      </w:r>
      <w:r w:rsidR="00576C89" w:rsidRPr="006C24F9">
        <w:rPr>
          <w:rFonts w:cstheme="minorHAnsi"/>
        </w:rPr>
        <w:t xml:space="preserve"> </w:t>
      </w:r>
      <w:r w:rsidRPr="006C24F9">
        <w:rPr>
          <w:rFonts w:cstheme="minorHAnsi"/>
        </w:rPr>
        <w:t>1852-1860.</w:t>
      </w:r>
    </w:p>
    <w:p w14:paraId="42BA571E" w14:textId="77777777" w:rsidR="00B66A05" w:rsidRPr="00A20AC0" w:rsidRDefault="00B66A05" w:rsidP="00B66A05">
      <w:pPr>
        <w:rPr>
          <w:rFonts w:cstheme="minorHAnsi"/>
        </w:rPr>
      </w:pPr>
    </w:p>
    <w:p w14:paraId="01ACE881" w14:textId="77777777" w:rsidR="00B66A05" w:rsidRPr="006C24F9" w:rsidRDefault="00B66A05" w:rsidP="00B66A05">
      <w:pPr>
        <w:rPr>
          <w:rFonts w:cstheme="minorHAnsi"/>
          <w:highlight w:val="yellow"/>
        </w:rPr>
      </w:pPr>
      <w:proofErr w:type="spellStart"/>
      <w:r w:rsidRPr="006C24F9">
        <w:rPr>
          <w:rFonts w:cstheme="minorHAnsi"/>
        </w:rPr>
        <w:t>Daeppen</w:t>
      </w:r>
      <w:proofErr w:type="spellEnd"/>
      <w:r w:rsidRPr="006C24F9">
        <w:rPr>
          <w:rFonts w:cstheme="minorHAnsi"/>
        </w:rPr>
        <w:t xml:space="preserve">, J-B., </w:t>
      </w:r>
      <w:proofErr w:type="spellStart"/>
      <w:r w:rsidRPr="006C24F9">
        <w:rPr>
          <w:rFonts w:cstheme="minorHAnsi"/>
        </w:rPr>
        <w:t>Bertholet</w:t>
      </w:r>
      <w:proofErr w:type="spellEnd"/>
      <w:r w:rsidRPr="006C24F9">
        <w:rPr>
          <w:rFonts w:cstheme="minorHAnsi"/>
        </w:rPr>
        <w:t xml:space="preserve">, N., </w:t>
      </w:r>
      <w:proofErr w:type="spellStart"/>
      <w:r w:rsidRPr="006C24F9">
        <w:rPr>
          <w:rFonts w:cstheme="minorHAnsi"/>
        </w:rPr>
        <w:t>Gmel</w:t>
      </w:r>
      <w:proofErr w:type="spellEnd"/>
      <w:r w:rsidRPr="006C24F9">
        <w:rPr>
          <w:rFonts w:cstheme="minorHAnsi"/>
        </w:rPr>
        <w:t xml:space="preserve">, G. and </w:t>
      </w:r>
      <w:proofErr w:type="spellStart"/>
      <w:r w:rsidRPr="006C24F9">
        <w:rPr>
          <w:rFonts w:cstheme="minorHAnsi"/>
        </w:rPr>
        <w:t>Gaume</w:t>
      </w:r>
      <w:proofErr w:type="spellEnd"/>
      <w:r w:rsidRPr="006C24F9">
        <w:rPr>
          <w:rFonts w:cstheme="minorHAnsi"/>
        </w:rPr>
        <w:t xml:space="preserve">, J. (2007), Communication During Brief Intervention, Intention to Change, and Outcome, </w:t>
      </w:r>
      <w:r w:rsidRPr="006C24F9">
        <w:rPr>
          <w:rFonts w:cstheme="minorHAnsi"/>
          <w:i/>
          <w:iCs/>
        </w:rPr>
        <w:t>Substance Abuse</w:t>
      </w:r>
      <w:r w:rsidRPr="006C24F9">
        <w:rPr>
          <w:rFonts w:cstheme="minorHAnsi"/>
        </w:rPr>
        <w:t xml:space="preserve">, 28 (3): 43-51. </w:t>
      </w:r>
      <w:hyperlink r:id="rId12" w:history="1">
        <w:r w:rsidRPr="006C24F9">
          <w:rPr>
            <w:rStyle w:val="Hyperlink"/>
            <w:rFonts w:cstheme="minorHAnsi"/>
          </w:rPr>
          <w:t>https://doi.org/10.1300/J465v28n03_05</w:t>
        </w:r>
      </w:hyperlink>
      <w:r w:rsidRPr="006C24F9">
        <w:rPr>
          <w:rFonts w:cstheme="minorHAnsi"/>
        </w:rPr>
        <w:t xml:space="preserve"> </w:t>
      </w:r>
    </w:p>
    <w:p w14:paraId="2994FE82" w14:textId="77777777" w:rsidR="00AF5AFB" w:rsidRPr="00A20AC0" w:rsidRDefault="00AF5AFB" w:rsidP="006C24F9">
      <w:pPr>
        <w:rPr>
          <w:rFonts w:cstheme="minorHAnsi"/>
        </w:rPr>
      </w:pPr>
    </w:p>
    <w:p w14:paraId="3C0D5F92" w14:textId="75C4A140" w:rsidR="00006B34" w:rsidRPr="00A20AC0" w:rsidRDefault="00006B34" w:rsidP="006C24F9">
      <w:pPr>
        <w:rPr>
          <w:rFonts w:cstheme="minorHAnsi"/>
        </w:rPr>
      </w:pPr>
      <w:bookmarkStart w:id="16" w:name="_Hlk66110779"/>
      <w:r w:rsidRPr="00A20AC0">
        <w:rPr>
          <w:rFonts w:cstheme="minorHAnsi"/>
        </w:rPr>
        <w:lastRenderedPageBreak/>
        <w:t>Danish Health Authority and Centre for Alcohol and Drug Research</w:t>
      </w:r>
      <w:bookmarkEnd w:id="16"/>
      <w:r w:rsidRPr="00A20AC0">
        <w:rPr>
          <w:rFonts w:cstheme="minorHAnsi"/>
        </w:rPr>
        <w:t xml:space="preserve"> (DHA/CRF),</w:t>
      </w:r>
      <w:r w:rsidR="0004409C" w:rsidRPr="00A20AC0">
        <w:rPr>
          <w:rFonts w:cstheme="minorHAnsi"/>
        </w:rPr>
        <w:t xml:space="preserve"> (2019), </w:t>
      </w:r>
      <w:r w:rsidRPr="00A20AC0">
        <w:rPr>
          <w:rFonts w:cstheme="minorHAnsi"/>
          <w:i/>
          <w:iCs/>
        </w:rPr>
        <w:t>Literature Review of Drug Checking in nightlife – Methods, Services, and Effects</w:t>
      </w:r>
      <w:r w:rsidRPr="00A20AC0">
        <w:rPr>
          <w:rFonts w:cstheme="minorHAnsi"/>
        </w:rPr>
        <w:t>, Aarhus:</w:t>
      </w:r>
      <w:r w:rsidR="00E14BFD" w:rsidRPr="00A20AC0">
        <w:rPr>
          <w:rFonts w:cstheme="minorHAnsi"/>
        </w:rPr>
        <w:t xml:space="preserve"> Centre for </w:t>
      </w:r>
      <w:proofErr w:type="spellStart"/>
      <w:r w:rsidR="00E14BFD" w:rsidRPr="00A20AC0">
        <w:rPr>
          <w:rFonts w:cstheme="minorHAnsi"/>
        </w:rPr>
        <w:t>Rusmiddelforsknin</w:t>
      </w:r>
      <w:proofErr w:type="spellEnd"/>
      <w:r w:rsidR="00E14BFD" w:rsidRPr="00A20AC0">
        <w:rPr>
          <w:rFonts w:cstheme="minorHAnsi"/>
        </w:rPr>
        <w:t xml:space="preserve">, </w:t>
      </w:r>
      <w:r w:rsidRPr="00A20AC0">
        <w:rPr>
          <w:rFonts w:cstheme="minorHAnsi"/>
        </w:rPr>
        <w:t>University of Aarhus.</w:t>
      </w:r>
    </w:p>
    <w:p w14:paraId="0902C869" w14:textId="77777777" w:rsidR="009B78B7" w:rsidRPr="006C24F9" w:rsidRDefault="009B78B7" w:rsidP="006C24F9">
      <w:pPr>
        <w:rPr>
          <w:rFonts w:cstheme="minorHAnsi"/>
          <w:highlight w:val="yellow"/>
        </w:rPr>
      </w:pPr>
    </w:p>
    <w:p w14:paraId="258BE80A" w14:textId="196D50DB" w:rsidR="003B5A52" w:rsidRPr="00D0608B" w:rsidRDefault="003B5A52" w:rsidP="006C24F9">
      <w:pPr>
        <w:rPr>
          <w:rFonts w:cstheme="minorHAnsi"/>
        </w:rPr>
      </w:pPr>
      <w:proofErr w:type="spellStart"/>
      <w:r w:rsidRPr="00D0608B">
        <w:rPr>
          <w:rFonts w:cstheme="minorHAnsi"/>
        </w:rPr>
        <w:t>Doumas</w:t>
      </w:r>
      <w:proofErr w:type="spellEnd"/>
      <w:r w:rsidRPr="00D0608B">
        <w:rPr>
          <w:rFonts w:cstheme="minorHAnsi"/>
        </w:rPr>
        <w:t xml:space="preserve"> D</w:t>
      </w:r>
      <w:r w:rsidR="00D0608B">
        <w:rPr>
          <w:rFonts w:cstheme="minorHAnsi"/>
        </w:rPr>
        <w:t>.,</w:t>
      </w:r>
      <w:r w:rsidRPr="00D0608B">
        <w:rPr>
          <w:rFonts w:cstheme="minorHAnsi"/>
        </w:rPr>
        <w:t xml:space="preserve"> McKinley L</w:t>
      </w:r>
      <w:r w:rsidR="00D0608B">
        <w:rPr>
          <w:rFonts w:cstheme="minorHAnsi"/>
        </w:rPr>
        <w:t xml:space="preserve">. and </w:t>
      </w:r>
      <w:r w:rsidRPr="00D0608B">
        <w:rPr>
          <w:rFonts w:cstheme="minorHAnsi"/>
        </w:rPr>
        <w:t xml:space="preserve">Book P. </w:t>
      </w:r>
      <w:r w:rsidR="00D0608B">
        <w:rPr>
          <w:rFonts w:cstheme="minorHAnsi"/>
        </w:rPr>
        <w:t xml:space="preserve">(2009), </w:t>
      </w:r>
      <w:r w:rsidRPr="00D0608B">
        <w:rPr>
          <w:rFonts w:cstheme="minorHAnsi"/>
        </w:rPr>
        <w:t>Evaluation of two web-based alcohol interventions for mandated college students</w:t>
      </w:r>
      <w:r w:rsidR="00D0608B">
        <w:rPr>
          <w:rFonts w:cstheme="minorHAnsi"/>
        </w:rPr>
        <w:t xml:space="preserve">, </w:t>
      </w:r>
      <w:r w:rsidRPr="00D0608B">
        <w:rPr>
          <w:rFonts w:cstheme="minorHAnsi"/>
          <w:i/>
        </w:rPr>
        <w:t>Journal of Substance Abuse Treatment</w:t>
      </w:r>
      <w:r w:rsidR="00D0608B">
        <w:rPr>
          <w:rFonts w:cstheme="minorHAnsi"/>
        </w:rPr>
        <w:t xml:space="preserve">, </w:t>
      </w:r>
      <w:r w:rsidRPr="00D0608B">
        <w:rPr>
          <w:rFonts w:cstheme="minorHAnsi"/>
        </w:rPr>
        <w:t>36:</w:t>
      </w:r>
      <w:r w:rsidR="00D0608B">
        <w:rPr>
          <w:rFonts w:cstheme="minorHAnsi"/>
        </w:rPr>
        <w:t xml:space="preserve"> </w:t>
      </w:r>
      <w:r w:rsidRPr="00D0608B">
        <w:rPr>
          <w:rFonts w:cstheme="minorHAnsi"/>
        </w:rPr>
        <w:t>65-74.</w:t>
      </w:r>
    </w:p>
    <w:p w14:paraId="71EE0944" w14:textId="77777777" w:rsidR="00F476FF" w:rsidRPr="00A133CE" w:rsidRDefault="00F476FF" w:rsidP="006C24F9">
      <w:pPr>
        <w:rPr>
          <w:rFonts w:cstheme="minorHAnsi"/>
        </w:rPr>
      </w:pPr>
    </w:p>
    <w:p w14:paraId="09EA3DCA" w14:textId="65F46DF1" w:rsidR="00F50F2C" w:rsidRPr="004E10A0" w:rsidRDefault="00F50F2C" w:rsidP="006C24F9">
      <w:pPr>
        <w:rPr>
          <w:rFonts w:cstheme="minorHAnsi"/>
        </w:rPr>
      </w:pPr>
      <w:r w:rsidRPr="004E10A0">
        <w:rPr>
          <w:rFonts w:cstheme="minorHAnsi"/>
        </w:rPr>
        <w:t>European Monitoring Centre for Drugs and Drug Addiction</w:t>
      </w:r>
      <w:r w:rsidR="00751240" w:rsidRPr="004E10A0">
        <w:rPr>
          <w:rFonts w:cstheme="minorHAnsi"/>
        </w:rPr>
        <w:t xml:space="preserve"> (EMCDDA), (2012), </w:t>
      </w:r>
      <w:r w:rsidRPr="004E10A0">
        <w:rPr>
          <w:rFonts w:cstheme="minorHAnsi"/>
          <w:i/>
          <w:iCs/>
        </w:rPr>
        <w:t>Early Warning System: National Profiles</w:t>
      </w:r>
      <w:r w:rsidRPr="004E10A0">
        <w:rPr>
          <w:rFonts w:cstheme="minorHAnsi"/>
        </w:rPr>
        <w:t xml:space="preserve">. Lisbon: EMCDDA. </w:t>
      </w:r>
      <w:hyperlink r:id="rId13" w:history="1">
        <w:r w:rsidRPr="004E10A0">
          <w:rPr>
            <w:rStyle w:val="Hyperlink"/>
            <w:rFonts w:cstheme="minorHAnsi"/>
          </w:rPr>
          <w:t>http://www.emcdda.europa.eu/attachements.cfm/att_157279_EN_EWS%20profiles.pdf</w:t>
        </w:r>
      </w:hyperlink>
    </w:p>
    <w:p w14:paraId="54863C02" w14:textId="77777777" w:rsidR="00831D34" w:rsidRPr="006C24F9" w:rsidRDefault="00831D34" w:rsidP="006C24F9">
      <w:pPr>
        <w:rPr>
          <w:rFonts w:cstheme="minorHAnsi"/>
          <w:highlight w:val="yellow"/>
        </w:rPr>
      </w:pPr>
      <w:bookmarkStart w:id="17" w:name="_Hlk527287512"/>
    </w:p>
    <w:p w14:paraId="6E1B811B" w14:textId="35F4B1D5" w:rsidR="008B313D" w:rsidRPr="006C24F9" w:rsidRDefault="00831D34" w:rsidP="006C24F9">
      <w:pPr>
        <w:rPr>
          <w:rFonts w:cstheme="minorHAnsi"/>
        </w:rPr>
      </w:pPr>
      <w:r w:rsidRPr="006C24F9">
        <w:rPr>
          <w:rFonts w:cstheme="minorHAnsi"/>
        </w:rPr>
        <w:t>European Monitoring Centre for Drugs and Drug Addiction</w:t>
      </w:r>
      <w:bookmarkEnd w:id="17"/>
      <w:r w:rsidR="00C21E1F" w:rsidRPr="006C24F9">
        <w:rPr>
          <w:rFonts w:cstheme="minorHAnsi"/>
        </w:rPr>
        <w:t xml:space="preserve"> (EMCDDA)</w:t>
      </w:r>
      <w:r w:rsidR="00CC1500" w:rsidRPr="006C24F9">
        <w:rPr>
          <w:rFonts w:cstheme="minorHAnsi"/>
        </w:rPr>
        <w:t>, (2017)</w:t>
      </w:r>
      <w:r w:rsidR="00C21E1F" w:rsidRPr="006C24F9">
        <w:rPr>
          <w:rFonts w:cstheme="minorHAnsi"/>
        </w:rPr>
        <w:t xml:space="preserve">, </w:t>
      </w:r>
      <w:r w:rsidRPr="006C24F9">
        <w:rPr>
          <w:rFonts w:cstheme="minorHAnsi"/>
          <w:i/>
        </w:rPr>
        <w:t>Health and social responses to drug problems: A European guide</w:t>
      </w:r>
      <w:r w:rsidRPr="006C24F9">
        <w:rPr>
          <w:rFonts w:cstheme="minorHAnsi"/>
        </w:rPr>
        <w:t>, Lisbon: EMCDDA.</w:t>
      </w:r>
    </w:p>
    <w:p w14:paraId="19EC939F" w14:textId="4B0BCB8F" w:rsidR="00401D44" w:rsidRDefault="00401D44" w:rsidP="006C24F9">
      <w:pPr>
        <w:rPr>
          <w:rFonts w:cstheme="minorHAnsi"/>
          <w:highlight w:val="yellow"/>
        </w:rPr>
      </w:pPr>
    </w:p>
    <w:p w14:paraId="1E8D0BF6" w14:textId="57B93F6A" w:rsidR="00912404" w:rsidRDefault="00912404" w:rsidP="006C24F9">
      <w:pPr>
        <w:rPr>
          <w:rFonts w:cstheme="minorHAnsi"/>
          <w:highlight w:val="yellow"/>
        </w:rPr>
      </w:pPr>
      <w:r>
        <w:rPr>
          <w:rFonts w:cstheme="minorHAnsi"/>
        </w:rPr>
        <w:t>Eventbrite (2019),</w:t>
      </w:r>
      <w:r w:rsidRPr="00912404">
        <w:t xml:space="preserve"> </w:t>
      </w:r>
      <w:r w:rsidRPr="00912404">
        <w:rPr>
          <w:rFonts w:cstheme="minorHAnsi"/>
        </w:rPr>
        <w:t>Eventbrite Pulse Report 2018: All the Event Industry Statistics You Need to Know</w:t>
      </w:r>
      <w:r>
        <w:rPr>
          <w:rFonts w:cstheme="minorHAnsi"/>
        </w:rPr>
        <w:t xml:space="preserve">. Online at: </w:t>
      </w:r>
      <w:hyperlink r:id="rId14" w:history="1">
        <w:r w:rsidRPr="003160B1">
          <w:rPr>
            <w:rStyle w:val="Hyperlink"/>
            <w:rFonts w:cstheme="minorHAnsi"/>
          </w:rPr>
          <w:t>https://www.eventbrite.co.uk/blog/academy/uk-event-industry-in-numbers-ds00/</w:t>
        </w:r>
      </w:hyperlink>
      <w:r>
        <w:rPr>
          <w:rFonts w:cstheme="minorHAnsi"/>
        </w:rPr>
        <w:t xml:space="preserve"> </w:t>
      </w:r>
    </w:p>
    <w:p w14:paraId="5BA86495" w14:textId="28A5FBD1" w:rsidR="006C13B0" w:rsidRPr="0059481C" w:rsidRDefault="006C13B0" w:rsidP="006C24F9">
      <w:pPr>
        <w:rPr>
          <w:rFonts w:cstheme="minorHAnsi"/>
        </w:rPr>
      </w:pPr>
    </w:p>
    <w:p w14:paraId="02BA49AF" w14:textId="0BAFECE2" w:rsidR="0059481C" w:rsidRPr="0059481C" w:rsidRDefault="0059481C" w:rsidP="006C24F9">
      <w:pPr>
        <w:rPr>
          <w:rFonts w:cstheme="minorHAnsi"/>
        </w:rPr>
      </w:pPr>
      <w:bookmarkStart w:id="18" w:name="_Hlk43302354"/>
      <w:r w:rsidRPr="0059481C">
        <w:rPr>
          <w:rFonts w:cstheme="minorHAnsi"/>
        </w:rPr>
        <w:t xml:space="preserve">Fisher, H. and Measham, F. (2018), </w:t>
      </w:r>
      <w:r w:rsidRPr="0059481C">
        <w:rPr>
          <w:rFonts w:cstheme="minorHAnsi"/>
          <w:i/>
        </w:rPr>
        <w:t>Night Lives</w:t>
      </w:r>
      <w:r w:rsidRPr="0059481C">
        <w:rPr>
          <w:rFonts w:cstheme="minorHAnsi"/>
        </w:rPr>
        <w:t xml:space="preserve">, London: APPG, Durham University, The Loop and Volteface, pp.1-88. </w:t>
      </w:r>
      <w:hyperlink r:id="rId15" w:history="1">
        <w:r w:rsidRPr="0059481C">
          <w:rPr>
            <w:rStyle w:val="Hyperlink"/>
            <w:rFonts w:cstheme="minorHAnsi"/>
          </w:rPr>
          <w:t>http://volteface.me/app/uploads/2018/07/Night-Lives-PDF.pdf</w:t>
        </w:r>
      </w:hyperlink>
      <w:bookmarkEnd w:id="18"/>
    </w:p>
    <w:p w14:paraId="1C4FCBBE" w14:textId="3C480041" w:rsidR="005E1E44" w:rsidRDefault="005E1E44" w:rsidP="006C24F9">
      <w:pPr>
        <w:rPr>
          <w:rFonts w:cstheme="minorHAnsi"/>
        </w:rPr>
      </w:pPr>
    </w:p>
    <w:p w14:paraId="313E9B5A" w14:textId="65837E4F" w:rsidR="005E1E44" w:rsidRPr="00F536FD" w:rsidRDefault="005E1E44" w:rsidP="005E1E44">
      <w:pPr>
        <w:rPr>
          <w:rFonts w:cstheme="minorHAnsi"/>
        </w:rPr>
      </w:pPr>
      <w:r w:rsidRPr="005E1E44">
        <w:rPr>
          <w:rFonts w:cstheme="minorHAnsi"/>
        </w:rPr>
        <w:t xml:space="preserve">Fox, J., Smith, A., Yale, A., Chow, C., </w:t>
      </w:r>
      <w:proofErr w:type="spellStart"/>
      <w:r w:rsidRPr="005E1E44">
        <w:rPr>
          <w:rFonts w:cstheme="minorHAnsi"/>
        </w:rPr>
        <w:t>Alaswad</w:t>
      </w:r>
      <w:proofErr w:type="spellEnd"/>
      <w:r w:rsidRPr="005E1E44">
        <w:rPr>
          <w:rFonts w:cstheme="minorHAnsi"/>
        </w:rPr>
        <w:t>, E., Cushing,</w:t>
      </w:r>
      <w:r>
        <w:rPr>
          <w:rFonts w:cstheme="minorHAnsi"/>
        </w:rPr>
        <w:t xml:space="preserve"> </w:t>
      </w:r>
      <w:r w:rsidRPr="005E1E44">
        <w:rPr>
          <w:rFonts w:cstheme="minorHAnsi"/>
        </w:rPr>
        <w:t>T., &amp; Monte, A. (2017)</w:t>
      </w:r>
      <w:r>
        <w:rPr>
          <w:rFonts w:cstheme="minorHAnsi"/>
        </w:rPr>
        <w:t>,</w:t>
      </w:r>
      <w:r w:rsidRPr="005E1E44">
        <w:rPr>
          <w:rFonts w:cstheme="minorHAnsi"/>
        </w:rPr>
        <w:t xml:space="preserve"> Drugs of abuse and novel psychoactive substances at outdoor music festivals in</w:t>
      </w:r>
      <w:r>
        <w:rPr>
          <w:rFonts w:cstheme="minorHAnsi"/>
        </w:rPr>
        <w:t xml:space="preserve"> </w:t>
      </w:r>
      <w:r w:rsidRPr="005E1E44">
        <w:rPr>
          <w:rFonts w:cstheme="minorHAnsi"/>
        </w:rPr>
        <w:t>Colorado</w:t>
      </w:r>
      <w:r>
        <w:rPr>
          <w:rFonts w:cstheme="minorHAnsi"/>
        </w:rPr>
        <w:t xml:space="preserve">, </w:t>
      </w:r>
      <w:r w:rsidRPr="005E1E44">
        <w:rPr>
          <w:rFonts w:cstheme="minorHAnsi"/>
          <w:i/>
          <w:iCs/>
        </w:rPr>
        <w:t>Substance Use &amp; Misuse</w:t>
      </w:r>
      <w:r w:rsidRPr="005E1E44">
        <w:rPr>
          <w:rFonts w:cstheme="minorHAnsi"/>
        </w:rPr>
        <w:t>, 53</w:t>
      </w:r>
      <w:r>
        <w:rPr>
          <w:rFonts w:cstheme="minorHAnsi"/>
        </w:rPr>
        <w:t xml:space="preserve"> </w:t>
      </w:r>
      <w:r w:rsidRPr="005E1E44">
        <w:rPr>
          <w:rFonts w:cstheme="minorHAnsi"/>
        </w:rPr>
        <w:t>(7)</w:t>
      </w:r>
      <w:r>
        <w:rPr>
          <w:rFonts w:cstheme="minorHAnsi"/>
        </w:rPr>
        <w:t xml:space="preserve">: </w:t>
      </w:r>
      <w:r w:rsidRPr="005E1E44">
        <w:rPr>
          <w:rFonts w:cstheme="minorHAnsi"/>
        </w:rPr>
        <w:t>1203</w:t>
      </w:r>
      <w:r>
        <w:rPr>
          <w:rFonts w:cstheme="minorHAnsi"/>
        </w:rPr>
        <w:t>-</w:t>
      </w:r>
      <w:r w:rsidRPr="005E1E44">
        <w:rPr>
          <w:rFonts w:cstheme="minorHAnsi"/>
        </w:rPr>
        <w:t>1211.</w:t>
      </w:r>
    </w:p>
    <w:p w14:paraId="4B4ACF57" w14:textId="77777777" w:rsidR="00BC5F6A" w:rsidRPr="00F536FD" w:rsidRDefault="00BC5F6A" w:rsidP="006C24F9">
      <w:pPr>
        <w:rPr>
          <w:rFonts w:cstheme="minorHAnsi"/>
        </w:rPr>
      </w:pPr>
    </w:p>
    <w:p w14:paraId="598E9145" w14:textId="53C38B50" w:rsidR="00712CBD" w:rsidRPr="006B1D04" w:rsidRDefault="00DE6D34" w:rsidP="006C24F9">
      <w:pPr>
        <w:rPr>
          <w:rFonts w:cstheme="minorHAnsi"/>
        </w:rPr>
      </w:pPr>
      <w:proofErr w:type="spellStart"/>
      <w:r w:rsidRPr="006B1D04">
        <w:rPr>
          <w:rFonts w:cstheme="minorHAnsi"/>
        </w:rPr>
        <w:t>Gmel</w:t>
      </w:r>
      <w:proofErr w:type="spellEnd"/>
      <w:r w:rsidRPr="006B1D04">
        <w:rPr>
          <w:rFonts w:cstheme="minorHAnsi"/>
        </w:rPr>
        <w:t xml:space="preserve">, </w:t>
      </w:r>
      <w:r w:rsidR="00DC6A57" w:rsidRPr="006B1D04">
        <w:rPr>
          <w:rFonts w:cstheme="minorHAnsi"/>
        </w:rPr>
        <w:t>G.,</w:t>
      </w:r>
      <w:r w:rsidRPr="006B1D04">
        <w:rPr>
          <w:rFonts w:cstheme="minorHAnsi"/>
        </w:rPr>
        <w:t xml:space="preserve"> </w:t>
      </w:r>
      <w:proofErr w:type="spellStart"/>
      <w:r w:rsidRPr="006B1D04">
        <w:rPr>
          <w:rFonts w:cstheme="minorHAnsi"/>
        </w:rPr>
        <w:t>Gaume</w:t>
      </w:r>
      <w:proofErr w:type="spellEnd"/>
      <w:r w:rsidRPr="006B1D04">
        <w:rPr>
          <w:rFonts w:cstheme="minorHAnsi"/>
        </w:rPr>
        <w:t xml:space="preserve">, </w:t>
      </w:r>
      <w:r w:rsidR="00DC6A57" w:rsidRPr="006B1D04">
        <w:rPr>
          <w:rFonts w:cstheme="minorHAnsi"/>
        </w:rPr>
        <w:t xml:space="preserve">J., </w:t>
      </w:r>
      <w:proofErr w:type="spellStart"/>
      <w:r w:rsidRPr="006B1D04">
        <w:rPr>
          <w:rFonts w:cstheme="minorHAnsi"/>
        </w:rPr>
        <w:t>Bertholet</w:t>
      </w:r>
      <w:proofErr w:type="spellEnd"/>
      <w:r w:rsidRPr="006B1D04">
        <w:rPr>
          <w:rFonts w:cstheme="minorHAnsi"/>
        </w:rPr>
        <w:t xml:space="preserve">, </w:t>
      </w:r>
      <w:r w:rsidR="00DC6A57" w:rsidRPr="006B1D04">
        <w:rPr>
          <w:rFonts w:cstheme="minorHAnsi"/>
        </w:rPr>
        <w:t>N.,</w:t>
      </w:r>
      <w:r w:rsidRPr="006B1D04">
        <w:rPr>
          <w:rFonts w:cstheme="minorHAnsi"/>
        </w:rPr>
        <w:t xml:space="preserve"> </w:t>
      </w:r>
      <w:proofErr w:type="spellStart"/>
      <w:r w:rsidRPr="006B1D04">
        <w:rPr>
          <w:rFonts w:cstheme="minorHAnsi"/>
        </w:rPr>
        <w:t>Flückiger</w:t>
      </w:r>
      <w:proofErr w:type="spellEnd"/>
      <w:r w:rsidRPr="006B1D04">
        <w:rPr>
          <w:rFonts w:cstheme="minorHAnsi"/>
        </w:rPr>
        <w:t xml:space="preserve">, </w:t>
      </w:r>
      <w:r w:rsidR="00DC6A57" w:rsidRPr="006B1D04">
        <w:rPr>
          <w:rFonts w:cstheme="minorHAnsi"/>
        </w:rPr>
        <w:t>J. and</w:t>
      </w:r>
      <w:r w:rsidRPr="006B1D04">
        <w:rPr>
          <w:rFonts w:cstheme="minorHAnsi"/>
        </w:rPr>
        <w:t xml:space="preserve"> </w:t>
      </w:r>
      <w:proofErr w:type="spellStart"/>
      <w:r w:rsidRPr="006B1D04">
        <w:rPr>
          <w:rFonts w:cstheme="minorHAnsi"/>
        </w:rPr>
        <w:t>Daeppen</w:t>
      </w:r>
      <w:proofErr w:type="spellEnd"/>
      <w:r w:rsidRPr="006B1D04">
        <w:rPr>
          <w:rFonts w:cstheme="minorHAnsi"/>
        </w:rPr>
        <w:t xml:space="preserve">, </w:t>
      </w:r>
      <w:r w:rsidR="00DC6A57" w:rsidRPr="006B1D04">
        <w:rPr>
          <w:rFonts w:cstheme="minorHAnsi"/>
        </w:rPr>
        <w:t>J</w:t>
      </w:r>
      <w:r w:rsidR="00D17865" w:rsidRPr="006B1D04">
        <w:rPr>
          <w:rFonts w:cstheme="minorHAnsi"/>
        </w:rPr>
        <w:t>-B</w:t>
      </w:r>
      <w:r w:rsidR="00DC6A57" w:rsidRPr="006B1D04">
        <w:rPr>
          <w:rFonts w:cstheme="minorHAnsi"/>
        </w:rPr>
        <w:t xml:space="preserve">. </w:t>
      </w:r>
      <w:r w:rsidRPr="006B1D04">
        <w:rPr>
          <w:rFonts w:cstheme="minorHAnsi"/>
        </w:rPr>
        <w:t xml:space="preserve">(2013), </w:t>
      </w:r>
      <w:r w:rsidR="00712CBD" w:rsidRPr="006B1D04">
        <w:rPr>
          <w:rFonts w:cstheme="minorHAnsi"/>
        </w:rPr>
        <w:t>Effectiveness of a brief integrative multiple substance use intervention among young men with and without booster sessions</w:t>
      </w:r>
      <w:r w:rsidRPr="006B1D04">
        <w:rPr>
          <w:rFonts w:cstheme="minorHAnsi"/>
        </w:rPr>
        <w:t xml:space="preserve">, </w:t>
      </w:r>
      <w:r w:rsidRPr="006B1D04">
        <w:rPr>
          <w:rFonts w:cstheme="minorHAnsi"/>
          <w:i/>
          <w:iCs/>
        </w:rPr>
        <w:t>Journal of Substance Abuse Treatment</w:t>
      </w:r>
      <w:r w:rsidRPr="006B1D04">
        <w:rPr>
          <w:rFonts w:cstheme="minorHAnsi"/>
        </w:rPr>
        <w:t>, 44: 231-240.</w:t>
      </w:r>
    </w:p>
    <w:p w14:paraId="22B69258" w14:textId="28A67734" w:rsidR="00CA105D" w:rsidRDefault="00CA105D" w:rsidP="006C24F9">
      <w:pPr>
        <w:rPr>
          <w:rFonts w:cstheme="minorHAnsi"/>
        </w:rPr>
      </w:pPr>
    </w:p>
    <w:p w14:paraId="1537BE8A" w14:textId="436D398B" w:rsidR="008A35FB" w:rsidRDefault="008A35FB" w:rsidP="006C24F9">
      <w:pPr>
        <w:rPr>
          <w:rFonts w:cstheme="minorHAnsi"/>
        </w:rPr>
      </w:pPr>
      <w:r>
        <w:rPr>
          <w:rFonts w:cstheme="minorHAnsi"/>
        </w:rPr>
        <w:t>Guardian (2014),</w:t>
      </w:r>
      <w:r w:rsidRPr="008A35FB">
        <w:t xml:space="preserve"> </w:t>
      </w:r>
      <w:r w:rsidRPr="008A35FB">
        <w:rPr>
          <w:rFonts w:cstheme="minorHAnsi"/>
        </w:rPr>
        <w:t>Teenager died after taking ketamine at festival, inquest hears</w:t>
      </w:r>
      <w:r>
        <w:rPr>
          <w:rFonts w:cstheme="minorHAnsi"/>
        </w:rPr>
        <w:t xml:space="preserve">, 12 February, </w:t>
      </w:r>
      <w:hyperlink r:id="rId16" w:history="1">
        <w:r w:rsidR="005446F2" w:rsidRPr="00C65BFE">
          <w:rPr>
            <w:rStyle w:val="Hyperlink"/>
            <w:rFonts w:cstheme="minorHAnsi"/>
          </w:rPr>
          <w:t>https://www.theguardian.com/science/2014/feb/12/ellie-rowe-18-died-ketamine-festival-inquest</w:t>
        </w:r>
      </w:hyperlink>
      <w:r>
        <w:rPr>
          <w:rFonts w:cstheme="minorHAnsi"/>
        </w:rPr>
        <w:t xml:space="preserve"> </w:t>
      </w:r>
    </w:p>
    <w:p w14:paraId="08529FB3" w14:textId="77777777" w:rsidR="00AB37A1" w:rsidRDefault="00AB37A1" w:rsidP="006C24F9">
      <w:pPr>
        <w:rPr>
          <w:rFonts w:cstheme="minorHAnsi"/>
        </w:rPr>
      </w:pPr>
    </w:p>
    <w:p w14:paraId="566C2568" w14:textId="6A77A2D4" w:rsidR="00386902" w:rsidRPr="008548AB" w:rsidRDefault="00386902" w:rsidP="006C24F9">
      <w:pPr>
        <w:rPr>
          <w:rFonts w:cstheme="minorHAnsi"/>
        </w:rPr>
      </w:pPr>
      <w:r w:rsidRPr="008548AB">
        <w:rPr>
          <w:rFonts w:cstheme="minorHAnsi"/>
        </w:rPr>
        <w:t>Hesse M</w:t>
      </w:r>
      <w:r w:rsidR="008F19A6" w:rsidRPr="008548AB">
        <w:rPr>
          <w:rFonts w:cstheme="minorHAnsi"/>
        </w:rPr>
        <w:t xml:space="preserve">. and </w:t>
      </w:r>
      <w:proofErr w:type="spellStart"/>
      <w:r w:rsidRPr="008548AB">
        <w:rPr>
          <w:rFonts w:cstheme="minorHAnsi"/>
        </w:rPr>
        <w:t>Tutenges</w:t>
      </w:r>
      <w:proofErr w:type="spellEnd"/>
      <w:r w:rsidR="008F19A6" w:rsidRPr="008548AB">
        <w:rPr>
          <w:rFonts w:cstheme="minorHAnsi"/>
        </w:rPr>
        <w:t>,</w:t>
      </w:r>
      <w:r w:rsidRPr="008548AB">
        <w:rPr>
          <w:rFonts w:cstheme="minorHAnsi"/>
        </w:rPr>
        <w:t xml:space="preserve"> S. (2012)</w:t>
      </w:r>
      <w:r w:rsidR="008F19A6" w:rsidRPr="008548AB">
        <w:rPr>
          <w:rFonts w:cstheme="minorHAnsi"/>
        </w:rPr>
        <w:t>,</w:t>
      </w:r>
      <w:r w:rsidRPr="008548AB">
        <w:rPr>
          <w:rFonts w:cstheme="minorHAnsi"/>
        </w:rPr>
        <w:t xml:space="preserve"> Music and substance preferences among festival</w:t>
      </w:r>
      <w:r w:rsidR="008F19A6" w:rsidRPr="008548AB">
        <w:rPr>
          <w:rFonts w:cstheme="minorHAnsi"/>
        </w:rPr>
        <w:t xml:space="preserve"> a</w:t>
      </w:r>
      <w:r w:rsidRPr="008548AB">
        <w:rPr>
          <w:rFonts w:cstheme="minorHAnsi"/>
        </w:rPr>
        <w:t>ttendants</w:t>
      </w:r>
      <w:r w:rsidR="008F19A6" w:rsidRPr="008548AB">
        <w:rPr>
          <w:rFonts w:cstheme="minorHAnsi"/>
        </w:rPr>
        <w:t xml:space="preserve">, </w:t>
      </w:r>
      <w:r w:rsidRPr="008548AB">
        <w:rPr>
          <w:rFonts w:cstheme="minorHAnsi"/>
          <w:i/>
        </w:rPr>
        <w:t>Drugs and Alcohol Today</w:t>
      </w:r>
      <w:r w:rsidR="008F19A6" w:rsidRPr="008548AB">
        <w:rPr>
          <w:rFonts w:cstheme="minorHAnsi"/>
        </w:rPr>
        <w:t xml:space="preserve">, </w:t>
      </w:r>
      <w:r w:rsidRPr="008548AB">
        <w:rPr>
          <w:rFonts w:cstheme="minorHAnsi"/>
        </w:rPr>
        <w:t>12</w:t>
      </w:r>
      <w:r w:rsidR="008F19A6" w:rsidRPr="008548AB">
        <w:rPr>
          <w:rFonts w:cstheme="minorHAnsi"/>
        </w:rPr>
        <w:t xml:space="preserve"> </w:t>
      </w:r>
      <w:r w:rsidRPr="008548AB">
        <w:rPr>
          <w:rFonts w:cstheme="minorHAnsi"/>
        </w:rPr>
        <w:t>(2):</w:t>
      </w:r>
      <w:r w:rsidR="008F19A6" w:rsidRPr="008548AB">
        <w:rPr>
          <w:rFonts w:cstheme="minorHAnsi"/>
        </w:rPr>
        <w:t xml:space="preserve"> </w:t>
      </w:r>
      <w:r w:rsidRPr="008548AB">
        <w:rPr>
          <w:rFonts w:cstheme="minorHAnsi"/>
        </w:rPr>
        <w:t>82–88.</w:t>
      </w:r>
    </w:p>
    <w:p w14:paraId="7AF63C61" w14:textId="77777777" w:rsidR="00386902" w:rsidRPr="008548AB" w:rsidRDefault="00386902" w:rsidP="006C24F9">
      <w:pPr>
        <w:rPr>
          <w:rFonts w:cstheme="minorHAnsi"/>
        </w:rPr>
      </w:pPr>
    </w:p>
    <w:p w14:paraId="41EDA3B6" w14:textId="54164B3E" w:rsidR="00103AD1" w:rsidRPr="00D0608B" w:rsidRDefault="00103AD1" w:rsidP="006C24F9">
      <w:pPr>
        <w:rPr>
          <w:rFonts w:cstheme="minorHAnsi"/>
        </w:rPr>
      </w:pPr>
      <w:r w:rsidRPr="00D0608B">
        <w:rPr>
          <w:rFonts w:cstheme="minorHAnsi"/>
        </w:rPr>
        <w:t>Jackson R</w:t>
      </w:r>
      <w:r w:rsidR="00D0608B">
        <w:rPr>
          <w:rFonts w:cstheme="minorHAnsi"/>
        </w:rPr>
        <w:t>.</w:t>
      </w:r>
      <w:r w:rsidRPr="00D0608B">
        <w:rPr>
          <w:rFonts w:cstheme="minorHAnsi"/>
        </w:rPr>
        <w:t>,</w:t>
      </w:r>
      <w:r w:rsidR="001931D6" w:rsidRPr="00D0608B">
        <w:rPr>
          <w:rFonts w:cstheme="minorHAnsi"/>
        </w:rPr>
        <w:t xml:space="preserve"> </w:t>
      </w:r>
      <w:r w:rsidRPr="00D0608B">
        <w:rPr>
          <w:rFonts w:cstheme="minorHAnsi"/>
        </w:rPr>
        <w:t>Johnson M</w:t>
      </w:r>
      <w:r w:rsidR="00D0608B">
        <w:rPr>
          <w:rFonts w:cstheme="minorHAnsi"/>
        </w:rPr>
        <w:t>.</w:t>
      </w:r>
      <w:r w:rsidRPr="00D0608B">
        <w:rPr>
          <w:rFonts w:cstheme="minorHAnsi"/>
        </w:rPr>
        <w:t>,</w:t>
      </w:r>
      <w:r w:rsidR="001931D6" w:rsidRPr="00D0608B">
        <w:rPr>
          <w:rFonts w:cstheme="minorHAnsi"/>
        </w:rPr>
        <w:t xml:space="preserve"> </w:t>
      </w:r>
      <w:r w:rsidRPr="00D0608B">
        <w:rPr>
          <w:rFonts w:cstheme="minorHAnsi"/>
        </w:rPr>
        <w:t>Campbell F</w:t>
      </w:r>
      <w:r w:rsidR="00D0608B">
        <w:rPr>
          <w:rFonts w:cstheme="minorHAnsi"/>
        </w:rPr>
        <w:t>.</w:t>
      </w:r>
      <w:r w:rsidRPr="00D0608B">
        <w:rPr>
          <w:rFonts w:cstheme="minorHAnsi"/>
        </w:rPr>
        <w:t>,</w:t>
      </w:r>
      <w:r w:rsidR="001931D6" w:rsidRPr="00D0608B">
        <w:rPr>
          <w:rFonts w:cstheme="minorHAnsi"/>
        </w:rPr>
        <w:t xml:space="preserve"> </w:t>
      </w:r>
      <w:r w:rsidRPr="00D0608B">
        <w:rPr>
          <w:rFonts w:cstheme="minorHAnsi"/>
        </w:rPr>
        <w:t>et al.,</w:t>
      </w:r>
      <w:r w:rsidR="001931D6" w:rsidRPr="00D0608B">
        <w:rPr>
          <w:rFonts w:cstheme="minorHAnsi"/>
        </w:rPr>
        <w:t xml:space="preserve"> </w:t>
      </w:r>
      <w:r w:rsidR="00D0608B" w:rsidRPr="00D0608B">
        <w:rPr>
          <w:rFonts w:cstheme="minorHAnsi"/>
        </w:rPr>
        <w:t xml:space="preserve">(2009), </w:t>
      </w:r>
      <w:r w:rsidRPr="00D0608B">
        <w:rPr>
          <w:rFonts w:cstheme="minorHAnsi"/>
          <w:i/>
          <w:iCs/>
        </w:rPr>
        <w:t>Screening and Brief Interventions for Prevention and Early Identification of Alcohol Use Disorders in Adults and Young People: Report to the NICE Centre for Public Health Excellence</w:t>
      </w:r>
      <w:r w:rsidRPr="00D0608B">
        <w:rPr>
          <w:rFonts w:cstheme="minorHAnsi"/>
        </w:rPr>
        <w:t>,</w:t>
      </w:r>
      <w:r w:rsidR="001931D6" w:rsidRPr="00D0608B">
        <w:rPr>
          <w:rFonts w:cstheme="minorHAnsi"/>
        </w:rPr>
        <w:t xml:space="preserve"> </w:t>
      </w:r>
      <w:r w:rsidRPr="00D0608B">
        <w:rPr>
          <w:rFonts w:cstheme="minorHAnsi"/>
        </w:rPr>
        <w:t>Sheffield</w:t>
      </w:r>
      <w:r w:rsidR="00D0608B" w:rsidRPr="00D0608B">
        <w:rPr>
          <w:rFonts w:cstheme="minorHAnsi"/>
        </w:rPr>
        <w:t>:</w:t>
      </w:r>
      <w:r w:rsidRPr="00D0608B">
        <w:rPr>
          <w:rFonts w:cstheme="minorHAnsi"/>
        </w:rPr>
        <w:t xml:space="preserve"> University of Sheffield</w:t>
      </w:r>
      <w:r w:rsidR="001931D6" w:rsidRPr="00D0608B">
        <w:rPr>
          <w:rFonts w:cstheme="minorHAnsi"/>
        </w:rPr>
        <w:t>.</w:t>
      </w:r>
    </w:p>
    <w:p w14:paraId="3F000A0A" w14:textId="5BC45BCC" w:rsidR="00103AD1" w:rsidRPr="00C02495" w:rsidRDefault="00103AD1" w:rsidP="006C24F9">
      <w:pPr>
        <w:rPr>
          <w:rFonts w:cstheme="minorHAnsi"/>
        </w:rPr>
      </w:pPr>
    </w:p>
    <w:p w14:paraId="170276C1" w14:textId="79F67D0F" w:rsidR="00C02495" w:rsidRPr="00C02495" w:rsidRDefault="00C02495" w:rsidP="00C02495">
      <w:pPr>
        <w:rPr>
          <w:rFonts w:cstheme="minorHAnsi"/>
        </w:rPr>
      </w:pPr>
      <w:r w:rsidRPr="00C02495">
        <w:rPr>
          <w:rFonts w:cstheme="minorHAnsi"/>
        </w:rPr>
        <w:t xml:space="preserve">Johnson, </w:t>
      </w:r>
      <w:r>
        <w:rPr>
          <w:rFonts w:cstheme="minorHAnsi"/>
        </w:rPr>
        <w:t>C., Stansfield, C. and Hassan, V. (2020), F</w:t>
      </w:r>
      <w:r w:rsidRPr="00C02495">
        <w:rPr>
          <w:rFonts w:cstheme="minorHAnsi"/>
        </w:rPr>
        <w:t>estival testing: A survey of suspected drugs seized from New Zealand</w:t>
      </w:r>
      <w:r>
        <w:rPr>
          <w:rFonts w:cstheme="minorHAnsi"/>
        </w:rPr>
        <w:t xml:space="preserve"> </w:t>
      </w:r>
      <w:r w:rsidRPr="00C02495">
        <w:rPr>
          <w:rFonts w:cstheme="minorHAnsi"/>
        </w:rPr>
        <w:t>music festivals, December 2018 to March 2019</w:t>
      </w:r>
      <w:r>
        <w:rPr>
          <w:rFonts w:cstheme="minorHAnsi"/>
        </w:rPr>
        <w:t xml:space="preserve">, </w:t>
      </w:r>
      <w:r w:rsidRPr="00C02495">
        <w:rPr>
          <w:rFonts w:cstheme="minorHAnsi"/>
          <w:i/>
          <w:iCs/>
        </w:rPr>
        <w:t>Forensic Science International</w:t>
      </w:r>
      <w:r>
        <w:rPr>
          <w:rFonts w:cstheme="minorHAnsi"/>
        </w:rPr>
        <w:t xml:space="preserve">, 313, 110367. </w:t>
      </w:r>
    </w:p>
    <w:p w14:paraId="167252CB" w14:textId="77777777" w:rsidR="00C02495" w:rsidRPr="00C02495" w:rsidRDefault="00C02495" w:rsidP="006C24F9">
      <w:pPr>
        <w:rPr>
          <w:rFonts w:cstheme="minorHAnsi"/>
        </w:rPr>
      </w:pPr>
    </w:p>
    <w:p w14:paraId="27064734" w14:textId="617EDA99" w:rsidR="008A604A" w:rsidRPr="006C24F9" w:rsidRDefault="008A604A" w:rsidP="006C24F9">
      <w:pPr>
        <w:rPr>
          <w:rFonts w:cstheme="minorHAnsi"/>
        </w:rPr>
      </w:pPr>
      <w:r w:rsidRPr="006C24F9">
        <w:rPr>
          <w:rFonts w:cstheme="minorHAnsi"/>
        </w:rPr>
        <w:t>Johnston</w:t>
      </w:r>
      <w:r w:rsidR="007D4ED9" w:rsidRPr="006C24F9">
        <w:rPr>
          <w:rFonts w:cstheme="minorHAnsi"/>
        </w:rPr>
        <w:t>,</w:t>
      </w:r>
      <w:r w:rsidRPr="006C24F9">
        <w:rPr>
          <w:rFonts w:cstheme="minorHAnsi"/>
        </w:rPr>
        <w:t xml:space="preserve"> J</w:t>
      </w:r>
      <w:r w:rsidR="007D4ED9" w:rsidRPr="006C24F9">
        <w:rPr>
          <w:rFonts w:cstheme="minorHAnsi"/>
        </w:rPr>
        <w:t>.</w:t>
      </w:r>
      <w:r w:rsidRPr="006C24F9">
        <w:rPr>
          <w:rFonts w:cstheme="minorHAnsi"/>
        </w:rPr>
        <w:t>, Barratt</w:t>
      </w:r>
      <w:r w:rsidR="007D4ED9" w:rsidRPr="006C24F9">
        <w:rPr>
          <w:rFonts w:cstheme="minorHAnsi"/>
        </w:rPr>
        <w:t>,</w:t>
      </w:r>
      <w:r w:rsidRPr="006C24F9">
        <w:rPr>
          <w:rFonts w:cstheme="minorHAnsi"/>
        </w:rPr>
        <w:t xml:space="preserve"> M</w:t>
      </w:r>
      <w:r w:rsidR="007D4ED9" w:rsidRPr="006C24F9">
        <w:rPr>
          <w:rFonts w:cstheme="minorHAnsi"/>
        </w:rPr>
        <w:t>.</w:t>
      </w:r>
      <w:r w:rsidRPr="006C24F9">
        <w:rPr>
          <w:rFonts w:cstheme="minorHAnsi"/>
        </w:rPr>
        <w:t>, Fry</w:t>
      </w:r>
      <w:r w:rsidR="007D4ED9" w:rsidRPr="006C24F9">
        <w:rPr>
          <w:rFonts w:cstheme="minorHAnsi"/>
        </w:rPr>
        <w:t>,</w:t>
      </w:r>
      <w:r w:rsidRPr="006C24F9">
        <w:rPr>
          <w:rFonts w:cstheme="minorHAnsi"/>
        </w:rPr>
        <w:t xml:space="preserve"> C</w:t>
      </w:r>
      <w:r w:rsidR="007D4ED9" w:rsidRPr="006C24F9">
        <w:rPr>
          <w:rFonts w:cstheme="minorHAnsi"/>
        </w:rPr>
        <w:t>.</w:t>
      </w:r>
      <w:r w:rsidRPr="006C24F9">
        <w:rPr>
          <w:rFonts w:cstheme="minorHAnsi"/>
        </w:rPr>
        <w:t xml:space="preserve">, </w:t>
      </w:r>
      <w:proofErr w:type="spellStart"/>
      <w:r w:rsidRPr="006C24F9">
        <w:rPr>
          <w:rFonts w:cstheme="minorHAnsi"/>
        </w:rPr>
        <w:t>Kinner</w:t>
      </w:r>
      <w:proofErr w:type="spellEnd"/>
      <w:r w:rsidR="007D4ED9" w:rsidRPr="006C24F9">
        <w:rPr>
          <w:rFonts w:cstheme="minorHAnsi"/>
        </w:rPr>
        <w:t>,</w:t>
      </w:r>
      <w:r w:rsidRPr="006C24F9">
        <w:rPr>
          <w:rFonts w:cstheme="minorHAnsi"/>
        </w:rPr>
        <w:t xml:space="preserve"> S</w:t>
      </w:r>
      <w:r w:rsidR="007D4ED9" w:rsidRPr="006C24F9">
        <w:rPr>
          <w:rFonts w:cstheme="minorHAnsi"/>
        </w:rPr>
        <w:t>.</w:t>
      </w:r>
      <w:r w:rsidRPr="006C24F9">
        <w:rPr>
          <w:rFonts w:cstheme="minorHAnsi"/>
        </w:rPr>
        <w:t xml:space="preserve">, </w:t>
      </w:r>
      <w:proofErr w:type="spellStart"/>
      <w:r w:rsidRPr="006C24F9">
        <w:rPr>
          <w:rFonts w:cstheme="minorHAnsi"/>
        </w:rPr>
        <w:t>Stoové</w:t>
      </w:r>
      <w:proofErr w:type="spellEnd"/>
      <w:r w:rsidR="007D4ED9" w:rsidRPr="006C24F9">
        <w:rPr>
          <w:rFonts w:cstheme="minorHAnsi"/>
        </w:rPr>
        <w:t>,</w:t>
      </w:r>
      <w:r w:rsidRPr="006C24F9">
        <w:rPr>
          <w:rFonts w:cstheme="minorHAnsi"/>
        </w:rPr>
        <w:t xml:space="preserve"> M</w:t>
      </w:r>
      <w:r w:rsidR="007D4ED9" w:rsidRPr="006C24F9">
        <w:rPr>
          <w:rFonts w:cstheme="minorHAnsi"/>
        </w:rPr>
        <w:t>.,</w:t>
      </w:r>
      <w:r w:rsidRPr="006C24F9">
        <w:rPr>
          <w:rFonts w:cstheme="minorHAnsi"/>
        </w:rPr>
        <w:t xml:space="preserve"> Degenhardt</w:t>
      </w:r>
      <w:r w:rsidR="007D4ED9" w:rsidRPr="006C24F9">
        <w:rPr>
          <w:rFonts w:cstheme="minorHAnsi"/>
        </w:rPr>
        <w:t>,</w:t>
      </w:r>
      <w:r w:rsidRPr="006C24F9">
        <w:rPr>
          <w:rFonts w:cstheme="minorHAnsi"/>
        </w:rPr>
        <w:t xml:space="preserve"> L</w:t>
      </w:r>
      <w:r w:rsidR="007D4ED9" w:rsidRPr="006C24F9">
        <w:rPr>
          <w:rFonts w:cstheme="minorHAnsi"/>
        </w:rPr>
        <w:t>.</w:t>
      </w:r>
      <w:r w:rsidR="001E2AF6" w:rsidRPr="006C24F9">
        <w:rPr>
          <w:rFonts w:cstheme="minorHAnsi"/>
        </w:rPr>
        <w:t>, George, J., Jenkinson, R., Dunn, M. and Bruno, R.</w:t>
      </w:r>
      <w:r w:rsidR="007D4ED9" w:rsidRPr="006C24F9">
        <w:rPr>
          <w:rFonts w:cstheme="minorHAnsi"/>
        </w:rPr>
        <w:t xml:space="preserve"> (2006), </w:t>
      </w:r>
      <w:r w:rsidRPr="006C24F9">
        <w:rPr>
          <w:rFonts w:cstheme="minorHAnsi"/>
        </w:rPr>
        <w:t xml:space="preserve">A survey of regular ecstasy users’ knowledge and </w:t>
      </w:r>
      <w:r w:rsidRPr="006C24F9">
        <w:rPr>
          <w:rFonts w:cstheme="minorHAnsi"/>
        </w:rPr>
        <w:lastRenderedPageBreak/>
        <w:t>practices around determining pill content and purity: Implications for policy and practice</w:t>
      </w:r>
      <w:r w:rsidR="007D4ED9" w:rsidRPr="006C24F9">
        <w:rPr>
          <w:rFonts w:cstheme="minorHAnsi"/>
        </w:rPr>
        <w:t xml:space="preserve">, </w:t>
      </w:r>
      <w:r w:rsidRPr="006C24F9">
        <w:rPr>
          <w:rFonts w:cstheme="minorHAnsi"/>
          <w:i/>
        </w:rPr>
        <w:t>International Journal of</w:t>
      </w:r>
      <w:r w:rsidR="0084622B" w:rsidRPr="006C24F9">
        <w:rPr>
          <w:rFonts w:cstheme="minorHAnsi"/>
          <w:i/>
        </w:rPr>
        <w:t xml:space="preserve"> Drug Policy</w:t>
      </w:r>
      <w:r w:rsidR="007D4ED9" w:rsidRPr="006C24F9">
        <w:rPr>
          <w:rFonts w:cstheme="minorHAnsi"/>
        </w:rPr>
        <w:t xml:space="preserve">, </w:t>
      </w:r>
      <w:r w:rsidRPr="006C24F9">
        <w:rPr>
          <w:rFonts w:cstheme="minorHAnsi"/>
        </w:rPr>
        <w:t>17</w:t>
      </w:r>
      <w:r w:rsidR="00EF57AD" w:rsidRPr="006C24F9">
        <w:rPr>
          <w:rFonts w:cstheme="minorHAnsi"/>
        </w:rPr>
        <w:t xml:space="preserve"> </w:t>
      </w:r>
      <w:r w:rsidRPr="006C24F9">
        <w:rPr>
          <w:rFonts w:cstheme="minorHAnsi"/>
        </w:rPr>
        <w:t>(6):</w:t>
      </w:r>
      <w:r w:rsidR="00EF57AD" w:rsidRPr="006C24F9">
        <w:rPr>
          <w:rFonts w:cstheme="minorHAnsi"/>
        </w:rPr>
        <w:t xml:space="preserve"> </w:t>
      </w:r>
      <w:r w:rsidRPr="006C24F9">
        <w:rPr>
          <w:rFonts w:cstheme="minorHAnsi"/>
        </w:rPr>
        <w:t xml:space="preserve">464-72. </w:t>
      </w:r>
    </w:p>
    <w:p w14:paraId="71A423FF" w14:textId="0B4AC569" w:rsidR="008A604A" w:rsidRPr="006C24F9" w:rsidRDefault="008A604A" w:rsidP="006C24F9">
      <w:pPr>
        <w:rPr>
          <w:rFonts w:cstheme="minorHAnsi"/>
          <w:highlight w:val="yellow"/>
        </w:rPr>
      </w:pPr>
    </w:p>
    <w:p w14:paraId="5B77409F" w14:textId="59BD10E5" w:rsidR="00A8063C" w:rsidRPr="00CB7768" w:rsidRDefault="00A8063C" w:rsidP="006C24F9">
      <w:pPr>
        <w:rPr>
          <w:rFonts w:cstheme="minorHAnsi"/>
        </w:rPr>
      </w:pPr>
      <w:proofErr w:type="spellStart"/>
      <w:r w:rsidRPr="00CB7768">
        <w:rPr>
          <w:rFonts w:cstheme="minorHAnsi"/>
        </w:rPr>
        <w:t>Kaner</w:t>
      </w:r>
      <w:proofErr w:type="spellEnd"/>
      <w:r w:rsidRPr="00CB7768">
        <w:rPr>
          <w:rFonts w:cstheme="minorHAnsi"/>
        </w:rPr>
        <w:t xml:space="preserve"> E</w:t>
      </w:r>
      <w:r w:rsidR="00CB7768">
        <w:rPr>
          <w:rFonts w:cstheme="minorHAnsi"/>
        </w:rPr>
        <w:t>.</w:t>
      </w:r>
      <w:r w:rsidRPr="00CB7768">
        <w:rPr>
          <w:rFonts w:cstheme="minorHAnsi"/>
        </w:rPr>
        <w:t>, Dickinson H</w:t>
      </w:r>
      <w:r w:rsidR="00CB7768">
        <w:rPr>
          <w:rFonts w:cstheme="minorHAnsi"/>
        </w:rPr>
        <w:t>.</w:t>
      </w:r>
      <w:r w:rsidRPr="00CB7768">
        <w:rPr>
          <w:rFonts w:cstheme="minorHAnsi"/>
        </w:rPr>
        <w:t>, Beyer F</w:t>
      </w:r>
      <w:r w:rsidR="00CB7768">
        <w:rPr>
          <w:rFonts w:cstheme="minorHAnsi"/>
        </w:rPr>
        <w:t>.</w:t>
      </w:r>
      <w:r w:rsidRPr="00CB7768">
        <w:rPr>
          <w:rFonts w:cstheme="minorHAnsi"/>
        </w:rPr>
        <w:t>, Pienaar E</w:t>
      </w:r>
      <w:r w:rsidR="00CB7768">
        <w:rPr>
          <w:rFonts w:cstheme="minorHAnsi"/>
        </w:rPr>
        <w:t>.</w:t>
      </w:r>
      <w:r w:rsidRPr="00CB7768">
        <w:rPr>
          <w:rFonts w:cstheme="minorHAnsi"/>
        </w:rPr>
        <w:t>, Schlesinger C</w:t>
      </w:r>
      <w:r w:rsidR="00CB7768">
        <w:rPr>
          <w:rFonts w:cstheme="minorHAnsi"/>
        </w:rPr>
        <w:t>.</w:t>
      </w:r>
      <w:r w:rsidRPr="00CB7768">
        <w:rPr>
          <w:rFonts w:cstheme="minorHAnsi"/>
        </w:rPr>
        <w:t>, Campbell F</w:t>
      </w:r>
      <w:r w:rsidR="00CB7768">
        <w:rPr>
          <w:rFonts w:cstheme="minorHAnsi"/>
        </w:rPr>
        <w:t>.</w:t>
      </w:r>
      <w:r w:rsidRPr="00CB7768">
        <w:rPr>
          <w:rFonts w:cstheme="minorHAnsi"/>
        </w:rPr>
        <w:t>, Saunders J</w:t>
      </w:r>
      <w:r w:rsidR="00CB7768">
        <w:rPr>
          <w:rFonts w:cstheme="minorHAnsi"/>
        </w:rPr>
        <w:t>.</w:t>
      </w:r>
      <w:r w:rsidRPr="00CB7768">
        <w:rPr>
          <w:rFonts w:cstheme="minorHAnsi"/>
        </w:rPr>
        <w:t xml:space="preserve">, </w:t>
      </w:r>
      <w:proofErr w:type="spellStart"/>
      <w:r w:rsidRPr="00CB7768">
        <w:rPr>
          <w:rFonts w:cstheme="minorHAnsi"/>
        </w:rPr>
        <w:t>Burnand</w:t>
      </w:r>
      <w:proofErr w:type="spellEnd"/>
      <w:r w:rsidRPr="00CB7768">
        <w:rPr>
          <w:rFonts w:cstheme="minorHAnsi"/>
        </w:rPr>
        <w:t xml:space="preserve"> B</w:t>
      </w:r>
      <w:r w:rsidR="00CB7768">
        <w:rPr>
          <w:rFonts w:cstheme="minorHAnsi"/>
        </w:rPr>
        <w:t>. and</w:t>
      </w:r>
      <w:r w:rsidRPr="00CB7768">
        <w:rPr>
          <w:rFonts w:cstheme="minorHAnsi"/>
        </w:rPr>
        <w:t xml:space="preserve"> Heather N. </w:t>
      </w:r>
      <w:r w:rsidR="00CB7768">
        <w:rPr>
          <w:rFonts w:cstheme="minorHAnsi"/>
        </w:rPr>
        <w:t>(</w:t>
      </w:r>
      <w:r w:rsidR="008457B9">
        <w:rPr>
          <w:rFonts w:cstheme="minorHAnsi"/>
        </w:rPr>
        <w:t xml:space="preserve">2009), </w:t>
      </w:r>
      <w:r w:rsidRPr="00CB7768">
        <w:rPr>
          <w:rFonts w:cstheme="minorHAnsi"/>
        </w:rPr>
        <w:t>The effectiveness of brief alcohol interventions in primary care settings: a systematic review</w:t>
      </w:r>
      <w:r w:rsidR="008457B9">
        <w:rPr>
          <w:rFonts w:cstheme="minorHAnsi"/>
        </w:rPr>
        <w:t xml:space="preserve">, </w:t>
      </w:r>
      <w:r w:rsidRPr="00CB7768">
        <w:rPr>
          <w:rFonts w:cstheme="minorHAnsi"/>
          <w:i/>
        </w:rPr>
        <w:t xml:space="preserve">Drug </w:t>
      </w:r>
      <w:r w:rsidR="00F04290">
        <w:rPr>
          <w:rFonts w:cstheme="minorHAnsi"/>
          <w:i/>
        </w:rPr>
        <w:t xml:space="preserve">and </w:t>
      </w:r>
      <w:r w:rsidRPr="00CB7768">
        <w:rPr>
          <w:rFonts w:cstheme="minorHAnsi"/>
          <w:i/>
        </w:rPr>
        <w:t>Alcohol Review</w:t>
      </w:r>
      <w:r w:rsidR="008457B9">
        <w:rPr>
          <w:rFonts w:cstheme="minorHAnsi"/>
        </w:rPr>
        <w:t xml:space="preserve">, </w:t>
      </w:r>
      <w:r w:rsidRPr="00CB7768">
        <w:rPr>
          <w:rFonts w:cstheme="minorHAnsi"/>
        </w:rPr>
        <w:t>28</w:t>
      </w:r>
      <w:r w:rsidR="008457B9">
        <w:rPr>
          <w:rFonts w:cstheme="minorHAnsi"/>
        </w:rPr>
        <w:t xml:space="preserve"> </w:t>
      </w:r>
      <w:r w:rsidRPr="00CB7768">
        <w:rPr>
          <w:rFonts w:cstheme="minorHAnsi"/>
        </w:rPr>
        <w:t>(3):</w:t>
      </w:r>
      <w:r w:rsidR="008457B9">
        <w:rPr>
          <w:rFonts w:cstheme="minorHAnsi"/>
        </w:rPr>
        <w:t xml:space="preserve"> </w:t>
      </w:r>
      <w:r w:rsidRPr="00CB7768">
        <w:rPr>
          <w:rFonts w:cstheme="minorHAnsi"/>
        </w:rPr>
        <w:t>301-</w:t>
      </w:r>
      <w:r w:rsidR="00F04290">
        <w:rPr>
          <w:rFonts w:cstheme="minorHAnsi"/>
        </w:rPr>
        <w:t>3</w:t>
      </w:r>
      <w:r w:rsidRPr="00CB7768">
        <w:rPr>
          <w:rFonts w:cstheme="minorHAnsi"/>
        </w:rPr>
        <w:t>23.</w:t>
      </w:r>
    </w:p>
    <w:p w14:paraId="4655250A" w14:textId="689E0A2B" w:rsidR="00187B88" w:rsidRPr="00A20AC0" w:rsidRDefault="00187B88" w:rsidP="006C24F9">
      <w:pPr>
        <w:rPr>
          <w:rFonts w:cstheme="minorHAnsi"/>
        </w:rPr>
      </w:pPr>
    </w:p>
    <w:p w14:paraId="11F8F063" w14:textId="11B9FDB3" w:rsidR="00342EDE" w:rsidRPr="00A20AC0" w:rsidRDefault="00342EDE" w:rsidP="006C24F9">
      <w:pPr>
        <w:rPr>
          <w:rFonts w:cstheme="minorHAnsi"/>
        </w:rPr>
      </w:pPr>
      <w:r w:rsidRPr="00A20AC0">
        <w:rPr>
          <w:rFonts w:cstheme="minorHAnsi"/>
        </w:rPr>
        <w:t>Kerr</w:t>
      </w:r>
      <w:r w:rsidR="00AE60F3" w:rsidRPr="00A20AC0">
        <w:rPr>
          <w:rFonts w:cstheme="minorHAnsi"/>
        </w:rPr>
        <w:t>, T.</w:t>
      </w:r>
      <w:r w:rsidRPr="00A20AC0">
        <w:rPr>
          <w:rFonts w:cstheme="minorHAnsi"/>
        </w:rPr>
        <w:t xml:space="preserve"> and Tupper</w:t>
      </w:r>
      <w:r w:rsidR="00AE60F3" w:rsidRPr="00A20AC0">
        <w:rPr>
          <w:rFonts w:cstheme="minorHAnsi"/>
        </w:rPr>
        <w:t>, K.</w:t>
      </w:r>
      <w:r w:rsidR="0004409C" w:rsidRPr="00A20AC0">
        <w:rPr>
          <w:rFonts w:cstheme="minorHAnsi"/>
        </w:rPr>
        <w:t xml:space="preserve"> (2017),</w:t>
      </w:r>
      <w:r w:rsidRPr="00A20AC0">
        <w:rPr>
          <w:rFonts w:cstheme="minorHAnsi"/>
        </w:rPr>
        <w:t xml:space="preserve"> </w:t>
      </w:r>
      <w:r w:rsidR="00AE60F3" w:rsidRPr="00A20AC0">
        <w:rPr>
          <w:rFonts w:cstheme="minorHAnsi"/>
          <w:i/>
          <w:iCs/>
        </w:rPr>
        <w:t>Drug checking as a harm reduction intervention: Evidence Review Report</w:t>
      </w:r>
      <w:r w:rsidR="0004409C" w:rsidRPr="00A20AC0">
        <w:rPr>
          <w:rFonts w:cstheme="minorHAnsi"/>
        </w:rPr>
        <w:t xml:space="preserve">, </w:t>
      </w:r>
      <w:r w:rsidR="00AE60F3" w:rsidRPr="00A20AC0">
        <w:rPr>
          <w:rFonts w:cstheme="minorHAnsi"/>
        </w:rPr>
        <w:t>Vancouver: British Columbia Centre on Substance Use</w:t>
      </w:r>
      <w:r w:rsidRPr="00A20AC0">
        <w:rPr>
          <w:rFonts w:cstheme="minorHAnsi"/>
        </w:rPr>
        <w:t xml:space="preserve">. </w:t>
      </w:r>
    </w:p>
    <w:p w14:paraId="746808A7" w14:textId="77777777" w:rsidR="00A47C52" w:rsidRPr="006C24F9" w:rsidRDefault="00A47C52" w:rsidP="006C24F9">
      <w:pPr>
        <w:rPr>
          <w:rFonts w:cstheme="minorHAnsi"/>
          <w:highlight w:val="yellow"/>
        </w:rPr>
      </w:pPr>
    </w:p>
    <w:p w14:paraId="7EF80763" w14:textId="75A89F84" w:rsidR="00BC1A90" w:rsidRPr="006C24F9" w:rsidRDefault="00187B88" w:rsidP="006C24F9">
      <w:pPr>
        <w:rPr>
          <w:rFonts w:cstheme="minorHAnsi"/>
        </w:rPr>
      </w:pPr>
      <w:proofErr w:type="spellStart"/>
      <w:r w:rsidRPr="006C24F9">
        <w:rPr>
          <w:rFonts w:cstheme="minorHAnsi"/>
        </w:rPr>
        <w:t>Kriener</w:t>
      </w:r>
      <w:proofErr w:type="spellEnd"/>
      <w:r w:rsidRPr="006C24F9">
        <w:rPr>
          <w:rFonts w:cstheme="minorHAnsi"/>
        </w:rPr>
        <w:t xml:space="preserve">, H. and Schmid, R., </w:t>
      </w:r>
      <w:r w:rsidR="00D66CFA" w:rsidRPr="006C24F9">
        <w:rPr>
          <w:rFonts w:cstheme="minorHAnsi"/>
        </w:rPr>
        <w:t xml:space="preserve">(2002), </w:t>
      </w:r>
      <w:r w:rsidRPr="006C24F9">
        <w:rPr>
          <w:rFonts w:cstheme="minorHAnsi"/>
        </w:rPr>
        <w:t xml:space="preserve">Check your pills. Check your life. </w:t>
      </w:r>
      <w:proofErr w:type="spellStart"/>
      <w:r w:rsidRPr="006C24F9">
        <w:rPr>
          <w:rFonts w:cstheme="minorHAnsi"/>
        </w:rPr>
        <w:t>ChEck</w:t>
      </w:r>
      <w:proofErr w:type="spellEnd"/>
      <w:r w:rsidRPr="006C24F9">
        <w:rPr>
          <w:rFonts w:cstheme="minorHAnsi"/>
        </w:rPr>
        <w:t xml:space="preserve"> it!! High quality on-site testing of illicit substances: Information counselling and safer use measures at raves in Austria, Vienna: </w:t>
      </w:r>
      <w:proofErr w:type="spellStart"/>
      <w:proofErr w:type="gramStart"/>
      <w:r w:rsidRPr="006C24F9">
        <w:rPr>
          <w:rFonts w:cstheme="minorHAnsi"/>
        </w:rPr>
        <w:t>CheckIT</w:t>
      </w:r>
      <w:proofErr w:type="spellEnd"/>
      <w:r w:rsidRPr="006C24F9">
        <w:rPr>
          <w:rFonts w:cstheme="minorHAnsi"/>
        </w:rPr>
        <w:t>!</w:t>
      </w:r>
      <w:r w:rsidR="00342EDE" w:rsidRPr="006C24F9">
        <w:rPr>
          <w:rFonts w:cstheme="minorHAnsi"/>
        </w:rPr>
        <w:t>.</w:t>
      </w:r>
      <w:proofErr w:type="gramEnd"/>
    </w:p>
    <w:p w14:paraId="74A98FD1" w14:textId="7ED3E391" w:rsidR="00F6288B" w:rsidRDefault="00F6288B" w:rsidP="006C24F9">
      <w:pPr>
        <w:rPr>
          <w:rFonts w:cstheme="minorHAnsi"/>
          <w:highlight w:val="yellow"/>
        </w:rPr>
      </w:pPr>
    </w:p>
    <w:p w14:paraId="6EE57E19" w14:textId="6C27F102" w:rsidR="00EB6128" w:rsidRPr="006C24F9" w:rsidRDefault="00EB6128" w:rsidP="006C24F9">
      <w:pPr>
        <w:rPr>
          <w:rFonts w:cstheme="minorHAnsi"/>
        </w:rPr>
      </w:pPr>
      <w:proofErr w:type="spellStart"/>
      <w:r w:rsidRPr="006C24F9">
        <w:rPr>
          <w:rFonts w:cstheme="minorHAnsi"/>
        </w:rPr>
        <w:t>Leece</w:t>
      </w:r>
      <w:proofErr w:type="spellEnd"/>
      <w:r w:rsidRPr="006C24F9">
        <w:rPr>
          <w:rFonts w:cstheme="minorHAnsi"/>
        </w:rPr>
        <w:t xml:space="preserve">, P. (2017), </w:t>
      </w:r>
      <w:r w:rsidRPr="006C24F9">
        <w:rPr>
          <w:rFonts w:cstheme="minorHAnsi"/>
          <w:i/>
        </w:rPr>
        <w:t>Evidence Brief: Drug checking services as a harm reduction intervention</w:t>
      </w:r>
      <w:r w:rsidRPr="006C24F9">
        <w:rPr>
          <w:rFonts w:cstheme="minorHAnsi"/>
        </w:rPr>
        <w:t>, Ontario Agency for Health Protection and Promotion (Public Health Ontario), Toronto: Queen’s Printer for Ontario.</w:t>
      </w:r>
    </w:p>
    <w:p w14:paraId="1EA2C014" w14:textId="77777777" w:rsidR="009C1CB9" w:rsidRPr="006C24F9" w:rsidRDefault="009C1CB9" w:rsidP="006C24F9">
      <w:pPr>
        <w:rPr>
          <w:rFonts w:cstheme="minorHAnsi"/>
          <w:highlight w:val="yellow"/>
        </w:rPr>
      </w:pPr>
    </w:p>
    <w:p w14:paraId="64AF72E4" w14:textId="56464C71" w:rsidR="009C1CB9" w:rsidRPr="006C24F9" w:rsidRDefault="009C1CB9" w:rsidP="006C24F9">
      <w:pPr>
        <w:rPr>
          <w:rFonts w:cstheme="minorHAnsi"/>
        </w:rPr>
      </w:pPr>
      <w:proofErr w:type="spellStart"/>
      <w:r w:rsidRPr="006C24F9">
        <w:rPr>
          <w:rFonts w:cstheme="minorHAnsi"/>
        </w:rPr>
        <w:t>Liamis</w:t>
      </w:r>
      <w:proofErr w:type="spellEnd"/>
      <w:r w:rsidR="00CA105D" w:rsidRPr="006C24F9">
        <w:rPr>
          <w:rFonts w:cstheme="minorHAnsi"/>
        </w:rPr>
        <w:t>,</w:t>
      </w:r>
      <w:r w:rsidRPr="006C24F9">
        <w:rPr>
          <w:rFonts w:cstheme="minorHAnsi"/>
        </w:rPr>
        <w:t xml:space="preserve"> G</w:t>
      </w:r>
      <w:r w:rsidR="00CA105D" w:rsidRPr="006C24F9">
        <w:rPr>
          <w:rFonts w:cstheme="minorHAnsi"/>
        </w:rPr>
        <w:t>.</w:t>
      </w:r>
      <w:r w:rsidRPr="006C24F9">
        <w:rPr>
          <w:rFonts w:cstheme="minorHAnsi"/>
        </w:rPr>
        <w:t>, Milionis</w:t>
      </w:r>
      <w:r w:rsidR="00CA105D" w:rsidRPr="006C24F9">
        <w:rPr>
          <w:rFonts w:cstheme="minorHAnsi"/>
        </w:rPr>
        <w:t>,</w:t>
      </w:r>
      <w:r w:rsidRPr="006C24F9">
        <w:rPr>
          <w:rFonts w:cstheme="minorHAnsi"/>
        </w:rPr>
        <w:t xml:space="preserve"> H</w:t>
      </w:r>
      <w:r w:rsidR="00CA105D" w:rsidRPr="006C24F9">
        <w:rPr>
          <w:rFonts w:cstheme="minorHAnsi"/>
        </w:rPr>
        <w:t>. and</w:t>
      </w:r>
      <w:r w:rsidRPr="006C24F9">
        <w:rPr>
          <w:rFonts w:cstheme="minorHAnsi"/>
        </w:rPr>
        <w:t xml:space="preserve"> </w:t>
      </w:r>
      <w:proofErr w:type="spellStart"/>
      <w:r w:rsidRPr="006C24F9">
        <w:rPr>
          <w:rFonts w:cstheme="minorHAnsi"/>
        </w:rPr>
        <w:t>Elisaf</w:t>
      </w:r>
      <w:proofErr w:type="spellEnd"/>
      <w:r w:rsidR="00CA105D" w:rsidRPr="006C24F9">
        <w:rPr>
          <w:rFonts w:cstheme="minorHAnsi"/>
        </w:rPr>
        <w:t>,</w:t>
      </w:r>
      <w:r w:rsidRPr="006C24F9">
        <w:rPr>
          <w:rFonts w:cstheme="minorHAnsi"/>
        </w:rPr>
        <w:t xml:space="preserve"> M. </w:t>
      </w:r>
      <w:r w:rsidR="00CA105D" w:rsidRPr="006C24F9">
        <w:rPr>
          <w:rFonts w:cstheme="minorHAnsi"/>
        </w:rPr>
        <w:t xml:space="preserve">(2008), </w:t>
      </w:r>
      <w:r w:rsidRPr="006C24F9">
        <w:rPr>
          <w:rFonts w:cstheme="minorHAnsi"/>
        </w:rPr>
        <w:t>A review of drug-induced hyponatremia</w:t>
      </w:r>
      <w:r w:rsidR="00CA105D" w:rsidRPr="006C24F9">
        <w:rPr>
          <w:rFonts w:cstheme="minorHAnsi"/>
        </w:rPr>
        <w:t xml:space="preserve">, </w:t>
      </w:r>
      <w:r w:rsidR="00CA105D" w:rsidRPr="006C24F9">
        <w:rPr>
          <w:rFonts w:cstheme="minorHAnsi"/>
          <w:i/>
          <w:iCs/>
        </w:rPr>
        <w:t>American Journal of Kidney Diseases</w:t>
      </w:r>
      <w:r w:rsidR="00CA105D" w:rsidRPr="006C24F9">
        <w:rPr>
          <w:rFonts w:cstheme="minorHAnsi"/>
        </w:rPr>
        <w:t xml:space="preserve">, </w:t>
      </w:r>
      <w:r w:rsidRPr="006C24F9">
        <w:rPr>
          <w:rFonts w:cstheme="minorHAnsi"/>
        </w:rPr>
        <w:t>52:</w:t>
      </w:r>
      <w:r w:rsidR="00CA105D" w:rsidRPr="006C24F9">
        <w:rPr>
          <w:rFonts w:cstheme="minorHAnsi"/>
        </w:rPr>
        <w:t xml:space="preserve"> </w:t>
      </w:r>
      <w:r w:rsidRPr="006C24F9">
        <w:rPr>
          <w:rFonts w:cstheme="minorHAnsi"/>
        </w:rPr>
        <w:t>144</w:t>
      </w:r>
      <w:r w:rsidR="00CA105D" w:rsidRPr="006C24F9">
        <w:rPr>
          <w:rFonts w:cstheme="minorHAnsi"/>
        </w:rPr>
        <w:t>-</w:t>
      </w:r>
      <w:r w:rsidRPr="006C24F9">
        <w:rPr>
          <w:rFonts w:cstheme="minorHAnsi"/>
        </w:rPr>
        <w:t>153.</w:t>
      </w:r>
    </w:p>
    <w:p w14:paraId="464D9155" w14:textId="4198372D" w:rsidR="001B3874" w:rsidRPr="006C24F9" w:rsidRDefault="001B3874" w:rsidP="006C24F9">
      <w:pPr>
        <w:rPr>
          <w:rFonts w:cstheme="minorHAnsi"/>
          <w:highlight w:val="yellow"/>
        </w:rPr>
      </w:pPr>
    </w:p>
    <w:p w14:paraId="0789A15A" w14:textId="1DD1C740" w:rsidR="00386902" w:rsidRPr="00FC42E1" w:rsidRDefault="00386902" w:rsidP="006C24F9">
      <w:pPr>
        <w:rPr>
          <w:rFonts w:cstheme="minorHAnsi"/>
        </w:rPr>
      </w:pPr>
      <w:r w:rsidRPr="00FC42E1">
        <w:rPr>
          <w:rFonts w:cstheme="minorHAnsi"/>
        </w:rPr>
        <w:t>Lim M</w:t>
      </w:r>
      <w:r w:rsidR="00AB1706" w:rsidRPr="00FC42E1">
        <w:rPr>
          <w:rFonts w:cstheme="minorHAnsi"/>
        </w:rPr>
        <w:t>.</w:t>
      </w:r>
      <w:r w:rsidR="00FC42E1">
        <w:rPr>
          <w:rFonts w:cstheme="minorHAnsi"/>
        </w:rPr>
        <w:t>,</w:t>
      </w:r>
      <w:r w:rsidRPr="00FC42E1">
        <w:rPr>
          <w:rFonts w:cstheme="minorHAnsi"/>
        </w:rPr>
        <w:t xml:space="preserve"> </w:t>
      </w:r>
      <w:proofErr w:type="spellStart"/>
      <w:r w:rsidRPr="00FC42E1">
        <w:rPr>
          <w:rFonts w:cstheme="minorHAnsi"/>
        </w:rPr>
        <w:t>Hellard</w:t>
      </w:r>
      <w:proofErr w:type="spellEnd"/>
      <w:r w:rsidRPr="00FC42E1">
        <w:rPr>
          <w:rFonts w:cstheme="minorHAnsi"/>
        </w:rPr>
        <w:t xml:space="preserve"> M</w:t>
      </w:r>
      <w:r w:rsidR="00AB1706" w:rsidRPr="00FC42E1">
        <w:rPr>
          <w:rFonts w:cstheme="minorHAnsi"/>
        </w:rPr>
        <w:t>.</w:t>
      </w:r>
      <w:r w:rsidR="00FC42E1">
        <w:rPr>
          <w:rFonts w:cstheme="minorHAnsi"/>
        </w:rPr>
        <w:t>,</w:t>
      </w:r>
      <w:r w:rsidRPr="00FC42E1">
        <w:rPr>
          <w:rFonts w:cstheme="minorHAnsi"/>
        </w:rPr>
        <w:t xml:space="preserve"> Hocking J</w:t>
      </w:r>
      <w:r w:rsidR="00AB1706" w:rsidRPr="00FC42E1">
        <w:rPr>
          <w:rFonts w:cstheme="minorHAnsi"/>
        </w:rPr>
        <w:t>.</w:t>
      </w:r>
      <w:r w:rsidR="00FC42E1">
        <w:rPr>
          <w:rFonts w:cstheme="minorHAnsi"/>
        </w:rPr>
        <w:t xml:space="preserve">, </w:t>
      </w:r>
      <w:r w:rsidRPr="00FC42E1">
        <w:rPr>
          <w:rFonts w:cstheme="minorHAnsi"/>
        </w:rPr>
        <w:t>Spelman</w:t>
      </w:r>
      <w:r w:rsidR="00FC42E1">
        <w:rPr>
          <w:rFonts w:cstheme="minorHAnsi"/>
        </w:rPr>
        <w:t xml:space="preserve"> </w:t>
      </w:r>
      <w:r w:rsidRPr="00FC42E1">
        <w:rPr>
          <w:rFonts w:cstheme="minorHAnsi"/>
        </w:rPr>
        <w:t>T</w:t>
      </w:r>
      <w:r w:rsidR="00AB1706" w:rsidRPr="00FC42E1">
        <w:rPr>
          <w:rFonts w:cstheme="minorHAnsi"/>
        </w:rPr>
        <w:t>.</w:t>
      </w:r>
      <w:r w:rsidRPr="00FC42E1">
        <w:rPr>
          <w:rFonts w:cstheme="minorHAnsi"/>
        </w:rPr>
        <w:t xml:space="preserve"> </w:t>
      </w:r>
      <w:r w:rsidR="00FC42E1">
        <w:rPr>
          <w:rFonts w:cstheme="minorHAnsi"/>
        </w:rPr>
        <w:t xml:space="preserve">and </w:t>
      </w:r>
      <w:r w:rsidRPr="00FC42E1">
        <w:rPr>
          <w:rFonts w:cstheme="minorHAnsi"/>
        </w:rPr>
        <w:t xml:space="preserve">Aitken C. </w:t>
      </w:r>
      <w:r w:rsidR="00FC42E1">
        <w:rPr>
          <w:rFonts w:cstheme="minorHAnsi"/>
        </w:rPr>
        <w:t xml:space="preserve">(2010), </w:t>
      </w:r>
      <w:r w:rsidRPr="00FC42E1">
        <w:rPr>
          <w:rFonts w:cstheme="minorHAnsi"/>
        </w:rPr>
        <w:t>Surveillance of drug use among young people attending a music festival in</w:t>
      </w:r>
      <w:r w:rsidR="00A17BD1" w:rsidRPr="00FC42E1">
        <w:rPr>
          <w:rFonts w:cstheme="minorHAnsi"/>
        </w:rPr>
        <w:t xml:space="preserve"> </w:t>
      </w:r>
      <w:r w:rsidRPr="00FC42E1">
        <w:rPr>
          <w:rFonts w:cstheme="minorHAnsi"/>
        </w:rPr>
        <w:t>Australia, 2005</w:t>
      </w:r>
      <w:r w:rsidR="00FC42E1">
        <w:rPr>
          <w:rFonts w:cstheme="minorHAnsi"/>
        </w:rPr>
        <w:t>-</w:t>
      </w:r>
      <w:r w:rsidRPr="00FC42E1">
        <w:rPr>
          <w:rFonts w:cstheme="minorHAnsi"/>
        </w:rPr>
        <w:t>2008</w:t>
      </w:r>
      <w:r w:rsidR="00FC42E1">
        <w:rPr>
          <w:rFonts w:cstheme="minorHAnsi"/>
        </w:rPr>
        <w:t>,</w:t>
      </w:r>
      <w:r w:rsidRPr="00FC42E1">
        <w:rPr>
          <w:rFonts w:cstheme="minorHAnsi"/>
        </w:rPr>
        <w:t xml:space="preserve"> </w:t>
      </w:r>
      <w:r w:rsidRPr="00FC42E1">
        <w:rPr>
          <w:rFonts w:cstheme="minorHAnsi"/>
          <w:i/>
        </w:rPr>
        <w:t>Drug and Alcohol Review</w:t>
      </w:r>
      <w:r w:rsidR="00FC42E1">
        <w:rPr>
          <w:rFonts w:cstheme="minorHAnsi"/>
        </w:rPr>
        <w:t xml:space="preserve">, </w:t>
      </w:r>
      <w:r w:rsidR="007033EF" w:rsidRPr="00FC42E1">
        <w:rPr>
          <w:rFonts w:cstheme="minorHAnsi"/>
        </w:rPr>
        <w:t>29</w:t>
      </w:r>
      <w:r w:rsidR="00FC42E1">
        <w:rPr>
          <w:rFonts w:cstheme="minorHAnsi"/>
        </w:rPr>
        <w:t xml:space="preserve"> </w:t>
      </w:r>
      <w:r w:rsidR="007033EF" w:rsidRPr="00FC42E1">
        <w:rPr>
          <w:rFonts w:cstheme="minorHAnsi"/>
        </w:rPr>
        <w:t>(2):</w:t>
      </w:r>
      <w:r w:rsidR="00FC42E1">
        <w:rPr>
          <w:rFonts w:cstheme="minorHAnsi"/>
        </w:rPr>
        <w:t xml:space="preserve"> </w:t>
      </w:r>
      <w:r w:rsidRPr="00FC42E1">
        <w:rPr>
          <w:rFonts w:cstheme="minorHAnsi"/>
        </w:rPr>
        <w:t>150</w:t>
      </w:r>
      <w:r w:rsidR="00FC42E1">
        <w:rPr>
          <w:rFonts w:cstheme="minorHAnsi"/>
        </w:rPr>
        <w:t>-</w:t>
      </w:r>
      <w:r w:rsidRPr="00FC42E1">
        <w:rPr>
          <w:rFonts w:cstheme="minorHAnsi"/>
        </w:rPr>
        <w:t>156.</w:t>
      </w:r>
    </w:p>
    <w:p w14:paraId="1D7AD1D7" w14:textId="77777777" w:rsidR="00712CBD" w:rsidRPr="006C24F9" w:rsidRDefault="00712CBD" w:rsidP="006C24F9">
      <w:pPr>
        <w:rPr>
          <w:rFonts w:cstheme="minorHAnsi"/>
          <w:highlight w:val="yellow"/>
        </w:rPr>
      </w:pPr>
    </w:p>
    <w:p w14:paraId="7D4FBAE5" w14:textId="16792329" w:rsidR="00386902" w:rsidRDefault="00712CBD" w:rsidP="006C24F9">
      <w:pPr>
        <w:rPr>
          <w:rFonts w:cstheme="minorHAnsi"/>
        </w:rPr>
      </w:pPr>
      <w:proofErr w:type="spellStart"/>
      <w:r w:rsidRPr="006B1D04">
        <w:rPr>
          <w:rFonts w:cstheme="minorHAnsi"/>
        </w:rPr>
        <w:t>McCambridge</w:t>
      </w:r>
      <w:proofErr w:type="spellEnd"/>
      <w:r w:rsidRPr="006B1D04">
        <w:rPr>
          <w:rFonts w:cstheme="minorHAnsi"/>
        </w:rPr>
        <w:t xml:space="preserve">, J., &amp; Strang, J. (2004), The efﬁcacy of single-session motivational interviewing in reducing drug consumption and perceptions of drug-related risk and harm among young people: Results from a multi-site cluster randomized trial, </w:t>
      </w:r>
      <w:r w:rsidRPr="006B1D04">
        <w:rPr>
          <w:rFonts w:cstheme="minorHAnsi"/>
          <w:i/>
          <w:iCs/>
        </w:rPr>
        <w:t>Addiction</w:t>
      </w:r>
      <w:r w:rsidRPr="006B1D04">
        <w:rPr>
          <w:rFonts w:cstheme="minorHAnsi"/>
        </w:rPr>
        <w:t>, 99 (1): 39</w:t>
      </w:r>
      <w:r w:rsidR="004B1353" w:rsidRPr="006B1D04">
        <w:rPr>
          <w:rFonts w:cstheme="minorHAnsi"/>
        </w:rPr>
        <w:t>-</w:t>
      </w:r>
      <w:r w:rsidRPr="006B1D04">
        <w:rPr>
          <w:rFonts w:cstheme="minorHAnsi"/>
        </w:rPr>
        <w:t>52</w:t>
      </w:r>
      <w:r w:rsidR="004B1353" w:rsidRPr="006B1D04">
        <w:rPr>
          <w:rFonts w:cstheme="minorHAnsi"/>
        </w:rPr>
        <w:t>,</w:t>
      </w:r>
      <w:r w:rsidRPr="006B1D04">
        <w:rPr>
          <w:rFonts w:cstheme="minorHAnsi"/>
        </w:rPr>
        <w:t xml:space="preserve"> 564 [</w:t>
      </w:r>
      <w:proofErr w:type="spellStart"/>
      <w:r w:rsidRPr="006B1D04">
        <w:rPr>
          <w:rFonts w:cstheme="minorHAnsi"/>
        </w:rPr>
        <w:t>pii</w:t>
      </w:r>
      <w:proofErr w:type="spellEnd"/>
      <w:r w:rsidRPr="006B1D04">
        <w:rPr>
          <w:rFonts w:cstheme="minorHAnsi"/>
        </w:rPr>
        <w:t>].</w:t>
      </w:r>
    </w:p>
    <w:p w14:paraId="2681D9B2" w14:textId="77777777" w:rsidR="009D24B6" w:rsidRDefault="009D24B6" w:rsidP="009D24B6">
      <w:pPr>
        <w:rPr>
          <w:rFonts w:cstheme="minorHAnsi"/>
        </w:rPr>
      </w:pPr>
    </w:p>
    <w:p w14:paraId="75000B43" w14:textId="058B63CC" w:rsidR="009D24B6" w:rsidRPr="009D24B6" w:rsidRDefault="009D24B6" w:rsidP="009D24B6">
      <w:pPr>
        <w:rPr>
          <w:rFonts w:cstheme="minorHAnsi"/>
        </w:rPr>
      </w:pPr>
      <w:r>
        <w:rPr>
          <w:rFonts w:cstheme="minorHAnsi"/>
        </w:rPr>
        <w:t>M</w:t>
      </w:r>
      <w:r w:rsidRPr="009D24B6">
        <w:rPr>
          <w:rFonts w:cstheme="minorHAnsi"/>
        </w:rPr>
        <w:t xml:space="preserve">cCormack, M., Measham, F. and </w:t>
      </w:r>
      <w:proofErr w:type="spellStart"/>
      <w:r w:rsidRPr="009D24B6">
        <w:rPr>
          <w:rFonts w:cstheme="minorHAnsi"/>
        </w:rPr>
        <w:t>Wignall</w:t>
      </w:r>
      <w:proofErr w:type="spellEnd"/>
      <w:r w:rsidRPr="009D24B6">
        <w:rPr>
          <w:rFonts w:cstheme="minorHAnsi"/>
        </w:rPr>
        <w:t xml:space="preserve">, L. (2021, in press), The normalization of leisure sex and recreational drugs: Exploring associations between polydrug use and sexual practices by English festival-goers, </w:t>
      </w:r>
      <w:r w:rsidRPr="009D24B6">
        <w:rPr>
          <w:rFonts w:cstheme="minorHAnsi"/>
          <w:i/>
          <w:iCs/>
        </w:rPr>
        <w:t>Contemporary Drug Problems,</w:t>
      </w:r>
      <w:r w:rsidRPr="009D24B6">
        <w:rPr>
          <w:rFonts w:cstheme="minorHAnsi"/>
        </w:rPr>
        <w:t xml:space="preserve"> doi:10.1177/00914509211009901. </w:t>
      </w:r>
    </w:p>
    <w:p w14:paraId="5EB9C162" w14:textId="4F65F854" w:rsidR="00F01E63" w:rsidRDefault="00F01E63" w:rsidP="006C24F9">
      <w:pPr>
        <w:rPr>
          <w:rFonts w:cstheme="minorHAnsi"/>
        </w:rPr>
      </w:pPr>
    </w:p>
    <w:p w14:paraId="099E4B1F" w14:textId="73E4A7B6" w:rsidR="00CA7D18" w:rsidRPr="00CA7D18" w:rsidRDefault="00CA7D18" w:rsidP="00CA7D18">
      <w:pPr>
        <w:rPr>
          <w:rFonts w:cstheme="minorHAnsi"/>
        </w:rPr>
      </w:pPr>
      <w:proofErr w:type="spellStart"/>
      <w:r w:rsidRPr="00CA7D18">
        <w:rPr>
          <w:rFonts w:cstheme="minorHAnsi"/>
        </w:rPr>
        <w:t>Maghsoudi</w:t>
      </w:r>
      <w:proofErr w:type="spellEnd"/>
      <w:r w:rsidR="00F976FB">
        <w:rPr>
          <w:rFonts w:cstheme="minorHAnsi"/>
        </w:rPr>
        <w:t xml:space="preserve">, N., </w:t>
      </w:r>
      <w:proofErr w:type="spellStart"/>
      <w:r w:rsidRPr="00CA7D18">
        <w:rPr>
          <w:rFonts w:cstheme="minorHAnsi"/>
        </w:rPr>
        <w:t>Tanguay</w:t>
      </w:r>
      <w:proofErr w:type="spellEnd"/>
      <w:r w:rsidR="00F976FB">
        <w:rPr>
          <w:rFonts w:cstheme="minorHAnsi"/>
        </w:rPr>
        <w:t xml:space="preserve">, J., </w:t>
      </w:r>
      <w:proofErr w:type="spellStart"/>
      <w:r w:rsidRPr="00CA7D18">
        <w:rPr>
          <w:rFonts w:cstheme="minorHAnsi"/>
        </w:rPr>
        <w:t>Scarfone</w:t>
      </w:r>
      <w:proofErr w:type="spellEnd"/>
      <w:r w:rsidR="00F976FB">
        <w:rPr>
          <w:rFonts w:cstheme="minorHAnsi"/>
        </w:rPr>
        <w:t>, K.,</w:t>
      </w:r>
      <w:r w:rsidRPr="00CA7D18">
        <w:rPr>
          <w:rFonts w:cstheme="minorHAnsi"/>
        </w:rPr>
        <w:t xml:space="preserve"> </w:t>
      </w:r>
      <w:proofErr w:type="spellStart"/>
      <w:r w:rsidRPr="00CA7D18">
        <w:rPr>
          <w:rFonts w:cstheme="minorHAnsi"/>
        </w:rPr>
        <w:t>Rammohan</w:t>
      </w:r>
      <w:proofErr w:type="spellEnd"/>
      <w:r w:rsidR="00F976FB">
        <w:rPr>
          <w:rFonts w:cstheme="minorHAnsi"/>
        </w:rPr>
        <w:t xml:space="preserve">, I., </w:t>
      </w:r>
      <w:r w:rsidRPr="00CA7D18">
        <w:rPr>
          <w:rFonts w:cstheme="minorHAnsi"/>
        </w:rPr>
        <w:t xml:space="preserve">Ziegler, </w:t>
      </w:r>
      <w:r w:rsidR="00F976FB">
        <w:rPr>
          <w:rFonts w:cstheme="minorHAnsi"/>
        </w:rPr>
        <w:t xml:space="preserve">C., </w:t>
      </w:r>
      <w:proofErr w:type="spellStart"/>
      <w:r w:rsidRPr="00CA7D18">
        <w:rPr>
          <w:rFonts w:cstheme="minorHAnsi"/>
        </w:rPr>
        <w:t>Werb</w:t>
      </w:r>
      <w:proofErr w:type="spellEnd"/>
      <w:r w:rsidR="00F976FB">
        <w:rPr>
          <w:rFonts w:cstheme="minorHAnsi"/>
        </w:rPr>
        <w:t>, D. and</w:t>
      </w:r>
      <w:r w:rsidRPr="00CA7D18">
        <w:rPr>
          <w:rFonts w:cstheme="minorHAnsi"/>
        </w:rPr>
        <w:t xml:space="preserve"> </w:t>
      </w:r>
      <w:proofErr w:type="spellStart"/>
      <w:r w:rsidRPr="00CA7D18">
        <w:rPr>
          <w:rFonts w:cstheme="minorHAnsi"/>
        </w:rPr>
        <w:t>Scheim</w:t>
      </w:r>
      <w:proofErr w:type="spellEnd"/>
      <w:r w:rsidR="00F976FB">
        <w:rPr>
          <w:rFonts w:cstheme="minorHAnsi"/>
        </w:rPr>
        <w:t xml:space="preserve">, A. (2021), </w:t>
      </w:r>
      <w:r w:rsidRPr="00CA7D18">
        <w:rPr>
          <w:rFonts w:cstheme="minorHAnsi"/>
        </w:rPr>
        <w:t>The Implementation of Drug Checking Services for People</w:t>
      </w:r>
      <w:r w:rsidR="00F976FB">
        <w:rPr>
          <w:rFonts w:cstheme="minorHAnsi"/>
        </w:rPr>
        <w:t xml:space="preserve"> </w:t>
      </w:r>
      <w:r w:rsidRPr="00CA7D18">
        <w:rPr>
          <w:rFonts w:cstheme="minorHAnsi"/>
        </w:rPr>
        <w:t>Who Use Drugs: A Systematic Review</w:t>
      </w:r>
      <w:r w:rsidR="00F976FB">
        <w:rPr>
          <w:rFonts w:cstheme="minorHAnsi"/>
        </w:rPr>
        <w:t>,</w:t>
      </w:r>
      <w:r w:rsidR="00F976FB" w:rsidRPr="00F976FB">
        <w:t xml:space="preserve"> </w:t>
      </w:r>
      <w:proofErr w:type="spellStart"/>
      <w:r w:rsidR="00F976FB" w:rsidRPr="00F976FB">
        <w:rPr>
          <w:rFonts w:cstheme="minorHAnsi"/>
          <w:i/>
          <w:iCs/>
        </w:rPr>
        <w:t>Qeios</w:t>
      </w:r>
      <w:proofErr w:type="spellEnd"/>
      <w:r w:rsidR="00F976FB">
        <w:rPr>
          <w:rFonts w:cstheme="minorHAnsi"/>
        </w:rPr>
        <w:t>,</w:t>
      </w:r>
      <w:r w:rsidR="00F976FB" w:rsidRPr="00F976FB">
        <w:rPr>
          <w:rFonts w:cstheme="minorHAnsi"/>
        </w:rPr>
        <w:t xml:space="preserve"> doi:10.32388/TXE86U</w:t>
      </w:r>
      <w:r w:rsidR="00F976FB">
        <w:rPr>
          <w:rFonts w:cstheme="minorHAnsi"/>
        </w:rPr>
        <w:t xml:space="preserve">. </w:t>
      </w:r>
    </w:p>
    <w:p w14:paraId="74FDB8B2" w14:textId="77777777" w:rsidR="00CA7D18" w:rsidRDefault="00CA7D18" w:rsidP="006C24F9">
      <w:pPr>
        <w:rPr>
          <w:rFonts w:cstheme="minorHAnsi"/>
        </w:rPr>
      </w:pPr>
    </w:p>
    <w:p w14:paraId="71BAB746" w14:textId="71AB9681" w:rsidR="00426BA2" w:rsidRPr="006C24F9" w:rsidRDefault="00426BA2" w:rsidP="006C24F9">
      <w:pPr>
        <w:rPr>
          <w:rFonts w:cstheme="minorHAnsi"/>
        </w:rPr>
      </w:pPr>
      <w:r w:rsidRPr="006C24F9">
        <w:rPr>
          <w:rFonts w:cstheme="minorHAnsi"/>
        </w:rPr>
        <w:t>Martins</w:t>
      </w:r>
      <w:r w:rsidR="005C57AF" w:rsidRPr="006C24F9">
        <w:rPr>
          <w:rFonts w:cstheme="minorHAnsi"/>
        </w:rPr>
        <w:t>,</w:t>
      </w:r>
      <w:r w:rsidR="00E42AD5" w:rsidRPr="006C24F9">
        <w:rPr>
          <w:rFonts w:cstheme="minorHAnsi"/>
        </w:rPr>
        <w:t xml:space="preserve"> </w:t>
      </w:r>
      <w:r w:rsidRPr="006C24F9">
        <w:rPr>
          <w:rFonts w:cstheme="minorHAnsi"/>
        </w:rPr>
        <w:t>D</w:t>
      </w:r>
      <w:r w:rsidR="005C57AF" w:rsidRPr="006C24F9">
        <w:rPr>
          <w:rFonts w:cstheme="minorHAnsi"/>
        </w:rPr>
        <w:t>.</w:t>
      </w:r>
      <w:r w:rsidRPr="006C24F9">
        <w:rPr>
          <w:rFonts w:cstheme="minorHAnsi"/>
        </w:rPr>
        <w:t>, Barratt</w:t>
      </w:r>
      <w:r w:rsidR="005C57AF" w:rsidRPr="006C24F9">
        <w:rPr>
          <w:rFonts w:cstheme="minorHAnsi"/>
        </w:rPr>
        <w:t>,</w:t>
      </w:r>
      <w:r w:rsidRPr="006C24F9">
        <w:rPr>
          <w:rFonts w:cstheme="minorHAnsi"/>
        </w:rPr>
        <w:t xml:space="preserve"> M</w:t>
      </w:r>
      <w:r w:rsidR="005C57AF" w:rsidRPr="006C24F9">
        <w:rPr>
          <w:rFonts w:cstheme="minorHAnsi"/>
        </w:rPr>
        <w:t>.</w:t>
      </w:r>
      <w:r w:rsidRPr="006C24F9">
        <w:rPr>
          <w:rFonts w:cstheme="minorHAnsi"/>
        </w:rPr>
        <w:t>, Pires</w:t>
      </w:r>
      <w:r w:rsidR="005C57AF" w:rsidRPr="006C24F9">
        <w:rPr>
          <w:rFonts w:cstheme="minorHAnsi"/>
        </w:rPr>
        <w:t>,</w:t>
      </w:r>
      <w:r w:rsidRPr="006C24F9">
        <w:rPr>
          <w:rFonts w:cstheme="minorHAnsi"/>
        </w:rPr>
        <w:t xml:space="preserve"> C</w:t>
      </w:r>
      <w:r w:rsidR="005C57AF" w:rsidRPr="006C24F9">
        <w:rPr>
          <w:rFonts w:cstheme="minorHAnsi"/>
        </w:rPr>
        <w:t>.</w:t>
      </w:r>
      <w:r w:rsidRPr="006C24F9">
        <w:rPr>
          <w:rFonts w:cstheme="minorHAnsi"/>
        </w:rPr>
        <w:t>, Carvalho</w:t>
      </w:r>
      <w:r w:rsidR="005C57AF" w:rsidRPr="006C24F9">
        <w:rPr>
          <w:rFonts w:cstheme="minorHAnsi"/>
        </w:rPr>
        <w:t>,</w:t>
      </w:r>
      <w:r w:rsidRPr="006C24F9">
        <w:rPr>
          <w:rFonts w:cstheme="minorHAnsi"/>
        </w:rPr>
        <w:t xml:space="preserve"> H</w:t>
      </w:r>
      <w:r w:rsidR="005C57AF" w:rsidRPr="006C24F9">
        <w:rPr>
          <w:rFonts w:cstheme="minorHAnsi"/>
        </w:rPr>
        <w:t>.</w:t>
      </w:r>
      <w:r w:rsidRPr="006C24F9">
        <w:rPr>
          <w:rFonts w:cstheme="minorHAnsi"/>
        </w:rPr>
        <w:t>, V</w:t>
      </w:r>
      <w:r w:rsidR="005F484B" w:rsidRPr="006C24F9">
        <w:rPr>
          <w:rFonts w:cstheme="minorHAnsi"/>
        </w:rPr>
        <w:t>entura</w:t>
      </w:r>
      <w:r w:rsidR="005C57AF" w:rsidRPr="006C24F9">
        <w:rPr>
          <w:rFonts w:cstheme="minorHAnsi"/>
        </w:rPr>
        <w:t>,</w:t>
      </w:r>
      <w:r w:rsidRPr="006C24F9">
        <w:rPr>
          <w:rFonts w:cstheme="minorHAnsi"/>
        </w:rPr>
        <w:t xml:space="preserve"> M</w:t>
      </w:r>
      <w:r w:rsidR="005C57AF" w:rsidRPr="006C24F9">
        <w:rPr>
          <w:rFonts w:cstheme="minorHAnsi"/>
        </w:rPr>
        <w:t>.</w:t>
      </w:r>
      <w:r w:rsidRPr="006C24F9">
        <w:rPr>
          <w:rFonts w:cstheme="minorHAnsi"/>
        </w:rPr>
        <w:t xml:space="preserve">, </w:t>
      </w:r>
      <w:proofErr w:type="spellStart"/>
      <w:r w:rsidR="005F484B" w:rsidRPr="006C24F9">
        <w:rPr>
          <w:rFonts w:cstheme="minorHAnsi"/>
        </w:rPr>
        <w:t>Fornís</w:t>
      </w:r>
      <w:proofErr w:type="spellEnd"/>
      <w:r w:rsidR="005C57AF" w:rsidRPr="006C24F9">
        <w:rPr>
          <w:rFonts w:cstheme="minorHAnsi"/>
        </w:rPr>
        <w:t>,</w:t>
      </w:r>
      <w:r w:rsidR="005F484B" w:rsidRPr="006C24F9">
        <w:rPr>
          <w:rFonts w:cstheme="minorHAnsi"/>
        </w:rPr>
        <w:t xml:space="preserve"> I</w:t>
      </w:r>
      <w:r w:rsidR="005C57AF" w:rsidRPr="006C24F9">
        <w:rPr>
          <w:rFonts w:cstheme="minorHAnsi"/>
        </w:rPr>
        <w:t>. and</w:t>
      </w:r>
      <w:r w:rsidR="005F484B" w:rsidRPr="006C24F9">
        <w:rPr>
          <w:rFonts w:cstheme="minorHAnsi"/>
        </w:rPr>
        <w:t xml:space="preserve"> Valente</w:t>
      </w:r>
      <w:r w:rsidR="005C57AF" w:rsidRPr="006C24F9">
        <w:rPr>
          <w:rFonts w:cstheme="minorHAnsi"/>
        </w:rPr>
        <w:t>,</w:t>
      </w:r>
      <w:r w:rsidR="005F484B" w:rsidRPr="006C24F9">
        <w:rPr>
          <w:rFonts w:cstheme="minorHAnsi"/>
        </w:rPr>
        <w:t xml:space="preserve"> H</w:t>
      </w:r>
      <w:r w:rsidR="00AD0192" w:rsidRPr="006C24F9">
        <w:rPr>
          <w:rFonts w:cstheme="minorHAnsi"/>
        </w:rPr>
        <w:t>.</w:t>
      </w:r>
      <w:r w:rsidR="005F484B" w:rsidRPr="006C24F9">
        <w:rPr>
          <w:rFonts w:cstheme="minorHAnsi"/>
        </w:rPr>
        <w:t xml:space="preserve"> </w:t>
      </w:r>
      <w:r w:rsidR="005C57AF" w:rsidRPr="006C24F9">
        <w:rPr>
          <w:rFonts w:cstheme="minorHAnsi"/>
        </w:rPr>
        <w:t xml:space="preserve">(2017), </w:t>
      </w:r>
      <w:r w:rsidR="004708FC" w:rsidRPr="006C24F9">
        <w:rPr>
          <w:rFonts w:cstheme="minorHAnsi"/>
        </w:rPr>
        <w:t xml:space="preserve">The detection and prevention of unintentional consumption of </w:t>
      </w:r>
      <w:proofErr w:type="spellStart"/>
      <w:r w:rsidR="004708FC" w:rsidRPr="006C24F9">
        <w:rPr>
          <w:rFonts w:cstheme="minorHAnsi"/>
        </w:rPr>
        <w:t>DOx</w:t>
      </w:r>
      <w:proofErr w:type="spellEnd"/>
      <w:r w:rsidR="004708FC" w:rsidRPr="006C24F9">
        <w:rPr>
          <w:rFonts w:cstheme="minorHAnsi"/>
        </w:rPr>
        <w:t xml:space="preserve"> and 25x‐NBOMe at Portugal's Boom Festival</w:t>
      </w:r>
      <w:r w:rsidR="005C57AF" w:rsidRPr="006C24F9">
        <w:rPr>
          <w:rFonts w:cstheme="minorHAnsi"/>
        </w:rPr>
        <w:t xml:space="preserve">, </w:t>
      </w:r>
      <w:r w:rsidR="00F85EE9" w:rsidRPr="006C24F9">
        <w:rPr>
          <w:rFonts w:cstheme="minorHAnsi"/>
          <w:i/>
        </w:rPr>
        <w:t>Human Psychopharmacology: Clinical and Experimental</w:t>
      </w:r>
      <w:r w:rsidR="005C57AF" w:rsidRPr="006C24F9">
        <w:rPr>
          <w:rFonts w:cstheme="minorHAnsi"/>
        </w:rPr>
        <w:t xml:space="preserve">, </w:t>
      </w:r>
      <w:r w:rsidR="00F85EE9" w:rsidRPr="006C24F9">
        <w:rPr>
          <w:rFonts w:cstheme="minorHAnsi"/>
        </w:rPr>
        <w:t>32:</w:t>
      </w:r>
      <w:r w:rsidR="000F220B" w:rsidRPr="006C24F9">
        <w:rPr>
          <w:rFonts w:cstheme="minorHAnsi"/>
        </w:rPr>
        <w:t xml:space="preserve"> </w:t>
      </w:r>
      <w:r w:rsidR="00F85EE9" w:rsidRPr="006C24F9">
        <w:rPr>
          <w:rFonts w:cstheme="minorHAnsi"/>
        </w:rPr>
        <w:t>e2608.</w:t>
      </w:r>
    </w:p>
    <w:p w14:paraId="20F7C2EC" w14:textId="77777777" w:rsidR="004708FC" w:rsidRPr="0067729C" w:rsidRDefault="004708FC" w:rsidP="006C24F9">
      <w:pPr>
        <w:rPr>
          <w:rFonts w:cstheme="minorHAnsi"/>
        </w:rPr>
      </w:pPr>
    </w:p>
    <w:p w14:paraId="78532295" w14:textId="353F8ACC" w:rsidR="00A17BD1" w:rsidRPr="0067729C" w:rsidRDefault="00A17BD1" w:rsidP="006C24F9">
      <w:pPr>
        <w:rPr>
          <w:rFonts w:cstheme="minorHAnsi"/>
        </w:rPr>
      </w:pPr>
      <w:proofErr w:type="spellStart"/>
      <w:r w:rsidRPr="0067729C">
        <w:rPr>
          <w:rFonts w:cstheme="minorHAnsi"/>
        </w:rPr>
        <w:t>Martinus</w:t>
      </w:r>
      <w:proofErr w:type="spellEnd"/>
      <w:r w:rsidRPr="0067729C">
        <w:rPr>
          <w:rFonts w:cstheme="minorHAnsi"/>
        </w:rPr>
        <w:t xml:space="preserve"> T</w:t>
      </w:r>
      <w:r w:rsidR="0067729C">
        <w:rPr>
          <w:rFonts w:cstheme="minorHAnsi"/>
        </w:rPr>
        <w:t>.</w:t>
      </w:r>
      <w:r w:rsidRPr="0067729C">
        <w:rPr>
          <w:rFonts w:cstheme="minorHAnsi"/>
        </w:rPr>
        <w:t xml:space="preserve">, </w:t>
      </w:r>
      <w:proofErr w:type="spellStart"/>
      <w:r w:rsidRPr="0067729C">
        <w:rPr>
          <w:rFonts w:cstheme="minorHAnsi"/>
        </w:rPr>
        <w:t>McAlaney</w:t>
      </w:r>
      <w:proofErr w:type="spellEnd"/>
      <w:r w:rsidRPr="0067729C">
        <w:rPr>
          <w:rFonts w:cstheme="minorHAnsi"/>
        </w:rPr>
        <w:t xml:space="preserve"> J</w:t>
      </w:r>
      <w:r w:rsidR="0067729C">
        <w:rPr>
          <w:rFonts w:cstheme="minorHAnsi"/>
        </w:rPr>
        <w:t>.</w:t>
      </w:r>
      <w:r w:rsidRPr="0067729C">
        <w:rPr>
          <w:rFonts w:cstheme="minorHAnsi"/>
        </w:rPr>
        <w:t>, McLaughlin L</w:t>
      </w:r>
      <w:r w:rsidR="0067729C">
        <w:rPr>
          <w:rFonts w:cstheme="minorHAnsi"/>
        </w:rPr>
        <w:t>. and</w:t>
      </w:r>
      <w:r w:rsidRPr="0067729C">
        <w:rPr>
          <w:rFonts w:cstheme="minorHAnsi"/>
        </w:rPr>
        <w:t xml:space="preserve"> Smith H. </w:t>
      </w:r>
      <w:r w:rsidR="0067729C">
        <w:rPr>
          <w:rFonts w:cstheme="minorHAnsi"/>
        </w:rPr>
        <w:t xml:space="preserve">(2010), </w:t>
      </w:r>
      <w:r w:rsidRPr="0067729C">
        <w:rPr>
          <w:rFonts w:cstheme="minorHAnsi"/>
        </w:rPr>
        <w:t xml:space="preserve">Outdoor music festivals: Cacophonous consumption or melodious moderation? </w:t>
      </w:r>
      <w:r w:rsidRPr="0067729C">
        <w:rPr>
          <w:rFonts w:cstheme="minorHAnsi"/>
          <w:i/>
        </w:rPr>
        <w:t>Drugs: Education, Prevention, and Policy</w:t>
      </w:r>
      <w:r w:rsidR="0067729C">
        <w:rPr>
          <w:rFonts w:cstheme="minorHAnsi"/>
        </w:rPr>
        <w:t xml:space="preserve">, </w:t>
      </w:r>
      <w:r w:rsidRPr="0067729C">
        <w:rPr>
          <w:rFonts w:cstheme="minorHAnsi"/>
        </w:rPr>
        <w:t>17</w:t>
      </w:r>
      <w:r w:rsidR="0067729C">
        <w:rPr>
          <w:rFonts w:cstheme="minorHAnsi"/>
        </w:rPr>
        <w:t xml:space="preserve"> </w:t>
      </w:r>
      <w:r w:rsidRPr="0067729C">
        <w:rPr>
          <w:rFonts w:cstheme="minorHAnsi"/>
        </w:rPr>
        <w:t>(6):</w:t>
      </w:r>
      <w:r w:rsidR="0067729C">
        <w:rPr>
          <w:rFonts w:cstheme="minorHAnsi"/>
        </w:rPr>
        <w:t xml:space="preserve"> </w:t>
      </w:r>
      <w:r w:rsidRPr="0067729C">
        <w:rPr>
          <w:rFonts w:cstheme="minorHAnsi"/>
        </w:rPr>
        <w:t>795</w:t>
      </w:r>
      <w:r w:rsidR="0067729C">
        <w:rPr>
          <w:rFonts w:cstheme="minorHAnsi"/>
        </w:rPr>
        <w:t>-</w:t>
      </w:r>
      <w:r w:rsidRPr="0067729C">
        <w:rPr>
          <w:rFonts w:cstheme="minorHAnsi"/>
        </w:rPr>
        <w:t>807.</w:t>
      </w:r>
    </w:p>
    <w:p w14:paraId="591ED94D" w14:textId="77777777" w:rsidR="00E62461" w:rsidRPr="00AD23A4" w:rsidRDefault="00E62461" w:rsidP="006C24F9">
      <w:pPr>
        <w:rPr>
          <w:rFonts w:cstheme="minorHAnsi"/>
          <w:highlight w:val="yellow"/>
        </w:rPr>
      </w:pPr>
    </w:p>
    <w:p w14:paraId="2C7AE508" w14:textId="0DDAAAC6" w:rsidR="009B6D56" w:rsidRPr="006C24F9" w:rsidRDefault="009B6D56" w:rsidP="006C24F9">
      <w:pPr>
        <w:rPr>
          <w:rFonts w:cstheme="minorHAnsi"/>
          <w:highlight w:val="yellow"/>
        </w:rPr>
      </w:pPr>
    </w:p>
    <w:p w14:paraId="0821F441" w14:textId="53EDD375" w:rsidR="003F3EDF" w:rsidRPr="006C24F9" w:rsidRDefault="00E93796" w:rsidP="006C24F9">
      <w:pPr>
        <w:rPr>
          <w:rFonts w:cstheme="minorHAnsi"/>
        </w:rPr>
      </w:pPr>
      <w:bookmarkStart w:id="19" w:name="_Hlk29962906"/>
      <w:r w:rsidRPr="006C24F9">
        <w:rPr>
          <w:rFonts w:cstheme="minorHAnsi"/>
        </w:rPr>
        <w:t xml:space="preserve">Measham, F. (2019), Drug safety testing, disposals and dealing in an English field: Exploring the operational and behavioural outcomes of the UK’s first onsite ‘drug checking’ service, </w:t>
      </w:r>
      <w:r w:rsidRPr="006C24F9">
        <w:rPr>
          <w:rFonts w:cstheme="minorHAnsi"/>
          <w:i/>
        </w:rPr>
        <w:t>International Journal of Drug Policy</w:t>
      </w:r>
      <w:r w:rsidRPr="006C24F9">
        <w:rPr>
          <w:rFonts w:cstheme="minorHAnsi"/>
        </w:rPr>
        <w:t xml:space="preserve">, 67, 102-107. </w:t>
      </w:r>
      <w:hyperlink r:id="rId17" w:history="1">
        <w:r w:rsidRPr="006C24F9">
          <w:rPr>
            <w:rStyle w:val="Hyperlink"/>
            <w:rFonts w:cstheme="minorHAnsi"/>
          </w:rPr>
          <w:t>https://doi.org/10.1016/j.drugpo.2018.11.001</w:t>
        </w:r>
      </w:hyperlink>
      <w:bookmarkEnd w:id="19"/>
    </w:p>
    <w:p w14:paraId="63C3643F" w14:textId="77777777" w:rsidR="00E93796" w:rsidRPr="006C24F9" w:rsidRDefault="00E93796" w:rsidP="006C24F9">
      <w:pPr>
        <w:rPr>
          <w:rFonts w:cstheme="minorHAnsi"/>
        </w:rPr>
      </w:pPr>
      <w:bookmarkStart w:id="20" w:name="_Hlk29962815"/>
    </w:p>
    <w:p w14:paraId="72DD7DF6" w14:textId="11898516" w:rsidR="00E62461" w:rsidRPr="006C24F9" w:rsidRDefault="003F3EDF" w:rsidP="006C24F9">
      <w:pPr>
        <w:rPr>
          <w:rFonts w:cstheme="minorHAnsi"/>
        </w:rPr>
      </w:pPr>
      <w:r w:rsidRPr="006C24F9">
        <w:rPr>
          <w:rFonts w:cstheme="minorHAnsi"/>
        </w:rPr>
        <w:t xml:space="preserve">Measham, F. (2020), City Checking: Piloting the UK’s first community-based drug safety testing (‘drug checking’) service in 2 city centres, </w:t>
      </w:r>
      <w:r w:rsidRPr="006C24F9">
        <w:rPr>
          <w:rFonts w:cstheme="minorHAnsi"/>
          <w:i/>
        </w:rPr>
        <w:t>British Journal of Clinical Pharmacology</w:t>
      </w:r>
      <w:r w:rsidRPr="006C24F9">
        <w:rPr>
          <w:rFonts w:cstheme="minorHAnsi"/>
        </w:rPr>
        <w:t>,</w:t>
      </w:r>
      <w:bookmarkEnd w:id="20"/>
      <w:r w:rsidRPr="006C24F9">
        <w:rPr>
          <w:rFonts w:cstheme="minorHAnsi"/>
        </w:rPr>
        <w:t xml:space="preserve"> 86 (3): 420-428. </w:t>
      </w:r>
      <w:hyperlink r:id="rId18" w:history="1">
        <w:r w:rsidRPr="006C24F9">
          <w:rPr>
            <w:rStyle w:val="Hyperlink"/>
            <w:rFonts w:cstheme="minorHAnsi"/>
          </w:rPr>
          <w:t>https://doi.org/10.1111/bcp.14231</w:t>
        </w:r>
      </w:hyperlink>
    </w:p>
    <w:p w14:paraId="68E7FB2A" w14:textId="77777777" w:rsidR="0093160B" w:rsidRPr="006C24F9" w:rsidRDefault="0093160B" w:rsidP="006C24F9">
      <w:pPr>
        <w:rPr>
          <w:rFonts w:cstheme="minorHAnsi"/>
          <w:highlight w:val="yellow"/>
        </w:rPr>
      </w:pPr>
    </w:p>
    <w:p w14:paraId="18D7E5A7" w14:textId="57B6FF3E" w:rsidR="007649A1" w:rsidRPr="006C24F9" w:rsidRDefault="0093160B" w:rsidP="006C24F9">
      <w:pPr>
        <w:rPr>
          <w:rFonts w:cstheme="minorHAnsi"/>
        </w:rPr>
      </w:pPr>
      <w:r w:rsidRPr="006C24F9">
        <w:rPr>
          <w:rFonts w:cstheme="minorHAnsi"/>
        </w:rPr>
        <w:t>Measham</w:t>
      </w:r>
      <w:r w:rsidR="00207FD6" w:rsidRPr="006C24F9">
        <w:rPr>
          <w:rFonts w:cstheme="minorHAnsi"/>
        </w:rPr>
        <w:t>,</w:t>
      </w:r>
      <w:r w:rsidR="00F35F69" w:rsidRPr="006C24F9">
        <w:rPr>
          <w:rFonts w:cstheme="minorHAnsi"/>
        </w:rPr>
        <w:t xml:space="preserve"> </w:t>
      </w:r>
      <w:r w:rsidRPr="006C24F9">
        <w:rPr>
          <w:rFonts w:cstheme="minorHAnsi"/>
        </w:rPr>
        <w:t>F</w:t>
      </w:r>
      <w:r w:rsidR="00207FD6" w:rsidRPr="006C24F9">
        <w:rPr>
          <w:rFonts w:cstheme="minorHAnsi"/>
        </w:rPr>
        <w:t>. and</w:t>
      </w:r>
      <w:r w:rsidRPr="006C24F9">
        <w:rPr>
          <w:rFonts w:cstheme="minorHAnsi"/>
        </w:rPr>
        <w:t xml:space="preserve"> Jones</w:t>
      </w:r>
      <w:r w:rsidR="00207FD6" w:rsidRPr="006C24F9">
        <w:rPr>
          <w:rFonts w:cstheme="minorHAnsi"/>
        </w:rPr>
        <w:t>,</w:t>
      </w:r>
      <w:r w:rsidRPr="006C24F9">
        <w:rPr>
          <w:rFonts w:cstheme="minorHAnsi"/>
        </w:rPr>
        <w:t xml:space="preserve"> G. </w:t>
      </w:r>
      <w:r w:rsidR="00207FD6" w:rsidRPr="006C24F9">
        <w:rPr>
          <w:rFonts w:cstheme="minorHAnsi"/>
        </w:rPr>
        <w:t xml:space="preserve">(2017), </w:t>
      </w:r>
      <w:r w:rsidRPr="006C24F9">
        <w:rPr>
          <w:rFonts w:cstheme="minorHAnsi"/>
        </w:rPr>
        <w:t xml:space="preserve">Pentylone: What is it, why should we care and how can Multi Agency Safety Testing help? </w:t>
      </w:r>
      <w:r w:rsidRPr="006C24F9">
        <w:rPr>
          <w:rFonts w:cstheme="minorHAnsi"/>
          <w:i/>
        </w:rPr>
        <w:t>Volteface</w:t>
      </w:r>
      <w:r w:rsidR="00F35F69" w:rsidRPr="006C24F9">
        <w:rPr>
          <w:rFonts w:cstheme="minorHAnsi"/>
        </w:rPr>
        <w:t>.</w:t>
      </w:r>
      <w:r w:rsidRPr="006C24F9">
        <w:rPr>
          <w:rFonts w:cstheme="minorHAnsi"/>
        </w:rPr>
        <w:t xml:space="preserve"> </w:t>
      </w:r>
      <w:hyperlink r:id="rId19" w:history="1">
        <w:r w:rsidRPr="006C24F9">
          <w:rPr>
            <w:rStyle w:val="Hyperlink"/>
            <w:rFonts w:cstheme="minorHAnsi"/>
          </w:rPr>
          <w:t>http://volteface.me/features/pentylone-care-can-multi-agency-safety-testing-help/</w:t>
        </w:r>
      </w:hyperlink>
      <w:r w:rsidR="00E1763E" w:rsidRPr="006C24F9">
        <w:rPr>
          <w:rFonts w:cstheme="minorHAnsi"/>
        </w:rPr>
        <w:t xml:space="preserve"> </w:t>
      </w:r>
    </w:p>
    <w:p w14:paraId="59494D5F" w14:textId="55CD70F2" w:rsidR="00A971C1" w:rsidRDefault="00A971C1" w:rsidP="006C24F9">
      <w:pPr>
        <w:rPr>
          <w:rFonts w:cstheme="minorHAnsi"/>
          <w:highlight w:val="yellow"/>
        </w:rPr>
      </w:pPr>
    </w:p>
    <w:p w14:paraId="4572E8BA" w14:textId="1AE7BC85" w:rsidR="008E5884" w:rsidRDefault="008E5884" w:rsidP="005A0E73">
      <w:pPr>
        <w:rPr>
          <w:rFonts w:cstheme="minorHAnsi"/>
          <w:highlight w:val="yellow"/>
        </w:rPr>
      </w:pPr>
      <w:proofErr w:type="spellStart"/>
      <w:r w:rsidRPr="008E5884">
        <w:rPr>
          <w:rFonts w:cstheme="minorHAnsi"/>
        </w:rPr>
        <w:t>Mema</w:t>
      </w:r>
      <w:proofErr w:type="spellEnd"/>
      <w:r w:rsidRPr="008E5884">
        <w:rPr>
          <w:rFonts w:cstheme="minorHAnsi"/>
        </w:rPr>
        <w:t xml:space="preserve">, S., Sage, C., Xu, Y., Tupper, K., </w:t>
      </w:r>
      <w:proofErr w:type="spellStart"/>
      <w:r w:rsidRPr="008E5884">
        <w:rPr>
          <w:rFonts w:cstheme="minorHAnsi"/>
        </w:rPr>
        <w:t>Ziemianowicz</w:t>
      </w:r>
      <w:proofErr w:type="spellEnd"/>
      <w:r w:rsidRPr="008E5884">
        <w:rPr>
          <w:rFonts w:cstheme="minorHAnsi"/>
        </w:rPr>
        <w:t xml:space="preserve">, D., McCrae, K., </w:t>
      </w:r>
      <w:r w:rsidR="005A0E73" w:rsidRPr="005A0E73">
        <w:rPr>
          <w:rFonts w:cstheme="minorHAnsi"/>
        </w:rPr>
        <w:t>Leigh</w:t>
      </w:r>
      <w:r w:rsidR="005A0E73">
        <w:rPr>
          <w:rFonts w:cstheme="minorHAnsi"/>
        </w:rPr>
        <w:t xml:space="preserve">, M. Munn, M., Taylor, D. and </w:t>
      </w:r>
      <w:r w:rsidRPr="008E5884">
        <w:rPr>
          <w:rFonts w:cstheme="minorHAnsi"/>
        </w:rPr>
        <w:t>Corneil, T. (2018)</w:t>
      </w:r>
      <w:r>
        <w:rPr>
          <w:rFonts w:cstheme="minorHAnsi"/>
        </w:rPr>
        <w:t xml:space="preserve">, </w:t>
      </w:r>
      <w:r w:rsidR="005A0E73" w:rsidRPr="005A0E73">
        <w:rPr>
          <w:rFonts w:cstheme="minorHAnsi"/>
        </w:rPr>
        <w:t>Drug checking at an electronic dance music festival during the public</w:t>
      </w:r>
      <w:r w:rsidR="005A0E73">
        <w:rPr>
          <w:rFonts w:cstheme="minorHAnsi"/>
        </w:rPr>
        <w:t xml:space="preserve"> </w:t>
      </w:r>
      <w:r w:rsidR="005A0E73" w:rsidRPr="005A0E73">
        <w:rPr>
          <w:rFonts w:cstheme="minorHAnsi"/>
        </w:rPr>
        <w:t>health overdose emergency in British Columbia</w:t>
      </w:r>
      <w:r>
        <w:rPr>
          <w:rFonts w:cstheme="minorHAnsi"/>
        </w:rPr>
        <w:t xml:space="preserve">, </w:t>
      </w:r>
      <w:r w:rsidRPr="008E5884">
        <w:rPr>
          <w:rFonts w:cstheme="minorHAnsi"/>
          <w:i/>
          <w:iCs/>
        </w:rPr>
        <w:t>Canadian Journal of Public Health</w:t>
      </w:r>
      <w:r w:rsidRPr="008E5884">
        <w:rPr>
          <w:rFonts w:cstheme="minorHAnsi"/>
        </w:rPr>
        <w:t>, 109</w:t>
      </w:r>
      <w:r>
        <w:rPr>
          <w:rFonts w:cstheme="minorHAnsi"/>
        </w:rPr>
        <w:t xml:space="preserve"> </w:t>
      </w:r>
      <w:r w:rsidRPr="008E5884">
        <w:rPr>
          <w:rFonts w:cstheme="minorHAnsi"/>
        </w:rPr>
        <w:t>(5-6)</w:t>
      </w:r>
      <w:r>
        <w:rPr>
          <w:rFonts w:cstheme="minorHAnsi"/>
        </w:rPr>
        <w:t>:</w:t>
      </w:r>
      <w:r w:rsidRPr="008E5884">
        <w:rPr>
          <w:rFonts w:cstheme="minorHAnsi"/>
        </w:rPr>
        <w:t xml:space="preserve"> 740-744.</w:t>
      </w:r>
    </w:p>
    <w:p w14:paraId="79E37F0B" w14:textId="77777777" w:rsidR="008E5884" w:rsidRPr="006C24F9" w:rsidRDefault="008E5884" w:rsidP="006C24F9">
      <w:pPr>
        <w:rPr>
          <w:rFonts w:cstheme="minorHAnsi"/>
          <w:highlight w:val="yellow"/>
        </w:rPr>
      </w:pPr>
    </w:p>
    <w:p w14:paraId="356E01F4" w14:textId="0DCE2AED" w:rsidR="008223C5" w:rsidRPr="006C24F9" w:rsidRDefault="008223C5" w:rsidP="006C24F9">
      <w:pPr>
        <w:rPr>
          <w:rFonts w:cstheme="minorHAnsi"/>
        </w:rPr>
      </w:pPr>
      <w:bookmarkStart w:id="21" w:name="_Hlk40522531"/>
      <w:proofErr w:type="spellStart"/>
      <w:r w:rsidRPr="006C24F9">
        <w:rPr>
          <w:rFonts w:cstheme="minorHAnsi"/>
        </w:rPr>
        <w:t>Michelow</w:t>
      </w:r>
      <w:proofErr w:type="spellEnd"/>
      <w:r w:rsidR="0057181B" w:rsidRPr="006C24F9">
        <w:rPr>
          <w:rFonts w:cstheme="minorHAnsi"/>
        </w:rPr>
        <w:t>,</w:t>
      </w:r>
      <w:r w:rsidRPr="006C24F9">
        <w:rPr>
          <w:rFonts w:cstheme="minorHAnsi"/>
        </w:rPr>
        <w:t xml:space="preserve"> W</w:t>
      </w:r>
      <w:r w:rsidR="0057181B" w:rsidRPr="006C24F9">
        <w:rPr>
          <w:rFonts w:cstheme="minorHAnsi"/>
        </w:rPr>
        <w:t>. and</w:t>
      </w:r>
      <w:r w:rsidRPr="006C24F9">
        <w:rPr>
          <w:rFonts w:cstheme="minorHAnsi"/>
        </w:rPr>
        <w:t xml:space="preserve"> Dowden</w:t>
      </w:r>
      <w:r w:rsidR="0057181B" w:rsidRPr="006C24F9">
        <w:rPr>
          <w:rFonts w:cstheme="minorHAnsi"/>
        </w:rPr>
        <w:t>,</w:t>
      </w:r>
      <w:r w:rsidRPr="006C24F9">
        <w:rPr>
          <w:rFonts w:cstheme="minorHAnsi"/>
        </w:rPr>
        <w:t xml:space="preserve"> C. </w:t>
      </w:r>
      <w:r w:rsidR="0057181B" w:rsidRPr="006C24F9">
        <w:rPr>
          <w:rFonts w:cstheme="minorHAnsi"/>
        </w:rPr>
        <w:t>(2015</w:t>
      </w:r>
      <w:bookmarkEnd w:id="21"/>
      <w:r w:rsidR="0057181B" w:rsidRPr="006C24F9">
        <w:rPr>
          <w:rFonts w:cstheme="minorHAnsi"/>
        </w:rPr>
        <w:t xml:space="preserve">), </w:t>
      </w:r>
      <w:r w:rsidRPr="006C24F9">
        <w:rPr>
          <w:rFonts w:cstheme="minorHAnsi"/>
        </w:rPr>
        <w:t>“Start Small, Take it Easy”: Results from the ANKORS Harm Reduction Survey at the 2013 Shambhala Music Festival.  Nelson, BC: ANKORS</w:t>
      </w:r>
      <w:r w:rsidR="000347AE" w:rsidRPr="006C24F9">
        <w:rPr>
          <w:rFonts w:cstheme="minorHAnsi"/>
        </w:rPr>
        <w:t>.</w:t>
      </w:r>
      <w:r w:rsidRPr="006C24F9">
        <w:rPr>
          <w:rFonts w:cstheme="minorHAnsi"/>
        </w:rPr>
        <w:t xml:space="preserve"> At </w:t>
      </w:r>
      <w:hyperlink r:id="rId20" w:history="1">
        <w:r w:rsidR="008B313D" w:rsidRPr="006C24F9">
          <w:rPr>
            <w:rStyle w:val="Hyperlink"/>
            <w:rFonts w:cstheme="minorHAnsi"/>
          </w:rPr>
          <w:t>http://michelow.ca/doc/ankors-2013-smf-survey-report.pdf</w:t>
        </w:r>
      </w:hyperlink>
      <w:r w:rsidR="00E1763E" w:rsidRPr="006C24F9">
        <w:rPr>
          <w:rFonts w:cstheme="minorHAnsi"/>
        </w:rPr>
        <w:t xml:space="preserve"> </w:t>
      </w:r>
    </w:p>
    <w:p w14:paraId="05F5927D" w14:textId="77777777" w:rsidR="00E312A8" w:rsidRPr="006C24F9" w:rsidRDefault="00E312A8" w:rsidP="006C24F9">
      <w:pPr>
        <w:rPr>
          <w:rFonts w:cstheme="minorHAnsi"/>
          <w:highlight w:val="yellow"/>
        </w:rPr>
      </w:pPr>
    </w:p>
    <w:p w14:paraId="59FF9F28" w14:textId="2C11732D" w:rsidR="00F35F69" w:rsidRPr="00D0608B" w:rsidRDefault="00F35F69" w:rsidP="006C24F9">
      <w:pPr>
        <w:rPr>
          <w:rFonts w:cstheme="minorHAnsi"/>
        </w:rPr>
      </w:pPr>
      <w:r w:rsidRPr="00D0608B">
        <w:rPr>
          <w:rFonts w:cstheme="minorHAnsi"/>
        </w:rPr>
        <w:t>Moyer A</w:t>
      </w:r>
      <w:r w:rsidR="00D0608B">
        <w:rPr>
          <w:rFonts w:cstheme="minorHAnsi"/>
        </w:rPr>
        <w:t>.</w:t>
      </w:r>
      <w:r w:rsidRPr="00D0608B">
        <w:rPr>
          <w:rFonts w:cstheme="minorHAnsi"/>
        </w:rPr>
        <w:t>, Finney J</w:t>
      </w:r>
      <w:r w:rsidR="00D0608B">
        <w:rPr>
          <w:rFonts w:cstheme="minorHAnsi"/>
        </w:rPr>
        <w:t>.</w:t>
      </w:r>
      <w:r w:rsidRPr="00D0608B">
        <w:rPr>
          <w:rFonts w:cstheme="minorHAnsi"/>
        </w:rPr>
        <w:t>, Swearingen C</w:t>
      </w:r>
      <w:r w:rsidR="00D0608B">
        <w:rPr>
          <w:rFonts w:cstheme="minorHAnsi"/>
        </w:rPr>
        <w:t>. and</w:t>
      </w:r>
      <w:r w:rsidRPr="00D0608B">
        <w:rPr>
          <w:rFonts w:cstheme="minorHAnsi"/>
        </w:rPr>
        <w:t xml:space="preserve"> </w:t>
      </w:r>
      <w:proofErr w:type="spellStart"/>
      <w:r w:rsidRPr="00D0608B">
        <w:rPr>
          <w:rFonts w:cstheme="minorHAnsi"/>
        </w:rPr>
        <w:t>Vergun</w:t>
      </w:r>
      <w:proofErr w:type="spellEnd"/>
      <w:r w:rsidRPr="00D0608B">
        <w:rPr>
          <w:rFonts w:cstheme="minorHAnsi"/>
        </w:rPr>
        <w:t xml:space="preserve"> P. </w:t>
      </w:r>
      <w:r w:rsidR="00D0608B">
        <w:rPr>
          <w:rFonts w:cstheme="minorHAnsi"/>
        </w:rPr>
        <w:t>(200</w:t>
      </w:r>
      <w:r w:rsidR="00B3561F">
        <w:rPr>
          <w:rFonts w:cstheme="minorHAnsi"/>
        </w:rPr>
        <w:t>2</w:t>
      </w:r>
      <w:r w:rsidR="00D0608B">
        <w:rPr>
          <w:rFonts w:cstheme="minorHAnsi"/>
        </w:rPr>
        <w:t xml:space="preserve">), </w:t>
      </w:r>
      <w:r w:rsidRPr="00D0608B">
        <w:rPr>
          <w:rFonts w:cstheme="minorHAnsi"/>
        </w:rPr>
        <w:t>Brief Interventions for alcohol problems: a meta-analytic review of controlled investigations in treatment-seeking and non-treatment-seeking populations</w:t>
      </w:r>
      <w:r w:rsidR="00D0608B">
        <w:rPr>
          <w:rFonts w:cstheme="minorHAnsi"/>
        </w:rPr>
        <w:t>,</w:t>
      </w:r>
      <w:r w:rsidRPr="00D0608B">
        <w:rPr>
          <w:rFonts w:cstheme="minorHAnsi"/>
        </w:rPr>
        <w:t xml:space="preserve"> </w:t>
      </w:r>
      <w:r w:rsidRPr="00D0608B">
        <w:rPr>
          <w:rFonts w:cstheme="minorHAnsi"/>
          <w:i/>
          <w:iCs/>
        </w:rPr>
        <w:t>Addiction</w:t>
      </w:r>
      <w:r w:rsidRPr="00D0608B">
        <w:rPr>
          <w:rFonts w:cstheme="minorHAnsi"/>
        </w:rPr>
        <w:t>,</w:t>
      </w:r>
      <w:r w:rsidR="00D0608B">
        <w:rPr>
          <w:rFonts w:cstheme="minorHAnsi"/>
        </w:rPr>
        <w:t xml:space="preserve"> </w:t>
      </w:r>
      <w:r w:rsidRPr="00D0608B">
        <w:rPr>
          <w:rFonts w:cstheme="minorHAnsi"/>
        </w:rPr>
        <w:t>97:</w:t>
      </w:r>
      <w:r w:rsidR="00D0608B">
        <w:rPr>
          <w:rFonts w:cstheme="minorHAnsi"/>
        </w:rPr>
        <w:t xml:space="preserve"> </w:t>
      </w:r>
      <w:r w:rsidRPr="00D0608B">
        <w:rPr>
          <w:rFonts w:cstheme="minorHAnsi"/>
        </w:rPr>
        <w:t>279-292.</w:t>
      </w:r>
    </w:p>
    <w:p w14:paraId="105CA4C7" w14:textId="77777777" w:rsidR="004808D3" w:rsidRDefault="004808D3" w:rsidP="006C24F9">
      <w:pPr>
        <w:rPr>
          <w:rFonts w:cstheme="minorHAnsi"/>
        </w:rPr>
      </w:pPr>
      <w:bookmarkStart w:id="22" w:name="_Hlk535680053"/>
    </w:p>
    <w:p w14:paraId="0705DA22" w14:textId="3A48A7DD" w:rsidR="001B3874" w:rsidRPr="002B6396" w:rsidRDefault="00220383" w:rsidP="006C24F9">
      <w:pPr>
        <w:rPr>
          <w:rFonts w:cstheme="minorHAnsi"/>
        </w:rPr>
      </w:pPr>
      <w:r w:rsidRPr="002B6396">
        <w:rPr>
          <w:rFonts w:cstheme="minorHAnsi"/>
        </w:rPr>
        <w:t>Newbury-Birch</w:t>
      </w:r>
      <w:bookmarkEnd w:id="22"/>
      <w:r w:rsidRPr="002B6396">
        <w:rPr>
          <w:rFonts w:cstheme="minorHAnsi"/>
        </w:rPr>
        <w:t xml:space="preserve">, D., Ferguson, J., Landale, S., Giles, E., </w:t>
      </w:r>
      <w:proofErr w:type="spellStart"/>
      <w:r w:rsidRPr="002B6396">
        <w:rPr>
          <w:rFonts w:cstheme="minorHAnsi"/>
        </w:rPr>
        <w:t>McGeechan</w:t>
      </w:r>
      <w:proofErr w:type="spellEnd"/>
      <w:r w:rsidRPr="002B6396">
        <w:rPr>
          <w:rFonts w:cstheme="minorHAnsi"/>
        </w:rPr>
        <w:t xml:space="preserve">, G., Gill, C., Stockdale, K., Holloway, A. </w:t>
      </w:r>
      <w:r w:rsidR="002B6396">
        <w:rPr>
          <w:rFonts w:cstheme="minorHAnsi"/>
        </w:rPr>
        <w:t xml:space="preserve">(2018), </w:t>
      </w:r>
      <w:r w:rsidRPr="002B6396">
        <w:rPr>
          <w:rFonts w:cstheme="minorHAnsi"/>
        </w:rPr>
        <w:t xml:space="preserve">A Systematic Review of the Efficacy of Alcohol Interventions for Incarcerated People, </w:t>
      </w:r>
      <w:r w:rsidRPr="002B6396">
        <w:rPr>
          <w:rFonts w:cstheme="minorHAnsi"/>
          <w:i/>
        </w:rPr>
        <w:t>Alcohol and Alcoholism</w:t>
      </w:r>
      <w:r w:rsidRPr="002B6396">
        <w:rPr>
          <w:rFonts w:cstheme="minorHAnsi"/>
        </w:rPr>
        <w:t>, 53 (4): 412–425.</w:t>
      </w:r>
    </w:p>
    <w:p w14:paraId="2075F8DE" w14:textId="68D90FF9" w:rsidR="00A24E2D" w:rsidRDefault="00A24E2D" w:rsidP="006C24F9">
      <w:pPr>
        <w:rPr>
          <w:rFonts w:cstheme="minorHAnsi"/>
        </w:rPr>
      </w:pPr>
    </w:p>
    <w:p w14:paraId="6A46AD8E" w14:textId="6102C26B" w:rsidR="00A24E2D" w:rsidRDefault="00A24E2D" w:rsidP="006C24F9">
      <w:pPr>
        <w:rPr>
          <w:rFonts w:cstheme="minorHAnsi"/>
        </w:rPr>
      </w:pPr>
      <w:r w:rsidRPr="00A24E2D">
        <w:rPr>
          <w:rFonts w:cstheme="minorHAnsi"/>
        </w:rPr>
        <w:t xml:space="preserve">O'Donnell, </w:t>
      </w:r>
      <w:r>
        <w:rPr>
          <w:rFonts w:cstheme="minorHAnsi"/>
        </w:rPr>
        <w:t xml:space="preserve">A., </w:t>
      </w:r>
      <w:r w:rsidRPr="00A24E2D">
        <w:rPr>
          <w:rFonts w:cstheme="minorHAnsi"/>
        </w:rPr>
        <w:t xml:space="preserve">Anderson, </w:t>
      </w:r>
      <w:r>
        <w:rPr>
          <w:rFonts w:cstheme="minorHAnsi"/>
        </w:rPr>
        <w:t xml:space="preserve">P., </w:t>
      </w:r>
      <w:r w:rsidRPr="00A24E2D">
        <w:rPr>
          <w:rFonts w:cstheme="minorHAnsi"/>
        </w:rPr>
        <w:t>Newbury-Birch,</w:t>
      </w:r>
      <w:r>
        <w:rPr>
          <w:rFonts w:cstheme="minorHAnsi"/>
        </w:rPr>
        <w:t xml:space="preserve"> D.,</w:t>
      </w:r>
      <w:r w:rsidRPr="00A24E2D">
        <w:rPr>
          <w:rFonts w:cstheme="minorHAnsi"/>
        </w:rPr>
        <w:t xml:space="preserve"> Schulte, </w:t>
      </w:r>
      <w:r>
        <w:rPr>
          <w:rFonts w:cstheme="minorHAnsi"/>
        </w:rPr>
        <w:t xml:space="preserve">B., </w:t>
      </w:r>
      <w:r w:rsidRPr="00A24E2D">
        <w:rPr>
          <w:rFonts w:cstheme="minorHAnsi"/>
        </w:rPr>
        <w:t>Schmidt,</w:t>
      </w:r>
      <w:r>
        <w:rPr>
          <w:rFonts w:cstheme="minorHAnsi"/>
        </w:rPr>
        <w:t xml:space="preserve"> C.,</w:t>
      </w:r>
      <w:r w:rsidRPr="00A24E2D">
        <w:rPr>
          <w:rFonts w:cstheme="minorHAnsi"/>
        </w:rPr>
        <w:t xml:space="preserve"> Reimer,</w:t>
      </w:r>
      <w:r>
        <w:rPr>
          <w:rFonts w:cstheme="minorHAnsi"/>
        </w:rPr>
        <w:t xml:space="preserve"> J. and</w:t>
      </w:r>
      <w:r w:rsidRPr="00A24E2D">
        <w:rPr>
          <w:rFonts w:cstheme="minorHAnsi"/>
        </w:rPr>
        <w:t xml:space="preserve"> </w:t>
      </w:r>
      <w:proofErr w:type="spellStart"/>
      <w:r w:rsidRPr="00A24E2D">
        <w:rPr>
          <w:rFonts w:cstheme="minorHAnsi"/>
        </w:rPr>
        <w:t>Kaner</w:t>
      </w:r>
      <w:proofErr w:type="spellEnd"/>
      <w:r w:rsidRPr="00A24E2D">
        <w:rPr>
          <w:rFonts w:cstheme="minorHAnsi"/>
        </w:rPr>
        <w:t>,</w:t>
      </w:r>
      <w:r>
        <w:rPr>
          <w:rFonts w:cstheme="minorHAnsi"/>
        </w:rPr>
        <w:t xml:space="preserve"> E.</w:t>
      </w:r>
      <w:r w:rsidRPr="00A24E2D">
        <w:rPr>
          <w:rFonts w:cstheme="minorHAnsi"/>
        </w:rPr>
        <w:t xml:space="preserve"> </w:t>
      </w:r>
      <w:r>
        <w:rPr>
          <w:rFonts w:cstheme="minorHAnsi"/>
        </w:rPr>
        <w:t xml:space="preserve">(2014), </w:t>
      </w:r>
      <w:r w:rsidRPr="00A24E2D">
        <w:rPr>
          <w:rFonts w:cstheme="minorHAnsi"/>
        </w:rPr>
        <w:t xml:space="preserve">The Impact of Brief Alcohol Interventions in Primary Healthcare: A Systematic Review of Reviews, </w:t>
      </w:r>
      <w:r w:rsidRPr="00A24E2D">
        <w:rPr>
          <w:rFonts w:cstheme="minorHAnsi"/>
          <w:i/>
          <w:iCs/>
        </w:rPr>
        <w:t>Alcohol and Alcoholism</w:t>
      </w:r>
      <w:r w:rsidRPr="00A24E2D">
        <w:rPr>
          <w:rFonts w:cstheme="minorHAnsi"/>
        </w:rPr>
        <w:t>, 49</w:t>
      </w:r>
      <w:r>
        <w:rPr>
          <w:rFonts w:cstheme="minorHAnsi"/>
        </w:rPr>
        <w:t xml:space="preserve"> (</w:t>
      </w:r>
      <w:r w:rsidRPr="00A24E2D">
        <w:rPr>
          <w:rFonts w:cstheme="minorHAnsi"/>
        </w:rPr>
        <w:t>1</w:t>
      </w:r>
      <w:r>
        <w:rPr>
          <w:rFonts w:cstheme="minorHAnsi"/>
        </w:rPr>
        <w:t>):</w:t>
      </w:r>
      <w:r w:rsidRPr="00A24E2D">
        <w:rPr>
          <w:rFonts w:cstheme="minorHAnsi"/>
        </w:rPr>
        <w:t xml:space="preserve"> 66</w:t>
      </w:r>
      <w:r>
        <w:rPr>
          <w:rFonts w:cstheme="minorHAnsi"/>
        </w:rPr>
        <w:t>-</w:t>
      </w:r>
      <w:r w:rsidRPr="00A24E2D">
        <w:rPr>
          <w:rFonts w:cstheme="minorHAnsi"/>
        </w:rPr>
        <w:t>78</w:t>
      </w:r>
      <w:r>
        <w:rPr>
          <w:rFonts w:cstheme="minorHAnsi"/>
        </w:rPr>
        <w:t>.</w:t>
      </w:r>
    </w:p>
    <w:p w14:paraId="41E97789" w14:textId="77777777" w:rsidR="00841753" w:rsidRPr="006C24F9" w:rsidRDefault="00841753" w:rsidP="006C24F9">
      <w:pPr>
        <w:rPr>
          <w:rFonts w:cstheme="minorHAnsi"/>
        </w:rPr>
      </w:pPr>
    </w:p>
    <w:p w14:paraId="3ABEEDCE" w14:textId="77777777" w:rsidR="00841753" w:rsidRPr="00C77A73" w:rsidRDefault="00841753" w:rsidP="00841753">
      <w:pPr>
        <w:rPr>
          <w:rFonts w:cstheme="minorHAnsi"/>
        </w:rPr>
      </w:pPr>
      <w:r w:rsidRPr="00C77A73">
        <w:rPr>
          <w:rFonts w:cstheme="minorHAnsi"/>
        </w:rPr>
        <w:t xml:space="preserve">Office for National Statistics (ONS), (2020), </w:t>
      </w:r>
      <w:r w:rsidRPr="00C77A73">
        <w:rPr>
          <w:rFonts w:cstheme="minorHAnsi"/>
          <w:i/>
        </w:rPr>
        <w:t>Deaths related to drug poisoning in England and Wales: 2019 registrations</w:t>
      </w:r>
      <w:r w:rsidRPr="00C77A73">
        <w:rPr>
          <w:rFonts w:cstheme="minorHAnsi"/>
        </w:rPr>
        <w:t xml:space="preserve">, Statistical Bulletin. At: </w:t>
      </w:r>
    </w:p>
    <w:p w14:paraId="49B5DD97" w14:textId="77777777" w:rsidR="00841753" w:rsidRDefault="00C94FFB" w:rsidP="00841753">
      <w:pPr>
        <w:rPr>
          <w:rFonts w:cstheme="minorHAnsi"/>
        </w:rPr>
      </w:pPr>
      <w:hyperlink r:id="rId21" w:history="1">
        <w:r w:rsidR="00841753" w:rsidRPr="00C77A73">
          <w:rPr>
            <w:rStyle w:val="Hyperlink"/>
            <w:rFonts w:cstheme="minorHAnsi"/>
          </w:rPr>
          <w:t>https://www.ons.gov.uk/peoplepopulationandcommunity/birthsdeathsandmarriages/deaths/bulletins/deathsrelatedtodrugpoisoninginenglandandwales/2019registrations</w:t>
        </w:r>
      </w:hyperlink>
    </w:p>
    <w:p w14:paraId="1F162DB9" w14:textId="77777777" w:rsidR="00C77A73" w:rsidRPr="006C24F9" w:rsidRDefault="00C77A73" w:rsidP="00C77A73">
      <w:pPr>
        <w:rPr>
          <w:rFonts w:cstheme="minorHAnsi"/>
        </w:rPr>
      </w:pPr>
    </w:p>
    <w:p w14:paraId="70F1B6E6" w14:textId="0900C092" w:rsidR="00FA6C0C" w:rsidRPr="00BA4DF1" w:rsidRDefault="00FA6C0C" w:rsidP="006C24F9">
      <w:pPr>
        <w:rPr>
          <w:rFonts w:cstheme="minorHAnsi"/>
        </w:rPr>
      </w:pPr>
      <w:r w:rsidRPr="00BA4DF1">
        <w:rPr>
          <w:rFonts w:cstheme="minorHAnsi"/>
        </w:rPr>
        <w:t>Rossi P., Lipsey M.</w:t>
      </w:r>
      <w:r w:rsidR="00082EBB" w:rsidRPr="00BA4DF1">
        <w:rPr>
          <w:rFonts w:cstheme="minorHAnsi"/>
        </w:rPr>
        <w:t xml:space="preserve"> and </w:t>
      </w:r>
      <w:r w:rsidRPr="00BA4DF1">
        <w:rPr>
          <w:rFonts w:cstheme="minorHAnsi"/>
        </w:rPr>
        <w:t>Freeman H. (2004)</w:t>
      </w:r>
      <w:r w:rsidR="00082EBB" w:rsidRPr="00BA4DF1">
        <w:rPr>
          <w:rFonts w:cstheme="minorHAnsi"/>
        </w:rPr>
        <w:t xml:space="preserve">, </w:t>
      </w:r>
      <w:r w:rsidRPr="00BA4DF1">
        <w:rPr>
          <w:rFonts w:cstheme="minorHAnsi"/>
          <w:i/>
          <w:iCs/>
        </w:rPr>
        <w:t>Evaluation: a systematic approach</w:t>
      </w:r>
      <w:r w:rsidR="00082EBB" w:rsidRPr="00BA4DF1">
        <w:rPr>
          <w:rFonts w:cstheme="minorHAnsi"/>
        </w:rPr>
        <w:t xml:space="preserve"> </w:t>
      </w:r>
      <w:r w:rsidRPr="00BA4DF1">
        <w:rPr>
          <w:rFonts w:cstheme="minorHAnsi"/>
        </w:rPr>
        <w:t>(7</w:t>
      </w:r>
      <w:r w:rsidR="00082EBB" w:rsidRPr="00BA4DF1">
        <w:rPr>
          <w:rFonts w:cstheme="minorHAnsi"/>
          <w:vertAlign w:val="superscript"/>
        </w:rPr>
        <w:t>th</w:t>
      </w:r>
      <w:r w:rsidR="00082EBB" w:rsidRPr="00BA4DF1">
        <w:rPr>
          <w:rFonts w:cstheme="minorHAnsi"/>
        </w:rPr>
        <w:t xml:space="preserve"> </w:t>
      </w:r>
      <w:r w:rsidRPr="00BA4DF1">
        <w:rPr>
          <w:rFonts w:cstheme="minorHAnsi"/>
        </w:rPr>
        <w:t>ed)</w:t>
      </w:r>
      <w:r w:rsidR="00CB7768">
        <w:rPr>
          <w:rFonts w:cstheme="minorHAnsi"/>
        </w:rPr>
        <w:t>,</w:t>
      </w:r>
      <w:r w:rsidRPr="00BA4DF1">
        <w:rPr>
          <w:rFonts w:cstheme="minorHAnsi"/>
        </w:rPr>
        <w:t xml:space="preserve"> Thousand Oaks, CA: Sage.</w:t>
      </w:r>
    </w:p>
    <w:p w14:paraId="5B8A9F18" w14:textId="159439F5" w:rsidR="00FA6C0C" w:rsidRDefault="00FA6C0C" w:rsidP="006C24F9">
      <w:pPr>
        <w:rPr>
          <w:rFonts w:cstheme="minorHAnsi"/>
          <w:highlight w:val="yellow"/>
        </w:rPr>
      </w:pPr>
    </w:p>
    <w:p w14:paraId="72802C84" w14:textId="0DF502E6" w:rsidR="001F6161" w:rsidRDefault="001F6161" w:rsidP="006C24F9">
      <w:pPr>
        <w:rPr>
          <w:rFonts w:cstheme="minorHAnsi"/>
          <w:highlight w:val="yellow"/>
        </w:rPr>
      </w:pPr>
      <w:r w:rsidRPr="001F6161">
        <w:rPr>
          <w:rFonts w:cstheme="minorHAnsi"/>
        </w:rPr>
        <w:t xml:space="preserve">Ruane, D. (2018), Field experiments: </w:t>
      </w:r>
      <w:proofErr w:type="spellStart"/>
      <w:r w:rsidRPr="001F6161">
        <w:rPr>
          <w:rFonts w:cstheme="minorHAnsi"/>
        </w:rPr>
        <w:t>psychonauts</w:t>
      </w:r>
      <w:proofErr w:type="spellEnd"/>
      <w:r w:rsidRPr="001F6161">
        <w:rPr>
          <w:rFonts w:cstheme="minorHAnsi"/>
        </w:rPr>
        <w:t xml:space="preserve">’ efforts to reduce the harm of old and new drugs at music festivals, </w:t>
      </w:r>
      <w:r w:rsidRPr="001F6161">
        <w:rPr>
          <w:rFonts w:cstheme="minorHAnsi"/>
          <w:i/>
          <w:iCs/>
        </w:rPr>
        <w:t>Drugs: Education, Prevention and Policy</w:t>
      </w:r>
      <w:r w:rsidRPr="001F6161">
        <w:rPr>
          <w:rFonts w:cstheme="minorHAnsi"/>
        </w:rPr>
        <w:t xml:space="preserve">, 25 </w:t>
      </w:r>
      <w:r>
        <w:rPr>
          <w:rFonts w:cstheme="minorHAnsi"/>
        </w:rPr>
        <w:t>(</w:t>
      </w:r>
      <w:r w:rsidRPr="001F6161">
        <w:rPr>
          <w:rFonts w:cstheme="minorHAnsi"/>
        </w:rPr>
        <w:t>4</w:t>
      </w:r>
      <w:r>
        <w:rPr>
          <w:rFonts w:cstheme="minorHAnsi"/>
        </w:rPr>
        <w:t xml:space="preserve">): </w:t>
      </w:r>
      <w:r w:rsidRPr="001F6161">
        <w:rPr>
          <w:rFonts w:cstheme="minorHAnsi"/>
        </w:rPr>
        <w:t>337-44</w:t>
      </w:r>
      <w:r>
        <w:rPr>
          <w:rFonts w:cstheme="minorHAnsi"/>
        </w:rPr>
        <w:t>.</w:t>
      </w:r>
    </w:p>
    <w:p w14:paraId="2B4C0C6D" w14:textId="77777777" w:rsidR="001F6161" w:rsidRPr="006C24F9" w:rsidRDefault="001F6161" w:rsidP="006C24F9">
      <w:pPr>
        <w:rPr>
          <w:rFonts w:cstheme="minorHAnsi"/>
          <w:highlight w:val="yellow"/>
        </w:rPr>
      </w:pPr>
    </w:p>
    <w:p w14:paraId="619D70B9" w14:textId="6A7553C2" w:rsidR="00F35F69" w:rsidRPr="00371F03" w:rsidRDefault="00F35F69" w:rsidP="006C24F9">
      <w:pPr>
        <w:rPr>
          <w:rFonts w:cstheme="minorHAnsi"/>
        </w:rPr>
      </w:pPr>
      <w:proofErr w:type="spellStart"/>
      <w:r w:rsidRPr="00371F03">
        <w:rPr>
          <w:rFonts w:cstheme="minorHAnsi"/>
        </w:rPr>
        <w:lastRenderedPageBreak/>
        <w:t>Rumpf</w:t>
      </w:r>
      <w:proofErr w:type="spellEnd"/>
      <w:r w:rsidR="00082EBB" w:rsidRPr="00371F03">
        <w:rPr>
          <w:rFonts w:cstheme="minorHAnsi"/>
        </w:rPr>
        <w:t>,</w:t>
      </w:r>
      <w:r w:rsidRPr="00371F03">
        <w:rPr>
          <w:rFonts w:cstheme="minorHAnsi"/>
        </w:rPr>
        <w:t xml:space="preserve"> H</w:t>
      </w:r>
      <w:r w:rsidR="00082EBB" w:rsidRPr="00371F03">
        <w:rPr>
          <w:rFonts w:cstheme="minorHAnsi"/>
        </w:rPr>
        <w:t>.</w:t>
      </w:r>
      <w:r w:rsidRPr="00371F03">
        <w:rPr>
          <w:rFonts w:cstheme="minorHAnsi"/>
        </w:rPr>
        <w:t xml:space="preserve">, </w:t>
      </w:r>
      <w:proofErr w:type="spellStart"/>
      <w:r w:rsidRPr="00371F03">
        <w:rPr>
          <w:rFonts w:cstheme="minorHAnsi"/>
        </w:rPr>
        <w:t>Hapke</w:t>
      </w:r>
      <w:proofErr w:type="spellEnd"/>
      <w:r w:rsidR="00082EBB" w:rsidRPr="00371F03">
        <w:rPr>
          <w:rFonts w:cstheme="minorHAnsi"/>
        </w:rPr>
        <w:t>,</w:t>
      </w:r>
      <w:r w:rsidRPr="00371F03">
        <w:rPr>
          <w:rFonts w:cstheme="minorHAnsi"/>
        </w:rPr>
        <w:t xml:space="preserve"> U</w:t>
      </w:r>
      <w:r w:rsidR="00082EBB" w:rsidRPr="00371F03">
        <w:rPr>
          <w:rFonts w:cstheme="minorHAnsi"/>
        </w:rPr>
        <w:t>. and</w:t>
      </w:r>
      <w:r w:rsidRPr="00371F03">
        <w:rPr>
          <w:rFonts w:cstheme="minorHAnsi"/>
        </w:rPr>
        <w:t xml:space="preserve"> John, U. </w:t>
      </w:r>
      <w:r w:rsidR="00371F03">
        <w:rPr>
          <w:rFonts w:cstheme="minorHAnsi"/>
        </w:rPr>
        <w:t xml:space="preserve">(1998), </w:t>
      </w:r>
      <w:r w:rsidRPr="00371F03">
        <w:rPr>
          <w:rFonts w:cstheme="minorHAnsi"/>
        </w:rPr>
        <w:t>Previous help-seeking and motivation to change drinking behaviour in alcoholic-dependent general hospital patients</w:t>
      </w:r>
      <w:r w:rsidR="00371F03">
        <w:rPr>
          <w:rFonts w:cstheme="minorHAnsi"/>
        </w:rPr>
        <w:t xml:space="preserve">, </w:t>
      </w:r>
      <w:r w:rsidRPr="00371F03">
        <w:rPr>
          <w:rFonts w:cstheme="minorHAnsi"/>
          <w:i/>
          <w:iCs/>
        </w:rPr>
        <w:t>Psychiatry</w:t>
      </w:r>
      <w:r w:rsidR="00371F03">
        <w:rPr>
          <w:rFonts w:cstheme="minorHAnsi"/>
        </w:rPr>
        <w:t xml:space="preserve">, </w:t>
      </w:r>
      <w:r w:rsidRPr="00371F03">
        <w:rPr>
          <w:rFonts w:cstheme="minorHAnsi"/>
        </w:rPr>
        <w:t>20:</w:t>
      </w:r>
      <w:r w:rsidR="00082EBB" w:rsidRPr="00371F03">
        <w:rPr>
          <w:rFonts w:cstheme="minorHAnsi"/>
        </w:rPr>
        <w:t xml:space="preserve"> </w:t>
      </w:r>
      <w:r w:rsidRPr="00371F03">
        <w:rPr>
          <w:rFonts w:cstheme="minorHAnsi"/>
        </w:rPr>
        <w:t>15-119.</w:t>
      </w:r>
    </w:p>
    <w:p w14:paraId="734659DA" w14:textId="77777777" w:rsidR="00F35F69" w:rsidRPr="006C24F9" w:rsidRDefault="00F35F69" w:rsidP="006C24F9">
      <w:pPr>
        <w:rPr>
          <w:rFonts w:cstheme="minorHAnsi"/>
          <w:highlight w:val="yellow"/>
        </w:rPr>
      </w:pPr>
    </w:p>
    <w:p w14:paraId="57E2E18A" w14:textId="0353476E" w:rsidR="001153F3" w:rsidRPr="006C24F9" w:rsidRDefault="00956B83" w:rsidP="006C24F9">
      <w:pPr>
        <w:rPr>
          <w:rFonts w:cstheme="minorHAnsi"/>
        </w:rPr>
      </w:pPr>
      <w:proofErr w:type="spellStart"/>
      <w:r w:rsidRPr="006C24F9">
        <w:rPr>
          <w:rFonts w:cstheme="minorHAnsi"/>
        </w:rPr>
        <w:t>Saleemi</w:t>
      </w:r>
      <w:proofErr w:type="spellEnd"/>
      <w:r w:rsidR="00382A05" w:rsidRPr="006C24F9">
        <w:rPr>
          <w:rFonts w:cstheme="minorHAnsi"/>
        </w:rPr>
        <w:t>,</w:t>
      </w:r>
      <w:r w:rsidRPr="006C24F9">
        <w:rPr>
          <w:rFonts w:cstheme="minorHAnsi"/>
        </w:rPr>
        <w:t xml:space="preserve"> S</w:t>
      </w:r>
      <w:r w:rsidR="00382A05" w:rsidRPr="006C24F9">
        <w:rPr>
          <w:rFonts w:cstheme="minorHAnsi"/>
        </w:rPr>
        <w:t>.</w:t>
      </w:r>
      <w:r w:rsidRPr="006C24F9">
        <w:rPr>
          <w:rFonts w:cstheme="minorHAnsi"/>
        </w:rPr>
        <w:t xml:space="preserve">, </w:t>
      </w:r>
      <w:proofErr w:type="spellStart"/>
      <w:r w:rsidRPr="006C24F9">
        <w:rPr>
          <w:rFonts w:cstheme="minorHAnsi"/>
        </w:rPr>
        <w:t>Pennybaker</w:t>
      </w:r>
      <w:proofErr w:type="spellEnd"/>
      <w:r w:rsidR="00382A05" w:rsidRPr="006C24F9">
        <w:rPr>
          <w:rFonts w:cstheme="minorHAnsi"/>
        </w:rPr>
        <w:t>,</w:t>
      </w:r>
      <w:r w:rsidRPr="006C24F9">
        <w:rPr>
          <w:rFonts w:cstheme="minorHAnsi"/>
        </w:rPr>
        <w:t xml:space="preserve"> S</w:t>
      </w:r>
      <w:r w:rsidR="00382A05" w:rsidRPr="006C24F9">
        <w:rPr>
          <w:rFonts w:cstheme="minorHAnsi"/>
        </w:rPr>
        <w:t>.</w:t>
      </w:r>
      <w:r w:rsidRPr="006C24F9">
        <w:rPr>
          <w:rFonts w:cstheme="minorHAnsi"/>
        </w:rPr>
        <w:t>, Wooldridge</w:t>
      </w:r>
      <w:r w:rsidR="00382A05" w:rsidRPr="006C24F9">
        <w:rPr>
          <w:rFonts w:cstheme="minorHAnsi"/>
        </w:rPr>
        <w:t>,</w:t>
      </w:r>
      <w:r w:rsidRPr="006C24F9">
        <w:rPr>
          <w:rFonts w:cstheme="minorHAnsi"/>
        </w:rPr>
        <w:t xml:space="preserve"> M</w:t>
      </w:r>
      <w:r w:rsidR="00382A05" w:rsidRPr="006C24F9">
        <w:rPr>
          <w:rFonts w:cstheme="minorHAnsi"/>
        </w:rPr>
        <w:t>. and</w:t>
      </w:r>
      <w:r w:rsidR="001153F3" w:rsidRPr="006C24F9">
        <w:rPr>
          <w:rFonts w:cstheme="minorHAnsi"/>
        </w:rPr>
        <w:t xml:space="preserve"> </w:t>
      </w:r>
      <w:r w:rsidRPr="006C24F9">
        <w:rPr>
          <w:rFonts w:cstheme="minorHAnsi"/>
        </w:rPr>
        <w:t>Johnson</w:t>
      </w:r>
      <w:r w:rsidR="00382A05" w:rsidRPr="006C24F9">
        <w:rPr>
          <w:rFonts w:cstheme="minorHAnsi"/>
        </w:rPr>
        <w:t>,</w:t>
      </w:r>
      <w:r w:rsidRPr="006C24F9">
        <w:rPr>
          <w:rFonts w:cstheme="minorHAnsi"/>
        </w:rPr>
        <w:t xml:space="preserve"> M.</w:t>
      </w:r>
      <w:r w:rsidR="001153F3" w:rsidRPr="006C24F9">
        <w:rPr>
          <w:rFonts w:cstheme="minorHAnsi"/>
        </w:rPr>
        <w:t xml:space="preserve"> </w:t>
      </w:r>
      <w:r w:rsidR="00382A05" w:rsidRPr="006C24F9">
        <w:rPr>
          <w:rFonts w:cstheme="minorHAnsi"/>
        </w:rPr>
        <w:t xml:space="preserve">(2017), </w:t>
      </w:r>
      <w:r w:rsidR="001153F3" w:rsidRPr="006C24F9">
        <w:rPr>
          <w:rFonts w:cstheme="minorHAnsi"/>
        </w:rPr>
        <w:t>Who is ‘Molly’? MDMA adulterants by product name and the impact of harm reduction services at rave</w:t>
      </w:r>
      <w:r w:rsidR="00382A05" w:rsidRPr="006C24F9">
        <w:rPr>
          <w:rFonts w:cstheme="minorHAnsi"/>
        </w:rPr>
        <w:t xml:space="preserve">, </w:t>
      </w:r>
      <w:r w:rsidR="00B55724" w:rsidRPr="006C24F9">
        <w:rPr>
          <w:rFonts w:cstheme="minorHAnsi"/>
          <w:i/>
        </w:rPr>
        <w:t>Journal of Psychopharmacology</w:t>
      </w:r>
      <w:r w:rsidR="00382A05" w:rsidRPr="006C24F9">
        <w:rPr>
          <w:rFonts w:cstheme="minorHAnsi"/>
        </w:rPr>
        <w:t xml:space="preserve">, </w:t>
      </w:r>
      <w:r w:rsidR="001153F3" w:rsidRPr="006C24F9">
        <w:rPr>
          <w:rFonts w:cstheme="minorHAnsi"/>
        </w:rPr>
        <w:t>31</w:t>
      </w:r>
      <w:r w:rsidR="00382A05" w:rsidRPr="006C24F9">
        <w:rPr>
          <w:rFonts w:cstheme="minorHAnsi"/>
        </w:rPr>
        <w:t xml:space="preserve"> </w:t>
      </w:r>
      <w:r w:rsidR="001153F3" w:rsidRPr="006C24F9">
        <w:rPr>
          <w:rFonts w:cstheme="minorHAnsi"/>
        </w:rPr>
        <w:t>(8):</w:t>
      </w:r>
      <w:r w:rsidR="00382A05" w:rsidRPr="006C24F9">
        <w:rPr>
          <w:rFonts w:cstheme="minorHAnsi"/>
        </w:rPr>
        <w:t xml:space="preserve"> </w:t>
      </w:r>
      <w:r w:rsidR="001153F3" w:rsidRPr="006C24F9">
        <w:rPr>
          <w:rFonts w:cstheme="minorHAnsi"/>
        </w:rPr>
        <w:t>1056</w:t>
      </w:r>
      <w:r w:rsidR="00382A05" w:rsidRPr="006C24F9">
        <w:rPr>
          <w:rFonts w:cstheme="minorHAnsi"/>
        </w:rPr>
        <w:t>-</w:t>
      </w:r>
      <w:r w:rsidR="001153F3" w:rsidRPr="006C24F9">
        <w:rPr>
          <w:rFonts w:cstheme="minorHAnsi"/>
        </w:rPr>
        <w:t>1060.</w:t>
      </w:r>
    </w:p>
    <w:p w14:paraId="5356267E" w14:textId="49B54C09" w:rsidR="000F3B1B" w:rsidRPr="006C24F9" w:rsidRDefault="000F3B1B" w:rsidP="006C24F9">
      <w:pPr>
        <w:rPr>
          <w:rFonts w:cstheme="minorHAnsi"/>
        </w:rPr>
      </w:pPr>
      <w:bookmarkStart w:id="23" w:name="_Hlk519634036"/>
    </w:p>
    <w:p w14:paraId="2233DE25" w14:textId="77777777" w:rsidR="0097259C" w:rsidRDefault="009F631A" w:rsidP="0097259C">
      <w:pPr>
        <w:rPr>
          <w:rFonts w:cstheme="minorHAnsi"/>
        </w:rPr>
      </w:pPr>
      <w:bookmarkStart w:id="24" w:name="_Hlk535679568"/>
      <w:r w:rsidRPr="002B6396">
        <w:rPr>
          <w:rFonts w:cstheme="minorHAnsi"/>
        </w:rPr>
        <w:t>Schmidt</w:t>
      </w:r>
      <w:bookmarkEnd w:id="24"/>
      <w:r w:rsidRPr="002B6396">
        <w:rPr>
          <w:rFonts w:cstheme="minorHAnsi"/>
        </w:rPr>
        <w:t xml:space="preserve">, C., Schulte, B., </w:t>
      </w:r>
      <w:proofErr w:type="spellStart"/>
      <w:r w:rsidRPr="002B6396">
        <w:rPr>
          <w:rFonts w:cstheme="minorHAnsi"/>
        </w:rPr>
        <w:t>Seo</w:t>
      </w:r>
      <w:proofErr w:type="spellEnd"/>
      <w:r w:rsidRPr="002B6396">
        <w:rPr>
          <w:rFonts w:cstheme="minorHAnsi"/>
        </w:rPr>
        <w:t xml:space="preserve">, H., Kuhn, S., O’Donnell, A., </w:t>
      </w:r>
      <w:proofErr w:type="spellStart"/>
      <w:r w:rsidRPr="002B6396">
        <w:rPr>
          <w:rFonts w:cstheme="minorHAnsi"/>
        </w:rPr>
        <w:t>Kriston</w:t>
      </w:r>
      <w:proofErr w:type="spellEnd"/>
      <w:r w:rsidRPr="002B6396">
        <w:rPr>
          <w:rFonts w:cstheme="minorHAnsi"/>
        </w:rPr>
        <w:t>, L., and Reimer, J. (2016), Meta-analysis on the effectiveness of alcohol screening with brief interventions for patients in emergency care settings</w:t>
      </w:r>
      <w:r w:rsidR="002B6396">
        <w:rPr>
          <w:rFonts w:cstheme="minorHAnsi"/>
        </w:rPr>
        <w:t xml:space="preserve">, </w:t>
      </w:r>
      <w:r w:rsidRPr="002B6396">
        <w:rPr>
          <w:rFonts w:cstheme="minorHAnsi"/>
          <w:i/>
        </w:rPr>
        <w:t>Addiction</w:t>
      </w:r>
      <w:r w:rsidRPr="002B6396">
        <w:rPr>
          <w:rFonts w:cstheme="minorHAnsi"/>
        </w:rPr>
        <w:t>, 111, 783</w:t>
      </w:r>
      <w:r w:rsidR="002B6396">
        <w:rPr>
          <w:rFonts w:cstheme="minorHAnsi"/>
        </w:rPr>
        <w:t>-</w:t>
      </w:r>
      <w:r w:rsidRPr="002B6396">
        <w:rPr>
          <w:rFonts w:cstheme="minorHAnsi"/>
        </w:rPr>
        <w:t>794.</w:t>
      </w:r>
    </w:p>
    <w:p w14:paraId="5586B8D6" w14:textId="77777777" w:rsidR="0097259C" w:rsidRDefault="0097259C" w:rsidP="006C24F9">
      <w:pPr>
        <w:rPr>
          <w:rFonts w:cstheme="minorHAnsi"/>
        </w:rPr>
      </w:pPr>
    </w:p>
    <w:p w14:paraId="63FA2CBF" w14:textId="77716D9B" w:rsidR="00B23201" w:rsidRPr="006C24F9" w:rsidRDefault="000F3B1B" w:rsidP="006C24F9">
      <w:pPr>
        <w:rPr>
          <w:rFonts w:cstheme="minorHAnsi"/>
        </w:rPr>
      </w:pPr>
      <w:r w:rsidRPr="006C24F9">
        <w:rPr>
          <w:rFonts w:cstheme="minorHAnsi"/>
        </w:rPr>
        <w:t>Schroers, A. (2002)</w:t>
      </w:r>
      <w:r w:rsidR="00B22B5A" w:rsidRPr="006C24F9">
        <w:rPr>
          <w:rFonts w:cstheme="minorHAnsi"/>
        </w:rPr>
        <w:t xml:space="preserve">, </w:t>
      </w:r>
      <w:r w:rsidRPr="006C24F9">
        <w:rPr>
          <w:rFonts w:cstheme="minorHAnsi"/>
        </w:rPr>
        <w:t xml:space="preserve">Drug Checking: Monitoring the Contents of New Synthetic Drugs. </w:t>
      </w:r>
      <w:r w:rsidRPr="006C24F9">
        <w:rPr>
          <w:rFonts w:cstheme="minorHAnsi"/>
          <w:i/>
        </w:rPr>
        <w:t>Journal of Drug Issues</w:t>
      </w:r>
      <w:r w:rsidRPr="006C24F9">
        <w:rPr>
          <w:rFonts w:cstheme="minorHAnsi"/>
        </w:rPr>
        <w:t>, 32</w:t>
      </w:r>
      <w:r w:rsidR="003251F8" w:rsidRPr="006C24F9">
        <w:rPr>
          <w:rFonts w:cstheme="minorHAnsi"/>
        </w:rPr>
        <w:t xml:space="preserve"> </w:t>
      </w:r>
      <w:r w:rsidRPr="006C24F9">
        <w:rPr>
          <w:rFonts w:cstheme="minorHAnsi"/>
        </w:rPr>
        <w:t>(2)</w:t>
      </w:r>
      <w:r w:rsidR="003251F8" w:rsidRPr="006C24F9">
        <w:rPr>
          <w:rFonts w:cstheme="minorHAnsi"/>
        </w:rPr>
        <w:t>:</w:t>
      </w:r>
      <w:r w:rsidRPr="006C24F9">
        <w:rPr>
          <w:rFonts w:cstheme="minorHAnsi"/>
        </w:rPr>
        <w:t xml:space="preserve"> 635-646. </w:t>
      </w:r>
    </w:p>
    <w:bookmarkEnd w:id="23"/>
    <w:p w14:paraId="53981460" w14:textId="232C7ACC" w:rsidR="001153F3" w:rsidRDefault="001153F3" w:rsidP="006C24F9">
      <w:pPr>
        <w:rPr>
          <w:rFonts w:cstheme="minorHAnsi"/>
          <w:highlight w:val="yellow"/>
        </w:rPr>
      </w:pPr>
    </w:p>
    <w:p w14:paraId="7C6FB8ED" w14:textId="6E4E458A" w:rsidR="005D3BAC" w:rsidRDefault="005D3BAC" w:rsidP="006C24F9">
      <w:pPr>
        <w:rPr>
          <w:rFonts w:cstheme="minorHAnsi"/>
          <w:highlight w:val="yellow"/>
        </w:rPr>
      </w:pPr>
      <w:r w:rsidRPr="005D3BAC">
        <w:rPr>
          <w:rFonts w:cstheme="minorHAnsi"/>
        </w:rPr>
        <w:t xml:space="preserve">Southey, M., </w:t>
      </w:r>
      <w:proofErr w:type="spellStart"/>
      <w:r w:rsidRPr="005D3BAC">
        <w:rPr>
          <w:rFonts w:cstheme="minorHAnsi"/>
        </w:rPr>
        <w:t>Kathirgamalingam</w:t>
      </w:r>
      <w:proofErr w:type="spellEnd"/>
      <w:r w:rsidRPr="005D3BAC">
        <w:rPr>
          <w:rFonts w:cstheme="minorHAnsi"/>
        </w:rPr>
        <w:t>, A., Crawford, B. et al</w:t>
      </w:r>
      <w:r>
        <w:rPr>
          <w:rFonts w:cstheme="minorHAnsi"/>
        </w:rPr>
        <w:t xml:space="preserve"> (2020), </w:t>
      </w:r>
      <w:r w:rsidRPr="005D3BAC">
        <w:rPr>
          <w:rFonts w:cstheme="minorHAnsi"/>
        </w:rPr>
        <w:t>Patterns of ecstasy use amongst live music event attendees and their opinions on pill testing: a cross sectional study</w:t>
      </w:r>
      <w:r>
        <w:rPr>
          <w:rFonts w:cstheme="minorHAnsi"/>
        </w:rPr>
        <w:t>,</w:t>
      </w:r>
      <w:r w:rsidRPr="005D3BAC">
        <w:rPr>
          <w:rFonts w:cstheme="minorHAnsi"/>
        </w:rPr>
        <w:t xml:space="preserve"> </w:t>
      </w:r>
      <w:r w:rsidRPr="005D3BAC">
        <w:rPr>
          <w:rFonts w:cstheme="minorHAnsi"/>
          <w:i/>
          <w:iCs/>
        </w:rPr>
        <w:t>Substance Abuse Treatment Prevention Policy</w:t>
      </w:r>
      <w:r>
        <w:rPr>
          <w:rFonts w:cstheme="minorHAnsi"/>
        </w:rPr>
        <w:t>,</w:t>
      </w:r>
      <w:r w:rsidRPr="005D3BAC">
        <w:rPr>
          <w:rFonts w:cstheme="minorHAnsi"/>
        </w:rPr>
        <w:t xml:space="preserve"> 15, 55.</w:t>
      </w:r>
    </w:p>
    <w:p w14:paraId="6439CED3" w14:textId="25E31BC4" w:rsidR="009967D3" w:rsidRDefault="009967D3" w:rsidP="006C24F9">
      <w:pPr>
        <w:rPr>
          <w:rFonts w:cstheme="minorHAnsi"/>
          <w:highlight w:val="yellow"/>
        </w:rPr>
      </w:pPr>
    </w:p>
    <w:p w14:paraId="5DF05F09" w14:textId="745A97C2" w:rsidR="00430048" w:rsidRDefault="00430048" w:rsidP="006C24F9">
      <w:pPr>
        <w:rPr>
          <w:rFonts w:cstheme="minorHAnsi"/>
          <w:highlight w:val="yellow"/>
        </w:rPr>
      </w:pPr>
      <w:proofErr w:type="spellStart"/>
      <w:r w:rsidRPr="00430048">
        <w:rPr>
          <w:rFonts w:cstheme="minorHAnsi"/>
        </w:rPr>
        <w:t>Statistica</w:t>
      </w:r>
      <w:proofErr w:type="spellEnd"/>
      <w:r w:rsidRPr="00430048">
        <w:rPr>
          <w:rFonts w:cstheme="minorHAnsi"/>
        </w:rPr>
        <w:t xml:space="preserve"> (20</w:t>
      </w:r>
      <w:r>
        <w:rPr>
          <w:rFonts w:cstheme="minorHAnsi"/>
        </w:rPr>
        <w:t>20</w:t>
      </w:r>
      <w:r w:rsidRPr="00430048">
        <w:rPr>
          <w:rFonts w:cstheme="minorHAnsi"/>
        </w:rPr>
        <w:t>),</w:t>
      </w:r>
      <w:r w:rsidRPr="00430048">
        <w:t xml:space="preserve"> </w:t>
      </w:r>
      <w:r w:rsidRPr="00430048">
        <w:rPr>
          <w:rFonts w:cstheme="minorHAnsi"/>
        </w:rPr>
        <w:t>Music concert and festival attendance in the United Kingdom (UK) from 2012 to 2019</w:t>
      </w:r>
      <w:r>
        <w:rPr>
          <w:rFonts w:cstheme="minorHAnsi"/>
        </w:rPr>
        <w:t xml:space="preserve">. Online at: </w:t>
      </w:r>
      <w:hyperlink r:id="rId22" w:anchor=":~:text=Attendance%20at%20music%20concerts%20and,million%20attending%20festivals%20in%202019" w:history="1">
        <w:r w:rsidRPr="003160B1">
          <w:rPr>
            <w:rStyle w:val="Hyperlink"/>
            <w:rFonts w:cstheme="minorHAnsi"/>
          </w:rPr>
          <w:t>https://www.statista.com/statistics/282032/music-concert-and-festival-attendance-in-the-uk-by-attendee-type/#:~:text=Attendance%20at%20music%20concerts%20and,million%20attending%20festivals%20in%202019</w:t>
        </w:r>
      </w:hyperlink>
      <w:r w:rsidRPr="00430048">
        <w:rPr>
          <w:rFonts w:cstheme="minorHAnsi"/>
        </w:rPr>
        <w:t>.</w:t>
      </w:r>
      <w:r>
        <w:rPr>
          <w:rFonts w:cstheme="minorHAnsi"/>
        </w:rPr>
        <w:t xml:space="preserve"> </w:t>
      </w:r>
    </w:p>
    <w:p w14:paraId="26C27E27" w14:textId="5AF94E8D" w:rsidR="00430048" w:rsidRDefault="00430048" w:rsidP="006C24F9">
      <w:pPr>
        <w:rPr>
          <w:rFonts w:cstheme="minorHAnsi"/>
          <w:highlight w:val="yellow"/>
        </w:rPr>
      </w:pPr>
    </w:p>
    <w:p w14:paraId="29475FF9" w14:textId="68BC7DF5" w:rsidR="00CF5F85" w:rsidRDefault="00CF5F85" w:rsidP="006C24F9">
      <w:pPr>
        <w:rPr>
          <w:rFonts w:cstheme="minorHAnsi"/>
          <w:highlight w:val="yellow"/>
        </w:rPr>
      </w:pPr>
      <w:r>
        <w:rPr>
          <w:rFonts w:cstheme="minorHAnsi"/>
        </w:rPr>
        <w:t xml:space="preserve">Sumnall, H. and Atkinson, A. (2021, in press), </w:t>
      </w:r>
      <w:r w:rsidRPr="00CF5F85">
        <w:rPr>
          <w:rFonts w:cstheme="minorHAnsi"/>
          <w:i/>
          <w:iCs/>
        </w:rPr>
        <w:t>Drug Safety Communication for Drug Checking Services</w:t>
      </w:r>
      <w:r>
        <w:rPr>
          <w:rFonts w:cstheme="minorHAnsi"/>
        </w:rPr>
        <w:t>, Lisbon: EMCDDA.</w:t>
      </w:r>
    </w:p>
    <w:p w14:paraId="695852AD" w14:textId="77777777" w:rsidR="00CF5F85" w:rsidRPr="006C24F9" w:rsidRDefault="00CF5F85" w:rsidP="006C24F9">
      <w:pPr>
        <w:rPr>
          <w:rFonts w:cstheme="minorHAnsi"/>
          <w:highlight w:val="yellow"/>
        </w:rPr>
      </w:pPr>
    </w:p>
    <w:p w14:paraId="5A022340" w14:textId="1CA5F54B" w:rsidR="00093129" w:rsidRDefault="00F07C07" w:rsidP="006C24F9">
      <w:pPr>
        <w:rPr>
          <w:rFonts w:cstheme="minorHAnsi"/>
          <w:bCs/>
        </w:rPr>
      </w:pPr>
      <w:r w:rsidRPr="00F07C07">
        <w:rPr>
          <w:rFonts w:cstheme="minorHAnsi"/>
          <w:bCs/>
        </w:rPr>
        <w:t>Turner, T. and Measham, F. (2019), Into The Woods: Contextualising atypical intoxication by young adults in music festivals and nightlife tourist resorts, in Conroy, D. and Measham, F. (</w:t>
      </w:r>
      <w:proofErr w:type="spellStart"/>
      <w:proofErr w:type="gramStart"/>
      <w:r w:rsidRPr="00F07C07">
        <w:rPr>
          <w:rFonts w:cstheme="minorHAnsi"/>
          <w:bCs/>
        </w:rPr>
        <w:t>ed.s</w:t>
      </w:r>
      <w:proofErr w:type="spellEnd"/>
      <w:proofErr w:type="gramEnd"/>
      <w:r w:rsidRPr="00F07C07">
        <w:rPr>
          <w:rFonts w:cstheme="minorHAnsi"/>
          <w:bCs/>
        </w:rPr>
        <w:t xml:space="preserve">), </w:t>
      </w:r>
      <w:r w:rsidRPr="00F07C07">
        <w:rPr>
          <w:rFonts w:cstheme="minorHAnsi"/>
          <w:bCs/>
          <w:i/>
          <w:iCs/>
        </w:rPr>
        <w:t>Young Adult Drinking Styles: Current Perspectives on Research, Policy and Practice</w:t>
      </w:r>
      <w:r w:rsidRPr="00F07C07">
        <w:rPr>
          <w:rFonts w:cstheme="minorHAnsi"/>
          <w:bCs/>
        </w:rPr>
        <w:t>, London: Palgrave Macmillan, pp.87-114.</w:t>
      </w:r>
    </w:p>
    <w:p w14:paraId="2C54C1EC" w14:textId="77777777" w:rsidR="00515061" w:rsidRPr="006C24F9" w:rsidRDefault="00515061" w:rsidP="006C24F9">
      <w:pPr>
        <w:rPr>
          <w:rFonts w:cstheme="minorHAnsi"/>
          <w:highlight w:val="yellow"/>
        </w:rPr>
      </w:pPr>
    </w:p>
    <w:p w14:paraId="40A30996" w14:textId="1BA982FE" w:rsidR="00E41129" w:rsidRPr="006C24F9" w:rsidRDefault="00E41129" w:rsidP="006C24F9">
      <w:pPr>
        <w:rPr>
          <w:rFonts w:cstheme="minorHAnsi"/>
        </w:rPr>
      </w:pPr>
      <w:r w:rsidRPr="006C24F9">
        <w:rPr>
          <w:rFonts w:cstheme="minorHAnsi"/>
        </w:rPr>
        <w:t xml:space="preserve">Valente, H., Martins, D., Carvalho, H., Pires C., Carvalho, M., Pinto, M. and Barratt, M. (2019), Evaluation of a drug checking service at a </w:t>
      </w:r>
      <w:proofErr w:type="gramStart"/>
      <w:r w:rsidRPr="006C24F9">
        <w:rPr>
          <w:rFonts w:cstheme="minorHAnsi"/>
        </w:rPr>
        <w:t>large scale</w:t>
      </w:r>
      <w:proofErr w:type="gramEnd"/>
      <w:r w:rsidRPr="006C24F9">
        <w:rPr>
          <w:rFonts w:cstheme="minorHAnsi"/>
        </w:rPr>
        <w:t xml:space="preserve"> electronic music festival in Portugal, </w:t>
      </w:r>
      <w:r w:rsidRPr="006C24F9">
        <w:rPr>
          <w:rFonts w:cstheme="minorHAnsi"/>
          <w:i/>
          <w:iCs/>
        </w:rPr>
        <w:t>International Journal of Drug Policy</w:t>
      </w:r>
      <w:r w:rsidRPr="006C24F9">
        <w:rPr>
          <w:rFonts w:cstheme="minorHAnsi"/>
        </w:rPr>
        <w:t>, 73: 88-95.</w:t>
      </w:r>
    </w:p>
    <w:p w14:paraId="4BC0B9DB" w14:textId="5AD27326" w:rsidR="00DA2549" w:rsidRDefault="00DA2549" w:rsidP="006C24F9">
      <w:pPr>
        <w:rPr>
          <w:rFonts w:cstheme="minorHAnsi"/>
          <w:highlight w:val="yellow"/>
        </w:rPr>
      </w:pPr>
    </w:p>
    <w:p w14:paraId="569871D0" w14:textId="2E9D56A1" w:rsidR="00621F9D" w:rsidRDefault="00621F9D" w:rsidP="00621F9D">
      <w:pPr>
        <w:rPr>
          <w:rFonts w:cstheme="minorHAnsi"/>
          <w:highlight w:val="yellow"/>
        </w:rPr>
      </w:pPr>
      <w:r w:rsidRPr="00621F9D">
        <w:rPr>
          <w:rFonts w:cstheme="minorHAnsi"/>
        </w:rPr>
        <w:t>Wallace,</w:t>
      </w:r>
      <w:r>
        <w:rPr>
          <w:rFonts w:cstheme="minorHAnsi"/>
        </w:rPr>
        <w:t xml:space="preserve"> B., </w:t>
      </w:r>
      <w:r w:rsidRPr="00621F9D">
        <w:rPr>
          <w:rFonts w:cstheme="minorHAnsi"/>
        </w:rPr>
        <w:t>Hills,</w:t>
      </w:r>
      <w:r>
        <w:rPr>
          <w:rFonts w:cstheme="minorHAnsi"/>
        </w:rPr>
        <w:t xml:space="preserve"> R., </w:t>
      </w:r>
      <w:r w:rsidRPr="00621F9D">
        <w:rPr>
          <w:rFonts w:cstheme="minorHAnsi"/>
        </w:rPr>
        <w:t>Rothwell,</w:t>
      </w:r>
      <w:r>
        <w:rPr>
          <w:rFonts w:cstheme="minorHAnsi"/>
        </w:rPr>
        <w:t xml:space="preserve"> J., </w:t>
      </w:r>
      <w:r w:rsidRPr="00621F9D">
        <w:rPr>
          <w:rFonts w:cstheme="minorHAnsi"/>
        </w:rPr>
        <w:t>Kumar,</w:t>
      </w:r>
      <w:r>
        <w:rPr>
          <w:rFonts w:cstheme="minorHAnsi"/>
        </w:rPr>
        <w:t xml:space="preserve"> D., </w:t>
      </w:r>
      <w:r w:rsidRPr="00621F9D">
        <w:rPr>
          <w:rFonts w:cstheme="minorHAnsi"/>
        </w:rPr>
        <w:t>Garber,</w:t>
      </w:r>
      <w:r>
        <w:rPr>
          <w:rFonts w:cstheme="minorHAnsi"/>
        </w:rPr>
        <w:t xml:space="preserve"> I., </w:t>
      </w:r>
      <w:r w:rsidRPr="00621F9D">
        <w:rPr>
          <w:rFonts w:cstheme="minorHAnsi"/>
        </w:rPr>
        <w:t xml:space="preserve">van </w:t>
      </w:r>
      <w:proofErr w:type="spellStart"/>
      <w:r w:rsidRPr="00621F9D">
        <w:rPr>
          <w:rFonts w:cstheme="minorHAnsi"/>
        </w:rPr>
        <w:t>Roode</w:t>
      </w:r>
      <w:proofErr w:type="spellEnd"/>
      <w:r w:rsidRPr="00621F9D">
        <w:rPr>
          <w:rFonts w:cstheme="minorHAnsi"/>
        </w:rPr>
        <w:t>,</w:t>
      </w:r>
      <w:r>
        <w:rPr>
          <w:rFonts w:cstheme="minorHAnsi"/>
        </w:rPr>
        <w:t xml:space="preserve"> T., </w:t>
      </w:r>
      <w:proofErr w:type="spellStart"/>
      <w:r w:rsidRPr="00621F9D">
        <w:rPr>
          <w:rFonts w:cstheme="minorHAnsi"/>
        </w:rPr>
        <w:t>Larnder</w:t>
      </w:r>
      <w:proofErr w:type="spellEnd"/>
      <w:r w:rsidRPr="00621F9D">
        <w:rPr>
          <w:rFonts w:cstheme="minorHAnsi"/>
        </w:rPr>
        <w:t>,</w:t>
      </w:r>
      <w:r>
        <w:rPr>
          <w:rFonts w:cstheme="minorHAnsi"/>
        </w:rPr>
        <w:t xml:space="preserve"> A., </w:t>
      </w:r>
      <w:r w:rsidRPr="00621F9D">
        <w:rPr>
          <w:rFonts w:cstheme="minorHAnsi"/>
        </w:rPr>
        <w:t>Pagan,</w:t>
      </w:r>
      <w:r>
        <w:rPr>
          <w:rFonts w:cstheme="minorHAnsi"/>
        </w:rPr>
        <w:t xml:space="preserve"> F., </w:t>
      </w:r>
      <w:r w:rsidRPr="00621F9D">
        <w:rPr>
          <w:rFonts w:cstheme="minorHAnsi"/>
        </w:rPr>
        <w:t>Aasen,</w:t>
      </w:r>
      <w:r>
        <w:rPr>
          <w:rFonts w:cstheme="minorHAnsi"/>
        </w:rPr>
        <w:t xml:space="preserve"> J., </w:t>
      </w:r>
      <w:r w:rsidRPr="00621F9D">
        <w:rPr>
          <w:rFonts w:cstheme="minorHAnsi"/>
        </w:rPr>
        <w:t>Weatherston,</w:t>
      </w:r>
      <w:r>
        <w:rPr>
          <w:rFonts w:cstheme="minorHAnsi"/>
        </w:rPr>
        <w:t xml:space="preserve"> J., </w:t>
      </w:r>
      <w:proofErr w:type="spellStart"/>
      <w:r w:rsidRPr="00621F9D">
        <w:rPr>
          <w:rFonts w:cstheme="minorHAnsi"/>
        </w:rPr>
        <w:t>Gozdzialski</w:t>
      </w:r>
      <w:proofErr w:type="spellEnd"/>
      <w:r w:rsidRPr="00621F9D">
        <w:rPr>
          <w:rFonts w:cstheme="minorHAnsi"/>
        </w:rPr>
        <w:t>,</w:t>
      </w:r>
      <w:r>
        <w:rPr>
          <w:rFonts w:cstheme="minorHAnsi"/>
        </w:rPr>
        <w:t xml:space="preserve"> L., </w:t>
      </w:r>
      <w:r w:rsidRPr="00621F9D">
        <w:rPr>
          <w:rFonts w:cstheme="minorHAnsi"/>
        </w:rPr>
        <w:t>Ramsay,</w:t>
      </w:r>
      <w:r>
        <w:rPr>
          <w:rFonts w:cstheme="minorHAnsi"/>
        </w:rPr>
        <w:t xml:space="preserve"> M., </w:t>
      </w:r>
      <w:proofErr w:type="spellStart"/>
      <w:r w:rsidRPr="00621F9D">
        <w:rPr>
          <w:rFonts w:cstheme="minorHAnsi"/>
        </w:rPr>
        <w:t>Burek</w:t>
      </w:r>
      <w:proofErr w:type="spellEnd"/>
      <w:r w:rsidRPr="00621F9D">
        <w:rPr>
          <w:rFonts w:cstheme="minorHAnsi"/>
        </w:rPr>
        <w:t>,</w:t>
      </w:r>
      <w:r>
        <w:rPr>
          <w:rFonts w:cstheme="minorHAnsi"/>
        </w:rPr>
        <w:t xml:space="preserve"> P., </w:t>
      </w:r>
      <w:r w:rsidRPr="00621F9D">
        <w:rPr>
          <w:rFonts w:cstheme="minorHAnsi"/>
        </w:rPr>
        <w:t>Azam,</w:t>
      </w:r>
      <w:r>
        <w:rPr>
          <w:rFonts w:cstheme="minorHAnsi"/>
        </w:rPr>
        <w:t xml:space="preserve"> S., </w:t>
      </w:r>
      <w:r w:rsidRPr="00621F9D">
        <w:rPr>
          <w:rFonts w:cstheme="minorHAnsi"/>
        </w:rPr>
        <w:t>Pauly,</w:t>
      </w:r>
      <w:r>
        <w:rPr>
          <w:rFonts w:cstheme="minorHAnsi"/>
        </w:rPr>
        <w:t xml:space="preserve"> B., </w:t>
      </w:r>
      <w:r w:rsidRPr="00621F9D">
        <w:rPr>
          <w:rFonts w:cstheme="minorHAnsi"/>
        </w:rPr>
        <w:t>Storey,</w:t>
      </w:r>
      <w:r>
        <w:rPr>
          <w:rFonts w:cstheme="minorHAnsi"/>
        </w:rPr>
        <w:t xml:space="preserve"> M. and </w:t>
      </w:r>
      <w:proofErr w:type="spellStart"/>
      <w:r w:rsidRPr="00621F9D">
        <w:rPr>
          <w:rFonts w:cstheme="minorHAnsi"/>
        </w:rPr>
        <w:t>Hore</w:t>
      </w:r>
      <w:proofErr w:type="spellEnd"/>
      <w:r>
        <w:rPr>
          <w:rFonts w:cstheme="minorHAnsi"/>
        </w:rPr>
        <w:t>, D. (2021</w:t>
      </w:r>
      <w:r w:rsidR="00EA09DD">
        <w:rPr>
          <w:rFonts w:cstheme="minorHAnsi"/>
        </w:rPr>
        <w:t>, in press</w:t>
      </w:r>
      <w:r>
        <w:rPr>
          <w:rFonts w:cstheme="minorHAnsi"/>
        </w:rPr>
        <w:t xml:space="preserve">), </w:t>
      </w:r>
      <w:r w:rsidRPr="00621F9D">
        <w:rPr>
          <w:rFonts w:cstheme="minorHAnsi"/>
        </w:rPr>
        <w:t>Implementing an Integrated Multi-Technology Platform for Drug Checking: Social, Scientific, and Technological Considerations</w:t>
      </w:r>
      <w:r>
        <w:rPr>
          <w:rFonts w:cstheme="minorHAnsi"/>
        </w:rPr>
        <w:t xml:space="preserve">, </w:t>
      </w:r>
      <w:r w:rsidR="007D7D37" w:rsidRPr="007D7D37">
        <w:rPr>
          <w:rFonts w:cstheme="minorHAnsi"/>
          <w:i/>
          <w:iCs/>
        </w:rPr>
        <w:t>Drug Testing and Analysis</w:t>
      </w:r>
      <w:r w:rsidR="007D7D37">
        <w:rPr>
          <w:rFonts w:cstheme="minorHAnsi"/>
        </w:rPr>
        <w:t xml:space="preserve">, </w:t>
      </w:r>
      <w:hyperlink r:id="rId23" w:history="1">
        <w:r w:rsidR="007D7D37" w:rsidRPr="00DF5C8B">
          <w:rPr>
            <w:rStyle w:val="Hyperlink"/>
            <w:rFonts w:cstheme="minorHAnsi"/>
          </w:rPr>
          <w:t>https://doi.org/10.1002/dta.3022</w:t>
        </w:r>
      </w:hyperlink>
      <w:r w:rsidR="007D7D37">
        <w:rPr>
          <w:rFonts w:cstheme="minorHAnsi"/>
        </w:rPr>
        <w:t xml:space="preserve"> </w:t>
      </w:r>
    </w:p>
    <w:p w14:paraId="5CF853F0" w14:textId="77777777" w:rsidR="00621F9D" w:rsidRPr="006C24F9" w:rsidRDefault="00621F9D" w:rsidP="006C24F9">
      <w:pPr>
        <w:rPr>
          <w:rFonts w:cstheme="minorHAnsi"/>
          <w:highlight w:val="yellow"/>
        </w:rPr>
      </w:pPr>
    </w:p>
    <w:p w14:paraId="605F12FC" w14:textId="206D1B14" w:rsidR="00B53E2B" w:rsidRDefault="0032647B" w:rsidP="006C24F9">
      <w:pPr>
        <w:rPr>
          <w:rFonts w:cstheme="minorHAnsi"/>
        </w:rPr>
      </w:pPr>
      <w:r w:rsidRPr="006C24F9">
        <w:rPr>
          <w:rFonts w:cstheme="minorHAnsi"/>
        </w:rPr>
        <w:t>Wu</w:t>
      </w:r>
      <w:r w:rsidR="00CA105D" w:rsidRPr="006C24F9">
        <w:rPr>
          <w:rFonts w:cstheme="minorHAnsi"/>
        </w:rPr>
        <w:t>,</w:t>
      </w:r>
      <w:r w:rsidRPr="006C24F9">
        <w:rPr>
          <w:rFonts w:cstheme="minorHAnsi"/>
        </w:rPr>
        <w:t xml:space="preserve"> L</w:t>
      </w:r>
      <w:r w:rsidR="00CA105D" w:rsidRPr="006C24F9">
        <w:rPr>
          <w:rFonts w:cstheme="minorHAnsi"/>
        </w:rPr>
        <w:t>.</w:t>
      </w:r>
      <w:r w:rsidRPr="006C24F9">
        <w:rPr>
          <w:rFonts w:cstheme="minorHAnsi"/>
        </w:rPr>
        <w:t>, Parrott</w:t>
      </w:r>
      <w:r w:rsidR="00CA105D" w:rsidRPr="006C24F9">
        <w:rPr>
          <w:rFonts w:cstheme="minorHAnsi"/>
        </w:rPr>
        <w:t>,</w:t>
      </w:r>
      <w:r w:rsidRPr="006C24F9">
        <w:rPr>
          <w:rFonts w:cstheme="minorHAnsi"/>
        </w:rPr>
        <w:t xml:space="preserve"> A</w:t>
      </w:r>
      <w:r w:rsidR="00CA105D" w:rsidRPr="006C24F9">
        <w:rPr>
          <w:rFonts w:cstheme="minorHAnsi"/>
        </w:rPr>
        <w:t>.</w:t>
      </w:r>
      <w:r w:rsidRPr="006C24F9">
        <w:rPr>
          <w:rFonts w:cstheme="minorHAnsi"/>
        </w:rPr>
        <w:t xml:space="preserve">, </w:t>
      </w:r>
      <w:proofErr w:type="spellStart"/>
      <w:r w:rsidRPr="006C24F9">
        <w:rPr>
          <w:rFonts w:cstheme="minorHAnsi"/>
        </w:rPr>
        <w:t>Ringwalt</w:t>
      </w:r>
      <w:proofErr w:type="spellEnd"/>
      <w:r w:rsidR="00CA105D" w:rsidRPr="006C24F9">
        <w:rPr>
          <w:rFonts w:cstheme="minorHAnsi"/>
        </w:rPr>
        <w:t>,</w:t>
      </w:r>
      <w:r w:rsidRPr="006C24F9">
        <w:rPr>
          <w:rFonts w:cstheme="minorHAnsi"/>
        </w:rPr>
        <w:t xml:space="preserve"> C</w:t>
      </w:r>
      <w:r w:rsidR="00CA105D" w:rsidRPr="006C24F9">
        <w:rPr>
          <w:rFonts w:cstheme="minorHAnsi"/>
        </w:rPr>
        <w:t>.</w:t>
      </w:r>
      <w:r w:rsidRPr="006C24F9">
        <w:rPr>
          <w:rFonts w:cstheme="minorHAnsi"/>
        </w:rPr>
        <w:t>, Patkar</w:t>
      </w:r>
      <w:r w:rsidR="00CA105D" w:rsidRPr="006C24F9">
        <w:rPr>
          <w:rFonts w:cstheme="minorHAnsi"/>
        </w:rPr>
        <w:t>,</w:t>
      </w:r>
      <w:r w:rsidRPr="006C24F9">
        <w:rPr>
          <w:rFonts w:cstheme="minorHAnsi"/>
        </w:rPr>
        <w:t xml:space="preserve"> A</w:t>
      </w:r>
      <w:r w:rsidR="00CA105D" w:rsidRPr="006C24F9">
        <w:rPr>
          <w:rFonts w:cstheme="minorHAnsi"/>
        </w:rPr>
        <w:t>.</w:t>
      </w:r>
      <w:r w:rsidRPr="006C24F9">
        <w:rPr>
          <w:rFonts w:cstheme="minorHAnsi"/>
        </w:rPr>
        <w:t xml:space="preserve">, </w:t>
      </w:r>
      <w:proofErr w:type="spellStart"/>
      <w:r w:rsidRPr="006C24F9">
        <w:rPr>
          <w:rFonts w:cstheme="minorHAnsi"/>
        </w:rPr>
        <w:t>Mannelli</w:t>
      </w:r>
      <w:proofErr w:type="spellEnd"/>
      <w:r w:rsidR="00CA105D" w:rsidRPr="006C24F9">
        <w:rPr>
          <w:rFonts w:cstheme="minorHAnsi"/>
        </w:rPr>
        <w:t>,</w:t>
      </w:r>
      <w:r w:rsidRPr="006C24F9">
        <w:rPr>
          <w:rFonts w:cstheme="minorHAnsi"/>
        </w:rPr>
        <w:t xml:space="preserve"> P</w:t>
      </w:r>
      <w:r w:rsidR="00CA105D" w:rsidRPr="006C24F9">
        <w:rPr>
          <w:rFonts w:cstheme="minorHAnsi"/>
        </w:rPr>
        <w:t>. and</w:t>
      </w:r>
      <w:r w:rsidRPr="006C24F9">
        <w:rPr>
          <w:rFonts w:cstheme="minorHAnsi"/>
        </w:rPr>
        <w:t xml:space="preserve"> Blazer</w:t>
      </w:r>
      <w:r w:rsidR="00CA105D" w:rsidRPr="006C24F9">
        <w:rPr>
          <w:rFonts w:cstheme="minorHAnsi"/>
        </w:rPr>
        <w:t>,</w:t>
      </w:r>
      <w:r w:rsidRPr="006C24F9">
        <w:rPr>
          <w:rFonts w:cstheme="minorHAnsi"/>
        </w:rPr>
        <w:t xml:space="preserve"> D. </w:t>
      </w:r>
      <w:r w:rsidR="00CA105D" w:rsidRPr="006C24F9">
        <w:rPr>
          <w:rFonts w:cstheme="minorHAnsi"/>
        </w:rPr>
        <w:t xml:space="preserve">(2009), </w:t>
      </w:r>
      <w:r w:rsidRPr="006C24F9">
        <w:rPr>
          <w:rFonts w:cstheme="minorHAnsi"/>
        </w:rPr>
        <w:t>The high prevalence of substance use disorders among recent MDMA users compared with other drug users: Implications for intervention</w:t>
      </w:r>
      <w:r w:rsidR="00CA105D" w:rsidRPr="006C24F9">
        <w:rPr>
          <w:rFonts w:cstheme="minorHAnsi"/>
        </w:rPr>
        <w:t xml:space="preserve">, </w:t>
      </w:r>
      <w:r w:rsidRPr="006C24F9">
        <w:rPr>
          <w:rFonts w:cstheme="minorHAnsi"/>
          <w:i/>
        </w:rPr>
        <w:t xml:space="preserve">Addictive </w:t>
      </w:r>
      <w:proofErr w:type="spellStart"/>
      <w:r w:rsidRPr="006C24F9">
        <w:rPr>
          <w:rFonts w:cstheme="minorHAnsi"/>
          <w:i/>
        </w:rPr>
        <w:t>Behaviors</w:t>
      </w:r>
      <w:proofErr w:type="spellEnd"/>
      <w:r w:rsidR="00CA105D" w:rsidRPr="006C24F9">
        <w:rPr>
          <w:rFonts w:cstheme="minorHAnsi"/>
        </w:rPr>
        <w:t xml:space="preserve">, </w:t>
      </w:r>
      <w:r w:rsidRPr="006C24F9">
        <w:rPr>
          <w:rFonts w:cstheme="minorHAnsi"/>
        </w:rPr>
        <w:t>34</w:t>
      </w:r>
      <w:r w:rsidR="00CA105D" w:rsidRPr="006C24F9">
        <w:rPr>
          <w:rFonts w:cstheme="minorHAnsi"/>
        </w:rPr>
        <w:t xml:space="preserve"> </w:t>
      </w:r>
      <w:r w:rsidRPr="006C24F9">
        <w:rPr>
          <w:rFonts w:cstheme="minorHAnsi"/>
        </w:rPr>
        <w:t>(8):</w:t>
      </w:r>
      <w:r w:rsidR="00CA105D" w:rsidRPr="006C24F9">
        <w:rPr>
          <w:rFonts w:cstheme="minorHAnsi"/>
        </w:rPr>
        <w:t xml:space="preserve"> </w:t>
      </w:r>
      <w:r w:rsidRPr="006C24F9">
        <w:rPr>
          <w:rFonts w:cstheme="minorHAnsi"/>
        </w:rPr>
        <w:t>654-61.</w:t>
      </w:r>
    </w:p>
    <w:p w14:paraId="6FACEB5F" w14:textId="77777777" w:rsidR="0032647B" w:rsidRDefault="0032647B"/>
    <w:p w14:paraId="35CBA79A" w14:textId="4401FEF2" w:rsidR="00D658B5" w:rsidRDefault="00D658B5">
      <w:r>
        <w:br w:type="page"/>
      </w:r>
    </w:p>
    <w:p w14:paraId="1B9E4FD3" w14:textId="38368774" w:rsidR="00D658B5" w:rsidRPr="0031028E" w:rsidRDefault="00D658B5">
      <w:pPr>
        <w:rPr>
          <w:b/>
          <w:bCs/>
        </w:rPr>
      </w:pPr>
      <w:r w:rsidRPr="0031028E">
        <w:rPr>
          <w:b/>
          <w:bCs/>
        </w:rPr>
        <w:lastRenderedPageBreak/>
        <w:t>Tables</w:t>
      </w:r>
    </w:p>
    <w:p w14:paraId="0A5A1F61" w14:textId="77777777" w:rsidR="00714E7C" w:rsidRDefault="00714E7C"/>
    <w:tbl>
      <w:tblPr>
        <w:tblStyle w:val="TableGrid"/>
        <w:tblW w:w="9067" w:type="dxa"/>
        <w:tblLook w:val="04A0" w:firstRow="1" w:lastRow="0" w:firstColumn="1" w:lastColumn="0" w:noHBand="0" w:noVBand="1"/>
      </w:tblPr>
      <w:tblGrid>
        <w:gridCol w:w="2830"/>
        <w:gridCol w:w="1370"/>
        <w:gridCol w:w="1370"/>
        <w:gridCol w:w="1371"/>
        <w:gridCol w:w="2126"/>
      </w:tblGrid>
      <w:tr w:rsidR="0063185E" w:rsidRPr="0063185E" w14:paraId="139B44E5" w14:textId="77777777" w:rsidTr="00DF18E9">
        <w:trPr>
          <w:trHeight w:val="329"/>
        </w:trPr>
        <w:tc>
          <w:tcPr>
            <w:tcW w:w="9067" w:type="dxa"/>
            <w:gridSpan w:val="5"/>
            <w:vAlign w:val="center"/>
          </w:tcPr>
          <w:p w14:paraId="67D28DEA" w14:textId="5BDD9D73" w:rsidR="0063185E" w:rsidRPr="0063185E" w:rsidRDefault="0063185E" w:rsidP="0063185E">
            <w:pPr>
              <w:rPr>
                <w:b/>
              </w:rPr>
            </w:pPr>
            <w:r w:rsidRPr="0063185E">
              <w:rPr>
                <w:b/>
              </w:rPr>
              <w:t xml:space="preserve">Table 1: Overview of </w:t>
            </w:r>
            <w:r w:rsidR="00AA64D3">
              <w:rPr>
                <w:b/>
              </w:rPr>
              <w:t>2017 datasets</w:t>
            </w:r>
            <w:r w:rsidR="00E438FC">
              <w:rPr>
                <w:b/>
              </w:rPr>
              <w:t>:</w:t>
            </w:r>
            <w:r w:rsidR="00AA64D3">
              <w:rPr>
                <w:b/>
              </w:rPr>
              <w:t xml:space="preserve"> </w:t>
            </w:r>
            <w:r w:rsidR="005C6970">
              <w:rPr>
                <w:b/>
              </w:rPr>
              <w:t>festival BI</w:t>
            </w:r>
            <w:r w:rsidR="00E438FC">
              <w:rPr>
                <w:b/>
              </w:rPr>
              <w:t xml:space="preserve"> </w:t>
            </w:r>
            <w:r w:rsidR="005C6970">
              <w:rPr>
                <w:b/>
              </w:rPr>
              <w:t xml:space="preserve">sample </w:t>
            </w:r>
            <w:r w:rsidR="00E438FC">
              <w:rPr>
                <w:b/>
              </w:rPr>
              <w:t>and</w:t>
            </w:r>
            <w:r w:rsidR="00AA64D3">
              <w:rPr>
                <w:b/>
              </w:rPr>
              <w:t xml:space="preserve"> </w:t>
            </w:r>
            <w:r w:rsidR="005F205B">
              <w:rPr>
                <w:b/>
              </w:rPr>
              <w:t>post</w:t>
            </w:r>
            <w:r w:rsidR="006606E2">
              <w:rPr>
                <w:b/>
              </w:rPr>
              <w:t>-</w:t>
            </w:r>
            <w:r w:rsidRPr="0063185E">
              <w:rPr>
                <w:b/>
              </w:rPr>
              <w:t xml:space="preserve">festival </w:t>
            </w:r>
            <w:r w:rsidR="008C4B21">
              <w:rPr>
                <w:b/>
              </w:rPr>
              <w:t xml:space="preserve">follow-up online </w:t>
            </w:r>
            <w:r w:rsidRPr="0063185E">
              <w:rPr>
                <w:b/>
              </w:rPr>
              <w:t>survey</w:t>
            </w:r>
            <w:r w:rsidR="00B5223C">
              <w:rPr>
                <w:b/>
              </w:rPr>
              <w:t xml:space="preserve"> </w:t>
            </w:r>
            <w:r w:rsidR="005C6970">
              <w:rPr>
                <w:b/>
              </w:rPr>
              <w:t xml:space="preserve">sub-sample by </w:t>
            </w:r>
            <w:r w:rsidR="00AA64D3">
              <w:rPr>
                <w:b/>
              </w:rPr>
              <w:t xml:space="preserve">3 </w:t>
            </w:r>
            <w:r w:rsidR="00B5223C">
              <w:rPr>
                <w:b/>
              </w:rPr>
              <w:t>festival</w:t>
            </w:r>
            <w:r w:rsidR="00AA64D3">
              <w:rPr>
                <w:b/>
              </w:rPr>
              <w:t>s</w:t>
            </w:r>
          </w:p>
        </w:tc>
      </w:tr>
      <w:tr w:rsidR="0063185E" w:rsidRPr="0063185E" w14:paraId="3595DC8E" w14:textId="77777777" w:rsidTr="00DF18E9">
        <w:trPr>
          <w:trHeight w:val="329"/>
        </w:trPr>
        <w:tc>
          <w:tcPr>
            <w:tcW w:w="2830" w:type="dxa"/>
          </w:tcPr>
          <w:p w14:paraId="46AEB479" w14:textId="77777777" w:rsidR="0063185E" w:rsidRPr="0063185E" w:rsidRDefault="0063185E" w:rsidP="0063185E"/>
        </w:tc>
        <w:tc>
          <w:tcPr>
            <w:tcW w:w="1370" w:type="dxa"/>
          </w:tcPr>
          <w:p w14:paraId="374E5109" w14:textId="77777777" w:rsidR="0063185E" w:rsidRPr="0063185E" w:rsidRDefault="0063185E" w:rsidP="0063185E">
            <w:pPr>
              <w:rPr>
                <w:b/>
              </w:rPr>
            </w:pPr>
            <w:r w:rsidRPr="0063185E">
              <w:rPr>
                <w:b/>
              </w:rPr>
              <w:t>Festival 1</w:t>
            </w:r>
          </w:p>
        </w:tc>
        <w:tc>
          <w:tcPr>
            <w:tcW w:w="1370" w:type="dxa"/>
          </w:tcPr>
          <w:p w14:paraId="5287A042" w14:textId="77777777" w:rsidR="0063185E" w:rsidRPr="0063185E" w:rsidRDefault="0063185E" w:rsidP="0063185E">
            <w:pPr>
              <w:rPr>
                <w:b/>
              </w:rPr>
            </w:pPr>
            <w:r w:rsidRPr="0063185E">
              <w:rPr>
                <w:b/>
              </w:rPr>
              <w:t>Festival 2</w:t>
            </w:r>
          </w:p>
        </w:tc>
        <w:tc>
          <w:tcPr>
            <w:tcW w:w="1371" w:type="dxa"/>
          </w:tcPr>
          <w:p w14:paraId="381BE396" w14:textId="77777777" w:rsidR="0063185E" w:rsidRPr="0063185E" w:rsidRDefault="0063185E" w:rsidP="0063185E">
            <w:pPr>
              <w:rPr>
                <w:b/>
              </w:rPr>
            </w:pPr>
            <w:r w:rsidRPr="0063185E">
              <w:rPr>
                <w:b/>
              </w:rPr>
              <w:t>Festival 3</w:t>
            </w:r>
          </w:p>
        </w:tc>
        <w:tc>
          <w:tcPr>
            <w:tcW w:w="2126" w:type="dxa"/>
          </w:tcPr>
          <w:p w14:paraId="20F6C2A4" w14:textId="77777777" w:rsidR="0063185E" w:rsidRPr="0063185E" w:rsidRDefault="0063185E" w:rsidP="0063185E">
            <w:pPr>
              <w:rPr>
                <w:b/>
              </w:rPr>
            </w:pPr>
            <w:r w:rsidRPr="0063185E">
              <w:rPr>
                <w:b/>
              </w:rPr>
              <w:t>All Festivals</w:t>
            </w:r>
          </w:p>
        </w:tc>
      </w:tr>
      <w:tr w:rsidR="0063185E" w:rsidRPr="0063185E" w14:paraId="7B53BB4C" w14:textId="77777777" w:rsidTr="00DF18E9">
        <w:tc>
          <w:tcPr>
            <w:tcW w:w="2830" w:type="dxa"/>
          </w:tcPr>
          <w:p w14:paraId="513AF84B" w14:textId="7EA08F4A" w:rsidR="0063185E" w:rsidRPr="0063185E" w:rsidRDefault="0063185E" w:rsidP="0063185E">
            <w:r w:rsidRPr="0063185E">
              <w:t>Capacity</w:t>
            </w:r>
          </w:p>
        </w:tc>
        <w:tc>
          <w:tcPr>
            <w:tcW w:w="1370" w:type="dxa"/>
          </w:tcPr>
          <w:p w14:paraId="5E5444BD" w14:textId="40507D40" w:rsidR="0063185E" w:rsidRPr="0063185E" w:rsidRDefault="0063185E" w:rsidP="0063185E">
            <w:r w:rsidRPr="0063185E">
              <w:t>60</w:t>
            </w:r>
            <w:r w:rsidR="00696C6C">
              <w:t>,</w:t>
            </w:r>
            <w:r w:rsidRPr="0063185E">
              <w:t>000</w:t>
            </w:r>
          </w:p>
        </w:tc>
        <w:tc>
          <w:tcPr>
            <w:tcW w:w="1370" w:type="dxa"/>
          </w:tcPr>
          <w:p w14:paraId="61DDEB4A" w14:textId="097125C8" w:rsidR="0063185E" w:rsidRPr="0063185E" w:rsidRDefault="0063185E" w:rsidP="0063185E">
            <w:r w:rsidRPr="0063185E">
              <w:t>2</w:t>
            </w:r>
            <w:r w:rsidR="00696C6C">
              <w:t>5,</w:t>
            </w:r>
            <w:r w:rsidRPr="0063185E">
              <w:t>000</w:t>
            </w:r>
          </w:p>
        </w:tc>
        <w:tc>
          <w:tcPr>
            <w:tcW w:w="1371" w:type="dxa"/>
          </w:tcPr>
          <w:p w14:paraId="19984D8D" w14:textId="7009BACF" w:rsidR="0063185E" w:rsidRPr="0063185E" w:rsidRDefault="0063185E" w:rsidP="0063185E">
            <w:r w:rsidRPr="0063185E">
              <w:t>2</w:t>
            </w:r>
            <w:r w:rsidR="00696C6C">
              <w:t>5,</w:t>
            </w:r>
            <w:r w:rsidRPr="0063185E">
              <w:t>000</w:t>
            </w:r>
          </w:p>
        </w:tc>
        <w:tc>
          <w:tcPr>
            <w:tcW w:w="2126" w:type="dxa"/>
          </w:tcPr>
          <w:p w14:paraId="02E3E1A2" w14:textId="3CABB8DC" w:rsidR="0063185E" w:rsidRPr="0063185E" w:rsidRDefault="0063185E" w:rsidP="0063185E">
            <w:r w:rsidRPr="0063185E">
              <w:t>11</w:t>
            </w:r>
            <w:r w:rsidR="001D732E">
              <w:t>0,</w:t>
            </w:r>
            <w:r w:rsidRPr="0063185E">
              <w:t>000</w:t>
            </w:r>
          </w:p>
        </w:tc>
      </w:tr>
      <w:tr w:rsidR="0063185E" w:rsidRPr="0063185E" w14:paraId="6B05AD1E" w14:textId="77777777" w:rsidTr="00DF18E9">
        <w:tc>
          <w:tcPr>
            <w:tcW w:w="2830" w:type="dxa"/>
          </w:tcPr>
          <w:p w14:paraId="48422C80" w14:textId="38409E76" w:rsidR="0063185E" w:rsidRPr="0063185E" w:rsidRDefault="005C6970" w:rsidP="0063185E">
            <w:r>
              <w:t>Festival</w:t>
            </w:r>
            <w:r w:rsidR="00F94A99">
              <w:t xml:space="preserve"> </w:t>
            </w:r>
            <w:r>
              <w:t>substances</w:t>
            </w:r>
            <w:r w:rsidR="00060885">
              <w:t xml:space="preserve"> tested</w:t>
            </w:r>
          </w:p>
        </w:tc>
        <w:tc>
          <w:tcPr>
            <w:tcW w:w="1370" w:type="dxa"/>
          </w:tcPr>
          <w:p w14:paraId="2DB1F2F5" w14:textId="6611308F" w:rsidR="0063185E" w:rsidRPr="00677091" w:rsidRDefault="008B1E23" w:rsidP="0063185E">
            <w:r w:rsidRPr="00677091">
              <w:t>113</w:t>
            </w:r>
            <w:r w:rsidR="006D6D0E" w:rsidRPr="00677091">
              <w:t>5</w:t>
            </w:r>
          </w:p>
        </w:tc>
        <w:tc>
          <w:tcPr>
            <w:tcW w:w="1370" w:type="dxa"/>
          </w:tcPr>
          <w:p w14:paraId="1EC26D49" w14:textId="6D386C72" w:rsidR="0063185E" w:rsidRPr="00677091" w:rsidRDefault="008B1E23" w:rsidP="0063185E">
            <w:r w:rsidRPr="00677091">
              <w:t>6</w:t>
            </w:r>
            <w:r w:rsidR="006D6D0E" w:rsidRPr="00677091">
              <w:t>88</w:t>
            </w:r>
          </w:p>
        </w:tc>
        <w:tc>
          <w:tcPr>
            <w:tcW w:w="1371" w:type="dxa"/>
          </w:tcPr>
          <w:p w14:paraId="23E7398D" w14:textId="37D1242E" w:rsidR="0063185E" w:rsidRPr="00677091" w:rsidRDefault="006D6D0E" w:rsidP="0063185E">
            <w:r w:rsidRPr="00677091">
              <w:t>77</w:t>
            </w:r>
          </w:p>
        </w:tc>
        <w:tc>
          <w:tcPr>
            <w:tcW w:w="2126" w:type="dxa"/>
          </w:tcPr>
          <w:p w14:paraId="78979A41" w14:textId="4F3D4167" w:rsidR="0063185E" w:rsidRPr="00677091" w:rsidRDefault="0063185E" w:rsidP="0063185E">
            <w:r w:rsidRPr="00677091">
              <w:t>1</w:t>
            </w:r>
            <w:r w:rsidR="00A11CA6" w:rsidRPr="00677091">
              <w:t>,</w:t>
            </w:r>
            <w:r w:rsidR="00597215">
              <w:t>900</w:t>
            </w:r>
          </w:p>
        </w:tc>
      </w:tr>
      <w:tr w:rsidR="0063185E" w:rsidRPr="0063185E" w14:paraId="21EC185F" w14:textId="77777777" w:rsidTr="00DF18E9">
        <w:tc>
          <w:tcPr>
            <w:tcW w:w="2830" w:type="dxa"/>
          </w:tcPr>
          <w:p w14:paraId="53CF3B54" w14:textId="272E3C65" w:rsidR="0063185E" w:rsidRPr="0063185E" w:rsidRDefault="0063185E" w:rsidP="0063185E">
            <w:r w:rsidRPr="0063185E">
              <w:t>Brief Interventions</w:t>
            </w:r>
          </w:p>
        </w:tc>
        <w:tc>
          <w:tcPr>
            <w:tcW w:w="1370" w:type="dxa"/>
          </w:tcPr>
          <w:p w14:paraId="5023E0DA" w14:textId="44EA5792" w:rsidR="0063185E" w:rsidRPr="006251C2" w:rsidRDefault="0063185E" w:rsidP="0063185E">
            <w:r w:rsidRPr="006251C2">
              <w:t>8</w:t>
            </w:r>
            <w:r w:rsidR="006251C2">
              <w:t>63</w:t>
            </w:r>
          </w:p>
        </w:tc>
        <w:tc>
          <w:tcPr>
            <w:tcW w:w="1370" w:type="dxa"/>
          </w:tcPr>
          <w:p w14:paraId="0B75F526" w14:textId="6532970F" w:rsidR="0063185E" w:rsidRPr="006251C2" w:rsidRDefault="0063185E" w:rsidP="0063185E">
            <w:r w:rsidRPr="006251C2">
              <w:t>5</w:t>
            </w:r>
            <w:r w:rsidR="006251C2">
              <w:t>53</w:t>
            </w:r>
          </w:p>
        </w:tc>
        <w:tc>
          <w:tcPr>
            <w:tcW w:w="1371" w:type="dxa"/>
          </w:tcPr>
          <w:p w14:paraId="474A6023" w14:textId="148C1081" w:rsidR="0063185E" w:rsidRPr="006251C2" w:rsidRDefault="0063185E" w:rsidP="0063185E">
            <w:r w:rsidRPr="006251C2">
              <w:t>6</w:t>
            </w:r>
            <w:r w:rsidR="006251C2" w:rsidRPr="006251C2">
              <w:t>6</w:t>
            </w:r>
          </w:p>
        </w:tc>
        <w:tc>
          <w:tcPr>
            <w:tcW w:w="2126" w:type="dxa"/>
          </w:tcPr>
          <w:p w14:paraId="0B56F470" w14:textId="7594405C" w:rsidR="004E3B8C" w:rsidRPr="006251C2" w:rsidRDefault="0063185E" w:rsidP="0063185E">
            <w:r w:rsidRPr="006251C2">
              <w:t>1</w:t>
            </w:r>
            <w:r w:rsidR="00517450">
              <w:t>,</w:t>
            </w:r>
            <w:r w:rsidR="00D71F62" w:rsidRPr="006251C2">
              <w:t>482</w:t>
            </w:r>
          </w:p>
        </w:tc>
      </w:tr>
      <w:tr w:rsidR="0063185E" w:rsidRPr="0063185E" w14:paraId="1C881769" w14:textId="77777777" w:rsidTr="00DF18E9">
        <w:tc>
          <w:tcPr>
            <w:tcW w:w="2830" w:type="dxa"/>
          </w:tcPr>
          <w:p w14:paraId="796FCA60" w14:textId="26388087" w:rsidR="0063185E" w:rsidRPr="0063185E" w:rsidRDefault="005C6970" w:rsidP="0063185E">
            <w:r>
              <w:t xml:space="preserve">Service users </w:t>
            </w:r>
            <w:r w:rsidR="0063185E" w:rsidRPr="0063185E">
              <w:t>per BI (mean)</w:t>
            </w:r>
          </w:p>
        </w:tc>
        <w:tc>
          <w:tcPr>
            <w:tcW w:w="6237" w:type="dxa"/>
            <w:gridSpan w:val="4"/>
          </w:tcPr>
          <w:p w14:paraId="50B3CB39" w14:textId="453F70BF" w:rsidR="0063185E" w:rsidRPr="0063185E" w:rsidRDefault="0063185E" w:rsidP="008B1E23">
            <w:pPr>
              <w:jc w:val="center"/>
            </w:pPr>
            <w:r w:rsidRPr="007F2B22">
              <w:t>2.3</w:t>
            </w:r>
            <w:r w:rsidR="007F2B22">
              <w:t>6</w:t>
            </w:r>
          </w:p>
        </w:tc>
      </w:tr>
      <w:tr w:rsidR="0063185E" w:rsidRPr="0063185E" w14:paraId="72B4A52F" w14:textId="77777777" w:rsidTr="00DF18E9">
        <w:trPr>
          <w:trHeight w:val="908"/>
        </w:trPr>
        <w:tc>
          <w:tcPr>
            <w:tcW w:w="2830" w:type="dxa"/>
          </w:tcPr>
          <w:p w14:paraId="2BF6D87C" w14:textId="3F6627AA" w:rsidR="0063185E" w:rsidRPr="0063185E" w:rsidRDefault="005C6970" w:rsidP="0063185E">
            <w:r>
              <w:t>BI service users</w:t>
            </w:r>
            <w:r w:rsidR="00795B78">
              <w:t xml:space="preserve"> </w:t>
            </w:r>
            <w:r w:rsidR="0063185E" w:rsidRPr="0063185E">
              <w:t xml:space="preserve">who </w:t>
            </w:r>
            <w:r>
              <w:t xml:space="preserve">consented to follow-up &amp; provided </w:t>
            </w:r>
            <w:r w:rsidR="0063185E" w:rsidRPr="0063185E">
              <w:t xml:space="preserve">email </w:t>
            </w:r>
            <w:r w:rsidR="00795B78">
              <w:t>(n)</w:t>
            </w:r>
          </w:p>
        </w:tc>
        <w:tc>
          <w:tcPr>
            <w:tcW w:w="1370" w:type="dxa"/>
          </w:tcPr>
          <w:p w14:paraId="37DBCF82" w14:textId="77777777" w:rsidR="0063185E" w:rsidRPr="0063185E" w:rsidRDefault="0063185E" w:rsidP="0063185E">
            <w:r w:rsidRPr="0063185E">
              <w:t xml:space="preserve">282 </w:t>
            </w:r>
          </w:p>
          <w:p w14:paraId="06B48C7D" w14:textId="77777777" w:rsidR="0063185E" w:rsidRPr="0063185E" w:rsidRDefault="0063185E" w:rsidP="0063185E">
            <w:r w:rsidRPr="0063185E">
              <w:t>(235 valid)</w:t>
            </w:r>
          </w:p>
        </w:tc>
        <w:tc>
          <w:tcPr>
            <w:tcW w:w="1370" w:type="dxa"/>
          </w:tcPr>
          <w:p w14:paraId="577E5E37" w14:textId="77777777" w:rsidR="0063185E" w:rsidRPr="0063185E" w:rsidRDefault="0063185E" w:rsidP="0063185E">
            <w:r w:rsidRPr="0063185E">
              <w:t xml:space="preserve">253 </w:t>
            </w:r>
          </w:p>
          <w:p w14:paraId="25F156C6" w14:textId="77777777" w:rsidR="0063185E" w:rsidRPr="0063185E" w:rsidRDefault="0063185E" w:rsidP="0063185E">
            <w:r w:rsidRPr="0063185E">
              <w:t>(197 valid)</w:t>
            </w:r>
          </w:p>
        </w:tc>
        <w:tc>
          <w:tcPr>
            <w:tcW w:w="1371" w:type="dxa"/>
          </w:tcPr>
          <w:p w14:paraId="369AA7E5" w14:textId="77777777" w:rsidR="0063185E" w:rsidRPr="0063185E" w:rsidRDefault="0063185E" w:rsidP="0063185E">
            <w:r w:rsidRPr="0063185E">
              <w:t xml:space="preserve">122 </w:t>
            </w:r>
          </w:p>
          <w:p w14:paraId="6627DE58" w14:textId="77777777" w:rsidR="0063185E" w:rsidRPr="0063185E" w:rsidRDefault="0063185E" w:rsidP="0063185E">
            <w:r w:rsidRPr="0063185E">
              <w:t>(94 valid)</w:t>
            </w:r>
          </w:p>
        </w:tc>
        <w:tc>
          <w:tcPr>
            <w:tcW w:w="2126" w:type="dxa"/>
          </w:tcPr>
          <w:p w14:paraId="756E957F" w14:textId="77777777" w:rsidR="002B47C9" w:rsidRDefault="0063185E" w:rsidP="0063185E">
            <w:r w:rsidRPr="0063185E">
              <w:t>657</w:t>
            </w:r>
          </w:p>
          <w:p w14:paraId="2289D43A" w14:textId="2E6A2EBC" w:rsidR="0063185E" w:rsidRPr="0063185E" w:rsidRDefault="0063185E" w:rsidP="0063185E">
            <w:r w:rsidRPr="0063185E">
              <w:t xml:space="preserve">(526 </w:t>
            </w:r>
            <w:r w:rsidR="004E3B8C">
              <w:t>functioning &amp; valid 3 months later</w:t>
            </w:r>
            <w:r w:rsidRPr="0063185E">
              <w:t>)</w:t>
            </w:r>
          </w:p>
          <w:p w14:paraId="1C9F6B05" w14:textId="4D0C7FF2" w:rsidR="0063185E" w:rsidRPr="0063185E" w:rsidRDefault="0063185E" w:rsidP="0063185E">
            <w:r w:rsidRPr="0063185E">
              <w:t>4</w:t>
            </w:r>
            <w:r w:rsidR="009075B5">
              <w:t>4.</w:t>
            </w:r>
            <w:r w:rsidRPr="0063185E">
              <w:t xml:space="preserve">3% of primary service user </w:t>
            </w:r>
            <w:proofErr w:type="spellStart"/>
            <w:r w:rsidRPr="0063185E">
              <w:t>pop</w:t>
            </w:r>
            <w:r w:rsidR="005C6970">
              <w:t>n</w:t>
            </w:r>
            <w:proofErr w:type="spellEnd"/>
            <w:r w:rsidRPr="0063185E">
              <w:t>.</w:t>
            </w:r>
          </w:p>
          <w:p w14:paraId="2AD97044" w14:textId="739542EC" w:rsidR="0063185E" w:rsidRPr="0063185E" w:rsidRDefault="0063185E" w:rsidP="0063185E">
            <w:r w:rsidRPr="0063185E">
              <w:t>0.</w:t>
            </w:r>
            <w:r w:rsidR="009075B5">
              <w:t>6</w:t>
            </w:r>
            <w:r w:rsidRPr="0063185E">
              <w:t xml:space="preserve">% of </w:t>
            </w:r>
            <w:r w:rsidR="009743D2">
              <w:t xml:space="preserve">total </w:t>
            </w:r>
            <w:r w:rsidRPr="0063185E">
              <w:t xml:space="preserve">festival </w:t>
            </w:r>
            <w:proofErr w:type="spellStart"/>
            <w:r w:rsidRPr="0063185E">
              <w:t>pop</w:t>
            </w:r>
            <w:r w:rsidR="005C6970">
              <w:t>n</w:t>
            </w:r>
            <w:proofErr w:type="spellEnd"/>
            <w:r w:rsidRPr="0063185E">
              <w:t>.</w:t>
            </w:r>
          </w:p>
        </w:tc>
      </w:tr>
      <w:tr w:rsidR="0063185E" w:rsidRPr="0063185E" w14:paraId="09A06F80" w14:textId="77777777" w:rsidTr="00DF18E9">
        <w:trPr>
          <w:trHeight w:val="1215"/>
        </w:trPr>
        <w:tc>
          <w:tcPr>
            <w:tcW w:w="2830" w:type="dxa"/>
          </w:tcPr>
          <w:p w14:paraId="1731FD07" w14:textId="6D38397E" w:rsidR="0063185E" w:rsidRPr="0063185E" w:rsidRDefault="005C6970" w:rsidP="0063185E">
            <w:r>
              <w:t>Follow-up</w:t>
            </w:r>
            <w:r w:rsidR="0066491B">
              <w:t xml:space="preserve"> s</w:t>
            </w:r>
            <w:r w:rsidR="0063185E" w:rsidRPr="0063185E">
              <w:t>urvey respondents</w:t>
            </w:r>
            <w:r w:rsidR="0066491B">
              <w:t xml:space="preserve"> (n)</w:t>
            </w:r>
          </w:p>
        </w:tc>
        <w:tc>
          <w:tcPr>
            <w:tcW w:w="1370" w:type="dxa"/>
          </w:tcPr>
          <w:p w14:paraId="73C4C03E" w14:textId="77777777" w:rsidR="0063185E" w:rsidRPr="0063185E" w:rsidRDefault="0063185E" w:rsidP="0063185E">
            <w:r w:rsidRPr="0063185E">
              <w:t>74</w:t>
            </w:r>
          </w:p>
          <w:p w14:paraId="5E100E65" w14:textId="77777777" w:rsidR="0063185E" w:rsidRPr="0063185E" w:rsidRDefault="0063185E" w:rsidP="0063185E">
            <w:r w:rsidRPr="0063185E">
              <w:t>26.2% of email list</w:t>
            </w:r>
          </w:p>
        </w:tc>
        <w:tc>
          <w:tcPr>
            <w:tcW w:w="1370" w:type="dxa"/>
          </w:tcPr>
          <w:p w14:paraId="29052CE8" w14:textId="77777777" w:rsidR="0063185E" w:rsidRPr="0063185E" w:rsidRDefault="0063185E" w:rsidP="0063185E">
            <w:r w:rsidRPr="0063185E">
              <w:t>60</w:t>
            </w:r>
          </w:p>
          <w:p w14:paraId="46988F8E" w14:textId="77777777" w:rsidR="0063185E" w:rsidRPr="0063185E" w:rsidRDefault="0063185E" w:rsidP="0063185E">
            <w:r w:rsidRPr="0063185E">
              <w:t>23.7% of email list</w:t>
            </w:r>
          </w:p>
        </w:tc>
        <w:tc>
          <w:tcPr>
            <w:tcW w:w="1371" w:type="dxa"/>
          </w:tcPr>
          <w:p w14:paraId="65C81B2B" w14:textId="77777777" w:rsidR="0063185E" w:rsidRPr="0063185E" w:rsidRDefault="0063185E" w:rsidP="0063185E">
            <w:r w:rsidRPr="0063185E">
              <w:t>4</w:t>
            </w:r>
          </w:p>
          <w:p w14:paraId="48C71FA1" w14:textId="77777777" w:rsidR="0063185E" w:rsidRPr="0063185E" w:rsidRDefault="0063185E" w:rsidP="0063185E">
            <w:r w:rsidRPr="0063185E">
              <w:t>3.3% of email list</w:t>
            </w:r>
          </w:p>
        </w:tc>
        <w:tc>
          <w:tcPr>
            <w:tcW w:w="2126" w:type="dxa"/>
          </w:tcPr>
          <w:p w14:paraId="1A15499E" w14:textId="77777777" w:rsidR="0063185E" w:rsidRPr="0063185E" w:rsidRDefault="0063185E" w:rsidP="0063185E">
            <w:r w:rsidRPr="0063185E">
              <w:t>130</w:t>
            </w:r>
          </w:p>
          <w:p w14:paraId="3DB5FBFA" w14:textId="77777777" w:rsidR="0063185E" w:rsidRPr="0063185E" w:rsidRDefault="0063185E" w:rsidP="0063185E">
            <w:r w:rsidRPr="0063185E">
              <w:t>(8 people attended 2 festivals)</w:t>
            </w:r>
          </w:p>
          <w:p w14:paraId="6894BDB1" w14:textId="77777777" w:rsidR="0063185E" w:rsidRDefault="0063185E" w:rsidP="0063185E">
            <w:r w:rsidRPr="0063185E">
              <w:t xml:space="preserve">19.8% of </w:t>
            </w:r>
            <w:r w:rsidR="00953CD0">
              <w:t xml:space="preserve">original </w:t>
            </w:r>
            <w:r w:rsidRPr="0063185E">
              <w:t>email list</w:t>
            </w:r>
          </w:p>
          <w:p w14:paraId="09908DE6" w14:textId="3EB30B00" w:rsidR="002B47C9" w:rsidRPr="0063185E" w:rsidRDefault="002B47C9" w:rsidP="0063185E">
            <w:r>
              <w:t>24.7% of those with functioning email addresses</w:t>
            </w:r>
          </w:p>
        </w:tc>
      </w:tr>
    </w:tbl>
    <w:p w14:paraId="48ED4AB7" w14:textId="77777777" w:rsidR="00714E7C" w:rsidRDefault="00714E7C"/>
    <w:tbl>
      <w:tblPr>
        <w:tblStyle w:val="TableGrid"/>
        <w:tblW w:w="0" w:type="auto"/>
        <w:tblLook w:val="04A0" w:firstRow="1" w:lastRow="0" w:firstColumn="1" w:lastColumn="0" w:noHBand="0" w:noVBand="1"/>
      </w:tblPr>
      <w:tblGrid>
        <w:gridCol w:w="1497"/>
        <w:gridCol w:w="3696"/>
        <w:gridCol w:w="3817"/>
      </w:tblGrid>
      <w:tr w:rsidR="003F62E3" w:rsidRPr="0063185E" w14:paraId="17A61D58" w14:textId="77777777" w:rsidTr="003F62E3">
        <w:tc>
          <w:tcPr>
            <w:tcW w:w="0" w:type="auto"/>
            <w:gridSpan w:val="3"/>
          </w:tcPr>
          <w:p w14:paraId="7D1B33FB" w14:textId="4F6BDF26" w:rsidR="003F62E3" w:rsidRDefault="003F62E3" w:rsidP="0063185E">
            <w:pPr>
              <w:rPr>
                <w:b/>
              </w:rPr>
            </w:pPr>
            <w:r w:rsidRPr="003F62E3">
              <w:rPr>
                <w:b/>
              </w:rPr>
              <w:t xml:space="preserve">Table 2: Population demographic comparisons for </w:t>
            </w:r>
            <w:r w:rsidR="005C6970">
              <w:rPr>
                <w:b/>
              </w:rPr>
              <w:t>festival</w:t>
            </w:r>
            <w:r w:rsidRPr="003F62E3">
              <w:rPr>
                <w:b/>
              </w:rPr>
              <w:t xml:space="preserve"> BI </w:t>
            </w:r>
            <w:r w:rsidR="005C6970">
              <w:rPr>
                <w:b/>
              </w:rPr>
              <w:t xml:space="preserve">sample </w:t>
            </w:r>
            <w:r w:rsidRPr="003F62E3">
              <w:rPr>
                <w:b/>
              </w:rPr>
              <w:t>and follow-up online survey sub-sample</w:t>
            </w:r>
          </w:p>
        </w:tc>
      </w:tr>
      <w:tr w:rsidR="005C6970" w:rsidRPr="0063185E" w14:paraId="444B7475" w14:textId="77777777" w:rsidTr="003F62E3">
        <w:tc>
          <w:tcPr>
            <w:tcW w:w="0" w:type="auto"/>
          </w:tcPr>
          <w:p w14:paraId="0BCFAE97" w14:textId="77777777" w:rsidR="003765B3" w:rsidRPr="0063185E" w:rsidRDefault="003765B3" w:rsidP="0063185E">
            <w:pPr>
              <w:rPr>
                <w:b/>
              </w:rPr>
            </w:pPr>
          </w:p>
        </w:tc>
        <w:tc>
          <w:tcPr>
            <w:tcW w:w="0" w:type="auto"/>
          </w:tcPr>
          <w:p w14:paraId="228A9DEE" w14:textId="148FEE4F" w:rsidR="003765B3" w:rsidRPr="0063185E" w:rsidRDefault="005C6970" w:rsidP="0063185E">
            <w:pPr>
              <w:rPr>
                <w:b/>
              </w:rPr>
            </w:pPr>
            <w:r>
              <w:rPr>
                <w:b/>
              </w:rPr>
              <w:t>Festival</w:t>
            </w:r>
            <w:r w:rsidR="003765B3" w:rsidRPr="0063185E">
              <w:rPr>
                <w:b/>
              </w:rPr>
              <w:t xml:space="preserve"> </w:t>
            </w:r>
            <w:r w:rsidR="003765B3">
              <w:rPr>
                <w:b/>
              </w:rPr>
              <w:t>BI primary service users</w:t>
            </w:r>
          </w:p>
        </w:tc>
        <w:tc>
          <w:tcPr>
            <w:tcW w:w="0" w:type="auto"/>
          </w:tcPr>
          <w:p w14:paraId="3AD97ADE" w14:textId="649C85FF" w:rsidR="003765B3" w:rsidRPr="0063185E" w:rsidRDefault="003765B3" w:rsidP="0063185E">
            <w:pPr>
              <w:rPr>
                <w:b/>
              </w:rPr>
            </w:pPr>
            <w:r>
              <w:rPr>
                <w:b/>
              </w:rPr>
              <w:t xml:space="preserve">Follow-up online </w:t>
            </w:r>
            <w:r w:rsidRPr="0063185E">
              <w:rPr>
                <w:b/>
              </w:rPr>
              <w:t>survey</w:t>
            </w:r>
            <w:r>
              <w:rPr>
                <w:b/>
              </w:rPr>
              <w:t xml:space="preserve"> sub-sample</w:t>
            </w:r>
          </w:p>
        </w:tc>
      </w:tr>
      <w:tr w:rsidR="005C6970" w:rsidRPr="0063185E" w14:paraId="2CF0BEC5" w14:textId="77777777" w:rsidTr="003F62E3">
        <w:tc>
          <w:tcPr>
            <w:tcW w:w="0" w:type="auto"/>
          </w:tcPr>
          <w:p w14:paraId="1DBF963B" w14:textId="290F8889" w:rsidR="003765B3" w:rsidRPr="0063185E" w:rsidRDefault="003765B3" w:rsidP="0063185E">
            <w:pPr>
              <w:rPr>
                <w:b/>
              </w:rPr>
            </w:pPr>
            <w:r w:rsidRPr="0063185E">
              <w:rPr>
                <w:b/>
              </w:rPr>
              <w:t>Pop</w:t>
            </w:r>
            <w:r>
              <w:rPr>
                <w:b/>
              </w:rPr>
              <w:t>ulation</w:t>
            </w:r>
            <w:r w:rsidRPr="0063185E">
              <w:rPr>
                <w:b/>
              </w:rPr>
              <w:t xml:space="preserve"> details</w:t>
            </w:r>
          </w:p>
        </w:tc>
        <w:tc>
          <w:tcPr>
            <w:tcW w:w="0" w:type="auto"/>
            <w:vAlign w:val="center"/>
          </w:tcPr>
          <w:p w14:paraId="5D5BB0C9" w14:textId="47289991" w:rsidR="003765B3" w:rsidRPr="0063185E" w:rsidRDefault="005C6970" w:rsidP="0063185E">
            <w:r>
              <w:t>Festival BI</w:t>
            </w:r>
            <w:r w:rsidR="003765B3">
              <w:t xml:space="preserve"> </w:t>
            </w:r>
            <w:r>
              <w:t xml:space="preserve">service users who received test &amp; BI, </w:t>
            </w:r>
            <w:r w:rsidR="003765B3">
              <w:t xml:space="preserve">nominated </w:t>
            </w:r>
            <w:r>
              <w:t xml:space="preserve">to be </w:t>
            </w:r>
            <w:r w:rsidR="003765B3">
              <w:t>primary s</w:t>
            </w:r>
            <w:r w:rsidR="003765B3" w:rsidRPr="0063185E">
              <w:t>ervice user</w:t>
            </w:r>
            <w:r>
              <w:t xml:space="preserve"> &amp; providing BI data</w:t>
            </w:r>
          </w:p>
        </w:tc>
        <w:tc>
          <w:tcPr>
            <w:tcW w:w="0" w:type="auto"/>
            <w:vAlign w:val="center"/>
          </w:tcPr>
          <w:p w14:paraId="219A064F" w14:textId="4A72D29B" w:rsidR="003765B3" w:rsidRPr="0063185E" w:rsidRDefault="005C6970" w:rsidP="0063185E">
            <w:r>
              <w:t>Festival</w:t>
            </w:r>
            <w:r w:rsidR="003765B3" w:rsidRPr="0063185E">
              <w:t xml:space="preserve"> </w:t>
            </w:r>
            <w:r w:rsidR="003765B3">
              <w:t>BI primary service users</w:t>
            </w:r>
            <w:r w:rsidR="003765B3" w:rsidRPr="0063185E">
              <w:t xml:space="preserve"> who </w:t>
            </w:r>
            <w:r>
              <w:t xml:space="preserve">consented to follow-up, </w:t>
            </w:r>
            <w:r w:rsidR="003765B3" w:rsidRPr="0063185E">
              <w:t xml:space="preserve">submitted email </w:t>
            </w:r>
            <w:r w:rsidR="003765B3">
              <w:t>&amp;</w:t>
            </w:r>
            <w:r w:rsidR="003765B3" w:rsidRPr="0063185E">
              <w:t xml:space="preserve"> </w:t>
            </w:r>
            <w:r w:rsidR="003765B3">
              <w:t xml:space="preserve">fully </w:t>
            </w:r>
            <w:r w:rsidR="003765B3" w:rsidRPr="0063185E">
              <w:t xml:space="preserve">completed </w:t>
            </w:r>
            <w:r w:rsidR="003765B3">
              <w:t xml:space="preserve">online </w:t>
            </w:r>
            <w:r w:rsidR="003765B3" w:rsidRPr="0063185E">
              <w:t>survey</w:t>
            </w:r>
          </w:p>
        </w:tc>
      </w:tr>
      <w:tr w:rsidR="005C6970" w:rsidRPr="0063185E" w14:paraId="3E34826F" w14:textId="77777777" w:rsidTr="003F62E3">
        <w:tc>
          <w:tcPr>
            <w:tcW w:w="0" w:type="auto"/>
          </w:tcPr>
          <w:p w14:paraId="2AD35CA4" w14:textId="77777777" w:rsidR="003765B3" w:rsidRPr="0063185E" w:rsidRDefault="003765B3" w:rsidP="0063185E">
            <w:pPr>
              <w:rPr>
                <w:b/>
              </w:rPr>
            </w:pPr>
            <w:r w:rsidRPr="0063185E">
              <w:rPr>
                <w:b/>
              </w:rPr>
              <w:t>Total</w:t>
            </w:r>
          </w:p>
        </w:tc>
        <w:tc>
          <w:tcPr>
            <w:tcW w:w="0" w:type="auto"/>
            <w:vAlign w:val="center"/>
          </w:tcPr>
          <w:p w14:paraId="52168E52" w14:textId="210B8888" w:rsidR="003765B3" w:rsidRPr="0063185E" w:rsidRDefault="003765B3" w:rsidP="0063185E">
            <w:r w:rsidRPr="0063185E">
              <w:t>1</w:t>
            </w:r>
            <w:r>
              <w:t>,482</w:t>
            </w:r>
          </w:p>
        </w:tc>
        <w:tc>
          <w:tcPr>
            <w:tcW w:w="0" w:type="auto"/>
            <w:vAlign w:val="center"/>
          </w:tcPr>
          <w:p w14:paraId="465ECEE8" w14:textId="77777777" w:rsidR="003765B3" w:rsidRPr="0063185E" w:rsidRDefault="003765B3" w:rsidP="0063185E">
            <w:r w:rsidRPr="0063185E">
              <w:t>130</w:t>
            </w:r>
          </w:p>
        </w:tc>
      </w:tr>
      <w:tr w:rsidR="005C6970" w:rsidRPr="0063185E" w14:paraId="499304B4" w14:textId="77777777" w:rsidTr="003F62E3">
        <w:tc>
          <w:tcPr>
            <w:tcW w:w="0" w:type="auto"/>
          </w:tcPr>
          <w:p w14:paraId="7F7CA23B" w14:textId="77777777" w:rsidR="003765B3" w:rsidRPr="0063185E" w:rsidRDefault="003765B3" w:rsidP="0063185E">
            <w:pPr>
              <w:rPr>
                <w:b/>
              </w:rPr>
            </w:pPr>
            <w:r w:rsidRPr="0063185E">
              <w:rPr>
                <w:b/>
              </w:rPr>
              <w:t>Mean age</w:t>
            </w:r>
          </w:p>
        </w:tc>
        <w:tc>
          <w:tcPr>
            <w:tcW w:w="0" w:type="auto"/>
            <w:vAlign w:val="center"/>
          </w:tcPr>
          <w:p w14:paraId="27688EF0" w14:textId="4791D5A3" w:rsidR="003765B3" w:rsidRPr="00530271" w:rsidRDefault="003765B3" w:rsidP="0063185E">
            <w:r w:rsidRPr="00530271">
              <w:t>23.</w:t>
            </w:r>
            <w:r>
              <w:t>5</w:t>
            </w:r>
          </w:p>
        </w:tc>
        <w:tc>
          <w:tcPr>
            <w:tcW w:w="0" w:type="auto"/>
            <w:vAlign w:val="center"/>
          </w:tcPr>
          <w:p w14:paraId="7140448F" w14:textId="77777777" w:rsidR="003765B3" w:rsidRPr="0063185E" w:rsidRDefault="003765B3" w:rsidP="0063185E">
            <w:r w:rsidRPr="0063185E">
              <w:t>23.4</w:t>
            </w:r>
          </w:p>
        </w:tc>
      </w:tr>
      <w:tr w:rsidR="005C6970" w:rsidRPr="0063185E" w14:paraId="0D6E2F9F" w14:textId="77777777" w:rsidTr="003F62E3">
        <w:tc>
          <w:tcPr>
            <w:tcW w:w="0" w:type="auto"/>
          </w:tcPr>
          <w:p w14:paraId="282856D1" w14:textId="77777777" w:rsidR="003765B3" w:rsidRPr="0063185E" w:rsidRDefault="003765B3" w:rsidP="0063185E">
            <w:pPr>
              <w:rPr>
                <w:b/>
              </w:rPr>
            </w:pPr>
            <w:r w:rsidRPr="0063185E">
              <w:rPr>
                <w:b/>
              </w:rPr>
              <w:t>Median age</w:t>
            </w:r>
          </w:p>
        </w:tc>
        <w:tc>
          <w:tcPr>
            <w:tcW w:w="0" w:type="auto"/>
            <w:vAlign w:val="center"/>
          </w:tcPr>
          <w:p w14:paraId="7F461274" w14:textId="77777777" w:rsidR="003765B3" w:rsidRPr="00530271" w:rsidRDefault="003765B3" w:rsidP="0063185E">
            <w:r w:rsidRPr="00530271">
              <w:t>21</w:t>
            </w:r>
          </w:p>
        </w:tc>
        <w:tc>
          <w:tcPr>
            <w:tcW w:w="0" w:type="auto"/>
            <w:vAlign w:val="center"/>
          </w:tcPr>
          <w:p w14:paraId="3E3EE1EE" w14:textId="77777777" w:rsidR="003765B3" w:rsidRPr="0063185E" w:rsidRDefault="003765B3" w:rsidP="0063185E">
            <w:r w:rsidRPr="0063185E">
              <w:t>20</w:t>
            </w:r>
          </w:p>
        </w:tc>
      </w:tr>
      <w:tr w:rsidR="005C6970" w:rsidRPr="0063185E" w14:paraId="7573475E" w14:textId="77777777" w:rsidTr="003F62E3">
        <w:tc>
          <w:tcPr>
            <w:tcW w:w="0" w:type="auto"/>
          </w:tcPr>
          <w:p w14:paraId="5725972A" w14:textId="77777777" w:rsidR="003765B3" w:rsidRPr="0063185E" w:rsidRDefault="003765B3" w:rsidP="0063185E">
            <w:pPr>
              <w:rPr>
                <w:b/>
              </w:rPr>
            </w:pPr>
            <w:proofErr w:type="spellStart"/>
            <w:r w:rsidRPr="0063185E">
              <w:rPr>
                <w:b/>
              </w:rPr>
              <w:t>s.d.</w:t>
            </w:r>
            <w:proofErr w:type="spellEnd"/>
          </w:p>
        </w:tc>
        <w:tc>
          <w:tcPr>
            <w:tcW w:w="0" w:type="auto"/>
            <w:vAlign w:val="center"/>
          </w:tcPr>
          <w:p w14:paraId="2075BA41" w14:textId="3ED5F4B6" w:rsidR="003765B3" w:rsidRPr="00530271" w:rsidRDefault="003765B3" w:rsidP="0063185E">
            <w:r w:rsidRPr="00530271">
              <w:t>6.7</w:t>
            </w:r>
          </w:p>
        </w:tc>
        <w:tc>
          <w:tcPr>
            <w:tcW w:w="0" w:type="auto"/>
            <w:vAlign w:val="center"/>
          </w:tcPr>
          <w:p w14:paraId="5F770E7A" w14:textId="45E0EFC5" w:rsidR="003765B3" w:rsidRPr="0063185E" w:rsidRDefault="003765B3" w:rsidP="0063185E">
            <w:r w:rsidRPr="0063185E">
              <w:t>7.6</w:t>
            </w:r>
          </w:p>
        </w:tc>
      </w:tr>
      <w:tr w:rsidR="005C6970" w:rsidRPr="0063185E" w14:paraId="37866D3F" w14:textId="77777777" w:rsidTr="003F62E3">
        <w:tc>
          <w:tcPr>
            <w:tcW w:w="0" w:type="auto"/>
          </w:tcPr>
          <w:p w14:paraId="6285D450" w14:textId="3B1FD3E6" w:rsidR="003765B3" w:rsidRPr="0063185E" w:rsidRDefault="003765B3" w:rsidP="0063185E">
            <w:pPr>
              <w:rPr>
                <w:b/>
              </w:rPr>
            </w:pPr>
            <w:r w:rsidRPr="0063185E">
              <w:rPr>
                <w:b/>
              </w:rPr>
              <w:t>Gender (</w:t>
            </w:r>
            <w:r>
              <w:rPr>
                <w:b/>
              </w:rPr>
              <w:t>%m</w:t>
            </w:r>
            <w:r w:rsidRPr="0063185E">
              <w:rPr>
                <w:b/>
              </w:rPr>
              <w:t>)</w:t>
            </w:r>
          </w:p>
        </w:tc>
        <w:tc>
          <w:tcPr>
            <w:tcW w:w="0" w:type="auto"/>
            <w:vAlign w:val="center"/>
          </w:tcPr>
          <w:p w14:paraId="789ED56E" w14:textId="7B3E3A6F" w:rsidR="003765B3" w:rsidRPr="00CB4BF9" w:rsidRDefault="003765B3" w:rsidP="0063185E">
            <w:pPr>
              <w:rPr>
                <w:highlight w:val="yellow"/>
              </w:rPr>
            </w:pPr>
            <w:r w:rsidRPr="00530271">
              <w:t>6</w:t>
            </w:r>
            <w:r>
              <w:t>3.9</w:t>
            </w:r>
            <w:r w:rsidRPr="00530271">
              <w:t>%</w:t>
            </w:r>
          </w:p>
        </w:tc>
        <w:tc>
          <w:tcPr>
            <w:tcW w:w="0" w:type="auto"/>
            <w:vAlign w:val="center"/>
          </w:tcPr>
          <w:p w14:paraId="006ED8F9" w14:textId="57D7D63F" w:rsidR="003765B3" w:rsidRPr="0063185E" w:rsidRDefault="003765B3" w:rsidP="0063185E">
            <w:r w:rsidRPr="0063185E">
              <w:t>60</w:t>
            </w:r>
            <w:r>
              <w:t>.0%</w:t>
            </w:r>
          </w:p>
        </w:tc>
      </w:tr>
      <w:tr w:rsidR="005C6970" w:rsidRPr="0063185E" w14:paraId="7DA5CA7F" w14:textId="77777777" w:rsidTr="003F62E3">
        <w:tc>
          <w:tcPr>
            <w:tcW w:w="0" w:type="auto"/>
          </w:tcPr>
          <w:p w14:paraId="3B19EAD9" w14:textId="77777777" w:rsidR="003765B3" w:rsidRPr="0063185E" w:rsidRDefault="003765B3" w:rsidP="0063185E">
            <w:pPr>
              <w:rPr>
                <w:b/>
              </w:rPr>
            </w:pPr>
            <w:r w:rsidRPr="0063185E">
              <w:rPr>
                <w:b/>
              </w:rPr>
              <w:t>Ethnicity</w:t>
            </w:r>
          </w:p>
        </w:tc>
        <w:tc>
          <w:tcPr>
            <w:tcW w:w="0" w:type="auto"/>
            <w:vAlign w:val="center"/>
          </w:tcPr>
          <w:p w14:paraId="51E7C3BD" w14:textId="2B9570B5" w:rsidR="003765B3" w:rsidRPr="00CB4BF9" w:rsidRDefault="003765B3" w:rsidP="0063185E">
            <w:pPr>
              <w:rPr>
                <w:highlight w:val="yellow"/>
              </w:rPr>
            </w:pPr>
            <w:r w:rsidRPr="004978E3">
              <w:t>86</w:t>
            </w:r>
            <w:r>
              <w:t>.4</w:t>
            </w:r>
            <w:r w:rsidRPr="004978E3">
              <w:t>% White</w:t>
            </w:r>
            <w:r>
              <w:t>,</w:t>
            </w:r>
            <w:r w:rsidRPr="004978E3">
              <w:t xml:space="preserve"> 3% mixed race</w:t>
            </w:r>
            <w:r>
              <w:t>,</w:t>
            </w:r>
            <w:r w:rsidRPr="004978E3">
              <w:t xml:space="preserve"> 2</w:t>
            </w:r>
            <w:r>
              <w:t>.4</w:t>
            </w:r>
            <w:r w:rsidRPr="004978E3">
              <w:t>% Asian, 2</w:t>
            </w:r>
            <w:r>
              <w:t>.2</w:t>
            </w:r>
            <w:r w:rsidRPr="004978E3">
              <w:t>% Black</w:t>
            </w:r>
          </w:p>
        </w:tc>
        <w:tc>
          <w:tcPr>
            <w:tcW w:w="0" w:type="auto"/>
            <w:vAlign w:val="center"/>
          </w:tcPr>
          <w:p w14:paraId="434D0AD8" w14:textId="0561C27A" w:rsidR="003765B3" w:rsidRPr="0063185E" w:rsidRDefault="003765B3" w:rsidP="0063185E">
            <w:r w:rsidRPr="0063185E">
              <w:t>90</w:t>
            </w:r>
            <w:r>
              <w:t>.0</w:t>
            </w:r>
            <w:r w:rsidRPr="0063185E">
              <w:t>% White</w:t>
            </w:r>
            <w:r>
              <w:t>, 7.7% m</w:t>
            </w:r>
            <w:r w:rsidRPr="0063185E">
              <w:t xml:space="preserve">ixed </w:t>
            </w:r>
            <w:r>
              <w:t>r</w:t>
            </w:r>
            <w:r w:rsidRPr="0063185E">
              <w:t>ace</w:t>
            </w:r>
            <w:r>
              <w:t>, 0.8% Asian</w:t>
            </w:r>
            <w:r w:rsidR="001A236A">
              <w:t>, 0% Black</w:t>
            </w:r>
          </w:p>
        </w:tc>
      </w:tr>
    </w:tbl>
    <w:p w14:paraId="49908E1F" w14:textId="17474AB9" w:rsidR="004C2929" w:rsidRPr="00897F70" w:rsidRDefault="004C2929" w:rsidP="004C2929">
      <w:pPr>
        <w:pStyle w:val="ListParagraph"/>
        <w:numPr>
          <w:ilvl w:val="0"/>
          <w:numId w:val="20"/>
        </w:numPr>
        <w:rPr>
          <w:sz w:val="20"/>
          <w:szCs w:val="20"/>
        </w:rPr>
      </w:pPr>
      <w:r w:rsidRPr="00897F70">
        <w:rPr>
          <w:sz w:val="20"/>
          <w:szCs w:val="20"/>
        </w:rPr>
        <w:t xml:space="preserve">Age </w:t>
      </w:r>
      <w:r w:rsidR="00897F70" w:rsidRPr="00897F70">
        <w:rPr>
          <w:sz w:val="20"/>
          <w:szCs w:val="20"/>
        </w:rPr>
        <w:t xml:space="preserve">at BI and follow-up </w:t>
      </w:r>
      <w:r w:rsidRPr="00897F70">
        <w:rPr>
          <w:sz w:val="20"/>
          <w:szCs w:val="20"/>
        </w:rPr>
        <w:t xml:space="preserve">not different </w:t>
      </w:r>
      <w:r w:rsidR="00897F70" w:rsidRPr="00897F70">
        <w:rPr>
          <w:sz w:val="20"/>
          <w:szCs w:val="20"/>
        </w:rPr>
        <w:t xml:space="preserve">– tested with </w:t>
      </w:r>
      <w:r w:rsidRPr="00897F70">
        <w:rPr>
          <w:sz w:val="20"/>
          <w:szCs w:val="20"/>
        </w:rPr>
        <w:t>two sample Kolmogorov–Smirnov test p= 0.6344</w:t>
      </w:r>
    </w:p>
    <w:p w14:paraId="3768A079" w14:textId="0602D68B" w:rsidR="004C2929" w:rsidRPr="00897F70" w:rsidRDefault="00897F70" w:rsidP="004C2929">
      <w:pPr>
        <w:pStyle w:val="ListParagraph"/>
        <w:numPr>
          <w:ilvl w:val="0"/>
          <w:numId w:val="20"/>
        </w:numPr>
        <w:rPr>
          <w:sz w:val="20"/>
          <w:szCs w:val="20"/>
        </w:rPr>
      </w:pPr>
      <w:r w:rsidRPr="00897F70">
        <w:rPr>
          <w:sz w:val="20"/>
          <w:szCs w:val="20"/>
        </w:rPr>
        <w:t xml:space="preserve">Gender at BI and follow-up not different – tested with </w:t>
      </w:r>
      <w:r w:rsidRPr="00897F70">
        <w:rPr>
          <w:iCs/>
          <w:sz w:val="20"/>
          <w:szCs w:val="20"/>
        </w:rPr>
        <w:sym w:font="Symbol" w:char="F063"/>
      </w:r>
      <w:r w:rsidRPr="00897F70">
        <w:rPr>
          <w:iCs/>
          <w:sz w:val="20"/>
          <w:szCs w:val="20"/>
          <w:vertAlign w:val="superscript"/>
        </w:rPr>
        <w:t>2</w:t>
      </w:r>
      <w:r w:rsidRPr="00897F70">
        <w:rPr>
          <w:sz w:val="20"/>
          <w:szCs w:val="20"/>
        </w:rPr>
        <w:t xml:space="preserve"> p= 0.2483</w:t>
      </w:r>
    </w:p>
    <w:p w14:paraId="53037CDC" w14:textId="79229523" w:rsidR="00897F70" w:rsidRDefault="00897F70" w:rsidP="004C2929">
      <w:pPr>
        <w:pStyle w:val="ListParagraph"/>
        <w:numPr>
          <w:ilvl w:val="0"/>
          <w:numId w:val="20"/>
        </w:numPr>
        <w:rPr>
          <w:sz w:val="20"/>
          <w:szCs w:val="20"/>
        </w:rPr>
      </w:pPr>
      <w:r w:rsidRPr="00897F70">
        <w:rPr>
          <w:sz w:val="20"/>
          <w:szCs w:val="20"/>
        </w:rPr>
        <w:t xml:space="preserve">Ethnicity at BI and follow-up different </w:t>
      </w:r>
      <w:bookmarkStart w:id="25" w:name="_Hlk66548417"/>
      <w:r w:rsidRPr="00897F70">
        <w:rPr>
          <w:sz w:val="20"/>
          <w:szCs w:val="20"/>
        </w:rPr>
        <w:t xml:space="preserve">– tested with </w:t>
      </w:r>
      <w:r w:rsidRPr="00897F70">
        <w:rPr>
          <w:iCs/>
          <w:sz w:val="20"/>
          <w:szCs w:val="20"/>
        </w:rPr>
        <w:sym w:font="Symbol" w:char="F063"/>
      </w:r>
      <w:r w:rsidRPr="00897F70">
        <w:rPr>
          <w:iCs/>
          <w:sz w:val="20"/>
          <w:szCs w:val="20"/>
          <w:vertAlign w:val="superscript"/>
        </w:rPr>
        <w:t>2</w:t>
      </w:r>
      <w:r w:rsidRPr="00897F70">
        <w:rPr>
          <w:sz w:val="20"/>
          <w:szCs w:val="20"/>
        </w:rPr>
        <w:t xml:space="preserve"> p= 0.</w:t>
      </w:r>
      <w:r w:rsidR="00126A90" w:rsidRPr="00126A90">
        <w:rPr>
          <w:sz w:val="20"/>
          <w:szCs w:val="20"/>
        </w:rPr>
        <w:t>0455</w:t>
      </w:r>
      <w:bookmarkEnd w:id="25"/>
    </w:p>
    <w:p w14:paraId="3EC05F8B" w14:textId="77777777" w:rsidR="00BD2C34" w:rsidRPr="00BD2C34" w:rsidRDefault="00BD2C34" w:rsidP="00BD2C34">
      <w:pPr>
        <w:rPr>
          <w:sz w:val="20"/>
          <w:szCs w:val="20"/>
        </w:rPr>
      </w:pPr>
    </w:p>
    <w:p w14:paraId="741D7A9F" w14:textId="2278B046" w:rsidR="00913596" w:rsidRDefault="00913596">
      <w:r>
        <w:br w:type="page"/>
      </w:r>
    </w:p>
    <w:p w14:paraId="1BD31AAB" w14:textId="77777777" w:rsidR="00714E7C" w:rsidRDefault="00714E7C" w:rsidP="002023C3">
      <w:bookmarkStart w:id="26" w:name="_Hlk55045853"/>
    </w:p>
    <w:tbl>
      <w:tblPr>
        <w:tblStyle w:val="TableGrid"/>
        <w:tblW w:w="0" w:type="auto"/>
        <w:tblLook w:val="04A0" w:firstRow="1" w:lastRow="0" w:firstColumn="1" w:lastColumn="0" w:noHBand="0" w:noVBand="1"/>
      </w:tblPr>
      <w:tblGrid>
        <w:gridCol w:w="2444"/>
        <w:gridCol w:w="1681"/>
        <w:gridCol w:w="1621"/>
        <w:gridCol w:w="1633"/>
        <w:gridCol w:w="1631"/>
      </w:tblGrid>
      <w:tr w:rsidR="00892322" w:rsidRPr="00C609AB" w14:paraId="2AB481C1" w14:textId="77777777" w:rsidTr="00C609AB">
        <w:tc>
          <w:tcPr>
            <w:tcW w:w="0" w:type="auto"/>
            <w:gridSpan w:val="5"/>
            <w:tcBorders>
              <w:top w:val="single" w:sz="4" w:space="0" w:color="auto"/>
              <w:left w:val="single" w:sz="4" w:space="0" w:color="auto"/>
              <w:bottom w:val="single" w:sz="4" w:space="0" w:color="auto"/>
              <w:right w:val="single" w:sz="4" w:space="0" w:color="auto"/>
            </w:tcBorders>
          </w:tcPr>
          <w:p w14:paraId="10F1E395" w14:textId="3BD67BB8" w:rsidR="00892322" w:rsidRPr="00C609AB" w:rsidRDefault="00892322">
            <w:pPr>
              <w:rPr>
                <w:b/>
                <w:bCs/>
                <w:iCs/>
              </w:rPr>
            </w:pPr>
            <w:r w:rsidRPr="00C609AB">
              <w:rPr>
                <w:b/>
                <w:bCs/>
                <w:iCs/>
              </w:rPr>
              <w:t xml:space="preserve">Table 3: Comparison of </w:t>
            </w:r>
            <w:r w:rsidR="00DF28C9">
              <w:rPr>
                <w:b/>
                <w:bCs/>
                <w:iCs/>
              </w:rPr>
              <w:t>festival</w:t>
            </w:r>
            <w:r w:rsidRPr="00C609AB">
              <w:rPr>
                <w:b/>
                <w:bCs/>
                <w:iCs/>
              </w:rPr>
              <w:t xml:space="preserve"> BI </w:t>
            </w:r>
            <w:r w:rsidR="00992D30">
              <w:rPr>
                <w:b/>
                <w:bCs/>
                <w:iCs/>
              </w:rPr>
              <w:t>actions and intentions</w:t>
            </w:r>
            <w:r w:rsidRPr="00C609AB">
              <w:rPr>
                <w:b/>
                <w:bCs/>
                <w:iCs/>
              </w:rPr>
              <w:t xml:space="preserve"> with follow-up sub-sample </w:t>
            </w:r>
            <w:r w:rsidR="000D0DAF">
              <w:rPr>
                <w:b/>
                <w:bCs/>
                <w:iCs/>
              </w:rPr>
              <w:t xml:space="preserve">recollected </w:t>
            </w:r>
            <w:r w:rsidRPr="00C609AB">
              <w:rPr>
                <w:b/>
                <w:bCs/>
                <w:iCs/>
              </w:rPr>
              <w:t xml:space="preserve">outcomes for </w:t>
            </w:r>
            <w:r w:rsidR="00987551">
              <w:rPr>
                <w:b/>
                <w:bCs/>
                <w:iCs/>
              </w:rPr>
              <w:t>submitted substances</w:t>
            </w:r>
            <w:r w:rsidR="008C7354">
              <w:rPr>
                <w:b/>
                <w:bCs/>
                <w:iCs/>
              </w:rPr>
              <w:t xml:space="preserve"> whose contents were</w:t>
            </w:r>
            <w:r w:rsidRPr="00C609AB">
              <w:rPr>
                <w:b/>
                <w:bCs/>
                <w:iCs/>
              </w:rPr>
              <w:t xml:space="preserve"> identified as expected or other than expected</w:t>
            </w:r>
            <w:r w:rsidR="00D47024">
              <w:rPr>
                <w:b/>
                <w:bCs/>
                <w:iCs/>
              </w:rPr>
              <w:t xml:space="preserve"> (</w:t>
            </w:r>
            <w:r w:rsidR="008C7354">
              <w:rPr>
                <w:b/>
                <w:bCs/>
                <w:iCs/>
              </w:rPr>
              <w:t xml:space="preserve">six </w:t>
            </w:r>
            <w:r w:rsidR="00D47024">
              <w:rPr>
                <w:b/>
                <w:bCs/>
                <w:iCs/>
              </w:rPr>
              <w:t>mutually exclusive</w:t>
            </w:r>
            <w:r w:rsidR="008C7354">
              <w:rPr>
                <w:b/>
                <w:bCs/>
                <w:iCs/>
              </w:rPr>
              <w:t xml:space="preserve"> responses</w:t>
            </w:r>
            <w:r w:rsidR="00D47024">
              <w:rPr>
                <w:b/>
                <w:bCs/>
                <w:iCs/>
              </w:rPr>
              <w:t>)</w:t>
            </w:r>
          </w:p>
        </w:tc>
      </w:tr>
      <w:tr w:rsidR="00CC49F0" w:rsidRPr="00C609AB" w14:paraId="4B644AA1" w14:textId="77777777" w:rsidTr="00C609AB">
        <w:tc>
          <w:tcPr>
            <w:tcW w:w="0" w:type="auto"/>
            <w:tcBorders>
              <w:top w:val="single" w:sz="4" w:space="0" w:color="auto"/>
              <w:left w:val="single" w:sz="4" w:space="0" w:color="auto"/>
              <w:bottom w:val="single" w:sz="4" w:space="0" w:color="auto"/>
              <w:right w:val="single" w:sz="4" w:space="0" w:color="auto"/>
            </w:tcBorders>
          </w:tcPr>
          <w:p w14:paraId="7B879D78" w14:textId="77777777" w:rsidR="00892322" w:rsidRPr="00C609AB" w:rsidRDefault="00892322">
            <w:bookmarkStart w:id="27" w:name="_Hlk54514150"/>
          </w:p>
        </w:tc>
        <w:tc>
          <w:tcPr>
            <w:tcW w:w="0" w:type="auto"/>
            <w:gridSpan w:val="2"/>
            <w:tcBorders>
              <w:top w:val="single" w:sz="4" w:space="0" w:color="auto"/>
              <w:left w:val="single" w:sz="4" w:space="0" w:color="auto"/>
              <w:bottom w:val="single" w:sz="4" w:space="0" w:color="auto"/>
              <w:right w:val="single" w:sz="4" w:space="0" w:color="auto"/>
            </w:tcBorders>
            <w:hideMark/>
          </w:tcPr>
          <w:p w14:paraId="1CB10BEB" w14:textId="4AAC0051" w:rsidR="00892322" w:rsidRPr="00C609AB" w:rsidRDefault="006D4500">
            <w:pPr>
              <w:rPr>
                <w:b/>
                <w:bCs/>
                <w:i/>
              </w:rPr>
            </w:pPr>
            <w:r>
              <w:rPr>
                <w:b/>
                <w:bCs/>
                <w:i/>
              </w:rPr>
              <w:t>Contents a</w:t>
            </w:r>
            <w:r w:rsidR="00892322" w:rsidRPr="00C609AB">
              <w:rPr>
                <w:b/>
                <w:bCs/>
                <w:i/>
              </w:rPr>
              <w:t>s expected</w:t>
            </w:r>
          </w:p>
        </w:tc>
        <w:tc>
          <w:tcPr>
            <w:tcW w:w="0" w:type="auto"/>
            <w:gridSpan w:val="2"/>
            <w:tcBorders>
              <w:top w:val="single" w:sz="4" w:space="0" w:color="auto"/>
              <w:left w:val="single" w:sz="4" w:space="0" w:color="auto"/>
              <w:bottom w:val="single" w:sz="4" w:space="0" w:color="auto"/>
              <w:right w:val="single" w:sz="4" w:space="0" w:color="auto"/>
            </w:tcBorders>
            <w:hideMark/>
          </w:tcPr>
          <w:p w14:paraId="4F22EBA5" w14:textId="164ADF88" w:rsidR="00892322" w:rsidRPr="00C609AB" w:rsidRDefault="006D4500">
            <w:pPr>
              <w:rPr>
                <w:b/>
                <w:bCs/>
                <w:i/>
              </w:rPr>
            </w:pPr>
            <w:r>
              <w:rPr>
                <w:b/>
                <w:bCs/>
                <w:i/>
              </w:rPr>
              <w:t>O</w:t>
            </w:r>
            <w:r w:rsidR="00892322" w:rsidRPr="00C609AB">
              <w:rPr>
                <w:b/>
                <w:bCs/>
                <w:i/>
              </w:rPr>
              <w:t>ther than expected</w:t>
            </w:r>
          </w:p>
        </w:tc>
      </w:tr>
      <w:tr w:rsidR="00E954DD" w:rsidRPr="00C609AB" w14:paraId="29B1870B" w14:textId="77777777" w:rsidTr="00C609AB">
        <w:tc>
          <w:tcPr>
            <w:tcW w:w="0" w:type="auto"/>
            <w:tcBorders>
              <w:top w:val="single" w:sz="4" w:space="0" w:color="auto"/>
              <w:left w:val="single" w:sz="4" w:space="0" w:color="auto"/>
              <w:bottom w:val="single" w:sz="4" w:space="0" w:color="auto"/>
              <w:right w:val="single" w:sz="4" w:space="0" w:color="auto"/>
            </w:tcBorders>
          </w:tcPr>
          <w:p w14:paraId="618FD9B4" w14:textId="3D1C85DF" w:rsidR="00892322" w:rsidRPr="00C609AB" w:rsidRDefault="00892322">
            <w:pPr>
              <w:rPr>
                <w:b/>
                <w:bCs/>
                <w:i/>
                <w:iCs/>
              </w:rPr>
            </w:pPr>
            <w:r w:rsidRPr="00C609AB">
              <w:rPr>
                <w:b/>
                <w:bCs/>
                <w:i/>
                <w:iCs/>
              </w:rPr>
              <w:t>Outcomes</w:t>
            </w:r>
          </w:p>
        </w:tc>
        <w:tc>
          <w:tcPr>
            <w:tcW w:w="0" w:type="auto"/>
            <w:tcBorders>
              <w:top w:val="single" w:sz="4" w:space="0" w:color="auto"/>
              <w:left w:val="single" w:sz="4" w:space="0" w:color="auto"/>
              <w:bottom w:val="single" w:sz="4" w:space="0" w:color="auto"/>
              <w:right w:val="single" w:sz="4" w:space="0" w:color="auto"/>
            </w:tcBorders>
            <w:hideMark/>
          </w:tcPr>
          <w:p w14:paraId="669FB8B6" w14:textId="3829959C" w:rsidR="00892322" w:rsidRPr="00C609AB" w:rsidRDefault="000702EC">
            <w:pPr>
              <w:rPr>
                <w:i/>
                <w:iCs/>
              </w:rPr>
            </w:pPr>
            <w:r>
              <w:rPr>
                <w:i/>
                <w:iCs/>
              </w:rPr>
              <w:t xml:space="preserve">A) </w:t>
            </w:r>
            <w:r w:rsidR="00906904">
              <w:rPr>
                <w:i/>
                <w:iCs/>
              </w:rPr>
              <w:t xml:space="preserve">Festival </w:t>
            </w:r>
            <w:r w:rsidR="00892322" w:rsidRPr="00C609AB">
              <w:rPr>
                <w:i/>
                <w:iCs/>
              </w:rPr>
              <w:t>BI</w:t>
            </w:r>
          </w:p>
        </w:tc>
        <w:tc>
          <w:tcPr>
            <w:tcW w:w="0" w:type="auto"/>
            <w:tcBorders>
              <w:top w:val="single" w:sz="4" w:space="0" w:color="auto"/>
              <w:left w:val="single" w:sz="4" w:space="0" w:color="auto"/>
              <w:bottom w:val="single" w:sz="4" w:space="0" w:color="auto"/>
              <w:right w:val="single" w:sz="4" w:space="0" w:color="auto"/>
            </w:tcBorders>
            <w:hideMark/>
          </w:tcPr>
          <w:p w14:paraId="187E14A8" w14:textId="3192A95C" w:rsidR="00892322" w:rsidRPr="00C609AB" w:rsidRDefault="000702EC">
            <w:pPr>
              <w:rPr>
                <w:i/>
                <w:iCs/>
              </w:rPr>
            </w:pPr>
            <w:r>
              <w:rPr>
                <w:i/>
                <w:iCs/>
              </w:rPr>
              <w:t xml:space="preserve">B) </w:t>
            </w:r>
            <w:r w:rsidR="00892322" w:rsidRPr="00C609AB">
              <w:rPr>
                <w:i/>
                <w:iCs/>
              </w:rPr>
              <w:t>Follow-up</w:t>
            </w:r>
          </w:p>
        </w:tc>
        <w:tc>
          <w:tcPr>
            <w:tcW w:w="0" w:type="auto"/>
            <w:tcBorders>
              <w:top w:val="single" w:sz="4" w:space="0" w:color="auto"/>
              <w:left w:val="single" w:sz="4" w:space="0" w:color="auto"/>
              <w:bottom w:val="single" w:sz="4" w:space="0" w:color="auto"/>
              <w:right w:val="single" w:sz="4" w:space="0" w:color="auto"/>
            </w:tcBorders>
            <w:hideMark/>
          </w:tcPr>
          <w:p w14:paraId="37EB3225" w14:textId="16650090" w:rsidR="00892322" w:rsidRPr="00C609AB" w:rsidRDefault="000702EC">
            <w:pPr>
              <w:rPr>
                <w:i/>
                <w:iCs/>
              </w:rPr>
            </w:pPr>
            <w:r>
              <w:rPr>
                <w:i/>
                <w:iCs/>
              </w:rPr>
              <w:t xml:space="preserve">C) </w:t>
            </w:r>
            <w:r w:rsidR="00906904">
              <w:rPr>
                <w:i/>
                <w:iCs/>
              </w:rPr>
              <w:t xml:space="preserve">Festival </w:t>
            </w:r>
            <w:r w:rsidR="00892322" w:rsidRPr="00C609AB">
              <w:rPr>
                <w:i/>
                <w:iCs/>
              </w:rPr>
              <w:t>BI</w:t>
            </w:r>
          </w:p>
        </w:tc>
        <w:tc>
          <w:tcPr>
            <w:tcW w:w="0" w:type="auto"/>
            <w:tcBorders>
              <w:top w:val="single" w:sz="4" w:space="0" w:color="auto"/>
              <w:left w:val="single" w:sz="4" w:space="0" w:color="auto"/>
              <w:bottom w:val="single" w:sz="4" w:space="0" w:color="auto"/>
              <w:right w:val="single" w:sz="4" w:space="0" w:color="auto"/>
            </w:tcBorders>
            <w:hideMark/>
          </w:tcPr>
          <w:p w14:paraId="54EF895C" w14:textId="79448FE7" w:rsidR="00892322" w:rsidRPr="00C609AB" w:rsidRDefault="000702EC">
            <w:pPr>
              <w:rPr>
                <w:i/>
                <w:iCs/>
              </w:rPr>
            </w:pPr>
            <w:r>
              <w:rPr>
                <w:i/>
                <w:iCs/>
              </w:rPr>
              <w:t xml:space="preserve">D) </w:t>
            </w:r>
            <w:r w:rsidR="00892322" w:rsidRPr="00C609AB">
              <w:rPr>
                <w:i/>
                <w:iCs/>
              </w:rPr>
              <w:t>Follow-up</w:t>
            </w:r>
          </w:p>
        </w:tc>
      </w:tr>
      <w:tr w:rsidR="00E954DD" w:rsidRPr="00C609AB" w14:paraId="781459C5" w14:textId="77777777" w:rsidTr="00C609AB">
        <w:tc>
          <w:tcPr>
            <w:tcW w:w="0" w:type="auto"/>
            <w:tcBorders>
              <w:top w:val="single" w:sz="4" w:space="0" w:color="auto"/>
              <w:left w:val="single" w:sz="4" w:space="0" w:color="auto"/>
              <w:bottom w:val="single" w:sz="4" w:space="0" w:color="auto"/>
              <w:right w:val="single" w:sz="4" w:space="0" w:color="auto"/>
            </w:tcBorders>
            <w:hideMark/>
          </w:tcPr>
          <w:p w14:paraId="1A9687FE" w14:textId="62170E63" w:rsidR="00303D71" w:rsidRPr="00C609AB" w:rsidRDefault="009D4B92" w:rsidP="00303D71">
            <w:pPr>
              <w:rPr>
                <w:b/>
                <w:iCs/>
              </w:rPr>
            </w:pPr>
            <w:r>
              <w:rPr>
                <w:b/>
                <w:iCs/>
              </w:rPr>
              <w:t>Verified destruction</w:t>
            </w:r>
          </w:p>
        </w:tc>
        <w:tc>
          <w:tcPr>
            <w:tcW w:w="0" w:type="auto"/>
            <w:tcBorders>
              <w:top w:val="single" w:sz="4" w:space="0" w:color="auto"/>
              <w:left w:val="single" w:sz="4" w:space="0" w:color="auto"/>
              <w:bottom w:val="single" w:sz="4" w:space="0" w:color="auto"/>
              <w:right w:val="single" w:sz="4" w:space="0" w:color="auto"/>
            </w:tcBorders>
            <w:hideMark/>
          </w:tcPr>
          <w:p w14:paraId="1BEBCA55" w14:textId="2D565E02" w:rsidR="00303D71" w:rsidRPr="00C609AB" w:rsidRDefault="00BC0643" w:rsidP="00303D71">
            <w:r>
              <w:t>2</w:t>
            </w:r>
            <w:r w:rsidR="008E0633">
              <w:t>3</w:t>
            </w:r>
            <w:r w:rsidR="00303D71" w:rsidRPr="00C609AB">
              <w:t xml:space="preserve"> </w:t>
            </w:r>
            <w:r w:rsidR="008E0633">
              <w:t>(2.0</w:t>
            </w:r>
            <w:r w:rsidR="00303D71" w:rsidRPr="00C609AB">
              <w:t>%)</w:t>
            </w:r>
          </w:p>
        </w:tc>
        <w:tc>
          <w:tcPr>
            <w:tcW w:w="0" w:type="auto"/>
            <w:tcBorders>
              <w:top w:val="single" w:sz="4" w:space="0" w:color="auto"/>
              <w:left w:val="single" w:sz="4" w:space="0" w:color="auto"/>
              <w:bottom w:val="single" w:sz="4" w:space="0" w:color="auto"/>
              <w:right w:val="single" w:sz="4" w:space="0" w:color="auto"/>
            </w:tcBorders>
            <w:hideMark/>
          </w:tcPr>
          <w:p w14:paraId="3FBDD50D" w14:textId="01541F3B" w:rsidR="00303D71" w:rsidRPr="00C609AB" w:rsidRDefault="00303D71" w:rsidP="00303D71">
            <w:r w:rsidRPr="00C609AB">
              <w:t>4 (3.</w:t>
            </w:r>
            <w:r w:rsidR="00E865E9">
              <w:t>7</w:t>
            </w:r>
            <w:r w:rsidRPr="00C609AB">
              <w:t>%)</w:t>
            </w:r>
          </w:p>
        </w:tc>
        <w:tc>
          <w:tcPr>
            <w:tcW w:w="0" w:type="auto"/>
            <w:tcBorders>
              <w:top w:val="single" w:sz="4" w:space="0" w:color="auto"/>
              <w:left w:val="single" w:sz="4" w:space="0" w:color="auto"/>
              <w:bottom w:val="single" w:sz="4" w:space="0" w:color="auto"/>
              <w:right w:val="single" w:sz="4" w:space="0" w:color="auto"/>
            </w:tcBorders>
            <w:hideMark/>
          </w:tcPr>
          <w:p w14:paraId="70A33A12" w14:textId="20136C98" w:rsidR="00303D71" w:rsidRPr="00C609AB" w:rsidRDefault="008E0633" w:rsidP="00303D71">
            <w:r>
              <w:t>33</w:t>
            </w:r>
            <w:r w:rsidR="00303D71" w:rsidRPr="00C609AB">
              <w:t xml:space="preserve"> (</w:t>
            </w:r>
            <w:r>
              <w:t>20.</w:t>
            </w:r>
            <w:r w:rsidR="00E954DD">
              <w:t>8</w:t>
            </w:r>
            <w:r>
              <w:t>%</w:t>
            </w:r>
            <w:r w:rsidR="00303D71" w:rsidRPr="00C609AB">
              <w:t>)</w:t>
            </w:r>
          </w:p>
        </w:tc>
        <w:tc>
          <w:tcPr>
            <w:tcW w:w="0" w:type="auto"/>
            <w:tcBorders>
              <w:top w:val="single" w:sz="4" w:space="0" w:color="auto"/>
              <w:left w:val="single" w:sz="4" w:space="0" w:color="auto"/>
              <w:bottom w:val="single" w:sz="4" w:space="0" w:color="auto"/>
              <w:right w:val="single" w:sz="4" w:space="0" w:color="auto"/>
            </w:tcBorders>
            <w:hideMark/>
          </w:tcPr>
          <w:p w14:paraId="40F7C963" w14:textId="2D594569" w:rsidR="00303D71" w:rsidRPr="00C609AB" w:rsidRDefault="00303D71" w:rsidP="00303D71">
            <w:r w:rsidRPr="00C609AB">
              <w:t>4 (2</w:t>
            </w:r>
            <w:r w:rsidR="00951391">
              <w:t>1</w:t>
            </w:r>
            <w:r w:rsidRPr="00C609AB">
              <w:t>.</w:t>
            </w:r>
            <w:r w:rsidR="00951391">
              <w:t>1</w:t>
            </w:r>
            <w:r w:rsidRPr="00C609AB">
              <w:t>%)</w:t>
            </w:r>
          </w:p>
        </w:tc>
      </w:tr>
      <w:tr w:rsidR="00E954DD" w:rsidRPr="00C609AB" w14:paraId="4649333F" w14:textId="77777777" w:rsidTr="00C609AB">
        <w:tc>
          <w:tcPr>
            <w:tcW w:w="0" w:type="auto"/>
            <w:tcBorders>
              <w:top w:val="single" w:sz="4" w:space="0" w:color="auto"/>
              <w:left w:val="single" w:sz="4" w:space="0" w:color="auto"/>
              <w:bottom w:val="single" w:sz="4" w:space="0" w:color="auto"/>
              <w:right w:val="single" w:sz="4" w:space="0" w:color="auto"/>
            </w:tcBorders>
            <w:hideMark/>
          </w:tcPr>
          <w:p w14:paraId="3FC4D8F9" w14:textId="785E325F" w:rsidR="00303D71" w:rsidRPr="00C609AB" w:rsidRDefault="004D3B82" w:rsidP="00303D71">
            <w:pPr>
              <w:rPr>
                <w:b/>
                <w:iCs/>
              </w:rPr>
            </w:pPr>
            <w:r>
              <w:rPr>
                <w:b/>
                <w:iCs/>
              </w:rPr>
              <w:t>Self disposal</w:t>
            </w:r>
          </w:p>
        </w:tc>
        <w:tc>
          <w:tcPr>
            <w:tcW w:w="0" w:type="auto"/>
            <w:tcBorders>
              <w:top w:val="single" w:sz="4" w:space="0" w:color="auto"/>
              <w:left w:val="single" w:sz="4" w:space="0" w:color="auto"/>
              <w:bottom w:val="single" w:sz="4" w:space="0" w:color="auto"/>
              <w:right w:val="single" w:sz="4" w:space="0" w:color="auto"/>
            </w:tcBorders>
            <w:hideMark/>
          </w:tcPr>
          <w:p w14:paraId="7DC48C6A" w14:textId="44D384CC" w:rsidR="00303D71" w:rsidRPr="00C609AB" w:rsidRDefault="00303D71" w:rsidP="00303D71">
            <w:r w:rsidRPr="00C609AB">
              <w:t>3</w:t>
            </w:r>
            <w:r w:rsidR="003E4FC4">
              <w:t>0</w:t>
            </w:r>
            <w:r w:rsidRPr="00C609AB">
              <w:t xml:space="preserve"> (</w:t>
            </w:r>
            <w:r w:rsidR="00712E0D">
              <w:t>2.6</w:t>
            </w:r>
            <w:r w:rsidRPr="00C609AB">
              <w:t>%)</w:t>
            </w:r>
          </w:p>
        </w:tc>
        <w:tc>
          <w:tcPr>
            <w:tcW w:w="0" w:type="auto"/>
            <w:tcBorders>
              <w:top w:val="single" w:sz="4" w:space="0" w:color="auto"/>
              <w:left w:val="single" w:sz="4" w:space="0" w:color="auto"/>
              <w:bottom w:val="single" w:sz="4" w:space="0" w:color="auto"/>
              <w:right w:val="single" w:sz="4" w:space="0" w:color="auto"/>
            </w:tcBorders>
            <w:hideMark/>
          </w:tcPr>
          <w:p w14:paraId="784BB50B" w14:textId="6857B8E1" w:rsidR="00303D71" w:rsidRPr="00C609AB" w:rsidRDefault="00303D71" w:rsidP="00303D71">
            <w:r w:rsidRPr="00C609AB">
              <w:t>1 (0.9%)</w:t>
            </w:r>
          </w:p>
        </w:tc>
        <w:tc>
          <w:tcPr>
            <w:tcW w:w="0" w:type="auto"/>
            <w:tcBorders>
              <w:top w:val="single" w:sz="4" w:space="0" w:color="auto"/>
              <w:left w:val="single" w:sz="4" w:space="0" w:color="auto"/>
              <w:bottom w:val="single" w:sz="4" w:space="0" w:color="auto"/>
              <w:right w:val="single" w:sz="4" w:space="0" w:color="auto"/>
            </w:tcBorders>
            <w:hideMark/>
          </w:tcPr>
          <w:p w14:paraId="0B6D4EA0" w14:textId="6D568ECD" w:rsidR="00303D71" w:rsidRPr="00C609AB" w:rsidRDefault="00303D71" w:rsidP="00303D71">
            <w:r w:rsidRPr="00C609AB">
              <w:t>4</w:t>
            </w:r>
            <w:r w:rsidR="003E4FC4">
              <w:t>7</w:t>
            </w:r>
            <w:r w:rsidRPr="00C609AB">
              <w:t xml:space="preserve"> (</w:t>
            </w:r>
            <w:r w:rsidR="00C845A3">
              <w:t>29.</w:t>
            </w:r>
            <w:r w:rsidR="00E954DD">
              <w:t>6</w:t>
            </w:r>
            <w:r w:rsidRPr="00C609AB">
              <w:t>%)</w:t>
            </w:r>
          </w:p>
        </w:tc>
        <w:tc>
          <w:tcPr>
            <w:tcW w:w="0" w:type="auto"/>
            <w:tcBorders>
              <w:top w:val="single" w:sz="4" w:space="0" w:color="auto"/>
              <w:left w:val="single" w:sz="4" w:space="0" w:color="auto"/>
              <w:bottom w:val="single" w:sz="4" w:space="0" w:color="auto"/>
              <w:right w:val="single" w:sz="4" w:space="0" w:color="auto"/>
            </w:tcBorders>
            <w:hideMark/>
          </w:tcPr>
          <w:p w14:paraId="7B6E0BB1" w14:textId="2F287553" w:rsidR="00303D71" w:rsidRPr="00C609AB" w:rsidRDefault="00303D71" w:rsidP="00303D71">
            <w:r w:rsidRPr="00C609AB">
              <w:t>6 (3</w:t>
            </w:r>
            <w:r w:rsidR="00951391">
              <w:t>1</w:t>
            </w:r>
            <w:r w:rsidRPr="00C609AB">
              <w:t>.</w:t>
            </w:r>
            <w:r w:rsidR="00951391">
              <w:t>6</w:t>
            </w:r>
            <w:r w:rsidRPr="00C609AB">
              <w:t>%)</w:t>
            </w:r>
          </w:p>
        </w:tc>
      </w:tr>
      <w:tr w:rsidR="00E954DD" w:rsidRPr="00C609AB" w14:paraId="6C223100" w14:textId="77777777" w:rsidTr="00C609AB">
        <w:tc>
          <w:tcPr>
            <w:tcW w:w="0" w:type="auto"/>
            <w:tcBorders>
              <w:top w:val="single" w:sz="4" w:space="0" w:color="auto"/>
              <w:left w:val="single" w:sz="4" w:space="0" w:color="auto"/>
              <w:bottom w:val="single" w:sz="4" w:space="0" w:color="auto"/>
              <w:right w:val="single" w:sz="4" w:space="0" w:color="auto"/>
            </w:tcBorders>
            <w:hideMark/>
          </w:tcPr>
          <w:p w14:paraId="013FE510" w14:textId="77777777" w:rsidR="00303D71" w:rsidRPr="007D1BCD" w:rsidRDefault="00303D71" w:rsidP="00303D71">
            <w:pPr>
              <w:rPr>
                <w:b/>
                <w:iCs/>
              </w:rPr>
            </w:pPr>
            <w:r w:rsidRPr="007D1BCD">
              <w:rPr>
                <w:b/>
                <w:iCs/>
              </w:rPr>
              <w:t>Took smaller dose</w:t>
            </w:r>
          </w:p>
        </w:tc>
        <w:tc>
          <w:tcPr>
            <w:tcW w:w="0" w:type="auto"/>
            <w:tcBorders>
              <w:top w:val="single" w:sz="4" w:space="0" w:color="auto"/>
              <w:left w:val="single" w:sz="4" w:space="0" w:color="auto"/>
              <w:bottom w:val="single" w:sz="4" w:space="0" w:color="auto"/>
              <w:right w:val="single" w:sz="4" w:space="0" w:color="auto"/>
            </w:tcBorders>
            <w:hideMark/>
          </w:tcPr>
          <w:p w14:paraId="0B433CE1" w14:textId="4828891F" w:rsidR="00303D71" w:rsidRPr="00C609AB" w:rsidRDefault="00303D71" w:rsidP="00303D71">
            <w:r w:rsidRPr="00C609AB">
              <w:t>4</w:t>
            </w:r>
            <w:r w:rsidR="00BC0643">
              <w:t>39</w:t>
            </w:r>
            <w:r w:rsidRPr="00C609AB">
              <w:t xml:space="preserve"> (</w:t>
            </w:r>
            <w:r w:rsidR="00712E0D">
              <w:t>38.</w:t>
            </w:r>
            <w:r w:rsidR="00171B68">
              <w:t>3</w:t>
            </w:r>
            <w:r w:rsidRPr="00C609AB">
              <w:t>%)</w:t>
            </w:r>
          </w:p>
        </w:tc>
        <w:tc>
          <w:tcPr>
            <w:tcW w:w="0" w:type="auto"/>
            <w:tcBorders>
              <w:top w:val="single" w:sz="4" w:space="0" w:color="auto"/>
              <w:left w:val="single" w:sz="4" w:space="0" w:color="auto"/>
              <w:bottom w:val="single" w:sz="4" w:space="0" w:color="auto"/>
              <w:right w:val="single" w:sz="4" w:space="0" w:color="auto"/>
            </w:tcBorders>
            <w:hideMark/>
          </w:tcPr>
          <w:p w14:paraId="2D8341B5" w14:textId="43FE65EB" w:rsidR="00303D71" w:rsidRPr="00C609AB" w:rsidRDefault="00303D71" w:rsidP="00303D71">
            <w:r w:rsidRPr="00C609AB">
              <w:t>4</w:t>
            </w:r>
            <w:r>
              <w:t>5</w:t>
            </w:r>
            <w:r w:rsidRPr="00C609AB">
              <w:t xml:space="preserve"> (4</w:t>
            </w:r>
            <w:r w:rsidR="00E865E9">
              <w:t>1</w:t>
            </w:r>
            <w:r w:rsidRPr="00C609AB">
              <w:t>.</w:t>
            </w:r>
            <w:r w:rsidR="007D1BCD">
              <w:t>7</w:t>
            </w:r>
            <w:r w:rsidRPr="00C609AB">
              <w:t>%)</w:t>
            </w:r>
          </w:p>
        </w:tc>
        <w:tc>
          <w:tcPr>
            <w:tcW w:w="0" w:type="auto"/>
            <w:tcBorders>
              <w:top w:val="single" w:sz="4" w:space="0" w:color="auto"/>
              <w:left w:val="single" w:sz="4" w:space="0" w:color="auto"/>
              <w:bottom w:val="single" w:sz="4" w:space="0" w:color="auto"/>
              <w:right w:val="single" w:sz="4" w:space="0" w:color="auto"/>
            </w:tcBorders>
            <w:hideMark/>
          </w:tcPr>
          <w:p w14:paraId="1F7C840D" w14:textId="00BA8859" w:rsidR="00303D71" w:rsidRPr="00C609AB" w:rsidRDefault="00303D71" w:rsidP="00303D71">
            <w:r w:rsidRPr="00C609AB">
              <w:t>3</w:t>
            </w:r>
            <w:r w:rsidR="00BC0643">
              <w:t>2</w:t>
            </w:r>
            <w:r w:rsidRPr="00C609AB">
              <w:t xml:space="preserve"> (</w:t>
            </w:r>
            <w:r w:rsidR="00AF790B">
              <w:t>20.</w:t>
            </w:r>
            <w:r w:rsidR="00E954DD">
              <w:t>1</w:t>
            </w:r>
            <w:r w:rsidRPr="00C609AB">
              <w:t>%)</w:t>
            </w:r>
          </w:p>
        </w:tc>
        <w:tc>
          <w:tcPr>
            <w:tcW w:w="0" w:type="auto"/>
            <w:tcBorders>
              <w:top w:val="single" w:sz="4" w:space="0" w:color="auto"/>
              <w:left w:val="single" w:sz="4" w:space="0" w:color="auto"/>
              <w:bottom w:val="single" w:sz="4" w:space="0" w:color="auto"/>
              <w:right w:val="single" w:sz="4" w:space="0" w:color="auto"/>
            </w:tcBorders>
            <w:hideMark/>
          </w:tcPr>
          <w:p w14:paraId="06E2A6E7" w14:textId="15F7A224" w:rsidR="00303D71" w:rsidRPr="00C609AB" w:rsidRDefault="00F86E72" w:rsidP="00303D71">
            <w:r>
              <w:t>6</w:t>
            </w:r>
            <w:r w:rsidR="00303D71" w:rsidRPr="00C609AB">
              <w:t xml:space="preserve"> (</w:t>
            </w:r>
            <w:r w:rsidR="007161CB">
              <w:t>31</w:t>
            </w:r>
            <w:r w:rsidR="00303D71" w:rsidRPr="00C609AB">
              <w:t>.</w:t>
            </w:r>
            <w:r w:rsidR="007161CB">
              <w:t>6</w:t>
            </w:r>
            <w:r w:rsidR="00303D71" w:rsidRPr="00C609AB">
              <w:t>%)</w:t>
            </w:r>
          </w:p>
        </w:tc>
      </w:tr>
      <w:tr w:rsidR="00E954DD" w:rsidRPr="00C609AB" w14:paraId="44302F86" w14:textId="77777777" w:rsidTr="00C609AB">
        <w:tc>
          <w:tcPr>
            <w:tcW w:w="0" w:type="auto"/>
            <w:tcBorders>
              <w:top w:val="single" w:sz="4" w:space="0" w:color="auto"/>
              <w:left w:val="single" w:sz="4" w:space="0" w:color="auto"/>
              <w:bottom w:val="single" w:sz="4" w:space="0" w:color="auto"/>
              <w:right w:val="single" w:sz="4" w:space="0" w:color="auto"/>
            </w:tcBorders>
            <w:hideMark/>
          </w:tcPr>
          <w:p w14:paraId="76BEC050" w14:textId="77777777" w:rsidR="00303D71" w:rsidRPr="00C609AB" w:rsidRDefault="00303D71" w:rsidP="00303D71">
            <w:pPr>
              <w:rPr>
                <w:b/>
                <w:iCs/>
              </w:rPr>
            </w:pPr>
            <w:r w:rsidRPr="00C609AB">
              <w:rPr>
                <w:b/>
                <w:iCs/>
              </w:rPr>
              <w:t>Took intended dose</w:t>
            </w:r>
          </w:p>
        </w:tc>
        <w:tc>
          <w:tcPr>
            <w:tcW w:w="0" w:type="auto"/>
            <w:tcBorders>
              <w:top w:val="single" w:sz="4" w:space="0" w:color="auto"/>
              <w:left w:val="single" w:sz="4" w:space="0" w:color="auto"/>
              <w:bottom w:val="single" w:sz="4" w:space="0" w:color="auto"/>
              <w:right w:val="single" w:sz="4" w:space="0" w:color="auto"/>
            </w:tcBorders>
            <w:hideMark/>
          </w:tcPr>
          <w:p w14:paraId="0EE4ABE3" w14:textId="25D0DBDE" w:rsidR="00303D71" w:rsidRPr="00C609AB" w:rsidRDefault="00303D71" w:rsidP="00303D71">
            <w:r w:rsidRPr="00C609AB">
              <w:t>4</w:t>
            </w:r>
            <w:r w:rsidR="00BC0643">
              <w:t>94</w:t>
            </w:r>
            <w:r w:rsidRPr="00C609AB">
              <w:t xml:space="preserve"> (</w:t>
            </w:r>
            <w:r w:rsidR="00712E0D">
              <w:t>43.</w:t>
            </w:r>
            <w:r w:rsidR="00171B68">
              <w:t>1</w:t>
            </w:r>
            <w:r w:rsidRPr="00C609AB">
              <w:t>%)</w:t>
            </w:r>
          </w:p>
        </w:tc>
        <w:tc>
          <w:tcPr>
            <w:tcW w:w="0" w:type="auto"/>
            <w:tcBorders>
              <w:top w:val="single" w:sz="4" w:space="0" w:color="auto"/>
              <w:left w:val="single" w:sz="4" w:space="0" w:color="auto"/>
              <w:bottom w:val="single" w:sz="4" w:space="0" w:color="auto"/>
              <w:right w:val="single" w:sz="4" w:space="0" w:color="auto"/>
            </w:tcBorders>
            <w:hideMark/>
          </w:tcPr>
          <w:p w14:paraId="75A2C973" w14:textId="2A5954B1" w:rsidR="00303D71" w:rsidRPr="007D1BCD" w:rsidRDefault="00303D71" w:rsidP="00303D71">
            <w:r w:rsidRPr="007D1BCD">
              <w:t>4</w:t>
            </w:r>
            <w:r w:rsidR="00D6233A" w:rsidRPr="007D1BCD">
              <w:t>6</w:t>
            </w:r>
            <w:r w:rsidRPr="007D1BCD">
              <w:t xml:space="preserve"> (4</w:t>
            </w:r>
            <w:r w:rsidR="007D1BCD" w:rsidRPr="007D1BCD">
              <w:t>2</w:t>
            </w:r>
            <w:r w:rsidRPr="007D1BCD">
              <w:t>.</w:t>
            </w:r>
            <w:r w:rsidR="007D1BCD" w:rsidRPr="007D1BCD">
              <w:t>6</w:t>
            </w:r>
            <w:r w:rsidRPr="007D1BCD">
              <w:t>%)</w:t>
            </w:r>
          </w:p>
        </w:tc>
        <w:tc>
          <w:tcPr>
            <w:tcW w:w="0" w:type="auto"/>
            <w:tcBorders>
              <w:top w:val="single" w:sz="4" w:space="0" w:color="auto"/>
              <w:left w:val="single" w:sz="4" w:space="0" w:color="auto"/>
              <w:bottom w:val="single" w:sz="4" w:space="0" w:color="auto"/>
              <w:right w:val="single" w:sz="4" w:space="0" w:color="auto"/>
            </w:tcBorders>
            <w:hideMark/>
          </w:tcPr>
          <w:p w14:paraId="01174481" w14:textId="1F560430" w:rsidR="00303D71" w:rsidRPr="00C609AB" w:rsidRDefault="00BC0643" w:rsidP="00303D71">
            <w:r>
              <w:t>24</w:t>
            </w:r>
            <w:r w:rsidR="00303D71" w:rsidRPr="00C609AB">
              <w:t xml:space="preserve"> (</w:t>
            </w:r>
            <w:r w:rsidR="00AF790B">
              <w:t>15.</w:t>
            </w:r>
            <w:r w:rsidR="00E954DD">
              <w:t>1</w:t>
            </w:r>
            <w:r w:rsidR="00303D71" w:rsidRPr="00C609AB">
              <w:t>%)</w:t>
            </w:r>
          </w:p>
        </w:tc>
        <w:tc>
          <w:tcPr>
            <w:tcW w:w="0" w:type="auto"/>
            <w:tcBorders>
              <w:top w:val="single" w:sz="4" w:space="0" w:color="auto"/>
              <w:left w:val="single" w:sz="4" w:space="0" w:color="auto"/>
              <w:bottom w:val="single" w:sz="4" w:space="0" w:color="auto"/>
              <w:right w:val="single" w:sz="4" w:space="0" w:color="auto"/>
            </w:tcBorders>
            <w:hideMark/>
          </w:tcPr>
          <w:p w14:paraId="74ABC8ED" w14:textId="64858222" w:rsidR="00303D71" w:rsidRPr="003E62E1" w:rsidRDefault="00303D71" w:rsidP="00303D71">
            <w:r w:rsidRPr="003E62E1">
              <w:t>0 (0.0%)</w:t>
            </w:r>
          </w:p>
        </w:tc>
      </w:tr>
      <w:tr w:rsidR="00E954DD" w:rsidRPr="00C609AB" w14:paraId="19FD553E" w14:textId="77777777" w:rsidTr="00C609AB">
        <w:tc>
          <w:tcPr>
            <w:tcW w:w="0" w:type="auto"/>
            <w:tcBorders>
              <w:top w:val="single" w:sz="4" w:space="0" w:color="auto"/>
              <w:left w:val="single" w:sz="4" w:space="0" w:color="auto"/>
              <w:bottom w:val="single" w:sz="4" w:space="0" w:color="auto"/>
              <w:right w:val="single" w:sz="4" w:space="0" w:color="auto"/>
            </w:tcBorders>
            <w:hideMark/>
          </w:tcPr>
          <w:p w14:paraId="079BFBC1" w14:textId="77777777" w:rsidR="00303D71" w:rsidRPr="00C609AB" w:rsidRDefault="00303D71" w:rsidP="00303D71">
            <w:pPr>
              <w:rPr>
                <w:b/>
                <w:iCs/>
              </w:rPr>
            </w:pPr>
            <w:r w:rsidRPr="00C609AB">
              <w:rPr>
                <w:b/>
                <w:iCs/>
              </w:rPr>
              <w:t>Took larger dose</w:t>
            </w:r>
          </w:p>
        </w:tc>
        <w:tc>
          <w:tcPr>
            <w:tcW w:w="0" w:type="auto"/>
            <w:tcBorders>
              <w:top w:val="single" w:sz="4" w:space="0" w:color="auto"/>
              <w:left w:val="single" w:sz="4" w:space="0" w:color="auto"/>
              <w:bottom w:val="single" w:sz="4" w:space="0" w:color="auto"/>
              <w:right w:val="single" w:sz="4" w:space="0" w:color="auto"/>
            </w:tcBorders>
            <w:hideMark/>
          </w:tcPr>
          <w:p w14:paraId="0615C6F3" w14:textId="669E03D6" w:rsidR="00303D71" w:rsidRPr="00C609AB" w:rsidRDefault="00BC0643" w:rsidP="00303D71">
            <w:r>
              <w:t>29</w:t>
            </w:r>
            <w:r w:rsidR="00303D71" w:rsidRPr="00C609AB">
              <w:t xml:space="preserve"> (</w:t>
            </w:r>
            <w:r w:rsidR="00712E0D">
              <w:t>2.5</w:t>
            </w:r>
            <w:r w:rsidR="00303D71" w:rsidRPr="00C609AB">
              <w:t>%)</w:t>
            </w:r>
          </w:p>
        </w:tc>
        <w:tc>
          <w:tcPr>
            <w:tcW w:w="0" w:type="auto"/>
            <w:tcBorders>
              <w:top w:val="single" w:sz="4" w:space="0" w:color="auto"/>
              <w:left w:val="single" w:sz="4" w:space="0" w:color="auto"/>
              <w:bottom w:val="single" w:sz="4" w:space="0" w:color="auto"/>
              <w:right w:val="single" w:sz="4" w:space="0" w:color="auto"/>
            </w:tcBorders>
            <w:hideMark/>
          </w:tcPr>
          <w:p w14:paraId="0C7E15B9" w14:textId="12798A1D" w:rsidR="00303D71" w:rsidRPr="00C609AB" w:rsidRDefault="00303D71" w:rsidP="00303D71">
            <w:r w:rsidRPr="00C609AB">
              <w:t>7 (6.</w:t>
            </w:r>
            <w:r w:rsidR="007D1BCD">
              <w:t>5</w:t>
            </w:r>
            <w:r w:rsidRPr="00C609AB">
              <w:t>%)</w:t>
            </w:r>
          </w:p>
        </w:tc>
        <w:tc>
          <w:tcPr>
            <w:tcW w:w="0" w:type="auto"/>
            <w:tcBorders>
              <w:top w:val="single" w:sz="4" w:space="0" w:color="auto"/>
              <w:left w:val="single" w:sz="4" w:space="0" w:color="auto"/>
              <w:bottom w:val="single" w:sz="4" w:space="0" w:color="auto"/>
              <w:right w:val="single" w:sz="4" w:space="0" w:color="auto"/>
            </w:tcBorders>
            <w:hideMark/>
          </w:tcPr>
          <w:p w14:paraId="5C140B95" w14:textId="4DF2F398" w:rsidR="00303D71" w:rsidRPr="00C609AB" w:rsidRDefault="00BC0643" w:rsidP="00303D71">
            <w:r>
              <w:t>1</w:t>
            </w:r>
            <w:r w:rsidR="00303D71" w:rsidRPr="00C609AB">
              <w:t xml:space="preserve"> (</w:t>
            </w:r>
            <w:r w:rsidR="00AF790B">
              <w:t>0.6</w:t>
            </w:r>
            <w:r w:rsidR="00303D71" w:rsidRPr="00C609AB">
              <w:t>%)</w:t>
            </w:r>
          </w:p>
        </w:tc>
        <w:tc>
          <w:tcPr>
            <w:tcW w:w="0" w:type="auto"/>
            <w:tcBorders>
              <w:top w:val="single" w:sz="4" w:space="0" w:color="auto"/>
              <w:left w:val="single" w:sz="4" w:space="0" w:color="auto"/>
              <w:bottom w:val="single" w:sz="4" w:space="0" w:color="auto"/>
              <w:right w:val="single" w:sz="4" w:space="0" w:color="auto"/>
            </w:tcBorders>
            <w:hideMark/>
          </w:tcPr>
          <w:p w14:paraId="080D47DF" w14:textId="2BE38D28" w:rsidR="00303D71" w:rsidRPr="003E62E1" w:rsidRDefault="000047F9" w:rsidP="00303D71">
            <w:r w:rsidRPr="003E62E1">
              <w:t>0</w:t>
            </w:r>
            <w:r w:rsidR="00303D71" w:rsidRPr="003E62E1">
              <w:t xml:space="preserve"> (</w:t>
            </w:r>
            <w:r w:rsidRPr="003E62E1">
              <w:t>0</w:t>
            </w:r>
            <w:r w:rsidR="00303D71" w:rsidRPr="003E62E1">
              <w:t>.</w:t>
            </w:r>
            <w:r w:rsidRPr="003E62E1">
              <w:t>0</w:t>
            </w:r>
            <w:r w:rsidR="00303D71" w:rsidRPr="003E62E1">
              <w:t>%)</w:t>
            </w:r>
          </w:p>
        </w:tc>
      </w:tr>
      <w:tr w:rsidR="00961F35" w:rsidRPr="00C609AB" w14:paraId="18B6962E" w14:textId="77777777" w:rsidTr="00C609AB">
        <w:tc>
          <w:tcPr>
            <w:tcW w:w="0" w:type="auto"/>
            <w:tcBorders>
              <w:top w:val="single" w:sz="4" w:space="0" w:color="auto"/>
              <w:left w:val="single" w:sz="4" w:space="0" w:color="auto"/>
              <w:bottom w:val="single" w:sz="4" w:space="0" w:color="auto"/>
              <w:right w:val="single" w:sz="4" w:space="0" w:color="auto"/>
            </w:tcBorders>
          </w:tcPr>
          <w:p w14:paraId="2851BF9C" w14:textId="76C40C95" w:rsidR="00961F35" w:rsidRPr="00C609AB" w:rsidRDefault="00961F35" w:rsidP="00303D71">
            <w:pPr>
              <w:rPr>
                <w:b/>
                <w:iCs/>
              </w:rPr>
            </w:pPr>
            <w:r>
              <w:rPr>
                <w:b/>
                <w:iCs/>
              </w:rPr>
              <w:t xml:space="preserve">Returned to </w:t>
            </w:r>
            <w:r w:rsidR="00653A8C">
              <w:rPr>
                <w:b/>
                <w:iCs/>
              </w:rPr>
              <w:t>supplier</w:t>
            </w:r>
          </w:p>
        </w:tc>
        <w:tc>
          <w:tcPr>
            <w:tcW w:w="0" w:type="auto"/>
            <w:tcBorders>
              <w:top w:val="single" w:sz="4" w:space="0" w:color="auto"/>
              <w:left w:val="single" w:sz="4" w:space="0" w:color="auto"/>
              <w:bottom w:val="single" w:sz="4" w:space="0" w:color="auto"/>
              <w:right w:val="single" w:sz="4" w:space="0" w:color="auto"/>
            </w:tcBorders>
          </w:tcPr>
          <w:p w14:paraId="6330829C" w14:textId="31321284" w:rsidR="00961F35" w:rsidRDefault="00C06BA9" w:rsidP="00303D71">
            <w:r>
              <w:t>10</w:t>
            </w:r>
            <w:r w:rsidR="00640861">
              <w:t xml:space="preserve"> (0.9%)</w:t>
            </w:r>
          </w:p>
        </w:tc>
        <w:tc>
          <w:tcPr>
            <w:tcW w:w="0" w:type="auto"/>
            <w:tcBorders>
              <w:top w:val="single" w:sz="4" w:space="0" w:color="auto"/>
              <w:left w:val="single" w:sz="4" w:space="0" w:color="auto"/>
              <w:bottom w:val="single" w:sz="4" w:space="0" w:color="auto"/>
              <w:right w:val="single" w:sz="4" w:space="0" w:color="auto"/>
            </w:tcBorders>
          </w:tcPr>
          <w:p w14:paraId="570F8AB0" w14:textId="2D6B2008" w:rsidR="00961F35" w:rsidRPr="00C609AB" w:rsidRDefault="00961F35" w:rsidP="00303D71">
            <w:r>
              <w:t>0 (0%)</w:t>
            </w:r>
          </w:p>
        </w:tc>
        <w:tc>
          <w:tcPr>
            <w:tcW w:w="0" w:type="auto"/>
            <w:tcBorders>
              <w:top w:val="single" w:sz="4" w:space="0" w:color="auto"/>
              <w:left w:val="single" w:sz="4" w:space="0" w:color="auto"/>
              <w:bottom w:val="single" w:sz="4" w:space="0" w:color="auto"/>
              <w:right w:val="single" w:sz="4" w:space="0" w:color="auto"/>
            </w:tcBorders>
          </w:tcPr>
          <w:p w14:paraId="0A4870FC" w14:textId="43831860" w:rsidR="00961F35" w:rsidRDefault="00C06BA9" w:rsidP="00303D71">
            <w:r>
              <w:t>1</w:t>
            </w:r>
            <w:r w:rsidR="00640861">
              <w:t>5 (9.4%)</w:t>
            </w:r>
          </w:p>
        </w:tc>
        <w:tc>
          <w:tcPr>
            <w:tcW w:w="0" w:type="auto"/>
            <w:tcBorders>
              <w:top w:val="single" w:sz="4" w:space="0" w:color="auto"/>
              <w:left w:val="single" w:sz="4" w:space="0" w:color="auto"/>
              <w:bottom w:val="single" w:sz="4" w:space="0" w:color="auto"/>
              <w:right w:val="single" w:sz="4" w:space="0" w:color="auto"/>
            </w:tcBorders>
          </w:tcPr>
          <w:p w14:paraId="18232E5E" w14:textId="050C47E4" w:rsidR="00961F35" w:rsidRPr="003E62E1" w:rsidRDefault="00961F35" w:rsidP="00303D71">
            <w:r>
              <w:t>3 (15.8%)</w:t>
            </w:r>
          </w:p>
        </w:tc>
      </w:tr>
      <w:tr w:rsidR="00E954DD" w:rsidRPr="00C609AB" w14:paraId="374788AA" w14:textId="77777777" w:rsidTr="00C609AB">
        <w:tc>
          <w:tcPr>
            <w:tcW w:w="0" w:type="auto"/>
            <w:tcBorders>
              <w:top w:val="single" w:sz="4" w:space="0" w:color="auto"/>
              <w:left w:val="single" w:sz="4" w:space="0" w:color="auto"/>
              <w:bottom w:val="single" w:sz="4" w:space="0" w:color="auto"/>
              <w:right w:val="single" w:sz="4" w:space="0" w:color="auto"/>
            </w:tcBorders>
          </w:tcPr>
          <w:p w14:paraId="415AB70C" w14:textId="421352A2" w:rsidR="000047F9" w:rsidRPr="00C609AB" w:rsidRDefault="000047F9" w:rsidP="00303D71">
            <w:pPr>
              <w:rPr>
                <w:b/>
                <w:iCs/>
              </w:rPr>
            </w:pPr>
            <w:r>
              <w:rPr>
                <w:b/>
                <w:iCs/>
              </w:rPr>
              <w:t>Other</w:t>
            </w:r>
          </w:p>
        </w:tc>
        <w:tc>
          <w:tcPr>
            <w:tcW w:w="0" w:type="auto"/>
            <w:tcBorders>
              <w:top w:val="single" w:sz="4" w:space="0" w:color="auto"/>
              <w:left w:val="single" w:sz="4" w:space="0" w:color="auto"/>
              <w:bottom w:val="single" w:sz="4" w:space="0" w:color="auto"/>
              <w:right w:val="single" w:sz="4" w:space="0" w:color="auto"/>
            </w:tcBorders>
          </w:tcPr>
          <w:p w14:paraId="502D185B" w14:textId="7EFBB96F" w:rsidR="000047F9" w:rsidRPr="00C609AB" w:rsidRDefault="007B5328" w:rsidP="00303D71">
            <w:r>
              <w:t>1</w:t>
            </w:r>
            <w:r w:rsidR="00640861">
              <w:t>2</w:t>
            </w:r>
            <w:r>
              <w:t>1 (</w:t>
            </w:r>
            <w:r w:rsidR="00A270DD">
              <w:t>10.6</w:t>
            </w:r>
            <w:r>
              <w:t>%)</w:t>
            </w:r>
          </w:p>
        </w:tc>
        <w:tc>
          <w:tcPr>
            <w:tcW w:w="0" w:type="auto"/>
            <w:tcBorders>
              <w:top w:val="single" w:sz="4" w:space="0" w:color="auto"/>
              <w:left w:val="single" w:sz="4" w:space="0" w:color="auto"/>
              <w:bottom w:val="single" w:sz="4" w:space="0" w:color="auto"/>
              <w:right w:val="single" w:sz="4" w:space="0" w:color="auto"/>
            </w:tcBorders>
          </w:tcPr>
          <w:p w14:paraId="6D0C4275" w14:textId="1BD02925" w:rsidR="000047F9" w:rsidRPr="007D1BCD" w:rsidRDefault="00343636" w:rsidP="00303D71">
            <w:r w:rsidRPr="007D1BCD">
              <w:t>5</w:t>
            </w:r>
            <w:r w:rsidR="00E865E9" w:rsidRPr="007D1BCD">
              <w:t xml:space="preserve"> (</w:t>
            </w:r>
            <w:r w:rsidR="00B32D7D" w:rsidRPr="007D1BCD">
              <w:t>4</w:t>
            </w:r>
            <w:r w:rsidR="007D1BCD" w:rsidRPr="007D1BCD">
              <w:t>.6</w:t>
            </w:r>
            <w:r w:rsidR="00E865E9" w:rsidRPr="007D1BCD">
              <w:t>%)</w:t>
            </w:r>
          </w:p>
        </w:tc>
        <w:tc>
          <w:tcPr>
            <w:tcW w:w="0" w:type="auto"/>
            <w:tcBorders>
              <w:top w:val="single" w:sz="4" w:space="0" w:color="auto"/>
              <w:left w:val="single" w:sz="4" w:space="0" w:color="auto"/>
              <w:bottom w:val="single" w:sz="4" w:space="0" w:color="auto"/>
              <w:right w:val="single" w:sz="4" w:space="0" w:color="auto"/>
            </w:tcBorders>
          </w:tcPr>
          <w:p w14:paraId="0A5E75D2" w14:textId="39D984A1" w:rsidR="000047F9" w:rsidRPr="00C609AB" w:rsidRDefault="00640861" w:rsidP="00303D71">
            <w:r>
              <w:t>7</w:t>
            </w:r>
            <w:r w:rsidR="007B5328">
              <w:t xml:space="preserve"> (</w:t>
            </w:r>
            <w:r>
              <w:t>4.4</w:t>
            </w:r>
            <w:r w:rsidR="007B5328">
              <w:t>%)</w:t>
            </w:r>
          </w:p>
        </w:tc>
        <w:tc>
          <w:tcPr>
            <w:tcW w:w="0" w:type="auto"/>
            <w:tcBorders>
              <w:top w:val="single" w:sz="4" w:space="0" w:color="auto"/>
              <w:left w:val="single" w:sz="4" w:space="0" w:color="auto"/>
              <w:bottom w:val="single" w:sz="4" w:space="0" w:color="auto"/>
              <w:right w:val="single" w:sz="4" w:space="0" w:color="auto"/>
            </w:tcBorders>
          </w:tcPr>
          <w:p w14:paraId="64DAC1BE" w14:textId="5EC2AFA6" w:rsidR="000047F9" w:rsidRPr="003E62E1" w:rsidRDefault="00D6233A" w:rsidP="00303D71">
            <w:r>
              <w:t>0</w:t>
            </w:r>
            <w:r w:rsidR="000047F9" w:rsidRPr="003E62E1">
              <w:t xml:space="preserve"> (</w:t>
            </w:r>
            <w:r>
              <w:t>0</w:t>
            </w:r>
            <w:r w:rsidR="00951391">
              <w:t>.</w:t>
            </w:r>
            <w:r>
              <w:t>0</w:t>
            </w:r>
            <w:r w:rsidR="000047F9" w:rsidRPr="003E62E1">
              <w:t>%)</w:t>
            </w:r>
          </w:p>
        </w:tc>
      </w:tr>
      <w:tr w:rsidR="00E954DD" w:rsidRPr="00C609AB" w14:paraId="500A9DC4" w14:textId="77777777" w:rsidTr="00C609AB">
        <w:tc>
          <w:tcPr>
            <w:tcW w:w="0" w:type="auto"/>
            <w:tcBorders>
              <w:top w:val="single" w:sz="4" w:space="0" w:color="auto"/>
              <w:left w:val="single" w:sz="4" w:space="0" w:color="auto"/>
              <w:bottom w:val="single" w:sz="4" w:space="0" w:color="auto"/>
              <w:right w:val="single" w:sz="4" w:space="0" w:color="auto"/>
            </w:tcBorders>
          </w:tcPr>
          <w:p w14:paraId="5B688099" w14:textId="36B97A30" w:rsidR="00820B80" w:rsidRDefault="00CC49F0" w:rsidP="00820B80">
            <w:pPr>
              <w:rPr>
                <w:b/>
                <w:iCs/>
              </w:rPr>
            </w:pPr>
            <w:r>
              <w:rPr>
                <w:b/>
                <w:iCs/>
              </w:rPr>
              <w:t>Total</w:t>
            </w:r>
          </w:p>
        </w:tc>
        <w:tc>
          <w:tcPr>
            <w:tcW w:w="0" w:type="auto"/>
            <w:tcBorders>
              <w:top w:val="single" w:sz="4" w:space="0" w:color="auto"/>
              <w:left w:val="single" w:sz="4" w:space="0" w:color="auto"/>
              <w:bottom w:val="single" w:sz="4" w:space="0" w:color="auto"/>
              <w:right w:val="single" w:sz="4" w:space="0" w:color="auto"/>
            </w:tcBorders>
          </w:tcPr>
          <w:p w14:paraId="61547EB5" w14:textId="34C3FAD6" w:rsidR="00820B80" w:rsidRDefault="00820B80" w:rsidP="00820B80">
            <w:r>
              <w:t>n=</w:t>
            </w:r>
            <w:r w:rsidRPr="00C609AB">
              <w:t>1,14</w:t>
            </w:r>
            <w:r w:rsidR="008D36F7">
              <w:t>6</w:t>
            </w:r>
          </w:p>
          <w:p w14:paraId="531A6744" w14:textId="2560F386" w:rsidR="00820B80" w:rsidRPr="00C609AB" w:rsidRDefault="00820B80" w:rsidP="00820B80">
            <w:r w:rsidRPr="00C609AB">
              <w:t>(</w:t>
            </w:r>
            <w:r w:rsidR="00DF5EDF">
              <w:t>77.</w:t>
            </w:r>
            <w:r w:rsidR="004C2929">
              <w:t>3</w:t>
            </w:r>
            <w:r w:rsidRPr="00C609AB">
              <w:t>%)</w:t>
            </w:r>
          </w:p>
        </w:tc>
        <w:tc>
          <w:tcPr>
            <w:tcW w:w="0" w:type="auto"/>
            <w:tcBorders>
              <w:top w:val="single" w:sz="4" w:space="0" w:color="auto"/>
              <w:left w:val="single" w:sz="4" w:space="0" w:color="auto"/>
              <w:bottom w:val="single" w:sz="4" w:space="0" w:color="auto"/>
              <w:right w:val="single" w:sz="4" w:space="0" w:color="auto"/>
            </w:tcBorders>
          </w:tcPr>
          <w:p w14:paraId="381AE770" w14:textId="4D3652A0" w:rsidR="00820B80" w:rsidRPr="007D1BCD" w:rsidRDefault="00820B80" w:rsidP="00820B80">
            <w:r w:rsidRPr="007D1BCD">
              <w:t>n=1</w:t>
            </w:r>
            <w:r w:rsidR="00F153AF" w:rsidRPr="007D1BCD">
              <w:t>0</w:t>
            </w:r>
            <w:r w:rsidR="00343636" w:rsidRPr="007D1BCD">
              <w:t>8</w:t>
            </w:r>
          </w:p>
          <w:p w14:paraId="36F874F2" w14:textId="683A1726" w:rsidR="00820B80" w:rsidRPr="006C573F" w:rsidRDefault="00F153AF" w:rsidP="00820B80">
            <w:pPr>
              <w:rPr>
                <w:highlight w:val="yellow"/>
              </w:rPr>
            </w:pPr>
            <w:r w:rsidRPr="007D1BCD">
              <w:t>(83.</w:t>
            </w:r>
            <w:r w:rsidR="007D1BCD" w:rsidRPr="007D1BCD">
              <w:t>1</w:t>
            </w:r>
            <w:r w:rsidR="00820B80" w:rsidRPr="007D1BCD">
              <w:t>%)</w:t>
            </w:r>
          </w:p>
        </w:tc>
        <w:tc>
          <w:tcPr>
            <w:tcW w:w="0" w:type="auto"/>
            <w:tcBorders>
              <w:top w:val="single" w:sz="4" w:space="0" w:color="auto"/>
              <w:left w:val="single" w:sz="4" w:space="0" w:color="auto"/>
              <w:bottom w:val="single" w:sz="4" w:space="0" w:color="auto"/>
              <w:right w:val="single" w:sz="4" w:space="0" w:color="auto"/>
            </w:tcBorders>
          </w:tcPr>
          <w:p w14:paraId="1B7C09A0" w14:textId="0943B073" w:rsidR="00820B80" w:rsidRDefault="00820B80" w:rsidP="00820B80">
            <w:r>
              <w:t>n=</w:t>
            </w:r>
            <w:r w:rsidRPr="00C609AB">
              <w:t>15</w:t>
            </w:r>
            <w:r w:rsidR="008D36F7">
              <w:t>9</w:t>
            </w:r>
          </w:p>
          <w:p w14:paraId="74AB2833" w14:textId="64D55ADF" w:rsidR="00820B80" w:rsidRPr="00C609AB" w:rsidRDefault="00820B80" w:rsidP="00820B80">
            <w:r w:rsidRPr="00C609AB">
              <w:t>(</w:t>
            </w:r>
            <w:r w:rsidR="009D65BA">
              <w:t>10.7</w:t>
            </w:r>
            <w:r w:rsidRPr="00C609AB">
              <w:t>%)</w:t>
            </w:r>
          </w:p>
        </w:tc>
        <w:tc>
          <w:tcPr>
            <w:tcW w:w="0" w:type="auto"/>
            <w:tcBorders>
              <w:top w:val="single" w:sz="4" w:space="0" w:color="auto"/>
              <w:left w:val="single" w:sz="4" w:space="0" w:color="auto"/>
              <w:bottom w:val="single" w:sz="4" w:space="0" w:color="auto"/>
              <w:right w:val="single" w:sz="4" w:space="0" w:color="auto"/>
            </w:tcBorders>
          </w:tcPr>
          <w:p w14:paraId="47AB49ED" w14:textId="32EF2309" w:rsidR="00820B80" w:rsidRDefault="00820B80" w:rsidP="00820B80">
            <w:r>
              <w:t>n=</w:t>
            </w:r>
            <w:r w:rsidR="009379AE">
              <w:t>19</w:t>
            </w:r>
          </w:p>
          <w:p w14:paraId="653226E2" w14:textId="44690666" w:rsidR="00820B80" w:rsidRDefault="00820B80" w:rsidP="00820B80">
            <w:pPr>
              <w:rPr>
                <w:highlight w:val="yellow"/>
              </w:rPr>
            </w:pPr>
            <w:r w:rsidRPr="00C609AB">
              <w:t>(</w:t>
            </w:r>
            <w:r w:rsidR="00F153AF">
              <w:t>14.6</w:t>
            </w:r>
            <w:r w:rsidRPr="00C609AB">
              <w:t>%)</w:t>
            </w:r>
          </w:p>
        </w:tc>
      </w:tr>
      <w:bookmarkEnd w:id="27"/>
    </w:tbl>
    <w:p w14:paraId="683C1299" w14:textId="72907C6D" w:rsidR="00563305" w:rsidRDefault="00563305" w:rsidP="002023C3"/>
    <w:p w14:paraId="36103C69" w14:textId="420C9D35" w:rsidR="00363E34" w:rsidRPr="00A325A2" w:rsidRDefault="009117B3" w:rsidP="003E4FC4">
      <w:pPr>
        <w:pStyle w:val="ListParagraph"/>
        <w:numPr>
          <w:ilvl w:val="0"/>
          <w:numId w:val="13"/>
        </w:numPr>
        <w:rPr>
          <w:sz w:val="20"/>
          <w:szCs w:val="20"/>
        </w:rPr>
      </w:pPr>
      <w:bookmarkStart w:id="28" w:name="_Hlk66011769"/>
      <w:r w:rsidRPr="00A325A2">
        <w:rPr>
          <w:sz w:val="20"/>
          <w:szCs w:val="20"/>
        </w:rPr>
        <w:t>‘</w:t>
      </w:r>
      <w:r w:rsidR="003661CB" w:rsidRPr="00A325A2">
        <w:rPr>
          <w:sz w:val="20"/>
          <w:szCs w:val="20"/>
        </w:rPr>
        <w:t>Contents a</w:t>
      </w:r>
      <w:r w:rsidRPr="00A325A2">
        <w:rPr>
          <w:sz w:val="20"/>
          <w:szCs w:val="20"/>
        </w:rPr>
        <w:t xml:space="preserve">s expected’ </w:t>
      </w:r>
      <w:r w:rsidR="00041A83" w:rsidRPr="00A325A2">
        <w:rPr>
          <w:sz w:val="20"/>
          <w:szCs w:val="20"/>
        </w:rPr>
        <w:t>refer</w:t>
      </w:r>
      <w:r w:rsidR="002F34B6" w:rsidRPr="00A325A2">
        <w:rPr>
          <w:sz w:val="20"/>
          <w:szCs w:val="20"/>
        </w:rPr>
        <w:t>s here</w:t>
      </w:r>
      <w:r w:rsidR="00041A83" w:rsidRPr="00A325A2">
        <w:rPr>
          <w:sz w:val="20"/>
          <w:szCs w:val="20"/>
        </w:rPr>
        <w:t xml:space="preserve"> to </w:t>
      </w:r>
      <w:r w:rsidRPr="00A325A2">
        <w:rPr>
          <w:sz w:val="20"/>
          <w:szCs w:val="20"/>
        </w:rPr>
        <w:t xml:space="preserve">when the content or identity of the substance is </w:t>
      </w:r>
      <w:r w:rsidR="00041A83" w:rsidRPr="00A325A2">
        <w:rPr>
          <w:sz w:val="20"/>
          <w:szCs w:val="20"/>
        </w:rPr>
        <w:t xml:space="preserve">identified as </w:t>
      </w:r>
      <w:r w:rsidRPr="00A325A2">
        <w:rPr>
          <w:sz w:val="20"/>
          <w:szCs w:val="20"/>
        </w:rPr>
        <w:t xml:space="preserve">what </w:t>
      </w:r>
      <w:r w:rsidR="00041A83" w:rsidRPr="00A325A2">
        <w:rPr>
          <w:sz w:val="20"/>
          <w:szCs w:val="20"/>
        </w:rPr>
        <w:t xml:space="preserve">the service user </w:t>
      </w:r>
      <w:r w:rsidRPr="00A325A2">
        <w:rPr>
          <w:sz w:val="20"/>
          <w:szCs w:val="20"/>
        </w:rPr>
        <w:t xml:space="preserve">thought they had bought or been given and </w:t>
      </w:r>
      <w:r w:rsidR="001B3D00" w:rsidRPr="00A325A2">
        <w:rPr>
          <w:sz w:val="20"/>
          <w:szCs w:val="20"/>
        </w:rPr>
        <w:t xml:space="preserve">does not refer to </w:t>
      </w:r>
      <w:r w:rsidRPr="00A325A2">
        <w:rPr>
          <w:sz w:val="20"/>
          <w:szCs w:val="20"/>
        </w:rPr>
        <w:t>strength.</w:t>
      </w:r>
      <w:r w:rsidR="002F34B6" w:rsidRPr="00A325A2">
        <w:rPr>
          <w:sz w:val="20"/>
          <w:szCs w:val="20"/>
        </w:rPr>
        <w:t xml:space="preserve"> </w:t>
      </w:r>
      <w:r w:rsidR="005C6970" w:rsidRPr="00A325A2">
        <w:rPr>
          <w:sz w:val="20"/>
          <w:szCs w:val="20"/>
        </w:rPr>
        <w:t>Festival</w:t>
      </w:r>
      <w:r w:rsidR="00363E34" w:rsidRPr="00A325A2">
        <w:rPr>
          <w:sz w:val="20"/>
          <w:szCs w:val="20"/>
        </w:rPr>
        <w:t xml:space="preserve"> BI data excludes n=177 </w:t>
      </w:r>
      <w:r w:rsidR="002051BE" w:rsidRPr="00A325A2">
        <w:rPr>
          <w:sz w:val="20"/>
          <w:szCs w:val="20"/>
        </w:rPr>
        <w:t xml:space="preserve">respondents </w:t>
      </w:r>
      <w:r w:rsidR="00BA3FF5" w:rsidRPr="00A325A2">
        <w:rPr>
          <w:sz w:val="20"/>
          <w:szCs w:val="20"/>
        </w:rPr>
        <w:t xml:space="preserve">with missing data </w:t>
      </w:r>
      <w:r w:rsidR="002F34B6" w:rsidRPr="00A325A2">
        <w:rPr>
          <w:sz w:val="20"/>
          <w:szCs w:val="20"/>
        </w:rPr>
        <w:t xml:space="preserve">for this variable </w:t>
      </w:r>
      <w:proofErr w:type="spellStart"/>
      <w:r w:rsidR="00363E34" w:rsidRPr="00A325A2">
        <w:rPr>
          <w:sz w:val="20"/>
          <w:szCs w:val="20"/>
        </w:rPr>
        <w:t>eg.</w:t>
      </w:r>
      <w:proofErr w:type="spellEnd"/>
      <w:r w:rsidR="00363E34" w:rsidRPr="00A325A2">
        <w:rPr>
          <w:sz w:val="20"/>
          <w:szCs w:val="20"/>
        </w:rPr>
        <w:t xml:space="preserve"> </w:t>
      </w:r>
      <w:r w:rsidR="002051BE" w:rsidRPr="00A325A2">
        <w:rPr>
          <w:sz w:val="20"/>
          <w:szCs w:val="20"/>
        </w:rPr>
        <w:t xml:space="preserve">if </w:t>
      </w:r>
      <w:r w:rsidR="00363E34" w:rsidRPr="00A325A2">
        <w:rPr>
          <w:sz w:val="20"/>
          <w:szCs w:val="20"/>
        </w:rPr>
        <w:t>found on ground</w:t>
      </w:r>
      <w:r w:rsidR="00101E88" w:rsidRPr="00A325A2">
        <w:rPr>
          <w:sz w:val="20"/>
          <w:szCs w:val="20"/>
        </w:rPr>
        <w:t>.</w:t>
      </w:r>
      <w:r w:rsidR="00363E34" w:rsidRPr="00A325A2">
        <w:rPr>
          <w:sz w:val="20"/>
          <w:szCs w:val="20"/>
        </w:rPr>
        <w:t xml:space="preserve"> </w:t>
      </w:r>
    </w:p>
    <w:p w14:paraId="324B72B4" w14:textId="77777777" w:rsidR="008A460C" w:rsidRPr="008A460C" w:rsidRDefault="008A460C" w:rsidP="008A460C">
      <w:pPr>
        <w:pStyle w:val="ListParagraph"/>
        <w:numPr>
          <w:ilvl w:val="0"/>
          <w:numId w:val="13"/>
        </w:numPr>
        <w:rPr>
          <w:sz w:val="20"/>
          <w:szCs w:val="20"/>
        </w:rPr>
      </w:pPr>
      <w:r w:rsidRPr="008A460C">
        <w:rPr>
          <w:sz w:val="20"/>
          <w:szCs w:val="20"/>
        </w:rPr>
        <w:t>Festival BI and follow-up datasets both have a further n=3 respondents excluded because missing data on outcomes.</w:t>
      </w:r>
    </w:p>
    <w:p w14:paraId="3EEAB87E" w14:textId="7EBFEA76" w:rsidR="00F6629E" w:rsidRPr="00A325A2" w:rsidRDefault="003661CB" w:rsidP="003E4FC4">
      <w:pPr>
        <w:pStyle w:val="ListParagraph"/>
        <w:numPr>
          <w:ilvl w:val="0"/>
          <w:numId w:val="13"/>
        </w:numPr>
        <w:rPr>
          <w:sz w:val="20"/>
          <w:szCs w:val="20"/>
        </w:rPr>
      </w:pPr>
      <w:r w:rsidRPr="00A325A2">
        <w:rPr>
          <w:sz w:val="20"/>
          <w:szCs w:val="20"/>
        </w:rPr>
        <w:t>‘</w:t>
      </w:r>
      <w:r w:rsidR="00F6629E" w:rsidRPr="00A325A2">
        <w:rPr>
          <w:sz w:val="20"/>
          <w:szCs w:val="20"/>
        </w:rPr>
        <w:t>Other</w:t>
      </w:r>
      <w:r w:rsidRPr="00A325A2">
        <w:rPr>
          <w:sz w:val="20"/>
          <w:szCs w:val="20"/>
        </w:rPr>
        <w:t>’</w:t>
      </w:r>
      <w:r w:rsidR="00F6629E" w:rsidRPr="00A325A2">
        <w:rPr>
          <w:sz w:val="20"/>
          <w:szCs w:val="20"/>
        </w:rPr>
        <w:t xml:space="preserve"> </w:t>
      </w:r>
      <w:r w:rsidR="00025AA2" w:rsidRPr="00A325A2">
        <w:rPr>
          <w:sz w:val="20"/>
          <w:szCs w:val="20"/>
        </w:rPr>
        <w:t>–</w:t>
      </w:r>
      <w:r w:rsidR="00811F9C">
        <w:rPr>
          <w:sz w:val="20"/>
          <w:szCs w:val="20"/>
        </w:rPr>
        <w:t xml:space="preserve"> </w:t>
      </w:r>
      <w:r w:rsidR="0008009D">
        <w:rPr>
          <w:sz w:val="20"/>
          <w:szCs w:val="20"/>
        </w:rPr>
        <w:t xml:space="preserve">other than </w:t>
      </w:r>
      <w:r w:rsidR="00811F9C">
        <w:rPr>
          <w:sz w:val="20"/>
          <w:szCs w:val="20"/>
        </w:rPr>
        <w:t xml:space="preserve">consumed </w:t>
      </w:r>
      <w:proofErr w:type="spellStart"/>
      <w:r w:rsidR="00F6629E" w:rsidRPr="00A325A2">
        <w:rPr>
          <w:sz w:val="20"/>
          <w:szCs w:val="20"/>
        </w:rPr>
        <w:t>eg</w:t>
      </w:r>
      <w:proofErr w:type="spellEnd"/>
      <w:r w:rsidR="00F6629E" w:rsidRPr="00A325A2">
        <w:rPr>
          <w:sz w:val="20"/>
          <w:szCs w:val="20"/>
        </w:rPr>
        <w:t xml:space="preserve"> none left</w:t>
      </w:r>
      <w:r w:rsidR="00D3104A" w:rsidRPr="00A325A2">
        <w:rPr>
          <w:sz w:val="20"/>
          <w:szCs w:val="20"/>
        </w:rPr>
        <w:t>, gave away</w:t>
      </w:r>
      <w:r w:rsidR="005F0FF6">
        <w:rPr>
          <w:sz w:val="20"/>
          <w:szCs w:val="20"/>
        </w:rPr>
        <w:t xml:space="preserve"> etc</w:t>
      </w:r>
      <w:r w:rsidR="00F6629E" w:rsidRPr="00A325A2">
        <w:rPr>
          <w:sz w:val="20"/>
          <w:szCs w:val="20"/>
        </w:rPr>
        <w:t>.</w:t>
      </w:r>
    </w:p>
    <w:p w14:paraId="62D6B6A1" w14:textId="5433D00F" w:rsidR="00FB6677" w:rsidRPr="00A325A2" w:rsidRDefault="00FB6677" w:rsidP="007C78C8">
      <w:pPr>
        <w:pStyle w:val="ListParagraph"/>
        <w:numPr>
          <w:ilvl w:val="0"/>
          <w:numId w:val="13"/>
        </w:numPr>
        <w:rPr>
          <w:sz w:val="20"/>
          <w:szCs w:val="20"/>
        </w:rPr>
      </w:pPr>
      <w:bookmarkStart w:id="29" w:name="_Hlk66553177"/>
      <w:bookmarkStart w:id="30" w:name="_Hlk54702494"/>
      <w:bookmarkStart w:id="31" w:name="_Hlk55289136"/>
      <w:bookmarkEnd w:id="28"/>
      <w:r w:rsidRPr="00A325A2">
        <w:rPr>
          <w:sz w:val="20"/>
          <w:szCs w:val="20"/>
        </w:rPr>
        <w:t>Test</w:t>
      </w:r>
      <w:r w:rsidR="00AB6BBA" w:rsidRPr="00A325A2">
        <w:rPr>
          <w:sz w:val="20"/>
          <w:szCs w:val="20"/>
        </w:rPr>
        <w:t>s</w:t>
      </w:r>
      <w:r w:rsidRPr="00A325A2">
        <w:rPr>
          <w:sz w:val="20"/>
          <w:szCs w:val="20"/>
        </w:rPr>
        <w:t xml:space="preserve"> for </w:t>
      </w:r>
      <w:r w:rsidR="00C17CFC" w:rsidRPr="00A325A2">
        <w:rPr>
          <w:sz w:val="20"/>
          <w:szCs w:val="20"/>
        </w:rPr>
        <w:t xml:space="preserve">statistical </w:t>
      </w:r>
      <w:r w:rsidRPr="00A325A2">
        <w:rPr>
          <w:sz w:val="20"/>
          <w:szCs w:val="20"/>
        </w:rPr>
        <w:t>association</w:t>
      </w:r>
      <w:r w:rsidR="00907AEF">
        <w:rPr>
          <w:sz w:val="20"/>
          <w:szCs w:val="20"/>
        </w:rPr>
        <w:t xml:space="preserve"> using chi squared</w:t>
      </w:r>
      <w:r w:rsidR="00AB6BBA" w:rsidRPr="00A325A2">
        <w:rPr>
          <w:sz w:val="20"/>
          <w:szCs w:val="20"/>
        </w:rPr>
        <w:t xml:space="preserve">: </w:t>
      </w:r>
    </w:p>
    <w:p w14:paraId="1ED4FE31" w14:textId="77777777" w:rsidR="004613C5" w:rsidRPr="00A325A2" w:rsidRDefault="004613C5" w:rsidP="004613C5">
      <w:pPr>
        <w:pStyle w:val="ListParagraph"/>
        <w:numPr>
          <w:ilvl w:val="1"/>
          <w:numId w:val="13"/>
        </w:numPr>
        <w:ind w:left="1134"/>
        <w:rPr>
          <w:sz w:val="20"/>
          <w:szCs w:val="20"/>
        </w:rPr>
      </w:pPr>
      <w:bookmarkStart w:id="32" w:name="_Hlk66549406"/>
      <w:bookmarkEnd w:id="29"/>
      <w:r w:rsidRPr="00A325A2">
        <w:rPr>
          <w:sz w:val="20"/>
          <w:szCs w:val="20"/>
        </w:rPr>
        <w:t xml:space="preserve">Columns A x C – BI contents as expected v other than expected have statistically significantly different outcomes – </w:t>
      </w:r>
      <w:bookmarkStart w:id="33" w:name="_Hlk66548513"/>
      <w:r w:rsidRPr="00A325A2">
        <w:rPr>
          <w:sz w:val="20"/>
          <w:szCs w:val="20"/>
        </w:rPr>
        <w:t xml:space="preserve">tested </w:t>
      </w:r>
      <w:bookmarkStart w:id="34" w:name="_Hlk66549304"/>
      <w:r w:rsidRPr="00A325A2">
        <w:rPr>
          <w:sz w:val="20"/>
          <w:szCs w:val="20"/>
        </w:rPr>
        <w:t xml:space="preserve">with </w:t>
      </w:r>
      <w:r w:rsidRPr="00A325A2">
        <w:rPr>
          <w:iCs/>
          <w:sz w:val="20"/>
          <w:szCs w:val="20"/>
        </w:rPr>
        <w:sym w:font="Symbol" w:char="F063"/>
      </w:r>
      <w:r w:rsidRPr="00A325A2">
        <w:rPr>
          <w:iCs/>
          <w:sz w:val="20"/>
          <w:szCs w:val="20"/>
          <w:vertAlign w:val="superscript"/>
        </w:rPr>
        <w:t>2</w:t>
      </w:r>
      <w:r w:rsidRPr="00A325A2">
        <w:rPr>
          <w:sz w:val="20"/>
          <w:szCs w:val="20"/>
        </w:rPr>
        <w:t xml:space="preserve"> </w:t>
      </w:r>
      <w:bookmarkEnd w:id="33"/>
      <w:r w:rsidRPr="00A325A2">
        <w:rPr>
          <w:sz w:val="20"/>
          <w:szCs w:val="20"/>
        </w:rPr>
        <w:t>p</w:t>
      </w:r>
      <w:bookmarkEnd w:id="34"/>
      <w:r w:rsidRPr="00A325A2">
        <w:rPr>
          <w:sz w:val="20"/>
          <w:szCs w:val="20"/>
        </w:rPr>
        <w:t>-value &lt;0.001;</w:t>
      </w:r>
    </w:p>
    <w:p w14:paraId="6C2851E0" w14:textId="77777777" w:rsidR="004613C5" w:rsidRPr="00A325A2" w:rsidRDefault="004613C5" w:rsidP="004613C5">
      <w:pPr>
        <w:pStyle w:val="ListParagraph"/>
        <w:numPr>
          <w:ilvl w:val="1"/>
          <w:numId w:val="13"/>
        </w:numPr>
        <w:ind w:left="1134"/>
        <w:rPr>
          <w:sz w:val="20"/>
          <w:szCs w:val="20"/>
        </w:rPr>
      </w:pPr>
      <w:r w:rsidRPr="00A325A2">
        <w:rPr>
          <w:sz w:val="20"/>
          <w:szCs w:val="20"/>
        </w:rPr>
        <w:t xml:space="preserve">Columns B x D – follow-up contents as expected v other than expected have statistically significantly different outcomes – tested with </w:t>
      </w:r>
      <w:r w:rsidRPr="00A325A2">
        <w:rPr>
          <w:iCs/>
          <w:sz w:val="20"/>
          <w:szCs w:val="20"/>
        </w:rPr>
        <w:sym w:font="Symbol" w:char="F063"/>
      </w:r>
      <w:r w:rsidRPr="00A325A2">
        <w:rPr>
          <w:iCs/>
          <w:sz w:val="20"/>
          <w:szCs w:val="20"/>
          <w:vertAlign w:val="superscript"/>
        </w:rPr>
        <w:t>2</w:t>
      </w:r>
      <w:r w:rsidRPr="00A325A2">
        <w:rPr>
          <w:sz w:val="20"/>
          <w:szCs w:val="20"/>
        </w:rPr>
        <w:t xml:space="preserve"> p-value &lt;0.001;</w:t>
      </w:r>
    </w:p>
    <w:p w14:paraId="40B51DAF" w14:textId="61D9E16E" w:rsidR="008D243D" w:rsidRPr="00A325A2" w:rsidRDefault="00A325A2" w:rsidP="00A02624">
      <w:pPr>
        <w:pStyle w:val="ListParagraph"/>
        <w:numPr>
          <w:ilvl w:val="1"/>
          <w:numId w:val="13"/>
        </w:numPr>
        <w:ind w:left="1134"/>
        <w:rPr>
          <w:sz w:val="20"/>
          <w:szCs w:val="20"/>
        </w:rPr>
      </w:pPr>
      <w:r w:rsidRPr="00A325A2">
        <w:rPr>
          <w:sz w:val="20"/>
          <w:szCs w:val="20"/>
        </w:rPr>
        <w:t>C</w:t>
      </w:r>
      <w:r w:rsidR="00FB6677" w:rsidRPr="00A325A2">
        <w:rPr>
          <w:sz w:val="20"/>
          <w:szCs w:val="20"/>
        </w:rPr>
        <w:t xml:space="preserve">olumns </w:t>
      </w:r>
      <w:r w:rsidR="008D243D" w:rsidRPr="00A325A2">
        <w:rPr>
          <w:sz w:val="20"/>
          <w:szCs w:val="20"/>
        </w:rPr>
        <w:t>A</w:t>
      </w:r>
      <w:r w:rsidR="00FB6677" w:rsidRPr="00A325A2">
        <w:rPr>
          <w:sz w:val="20"/>
          <w:szCs w:val="20"/>
        </w:rPr>
        <w:t xml:space="preserve"> x </w:t>
      </w:r>
      <w:r w:rsidR="008D243D" w:rsidRPr="00A325A2">
        <w:rPr>
          <w:sz w:val="20"/>
          <w:szCs w:val="20"/>
        </w:rPr>
        <w:t>B</w:t>
      </w:r>
      <w:r w:rsidR="00D3104A" w:rsidRPr="00A325A2">
        <w:rPr>
          <w:sz w:val="20"/>
          <w:szCs w:val="20"/>
        </w:rPr>
        <w:t xml:space="preserve"> </w:t>
      </w:r>
      <w:r w:rsidRPr="00A325A2">
        <w:rPr>
          <w:sz w:val="20"/>
          <w:szCs w:val="20"/>
        </w:rPr>
        <w:t xml:space="preserve">– contents as expected for BI v follow-up do not have statistically significant different outcomes – tested with </w:t>
      </w:r>
      <w:r w:rsidRPr="00A325A2">
        <w:rPr>
          <w:iCs/>
          <w:sz w:val="20"/>
          <w:szCs w:val="20"/>
        </w:rPr>
        <w:sym w:font="Symbol" w:char="F063"/>
      </w:r>
      <w:r w:rsidRPr="00A325A2">
        <w:rPr>
          <w:iCs/>
          <w:sz w:val="20"/>
          <w:szCs w:val="20"/>
          <w:vertAlign w:val="superscript"/>
        </w:rPr>
        <w:t>2</w:t>
      </w:r>
      <w:r w:rsidRPr="00A325A2">
        <w:rPr>
          <w:sz w:val="20"/>
          <w:szCs w:val="20"/>
        </w:rPr>
        <w:t xml:space="preserve"> p=0.1170;</w:t>
      </w:r>
    </w:p>
    <w:bookmarkEnd w:id="26"/>
    <w:bookmarkEnd w:id="30"/>
    <w:bookmarkEnd w:id="31"/>
    <w:bookmarkEnd w:id="32"/>
    <w:p w14:paraId="16D8B548" w14:textId="61752121" w:rsidR="00A325A2" w:rsidRPr="00A325A2" w:rsidRDefault="00A325A2" w:rsidP="00A325A2">
      <w:pPr>
        <w:pStyle w:val="ListParagraph"/>
        <w:numPr>
          <w:ilvl w:val="1"/>
          <w:numId w:val="13"/>
        </w:numPr>
        <w:ind w:left="1134"/>
        <w:rPr>
          <w:sz w:val="20"/>
          <w:szCs w:val="20"/>
        </w:rPr>
      </w:pPr>
      <w:r w:rsidRPr="00A325A2">
        <w:rPr>
          <w:sz w:val="20"/>
          <w:szCs w:val="20"/>
        </w:rPr>
        <w:t xml:space="preserve">Columns C x D – contents other than expected for BI v follow-up do not have statistically significant different outcomes – tested with </w:t>
      </w:r>
      <w:r w:rsidRPr="00A325A2">
        <w:rPr>
          <w:iCs/>
          <w:sz w:val="20"/>
          <w:szCs w:val="20"/>
        </w:rPr>
        <w:sym w:font="Symbol" w:char="F063"/>
      </w:r>
      <w:r w:rsidRPr="00A325A2">
        <w:rPr>
          <w:iCs/>
          <w:sz w:val="20"/>
          <w:szCs w:val="20"/>
          <w:vertAlign w:val="superscript"/>
        </w:rPr>
        <w:t>2</w:t>
      </w:r>
      <w:r w:rsidRPr="00A325A2">
        <w:rPr>
          <w:sz w:val="20"/>
          <w:szCs w:val="20"/>
        </w:rPr>
        <w:t xml:space="preserve"> p=0.4851.</w:t>
      </w:r>
    </w:p>
    <w:p w14:paraId="6056A308" w14:textId="0CB2DFD3" w:rsidR="00592A17" w:rsidRDefault="00592A17"/>
    <w:p w14:paraId="454162FD" w14:textId="56DD7E28" w:rsidR="002D6D5F" w:rsidRDefault="002D6D5F">
      <w:r>
        <w:br w:type="page"/>
      </w:r>
    </w:p>
    <w:p w14:paraId="4B7B468E" w14:textId="77777777" w:rsidR="00714E7C" w:rsidRDefault="00714E7C"/>
    <w:tbl>
      <w:tblPr>
        <w:tblStyle w:val="TableGrid"/>
        <w:tblW w:w="0" w:type="auto"/>
        <w:tblLook w:val="04A0" w:firstRow="1" w:lastRow="0" w:firstColumn="1" w:lastColumn="0" w:noHBand="0" w:noVBand="1"/>
      </w:tblPr>
      <w:tblGrid>
        <w:gridCol w:w="2599"/>
        <w:gridCol w:w="1632"/>
        <w:gridCol w:w="1593"/>
        <w:gridCol w:w="1593"/>
        <w:gridCol w:w="1593"/>
      </w:tblGrid>
      <w:tr w:rsidR="00992D30" w:rsidRPr="00C609AB" w14:paraId="1A9EEC89" w14:textId="77777777" w:rsidTr="00A1507E">
        <w:tc>
          <w:tcPr>
            <w:tcW w:w="0" w:type="auto"/>
            <w:gridSpan w:val="5"/>
            <w:tcBorders>
              <w:top w:val="single" w:sz="4" w:space="0" w:color="auto"/>
              <w:left w:val="single" w:sz="4" w:space="0" w:color="auto"/>
              <w:bottom w:val="single" w:sz="4" w:space="0" w:color="auto"/>
              <w:right w:val="single" w:sz="4" w:space="0" w:color="auto"/>
            </w:tcBorders>
          </w:tcPr>
          <w:p w14:paraId="3AE5BD60" w14:textId="4A16BD42" w:rsidR="00992D30" w:rsidRPr="00C609AB" w:rsidRDefault="00992D30" w:rsidP="00992D30">
            <w:pPr>
              <w:rPr>
                <w:b/>
                <w:bCs/>
                <w:iCs/>
              </w:rPr>
            </w:pPr>
            <w:r w:rsidRPr="00C609AB">
              <w:rPr>
                <w:b/>
                <w:bCs/>
                <w:iCs/>
              </w:rPr>
              <w:t xml:space="preserve">Table </w:t>
            </w:r>
            <w:r>
              <w:rPr>
                <w:b/>
                <w:bCs/>
                <w:iCs/>
              </w:rPr>
              <w:t>4</w:t>
            </w:r>
            <w:r w:rsidRPr="00C609AB">
              <w:rPr>
                <w:b/>
                <w:bCs/>
                <w:iCs/>
              </w:rPr>
              <w:t xml:space="preserve">: Comparison of </w:t>
            </w:r>
            <w:r>
              <w:rPr>
                <w:b/>
                <w:bCs/>
                <w:iCs/>
              </w:rPr>
              <w:t>festival</w:t>
            </w:r>
            <w:r w:rsidRPr="00C609AB">
              <w:rPr>
                <w:b/>
                <w:bCs/>
                <w:iCs/>
              </w:rPr>
              <w:t xml:space="preserve"> BI </w:t>
            </w:r>
            <w:r>
              <w:rPr>
                <w:b/>
                <w:bCs/>
                <w:iCs/>
              </w:rPr>
              <w:t>intentions</w:t>
            </w:r>
            <w:r w:rsidRPr="00C609AB">
              <w:rPr>
                <w:b/>
                <w:bCs/>
                <w:iCs/>
              </w:rPr>
              <w:t xml:space="preserve"> with follow-up sub-sample </w:t>
            </w:r>
            <w:r>
              <w:rPr>
                <w:b/>
                <w:bCs/>
                <w:iCs/>
              </w:rPr>
              <w:t xml:space="preserve">recollected </w:t>
            </w:r>
            <w:r w:rsidRPr="00C609AB">
              <w:rPr>
                <w:b/>
                <w:bCs/>
                <w:iCs/>
              </w:rPr>
              <w:t xml:space="preserve">outcomes for </w:t>
            </w:r>
            <w:r w:rsidR="00987551">
              <w:rPr>
                <w:b/>
                <w:bCs/>
                <w:iCs/>
              </w:rPr>
              <w:t>submitted substances</w:t>
            </w:r>
            <w:r w:rsidRPr="00C609AB">
              <w:rPr>
                <w:b/>
                <w:bCs/>
                <w:iCs/>
              </w:rPr>
              <w:t xml:space="preserve"> </w:t>
            </w:r>
            <w:r w:rsidR="008C7354">
              <w:rPr>
                <w:b/>
                <w:bCs/>
                <w:iCs/>
              </w:rPr>
              <w:t xml:space="preserve">whose contents were </w:t>
            </w:r>
            <w:r w:rsidRPr="00C609AB">
              <w:rPr>
                <w:b/>
                <w:bCs/>
                <w:iCs/>
              </w:rPr>
              <w:t>identified as expected or other than expected</w:t>
            </w:r>
            <w:r>
              <w:rPr>
                <w:b/>
                <w:bCs/>
                <w:iCs/>
              </w:rPr>
              <w:t xml:space="preserve"> (</w:t>
            </w:r>
            <w:r w:rsidR="008C7354">
              <w:rPr>
                <w:b/>
                <w:bCs/>
                <w:iCs/>
              </w:rPr>
              <w:t xml:space="preserve">four </w:t>
            </w:r>
            <w:r>
              <w:rPr>
                <w:b/>
                <w:bCs/>
                <w:iCs/>
              </w:rPr>
              <w:t>no</w:t>
            </w:r>
            <w:r w:rsidR="008C7354">
              <w:rPr>
                <w:b/>
                <w:bCs/>
                <w:iCs/>
              </w:rPr>
              <w:t>n</w:t>
            </w:r>
            <w:r>
              <w:rPr>
                <w:b/>
                <w:bCs/>
                <w:iCs/>
              </w:rPr>
              <w:t xml:space="preserve"> mutually exclusive</w:t>
            </w:r>
            <w:r w:rsidR="008C7354">
              <w:rPr>
                <w:b/>
                <w:bCs/>
                <w:iCs/>
              </w:rPr>
              <w:t xml:space="preserve"> responses</w:t>
            </w:r>
            <w:r>
              <w:rPr>
                <w:b/>
                <w:bCs/>
                <w:iCs/>
              </w:rPr>
              <w:t>)</w:t>
            </w:r>
          </w:p>
        </w:tc>
      </w:tr>
      <w:tr w:rsidR="00992D30" w:rsidRPr="00C609AB" w14:paraId="1C5AF6FE" w14:textId="77777777" w:rsidTr="00A1507E">
        <w:tc>
          <w:tcPr>
            <w:tcW w:w="0" w:type="auto"/>
            <w:tcBorders>
              <w:top w:val="single" w:sz="4" w:space="0" w:color="auto"/>
              <w:left w:val="single" w:sz="4" w:space="0" w:color="auto"/>
              <w:bottom w:val="single" w:sz="4" w:space="0" w:color="auto"/>
              <w:right w:val="single" w:sz="4" w:space="0" w:color="auto"/>
            </w:tcBorders>
          </w:tcPr>
          <w:p w14:paraId="394B97CB" w14:textId="77777777" w:rsidR="00992D30" w:rsidRPr="00C609AB" w:rsidRDefault="00992D30" w:rsidP="00992D30"/>
        </w:tc>
        <w:tc>
          <w:tcPr>
            <w:tcW w:w="0" w:type="auto"/>
            <w:gridSpan w:val="2"/>
            <w:tcBorders>
              <w:top w:val="single" w:sz="4" w:space="0" w:color="auto"/>
              <w:left w:val="single" w:sz="4" w:space="0" w:color="auto"/>
              <w:bottom w:val="single" w:sz="4" w:space="0" w:color="auto"/>
              <w:right w:val="single" w:sz="4" w:space="0" w:color="auto"/>
            </w:tcBorders>
            <w:hideMark/>
          </w:tcPr>
          <w:p w14:paraId="240B11FA" w14:textId="11FA1D27" w:rsidR="00992D30" w:rsidRPr="00C609AB" w:rsidRDefault="006D4500" w:rsidP="00992D30">
            <w:pPr>
              <w:rPr>
                <w:b/>
                <w:bCs/>
                <w:i/>
              </w:rPr>
            </w:pPr>
            <w:r>
              <w:rPr>
                <w:b/>
                <w:bCs/>
                <w:i/>
              </w:rPr>
              <w:t>Contents a</w:t>
            </w:r>
            <w:r w:rsidR="00992D30" w:rsidRPr="00C609AB">
              <w:rPr>
                <w:b/>
                <w:bCs/>
                <w:i/>
              </w:rPr>
              <w:t>s expected</w:t>
            </w:r>
          </w:p>
        </w:tc>
        <w:tc>
          <w:tcPr>
            <w:tcW w:w="0" w:type="auto"/>
            <w:gridSpan w:val="2"/>
            <w:tcBorders>
              <w:top w:val="single" w:sz="4" w:space="0" w:color="auto"/>
              <w:left w:val="single" w:sz="4" w:space="0" w:color="auto"/>
              <w:bottom w:val="single" w:sz="4" w:space="0" w:color="auto"/>
              <w:right w:val="single" w:sz="4" w:space="0" w:color="auto"/>
            </w:tcBorders>
            <w:hideMark/>
          </w:tcPr>
          <w:p w14:paraId="57BD6562" w14:textId="77777777" w:rsidR="00992D30" w:rsidRPr="00C609AB" w:rsidRDefault="00992D30" w:rsidP="00992D30">
            <w:pPr>
              <w:rPr>
                <w:b/>
                <w:bCs/>
                <w:i/>
              </w:rPr>
            </w:pPr>
            <w:r w:rsidRPr="00C609AB">
              <w:rPr>
                <w:b/>
                <w:bCs/>
                <w:i/>
              </w:rPr>
              <w:t>Other than expected</w:t>
            </w:r>
          </w:p>
        </w:tc>
      </w:tr>
      <w:tr w:rsidR="000702EC" w:rsidRPr="00C609AB" w14:paraId="60F4489B" w14:textId="77777777" w:rsidTr="00A1507E">
        <w:tc>
          <w:tcPr>
            <w:tcW w:w="0" w:type="auto"/>
            <w:tcBorders>
              <w:top w:val="single" w:sz="4" w:space="0" w:color="auto"/>
              <w:left w:val="single" w:sz="4" w:space="0" w:color="auto"/>
              <w:bottom w:val="single" w:sz="4" w:space="0" w:color="auto"/>
              <w:right w:val="single" w:sz="4" w:space="0" w:color="auto"/>
            </w:tcBorders>
          </w:tcPr>
          <w:p w14:paraId="68C23634" w14:textId="516C5E08" w:rsidR="000702EC" w:rsidRPr="00C609AB" w:rsidRDefault="000702EC" w:rsidP="000702EC">
            <w:pPr>
              <w:rPr>
                <w:b/>
                <w:bCs/>
                <w:i/>
                <w:iCs/>
              </w:rPr>
            </w:pPr>
            <w:r w:rsidRPr="00C609AB">
              <w:rPr>
                <w:b/>
                <w:bCs/>
                <w:i/>
                <w:iCs/>
              </w:rPr>
              <w:t>Outcomes</w:t>
            </w:r>
          </w:p>
        </w:tc>
        <w:tc>
          <w:tcPr>
            <w:tcW w:w="0" w:type="auto"/>
            <w:tcBorders>
              <w:top w:val="single" w:sz="4" w:space="0" w:color="auto"/>
              <w:left w:val="single" w:sz="4" w:space="0" w:color="auto"/>
              <w:bottom w:val="single" w:sz="4" w:space="0" w:color="auto"/>
              <w:right w:val="single" w:sz="4" w:space="0" w:color="auto"/>
            </w:tcBorders>
            <w:hideMark/>
          </w:tcPr>
          <w:p w14:paraId="7DA6511D" w14:textId="19591A9A" w:rsidR="000702EC" w:rsidRPr="00C609AB" w:rsidRDefault="000702EC" w:rsidP="000702EC">
            <w:pPr>
              <w:rPr>
                <w:i/>
                <w:iCs/>
              </w:rPr>
            </w:pPr>
            <w:r>
              <w:rPr>
                <w:i/>
                <w:iCs/>
              </w:rPr>
              <w:t xml:space="preserve">A) Festival </w:t>
            </w:r>
            <w:r w:rsidRPr="00C609AB">
              <w:rPr>
                <w:i/>
                <w:iCs/>
              </w:rPr>
              <w:t>BI</w:t>
            </w:r>
          </w:p>
        </w:tc>
        <w:tc>
          <w:tcPr>
            <w:tcW w:w="0" w:type="auto"/>
            <w:tcBorders>
              <w:top w:val="single" w:sz="4" w:space="0" w:color="auto"/>
              <w:left w:val="single" w:sz="4" w:space="0" w:color="auto"/>
              <w:bottom w:val="single" w:sz="4" w:space="0" w:color="auto"/>
              <w:right w:val="single" w:sz="4" w:space="0" w:color="auto"/>
            </w:tcBorders>
            <w:hideMark/>
          </w:tcPr>
          <w:p w14:paraId="7082B8C6" w14:textId="5BF31439" w:rsidR="000702EC" w:rsidRPr="00C609AB" w:rsidRDefault="000702EC" w:rsidP="000702EC">
            <w:pPr>
              <w:rPr>
                <w:i/>
                <w:iCs/>
              </w:rPr>
            </w:pPr>
            <w:r>
              <w:rPr>
                <w:i/>
                <w:iCs/>
              </w:rPr>
              <w:t xml:space="preserve">B) </w:t>
            </w:r>
            <w:r w:rsidRPr="00C609AB">
              <w:rPr>
                <w:i/>
                <w:iCs/>
              </w:rPr>
              <w:t>Follow-up</w:t>
            </w:r>
          </w:p>
        </w:tc>
        <w:tc>
          <w:tcPr>
            <w:tcW w:w="0" w:type="auto"/>
            <w:tcBorders>
              <w:top w:val="single" w:sz="4" w:space="0" w:color="auto"/>
              <w:left w:val="single" w:sz="4" w:space="0" w:color="auto"/>
              <w:bottom w:val="single" w:sz="4" w:space="0" w:color="auto"/>
              <w:right w:val="single" w:sz="4" w:space="0" w:color="auto"/>
            </w:tcBorders>
            <w:hideMark/>
          </w:tcPr>
          <w:p w14:paraId="61F76BDA" w14:textId="35C4CD59" w:rsidR="000702EC" w:rsidRPr="00C609AB" w:rsidRDefault="000702EC" w:rsidP="000702EC">
            <w:pPr>
              <w:rPr>
                <w:i/>
                <w:iCs/>
              </w:rPr>
            </w:pPr>
            <w:r>
              <w:rPr>
                <w:i/>
                <w:iCs/>
              </w:rPr>
              <w:t xml:space="preserve">C) Festival </w:t>
            </w:r>
            <w:r w:rsidRPr="00C609AB">
              <w:rPr>
                <w:i/>
                <w:iCs/>
              </w:rPr>
              <w:t>BI</w:t>
            </w:r>
          </w:p>
        </w:tc>
        <w:tc>
          <w:tcPr>
            <w:tcW w:w="0" w:type="auto"/>
            <w:tcBorders>
              <w:top w:val="single" w:sz="4" w:space="0" w:color="auto"/>
              <w:left w:val="single" w:sz="4" w:space="0" w:color="auto"/>
              <w:bottom w:val="single" w:sz="4" w:space="0" w:color="auto"/>
              <w:right w:val="single" w:sz="4" w:space="0" w:color="auto"/>
            </w:tcBorders>
            <w:hideMark/>
          </w:tcPr>
          <w:p w14:paraId="6BF187FF" w14:textId="495BD3C6" w:rsidR="000702EC" w:rsidRPr="00C609AB" w:rsidRDefault="000702EC" w:rsidP="000702EC">
            <w:pPr>
              <w:rPr>
                <w:i/>
                <w:iCs/>
              </w:rPr>
            </w:pPr>
            <w:r>
              <w:rPr>
                <w:i/>
                <w:iCs/>
              </w:rPr>
              <w:t xml:space="preserve">D) </w:t>
            </w:r>
            <w:r w:rsidRPr="00C609AB">
              <w:rPr>
                <w:i/>
                <w:iCs/>
              </w:rPr>
              <w:t>Follow-up</w:t>
            </w:r>
          </w:p>
        </w:tc>
      </w:tr>
      <w:tr w:rsidR="000702EC" w:rsidRPr="00C609AB" w14:paraId="1B84CB86" w14:textId="77777777" w:rsidTr="00A5577A">
        <w:tc>
          <w:tcPr>
            <w:tcW w:w="0" w:type="auto"/>
            <w:tcBorders>
              <w:top w:val="single" w:sz="4" w:space="0" w:color="auto"/>
              <w:left w:val="single" w:sz="4" w:space="0" w:color="auto"/>
              <w:bottom w:val="single" w:sz="4" w:space="0" w:color="auto"/>
              <w:right w:val="single" w:sz="4" w:space="0" w:color="auto"/>
            </w:tcBorders>
          </w:tcPr>
          <w:p w14:paraId="73DCDC55" w14:textId="4B97493B" w:rsidR="000702EC" w:rsidRPr="00C609AB" w:rsidRDefault="000702EC" w:rsidP="000702EC">
            <w:pPr>
              <w:rPr>
                <w:b/>
                <w:iCs/>
              </w:rPr>
            </w:pPr>
            <w:r w:rsidRPr="00C609AB">
              <w:rPr>
                <w:b/>
                <w:iCs/>
              </w:rPr>
              <w:t>More careful mixing</w:t>
            </w:r>
          </w:p>
        </w:tc>
        <w:tc>
          <w:tcPr>
            <w:tcW w:w="0" w:type="auto"/>
            <w:tcBorders>
              <w:top w:val="single" w:sz="4" w:space="0" w:color="auto"/>
              <w:left w:val="single" w:sz="4" w:space="0" w:color="auto"/>
              <w:bottom w:val="single" w:sz="4" w:space="0" w:color="auto"/>
              <w:right w:val="single" w:sz="4" w:space="0" w:color="auto"/>
            </w:tcBorders>
          </w:tcPr>
          <w:p w14:paraId="3FFB37E5" w14:textId="722736AD" w:rsidR="000702EC" w:rsidRDefault="000702EC" w:rsidP="000702EC">
            <w:r w:rsidRPr="00C609AB">
              <w:t>447</w:t>
            </w:r>
          </w:p>
          <w:p w14:paraId="7AFD978B" w14:textId="703C0D28" w:rsidR="000702EC" w:rsidRPr="00C609AB" w:rsidRDefault="000702EC" w:rsidP="000702EC">
            <w:r w:rsidRPr="00C609AB">
              <w:t xml:space="preserve">(39.0%) </w:t>
            </w:r>
            <w:r>
              <w:t>*</w:t>
            </w:r>
          </w:p>
        </w:tc>
        <w:tc>
          <w:tcPr>
            <w:tcW w:w="0" w:type="auto"/>
            <w:tcBorders>
              <w:top w:val="single" w:sz="4" w:space="0" w:color="auto"/>
              <w:left w:val="single" w:sz="4" w:space="0" w:color="auto"/>
              <w:bottom w:val="single" w:sz="4" w:space="0" w:color="auto"/>
              <w:right w:val="single" w:sz="4" w:space="0" w:color="auto"/>
            </w:tcBorders>
          </w:tcPr>
          <w:p w14:paraId="4B118466" w14:textId="77777777" w:rsidR="000702EC" w:rsidRDefault="000702EC" w:rsidP="000702EC">
            <w:r w:rsidRPr="00C609AB">
              <w:t>32</w:t>
            </w:r>
          </w:p>
          <w:p w14:paraId="6DABBAA3" w14:textId="6FFA8182" w:rsidR="000702EC" w:rsidRPr="00C609AB" w:rsidRDefault="000702EC" w:rsidP="000702EC">
            <w:r w:rsidRPr="00C609AB">
              <w:t>(29.</w:t>
            </w:r>
            <w:r w:rsidR="005760A0">
              <w:t>4</w:t>
            </w:r>
            <w:r w:rsidRPr="00C609AB">
              <w:t>%)</w:t>
            </w:r>
            <w:r>
              <w:t xml:space="preserve"> </w:t>
            </w:r>
          </w:p>
        </w:tc>
        <w:tc>
          <w:tcPr>
            <w:tcW w:w="0" w:type="auto"/>
            <w:tcBorders>
              <w:top w:val="single" w:sz="4" w:space="0" w:color="auto"/>
              <w:left w:val="single" w:sz="4" w:space="0" w:color="auto"/>
              <w:bottom w:val="single" w:sz="4" w:space="0" w:color="auto"/>
              <w:right w:val="single" w:sz="4" w:space="0" w:color="auto"/>
            </w:tcBorders>
          </w:tcPr>
          <w:p w14:paraId="1BFB0AF4" w14:textId="77777777" w:rsidR="000702EC" w:rsidRDefault="000702EC" w:rsidP="000702EC">
            <w:r w:rsidRPr="00C609AB">
              <w:t>28</w:t>
            </w:r>
          </w:p>
          <w:p w14:paraId="7023E4E4" w14:textId="2EF55E7F" w:rsidR="000702EC" w:rsidRPr="00C609AB" w:rsidRDefault="000702EC" w:rsidP="000702EC">
            <w:r w:rsidRPr="00C609AB">
              <w:t>(17.6%) *</w:t>
            </w:r>
          </w:p>
        </w:tc>
        <w:tc>
          <w:tcPr>
            <w:tcW w:w="0" w:type="auto"/>
            <w:tcBorders>
              <w:top w:val="single" w:sz="4" w:space="0" w:color="auto"/>
              <w:left w:val="single" w:sz="4" w:space="0" w:color="auto"/>
              <w:bottom w:val="single" w:sz="4" w:space="0" w:color="auto"/>
              <w:right w:val="single" w:sz="4" w:space="0" w:color="auto"/>
            </w:tcBorders>
          </w:tcPr>
          <w:p w14:paraId="75D22D21" w14:textId="77777777" w:rsidR="000702EC" w:rsidRDefault="000702EC" w:rsidP="000702EC">
            <w:r w:rsidRPr="00C609AB">
              <w:t>1</w:t>
            </w:r>
          </w:p>
          <w:p w14:paraId="2C10EB67" w14:textId="1C4FCD96" w:rsidR="000702EC" w:rsidRPr="00C609AB" w:rsidRDefault="000702EC" w:rsidP="000702EC">
            <w:r w:rsidRPr="00C609AB">
              <w:t>(5.</w:t>
            </w:r>
            <w:r>
              <w:t>3</w:t>
            </w:r>
            <w:r w:rsidRPr="00C609AB">
              <w:t>%)</w:t>
            </w:r>
            <w:r>
              <w:t xml:space="preserve"> </w:t>
            </w:r>
          </w:p>
        </w:tc>
      </w:tr>
      <w:tr w:rsidR="000702EC" w:rsidRPr="00C609AB" w14:paraId="055FAA9C" w14:textId="77777777" w:rsidTr="00A1507E">
        <w:tc>
          <w:tcPr>
            <w:tcW w:w="0" w:type="auto"/>
            <w:tcBorders>
              <w:top w:val="single" w:sz="4" w:space="0" w:color="auto"/>
              <w:left w:val="single" w:sz="4" w:space="0" w:color="auto"/>
              <w:bottom w:val="single" w:sz="4" w:space="0" w:color="auto"/>
              <w:right w:val="single" w:sz="4" w:space="0" w:color="auto"/>
            </w:tcBorders>
          </w:tcPr>
          <w:p w14:paraId="20D14057" w14:textId="23349300" w:rsidR="000702EC" w:rsidRPr="00C609AB" w:rsidRDefault="000702EC" w:rsidP="000702EC">
            <w:pPr>
              <w:rPr>
                <w:b/>
                <w:iCs/>
              </w:rPr>
            </w:pPr>
            <w:r w:rsidRPr="00C609AB">
              <w:rPr>
                <w:b/>
                <w:iCs/>
              </w:rPr>
              <w:t>Alerted friends</w:t>
            </w:r>
          </w:p>
        </w:tc>
        <w:tc>
          <w:tcPr>
            <w:tcW w:w="0" w:type="auto"/>
            <w:tcBorders>
              <w:top w:val="single" w:sz="4" w:space="0" w:color="auto"/>
              <w:left w:val="single" w:sz="4" w:space="0" w:color="auto"/>
              <w:bottom w:val="single" w:sz="4" w:space="0" w:color="auto"/>
              <w:right w:val="single" w:sz="4" w:space="0" w:color="auto"/>
            </w:tcBorders>
          </w:tcPr>
          <w:p w14:paraId="063585BC" w14:textId="051274EA" w:rsidR="000702EC" w:rsidRDefault="000702EC" w:rsidP="000702EC">
            <w:r w:rsidRPr="00C609AB">
              <w:t>281</w:t>
            </w:r>
            <w:r w:rsidR="00B25EC2">
              <w:t xml:space="preserve">       ***</w:t>
            </w:r>
          </w:p>
          <w:p w14:paraId="169E1C1B" w14:textId="6C3C6F16" w:rsidR="000702EC" w:rsidRPr="00C609AB" w:rsidRDefault="000702EC" w:rsidP="000702EC">
            <w:r w:rsidRPr="00C609AB">
              <w:t>(24.5%)</w:t>
            </w:r>
            <w:r>
              <w:t xml:space="preserve"> </w:t>
            </w:r>
            <w:r w:rsidR="00B25EC2">
              <w:t>****</w:t>
            </w:r>
          </w:p>
        </w:tc>
        <w:tc>
          <w:tcPr>
            <w:tcW w:w="0" w:type="auto"/>
            <w:tcBorders>
              <w:top w:val="single" w:sz="4" w:space="0" w:color="auto"/>
              <w:left w:val="single" w:sz="4" w:space="0" w:color="auto"/>
              <w:bottom w:val="single" w:sz="4" w:space="0" w:color="auto"/>
              <w:right w:val="single" w:sz="4" w:space="0" w:color="auto"/>
            </w:tcBorders>
          </w:tcPr>
          <w:p w14:paraId="3F25453B" w14:textId="7816B946" w:rsidR="000702EC" w:rsidRDefault="000702EC" w:rsidP="000702EC">
            <w:proofErr w:type="gramStart"/>
            <w:r w:rsidRPr="00C609AB">
              <w:t>15</w:t>
            </w:r>
            <w:r w:rsidR="00B25EC2">
              <w:t xml:space="preserve">  *</w:t>
            </w:r>
            <w:proofErr w:type="gramEnd"/>
            <w:r w:rsidR="00B25EC2">
              <w:t>*   ***</w:t>
            </w:r>
          </w:p>
          <w:p w14:paraId="4AA8EAC2" w14:textId="61F05E89" w:rsidR="000702EC" w:rsidRPr="00C609AB" w:rsidRDefault="000702EC" w:rsidP="000702EC">
            <w:r w:rsidRPr="00C609AB">
              <w:t>(13.</w:t>
            </w:r>
            <w:r w:rsidR="005760A0">
              <w:t>8</w:t>
            </w:r>
            <w:r w:rsidRPr="00C609AB">
              <w:t>%)</w:t>
            </w:r>
            <w:r>
              <w:t xml:space="preserve"> **</w:t>
            </w:r>
            <w:r w:rsidR="00B25EC2">
              <w:t>**</w:t>
            </w:r>
          </w:p>
        </w:tc>
        <w:tc>
          <w:tcPr>
            <w:tcW w:w="0" w:type="auto"/>
            <w:tcBorders>
              <w:top w:val="single" w:sz="4" w:space="0" w:color="auto"/>
              <w:left w:val="single" w:sz="4" w:space="0" w:color="auto"/>
              <w:bottom w:val="single" w:sz="4" w:space="0" w:color="auto"/>
              <w:right w:val="single" w:sz="4" w:space="0" w:color="auto"/>
            </w:tcBorders>
          </w:tcPr>
          <w:p w14:paraId="03223954" w14:textId="2ECFCD59" w:rsidR="000702EC" w:rsidRDefault="000702EC" w:rsidP="000702EC">
            <w:r w:rsidRPr="00C609AB">
              <w:t>42</w:t>
            </w:r>
            <w:r w:rsidR="005E569B">
              <w:t xml:space="preserve">         ***</w:t>
            </w:r>
          </w:p>
          <w:p w14:paraId="4D430219" w14:textId="7505A293" w:rsidR="000702EC" w:rsidRPr="00C609AB" w:rsidRDefault="000702EC" w:rsidP="000702EC">
            <w:r w:rsidRPr="00C609AB">
              <w:t>(26.4%)</w:t>
            </w:r>
            <w:r w:rsidR="00B25EC2">
              <w:t xml:space="preserve"> ***</w:t>
            </w:r>
            <w:r w:rsidR="005E569B">
              <w:t>*</w:t>
            </w:r>
          </w:p>
        </w:tc>
        <w:tc>
          <w:tcPr>
            <w:tcW w:w="0" w:type="auto"/>
            <w:tcBorders>
              <w:top w:val="single" w:sz="4" w:space="0" w:color="auto"/>
              <w:left w:val="single" w:sz="4" w:space="0" w:color="auto"/>
              <w:bottom w:val="single" w:sz="4" w:space="0" w:color="auto"/>
              <w:right w:val="single" w:sz="4" w:space="0" w:color="auto"/>
            </w:tcBorders>
          </w:tcPr>
          <w:p w14:paraId="2239C5B0" w14:textId="301BD53A" w:rsidR="000702EC" w:rsidRDefault="000702EC" w:rsidP="000702EC">
            <w:r w:rsidRPr="00C609AB">
              <w:t>10</w:t>
            </w:r>
            <w:r w:rsidR="005E569B">
              <w:t xml:space="preserve"> </w:t>
            </w:r>
            <w:r w:rsidR="00B25EC2">
              <w:t>**</w:t>
            </w:r>
            <w:r w:rsidR="005E569B">
              <w:t xml:space="preserve">   ***</w:t>
            </w:r>
          </w:p>
          <w:p w14:paraId="1EB448F5" w14:textId="702CCC60" w:rsidR="000702EC" w:rsidRPr="00C609AB" w:rsidRDefault="000702EC" w:rsidP="000702EC">
            <w:r w:rsidRPr="00C609AB">
              <w:t>(5</w:t>
            </w:r>
            <w:r>
              <w:t>2</w:t>
            </w:r>
            <w:r w:rsidRPr="00C609AB">
              <w:t>.</w:t>
            </w:r>
            <w:r>
              <w:t>6</w:t>
            </w:r>
            <w:r w:rsidRPr="00C609AB">
              <w:t>%)</w:t>
            </w:r>
            <w:r>
              <w:t xml:space="preserve"> **</w:t>
            </w:r>
            <w:r w:rsidR="00B25EC2">
              <w:t>*</w:t>
            </w:r>
            <w:r w:rsidR="005E569B">
              <w:t>*</w:t>
            </w:r>
          </w:p>
        </w:tc>
      </w:tr>
      <w:tr w:rsidR="000702EC" w:rsidRPr="00C609AB" w14:paraId="343F7755" w14:textId="77777777" w:rsidTr="00A5577A">
        <w:tc>
          <w:tcPr>
            <w:tcW w:w="0" w:type="auto"/>
            <w:tcBorders>
              <w:top w:val="single" w:sz="4" w:space="0" w:color="auto"/>
              <w:left w:val="single" w:sz="4" w:space="0" w:color="auto"/>
              <w:bottom w:val="single" w:sz="4" w:space="0" w:color="auto"/>
              <w:right w:val="single" w:sz="4" w:space="0" w:color="auto"/>
            </w:tcBorders>
          </w:tcPr>
          <w:p w14:paraId="5080A1C1" w14:textId="37364EF4" w:rsidR="000702EC" w:rsidRPr="00C609AB" w:rsidRDefault="000702EC" w:rsidP="000702EC">
            <w:pPr>
              <w:rPr>
                <w:b/>
                <w:iCs/>
              </w:rPr>
            </w:pPr>
            <w:r w:rsidRPr="00C609AB">
              <w:rPr>
                <w:b/>
                <w:iCs/>
              </w:rPr>
              <w:t>Took over extended period</w:t>
            </w:r>
          </w:p>
        </w:tc>
        <w:tc>
          <w:tcPr>
            <w:tcW w:w="0" w:type="auto"/>
            <w:tcBorders>
              <w:top w:val="single" w:sz="4" w:space="0" w:color="auto"/>
              <w:left w:val="single" w:sz="4" w:space="0" w:color="auto"/>
              <w:bottom w:val="single" w:sz="4" w:space="0" w:color="auto"/>
              <w:right w:val="single" w:sz="4" w:space="0" w:color="auto"/>
            </w:tcBorders>
          </w:tcPr>
          <w:p w14:paraId="6012BC2B" w14:textId="60FB3FE0" w:rsidR="000702EC" w:rsidRDefault="000702EC" w:rsidP="000702EC">
            <w:r w:rsidRPr="00C609AB">
              <w:t>278</w:t>
            </w:r>
          </w:p>
          <w:p w14:paraId="71CA4D4A" w14:textId="7F2522B6" w:rsidR="000702EC" w:rsidRPr="00C609AB" w:rsidRDefault="000702EC" w:rsidP="000702EC">
            <w:r w:rsidRPr="00C609AB">
              <w:t xml:space="preserve">(24.3%) </w:t>
            </w:r>
            <w:r w:rsidR="00B25EC2">
              <w:t>*</w:t>
            </w:r>
          </w:p>
        </w:tc>
        <w:tc>
          <w:tcPr>
            <w:tcW w:w="0" w:type="auto"/>
            <w:tcBorders>
              <w:top w:val="single" w:sz="4" w:space="0" w:color="auto"/>
              <w:left w:val="single" w:sz="4" w:space="0" w:color="auto"/>
              <w:bottom w:val="single" w:sz="4" w:space="0" w:color="auto"/>
              <w:right w:val="single" w:sz="4" w:space="0" w:color="auto"/>
            </w:tcBorders>
          </w:tcPr>
          <w:p w14:paraId="510DDFCB" w14:textId="77777777" w:rsidR="000702EC" w:rsidRDefault="000702EC" w:rsidP="000702EC">
            <w:r w:rsidRPr="00C609AB">
              <w:t>30</w:t>
            </w:r>
          </w:p>
          <w:p w14:paraId="79040A76" w14:textId="6C5F0894" w:rsidR="000702EC" w:rsidRPr="00C609AB" w:rsidRDefault="000702EC" w:rsidP="000702EC">
            <w:r w:rsidRPr="00C609AB">
              <w:t>(27.</w:t>
            </w:r>
            <w:r w:rsidR="005760A0">
              <w:t>5</w:t>
            </w:r>
            <w:r w:rsidRPr="00C609AB">
              <w:t>%)</w:t>
            </w:r>
          </w:p>
        </w:tc>
        <w:tc>
          <w:tcPr>
            <w:tcW w:w="0" w:type="auto"/>
            <w:tcBorders>
              <w:top w:val="single" w:sz="4" w:space="0" w:color="auto"/>
              <w:left w:val="single" w:sz="4" w:space="0" w:color="auto"/>
              <w:bottom w:val="single" w:sz="4" w:space="0" w:color="auto"/>
              <w:right w:val="single" w:sz="4" w:space="0" w:color="auto"/>
            </w:tcBorders>
          </w:tcPr>
          <w:p w14:paraId="6589D1EE" w14:textId="77777777" w:rsidR="000702EC" w:rsidRDefault="000702EC" w:rsidP="000702EC">
            <w:r w:rsidRPr="00C609AB">
              <w:t>17</w:t>
            </w:r>
          </w:p>
          <w:p w14:paraId="2B12575D" w14:textId="16370189" w:rsidR="000702EC" w:rsidRPr="00C609AB" w:rsidRDefault="000702EC" w:rsidP="000702EC">
            <w:r w:rsidRPr="00C609AB">
              <w:t>(10.7%) *</w:t>
            </w:r>
          </w:p>
        </w:tc>
        <w:tc>
          <w:tcPr>
            <w:tcW w:w="0" w:type="auto"/>
            <w:tcBorders>
              <w:top w:val="single" w:sz="4" w:space="0" w:color="auto"/>
              <w:left w:val="single" w:sz="4" w:space="0" w:color="auto"/>
              <w:bottom w:val="single" w:sz="4" w:space="0" w:color="auto"/>
              <w:right w:val="single" w:sz="4" w:space="0" w:color="auto"/>
            </w:tcBorders>
          </w:tcPr>
          <w:p w14:paraId="6F29ECC6" w14:textId="77777777" w:rsidR="000702EC" w:rsidRDefault="000702EC" w:rsidP="000702EC">
            <w:r w:rsidRPr="00C609AB">
              <w:t>2</w:t>
            </w:r>
          </w:p>
          <w:p w14:paraId="79AE666B" w14:textId="366D6DE7" w:rsidR="000702EC" w:rsidRPr="00C609AB" w:rsidRDefault="000702EC" w:rsidP="000702EC">
            <w:r w:rsidRPr="00C609AB">
              <w:t>(1</w:t>
            </w:r>
            <w:r>
              <w:t>0</w:t>
            </w:r>
            <w:r w:rsidRPr="00C609AB">
              <w:t>.</w:t>
            </w:r>
            <w:r>
              <w:t>5</w:t>
            </w:r>
            <w:r w:rsidRPr="00C609AB">
              <w:t>%)</w:t>
            </w:r>
          </w:p>
        </w:tc>
      </w:tr>
      <w:tr w:rsidR="000702EC" w:rsidRPr="00C609AB" w14:paraId="477CBD53" w14:textId="77777777" w:rsidTr="00A5577A">
        <w:tc>
          <w:tcPr>
            <w:tcW w:w="0" w:type="auto"/>
            <w:tcBorders>
              <w:top w:val="single" w:sz="4" w:space="0" w:color="auto"/>
              <w:left w:val="single" w:sz="4" w:space="0" w:color="auto"/>
              <w:bottom w:val="single" w:sz="4" w:space="0" w:color="auto"/>
              <w:right w:val="single" w:sz="4" w:space="0" w:color="auto"/>
            </w:tcBorders>
          </w:tcPr>
          <w:p w14:paraId="01D1D9F7" w14:textId="3C19D8A6" w:rsidR="000702EC" w:rsidRPr="00C609AB" w:rsidRDefault="000702EC" w:rsidP="000702EC">
            <w:pPr>
              <w:rPr>
                <w:b/>
                <w:iCs/>
              </w:rPr>
            </w:pPr>
            <w:r>
              <w:rPr>
                <w:b/>
                <w:iCs/>
              </w:rPr>
              <w:t>Obtained more onsite</w:t>
            </w:r>
          </w:p>
        </w:tc>
        <w:tc>
          <w:tcPr>
            <w:tcW w:w="0" w:type="auto"/>
            <w:tcBorders>
              <w:top w:val="single" w:sz="4" w:space="0" w:color="auto"/>
              <w:left w:val="single" w:sz="4" w:space="0" w:color="auto"/>
              <w:bottom w:val="single" w:sz="4" w:space="0" w:color="auto"/>
              <w:right w:val="single" w:sz="4" w:space="0" w:color="auto"/>
            </w:tcBorders>
          </w:tcPr>
          <w:p w14:paraId="5E284326" w14:textId="77777777" w:rsidR="000702EC" w:rsidRDefault="000702EC" w:rsidP="000702EC">
            <w:r>
              <w:t>29</w:t>
            </w:r>
          </w:p>
          <w:p w14:paraId="6AA3834A" w14:textId="21CE654B" w:rsidR="000702EC" w:rsidRPr="00C609AB" w:rsidRDefault="000702EC" w:rsidP="000702EC">
            <w:r>
              <w:t>(2.5%)</w:t>
            </w:r>
          </w:p>
        </w:tc>
        <w:tc>
          <w:tcPr>
            <w:tcW w:w="0" w:type="auto"/>
            <w:tcBorders>
              <w:top w:val="single" w:sz="4" w:space="0" w:color="auto"/>
              <w:left w:val="single" w:sz="4" w:space="0" w:color="auto"/>
              <w:bottom w:val="single" w:sz="4" w:space="0" w:color="auto"/>
              <w:right w:val="single" w:sz="4" w:space="0" w:color="auto"/>
            </w:tcBorders>
          </w:tcPr>
          <w:p w14:paraId="48FC7447" w14:textId="77777777" w:rsidR="000702EC" w:rsidRDefault="000702EC" w:rsidP="000702EC">
            <w:r>
              <w:t>3</w:t>
            </w:r>
          </w:p>
          <w:p w14:paraId="1DF08E52" w14:textId="62589473" w:rsidR="000702EC" w:rsidRPr="00C609AB" w:rsidRDefault="000702EC" w:rsidP="000702EC">
            <w:r>
              <w:t>(2.</w:t>
            </w:r>
            <w:r w:rsidR="005760A0">
              <w:t>8</w:t>
            </w:r>
            <w:r>
              <w:t>%)</w:t>
            </w:r>
          </w:p>
        </w:tc>
        <w:tc>
          <w:tcPr>
            <w:tcW w:w="0" w:type="auto"/>
            <w:tcBorders>
              <w:top w:val="single" w:sz="4" w:space="0" w:color="auto"/>
              <w:left w:val="single" w:sz="4" w:space="0" w:color="auto"/>
              <w:bottom w:val="single" w:sz="4" w:space="0" w:color="auto"/>
              <w:right w:val="single" w:sz="4" w:space="0" w:color="auto"/>
            </w:tcBorders>
          </w:tcPr>
          <w:p w14:paraId="1E79103E" w14:textId="77777777" w:rsidR="000702EC" w:rsidRDefault="000702EC" w:rsidP="000702EC">
            <w:r>
              <w:t>3</w:t>
            </w:r>
          </w:p>
          <w:p w14:paraId="3090A181" w14:textId="2570DDE3" w:rsidR="000702EC" w:rsidRPr="00C609AB" w:rsidRDefault="000702EC" w:rsidP="000702EC">
            <w:r>
              <w:t>(1.9%)</w:t>
            </w:r>
          </w:p>
        </w:tc>
        <w:tc>
          <w:tcPr>
            <w:tcW w:w="0" w:type="auto"/>
            <w:tcBorders>
              <w:top w:val="single" w:sz="4" w:space="0" w:color="auto"/>
              <w:left w:val="single" w:sz="4" w:space="0" w:color="auto"/>
              <w:bottom w:val="single" w:sz="4" w:space="0" w:color="auto"/>
              <w:right w:val="single" w:sz="4" w:space="0" w:color="auto"/>
            </w:tcBorders>
          </w:tcPr>
          <w:p w14:paraId="07CBFBB3" w14:textId="77777777" w:rsidR="000702EC" w:rsidRDefault="000702EC" w:rsidP="000702EC">
            <w:r>
              <w:t>2</w:t>
            </w:r>
          </w:p>
          <w:p w14:paraId="379090CE" w14:textId="3783ACAA" w:rsidR="000702EC" w:rsidRPr="00C609AB" w:rsidRDefault="000702EC" w:rsidP="000702EC">
            <w:r>
              <w:t>(10.5%)</w:t>
            </w:r>
          </w:p>
        </w:tc>
      </w:tr>
      <w:tr w:rsidR="00B53840" w:rsidRPr="00C609AB" w14:paraId="103D3789" w14:textId="77777777" w:rsidTr="00A025AB">
        <w:tc>
          <w:tcPr>
            <w:tcW w:w="0" w:type="auto"/>
          </w:tcPr>
          <w:p w14:paraId="26430CB8" w14:textId="6CB33CFC" w:rsidR="00B53840" w:rsidRPr="00C609AB" w:rsidRDefault="00B53840" w:rsidP="00B53840">
            <w:pPr>
              <w:rPr>
                <w:b/>
                <w:iCs/>
              </w:rPr>
            </w:pPr>
            <w:r>
              <w:rPr>
                <w:b/>
                <w:iCs/>
              </w:rPr>
              <w:t>Total</w:t>
            </w:r>
          </w:p>
        </w:tc>
        <w:tc>
          <w:tcPr>
            <w:tcW w:w="0" w:type="auto"/>
          </w:tcPr>
          <w:p w14:paraId="74285ACA" w14:textId="77777777" w:rsidR="00B53840" w:rsidRDefault="00B53840" w:rsidP="00B53840">
            <w:r>
              <w:t>n=</w:t>
            </w:r>
            <w:r w:rsidRPr="00C609AB">
              <w:t>1,14</w:t>
            </w:r>
            <w:r>
              <w:t>6</w:t>
            </w:r>
          </w:p>
          <w:p w14:paraId="7242CE16" w14:textId="4B2FEC45" w:rsidR="00B53840" w:rsidRPr="00C609AB" w:rsidRDefault="00B53840" w:rsidP="00B53840">
            <w:r w:rsidRPr="00C609AB">
              <w:t>(</w:t>
            </w:r>
            <w:r>
              <w:t>77.3</w:t>
            </w:r>
            <w:r w:rsidRPr="00C609AB">
              <w:t>%)</w:t>
            </w:r>
          </w:p>
        </w:tc>
        <w:tc>
          <w:tcPr>
            <w:tcW w:w="0" w:type="auto"/>
          </w:tcPr>
          <w:p w14:paraId="63A93A28" w14:textId="724DAE80" w:rsidR="00B53840" w:rsidRDefault="00B53840" w:rsidP="00B53840">
            <w:r>
              <w:t>n=</w:t>
            </w:r>
            <w:r w:rsidRPr="00C609AB">
              <w:t>1</w:t>
            </w:r>
            <w:r>
              <w:t>0</w:t>
            </w:r>
            <w:r w:rsidR="00F77C99">
              <w:t>8</w:t>
            </w:r>
          </w:p>
          <w:p w14:paraId="150E32B5" w14:textId="5AB5AD54" w:rsidR="00B53840" w:rsidRPr="00C609AB" w:rsidRDefault="00B53840" w:rsidP="00B53840">
            <w:r>
              <w:t>(83.</w:t>
            </w:r>
            <w:r w:rsidR="00F77C99">
              <w:t>1</w:t>
            </w:r>
            <w:r w:rsidRPr="00C609AB">
              <w:t>%)</w:t>
            </w:r>
          </w:p>
        </w:tc>
        <w:tc>
          <w:tcPr>
            <w:tcW w:w="0" w:type="auto"/>
          </w:tcPr>
          <w:p w14:paraId="5C38DBFF" w14:textId="77777777" w:rsidR="00B53840" w:rsidRDefault="00B53840" w:rsidP="00B53840">
            <w:r>
              <w:t>n=</w:t>
            </w:r>
            <w:r w:rsidRPr="00C609AB">
              <w:t>15</w:t>
            </w:r>
            <w:r>
              <w:t>9</w:t>
            </w:r>
          </w:p>
          <w:p w14:paraId="35A912AE" w14:textId="0C5CBE93" w:rsidR="00B53840" w:rsidRPr="00C609AB" w:rsidRDefault="00B53840" w:rsidP="00B53840">
            <w:r w:rsidRPr="00C609AB">
              <w:t>(</w:t>
            </w:r>
            <w:r>
              <w:t>10.7</w:t>
            </w:r>
            <w:r w:rsidRPr="00C609AB">
              <w:t>%)</w:t>
            </w:r>
          </w:p>
        </w:tc>
        <w:tc>
          <w:tcPr>
            <w:tcW w:w="0" w:type="auto"/>
          </w:tcPr>
          <w:p w14:paraId="0E767E4B" w14:textId="77777777" w:rsidR="00B53840" w:rsidRDefault="00B53840" w:rsidP="00B53840">
            <w:r>
              <w:t>n=19</w:t>
            </w:r>
          </w:p>
          <w:p w14:paraId="20C06707" w14:textId="72D7AD21" w:rsidR="00B53840" w:rsidRPr="00C609AB" w:rsidRDefault="00B53840" w:rsidP="00B53840">
            <w:r w:rsidRPr="00C609AB">
              <w:t>(</w:t>
            </w:r>
            <w:r>
              <w:t>14.6</w:t>
            </w:r>
            <w:r w:rsidRPr="00C609AB">
              <w:t>%)</w:t>
            </w:r>
          </w:p>
        </w:tc>
      </w:tr>
    </w:tbl>
    <w:p w14:paraId="4F925F88" w14:textId="3D67B1A8" w:rsidR="002B472E" w:rsidRDefault="002B472E"/>
    <w:p w14:paraId="49BE19A3" w14:textId="77777777" w:rsidR="00F77C99" w:rsidRPr="00F77C99" w:rsidRDefault="00F77C99" w:rsidP="00F77C99">
      <w:pPr>
        <w:pStyle w:val="ListParagraph"/>
        <w:numPr>
          <w:ilvl w:val="0"/>
          <w:numId w:val="13"/>
        </w:numPr>
        <w:rPr>
          <w:sz w:val="20"/>
          <w:szCs w:val="20"/>
        </w:rPr>
      </w:pPr>
      <w:r w:rsidRPr="00F77C99">
        <w:rPr>
          <w:sz w:val="20"/>
          <w:szCs w:val="20"/>
        </w:rPr>
        <w:t xml:space="preserve">‘Contents as expected’ refers here to when the content or identity of the substance is identified as what the service user thought they had bought or been given and does not refer to strength. Festival BI data excludes n=177 respondents with missing data for this variable </w:t>
      </w:r>
      <w:proofErr w:type="spellStart"/>
      <w:r w:rsidRPr="00F77C99">
        <w:rPr>
          <w:sz w:val="20"/>
          <w:szCs w:val="20"/>
        </w:rPr>
        <w:t>eg.</w:t>
      </w:r>
      <w:proofErr w:type="spellEnd"/>
      <w:r w:rsidRPr="00F77C99">
        <w:rPr>
          <w:sz w:val="20"/>
          <w:szCs w:val="20"/>
        </w:rPr>
        <w:t xml:space="preserve"> if found on ground. </w:t>
      </w:r>
    </w:p>
    <w:p w14:paraId="1CEA5829" w14:textId="0FF188CD" w:rsidR="00F77C99" w:rsidRPr="00F77C99" w:rsidRDefault="00F77C99" w:rsidP="00F77C99">
      <w:pPr>
        <w:pStyle w:val="ListParagraph"/>
        <w:numPr>
          <w:ilvl w:val="0"/>
          <w:numId w:val="13"/>
        </w:numPr>
        <w:rPr>
          <w:sz w:val="20"/>
          <w:szCs w:val="20"/>
        </w:rPr>
      </w:pPr>
      <w:r w:rsidRPr="00F77C99">
        <w:rPr>
          <w:sz w:val="20"/>
          <w:szCs w:val="20"/>
        </w:rPr>
        <w:t xml:space="preserve">Festival BI </w:t>
      </w:r>
      <w:r w:rsidR="00FE54B8">
        <w:rPr>
          <w:sz w:val="20"/>
          <w:szCs w:val="20"/>
        </w:rPr>
        <w:t xml:space="preserve">and follow-up datasets both have </w:t>
      </w:r>
      <w:r w:rsidRPr="00F77C99">
        <w:rPr>
          <w:sz w:val="20"/>
          <w:szCs w:val="20"/>
        </w:rPr>
        <w:t>a further n=3 respondents excluded because missing data on outcomes.</w:t>
      </w:r>
    </w:p>
    <w:p w14:paraId="6544DD7B" w14:textId="77777777" w:rsidR="00F77C99" w:rsidRPr="00F77C99" w:rsidRDefault="00F77C99" w:rsidP="00F77C99">
      <w:pPr>
        <w:pStyle w:val="ListParagraph"/>
        <w:numPr>
          <w:ilvl w:val="0"/>
          <w:numId w:val="13"/>
        </w:numPr>
        <w:rPr>
          <w:sz w:val="20"/>
          <w:szCs w:val="20"/>
        </w:rPr>
      </w:pPr>
      <w:r w:rsidRPr="00F77C99">
        <w:rPr>
          <w:sz w:val="20"/>
          <w:szCs w:val="20"/>
        </w:rPr>
        <w:t xml:space="preserve">‘Other’ – multiple responses other than consumption </w:t>
      </w:r>
      <w:proofErr w:type="spellStart"/>
      <w:r w:rsidRPr="00F77C99">
        <w:rPr>
          <w:sz w:val="20"/>
          <w:szCs w:val="20"/>
        </w:rPr>
        <w:t>eg</w:t>
      </w:r>
      <w:proofErr w:type="spellEnd"/>
      <w:r w:rsidRPr="00F77C99">
        <w:rPr>
          <w:sz w:val="20"/>
          <w:szCs w:val="20"/>
        </w:rPr>
        <w:t xml:space="preserve"> none left, gave away etc.</w:t>
      </w:r>
    </w:p>
    <w:p w14:paraId="2FBDB3B6" w14:textId="7C744A2A" w:rsidR="00907AEF" w:rsidRPr="00907AEF" w:rsidRDefault="00907AEF" w:rsidP="00C06BA9">
      <w:pPr>
        <w:pStyle w:val="ListParagraph"/>
        <w:numPr>
          <w:ilvl w:val="0"/>
          <w:numId w:val="13"/>
        </w:numPr>
        <w:rPr>
          <w:sz w:val="20"/>
          <w:szCs w:val="20"/>
        </w:rPr>
      </w:pPr>
      <w:r w:rsidRPr="00907AEF">
        <w:rPr>
          <w:sz w:val="20"/>
          <w:szCs w:val="20"/>
        </w:rPr>
        <w:t xml:space="preserve">Tests for statistical association using chi squared: </w:t>
      </w:r>
    </w:p>
    <w:p w14:paraId="57EA63E8" w14:textId="241771E3" w:rsidR="00907AEF" w:rsidRPr="00907AEF" w:rsidRDefault="00D87EC9" w:rsidP="00907AEF">
      <w:pPr>
        <w:numPr>
          <w:ilvl w:val="1"/>
          <w:numId w:val="13"/>
        </w:numPr>
        <w:rPr>
          <w:sz w:val="20"/>
          <w:szCs w:val="20"/>
        </w:rPr>
      </w:pPr>
      <w:r w:rsidRPr="00B25EC2">
        <w:rPr>
          <w:sz w:val="20"/>
          <w:szCs w:val="20"/>
        </w:rPr>
        <w:t xml:space="preserve">* </w:t>
      </w:r>
      <w:r w:rsidR="00907AEF" w:rsidRPr="00907AEF">
        <w:rPr>
          <w:sz w:val="20"/>
          <w:szCs w:val="20"/>
        </w:rPr>
        <w:t xml:space="preserve">Columns A x C – BI contents as expected v other than expected have statistically significantly different outcomes – tested with </w:t>
      </w:r>
      <w:r w:rsidR="00907AEF" w:rsidRPr="00907AEF">
        <w:rPr>
          <w:iCs/>
          <w:sz w:val="20"/>
          <w:szCs w:val="20"/>
        </w:rPr>
        <w:sym w:font="Symbol" w:char="F063"/>
      </w:r>
      <w:r w:rsidR="00907AEF" w:rsidRPr="00907AEF">
        <w:rPr>
          <w:iCs/>
          <w:sz w:val="20"/>
          <w:szCs w:val="20"/>
          <w:vertAlign w:val="superscript"/>
        </w:rPr>
        <w:t>2</w:t>
      </w:r>
      <w:r w:rsidR="00907AEF" w:rsidRPr="00907AEF">
        <w:rPr>
          <w:sz w:val="20"/>
          <w:szCs w:val="20"/>
        </w:rPr>
        <w:t xml:space="preserve"> p-value &lt;0.0</w:t>
      </w:r>
      <w:r w:rsidR="00D00304">
        <w:rPr>
          <w:sz w:val="20"/>
          <w:szCs w:val="20"/>
        </w:rPr>
        <w:t>01</w:t>
      </w:r>
      <w:r w:rsidR="00907AEF" w:rsidRPr="00907AEF">
        <w:rPr>
          <w:sz w:val="20"/>
          <w:szCs w:val="20"/>
        </w:rPr>
        <w:t>;</w:t>
      </w:r>
    </w:p>
    <w:p w14:paraId="5607B2CA" w14:textId="176A0622" w:rsidR="00907AEF" w:rsidRPr="00907AEF" w:rsidRDefault="00D87EC9" w:rsidP="00907AEF">
      <w:pPr>
        <w:numPr>
          <w:ilvl w:val="1"/>
          <w:numId w:val="13"/>
        </w:numPr>
        <w:rPr>
          <w:sz w:val="20"/>
          <w:szCs w:val="20"/>
        </w:rPr>
      </w:pPr>
      <w:r w:rsidRPr="00B25EC2">
        <w:rPr>
          <w:sz w:val="20"/>
          <w:szCs w:val="20"/>
        </w:rPr>
        <w:t xml:space="preserve">** </w:t>
      </w:r>
      <w:r w:rsidR="00907AEF" w:rsidRPr="00907AEF">
        <w:rPr>
          <w:sz w:val="20"/>
          <w:szCs w:val="20"/>
        </w:rPr>
        <w:t xml:space="preserve">Columns B x D – follow-up contents as expected v other than expected have statistically significantly different outcomes – tested with </w:t>
      </w:r>
      <w:r w:rsidR="00907AEF" w:rsidRPr="00907AEF">
        <w:rPr>
          <w:iCs/>
          <w:sz w:val="20"/>
          <w:szCs w:val="20"/>
        </w:rPr>
        <w:sym w:font="Symbol" w:char="F063"/>
      </w:r>
      <w:r w:rsidR="00907AEF" w:rsidRPr="00907AEF">
        <w:rPr>
          <w:iCs/>
          <w:sz w:val="20"/>
          <w:szCs w:val="20"/>
          <w:vertAlign w:val="superscript"/>
        </w:rPr>
        <w:t>2</w:t>
      </w:r>
      <w:r w:rsidR="00907AEF" w:rsidRPr="00907AEF">
        <w:rPr>
          <w:sz w:val="20"/>
          <w:szCs w:val="20"/>
        </w:rPr>
        <w:t xml:space="preserve"> p-value &lt;0.0</w:t>
      </w:r>
      <w:r w:rsidR="00D00304">
        <w:rPr>
          <w:sz w:val="20"/>
          <w:szCs w:val="20"/>
        </w:rPr>
        <w:t>01</w:t>
      </w:r>
      <w:r w:rsidR="00907AEF" w:rsidRPr="00907AEF">
        <w:rPr>
          <w:sz w:val="20"/>
          <w:szCs w:val="20"/>
        </w:rPr>
        <w:t>;</w:t>
      </w:r>
    </w:p>
    <w:p w14:paraId="0062E4BA" w14:textId="5B3D3CF4" w:rsidR="00907AEF" w:rsidRPr="00907AEF" w:rsidRDefault="00D87EC9" w:rsidP="00907AEF">
      <w:pPr>
        <w:numPr>
          <w:ilvl w:val="1"/>
          <w:numId w:val="13"/>
        </w:numPr>
        <w:rPr>
          <w:sz w:val="20"/>
          <w:szCs w:val="20"/>
        </w:rPr>
      </w:pPr>
      <w:r w:rsidRPr="00B25EC2">
        <w:rPr>
          <w:sz w:val="20"/>
          <w:szCs w:val="20"/>
        </w:rPr>
        <w:t xml:space="preserve">*** </w:t>
      </w:r>
      <w:r w:rsidR="00907AEF" w:rsidRPr="00907AEF">
        <w:rPr>
          <w:sz w:val="20"/>
          <w:szCs w:val="20"/>
        </w:rPr>
        <w:t xml:space="preserve">Columns A x B – contents as expected for BI v follow-up have statistically significant different outcomes – tested with </w:t>
      </w:r>
      <w:r w:rsidR="00907AEF" w:rsidRPr="00907AEF">
        <w:rPr>
          <w:iCs/>
          <w:sz w:val="20"/>
          <w:szCs w:val="20"/>
        </w:rPr>
        <w:sym w:font="Symbol" w:char="F063"/>
      </w:r>
      <w:r w:rsidR="00907AEF" w:rsidRPr="00907AEF">
        <w:rPr>
          <w:iCs/>
          <w:sz w:val="20"/>
          <w:szCs w:val="20"/>
          <w:vertAlign w:val="superscript"/>
        </w:rPr>
        <w:t>2</w:t>
      </w:r>
      <w:r w:rsidR="00907AEF" w:rsidRPr="00907AEF">
        <w:rPr>
          <w:sz w:val="20"/>
          <w:szCs w:val="20"/>
        </w:rPr>
        <w:t xml:space="preserve"> p</w:t>
      </w:r>
      <w:r w:rsidR="003B1695" w:rsidRPr="00B25EC2">
        <w:rPr>
          <w:sz w:val="20"/>
          <w:szCs w:val="20"/>
        </w:rPr>
        <w:t xml:space="preserve">-value </w:t>
      </w:r>
      <w:r w:rsidR="00F21E9C">
        <w:rPr>
          <w:sz w:val="20"/>
          <w:szCs w:val="20"/>
        </w:rPr>
        <w:t>&lt;</w:t>
      </w:r>
      <w:r w:rsidR="00907AEF" w:rsidRPr="00907AEF">
        <w:rPr>
          <w:sz w:val="20"/>
          <w:szCs w:val="20"/>
        </w:rPr>
        <w:t>=0.</w:t>
      </w:r>
      <w:r w:rsidR="003B1695" w:rsidRPr="00B25EC2">
        <w:rPr>
          <w:sz w:val="20"/>
          <w:szCs w:val="20"/>
        </w:rPr>
        <w:t>05</w:t>
      </w:r>
      <w:r w:rsidR="00907AEF" w:rsidRPr="00907AEF">
        <w:rPr>
          <w:sz w:val="20"/>
          <w:szCs w:val="20"/>
        </w:rPr>
        <w:t>;</w:t>
      </w:r>
    </w:p>
    <w:p w14:paraId="6CED51EA" w14:textId="6E4B9D0F" w:rsidR="00907AEF" w:rsidRPr="00907AEF" w:rsidRDefault="00967260" w:rsidP="00907AEF">
      <w:pPr>
        <w:numPr>
          <w:ilvl w:val="1"/>
          <w:numId w:val="13"/>
        </w:numPr>
        <w:rPr>
          <w:sz w:val="20"/>
          <w:szCs w:val="20"/>
        </w:rPr>
      </w:pPr>
      <w:r w:rsidRPr="00B25EC2">
        <w:rPr>
          <w:sz w:val="20"/>
          <w:szCs w:val="20"/>
        </w:rPr>
        <w:t xml:space="preserve">**** </w:t>
      </w:r>
      <w:r w:rsidR="00907AEF" w:rsidRPr="00907AEF">
        <w:rPr>
          <w:sz w:val="20"/>
          <w:szCs w:val="20"/>
        </w:rPr>
        <w:t xml:space="preserve">Columns C x D – contents other than expected for BI v follow-up have statistically significant different outcomes – tested with </w:t>
      </w:r>
      <w:r w:rsidR="00907AEF" w:rsidRPr="00907AEF">
        <w:rPr>
          <w:iCs/>
          <w:sz w:val="20"/>
          <w:szCs w:val="20"/>
        </w:rPr>
        <w:sym w:font="Symbol" w:char="F063"/>
      </w:r>
      <w:r w:rsidR="00907AEF" w:rsidRPr="00907AEF">
        <w:rPr>
          <w:iCs/>
          <w:sz w:val="20"/>
          <w:szCs w:val="20"/>
          <w:vertAlign w:val="superscript"/>
        </w:rPr>
        <w:t>2</w:t>
      </w:r>
      <w:r w:rsidR="00907AEF" w:rsidRPr="00907AEF">
        <w:rPr>
          <w:sz w:val="20"/>
          <w:szCs w:val="20"/>
        </w:rPr>
        <w:t xml:space="preserve"> p</w:t>
      </w:r>
      <w:r w:rsidR="003B1695" w:rsidRPr="00B25EC2">
        <w:rPr>
          <w:sz w:val="20"/>
          <w:szCs w:val="20"/>
        </w:rPr>
        <w:t xml:space="preserve">-value </w:t>
      </w:r>
      <w:r w:rsidR="00F21E9C">
        <w:rPr>
          <w:sz w:val="20"/>
          <w:szCs w:val="20"/>
        </w:rPr>
        <w:t>&lt;</w:t>
      </w:r>
      <w:r w:rsidR="00907AEF" w:rsidRPr="00907AEF">
        <w:rPr>
          <w:sz w:val="20"/>
          <w:szCs w:val="20"/>
        </w:rPr>
        <w:t>=0.</w:t>
      </w:r>
      <w:r w:rsidR="003B1695" w:rsidRPr="00B25EC2">
        <w:rPr>
          <w:sz w:val="20"/>
          <w:szCs w:val="20"/>
        </w:rPr>
        <w:t>05</w:t>
      </w:r>
      <w:r w:rsidR="00907AEF" w:rsidRPr="00907AEF">
        <w:rPr>
          <w:sz w:val="20"/>
          <w:szCs w:val="20"/>
        </w:rPr>
        <w:t>.</w:t>
      </w:r>
    </w:p>
    <w:p w14:paraId="4131BB3A" w14:textId="77777777" w:rsidR="00721FC1" w:rsidRPr="00721FC1" w:rsidRDefault="00721FC1" w:rsidP="00721FC1">
      <w:pPr>
        <w:rPr>
          <w:sz w:val="20"/>
          <w:szCs w:val="20"/>
        </w:rPr>
      </w:pPr>
    </w:p>
    <w:p w14:paraId="2DAD88C4" w14:textId="77777777" w:rsidR="002B472E" w:rsidRDefault="002B472E"/>
    <w:p w14:paraId="5B8AD2A4" w14:textId="5F5FB840" w:rsidR="00C04699" w:rsidRDefault="00C04699">
      <w:r>
        <w:br w:type="page"/>
      </w:r>
    </w:p>
    <w:p w14:paraId="0ACC78A6" w14:textId="77777777" w:rsidR="00714E7C" w:rsidRDefault="00714E7C"/>
    <w:tbl>
      <w:tblPr>
        <w:tblW w:w="0" w:type="auto"/>
        <w:tblLook w:val="04A0" w:firstRow="1" w:lastRow="0" w:firstColumn="1" w:lastColumn="0" w:noHBand="0" w:noVBand="1"/>
      </w:tblPr>
      <w:tblGrid>
        <w:gridCol w:w="877"/>
        <w:gridCol w:w="1548"/>
        <w:gridCol w:w="1060"/>
        <w:gridCol w:w="1002"/>
        <w:gridCol w:w="1477"/>
        <w:gridCol w:w="1750"/>
        <w:gridCol w:w="1286"/>
      </w:tblGrid>
      <w:tr w:rsidR="00732AC2" w:rsidRPr="00182248" w14:paraId="719362D1" w14:textId="77777777" w:rsidTr="006D4500">
        <w:trPr>
          <w:trHeight w:val="380"/>
        </w:trPr>
        <w:tc>
          <w:tcPr>
            <w:tcW w:w="0" w:type="auto"/>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A831397" w14:textId="1D55763E" w:rsidR="00732AC2" w:rsidRPr="00182248" w:rsidRDefault="00732AC2" w:rsidP="007461A8">
            <w:pPr>
              <w:rPr>
                <w:b/>
                <w:bCs/>
              </w:rPr>
            </w:pPr>
            <w:r w:rsidRPr="00182248">
              <w:rPr>
                <w:b/>
                <w:bCs/>
              </w:rPr>
              <w:t xml:space="preserve">Table </w:t>
            </w:r>
            <w:r w:rsidR="003A594C">
              <w:rPr>
                <w:b/>
                <w:bCs/>
              </w:rPr>
              <w:t>5</w:t>
            </w:r>
            <w:r w:rsidRPr="00182248">
              <w:rPr>
                <w:b/>
                <w:bCs/>
              </w:rPr>
              <w:t xml:space="preserve">: </w:t>
            </w:r>
            <w:proofErr w:type="spellStart"/>
            <w:r>
              <w:rPr>
                <w:b/>
                <w:bCs/>
              </w:rPr>
              <w:t>Self reported</w:t>
            </w:r>
            <w:proofErr w:type="spellEnd"/>
            <w:r>
              <w:rPr>
                <w:b/>
                <w:bCs/>
              </w:rPr>
              <w:t xml:space="preserve"> test results comparing contents, strength and subsequent dosage, for follow-up online survey sub-sample (percentages by expected</w:t>
            </w:r>
            <w:r w:rsidR="004B72AA">
              <w:rPr>
                <w:b/>
                <w:bCs/>
              </w:rPr>
              <w:t>/unexpected</w:t>
            </w:r>
            <w:r>
              <w:rPr>
                <w:b/>
                <w:bCs/>
              </w:rPr>
              <w:t xml:space="preserve"> content</w:t>
            </w:r>
            <w:r w:rsidR="004B72AA">
              <w:rPr>
                <w:b/>
                <w:bCs/>
              </w:rPr>
              <w:t>s</w:t>
            </w:r>
            <w:r>
              <w:rPr>
                <w:b/>
                <w:bCs/>
              </w:rPr>
              <w:t>)</w:t>
            </w:r>
          </w:p>
        </w:tc>
      </w:tr>
      <w:tr w:rsidR="00732AC2" w:rsidRPr="00182248" w14:paraId="18D25A99" w14:textId="77777777" w:rsidTr="006D4500">
        <w:trPr>
          <w:trHeight w:val="3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E42D965" w14:textId="77777777" w:rsidR="00732AC2" w:rsidRPr="00182248" w:rsidRDefault="00732AC2" w:rsidP="007461A8"/>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259AE012" w14:textId="0348A4F3" w:rsidR="00732AC2" w:rsidRPr="00FF3363" w:rsidRDefault="006D4500" w:rsidP="007461A8">
            <w:pPr>
              <w:jc w:val="center"/>
              <w:rPr>
                <w:b/>
                <w:i/>
              </w:rPr>
            </w:pPr>
            <w:r>
              <w:rPr>
                <w:b/>
                <w:i/>
              </w:rPr>
              <w:t>Contents</w:t>
            </w:r>
            <w:r w:rsidR="00732AC2">
              <w:rPr>
                <w:b/>
                <w:i/>
              </w:rPr>
              <w:t xml:space="preserve"> a</w:t>
            </w:r>
            <w:r w:rsidR="00732AC2" w:rsidRPr="00FF3363">
              <w:rPr>
                <w:b/>
                <w:i/>
              </w:rPr>
              <w:t>s expected</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4192C6FD" w14:textId="16329BB3" w:rsidR="00732AC2" w:rsidRPr="00FF3363" w:rsidRDefault="006D4500" w:rsidP="007461A8">
            <w:pPr>
              <w:jc w:val="center"/>
              <w:rPr>
                <w:b/>
                <w:i/>
              </w:rPr>
            </w:pPr>
            <w:r>
              <w:rPr>
                <w:b/>
                <w:i/>
              </w:rPr>
              <w:t xml:space="preserve">Contents </w:t>
            </w:r>
            <w:r w:rsidR="00732AC2">
              <w:rPr>
                <w:b/>
                <w:i/>
              </w:rPr>
              <w:t>o</w:t>
            </w:r>
            <w:r w:rsidR="00732AC2" w:rsidRPr="00FF3363">
              <w:rPr>
                <w:b/>
                <w:i/>
              </w:rPr>
              <w:t>ther than expected</w:t>
            </w:r>
          </w:p>
        </w:tc>
        <w:tc>
          <w:tcPr>
            <w:tcW w:w="0" w:type="auto"/>
            <w:tcBorders>
              <w:top w:val="nil"/>
              <w:left w:val="nil"/>
              <w:bottom w:val="single" w:sz="4" w:space="0" w:color="auto"/>
              <w:right w:val="single" w:sz="8" w:space="0" w:color="auto"/>
            </w:tcBorders>
            <w:shd w:val="clear" w:color="auto" w:fill="auto"/>
            <w:noWrap/>
            <w:vAlign w:val="bottom"/>
            <w:hideMark/>
          </w:tcPr>
          <w:p w14:paraId="36E8B772" w14:textId="77777777" w:rsidR="00732AC2" w:rsidRPr="0094165F" w:rsidRDefault="00732AC2" w:rsidP="007461A8">
            <w:pPr>
              <w:rPr>
                <w:i/>
              </w:rPr>
            </w:pPr>
          </w:p>
        </w:tc>
      </w:tr>
      <w:tr w:rsidR="00732AC2" w:rsidRPr="00182248" w14:paraId="7FC7D38E" w14:textId="77777777" w:rsidTr="006D4500">
        <w:trPr>
          <w:trHeight w:val="64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8EA4C50" w14:textId="77777777" w:rsidR="00732AC2" w:rsidRPr="00182248" w:rsidRDefault="00732AC2" w:rsidP="007461A8"/>
        </w:tc>
        <w:tc>
          <w:tcPr>
            <w:tcW w:w="0" w:type="auto"/>
            <w:tcBorders>
              <w:top w:val="nil"/>
              <w:left w:val="nil"/>
              <w:bottom w:val="single" w:sz="4" w:space="0" w:color="auto"/>
              <w:right w:val="single" w:sz="4" w:space="0" w:color="auto"/>
            </w:tcBorders>
            <w:shd w:val="clear" w:color="auto" w:fill="auto"/>
            <w:vAlign w:val="center"/>
            <w:hideMark/>
          </w:tcPr>
          <w:p w14:paraId="2F7E83C3" w14:textId="77777777" w:rsidR="00732AC2" w:rsidRPr="008515C1" w:rsidRDefault="00732AC2" w:rsidP="007461A8">
            <w:pPr>
              <w:rPr>
                <w:i/>
                <w:iCs/>
                <w:sz w:val="22"/>
                <w:szCs w:val="22"/>
              </w:rPr>
            </w:pPr>
            <w:r w:rsidRPr="008515C1">
              <w:rPr>
                <w:i/>
                <w:iCs/>
                <w:sz w:val="22"/>
                <w:szCs w:val="22"/>
              </w:rPr>
              <w:t>Strength as expected</w:t>
            </w:r>
          </w:p>
        </w:tc>
        <w:tc>
          <w:tcPr>
            <w:tcW w:w="0" w:type="auto"/>
            <w:tcBorders>
              <w:top w:val="nil"/>
              <w:left w:val="nil"/>
              <w:bottom w:val="single" w:sz="4" w:space="0" w:color="auto"/>
              <w:right w:val="single" w:sz="4" w:space="0" w:color="auto"/>
            </w:tcBorders>
            <w:shd w:val="clear" w:color="auto" w:fill="auto"/>
            <w:noWrap/>
            <w:vAlign w:val="center"/>
            <w:hideMark/>
          </w:tcPr>
          <w:p w14:paraId="23919C7E" w14:textId="77777777" w:rsidR="00732AC2" w:rsidRPr="008515C1" w:rsidRDefault="00732AC2" w:rsidP="007461A8">
            <w:pPr>
              <w:rPr>
                <w:i/>
                <w:iCs/>
                <w:sz w:val="22"/>
                <w:szCs w:val="22"/>
              </w:rPr>
            </w:pPr>
            <w:r w:rsidRPr="008515C1">
              <w:rPr>
                <w:i/>
                <w:iCs/>
                <w:sz w:val="22"/>
                <w:szCs w:val="22"/>
              </w:rPr>
              <w:t>Stronger</w:t>
            </w:r>
          </w:p>
        </w:tc>
        <w:tc>
          <w:tcPr>
            <w:tcW w:w="0" w:type="auto"/>
            <w:tcBorders>
              <w:top w:val="nil"/>
              <w:left w:val="nil"/>
              <w:bottom w:val="single" w:sz="4" w:space="0" w:color="auto"/>
              <w:right w:val="single" w:sz="4" w:space="0" w:color="auto"/>
            </w:tcBorders>
            <w:shd w:val="clear" w:color="auto" w:fill="auto"/>
            <w:noWrap/>
            <w:vAlign w:val="center"/>
            <w:hideMark/>
          </w:tcPr>
          <w:p w14:paraId="242D60A5" w14:textId="77777777" w:rsidR="00732AC2" w:rsidRPr="008515C1" w:rsidRDefault="00732AC2" w:rsidP="007461A8">
            <w:pPr>
              <w:rPr>
                <w:i/>
                <w:iCs/>
                <w:sz w:val="22"/>
                <w:szCs w:val="22"/>
              </w:rPr>
            </w:pPr>
            <w:r w:rsidRPr="008515C1">
              <w:rPr>
                <w:i/>
                <w:iCs/>
                <w:sz w:val="22"/>
                <w:szCs w:val="22"/>
              </w:rPr>
              <w:t>Weaker</w:t>
            </w:r>
          </w:p>
        </w:tc>
        <w:tc>
          <w:tcPr>
            <w:tcW w:w="0" w:type="auto"/>
            <w:tcBorders>
              <w:top w:val="nil"/>
              <w:left w:val="nil"/>
              <w:bottom w:val="single" w:sz="4" w:space="0" w:color="auto"/>
              <w:right w:val="single" w:sz="4" w:space="0" w:color="auto"/>
            </w:tcBorders>
            <w:shd w:val="clear" w:color="auto" w:fill="auto"/>
            <w:noWrap/>
            <w:vAlign w:val="center"/>
            <w:hideMark/>
          </w:tcPr>
          <w:p w14:paraId="7BE16FBB" w14:textId="77777777" w:rsidR="00732AC2" w:rsidRPr="008515C1" w:rsidRDefault="00732AC2" w:rsidP="007461A8">
            <w:pPr>
              <w:rPr>
                <w:i/>
                <w:iCs/>
                <w:sz w:val="22"/>
                <w:szCs w:val="22"/>
              </w:rPr>
            </w:pPr>
            <w:r w:rsidRPr="008515C1">
              <w:rPr>
                <w:i/>
                <w:iCs/>
                <w:sz w:val="22"/>
                <w:szCs w:val="22"/>
              </w:rPr>
              <w:t>Different drug</w:t>
            </w:r>
          </w:p>
        </w:tc>
        <w:tc>
          <w:tcPr>
            <w:tcW w:w="0" w:type="auto"/>
            <w:tcBorders>
              <w:top w:val="nil"/>
              <w:left w:val="nil"/>
              <w:bottom w:val="single" w:sz="4" w:space="0" w:color="auto"/>
              <w:right w:val="single" w:sz="4" w:space="0" w:color="auto"/>
            </w:tcBorders>
            <w:shd w:val="clear" w:color="auto" w:fill="auto"/>
            <w:vAlign w:val="center"/>
            <w:hideMark/>
          </w:tcPr>
          <w:p w14:paraId="12885851" w14:textId="77777777" w:rsidR="00732AC2" w:rsidRPr="008515C1" w:rsidRDefault="00732AC2" w:rsidP="007461A8">
            <w:pPr>
              <w:rPr>
                <w:i/>
                <w:iCs/>
                <w:sz w:val="22"/>
                <w:szCs w:val="22"/>
              </w:rPr>
            </w:pPr>
            <w:r w:rsidRPr="008515C1">
              <w:rPr>
                <w:i/>
                <w:iCs/>
                <w:sz w:val="22"/>
                <w:szCs w:val="22"/>
              </w:rPr>
              <w:t>Unexpected adulterant</w:t>
            </w:r>
          </w:p>
        </w:tc>
        <w:tc>
          <w:tcPr>
            <w:tcW w:w="0" w:type="auto"/>
            <w:tcBorders>
              <w:top w:val="nil"/>
              <w:left w:val="nil"/>
              <w:bottom w:val="single" w:sz="4" w:space="0" w:color="auto"/>
              <w:right w:val="single" w:sz="8" w:space="0" w:color="auto"/>
            </w:tcBorders>
            <w:shd w:val="clear" w:color="auto" w:fill="auto"/>
            <w:noWrap/>
            <w:vAlign w:val="center"/>
            <w:hideMark/>
          </w:tcPr>
          <w:p w14:paraId="13B0C6D0" w14:textId="77777777" w:rsidR="00732AC2" w:rsidRPr="00182248" w:rsidRDefault="00732AC2" w:rsidP="007461A8">
            <w:r w:rsidRPr="00182248">
              <w:t>Total</w:t>
            </w:r>
          </w:p>
        </w:tc>
      </w:tr>
      <w:tr w:rsidR="00732AC2" w:rsidRPr="00182248" w14:paraId="74707359" w14:textId="77777777" w:rsidTr="006D4500">
        <w:trPr>
          <w:trHeight w:val="403"/>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14:paraId="300BDF0E" w14:textId="77777777" w:rsidR="00732AC2" w:rsidRDefault="00732AC2" w:rsidP="007461A8">
            <w:pPr>
              <w:rPr>
                <w:b/>
                <w:i/>
              </w:rPr>
            </w:pPr>
            <w:r w:rsidRPr="0094165F">
              <w:rPr>
                <w:b/>
                <w:i/>
              </w:rPr>
              <w:t>Not</w:t>
            </w:r>
          </w:p>
          <w:p w14:paraId="5278E84A" w14:textId="77777777" w:rsidR="00732AC2" w:rsidRPr="0094165F" w:rsidRDefault="00732AC2" w:rsidP="007461A8">
            <w:pPr>
              <w:rPr>
                <w:b/>
                <w:i/>
              </w:rPr>
            </w:pPr>
            <w:r w:rsidRPr="0094165F">
              <w:rPr>
                <w:b/>
                <w:i/>
              </w:rPr>
              <w:t>Taken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742E50" w14:textId="77777777" w:rsidR="00732AC2" w:rsidRDefault="00732AC2" w:rsidP="007461A8">
            <w:r w:rsidRPr="00182248">
              <w:t>4</w:t>
            </w:r>
          </w:p>
          <w:p w14:paraId="1B2154DC" w14:textId="77777777" w:rsidR="00732AC2" w:rsidRPr="00182248" w:rsidRDefault="00732AC2" w:rsidP="007461A8">
            <w:r w:rsidRPr="00182248">
              <w:t>(</w:t>
            </w:r>
            <w:r>
              <w:t>5.7</w:t>
            </w:r>
            <w:r w:rsidRPr="00182248">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C12C53" w14:textId="77777777" w:rsidR="00732AC2" w:rsidRDefault="00732AC2" w:rsidP="007461A8">
            <w:r w:rsidRPr="00182248">
              <w:t>4</w:t>
            </w:r>
          </w:p>
          <w:p w14:paraId="55CE5307" w14:textId="3D44BFA9" w:rsidR="00732AC2" w:rsidRPr="00182248" w:rsidRDefault="00732AC2" w:rsidP="007461A8">
            <w:r w:rsidRPr="00182248">
              <w:t>(1</w:t>
            </w:r>
            <w:r>
              <w:t>2.</w:t>
            </w:r>
            <w:r w:rsidR="009630A5">
              <w:t>5</w:t>
            </w:r>
            <w:r w:rsidRPr="00182248">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541C71" w14:textId="77777777" w:rsidR="00732AC2" w:rsidRDefault="00732AC2" w:rsidP="007461A8">
            <w:r w:rsidRPr="00182248">
              <w:t>2</w:t>
            </w:r>
          </w:p>
          <w:p w14:paraId="20D40048" w14:textId="182445E3" w:rsidR="00732AC2" w:rsidRPr="00182248" w:rsidRDefault="00732AC2" w:rsidP="007461A8">
            <w:r w:rsidRPr="00182248">
              <w:t>(</w:t>
            </w:r>
            <w:r w:rsidR="009630A5">
              <w:t>33</w:t>
            </w:r>
            <w:r>
              <w:t>.</w:t>
            </w:r>
            <w:r w:rsidR="009630A5">
              <w:t>3</w:t>
            </w:r>
            <w:r w:rsidRPr="00182248">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01B8CD9" w14:textId="77777777" w:rsidR="00732AC2" w:rsidRDefault="00732AC2" w:rsidP="007461A8">
            <w:r w:rsidRPr="00182248">
              <w:t>10</w:t>
            </w:r>
          </w:p>
          <w:p w14:paraId="3BF70745" w14:textId="51BD7FB4" w:rsidR="00732AC2" w:rsidRPr="00182248" w:rsidRDefault="00732AC2" w:rsidP="007461A8">
            <w:r w:rsidRPr="00182248">
              <w:t>(</w:t>
            </w:r>
            <w:r w:rsidR="002F39BD">
              <w:t>71</w:t>
            </w:r>
            <w:r>
              <w:t>.</w:t>
            </w:r>
            <w:r w:rsidR="002F39BD">
              <w:t>4</w:t>
            </w:r>
            <w:r w:rsidRPr="00182248">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DEC2E1" w14:textId="77777777" w:rsidR="00732AC2" w:rsidRDefault="00732AC2" w:rsidP="007461A8">
            <w:r w:rsidRPr="00182248">
              <w:t>3</w:t>
            </w:r>
          </w:p>
          <w:p w14:paraId="12E6E751" w14:textId="41FDE03B" w:rsidR="00732AC2" w:rsidRPr="00182248" w:rsidRDefault="00732AC2" w:rsidP="007461A8">
            <w:r w:rsidRPr="00182248">
              <w:t>(60</w:t>
            </w:r>
            <w:r w:rsidR="00237525">
              <w:t>.0</w:t>
            </w:r>
            <w:r w:rsidRPr="00182248">
              <w:t>%)</w:t>
            </w:r>
          </w:p>
        </w:tc>
        <w:tc>
          <w:tcPr>
            <w:tcW w:w="0" w:type="auto"/>
            <w:vMerge w:val="restart"/>
            <w:tcBorders>
              <w:top w:val="single" w:sz="4" w:space="0" w:color="auto"/>
              <w:left w:val="nil"/>
              <w:right w:val="single" w:sz="4" w:space="0" w:color="auto"/>
            </w:tcBorders>
            <w:shd w:val="clear" w:color="auto" w:fill="auto"/>
            <w:noWrap/>
            <w:vAlign w:val="center"/>
            <w:hideMark/>
          </w:tcPr>
          <w:p w14:paraId="3F44BD08" w14:textId="77777777" w:rsidR="00732AC2" w:rsidRDefault="00732AC2" w:rsidP="007461A8">
            <w:r w:rsidRPr="00182248">
              <w:t>23</w:t>
            </w:r>
          </w:p>
          <w:p w14:paraId="4B14B4FF" w14:textId="509AD907" w:rsidR="00732AC2" w:rsidRPr="00182248" w:rsidRDefault="00732AC2" w:rsidP="007461A8">
            <w:r w:rsidRPr="00182248">
              <w:t>(1</w:t>
            </w:r>
            <w:r w:rsidR="002D24B2">
              <w:t>8</w:t>
            </w:r>
            <w:r>
              <w:t>.</w:t>
            </w:r>
            <w:r w:rsidR="00C464E3">
              <w:t>1</w:t>
            </w:r>
            <w:r w:rsidRPr="00182248">
              <w:t>%)</w:t>
            </w:r>
          </w:p>
        </w:tc>
      </w:tr>
      <w:tr w:rsidR="00732AC2" w:rsidRPr="00182248" w14:paraId="293BC6A2" w14:textId="77777777" w:rsidTr="006D4500">
        <w:trPr>
          <w:trHeight w:val="403"/>
        </w:trPr>
        <w:tc>
          <w:tcPr>
            <w:tcW w:w="0" w:type="auto"/>
            <w:vMerge/>
            <w:tcBorders>
              <w:left w:val="single" w:sz="4" w:space="0" w:color="auto"/>
              <w:bottom w:val="single" w:sz="4" w:space="0" w:color="auto"/>
              <w:right w:val="single" w:sz="4" w:space="0" w:color="auto"/>
            </w:tcBorders>
            <w:shd w:val="clear" w:color="auto" w:fill="auto"/>
            <w:noWrap/>
            <w:vAlign w:val="center"/>
          </w:tcPr>
          <w:p w14:paraId="19061FEF" w14:textId="77777777" w:rsidR="00732AC2" w:rsidRPr="0094165F" w:rsidRDefault="00732AC2" w:rsidP="007461A8">
            <w:pPr>
              <w:rPr>
                <w:b/>
                <w:i/>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14:paraId="1B03DE61" w14:textId="59D25D77" w:rsidR="00732AC2" w:rsidRPr="00182248" w:rsidRDefault="00732AC2" w:rsidP="007461A8">
            <w:pPr>
              <w:jc w:val="center"/>
            </w:pPr>
            <w:r>
              <w:t>10 (9.</w:t>
            </w:r>
            <w:r w:rsidR="00427D4E">
              <w:t>3</w:t>
            </w:r>
            <w:r>
              <w:t>%)</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14:paraId="7E76FECF" w14:textId="68C8A1DC" w:rsidR="00732AC2" w:rsidRPr="00182248" w:rsidRDefault="00732AC2" w:rsidP="007461A8">
            <w:pPr>
              <w:jc w:val="center"/>
            </w:pPr>
            <w:r>
              <w:t>13 (6</w:t>
            </w:r>
            <w:r w:rsidR="00427D4E">
              <w:t>8</w:t>
            </w:r>
            <w:r w:rsidR="00237525">
              <w:t>.</w:t>
            </w:r>
            <w:r w:rsidR="00427D4E">
              <w:t>4</w:t>
            </w:r>
            <w:r w:rsidR="00237525">
              <w:t>%</w:t>
            </w:r>
            <w:r>
              <w:t>)</w:t>
            </w:r>
          </w:p>
        </w:tc>
        <w:tc>
          <w:tcPr>
            <w:tcW w:w="0" w:type="auto"/>
            <w:vMerge/>
            <w:tcBorders>
              <w:left w:val="nil"/>
              <w:bottom w:val="single" w:sz="4" w:space="0" w:color="auto"/>
              <w:right w:val="single" w:sz="4" w:space="0" w:color="auto"/>
            </w:tcBorders>
            <w:shd w:val="clear" w:color="auto" w:fill="auto"/>
            <w:noWrap/>
            <w:vAlign w:val="center"/>
          </w:tcPr>
          <w:p w14:paraId="361A47A8" w14:textId="77777777" w:rsidR="00732AC2" w:rsidRPr="00182248" w:rsidRDefault="00732AC2" w:rsidP="007461A8"/>
        </w:tc>
      </w:tr>
      <w:tr w:rsidR="00732AC2" w:rsidRPr="00182248" w14:paraId="40B68883" w14:textId="77777777" w:rsidTr="006D4500">
        <w:trPr>
          <w:trHeight w:val="403"/>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14:paraId="753FFD14" w14:textId="77777777" w:rsidR="00732AC2" w:rsidRDefault="00732AC2" w:rsidP="007461A8">
            <w:pPr>
              <w:rPr>
                <w:b/>
                <w:i/>
              </w:rPr>
            </w:pPr>
            <w:r w:rsidRPr="0094165F">
              <w:rPr>
                <w:b/>
                <w:i/>
              </w:rPr>
              <w:t>Took</w:t>
            </w:r>
          </w:p>
          <w:p w14:paraId="32DCEC5E" w14:textId="77777777" w:rsidR="00732AC2" w:rsidRPr="0094165F" w:rsidRDefault="00732AC2" w:rsidP="007461A8">
            <w:pPr>
              <w:rPr>
                <w:b/>
                <w:i/>
              </w:rPr>
            </w:pPr>
            <w:r w:rsidRPr="0094165F">
              <w:rPr>
                <w:b/>
                <w:i/>
              </w:rPr>
              <w:t>less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0648E9D" w14:textId="77777777" w:rsidR="00732AC2" w:rsidRDefault="00732AC2" w:rsidP="007461A8">
            <w:r w:rsidRPr="00182248">
              <w:t>26</w:t>
            </w:r>
          </w:p>
          <w:p w14:paraId="0CC00D48" w14:textId="77777777" w:rsidR="00732AC2" w:rsidRPr="00182248" w:rsidRDefault="00732AC2" w:rsidP="007461A8">
            <w:r w:rsidRPr="00182248">
              <w:t>(37</w:t>
            </w:r>
            <w:r>
              <w:t>.1</w:t>
            </w:r>
            <w:r w:rsidRPr="00182248">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ECA3A61" w14:textId="77777777" w:rsidR="00732AC2" w:rsidRDefault="00732AC2" w:rsidP="007461A8">
            <w:r w:rsidRPr="00182248">
              <w:t>19</w:t>
            </w:r>
          </w:p>
          <w:p w14:paraId="6F2E700E" w14:textId="085D2F3F" w:rsidR="00732AC2" w:rsidRPr="00182248" w:rsidRDefault="00732AC2" w:rsidP="007461A8">
            <w:r w:rsidRPr="00182248">
              <w:t>(5</w:t>
            </w:r>
            <w:r w:rsidR="009630A5">
              <w:t>9</w:t>
            </w:r>
            <w:r>
              <w:t>.</w:t>
            </w:r>
            <w:r w:rsidR="009630A5">
              <w:t>4</w:t>
            </w:r>
            <w:r w:rsidRPr="00182248">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38DBA9A" w14:textId="77777777" w:rsidR="00732AC2" w:rsidRDefault="00732AC2" w:rsidP="007461A8">
            <w:r w:rsidRPr="00182248">
              <w:t>0</w:t>
            </w:r>
          </w:p>
          <w:p w14:paraId="4F3C86FA" w14:textId="77777777" w:rsidR="00732AC2" w:rsidRPr="00182248" w:rsidRDefault="00732AC2" w:rsidP="007461A8">
            <w:r w:rsidRPr="00182248">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0130746" w14:textId="5C098D07" w:rsidR="00732AC2" w:rsidRDefault="00732AC2" w:rsidP="007461A8">
            <w:r w:rsidRPr="00343636">
              <w:t>4</w:t>
            </w:r>
          </w:p>
          <w:p w14:paraId="550AFC31" w14:textId="380C9920" w:rsidR="00732AC2" w:rsidRPr="00182248" w:rsidRDefault="00732AC2" w:rsidP="007461A8">
            <w:r w:rsidRPr="00182248">
              <w:t>(2</w:t>
            </w:r>
            <w:r w:rsidR="00C464E3">
              <w:t>8</w:t>
            </w:r>
            <w:r>
              <w:t>.</w:t>
            </w:r>
            <w:r w:rsidR="00C464E3">
              <w:t>6</w:t>
            </w:r>
            <w:r w:rsidRPr="00182248">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79D5FE" w14:textId="77777777" w:rsidR="00732AC2" w:rsidRDefault="00732AC2" w:rsidP="007461A8">
            <w:r w:rsidRPr="00182248">
              <w:t>2</w:t>
            </w:r>
          </w:p>
          <w:p w14:paraId="5A134438" w14:textId="08B9FEB1" w:rsidR="00732AC2" w:rsidRPr="00182248" w:rsidRDefault="00732AC2" w:rsidP="007461A8">
            <w:r w:rsidRPr="00182248">
              <w:t>(40</w:t>
            </w:r>
            <w:r w:rsidR="00237525">
              <w:t>.0</w:t>
            </w:r>
            <w:r w:rsidRPr="00182248">
              <w:t>%)</w:t>
            </w:r>
          </w:p>
        </w:tc>
        <w:tc>
          <w:tcPr>
            <w:tcW w:w="0" w:type="auto"/>
            <w:vMerge w:val="restart"/>
            <w:tcBorders>
              <w:top w:val="single" w:sz="4" w:space="0" w:color="auto"/>
              <w:left w:val="nil"/>
              <w:right w:val="single" w:sz="4" w:space="0" w:color="auto"/>
            </w:tcBorders>
            <w:shd w:val="clear" w:color="auto" w:fill="auto"/>
            <w:noWrap/>
            <w:vAlign w:val="center"/>
            <w:hideMark/>
          </w:tcPr>
          <w:p w14:paraId="302CF51B" w14:textId="77777777" w:rsidR="00732AC2" w:rsidRDefault="00732AC2" w:rsidP="007461A8">
            <w:r w:rsidRPr="00182248">
              <w:t>51</w:t>
            </w:r>
          </w:p>
          <w:p w14:paraId="47C3E1B4" w14:textId="5AD1630E" w:rsidR="00732AC2" w:rsidRPr="00182248" w:rsidRDefault="00732AC2" w:rsidP="007461A8">
            <w:r w:rsidRPr="00182248">
              <w:t>(</w:t>
            </w:r>
            <w:r w:rsidR="00C464E3">
              <w:t>40</w:t>
            </w:r>
            <w:r>
              <w:t>.2</w:t>
            </w:r>
            <w:r w:rsidRPr="00182248">
              <w:t>%)</w:t>
            </w:r>
          </w:p>
        </w:tc>
      </w:tr>
      <w:tr w:rsidR="00732AC2" w:rsidRPr="00182248" w14:paraId="3A3FE443" w14:textId="77777777" w:rsidTr="006D4500">
        <w:trPr>
          <w:trHeight w:val="403"/>
        </w:trPr>
        <w:tc>
          <w:tcPr>
            <w:tcW w:w="0" w:type="auto"/>
            <w:vMerge/>
            <w:tcBorders>
              <w:left w:val="single" w:sz="4" w:space="0" w:color="auto"/>
              <w:bottom w:val="single" w:sz="4" w:space="0" w:color="auto"/>
              <w:right w:val="single" w:sz="4" w:space="0" w:color="auto"/>
            </w:tcBorders>
            <w:shd w:val="clear" w:color="auto" w:fill="auto"/>
            <w:noWrap/>
            <w:vAlign w:val="center"/>
          </w:tcPr>
          <w:p w14:paraId="359FE66D" w14:textId="77777777" w:rsidR="00732AC2" w:rsidRPr="0094165F" w:rsidRDefault="00732AC2" w:rsidP="007461A8">
            <w:pPr>
              <w:rPr>
                <w:b/>
                <w:i/>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14:paraId="5257BF75" w14:textId="15AF9B5D" w:rsidR="00732AC2" w:rsidRPr="00182248" w:rsidRDefault="00732AC2" w:rsidP="007461A8">
            <w:pPr>
              <w:jc w:val="center"/>
            </w:pPr>
            <w:r>
              <w:t>45 (4</w:t>
            </w:r>
            <w:r w:rsidR="00427D4E">
              <w:t>1</w:t>
            </w:r>
            <w:r>
              <w:t>.</w:t>
            </w:r>
            <w:r w:rsidR="00427D4E">
              <w:t>2</w:t>
            </w:r>
            <w:r>
              <w:t>%)</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14:paraId="0B58DFDF" w14:textId="0363FA6D" w:rsidR="00732AC2" w:rsidRPr="00182248" w:rsidRDefault="00732AC2" w:rsidP="007461A8">
            <w:pPr>
              <w:jc w:val="center"/>
            </w:pPr>
            <w:r>
              <w:t>6 (3</w:t>
            </w:r>
            <w:r w:rsidR="00427D4E">
              <w:t>1</w:t>
            </w:r>
            <w:r>
              <w:t>.</w:t>
            </w:r>
            <w:r w:rsidR="00427D4E">
              <w:t>6</w:t>
            </w:r>
            <w:r>
              <w:t>%)</w:t>
            </w:r>
          </w:p>
        </w:tc>
        <w:tc>
          <w:tcPr>
            <w:tcW w:w="0" w:type="auto"/>
            <w:vMerge/>
            <w:tcBorders>
              <w:left w:val="nil"/>
              <w:bottom w:val="single" w:sz="4" w:space="0" w:color="auto"/>
              <w:right w:val="single" w:sz="4" w:space="0" w:color="auto"/>
            </w:tcBorders>
            <w:shd w:val="clear" w:color="auto" w:fill="auto"/>
            <w:noWrap/>
            <w:vAlign w:val="center"/>
          </w:tcPr>
          <w:p w14:paraId="6B9124DB" w14:textId="77777777" w:rsidR="00732AC2" w:rsidRPr="00182248" w:rsidRDefault="00732AC2" w:rsidP="007461A8"/>
        </w:tc>
      </w:tr>
      <w:tr w:rsidR="00732AC2" w:rsidRPr="00182248" w14:paraId="2AECC343" w14:textId="77777777" w:rsidTr="006D4500">
        <w:trPr>
          <w:trHeight w:val="403"/>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14:paraId="4024BE2C" w14:textId="77777777" w:rsidR="00732AC2" w:rsidRDefault="00732AC2" w:rsidP="007461A8">
            <w:pPr>
              <w:rPr>
                <w:b/>
                <w:i/>
              </w:rPr>
            </w:pPr>
            <w:r w:rsidRPr="0094165F">
              <w:rPr>
                <w:b/>
                <w:i/>
              </w:rPr>
              <w:t>Took</w:t>
            </w:r>
          </w:p>
          <w:p w14:paraId="5CA08409" w14:textId="77777777" w:rsidR="00732AC2" w:rsidRPr="0094165F" w:rsidRDefault="00732AC2" w:rsidP="007461A8">
            <w:pPr>
              <w:rPr>
                <w:b/>
                <w:i/>
              </w:rPr>
            </w:pPr>
            <w:r w:rsidRPr="0094165F">
              <w:rPr>
                <w:b/>
                <w:i/>
              </w:rPr>
              <w:t>same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F6363F" w14:textId="77777777" w:rsidR="00732AC2" w:rsidRDefault="00732AC2" w:rsidP="007461A8">
            <w:r w:rsidRPr="00182248">
              <w:t>37</w:t>
            </w:r>
          </w:p>
          <w:p w14:paraId="448BD4B8" w14:textId="77777777" w:rsidR="00732AC2" w:rsidRPr="00182248" w:rsidRDefault="00732AC2" w:rsidP="007461A8">
            <w:r w:rsidRPr="00182248">
              <w:t>(5</w:t>
            </w:r>
            <w:r>
              <w:t>2.9</w:t>
            </w:r>
            <w:r w:rsidRPr="00182248">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6C7BC6" w14:textId="77777777" w:rsidR="00732AC2" w:rsidRDefault="00732AC2" w:rsidP="007461A8">
            <w:r w:rsidRPr="00182248">
              <w:t>7</w:t>
            </w:r>
          </w:p>
          <w:p w14:paraId="33D5281B" w14:textId="2B3AC6DC" w:rsidR="00732AC2" w:rsidRPr="00182248" w:rsidRDefault="00732AC2" w:rsidP="007461A8">
            <w:r w:rsidRPr="00182248">
              <w:t>(2</w:t>
            </w:r>
            <w:r>
              <w:t>1.</w:t>
            </w:r>
            <w:r w:rsidR="009630A5">
              <w:t>9</w:t>
            </w:r>
            <w:r w:rsidRPr="00182248">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3707119" w14:textId="77777777" w:rsidR="00732AC2" w:rsidRDefault="00732AC2" w:rsidP="007461A8">
            <w:r w:rsidRPr="00182248">
              <w:t>2</w:t>
            </w:r>
          </w:p>
          <w:p w14:paraId="5BAF8507" w14:textId="57B49AAD" w:rsidR="00732AC2" w:rsidRPr="00182248" w:rsidRDefault="00732AC2" w:rsidP="007461A8">
            <w:r w:rsidRPr="00182248">
              <w:t>(</w:t>
            </w:r>
            <w:r w:rsidR="009630A5">
              <w:t>33</w:t>
            </w:r>
            <w:r>
              <w:t>.</w:t>
            </w:r>
            <w:r w:rsidR="009630A5">
              <w:t>3</w:t>
            </w:r>
            <w:r w:rsidRPr="00182248">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78F392D" w14:textId="77777777" w:rsidR="00732AC2" w:rsidRDefault="00732AC2" w:rsidP="007461A8">
            <w:r w:rsidRPr="00182248">
              <w:t>0</w:t>
            </w:r>
          </w:p>
          <w:p w14:paraId="4C91792B" w14:textId="77777777" w:rsidR="00732AC2" w:rsidRPr="00182248" w:rsidRDefault="00732AC2" w:rsidP="007461A8">
            <w:r w:rsidRPr="00182248">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E25059" w14:textId="77777777" w:rsidR="00732AC2" w:rsidRDefault="00732AC2" w:rsidP="007461A8">
            <w:r w:rsidRPr="00182248">
              <w:t>0</w:t>
            </w:r>
          </w:p>
          <w:p w14:paraId="1C312520" w14:textId="77777777" w:rsidR="00732AC2" w:rsidRPr="00182248" w:rsidRDefault="00732AC2" w:rsidP="007461A8">
            <w:r w:rsidRPr="00182248">
              <w:t>(0%)</w:t>
            </w:r>
          </w:p>
        </w:tc>
        <w:tc>
          <w:tcPr>
            <w:tcW w:w="0" w:type="auto"/>
            <w:vMerge w:val="restart"/>
            <w:tcBorders>
              <w:top w:val="single" w:sz="4" w:space="0" w:color="auto"/>
              <w:left w:val="nil"/>
              <w:right w:val="single" w:sz="4" w:space="0" w:color="auto"/>
            </w:tcBorders>
            <w:shd w:val="clear" w:color="auto" w:fill="auto"/>
            <w:noWrap/>
            <w:vAlign w:val="center"/>
            <w:hideMark/>
          </w:tcPr>
          <w:p w14:paraId="2469F858" w14:textId="77777777" w:rsidR="00732AC2" w:rsidRDefault="00732AC2" w:rsidP="007461A8">
            <w:r w:rsidRPr="00182248">
              <w:t>46</w:t>
            </w:r>
          </w:p>
          <w:p w14:paraId="106918E5" w14:textId="6BAF9F3B" w:rsidR="00732AC2" w:rsidRPr="00182248" w:rsidRDefault="00732AC2" w:rsidP="007461A8">
            <w:r w:rsidRPr="00182248">
              <w:t>(3</w:t>
            </w:r>
            <w:r w:rsidR="00C464E3">
              <w:t>6</w:t>
            </w:r>
            <w:r>
              <w:t>.</w:t>
            </w:r>
            <w:r w:rsidR="00C464E3">
              <w:t>2</w:t>
            </w:r>
            <w:r w:rsidRPr="00182248">
              <w:t>%)</w:t>
            </w:r>
          </w:p>
        </w:tc>
      </w:tr>
      <w:tr w:rsidR="00732AC2" w:rsidRPr="00182248" w14:paraId="7F753314" w14:textId="77777777" w:rsidTr="006D4500">
        <w:trPr>
          <w:trHeight w:val="403"/>
        </w:trPr>
        <w:tc>
          <w:tcPr>
            <w:tcW w:w="0" w:type="auto"/>
            <w:vMerge/>
            <w:tcBorders>
              <w:left w:val="single" w:sz="4" w:space="0" w:color="auto"/>
              <w:bottom w:val="single" w:sz="4" w:space="0" w:color="auto"/>
              <w:right w:val="single" w:sz="4" w:space="0" w:color="auto"/>
            </w:tcBorders>
            <w:shd w:val="clear" w:color="auto" w:fill="auto"/>
            <w:noWrap/>
            <w:vAlign w:val="center"/>
          </w:tcPr>
          <w:p w14:paraId="580BB269" w14:textId="77777777" w:rsidR="00732AC2" w:rsidRPr="0094165F" w:rsidRDefault="00732AC2" w:rsidP="007461A8">
            <w:pPr>
              <w:rPr>
                <w:b/>
                <w:i/>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14:paraId="53C85483" w14:textId="5BCF0E0C" w:rsidR="00732AC2" w:rsidRPr="00182248" w:rsidRDefault="00732AC2" w:rsidP="007461A8">
            <w:pPr>
              <w:jc w:val="center"/>
            </w:pPr>
            <w:r>
              <w:t>46 (4</w:t>
            </w:r>
            <w:r w:rsidR="00427D4E">
              <w:t>2</w:t>
            </w:r>
            <w:r>
              <w:t>.</w:t>
            </w:r>
            <w:r w:rsidR="00427D4E">
              <w:t>6</w:t>
            </w:r>
            <w:r>
              <w:t>%)</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14:paraId="475F14C9" w14:textId="77777777" w:rsidR="00732AC2" w:rsidRPr="00182248" w:rsidRDefault="00732AC2" w:rsidP="007461A8">
            <w:pPr>
              <w:jc w:val="center"/>
            </w:pPr>
            <w:r>
              <w:t>0 (0%)</w:t>
            </w:r>
          </w:p>
        </w:tc>
        <w:tc>
          <w:tcPr>
            <w:tcW w:w="0" w:type="auto"/>
            <w:vMerge/>
            <w:tcBorders>
              <w:left w:val="nil"/>
              <w:bottom w:val="single" w:sz="4" w:space="0" w:color="auto"/>
              <w:right w:val="single" w:sz="4" w:space="0" w:color="auto"/>
            </w:tcBorders>
            <w:shd w:val="clear" w:color="auto" w:fill="auto"/>
            <w:noWrap/>
            <w:vAlign w:val="center"/>
          </w:tcPr>
          <w:p w14:paraId="25AD2BC7" w14:textId="77777777" w:rsidR="00732AC2" w:rsidRPr="00182248" w:rsidRDefault="00732AC2" w:rsidP="007461A8"/>
        </w:tc>
      </w:tr>
      <w:tr w:rsidR="00732AC2" w:rsidRPr="00182248" w14:paraId="3E3032FD" w14:textId="77777777" w:rsidTr="006D4500">
        <w:trPr>
          <w:trHeight w:val="403"/>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14:paraId="4E357289" w14:textId="77777777" w:rsidR="00732AC2" w:rsidRDefault="00732AC2" w:rsidP="007461A8">
            <w:pPr>
              <w:rPr>
                <w:b/>
                <w:i/>
              </w:rPr>
            </w:pPr>
            <w:r w:rsidRPr="0094165F">
              <w:rPr>
                <w:b/>
                <w:i/>
              </w:rPr>
              <w:t>Took</w:t>
            </w:r>
          </w:p>
          <w:p w14:paraId="7377DDBD" w14:textId="77777777" w:rsidR="00732AC2" w:rsidRPr="0094165F" w:rsidRDefault="00732AC2" w:rsidP="007461A8">
            <w:pPr>
              <w:rPr>
                <w:b/>
                <w:i/>
              </w:rPr>
            </w:pPr>
            <w:r w:rsidRPr="0094165F">
              <w:rPr>
                <w:b/>
                <w:i/>
              </w:rPr>
              <w:t>more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882920C" w14:textId="77777777" w:rsidR="00732AC2" w:rsidRDefault="00732AC2" w:rsidP="007461A8">
            <w:r w:rsidRPr="00182248">
              <w:t>3</w:t>
            </w:r>
          </w:p>
          <w:p w14:paraId="2429AFE7" w14:textId="77777777" w:rsidR="00732AC2" w:rsidRPr="00182248" w:rsidRDefault="00732AC2" w:rsidP="007461A8">
            <w:r w:rsidRPr="00182248">
              <w:t>(4</w:t>
            </w:r>
            <w:r>
              <w:t>.3</w:t>
            </w:r>
            <w:r w:rsidRPr="00182248">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4DE6B7" w14:textId="77777777" w:rsidR="00732AC2" w:rsidRDefault="00732AC2" w:rsidP="007461A8">
            <w:r w:rsidRPr="00182248">
              <w:t>2</w:t>
            </w:r>
          </w:p>
          <w:p w14:paraId="3D98E45B" w14:textId="57732A26" w:rsidR="00732AC2" w:rsidRPr="00182248" w:rsidRDefault="00732AC2" w:rsidP="007461A8">
            <w:r w:rsidRPr="00182248">
              <w:t>(6</w:t>
            </w:r>
            <w:r>
              <w:t>.</w:t>
            </w:r>
            <w:r w:rsidR="009630A5">
              <w:t>3</w:t>
            </w:r>
            <w:r w:rsidRPr="00182248">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D7D43DD" w14:textId="77777777" w:rsidR="00732AC2" w:rsidRDefault="00732AC2" w:rsidP="007461A8">
            <w:r w:rsidRPr="00182248">
              <w:t>2</w:t>
            </w:r>
          </w:p>
          <w:p w14:paraId="39A12FBB" w14:textId="26FADDA1" w:rsidR="00732AC2" w:rsidRPr="00182248" w:rsidRDefault="00732AC2" w:rsidP="007461A8">
            <w:r w:rsidRPr="00182248">
              <w:t>(</w:t>
            </w:r>
            <w:r w:rsidR="009630A5">
              <w:t>33</w:t>
            </w:r>
            <w:r>
              <w:t>.</w:t>
            </w:r>
            <w:r w:rsidR="009630A5">
              <w:t>3</w:t>
            </w:r>
            <w:r w:rsidRPr="00182248">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7B0E67B" w14:textId="57997EFD" w:rsidR="00732AC2" w:rsidRDefault="001C7380" w:rsidP="007461A8">
            <w:r>
              <w:t>0</w:t>
            </w:r>
          </w:p>
          <w:p w14:paraId="5886FCCF" w14:textId="2D5ED00F" w:rsidR="00732AC2" w:rsidRPr="00182248" w:rsidRDefault="00732AC2" w:rsidP="007461A8">
            <w:r w:rsidRPr="00182248">
              <w:t>(</w:t>
            </w:r>
            <w:r w:rsidR="001C7380">
              <w:t>0</w:t>
            </w:r>
            <w:r w:rsidRPr="00182248">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D9D826A" w14:textId="77777777" w:rsidR="00732AC2" w:rsidRDefault="00732AC2" w:rsidP="007461A8">
            <w:r w:rsidRPr="00182248">
              <w:t>0</w:t>
            </w:r>
          </w:p>
          <w:p w14:paraId="2EA107F5" w14:textId="77777777" w:rsidR="00732AC2" w:rsidRPr="00182248" w:rsidRDefault="00732AC2" w:rsidP="007461A8">
            <w:r w:rsidRPr="00182248">
              <w:t>(0%)</w:t>
            </w:r>
          </w:p>
        </w:tc>
        <w:tc>
          <w:tcPr>
            <w:tcW w:w="0" w:type="auto"/>
            <w:vMerge w:val="restart"/>
            <w:tcBorders>
              <w:top w:val="single" w:sz="4" w:space="0" w:color="auto"/>
              <w:left w:val="nil"/>
              <w:right w:val="single" w:sz="4" w:space="0" w:color="auto"/>
            </w:tcBorders>
            <w:shd w:val="clear" w:color="auto" w:fill="auto"/>
            <w:noWrap/>
            <w:vAlign w:val="center"/>
            <w:hideMark/>
          </w:tcPr>
          <w:p w14:paraId="0157B8D0" w14:textId="520D5B86" w:rsidR="00C464E3" w:rsidRDefault="00C464E3" w:rsidP="00C464E3">
            <w:r>
              <w:t>7</w:t>
            </w:r>
          </w:p>
          <w:p w14:paraId="0C1FE210" w14:textId="089264FD" w:rsidR="00732AC2" w:rsidRPr="00182248" w:rsidRDefault="00732AC2" w:rsidP="00C464E3">
            <w:r w:rsidRPr="00182248">
              <w:t>(</w:t>
            </w:r>
            <w:r w:rsidR="00EE1B3E">
              <w:t>5</w:t>
            </w:r>
            <w:r w:rsidR="008602AB">
              <w:t>.</w:t>
            </w:r>
            <w:r w:rsidR="00EE1B3E">
              <w:t>5</w:t>
            </w:r>
            <w:r w:rsidRPr="00182248">
              <w:t>%)</w:t>
            </w:r>
          </w:p>
        </w:tc>
      </w:tr>
      <w:tr w:rsidR="00732AC2" w:rsidRPr="00182248" w14:paraId="5A58BCE3" w14:textId="77777777" w:rsidTr="006D4500">
        <w:trPr>
          <w:trHeight w:val="403"/>
        </w:trPr>
        <w:tc>
          <w:tcPr>
            <w:tcW w:w="0" w:type="auto"/>
            <w:vMerge/>
            <w:tcBorders>
              <w:left w:val="single" w:sz="4" w:space="0" w:color="auto"/>
              <w:bottom w:val="single" w:sz="4" w:space="0" w:color="auto"/>
              <w:right w:val="single" w:sz="4" w:space="0" w:color="auto"/>
            </w:tcBorders>
            <w:shd w:val="clear" w:color="auto" w:fill="auto"/>
            <w:noWrap/>
            <w:vAlign w:val="center"/>
          </w:tcPr>
          <w:p w14:paraId="5A20F012" w14:textId="77777777" w:rsidR="00732AC2" w:rsidRPr="0094165F" w:rsidRDefault="00732AC2" w:rsidP="007461A8">
            <w:pPr>
              <w:rPr>
                <w:b/>
                <w:i/>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14:paraId="3CA6CC6A" w14:textId="02F26B2F" w:rsidR="00732AC2" w:rsidRPr="00182248" w:rsidRDefault="00732AC2" w:rsidP="007461A8">
            <w:pPr>
              <w:jc w:val="center"/>
            </w:pPr>
            <w:r>
              <w:t>7 (6.</w:t>
            </w:r>
            <w:r w:rsidR="00427D4E">
              <w:t>5</w:t>
            </w:r>
            <w:r>
              <w:t>%)</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14:paraId="65FCCB3B" w14:textId="0BF7F98D" w:rsidR="00732AC2" w:rsidRPr="00182248" w:rsidRDefault="001C7380" w:rsidP="007461A8">
            <w:pPr>
              <w:jc w:val="center"/>
            </w:pPr>
            <w:r>
              <w:t>0</w:t>
            </w:r>
            <w:r w:rsidR="00732AC2">
              <w:t xml:space="preserve"> (</w:t>
            </w:r>
            <w:r w:rsidR="00237525">
              <w:t>0</w:t>
            </w:r>
            <w:r w:rsidR="00732AC2">
              <w:t>%)</w:t>
            </w:r>
          </w:p>
        </w:tc>
        <w:tc>
          <w:tcPr>
            <w:tcW w:w="0" w:type="auto"/>
            <w:vMerge/>
            <w:tcBorders>
              <w:left w:val="nil"/>
              <w:bottom w:val="single" w:sz="4" w:space="0" w:color="auto"/>
              <w:right w:val="single" w:sz="4" w:space="0" w:color="auto"/>
            </w:tcBorders>
            <w:shd w:val="clear" w:color="auto" w:fill="auto"/>
            <w:noWrap/>
            <w:vAlign w:val="center"/>
          </w:tcPr>
          <w:p w14:paraId="2E0D96A3" w14:textId="77777777" w:rsidR="00732AC2" w:rsidRPr="00182248" w:rsidRDefault="00732AC2" w:rsidP="007461A8"/>
        </w:tc>
      </w:tr>
      <w:tr w:rsidR="00732AC2" w:rsidRPr="00182248" w14:paraId="49023378" w14:textId="77777777" w:rsidTr="006D4500">
        <w:trPr>
          <w:trHeight w:val="403"/>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14:paraId="195329DB" w14:textId="77777777" w:rsidR="00732AC2" w:rsidRPr="0094165F" w:rsidRDefault="00732AC2" w:rsidP="007461A8">
            <w:pPr>
              <w:rPr>
                <w:b/>
                <w:i/>
              </w:rPr>
            </w:pPr>
            <w:r w:rsidRPr="0094165F">
              <w:rPr>
                <w:b/>
                <w:i/>
              </w:rPr>
              <w:t>Total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67984C9" w14:textId="77777777" w:rsidR="00732AC2" w:rsidRDefault="00732AC2" w:rsidP="007461A8">
            <w:r w:rsidRPr="00182248">
              <w:t>70</w:t>
            </w:r>
          </w:p>
          <w:p w14:paraId="1EE7DEC6" w14:textId="77777777" w:rsidR="00732AC2" w:rsidRPr="00182248" w:rsidRDefault="00732AC2" w:rsidP="007461A8">
            <w: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05A1DE8" w14:textId="77777777" w:rsidR="00732AC2" w:rsidRDefault="00732AC2" w:rsidP="007461A8">
            <w:r w:rsidRPr="00182248">
              <w:t>3</w:t>
            </w:r>
            <w:r>
              <w:t>2 (33*)</w:t>
            </w:r>
          </w:p>
          <w:p w14:paraId="5C3A2E2A" w14:textId="77777777" w:rsidR="00732AC2" w:rsidRPr="00182248" w:rsidRDefault="00732AC2" w:rsidP="007461A8">
            <w: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F09D5C7" w14:textId="77777777" w:rsidR="00732AC2" w:rsidRDefault="00732AC2" w:rsidP="007461A8">
            <w:r>
              <w:t>6 (7*)</w:t>
            </w:r>
          </w:p>
          <w:p w14:paraId="775B08EF" w14:textId="77777777" w:rsidR="00732AC2" w:rsidRPr="00182248" w:rsidRDefault="00732AC2" w:rsidP="007461A8">
            <w: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A72AA43" w14:textId="39DBE91A" w:rsidR="00732AC2" w:rsidRDefault="00732AC2" w:rsidP="007461A8">
            <w:r w:rsidRPr="00182248">
              <w:t>1</w:t>
            </w:r>
            <w:r w:rsidR="001C7380">
              <w:t>4 (15*)</w:t>
            </w:r>
          </w:p>
          <w:p w14:paraId="1BFACCD8" w14:textId="77777777" w:rsidR="00732AC2" w:rsidRPr="00182248" w:rsidRDefault="00732AC2" w:rsidP="007461A8">
            <w: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F9141B9" w14:textId="77777777" w:rsidR="00732AC2" w:rsidRDefault="00732AC2" w:rsidP="007461A8">
            <w:r w:rsidRPr="00182248">
              <w:t>5</w:t>
            </w:r>
          </w:p>
          <w:p w14:paraId="02934C73" w14:textId="77777777" w:rsidR="00732AC2" w:rsidRPr="00182248" w:rsidRDefault="00732AC2" w:rsidP="007461A8">
            <w:r>
              <w:t>(100%)</w:t>
            </w:r>
          </w:p>
        </w:tc>
        <w:tc>
          <w:tcPr>
            <w:tcW w:w="0" w:type="auto"/>
            <w:vMerge w:val="restart"/>
            <w:tcBorders>
              <w:top w:val="single" w:sz="4" w:space="0" w:color="auto"/>
              <w:left w:val="nil"/>
              <w:right w:val="single" w:sz="4" w:space="0" w:color="auto"/>
            </w:tcBorders>
            <w:shd w:val="clear" w:color="auto" w:fill="auto"/>
            <w:noWrap/>
            <w:vAlign w:val="center"/>
            <w:hideMark/>
          </w:tcPr>
          <w:p w14:paraId="67E87D2A" w14:textId="15587B04" w:rsidR="00732AC2" w:rsidRDefault="00732AC2" w:rsidP="007461A8">
            <w:r>
              <w:t>12</w:t>
            </w:r>
            <w:r w:rsidR="001C7380">
              <w:t>7</w:t>
            </w:r>
            <w:r>
              <w:t xml:space="preserve"> (</w:t>
            </w:r>
            <w:r w:rsidRPr="00182248">
              <w:t>1</w:t>
            </w:r>
            <w:r>
              <w:t>30*)</w:t>
            </w:r>
          </w:p>
          <w:p w14:paraId="5D16A699" w14:textId="77777777" w:rsidR="00732AC2" w:rsidRPr="00182248" w:rsidRDefault="00732AC2" w:rsidP="007461A8">
            <w:r>
              <w:t>(100%)</w:t>
            </w:r>
          </w:p>
        </w:tc>
      </w:tr>
      <w:tr w:rsidR="00732AC2" w:rsidRPr="00182248" w14:paraId="3C28BB41" w14:textId="77777777" w:rsidTr="006D4500">
        <w:trPr>
          <w:trHeight w:val="403"/>
        </w:trPr>
        <w:tc>
          <w:tcPr>
            <w:tcW w:w="0" w:type="auto"/>
            <w:vMerge/>
            <w:tcBorders>
              <w:left w:val="single" w:sz="4" w:space="0" w:color="auto"/>
              <w:bottom w:val="single" w:sz="4" w:space="0" w:color="auto"/>
              <w:right w:val="single" w:sz="4" w:space="0" w:color="auto"/>
            </w:tcBorders>
            <w:shd w:val="clear" w:color="auto" w:fill="auto"/>
            <w:noWrap/>
            <w:vAlign w:val="center"/>
          </w:tcPr>
          <w:p w14:paraId="747D4E0B" w14:textId="77777777" w:rsidR="00732AC2" w:rsidRPr="0094165F" w:rsidRDefault="00732AC2" w:rsidP="007461A8">
            <w:pPr>
              <w:rPr>
                <w:b/>
                <w:i/>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14:paraId="0627F8D5" w14:textId="77777777" w:rsidR="00732AC2" w:rsidRDefault="00732AC2" w:rsidP="007461A8">
            <w:pPr>
              <w:jc w:val="center"/>
            </w:pPr>
            <w:r>
              <w:t>108 (110*)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14:paraId="4681A82B" w14:textId="423EB3D5" w:rsidR="00732AC2" w:rsidRPr="00182248" w:rsidRDefault="001C7380" w:rsidP="007461A8">
            <w:pPr>
              <w:jc w:val="center"/>
            </w:pPr>
            <w:r>
              <w:t>19 (20*)</w:t>
            </w:r>
          </w:p>
        </w:tc>
        <w:tc>
          <w:tcPr>
            <w:tcW w:w="0" w:type="auto"/>
            <w:vMerge/>
            <w:tcBorders>
              <w:left w:val="nil"/>
              <w:bottom w:val="single" w:sz="4" w:space="0" w:color="auto"/>
              <w:right w:val="single" w:sz="4" w:space="0" w:color="auto"/>
            </w:tcBorders>
            <w:shd w:val="clear" w:color="auto" w:fill="auto"/>
            <w:noWrap/>
            <w:vAlign w:val="center"/>
          </w:tcPr>
          <w:p w14:paraId="771D5A93" w14:textId="77777777" w:rsidR="00732AC2" w:rsidRPr="00182248" w:rsidRDefault="00732AC2" w:rsidP="007461A8"/>
        </w:tc>
      </w:tr>
    </w:tbl>
    <w:p w14:paraId="11C9AB97" w14:textId="1EA8EA40" w:rsidR="00732AC2" w:rsidRDefault="00732AC2"/>
    <w:p w14:paraId="5F752F67" w14:textId="45468C18" w:rsidR="00C04699" w:rsidRPr="00C04699" w:rsidRDefault="0057625B" w:rsidP="00C04699">
      <w:pPr>
        <w:pStyle w:val="ListParagraph"/>
        <w:numPr>
          <w:ilvl w:val="0"/>
          <w:numId w:val="14"/>
        </w:numPr>
        <w:rPr>
          <w:sz w:val="20"/>
          <w:szCs w:val="20"/>
        </w:rPr>
      </w:pPr>
      <w:r>
        <w:rPr>
          <w:sz w:val="20"/>
          <w:szCs w:val="20"/>
        </w:rPr>
        <w:t xml:space="preserve">* </w:t>
      </w:r>
      <w:r w:rsidR="001C7380">
        <w:rPr>
          <w:sz w:val="20"/>
          <w:szCs w:val="20"/>
        </w:rPr>
        <w:t>3</w:t>
      </w:r>
      <w:r w:rsidR="00C04699" w:rsidRPr="00C04699">
        <w:rPr>
          <w:sz w:val="20"/>
          <w:szCs w:val="20"/>
        </w:rPr>
        <w:t xml:space="preserve"> missing responses for subsequent dose - excluded from crosstab analysis</w:t>
      </w:r>
    </w:p>
    <w:p w14:paraId="512F5CE9" w14:textId="67E3B6F9" w:rsidR="00C04699" w:rsidRPr="00C04699" w:rsidRDefault="00C04699" w:rsidP="00C04699">
      <w:pPr>
        <w:pStyle w:val="ListParagraph"/>
        <w:numPr>
          <w:ilvl w:val="0"/>
          <w:numId w:val="14"/>
        </w:numPr>
        <w:rPr>
          <w:sz w:val="20"/>
          <w:szCs w:val="20"/>
        </w:rPr>
      </w:pPr>
      <w:r w:rsidRPr="00C04699">
        <w:rPr>
          <w:sz w:val="20"/>
          <w:szCs w:val="20"/>
        </w:rPr>
        <w:t>Fisher’s Exact Test (</w:t>
      </w:r>
      <w:r w:rsidR="003661CB">
        <w:rPr>
          <w:sz w:val="20"/>
          <w:szCs w:val="20"/>
        </w:rPr>
        <w:t xml:space="preserve">contents </w:t>
      </w:r>
      <w:r w:rsidRPr="00C04699">
        <w:rPr>
          <w:sz w:val="20"/>
          <w:szCs w:val="20"/>
        </w:rPr>
        <w:t>as expected / not as expected and dose taken) = 33.926, p&lt;0.001</w:t>
      </w:r>
    </w:p>
    <w:p w14:paraId="6BCC754B" w14:textId="77777777" w:rsidR="00C04699" w:rsidRDefault="00C04699"/>
    <w:p w14:paraId="77D29B69" w14:textId="52B7263A" w:rsidR="00982EA7" w:rsidRDefault="00982EA7">
      <w:r>
        <w:br w:type="page"/>
      </w:r>
    </w:p>
    <w:p w14:paraId="23E2EEF3" w14:textId="611191AA" w:rsidR="0031028E" w:rsidRPr="0031028E" w:rsidRDefault="0031028E">
      <w:pPr>
        <w:rPr>
          <w:b/>
          <w:bCs/>
        </w:rPr>
      </w:pPr>
      <w:r w:rsidRPr="0031028E">
        <w:rPr>
          <w:b/>
          <w:bCs/>
        </w:rPr>
        <w:lastRenderedPageBreak/>
        <w:t>Charts</w:t>
      </w:r>
    </w:p>
    <w:p w14:paraId="1310683C" w14:textId="77777777" w:rsidR="0031028E" w:rsidRDefault="0031028E"/>
    <w:p w14:paraId="3CE8B3E7" w14:textId="03A837FC" w:rsidR="002C6D06" w:rsidRDefault="002C6D06">
      <w:r>
        <w:t>Chart</w:t>
      </w:r>
      <w:r w:rsidR="00F94F47">
        <w:t xml:space="preserve"> 1: </w:t>
      </w:r>
      <w:r w:rsidR="009E7B22">
        <w:t xml:space="preserve">2017 </w:t>
      </w:r>
      <w:r w:rsidR="00DF28C9">
        <w:t>F</w:t>
      </w:r>
      <w:r w:rsidR="009E7B22">
        <w:t>estival drug checking: f</w:t>
      </w:r>
      <w:r w:rsidR="00F94F47">
        <w:t xml:space="preserve">low chart of </w:t>
      </w:r>
      <w:r w:rsidR="00841351">
        <w:t xml:space="preserve">follow-up </w:t>
      </w:r>
      <w:r w:rsidR="00F94F47">
        <w:t xml:space="preserve">study inclusion </w:t>
      </w:r>
    </w:p>
    <w:p w14:paraId="3D5F72FC" w14:textId="11CAFE06" w:rsidR="00F94F47" w:rsidRDefault="00F94F47"/>
    <w:p w14:paraId="71F2FCD7" w14:textId="5B197931" w:rsidR="00731BE1" w:rsidRDefault="00731BE1">
      <w:r>
        <w:rPr>
          <w:noProof/>
        </w:rPr>
        <w:drawing>
          <wp:inline distT="0" distB="0" distL="0" distR="0" wp14:anchorId="76FFDFEB" wp14:editId="67DF038F">
            <wp:extent cx="5486400" cy="1879600"/>
            <wp:effectExtent l="0" t="0" r="1905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36710C0" w14:textId="36E4AA67" w:rsidR="00731BE1" w:rsidRDefault="00731BE1"/>
    <w:p w14:paraId="7D6A1418" w14:textId="77777777" w:rsidR="00277E2C" w:rsidRDefault="00277E2C"/>
    <w:p w14:paraId="6B3F8F30" w14:textId="23A1B173" w:rsidR="00F94F47" w:rsidRDefault="00F94F47">
      <w:r>
        <w:t xml:space="preserve">Chart 2: </w:t>
      </w:r>
      <w:r w:rsidR="009E7B22">
        <w:t xml:space="preserve">2017 </w:t>
      </w:r>
      <w:r w:rsidR="00DF28C9">
        <w:t xml:space="preserve">Online </w:t>
      </w:r>
      <w:r w:rsidR="009E7B22">
        <w:t>follow-up survey</w:t>
      </w:r>
      <w:r w:rsidR="00DF28C9">
        <w:t xml:space="preserve"> of drug checking service users</w:t>
      </w:r>
      <w:r w:rsidR="009E7B22">
        <w:t xml:space="preserve">: </w:t>
      </w:r>
      <w:r w:rsidR="00224AF7">
        <w:t>self-reported</w:t>
      </w:r>
      <w:r>
        <w:t xml:space="preserve"> </w:t>
      </w:r>
      <w:r w:rsidR="00DF28C9">
        <w:t>changes to dosage after brief intervention by age</w:t>
      </w:r>
    </w:p>
    <w:p w14:paraId="3E19D481" w14:textId="77777777" w:rsidR="00F94F47" w:rsidRDefault="00F94F47"/>
    <w:p w14:paraId="63D2E2EF" w14:textId="31953604" w:rsidR="00182248" w:rsidRDefault="002C6D06">
      <w:r>
        <w:rPr>
          <w:noProof/>
        </w:rPr>
        <w:drawing>
          <wp:inline distT="0" distB="0" distL="0" distR="0" wp14:anchorId="45582027" wp14:editId="11577EDE">
            <wp:extent cx="5308600" cy="2832100"/>
            <wp:effectExtent l="0" t="0" r="12700" b="12700"/>
            <wp:docPr id="1" name="Chart 1">
              <a:extLst xmlns:a="http://schemas.openxmlformats.org/drawingml/2006/main">
                <a:ext uri="{FF2B5EF4-FFF2-40B4-BE49-F238E27FC236}">
                  <a16:creationId xmlns:a16="http://schemas.microsoft.com/office/drawing/2014/main" id="{C43954D3-ECA1-F34F-86C4-85C8CC4433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445F75E" w14:textId="4B2FA8AA" w:rsidR="00CD3953" w:rsidRDefault="00CD3953"/>
    <w:p w14:paraId="7E666196" w14:textId="5FA2198B" w:rsidR="00CD3953" w:rsidRDefault="00CD3953">
      <w:r>
        <w:br w:type="page"/>
      </w:r>
    </w:p>
    <w:p w14:paraId="68BADED5" w14:textId="64037C73" w:rsidR="00CD3953" w:rsidRDefault="00CD3953"/>
    <w:p w14:paraId="74CA3745" w14:textId="7064F929" w:rsidR="00CD3953" w:rsidRDefault="00CD3953">
      <w:r>
        <w:t xml:space="preserve">Chart 3: </w:t>
      </w:r>
      <w:r w:rsidR="00945EC4">
        <w:t>Self-reported</w:t>
      </w:r>
      <w:r>
        <w:t xml:space="preserve"> ongoing change at 3+ months after brief intervention</w:t>
      </w:r>
    </w:p>
    <w:p w14:paraId="6FFA8467" w14:textId="78B65D8C" w:rsidR="00CD3953" w:rsidRDefault="00CD3953"/>
    <w:p w14:paraId="072FC710" w14:textId="2DFFF09E" w:rsidR="00CD3953" w:rsidRDefault="00315547">
      <w:r>
        <w:rPr>
          <w:noProof/>
        </w:rPr>
        <w:drawing>
          <wp:inline distT="0" distB="0" distL="0" distR="0" wp14:anchorId="3D7909E3" wp14:editId="4D87DE38">
            <wp:extent cx="6131560" cy="3434266"/>
            <wp:effectExtent l="0" t="0" r="15240" b="7620"/>
            <wp:docPr id="5" name="Chart 5">
              <a:extLst xmlns:a="http://schemas.openxmlformats.org/drawingml/2006/main">
                <a:ext uri="{FF2B5EF4-FFF2-40B4-BE49-F238E27FC236}">
                  <a16:creationId xmlns:a16="http://schemas.microsoft.com/office/drawing/2014/main" id="{D99848DD-EA0E-EE43-8097-8CD0AF5EE2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CD3953" w:rsidDel="00315547">
        <w:rPr>
          <w:noProof/>
        </w:rPr>
        <w:t xml:space="preserve"> </w:t>
      </w:r>
    </w:p>
    <w:p w14:paraId="229D6FAF" w14:textId="4991C20F" w:rsidR="00134788" w:rsidRDefault="00134788"/>
    <w:p w14:paraId="77CE9130" w14:textId="77777777" w:rsidR="00A30174" w:rsidRDefault="00A30174"/>
    <w:sectPr w:rsidR="00A30174" w:rsidSect="003C0D2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E7101" w14:textId="77777777" w:rsidR="00C94FFB" w:rsidRDefault="00C94FFB" w:rsidP="00351DD3">
      <w:r>
        <w:separator/>
      </w:r>
    </w:p>
  </w:endnote>
  <w:endnote w:type="continuationSeparator" w:id="0">
    <w:p w14:paraId="32530283" w14:textId="77777777" w:rsidR="00C94FFB" w:rsidRDefault="00C94FFB" w:rsidP="0035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7608" w14:textId="77777777" w:rsidR="00C94FFB" w:rsidRDefault="00C94FFB" w:rsidP="00351DD3">
      <w:r>
        <w:separator/>
      </w:r>
    </w:p>
  </w:footnote>
  <w:footnote w:type="continuationSeparator" w:id="0">
    <w:p w14:paraId="75302B71" w14:textId="77777777" w:rsidR="00C94FFB" w:rsidRDefault="00C94FFB" w:rsidP="00351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2E7"/>
    <w:multiLevelType w:val="hybridMultilevel"/>
    <w:tmpl w:val="1982F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26A55"/>
    <w:multiLevelType w:val="hybridMultilevel"/>
    <w:tmpl w:val="47563034"/>
    <w:lvl w:ilvl="0" w:tplc="D0864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D0283"/>
    <w:multiLevelType w:val="hybridMultilevel"/>
    <w:tmpl w:val="47FAA232"/>
    <w:lvl w:ilvl="0" w:tplc="AA5AA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C5553"/>
    <w:multiLevelType w:val="hybridMultilevel"/>
    <w:tmpl w:val="233AB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5340DB"/>
    <w:multiLevelType w:val="hybridMultilevel"/>
    <w:tmpl w:val="BFFC9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B5A42"/>
    <w:multiLevelType w:val="hybridMultilevel"/>
    <w:tmpl w:val="987AF856"/>
    <w:lvl w:ilvl="0" w:tplc="CDD60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542EE"/>
    <w:multiLevelType w:val="hybridMultilevel"/>
    <w:tmpl w:val="B0287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98046A"/>
    <w:multiLevelType w:val="hybridMultilevel"/>
    <w:tmpl w:val="86803F40"/>
    <w:lvl w:ilvl="0" w:tplc="7D2C91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71131"/>
    <w:multiLevelType w:val="hybridMultilevel"/>
    <w:tmpl w:val="7582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D1453"/>
    <w:multiLevelType w:val="hybridMultilevel"/>
    <w:tmpl w:val="F3082188"/>
    <w:lvl w:ilvl="0" w:tplc="6914B3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965DB0"/>
    <w:multiLevelType w:val="hybridMultilevel"/>
    <w:tmpl w:val="EC3ECB0C"/>
    <w:lvl w:ilvl="0" w:tplc="CA24537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A1D35"/>
    <w:multiLevelType w:val="hybridMultilevel"/>
    <w:tmpl w:val="E256BAF4"/>
    <w:lvl w:ilvl="0" w:tplc="BBA2B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476389"/>
    <w:multiLevelType w:val="hybridMultilevel"/>
    <w:tmpl w:val="1982F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62204B"/>
    <w:multiLevelType w:val="hybridMultilevel"/>
    <w:tmpl w:val="B4D24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756402"/>
    <w:multiLevelType w:val="hybridMultilevel"/>
    <w:tmpl w:val="C78E1064"/>
    <w:lvl w:ilvl="0" w:tplc="CDD60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7E0671"/>
    <w:multiLevelType w:val="hybridMultilevel"/>
    <w:tmpl w:val="2842B92C"/>
    <w:lvl w:ilvl="0" w:tplc="958EE2D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9D61FC6"/>
    <w:multiLevelType w:val="hybridMultilevel"/>
    <w:tmpl w:val="64601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901083"/>
    <w:multiLevelType w:val="hybridMultilevel"/>
    <w:tmpl w:val="6BF89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17533E"/>
    <w:multiLevelType w:val="hybridMultilevel"/>
    <w:tmpl w:val="1BD04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B452B"/>
    <w:multiLevelType w:val="hybridMultilevel"/>
    <w:tmpl w:val="E642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013784"/>
    <w:multiLevelType w:val="hybridMultilevel"/>
    <w:tmpl w:val="A76E9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0505C1"/>
    <w:multiLevelType w:val="hybridMultilevel"/>
    <w:tmpl w:val="4920B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793955"/>
    <w:multiLevelType w:val="hybridMultilevel"/>
    <w:tmpl w:val="63D2E7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CA2933"/>
    <w:multiLevelType w:val="hybridMultilevel"/>
    <w:tmpl w:val="55143984"/>
    <w:lvl w:ilvl="0" w:tplc="8CD699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E4CB7"/>
    <w:multiLevelType w:val="hybridMultilevel"/>
    <w:tmpl w:val="F98E6182"/>
    <w:lvl w:ilvl="0" w:tplc="18DC074A">
      <w:start w:val="7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21249"/>
    <w:multiLevelType w:val="hybridMultilevel"/>
    <w:tmpl w:val="47FAA232"/>
    <w:lvl w:ilvl="0" w:tplc="AA5AA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22"/>
  </w:num>
  <w:num w:numId="4">
    <w:abstractNumId w:val="16"/>
  </w:num>
  <w:num w:numId="5">
    <w:abstractNumId w:val="23"/>
  </w:num>
  <w:num w:numId="6">
    <w:abstractNumId w:val="15"/>
  </w:num>
  <w:num w:numId="7">
    <w:abstractNumId w:val="1"/>
  </w:num>
  <w:num w:numId="8">
    <w:abstractNumId w:val="25"/>
  </w:num>
  <w:num w:numId="9">
    <w:abstractNumId w:val="2"/>
  </w:num>
  <w:num w:numId="10">
    <w:abstractNumId w:val="9"/>
  </w:num>
  <w:num w:numId="11">
    <w:abstractNumId w:val="7"/>
  </w:num>
  <w:num w:numId="12">
    <w:abstractNumId w:val="6"/>
  </w:num>
  <w:num w:numId="13">
    <w:abstractNumId w:val="4"/>
  </w:num>
  <w:num w:numId="14">
    <w:abstractNumId w:val="8"/>
  </w:num>
  <w:num w:numId="15">
    <w:abstractNumId w:val="18"/>
  </w:num>
  <w:num w:numId="16">
    <w:abstractNumId w:val="21"/>
  </w:num>
  <w:num w:numId="17">
    <w:abstractNumId w:val="12"/>
  </w:num>
  <w:num w:numId="18">
    <w:abstractNumId w:val="14"/>
  </w:num>
  <w:num w:numId="19">
    <w:abstractNumId w:val="5"/>
  </w:num>
  <w:num w:numId="20">
    <w:abstractNumId w:val="24"/>
  </w:num>
  <w:num w:numId="21">
    <w:abstractNumId w:val="11"/>
  </w:num>
  <w:num w:numId="22">
    <w:abstractNumId w:val="0"/>
  </w:num>
  <w:num w:numId="23">
    <w:abstractNumId w:val="13"/>
  </w:num>
  <w:num w:numId="24">
    <w:abstractNumId w:val="20"/>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A0"/>
    <w:rsid w:val="00001936"/>
    <w:rsid w:val="00002C52"/>
    <w:rsid w:val="0000326E"/>
    <w:rsid w:val="00003F1B"/>
    <w:rsid w:val="000047F9"/>
    <w:rsid w:val="000048AC"/>
    <w:rsid w:val="00004F5F"/>
    <w:rsid w:val="0000537E"/>
    <w:rsid w:val="000058CB"/>
    <w:rsid w:val="0000693B"/>
    <w:rsid w:val="000069A0"/>
    <w:rsid w:val="00006B34"/>
    <w:rsid w:val="00007201"/>
    <w:rsid w:val="00007FF5"/>
    <w:rsid w:val="0001025A"/>
    <w:rsid w:val="00010DC4"/>
    <w:rsid w:val="00010EF3"/>
    <w:rsid w:val="000112F7"/>
    <w:rsid w:val="00011435"/>
    <w:rsid w:val="000116A5"/>
    <w:rsid w:val="000118A6"/>
    <w:rsid w:val="000124BC"/>
    <w:rsid w:val="00013101"/>
    <w:rsid w:val="00013F45"/>
    <w:rsid w:val="00014CA5"/>
    <w:rsid w:val="00014CFE"/>
    <w:rsid w:val="00015176"/>
    <w:rsid w:val="00015639"/>
    <w:rsid w:val="00015B5D"/>
    <w:rsid w:val="00015EBD"/>
    <w:rsid w:val="000162B1"/>
    <w:rsid w:val="00016456"/>
    <w:rsid w:val="00016487"/>
    <w:rsid w:val="00016CB1"/>
    <w:rsid w:val="00016FDD"/>
    <w:rsid w:val="000175A0"/>
    <w:rsid w:val="000200EA"/>
    <w:rsid w:val="0002021C"/>
    <w:rsid w:val="0002041A"/>
    <w:rsid w:val="00020AAA"/>
    <w:rsid w:val="0002125E"/>
    <w:rsid w:val="00021405"/>
    <w:rsid w:val="000215B3"/>
    <w:rsid w:val="00021C1A"/>
    <w:rsid w:val="00021CFF"/>
    <w:rsid w:val="00022147"/>
    <w:rsid w:val="00022395"/>
    <w:rsid w:val="00022502"/>
    <w:rsid w:val="00022B35"/>
    <w:rsid w:val="00023092"/>
    <w:rsid w:val="00023557"/>
    <w:rsid w:val="000237D6"/>
    <w:rsid w:val="00023A8E"/>
    <w:rsid w:val="0002437A"/>
    <w:rsid w:val="00025806"/>
    <w:rsid w:val="00025912"/>
    <w:rsid w:val="00025AA2"/>
    <w:rsid w:val="00025AB8"/>
    <w:rsid w:val="00025CD7"/>
    <w:rsid w:val="000262C3"/>
    <w:rsid w:val="00026C4F"/>
    <w:rsid w:val="00026EEF"/>
    <w:rsid w:val="00026F04"/>
    <w:rsid w:val="000276AD"/>
    <w:rsid w:val="000303FC"/>
    <w:rsid w:val="00030415"/>
    <w:rsid w:val="00030CED"/>
    <w:rsid w:val="00030F05"/>
    <w:rsid w:val="0003174C"/>
    <w:rsid w:val="000322E1"/>
    <w:rsid w:val="00032756"/>
    <w:rsid w:val="000329A2"/>
    <w:rsid w:val="00032EC0"/>
    <w:rsid w:val="00033118"/>
    <w:rsid w:val="00034746"/>
    <w:rsid w:val="000347AE"/>
    <w:rsid w:val="00034E7E"/>
    <w:rsid w:val="00035181"/>
    <w:rsid w:val="00035BA7"/>
    <w:rsid w:val="00035D46"/>
    <w:rsid w:val="00035FC6"/>
    <w:rsid w:val="000361BA"/>
    <w:rsid w:val="000361BD"/>
    <w:rsid w:val="00036579"/>
    <w:rsid w:val="000369D5"/>
    <w:rsid w:val="000375CB"/>
    <w:rsid w:val="00037680"/>
    <w:rsid w:val="00037C60"/>
    <w:rsid w:val="00040797"/>
    <w:rsid w:val="00040A99"/>
    <w:rsid w:val="0004105A"/>
    <w:rsid w:val="000410B1"/>
    <w:rsid w:val="00041A83"/>
    <w:rsid w:val="00041C99"/>
    <w:rsid w:val="00042417"/>
    <w:rsid w:val="000426C6"/>
    <w:rsid w:val="00042BCF"/>
    <w:rsid w:val="00043231"/>
    <w:rsid w:val="00043268"/>
    <w:rsid w:val="00043644"/>
    <w:rsid w:val="0004409C"/>
    <w:rsid w:val="00044123"/>
    <w:rsid w:val="0004419F"/>
    <w:rsid w:val="000441C1"/>
    <w:rsid w:val="00044BD9"/>
    <w:rsid w:val="00044CE0"/>
    <w:rsid w:val="00044D24"/>
    <w:rsid w:val="00044FD9"/>
    <w:rsid w:val="000456D5"/>
    <w:rsid w:val="00045986"/>
    <w:rsid w:val="00045AF8"/>
    <w:rsid w:val="00046180"/>
    <w:rsid w:val="000463CF"/>
    <w:rsid w:val="0004668A"/>
    <w:rsid w:val="00047A3F"/>
    <w:rsid w:val="00047CB2"/>
    <w:rsid w:val="00051EF9"/>
    <w:rsid w:val="000521E5"/>
    <w:rsid w:val="000527A9"/>
    <w:rsid w:val="000534CA"/>
    <w:rsid w:val="00053742"/>
    <w:rsid w:val="00053D14"/>
    <w:rsid w:val="0005464F"/>
    <w:rsid w:val="00054D5D"/>
    <w:rsid w:val="00054D91"/>
    <w:rsid w:val="0005569F"/>
    <w:rsid w:val="00055816"/>
    <w:rsid w:val="000566F0"/>
    <w:rsid w:val="000574A6"/>
    <w:rsid w:val="000578CD"/>
    <w:rsid w:val="00057C08"/>
    <w:rsid w:val="00060084"/>
    <w:rsid w:val="0006008C"/>
    <w:rsid w:val="000607ED"/>
    <w:rsid w:val="00060885"/>
    <w:rsid w:val="0006177F"/>
    <w:rsid w:val="00062D31"/>
    <w:rsid w:val="00063B8B"/>
    <w:rsid w:val="00063BC9"/>
    <w:rsid w:val="00063D46"/>
    <w:rsid w:val="0006464B"/>
    <w:rsid w:val="000646B5"/>
    <w:rsid w:val="00064C8A"/>
    <w:rsid w:val="00064D96"/>
    <w:rsid w:val="000654BF"/>
    <w:rsid w:val="00065A26"/>
    <w:rsid w:val="00065B85"/>
    <w:rsid w:val="00065E63"/>
    <w:rsid w:val="000661C8"/>
    <w:rsid w:val="00066771"/>
    <w:rsid w:val="00066B2A"/>
    <w:rsid w:val="00066BF2"/>
    <w:rsid w:val="00066E5B"/>
    <w:rsid w:val="0006700C"/>
    <w:rsid w:val="000674AD"/>
    <w:rsid w:val="00067E9B"/>
    <w:rsid w:val="000702EC"/>
    <w:rsid w:val="00070A45"/>
    <w:rsid w:val="00071B29"/>
    <w:rsid w:val="00071DCC"/>
    <w:rsid w:val="000721CE"/>
    <w:rsid w:val="000725B1"/>
    <w:rsid w:val="00072846"/>
    <w:rsid w:val="00072C19"/>
    <w:rsid w:val="00073302"/>
    <w:rsid w:val="00074975"/>
    <w:rsid w:val="00074A3C"/>
    <w:rsid w:val="0007561C"/>
    <w:rsid w:val="00076165"/>
    <w:rsid w:val="00076577"/>
    <w:rsid w:val="000766F9"/>
    <w:rsid w:val="00076794"/>
    <w:rsid w:val="00076933"/>
    <w:rsid w:val="0007707B"/>
    <w:rsid w:val="00077CF2"/>
    <w:rsid w:val="00077DBF"/>
    <w:rsid w:val="0008009D"/>
    <w:rsid w:val="000803C3"/>
    <w:rsid w:val="000805BC"/>
    <w:rsid w:val="00080AE3"/>
    <w:rsid w:val="00080D3F"/>
    <w:rsid w:val="0008142A"/>
    <w:rsid w:val="00081911"/>
    <w:rsid w:val="00081C8E"/>
    <w:rsid w:val="00082EBB"/>
    <w:rsid w:val="00082FA8"/>
    <w:rsid w:val="00083A8E"/>
    <w:rsid w:val="00083D55"/>
    <w:rsid w:val="000859AA"/>
    <w:rsid w:val="00086FA7"/>
    <w:rsid w:val="0008788F"/>
    <w:rsid w:val="00087D26"/>
    <w:rsid w:val="00087EE9"/>
    <w:rsid w:val="0009023A"/>
    <w:rsid w:val="000907C9"/>
    <w:rsid w:val="00091076"/>
    <w:rsid w:val="000913DF"/>
    <w:rsid w:val="00091D08"/>
    <w:rsid w:val="00092AC0"/>
    <w:rsid w:val="00092B1E"/>
    <w:rsid w:val="00092F3D"/>
    <w:rsid w:val="00093129"/>
    <w:rsid w:val="000932D1"/>
    <w:rsid w:val="00093595"/>
    <w:rsid w:val="00095078"/>
    <w:rsid w:val="00095177"/>
    <w:rsid w:val="00095A89"/>
    <w:rsid w:val="00095CA1"/>
    <w:rsid w:val="00095FCB"/>
    <w:rsid w:val="00096747"/>
    <w:rsid w:val="000971BC"/>
    <w:rsid w:val="000975D8"/>
    <w:rsid w:val="00097804"/>
    <w:rsid w:val="000A0300"/>
    <w:rsid w:val="000A0D6F"/>
    <w:rsid w:val="000A1C03"/>
    <w:rsid w:val="000A33D9"/>
    <w:rsid w:val="000A36F0"/>
    <w:rsid w:val="000A429D"/>
    <w:rsid w:val="000A42DD"/>
    <w:rsid w:val="000A4AA6"/>
    <w:rsid w:val="000A502C"/>
    <w:rsid w:val="000A59C9"/>
    <w:rsid w:val="000A5C9C"/>
    <w:rsid w:val="000A5EDC"/>
    <w:rsid w:val="000A6444"/>
    <w:rsid w:val="000A66E9"/>
    <w:rsid w:val="000A67E6"/>
    <w:rsid w:val="000A681D"/>
    <w:rsid w:val="000A6C60"/>
    <w:rsid w:val="000A6C7B"/>
    <w:rsid w:val="000A6CBD"/>
    <w:rsid w:val="000A6CBE"/>
    <w:rsid w:val="000A7074"/>
    <w:rsid w:val="000A740A"/>
    <w:rsid w:val="000A7421"/>
    <w:rsid w:val="000A7546"/>
    <w:rsid w:val="000B01E8"/>
    <w:rsid w:val="000B0314"/>
    <w:rsid w:val="000B09F5"/>
    <w:rsid w:val="000B0B8A"/>
    <w:rsid w:val="000B16D8"/>
    <w:rsid w:val="000B1881"/>
    <w:rsid w:val="000B243F"/>
    <w:rsid w:val="000B25F4"/>
    <w:rsid w:val="000B2BF3"/>
    <w:rsid w:val="000B2CBB"/>
    <w:rsid w:val="000B2F2A"/>
    <w:rsid w:val="000B3B2E"/>
    <w:rsid w:val="000B43B5"/>
    <w:rsid w:val="000B50FC"/>
    <w:rsid w:val="000B59EE"/>
    <w:rsid w:val="000B5E37"/>
    <w:rsid w:val="000B5EB5"/>
    <w:rsid w:val="000B5F79"/>
    <w:rsid w:val="000B643F"/>
    <w:rsid w:val="000B6B29"/>
    <w:rsid w:val="000B6ED4"/>
    <w:rsid w:val="000B7C98"/>
    <w:rsid w:val="000B7D90"/>
    <w:rsid w:val="000C0C18"/>
    <w:rsid w:val="000C0CEC"/>
    <w:rsid w:val="000C1198"/>
    <w:rsid w:val="000C18B8"/>
    <w:rsid w:val="000C225C"/>
    <w:rsid w:val="000C297A"/>
    <w:rsid w:val="000C2ADE"/>
    <w:rsid w:val="000C385C"/>
    <w:rsid w:val="000C3E85"/>
    <w:rsid w:val="000C41C9"/>
    <w:rsid w:val="000C4574"/>
    <w:rsid w:val="000C4798"/>
    <w:rsid w:val="000C4B29"/>
    <w:rsid w:val="000C5171"/>
    <w:rsid w:val="000C52E8"/>
    <w:rsid w:val="000C562D"/>
    <w:rsid w:val="000C5D33"/>
    <w:rsid w:val="000C6C42"/>
    <w:rsid w:val="000C6DDB"/>
    <w:rsid w:val="000C7194"/>
    <w:rsid w:val="000C7645"/>
    <w:rsid w:val="000C766D"/>
    <w:rsid w:val="000C7C42"/>
    <w:rsid w:val="000D01A9"/>
    <w:rsid w:val="000D0DAF"/>
    <w:rsid w:val="000D1969"/>
    <w:rsid w:val="000D1B49"/>
    <w:rsid w:val="000D1B93"/>
    <w:rsid w:val="000D2405"/>
    <w:rsid w:val="000D29AB"/>
    <w:rsid w:val="000D313B"/>
    <w:rsid w:val="000D3726"/>
    <w:rsid w:val="000D37B0"/>
    <w:rsid w:val="000D3868"/>
    <w:rsid w:val="000D3B86"/>
    <w:rsid w:val="000D3DBD"/>
    <w:rsid w:val="000D3F86"/>
    <w:rsid w:val="000D4275"/>
    <w:rsid w:val="000D47A2"/>
    <w:rsid w:val="000D619B"/>
    <w:rsid w:val="000D61F2"/>
    <w:rsid w:val="000D6286"/>
    <w:rsid w:val="000D655F"/>
    <w:rsid w:val="000D66B3"/>
    <w:rsid w:val="000D6DB9"/>
    <w:rsid w:val="000D7AEF"/>
    <w:rsid w:val="000D7D5D"/>
    <w:rsid w:val="000E02E2"/>
    <w:rsid w:val="000E02F8"/>
    <w:rsid w:val="000E0D31"/>
    <w:rsid w:val="000E0ED4"/>
    <w:rsid w:val="000E0EED"/>
    <w:rsid w:val="000E161C"/>
    <w:rsid w:val="000E1DBB"/>
    <w:rsid w:val="000E1E30"/>
    <w:rsid w:val="000E288E"/>
    <w:rsid w:val="000E2950"/>
    <w:rsid w:val="000E296D"/>
    <w:rsid w:val="000E2FF1"/>
    <w:rsid w:val="000E42FA"/>
    <w:rsid w:val="000E4516"/>
    <w:rsid w:val="000E54D3"/>
    <w:rsid w:val="000E5978"/>
    <w:rsid w:val="000E6105"/>
    <w:rsid w:val="000E6774"/>
    <w:rsid w:val="000F00F5"/>
    <w:rsid w:val="000F0836"/>
    <w:rsid w:val="000F0911"/>
    <w:rsid w:val="000F12F9"/>
    <w:rsid w:val="000F192D"/>
    <w:rsid w:val="000F1C9D"/>
    <w:rsid w:val="000F21AA"/>
    <w:rsid w:val="000F220B"/>
    <w:rsid w:val="000F27D6"/>
    <w:rsid w:val="000F3B1B"/>
    <w:rsid w:val="000F53CC"/>
    <w:rsid w:val="000F5404"/>
    <w:rsid w:val="000F5561"/>
    <w:rsid w:val="000F55C6"/>
    <w:rsid w:val="000F572C"/>
    <w:rsid w:val="000F5990"/>
    <w:rsid w:val="000F7601"/>
    <w:rsid w:val="000F79E7"/>
    <w:rsid w:val="000F7A26"/>
    <w:rsid w:val="000F7DAC"/>
    <w:rsid w:val="001009DE"/>
    <w:rsid w:val="00100BC3"/>
    <w:rsid w:val="00100C15"/>
    <w:rsid w:val="00100C97"/>
    <w:rsid w:val="001011E9"/>
    <w:rsid w:val="00101A92"/>
    <w:rsid w:val="00101A96"/>
    <w:rsid w:val="00101C14"/>
    <w:rsid w:val="00101E88"/>
    <w:rsid w:val="00102297"/>
    <w:rsid w:val="001028BE"/>
    <w:rsid w:val="00102E84"/>
    <w:rsid w:val="00103146"/>
    <w:rsid w:val="001033D8"/>
    <w:rsid w:val="00103AD1"/>
    <w:rsid w:val="00103E50"/>
    <w:rsid w:val="001044A5"/>
    <w:rsid w:val="001046D3"/>
    <w:rsid w:val="00104B6D"/>
    <w:rsid w:val="00104BC3"/>
    <w:rsid w:val="00104C17"/>
    <w:rsid w:val="0010575C"/>
    <w:rsid w:val="00105803"/>
    <w:rsid w:val="00105A67"/>
    <w:rsid w:val="00106644"/>
    <w:rsid w:val="001073EA"/>
    <w:rsid w:val="001079EE"/>
    <w:rsid w:val="001101D3"/>
    <w:rsid w:val="00110A91"/>
    <w:rsid w:val="00111220"/>
    <w:rsid w:val="001120E8"/>
    <w:rsid w:val="0011272E"/>
    <w:rsid w:val="00112A37"/>
    <w:rsid w:val="00113686"/>
    <w:rsid w:val="00113AF8"/>
    <w:rsid w:val="00114013"/>
    <w:rsid w:val="001144CB"/>
    <w:rsid w:val="00114543"/>
    <w:rsid w:val="00114561"/>
    <w:rsid w:val="001149B0"/>
    <w:rsid w:val="00114FAA"/>
    <w:rsid w:val="001153F3"/>
    <w:rsid w:val="001155A8"/>
    <w:rsid w:val="00115BC8"/>
    <w:rsid w:val="00115C52"/>
    <w:rsid w:val="00115CC7"/>
    <w:rsid w:val="001162BA"/>
    <w:rsid w:val="00116724"/>
    <w:rsid w:val="00117C12"/>
    <w:rsid w:val="00117CA6"/>
    <w:rsid w:val="00120335"/>
    <w:rsid w:val="001209B9"/>
    <w:rsid w:val="00120AB6"/>
    <w:rsid w:val="001214E3"/>
    <w:rsid w:val="001217B9"/>
    <w:rsid w:val="00121B84"/>
    <w:rsid w:val="00121BD5"/>
    <w:rsid w:val="00122100"/>
    <w:rsid w:val="00122248"/>
    <w:rsid w:val="00122D84"/>
    <w:rsid w:val="001232EC"/>
    <w:rsid w:val="00123903"/>
    <w:rsid w:val="001243C0"/>
    <w:rsid w:val="001249CD"/>
    <w:rsid w:val="0012590E"/>
    <w:rsid w:val="001261BD"/>
    <w:rsid w:val="00126483"/>
    <w:rsid w:val="0012669A"/>
    <w:rsid w:val="00126A90"/>
    <w:rsid w:val="00126EE8"/>
    <w:rsid w:val="00127581"/>
    <w:rsid w:val="0012776A"/>
    <w:rsid w:val="00127A77"/>
    <w:rsid w:val="00130739"/>
    <w:rsid w:val="001307DA"/>
    <w:rsid w:val="00132866"/>
    <w:rsid w:val="00132ADC"/>
    <w:rsid w:val="00133242"/>
    <w:rsid w:val="00133384"/>
    <w:rsid w:val="001333C2"/>
    <w:rsid w:val="00133520"/>
    <w:rsid w:val="001338C1"/>
    <w:rsid w:val="00133A9D"/>
    <w:rsid w:val="001341D6"/>
    <w:rsid w:val="00134596"/>
    <w:rsid w:val="00134788"/>
    <w:rsid w:val="00134995"/>
    <w:rsid w:val="00134A80"/>
    <w:rsid w:val="001353CB"/>
    <w:rsid w:val="00135461"/>
    <w:rsid w:val="00135900"/>
    <w:rsid w:val="0013600F"/>
    <w:rsid w:val="001360A3"/>
    <w:rsid w:val="001363D7"/>
    <w:rsid w:val="00136668"/>
    <w:rsid w:val="001368E2"/>
    <w:rsid w:val="00136B14"/>
    <w:rsid w:val="0014007E"/>
    <w:rsid w:val="001408E2"/>
    <w:rsid w:val="00140B0E"/>
    <w:rsid w:val="00140DC1"/>
    <w:rsid w:val="001414AF"/>
    <w:rsid w:val="001420B0"/>
    <w:rsid w:val="001424FE"/>
    <w:rsid w:val="0014273A"/>
    <w:rsid w:val="001429B4"/>
    <w:rsid w:val="00142D47"/>
    <w:rsid w:val="001430CE"/>
    <w:rsid w:val="00143420"/>
    <w:rsid w:val="001434EC"/>
    <w:rsid w:val="0014360F"/>
    <w:rsid w:val="00143D72"/>
    <w:rsid w:val="00143F0F"/>
    <w:rsid w:val="001441C9"/>
    <w:rsid w:val="00144C8F"/>
    <w:rsid w:val="0014500A"/>
    <w:rsid w:val="001465CB"/>
    <w:rsid w:val="00146B40"/>
    <w:rsid w:val="00146D77"/>
    <w:rsid w:val="001471E6"/>
    <w:rsid w:val="00147FB9"/>
    <w:rsid w:val="00150A5E"/>
    <w:rsid w:val="00150E13"/>
    <w:rsid w:val="001511A9"/>
    <w:rsid w:val="0015209F"/>
    <w:rsid w:val="001521B0"/>
    <w:rsid w:val="0015293F"/>
    <w:rsid w:val="00153134"/>
    <w:rsid w:val="001533CC"/>
    <w:rsid w:val="00153EEE"/>
    <w:rsid w:val="0015477C"/>
    <w:rsid w:val="001547CC"/>
    <w:rsid w:val="001550AD"/>
    <w:rsid w:val="00155353"/>
    <w:rsid w:val="0015562F"/>
    <w:rsid w:val="00155791"/>
    <w:rsid w:val="001557B6"/>
    <w:rsid w:val="00155BF7"/>
    <w:rsid w:val="00155F2E"/>
    <w:rsid w:val="001563AC"/>
    <w:rsid w:val="00156910"/>
    <w:rsid w:val="001569AE"/>
    <w:rsid w:val="00156DB4"/>
    <w:rsid w:val="00157355"/>
    <w:rsid w:val="00157863"/>
    <w:rsid w:val="00160039"/>
    <w:rsid w:val="00160A78"/>
    <w:rsid w:val="001610CA"/>
    <w:rsid w:val="00161871"/>
    <w:rsid w:val="001618C2"/>
    <w:rsid w:val="00161C4F"/>
    <w:rsid w:val="00162827"/>
    <w:rsid w:val="00162D7F"/>
    <w:rsid w:val="00163114"/>
    <w:rsid w:val="00163FBE"/>
    <w:rsid w:val="00164D89"/>
    <w:rsid w:val="00164E1B"/>
    <w:rsid w:val="0016542B"/>
    <w:rsid w:val="00165700"/>
    <w:rsid w:val="0016588C"/>
    <w:rsid w:val="001658C4"/>
    <w:rsid w:val="001673DF"/>
    <w:rsid w:val="00170DE7"/>
    <w:rsid w:val="00170E59"/>
    <w:rsid w:val="00170E83"/>
    <w:rsid w:val="001717B1"/>
    <w:rsid w:val="00171B68"/>
    <w:rsid w:val="00171E50"/>
    <w:rsid w:val="001729E4"/>
    <w:rsid w:val="00172E67"/>
    <w:rsid w:val="00173C1C"/>
    <w:rsid w:val="0017488B"/>
    <w:rsid w:val="001752FB"/>
    <w:rsid w:val="0017569B"/>
    <w:rsid w:val="00175D5E"/>
    <w:rsid w:val="00175F33"/>
    <w:rsid w:val="00176386"/>
    <w:rsid w:val="00176B05"/>
    <w:rsid w:val="00176E74"/>
    <w:rsid w:val="001771BA"/>
    <w:rsid w:val="0018198A"/>
    <w:rsid w:val="00181AD6"/>
    <w:rsid w:val="0018222C"/>
    <w:rsid w:val="00182248"/>
    <w:rsid w:val="001824A0"/>
    <w:rsid w:val="001826C8"/>
    <w:rsid w:val="001836D8"/>
    <w:rsid w:val="00183A3B"/>
    <w:rsid w:val="00183EB0"/>
    <w:rsid w:val="00184563"/>
    <w:rsid w:val="00184689"/>
    <w:rsid w:val="001853AE"/>
    <w:rsid w:val="00185728"/>
    <w:rsid w:val="001858B6"/>
    <w:rsid w:val="00185A23"/>
    <w:rsid w:val="00185BA6"/>
    <w:rsid w:val="00185EF5"/>
    <w:rsid w:val="00187972"/>
    <w:rsid w:val="00187B43"/>
    <w:rsid w:val="00187B88"/>
    <w:rsid w:val="00190762"/>
    <w:rsid w:val="0019077A"/>
    <w:rsid w:val="00190C06"/>
    <w:rsid w:val="00190C92"/>
    <w:rsid w:val="00190F84"/>
    <w:rsid w:val="0019179F"/>
    <w:rsid w:val="00191861"/>
    <w:rsid w:val="00191B90"/>
    <w:rsid w:val="00191E94"/>
    <w:rsid w:val="0019253F"/>
    <w:rsid w:val="00192B89"/>
    <w:rsid w:val="00192C30"/>
    <w:rsid w:val="001931D6"/>
    <w:rsid w:val="00193804"/>
    <w:rsid w:val="00193852"/>
    <w:rsid w:val="00193A53"/>
    <w:rsid w:val="00193BF1"/>
    <w:rsid w:val="00193F43"/>
    <w:rsid w:val="00194444"/>
    <w:rsid w:val="00194AB4"/>
    <w:rsid w:val="00194E7A"/>
    <w:rsid w:val="00195923"/>
    <w:rsid w:val="00196382"/>
    <w:rsid w:val="00196971"/>
    <w:rsid w:val="00196F61"/>
    <w:rsid w:val="00197961"/>
    <w:rsid w:val="001A01A8"/>
    <w:rsid w:val="001A02CB"/>
    <w:rsid w:val="001A04C4"/>
    <w:rsid w:val="001A0535"/>
    <w:rsid w:val="001A0C2C"/>
    <w:rsid w:val="001A21B7"/>
    <w:rsid w:val="001A236A"/>
    <w:rsid w:val="001A261E"/>
    <w:rsid w:val="001A26E4"/>
    <w:rsid w:val="001A3312"/>
    <w:rsid w:val="001A3341"/>
    <w:rsid w:val="001A40AF"/>
    <w:rsid w:val="001A4919"/>
    <w:rsid w:val="001A59E8"/>
    <w:rsid w:val="001A5A56"/>
    <w:rsid w:val="001A6011"/>
    <w:rsid w:val="001A630E"/>
    <w:rsid w:val="001A69F2"/>
    <w:rsid w:val="001A71DE"/>
    <w:rsid w:val="001A71F5"/>
    <w:rsid w:val="001A754E"/>
    <w:rsid w:val="001A7E9D"/>
    <w:rsid w:val="001B07F7"/>
    <w:rsid w:val="001B0DB4"/>
    <w:rsid w:val="001B14B8"/>
    <w:rsid w:val="001B196D"/>
    <w:rsid w:val="001B1CE3"/>
    <w:rsid w:val="001B215C"/>
    <w:rsid w:val="001B26D4"/>
    <w:rsid w:val="001B2AC8"/>
    <w:rsid w:val="001B3239"/>
    <w:rsid w:val="001B3357"/>
    <w:rsid w:val="001B3454"/>
    <w:rsid w:val="001B3874"/>
    <w:rsid w:val="001B3A95"/>
    <w:rsid w:val="001B3CE4"/>
    <w:rsid w:val="001B3D00"/>
    <w:rsid w:val="001B50A0"/>
    <w:rsid w:val="001B5426"/>
    <w:rsid w:val="001B5822"/>
    <w:rsid w:val="001B5E11"/>
    <w:rsid w:val="001B5E82"/>
    <w:rsid w:val="001B65E0"/>
    <w:rsid w:val="001B66A6"/>
    <w:rsid w:val="001B6915"/>
    <w:rsid w:val="001B6CFF"/>
    <w:rsid w:val="001B7379"/>
    <w:rsid w:val="001B76E9"/>
    <w:rsid w:val="001B7814"/>
    <w:rsid w:val="001B7896"/>
    <w:rsid w:val="001B7D21"/>
    <w:rsid w:val="001C019A"/>
    <w:rsid w:val="001C04F8"/>
    <w:rsid w:val="001C13A3"/>
    <w:rsid w:val="001C158E"/>
    <w:rsid w:val="001C2241"/>
    <w:rsid w:val="001C23A1"/>
    <w:rsid w:val="001C2BFE"/>
    <w:rsid w:val="001C2C6D"/>
    <w:rsid w:val="001C38E5"/>
    <w:rsid w:val="001C3EF8"/>
    <w:rsid w:val="001C467F"/>
    <w:rsid w:val="001C48F3"/>
    <w:rsid w:val="001C4CAF"/>
    <w:rsid w:val="001C4CB9"/>
    <w:rsid w:val="001C64B0"/>
    <w:rsid w:val="001C65B0"/>
    <w:rsid w:val="001C69C8"/>
    <w:rsid w:val="001C7321"/>
    <w:rsid w:val="001C7380"/>
    <w:rsid w:val="001D01C1"/>
    <w:rsid w:val="001D1CA8"/>
    <w:rsid w:val="001D20DB"/>
    <w:rsid w:val="001D291F"/>
    <w:rsid w:val="001D2B4D"/>
    <w:rsid w:val="001D30C9"/>
    <w:rsid w:val="001D322F"/>
    <w:rsid w:val="001D3428"/>
    <w:rsid w:val="001D349B"/>
    <w:rsid w:val="001D40E2"/>
    <w:rsid w:val="001D419F"/>
    <w:rsid w:val="001D457F"/>
    <w:rsid w:val="001D47D1"/>
    <w:rsid w:val="001D4B1F"/>
    <w:rsid w:val="001D4B46"/>
    <w:rsid w:val="001D4C8B"/>
    <w:rsid w:val="001D4E91"/>
    <w:rsid w:val="001D5067"/>
    <w:rsid w:val="001D51DC"/>
    <w:rsid w:val="001D5326"/>
    <w:rsid w:val="001D56AB"/>
    <w:rsid w:val="001D57F2"/>
    <w:rsid w:val="001D5BD6"/>
    <w:rsid w:val="001D5E0D"/>
    <w:rsid w:val="001D732E"/>
    <w:rsid w:val="001D77F5"/>
    <w:rsid w:val="001E02AD"/>
    <w:rsid w:val="001E1B2D"/>
    <w:rsid w:val="001E1C38"/>
    <w:rsid w:val="001E2864"/>
    <w:rsid w:val="001E2AF6"/>
    <w:rsid w:val="001E3097"/>
    <w:rsid w:val="001E32B5"/>
    <w:rsid w:val="001E340A"/>
    <w:rsid w:val="001E3B4C"/>
    <w:rsid w:val="001E429B"/>
    <w:rsid w:val="001E4FAC"/>
    <w:rsid w:val="001E50D0"/>
    <w:rsid w:val="001E599C"/>
    <w:rsid w:val="001E5AAA"/>
    <w:rsid w:val="001E5DCD"/>
    <w:rsid w:val="001E5F90"/>
    <w:rsid w:val="001E6236"/>
    <w:rsid w:val="001E653C"/>
    <w:rsid w:val="001E66A0"/>
    <w:rsid w:val="001E7399"/>
    <w:rsid w:val="001E74A4"/>
    <w:rsid w:val="001E7870"/>
    <w:rsid w:val="001E7B9B"/>
    <w:rsid w:val="001E7EDE"/>
    <w:rsid w:val="001F01CB"/>
    <w:rsid w:val="001F039A"/>
    <w:rsid w:val="001F0E54"/>
    <w:rsid w:val="001F1119"/>
    <w:rsid w:val="001F1A2D"/>
    <w:rsid w:val="001F1F00"/>
    <w:rsid w:val="001F2D0E"/>
    <w:rsid w:val="001F3107"/>
    <w:rsid w:val="001F3269"/>
    <w:rsid w:val="001F3584"/>
    <w:rsid w:val="001F374D"/>
    <w:rsid w:val="001F4C35"/>
    <w:rsid w:val="001F4D44"/>
    <w:rsid w:val="001F4FAA"/>
    <w:rsid w:val="001F5941"/>
    <w:rsid w:val="001F5AD5"/>
    <w:rsid w:val="001F5BF1"/>
    <w:rsid w:val="001F5E84"/>
    <w:rsid w:val="001F6161"/>
    <w:rsid w:val="001F675E"/>
    <w:rsid w:val="001F6C9F"/>
    <w:rsid w:val="001F7A88"/>
    <w:rsid w:val="001F7D37"/>
    <w:rsid w:val="00200639"/>
    <w:rsid w:val="00200F31"/>
    <w:rsid w:val="00201D64"/>
    <w:rsid w:val="00201E9A"/>
    <w:rsid w:val="002023C3"/>
    <w:rsid w:val="00202807"/>
    <w:rsid w:val="0020358B"/>
    <w:rsid w:val="00203834"/>
    <w:rsid w:val="00203989"/>
    <w:rsid w:val="00203A27"/>
    <w:rsid w:val="00203A2B"/>
    <w:rsid w:val="00203FD5"/>
    <w:rsid w:val="002051BE"/>
    <w:rsid w:val="00205226"/>
    <w:rsid w:val="00206A41"/>
    <w:rsid w:val="002072B7"/>
    <w:rsid w:val="00207358"/>
    <w:rsid w:val="00207FD6"/>
    <w:rsid w:val="002100FE"/>
    <w:rsid w:val="00210850"/>
    <w:rsid w:val="00210C9C"/>
    <w:rsid w:val="00211290"/>
    <w:rsid w:val="00211302"/>
    <w:rsid w:val="00211869"/>
    <w:rsid w:val="002122EC"/>
    <w:rsid w:val="00212549"/>
    <w:rsid w:val="0021302A"/>
    <w:rsid w:val="00214069"/>
    <w:rsid w:val="0021464D"/>
    <w:rsid w:val="00214717"/>
    <w:rsid w:val="002151F7"/>
    <w:rsid w:val="002155BC"/>
    <w:rsid w:val="002156D8"/>
    <w:rsid w:val="002169BE"/>
    <w:rsid w:val="00216A52"/>
    <w:rsid w:val="00216E60"/>
    <w:rsid w:val="00217383"/>
    <w:rsid w:val="00217407"/>
    <w:rsid w:val="00217659"/>
    <w:rsid w:val="00217B3D"/>
    <w:rsid w:val="00220383"/>
    <w:rsid w:val="002206E8"/>
    <w:rsid w:val="00220CAE"/>
    <w:rsid w:val="00220D36"/>
    <w:rsid w:val="0022144A"/>
    <w:rsid w:val="00221690"/>
    <w:rsid w:val="00221702"/>
    <w:rsid w:val="00221E91"/>
    <w:rsid w:val="00222059"/>
    <w:rsid w:val="002220C7"/>
    <w:rsid w:val="002221D2"/>
    <w:rsid w:val="00222340"/>
    <w:rsid w:val="00222695"/>
    <w:rsid w:val="002230F1"/>
    <w:rsid w:val="0022378E"/>
    <w:rsid w:val="00223B6D"/>
    <w:rsid w:val="00223E21"/>
    <w:rsid w:val="0022459E"/>
    <w:rsid w:val="00224AF7"/>
    <w:rsid w:val="00225067"/>
    <w:rsid w:val="002259B0"/>
    <w:rsid w:val="0022728C"/>
    <w:rsid w:val="00230CA6"/>
    <w:rsid w:val="00230EE5"/>
    <w:rsid w:val="002311DF"/>
    <w:rsid w:val="002312E9"/>
    <w:rsid w:val="002317FC"/>
    <w:rsid w:val="00231A3D"/>
    <w:rsid w:val="00231AF1"/>
    <w:rsid w:val="00231B4C"/>
    <w:rsid w:val="00231C25"/>
    <w:rsid w:val="002323F0"/>
    <w:rsid w:val="0023260A"/>
    <w:rsid w:val="002342BE"/>
    <w:rsid w:val="002344AF"/>
    <w:rsid w:val="00234A71"/>
    <w:rsid w:val="00236474"/>
    <w:rsid w:val="0023647A"/>
    <w:rsid w:val="00237525"/>
    <w:rsid w:val="00237EE6"/>
    <w:rsid w:val="0024141E"/>
    <w:rsid w:val="00241BF8"/>
    <w:rsid w:val="00241F49"/>
    <w:rsid w:val="0024201D"/>
    <w:rsid w:val="00242F73"/>
    <w:rsid w:val="00243168"/>
    <w:rsid w:val="002432CD"/>
    <w:rsid w:val="00243559"/>
    <w:rsid w:val="00243B61"/>
    <w:rsid w:val="00243C63"/>
    <w:rsid w:val="00244D36"/>
    <w:rsid w:val="00244D83"/>
    <w:rsid w:val="002452D1"/>
    <w:rsid w:val="0024543F"/>
    <w:rsid w:val="00245774"/>
    <w:rsid w:val="00245873"/>
    <w:rsid w:val="00245D1C"/>
    <w:rsid w:val="00245FCD"/>
    <w:rsid w:val="00246C8B"/>
    <w:rsid w:val="002472A3"/>
    <w:rsid w:val="002474E1"/>
    <w:rsid w:val="00247676"/>
    <w:rsid w:val="0025014A"/>
    <w:rsid w:val="00250623"/>
    <w:rsid w:val="002511D2"/>
    <w:rsid w:val="00252350"/>
    <w:rsid w:val="00252956"/>
    <w:rsid w:val="00253126"/>
    <w:rsid w:val="00253195"/>
    <w:rsid w:val="002534CF"/>
    <w:rsid w:val="00253E49"/>
    <w:rsid w:val="002540D5"/>
    <w:rsid w:val="002541F3"/>
    <w:rsid w:val="00254758"/>
    <w:rsid w:val="002547AD"/>
    <w:rsid w:val="00254EDD"/>
    <w:rsid w:val="00254F42"/>
    <w:rsid w:val="002558CA"/>
    <w:rsid w:val="002570C4"/>
    <w:rsid w:val="002629CF"/>
    <w:rsid w:val="00262D90"/>
    <w:rsid w:val="00262F04"/>
    <w:rsid w:val="002635F6"/>
    <w:rsid w:val="00263E23"/>
    <w:rsid w:val="002641B1"/>
    <w:rsid w:val="00264365"/>
    <w:rsid w:val="002644CE"/>
    <w:rsid w:val="002649E9"/>
    <w:rsid w:val="00264F47"/>
    <w:rsid w:val="0026507E"/>
    <w:rsid w:val="00265228"/>
    <w:rsid w:val="0026540B"/>
    <w:rsid w:val="00265D14"/>
    <w:rsid w:val="00267896"/>
    <w:rsid w:val="00267B55"/>
    <w:rsid w:val="0027057B"/>
    <w:rsid w:val="002708B2"/>
    <w:rsid w:val="002709C3"/>
    <w:rsid w:val="00270F73"/>
    <w:rsid w:val="00271688"/>
    <w:rsid w:val="00273090"/>
    <w:rsid w:val="00273093"/>
    <w:rsid w:val="002736B4"/>
    <w:rsid w:val="0027434F"/>
    <w:rsid w:val="0027514C"/>
    <w:rsid w:val="00275182"/>
    <w:rsid w:val="0027597A"/>
    <w:rsid w:val="00275CA9"/>
    <w:rsid w:val="00275F2B"/>
    <w:rsid w:val="0027606C"/>
    <w:rsid w:val="002772D3"/>
    <w:rsid w:val="0027783C"/>
    <w:rsid w:val="00277E2C"/>
    <w:rsid w:val="00277F2E"/>
    <w:rsid w:val="002806EB"/>
    <w:rsid w:val="00280F99"/>
    <w:rsid w:val="00281C2B"/>
    <w:rsid w:val="00282140"/>
    <w:rsid w:val="00282349"/>
    <w:rsid w:val="00282BCE"/>
    <w:rsid w:val="00282C37"/>
    <w:rsid w:val="002839A9"/>
    <w:rsid w:val="00283D60"/>
    <w:rsid w:val="00283F46"/>
    <w:rsid w:val="00284085"/>
    <w:rsid w:val="002840AC"/>
    <w:rsid w:val="00284114"/>
    <w:rsid w:val="002847B7"/>
    <w:rsid w:val="00284AC7"/>
    <w:rsid w:val="00284BB1"/>
    <w:rsid w:val="002853C1"/>
    <w:rsid w:val="00286452"/>
    <w:rsid w:val="0028688A"/>
    <w:rsid w:val="00286926"/>
    <w:rsid w:val="00286D32"/>
    <w:rsid w:val="0028716C"/>
    <w:rsid w:val="00287DCD"/>
    <w:rsid w:val="002900C4"/>
    <w:rsid w:val="002906DC"/>
    <w:rsid w:val="00290947"/>
    <w:rsid w:val="002919E6"/>
    <w:rsid w:val="00292B28"/>
    <w:rsid w:val="0029304B"/>
    <w:rsid w:val="00293DB1"/>
    <w:rsid w:val="00293DC6"/>
    <w:rsid w:val="00294EF5"/>
    <w:rsid w:val="002950FE"/>
    <w:rsid w:val="0029575C"/>
    <w:rsid w:val="0029593F"/>
    <w:rsid w:val="00295EEE"/>
    <w:rsid w:val="00296108"/>
    <w:rsid w:val="0029698C"/>
    <w:rsid w:val="00297212"/>
    <w:rsid w:val="0029772D"/>
    <w:rsid w:val="00297D74"/>
    <w:rsid w:val="002A039C"/>
    <w:rsid w:val="002A0A20"/>
    <w:rsid w:val="002A1A18"/>
    <w:rsid w:val="002A29C5"/>
    <w:rsid w:val="002A31D0"/>
    <w:rsid w:val="002A32EC"/>
    <w:rsid w:val="002A3785"/>
    <w:rsid w:val="002A398D"/>
    <w:rsid w:val="002A48EF"/>
    <w:rsid w:val="002A4FB4"/>
    <w:rsid w:val="002A5742"/>
    <w:rsid w:val="002A585B"/>
    <w:rsid w:val="002A58F4"/>
    <w:rsid w:val="002A5947"/>
    <w:rsid w:val="002A6BA0"/>
    <w:rsid w:val="002A7115"/>
    <w:rsid w:val="002A71E0"/>
    <w:rsid w:val="002A784B"/>
    <w:rsid w:val="002B03B8"/>
    <w:rsid w:val="002B0670"/>
    <w:rsid w:val="002B07A9"/>
    <w:rsid w:val="002B0A9A"/>
    <w:rsid w:val="002B0AB1"/>
    <w:rsid w:val="002B0EB7"/>
    <w:rsid w:val="002B0ECF"/>
    <w:rsid w:val="002B1497"/>
    <w:rsid w:val="002B14E5"/>
    <w:rsid w:val="002B17BE"/>
    <w:rsid w:val="002B1B18"/>
    <w:rsid w:val="002B1BDF"/>
    <w:rsid w:val="002B1CF7"/>
    <w:rsid w:val="002B2504"/>
    <w:rsid w:val="002B2F39"/>
    <w:rsid w:val="002B2F83"/>
    <w:rsid w:val="002B3497"/>
    <w:rsid w:val="002B39A7"/>
    <w:rsid w:val="002B43E3"/>
    <w:rsid w:val="002B472E"/>
    <w:rsid w:val="002B4753"/>
    <w:rsid w:val="002B47C9"/>
    <w:rsid w:val="002B4898"/>
    <w:rsid w:val="002B4F13"/>
    <w:rsid w:val="002B53A7"/>
    <w:rsid w:val="002B58C8"/>
    <w:rsid w:val="002B5AB0"/>
    <w:rsid w:val="002B61B2"/>
    <w:rsid w:val="002B6396"/>
    <w:rsid w:val="002B6665"/>
    <w:rsid w:val="002B6951"/>
    <w:rsid w:val="002B6BB0"/>
    <w:rsid w:val="002B6EE6"/>
    <w:rsid w:val="002B765D"/>
    <w:rsid w:val="002C0030"/>
    <w:rsid w:val="002C0272"/>
    <w:rsid w:val="002C0496"/>
    <w:rsid w:val="002C0D19"/>
    <w:rsid w:val="002C12C3"/>
    <w:rsid w:val="002C134A"/>
    <w:rsid w:val="002C17B5"/>
    <w:rsid w:val="002C246E"/>
    <w:rsid w:val="002C2636"/>
    <w:rsid w:val="002C277B"/>
    <w:rsid w:val="002C2DF1"/>
    <w:rsid w:val="002C2E9C"/>
    <w:rsid w:val="002C34C3"/>
    <w:rsid w:val="002C3EC2"/>
    <w:rsid w:val="002C4303"/>
    <w:rsid w:val="002C4348"/>
    <w:rsid w:val="002C4726"/>
    <w:rsid w:val="002C47D4"/>
    <w:rsid w:val="002C4CD0"/>
    <w:rsid w:val="002C4D6F"/>
    <w:rsid w:val="002C4E1E"/>
    <w:rsid w:val="002C6861"/>
    <w:rsid w:val="002C6924"/>
    <w:rsid w:val="002C6ABC"/>
    <w:rsid w:val="002C6ABF"/>
    <w:rsid w:val="002C6D06"/>
    <w:rsid w:val="002C6EC3"/>
    <w:rsid w:val="002C7103"/>
    <w:rsid w:val="002C7274"/>
    <w:rsid w:val="002C7A65"/>
    <w:rsid w:val="002D021D"/>
    <w:rsid w:val="002D0287"/>
    <w:rsid w:val="002D09D7"/>
    <w:rsid w:val="002D0EBE"/>
    <w:rsid w:val="002D0F95"/>
    <w:rsid w:val="002D10C5"/>
    <w:rsid w:val="002D10D7"/>
    <w:rsid w:val="002D1329"/>
    <w:rsid w:val="002D1A51"/>
    <w:rsid w:val="002D1F92"/>
    <w:rsid w:val="002D24B2"/>
    <w:rsid w:val="002D2B91"/>
    <w:rsid w:val="002D2C2B"/>
    <w:rsid w:val="002D39C7"/>
    <w:rsid w:val="002D3BBA"/>
    <w:rsid w:val="002D3FF7"/>
    <w:rsid w:val="002D4A13"/>
    <w:rsid w:val="002D4E79"/>
    <w:rsid w:val="002D549B"/>
    <w:rsid w:val="002D5F63"/>
    <w:rsid w:val="002D6630"/>
    <w:rsid w:val="002D6A7A"/>
    <w:rsid w:val="002D6D5F"/>
    <w:rsid w:val="002D7254"/>
    <w:rsid w:val="002D79EA"/>
    <w:rsid w:val="002E0815"/>
    <w:rsid w:val="002E0C3E"/>
    <w:rsid w:val="002E12EB"/>
    <w:rsid w:val="002E14EE"/>
    <w:rsid w:val="002E15BF"/>
    <w:rsid w:val="002E2213"/>
    <w:rsid w:val="002E2256"/>
    <w:rsid w:val="002E22C2"/>
    <w:rsid w:val="002E2D81"/>
    <w:rsid w:val="002E34E3"/>
    <w:rsid w:val="002E34F4"/>
    <w:rsid w:val="002E447D"/>
    <w:rsid w:val="002E4705"/>
    <w:rsid w:val="002E4BFC"/>
    <w:rsid w:val="002E4DDF"/>
    <w:rsid w:val="002E4FE1"/>
    <w:rsid w:val="002E566B"/>
    <w:rsid w:val="002E5B2D"/>
    <w:rsid w:val="002E6C25"/>
    <w:rsid w:val="002E72F9"/>
    <w:rsid w:val="002E76FE"/>
    <w:rsid w:val="002E790D"/>
    <w:rsid w:val="002F0732"/>
    <w:rsid w:val="002F0E9D"/>
    <w:rsid w:val="002F10A9"/>
    <w:rsid w:val="002F1446"/>
    <w:rsid w:val="002F1B04"/>
    <w:rsid w:val="002F1FF8"/>
    <w:rsid w:val="002F2393"/>
    <w:rsid w:val="002F2987"/>
    <w:rsid w:val="002F2E91"/>
    <w:rsid w:val="002F2FCC"/>
    <w:rsid w:val="002F34B6"/>
    <w:rsid w:val="002F39BD"/>
    <w:rsid w:val="002F46A7"/>
    <w:rsid w:val="002F4F16"/>
    <w:rsid w:val="002F5D15"/>
    <w:rsid w:val="002F60F3"/>
    <w:rsid w:val="002F6135"/>
    <w:rsid w:val="002F617F"/>
    <w:rsid w:val="002F6C41"/>
    <w:rsid w:val="002F6E40"/>
    <w:rsid w:val="002F7A72"/>
    <w:rsid w:val="002F7F03"/>
    <w:rsid w:val="00300B60"/>
    <w:rsid w:val="00301040"/>
    <w:rsid w:val="003013A9"/>
    <w:rsid w:val="003023D9"/>
    <w:rsid w:val="00302633"/>
    <w:rsid w:val="00302A07"/>
    <w:rsid w:val="00302D1D"/>
    <w:rsid w:val="00303015"/>
    <w:rsid w:val="003032D2"/>
    <w:rsid w:val="0030362A"/>
    <w:rsid w:val="003036FC"/>
    <w:rsid w:val="00303920"/>
    <w:rsid w:val="0030397E"/>
    <w:rsid w:val="003039C7"/>
    <w:rsid w:val="00303D71"/>
    <w:rsid w:val="003049D9"/>
    <w:rsid w:val="00304EAD"/>
    <w:rsid w:val="00305148"/>
    <w:rsid w:val="00305177"/>
    <w:rsid w:val="0030517B"/>
    <w:rsid w:val="0030522D"/>
    <w:rsid w:val="003065F8"/>
    <w:rsid w:val="003066C2"/>
    <w:rsid w:val="003069B5"/>
    <w:rsid w:val="00306E54"/>
    <w:rsid w:val="00307868"/>
    <w:rsid w:val="003078DF"/>
    <w:rsid w:val="0031028E"/>
    <w:rsid w:val="00310328"/>
    <w:rsid w:val="0031034E"/>
    <w:rsid w:val="00310C94"/>
    <w:rsid w:val="00310EAB"/>
    <w:rsid w:val="003114D2"/>
    <w:rsid w:val="00311B81"/>
    <w:rsid w:val="00311F47"/>
    <w:rsid w:val="0031209E"/>
    <w:rsid w:val="003120D2"/>
    <w:rsid w:val="00312454"/>
    <w:rsid w:val="003125C0"/>
    <w:rsid w:val="00312D31"/>
    <w:rsid w:val="00313001"/>
    <w:rsid w:val="00313091"/>
    <w:rsid w:val="00313479"/>
    <w:rsid w:val="00313641"/>
    <w:rsid w:val="003139F3"/>
    <w:rsid w:val="00313C56"/>
    <w:rsid w:val="003143BE"/>
    <w:rsid w:val="0031459D"/>
    <w:rsid w:val="0031524C"/>
    <w:rsid w:val="00315547"/>
    <w:rsid w:val="00316056"/>
    <w:rsid w:val="003165DC"/>
    <w:rsid w:val="00316C53"/>
    <w:rsid w:val="003170E8"/>
    <w:rsid w:val="00317101"/>
    <w:rsid w:val="0032000A"/>
    <w:rsid w:val="003203F1"/>
    <w:rsid w:val="00320D3F"/>
    <w:rsid w:val="003216A6"/>
    <w:rsid w:val="00321A91"/>
    <w:rsid w:val="0032234D"/>
    <w:rsid w:val="0032286E"/>
    <w:rsid w:val="003229AC"/>
    <w:rsid w:val="00323291"/>
    <w:rsid w:val="00323705"/>
    <w:rsid w:val="003238E7"/>
    <w:rsid w:val="00323C46"/>
    <w:rsid w:val="00323D13"/>
    <w:rsid w:val="0032452D"/>
    <w:rsid w:val="00324A81"/>
    <w:rsid w:val="00324ADE"/>
    <w:rsid w:val="00324EEE"/>
    <w:rsid w:val="003250E7"/>
    <w:rsid w:val="003251F8"/>
    <w:rsid w:val="003252EE"/>
    <w:rsid w:val="00325690"/>
    <w:rsid w:val="00325BF6"/>
    <w:rsid w:val="0032647B"/>
    <w:rsid w:val="00326502"/>
    <w:rsid w:val="003267BF"/>
    <w:rsid w:val="00326A62"/>
    <w:rsid w:val="00326C2C"/>
    <w:rsid w:val="00326F09"/>
    <w:rsid w:val="00327754"/>
    <w:rsid w:val="00330465"/>
    <w:rsid w:val="0033078B"/>
    <w:rsid w:val="00330875"/>
    <w:rsid w:val="00330F2F"/>
    <w:rsid w:val="003312D4"/>
    <w:rsid w:val="003322B9"/>
    <w:rsid w:val="00332C10"/>
    <w:rsid w:val="0033308E"/>
    <w:rsid w:val="00333117"/>
    <w:rsid w:val="00333331"/>
    <w:rsid w:val="0033346C"/>
    <w:rsid w:val="00334141"/>
    <w:rsid w:val="0033480B"/>
    <w:rsid w:val="00334989"/>
    <w:rsid w:val="00334A1B"/>
    <w:rsid w:val="003355FC"/>
    <w:rsid w:val="00335AA4"/>
    <w:rsid w:val="00335CCE"/>
    <w:rsid w:val="003362C6"/>
    <w:rsid w:val="00336672"/>
    <w:rsid w:val="00336BC3"/>
    <w:rsid w:val="00337188"/>
    <w:rsid w:val="00340843"/>
    <w:rsid w:val="0034126E"/>
    <w:rsid w:val="0034129A"/>
    <w:rsid w:val="003418B3"/>
    <w:rsid w:val="0034235C"/>
    <w:rsid w:val="0034250E"/>
    <w:rsid w:val="0034286F"/>
    <w:rsid w:val="00342EDE"/>
    <w:rsid w:val="003435DF"/>
    <w:rsid w:val="00343636"/>
    <w:rsid w:val="00343CA6"/>
    <w:rsid w:val="00344459"/>
    <w:rsid w:val="003444B3"/>
    <w:rsid w:val="0034476F"/>
    <w:rsid w:val="00344A2B"/>
    <w:rsid w:val="00344CE6"/>
    <w:rsid w:val="00344F6B"/>
    <w:rsid w:val="00345D27"/>
    <w:rsid w:val="00345F2B"/>
    <w:rsid w:val="00346402"/>
    <w:rsid w:val="003464E9"/>
    <w:rsid w:val="00346DBA"/>
    <w:rsid w:val="00347229"/>
    <w:rsid w:val="003476D7"/>
    <w:rsid w:val="00347881"/>
    <w:rsid w:val="00347FAD"/>
    <w:rsid w:val="003501E2"/>
    <w:rsid w:val="003502E5"/>
    <w:rsid w:val="00350566"/>
    <w:rsid w:val="00350806"/>
    <w:rsid w:val="00350D3E"/>
    <w:rsid w:val="0035123E"/>
    <w:rsid w:val="00351DD3"/>
    <w:rsid w:val="0035225A"/>
    <w:rsid w:val="00352920"/>
    <w:rsid w:val="00352AA7"/>
    <w:rsid w:val="00352F9B"/>
    <w:rsid w:val="00352FC4"/>
    <w:rsid w:val="00353143"/>
    <w:rsid w:val="003534A5"/>
    <w:rsid w:val="003535BE"/>
    <w:rsid w:val="00354308"/>
    <w:rsid w:val="00354684"/>
    <w:rsid w:val="00354D56"/>
    <w:rsid w:val="00354F98"/>
    <w:rsid w:val="003550E6"/>
    <w:rsid w:val="0035572F"/>
    <w:rsid w:val="00355B53"/>
    <w:rsid w:val="00355ED1"/>
    <w:rsid w:val="0035633E"/>
    <w:rsid w:val="003567D5"/>
    <w:rsid w:val="0035694E"/>
    <w:rsid w:val="00357300"/>
    <w:rsid w:val="00357668"/>
    <w:rsid w:val="00357DF3"/>
    <w:rsid w:val="00360726"/>
    <w:rsid w:val="0036084F"/>
    <w:rsid w:val="00360E16"/>
    <w:rsid w:val="00361378"/>
    <w:rsid w:val="00361412"/>
    <w:rsid w:val="0036145A"/>
    <w:rsid w:val="00361699"/>
    <w:rsid w:val="003617ED"/>
    <w:rsid w:val="00361893"/>
    <w:rsid w:val="00362B81"/>
    <w:rsid w:val="00363698"/>
    <w:rsid w:val="00363954"/>
    <w:rsid w:val="00363A35"/>
    <w:rsid w:val="00363E34"/>
    <w:rsid w:val="0036449B"/>
    <w:rsid w:val="00364C8E"/>
    <w:rsid w:val="00364F86"/>
    <w:rsid w:val="003652BA"/>
    <w:rsid w:val="00365B60"/>
    <w:rsid w:val="00365C7E"/>
    <w:rsid w:val="003661CB"/>
    <w:rsid w:val="00366505"/>
    <w:rsid w:val="00366B20"/>
    <w:rsid w:val="00366F74"/>
    <w:rsid w:val="0036749A"/>
    <w:rsid w:val="003677FB"/>
    <w:rsid w:val="0037096F"/>
    <w:rsid w:val="00370986"/>
    <w:rsid w:val="003709D6"/>
    <w:rsid w:val="00370CF7"/>
    <w:rsid w:val="0037113E"/>
    <w:rsid w:val="00371173"/>
    <w:rsid w:val="00371352"/>
    <w:rsid w:val="003716C4"/>
    <w:rsid w:val="0037184B"/>
    <w:rsid w:val="00371F03"/>
    <w:rsid w:val="00372BAA"/>
    <w:rsid w:val="00372EB8"/>
    <w:rsid w:val="00373216"/>
    <w:rsid w:val="00373BB7"/>
    <w:rsid w:val="00373EE5"/>
    <w:rsid w:val="00373F2A"/>
    <w:rsid w:val="00374224"/>
    <w:rsid w:val="003744F4"/>
    <w:rsid w:val="00374620"/>
    <w:rsid w:val="00374CDD"/>
    <w:rsid w:val="00375244"/>
    <w:rsid w:val="00375401"/>
    <w:rsid w:val="003756C3"/>
    <w:rsid w:val="003757EB"/>
    <w:rsid w:val="00376116"/>
    <w:rsid w:val="003765B3"/>
    <w:rsid w:val="00376B8C"/>
    <w:rsid w:val="00376BF6"/>
    <w:rsid w:val="00376EC3"/>
    <w:rsid w:val="003771CE"/>
    <w:rsid w:val="003774CA"/>
    <w:rsid w:val="00377DF8"/>
    <w:rsid w:val="0038027B"/>
    <w:rsid w:val="00380F29"/>
    <w:rsid w:val="003810DA"/>
    <w:rsid w:val="00382285"/>
    <w:rsid w:val="0038262C"/>
    <w:rsid w:val="00382A05"/>
    <w:rsid w:val="00382DC5"/>
    <w:rsid w:val="00383339"/>
    <w:rsid w:val="00383BBE"/>
    <w:rsid w:val="00383BCD"/>
    <w:rsid w:val="00385153"/>
    <w:rsid w:val="00386902"/>
    <w:rsid w:val="00387047"/>
    <w:rsid w:val="00387A45"/>
    <w:rsid w:val="00387D84"/>
    <w:rsid w:val="00390286"/>
    <w:rsid w:val="00390DB5"/>
    <w:rsid w:val="003913A7"/>
    <w:rsid w:val="003914FB"/>
    <w:rsid w:val="00392121"/>
    <w:rsid w:val="00392489"/>
    <w:rsid w:val="0039268C"/>
    <w:rsid w:val="0039291A"/>
    <w:rsid w:val="00393A08"/>
    <w:rsid w:val="00394BA8"/>
    <w:rsid w:val="00395431"/>
    <w:rsid w:val="003969BD"/>
    <w:rsid w:val="00396D10"/>
    <w:rsid w:val="00396D44"/>
    <w:rsid w:val="0039728F"/>
    <w:rsid w:val="00397481"/>
    <w:rsid w:val="00397763"/>
    <w:rsid w:val="003978F4"/>
    <w:rsid w:val="00397929"/>
    <w:rsid w:val="00397BD2"/>
    <w:rsid w:val="003A01C3"/>
    <w:rsid w:val="003A0A02"/>
    <w:rsid w:val="003A0DB3"/>
    <w:rsid w:val="003A1070"/>
    <w:rsid w:val="003A1290"/>
    <w:rsid w:val="003A17C9"/>
    <w:rsid w:val="003A18BA"/>
    <w:rsid w:val="003A1ED0"/>
    <w:rsid w:val="003A20FF"/>
    <w:rsid w:val="003A281E"/>
    <w:rsid w:val="003A288E"/>
    <w:rsid w:val="003A3671"/>
    <w:rsid w:val="003A394D"/>
    <w:rsid w:val="003A3AAC"/>
    <w:rsid w:val="003A4042"/>
    <w:rsid w:val="003A5283"/>
    <w:rsid w:val="003A5448"/>
    <w:rsid w:val="003A5856"/>
    <w:rsid w:val="003A594C"/>
    <w:rsid w:val="003A70FF"/>
    <w:rsid w:val="003B0415"/>
    <w:rsid w:val="003B04DD"/>
    <w:rsid w:val="003B070C"/>
    <w:rsid w:val="003B0ADE"/>
    <w:rsid w:val="003B0B72"/>
    <w:rsid w:val="003B1695"/>
    <w:rsid w:val="003B2162"/>
    <w:rsid w:val="003B27C1"/>
    <w:rsid w:val="003B2A48"/>
    <w:rsid w:val="003B3E8A"/>
    <w:rsid w:val="003B41B1"/>
    <w:rsid w:val="003B445D"/>
    <w:rsid w:val="003B4A2C"/>
    <w:rsid w:val="003B4A30"/>
    <w:rsid w:val="003B4D0D"/>
    <w:rsid w:val="003B5356"/>
    <w:rsid w:val="003B549C"/>
    <w:rsid w:val="003B5A15"/>
    <w:rsid w:val="003B5A52"/>
    <w:rsid w:val="003B5BD1"/>
    <w:rsid w:val="003B5C55"/>
    <w:rsid w:val="003B5D10"/>
    <w:rsid w:val="003B5ED8"/>
    <w:rsid w:val="003B5FE1"/>
    <w:rsid w:val="003B6694"/>
    <w:rsid w:val="003B6F02"/>
    <w:rsid w:val="003B7083"/>
    <w:rsid w:val="003B7161"/>
    <w:rsid w:val="003B7853"/>
    <w:rsid w:val="003C00D2"/>
    <w:rsid w:val="003C086F"/>
    <w:rsid w:val="003C0D2D"/>
    <w:rsid w:val="003C2DD3"/>
    <w:rsid w:val="003C33B7"/>
    <w:rsid w:val="003C35EF"/>
    <w:rsid w:val="003C40AF"/>
    <w:rsid w:val="003C53D1"/>
    <w:rsid w:val="003C598B"/>
    <w:rsid w:val="003C5D89"/>
    <w:rsid w:val="003C6BDF"/>
    <w:rsid w:val="003C6F8A"/>
    <w:rsid w:val="003C76C6"/>
    <w:rsid w:val="003C7886"/>
    <w:rsid w:val="003D0557"/>
    <w:rsid w:val="003D06CE"/>
    <w:rsid w:val="003D0815"/>
    <w:rsid w:val="003D0C4E"/>
    <w:rsid w:val="003D154A"/>
    <w:rsid w:val="003D263D"/>
    <w:rsid w:val="003D277C"/>
    <w:rsid w:val="003D281A"/>
    <w:rsid w:val="003D296E"/>
    <w:rsid w:val="003D3112"/>
    <w:rsid w:val="003D3801"/>
    <w:rsid w:val="003D389B"/>
    <w:rsid w:val="003D3937"/>
    <w:rsid w:val="003D3A3A"/>
    <w:rsid w:val="003D3D5B"/>
    <w:rsid w:val="003D42AB"/>
    <w:rsid w:val="003D49CC"/>
    <w:rsid w:val="003D4BD6"/>
    <w:rsid w:val="003D5589"/>
    <w:rsid w:val="003D5667"/>
    <w:rsid w:val="003D6209"/>
    <w:rsid w:val="003D6579"/>
    <w:rsid w:val="003D682A"/>
    <w:rsid w:val="003D6A6E"/>
    <w:rsid w:val="003D6CE7"/>
    <w:rsid w:val="003D6DCE"/>
    <w:rsid w:val="003D6E67"/>
    <w:rsid w:val="003D7C0B"/>
    <w:rsid w:val="003E00B9"/>
    <w:rsid w:val="003E023C"/>
    <w:rsid w:val="003E0316"/>
    <w:rsid w:val="003E069C"/>
    <w:rsid w:val="003E0738"/>
    <w:rsid w:val="003E1364"/>
    <w:rsid w:val="003E2341"/>
    <w:rsid w:val="003E270B"/>
    <w:rsid w:val="003E33DA"/>
    <w:rsid w:val="003E3F12"/>
    <w:rsid w:val="003E41B1"/>
    <w:rsid w:val="003E4301"/>
    <w:rsid w:val="003E441F"/>
    <w:rsid w:val="003E4F61"/>
    <w:rsid w:val="003E4FC4"/>
    <w:rsid w:val="003E52DE"/>
    <w:rsid w:val="003E62E1"/>
    <w:rsid w:val="003E6B65"/>
    <w:rsid w:val="003E6E0B"/>
    <w:rsid w:val="003E7208"/>
    <w:rsid w:val="003E76D5"/>
    <w:rsid w:val="003E79D9"/>
    <w:rsid w:val="003E7A8F"/>
    <w:rsid w:val="003E7CC3"/>
    <w:rsid w:val="003E7CD6"/>
    <w:rsid w:val="003E7EFD"/>
    <w:rsid w:val="003F03DF"/>
    <w:rsid w:val="003F0648"/>
    <w:rsid w:val="003F0890"/>
    <w:rsid w:val="003F0AF2"/>
    <w:rsid w:val="003F0C7C"/>
    <w:rsid w:val="003F180B"/>
    <w:rsid w:val="003F1892"/>
    <w:rsid w:val="003F1E84"/>
    <w:rsid w:val="003F2351"/>
    <w:rsid w:val="003F245E"/>
    <w:rsid w:val="003F26D2"/>
    <w:rsid w:val="003F28C4"/>
    <w:rsid w:val="003F2C37"/>
    <w:rsid w:val="003F2EE2"/>
    <w:rsid w:val="003F3690"/>
    <w:rsid w:val="003F3EDF"/>
    <w:rsid w:val="003F3F75"/>
    <w:rsid w:val="003F4378"/>
    <w:rsid w:val="003F47E8"/>
    <w:rsid w:val="003F4A3B"/>
    <w:rsid w:val="003F53C8"/>
    <w:rsid w:val="003F5954"/>
    <w:rsid w:val="003F5EE8"/>
    <w:rsid w:val="003F62E3"/>
    <w:rsid w:val="003F6489"/>
    <w:rsid w:val="003F6602"/>
    <w:rsid w:val="003F686C"/>
    <w:rsid w:val="003F7420"/>
    <w:rsid w:val="003F7680"/>
    <w:rsid w:val="003F7749"/>
    <w:rsid w:val="003F78E8"/>
    <w:rsid w:val="0040010A"/>
    <w:rsid w:val="00400336"/>
    <w:rsid w:val="00400B7F"/>
    <w:rsid w:val="00400E05"/>
    <w:rsid w:val="004012D6"/>
    <w:rsid w:val="00401D44"/>
    <w:rsid w:val="00402B76"/>
    <w:rsid w:val="00402F0B"/>
    <w:rsid w:val="00403FB7"/>
    <w:rsid w:val="00404BE1"/>
    <w:rsid w:val="00404D8D"/>
    <w:rsid w:val="00404EAB"/>
    <w:rsid w:val="00405297"/>
    <w:rsid w:val="00406012"/>
    <w:rsid w:val="004064BD"/>
    <w:rsid w:val="00406979"/>
    <w:rsid w:val="00407506"/>
    <w:rsid w:val="004100DB"/>
    <w:rsid w:val="00410AB3"/>
    <w:rsid w:val="00410B2B"/>
    <w:rsid w:val="00410E32"/>
    <w:rsid w:val="004114EF"/>
    <w:rsid w:val="004117DD"/>
    <w:rsid w:val="00411C47"/>
    <w:rsid w:val="004120BF"/>
    <w:rsid w:val="004120F3"/>
    <w:rsid w:val="0041243D"/>
    <w:rsid w:val="0041303C"/>
    <w:rsid w:val="004131DA"/>
    <w:rsid w:val="00413540"/>
    <w:rsid w:val="00415620"/>
    <w:rsid w:val="00415994"/>
    <w:rsid w:val="00415A7A"/>
    <w:rsid w:val="0041659E"/>
    <w:rsid w:val="004169BD"/>
    <w:rsid w:val="0041705C"/>
    <w:rsid w:val="00420327"/>
    <w:rsid w:val="00420437"/>
    <w:rsid w:val="00421727"/>
    <w:rsid w:val="00421AAD"/>
    <w:rsid w:val="00421D0A"/>
    <w:rsid w:val="00421E19"/>
    <w:rsid w:val="004220BF"/>
    <w:rsid w:val="00422345"/>
    <w:rsid w:val="00422648"/>
    <w:rsid w:val="004231CD"/>
    <w:rsid w:val="0042367D"/>
    <w:rsid w:val="004236FB"/>
    <w:rsid w:val="00423BB4"/>
    <w:rsid w:val="00424D41"/>
    <w:rsid w:val="0042555A"/>
    <w:rsid w:val="00425991"/>
    <w:rsid w:val="00425D98"/>
    <w:rsid w:val="004261D6"/>
    <w:rsid w:val="00426391"/>
    <w:rsid w:val="00426BA2"/>
    <w:rsid w:val="00426CC9"/>
    <w:rsid w:val="00426D8C"/>
    <w:rsid w:val="00426E6B"/>
    <w:rsid w:val="00427610"/>
    <w:rsid w:val="0042778A"/>
    <w:rsid w:val="00427D4E"/>
    <w:rsid w:val="00427E2D"/>
    <w:rsid w:val="00430048"/>
    <w:rsid w:val="004308E6"/>
    <w:rsid w:val="00430AFF"/>
    <w:rsid w:val="00430C53"/>
    <w:rsid w:val="00430FC9"/>
    <w:rsid w:val="004310BA"/>
    <w:rsid w:val="0043131F"/>
    <w:rsid w:val="004321EF"/>
    <w:rsid w:val="0043230D"/>
    <w:rsid w:val="004326F8"/>
    <w:rsid w:val="00432FED"/>
    <w:rsid w:val="00433283"/>
    <w:rsid w:val="00433999"/>
    <w:rsid w:val="00434297"/>
    <w:rsid w:val="00435518"/>
    <w:rsid w:val="004359CB"/>
    <w:rsid w:val="00435B62"/>
    <w:rsid w:val="00436017"/>
    <w:rsid w:val="004360C4"/>
    <w:rsid w:val="00436204"/>
    <w:rsid w:val="00436333"/>
    <w:rsid w:val="004366C5"/>
    <w:rsid w:val="00436808"/>
    <w:rsid w:val="00436892"/>
    <w:rsid w:val="0043696B"/>
    <w:rsid w:val="00437CF2"/>
    <w:rsid w:val="00440938"/>
    <w:rsid w:val="00441783"/>
    <w:rsid w:val="00442029"/>
    <w:rsid w:val="00442464"/>
    <w:rsid w:val="00442543"/>
    <w:rsid w:val="00442FBD"/>
    <w:rsid w:val="004430F3"/>
    <w:rsid w:val="00443103"/>
    <w:rsid w:val="00443342"/>
    <w:rsid w:val="004438ED"/>
    <w:rsid w:val="00443D67"/>
    <w:rsid w:val="00443F97"/>
    <w:rsid w:val="00444211"/>
    <w:rsid w:val="00444546"/>
    <w:rsid w:val="00444DA6"/>
    <w:rsid w:val="004456BF"/>
    <w:rsid w:val="00445AA6"/>
    <w:rsid w:val="00445B68"/>
    <w:rsid w:val="00447332"/>
    <w:rsid w:val="00447E6A"/>
    <w:rsid w:val="004502DC"/>
    <w:rsid w:val="004506B2"/>
    <w:rsid w:val="00450D02"/>
    <w:rsid w:val="00450E6C"/>
    <w:rsid w:val="004515E6"/>
    <w:rsid w:val="00451796"/>
    <w:rsid w:val="00451903"/>
    <w:rsid w:val="0045262C"/>
    <w:rsid w:val="00452F7C"/>
    <w:rsid w:val="0045395B"/>
    <w:rsid w:val="00454403"/>
    <w:rsid w:val="004544D6"/>
    <w:rsid w:val="004546AC"/>
    <w:rsid w:val="004548F4"/>
    <w:rsid w:val="00454935"/>
    <w:rsid w:val="004549D0"/>
    <w:rsid w:val="004551C8"/>
    <w:rsid w:val="004552B9"/>
    <w:rsid w:val="004552DB"/>
    <w:rsid w:val="00455619"/>
    <w:rsid w:val="00455682"/>
    <w:rsid w:val="00456F7F"/>
    <w:rsid w:val="00457131"/>
    <w:rsid w:val="00457F52"/>
    <w:rsid w:val="004600B3"/>
    <w:rsid w:val="00460224"/>
    <w:rsid w:val="004607F4"/>
    <w:rsid w:val="0046082A"/>
    <w:rsid w:val="004609C9"/>
    <w:rsid w:val="0046102F"/>
    <w:rsid w:val="004612E7"/>
    <w:rsid w:val="004613C5"/>
    <w:rsid w:val="004614D8"/>
    <w:rsid w:val="004623A7"/>
    <w:rsid w:val="00462710"/>
    <w:rsid w:val="004633AD"/>
    <w:rsid w:val="00463E4A"/>
    <w:rsid w:val="0046563A"/>
    <w:rsid w:val="00465C5C"/>
    <w:rsid w:val="0046635C"/>
    <w:rsid w:val="0046649D"/>
    <w:rsid w:val="00466C40"/>
    <w:rsid w:val="00467270"/>
    <w:rsid w:val="00467916"/>
    <w:rsid w:val="00467B03"/>
    <w:rsid w:val="00467D66"/>
    <w:rsid w:val="0047080F"/>
    <w:rsid w:val="004708FC"/>
    <w:rsid w:val="00470D1A"/>
    <w:rsid w:val="004720B2"/>
    <w:rsid w:val="004723F1"/>
    <w:rsid w:val="004724E4"/>
    <w:rsid w:val="004725C8"/>
    <w:rsid w:val="00473310"/>
    <w:rsid w:val="00473378"/>
    <w:rsid w:val="004741AA"/>
    <w:rsid w:val="004742C8"/>
    <w:rsid w:val="00474496"/>
    <w:rsid w:val="0047533C"/>
    <w:rsid w:val="0047550E"/>
    <w:rsid w:val="004757C4"/>
    <w:rsid w:val="00475DB8"/>
    <w:rsid w:val="004765A9"/>
    <w:rsid w:val="00477AC4"/>
    <w:rsid w:val="00477BC4"/>
    <w:rsid w:val="00477F46"/>
    <w:rsid w:val="00480675"/>
    <w:rsid w:val="004806DC"/>
    <w:rsid w:val="004808D3"/>
    <w:rsid w:val="00480EE1"/>
    <w:rsid w:val="004814A0"/>
    <w:rsid w:val="0048183A"/>
    <w:rsid w:val="004818F1"/>
    <w:rsid w:val="00481C78"/>
    <w:rsid w:val="004828EC"/>
    <w:rsid w:val="004837D8"/>
    <w:rsid w:val="00483870"/>
    <w:rsid w:val="00483D55"/>
    <w:rsid w:val="0048456B"/>
    <w:rsid w:val="00484803"/>
    <w:rsid w:val="00485141"/>
    <w:rsid w:val="004854D9"/>
    <w:rsid w:val="00485750"/>
    <w:rsid w:val="0048620D"/>
    <w:rsid w:val="004863DA"/>
    <w:rsid w:val="00486E68"/>
    <w:rsid w:val="00486E85"/>
    <w:rsid w:val="00487573"/>
    <w:rsid w:val="00487AEC"/>
    <w:rsid w:val="0049052A"/>
    <w:rsid w:val="00490DB7"/>
    <w:rsid w:val="004919F0"/>
    <w:rsid w:val="004919FD"/>
    <w:rsid w:val="00491F32"/>
    <w:rsid w:val="004927C0"/>
    <w:rsid w:val="004929FD"/>
    <w:rsid w:val="004932B6"/>
    <w:rsid w:val="00494587"/>
    <w:rsid w:val="0049466C"/>
    <w:rsid w:val="00494C84"/>
    <w:rsid w:val="0049547C"/>
    <w:rsid w:val="004956E1"/>
    <w:rsid w:val="004959AE"/>
    <w:rsid w:val="00496068"/>
    <w:rsid w:val="00496164"/>
    <w:rsid w:val="004966B1"/>
    <w:rsid w:val="004974A9"/>
    <w:rsid w:val="004978E3"/>
    <w:rsid w:val="00497938"/>
    <w:rsid w:val="00497AA1"/>
    <w:rsid w:val="00497CB2"/>
    <w:rsid w:val="004A0406"/>
    <w:rsid w:val="004A08CC"/>
    <w:rsid w:val="004A0D2E"/>
    <w:rsid w:val="004A191C"/>
    <w:rsid w:val="004A192B"/>
    <w:rsid w:val="004A35ED"/>
    <w:rsid w:val="004A3B28"/>
    <w:rsid w:val="004A3F80"/>
    <w:rsid w:val="004A589A"/>
    <w:rsid w:val="004A5BE1"/>
    <w:rsid w:val="004A6D48"/>
    <w:rsid w:val="004A7648"/>
    <w:rsid w:val="004A76BA"/>
    <w:rsid w:val="004A79B2"/>
    <w:rsid w:val="004B076D"/>
    <w:rsid w:val="004B0913"/>
    <w:rsid w:val="004B0B79"/>
    <w:rsid w:val="004B0BCB"/>
    <w:rsid w:val="004B1353"/>
    <w:rsid w:val="004B1CD8"/>
    <w:rsid w:val="004B1F82"/>
    <w:rsid w:val="004B2313"/>
    <w:rsid w:val="004B2485"/>
    <w:rsid w:val="004B2AF6"/>
    <w:rsid w:val="004B2B56"/>
    <w:rsid w:val="004B314C"/>
    <w:rsid w:val="004B3F9A"/>
    <w:rsid w:val="004B4BDE"/>
    <w:rsid w:val="004B547F"/>
    <w:rsid w:val="004B5C0B"/>
    <w:rsid w:val="004B6112"/>
    <w:rsid w:val="004B64D0"/>
    <w:rsid w:val="004B72AA"/>
    <w:rsid w:val="004C05D8"/>
    <w:rsid w:val="004C0E07"/>
    <w:rsid w:val="004C0E25"/>
    <w:rsid w:val="004C0F6F"/>
    <w:rsid w:val="004C14A3"/>
    <w:rsid w:val="004C15F6"/>
    <w:rsid w:val="004C1BE7"/>
    <w:rsid w:val="004C2207"/>
    <w:rsid w:val="004C22C3"/>
    <w:rsid w:val="004C2929"/>
    <w:rsid w:val="004C473E"/>
    <w:rsid w:val="004C4793"/>
    <w:rsid w:val="004C47CC"/>
    <w:rsid w:val="004C4B39"/>
    <w:rsid w:val="004C5265"/>
    <w:rsid w:val="004C58F4"/>
    <w:rsid w:val="004C62A0"/>
    <w:rsid w:val="004C654C"/>
    <w:rsid w:val="004C68DE"/>
    <w:rsid w:val="004C6F1A"/>
    <w:rsid w:val="004C72A0"/>
    <w:rsid w:val="004C7C48"/>
    <w:rsid w:val="004C7CB7"/>
    <w:rsid w:val="004D062B"/>
    <w:rsid w:val="004D0693"/>
    <w:rsid w:val="004D0C02"/>
    <w:rsid w:val="004D0EB1"/>
    <w:rsid w:val="004D0EC0"/>
    <w:rsid w:val="004D135D"/>
    <w:rsid w:val="004D16A4"/>
    <w:rsid w:val="004D2741"/>
    <w:rsid w:val="004D2A6A"/>
    <w:rsid w:val="004D2C89"/>
    <w:rsid w:val="004D3295"/>
    <w:rsid w:val="004D3B82"/>
    <w:rsid w:val="004D3DD2"/>
    <w:rsid w:val="004D3DE7"/>
    <w:rsid w:val="004D3F00"/>
    <w:rsid w:val="004D3F66"/>
    <w:rsid w:val="004D43F0"/>
    <w:rsid w:val="004D470F"/>
    <w:rsid w:val="004D475D"/>
    <w:rsid w:val="004D4947"/>
    <w:rsid w:val="004D4C60"/>
    <w:rsid w:val="004D4EBA"/>
    <w:rsid w:val="004D5082"/>
    <w:rsid w:val="004D5DF5"/>
    <w:rsid w:val="004D6078"/>
    <w:rsid w:val="004D61D6"/>
    <w:rsid w:val="004D7475"/>
    <w:rsid w:val="004D7604"/>
    <w:rsid w:val="004E02CA"/>
    <w:rsid w:val="004E030A"/>
    <w:rsid w:val="004E0545"/>
    <w:rsid w:val="004E0AA9"/>
    <w:rsid w:val="004E10A0"/>
    <w:rsid w:val="004E10E0"/>
    <w:rsid w:val="004E1250"/>
    <w:rsid w:val="004E17E3"/>
    <w:rsid w:val="004E2343"/>
    <w:rsid w:val="004E2A12"/>
    <w:rsid w:val="004E3091"/>
    <w:rsid w:val="004E31C4"/>
    <w:rsid w:val="004E33C6"/>
    <w:rsid w:val="004E3B8C"/>
    <w:rsid w:val="004E3F9F"/>
    <w:rsid w:val="004E412F"/>
    <w:rsid w:val="004E4750"/>
    <w:rsid w:val="004E49D6"/>
    <w:rsid w:val="004E541A"/>
    <w:rsid w:val="004E6119"/>
    <w:rsid w:val="004E6665"/>
    <w:rsid w:val="004E67AC"/>
    <w:rsid w:val="004E695F"/>
    <w:rsid w:val="004E6AC2"/>
    <w:rsid w:val="004E6BC3"/>
    <w:rsid w:val="004E6C5A"/>
    <w:rsid w:val="004E6D48"/>
    <w:rsid w:val="004E70E8"/>
    <w:rsid w:val="004E759D"/>
    <w:rsid w:val="004E7775"/>
    <w:rsid w:val="004F0009"/>
    <w:rsid w:val="004F0F1F"/>
    <w:rsid w:val="004F1005"/>
    <w:rsid w:val="004F1537"/>
    <w:rsid w:val="004F159B"/>
    <w:rsid w:val="004F17C3"/>
    <w:rsid w:val="004F1BF6"/>
    <w:rsid w:val="004F1D5E"/>
    <w:rsid w:val="004F20D1"/>
    <w:rsid w:val="004F2926"/>
    <w:rsid w:val="004F4578"/>
    <w:rsid w:val="004F4AB9"/>
    <w:rsid w:val="004F5464"/>
    <w:rsid w:val="004F54DE"/>
    <w:rsid w:val="004F5A5E"/>
    <w:rsid w:val="004F6863"/>
    <w:rsid w:val="004F7544"/>
    <w:rsid w:val="004F76CC"/>
    <w:rsid w:val="004F7EB7"/>
    <w:rsid w:val="004F7FB5"/>
    <w:rsid w:val="0050046C"/>
    <w:rsid w:val="00501054"/>
    <w:rsid w:val="00501249"/>
    <w:rsid w:val="00501346"/>
    <w:rsid w:val="00502D2D"/>
    <w:rsid w:val="00502E94"/>
    <w:rsid w:val="005036DB"/>
    <w:rsid w:val="00503AE8"/>
    <w:rsid w:val="00503E09"/>
    <w:rsid w:val="00503E60"/>
    <w:rsid w:val="00503F6F"/>
    <w:rsid w:val="00504E0E"/>
    <w:rsid w:val="00504E1A"/>
    <w:rsid w:val="00504ECA"/>
    <w:rsid w:val="0050664F"/>
    <w:rsid w:val="00506680"/>
    <w:rsid w:val="005067CD"/>
    <w:rsid w:val="00507365"/>
    <w:rsid w:val="00507C46"/>
    <w:rsid w:val="00507CC2"/>
    <w:rsid w:val="0051018D"/>
    <w:rsid w:val="00510820"/>
    <w:rsid w:val="005108CA"/>
    <w:rsid w:val="005109E7"/>
    <w:rsid w:val="00510F45"/>
    <w:rsid w:val="00511000"/>
    <w:rsid w:val="00511101"/>
    <w:rsid w:val="005117C9"/>
    <w:rsid w:val="00511D6D"/>
    <w:rsid w:val="00512446"/>
    <w:rsid w:val="00512843"/>
    <w:rsid w:val="005128AE"/>
    <w:rsid w:val="00512C71"/>
    <w:rsid w:val="005141D3"/>
    <w:rsid w:val="00514320"/>
    <w:rsid w:val="0051457D"/>
    <w:rsid w:val="005147DE"/>
    <w:rsid w:val="00514BD9"/>
    <w:rsid w:val="00514FF9"/>
    <w:rsid w:val="00515061"/>
    <w:rsid w:val="00515865"/>
    <w:rsid w:val="0051642D"/>
    <w:rsid w:val="00517387"/>
    <w:rsid w:val="00517450"/>
    <w:rsid w:val="00517FCB"/>
    <w:rsid w:val="00520B27"/>
    <w:rsid w:val="00520EA7"/>
    <w:rsid w:val="0052150A"/>
    <w:rsid w:val="00521787"/>
    <w:rsid w:val="00521DE1"/>
    <w:rsid w:val="0052233A"/>
    <w:rsid w:val="00522874"/>
    <w:rsid w:val="00522A8A"/>
    <w:rsid w:val="00523BB7"/>
    <w:rsid w:val="0052401B"/>
    <w:rsid w:val="005244F0"/>
    <w:rsid w:val="00524661"/>
    <w:rsid w:val="00524BD6"/>
    <w:rsid w:val="00525997"/>
    <w:rsid w:val="00525A88"/>
    <w:rsid w:val="0052605B"/>
    <w:rsid w:val="00526476"/>
    <w:rsid w:val="005265C9"/>
    <w:rsid w:val="00527103"/>
    <w:rsid w:val="0052733E"/>
    <w:rsid w:val="0052742A"/>
    <w:rsid w:val="0053010E"/>
    <w:rsid w:val="00530271"/>
    <w:rsid w:val="0053052C"/>
    <w:rsid w:val="00530574"/>
    <w:rsid w:val="00530719"/>
    <w:rsid w:val="0053072F"/>
    <w:rsid w:val="005307DB"/>
    <w:rsid w:val="00531BA1"/>
    <w:rsid w:val="00532A79"/>
    <w:rsid w:val="00532AC8"/>
    <w:rsid w:val="00532FA2"/>
    <w:rsid w:val="00533F74"/>
    <w:rsid w:val="005347BE"/>
    <w:rsid w:val="00534C8D"/>
    <w:rsid w:val="0053507B"/>
    <w:rsid w:val="0053518D"/>
    <w:rsid w:val="005354C3"/>
    <w:rsid w:val="005359C1"/>
    <w:rsid w:val="00535DBF"/>
    <w:rsid w:val="005361B7"/>
    <w:rsid w:val="0053671C"/>
    <w:rsid w:val="00536BBC"/>
    <w:rsid w:val="00536BE0"/>
    <w:rsid w:val="005378E4"/>
    <w:rsid w:val="005403E3"/>
    <w:rsid w:val="00540D7B"/>
    <w:rsid w:val="00541013"/>
    <w:rsid w:val="005410D0"/>
    <w:rsid w:val="005413CD"/>
    <w:rsid w:val="0054156B"/>
    <w:rsid w:val="005417AD"/>
    <w:rsid w:val="00541A4F"/>
    <w:rsid w:val="00541F0F"/>
    <w:rsid w:val="00542822"/>
    <w:rsid w:val="00542D52"/>
    <w:rsid w:val="00543003"/>
    <w:rsid w:val="00543056"/>
    <w:rsid w:val="00543E7E"/>
    <w:rsid w:val="005446E3"/>
    <w:rsid w:val="005446F2"/>
    <w:rsid w:val="00545151"/>
    <w:rsid w:val="005452F4"/>
    <w:rsid w:val="00545624"/>
    <w:rsid w:val="00545BFF"/>
    <w:rsid w:val="00545DAC"/>
    <w:rsid w:val="00547D0A"/>
    <w:rsid w:val="005501B7"/>
    <w:rsid w:val="0055022F"/>
    <w:rsid w:val="0055058B"/>
    <w:rsid w:val="00551645"/>
    <w:rsid w:val="00551680"/>
    <w:rsid w:val="005524B3"/>
    <w:rsid w:val="00552958"/>
    <w:rsid w:val="0055351C"/>
    <w:rsid w:val="005537C2"/>
    <w:rsid w:val="005541B1"/>
    <w:rsid w:val="00554314"/>
    <w:rsid w:val="00554527"/>
    <w:rsid w:val="0055505B"/>
    <w:rsid w:val="00555C6E"/>
    <w:rsid w:val="00555E79"/>
    <w:rsid w:val="00555F33"/>
    <w:rsid w:val="00557BB3"/>
    <w:rsid w:val="00560B63"/>
    <w:rsid w:val="00560BAA"/>
    <w:rsid w:val="00560D12"/>
    <w:rsid w:val="00560DBC"/>
    <w:rsid w:val="0056137E"/>
    <w:rsid w:val="00561DFA"/>
    <w:rsid w:val="00561F16"/>
    <w:rsid w:val="00563305"/>
    <w:rsid w:val="00563376"/>
    <w:rsid w:val="005639AE"/>
    <w:rsid w:val="0056442C"/>
    <w:rsid w:val="005651F5"/>
    <w:rsid w:val="00566665"/>
    <w:rsid w:val="005676CF"/>
    <w:rsid w:val="00570430"/>
    <w:rsid w:val="005714A5"/>
    <w:rsid w:val="00571645"/>
    <w:rsid w:val="0057181B"/>
    <w:rsid w:val="00571950"/>
    <w:rsid w:val="00571F66"/>
    <w:rsid w:val="00572605"/>
    <w:rsid w:val="00572EE3"/>
    <w:rsid w:val="005731DD"/>
    <w:rsid w:val="0057488C"/>
    <w:rsid w:val="005750F1"/>
    <w:rsid w:val="005760A0"/>
    <w:rsid w:val="005761DE"/>
    <w:rsid w:val="0057625B"/>
    <w:rsid w:val="005762B5"/>
    <w:rsid w:val="005762CE"/>
    <w:rsid w:val="00576410"/>
    <w:rsid w:val="005767E2"/>
    <w:rsid w:val="00576C89"/>
    <w:rsid w:val="00576EFF"/>
    <w:rsid w:val="00577153"/>
    <w:rsid w:val="005775EB"/>
    <w:rsid w:val="005779BC"/>
    <w:rsid w:val="00577C9D"/>
    <w:rsid w:val="00580102"/>
    <w:rsid w:val="0058145D"/>
    <w:rsid w:val="00581BD5"/>
    <w:rsid w:val="00582E57"/>
    <w:rsid w:val="00583258"/>
    <w:rsid w:val="00584861"/>
    <w:rsid w:val="00584B71"/>
    <w:rsid w:val="00584D31"/>
    <w:rsid w:val="00585BD9"/>
    <w:rsid w:val="00586334"/>
    <w:rsid w:val="00586736"/>
    <w:rsid w:val="0058677E"/>
    <w:rsid w:val="0058698A"/>
    <w:rsid w:val="00586D26"/>
    <w:rsid w:val="00587781"/>
    <w:rsid w:val="005877E1"/>
    <w:rsid w:val="005878E2"/>
    <w:rsid w:val="00587D08"/>
    <w:rsid w:val="00587DA1"/>
    <w:rsid w:val="00587DB0"/>
    <w:rsid w:val="00587FA8"/>
    <w:rsid w:val="0059019F"/>
    <w:rsid w:val="00590379"/>
    <w:rsid w:val="00590738"/>
    <w:rsid w:val="00590A4F"/>
    <w:rsid w:val="00590C74"/>
    <w:rsid w:val="00590CE6"/>
    <w:rsid w:val="00591213"/>
    <w:rsid w:val="0059124A"/>
    <w:rsid w:val="005917EE"/>
    <w:rsid w:val="00591866"/>
    <w:rsid w:val="00591DAB"/>
    <w:rsid w:val="00591EE9"/>
    <w:rsid w:val="00592181"/>
    <w:rsid w:val="00592A17"/>
    <w:rsid w:val="00592E51"/>
    <w:rsid w:val="00593123"/>
    <w:rsid w:val="0059324B"/>
    <w:rsid w:val="00593A85"/>
    <w:rsid w:val="0059455D"/>
    <w:rsid w:val="0059481C"/>
    <w:rsid w:val="00595527"/>
    <w:rsid w:val="005956FF"/>
    <w:rsid w:val="005960BE"/>
    <w:rsid w:val="00596820"/>
    <w:rsid w:val="005969C7"/>
    <w:rsid w:val="00596A43"/>
    <w:rsid w:val="00597215"/>
    <w:rsid w:val="00597689"/>
    <w:rsid w:val="00597801"/>
    <w:rsid w:val="00597F37"/>
    <w:rsid w:val="00597FC1"/>
    <w:rsid w:val="005A0BAE"/>
    <w:rsid w:val="005A0BF0"/>
    <w:rsid w:val="005A0D95"/>
    <w:rsid w:val="005A0E73"/>
    <w:rsid w:val="005A0FF5"/>
    <w:rsid w:val="005A10B9"/>
    <w:rsid w:val="005A151C"/>
    <w:rsid w:val="005A1E95"/>
    <w:rsid w:val="005A2528"/>
    <w:rsid w:val="005A279C"/>
    <w:rsid w:val="005A28D4"/>
    <w:rsid w:val="005A34E8"/>
    <w:rsid w:val="005A3C3C"/>
    <w:rsid w:val="005A3F06"/>
    <w:rsid w:val="005A456B"/>
    <w:rsid w:val="005A4CC0"/>
    <w:rsid w:val="005A5237"/>
    <w:rsid w:val="005A6D43"/>
    <w:rsid w:val="005A75E1"/>
    <w:rsid w:val="005A7839"/>
    <w:rsid w:val="005A7FAE"/>
    <w:rsid w:val="005B04A3"/>
    <w:rsid w:val="005B082D"/>
    <w:rsid w:val="005B0A70"/>
    <w:rsid w:val="005B0B14"/>
    <w:rsid w:val="005B0C9F"/>
    <w:rsid w:val="005B0D12"/>
    <w:rsid w:val="005B19C5"/>
    <w:rsid w:val="005B213C"/>
    <w:rsid w:val="005B2595"/>
    <w:rsid w:val="005B2E67"/>
    <w:rsid w:val="005B3C64"/>
    <w:rsid w:val="005B3EE5"/>
    <w:rsid w:val="005B4363"/>
    <w:rsid w:val="005B56BC"/>
    <w:rsid w:val="005B6DB6"/>
    <w:rsid w:val="005B7150"/>
    <w:rsid w:val="005B73ED"/>
    <w:rsid w:val="005B76D7"/>
    <w:rsid w:val="005B7DAC"/>
    <w:rsid w:val="005C024A"/>
    <w:rsid w:val="005C05F8"/>
    <w:rsid w:val="005C06CF"/>
    <w:rsid w:val="005C0706"/>
    <w:rsid w:val="005C0CDB"/>
    <w:rsid w:val="005C17D0"/>
    <w:rsid w:val="005C1CD1"/>
    <w:rsid w:val="005C2969"/>
    <w:rsid w:val="005C2D30"/>
    <w:rsid w:val="005C32BC"/>
    <w:rsid w:val="005C36CA"/>
    <w:rsid w:val="005C42F8"/>
    <w:rsid w:val="005C43F5"/>
    <w:rsid w:val="005C446C"/>
    <w:rsid w:val="005C44F8"/>
    <w:rsid w:val="005C4745"/>
    <w:rsid w:val="005C4847"/>
    <w:rsid w:val="005C4EBB"/>
    <w:rsid w:val="005C4F8F"/>
    <w:rsid w:val="005C53FC"/>
    <w:rsid w:val="005C541D"/>
    <w:rsid w:val="005C549E"/>
    <w:rsid w:val="005C57AF"/>
    <w:rsid w:val="005C6970"/>
    <w:rsid w:val="005C6D5D"/>
    <w:rsid w:val="005C7248"/>
    <w:rsid w:val="005C78B8"/>
    <w:rsid w:val="005C7C89"/>
    <w:rsid w:val="005D05F8"/>
    <w:rsid w:val="005D087E"/>
    <w:rsid w:val="005D0E5D"/>
    <w:rsid w:val="005D1E65"/>
    <w:rsid w:val="005D2673"/>
    <w:rsid w:val="005D2A6D"/>
    <w:rsid w:val="005D319B"/>
    <w:rsid w:val="005D3BAC"/>
    <w:rsid w:val="005D5992"/>
    <w:rsid w:val="005D5C37"/>
    <w:rsid w:val="005D603C"/>
    <w:rsid w:val="005D7DA7"/>
    <w:rsid w:val="005E02D8"/>
    <w:rsid w:val="005E0C84"/>
    <w:rsid w:val="005E1E44"/>
    <w:rsid w:val="005E22C4"/>
    <w:rsid w:val="005E2611"/>
    <w:rsid w:val="005E2B50"/>
    <w:rsid w:val="005E2E84"/>
    <w:rsid w:val="005E3799"/>
    <w:rsid w:val="005E4110"/>
    <w:rsid w:val="005E4C16"/>
    <w:rsid w:val="005E529E"/>
    <w:rsid w:val="005E53F2"/>
    <w:rsid w:val="005E569B"/>
    <w:rsid w:val="005E5CE9"/>
    <w:rsid w:val="005E5D0B"/>
    <w:rsid w:val="005E5F8A"/>
    <w:rsid w:val="005E66B7"/>
    <w:rsid w:val="005E6762"/>
    <w:rsid w:val="005E6EC4"/>
    <w:rsid w:val="005E721C"/>
    <w:rsid w:val="005E7425"/>
    <w:rsid w:val="005E7A31"/>
    <w:rsid w:val="005F0175"/>
    <w:rsid w:val="005F0435"/>
    <w:rsid w:val="005F0BD2"/>
    <w:rsid w:val="005F0BE8"/>
    <w:rsid w:val="005F0E68"/>
    <w:rsid w:val="005F0FF6"/>
    <w:rsid w:val="005F122D"/>
    <w:rsid w:val="005F1768"/>
    <w:rsid w:val="005F205B"/>
    <w:rsid w:val="005F3C6C"/>
    <w:rsid w:val="005F3C9C"/>
    <w:rsid w:val="005F3E01"/>
    <w:rsid w:val="005F4004"/>
    <w:rsid w:val="005F444D"/>
    <w:rsid w:val="005F484B"/>
    <w:rsid w:val="005F5153"/>
    <w:rsid w:val="005F5897"/>
    <w:rsid w:val="005F5BC1"/>
    <w:rsid w:val="005F5F6D"/>
    <w:rsid w:val="005F5FAF"/>
    <w:rsid w:val="005F66C3"/>
    <w:rsid w:val="005F6EC1"/>
    <w:rsid w:val="005F77A7"/>
    <w:rsid w:val="005F78F0"/>
    <w:rsid w:val="005F7D30"/>
    <w:rsid w:val="005F7D94"/>
    <w:rsid w:val="006000FF"/>
    <w:rsid w:val="00600582"/>
    <w:rsid w:val="00601F12"/>
    <w:rsid w:val="00602E25"/>
    <w:rsid w:val="00603049"/>
    <w:rsid w:val="006034A5"/>
    <w:rsid w:val="00603924"/>
    <w:rsid w:val="00603AC8"/>
    <w:rsid w:val="006041AA"/>
    <w:rsid w:val="00604315"/>
    <w:rsid w:val="00604527"/>
    <w:rsid w:val="00605B6C"/>
    <w:rsid w:val="00605BE4"/>
    <w:rsid w:val="00606516"/>
    <w:rsid w:val="00606E35"/>
    <w:rsid w:val="00607A3D"/>
    <w:rsid w:val="00607FB4"/>
    <w:rsid w:val="00610435"/>
    <w:rsid w:val="006108A9"/>
    <w:rsid w:val="00610A02"/>
    <w:rsid w:val="00610DD6"/>
    <w:rsid w:val="00611356"/>
    <w:rsid w:val="0061240B"/>
    <w:rsid w:val="00612A75"/>
    <w:rsid w:val="00613325"/>
    <w:rsid w:val="00613847"/>
    <w:rsid w:val="00613CE9"/>
    <w:rsid w:val="00614337"/>
    <w:rsid w:val="0061481E"/>
    <w:rsid w:val="00614AA8"/>
    <w:rsid w:val="00614E42"/>
    <w:rsid w:val="00615746"/>
    <w:rsid w:val="00615BD7"/>
    <w:rsid w:val="00615DD3"/>
    <w:rsid w:val="0061610B"/>
    <w:rsid w:val="00617297"/>
    <w:rsid w:val="006172CF"/>
    <w:rsid w:val="00617D8D"/>
    <w:rsid w:val="00617FD2"/>
    <w:rsid w:val="00620C09"/>
    <w:rsid w:val="00620DB9"/>
    <w:rsid w:val="00621585"/>
    <w:rsid w:val="00621595"/>
    <w:rsid w:val="00621662"/>
    <w:rsid w:val="00621DD6"/>
    <w:rsid w:val="00621F50"/>
    <w:rsid w:val="00621F9D"/>
    <w:rsid w:val="0062221F"/>
    <w:rsid w:val="00622268"/>
    <w:rsid w:val="0062269B"/>
    <w:rsid w:val="00622841"/>
    <w:rsid w:val="006228DA"/>
    <w:rsid w:val="00622971"/>
    <w:rsid w:val="00622BAF"/>
    <w:rsid w:val="00622D37"/>
    <w:rsid w:val="0062360B"/>
    <w:rsid w:val="00623EA4"/>
    <w:rsid w:val="006251C2"/>
    <w:rsid w:val="006251D3"/>
    <w:rsid w:val="00625229"/>
    <w:rsid w:val="006254DB"/>
    <w:rsid w:val="00625DB3"/>
    <w:rsid w:val="00626869"/>
    <w:rsid w:val="00626AF8"/>
    <w:rsid w:val="00627220"/>
    <w:rsid w:val="006274F3"/>
    <w:rsid w:val="00627BA9"/>
    <w:rsid w:val="00627BEC"/>
    <w:rsid w:val="006311D1"/>
    <w:rsid w:val="0063154C"/>
    <w:rsid w:val="0063185E"/>
    <w:rsid w:val="00631AF5"/>
    <w:rsid w:val="00632682"/>
    <w:rsid w:val="00632F84"/>
    <w:rsid w:val="00632FC9"/>
    <w:rsid w:val="00633207"/>
    <w:rsid w:val="0063322B"/>
    <w:rsid w:val="00633318"/>
    <w:rsid w:val="006338D2"/>
    <w:rsid w:val="006339ED"/>
    <w:rsid w:val="00634F0F"/>
    <w:rsid w:val="006351A6"/>
    <w:rsid w:val="00635B9C"/>
    <w:rsid w:val="0063622E"/>
    <w:rsid w:val="00637336"/>
    <w:rsid w:val="00637CD6"/>
    <w:rsid w:val="006401DC"/>
    <w:rsid w:val="0064031B"/>
    <w:rsid w:val="00640861"/>
    <w:rsid w:val="00640908"/>
    <w:rsid w:val="006409B7"/>
    <w:rsid w:val="00640CDF"/>
    <w:rsid w:val="00640D3D"/>
    <w:rsid w:val="006410DF"/>
    <w:rsid w:val="0064152D"/>
    <w:rsid w:val="006418F7"/>
    <w:rsid w:val="00641B22"/>
    <w:rsid w:val="00642179"/>
    <w:rsid w:val="006422A0"/>
    <w:rsid w:val="00642A2D"/>
    <w:rsid w:val="00643E8E"/>
    <w:rsid w:val="006451A2"/>
    <w:rsid w:val="006460D9"/>
    <w:rsid w:val="0064668C"/>
    <w:rsid w:val="00646B7B"/>
    <w:rsid w:val="00646D85"/>
    <w:rsid w:val="006474EA"/>
    <w:rsid w:val="006476FB"/>
    <w:rsid w:val="00647DD6"/>
    <w:rsid w:val="00647F8B"/>
    <w:rsid w:val="00650C50"/>
    <w:rsid w:val="00650DBD"/>
    <w:rsid w:val="00651126"/>
    <w:rsid w:val="00651383"/>
    <w:rsid w:val="00651A20"/>
    <w:rsid w:val="0065268B"/>
    <w:rsid w:val="00652A14"/>
    <w:rsid w:val="00653A8C"/>
    <w:rsid w:val="0065415D"/>
    <w:rsid w:val="00654674"/>
    <w:rsid w:val="00654746"/>
    <w:rsid w:val="006548B7"/>
    <w:rsid w:val="00654D96"/>
    <w:rsid w:val="0065538C"/>
    <w:rsid w:val="0065679E"/>
    <w:rsid w:val="00657009"/>
    <w:rsid w:val="0065759C"/>
    <w:rsid w:val="006606E2"/>
    <w:rsid w:val="006624AD"/>
    <w:rsid w:val="0066491B"/>
    <w:rsid w:val="006651A9"/>
    <w:rsid w:val="006659FE"/>
    <w:rsid w:val="006661DF"/>
    <w:rsid w:val="006666EE"/>
    <w:rsid w:val="00666AB3"/>
    <w:rsid w:val="00666E6C"/>
    <w:rsid w:val="006674AA"/>
    <w:rsid w:val="00667932"/>
    <w:rsid w:val="00667C93"/>
    <w:rsid w:val="00670234"/>
    <w:rsid w:val="00670278"/>
    <w:rsid w:val="006703D7"/>
    <w:rsid w:val="00670BD8"/>
    <w:rsid w:val="00670CE0"/>
    <w:rsid w:val="0067126A"/>
    <w:rsid w:val="00671AF3"/>
    <w:rsid w:val="00671EAE"/>
    <w:rsid w:val="00672314"/>
    <w:rsid w:val="00672428"/>
    <w:rsid w:val="00672714"/>
    <w:rsid w:val="00672757"/>
    <w:rsid w:val="00672BEA"/>
    <w:rsid w:val="0067302E"/>
    <w:rsid w:val="00673150"/>
    <w:rsid w:val="00673284"/>
    <w:rsid w:val="006735FF"/>
    <w:rsid w:val="00673972"/>
    <w:rsid w:val="00673ACE"/>
    <w:rsid w:val="00673FB9"/>
    <w:rsid w:val="00674BB3"/>
    <w:rsid w:val="00674BE8"/>
    <w:rsid w:val="00674F8D"/>
    <w:rsid w:val="006755E5"/>
    <w:rsid w:val="00675A13"/>
    <w:rsid w:val="00675C07"/>
    <w:rsid w:val="006767AA"/>
    <w:rsid w:val="00677091"/>
    <w:rsid w:val="0067729C"/>
    <w:rsid w:val="006773CD"/>
    <w:rsid w:val="006774FF"/>
    <w:rsid w:val="006778DE"/>
    <w:rsid w:val="00677AF0"/>
    <w:rsid w:val="006800C7"/>
    <w:rsid w:val="00680E3A"/>
    <w:rsid w:val="00681611"/>
    <w:rsid w:val="00681B04"/>
    <w:rsid w:val="00681E6A"/>
    <w:rsid w:val="00682560"/>
    <w:rsid w:val="006831BE"/>
    <w:rsid w:val="00683495"/>
    <w:rsid w:val="00683728"/>
    <w:rsid w:val="00683DA4"/>
    <w:rsid w:val="00684C13"/>
    <w:rsid w:val="00684CBC"/>
    <w:rsid w:val="00684E50"/>
    <w:rsid w:val="00685939"/>
    <w:rsid w:val="006863B8"/>
    <w:rsid w:val="00687069"/>
    <w:rsid w:val="006873A3"/>
    <w:rsid w:val="006902A0"/>
    <w:rsid w:val="00690520"/>
    <w:rsid w:val="0069057A"/>
    <w:rsid w:val="00690C4F"/>
    <w:rsid w:val="00690EEA"/>
    <w:rsid w:val="006912D3"/>
    <w:rsid w:val="00691697"/>
    <w:rsid w:val="006919FA"/>
    <w:rsid w:val="00691AAE"/>
    <w:rsid w:val="00691C3E"/>
    <w:rsid w:val="00691E09"/>
    <w:rsid w:val="00692471"/>
    <w:rsid w:val="00693398"/>
    <w:rsid w:val="0069344C"/>
    <w:rsid w:val="00693B3E"/>
    <w:rsid w:val="00693F6F"/>
    <w:rsid w:val="00694097"/>
    <w:rsid w:val="00694753"/>
    <w:rsid w:val="0069478B"/>
    <w:rsid w:val="00694DE0"/>
    <w:rsid w:val="006955EF"/>
    <w:rsid w:val="00695C0C"/>
    <w:rsid w:val="00695E19"/>
    <w:rsid w:val="00695EB9"/>
    <w:rsid w:val="00695ECE"/>
    <w:rsid w:val="00696BF4"/>
    <w:rsid w:val="00696C6C"/>
    <w:rsid w:val="006A0E7E"/>
    <w:rsid w:val="006A0F8E"/>
    <w:rsid w:val="006A12CF"/>
    <w:rsid w:val="006A1905"/>
    <w:rsid w:val="006A1BAB"/>
    <w:rsid w:val="006A3211"/>
    <w:rsid w:val="006A35A9"/>
    <w:rsid w:val="006A5B68"/>
    <w:rsid w:val="006A5C59"/>
    <w:rsid w:val="006A5F9E"/>
    <w:rsid w:val="006A5FF9"/>
    <w:rsid w:val="006A604B"/>
    <w:rsid w:val="006A69AD"/>
    <w:rsid w:val="006A6A81"/>
    <w:rsid w:val="006A6EF2"/>
    <w:rsid w:val="006A6FFB"/>
    <w:rsid w:val="006A7579"/>
    <w:rsid w:val="006A7681"/>
    <w:rsid w:val="006A76B9"/>
    <w:rsid w:val="006A78E6"/>
    <w:rsid w:val="006A7C3A"/>
    <w:rsid w:val="006A7F9E"/>
    <w:rsid w:val="006B028F"/>
    <w:rsid w:val="006B063A"/>
    <w:rsid w:val="006B1D04"/>
    <w:rsid w:val="006B214F"/>
    <w:rsid w:val="006B27B9"/>
    <w:rsid w:val="006B29D9"/>
    <w:rsid w:val="006B2A96"/>
    <w:rsid w:val="006B2B3B"/>
    <w:rsid w:val="006B2F3E"/>
    <w:rsid w:val="006B3B49"/>
    <w:rsid w:val="006B4CDF"/>
    <w:rsid w:val="006B545D"/>
    <w:rsid w:val="006B59B3"/>
    <w:rsid w:val="006B5E45"/>
    <w:rsid w:val="006B6028"/>
    <w:rsid w:val="006B6952"/>
    <w:rsid w:val="006B7137"/>
    <w:rsid w:val="006B72EC"/>
    <w:rsid w:val="006B7380"/>
    <w:rsid w:val="006B73C4"/>
    <w:rsid w:val="006B7F06"/>
    <w:rsid w:val="006C0059"/>
    <w:rsid w:val="006C0D97"/>
    <w:rsid w:val="006C13B0"/>
    <w:rsid w:val="006C15BC"/>
    <w:rsid w:val="006C1F9B"/>
    <w:rsid w:val="006C24F9"/>
    <w:rsid w:val="006C28F4"/>
    <w:rsid w:val="006C29B0"/>
    <w:rsid w:val="006C3266"/>
    <w:rsid w:val="006C3415"/>
    <w:rsid w:val="006C36C7"/>
    <w:rsid w:val="006C3800"/>
    <w:rsid w:val="006C3864"/>
    <w:rsid w:val="006C3931"/>
    <w:rsid w:val="006C4E27"/>
    <w:rsid w:val="006C573F"/>
    <w:rsid w:val="006C5E7E"/>
    <w:rsid w:val="006C6488"/>
    <w:rsid w:val="006C68C9"/>
    <w:rsid w:val="006C6C9A"/>
    <w:rsid w:val="006C74E6"/>
    <w:rsid w:val="006C7CAA"/>
    <w:rsid w:val="006D025E"/>
    <w:rsid w:val="006D0927"/>
    <w:rsid w:val="006D18CB"/>
    <w:rsid w:val="006D1FDD"/>
    <w:rsid w:val="006D2315"/>
    <w:rsid w:val="006D2E8B"/>
    <w:rsid w:val="006D3624"/>
    <w:rsid w:val="006D396F"/>
    <w:rsid w:val="006D3B2D"/>
    <w:rsid w:val="006D4500"/>
    <w:rsid w:val="006D4951"/>
    <w:rsid w:val="006D49D4"/>
    <w:rsid w:val="006D4B1E"/>
    <w:rsid w:val="006D4D0F"/>
    <w:rsid w:val="006D4FA2"/>
    <w:rsid w:val="006D51CD"/>
    <w:rsid w:val="006D6041"/>
    <w:rsid w:val="006D6344"/>
    <w:rsid w:val="006D6AEC"/>
    <w:rsid w:val="006D6D0E"/>
    <w:rsid w:val="006D76D1"/>
    <w:rsid w:val="006D7CD7"/>
    <w:rsid w:val="006E01B6"/>
    <w:rsid w:val="006E0802"/>
    <w:rsid w:val="006E0AC9"/>
    <w:rsid w:val="006E0BE2"/>
    <w:rsid w:val="006E0FBF"/>
    <w:rsid w:val="006E1B7E"/>
    <w:rsid w:val="006E220E"/>
    <w:rsid w:val="006E2379"/>
    <w:rsid w:val="006E24CC"/>
    <w:rsid w:val="006E27A4"/>
    <w:rsid w:val="006E309E"/>
    <w:rsid w:val="006E3352"/>
    <w:rsid w:val="006E3443"/>
    <w:rsid w:val="006E35FE"/>
    <w:rsid w:val="006E3655"/>
    <w:rsid w:val="006E3ED8"/>
    <w:rsid w:val="006E48DF"/>
    <w:rsid w:val="006E6155"/>
    <w:rsid w:val="006E642B"/>
    <w:rsid w:val="006E647E"/>
    <w:rsid w:val="006E6715"/>
    <w:rsid w:val="006F0254"/>
    <w:rsid w:val="006F0532"/>
    <w:rsid w:val="006F06F4"/>
    <w:rsid w:val="006F09F7"/>
    <w:rsid w:val="006F12D4"/>
    <w:rsid w:val="006F186E"/>
    <w:rsid w:val="006F18AE"/>
    <w:rsid w:val="006F19E2"/>
    <w:rsid w:val="006F19F0"/>
    <w:rsid w:val="006F1A2D"/>
    <w:rsid w:val="006F1F15"/>
    <w:rsid w:val="006F22C5"/>
    <w:rsid w:val="006F3790"/>
    <w:rsid w:val="006F412D"/>
    <w:rsid w:val="006F4542"/>
    <w:rsid w:val="006F47CA"/>
    <w:rsid w:val="006F4C67"/>
    <w:rsid w:val="006F5580"/>
    <w:rsid w:val="006F5D52"/>
    <w:rsid w:val="006F6116"/>
    <w:rsid w:val="006F6AD5"/>
    <w:rsid w:val="006F6D24"/>
    <w:rsid w:val="006F74E5"/>
    <w:rsid w:val="006F7926"/>
    <w:rsid w:val="006F7BB3"/>
    <w:rsid w:val="006F7CDA"/>
    <w:rsid w:val="006F7F36"/>
    <w:rsid w:val="007027E8"/>
    <w:rsid w:val="007032A8"/>
    <w:rsid w:val="007033EF"/>
    <w:rsid w:val="0070376F"/>
    <w:rsid w:val="00703ADF"/>
    <w:rsid w:val="00703DB7"/>
    <w:rsid w:val="007042CB"/>
    <w:rsid w:val="007044C4"/>
    <w:rsid w:val="0070474C"/>
    <w:rsid w:val="007048B4"/>
    <w:rsid w:val="0070566E"/>
    <w:rsid w:val="00705AC9"/>
    <w:rsid w:val="00706033"/>
    <w:rsid w:val="007060D6"/>
    <w:rsid w:val="007077CF"/>
    <w:rsid w:val="00710547"/>
    <w:rsid w:val="007105FA"/>
    <w:rsid w:val="00710981"/>
    <w:rsid w:val="007109C9"/>
    <w:rsid w:val="00710DB0"/>
    <w:rsid w:val="007126B3"/>
    <w:rsid w:val="00712754"/>
    <w:rsid w:val="00712AEA"/>
    <w:rsid w:val="00712CBD"/>
    <w:rsid w:val="00712E0D"/>
    <w:rsid w:val="00713521"/>
    <w:rsid w:val="00713849"/>
    <w:rsid w:val="00713B74"/>
    <w:rsid w:val="00714A46"/>
    <w:rsid w:val="00714AE4"/>
    <w:rsid w:val="00714E7C"/>
    <w:rsid w:val="00714ED9"/>
    <w:rsid w:val="00715318"/>
    <w:rsid w:val="00715728"/>
    <w:rsid w:val="00715890"/>
    <w:rsid w:val="00715DFA"/>
    <w:rsid w:val="007161CB"/>
    <w:rsid w:val="007162F2"/>
    <w:rsid w:val="00717414"/>
    <w:rsid w:val="00717503"/>
    <w:rsid w:val="00717C3B"/>
    <w:rsid w:val="0072043A"/>
    <w:rsid w:val="00720C6F"/>
    <w:rsid w:val="00720E29"/>
    <w:rsid w:val="00721B10"/>
    <w:rsid w:val="00721FC1"/>
    <w:rsid w:val="00722101"/>
    <w:rsid w:val="007227A6"/>
    <w:rsid w:val="00722A74"/>
    <w:rsid w:val="00722FB2"/>
    <w:rsid w:val="00723049"/>
    <w:rsid w:val="007231DD"/>
    <w:rsid w:val="00723B75"/>
    <w:rsid w:val="00723DEC"/>
    <w:rsid w:val="007241B3"/>
    <w:rsid w:val="00724517"/>
    <w:rsid w:val="00724900"/>
    <w:rsid w:val="00724F93"/>
    <w:rsid w:val="007252FC"/>
    <w:rsid w:val="007256B7"/>
    <w:rsid w:val="00725BB0"/>
    <w:rsid w:val="0072608D"/>
    <w:rsid w:val="007260B7"/>
    <w:rsid w:val="00726B81"/>
    <w:rsid w:val="00727B12"/>
    <w:rsid w:val="00730457"/>
    <w:rsid w:val="007307E3"/>
    <w:rsid w:val="007308EC"/>
    <w:rsid w:val="00730967"/>
    <w:rsid w:val="00730982"/>
    <w:rsid w:val="00730B39"/>
    <w:rsid w:val="00730B95"/>
    <w:rsid w:val="00731BE1"/>
    <w:rsid w:val="00731D3D"/>
    <w:rsid w:val="00731F98"/>
    <w:rsid w:val="0073200F"/>
    <w:rsid w:val="0073206A"/>
    <w:rsid w:val="007326A7"/>
    <w:rsid w:val="0073283C"/>
    <w:rsid w:val="00732AC2"/>
    <w:rsid w:val="00732F67"/>
    <w:rsid w:val="00733208"/>
    <w:rsid w:val="007347F0"/>
    <w:rsid w:val="00734ABD"/>
    <w:rsid w:val="00734ADC"/>
    <w:rsid w:val="00734BAA"/>
    <w:rsid w:val="007352B6"/>
    <w:rsid w:val="00735693"/>
    <w:rsid w:val="007357B1"/>
    <w:rsid w:val="00736A03"/>
    <w:rsid w:val="00736D97"/>
    <w:rsid w:val="00737877"/>
    <w:rsid w:val="00737D26"/>
    <w:rsid w:val="00737DBA"/>
    <w:rsid w:val="007406BC"/>
    <w:rsid w:val="0074074E"/>
    <w:rsid w:val="00740C2F"/>
    <w:rsid w:val="00740E3D"/>
    <w:rsid w:val="00740EC5"/>
    <w:rsid w:val="00741C48"/>
    <w:rsid w:val="00741C9B"/>
    <w:rsid w:val="00741DD7"/>
    <w:rsid w:val="00741F0B"/>
    <w:rsid w:val="00741F2F"/>
    <w:rsid w:val="007430AA"/>
    <w:rsid w:val="007435AE"/>
    <w:rsid w:val="0074382F"/>
    <w:rsid w:val="00743D8C"/>
    <w:rsid w:val="00744611"/>
    <w:rsid w:val="00744E30"/>
    <w:rsid w:val="007450D3"/>
    <w:rsid w:val="00745364"/>
    <w:rsid w:val="00745C09"/>
    <w:rsid w:val="00745D9B"/>
    <w:rsid w:val="007461A8"/>
    <w:rsid w:val="0074687F"/>
    <w:rsid w:val="00746E90"/>
    <w:rsid w:val="007472B5"/>
    <w:rsid w:val="00747ED0"/>
    <w:rsid w:val="00751240"/>
    <w:rsid w:val="007513E3"/>
    <w:rsid w:val="0075148E"/>
    <w:rsid w:val="00751624"/>
    <w:rsid w:val="00751EEC"/>
    <w:rsid w:val="00751FB6"/>
    <w:rsid w:val="007530E8"/>
    <w:rsid w:val="00753131"/>
    <w:rsid w:val="007535ED"/>
    <w:rsid w:val="00753985"/>
    <w:rsid w:val="00753B62"/>
    <w:rsid w:val="00753DB4"/>
    <w:rsid w:val="00753EE3"/>
    <w:rsid w:val="00753FE5"/>
    <w:rsid w:val="007543B8"/>
    <w:rsid w:val="007545C0"/>
    <w:rsid w:val="007546E7"/>
    <w:rsid w:val="00754C7A"/>
    <w:rsid w:val="00755A17"/>
    <w:rsid w:val="00755D06"/>
    <w:rsid w:val="007565B5"/>
    <w:rsid w:val="00757498"/>
    <w:rsid w:val="007575A3"/>
    <w:rsid w:val="00757C80"/>
    <w:rsid w:val="007609E5"/>
    <w:rsid w:val="00760E49"/>
    <w:rsid w:val="00761545"/>
    <w:rsid w:val="00761B49"/>
    <w:rsid w:val="00761E38"/>
    <w:rsid w:val="007624CF"/>
    <w:rsid w:val="0076274E"/>
    <w:rsid w:val="00762FB4"/>
    <w:rsid w:val="00763751"/>
    <w:rsid w:val="0076478E"/>
    <w:rsid w:val="007649A1"/>
    <w:rsid w:val="007649E3"/>
    <w:rsid w:val="00764CD3"/>
    <w:rsid w:val="007652B9"/>
    <w:rsid w:val="00765439"/>
    <w:rsid w:val="0076586D"/>
    <w:rsid w:val="00765FCC"/>
    <w:rsid w:val="007665CB"/>
    <w:rsid w:val="00766A1C"/>
    <w:rsid w:val="00766DAB"/>
    <w:rsid w:val="0076740E"/>
    <w:rsid w:val="00767781"/>
    <w:rsid w:val="00767E84"/>
    <w:rsid w:val="007703DB"/>
    <w:rsid w:val="00770612"/>
    <w:rsid w:val="00770CFD"/>
    <w:rsid w:val="00770D92"/>
    <w:rsid w:val="00770E0E"/>
    <w:rsid w:val="00770F12"/>
    <w:rsid w:val="00771083"/>
    <w:rsid w:val="00771541"/>
    <w:rsid w:val="007725B2"/>
    <w:rsid w:val="00772B65"/>
    <w:rsid w:val="00772FA9"/>
    <w:rsid w:val="00773B89"/>
    <w:rsid w:val="00774064"/>
    <w:rsid w:val="00774152"/>
    <w:rsid w:val="007741D5"/>
    <w:rsid w:val="007742FC"/>
    <w:rsid w:val="00774DF8"/>
    <w:rsid w:val="00774E0B"/>
    <w:rsid w:val="007750F0"/>
    <w:rsid w:val="00775E7A"/>
    <w:rsid w:val="00776791"/>
    <w:rsid w:val="00776CBF"/>
    <w:rsid w:val="00777698"/>
    <w:rsid w:val="00777F8A"/>
    <w:rsid w:val="00777FFB"/>
    <w:rsid w:val="007806E6"/>
    <w:rsid w:val="00781727"/>
    <w:rsid w:val="00781950"/>
    <w:rsid w:val="00781B24"/>
    <w:rsid w:val="0078253F"/>
    <w:rsid w:val="00783FFE"/>
    <w:rsid w:val="0078466B"/>
    <w:rsid w:val="007851B8"/>
    <w:rsid w:val="00785814"/>
    <w:rsid w:val="007869D2"/>
    <w:rsid w:val="00786F5C"/>
    <w:rsid w:val="0078714F"/>
    <w:rsid w:val="00787A2F"/>
    <w:rsid w:val="00787DB4"/>
    <w:rsid w:val="0079085F"/>
    <w:rsid w:val="00790B24"/>
    <w:rsid w:val="007915D1"/>
    <w:rsid w:val="00791EB2"/>
    <w:rsid w:val="00791EDC"/>
    <w:rsid w:val="00792635"/>
    <w:rsid w:val="0079272F"/>
    <w:rsid w:val="007929F8"/>
    <w:rsid w:val="00792E7E"/>
    <w:rsid w:val="0079381A"/>
    <w:rsid w:val="00793D3B"/>
    <w:rsid w:val="0079427E"/>
    <w:rsid w:val="007943BE"/>
    <w:rsid w:val="007945C4"/>
    <w:rsid w:val="0079460F"/>
    <w:rsid w:val="00794CD4"/>
    <w:rsid w:val="0079570B"/>
    <w:rsid w:val="00795840"/>
    <w:rsid w:val="00795B78"/>
    <w:rsid w:val="00795FC0"/>
    <w:rsid w:val="007962E7"/>
    <w:rsid w:val="0079633F"/>
    <w:rsid w:val="007969AE"/>
    <w:rsid w:val="00796A5F"/>
    <w:rsid w:val="007A0490"/>
    <w:rsid w:val="007A0BC4"/>
    <w:rsid w:val="007A10B1"/>
    <w:rsid w:val="007A153D"/>
    <w:rsid w:val="007A1DA2"/>
    <w:rsid w:val="007A2664"/>
    <w:rsid w:val="007A2A16"/>
    <w:rsid w:val="007A2BB8"/>
    <w:rsid w:val="007A30C8"/>
    <w:rsid w:val="007A30F1"/>
    <w:rsid w:val="007A463C"/>
    <w:rsid w:val="007A4984"/>
    <w:rsid w:val="007A4B44"/>
    <w:rsid w:val="007A5F25"/>
    <w:rsid w:val="007A6B51"/>
    <w:rsid w:val="007A718F"/>
    <w:rsid w:val="007A73DB"/>
    <w:rsid w:val="007A76CF"/>
    <w:rsid w:val="007B0376"/>
    <w:rsid w:val="007B0A37"/>
    <w:rsid w:val="007B118E"/>
    <w:rsid w:val="007B13E3"/>
    <w:rsid w:val="007B14FF"/>
    <w:rsid w:val="007B1C68"/>
    <w:rsid w:val="007B29B4"/>
    <w:rsid w:val="007B3AF0"/>
    <w:rsid w:val="007B3B4F"/>
    <w:rsid w:val="007B4462"/>
    <w:rsid w:val="007B46EA"/>
    <w:rsid w:val="007B490D"/>
    <w:rsid w:val="007B4D0A"/>
    <w:rsid w:val="007B5328"/>
    <w:rsid w:val="007B61A1"/>
    <w:rsid w:val="007B6587"/>
    <w:rsid w:val="007B7049"/>
    <w:rsid w:val="007B73A3"/>
    <w:rsid w:val="007B76BF"/>
    <w:rsid w:val="007B76C6"/>
    <w:rsid w:val="007B76E8"/>
    <w:rsid w:val="007B7BFA"/>
    <w:rsid w:val="007C028E"/>
    <w:rsid w:val="007C02FD"/>
    <w:rsid w:val="007C03E4"/>
    <w:rsid w:val="007C03FF"/>
    <w:rsid w:val="007C04F0"/>
    <w:rsid w:val="007C0777"/>
    <w:rsid w:val="007C08D8"/>
    <w:rsid w:val="007C0A29"/>
    <w:rsid w:val="007C0E79"/>
    <w:rsid w:val="007C1548"/>
    <w:rsid w:val="007C1CFB"/>
    <w:rsid w:val="007C2625"/>
    <w:rsid w:val="007C299B"/>
    <w:rsid w:val="007C444F"/>
    <w:rsid w:val="007C4D7E"/>
    <w:rsid w:val="007C556A"/>
    <w:rsid w:val="007C652D"/>
    <w:rsid w:val="007C6A87"/>
    <w:rsid w:val="007C70D9"/>
    <w:rsid w:val="007C73E7"/>
    <w:rsid w:val="007C7807"/>
    <w:rsid w:val="007C78C8"/>
    <w:rsid w:val="007C7C1B"/>
    <w:rsid w:val="007C7DE7"/>
    <w:rsid w:val="007D0959"/>
    <w:rsid w:val="007D1643"/>
    <w:rsid w:val="007D1BCD"/>
    <w:rsid w:val="007D2687"/>
    <w:rsid w:val="007D2898"/>
    <w:rsid w:val="007D2B63"/>
    <w:rsid w:val="007D2F5B"/>
    <w:rsid w:val="007D36A2"/>
    <w:rsid w:val="007D3D49"/>
    <w:rsid w:val="007D495A"/>
    <w:rsid w:val="007D498D"/>
    <w:rsid w:val="007D4B7B"/>
    <w:rsid w:val="007D4ED9"/>
    <w:rsid w:val="007D543D"/>
    <w:rsid w:val="007D5A5F"/>
    <w:rsid w:val="007D5BE6"/>
    <w:rsid w:val="007D6065"/>
    <w:rsid w:val="007D6212"/>
    <w:rsid w:val="007D66A5"/>
    <w:rsid w:val="007D6F2D"/>
    <w:rsid w:val="007D7715"/>
    <w:rsid w:val="007D772C"/>
    <w:rsid w:val="007D7B91"/>
    <w:rsid w:val="007D7D37"/>
    <w:rsid w:val="007D7F07"/>
    <w:rsid w:val="007E018B"/>
    <w:rsid w:val="007E02E2"/>
    <w:rsid w:val="007E0304"/>
    <w:rsid w:val="007E0E45"/>
    <w:rsid w:val="007E1824"/>
    <w:rsid w:val="007E1959"/>
    <w:rsid w:val="007E2191"/>
    <w:rsid w:val="007E2C7E"/>
    <w:rsid w:val="007E313F"/>
    <w:rsid w:val="007E3438"/>
    <w:rsid w:val="007E4020"/>
    <w:rsid w:val="007E465C"/>
    <w:rsid w:val="007E4A84"/>
    <w:rsid w:val="007E4F2E"/>
    <w:rsid w:val="007E5143"/>
    <w:rsid w:val="007E5836"/>
    <w:rsid w:val="007E6AB9"/>
    <w:rsid w:val="007E6BE5"/>
    <w:rsid w:val="007E6EF5"/>
    <w:rsid w:val="007E7658"/>
    <w:rsid w:val="007E7778"/>
    <w:rsid w:val="007F0217"/>
    <w:rsid w:val="007F026F"/>
    <w:rsid w:val="007F0C8F"/>
    <w:rsid w:val="007F0FAE"/>
    <w:rsid w:val="007F21D6"/>
    <w:rsid w:val="007F2B22"/>
    <w:rsid w:val="007F2B9A"/>
    <w:rsid w:val="007F2D76"/>
    <w:rsid w:val="007F3BDF"/>
    <w:rsid w:val="007F3D08"/>
    <w:rsid w:val="007F439E"/>
    <w:rsid w:val="007F4795"/>
    <w:rsid w:val="007F4ED0"/>
    <w:rsid w:val="007F5E2E"/>
    <w:rsid w:val="007F65F0"/>
    <w:rsid w:val="007F67AC"/>
    <w:rsid w:val="007F7755"/>
    <w:rsid w:val="00800D35"/>
    <w:rsid w:val="00801091"/>
    <w:rsid w:val="008010B5"/>
    <w:rsid w:val="008013B7"/>
    <w:rsid w:val="0080193C"/>
    <w:rsid w:val="008020FC"/>
    <w:rsid w:val="00802126"/>
    <w:rsid w:val="00803172"/>
    <w:rsid w:val="008036F0"/>
    <w:rsid w:val="0080383B"/>
    <w:rsid w:val="00803F13"/>
    <w:rsid w:val="00804B25"/>
    <w:rsid w:val="00804B29"/>
    <w:rsid w:val="00804FE4"/>
    <w:rsid w:val="00806218"/>
    <w:rsid w:val="00806564"/>
    <w:rsid w:val="008071B5"/>
    <w:rsid w:val="00807C70"/>
    <w:rsid w:val="0081057E"/>
    <w:rsid w:val="00810836"/>
    <w:rsid w:val="00810C41"/>
    <w:rsid w:val="00810F83"/>
    <w:rsid w:val="0081137D"/>
    <w:rsid w:val="008116FB"/>
    <w:rsid w:val="00811845"/>
    <w:rsid w:val="00811F9C"/>
    <w:rsid w:val="0081294F"/>
    <w:rsid w:val="008129C1"/>
    <w:rsid w:val="00812AFD"/>
    <w:rsid w:val="00812D84"/>
    <w:rsid w:val="0081368A"/>
    <w:rsid w:val="00813821"/>
    <w:rsid w:val="00813A17"/>
    <w:rsid w:val="00813B26"/>
    <w:rsid w:val="008147A7"/>
    <w:rsid w:val="00814D30"/>
    <w:rsid w:val="0081582A"/>
    <w:rsid w:val="0081595E"/>
    <w:rsid w:val="00816875"/>
    <w:rsid w:val="00816CB0"/>
    <w:rsid w:val="00817A79"/>
    <w:rsid w:val="00817B03"/>
    <w:rsid w:val="00820523"/>
    <w:rsid w:val="00820B80"/>
    <w:rsid w:val="00820EB5"/>
    <w:rsid w:val="0082136D"/>
    <w:rsid w:val="00821664"/>
    <w:rsid w:val="00821684"/>
    <w:rsid w:val="00821760"/>
    <w:rsid w:val="00821BD5"/>
    <w:rsid w:val="0082213C"/>
    <w:rsid w:val="008223C5"/>
    <w:rsid w:val="00823496"/>
    <w:rsid w:val="008246B4"/>
    <w:rsid w:val="00824DF6"/>
    <w:rsid w:val="00825350"/>
    <w:rsid w:val="008253A4"/>
    <w:rsid w:val="00825BAE"/>
    <w:rsid w:val="00826372"/>
    <w:rsid w:val="008267D0"/>
    <w:rsid w:val="00826F39"/>
    <w:rsid w:val="00827295"/>
    <w:rsid w:val="00827332"/>
    <w:rsid w:val="00827405"/>
    <w:rsid w:val="00827462"/>
    <w:rsid w:val="00827613"/>
    <w:rsid w:val="008277E3"/>
    <w:rsid w:val="0083014E"/>
    <w:rsid w:val="008306F3"/>
    <w:rsid w:val="00830778"/>
    <w:rsid w:val="00830C7F"/>
    <w:rsid w:val="00830CEE"/>
    <w:rsid w:val="0083125A"/>
    <w:rsid w:val="00831396"/>
    <w:rsid w:val="0083147E"/>
    <w:rsid w:val="00831799"/>
    <w:rsid w:val="00831AC5"/>
    <w:rsid w:val="00831D34"/>
    <w:rsid w:val="00831EED"/>
    <w:rsid w:val="0083222C"/>
    <w:rsid w:val="00832C20"/>
    <w:rsid w:val="00832F72"/>
    <w:rsid w:val="008333B3"/>
    <w:rsid w:val="00833AD5"/>
    <w:rsid w:val="008341A8"/>
    <w:rsid w:val="008342A9"/>
    <w:rsid w:val="00834AB3"/>
    <w:rsid w:val="00834E9C"/>
    <w:rsid w:val="00834F40"/>
    <w:rsid w:val="008352C3"/>
    <w:rsid w:val="00835482"/>
    <w:rsid w:val="008359CF"/>
    <w:rsid w:val="00835C2B"/>
    <w:rsid w:val="00835D29"/>
    <w:rsid w:val="0083604E"/>
    <w:rsid w:val="008361B3"/>
    <w:rsid w:val="008362C2"/>
    <w:rsid w:val="0083635F"/>
    <w:rsid w:val="008363B6"/>
    <w:rsid w:val="008363C8"/>
    <w:rsid w:val="008364EC"/>
    <w:rsid w:val="008366E1"/>
    <w:rsid w:val="0084039E"/>
    <w:rsid w:val="008404FE"/>
    <w:rsid w:val="00840AC6"/>
    <w:rsid w:val="008411BD"/>
    <w:rsid w:val="00841351"/>
    <w:rsid w:val="00841547"/>
    <w:rsid w:val="008416D2"/>
    <w:rsid w:val="00841753"/>
    <w:rsid w:val="008424BA"/>
    <w:rsid w:val="00842508"/>
    <w:rsid w:val="00842909"/>
    <w:rsid w:val="00842CB6"/>
    <w:rsid w:val="00843562"/>
    <w:rsid w:val="00844FD9"/>
    <w:rsid w:val="008457B9"/>
    <w:rsid w:val="008460CC"/>
    <w:rsid w:val="0084622B"/>
    <w:rsid w:val="00846A02"/>
    <w:rsid w:val="008474F6"/>
    <w:rsid w:val="008477FB"/>
    <w:rsid w:val="00850148"/>
    <w:rsid w:val="0085040F"/>
    <w:rsid w:val="008505C5"/>
    <w:rsid w:val="008515C1"/>
    <w:rsid w:val="00852951"/>
    <w:rsid w:val="00853363"/>
    <w:rsid w:val="00853D5C"/>
    <w:rsid w:val="008548AB"/>
    <w:rsid w:val="00854B52"/>
    <w:rsid w:val="00854BFD"/>
    <w:rsid w:val="00854C00"/>
    <w:rsid w:val="008557E9"/>
    <w:rsid w:val="00855C0C"/>
    <w:rsid w:val="00856411"/>
    <w:rsid w:val="00856537"/>
    <w:rsid w:val="00856EDA"/>
    <w:rsid w:val="008573E2"/>
    <w:rsid w:val="0085760A"/>
    <w:rsid w:val="0085778C"/>
    <w:rsid w:val="008578EA"/>
    <w:rsid w:val="00857B1F"/>
    <w:rsid w:val="00857B4B"/>
    <w:rsid w:val="008602AB"/>
    <w:rsid w:val="00860942"/>
    <w:rsid w:val="00861B02"/>
    <w:rsid w:val="00861DB6"/>
    <w:rsid w:val="00861F8C"/>
    <w:rsid w:val="00862515"/>
    <w:rsid w:val="00862FA2"/>
    <w:rsid w:val="0086308A"/>
    <w:rsid w:val="0086337B"/>
    <w:rsid w:val="00863B92"/>
    <w:rsid w:val="00863DC1"/>
    <w:rsid w:val="00863E72"/>
    <w:rsid w:val="00864587"/>
    <w:rsid w:val="00864D0E"/>
    <w:rsid w:val="00865824"/>
    <w:rsid w:val="0086585B"/>
    <w:rsid w:val="00865BD3"/>
    <w:rsid w:val="008661C4"/>
    <w:rsid w:val="00867FA4"/>
    <w:rsid w:val="00871362"/>
    <w:rsid w:val="00871750"/>
    <w:rsid w:val="0087188A"/>
    <w:rsid w:val="0087244F"/>
    <w:rsid w:val="00872AE0"/>
    <w:rsid w:val="008733EB"/>
    <w:rsid w:val="00873594"/>
    <w:rsid w:val="008745D6"/>
    <w:rsid w:val="00874CE5"/>
    <w:rsid w:val="0087535C"/>
    <w:rsid w:val="00875371"/>
    <w:rsid w:val="00875C58"/>
    <w:rsid w:val="00876169"/>
    <w:rsid w:val="00876C7F"/>
    <w:rsid w:val="00876E96"/>
    <w:rsid w:val="00877B51"/>
    <w:rsid w:val="00877DFC"/>
    <w:rsid w:val="00880476"/>
    <w:rsid w:val="00881281"/>
    <w:rsid w:val="00881DD5"/>
    <w:rsid w:val="00881F00"/>
    <w:rsid w:val="00882973"/>
    <w:rsid w:val="00883D7D"/>
    <w:rsid w:val="00884843"/>
    <w:rsid w:val="00884D49"/>
    <w:rsid w:val="00885355"/>
    <w:rsid w:val="00885B6B"/>
    <w:rsid w:val="00886AC7"/>
    <w:rsid w:val="00887F4C"/>
    <w:rsid w:val="0089176C"/>
    <w:rsid w:val="00891E3B"/>
    <w:rsid w:val="00891EBF"/>
    <w:rsid w:val="00891F2E"/>
    <w:rsid w:val="00892322"/>
    <w:rsid w:val="00893513"/>
    <w:rsid w:val="00893C6E"/>
    <w:rsid w:val="00893CAE"/>
    <w:rsid w:val="00893F86"/>
    <w:rsid w:val="00893FFC"/>
    <w:rsid w:val="00894615"/>
    <w:rsid w:val="0089485D"/>
    <w:rsid w:val="00894B9F"/>
    <w:rsid w:val="00894E89"/>
    <w:rsid w:val="008952FE"/>
    <w:rsid w:val="00895314"/>
    <w:rsid w:val="00895700"/>
    <w:rsid w:val="008958D9"/>
    <w:rsid w:val="0089619B"/>
    <w:rsid w:val="00896430"/>
    <w:rsid w:val="00897117"/>
    <w:rsid w:val="008971A6"/>
    <w:rsid w:val="00897324"/>
    <w:rsid w:val="008975EE"/>
    <w:rsid w:val="00897F70"/>
    <w:rsid w:val="008A05E4"/>
    <w:rsid w:val="008A08F3"/>
    <w:rsid w:val="008A1C19"/>
    <w:rsid w:val="008A1E17"/>
    <w:rsid w:val="008A2080"/>
    <w:rsid w:val="008A247B"/>
    <w:rsid w:val="008A2C80"/>
    <w:rsid w:val="008A3330"/>
    <w:rsid w:val="008A35FB"/>
    <w:rsid w:val="008A460C"/>
    <w:rsid w:val="008A5028"/>
    <w:rsid w:val="008A57C4"/>
    <w:rsid w:val="008A604A"/>
    <w:rsid w:val="008A6220"/>
    <w:rsid w:val="008A65D1"/>
    <w:rsid w:val="008A65E3"/>
    <w:rsid w:val="008A6BA5"/>
    <w:rsid w:val="008A6EAA"/>
    <w:rsid w:val="008A79E6"/>
    <w:rsid w:val="008A7D45"/>
    <w:rsid w:val="008B0415"/>
    <w:rsid w:val="008B04BC"/>
    <w:rsid w:val="008B0791"/>
    <w:rsid w:val="008B123B"/>
    <w:rsid w:val="008B1E23"/>
    <w:rsid w:val="008B1FF3"/>
    <w:rsid w:val="008B2768"/>
    <w:rsid w:val="008B2C21"/>
    <w:rsid w:val="008B313D"/>
    <w:rsid w:val="008B34D6"/>
    <w:rsid w:val="008B36BD"/>
    <w:rsid w:val="008B3B8B"/>
    <w:rsid w:val="008B40EE"/>
    <w:rsid w:val="008B5961"/>
    <w:rsid w:val="008B596B"/>
    <w:rsid w:val="008B6852"/>
    <w:rsid w:val="008B68DF"/>
    <w:rsid w:val="008B6F1D"/>
    <w:rsid w:val="008B7D7F"/>
    <w:rsid w:val="008B7FBB"/>
    <w:rsid w:val="008C0189"/>
    <w:rsid w:val="008C054C"/>
    <w:rsid w:val="008C12B8"/>
    <w:rsid w:val="008C18E5"/>
    <w:rsid w:val="008C1909"/>
    <w:rsid w:val="008C23C0"/>
    <w:rsid w:val="008C3413"/>
    <w:rsid w:val="008C355C"/>
    <w:rsid w:val="008C44DF"/>
    <w:rsid w:val="008C45A0"/>
    <w:rsid w:val="008C4A87"/>
    <w:rsid w:val="008C4A9B"/>
    <w:rsid w:val="008C4B21"/>
    <w:rsid w:val="008C4F84"/>
    <w:rsid w:val="008C5208"/>
    <w:rsid w:val="008C54D5"/>
    <w:rsid w:val="008C5B88"/>
    <w:rsid w:val="008C6AA0"/>
    <w:rsid w:val="008C6B8B"/>
    <w:rsid w:val="008C6F2F"/>
    <w:rsid w:val="008C7354"/>
    <w:rsid w:val="008C7DB1"/>
    <w:rsid w:val="008D03DE"/>
    <w:rsid w:val="008D1895"/>
    <w:rsid w:val="008D19C6"/>
    <w:rsid w:val="008D1EC0"/>
    <w:rsid w:val="008D243D"/>
    <w:rsid w:val="008D276E"/>
    <w:rsid w:val="008D2C8D"/>
    <w:rsid w:val="008D2DF7"/>
    <w:rsid w:val="008D2EBB"/>
    <w:rsid w:val="008D2FFD"/>
    <w:rsid w:val="008D307B"/>
    <w:rsid w:val="008D36F7"/>
    <w:rsid w:val="008D3955"/>
    <w:rsid w:val="008D3B5E"/>
    <w:rsid w:val="008D3D05"/>
    <w:rsid w:val="008D44CC"/>
    <w:rsid w:val="008D46DF"/>
    <w:rsid w:val="008D4AD8"/>
    <w:rsid w:val="008D515C"/>
    <w:rsid w:val="008D53A0"/>
    <w:rsid w:val="008D55CE"/>
    <w:rsid w:val="008D5AC3"/>
    <w:rsid w:val="008D5D0B"/>
    <w:rsid w:val="008D5ECC"/>
    <w:rsid w:val="008D6AC8"/>
    <w:rsid w:val="008D7AD2"/>
    <w:rsid w:val="008D7BE4"/>
    <w:rsid w:val="008E003A"/>
    <w:rsid w:val="008E0633"/>
    <w:rsid w:val="008E0CD1"/>
    <w:rsid w:val="008E0D24"/>
    <w:rsid w:val="008E0DB7"/>
    <w:rsid w:val="008E1687"/>
    <w:rsid w:val="008E1B2E"/>
    <w:rsid w:val="008E225B"/>
    <w:rsid w:val="008E25E6"/>
    <w:rsid w:val="008E3495"/>
    <w:rsid w:val="008E3666"/>
    <w:rsid w:val="008E39A0"/>
    <w:rsid w:val="008E4985"/>
    <w:rsid w:val="008E4DBB"/>
    <w:rsid w:val="008E4F13"/>
    <w:rsid w:val="008E51CC"/>
    <w:rsid w:val="008E5249"/>
    <w:rsid w:val="008E5436"/>
    <w:rsid w:val="008E5884"/>
    <w:rsid w:val="008E66FD"/>
    <w:rsid w:val="008E697F"/>
    <w:rsid w:val="008E6AA7"/>
    <w:rsid w:val="008E6DB3"/>
    <w:rsid w:val="008E72F9"/>
    <w:rsid w:val="008E7390"/>
    <w:rsid w:val="008E7530"/>
    <w:rsid w:val="008E7917"/>
    <w:rsid w:val="008F033C"/>
    <w:rsid w:val="008F19A6"/>
    <w:rsid w:val="008F232B"/>
    <w:rsid w:val="008F247C"/>
    <w:rsid w:val="008F2A25"/>
    <w:rsid w:val="008F2AD9"/>
    <w:rsid w:val="008F346D"/>
    <w:rsid w:val="008F4799"/>
    <w:rsid w:val="008F49BB"/>
    <w:rsid w:val="008F517B"/>
    <w:rsid w:val="008F5284"/>
    <w:rsid w:val="008F5611"/>
    <w:rsid w:val="008F5661"/>
    <w:rsid w:val="008F588E"/>
    <w:rsid w:val="008F6717"/>
    <w:rsid w:val="008F6B56"/>
    <w:rsid w:val="0090022D"/>
    <w:rsid w:val="009002B5"/>
    <w:rsid w:val="0090046E"/>
    <w:rsid w:val="009006F3"/>
    <w:rsid w:val="0090209E"/>
    <w:rsid w:val="0090211C"/>
    <w:rsid w:val="009021F7"/>
    <w:rsid w:val="009022D4"/>
    <w:rsid w:val="009029C3"/>
    <w:rsid w:val="00902A7C"/>
    <w:rsid w:val="00902AEE"/>
    <w:rsid w:val="00902AFA"/>
    <w:rsid w:val="00902BF3"/>
    <w:rsid w:val="00902CD4"/>
    <w:rsid w:val="00902DCC"/>
    <w:rsid w:val="00902FA3"/>
    <w:rsid w:val="00903FA2"/>
    <w:rsid w:val="009044D6"/>
    <w:rsid w:val="009047E7"/>
    <w:rsid w:val="0090499E"/>
    <w:rsid w:val="009049DD"/>
    <w:rsid w:val="00904B5B"/>
    <w:rsid w:val="00904CC7"/>
    <w:rsid w:val="00905190"/>
    <w:rsid w:val="00905255"/>
    <w:rsid w:val="00906904"/>
    <w:rsid w:val="00906EA1"/>
    <w:rsid w:val="009075B5"/>
    <w:rsid w:val="00907AEF"/>
    <w:rsid w:val="00907B0D"/>
    <w:rsid w:val="00907C61"/>
    <w:rsid w:val="00907D3B"/>
    <w:rsid w:val="0091046A"/>
    <w:rsid w:val="009115EA"/>
    <w:rsid w:val="009117B3"/>
    <w:rsid w:val="00912404"/>
    <w:rsid w:val="009124B2"/>
    <w:rsid w:val="0091312C"/>
    <w:rsid w:val="00913402"/>
    <w:rsid w:val="00913596"/>
    <w:rsid w:val="00913A61"/>
    <w:rsid w:val="00913E4F"/>
    <w:rsid w:val="00913FEF"/>
    <w:rsid w:val="009140AA"/>
    <w:rsid w:val="009142C2"/>
    <w:rsid w:val="00914302"/>
    <w:rsid w:val="00915ECD"/>
    <w:rsid w:val="009160B9"/>
    <w:rsid w:val="00916CFD"/>
    <w:rsid w:val="00916F2C"/>
    <w:rsid w:val="0092021A"/>
    <w:rsid w:val="00920B15"/>
    <w:rsid w:val="00921C6F"/>
    <w:rsid w:val="00921E49"/>
    <w:rsid w:val="00922806"/>
    <w:rsid w:val="00922E51"/>
    <w:rsid w:val="00923019"/>
    <w:rsid w:val="009230B3"/>
    <w:rsid w:val="0092365A"/>
    <w:rsid w:val="00923908"/>
    <w:rsid w:val="00923AA5"/>
    <w:rsid w:val="0092465F"/>
    <w:rsid w:val="0092490C"/>
    <w:rsid w:val="00925607"/>
    <w:rsid w:val="00925AC4"/>
    <w:rsid w:val="00926196"/>
    <w:rsid w:val="009262E2"/>
    <w:rsid w:val="0092682B"/>
    <w:rsid w:val="00926D7B"/>
    <w:rsid w:val="00926DE2"/>
    <w:rsid w:val="00926E76"/>
    <w:rsid w:val="00927A82"/>
    <w:rsid w:val="00927C9F"/>
    <w:rsid w:val="00927F73"/>
    <w:rsid w:val="0093003A"/>
    <w:rsid w:val="009301F0"/>
    <w:rsid w:val="00930414"/>
    <w:rsid w:val="009308CB"/>
    <w:rsid w:val="00930FB6"/>
    <w:rsid w:val="009310CD"/>
    <w:rsid w:val="0093160B"/>
    <w:rsid w:val="00935098"/>
    <w:rsid w:val="009350BD"/>
    <w:rsid w:val="009350CA"/>
    <w:rsid w:val="0093606E"/>
    <w:rsid w:val="00936CD7"/>
    <w:rsid w:val="00937079"/>
    <w:rsid w:val="009379AE"/>
    <w:rsid w:val="00937F2D"/>
    <w:rsid w:val="00940020"/>
    <w:rsid w:val="00941234"/>
    <w:rsid w:val="0094144A"/>
    <w:rsid w:val="0094165F"/>
    <w:rsid w:val="009416AB"/>
    <w:rsid w:val="009417D0"/>
    <w:rsid w:val="00941959"/>
    <w:rsid w:val="00941C78"/>
    <w:rsid w:val="00942269"/>
    <w:rsid w:val="00942B5F"/>
    <w:rsid w:val="00943335"/>
    <w:rsid w:val="009435A3"/>
    <w:rsid w:val="009436E4"/>
    <w:rsid w:val="009439B5"/>
    <w:rsid w:val="00943D6E"/>
    <w:rsid w:val="00943F53"/>
    <w:rsid w:val="00944124"/>
    <w:rsid w:val="00944933"/>
    <w:rsid w:val="00945C7A"/>
    <w:rsid w:val="00945EB3"/>
    <w:rsid w:val="00945EC4"/>
    <w:rsid w:val="009461AD"/>
    <w:rsid w:val="00950AC8"/>
    <w:rsid w:val="00950B9E"/>
    <w:rsid w:val="00950F1F"/>
    <w:rsid w:val="00951353"/>
    <w:rsid w:val="00951391"/>
    <w:rsid w:val="009513F5"/>
    <w:rsid w:val="00951782"/>
    <w:rsid w:val="00951C78"/>
    <w:rsid w:val="00952063"/>
    <w:rsid w:val="009520E7"/>
    <w:rsid w:val="00952AD2"/>
    <w:rsid w:val="00952EE2"/>
    <w:rsid w:val="009531CC"/>
    <w:rsid w:val="00953218"/>
    <w:rsid w:val="00953961"/>
    <w:rsid w:val="00953CD0"/>
    <w:rsid w:val="009543BE"/>
    <w:rsid w:val="00954761"/>
    <w:rsid w:val="00954BE9"/>
    <w:rsid w:val="00954C19"/>
    <w:rsid w:val="0095540C"/>
    <w:rsid w:val="00955557"/>
    <w:rsid w:val="0095562D"/>
    <w:rsid w:val="00956934"/>
    <w:rsid w:val="00956B83"/>
    <w:rsid w:val="00956BEA"/>
    <w:rsid w:val="00956CC8"/>
    <w:rsid w:val="00956EB6"/>
    <w:rsid w:val="00957689"/>
    <w:rsid w:val="009577F2"/>
    <w:rsid w:val="00961725"/>
    <w:rsid w:val="00961F35"/>
    <w:rsid w:val="009623EF"/>
    <w:rsid w:val="0096273B"/>
    <w:rsid w:val="0096297D"/>
    <w:rsid w:val="00962ED9"/>
    <w:rsid w:val="00962FDB"/>
    <w:rsid w:val="009630A5"/>
    <w:rsid w:val="009630F9"/>
    <w:rsid w:val="00964242"/>
    <w:rsid w:val="009643C8"/>
    <w:rsid w:val="00964F6A"/>
    <w:rsid w:val="00965272"/>
    <w:rsid w:val="00965758"/>
    <w:rsid w:val="00965878"/>
    <w:rsid w:val="00965BC8"/>
    <w:rsid w:val="00965C0C"/>
    <w:rsid w:val="009661FB"/>
    <w:rsid w:val="0096707A"/>
    <w:rsid w:val="00967240"/>
    <w:rsid w:val="00967260"/>
    <w:rsid w:val="0096752D"/>
    <w:rsid w:val="00967D3D"/>
    <w:rsid w:val="00970F20"/>
    <w:rsid w:val="00971385"/>
    <w:rsid w:val="0097166E"/>
    <w:rsid w:val="00971C3A"/>
    <w:rsid w:val="00972587"/>
    <w:rsid w:val="0097259C"/>
    <w:rsid w:val="0097276E"/>
    <w:rsid w:val="0097278E"/>
    <w:rsid w:val="009730BF"/>
    <w:rsid w:val="00973240"/>
    <w:rsid w:val="009743D2"/>
    <w:rsid w:val="0097480F"/>
    <w:rsid w:val="00974DA7"/>
    <w:rsid w:val="00975625"/>
    <w:rsid w:val="00975705"/>
    <w:rsid w:val="00975A39"/>
    <w:rsid w:val="00975DDB"/>
    <w:rsid w:val="0097647E"/>
    <w:rsid w:val="00976F69"/>
    <w:rsid w:val="00977939"/>
    <w:rsid w:val="00977A5D"/>
    <w:rsid w:val="00980612"/>
    <w:rsid w:val="00980952"/>
    <w:rsid w:val="009812BA"/>
    <w:rsid w:val="009813B9"/>
    <w:rsid w:val="009821B2"/>
    <w:rsid w:val="009821C7"/>
    <w:rsid w:val="009824A3"/>
    <w:rsid w:val="00982927"/>
    <w:rsid w:val="00982E76"/>
    <w:rsid w:val="00982EA7"/>
    <w:rsid w:val="00983091"/>
    <w:rsid w:val="00983291"/>
    <w:rsid w:val="009838B9"/>
    <w:rsid w:val="009839FA"/>
    <w:rsid w:val="00983CC0"/>
    <w:rsid w:val="009842E6"/>
    <w:rsid w:val="00984872"/>
    <w:rsid w:val="00984C07"/>
    <w:rsid w:val="00984C3C"/>
    <w:rsid w:val="00984CBB"/>
    <w:rsid w:val="00985916"/>
    <w:rsid w:val="00986528"/>
    <w:rsid w:val="00987138"/>
    <w:rsid w:val="00987551"/>
    <w:rsid w:val="00987B16"/>
    <w:rsid w:val="00987DD6"/>
    <w:rsid w:val="0099019A"/>
    <w:rsid w:val="009907BD"/>
    <w:rsid w:val="009908B5"/>
    <w:rsid w:val="00992147"/>
    <w:rsid w:val="009926F0"/>
    <w:rsid w:val="00992D30"/>
    <w:rsid w:val="009933B3"/>
    <w:rsid w:val="00993AAD"/>
    <w:rsid w:val="009946FF"/>
    <w:rsid w:val="00994827"/>
    <w:rsid w:val="00995BC0"/>
    <w:rsid w:val="009964C5"/>
    <w:rsid w:val="009967D3"/>
    <w:rsid w:val="00996F0F"/>
    <w:rsid w:val="009976F9"/>
    <w:rsid w:val="00997708"/>
    <w:rsid w:val="009A0FBA"/>
    <w:rsid w:val="009A1198"/>
    <w:rsid w:val="009A1B91"/>
    <w:rsid w:val="009A2247"/>
    <w:rsid w:val="009A2A1A"/>
    <w:rsid w:val="009A3464"/>
    <w:rsid w:val="009A3843"/>
    <w:rsid w:val="009A3F1C"/>
    <w:rsid w:val="009A4123"/>
    <w:rsid w:val="009A474B"/>
    <w:rsid w:val="009A4A80"/>
    <w:rsid w:val="009A4C22"/>
    <w:rsid w:val="009A4FFF"/>
    <w:rsid w:val="009A56D5"/>
    <w:rsid w:val="009A5F7D"/>
    <w:rsid w:val="009A5FEE"/>
    <w:rsid w:val="009A6772"/>
    <w:rsid w:val="009A6928"/>
    <w:rsid w:val="009B0411"/>
    <w:rsid w:val="009B0805"/>
    <w:rsid w:val="009B0929"/>
    <w:rsid w:val="009B0F1E"/>
    <w:rsid w:val="009B0F5A"/>
    <w:rsid w:val="009B142C"/>
    <w:rsid w:val="009B1492"/>
    <w:rsid w:val="009B1A91"/>
    <w:rsid w:val="009B28C2"/>
    <w:rsid w:val="009B2978"/>
    <w:rsid w:val="009B3640"/>
    <w:rsid w:val="009B3A47"/>
    <w:rsid w:val="009B3AB0"/>
    <w:rsid w:val="009B427D"/>
    <w:rsid w:val="009B4927"/>
    <w:rsid w:val="009B529B"/>
    <w:rsid w:val="009B52B3"/>
    <w:rsid w:val="009B5806"/>
    <w:rsid w:val="009B583B"/>
    <w:rsid w:val="009B5ABD"/>
    <w:rsid w:val="009B5B5C"/>
    <w:rsid w:val="009B677D"/>
    <w:rsid w:val="009B6C32"/>
    <w:rsid w:val="009B6D56"/>
    <w:rsid w:val="009B78B7"/>
    <w:rsid w:val="009B7AFA"/>
    <w:rsid w:val="009B7CCA"/>
    <w:rsid w:val="009C1470"/>
    <w:rsid w:val="009C14AF"/>
    <w:rsid w:val="009C1911"/>
    <w:rsid w:val="009C1CB9"/>
    <w:rsid w:val="009C2113"/>
    <w:rsid w:val="009C2BA2"/>
    <w:rsid w:val="009C2C1C"/>
    <w:rsid w:val="009C3C51"/>
    <w:rsid w:val="009C4277"/>
    <w:rsid w:val="009C44FD"/>
    <w:rsid w:val="009C4832"/>
    <w:rsid w:val="009C56A4"/>
    <w:rsid w:val="009C5757"/>
    <w:rsid w:val="009C5CE9"/>
    <w:rsid w:val="009C6032"/>
    <w:rsid w:val="009C62F6"/>
    <w:rsid w:val="009C6B47"/>
    <w:rsid w:val="009C7252"/>
    <w:rsid w:val="009C72A9"/>
    <w:rsid w:val="009C749E"/>
    <w:rsid w:val="009C74C4"/>
    <w:rsid w:val="009C7C6C"/>
    <w:rsid w:val="009D0244"/>
    <w:rsid w:val="009D032D"/>
    <w:rsid w:val="009D070D"/>
    <w:rsid w:val="009D090A"/>
    <w:rsid w:val="009D0DFF"/>
    <w:rsid w:val="009D0F44"/>
    <w:rsid w:val="009D24B6"/>
    <w:rsid w:val="009D2781"/>
    <w:rsid w:val="009D2AD6"/>
    <w:rsid w:val="009D2FDE"/>
    <w:rsid w:val="009D380C"/>
    <w:rsid w:val="009D3C2C"/>
    <w:rsid w:val="009D3C37"/>
    <w:rsid w:val="009D4218"/>
    <w:rsid w:val="009D4505"/>
    <w:rsid w:val="009D49FD"/>
    <w:rsid w:val="009D4B92"/>
    <w:rsid w:val="009D58DA"/>
    <w:rsid w:val="009D5A5E"/>
    <w:rsid w:val="009D5C63"/>
    <w:rsid w:val="009D65BA"/>
    <w:rsid w:val="009D6C90"/>
    <w:rsid w:val="009D6FB9"/>
    <w:rsid w:val="009D7624"/>
    <w:rsid w:val="009D7CE4"/>
    <w:rsid w:val="009E0712"/>
    <w:rsid w:val="009E0898"/>
    <w:rsid w:val="009E1907"/>
    <w:rsid w:val="009E1937"/>
    <w:rsid w:val="009E25E9"/>
    <w:rsid w:val="009E2B00"/>
    <w:rsid w:val="009E2B6E"/>
    <w:rsid w:val="009E3225"/>
    <w:rsid w:val="009E332E"/>
    <w:rsid w:val="009E3828"/>
    <w:rsid w:val="009E3C50"/>
    <w:rsid w:val="009E45A9"/>
    <w:rsid w:val="009E49F0"/>
    <w:rsid w:val="009E5369"/>
    <w:rsid w:val="009E601F"/>
    <w:rsid w:val="009E615F"/>
    <w:rsid w:val="009E6BFE"/>
    <w:rsid w:val="009E736F"/>
    <w:rsid w:val="009E744E"/>
    <w:rsid w:val="009E76E7"/>
    <w:rsid w:val="009E7B22"/>
    <w:rsid w:val="009E7CCE"/>
    <w:rsid w:val="009E7DBD"/>
    <w:rsid w:val="009F034E"/>
    <w:rsid w:val="009F0ABE"/>
    <w:rsid w:val="009F0CFB"/>
    <w:rsid w:val="009F117D"/>
    <w:rsid w:val="009F1213"/>
    <w:rsid w:val="009F127F"/>
    <w:rsid w:val="009F15DA"/>
    <w:rsid w:val="009F1E60"/>
    <w:rsid w:val="009F252D"/>
    <w:rsid w:val="009F274C"/>
    <w:rsid w:val="009F275D"/>
    <w:rsid w:val="009F3BA7"/>
    <w:rsid w:val="009F3F8E"/>
    <w:rsid w:val="009F4474"/>
    <w:rsid w:val="009F5672"/>
    <w:rsid w:val="009F5785"/>
    <w:rsid w:val="009F5C94"/>
    <w:rsid w:val="009F61F5"/>
    <w:rsid w:val="009F631A"/>
    <w:rsid w:val="009F72CB"/>
    <w:rsid w:val="009F79EB"/>
    <w:rsid w:val="00A001A0"/>
    <w:rsid w:val="00A010BB"/>
    <w:rsid w:val="00A0144E"/>
    <w:rsid w:val="00A025AB"/>
    <w:rsid w:val="00A02624"/>
    <w:rsid w:val="00A02774"/>
    <w:rsid w:val="00A02F59"/>
    <w:rsid w:val="00A03E44"/>
    <w:rsid w:val="00A045E4"/>
    <w:rsid w:val="00A045F3"/>
    <w:rsid w:val="00A0477C"/>
    <w:rsid w:val="00A04936"/>
    <w:rsid w:val="00A05AB6"/>
    <w:rsid w:val="00A05D6D"/>
    <w:rsid w:val="00A06242"/>
    <w:rsid w:val="00A06C29"/>
    <w:rsid w:val="00A071F4"/>
    <w:rsid w:val="00A076BA"/>
    <w:rsid w:val="00A07ADE"/>
    <w:rsid w:val="00A105BB"/>
    <w:rsid w:val="00A110F2"/>
    <w:rsid w:val="00A113A6"/>
    <w:rsid w:val="00A119AA"/>
    <w:rsid w:val="00A11AFE"/>
    <w:rsid w:val="00A11CA6"/>
    <w:rsid w:val="00A11E5D"/>
    <w:rsid w:val="00A11F71"/>
    <w:rsid w:val="00A1202D"/>
    <w:rsid w:val="00A124B5"/>
    <w:rsid w:val="00A1264A"/>
    <w:rsid w:val="00A13362"/>
    <w:rsid w:val="00A133CE"/>
    <w:rsid w:val="00A133FD"/>
    <w:rsid w:val="00A1340D"/>
    <w:rsid w:val="00A13559"/>
    <w:rsid w:val="00A137CA"/>
    <w:rsid w:val="00A13F5E"/>
    <w:rsid w:val="00A1413A"/>
    <w:rsid w:val="00A143A6"/>
    <w:rsid w:val="00A143B9"/>
    <w:rsid w:val="00A148F2"/>
    <w:rsid w:val="00A14B8B"/>
    <w:rsid w:val="00A14F28"/>
    <w:rsid w:val="00A1507E"/>
    <w:rsid w:val="00A154F8"/>
    <w:rsid w:val="00A15623"/>
    <w:rsid w:val="00A15C9E"/>
    <w:rsid w:val="00A16152"/>
    <w:rsid w:val="00A16DEA"/>
    <w:rsid w:val="00A17109"/>
    <w:rsid w:val="00A173BE"/>
    <w:rsid w:val="00A177A9"/>
    <w:rsid w:val="00A17BD1"/>
    <w:rsid w:val="00A201BF"/>
    <w:rsid w:val="00A20702"/>
    <w:rsid w:val="00A20AC0"/>
    <w:rsid w:val="00A219DE"/>
    <w:rsid w:val="00A21C39"/>
    <w:rsid w:val="00A2200D"/>
    <w:rsid w:val="00A226D5"/>
    <w:rsid w:val="00A22C6A"/>
    <w:rsid w:val="00A233DF"/>
    <w:rsid w:val="00A2360D"/>
    <w:rsid w:val="00A242BD"/>
    <w:rsid w:val="00A24E2D"/>
    <w:rsid w:val="00A24EF3"/>
    <w:rsid w:val="00A25FA7"/>
    <w:rsid w:val="00A262CB"/>
    <w:rsid w:val="00A263CA"/>
    <w:rsid w:val="00A270DD"/>
    <w:rsid w:val="00A2767C"/>
    <w:rsid w:val="00A27C0B"/>
    <w:rsid w:val="00A30174"/>
    <w:rsid w:val="00A30225"/>
    <w:rsid w:val="00A304D6"/>
    <w:rsid w:val="00A31671"/>
    <w:rsid w:val="00A3172A"/>
    <w:rsid w:val="00A31B1C"/>
    <w:rsid w:val="00A31B9C"/>
    <w:rsid w:val="00A325A2"/>
    <w:rsid w:val="00A32ED8"/>
    <w:rsid w:val="00A335E5"/>
    <w:rsid w:val="00A34282"/>
    <w:rsid w:val="00A342B7"/>
    <w:rsid w:val="00A3433E"/>
    <w:rsid w:val="00A347B0"/>
    <w:rsid w:val="00A34BA4"/>
    <w:rsid w:val="00A35442"/>
    <w:rsid w:val="00A3583E"/>
    <w:rsid w:val="00A360E0"/>
    <w:rsid w:val="00A3651E"/>
    <w:rsid w:val="00A3664B"/>
    <w:rsid w:val="00A368B8"/>
    <w:rsid w:val="00A369E4"/>
    <w:rsid w:val="00A36A8E"/>
    <w:rsid w:val="00A36CDC"/>
    <w:rsid w:val="00A36EC7"/>
    <w:rsid w:val="00A37034"/>
    <w:rsid w:val="00A37F5C"/>
    <w:rsid w:val="00A403CD"/>
    <w:rsid w:val="00A4046C"/>
    <w:rsid w:val="00A408D9"/>
    <w:rsid w:val="00A411DA"/>
    <w:rsid w:val="00A4153B"/>
    <w:rsid w:val="00A4197C"/>
    <w:rsid w:val="00A420E0"/>
    <w:rsid w:val="00A42799"/>
    <w:rsid w:val="00A42D00"/>
    <w:rsid w:val="00A43030"/>
    <w:rsid w:val="00A43420"/>
    <w:rsid w:val="00A43F19"/>
    <w:rsid w:val="00A441B0"/>
    <w:rsid w:val="00A442A6"/>
    <w:rsid w:val="00A442D6"/>
    <w:rsid w:val="00A449D3"/>
    <w:rsid w:val="00A44A12"/>
    <w:rsid w:val="00A450BA"/>
    <w:rsid w:val="00A45DB7"/>
    <w:rsid w:val="00A45DFD"/>
    <w:rsid w:val="00A46509"/>
    <w:rsid w:val="00A471DC"/>
    <w:rsid w:val="00A4748C"/>
    <w:rsid w:val="00A4749A"/>
    <w:rsid w:val="00A47C52"/>
    <w:rsid w:val="00A50291"/>
    <w:rsid w:val="00A50562"/>
    <w:rsid w:val="00A50A75"/>
    <w:rsid w:val="00A50AE4"/>
    <w:rsid w:val="00A50ECB"/>
    <w:rsid w:val="00A5104B"/>
    <w:rsid w:val="00A51B5A"/>
    <w:rsid w:val="00A5294F"/>
    <w:rsid w:val="00A53038"/>
    <w:rsid w:val="00A53BBD"/>
    <w:rsid w:val="00A544E6"/>
    <w:rsid w:val="00A548A5"/>
    <w:rsid w:val="00A55014"/>
    <w:rsid w:val="00A554CB"/>
    <w:rsid w:val="00A5577A"/>
    <w:rsid w:val="00A55BC5"/>
    <w:rsid w:val="00A55DCE"/>
    <w:rsid w:val="00A561D7"/>
    <w:rsid w:val="00A5655B"/>
    <w:rsid w:val="00A57026"/>
    <w:rsid w:val="00A57750"/>
    <w:rsid w:val="00A57866"/>
    <w:rsid w:val="00A57CB1"/>
    <w:rsid w:val="00A60872"/>
    <w:rsid w:val="00A6207E"/>
    <w:rsid w:val="00A628A2"/>
    <w:rsid w:val="00A62BFB"/>
    <w:rsid w:val="00A62EB1"/>
    <w:rsid w:val="00A6350C"/>
    <w:rsid w:val="00A638E5"/>
    <w:rsid w:val="00A6405F"/>
    <w:rsid w:val="00A643D5"/>
    <w:rsid w:val="00A64453"/>
    <w:rsid w:val="00A6450B"/>
    <w:rsid w:val="00A651AA"/>
    <w:rsid w:val="00A6538B"/>
    <w:rsid w:val="00A65856"/>
    <w:rsid w:val="00A66655"/>
    <w:rsid w:val="00A66DB2"/>
    <w:rsid w:val="00A672C5"/>
    <w:rsid w:val="00A6776C"/>
    <w:rsid w:val="00A702E5"/>
    <w:rsid w:val="00A7067F"/>
    <w:rsid w:val="00A707D1"/>
    <w:rsid w:val="00A70840"/>
    <w:rsid w:val="00A70974"/>
    <w:rsid w:val="00A70D60"/>
    <w:rsid w:val="00A71190"/>
    <w:rsid w:val="00A711E0"/>
    <w:rsid w:val="00A7138E"/>
    <w:rsid w:val="00A71B50"/>
    <w:rsid w:val="00A72971"/>
    <w:rsid w:val="00A72D3E"/>
    <w:rsid w:val="00A7427F"/>
    <w:rsid w:val="00A74500"/>
    <w:rsid w:val="00A755F4"/>
    <w:rsid w:val="00A75FC9"/>
    <w:rsid w:val="00A76031"/>
    <w:rsid w:val="00A76321"/>
    <w:rsid w:val="00A76AEF"/>
    <w:rsid w:val="00A76CDA"/>
    <w:rsid w:val="00A76EC1"/>
    <w:rsid w:val="00A803A9"/>
    <w:rsid w:val="00A8063C"/>
    <w:rsid w:val="00A80C8D"/>
    <w:rsid w:val="00A81806"/>
    <w:rsid w:val="00A81B54"/>
    <w:rsid w:val="00A81DA5"/>
    <w:rsid w:val="00A827FB"/>
    <w:rsid w:val="00A82880"/>
    <w:rsid w:val="00A82DCD"/>
    <w:rsid w:val="00A82FC4"/>
    <w:rsid w:val="00A8378D"/>
    <w:rsid w:val="00A84815"/>
    <w:rsid w:val="00A84EA2"/>
    <w:rsid w:val="00A8504A"/>
    <w:rsid w:val="00A8563F"/>
    <w:rsid w:val="00A85992"/>
    <w:rsid w:val="00A85D3E"/>
    <w:rsid w:val="00A85F7F"/>
    <w:rsid w:val="00A8613D"/>
    <w:rsid w:val="00A86395"/>
    <w:rsid w:val="00A863FC"/>
    <w:rsid w:val="00A86FB0"/>
    <w:rsid w:val="00A872D8"/>
    <w:rsid w:val="00A87879"/>
    <w:rsid w:val="00A9107F"/>
    <w:rsid w:val="00A9140D"/>
    <w:rsid w:val="00A91599"/>
    <w:rsid w:val="00A918B3"/>
    <w:rsid w:val="00A92451"/>
    <w:rsid w:val="00A92538"/>
    <w:rsid w:val="00A93089"/>
    <w:rsid w:val="00A9357F"/>
    <w:rsid w:val="00A93B45"/>
    <w:rsid w:val="00A94130"/>
    <w:rsid w:val="00A943E6"/>
    <w:rsid w:val="00A944C0"/>
    <w:rsid w:val="00A9471C"/>
    <w:rsid w:val="00A9485A"/>
    <w:rsid w:val="00A950CF"/>
    <w:rsid w:val="00A95307"/>
    <w:rsid w:val="00A95698"/>
    <w:rsid w:val="00A956D8"/>
    <w:rsid w:val="00A960B2"/>
    <w:rsid w:val="00A96321"/>
    <w:rsid w:val="00A967B8"/>
    <w:rsid w:val="00A96F7E"/>
    <w:rsid w:val="00A971C1"/>
    <w:rsid w:val="00A97325"/>
    <w:rsid w:val="00A973F4"/>
    <w:rsid w:val="00A97C18"/>
    <w:rsid w:val="00A97DDF"/>
    <w:rsid w:val="00AA0123"/>
    <w:rsid w:val="00AA0599"/>
    <w:rsid w:val="00AA0BA9"/>
    <w:rsid w:val="00AA0F08"/>
    <w:rsid w:val="00AA11E3"/>
    <w:rsid w:val="00AA13C1"/>
    <w:rsid w:val="00AA162D"/>
    <w:rsid w:val="00AA1BC1"/>
    <w:rsid w:val="00AA2375"/>
    <w:rsid w:val="00AA24B5"/>
    <w:rsid w:val="00AA284A"/>
    <w:rsid w:val="00AA2D20"/>
    <w:rsid w:val="00AA2D94"/>
    <w:rsid w:val="00AA32DD"/>
    <w:rsid w:val="00AA354A"/>
    <w:rsid w:val="00AA3BEE"/>
    <w:rsid w:val="00AA3DA1"/>
    <w:rsid w:val="00AA4A61"/>
    <w:rsid w:val="00AA61B8"/>
    <w:rsid w:val="00AA638C"/>
    <w:rsid w:val="00AA64D3"/>
    <w:rsid w:val="00AA6648"/>
    <w:rsid w:val="00AA6F46"/>
    <w:rsid w:val="00AA74D0"/>
    <w:rsid w:val="00AA7A04"/>
    <w:rsid w:val="00AB02C2"/>
    <w:rsid w:val="00AB057F"/>
    <w:rsid w:val="00AB0966"/>
    <w:rsid w:val="00AB1077"/>
    <w:rsid w:val="00AB130E"/>
    <w:rsid w:val="00AB1590"/>
    <w:rsid w:val="00AB15BB"/>
    <w:rsid w:val="00AB1706"/>
    <w:rsid w:val="00AB1707"/>
    <w:rsid w:val="00AB1B2F"/>
    <w:rsid w:val="00AB1EF0"/>
    <w:rsid w:val="00AB223B"/>
    <w:rsid w:val="00AB2351"/>
    <w:rsid w:val="00AB258C"/>
    <w:rsid w:val="00AB2B7E"/>
    <w:rsid w:val="00AB2CA1"/>
    <w:rsid w:val="00AB3059"/>
    <w:rsid w:val="00AB3775"/>
    <w:rsid w:val="00AB37A1"/>
    <w:rsid w:val="00AB3833"/>
    <w:rsid w:val="00AB3916"/>
    <w:rsid w:val="00AB40D4"/>
    <w:rsid w:val="00AB455C"/>
    <w:rsid w:val="00AB4F0A"/>
    <w:rsid w:val="00AB5427"/>
    <w:rsid w:val="00AB688C"/>
    <w:rsid w:val="00AB6998"/>
    <w:rsid w:val="00AB6BBA"/>
    <w:rsid w:val="00AB7221"/>
    <w:rsid w:val="00AC008E"/>
    <w:rsid w:val="00AC07AB"/>
    <w:rsid w:val="00AC0CF3"/>
    <w:rsid w:val="00AC1BE1"/>
    <w:rsid w:val="00AC295A"/>
    <w:rsid w:val="00AC2A18"/>
    <w:rsid w:val="00AC3163"/>
    <w:rsid w:val="00AC3D5B"/>
    <w:rsid w:val="00AC4468"/>
    <w:rsid w:val="00AC4C65"/>
    <w:rsid w:val="00AC4DDB"/>
    <w:rsid w:val="00AC5CF5"/>
    <w:rsid w:val="00AC629E"/>
    <w:rsid w:val="00AC64D4"/>
    <w:rsid w:val="00AC6F16"/>
    <w:rsid w:val="00AC6F54"/>
    <w:rsid w:val="00AC7CF7"/>
    <w:rsid w:val="00AC7F5E"/>
    <w:rsid w:val="00AD0192"/>
    <w:rsid w:val="00AD03A8"/>
    <w:rsid w:val="00AD05C2"/>
    <w:rsid w:val="00AD0883"/>
    <w:rsid w:val="00AD08F7"/>
    <w:rsid w:val="00AD0F52"/>
    <w:rsid w:val="00AD1089"/>
    <w:rsid w:val="00AD1167"/>
    <w:rsid w:val="00AD1305"/>
    <w:rsid w:val="00AD23A4"/>
    <w:rsid w:val="00AD26A7"/>
    <w:rsid w:val="00AD2B31"/>
    <w:rsid w:val="00AD33D6"/>
    <w:rsid w:val="00AD3C61"/>
    <w:rsid w:val="00AD3CCB"/>
    <w:rsid w:val="00AD408C"/>
    <w:rsid w:val="00AD4C9F"/>
    <w:rsid w:val="00AD4CAD"/>
    <w:rsid w:val="00AD4F9B"/>
    <w:rsid w:val="00AD50FA"/>
    <w:rsid w:val="00AD5FF9"/>
    <w:rsid w:val="00AD6084"/>
    <w:rsid w:val="00AD62F5"/>
    <w:rsid w:val="00AD64DB"/>
    <w:rsid w:val="00AD6BB3"/>
    <w:rsid w:val="00AD6F7A"/>
    <w:rsid w:val="00AD701D"/>
    <w:rsid w:val="00AD7036"/>
    <w:rsid w:val="00AD79C1"/>
    <w:rsid w:val="00AD7A16"/>
    <w:rsid w:val="00AD7C21"/>
    <w:rsid w:val="00AD7F50"/>
    <w:rsid w:val="00AE0760"/>
    <w:rsid w:val="00AE08AF"/>
    <w:rsid w:val="00AE0910"/>
    <w:rsid w:val="00AE0DB8"/>
    <w:rsid w:val="00AE2047"/>
    <w:rsid w:val="00AE216E"/>
    <w:rsid w:val="00AE229A"/>
    <w:rsid w:val="00AE2832"/>
    <w:rsid w:val="00AE2BFF"/>
    <w:rsid w:val="00AE2CD5"/>
    <w:rsid w:val="00AE30CA"/>
    <w:rsid w:val="00AE3223"/>
    <w:rsid w:val="00AE324B"/>
    <w:rsid w:val="00AE325D"/>
    <w:rsid w:val="00AE336B"/>
    <w:rsid w:val="00AE3B60"/>
    <w:rsid w:val="00AE4651"/>
    <w:rsid w:val="00AE4BD6"/>
    <w:rsid w:val="00AE4E9A"/>
    <w:rsid w:val="00AE60F3"/>
    <w:rsid w:val="00AE68AF"/>
    <w:rsid w:val="00AE68C5"/>
    <w:rsid w:val="00AE7428"/>
    <w:rsid w:val="00AE74D6"/>
    <w:rsid w:val="00AE76FE"/>
    <w:rsid w:val="00AE7986"/>
    <w:rsid w:val="00AE79A9"/>
    <w:rsid w:val="00AF04B4"/>
    <w:rsid w:val="00AF0E18"/>
    <w:rsid w:val="00AF1433"/>
    <w:rsid w:val="00AF15A8"/>
    <w:rsid w:val="00AF2174"/>
    <w:rsid w:val="00AF2225"/>
    <w:rsid w:val="00AF3657"/>
    <w:rsid w:val="00AF422D"/>
    <w:rsid w:val="00AF473B"/>
    <w:rsid w:val="00AF4AB3"/>
    <w:rsid w:val="00AF5AFB"/>
    <w:rsid w:val="00AF623E"/>
    <w:rsid w:val="00AF674F"/>
    <w:rsid w:val="00AF6F27"/>
    <w:rsid w:val="00AF6F39"/>
    <w:rsid w:val="00AF790B"/>
    <w:rsid w:val="00B00DE1"/>
    <w:rsid w:val="00B010FB"/>
    <w:rsid w:val="00B01159"/>
    <w:rsid w:val="00B029BB"/>
    <w:rsid w:val="00B0378F"/>
    <w:rsid w:val="00B04360"/>
    <w:rsid w:val="00B0444E"/>
    <w:rsid w:val="00B0475D"/>
    <w:rsid w:val="00B04E07"/>
    <w:rsid w:val="00B04E30"/>
    <w:rsid w:val="00B05608"/>
    <w:rsid w:val="00B06C3B"/>
    <w:rsid w:val="00B06C94"/>
    <w:rsid w:val="00B07735"/>
    <w:rsid w:val="00B100F6"/>
    <w:rsid w:val="00B101F7"/>
    <w:rsid w:val="00B10C80"/>
    <w:rsid w:val="00B112F3"/>
    <w:rsid w:val="00B113E0"/>
    <w:rsid w:val="00B1155C"/>
    <w:rsid w:val="00B12731"/>
    <w:rsid w:val="00B1392E"/>
    <w:rsid w:val="00B13BF9"/>
    <w:rsid w:val="00B14150"/>
    <w:rsid w:val="00B1452C"/>
    <w:rsid w:val="00B1453C"/>
    <w:rsid w:val="00B1473D"/>
    <w:rsid w:val="00B14F45"/>
    <w:rsid w:val="00B154A5"/>
    <w:rsid w:val="00B1579C"/>
    <w:rsid w:val="00B15E80"/>
    <w:rsid w:val="00B16411"/>
    <w:rsid w:val="00B16ACA"/>
    <w:rsid w:val="00B17CE8"/>
    <w:rsid w:val="00B20AD5"/>
    <w:rsid w:val="00B20CA7"/>
    <w:rsid w:val="00B20DC1"/>
    <w:rsid w:val="00B21791"/>
    <w:rsid w:val="00B220E9"/>
    <w:rsid w:val="00B22B5A"/>
    <w:rsid w:val="00B22C19"/>
    <w:rsid w:val="00B22F10"/>
    <w:rsid w:val="00B23201"/>
    <w:rsid w:val="00B24FC5"/>
    <w:rsid w:val="00B25EC2"/>
    <w:rsid w:val="00B26373"/>
    <w:rsid w:val="00B26589"/>
    <w:rsid w:val="00B26A2C"/>
    <w:rsid w:val="00B2720F"/>
    <w:rsid w:val="00B2739A"/>
    <w:rsid w:val="00B27579"/>
    <w:rsid w:val="00B2770D"/>
    <w:rsid w:val="00B30B62"/>
    <w:rsid w:val="00B30BA5"/>
    <w:rsid w:val="00B312FA"/>
    <w:rsid w:val="00B317D2"/>
    <w:rsid w:val="00B318F7"/>
    <w:rsid w:val="00B32506"/>
    <w:rsid w:val="00B3255D"/>
    <w:rsid w:val="00B32AC9"/>
    <w:rsid w:val="00B32D7D"/>
    <w:rsid w:val="00B33A4A"/>
    <w:rsid w:val="00B33AE1"/>
    <w:rsid w:val="00B3411F"/>
    <w:rsid w:val="00B3541E"/>
    <w:rsid w:val="00B3559F"/>
    <w:rsid w:val="00B3560A"/>
    <w:rsid w:val="00B3561F"/>
    <w:rsid w:val="00B35D80"/>
    <w:rsid w:val="00B35F0C"/>
    <w:rsid w:val="00B37F8D"/>
    <w:rsid w:val="00B408E0"/>
    <w:rsid w:val="00B41499"/>
    <w:rsid w:val="00B41663"/>
    <w:rsid w:val="00B4184B"/>
    <w:rsid w:val="00B42107"/>
    <w:rsid w:val="00B428C7"/>
    <w:rsid w:val="00B43736"/>
    <w:rsid w:val="00B44160"/>
    <w:rsid w:val="00B4425E"/>
    <w:rsid w:val="00B444CE"/>
    <w:rsid w:val="00B44559"/>
    <w:rsid w:val="00B46140"/>
    <w:rsid w:val="00B466FA"/>
    <w:rsid w:val="00B47059"/>
    <w:rsid w:val="00B47119"/>
    <w:rsid w:val="00B47591"/>
    <w:rsid w:val="00B47605"/>
    <w:rsid w:val="00B47AC8"/>
    <w:rsid w:val="00B51425"/>
    <w:rsid w:val="00B51615"/>
    <w:rsid w:val="00B516A5"/>
    <w:rsid w:val="00B516BD"/>
    <w:rsid w:val="00B51AC9"/>
    <w:rsid w:val="00B5223C"/>
    <w:rsid w:val="00B5237D"/>
    <w:rsid w:val="00B5239F"/>
    <w:rsid w:val="00B52BD7"/>
    <w:rsid w:val="00B52D45"/>
    <w:rsid w:val="00B533B4"/>
    <w:rsid w:val="00B53840"/>
    <w:rsid w:val="00B53E2B"/>
    <w:rsid w:val="00B541E4"/>
    <w:rsid w:val="00B545EC"/>
    <w:rsid w:val="00B547B3"/>
    <w:rsid w:val="00B54F4F"/>
    <w:rsid w:val="00B5501C"/>
    <w:rsid w:val="00B55613"/>
    <w:rsid w:val="00B55724"/>
    <w:rsid w:val="00B55947"/>
    <w:rsid w:val="00B55A88"/>
    <w:rsid w:val="00B55EF0"/>
    <w:rsid w:val="00B5630D"/>
    <w:rsid w:val="00B56383"/>
    <w:rsid w:val="00B56A41"/>
    <w:rsid w:val="00B5789E"/>
    <w:rsid w:val="00B578B9"/>
    <w:rsid w:val="00B57E19"/>
    <w:rsid w:val="00B57ED7"/>
    <w:rsid w:val="00B603EA"/>
    <w:rsid w:val="00B60558"/>
    <w:rsid w:val="00B6132F"/>
    <w:rsid w:val="00B61A6F"/>
    <w:rsid w:val="00B63128"/>
    <w:rsid w:val="00B63C40"/>
    <w:rsid w:val="00B63F54"/>
    <w:rsid w:val="00B6402D"/>
    <w:rsid w:val="00B643D3"/>
    <w:rsid w:val="00B64B5B"/>
    <w:rsid w:val="00B64E82"/>
    <w:rsid w:val="00B65351"/>
    <w:rsid w:val="00B65A3C"/>
    <w:rsid w:val="00B66654"/>
    <w:rsid w:val="00B666F5"/>
    <w:rsid w:val="00B66A05"/>
    <w:rsid w:val="00B67228"/>
    <w:rsid w:val="00B67AEF"/>
    <w:rsid w:val="00B67C50"/>
    <w:rsid w:val="00B67F3B"/>
    <w:rsid w:val="00B67F79"/>
    <w:rsid w:val="00B70117"/>
    <w:rsid w:val="00B70751"/>
    <w:rsid w:val="00B711B7"/>
    <w:rsid w:val="00B71428"/>
    <w:rsid w:val="00B71E24"/>
    <w:rsid w:val="00B7295C"/>
    <w:rsid w:val="00B72A3F"/>
    <w:rsid w:val="00B735C0"/>
    <w:rsid w:val="00B7402A"/>
    <w:rsid w:val="00B742E6"/>
    <w:rsid w:val="00B74A5E"/>
    <w:rsid w:val="00B755B9"/>
    <w:rsid w:val="00B75A45"/>
    <w:rsid w:val="00B75B18"/>
    <w:rsid w:val="00B75D9E"/>
    <w:rsid w:val="00B76A18"/>
    <w:rsid w:val="00B772DB"/>
    <w:rsid w:val="00B77AE4"/>
    <w:rsid w:val="00B80156"/>
    <w:rsid w:val="00B80289"/>
    <w:rsid w:val="00B80E37"/>
    <w:rsid w:val="00B81925"/>
    <w:rsid w:val="00B81B02"/>
    <w:rsid w:val="00B82227"/>
    <w:rsid w:val="00B823B7"/>
    <w:rsid w:val="00B823FD"/>
    <w:rsid w:val="00B83AAF"/>
    <w:rsid w:val="00B83F6C"/>
    <w:rsid w:val="00B847E5"/>
    <w:rsid w:val="00B84C6A"/>
    <w:rsid w:val="00B854D9"/>
    <w:rsid w:val="00B8590D"/>
    <w:rsid w:val="00B86DBF"/>
    <w:rsid w:val="00B87048"/>
    <w:rsid w:val="00B8747B"/>
    <w:rsid w:val="00B87489"/>
    <w:rsid w:val="00B87560"/>
    <w:rsid w:val="00B8777C"/>
    <w:rsid w:val="00B9021C"/>
    <w:rsid w:val="00B90CA5"/>
    <w:rsid w:val="00B915BE"/>
    <w:rsid w:val="00B92073"/>
    <w:rsid w:val="00B9233A"/>
    <w:rsid w:val="00B927DE"/>
    <w:rsid w:val="00B92B74"/>
    <w:rsid w:val="00B93546"/>
    <w:rsid w:val="00B93927"/>
    <w:rsid w:val="00B93A2F"/>
    <w:rsid w:val="00B93CD5"/>
    <w:rsid w:val="00B94671"/>
    <w:rsid w:val="00B94B56"/>
    <w:rsid w:val="00B9529A"/>
    <w:rsid w:val="00B9577E"/>
    <w:rsid w:val="00B95EF4"/>
    <w:rsid w:val="00B965BF"/>
    <w:rsid w:val="00B96B46"/>
    <w:rsid w:val="00B96B82"/>
    <w:rsid w:val="00B96B86"/>
    <w:rsid w:val="00B96F8C"/>
    <w:rsid w:val="00B96FB2"/>
    <w:rsid w:val="00B96FD2"/>
    <w:rsid w:val="00B97154"/>
    <w:rsid w:val="00B97835"/>
    <w:rsid w:val="00BA0CDA"/>
    <w:rsid w:val="00BA1AEE"/>
    <w:rsid w:val="00BA1D2C"/>
    <w:rsid w:val="00BA2425"/>
    <w:rsid w:val="00BA2883"/>
    <w:rsid w:val="00BA2B41"/>
    <w:rsid w:val="00BA2E17"/>
    <w:rsid w:val="00BA2EF9"/>
    <w:rsid w:val="00BA2FAD"/>
    <w:rsid w:val="00BA36B6"/>
    <w:rsid w:val="00BA3ABA"/>
    <w:rsid w:val="00BA3FF5"/>
    <w:rsid w:val="00BA479A"/>
    <w:rsid w:val="00BA47D4"/>
    <w:rsid w:val="00BA4DF1"/>
    <w:rsid w:val="00BA50D1"/>
    <w:rsid w:val="00BA5129"/>
    <w:rsid w:val="00BA586D"/>
    <w:rsid w:val="00BA587C"/>
    <w:rsid w:val="00BA5AD0"/>
    <w:rsid w:val="00BA5BE3"/>
    <w:rsid w:val="00BA5E09"/>
    <w:rsid w:val="00BA6DFA"/>
    <w:rsid w:val="00BA7557"/>
    <w:rsid w:val="00BA7C9E"/>
    <w:rsid w:val="00BA7D03"/>
    <w:rsid w:val="00BA7D07"/>
    <w:rsid w:val="00BB0136"/>
    <w:rsid w:val="00BB070A"/>
    <w:rsid w:val="00BB0796"/>
    <w:rsid w:val="00BB0A3B"/>
    <w:rsid w:val="00BB1180"/>
    <w:rsid w:val="00BB14B2"/>
    <w:rsid w:val="00BB2790"/>
    <w:rsid w:val="00BB2917"/>
    <w:rsid w:val="00BB2E5D"/>
    <w:rsid w:val="00BB2E85"/>
    <w:rsid w:val="00BB37F2"/>
    <w:rsid w:val="00BB3A42"/>
    <w:rsid w:val="00BB3ABB"/>
    <w:rsid w:val="00BB3C0C"/>
    <w:rsid w:val="00BB3EEB"/>
    <w:rsid w:val="00BB45E5"/>
    <w:rsid w:val="00BB4791"/>
    <w:rsid w:val="00BB5437"/>
    <w:rsid w:val="00BB58E2"/>
    <w:rsid w:val="00BB66E6"/>
    <w:rsid w:val="00BB6990"/>
    <w:rsid w:val="00BB7734"/>
    <w:rsid w:val="00BB78B6"/>
    <w:rsid w:val="00BB78E5"/>
    <w:rsid w:val="00BB7AE8"/>
    <w:rsid w:val="00BC0593"/>
    <w:rsid w:val="00BC0643"/>
    <w:rsid w:val="00BC1A90"/>
    <w:rsid w:val="00BC1E17"/>
    <w:rsid w:val="00BC2349"/>
    <w:rsid w:val="00BC2890"/>
    <w:rsid w:val="00BC367E"/>
    <w:rsid w:val="00BC37FC"/>
    <w:rsid w:val="00BC3880"/>
    <w:rsid w:val="00BC397C"/>
    <w:rsid w:val="00BC3AC7"/>
    <w:rsid w:val="00BC3EAA"/>
    <w:rsid w:val="00BC4110"/>
    <w:rsid w:val="00BC4526"/>
    <w:rsid w:val="00BC4589"/>
    <w:rsid w:val="00BC45D5"/>
    <w:rsid w:val="00BC5A1D"/>
    <w:rsid w:val="00BC5F6A"/>
    <w:rsid w:val="00BC7047"/>
    <w:rsid w:val="00BC7986"/>
    <w:rsid w:val="00BC7C9B"/>
    <w:rsid w:val="00BD0D29"/>
    <w:rsid w:val="00BD11B3"/>
    <w:rsid w:val="00BD1B8B"/>
    <w:rsid w:val="00BD2836"/>
    <w:rsid w:val="00BD2C34"/>
    <w:rsid w:val="00BD4458"/>
    <w:rsid w:val="00BD52C5"/>
    <w:rsid w:val="00BD54D7"/>
    <w:rsid w:val="00BD5930"/>
    <w:rsid w:val="00BD5992"/>
    <w:rsid w:val="00BD5B4D"/>
    <w:rsid w:val="00BD701A"/>
    <w:rsid w:val="00BD7943"/>
    <w:rsid w:val="00BD7DAB"/>
    <w:rsid w:val="00BE0DE7"/>
    <w:rsid w:val="00BE18FF"/>
    <w:rsid w:val="00BE1EE0"/>
    <w:rsid w:val="00BE2205"/>
    <w:rsid w:val="00BE240B"/>
    <w:rsid w:val="00BE2F8C"/>
    <w:rsid w:val="00BE30DE"/>
    <w:rsid w:val="00BE32D2"/>
    <w:rsid w:val="00BE37F0"/>
    <w:rsid w:val="00BE3C33"/>
    <w:rsid w:val="00BE3D98"/>
    <w:rsid w:val="00BE3EF3"/>
    <w:rsid w:val="00BE3EFB"/>
    <w:rsid w:val="00BE4D17"/>
    <w:rsid w:val="00BE5107"/>
    <w:rsid w:val="00BE52BC"/>
    <w:rsid w:val="00BE6ADE"/>
    <w:rsid w:val="00BE6DFC"/>
    <w:rsid w:val="00BE7115"/>
    <w:rsid w:val="00BE79FF"/>
    <w:rsid w:val="00BE7A06"/>
    <w:rsid w:val="00BF07F5"/>
    <w:rsid w:val="00BF0A47"/>
    <w:rsid w:val="00BF18CF"/>
    <w:rsid w:val="00BF18D7"/>
    <w:rsid w:val="00BF1935"/>
    <w:rsid w:val="00BF25C2"/>
    <w:rsid w:val="00BF2650"/>
    <w:rsid w:val="00BF29A9"/>
    <w:rsid w:val="00BF3300"/>
    <w:rsid w:val="00BF3B6D"/>
    <w:rsid w:val="00BF433B"/>
    <w:rsid w:val="00BF4918"/>
    <w:rsid w:val="00BF5361"/>
    <w:rsid w:val="00BF55DA"/>
    <w:rsid w:val="00BF5699"/>
    <w:rsid w:val="00BF5CCA"/>
    <w:rsid w:val="00BF6108"/>
    <w:rsid w:val="00BF654B"/>
    <w:rsid w:val="00BF65C3"/>
    <w:rsid w:val="00BF669A"/>
    <w:rsid w:val="00BF67AD"/>
    <w:rsid w:val="00BF6B67"/>
    <w:rsid w:val="00BF6D09"/>
    <w:rsid w:val="00C00556"/>
    <w:rsid w:val="00C0068E"/>
    <w:rsid w:val="00C009CD"/>
    <w:rsid w:val="00C009DA"/>
    <w:rsid w:val="00C00D72"/>
    <w:rsid w:val="00C02495"/>
    <w:rsid w:val="00C02888"/>
    <w:rsid w:val="00C02FFE"/>
    <w:rsid w:val="00C0373D"/>
    <w:rsid w:val="00C04699"/>
    <w:rsid w:val="00C04DD1"/>
    <w:rsid w:val="00C056B8"/>
    <w:rsid w:val="00C05AF4"/>
    <w:rsid w:val="00C05E4C"/>
    <w:rsid w:val="00C061A2"/>
    <w:rsid w:val="00C063CE"/>
    <w:rsid w:val="00C06AB9"/>
    <w:rsid w:val="00C06B47"/>
    <w:rsid w:val="00C06BA9"/>
    <w:rsid w:val="00C0747B"/>
    <w:rsid w:val="00C1020D"/>
    <w:rsid w:val="00C10826"/>
    <w:rsid w:val="00C11527"/>
    <w:rsid w:val="00C11969"/>
    <w:rsid w:val="00C11A5D"/>
    <w:rsid w:val="00C11E13"/>
    <w:rsid w:val="00C125C9"/>
    <w:rsid w:val="00C12697"/>
    <w:rsid w:val="00C12A06"/>
    <w:rsid w:val="00C13B1D"/>
    <w:rsid w:val="00C13BEE"/>
    <w:rsid w:val="00C15629"/>
    <w:rsid w:val="00C159C9"/>
    <w:rsid w:val="00C1652F"/>
    <w:rsid w:val="00C165C0"/>
    <w:rsid w:val="00C169DC"/>
    <w:rsid w:val="00C170F2"/>
    <w:rsid w:val="00C1782E"/>
    <w:rsid w:val="00C17CF6"/>
    <w:rsid w:val="00C17CFC"/>
    <w:rsid w:val="00C21E1F"/>
    <w:rsid w:val="00C221CF"/>
    <w:rsid w:val="00C226A9"/>
    <w:rsid w:val="00C229A2"/>
    <w:rsid w:val="00C22D0C"/>
    <w:rsid w:val="00C24851"/>
    <w:rsid w:val="00C24FBD"/>
    <w:rsid w:val="00C266DB"/>
    <w:rsid w:val="00C26F67"/>
    <w:rsid w:val="00C270A7"/>
    <w:rsid w:val="00C277D3"/>
    <w:rsid w:val="00C3070A"/>
    <w:rsid w:val="00C30A67"/>
    <w:rsid w:val="00C310E1"/>
    <w:rsid w:val="00C31EF3"/>
    <w:rsid w:val="00C31FC2"/>
    <w:rsid w:val="00C320DD"/>
    <w:rsid w:val="00C3211D"/>
    <w:rsid w:val="00C32AF6"/>
    <w:rsid w:val="00C33A75"/>
    <w:rsid w:val="00C33D12"/>
    <w:rsid w:val="00C343A1"/>
    <w:rsid w:val="00C35124"/>
    <w:rsid w:val="00C358B8"/>
    <w:rsid w:val="00C36023"/>
    <w:rsid w:val="00C36A8F"/>
    <w:rsid w:val="00C378FE"/>
    <w:rsid w:val="00C37EA6"/>
    <w:rsid w:val="00C40B8F"/>
    <w:rsid w:val="00C40C60"/>
    <w:rsid w:val="00C40F92"/>
    <w:rsid w:val="00C4121E"/>
    <w:rsid w:val="00C415D0"/>
    <w:rsid w:val="00C4198F"/>
    <w:rsid w:val="00C420AD"/>
    <w:rsid w:val="00C42890"/>
    <w:rsid w:val="00C42A80"/>
    <w:rsid w:val="00C4308A"/>
    <w:rsid w:val="00C4360F"/>
    <w:rsid w:val="00C43740"/>
    <w:rsid w:val="00C438C8"/>
    <w:rsid w:val="00C43ACE"/>
    <w:rsid w:val="00C43D61"/>
    <w:rsid w:val="00C4415F"/>
    <w:rsid w:val="00C446FC"/>
    <w:rsid w:val="00C4484B"/>
    <w:rsid w:val="00C455E3"/>
    <w:rsid w:val="00C46235"/>
    <w:rsid w:val="00C464E3"/>
    <w:rsid w:val="00C468C1"/>
    <w:rsid w:val="00C476A5"/>
    <w:rsid w:val="00C47ACE"/>
    <w:rsid w:val="00C47C6C"/>
    <w:rsid w:val="00C50285"/>
    <w:rsid w:val="00C50FA4"/>
    <w:rsid w:val="00C51BE5"/>
    <w:rsid w:val="00C51CF1"/>
    <w:rsid w:val="00C51D8F"/>
    <w:rsid w:val="00C51E9A"/>
    <w:rsid w:val="00C5233B"/>
    <w:rsid w:val="00C52F9D"/>
    <w:rsid w:val="00C536AC"/>
    <w:rsid w:val="00C53ED6"/>
    <w:rsid w:val="00C540A4"/>
    <w:rsid w:val="00C54203"/>
    <w:rsid w:val="00C54878"/>
    <w:rsid w:val="00C548D0"/>
    <w:rsid w:val="00C54E09"/>
    <w:rsid w:val="00C54ED1"/>
    <w:rsid w:val="00C55699"/>
    <w:rsid w:val="00C55A6F"/>
    <w:rsid w:val="00C601C1"/>
    <w:rsid w:val="00C60284"/>
    <w:rsid w:val="00C609AB"/>
    <w:rsid w:val="00C60E04"/>
    <w:rsid w:val="00C61104"/>
    <w:rsid w:val="00C61495"/>
    <w:rsid w:val="00C61C66"/>
    <w:rsid w:val="00C62490"/>
    <w:rsid w:val="00C62827"/>
    <w:rsid w:val="00C62846"/>
    <w:rsid w:val="00C63E05"/>
    <w:rsid w:val="00C63E18"/>
    <w:rsid w:val="00C642E0"/>
    <w:rsid w:val="00C65BB4"/>
    <w:rsid w:val="00C65CA0"/>
    <w:rsid w:val="00C6600B"/>
    <w:rsid w:val="00C66184"/>
    <w:rsid w:val="00C66255"/>
    <w:rsid w:val="00C66673"/>
    <w:rsid w:val="00C66B92"/>
    <w:rsid w:val="00C66C49"/>
    <w:rsid w:val="00C66FD4"/>
    <w:rsid w:val="00C70C36"/>
    <w:rsid w:val="00C71004"/>
    <w:rsid w:val="00C71BB1"/>
    <w:rsid w:val="00C71C79"/>
    <w:rsid w:val="00C72234"/>
    <w:rsid w:val="00C72F6F"/>
    <w:rsid w:val="00C730A2"/>
    <w:rsid w:val="00C75BE3"/>
    <w:rsid w:val="00C75C36"/>
    <w:rsid w:val="00C75D1C"/>
    <w:rsid w:val="00C7614F"/>
    <w:rsid w:val="00C7680A"/>
    <w:rsid w:val="00C76856"/>
    <w:rsid w:val="00C76B5E"/>
    <w:rsid w:val="00C76C14"/>
    <w:rsid w:val="00C76E03"/>
    <w:rsid w:val="00C7795F"/>
    <w:rsid w:val="00C77A73"/>
    <w:rsid w:val="00C815C7"/>
    <w:rsid w:val="00C818CA"/>
    <w:rsid w:val="00C81911"/>
    <w:rsid w:val="00C82836"/>
    <w:rsid w:val="00C83036"/>
    <w:rsid w:val="00C83367"/>
    <w:rsid w:val="00C838E1"/>
    <w:rsid w:val="00C83917"/>
    <w:rsid w:val="00C84010"/>
    <w:rsid w:val="00C845A3"/>
    <w:rsid w:val="00C84D60"/>
    <w:rsid w:val="00C84E92"/>
    <w:rsid w:val="00C84EE2"/>
    <w:rsid w:val="00C8541F"/>
    <w:rsid w:val="00C85E79"/>
    <w:rsid w:val="00C86E4F"/>
    <w:rsid w:val="00C86E55"/>
    <w:rsid w:val="00C8728B"/>
    <w:rsid w:val="00C8729A"/>
    <w:rsid w:val="00C8761C"/>
    <w:rsid w:val="00C87A1F"/>
    <w:rsid w:val="00C87FF2"/>
    <w:rsid w:val="00C90C42"/>
    <w:rsid w:val="00C9110F"/>
    <w:rsid w:val="00C9140D"/>
    <w:rsid w:val="00C9153A"/>
    <w:rsid w:val="00C9157D"/>
    <w:rsid w:val="00C91971"/>
    <w:rsid w:val="00C9443C"/>
    <w:rsid w:val="00C94804"/>
    <w:rsid w:val="00C94FFB"/>
    <w:rsid w:val="00C9554B"/>
    <w:rsid w:val="00C95810"/>
    <w:rsid w:val="00C970E2"/>
    <w:rsid w:val="00C972D8"/>
    <w:rsid w:val="00C974D5"/>
    <w:rsid w:val="00C97D87"/>
    <w:rsid w:val="00CA0817"/>
    <w:rsid w:val="00CA0C9B"/>
    <w:rsid w:val="00CA0EA5"/>
    <w:rsid w:val="00CA105D"/>
    <w:rsid w:val="00CA13EB"/>
    <w:rsid w:val="00CA19E8"/>
    <w:rsid w:val="00CA2191"/>
    <w:rsid w:val="00CA3851"/>
    <w:rsid w:val="00CA3A99"/>
    <w:rsid w:val="00CA4522"/>
    <w:rsid w:val="00CA4E3D"/>
    <w:rsid w:val="00CA4F72"/>
    <w:rsid w:val="00CA5258"/>
    <w:rsid w:val="00CA575C"/>
    <w:rsid w:val="00CA5963"/>
    <w:rsid w:val="00CA59F3"/>
    <w:rsid w:val="00CA629D"/>
    <w:rsid w:val="00CA6AE6"/>
    <w:rsid w:val="00CA6BE9"/>
    <w:rsid w:val="00CA713F"/>
    <w:rsid w:val="00CA72EA"/>
    <w:rsid w:val="00CA7D18"/>
    <w:rsid w:val="00CB057C"/>
    <w:rsid w:val="00CB1710"/>
    <w:rsid w:val="00CB1BD4"/>
    <w:rsid w:val="00CB1DA4"/>
    <w:rsid w:val="00CB218F"/>
    <w:rsid w:val="00CB2889"/>
    <w:rsid w:val="00CB2C65"/>
    <w:rsid w:val="00CB33D4"/>
    <w:rsid w:val="00CB3991"/>
    <w:rsid w:val="00CB410F"/>
    <w:rsid w:val="00CB443D"/>
    <w:rsid w:val="00CB4BF9"/>
    <w:rsid w:val="00CB4E0E"/>
    <w:rsid w:val="00CB588E"/>
    <w:rsid w:val="00CB5A3C"/>
    <w:rsid w:val="00CB6531"/>
    <w:rsid w:val="00CB6B5D"/>
    <w:rsid w:val="00CB7768"/>
    <w:rsid w:val="00CB7DEE"/>
    <w:rsid w:val="00CC0788"/>
    <w:rsid w:val="00CC0C60"/>
    <w:rsid w:val="00CC1500"/>
    <w:rsid w:val="00CC179B"/>
    <w:rsid w:val="00CC1914"/>
    <w:rsid w:val="00CC296A"/>
    <w:rsid w:val="00CC2CD7"/>
    <w:rsid w:val="00CC311A"/>
    <w:rsid w:val="00CC32D9"/>
    <w:rsid w:val="00CC345C"/>
    <w:rsid w:val="00CC372A"/>
    <w:rsid w:val="00CC3B61"/>
    <w:rsid w:val="00CC3BAB"/>
    <w:rsid w:val="00CC40F3"/>
    <w:rsid w:val="00CC424D"/>
    <w:rsid w:val="00CC4469"/>
    <w:rsid w:val="00CC4551"/>
    <w:rsid w:val="00CC49F0"/>
    <w:rsid w:val="00CC521B"/>
    <w:rsid w:val="00CC533C"/>
    <w:rsid w:val="00CC53CA"/>
    <w:rsid w:val="00CC59FC"/>
    <w:rsid w:val="00CC5E63"/>
    <w:rsid w:val="00CC63E2"/>
    <w:rsid w:val="00CC7603"/>
    <w:rsid w:val="00CC7D08"/>
    <w:rsid w:val="00CC7D5E"/>
    <w:rsid w:val="00CD098E"/>
    <w:rsid w:val="00CD14F8"/>
    <w:rsid w:val="00CD16DC"/>
    <w:rsid w:val="00CD1945"/>
    <w:rsid w:val="00CD2052"/>
    <w:rsid w:val="00CD2358"/>
    <w:rsid w:val="00CD257E"/>
    <w:rsid w:val="00CD2B02"/>
    <w:rsid w:val="00CD2E28"/>
    <w:rsid w:val="00CD31D3"/>
    <w:rsid w:val="00CD3585"/>
    <w:rsid w:val="00CD3953"/>
    <w:rsid w:val="00CD3F8D"/>
    <w:rsid w:val="00CD5258"/>
    <w:rsid w:val="00CD55C6"/>
    <w:rsid w:val="00CD66DA"/>
    <w:rsid w:val="00CD6B28"/>
    <w:rsid w:val="00CD7A3C"/>
    <w:rsid w:val="00CD7A63"/>
    <w:rsid w:val="00CD7AA6"/>
    <w:rsid w:val="00CD7D64"/>
    <w:rsid w:val="00CE04E3"/>
    <w:rsid w:val="00CE0DE1"/>
    <w:rsid w:val="00CE0ECB"/>
    <w:rsid w:val="00CE187C"/>
    <w:rsid w:val="00CE294D"/>
    <w:rsid w:val="00CE36B8"/>
    <w:rsid w:val="00CE4001"/>
    <w:rsid w:val="00CE41FF"/>
    <w:rsid w:val="00CE5468"/>
    <w:rsid w:val="00CE5586"/>
    <w:rsid w:val="00CE61BC"/>
    <w:rsid w:val="00CE61D0"/>
    <w:rsid w:val="00CE61DD"/>
    <w:rsid w:val="00CE6703"/>
    <w:rsid w:val="00CE6C2C"/>
    <w:rsid w:val="00CE6F20"/>
    <w:rsid w:val="00CF00E9"/>
    <w:rsid w:val="00CF029D"/>
    <w:rsid w:val="00CF0349"/>
    <w:rsid w:val="00CF054B"/>
    <w:rsid w:val="00CF0562"/>
    <w:rsid w:val="00CF0692"/>
    <w:rsid w:val="00CF090B"/>
    <w:rsid w:val="00CF1769"/>
    <w:rsid w:val="00CF27B5"/>
    <w:rsid w:val="00CF36F6"/>
    <w:rsid w:val="00CF4192"/>
    <w:rsid w:val="00CF45AD"/>
    <w:rsid w:val="00CF4F06"/>
    <w:rsid w:val="00CF508D"/>
    <w:rsid w:val="00CF5643"/>
    <w:rsid w:val="00CF564E"/>
    <w:rsid w:val="00CF5820"/>
    <w:rsid w:val="00CF591C"/>
    <w:rsid w:val="00CF5E74"/>
    <w:rsid w:val="00CF5F85"/>
    <w:rsid w:val="00CF6C0B"/>
    <w:rsid w:val="00CF6F8D"/>
    <w:rsid w:val="00CF71BF"/>
    <w:rsid w:val="00CF7276"/>
    <w:rsid w:val="00CF74E4"/>
    <w:rsid w:val="00CF76E1"/>
    <w:rsid w:val="00CF7AE0"/>
    <w:rsid w:val="00D00304"/>
    <w:rsid w:val="00D01589"/>
    <w:rsid w:val="00D01E0C"/>
    <w:rsid w:val="00D01F72"/>
    <w:rsid w:val="00D02019"/>
    <w:rsid w:val="00D02161"/>
    <w:rsid w:val="00D02AC9"/>
    <w:rsid w:val="00D02B1C"/>
    <w:rsid w:val="00D02EA3"/>
    <w:rsid w:val="00D03190"/>
    <w:rsid w:val="00D03269"/>
    <w:rsid w:val="00D039E2"/>
    <w:rsid w:val="00D0400A"/>
    <w:rsid w:val="00D04DD0"/>
    <w:rsid w:val="00D0505B"/>
    <w:rsid w:val="00D059F6"/>
    <w:rsid w:val="00D05A6C"/>
    <w:rsid w:val="00D05AAF"/>
    <w:rsid w:val="00D05C23"/>
    <w:rsid w:val="00D05D58"/>
    <w:rsid w:val="00D05FDD"/>
    <w:rsid w:val="00D0608B"/>
    <w:rsid w:val="00D06312"/>
    <w:rsid w:val="00D06D69"/>
    <w:rsid w:val="00D07239"/>
    <w:rsid w:val="00D10199"/>
    <w:rsid w:val="00D106F2"/>
    <w:rsid w:val="00D10CD2"/>
    <w:rsid w:val="00D10EEF"/>
    <w:rsid w:val="00D114B6"/>
    <w:rsid w:val="00D11FAE"/>
    <w:rsid w:val="00D12286"/>
    <w:rsid w:val="00D13AB8"/>
    <w:rsid w:val="00D1559D"/>
    <w:rsid w:val="00D15A34"/>
    <w:rsid w:val="00D1606F"/>
    <w:rsid w:val="00D161F9"/>
    <w:rsid w:val="00D1661D"/>
    <w:rsid w:val="00D16764"/>
    <w:rsid w:val="00D16C45"/>
    <w:rsid w:val="00D1722C"/>
    <w:rsid w:val="00D17396"/>
    <w:rsid w:val="00D1742D"/>
    <w:rsid w:val="00D174BC"/>
    <w:rsid w:val="00D17865"/>
    <w:rsid w:val="00D20598"/>
    <w:rsid w:val="00D207CF"/>
    <w:rsid w:val="00D20B87"/>
    <w:rsid w:val="00D20FF2"/>
    <w:rsid w:val="00D210F2"/>
    <w:rsid w:val="00D2187E"/>
    <w:rsid w:val="00D2193A"/>
    <w:rsid w:val="00D21E91"/>
    <w:rsid w:val="00D223EE"/>
    <w:rsid w:val="00D22700"/>
    <w:rsid w:val="00D22739"/>
    <w:rsid w:val="00D22BE6"/>
    <w:rsid w:val="00D230DF"/>
    <w:rsid w:val="00D230FA"/>
    <w:rsid w:val="00D2356D"/>
    <w:rsid w:val="00D23AD3"/>
    <w:rsid w:val="00D240B3"/>
    <w:rsid w:val="00D2424F"/>
    <w:rsid w:val="00D24545"/>
    <w:rsid w:val="00D248AB"/>
    <w:rsid w:val="00D24CA4"/>
    <w:rsid w:val="00D24F95"/>
    <w:rsid w:val="00D25326"/>
    <w:rsid w:val="00D25E91"/>
    <w:rsid w:val="00D26158"/>
    <w:rsid w:val="00D26291"/>
    <w:rsid w:val="00D269D5"/>
    <w:rsid w:val="00D26C11"/>
    <w:rsid w:val="00D26EDC"/>
    <w:rsid w:val="00D27631"/>
    <w:rsid w:val="00D27848"/>
    <w:rsid w:val="00D2790F"/>
    <w:rsid w:val="00D27D6D"/>
    <w:rsid w:val="00D305EE"/>
    <w:rsid w:val="00D308CE"/>
    <w:rsid w:val="00D3104A"/>
    <w:rsid w:val="00D3107B"/>
    <w:rsid w:val="00D3130D"/>
    <w:rsid w:val="00D319B1"/>
    <w:rsid w:val="00D32195"/>
    <w:rsid w:val="00D32203"/>
    <w:rsid w:val="00D325AD"/>
    <w:rsid w:val="00D32D4D"/>
    <w:rsid w:val="00D32F29"/>
    <w:rsid w:val="00D3587B"/>
    <w:rsid w:val="00D35DCC"/>
    <w:rsid w:val="00D369E9"/>
    <w:rsid w:val="00D37325"/>
    <w:rsid w:val="00D37399"/>
    <w:rsid w:val="00D37FF6"/>
    <w:rsid w:val="00D401AF"/>
    <w:rsid w:val="00D40294"/>
    <w:rsid w:val="00D40442"/>
    <w:rsid w:val="00D40482"/>
    <w:rsid w:val="00D408EB"/>
    <w:rsid w:val="00D40989"/>
    <w:rsid w:val="00D41CC7"/>
    <w:rsid w:val="00D43B68"/>
    <w:rsid w:val="00D451EC"/>
    <w:rsid w:val="00D45224"/>
    <w:rsid w:val="00D45415"/>
    <w:rsid w:val="00D45572"/>
    <w:rsid w:val="00D456E7"/>
    <w:rsid w:val="00D46A8F"/>
    <w:rsid w:val="00D46CD2"/>
    <w:rsid w:val="00D47024"/>
    <w:rsid w:val="00D47122"/>
    <w:rsid w:val="00D4773F"/>
    <w:rsid w:val="00D47EE8"/>
    <w:rsid w:val="00D50955"/>
    <w:rsid w:val="00D511F8"/>
    <w:rsid w:val="00D516D6"/>
    <w:rsid w:val="00D51EDB"/>
    <w:rsid w:val="00D5211B"/>
    <w:rsid w:val="00D523AC"/>
    <w:rsid w:val="00D5246B"/>
    <w:rsid w:val="00D52A0A"/>
    <w:rsid w:val="00D52C39"/>
    <w:rsid w:val="00D533FE"/>
    <w:rsid w:val="00D53420"/>
    <w:rsid w:val="00D535E7"/>
    <w:rsid w:val="00D537B9"/>
    <w:rsid w:val="00D53826"/>
    <w:rsid w:val="00D54219"/>
    <w:rsid w:val="00D5471B"/>
    <w:rsid w:val="00D548E0"/>
    <w:rsid w:val="00D5569B"/>
    <w:rsid w:val="00D559D5"/>
    <w:rsid w:val="00D55CF9"/>
    <w:rsid w:val="00D55D25"/>
    <w:rsid w:val="00D56102"/>
    <w:rsid w:val="00D567A1"/>
    <w:rsid w:val="00D57798"/>
    <w:rsid w:val="00D577C9"/>
    <w:rsid w:val="00D57893"/>
    <w:rsid w:val="00D57D06"/>
    <w:rsid w:val="00D57EBE"/>
    <w:rsid w:val="00D60DFF"/>
    <w:rsid w:val="00D62088"/>
    <w:rsid w:val="00D6233A"/>
    <w:rsid w:val="00D62527"/>
    <w:rsid w:val="00D626EE"/>
    <w:rsid w:val="00D6296D"/>
    <w:rsid w:val="00D6384D"/>
    <w:rsid w:val="00D639B8"/>
    <w:rsid w:val="00D63DCC"/>
    <w:rsid w:val="00D63EA8"/>
    <w:rsid w:val="00D655DA"/>
    <w:rsid w:val="00D658B5"/>
    <w:rsid w:val="00D65A34"/>
    <w:rsid w:val="00D66240"/>
    <w:rsid w:val="00D66528"/>
    <w:rsid w:val="00D66CFA"/>
    <w:rsid w:val="00D66E0E"/>
    <w:rsid w:val="00D674B8"/>
    <w:rsid w:val="00D70853"/>
    <w:rsid w:val="00D70A9B"/>
    <w:rsid w:val="00D70BAE"/>
    <w:rsid w:val="00D70E43"/>
    <w:rsid w:val="00D71BC5"/>
    <w:rsid w:val="00D71F62"/>
    <w:rsid w:val="00D721DF"/>
    <w:rsid w:val="00D7264C"/>
    <w:rsid w:val="00D7280B"/>
    <w:rsid w:val="00D72BB5"/>
    <w:rsid w:val="00D72FAD"/>
    <w:rsid w:val="00D733CA"/>
    <w:rsid w:val="00D73629"/>
    <w:rsid w:val="00D738C5"/>
    <w:rsid w:val="00D7460C"/>
    <w:rsid w:val="00D746BC"/>
    <w:rsid w:val="00D7492F"/>
    <w:rsid w:val="00D75022"/>
    <w:rsid w:val="00D75190"/>
    <w:rsid w:val="00D7623E"/>
    <w:rsid w:val="00D76912"/>
    <w:rsid w:val="00D76CDC"/>
    <w:rsid w:val="00D77237"/>
    <w:rsid w:val="00D779F6"/>
    <w:rsid w:val="00D77B92"/>
    <w:rsid w:val="00D80B9F"/>
    <w:rsid w:val="00D80DC1"/>
    <w:rsid w:val="00D81C71"/>
    <w:rsid w:val="00D81F7C"/>
    <w:rsid w:val="00D8235B"/>
    <w:rsid w:val="00D83672"/>
    <w:rsid w:val="00D84D6A"/>
    <w:rsid w:val="00D8511F"/>
    <w:rsid w:val="00D85546"/>
    <w:rsid w:val="00D85A82"/>
    <w:rsid w:val="00D85F16"/>
    <w:rsid w:val="00D860D6"/>
    <w:rsid w:val="00D868D7"/>
    <w:rsid w:val="00D868E5"/>
    <w:rsid w:val="00D86E8C"/>
    <w:rsid w:val="00D87443"/>
    <w:rsid w:val="00D8757F"/>
    <w:rsid w:val="00D87889"/>
    <w:rsid w:val="00D87EC9"/>
    <w:rsid w:val="00D90710"/>
    <w:rsid w:val="00D90952"/>
    <w:rsid w:val="00D91DAB"/>
    <w:rsid w:val="00D923BE"/>
    <w:rsid w:val="00D92CFB"/>
    <w:rsid w:val="00D92DBF"/>
    <w:rsid w:val="00D930AF"/>
    <w:rsid w:val="00D93253"/>
    <w:rsid w:val="00D93419"/>
    <w:rsid w:val="00D93864"/>
    <w:rsid w:val="00D9398D"/>
    <w:rsid w:val="00D93E09"/>
    <w:rsid w:val="00D94887"/>
    <w:rsid w:val="00D94A97"/>
    <w:rsid w:val="00D94BD5"/>
    <w:rsid w:val="00D94CB4"/>
    <w:rsid w:val="00D95038"/>
    <w:rsid w:val="00D95971"/>
    <w:rsid w:val="00D96037"/>
    <w:rsid w:val="00D961D5"/>
    <w:rsid w:val="00D969AF"/>
    <w:rsid w:val="00D96C03"/>
    <w:rsid w:val="00D97079"/>
    <w:rsid w:val="00DA08F5"/>
    <w:rsid w:val="00DA09AB"/>
    <w:rsid w:val="00DA122B"/>
    <w:rsid w:val="00DA1267"/>
    <w:rsid w:val="00DA15F7"/>
    <w:rsid w:val="00DA1990"/>
    <w:rsid w:val="00DA1C18"/>
    <w:rsid w:val="00DA2178"/>
    <w:rsid w:val="00DA24D2"/>
    <w:rsid w:val="00DA2549"/>
    <w:rsid w:val="00DA2BB5"/>
    <w:rsid w:val="00DA2D6D"/>
    <w:rsid w:val="00DA3535"/>
    <w:rsid w:val="00DA3B6C"/>
    <w:rsid w:val="00DA4727"/>
    <w:rsid w:val="00DA4764"/>
    <w:rsid w:val="00DA526B"/>
    <w:rsid w:val="00DA597A"/>
    <w:rsid w:val="00DA5A6C"/>
    <w:rsid w:val="00DA5BFD"/>
    <w:rsid w:val="00DA5D6B"/>
    <w:rsid w:val="00DA5E04"/>
    <w:rsid w:val="00DA5F6F"/>
    <w:rsid w:val="00DA5FB9"/>
    <w:rsid w:val="00DA6F29"/>
    <w:rsid w:val="00DA7A07"/>
    <w:rsid w:val="00DA7FD8"/>
    <w:rsid w:val="00DB00E7"/>
    <w:rsid w:val="00DB0699"/>
    <w:rsid w:val="00DB144A"/>
    <w:rsid w:val="00DB225E"/>
    <w:rsid w:val="00DB2364"/>
    <w:rsid w:val="00DB25E2"/>
    <w:rsid w:val="00DB2AF7"/>
    <w:rsid w:val="00DB2DD7"/>
    <w:rsid w:val="00DB37C4"/>
    <w:rsid w:val="00DB3829"/>
    <w:rsid w:val="00DB5059"/>
    <w:rsid w:val="00DB5101"/>
    <w:rsid w:val="00DB5A87"/>
    <w:rsid w:val="00DB5DD4"/>
    <w:rsid w:val="00DB6867"/>
    <w:rsid w:val="00DB7AD8"/>
    <w:rsid w:val="00DC0C14"/>
    <w:rsid w:val="00DC13AC"/>
    <w:rsid w:val="00DC287B"/>
    <w:rsid w:val="00DC2910"/>
    <w:rsid w:val="00DC2F34"/>
    <w:rsid w:val="00DC2FD3"/>
    <w:rsid w:val="00DC35B4"/>
    <w:rsid w:val="00DC49DF"/>
    <w:rsid w:val="00DC4F8D"/>
    <w:rsid w:val="00DC5FAB"/>
    <w:rsid w:val="00DC6203"/>
    <w:rsid w:val="00DC62FD"/>
    <w:rsid w:val="00DC64A7"/>
    <w:rsid w:val="00DC66B7"/>
    <w:rsid w:val="00DC6A57"/>
    <w:rsid w:val="00DC6CA5"/>
    <w:rsid w:val="00DC772E"/>
    <w:rsid w:val="00DC7E4B"/>
    <w:rsid w:val="00DD00EA"/>
    <w:rsid w:val="00DD0437"/>
    <w:rsid w:val="00DD059B"/>
    <w:rsid w:val="00DD0D9C"/>
    <w:rsid w:val="00DD1033"/>
    <w:rsid w:val="00DD18FB"/>
    <w:rsid w:val="00DD1CF2"/>
    <w:rsid w:val="00DD1FF3"/>
    <w:rsid w:val="00DD257B"/>
    <w:rsid w:val="00DD2618"/>
    <w:rsid w:val="00DD296A"/>
    <w:rsid w:val="00DD35F5"/>
    <w:rsid w:val="00DD4286"/>
    <w:rsid w:val="00DD4ABF"/>
    <w:rsid w:val="00DD51C6"/>
    <w:rsid w:val="00DD544A"/>
    <w:rsid w:val="00DD5704"/>
    <w:rsid w:val="00DD5809"/>
    <w:rsid w:val="00DD5C1F"/>
    <w:rsid w:val="00DD6A05"/>
    <w:rsid w:val="00DD764D"/>
    <w:rsid w:val="00DD7B1A"/>
    <w:rsid w:val="00DE028D"/>
    <w:rsid w:val="00DE087F"/>
    <w:rsid w:val="00DE09EE"/>
    <w:rsid w:val="00DE12F8"/>
    <w:rsid w:val="00DE14AC"/>
    <w:rsid w:val="00DE1B6A"/>
    <w:rsid w:val="00DE1C81"/>
    <w:rsid w:val="00DE2110"/>
    <w:rsid w:val="00DE21DC"/>
    <w:rsid w:val="00DE2520"/>
    <w:rsid w:val="00DE26A2"/>
    <w:rsid w:val="00DE294A"/>
    <w:rsid w:val="00DE2DF3"/>
    <w:rsid w:val="00DE2F29"/>
    <w:rsid w:val="00DE3A16"/>
    <w:rsid w:val="00DE40AE"/>
    <w:rsid w:val="00DE4187"/>
    <w:rsid w:val="00DE4279"/>
    <w:rsid w:val="00DE479C"/>
    <w:rsid w:val="00DE4C14"/>
    <w:rsid w:val="00DE52C6"/>
    <w:rsid w:val="00DE5C2B"/>
    <w:rsid w:val="00DE5F02"/>
    <w:rsid w:val="00DE5F81"/>
    <w:rsid w:val="00DE5FC0"/>
    <w:rsid w:val="00DE6029"/>
    <w:rsid w:val="00DE6237"/>
    <w:rsid w:val="00DE623D"/>
    <w:rsid w:val="00DE6D0E"/>
    <w:rsid w:val="00DE6D34"/>
    <w:rsid w:val="00DE6E17"/>
    <w:rsid w:val="00DE70C6"/>
    <w:rsid w:val="00DE721F"/>
    <w:rsid w:val="00DE7758"/>
    <w:rsid w:val="00DF0463"/>
    <w:rsid w:val="00DF09CC"/>
    <w:rsid w:val="00DF10F6"/>
    <w:rsid w:val="00DF18E9"/>
    <w:rsid w:val="00DF28C9"/>
    <w:rsid w:val="00DF2C9F"/>
    <w:rsid w:val="00DF4264"/>
    <w:rsid w:val="00DF535B"/>
    <w:rsid w:val="00DF5E23"/>
    <w:rsid w:val="00DF5EDF"/>
    <w:rsid w:val="00DF6151"/>
    <w:rsid w:val="00DF6650"/>
    <w:rsid w:val="00DF6732"/>
    <w:rsid w:val="00DF6814"/>
    <w:rsid w:val="00DF6850"/>
    <w:rsid w:val="00DF6FA8"/>
    <w:rsid w:val="00E004D9"/>
    <w:rsid w:val="00E00A68"/>
    <w:rsid w:val="00E01B0F"/>
    <w:rsid w:val="00E02F1F"/>
    <w:rsid w:val="00E03326"/>
    <w:rsid w:val="00E03B2F"/>
    <w:rsid w:val="00E043C8"/>
    <w:rsid w:val="00E0472D"/>
    <w:rsid w:val="00E04E8A"/>
    <w:rsid w:val="00E04F3F"/>
    <w:rsid w:val="00E04F49"/>
    <w:rsid w:val="00E050CC"/>
    <w:rsid w:val="00E057C8"/>
    <w:rsid w:val="00E05A06"/>
    <w:rsid w:val="00E05DB1"/>
    <w:rsid w:val="00E062DC"/>
    <w:rsid w:val="00E06316"/>
    <w:rsid w:val="00E0677F"/>
    <w:rsid w:val="00E073CA"/>
    <w:rsid w:val="00E07410"/>
    <w:rsid w:val="00E07AE4"/>
    <w:rsid w:val="00E10154"/>
    <w:rsid w:val="00E103F4"/>
    <w:rsid w:val="00E10891"/>
    <w:rsid w:val="00E1193F"/>
    <w:rsid w:val="00E12DEA"/>
    <w:rsid w:val="00E13848"/>
    <w:rsid w:val="00E14B15"/>
    <w:rsid w:val="00E14BFD"/>
    <w:rsid w:val="00E15820"/>
    <w:rsid w:val="00E1597F"/>
    <w:rsid w:val="00E15C78"/>
    <w:rsid w:val="00E16294"/>
    <w:rsid w:val="00E162E8"/>
    <w:rsid w:val="00E1644A"/>
    <w:rsid w:val="00E16712"/>
    <w:rsid w:val="00E17491"/>
    <w:rsid w:val="00E1763E"/>
    <w:rsid w:val="00E176FD"/>
    <w:rsid w:val="00E17972"/>
    <w:rsid w:val="00E209F0"/>
    <w:rsid w:val="00E21017"/>
    <w:rsid w:val="00E212AD"/>
    <w:rsid w:val="00E2147A"/>
    <w:rsid w:val="00E21B9C"/>
    <w:rsid w:val="00E2255D"/>
    <w:rsid w:val="00E22F73"/>
    <w:rsid w:val="00E237EC"/>
    <w:rsid w:val="00E24062"/>
    <w:rsid w:val="00E2458F"/>
    <w:rsid w:val="00E251A4"/>
    <w:rsid w:val="00E251E1"/>
    <w:rsid w:val="00E25D76"/>
    <w:rsid w:val="00E25E5F"/>
    <w:rsid w:val="00E260B3"/>
    <w:rsid w:val="00E2631D"/>
    <w:rsid w:val="00E2639B"/>
    <w:rsid w:val="00E268E0"/>
    <w:rsid w:val="00E2770F"/>
    <w:rsid w:val="00E27730"/>
    <w:rsid w:val="00E27D7D"/>
    <w:rsid w:val="00E3076A"/>
    <w:rsid w:val="00E312A8"/>
    <w:rsid w:val="00E315C5"/>
    <w:rsid w:val="00E31AAF"/>
    <w:rsid w:val="00E31AB6"/>
    <w:rsid w:val="00E31F38"/>
    <w:rsid w:val="00E320C7"/>
    <w:rsid w:val="00E32BFA"/>
    <w:rsid w:val="00E32D15"/>
    <w:rsid w:val="00E33683"/>
    <w:rsid w:val="00E33730"/>
    <w:rsid w:val="00E3376A"/>
    <w:rsid w:val="00E33927"/>
    <w:rsid w:val="00E33D74"/>
    <w:rsid w:val="00E34665"/>
    <w:rsid w:val="00E3487A"/>
    <w:rsid w:val="00E34977"/>
    <w:rsid w:val="00E34AE1"/>
    <w:rsid w:val="00E34EA5"/>
    <w:rsid w:val="00E352CB"/>
    <w:rsid w:val="00E358F6"/>
    <w:rsid w:val="00E35DC0"/>
    <w:rsid w:val="00E36EC1"/>
    <w:rsid w:val="00E371DB"/>
    <w:rsid w:val="00E37389"/>
    <w:rsid w:val="00E37F87"/>
    <w:rsid w:val="00E40D5C"/>
    <w:rsid w:val="00E41129"/>
    <w:rsid w:val="00E413DE"/>
    <w:rsid w:val="00E41F4E"/>
    <w:rsid w:val="00E4203F"/>
    <w:rsid w:val="00E4291B"/>
    <w:rsid w:val="00E42AD5"/>
    <w:rsid w:val="00E42DBC"/>
    <w:rsid w:val="00E42E42"/>
    <w:rsid w:val="00E430E5"/>
    <w:rsid w:val="00E438FC"/>
    <w:rsid w:val="00E43B2B"/>
    <w:rsid w:val="00E441D8"/>
    <w:rsid w:val="00E4426C"/>
    <w:rsid w:val="00E4434E"/>
    <w:rsid w:val="00E448E7"/>
    <w:rsid w:val="00E4495A"/>
    <w:rsid w:val="00E45072"/>
    <w:rsid w:val="00E45288"/>
    <w:rsid w:val="00E45CDA"/>
    <w:rsid w:val="00E45D3C"/>
    <w:rsid w:val="00E45F53"/>
    <w:rsid w:val="00E46032"/>
    <w:rsid w:val="00E46737"/>
    <w:rsid w:val="00E467B4"/>
    <w:rsid w:val="00E46A3C"/>
    <w:rsid w:val="00E47BE1"/>
    <w:rsid w:val="00E47FD0"/>
    <w:rsid w:val="00E505FF"/>
    <w:rsid w:val="00E51572"/>
    <w:rsid w:val="00E51786"/>
    <w:rsid w:val="00E52167"/>
    <w:rsid w:val="00E52637"/>
    <w:rsid w:val="00E52763"/>
    <w:rsid w:val="00E5335E"/>
    <w:rsid w:val="00E535A2"/>
    <w:rsid w:val="00E53CA6"/>
    <w:rsid w:val="00E54336"/>
    <w:rsid w:val="00E54A3F"/>
    <w:rsid w:val="00E54BB4"/>
    <w:rsid w:val="00E54C6A"/>
    <w:rsid w:val="00E54DE4"/>
    <w:rsid w:val="00E56470"/>
    <w:rsid w:val="00E56485"/>
    <w:rsid w:val="00E5700A"/>
    <w:rsid w:val="00E5757D"/>
    <w:rsid w:val="00E6008E"/>
    <w:rsid w:val="00E601EF"/>
    <w:rsid w:val="00E606C9"/>
    <w:rsid w:val="00E608C9"/>
    <w:rsid w:val="00E60B2A"/>
    <w:rsid w:val="00E60C45"/>
    <w:rsid w:val="00E60F22"/>
    <w:rsid w:val="00E613DD"/>
    <w:rsid w:val="00E6141B"/>
    <w:rsid w:val="00E62461"/>
    <w:rsid w:val="00E62D8F"/>
    <w:rsid w:val="00E62E6A"/>
    <w:rsid w:val="00E630DC"/>
    <w:rsid w:val="00E631F8"/>
    <w:rsid w:val="00E63259"/>
    <w:rsid w:val="00E6461A"/>
    <w:rsid w:val="00E64AC7"/>
    <w:rsid w:val="00E64F2A"/>
    <w:rsid w:val="00E65312"/>
    <w:rsid w:val="00E6600D"/>
    <w:rsid w:val="00E660A2"/>
    <w:rsid w:val="00E668BD"/>
    <w:rsid w:val="00E67555"/>
    <w:rsid w:val="00E67CF5"/>
    <w:rsid w:val="00E709F8"/>
    <w:rsid w:val="00E70EA4"/>
    <w:rsid w:val="00E711C7"/>
    <w:rsid w:val="00E7205C"/>
    <w:rsid w:val="00E72E7A"/>
    <w:rsid w:val="00E73117"/>
    <w:rsid w:val="00E733B9"/>
    <w:rsid w:val="00E73467"/>
    <w:rsid w:val="00E73A03"/>
    <w:rsid w:val="00E74353"/>
    <w:rsid w:val="00E74E95"/>
    <w:rsid w:val="00E74ECF"/>
    <w:rsid w:val="00E753C7"/>
    <w:rsid w:val="00E75D54"/>
    <w:rsid w:val="00E76400"/>
    <w:rsid w:val="00E7648D"/>
    <w:rsid w:val="00E76902"/>
    <w:rsid w:val="00E76A2A"/>
    <w:rsid w:val="00E77710"/>
    <w:rsid w:val="00E77C66"/>
    <w:rsid w:val="00E77E25"/>
    <w:rsid w:val="00E811DF"/>
    <w:rsid w:val="00E812AA"/>
    <w:rsid w:val="00E816B7"/>
    <w:rsid w:val="00E8209B"/>
    <w:rsid w:val="00E82551"/>
    <w:rsid w:val="00E825D8"/>
    <w:rsid w:val="00E82CD2"/>
    <w:rsid w:val="00E82DB3"/>
    <w:rsid w:val="00E83391"/>
    <w:rsid w:val="00E83E84"/>
    <w:rsid w:val="00E84AE5"/>
    <w:rsid w:val="00E8505E"/>
    <w:rsid w:val="00E851C7"/>
    <w:rsid w:val="00E85ADC"/>
    <w:rsid w:val="00E85E5C"/>
    <w:rsid w:val="00E86597"/>
    <w:rsid w:val="00E865E9"/>
    <w:rsid w:val="00E86AF0"/>
    <w:rsid w:val="00E86F12"/>
    <w:rsid w:val="00E8782F"/>
    <w:rsid w:val="00E87C44"/>
    <w:rsid w:val="00E9008C"/>
    <w:rsid w:val="00E900EA"/>
    <w:rsid w:val="00E90DEF"/>
    <w:rsid w:val="00E91F29"/>
    <w:rsid w:val="00E9291D"/>
    <w:rsid w:val="00E92DC7"/>
    <w:rsid w:val="00E93796"/>
    <w:rsid w:val="00E93ED3"/>
    <w:rsid w:val="00E93F67"/>
    <w:rsid w:val="00E9538E"/>
    <w:rsid w:val="00E954DD"/>
    <w:rsid w:val="00E95525"/>
    <w:rsid w:val="00E95CF0"/>
    <w:rsid w:val="00E96394"/>
    <w:rsid w:val="00E9656A"/>
    <w:rsid w:val="00E96800"/>
    <w:rsid w:val="00E96A6F"/>
    <w:rsid w:val="00E96F32"/>
    <w:rsid w:val="00E9720D"/>
    <w:rsid w:val="00E978E2"/>
    <w:rsid w:val="00EA03DE"/>
    <w:rsid w:val="00EA09DD"/>
    <w:rsid w:val="00EA0A5E"/>
    <w:rsid w:val="00EA0B87"/>
    <w:rsid w:val="00EA0CAD"/>
    <w:rsid w:val="00EA13A9"/>
    <w:rsid w:val="00EA1FC5"/>
    <w:rsid w:val="00EA277F"/>
    <w:rsid w:val="00EA2781"/>
    <w:rsid w:val="00EA307E"/>
    <w:rsid w:val="00EA30A7"/>
    <w:rsid w:val="00EA38A6"/>
    <w:rsid w:val="00EA3BD5"/>
    <w:rsid w:val="00EA439D"/>
    <w:rsid w:val="00EA43B4"/>
    <w:rsid w:val="00EA4C51"/>
    <w:rsid w:val="00EA661E"/>
    <w:rsid w:val="00EA6696"/>
    <w:rsid w:val="00EA6C42"/>
    <w:rsid w:val="00EA7182"/>
    <w:rsid w:val="00EB05F5"/>
    <w:rsid w:val="00EB08F7"/>
    <w:rsid w:val="00EB0AD0"/>
    <w:rsid w:val="00EB13B5"/>
    <w:rsid w:val="00EB1525"/>
    <w:rsid w:val="00EB2462"/>
    <w:rsid w:val="00EB25FD"/>
    <w:rsid w:val="00EB2B1B"/>
    <w:rsid w:val="00EB2D47"/>
    <w:rsid w:val="00EB3129"/>
    <w:rsid w:val="00EB3174"/>
    <w:rsid w:val="00EB32B7"/>
    <w:rsid w:val="00EB37CD"/>
    <w:rsid w:val="00EB3825"/>
    <w:rsid w:val="00EB3DBF"/>
    <w:rsid w:val="00EB4139"/>
    <w:rsid w:val="00EB4A09"/>
    <w:rsid w:val="00EB58C9"/>
    <w:rsid w:val="00EB6128"/>
    <w:rsid w:val="00EB6279"/>
    <w:rsid w:val="00EB6933"/>
    <w:rsid w:val="00EB6E86"/>
    <w:rsid w:val="00EB6F61"/>
    <w:rsid w:val="00EB6F9C"/>
    <w:rsid w:val="00EB7A8A"/>
    <w:rsid w:val="00EB7F47"/>
    <w:rsid w:val="00EC02D6"/>
    <w:rsid w:val="00EC1460"/>
    <w:rsid w:val="00EC15E5"/>
    <w:rsid w:val="00EC190B"/>
    <w:rsid w:val="00EC24F4"/>
    <w:rsid w:val="00EC34DF"/>
    <w:rsid w:val="00EC3697"/>
    <w:rsid w:val="00EC36A0"/>
    <w:rsid w:val="00EC5585"/>
    <w:rsid w:val="00EC5D56"/>
    <w:rsid w:val="00EC62D3"/>
    <w:rsid w:val="00EC7207"/>
    <w:rsid w:val="00EC743C"/>
    <w:rsid w:val="00EC75A3"/>
    <w:rsid w:val="00EC7725"/>
    <w:rsid w:val="00EC7B70"/>
    <w:rsid w:val="00EC7BD8"/>
    <w:rsid w:val="00ED0074"/>
    <w:rsid w:val="00ED067B"/>
    <w:rsid w:val="00ED0A65"/>
    <w:rsid w:val="00ED0B54"/>
    <w:rsid w:val="00ED12BE"/>
    <w:rsid w:val="00ED164A"/>
    <w:rsid w:val="00ED1C73"/>
    <w:rsid w:val="00ED1D80"/>
    <w:rsid w:val="00ED219A"/>
    <w:rsid w:val="00ED263D"/>
    <w:rsid w:val="00ED2C04"/>
    <w:rsid w:val="00ED2F2A"/>
    <w:rsid w:val="00ED3142"/>
    <w:rsid w:val="00ED330C"/>
    <w:rsid w:val="00ED354B"/>
    <w:rsid w:val="00ED365A"/>
    <w:rsid w:val="00ED365D"/>
    <w:rsid w:val="00ED38C9"/>
    <w:rsid w:val="00ED3902"/>
    <w:rsid w:val="00ED3C90"/>
    <w:rsid w:val="00ED4424"/>
    <w:rsid w:val="00ED492E"/>
    <w:rsid w:val="00ED4A59"/>
    <w:rsid w:val="00ED4C94"/>
    <w:rsid w:val="00ED4DF7"/>
    <w:rsid w:val="00ED5288"/>
    <w:rsid w:val="00ED5503"/>
    <w:rsid w:val="00ED59C1"/>
    <w:rsid w:val="00ED5C4D"/>
    <w:rsid w:val="00ED5E98"/>
    <w:rsid w:val="00ED6276"/>
    <w:rsid w:val="00ED6820"/>
    <w:rsid w:val="00ED6F22"/>
    <w:rsid w:val="00ED79ED"/>
    <w:rsid w:val="00EE0132"/>
    <w:rsid w:val="00EE01B2"/>
    <w:rsid w:val="00EE044F"/>
    <w:rsid w:val="00EE0A1F"/>
    <w:rsid w:val="00EE138E"/>
    <w:rsid w:val="00EE1B3E"/>
    <w:rsid w:val="00EE2346"/>
    <w:rsid w:val="00EE29A6"/>
    <w:rsid w:val="00EE2F76"/>
    <w:rsid w:val="00EE2FB9"/>
    <w:rsid w:val="00EE3109"/>
    <w:rsid w:val="00EE33E0"/>
    <w:rsid w:val="00EE392F"/>
    <w:rsid w:val="00EE3942"/>
    <w:rsid w:val="00EE3A46"/>
    <w:rsid w:val="00EE40B6"/>
    <w:rsid w:val="00EE43B3"/>
    <w:rsid w:val="00EE47E7"/>
    <w:rsid w:val="00EE5EE8"/>
    <w:rsid w:val="00EE641D"/>
    <w:rsid w:val="00EE685F"/>
    <w:rsid w:val="00EE6E10"/>
    <w:rsid w:val="00EF0D2E"/>
    <w:rsid w:val="00EF1010"/>
    <w:rsid w:val="00EF188E"/>
    <w:rsid w:val="00EF1D1C"/>
    <w:rsid w:val="00EF221E"/>
    <w:rsid w:val="00EF2333"/>
    <w:rsid w:val="00EF2773"/>
    <w:rsid w:val="00EF2A5F"/>
    <w:rsid w:val="00EF34E3"/>
    <w:rsid w:val="00EF3BD2"/>
    <w:rsid w:val="00EF4A20"/>
    <w:rsid w:val="00EF4CFA"/>
    <w:rsid w:val="00EF53BE"/>
    <w:rsid w:val="00EF57AD"/>
    <w:rsid w:val="00EF5AF1"/>
    <w:rsid w:val="00EF6102"/>
    <w:rsid w:val="00EF64A4"/>
    <w:rsid w:val="00EF6A93"/>
    <w:rsid w:val="00EF6BCA"/>
    <w:rsid w:val="00EF7293"/>
    <w:rsid w:val="00EF77CB"/>
    <w:rsid w:val="00EF7B55"/>
    <w:rsid w:val="00EF7BD6"/>
    <w:rsid w:val="00EF7F1F"/>
    <w:rsid w:val="00F00100"/>
    <w:rsid w:val="00F00EC3"/>
    <w:rsid w:val="00F00EDB"/>
    <w:rsid w:val="00F00FFA"/>
    <w:rsid w:val="00F01510"/>
    <w:rsid w:val="00F01845"/>
    <w:rsid w:val="00F01E63"/>
    <w:rsid w:val="00F021F7"/>
    <w:rsid w:val="00F02A9F"/>
    <w:rsid w:val="00F02CE8"/>
    <w:rsid w:val="00F03911"/>
    <w:rsid w:val="00F03AEF"/>
    <w:rsid w:val="00F03DC0"/>
    <w:rsid w:val="00F04290"/>
    <w:rsid w:val="00F043EF"/>
    <w:rsid w:val="00F04636"/>
    <w:rsid w:val="00F047EC"/>
    <w:rsid w:val="00F0502C"/>
    <w:rsid w:val="00F0503A"/>
    <w:rsid w:val="00F0552D"/>
    <w:rsid w:val="00F057FE"/>
    <w:rsid w:val="00F059DC"/>
    <w:rsid w:val="00F05ACC"/>
    <w:rsid w:val="00F06108"/>
    <w:rsid w:val="00F06B8B"/>
    <w:rsid w:val="00F07437"/>
    <w:rsid w:val="00F0771F"/>
    <w:rsid w:val="00F07798"/>
    <w:rsid w:val="00F07BAA"/>
    <w:rsid w:val="00F07C07"/>
    <w:rsid w:val="00F10C28"/>
    <w:rsid w:val="00F111EA"/>
    <w:rsid w:val="00F1206E"/>
    <w:rsid w:val="00F120F0"/>
    <w:rsid w:val="00F122B7"/>
    <w:rsid w:val="00F12DB8"/>
    <w:rsid w:val="00F12F10"/>
    <w:rsid w:val="00F13462"/>
    <w:rsid w:val="00F13674"/>
    <w:rsid w:val="00F138AB"/>
    <w:rsid w:val="00F143F4"/>
    <w:rsid w:val="00F14A90"/>
    <w:rsid w:val="00F14C3D"/>
    <w:rsid w:val="00F14FF6"/>
    <w:rsid w:val="00F1517E"/>
    <w:rsid w:val="00F1533F"/>
    <w:rsid w:val="00F153A6"/>
    <w:rsid w:val="00F153AF"/>
    <w:rsid w:val="00F15768"/>
    <w:rsid w:val="00F15F16"/>
    <w:rsid w:val="00F15F6B"/>
    <w:rsid w:val="00F15F87"/>
    <w:rsid w:val="00F163A0"/>
    <w:rsid w:val="00F16497"/>
    <w:rsid w:val="00F166C5"/>
    <w:rsid w:val="00F168FE"/>
    <w:rsid w:val="00F16A9D"/>
    <w:rsid w:val="00F16EFC"/>
    <w:rsid w:val="00F1796A"/>
    <w:rsid w:val="00F17B7E"/>
    <w:rsid w:val="00F20687"/>
    <w:rsid w:val="00F20E3F"/>
    <w:rsid w:val="00F21242"/>
    <w:rsid w:val="00F21283"/>
    <w:rsid w:val="00F21B68"/>
    <w:rsid w:val="00F21E9C"/>
    <w:rsid w:val="00F220C6"/>
    <w:rsid w:val="00F22C1E"/>
    <w:rsid w:val="00F24D43"/>
    <w:rsid w:val="00F24DA0"/>
    <w:rsid w:val="00F250CE"/>
    <w:rsid w:val="00F254BF"/>
    <w:rsid w:val="00F25C87"/>
    <w:rsid w:val="00F26339"/>
    <w:rsid w:val="00F2766F"/>
    <w:rsid w:val="00F27A63"/>
    <w:rsid w:val="00F27D92"/>
    <w:rsid w:val="00F27ED0"/>
    <w:rsid w:val="00F27EFF"/>
    <w:rsid w:val="00F30BD0"/>
    <w:rsid w:val="00F30F28"/>
    <w:rsid w:val="00F31453"/>
    <w:rsid w:val="00F31B4B"/>
    <w:rsid w:val="00F31C33"/>
    <w:rsid w:val="00F31CB5"/>
    <w:rsid w:val="00F31ED2"/>
    <w:rsid w:val="00F321E7"/>
    <w:rsid w:val="00F321F4"/>
    <w:rsid w:val="00F32C78"/>
    <w:rsid w:val="00F335FF"/>
    <w:rsid w:val="00F338F3"/>
    <w:rsid w:val="00F34193"/>
    <w:rsid w:val="00F34C2C"/>
    <w:rsid w:val="00F35E22"/>
    <w:rsid w:val="00F35F69"/>
    <w:rsid w:val="00F3629A"/>
    <w:rsid w:val="00F36701"/>
    <w:rsid w:val="00F36B1C"/>
    <w:rsid w:val="00F36F31"/>
    <w:rsid w:val="00F371C2"/>
    <w:rsid w:val="00F400BE"/>
    <w:rsid w:val="00F40A04"/>
    <w:rsid w:val="00F40D55"/>
    <w:rsid w:val="00F41AEE"/>
    <w:rsid w:val="00F41C96"/>
    <w:rsid w:val="00F41EC0"/>
    <w:rsid w:val="00F421DF"/>
    <w:rsid w:val="00F4245B"/>
    <w:rsid w:val="00F425A2"/>
    <w:rsid w:val="00F429A8"/>
    <w:rsid w:val="00F42B34"/>
    <w:rsid w:val="00F42C1D"/>
    <w:rsid w:val="00F43E9B"/>
    <w:rsid w:val="00F44800"/>
    <w:rsid w:val="00F44B3D"/>
    <w:rsid w:val="00F45CB3"/>
    <w:rsid w:val="00F45D52"/>
    <w:rsid w:val="00F46ACF"/>
    <w:rsid w:val="00F476FF"/>
    <w:rsid w:val="00F500AF"/>
    <w:rsid w:val="00F50208"/>
    <w:rsid w:val="00F50504"/>
    <w:rsid w:val="00F509AD"/>
    <w:rsid w:val="00F50AEB"/>
    <w:rsid w:val="00F50F2C"/>
    <w:rsid w:val="00F52428"/>
    <w:rsid w:val="00F52496"/>
    <w:rsid w:val="00F534F0"/>
    <w:rsid w:val="00F536FD"/>
    <w:rsid w:val="00F539D7"/>
    <w:rsid w:val="00F54CD5"/>
    <w:rsid w:val="00F56845"/>
    <w:rsid w:val="00F57334"/>
    <w:rsid w:val="00F5758D"/>
    <w:rsid w:val="00F57D27"/>
    <w:rsid w:val="00F60B99"/>
    <w:rsid w:val="00F60C88"/>
    <w:rsid w:val="00F60E92"/>
    <w:rsid w:val="00F60EAB"/>
    <w:rsid w:val="00F61B94"/>
    <w:rsid w:val="00F61C94"/>
    <w:rsid w:val="00F61DE2"/>
    <w:rsid w:val="00F62527"/>
    <w:rsid w:val="00F6288B"/>
    <w:rsid w:val="00F63053"/>
    <w:rsid w:val="00F63625"/>
    <w:rsid w:val="00F64FC9"/>
    <w:rsid w:val="00F6590F"/>
    <w:rsid w:val="00F6627D"/>
    <w:rsid w:val="00F6629E"/>
    <w:rsid w:val="00F665F9"/>
    <w:rsid w:val="00F66CC2"/>
    <w:rsid w:val="00F66FC0"/>
    <w:rsid w:val="00F706DB"/>
    <w:rsid w:val="00F70B96"/>
    <w:rsid w:val="00F712A7"/>
    <w:rsid w:val="00F715C3"/>
    <w:rsid w:val="00F718D3"/>
    <w:rsid w:val="00F723F7"/>
    <w:rsid w:val="00F72B99"/>
    <w:rsid w:val="00F72E18"/>
    <w:rsid w:val="00F736DD"/>
    <w:rsid w:val="00F7372E"/>
    <w:rsid w:val="00F739A5"/>
    <w:rsid w:val="00F74E97"/>
    <w:rsid w:val="00F7542E"/>
    <w:rsid w:val="00F755BF"/>
    <w:rsid w:val="00F75928"/>
    <w:rsid w:val="00F75FB0"/>
    <w:rsid w:val="00F76B2A"/>
    <w:rsid w:val="00F76C89"/>
    <w:rsid w:val="00F779ED"/>
    <w:rsid w:val="00F77C99"/>
    <w:rsid w:val="00F80E01"/>
    <w:rsid w:val="00F81262"/>
    <w:rsid w:val="00F81797"/>
    <w:rsid w:val="00F82128"/>
    <w:rsid w:val="00F82462"/>
    <w:rsid w:val="00F829F5"/>
    <w:rsid w:val="00F82A71"/>
    <w:rsid w:val="00F83127"/>
    <w:rsid w:val="00F8379D"/>
    <w:rsid w:val="00F83B75"/>
    <w:rsid w:val="00F83D45"/>
    <w:rsid w:val="00F84BDA"/>
    <w:rsid w:val="00F850AB"/>
    <w:rsid w:val="00F8584E"/>
    <w:rsid w:val="00F85BC0"/>
    <w:rsid w:val="00F85EE9"/>
    <w:rsid w:val="00F8680D"/>
    <w:rsid w:val="00F86E72"/>
    <w:rsid w:val="00F87647"/>
    <w:rsid w:val="00F87AB5"/>
    <w:rsid w:val="00F90881"/>
    <w:rsid w:val="00F9092E"/>
    <w:rsid w:val="00F90CB7"/>
    <w:rsid w:val="00F90CDB"/>
    <w:rsid w:val="00F91E72"/>
    <w:rsid w:val="00F91FE6"/>
    <w:rsid w:val="00F92025"/>
    <w:rsid w:val="00F9216B"/>
    <w:rsid w:val="00F92417"/>
    <w:rsid w:val="00F93033"/>
    <w:rsid w:val="00F93290"/>
    <w:rsid w:val="00F9353B"/>
    <w:rsid w:val="00F93DBB"/>
    <w:rsid w:val="00F944DB"/>
    <w:rsid w:val="00F94A99"/>
    <w:rsid w:val="00F94B3F"/>
    <w:rsid w:val="00F94EB0"/>
    <w:rsid w:val="00F94F47"/>
    <w:rsid w:val="00F95675"/>
    <w:rsid w:val="00F9587B"/>
    <w:rsid w:val="00F95BC8"/>
    <w:rsid w:val="00F95EE1"/>
    <w:rsid w:val="00F96355"/>
    <w:rsid w:val="00F968FA"/>
    <w:rsid w:val="00F96C1E"/>
    <w:rsid w:val="00F97161"/>
    <w:rsid w:val="00F976FB"/>
    <w:rsid w:val="00F97A85"/>
    <w:rsid w:val="00FA0468"/>
    <w:rsid w:val="00FA1187"/>
    <w:rsid w:val="00FA164E"/>
    <w:rsid w:val="00FA2340"/>
    <w:rsid w:val="00FA29B5"/>
    <w:rsid w:val="00FA35D9"/>
    <w:rsid w:val="00FA360A"/>
    <w:rsid w:val="00FA394C"/>
    <w:rsid w:val="00FA3CBD"/>
    <w:rsid w:val="00FA3FB9"/>
    <w:rsid w:val="00FA45E0"/>
    <w:rsid w:val="00FA466C"/>
    <w:rsid w:val="00FA5039"/>
    <w:rsid w:val="00FA6355"/>
    <w:rsid w:val="00FA6524"/>
    <w:rsid w:val="00FA65B7"/>
    <w:rsid w:val="00FA6C0C"/>
    <w:rsid w:val="00FA7EB7"/>
    <w:rsid w:val="00FA7F2D"/>
    <w:rsid w:val="00FB043C"/>
    <w:rsid w:val="00FB0543"/>
    <w:rsid w:val="00FB0D66"/>
    <w:rsid w:val="00FB0DAD"/>
    <w:rsid w:val="00FB1053"/>
    <w:rsid w:val="00FB270E"/>
    <w:rsid w:val="00FB2A28"/>
    <w:rsid w:val="00FB2E59"/>
    <w:rsid w:val="00FB31DC"/>
    <w:rsid w:val="00FB3452"/>
    <w:rsid w:val="00FB370C"/>
    <w:rsid w:val="00FB375F"/>
    <w:rsid w:val="00FB3964"/>
    <w:rsid w:val="00FB3A4B"/>
    <w:rsid w:val="00FB3E0E"/>
    <w:rsid w:val="00FB4704"/>
    <w:rsid w:val="00FB4FF8"/>
    <w:rsid w:val="00FB502B"/>
    <w:rsid w:val="00FB5279"/>
    <w:rsid w:val="00FB53EA"/>
    <w:rsid w:val="00FB5806"/>
    <w:rsid w:val="00FB5B59"/>
    <w:rsid w:val="00FB619A"/>
    <w:rsid w:val="00FB6677"/>
    <w:rsid w:val="00FB688A"/>
    <w:rsid w:val="00FB6FC4"/>
    <w:rsid w:val="00FB6FCE"/>
    <w:rsid w:val="00FB7F15"/>
    <w:rsid w:val="00FB7F6C"/>
    <w:rsid w:val="00FC006A"/>
    <w:rsid w:val="00FC08B3"/>
    <w:rsid w:val="00FC0C0A"/>
    <w:rsid w:val="00FC0DA5"/>
    <w:rsid w:val="00FC1447"/>
    <w:rsid w:val="00FC1EB0"/>
    <w:rsid w:val="00FC22E2"/>
    <w:rsid w:val="00FC24E9"/>
    <w:rsid w:val="00FC26A9"/>
    <w:rsid w:val="00FC31F1"/>
    <w:rsid w:val="00FC375F"/>
    <w:rsid w:val="00FC38E6"/>
    <w:rsid w:val="00FC3ED7"/>
    <w:rsid w:val="00FC42E1"/>
    <w:rsid w:val="00FC449D"/>
    <w:rsid w:val="00FC4D88"/>
    <w:rsid w:val="00FC4DDF"/>
    <w:rsid w:val="00FC5C0B"/>
    <w:rsid w:val="00FC5C65"/>
    <w:rsid w:val="00FC68EC"/>
    <w:rsid w:val="00FC70C3"/>
    <w:rsid w:val="00FC767E"/>
    <w:rsid w:val="00FC792F"/>
    <w:rsid w:val="00FC7F70"/>
    <w:rsid w:val="00FD00BB"/>
    <w:rsid w:val="00FD01B9"/>
    <w:rsid w:val="00FD08EC"/>
    <w:rsid w:val="00FD0AA5"/>
    <w:rsid w:val="00FD123B"/>
    <w:rsid w:val="00FD129A"/>
    <w:rsid w:val="00FD134E"/>
    <w:rsid w:val="00FD17AC"/>
    <w:rsid w:val="00FD17BB"/>
    <w:rsid w:val="00FD1EC2"/>
    <w:rsid w:val="00FD2042"/>
    <w:rsid w:val="00FD2315"/>
    <w:rsid w:val="00FD238B"/>
    <w:rsid w:val="00FD2AC1"/>
    <w:rsid w:val="00FD2DAE"/>
    <w:rsid w:val="00FD377A"/>
    <w:rsid w:val="00FD3A31"/>
    <w:rsid w:val="00FD43D3"/>
    <w:rsid w:val="00FD4C20"/>
    <w:rsid w:val="00FD4C65"/>
    <w:rsid w:val="00FD4E54"/>
    <w:rsid w:val="00FD51E6"/>
    <w:rsid w:val="00FD569D"/>
    <w:rsid w:val="00FD5CAC"/>
    <w:rsid w:val="00FD5D97"/>
    <w:rsid w:val="00FD6419"/>
    <w:rsid w:val="00FD644D"/>
    <w:rsid w:val="00FD73E5"/>
    <w:rsid w:val="00FD7963"/>
    <w:rsid w:val="00FD7A9D"/>
    <w:rsid w:val="00FD7FE5"/>
    <w:rsid w:val="00FE01C3"/>
    <w:rsid w:val="00FE10E9"/>
    <w:rsid w:val="00FE13F3"/>
    <w:rsid w:val="00FE21AF"/>
    <w:rsid w:val="00FE25F0"/>
    <w:rsid w:val="00FE261E"/>
    <w:rsid w:val="00FE265E"/>
    <w:rsid w:val="00FE2BC1"/>
    <w:rsid w:val="00FE362F"/>
    <w:rsid w:val="00FE44D8"/>
    <w:rsid w:val="00FE54B8"/>
    <w:rsid w:val="00FE5551"/>
    <w:rsid w:val="00FE57E3"/>
    <w:rsid w:val="00FE606B"/>
    <w:rsid w:val="00FE6154"/>
    <w:rsid w:val="00FE6205"/>
    <w:rsid w:val="00FE63F5"/>
    <w:rsid w:val="00FE69A3"/>
    <w:rsid w:val="00FE6CBA"/>
    <w:rsid w:val="00FE7527"/>
    <w:rsid w:val="00FE7629"/>
    <w:rsid w:val="00FE763E"/>
    <w:rsid w:val="00FE7AFF"/>
    <w:rsid w:val="00FF027A"/>
    <w:rsid w:val="00FF0509"/>
    <w:rsid w:val="00FF0739"/>
    <w:rsid w:val="00FF0776"/>
    <w:rsid w:val="00FF0874"/>
    <w:rsid w:val="00FF0A42"/>
    <w:rsid w:val="00FF0C4A"/>
    <w:rsid w:val="00FF0D1C"/>
    <w:rsid w:val="00FF15BB"/>
    <w:rsid w:val="00FF27F5"/>
    <w:rsid w:val="00FF3363"/>
    <w:rsid w:val="00FF3382"/>
    <w:rsid w:val="00FF3CEB"/>
    <w:rsid w:val="00FF3E78"/>
    <w:rsid w:val="00FF43D5"/>
    <w:rsid w:val="00FF4734"/>
    <w:rsid w:val="00FF4BD1"/>
    <w:rsid w:val="00FF4F31"/>
    <w:rsid w:val="00FF62AD"/>
    <w:rsid w:val="00FF6387"/>
    <w:rsid w:val="00FF645B"/>
    <w:rsid w:val="00FF66F2"/>
    <w:rsid w:val="00FF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0684"/>
  <w14:defaultImageDpi w14:val="32767"/>
  <w15:chartTrackingRefBased/>
  <w15:docId w15:val="{5E10EB46-D207-4E54-B834-B9D7237F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2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14E3"/>
    <w:rPr>
      <w:sz w:val="16"/>
      <w:szCs w:val="16"/>
    </w:rPr>
  </w:style>
  <w:style w:type="paragraph" w:styleId="CommentText">
    <w:name w:val="annotation text"/>
    <w:basedOn w:val="Normal"/>
    <w:link w:val="CommentTextChar"/>
    <w:uiPriority w:val="99"/>
    <w:unhideWhenUsed/>
    <w:rsid w:val="001214E3"/>
    <w:rPr>
      <w:sz w:val="20"/>
      <w:szCs w:val="20"/>
    </w:rPr>
  </w:style>
  <w:style w:type="character" w:customStyle="1" w:styleId="CommentTextChar">
    <w:name w:val="Comment Text Char"/>
    <w:basedOn w:val="DefaultParagraphFont"/>
    <w:link w:val="CommentText"/>
    <w:uiPriority w:val="99"/>
    <w:rsid w:val="001214E3"/>
    <w:rPr>
      <w:sz w:val="20"/>
      <w:szCs w:val="20"/>
    </w:rPr>
  </w:style>
  <w:style w:type="paragraph" w:styleId="CommentSubject">
    <w:name w:val="annotation subject"/>
    <w:basedOn w:val="CommentText"/>
    <w:next w:val="CommentText"/>
    <w:link w:val="CommentSubjectChar"/>
    <w:uiPriority w:val="99"/>
    <w:semiHidden/>
    <w:unhideWhenUsed/>
    <w:rsid w:val="001214E3"/>
    <w:rPr>
      <w:b/>
      <w:bCs/>
    </w:rPr>
  </w:style>
  <w:style w:type="character" w:customStyle="1" w:styleId="CommentSubjectChar">
    <w:name w:val="Comment Subject Char"/>
    <w:basedOn w:val="CommentTextChar"/>
    <w:link w:val="CommentSubject"/>
    <w:uiPriority w:val="99"/>
    <w:semiHidden/>
    <w:rsid w:val="001214E3"/>
    <w:rPr>
      <w:b/>
      <w:bCs/>
      <w:sz w:val="20"/>
      <w:szCs w:val="20"/>
    </w:rPr>
  </w:style>
  <w:style w:type="paragraph" w:styleId="BalloonText">
    <w:name w:val="Balloon Text"/>
    <w:basedOn w:val="Normal"/>
    <w:link w:val="BalloonTextChar"/>
    <w:uiPriority w:val="99"/>
    <w:semiHidden/>
    <w:unhideWhenUsed/>
    <w:rsid w:val="00121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4E3"/>
    <w:rPr>
      <w:rFonts w:ascii="Segoe UI" w:hAnsi="Segoe UI" w:cs="Segoe UI"/>
      <w:sz w:val="18"/>
      <w:szCs w:val="18"/>
    </w:rPr>
  </w:style>
  <w:style w:type="paragraph" w:styleId="Revision">
    <w:name w:val="Revision"/>
    <w:hidden/>
    <w:uiPriority w:val="99"/>
    <w:semiHidden/>
    <w:rsid w:val="00324ADE"/>
  </w:style>
  <w:style w:type="character" w:styleId="Hyperlink">
    <w:name w:val="Hyperlink"/>
    <w:basedOn w:val="DefaultParagraphFont"/>
    <w:uiPriority w:val="99"/>
    <w:unhideWhenUsed/>
    <w:rsid w:val="00E85ADC"/>
    <w:rPr>
      <w:color w:val="0563C1" w:themeColor="hyperlink"/>
      <w:u w:val="single"/>
    </w:rPr>
  </w:style>
  <w:style w:type="table" w:styleId="TableGrid">
    <w:name w:val="Table Grid"/>
    <w:basedOn w:val="TableNormal"/>
    <w:uiPriority w:val="39"/>
    <w:rsid w:val="007A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82F"/>
    <w:pPr>
      <w:ind w:left="720"/>
      <w:contextualSpacing/>
    </w:pPr>
  </w:style>
  <w:style w:type="character" w:styleId="FollowedHyperlink">
    <w:name w:val="FollowedHyperlink"/>
    <w:basedOn w:val="DefaultParagraphFont"/>
    <w:uiPriority w:val="99"/>
    <w:semiHidden/>
    <w:unhideWhenUsed/>
    <w:rsid w:val="00B7402A"/>
    <w:rPr>
      <w:color w:val="954F72" w:themeColor="followedHyperlink"/>
      <w:u w:val="single"/>
    </w:rPr>
  </w:style>
  <w:style w:type="character" w:styleId="UnresolvedMention">
    <w:name w:val="Unresolved Mention"/>
    <w:basedOn w:val="DefaultParagraphFont"/>
    <w:uiPriority w:val="99"/>
    <w:rsid w:val="001044A5"/>
    <w:rPr>
      <w:color w:val="808080"/>
      <w:shd w:val="clear" w:color="auto" w:fill="E6E6E6"/>
    </w:rPr>
  </w:style>
  <w:style w:type="character" w:customStyle="1" w:styleId="apple-converted-space">
    <w:name w:val="apple-converted-space"/>
    <w:basedOn w:val="DefaultParagraphFont"/>
    <w:rsid w:val="00103AD1"/>
  </w:style>
  <w:style w:type="paragraph" w:styleId="Caption">
    <w:name w:val="caption"/>
    <w:basedOn w:val="Normal"/>
    <w:next w:val="Normal"/>
    <w:uiPriority w:val="35"/>
    <w:unhideWhenUsed/>
    <w:qFormat/>
    <w:rsid w:val="00731BE1"/>
    <w:pPr>
      <w:spacing w:after="200"/>
    </w:pPr>
    <w:rPr>
      <w:i/>
      <w:iCs/>
      <w:color w:val="44546A" w:themeColor="text2"/>
      <w:sz w:val="18"/>
      <w:szCs w:val="18"/>
    </w:rPr>
  </w:style>
  <w:style w:type="paragraph" w:styleId="Header">
    <w:name w:val="header"/>
    <w:basedOn w:val="Normal"/>
    <w:link w:val="HeaderChar"/>
    <w:uiPriority w:val="99"/>
    <w:unhideWhenUsed/>
    <w:rsid w:val="00351DD3"/>
    <w:pPr>
      <w:tabs>
        <w:tab w:val="center" w:pos="4513"/>
        <w:tab w:val="right" w:pos="9026"/>
      </w:tabs>
    </w:pPr>
  </w:style>
  <w:style w:type="character" w:customStyle="1" w:styleId="HeaderChar">
    <w:name w:val="Header Char"/>
    <w:basedOn w:val="DefaultParagraphFont"/>
    <w:link w:val="Header"/>
    <w:uiPriority w:val="99"/>
    <w:rsid w:val="00351DD3"/>
  </w:style>
  <w:style w:type="paragraph" w:styleId="Footer">
    <w:name w:val="footer"/>
    <w:basedOn w:val="Normal"/>
    <w:link w:val="FooterChar"/>
    <w:uiPriority w:val="99"/>
    <w:unhideWhenUsed/>
    <w:rsid w:val="00351DD3"/>
    <w:pPr>
      <w:tabs>
        <w:tab w:val="center" w:pos="4513"/>
        <w:tab w:val="right" w:pos="9026"/>
      </w:tabs>
    </w:pPr>
  </w:style>
  <w:style w:type="character" w:customStyle="1" w:styleId="FooterChar">
    <w:name w:val="Footer Char"/>
    <w:basedOn w:val="DefaultParagraphFont"/>
    <w:link w:val="Footer"/>
    <w:uiPriority w:val="99"/>
    <w:rsid w:val="00351DD3"/>
  </w:style>
  <w:style w:type="paragraph" w:styleId="NormalWeb">
    <w:name w:val="Normal (Web)"/>
    <w:basedOn w:val="Normal"/>
    <w:uiPriority w:val="99"/>
    <w:unhideWhenUsed/>
    <w:rsid w:val="000E288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0419">
      <w:bodyDiv w:val="1"/>
      <w:marLeft w:val="0"/>
      <w:marRight w:val="0"/>
      <w:marTop w:val="0"/>
      <w:marBottom w:val="0"/>
      <w:divBdr>
        <w:top w:val="none" w:sz="0" w:space="0" w:color="auto"/>
        <w:left w:val="none" w:sz="0" w:space="0" w:color="auto"/>
        <w:bottom w:val="none" w:sz="0" w:space="0" w:color="auto"/>
        <w:right w:val="none" w:sz="0" w:space="0" w:color="auto"/>
      </w:divBdr>
    </w:div>
    <w:div w:id="550658805">
      <w:bodyDiv w:val="1"/>
      <w:marLeft w:val="0"/>
      <w:marRight w:val="0"/>
      <w:marTop w:val="0"/>
      <w:marBottom w:val="0"/>
      <w:divBdr>
        <w:top w:val="none" w:sz="0" w:space="0" w:color="auto"/>
        <w:left w:val="none" w:sz="0" w:space="0" w:color="auto"/>
        <w:bottom w:val="none" w:sz="0" w:space="0" w:color="auto"/>
        <w:right w:val="none" w:sz="0" w:space="0" w:color="auto"/>
      </w:divBdr>
      <w:divsChild>
        <w:div w:id="1975287234">
          <w:marLeft w:val="0"/>
          <w:marRight w:val="0"/>
          <w:marTop w:val="0"/>
          <w:marBottom w:val="0"/>
          <w:divBdr>
            <w:top w:val="none" w:sz="0" w:space="0" w:color="auto"/>
            <w:left w:val="none" w:sz="0" w:space="0" w:color="auto"/>
            <w:bottom w:val="none" w:sz="0" w:space="0" w:color="auto"/>
            <w:right w:val="none" w:sz="0" w:space="0" w:color="auto"/>
          </w:divBdr>
          <w:divsChild>
            <w:div w:id="2072650537">
              <w:marLeft w:val="0"/>
              <w:marRight w:val="0"/>
              <w:marTop w:val="0"/>
              <w:marBottom w:val="0"/>
              <w:divBdr>
                <w:top w:val="none" w:sz="0" w:space="0" w:color="auto"/>
                <w:left w:val="none" w:sz="0" w:space="0" w:color="auto"/>
                <w:bottom w:val="none" w:sz="0" w:space="0" w:color="auto"/>
                <w:right w:val="none" w:sz="0" w:space="0" w:color="auto"/>
              </w:divBdr>
              <w:divsChild>
                <w:div w:id="10908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00252">
      <w:bodyDiv w:val="1"/>
      <w:marLeft w:val="0"/>
      <w:marRight w:val="0"/>
      <w:marTop w:val="0"/>
      <w:marBottom w:val="0"/>
      <w:divBdr>
        <w:top w:val="none" w:sz="0" w:space="0" w:color="auto"/>
        <w:left w:val="none" w:sz="0" w:space="0" w:color="auto"/>
        <w:bottom w:val="none" w:sz="0" w:space="0" w:color="auto"/>
        <w:right w:val="none" w:sz="0" w:space="0" w:color="auto"/>
      </w:divBdr>
      <w:divsChild>
        <w:div w:id="1729184887">
          <w:marLeft w:val="0"/>
          <w:marRight w:val="0"/>
          <w:marTop w:val="0"/>
          <w:marBottom w:val="0"/>
          <w:divBdr>
            <w:top w:val="none" w:sz="0" w:space="0" w:color="auto"/>
            <w:left w:val="none" w:sz="0" w:space="0" w:color="auto"/>
            <w:bottom w:val="none" w:sz="0" w:space="0" w:color="auto"/>
            <w:right w:val="none" w:sz="0" w:space="0" w:color="auto"/>
          </w:divBdr>
          <w:divsChild>
            <w:div w:id="847449505">
              <w:marLeft w:val="0"/>
              <w:marRight w:val="0"/>
              <w:marTop w:val="0"/>
              <w:marBottom w:val="0"/>
              <w:divBdr>
                <w:top w:val="none" w:sz="0" w:space="0" w:color="auto"/>
                <w:left w:val="none" w:sz="0" w:space="0" w:color="auto"/>
                <w:bottom w:val="none" w:sz="0" w:space="0" w:color="auto"/>
                <w:right w:val="none" w:sz="0" w:space="0" w:color="auto"/>
              </w:divBdr>
              <w:divsChild>
                <w:div w:id="2073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095">
      <w:bodyDiv w:val="1"/>
      <w:marLeft w:val="0"/>
      <w:marRight w:val="0"/>
      <w:marTop w:val="0"/>
      <w:marBottom w:val="0"/>
      <w:divBdr>
        <w:top w:val="none" w:sz="0" w:space="0" w:color="auto"/>
        <w:left w:val="none" w:sz="0" w:space="0" w:color="auto"/>
        <w:bottom w:val="none" w:sz="0" w:space="0" w:color="auto"/>
        <w:right w:val="none" w:sz="0" w:space="0" w:color="auto"/>
      </w:divBdr>
    </w:div>
    <w:div w:id="2129351260">
      <w:bodyDiv w:val="1"/>
      <w:marLeft w:val="0"/>
      <w:marRight w:val="0"/>
      <w:marTop w:val="0"/>
      <w:marBottom w:val="0"/>
      <w:divBdr>
        <w:top w:val="none" w:sz="0" w:space="0" w:color="auto"/>
        <w:left w:val="none" w:sz="0" w:space="0" w:color="auto"/>
        <w:bottom w:val="none" w:sz="0" w:space="0" w:color="auto"/>
        <w:right w:val="none" w:sz="0" w:space="0" w:color="auto"/>
      </w:divBdr>
      <w:divsChild>
        <w:div w:id="565410644">
          <w:marLeft w:val="0"/>
          <w:marRight w:val="0"/>
          <w:marTop w:val="0"/>
          <w:marBottom w:val="0"/>
          <w:divBdr>
            <w:top w:val="none" w:sz="0" w:space="0" w:color="auto"/>
            <w:left w:val="none" w:sz="0" w:space="0" w:color="auto"/>
            <w:bottom w:val="none" w:sz="0" w:space="0" w:color="auto"/>
            <w:right w:val="none" w:sz="0" w:space="0" w:color="auto"/>
          </w:divBdr>
        </w:div>
        <w:div w:id="1010256200">
          <w:marLeft w:val="0"/>
          <w:marRight w:val="0"/>
          <w:marTop w:val="0"/>
          <w:marBottom w:val="0"/>
          <w:divBdr>
            <w:top w:val="none" w:sz="0" w:space="0" w:color="auto"/>
            <w:left w:val="none" w:sz="0" w:space="0" w:color="auto"/>
            <w:bottom w:val="none" w:sz="0" w:space="0" w:color="auto"/>
            <w:right w:val="none" w:sz="0" w:space="0" w:color="auto"/>
          </w:divBdr>
          <w:divsChild>
            <w:div w:id="1410925483">
              <w:marLeft w:val="0"/>
              <w:marRight w:val="0"/>
              <w:marTop w:val="0"/>
              <w:marBottom w:val="0"/>
              <w:divBdr>
                <w:top w:val="none" w:sz="0" w:space="0" w:color="auto"/>
                <w:left w:val="none" w:sz="0" w:space="0" w:color="auto"/>
                <w:bottom w:val="none" w:sz="0" w:space="0" w:color="auto"/>
                <w:right w:val="none" w:sz="0" w:space="0" w:color="auto"/>
              </w:divBdr>
              <w:divsChild>
                <w:div w:id="1124890785">
                  <w:marLeft w:val="0"/>
                  <w:marRight w:val="0"/>
                  <w:marTop w:val="0"/>
                  <w:marBottom w:val="0"/>
                  <w:divBdr>
                    <w:top w:val="none" w:sz="0" w:space="0" w:color="auto"/>
                    <w:left w:val="none" w:sz="0" w:space="0" w:color="auto"/>
                    <w:bottom w:val="none" w:sz="0" w:space="0" w:color="auto"/>
                    <w:right w:val="none" w:sz="0" w:space="0" w:color="auto"/>
                  </w:divBdr>
                </w:div>
                <w:div w:id="1564096404">
                  <w:marLeft w:val="0"/>
                  <w:marRight w:val="0"/>
                  <w:marTop w:val="0"/>
                  <w:marBottom w:val="0"/>
                  <w:divBdr>
                    <w:top w:val="none" w:sz="0" w:space="0" w:color="auto"/>
                    <w:left w:val="none" w:sz="0" w:space="0" w:color="auto"/>
                    <w:bottom w:val="none" w:sz="0" w:space="0" w:color="auto"/>
                    <w:right w:val="none" w:sz="0" w:space="0" w:color="auto"/>
                  </w:divBdr>
                </w:div>
              </w:divsChild>
            </w:div>
            <w:div w:id="1459178099">
              <w:marLeft w:val="0"/>
              <w:marRight w:val="0"/>
              <w:marTop w:val="0"/>
              <w:marBottom w:val="0"/>
              <w:divBdr>
                <w:top w:val="none" w:sz="0" w:space="0" w:color="auto"/>
                <w:left w:val="none" w:sz="0" w:space="0" w:color="auto"/>
                <w:bottom w:val="none" w:sz="0" w:space="0" w:color="auto"/>
                <w:right w:val="none" w:sz="0" w:space="0" w:color="auto"/>
              </w:divBdr>
              <w:divsChild>
                <w:div w:id="1286618659">
                  <w:marLeft w:val="0"/>
                  <w:marRight w:val="0"/>
                  <w:marTop w:val="0"/>
                  <w:marBottom w:val="0"/>
                  <w:divBdr>
                    <w:top w:val="none" w:sz="0" w:space="0" w:color="auto"/>
                    <w:left w:val="none" w:sz="0" w:space="0" w:color="auto"/>
                    <w:bottom w:val="none" w:sz="0" w:space="0" w:color="auto"/>
                    <w:right w:val="none" w:sz="0" w:space="0" w:color="auto"/>
                  </w:divBdr>
                </w:div>
                <w:div w:id="1622035820">
                  <w:marLeft w:val="0"/>
                  <w:marRight w:val="0"/>
                  <w:marTop w:val="0"/>
                  <w:marBottom w:val="0"/>
                  <w:divBdr>
                    <w:top w:val="none" w:sz="0" w:space="0" w:color="auto"/>
                    <w:left w:val="none" w:sz="0" w:space="0" w:color="auto"/>
                    <w:bottom w:val="none" w:sz="0" w:space="0" w:color="auto"/>
                    <w:right w:val="none" w:sz="0" w:space="0" w:color="auto"/>
                  </w:divBdr>
                </w:div>
              </w:divsChild>
            </w:div>
            <w:div w:id="1827700489">
              <w:marLeft w:val="0"/>
              <w:marRight w:val="0"/>
              <w:marTop w:val="0"/>
              <w:marBottom w:val="0"/>
              <w:divBdr>
                <w:top w:val="none" w:sz="0" w:space="0" w:color="auto"/>
                <w:left w:val="none" w:sz="0" w:space="0" w:color="auto"/>
                <w:bottom w:val="none" w:sz="0" w:space="0" w:color="auto"/>
                <w:right w:val="none" w:sz="0" w:space="0" w:color="auto"/>
              </w:divBdr>
              <w:divsChild>
                <w:div w:id="1268345873">
                  <w:marLeft w:val="0"/>
                  <w:marRight w:val="0"/>
                  <w:marTop w:val="0"/>
                  <w:marBottom w:val="0"/>
                  <w:divBdr>
                    <w:top w:val="none" w:sz="0" w:space="0" w:color="auto"/>
                    <w:left w:val="none" w:sz="0" w:space="0" w:color="auto"/>
                    <w:bottom w:val="none" w:sz="0" w:space="0" w:color="auto"/>
                    <w:right w:val="none" w:sz="0" w:space="0" w:color="auto"/>
                  </w:divBdr>
                </w:div>
                <w:div w:id="21094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640">
          <w:marLeft w:val="0"/>
          <w:marRight w:val="0"/>
          <w:marTop w:val="0"/>
          <w:marBottom w:val="0"/>
          <w:divBdr>
            <w:top w:val="none" w:sz="0" w:space="0" w:color="auto"/>
            <w:left w:val="none" w:sz="0" w:space="0" w:color="auto"/>
            <w:bottom w:val="none" w:sz="0" w:space="0" w:color="auto"/>
            <w:right w:val="none" w:sz="0" w:space="0" w:color="auto"/>
          </w:divBdr>
        </w:div>
        <w:div w:id="1616134365">
          <w:marLeft w:val="0"/>
          <w:marRight w:val="0"/>
          <w:marTop w:val="0"/>
          <w:marBottom w:val="0"/>
          <w:divBdr>
            <w:top w:val="none" w:sz="0" w:space="0" w:color="auto"/>
            <w:left w:val="none" w:sz="0" w:space="0" w:color="auto"/>
            <w:bottom w:val="none" w:sz="0" w:space="0" w:color="auto"/>
            <w:right w:val="none" w:sz="0" w:space="0" w:color="auto"/>
          </w:divBdr>
        </w:div>
        <w:div w:id="17538128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easham@liverpool.ac.uk" TargetMode="External"/><Relationship Id="rId13" Type="http://schemas.openxmlformats.org/officeDocument/2006/relationships/hyperlink" Target="http://www.emcdda.europa.eu/attachements.cfm/att_157279_EN_EWS%20profiles.pdf" TargetMode="External"/><Relationship Id="rId18" Type="http://schemas.openxmlformats.org/officeDocument/2006/relationships/hyperlink" Target="https://doi.org/10.1111/bcp.14231"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s://www.ons.gov.uk/peoplepopulationandcommunity/birthsdeathsandmarriages/deaths/bulletins/deathsrelatedtodrugpoisoninginenglandandwales/2019registrations" TargetMode="External"/><Relationship Id="rId7" Type="http://schemas.openxmlformats.org/officeDocument/2006/relationships/endnotes" Target="endnotes.xml"/><Relationship Id="rId12" Type="http://schemas.openxmlformats.org/officeDocument/2006/relationships/hyperlink" Target="https://doi.org/10.1300/J465v28n03_05" TargetMode="External"/><Relationship Id="rId17" Type="http://schemas.openxmlformats.org/officeDocument/2006/relationships/hyperlink" Target="https://doi.org/10.1016/j.drugpo.2018.11.001" TargetMode="Externa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https://www.theguardian.com/science/2014/feb/12/ellie-rowe-18-died-ketamine-festival-inquest" TargetMode="External"/><Relationship Id="rId20" Type="http://schemas.openxmlformats.org/officeDocument/2006/relationships/hyperlink" Target="http://michelow.ca/doc/ankors-2013-smf-survey-report.pdf"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abs/pii/S0376871620302350"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olteface.me/app/uploads/2018/07/Night-Lives-PDF.pdf" TargetMode="External"/><Relationship Id="rId23" Type="http://schemas.openxmlformats.org/officeDocument/2006/relationships/hyperlink" Target="https://doi.org/10.1002/dta.3022" TargetMode="External"/><Relationship Id="rId28" Type="http://schemas.microsoft.com/office/2007/relationships/diagramDrawing" Target="diagrams/drawing1.xml"/><Relationship Id="rId10" Type="http://schemas.openxmlformats.org/officeDocument/2006/relationships/hyperlink" Target="https://doi.org/10.1016/j.drugalcdep.2020.108001" TargetMode="External"/><Relationship Id="rId19" Type="http://schemas.openxmlformats.org/officeDocument/2006/relationships/hyperlink" Target="http://volteface.me/features/pentylone-care-can-multi-agency-safety-testing-hel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111/j.1553-2712.2009.00490.x" TargetMode="External"/><Relationship Id="rId14" Type="http://schemas.openxmlformats.org/officeDocument/2006/relationships/hyperlink" Target="https://www.eventbrite.co.uk/blog/academy/uk-event-industry-in-numbers-ds00/" TargetMode="External"/><Relationship Id="rId22" Type="http://schemas.openxmlformats.org/officeDocument/2006/relationships/hyperlink" Target="https://www.statista.com/statistics/282032/music-concert-and-festival-attendance-in-the-uk-by-attendee-type/" TargetMode="External"/><Relationship Id="rId27" Type="http://schemas.openxmlformats.org/officeDocument/2006/relationships/diagramColors" Target="diagrams/colors1.xml"/><Relationship Id="rId30"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file:///\\Users\gavinturnbull\Dropbox\The%20Loop\Gavin%20and%20Fionas%20Loop%20article%20writing%20and%202017%20prev\2017%20fest%20survey%20datasets\2017%203%20mth%20After%20Fes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'test v dose'!$B$95</c:f>
              <c:strCache>
                <c:ptCount val="1"/>
                <c:pt idx="0">
                  <c:v>Not Taken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v dose'!$A$96:$A$100</c:f>
              <c:strCache>
                <c:ptCount val="5"/>
                <c:pt idx="0">
                  <c:v>35+</c:v>
                </c:pt>
                <c:pt idx="1">
                  <c:v>30-34</c:v>
                </c:pt>
                <c:pt idx="2">
                  <c:v>25-29</c:v>
                </c:pt>
                <c:pt idx="3">
                  <c:v>20-24</c:v>
                </c:pt>
                <c:pt idx="4">
                  <c:v>16-19</c:v>
                </c:pt>
              </c:strCache>
            </c:strRef>
          </c:cat>
          <c:val>
            <c:numRef>
              <c:f>'test v dose'!$B$96:$B$100</c:f>
              <c:numCache>
                <c:formatCode>General</c:formatCode>
                <c:ptCount val="5"/>
                <c:pt idx="0">
                  <c:v>0</c:v>
                </c:pt>
                <c:pt idx="1">
                  <c:v>2</c:v>
                </c:pt>
                <c:pt idx="2">
                  <c:v>2</c:v>
                </c:pt>
                <c:pt idx="3">
                  <c:v>5</c:v>
                </c:pt>
                <c:pt idx="4">
                  <c:v>14</c:v>
                </c:pt>
              </c:numCache>
            </c:numRef>
          </c:val>
          <c:extLst>
            <c:ext xmlns:c16="http://schemas.microsoft.com/office/drawing/2014/chart" uri="{C3380CC4-5D6E-409C-BE32-E72D297353CC}">
              <c16:uniqueId val="{00000000-475A-437B-BABC-5072B16B29F8}"/>
            </c:ext>
          </c:extLst>
        </c:ser>
        <c:ser>
          <c:idx val="1"/>
          <c:order val="1"/>
          <c:tx>
            <c:strRef>
              <c:f>'test v dose'!$C$95</c:f>
              <c:strCache>
                <c:ptCount val="1"/>
                <c:pt idx="0">
                  <c:v>Took Less</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v dose'!$A$96:$A$100</c:f>
              <c:strCache>
                <c:ptCount val="5"/>
                <c:pt idx="0">
                  <c:v>35+</c:v>
                </c:pt>
                <c:pt idx="1">
                  <c:v>30-34</c:v>
                </c:pt>
                <c:pt idx="2">
                  <c:v>25-29</c:v>
                </c:pt>
                <c:pt idx="3">
                  <c:v>20-24</c:v>
                </c:pt>
                <c:pt idx="4">
                  <c:v>16-19</c:v>
                </c:pt>
              </c:strCache>
            </c:strRef>
          </c:cat>
          <c:val>
            <c:numRef>
              <c:f>'test v dose'!$C$96:$C$100</c:f>
              <c:numCache>
                <c:formatCode>General</c:formatCode>
                <c:ptCount val="5"/>
                <c:pt idx="0">
                  <c:v>3</c:v>
                </c:pt>
                <c:pt idx="1">
                  <c:v>5</c:v>
                </c:pt>
                <c:pt idx="2">
                  <c:v>7</c:v>
                </c:pt>
                <c:pt idx="3">
                  <c:v>17</c:v>
                </c:pt>
                <c:pt idx="4">
                  <c:v>19</c:v>
                </c:pt>
              </c:numCache>
            </c:numRef>
          </c:val>
          <c:extLst>
            <c:ext xmlns:c16="http://schemas.microsoft.com/office/drawing/2014/chart" uri="{C3380CC4-5D6E-409C-BE32-E72D297353CC}">
              <c16:uniqueId val="{00000001-475A-437B-BABC-5072B16B29F8}"/>
            </c:ext>
          </c:extLst>
        </c:ser>
        <c:ser>
          <c:idx val="2"/>
          <c:order val="2"/>
          <c:tx>
            <c:strRef>
              <c:f>'test v dose'!$D$95</c:f>
              <c:strCache>
                <c:ptCount val="1"/>
                <c:pt idx="0">
                  <c:v>Took Same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v dose'!$A$96:$A$100</c:f>
              <c:strCache>
                <c:ptCount val="5"/>
                <c:pt idx="0">
                  <c:v>35+</c:v>
                </c:pt>
                <c:pt idx="1">
                  <c:v>30-34</c:v>
                </c:pt>
                <c:pt idx="2">
                  <c:v>25-29</c:v>
                </c:pt>
                <c:pt idx="3">
                  <c:v>20-24</c:v>
                </c:pt>
                <c:pt idx="4">
                  <c:v>16-19</c:v>
                </c:pt>
              </c:strCache>
            </c:strRef>
          </c:cat>
          <c:val>
            <c:numRef>
              <c:f>'test v dose'!$D$96:$D$100</c:f>
              <c:numCache>
                <c:formatCode>General</c:formatCode>
                <c:ptCount val="5"/>
                <c:pt idx="0">
                  <c:v>5</c:v>
                </c:pt>
                <c:pt idx="1">
                  <c:v>3</c:v>
                </c:pt>
                <c:pt idx="2">
                  <c:v>7</c:v>
                </c:pt>
                <c:pt idx="3">
                  <c:v>15</c:v>
                </c:pt>
                <c:pt idx="4">
                  <c:v>16</c:v>
                </c:pt>
              </c:numCache>
            </c:numRef>
          </c:val>
          <c:extLst>
            <c:ext xmlns:c16="http://schemas.microsoft.com/office/drawing/2014/chart" uri="{C3380CC4-5D6E-409C-BE32-E72D297353CC}">
              <c16:uniqueId val="{00000002-475A-437B-BABC-5072B16B29F8}"/>
            </c:ext>
          </c:extLst>
        </c:ser>
        <c:ser>
          <c:idx val="3"/>
          <c:order val="3"/>
          <c:tx>
            <c:strRef>
              <c:f>'test v dose'!$E$95</c:f>
              <c:strCache>
                <c:ptCount val="1"/>
                <c:pt idx="0">
                  <c:v>Took More</c:v>
                </c:pt>
              </c:strCache>
            </c:strRef>
          </c:tx>
          <c:spPr>
            <a:solidFill>
              <a:srgbClr val="C00000">
                <a:alpha val="4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v dose'!$A$96:$A$100</c:f>
              <c:strCache>
                <c:ptCount val="5"/>
                <c:pt idx="0">
                  <c:v>35+</c:v>
                </c:pt>
                <c:pt idx="1">
                  <c:v>30-34</c:v>
                </c:pt>
                <c:pt idx="2">
                  <c:v>25-29</c:v>
                </c:pt>
                <c:pt idx="3">
                  <c:v>20-24</c:v>
                </c:pt>
                <c:pt idx="4">
                  <c:v>16-19</c:v>
                </c:pt>
              </c:strCache>
            </c:strRef>
          </c:cat>
          <c:val>
            <c:numRef>
              <c:f>'test v dose'!$E$96:$E$100</c:f>
              <c:numCache>
                <c:formatCode>General</c:formatCode>
                <c:ptCount val="5"/>
                <c:pt idx="0">
                  <c:v>1</c:v>
                </c:pt>
                <c:pt idx="1">
                  <c:v>1</c:v>
                </c:pt>
                <c:pt idx="2">
                  <c:v>2</c:v>
                </c:pt>
                <c:pt idx="3">
                  <c:v>1</c:v>
                </c:pt>
                <c:pt idx="4">
                  <c:v>2</c:v>
                </c:pt>
              </c:numCache>
            </c:numRef>
          </c:val>
          <c:extLst>
            <c:ext xmlns:c16="http://schemas.microsoft.com/office/drawing/2014/chart" uri="{C3380CC4-5D6E-409C-BE32-E72D297353CC}">
              <c16:uniqueId val="{00000003-475A-437B-BABC-5072B16B29F8}"/>
            </c:ext>
          </c:extLst>
        </c:ser>
        <c:dLbls>
          <c:showLegendKey val="0"/>
          <c:showVal val="0"/>
          <c:showCatName val="0"/>
          <c:showSerName val="0"/>
          <c:showPercent val="0"/>
          <c:showBubbleSize val="0"/>
        </c:dLbls>
        <c:gapWidth val="150"/>
        <c:overlap val="100"/>
        <c:axId val="786059760"/>
        <c:axId val="786101456"/>
      </c:barChart>
      <c:catAx>
        <c:axId val="786059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86101456"/>
        <c:crosses val="autoZero"/>
        <c:auto val="1"/>
        <c:lblAlgn val="ctr"/>
        <c:lblOffset val="100"/>
        <c:noMultiLvlLbl val="0"/>
      </c:catAx>
      <c:valAx>
        <c:axId val="7861014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8605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876292493264354"/>
          <c:y val="4.3059567628010997E-2"/>
          <c:w val="0.50291051543163567"/>
          <c:h val="0.84502545077575364"/>
        </c:manualLayout>
      </c:layout>
      <c:barChart>
        <c:barDir val="bar"/>
        <c:grouping val="clustered"/>
        <c:varyColors val="0"/>
        <c:ser>
          <c:idx val="1"/>
          <c:order val="0"/>
          <c:tx>
            <c:strRef>
              <c:f>'After Fest Activity'!$C$23</c:f>
              <c:strCache>
                <c:ptCount val="1"/>
                <c:pt idx="0">
                  <c:v>Percentage</c:v>
                </c:pt>
              </c:strCache>
            </c:strRef>
          </c:tx>
          <c:spPr>
            <a:solidFill>
              <a:schemeClr val="accent2"/>
            </a:solidFill>
            <a:ln>
              <a:noFill/>
            </a:ln>
            <a:effectLst/>
          </c:spPr>
          <c:invertIfNegative val="0"/>
          <c:dLbls>
            <c:dLbl>
              <c:idx val="0"/>
              <c:tx>
                <c:rich>
                  <a:bodyPr/>
                  <a:lstStyle/>
                  <a:p>
                    <a:fld id="{DB08257E-7E78-45F4-A35F-1EFAC1B1E25C}"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6FAD-534D-9928-84DA0AC34664}"/>
                </c:ext>
              </c:extLst>
            </c:dLbl>
            <c:dLbl>
              <c:idx val="1"/>
              <c:tx>
                <c:rich>
                  <a:bodyPr/>
                  <a:lstStyle/>
                  <a:p>
                    <a:fld id="{3A5B425C-A550-43E6-888D-737032DD450A}"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6FAD-534D-9928-84DA0AC34664}"/>
                </c:ext>
              </c:extLst>
            </c:dLbl>
            <c:dLbl>
              <c:idx val="2"/>
              <c:tx>
                <c:rich>
                  <a:bodyPr/>
                  <a:lstStyle/>
                  <a:p>
                    <a:fld id="{A9DD5FBF-DBD6-4CAB-AD9C-BEB634DF5BD5}"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6FAD-534D-9928-84DA0AC34664}"/>
                </c:ext>
              </c:extLst>
            </c:dLbl>
            <c:dLbl>
              <c:idx val="3"/>
              <c:tx>
                <c:rich>
                  <a:bodyPr/>
                  <a:lstStyle/>
                  <a:p>
                    <a:fld id="{991B088B-45DE-44E8-9132-737D50B79C70}"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6FAD-534D-9928-84DA0AC34664}"/>
                </c:ext>
              </c:extLst>
            </c:dLbl>
            <c:dLbl>
              <c:idx val="4"/>
              <c:tx>
                <c:rich>
                  <a:bodyPr/>
                  <a:lstStyle/>
                  <a:p>
                    <a:fld id="{24C26E2E-A06A-44B7-9959-37AC2C3B99C5}"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6FAD-534D-9928-84DA0AC34664}"/>
                </c:ext>
              </c:extLst>
            </c:dLbl>
            <c:dLbl>
              <c:idx val="5"/>
              <c:tx>
                <c:rich>
                  <a:bodyPr/>
                  <a:lstStyle/>
                  <a:p>
                    <a:fld id="{C46B1AFB-493E-457E-8913-67C4B55282F0}"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6FAD-534D-9928-84DA0AC34664}"/>
                </c:ext>
              </c:extLst>
            </c:dLbl>
            <c:dLbl>
              <c:idx val="6"/>
              <c:tx>
                <c:rich>
                  <a:bodyPr/>
                  <a:lstStyle/>
                  <a:p>
                    <a:fld id="{0CA1EBBF-EB3D-404D-AE88-3B6145E3D11D}"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6FAD-534D-9928-84DA0AC34664}"/>
                </c:ext>
              </c:extLst>
            </c:dLbl>
            <c:dLbl>
              <c:idx val="7"/>
              <c:tx>
                <c:rich>
                  <a:bodyPr/>
                  <a:lstStyle/>
                  <a:p>
                    <a:fld id="{67FBE7A3-86B8-4947-833A-142BEA2B34C0}"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6FAD-534D-9928-84DA0AC34664}"/>
                </c:ext>
              </c:extLst>
            </c:dLbl>
            <c:dLbl>
              <c:idx val="8"/>
              <c:tx>
                <c:rich>
                  <a:bodyPr/>
                  <a:lstStyle/>
                  <a:p>
                    <a:fld id="{0E2BFB23-05B7-4BA6-A474-42B567F21265}"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6FAD-534D-9928-84DA0AC34664}"/>
                </c:ext>
              </c:extLst>
            </c:dLbl>
            <c:dLbl>
              <c:idx val="9"/>
              <c:tx>
                <c:rich>
                  <a:bodyPr/>
                  <a:lstStyle/>
                  <a:p>
                    <a:fld id="{97275837-1AE7-4397-972F-517024ACFE39}"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6FAD-534D-9928-84DA0AC34664}"/>
                </c:ext>
              </c:extLst>
            </c:dLbl>
            <c:dLbl>
              <c:idx val="10"/>
              <c:tx>
                <c:rich>
                  <a:bodyPr/>
                  <a:lstStyle/>
                  <a:p>
                    <a:fld id="{F528BF84-7E35-4DE2-B215-E568E6962377}"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6FAD-534D-9928-84DA0AC34664}"/>
                </c:ext>
              </c:extLst>
            </c:dLbl>
            <c:dLbl>
              <c:idx val="11"/>
              <c:tx>
                <c:rich>
                  <a:bodyPr/>
                  <a:lstStyle/>
                  <a:p>
                    <a:fld id="{92B997AC-17DE-4A6E-8516-3A8F0D6C64CE}"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6FAD-534D-9928-84DA0AC34664}"/>
                </c:ext>
              </c:extLst>
            </c:dLbl>
            <c:dLbl>
              <c:idx val="12"/>
              <c:tx>
                <c:rich>
                  <a:bodyPr/>
                  <a:lstStyle/>
                  <a:p>
                    <a:fld id="{2659B92B-795B-45B9-B99C-2407F4F9151D}"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6FAD-534D-9928-84DA0AC34664}"/>
                </c:ext>
              </c:extLst>
            </c:dLbl>
            <c:dLbl>
              <c:idx val="13"/>
              <c:tx>
                <c:rich>
                  <a:bodyPr/>
                  <a:lstStyle/>
                  <a:p>
                    <a:fld id="{663F6FB2-4601-40AD-8679-C67C56DFCE95}"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6FAD-534D-9928-84DA0AC34664}"/>
                </c:ext>
              </c:extLst>
            </c:dLbl>
            <c:dLbl>
              <c:idx val="14"/>
              <c:tx>
                <c:rich>
                  <a:bodyPr/>
                  <a:lstStyle/>
                  <a:p>
                    <a:fld id="{C431A3E0-71E8-4605-9197-A6ACCBF4EA25}"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6FAD-534D-9928-84DA0AC34664}"/>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'After Fest Activity'!$A$24:$A$38</c:f>
              <c:strCache>
                <c:ptCount val="15"/>
                <c:pt idx="0">
                  <c:v>I don't (or won't) take drugs to festivals any more</c:v>
                </c:pt>
                <c:pt idx="1">
                  <c:v>I take more at a time</c:v>
                </c:pt>
                <c:pt idx="2">
                  <c:v>The advice hasn't really made a difference to how I use drugs</c:v>
                </c:pt>
                <c:pt idx="3">
                  <c:v>I haven't really used drugs</c:v>
                </c:pt>
                <c:pt idx="4">
                  <c:v>I take less at a time</c:v>
                </c:pt>
                <c:pt idx="5">
                  <c:v>I am more likely to buy off regular dealers / suppliers</c:v>
                </c:pt>
                <c:pt idx="6">
                  <c:v>I'm less likely to buy off strangers</c:v>
                </c:pt>
                <c:pt idx="7">
                  <c:v>I am more careful about mixing different drugs</c:v>
                </c:pt>
                <c:pt idx="8">
                  <c:v>I look on social media for alerts about pills and powders</c:v>
                </c:pt>
                <c:pt idx="9">
                  <c:v>I follow the Loop's posts about drugs and safer use</c:v>
                </c:pt>
                <c:pt idx="10">
                  <c:v>I try to find out more information about substances now</c:v>
                </c:pt>
                <c:pt idx="11">
                  <c:v>I talk about contents of pills / powders more with friends and acquaintances</c:v>
                </c:pt>
                <c:pt idx="12">
                  <c:v>I take the same amount as I did before</c:v>
                </c:pt>
                <c:pt idx="13">
                  <c:v>I know more about 'staying safe at the sesh'</c:v>
                </c:pt>
                <c:pt idx="14">
                  <c:v>I'm more likely to look out for festivals offering drug testing</c:v>
                </c:pt>
              </c:strCache>
            </c:strRef>
          </c:cat>
          <c:val>
            <c:numRef>
              <c:f>'After Fest Activity'!$C$24:$C$38</c:f>
              <c:numCache>
                <c:formatCode>0.0%</c:formatCode>
                <c:ptCount val="15"/>
                <c:pt idx="0">
                  <c:v>7.874015748031496E-3</c:v>
                </c:pt>
                <c:pt idx="1">
                  <c:v>3.1496062992125984E-2</c:v>
                </c:pt>
                <c:pt idx="2">
                  <c:v>7.874015748031496E-2</c:v>
                </c:pt>
                <c:pt idx="3">
                  <c:v>0.15748031496062992</c:v>
                </c:pt>
                <c:pt idx="4">
                  <c:v>0.19685039370078741</c:v>
                </c:pt>
                <c:pt idx="5">
                  <c:v>0.24409448818897639</c:v>
                </c:pt>
                <c:pt idx="6">
                  <c:v>0.26771653543307089</c:v>
                </c:pt>
                <c:pt idx="7">
                  <c:v>0.32283464566929132</c:v>
                </c:pt>
                <c:pt idx="8">
                  <c:v>0.32283464566929132</c:v>
                </c:pt>
                <c:pt idx="9">
                  <c:v>0.34645669291338582</c:v>
                </c:pt>
                <c:pt idx="10">
                  <c:v>0.38582677165354329</c:v>
                </c:pt>
                <c:pt idx="11">
                  <c:v>0.42519685039370081</c:v>
                </c:pt>
                <c:pt idx="12">
                  <c:v>0.45669291338582679</c:v>
                </c:pt>
                <c:pt idx="13">
                  <c:v>0.52755905511811019</c:v>
                </c:pt>
                <c:pt idx="14">
                  <c:v>0.72440944881889768</c:v>
                </c:pt>
              </c:numCache>
            </c:numRef>
          </c:val>
          <c:extLst>
            <c:ext xmlns:c15="http://schemas.microsoft.com/office/drawing/2012/chart" uri="{02D57815-91ED-43cb-92C2-25804820EDAC}">
              <c15:datalabelsRange>
                <c15:f>'After Fest Activity'!$B$24:$B$38</c15:f>
                <c15:dlblRangeCache>
                  <c:ptCount val="15"/>
                  <c:pt idx="0">
                    <c:v>1</c:v>
                  </c:pt>
                  <c:pt idx="1">
                    <c:v>4</c:v>
                  </c:pt>
                  <c:pt idx="2">
                    <c:v>10</c:v>
                  </c:pt>
                  <c:pt idx="3">
                    <c:v>20</c:v>
                  </c:pt>
                  <c:pt idx="4">
                    <c:v>25</c:v>
                  </c:pt>
                  <c:pt idx="5">
                    <c:v>31</c:v>
                  </c:pt>
                  <c:pt idx="6">
                    <c:v>34</c:v>
                  </c:pt>
                  <c:pt idx="7">
                    <c:v>41</c:v>
                  </c:pt>
                  <c:pt idx="8">
                    <c:v>41</c:v>
                  </c:pt>
                  <c:pt idx="9">
                    <c:v>44</c:v>
                  </c:pt>
                  <c:pt idx="10">
                    <c:v>49</c:v>
                  </c:pt>
                  <c:pt idx="11">
                    <c:v>54</c:v>
                  </c:pt>
                  <c:pt idx="12">
                    <c:v>58</c:v>
                  </c:pt>
                  <c:pt idx="13">
                    <c:v>67</c:v>
                  </c:pt>
                  <c:pt idx="14">
                    <c:v>92</c:v>
                  </c:pt>
                </c15:dlblRangeCache>
              </c15:datalabelsRange>
            </c:ext>
            <c:ext xmlns:c16="http://schemas.microsoft.com/office/drawing/2014/chart" uri="{C3380CC4-5D6E-409C-BE32-E72D297353CC}">
              <c16:uniqueId val="{0000000F-6FAD-534D-9928-84DA0AC34664}"/>
            </c:ext>
          </c:extLst>
        </c:ser>
        <c:dLbls>
          <c:dLblPos val="outEnd"/>
          <c:showLegendKey val="0"/>
          <c:showVal val="1"/>
          <c:showCatName val="0"/>
          <c:showSerName val="0"/>
          <c:showPercent val="0"/>
          <c:showBubbleSize val="0"/>
        </c:dLbls>
        <c:gapWidth val="182"/>
        <c:axId val="-1031874016"/>
        <c:axId val="-1031871696"/>
      </c:barChart>
      <c:catAx>
        <c:axId val="-1031874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031871696"/>
        <c:crosses val="autoZero"/>
        <c:auto val="1"/>
        <c:lblAlgn val="ctr"/>
        <c:lblOffset val="100"/>
        <c:noMultiLvlLbl val="0"/>
      </c:catAx>
      <c:valAx>
        <c:axId val="-10318716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t>Percentage of Responses (n=127)</a:t>
                </a:r>
              </a:p>
            </c:rich>
          </c:tx>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031874016"/>
        <c:crosses val="autoZero"/>
        <c:crossBetween val="between"/>
      </c:valAx>
      <c:spPr>
        <a:noFill/>
        <a:ln>
          <a:noFill/>
        </a:ln>
        <a:effectLst/>
      </c:spPr>
    </c:plotArea>
    <c:plotVisOnly val="1"/>
    <c:dispBlanksAs val="gap"/>
    <c:showDLblsOverMax val="0"/>
  </c:chart>
  <c:spPr>
    <a:solidFill>
      <a:schemeClr val="bg1"/>
    </a:solidFill>
    <a:ln w="6350" cap="sq" cmpd="sng" algn="ctr">
      <a:solidFill>
        <a:schemeClr val="tx1"/>
      </a:solidFill>
      <a:miter lim="800000"/>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6FCA6E-E1F0-4FB5-864F-9200A9C24311}"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GB"/>
        </a:p>
      </dgm:t>
    </dgm:pt>
    <dgm:pt modelId="{27DC2F2A-2CBA-423E-ADA3-B491DA990031}">
      <dgm:prSet phldrT="[Text]"/>
      <dgm:spPr>
        <a:solidFill>
          <a:schemeClr val="accent1">
            <a:lumMod val="20000"/>
            <a:lumOff val="80000"/>
          </a:schemeClr>
        </a:solidFill>
      </dgm:spPr>
      <dgm:t>
        <a:bodyPr/>
        <a:lstStyle/>
        <a:p>
          <a:r>
            <a:rPr lang="en-GB">
              <a:solidFill>
                <a:schemeClr val="tx1"/>
              </a:solidFill>
            </a:rPr>
            <a:t>1,482 nominated primary service users provided BI data</a:t>
          </a:r>
        </a:p>
      </dgm:t>
    </dgm:pt>
    <dgm:pt modelId="{B7787302-B948-44A9-B197-F2B0AC9EC527}" type="parTrans" cxnId="{C870BFDB-179B-4668-AA7D-7FAAB4E3F86B}">
      <dgm:prSet/>
      <dgm:spPr/>
      <dgm:t>
        <a:bodyPr/>
        <a:lstStyle/>
        <a:p>
          <a:endParaRPr lang="en-GB"/>
        </a:p>
      </dgm:t>
    </dgm:pt>
    <dgm:pt modelId="{C8D6D618-EFA6-4100-A54B-3957CA5E3080}" type="sibTrans" cxnId="{C870BFDB-179B-4668-AA7D-7FAAB4E3F86B}">
      <dgm:prSet/>
      <dgm:spPr/>
      <dgm:t>
        <a:bodyPr/>
        <a:lstStyle/>
        <a:p>
          <a:endParaRPr lang="en-GB"/>
        </a:p>
      </dgm:t>
    </dgm:pt>
    <dgm:pt modelId="{A6358D7D-0DD5-49FE-9342-D381D7E3C05B}">
      <dgm:prSet phldrT="[Text]"/>
      <dgm:spPr>
        <a:solidFill>
          <a:schemeClr val="accent1">
            <a:lumMod val="20000"/>
            <a:lumOff val="80000"/>
          </a:schemeClr>
        </a:solidFill>
      </dgm:spPr>
      <dgm:t>
        <a:bodyPr/>
        <a:lstStyle/>
        <a:p>
          <a:r>
            <a:rPr lang="en-GB">
              <a:solidFill>
                <a:schemeClr val="tx1"/>
              </a:solidFill>
            </a:rPr>
            <a:t>657 email addresses provided by primary service users after BIs</a:t>
          </a:r>
        </a:p>
      </dgm:t>
    </dgm:pt>
    <dgm:pt modelId="{BF60D798-84CA-4D40-84DD-51CED336D945}" type="parTrans" cxnId="{C22CA5A1-5FA7-473A-A7B2-521FA46E1B8A}">
      <dgm:prSet/>
      <dgm:spPr/>
      <dgm:t>
        <a:bodyPr/>
        <a:lstStyle/>
        <a:p>
          <a:endParaRPr lang="en-GB"/>
        </a:p>
      </dgm:t>
    </dgm:pt>
    <dgm:pt modelId="{BD82B377-7F71-4AF6-BB3D-B8B93BDFCD87}" type="sibTrans" cxnId="{C22CA5A1-5FA7-473A-A7B2-521FA46E1B8A}">
      <dgm:prSet/>
      <dgm:spPr/>
      <dgm:t>
        <a:bodyPr/>
        <a:lstStyle/>
        <a:p>
          <a:endParaRPr lang="en-GB"/>
        </a:p>
      </dgm:t>
    </dgm:pt>
    <dgm:pt modelId="{7DD77874-E14B-4FFF-8250-65669E1032B5}">
      <dgm:prSet phldrT="[Text]"/>
      <dgm:spPr>
        <a:solidFill>
          <a:schemeClr val="accent1">
            <a:lumMod val="20000"/>
            <a:lumOff val="80000"/>
          </a:schemeClr>
        </a:solidFill>
      </dgm:spPr>
      <dgm:t>
        <a:bodyPr/>
        <a:lstStyle/>
        <a:p>
          <a:r>
            <a:rPr lang="en-GB">
              <a:solidFill>
                <a:schemeClr val="tx1"/>
              </a:solidFill>
            </a:rPr>
            <a:t>526 email addresses functioning 3 months later</a:t>
          </a:r>
        </a:p>
      </dgm:t>
    </dgm:pt>
    <dgm:pt modelId="{C4E8F0EF-C281-424B-95EA-F0AEC6885C17}" type="parTrans" cxnId="{6EF55A29-0722-4331-816F-371D6678720C}">
      <dgm:prSet/>
      <dgm:spPr/>
      <dgm:t>
        <a:bodyPr/>
        <a:lstStyle/>
        <a:p>
          <a:endParaRPr lang="en-GB"/>
        </a:p>
      </dgm:t>
    </dgm:pt>
    <dgm:pt modelId="{C8764F49-70A3-4073-8C1C-E8CCFEE5063E}" type="sibTrans" cxnId="{6EF55A29-0722-4331-816F-371D6678720C}">
      <dgm:prSet/>
      <dgm:spPr/>
      <dgm:t>
        <a:bodyPr/>
        <a:lstStyle/>
        <a:p>
          <a:endParaRPr lang="en-GB"/>
        </a:p>
      </dgm:t>
    </dgm:pt>
    <dgm:pt modelId="{1C9A8BBB-F7E6-4A86-9D67-DF7945DBA42E}">
      <dgm:prSet/>
      <dgm:spPr>
        <a:solidFill>
          <a:schemeClr val="accent1">
            <a:lumMod val="20000"/>
            <a:lumOff val="80000"/>
          </a:schemeClr>
        </a:solidFill>
      </dgm:spPr>
      <dgm:t>
        <a:bodyPr/>
        <a:lstStyle/>
        <a:p>
          <a:r>
            <a:rPr lang="en-GB">
              <a:solidFill>
                <a:schemeClr val="tx1"/>
              </a:solidFill>
            </a:rPr>
            <a:t>1,900 samples submitted &amp; analysed at 3 festivals, with linked self complete questionnaires</a:t>
          </a:r>
        </a:p>
      </dgm:t>
    </dgm:pt>
    <dgm:pt modelId="{A908735E-1BAC-4192-AC36-FC06C9A3D7A1}" type="parTrans" cxnId="{C7991C73-BEC4-409B-A56B-7AE35464BB9D}">
      <dgm:prSet/>
      <dgm:spPr/>
      <dgm:t>
        <a:bodyPr/>
        <a:lstStyle/>
        <a:p>
          <a:endParaRPr lang="en-GB"/>
        </a:p>
      </dgm:t>
    </dgm:pt>
    <dgm:pt modelId="{9F8E3010-F891-42F8-BA96-034B67049E9C}" type="sibTrans" cxnId="{C7991C73-BEC4-409B-A56B-7AE35464BB9D}">
      <dgm:prSet/>
      <dgm:spPr/>
      <dgm:t>
        <a:bodyPr/>
        <a:lstStyle/>
        <a:p>
          <a:endParaRPr lang="en-GB"/>
        </a:p>
      </dgm:t>
    </dgm:pt>
    <dgm:pt modelId="{C3B72EAE-2438-46D2-9BF3-02460A65CA00}">
      <dgm:prSet/>
      <dgm:spPr>
        <a:solidFill>
          <a:schemeClr val="accent1">
            <a:lumMod val="20000"/>
            <a:lumOff val="80000"/>
          </a:schemeClr>
        </a:solidFill>
      </dgm:spPr>
      <dgm:t>
        <a:bodyPr/>
        <a:lstStyle/>
        <a:p>
          <a:r>
            <a:rPr lang="en-GB">
              <a:solidFill>
                <a:schemeClr val="tx1"/>
              </a:solidFill>
            </a:rPr>
            <a:t>1,482 BIs delivered to 1,482  friendship groups totalling 3,498 individuals</a:t>
          </a:r>
        </a:p>
      </dgm:t>
    </dgm:pt>
    <dgm:pt modelId="{5A5A9A0F-17C6-4F30-899B-0F8D317E036C}" type="parTrans" cxnId="{192AACBE-0C96-4CE4-9E82-29AF0616AEBD}">
      <dgm:prSet/>
      <dgm:spPr/>
      <dgm:t>
        <a:bodyPr/>
        <a:lstStyle/>
        <a:p>
          <a:endParaRPr lang="en-GB"/>
        </a:p>
      </dgm:t>
    </dgm:pt>
    <dgm:pt modelId="{9A0E5D39-A267-4AC0-B4E6-CCD6B3E2BB4E}" type="sibTrans" cxnId="{192AACBE-0C96-4CE4-9E82-29AF0616AEBD}">
      <dgm:prSet/>
      <dgm:spPr/>
      <dgm:t>
        <a:bodyPr/>
        <a:lstStyle/>
        <a:p>
          <a:endParaRPr lang="en-GB"/>
        </a:p>
      </dgm:t>
    </dgm:pt>
    <dgm:pt modelId="{C49FC214-00BA-4E41-8492-8154648FF798}">
      <dgm:prSet phldrT="[Text]"/>
      <dgm:spPr>
        <a:solidFill>
          <a:schemeClr val="accent1">
            <a:lumMod val="20000"/>
            <a:lumOff val="80000"/>
          </a:schemeClr>
        </a:solidFill>
      </dgm:spPr>
      <dgm:t>
        <a:bodyPr/>
        <a:lstStyle/>
        <a:p>
          <a:r>
            <a:rPr lang="en-GB">
              <a:solidFill>
                <a:schemeClr val="tx1"/>
              </a:solidFill>
            </a:rPr>
            <a:t>139 partially completed follow-up surveys</a:t>
          </a:r>
        </a:p>
      </dgm:t>
    </dgm:pt>
    <dgm:pt modelId="{0FE00EF6-A029-4515-A25A-BF01701070FF}" type="parTrans" cxnId="{C6E58152-5074-411B-96C2-6D63D2DC38FF}">
      <dgm:prSet/>
      <dgm:spPr/>
      <dgm:t>
        <a:bodyPr/>
        <a:lstStyle/>
        <a:p>
          <a:endParaRPr lang="en-GB"/>
        </a:p>
      </dgm:t>
    </dgm:pt>
    <dgm:pt modelId="{F5A78E7B-09F7-42FC-9DC1-C081099FCA41}" type="sibTrans" cxnId="{C6E58152-5074-411B-96C2-6D63D2DC38FF}">
      <dgm:prSet/>
      <dgm:spPr/>
      <dgm:t>
        <a:bodyPr/>
        <a:lstStyle/>
        <a:p>
          <a:endParaRPr lang="en-GB"/>
        </a:p>
      </dgm:t>
    </dgm:pt>
    <dgm:pt modelId="{519BD85E-3546-407A-BB9F-D8BAFBB5301B}">
      <dgm:prSet/>
      <dgm:spPr>
        <a:solidFill>
          <a:schemeClr val="accent1">
            <a:lumMod val="20000"/>
            <a:lumOff val="80000"/>
          </a:schemeClr>
        </a:solidFill>
      </dgm:spPr>
      <dgm:t>
        <a:bodyPr/>
        <a:lstStyle/>
        <a:p>
          <a:r>
            <a:rPr lang="en-GB">
              <a:solidFill>
                <a:schemeClr val="tx1"/>
              </a:solidFill>
            </a:rPr>
            <a:t>130 fully completed follow-up surveys</a:t>
          </a:r>
        </a:p>
      </dgm:t>
    </dgm:pt>
    <dgm:pt modelId="{BBD08ACB-B0D5-4AD6-B861-8C311BA66FC7}" type="parTrans" cxnId="{03255E65-59A0-4C14-962F-0748C7FA77E9}">
      <dgm:prSet/>
      <dgm:spPr/>
      <dgm:t>
        <a:bodyPr/>
        <a:lstStyle/>
        <a:p>
          <a:endParaRPr lang="en-GB"/>
        </a:p>
      </dgm:t>
    </dgm:pt>
    <dgm:pt modelId="{544E233D-4EF4-41B3-A45A-FF1AB854991A}" type="sibTrans" cxnId="{03255E65-59A0-4C14-962F-0748C7FA77E9}">
      <dgm:prSet/>
      <dgm:spPr/>
      <dgm:t>
        <a:bodyPr/>
        <a:lstStyle/>
        <a:p>
          <a:endParaRPr lang="en-GB"/>
        </a:p>
      </dgm:t>
    </dgm:pt>
    <dgm:pt modelId="{E346BC59-4F34-4366-ABDE-F2FBC7592F67}" type="pres">
      <dgm:prSet presAssocID="{886FCA6E-E1F0-4FB5-864F-9200A9C24311}" presName="Name0" presStyleCnt="0">
        <dgm:presLayoutVars>
          <dgm:dir/>
          <dgm:resizeHandles val="exact"/>
        </dgm:presLayoutVars>
      </dgm:prSet>
      <dgm:spPr/>
    </dgm:pt>
    <dgm:pt modelId="{8A3FB827-C820-46BE-A65C-A53286D3A083}" type="pres">
      <dgm:prSet presAssocID="{1C9A8BBB-F7E6-4A86-9D67-DF7945DBA42E}" presName="node" presStyleLbl="node1" presStyleIdx="0" presStyleCnt="7">
        <dgm:presLayoutVars>
          <dgm:bulletEnabled val="1"/>
        </dgm:presLayoutVars>
      </dgm:prSet>
      <dgm:spPr/>
    </dgm:pt>
    <dgm:pt modelId="{17B72E32-B41E-4601-A6AD-22A54F2CB29B}" type="pres">
      <dgm:prSet presAssocID="{9F8E3010-F891-42F8-BA96-034B67049E9C}" presName="sibTrans" presStyleLbl="sibTrans2D1" presStyleIdx="0" presStyleCnt="6"/>
      <dgm:spPr/>
    </dgm:pt>
    <dgm:pt modelId="{95E003CB-98B9-428F-ACFB-2F6D5AC9CE56}" type="pres">
      <dgm:prSet presAssocID="{9F8E3010-F891-42F8-BA96-034B67049E9C}" presName="connectorText" presStyleLbl="sibTrans2D1" presStyleIdx="0" presStyleCnt="6"/>
      <dgm:spPr/>
    </dgm:pt>
    <dgm:pt modelId="{264F1E39-B9D4-4C82-9822-24A43AD0C0C8}" type="pres">
      <dgm:prSet presAssocID="{C3B72EAE-2438-46D2-9BF3-02460A65CA00}" presName="node" presStyleLbl="node1" presStyleIdx="1" presStyleCnt="7">
        <dgm:presLayoutVars>
          <dgm:bulletEnabled val="1"/>
        </dgm:presLayoutVars>
      </dgm:prSet>
      <dgm:spPr/>
    </dgm:pt>
    <dgm:pt modelId="{6C79DD29-07FB-4C02-9338-B43A37E04D3F}" type="pres">
      <dgm:prSet presAssocID="{9A0E5D39-A267-4AC0-B4E6-CCD6B3E2BB4E}" presName="sibTrans" presStyleLbl="sibTrans2D1" presStyleIdx="1" presStyleCnt="6"/>
      <dgm:spPr/>
    </dgm:pt>
    <dgm:pt modelId="{5E282BE6-5857-409F-AFE1-715CB0E6DCE1}" type="pres">
      <dgm:prSet presAssocID="{9A0E5D39-A267-4AC0-B4E6-CCD6B3E2BB4E}" presName="connectorText" presStyleLbl="sibTrans2D1" presStyleIdx="1" presStyleCnt="6"/>
      <dgm:spPr/>
    </dgm:pt>
    <dgm:pt modelId="{8E2958C1-B02A-45DC-8AE0-9BC89B7287B0}" type="pres">
      <dgm:prSet presAssocID="{27DC2F2A-2CBA-423E-ADA3-B491DA990031}" presName="node" presStyleLbl="node1" presStyleIdx="2" presStyleCnt="7">
        <dgm:presLayoutVars>
          <dgm:bulletEnabled val="1"/>
        </dgm:presLayoutVars>
      </dgm:prSet>
      <dgm:spPr/>
    </dgm:pt>
    <dgm:pt modelId="{15EE3337-C429-48CD-94A8-9D084C0BA77C}" type="pres">
      <dgm:prSet presAssocID="{C8D6D618-EFA6-4100-A54B-3957CA5E3080}" presName="sibTrans" presStyleLbl="sibTrans2D1" presStyleIdx="2" presStyleCnt="6"/>
      <dgm:spPr/>
    </dgm:pt>
    <dgm:pt modelId="{A88C526F-CA24-4D4F-9841-4A4ADD442896}" type="pres">
      <dgm:prSet presAssocID="{C8D6D618-EFA6-4100-A54B-3957CA5E3080}" presName="connectorText" presStyleLbl="sibTrans2D1" presStyleIdx="2" presStyleCnt="6"/>
      <dgm:spPr/>
    </dgm:pt>
    <dgm:pt modelId="{9482163A-2AE3-437A-B9FC-07417A20C9D8}" type="pres">
      <dgm:prSet presAssocID="{A6358D7D-0DD5-49FE-9342-D381D7E3C05B}" presName="node" presStyleLbl="node1" presStyleIdx="3" presStyleCnt="7">
        <dgm:presLayoutVars>
          <dgm:bulletEnabled val="1"/>
        </dgm:presLayoutVars>
      </dgm:prSet>
      <dgm:spPr/>
    </dgm:pt>
    <dgm:pt modelId="{0DE3A62C-32E5-42D2-B825-AFDA0F2A9836}" type="pres">
      <dgm:prSet presAssocID="{BD82B377-7F71-4AF6-BB3D-B8B93BDFCD87}" presName="sibTrans" presStyleLbl="sibTrans2D1" presStyleIdx="3" presStyleCnt="6"/>
      <dgm:spPr/>
    </dgm:pt>
    <dgm:pt modelId="{B8BE366A-DC08-4CD5-AA03-CE44CF886DBD}" type="pres">
      <dgm:prSet presAssocID="{BD82B377-7F71-4AF6-BB3D-B8B93BDFCD87}" presName="connectorText" presStyleLbl="sibTrans2D1" presStyleIdx="3" presStyleCnt="6"/>
      <dgm:spPr/>
    </dgm:pt>
    <dgm:pt modelId="{0FFB8C7B-AAE4-4030-84D3-F7CE83330593}" type="pres">
      <dgm:prSet presAssocID="{7DD77874-E14B-4FFF-8250-65669E1032B5}" presName="node" presStyleLbl="node1" presStyleIdx="4" presStyleCnt="7">
        <dgm:presLayoutVars>
          <dgm:bulletEnabled val="1"/>
        </dgm:presLayoutVars>
      </dgm:prSet>
      <dgm:spPr/>
    </dgm:pt>
    <dgm:pt modelId="{4BED5E54-49EE-4242-A67D-6DF342D9D2C7}" type="pres">
      <dgm:prSet presAssocID="{C8764F49-70A3-4073-8C1C-E8CCFEE5063E}" presName="sibTrans" presStyleLbl="sibTrans2D1" presStyleIdx="4" presStyleCnt="6"/>
      <dgm:spPr/>
    </dgm:pt>
    <dgm:pt modelId="{BBDD799F-5FD9-4579-AC54-B4F3470AF9E3}" type="pres">
      <dgm:prSet presAssocID="{C8764F49-70A3-4073-8C1C-E8CCFEE5063E}" presName="connectorText" presStyleLbl="sibTrans2D1" presStyleIdx="4" presStyleCnt="6"/>
      <dgm:spPr/>
    </dgm:pt>
    <dgm:pt modelId="{7721F170-1E8F-423F-AF77-21D157BC175A}" type="pres">
      <dgm:prSet presAssocID="{C49FC214-00BA-4E41-8492-8154648FF798}" presName="node" presStyleLbl="node1" presStyleIdx="5" presStyleCnt="7">
        <dgm:presLayoutVars>
          <dgm:bulletEnabled val="1"/>
        </dgm:presLayoutVars>
      </dgm:prSet>
      <dgm:spPr/>
    </dgm:pt>
    <dgm:pt modelId="{C31E19A1-A42F-4D39-BB3F-C4FE6ADE8B54}" type="pres">
      <dgm:prSet presAssocID="{F5A78E7B-09F7-42FC-9DC1-C081099FCA41}" presName="sibTrans" presStyleLbl="sibTrans2D1" presStyleIdx="5" presStyleCnt="6"/>
      <dgm:spPr/>
    </dgm:pt>
    <dgm:pt modelId="{BA10744F-D042-4013-A22A-D927FC6771B8}" type="pres">
      <dgm:prSet presAssocID="{F5A78E7B-09F7-42FC-9DC1-C081099FCA41}" presName="connectorText" presStyleLbl="sibTrans2D1" presStyleIdx="5" presStyleCnt="6"/>
      <dgm:spPr/>
    </dgm:pt>
    <dgm:pt modelId="{8A732669-22CA-490E-B39A-EB4E4865004D}" type="pres">
      <dgm:prSet presAssocID="{519BD85E-3546-407A-BB9F-D8BAFBB5301B}" presName="node" presStyleLbl="node1" presStyleIdx="6" presStyleCnt="7">
        <dgm:presLayoutVars>
          <dgm:bulletEnabled val="1"/>
        </dgm:presLayoutVars>
      </dgm:prSet>
      <dgm:spPr/>
    </dgm:pt>
  </dgm:ptLst>
  <dgm:cxnLst>
    <dgm:cxn modelId="{F473930A-DBEA-47D7-90DB-C805477C2FA0}" type="presOf" srcId="{9A0E5D39-A267-4AC0-B4E6-CCD6B3E2BB4E}" destId="{6C79DD29-07FB-4C02-9338-B43A37E04D3F}" srcOrd="0" destOrd="0" presId="urn:microsoft.com/office/officeart/2005/8/layout/process1"/>
    <dgm:cxn modelId="{F851300C-1DB7-49DD-B17C-D2105D67A7D4}" type="presOf" srcId="{C8D6D618-EFA6-4100-A54B-3957CA5E3080}" destId="{A88C526F-CA24-4D4F-9841-4A4ADD442896}" srcOrd="1" destOrd="0" presId="urn:microsoft.com/office/officeart/2005/8/layout/process1"/>
    <dgm:cxn modelId="{4636A50D-7EC8-4B5C-9B5A-AB0D3D292322}" type="presOf" srcId="{C8D6D618-EFA6-4100-A54B-3957CA5E3080}" destId="{15EE3337-C429-48CD-94A8-9D084C0BA77C}" srcOrd="0" destOrd="0" presId="urn:microsoft.com/office/officeart/2005/8/layout/process1"/>
    <dgm:cxn modelId="{6EF55A29-0722-4331-816F-371D6678720C}" srcId="{886FCA6E-E1F0-4FB5-864F-9200A9C24311}" destId="{7DD77874-E14B-4FFF-8250-65669E1032B5}" srcOrd="4" destOrd="0" parTransId="{C4E8F0EF-C281-424B-95EA-F0AEC6885C17}" sibTransId="{C8764F49-70A3-4073-8C1C-E8CCFEE5063E}"/>
    <dgm:cxn modelId="{1B9EC82D-7ADD-46B7-AF39-808F3FEDADFD}" type="presOf" srcId="{27DC2F2A-2CBA-423E-ADA3-B491DA990031}" destId="{8E2958C1-B02A-45DC-8AE0-9BC89B7287B0}" srcOrd="0" destOrd="0" presId="urn:microsoft.com/office/officeart/2005/8/layout/process1"/>
    <dgm:cxn modelId="{990C093B-72F0-4636-8F5C-125A5C6085E0}" type="presOf" srcId="{F5A78E7B-09F7-42FC-9DC1-C081099FCA41}" destId="{C31E19A1-A42F-4D39-BB3F-C4FE6ADE8B54}" srcOrd="0" destOrd="0" presId="urn:microsoft.com/office/officeart/2005/8/layout/process1"/>
    <dgm:cxn modelId="{576CE661-ECF9-43C8-9F38-F037C7869967}" type="presOf" srcId="{C49FC214-00BA-4E41-8492-8154648FF798}" destId="{7721F170-1E8F-423F-AF77-21D157BC175A}" srcOrd="0" destOrd="0" presId="urn:microsoft.com/office/officeart/2005/8/layout/process1"/>
    <dgm:cxn modelId="{84B22463-BEC1-496C-817A-B500885C6468}" type="presOf" srcId="{A6358D7D-0DD5-49FE-9342-D381D7E3C05B}" destId="{9482163A-2AE3-437A-B9FC-07417A20C9D8}" srcOrd="0" destOrd="0" presId="urn:microsoft.com/office/officeart/2005/8/layout/process1"/>
    <dgm:cxn modelId="{03255E65-59A0-4C14-962F-0748C7FA77E9}" srcId="{886FCA6E-E1F0-4FB5-864F-9200A9C24311}" destId="{519BD85E-3546-407A-BB9F-D8BAFBB5301B}" srcOrd="6" destOrd="0" parTransId="{BBD08ACB-B0D5-4AD6-B861-8C311BA66FC7}" sibTransId="{544E233D-4EF4-41B3-A45A-FF1AB854991A}"/>
    <dgm:cxn modelId="{76F57F47-7017-41FB-9FEE-122B05B67236}" type="presOf" srcId="{F5A78E7B-09F7-42FC-9DC1-C081099FCA41}" destId="{BA10744F-D042-4013-A22A-D927FC6771B8}" srcOrd="1" destOrd="0" presId="urn:microsoft.com/office/officeart/2005/8/layout/process1"/>
    <dgm:cxn modelId="{EDC31369-503A-445E-85EE-3513873EC61E}" type="presOf" srcId="{9F8E3010-F891-42F8-BA96-034B67049E9C}" destId="{17B72E32-B41E-4601-A6AD-22A54F2CB29B}" srcOrd="0" destOrd="0" presId="urn:microsoft.com/office/officeart/2005/8/layout/process1"/>
    <dgm:cxn modelId="{5861496A-D394-434E-A4B8-19890BF42C3B}" type="presOf" srcId="{BD82B377-7F71-4AF6-BB3D-B8B93BDFCD87}" destId="{B8BE366A-DC08-4CD5-AA03-CE44CF886DBD}" srcOrd="1" destOrd="0" presId="urn:microsoft.com/office/officeart/2005/8/layout/process1"/>
    <dgm:cxn modelId="{01677151-D5A0-4EDF-B98F-258766A2CFFC}" type="presOf" srcId="{9A0E5D39-A267-4AC0-B4E6-CCD6B3E2BB4E}" destId="{5E282BE6-5857-409F-AFE1-715CB0E6DCE1}" srcOrd="1" destOrd="0" presId="urn:microsoft.com/office/officeart/2005/8/layout/process1"/>
    <dgm:cxn modelId="{C6E58152-5074-411B-96C2-6D63D2DC38FF}" srcId="{886FCA6E-E1F0-4FB5-864F-9200A9C24311}" destId="{C49FC214-00BA-4E41-8492-8154648FF798}" srcOrd="5" destOrd="0" parTransId="{0FE00EF6-A029-4515-A25A-BF01701070FF}" sibTransId="{F5A78E7B-09F7-42FC-9DC1-C081099FCA41}"/>
    <dgm:cxn modelId="{C7991C73-BEC4-409B-A56B-7AE35464BB9D}" srcId="{886FCA6E-E1F0-4FB5-864F-9200A9C24311}" destId="{1C9A8BBB-F7E6-4A86-9D67-DF7945DBA42E}" srcOrd="0" destOrd="0" parTransId="{A908735E-1BAC-4192-AC36-FC06C9A3D7A1}" sibTransId="{9F8E3010-F891-42F8-BA96-034B67049E9C}"/>
    <dgm:cxn modelId="{3A86BA7A-44ED-4D8A-9C5F-76037D31824A}" type="presOf" srcId="{9F8E3010-F891-42F8-BA96-034B67049E9C}" destId="{95E003CB-98B9-428F-ACFB-2F6D5AC9CE56}" srcOrd="1" destOrd="0" presId="urn:microsoft.com/office/officeart/2005/8/layout/process1"/>
    <dgm:cxn modelId="{EDD3F885-83B0-4506-99CC-059E7F63203A}" type="presOf" srcId="{BD82B377-7F71-4AF6-BB3D-B8B93BDFCD87}" destId="{0DE3A62C-32E5-42D2-B825-AFDA0F2A9836}" srcOrd="0" destOrd="0" presId="urn:microsoft.com/office/officeart/2005/8/layout/process1"/>
    <dgm:cxn modelId="{52498E94-4B18-42DD-A357-FFAEFA14BC9D}" type="presOf" srcId="{7DD77874-E14B-4FFF-8250-65669E1032B5}" destId="{0FFB8C7B-AAE4-4030-84D3-F7CE83330593}" srcOrd="0" destOrd="0" presId="urn:microsoft.com/office/officeart/2005/8/layout/process1"/>
    <dgm:cxn modelId="{A68A8999-0CF8-4B19-88BC-90BC82DE5ECA}" type="presOf" srcId="{C3B72EAE-2438-46D2-9BF3-02460A65CA00}" destId="{264F1E39-B9D4-4C82-9822-24A43AD0C0C8}" srcOrd="0" destOrd="0" presId="urn:microsoft.com/office/officeart/2005/8/layout/process1"/>
    <dgm:cxn modelId="{C22CA5A1-5FA7-473A-A7B2-521FA46E1B8A}" srcId="{886FCA6E-E1F0-4FB5-864F-9200A9C24311}" destId="{A6358D7D-0DD5-49FE-9342-D381D7E3C05B}" srcOrd="3" destOrd="0" parTransId="{BF60D798-84CA-4D40-84DD-51CED336D945}" sibTransId="{BD82B377-7F71-4AF6-BB3D-B8B93BDFCD87}"/>
    <dgm:cxn modelId="{3F8278A3-96C0-4241-9897-E206049185D9}" type="presOf" srcId="{C8764F49-70A3-4073-8C1C-E8CCFEE5063E}" destId="{4BED5E54-49EE-4242-A67D-6DF342D9D2C7}" srcOrd="0" destOrd="0" presId="urn:microsoft.com/office/officeart/2005/8/layout/process1"/>
    <dgm:cxn modelId="{7C1954AC-63AF-4D6E-8B63-21422960C252}" type="presOf" srcId="{C8764F49-70A3-4073-8C1C-E8CCFEE5063E}" destId="{BBDD799F-5FD9-4579-AC54-B4F3470AF9E3}" srcOrd="1" destOrd="0" presId="urn:microsoft.com/office/officeart/2005/8/layout/process1"/>
    <dgm:cxn modelId="{192AACBE-0C96-4CE4-9E82-29AF0616AEBD}" srcId="{886FCA6E-E1F0-4FB5-864F-9200A9C24311}" destId="{C3B72EAE-2438-46D2-9BF3-02460A65CA00}" srcOrd="1" destOrd="0" parTransId="{5A5A9A0F-17C6-4F30-899B-0F8D317E036C}" sibTransId="{9A0E5D39-A267-4AC0-B4E6-CCD6B3E2BB4E}"/>
    <dgm:cxn modelId="{9F3199C0-14BE-4794-B5CF-188CC507F850}" type="presOf" srcId="{1C9A8BBB-F7E6-4A86-9D67-DF7945DBA42E}" destId="{8A3FB827-C820-46BE-A65C-A53286D3A083}" srcOrd="0" destOrd="0" presId="urn:microsoft.com/office/officeart/2005/8/layout/process1"/>
    <dgm:cxn modelId="{C870BFDB-179B-4668-AA7D-7FAAB4E3F86B}" srcId="{886FCA6E-E1F0-4FB5-864F-9200A9C24311}" destId="{27DC2F2A-2CBA-423E-ADA3-B491DA990031}" srcOrd="2" destOrd="0" parTransId="{B7787302-B948-44A9-B197-F2B0AC9EC527}" sibTransId="{C8D6D618-EFA6-4100-A54B-3957CA5E3080}"/>
    <dgm:cxn modelId="{98AF28F8-E745-4BE5-988D-1F22BB2B67BD}" type="presOf" srcId="{886FCA6E-E1F0-4FB5-864F-9200A9C24311}" destId="{E346BC59-4F34-4366-ABDE-F2FBC7592F67}" srcOrd="0" destOrd="0" presId="urn:microsoft.com/office/officeart/2005/8/layout/process1"/>
    <dgm:cxn modelId="{DC9CB6FB-E9F6-4185-9191-971AAF12A263}" type="presOf" srcId="{519BD85E-3546-407A-BB9F-D8BAFBB5301B}" destId="{8A732669-22CA-490E-B39A-EB4E4865004D}" srcOrd="0" destOrd="0" presId="urn:microsoft.com/office/officeart/2005/8/layout/process1"/>
    <dgm:cxn modelId="{372D6326-4964-4AB2-9F65-71ECC31CF210}" type="presParOf" srcId="{E346BC59-4F34-4366-ABDE-F2FBC7592F67}" destId="{8A3FB827-C820-46BE-A65C-A53286D3A083}" srcOrd="0" destOrd="0" presId="urn:microsoft.com/office/officeart/2005/8/layout/process1"/>
    <dgm:cxn modelId="{8CDE22CC-3EE7-434A-AC65-90FAEF25015D}" type="presParOf" srcId="{E346BC59-4F34-4366-ABDE-F2FBC7592F67}" destId="{17B72E32-B41E-4601-A6AD-22A54F2CB29B}" srcOrd="1" destOrd="0" presId="urn:microsoft.com/office/officeart/2005/8/layout/process1"/>
    <dgm:cxn modelId="{8A13F11C-EE72-4172-B7F9-5A4B2C456516}" type="presParOf" srcId="{17B72E32-B41E-4601-A6AD-22A54F2CB29B}" destId="{95E003CB-98B9-428F-ACFB-2F6D5AC9CE56}" srcOrd="0" destOrd="0" presId="urn:microsoft.com/office/officeart/2005/8/layout/process1"/>
    <dgm:cxn modelId="{CB2F2499-B17A-43EA-80DD-1D45151D4C46}" type="presParOf" srcId="{E346BC59-4F34-4366-ABDE-F2FBC7592F67}" destId="{264F1E39-B9D4-4C82-9822-24A43AD0C0C8}" srcOrd="2" destOrd="0" presId="urn:microsoft.com/office/officeart/2005/8/layout/process1"/>
    <dgm:cxn modelId="{47BAEBB6-EE46-4F72-A616-9318A06FC9AB}" type="presParOf" srcId="{E346BC59-4F34-4366-ABDE-F2FBC7592F67}" destId="{6C79DD29-07FB-4C02-9338-B43A37E04D3F}" srcOrd="3" destOrd="0" presId="urn:microsoft.com/office/officeart/2005/8/layout/process1"/>
    <dgm:cxn modelId="{BEB73970-0F22-422D-A807-D7191D3BCB14}" type="presParOf" srcId="{6C79DD29-07FB-4C02-9338-B43A37E04D3F}" destId="{5E282BE6-5857-409F-AFE1-715CB0E6DCE1}" srcOrd="0" destOrd="0" presId="urn:microsoft.com/office/officeart/2005/8/layout/process1"/>
    <dgm:cxn modelId="{BDF571BE-5740-4D3E-8FF5-E4D1DFB4893C}" type="presParOf" srcId="{E346BC59-4F34-4366-ABDE-F2FBC7592F67}" destId="{8E2958C1-B02A-45DC-8AE0-9BC89B7287B0}" srcOrd="4" destOrd="0" presId="urn:microsoft.com/office/officeart/2005/8/layout/process1"/>
    <dgm:cxn modelId="{C0F7E3BE-9A46-44A0-BD53-FA4F42459563}" type="presParOf" srcId="{E346BC59-4F34-4366-ABDE-F2FBC7592F67}" destId="{15EE3337-C429-48CD-94A8-9D084C0BA77C}" srcOrd="5" destOrd="0" presId="urn:microsoft.com/office/officeart/2005/8/layout/process1"/>
    <dgm:cxn modelId="{27951D15-C6AE-4A72-A149-DF44CAABA7CA}" type="presParOf" srcId="{15EE3337-C429-48CD-94A8-9D084C0BA77C}" destId="{A88C526F-CA24-4D4F-9841-4A4ADD442896}" srcOrd="0" destOrd="0" presId="urn:microsoft.com/office/officeart/2005/8/layout/process1"/>
    <dgm:cxn modelId="{ACDC328C-A6F7-4F7B-A3B6-A8BD213DBCE2}" type="presParOf" srcId="{E346BC59-4F34-4366-ABDE-F2FBC7592F67}" destId="{9482163A-2AE3-437A-B9FC-07417A20C9D8}" srcOrd="6" destOrd="0" presId="urn:microsoft.com/office/officeart/2005/8/layout/process1"/>
    <dgm:cxn modelId="{4E52CA28-AFCA-47CE-863B-91063CFE1083}" type="presParOf" srcId="{E346BC59-4F34-4366-ABDE-F2FBC7592F67}" destId="{0DE3A62C-32E5-42D2-B825-AFDA0F2A9836}" srcOrd="7" destOrd="0" presId="urn:microsoft.com/office/officeart/2005/8/layout/process1"/>
    <dgm:cxn modelId="{8DED3976-E709-409D-8696-FC5C221A3143}" type="presParOf" srcId="{0DE3A62C-32E5-42D2-B825-AFDA0F2A9836}" destId="{B8BE366A-DC08-4CD5-AA03-CE44CF886DBD}" srcOrd="0" destOrd="0" presId="urn:microsoft.com/office/officeart/2005/8/layout/process1"/>
    <dgm:cxn modelId="{424CE3B2-66BA-4659-B50E-1ED41245C0D0}" type="presParOf" srcId="{E346BC59-4F34-4366-ABDE-F2FBC7592F67}" destId="{0FFB8C7B-AAE4-4030-84D3-F7CE83330593}" srcOrd="8" destOrd="0" presId="urn:microsoft.com/office/officeart/2005/8/layout/process1"/>
    <dgm:cxn modelId="{18516C1E-481B-498D-8AB7-221543909FF6}" type="presParOf" srcId="{E346BC59-4F34-4366-ABDE-F2FBC7592F67}" destId="{4BED5E54-49EE-4242-A67D-6DF342D9D2C7}" srcOrd="9" destOrd="0" presId="urn:microsoft.com/office/officeart/2005/8/layout/process1"/>
    <dgm:cxn modelId="{E21B5218-577D-487F-9F95-C3D1181110A0}" type="presParOf" srcId="{4BED5E54-49EE-4242-A67D-6DF342D9D2C7}" destId="{BBDD799F-5FD9-4579-AC54-B4F3470AF9E3}" srcOrd="0" destOrd="0" presId="urn:microsoft.com/office/officeart/2005/8/layout/process1"/>
    <dgm:cxn modelId="{D38B7F0F-A2E9-4FC3-9A1E-D4B1B2B2EDC4}" type="presParOf" srcId="{E346BC59-4F34-4366-ABDE-F2FBC7592F67}" destId="{7721F170-1E8F-423F-AF77-21D157BC175A}" srcOrd="10" destOrd="0" presId="urn:microsoft.com/office/officeart/2005/8/layout/process1"/>
    <dgm:cxn modelId="{2F2137C0-62E3-4554-BF4A-E8520CFBAD3E}" type="presParOf" srcId="{E346BC59-4F34-4366-ABDE-F2FBC7592F67}" destId="{C31E19A1-A42F-4D39-BB3F-C4FE6ADE8B54}" srcOrd="11" destOrd="0" presId="urn:microsoft.com/office/officeart/2005/8/layout/process1"/>
    <dgm:cxn modelId="{3A9CF7B6-B14B-4195-9A6D-816BF1CD059A}" type="presParOf" srcId="{C31E19A1-A42F-4D39-BB3F-C4FE6ADE8B54}" destId="{BA10744F-D042-4013-A22A-D927FC6771B8}" srcOrd="0" destOrd="0" presId="urn:microsoft.com/office/officeart/2005/8/layout/process1"/>
    <dgm:cxn modelId="{CBC625AF-3E05-43F1-8961-E899588DC3CB}" type="presParOf" srcId="{E346BC59-4F34-4366-ABDE-F2FBC7592F67}" destId="{8A732669-22CA-490E-B39A-EB4E4865004D}" srcOrd="12" destOrd="0" presId="urn:microsoft.com/office/officeart/2005/8/layout/process1"/>
  </dgm:cxnLst>
  <dgm:bg/>
  <dgm:whole>
    <a:ln w="3175">
      <a:solidFill>
        <a:schemeClr val="tx1"/>
      </a:solidFill>
    </a:ln>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3FB827-C820-46BE-A65C-A53286D3A083}">
      <dsp:nvSpPr>
        <dsp:cNvPr id="0" name=""/>
        <dsp:cNvSpPr/>
      </dsp:nvSpPr>
      <dsp:spPr>
        <a:xfrm>
          <a:off x="1540" y="600738"/>
          <a:ext cx="583331" cy="678123"/>
        </a:xfrm>
        <a:prstGeom prst="roundRect">
          <a:avLst>
            <a:gd name="adj" fmla="val 10000"/>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chemeClr val="tx1"/>
              </a:solidFill>
            </a:rPr>
            <a:t>1,900 samples submitted &amp; analysed at 3 festivals, with linked self complete questionnaires</a:t>
          </a:r>
        </a:p>
      </dsp:txBody>
      <dsp:txXfrm>
        <a:off x="18625" y="617823"/>
        <a:ext cx="549161" cy="643953"/>
      </dsp:txXfrm>
    </dsp:sp>
    <dsp:sp modelId="{17B72E32-B41E-4601-A6AD-22A54F2CB29B}">
      <dsp:nvSpPr>
        <dsp:cNvPr id="0" name=""/>
        <dsp:cNvSpPr/>
      </dsp:nvSpPr>
      <dsp:spPr>
        <a:xfrm>
          <a:off x="643205" y="867466"/>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643205" y="896399"/>
        <a:ext cx="86566" cy="86800"/>
      </dsp:txXfrm>
    </dsp:sp>
    <dsp:sp modelId="{264F1E39-B9D4-4C82-9822-24A43AD0C0C8}">
      <dsp:nvSpPr>
        <dsp:cNvPr id="0" name=""/>
        <dsp:cNvSpPr/>
      </dsp:nvSpPr>
      <dsp:spPr>
        <a:xfrm>
          <a:off x="818204" y="600738"/>
          <a:ext cx="583331" cy="678123"/>
        </a:xfrm>
        <a:prstGeom prst="roundRect">
          <a:avLst>
            <a:gd name="adj" fmla="val 10000"/>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chemeClr val="tx1"/>
              </a:solidFill>
            </a:rPr>
            <a:t>1,482 BIs delivered to 1,482  friendship groups totalling 3,498 individuals</a:t>
          </a:r>
        </a:p>
      </dsp:txBody>
      <dsp:txXfrm>
        <a:off x="835289" y="617823"/>
        <a:ext cx="549161" cy="643953"/>
      </dsp:txXfrm>
    </dsp:sp>
    <dsp:sp modelId="{6C79DD29-07FB-4C02-9338-B43A37E04D3F}">
      <dsp:nvSpPr>
        <dsp:cNvPr id="0" name=""/>
        <dsp:cNvSpPr/>
      </dsp:nvSpPr>
      <dsp:spPr>
        <a:xfrm>
          <a:off x="1459869" y="867466"/>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459869" y="896399"/>
        <a:ext cx="86566" cy="86800"/>
      </dsp:txXfrm>
    </dsp:sp>
    <dsp:sp modelId="{8E2958C1-B02A-45DC-8AE0-9BC89B7287B0}">
      <dsp:nvSpPr>
        <dsp:cNvPr id="0" name=""/>
        <dsp:cNvSpPr/>
      </dsp:nvSpPr>
      <dsp:spPr>
        <a:xfrm>
          <a:off x="1634869" y="600738"/>
          <a:ext cx="583331" cy="678123"/>
        </a:xfrm>
        <a:prstGeom prst="roundRect">
          <a:avLst>
            <a:gd name="adj" fmla="val 10000"/>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chemeClr val="tx1"/>
              </a:solidFill>
            </a:rPr>
            <a:t>1,482 nominated primary service users provided BI data</a:t>
          </a:r>
        </a:p>
      </dsp:txBody>
      <dsp:txXfrm>
        <a:off x="1651954" y="617823"/>
        <a:ext cx="549161" cy="643953"/>
      </dsp:txXfrm>
    </dsp:sp>
    <dsp:sp modelId="{15EE3337-C429-48CD-94A8-9D084C0BA77C}">
      <dsp:nvSpPr>
        <dsp:cNvPr id="0" name=""/>
        <dsp:cNvSpPr/>
      </dsp:nvSpPr>
      <dsp:spPr>
        <a:xfrm>
          <a:off x="2276534" y="867466"/>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276534" y="896399"/>
        <a:ext cx="86566" cy="86800"/>
      </dsp:txXfrm>
    </dsp:sp>
    <dsp:sp modelId="{9482163A-2AE3-437A-B9FC-07417A20C9D8}">
      <dsp:nvSpPr>
        <dsp:cNvPr id="0" name=""/>
        <dsp:cNvSpPr/>
      </dsp:nvSpPr>
      <dsp:spPr>
        <a:xfrm>
          <a:off x="2451534" y="600738"/>
          <a:ext cx="583331" cy="678123"/>
        </a:xfrm>
        <a:prstGeom prst="roundRect">
          <a:avLst>
            <a:gd name="adj" fmla="val 10000"/>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chemeClr val="tx1"/>
              </a:solidFill>
            </a:rPr>
            <a:t>657 email addresses provided by primary service users after BIs</a:t>
          </a:r>
        </a:p>
      </dsp:txBody>
      <dsp:txXfrm>
        <a:off x="2468619" y="617823"/>
        <a:ext cx="549161" cy="643953"/>
      </dsp:txXfrm>
    </dsp:sp>
    <dsp:sp modelId="{0DE3A62C-32E5-42D2-B825-AFDA0F2A9836}">
      <dsp:nvSpPr>
        <dsp:cNvPr id="0" name=""/>
        <dsp:cNvSpPr/>
      </dsp:nvSpPr>
      <dsp:spPr>
        <a:xfrm>
          <a:off x="3093199" y="867466"/>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93199" y="896399"/>
        <a:ext cx="86566" cy="86800"/>
      </dsp:txXfrm>
    </dsp:sp>
    <dsp:sp modelId="{0FFB8C7B-AAE4-4030-84D3-F7CE83330593}">
      <dsp:nvSpPr>
        <dsp:cNvPr id="0" name=""/>
        <dsp:cNvSpPr/>
      </dsp:nvSpPr>
      <dsp:spPr>
        <a:xfrm>
          <a:off x="3268198" y="600738"/>
          <a:ext cx="583331" cy="678123"/>
        </a:xfrm>
        <a:prstGeom prst="roundRect">
          <a:avLst>
            <a:gd name="adj" fmla="val 10000"/>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chemeClr val="tx1"/>
              </a:solidFill>
            </a:rPr>
            <a:t>526 email addresses functioning 3 months later</a:t>
          </a:r>
        </a:p>
      </dsp:txBody>
      <dsp:txXfrm>
        <a:off x="3285283" y="617823"/>
        <a:ext cx="549161" cy="643953"/>
      </dsp:txXfrm>
    </dsp:sp>
    <dsp:sp modelId="{4BED5E54-49EE-4242-A67D-6DF342D9D2C7}">
      <dsp:nvSpPr>
        <dsp:cNvPr id="0" name=""/>
        <dsp:cNvSpPr/>
      </dsp:nvSpPr>
      <dsp:spPr>
        <a:xfrm>
          <a:off x="3909863" y="867466"/>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909863" y="896399"/>
        <a:ext cx="86566" cy="86800"/>
      </dsp:txXfrm>
    </dsp:sp>
    <dsp:sp modelId="{7721F170-1E8F-423F-AF77-21D157BC175A}">
      <dsp:nvSpPr>
        <dsp:cNvPr id="0" name=""/>
        <dsp:cNvSpPr/>
      </dsp:nvSpPr>
      <dsp:spPr>
        <a:xfrm>
          <a:off x="4084863" y="600738"/>
          <a:ext cx="583331" cy="678123"/>
        </a:xfrm>
        <a:prstGeom prst="roundRect">
          <a:avLst>
            <a:gd name="adj" fmla="val 10000"/>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chemeClr val="tx1"/>
              </a:solidFill>
            </a:rPr>
            <a:t>139 partially completed follow-up surveys</a:t>
          </a:r>
        </a:p>
      </dsp:txBody>
      <dsp:txXfrm>
        <a:off x="4101948" y="617823"/>
        <a:ext cx="549161" cy="643953"/>
      </dsp:txXfrm>
    </dsp:sp>
    <dsp:sp modelId="{C31E19A1-A42F-4D39-BB3F-C4FE6ADE8B54}">
      <dsp:nvSpPr>
        <dsp:cNvPr id="0" name=""/>
        <dsp:cNvSpPr/>
      </dsp:nvSpPr>
      <dsp:spPr>
        <a:xfrm>
          <a:off x="4726528" y="867466"/>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726528" y="896399"/>
        <a:ext cx="86566" cy="86800"/>
      </dsp:txXfrm>
    </dsp:sp>
    <dsp:sp modelId="{8A732669-22CA-490E-B39A-EB4E4865004D}">
      <dsp:nvSpPr>
        <dsp:cNvPr id="0" name=""/>
        <dsp:cNvSpPr/>
      </dsp:nvSpPr>
      <dsp:spPr>
        <a:xfrm>
          <a:off x="4901527" y="600738"/>
          <a:ext cx="583331" cy="678123"/>
        </a:xfrm>
        <a:prstGeom prst="roundRect">
          <a:avLst>
            <a:gd name="adj" fmla="val 10000"/>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chemeClr val="tx1"/>
              </a:solidFill>
            </a:rPr>
            <a:t>130 fully completed follow-up surveys</a:t>
          </a:r>
        </a:p>
      </dsp:txBody>
      <dsp:txXfrm>
        <a:off x="4918612" y="617823"/>
        <a:ext cx="549161" cy="6439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D356DE4-8006-4B37-8EF0-953DC3AD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9151</Words>
  <Characters>52164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Turnbull</dc:creator>
  <cp:keywords/>
  <dc:description/>
  <cp:lastModifiedBy>Bryson, Jayne</cp:lastModifiedBy>
  <cp:revision>2</cp:revision>
  <cp:lastPrinted>2021-03-16T08:03:00Z</cp:lastPrinted>
  <dcterms:created xsi:type="dcterms:W3CDTF">2022-02-07T13:33:00Z</dcterms:created>
  <dcterms:modified xsi:type="dcterms:W3CDTF">2022-02-07T13:33:00Z</dcterms:modified>
</cp:coreProperties>
</file>