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73308D" w14:textId="193114A3" w:rsidR="00A3273D" w:rsidRDefault="00A3273D" w:rsidP="00A3273D">
      <w:pPr>
        <w:pStyle w:val="Title"/>
        <w:spacing w:line="480" w:lineRule="auto"/>
        <w:rPr>
          <w:rFonts w:ascii="Calibri" w:hAnsi="Calibri" w:cs="Calibri"/>
          <w:color w:val="000000" w:themeColor="text1"/>
          <w:sz w:val="24"/>
          <w:szCs w:val="24"/>
        </w:rPr>
      </w:pPr>
      <w:bookmarkStart w:id="0" w:name="Title_and_Abstract"/>
      <w:r w:rsidRPr="0023133E">
        <w:rPr>
          <w:rFonts w:ascii="Calibri" w:hAnsi="Calibri" w:cs="Calibri"/>
          <w:color w:val="000000" w:themeColor="text1"/>
          <w:sz w:val="24"/>
          <w:szCs w:val="24"/>
        </w:rPr>
        <w:t xml:space="preserve">Using Community-Based Truth Commissions to address Poverty </w:t>
      </w:r>
      <w:r w:rsidR="006A63DC">
        <w:rPr>
          <w:rFonts w:ascii="Calibri" w:hAnsi="Calibri" w:cs="Calibri"/>
          <w:color w:val="000000" w:themeColor="text1"/>
          <w:sz w:val="24"/>
          <w:szCs w:val="24"/>
        </w:rPr>
        <w:t xml:space="preserve">and </w:t>
      </w:r>
      <w:r w:rsidRPr="0023133E">
        <w:rPr>
          <w:rFonts w:ascii="Calibri" w:hAnsi="Calibri" w:cs="Calibri"/>
          <w:color w:val="000000" w:themeColor="text1"/>
          <w:sz w:val="24"/>
          <w:szCs w:val="24"/>
        </w:rPr>
        <w:t xml:space="preserve">related Economic, Social and Cultural Rights Violations: </w:t>
      </w:r>
      <w:r w:rsidR="006A63DC">
        <w:rPr>
          <w:rFonts w:ascii="Calibri" w:hAnsi="Calibri" w:cs="Calibri"/>
          <w:color w:val="000000" w:themeColor="text1"/>
          <w:sz w:val="24"/>
          <w:szCs w:val="24"/>
        </w:rPr>
        <w:t xml:space="preserve">The UK Poverty Truth Commissions as </w:t>
      </w:r>
      <w:r w:rsidRPr="0023133E">
        <w:rPr>
          <w:rFonts w:ascii="Calibri" w:hAnsi="Calibri" w:cs="Calibri"/>
          <w:color w:val="000000" w:themeColor="text1"/>
          <w:sz w:val="24"/>
          <w:szCs w:val="24"/>
        </w:rPr>
        <w:t xml:space="preserve">Transformative Justice </w:t>
      </w:r>
      <w:bookmarkEnd w:id="0"/>
    </w:p>
    <w:p w14:paraId="1CABB71B" w14:textId="77777777" w:rsidR="00064783" w:rsidRDefault="00064783" w:rsidP="00181492">
      <w:pPr>
        <w:pStyle w:val="Title"/>
        <w:spacing w:line="240" w:lineRule="auto"/>
        <w:jc w:val="right"/>
        <w:rPr>
          <w:rFonts w:asciiTheme="minorHAnsi" w:hAnsiTheme="minorHAnsi" w:cstheme="minorHAnsi"/>
          <w:b w:val="0"/>
          <w:bCs/>
          <w:i/>
          <w:iCs/>
          <w:color w:val="000000" w:themeColor="text1"/>
          <w:sz w:val="22"/>
          <w:szCs w:val="22"/>
          <w:u w:val="none"/>
        </w:rPr>
      </w:pPr>
      <w:r>
        <w:rPr>
          <w:rFonts w:asciiTheme="minorHAnsi" w:hAnsiTheme="minorHAnsi" w:cstheme="minorHAnsi"/>
          <w:b w:val="0"/>
          <w:bCs/>
          <w:i/>
          <w:iCs/>
          <w:color w:val="000000" w:themeColor="text1"/>
          <w:sz w:val="22"/>
          <w:szCs w:val="22"/>
          <w:u w:val="none"/>
        </w:rPr>
        <w:t>‘</w:t>
      </w:r>
      <w:r w:rsidRPr="00181492">
        <w:rPr>
          <w:rFonts w:asciiTheme="minorHAnsi" w:hAnsiTheme="minorHAnsi" w:cstheme="minorHAnsi"/>
          <w:b w:val="0"/>
          <w:bCs/>
          <w:i/>
          <w:iCs/>
          <w:color w:val="000000" w:themeColor="text1"/>
          <w:sz w:val="22"/>
          <w:szCs w:val="22"/>
          <w:u w:val="none"/>
        </w:rPr>
        <w:t>Overcoming poverty is not a gesture of charity. It is an act of justice. It is the protection of a fundamental human right, the right to dignity and a decent life</w:t>
      </w:r>
      <w:r>
        <w:rPr>
          <w:rFonts w:asciiTheme="minorHAnsi" w:hAnsiTheme="minorHAnsi" w:cstheme="minorHAnsi"/>
          <w:b w:val="0"/>
          <w:bCs/>
          <w:i/>
          <w:iCs/>
          <w:color w:val="000000" w:themeColor="text1"/>
          <w:sz w:val="22"/>
          <w:szCs w:val="22"/>
          <w:u w:val="none"/>
        </w:rPr>
        <w:t>’</w:t>
      </w:r>
    </w:p>
    <w:p w14:paraId="18FD415C" w14:textId="6D945737" w:rsidR="00064783" w:rsidRPr="00181492" w:rsidRDefault="00064783" w:rsidP="00181492">
      <w:pPr>
        <w:pStyle w:val="Title"/>
        <w:spacing w:line="240" w:lineRule="auto"/>
        <w:jc w:val="right"/>
        <w:rPr>
          <w:rFonts w:asciiTheme="minorHAnsi" w:hAnsiTheme="minorHAnsi" w:cstheme="minorHAnsi"/>
          <w:b w:val="0"/>
          <w:bCs/>
          <w:i/>
          <w:iCs/>
          <w:color w:val="000000" w:themeColor="text1"/>
          <w:sz w:val="22"/>
          <w:szCs w:val="22"/>
          <w:u w:val="none"/>
        </w:rPr>
      </w:pPr>
      <w:r w:rsidRPr="00181492">
        <w:rPr>
          <w:rFonts w:asciiTheme="minorHAnsi" w:hAnsiTheme="minorHAnsi" w:cstheme="minorHAnsi"/>
          <w:bCs/>
          <w:i/>
          <w:iCs/>
          <w:color w:val="000000" w:themeColor="text1"/>
          <w:sz w:val="22"/>
          <w:szCs w:val="22"/>
          <w:u w:val="none"/>
        </w:rPr>
        <w:t>(</w:t>
      </w:r>
      <w:r w:rsidRPr="00181492">
        <w:rPr>
          <w:rFonts w:asciiTheme="minorHAnsi" w:hAnsiTheme="minorHAnsi" w:cstheme="minorHAnsi"/>
          <w:b w:val="0"/>
          <w:bCs/>
          <w:i/>
          <w:iCs/>
          <w:color w:val="000000" w:themeColor="text1"/>
          <w:sz w:val="22"/>
          <w:szCs w:val="22"/>
          <w:u w:val="none"/>
        </w:rPr>
        <w:t>Nelson Mandela</w:t>
      </w:r>
      <w:r w:rsidRPr="00181492">
        <w:rPr>
          <w:rFonts w:asciiTheme="minorHAnsi" w:hAnsiTheme="minorHAnsi" w:cstheme="minorHAnsi"/>
          <w:bCs/>
          <w:i/>
          <w:iCs/>
          <w:color w:val="000000" w:themeColor="text1"/>
          <w:sz w:val="22"/>
          <w:szCs w:val="22"/>
          <w:u w:val="none"/>
        </w:rPr>
        <w:t>)</w:t>
      </w:r>
    </w:p>
    <w:p w14:paraId="44AD1776" w14:textId="77777777" w:rsidR="00A3273D" w:rsidRPr="00181492" w:rsidRDefault="00A3273D" w:rsidP="00181492">
      <w:pPr>
        <w:pStyle w:val="Title"/>
        <w:spacing w:line="240" w:lineRule="auto"/>
        <w:jc w:val="right"/>
        <w:rPr>
          <w:rFonts w:asciiTheme="minorHAnsi" w:hAnsiTheme="minorHAnsi" w:cstheme="minorHAnsi"/>
          <w:bCs/>
          <w:i/>
          <w:iCs/>
          <w:sz w:val="22"/>
          <w:szCs w:val="22"/>
        </w:rPr>
      </w:pPr>
      <w:r w:rsidRPr="00181492">
        <w:rPr>
          <w:rFonts w:asciiTheme="minorHAnsi" w:hAnsiTheme="minorHAnsi" w:cstheme="minorHAnsi"/>
          <w:b w:val="0"/>
          <w:bCs/>
          <w:i/>
          <w:iCs/>
          <w:sz w:val="22"/>
          <w:szCs w:val="22"/>
          <w:u w:val="none"/>
        </w:rPr>
        <w:t>‘It takes two to speak the truth, - one to speak, and another to hear’</w:t>
      </w:r>
    </w:p>
    <w:p w14:paraId="3F69F251" w14:textId="10AD42FE" w:rsidR="00A3273D" w:rsidRPr="0023133E" w:rsidRDefault="00A3273D" w:rsidP="00181492">
      <w:pPr>
        <w:jc w:val="right"/>
        <w:rPr>
          <w:rFonts w:ascii="Calibri" w:hAnsi="Calibri" w:cs="Calibri"/>
          <w:i/>
          <w:color w:val="000000" w:themeColor="text1"/>
          <w:szCs w:val="22"/>
        </w:rPr>
      </w:pPr>
      <w:r w:rsidRPr="0023133E">
        <w:rPr>
          <w:rFonts w:ascii="Calibri" w:hAnsi="Calibri" w:cs="Calibri"/>
          <w:i/>
          <w:noProof/>
          <w:color w:val="000000" w:themeColor="text1"/>
          <w:szCs w:val="22"/>
        </w:rPr>
        <w:t>(Thoreau 1906, 283)</w:t>
      </w:r>
    </w:p>
    <w:p w14:paraId="07496827" w14:textId="77777777" w:rsidR="00064783" w:rsidRDefault="00064783" w:rsidP="00020740">
      <w:pPr>
        <w:pStyle w:val="NoSpacing"/>
      </w:pPr>
    </w:p>
    <w:p w14:paraId="39C29FAB" w14:textId="4739104C" w:rsidR="00A3273D" w:rsidRPr="00E14F67" w:rsidRDefault="00A3273D" w:rsidP="00E63CA6">
      <w:pPr>
        <w:pStyle w:val="Heading1"/>
      </w:pPr>
      <w:r w:rsidRPr="00E14F67">
        <w:t>Introduction</w:t>
      </w:r>
    </w:p>
    <w:p w14:paraId="5609156C" w14:textId="38C8B8AA" w:rsidR="00A3273D" w:rsidRPr="00E14F67" w:rsidRDefault="00716D6B" w:rsidP="00E14F67">
      <w:pPr>
        <w:tabs>
          <w:tab w:val="left" w:pos="360"/>
          <w:tab w:val="left" w:pos="720"/>
          <w:tab w:val="left" w:pos="1080"/>
          <w:tab w:val="left" w:pos="1440"/>
          <w:tab w:val="left" w:pos="1800"/>
          <w:tab w:val="left" w:pos="2160"/>
          <w:tab w:val="left" w:pos="2880"/>
          <w:tab w:val="left" w:pos="3600"/>
          <w:tab w:val="left" w:pos="4320"/>
        </w:tabs>
        <w:spacing w:line="480" w:lineRule="auto"/>
        <w:jc w:val="both"/>
        <w:rPr>
          <w:rFonts w:cstheme="minorHAnsi"/>
          <w:color w:val="000000" w:themeColor="text1"/>
          <w:szCs w:val="22"/>
        </w:rPr>
      </w:pPr>
      <w:r>
        <w:rPr>
          <w:rFonts w:cstheme="minorHAnsi"/>
          <w:color w:val="000000" w:themeColor="text1"/>
          <w:szCs w:val="22"/>
        </w:rPr>
        <w:t xml:space="preserve">Following </w:t>
      </w:r>
      <w:r w:rsidRPr="00E14F67">
        <w:rPr>
          <w:rFonts w:cstheme="minorHAnsi"/>
          <w:color w:val="000000" w:themeColor="text1"/>
          <w:szCs w:val="22"/>
        </w:rPr>
        <w:t>the</w:t>
      </w:r>
      <w:r w:rsidR="00A3273D" w:rsidRPr="00E14F67">
        <w:rPr>
          <w:rFonts w:cstheme="minorHAnsi"/>
          <w:color w:val="000000" w:themeColor="text1"/>
          <w:szCs w:val="22"/>
        </w:rPr>
        <w:t xml:space="preserve"> financial crisis </w:t>
      </w:r>
      <w:r w:rsidR="007D0F97">
        <w:rPr>
          <w:rFonts w:cstheme="minorHAnsi"/>
          <w:color w:val="000000" w:themeColor="text1"/>
          <w:szCs w:val="22"/>
        </w:rPr>
        <w:t>of 2008</w:t>
      </w:r>
      <w:r w:rsidR="00DB6A71">
        <w:rPr>
          <w:rFonts w:cstheme="minorHAnsi"/>
          <w:color w:val="000000" w:themeColor="text1"/>
          <w:szCs w:val="22"/>
        </w:rPr>
        <w:t>,</w:t>
      </w:r>
      <w:r w:rsidR="007D0F97">
        <w:rPr>
          <w:rFonts w:cstheme="minorHAnsi"/>
          <w:color w:val="000000" w:themeColor="text1"/>
          <w:szCs w:val="22"/>
        </w:rPr>
        <w:t xml:space="preserve"> </w:t>
      </w:r>
      <w:r w:rsidR="00A3273D" w:rsidRPr="00E14F67">
        <w:rPr>
          <w:rFonts w:cstheme="minorHAnsi"/>
          <w:color w:val="000000" w:themeColor="text1"/>
          <w:szCs w:val="22"/>
        </w:rPr>
        <w:t>austerity measures</w:t>
      </w:r>
      <w:r w:rsidR="00DB6A71">
        <w:rPr>
          <w:rFonts w:cstheme="minorHAnsi"/>
          <w:color w:val="000000" w:themeColor="text1"/>
          <w:szCs w:val="22"/>
        </w:rPr>
        <w:t xml:space="preserve"> </w:t>
      </w:r>
      <w:r w:rsidR="00A3273D" w:rsidRPr="00E14F67">
        <w:rPr>
          <w:rFonts w:cstheme="minorHAnsi"/>
          <w:color w:val="000000" w:themeColor="text1"/>
          <w:szCs w:val="22"/>
        </w:rPr>
        <w:t xml:space="preserve">imposed across </w:t>
      </w:r>
      <w:r w:rsidR="007D0F97">
        <w:rPr>
          <w:rFonts w:cstheme="minorHAnsi"/>
          <w:color w:val="000000" w:themeColor="text1"/>
          <w:szCs w:val="22"/>
        </w:rPr>
        <w:t>the U</w:t>
      </w:r>
      <w:r w:rsidR="002B171A">
        <w:rPr>
          <w:rFonts w:cstheme="minorHAnsi"/>
          <w:color w:val="000000" w:themeColor="text1"/>
          <w:szCs w:val="22"/>
        </w:rPr>
        <w:t xml:space="preserve">nited </w:t>
      </w:r>
      <w:r w:rsidR="007D0F97">
        <w:rPr>
          <w:rFonts w:cstheme="minorHAnsi"/>
          <w:color w:val="000000" w:themeColor="text1"/>
          <w:szCs w:val="22"/>
        </w:rPr>
        <w:t>K</w:t>
      </w:r>
      <w:r w:rsidR="002B171A">
        <w:rPr>
          <w:rFonts w:cstheme="minorHAnsi"/>
          <w:color w:val="000000" w:themeColor="text1"/>
          <w:szCs w:val="22"/>
        </w:rPr>
        <w:t>ingdom (UK)</w:t>
      </w:r>
      <w:r w:rsidR="007D0F97">
        <w:rPr>
          <w:rFonts w:cstheme="minorHAnsi"/>
          <w:color w:val="000000" w:themeColor="text1"/>
          <w:szCs w:val="22"/>
        </w:rPr>
        <w:t xml:space="preserve"> and </w:t>
      </w:r>
      <w:r w:rsidR="002A6764">
        <w:rPr>
          <w:rFonts w:cstheme="minorHAnsi"/>
          <w:color w:val="000000" w:themeColor="text1"/>
          <w:szCs w:val="22"/>
        </w:rPr>
        <w:t>several</w:t>
      </w:r>
      <w:r w:rsidR="00A3273D" w:rsidRPr="00E14F67">
        <w:rPr>
          <w:rFonts w:cstheme="minorHAnsi"/>
          <w:color w:val="000000" w:themeColor="text1"/>
          <w:szCs w:val="22"/>
        </w:rPr>
        <w:t xml:space="preserve"> European states, </w:t>
      </w:r>
      <w:r w:rsidR="00DB6A71">
        <w:rPr>
          <w:rFonts w:cstheme="minorHAnsi"/>
          <w:color w:val="000000" w:themeColor="text1"/>
          <w:szCs w:val="22"/>
        </w:rPr>
        <w:t xml:space="preserve">have </w:t>
      </w:r>
      <w:r w:rsidR="007D0F97">
        <w:rPr>
          <w:rFonts w:cstheme="minorHAnsi"/>
          <w:color w:val="000000" w:themeColor="text1"/>
          <w:szCs w:val="22"/>
        </w:rPr>
        <w:t>result</w:t>
      </w:r>
      <w:r w:rsidR="00DB6A71">
        <w:rPr>
          <w:rFonts w:cstheme="minorHAnsi"/>
          <w:color w:val="000000" w:themeColor="text1"/>
          <w:szCs w:val="22"/>
        </w:rPr>
        <w:t>ed</w:t>
      </w:r>
      <w:r w:rsidR="007D0F97">
        <w:rPr>
          <w:rFonts w:cstheme="minorHAnsi"/>
          <w:color w:val="000000" w:themeColor="text1"/>
          <w:szCs w:val="22"/>
        </w:rPr>
        <w:t xml:space="preserve"> </w:t>
      </w:r>
      <w:r>
        <w:rPr>
          <w:rFonts w:cstheme="minorHAnsi"/>
          <w:color w:val="000000" w:themeColor="text1"/>
          <w:szCs w:val="22"/>
        </w:rPr>
        <w:t xml:space="preserve">in </w:t>
      </w:r>
      <w:r w:rsidRPr="00E14F67">
        <w:rPr>
          <w:rFonts w:cstheme="minorHAnsi"/>
          <w:color w:val="000000" w:themeColor="text1"/>
          <w:szCs w:val="22"/>
        </w:rPr>
        <w:t>severe</w:t>
      </w:r>
      <w:r w:rsidR="00A3273D" w:rsidRPr="00E14F67">
        <w:rPr>
          <w:rFonts w:cstheme="minorHAnsi"/>
          <w:color w:val="000000" w:themeColor="text1"/>
          <w:szCs w:val="22"/>
        </w:rPr>
        <w:t xml:space="preserve"> negative impacts on the realisation of economic, social and cultural rights (ESCRs) </w:t>
      </w:r>
      <w:r w:rsidR="007D0F97">
        <w:rPr>
          <w:rFonts w:cstheme="minorHAnsi"/>
          <w:color w:val="000000" w:themeColor="text1"/>
          <w:szCs w:val="22"/>
        </w:rPr>
        <w:t xml:space="preserve">which </w:t>
      </w:r>
      <w:r w:rsidR="00A3273D" w:rsidRPr="00E14F67">
        <w:rPr>
          <w:rFonts w:cstheme="minorHAnsi"/>
          <w:color w:val="000000" w:themeColor="text1"/>
          <w:szCs w:val="22"/>
        </w:rPr>
        <w:t>are still being felt</w:t>
      </w:r>
      <w:r w:rsidR="007D0F97">
        <w:rPr>
          <w:rFonts w:cstheme="minorHAnsi"/>
          <w:color w:val="000000" w:themeColor="text1"/>
          <w:szCs w:val="22"/>
        </w:rPr>
        <w:t xml:space="preserve"> today</w:t>
      </w:r>
      <w:r w:rsidR="00A3273D" w:rsidRPr="00E14F67">
        <w:rPr>
          <w:rFonts w:cstheme="minorHAnsi"/>
          <w:color w:val="000000" w:themeColor="text1"/>
          <w:szCs w:val="22"/>
        </w:rPr>
        <w:t xml:space="preserve">.  </w:t>
      </w:r>
      <w:r w:rsidR="00D9758B" w:rsidRPr="00E14F67">
        <w:rPr>
          <w:rFonts w:cstheme="minorHAnsi"/>
          <w:color w:val="000000" w:themeColor="text1"/>
          <w:szCs w:val="22"/>
        </w:rPr>
        <w:t xml:space="preserve">Poverty within the UK and across </w:t>
      </w:r>
      <w:r w:rsidR="007D0F97">
        <w:rPr>
          <w:rFonts w:cstheme="minorHAnsi"/>
          <w:color w:val="000000" w:themeColor="text1"/>
          <w:szCs w:val="22"/>
        </w:rPr>
        <w:t>Europe</w:t>
      </w:r>
      <w:r w:rsidR="00D9758B" w:rsidRPr="00E14F67">
        <w:rPr>
          <w:rFonts w:cstheme="minorHAnsi"/>
          <w:color w:val="000000" w:themeColor="text1"/>
          <w:szCs w:val="22"/>
        </w:rPr>
        <w:t xml:space="preserve"> has widened and deepened. </w:t>
      </w:r>
      <w:r w:rsidR="00A3273D" w:rsidRPr="00E14F67">
        <w:rPr>
          <w:rFonts w:cstheme="minorHAnsi"/>
          <w:color w:val="000000" w:themeColor="text1"/>
          <w:szCs w:val="22"/>
        </w:rPr>
        <w:t xml:space="preserve">State </w:t>
      </w:r>
      <w:r w:rsidR="00245637">
        <w:rPr>
          <w:rFonts w:cstheme="minorHAnsi"/>
          <w:color w:val="000000" w:themeColor="text1"/>
          <w:szCs w:val="22"/>
        </w:rPr>
        <w:t xml:space="preserve">accountability </w:t>
      </w:r>
      <w:r w:rsidR="00A3273D" w:rsidRPr="00E14F67">
        <w:rPr>
          <w:rFonts w:cstheme="minorHAnsi"/>
          <w:color w:val="000000" w:themeColor="text1"/>
          <w:szCs w:val="22"/>
        </w:rPr>
        <w:t xml:space="preserve">for the consequent human rights violations has been determined under several international human rights law mechanisms. However, whilst commendable, </w:t>
      </w:r>
      <w:r w:rsidR="00DB6A71">
        <w:rPr>
          <w:rFonts w:cstheme="minorHAnsi"/>
          <w:color w:val="000000" w:themeColor="text1"/>
          <w:szCs w:val="22"/>
        </w:rPr>
        <w:t>these</w:t>
      </w:r>
      <w:r w:rsidR="00DB6A71" w:rsidRPr="00E14F67">
        <w:rPr>
          <w:rFonts w:cstheme="minorHAnsi"/>
          <w:color w:val="000000" w:themeColor="text1"/>
          <w:szCs w:val="22"/>
        </w:rPr>
        <w:t xml:space="preserve"> </w:t>
      </w:r>
      <w:r w:rsidR="00A3273D" w:rsidRPr="00E14F67">
        <w:rPr>
          <w:rFonts w:cstheme="minorHAnsi"/>
          <w:color w:val="000000" w:themeColor="text1"/>
          <w:szCs w:val="22"/>
        </w:rPr>
        <w:t xml:space="preserve">mechanisms have limited reach, either dealing with these violations on a </w:t>
      </w:r>
      <w:r w:rsidRPr="00E14F67">
        <w:rPr>
          <w:rFonts w:cstheme="minorHAnsi"/>
          <w:color w:val="000000" w:themeColor="text1"/>
          <w:szCs w:val="22"/>
        </w:rPr>
        <w:t>case-by-case</w:t>
      </w:r>
      <w:r w:rsidR="00A3273D" w:rsidRPr="00E14F67">
        <w:rPr>
          <w:rFonts w:cstheme="minorHAnsi"/>
          <w:color w:val="000000" w:themeColor="text1"/>
          <w:szCs w:val="22"/>
        </w:rPr>
        <w:t xml:space="preserve"> basis or </w:t>
      </w:r>
      <w:r w:rsidR="007D0F97">
        <w:rPr>
          <w:rFonts w:cstheme="minorHAnsi"/>
          <w:color w:val="000000" w:themeColor="text1"/>
          <w:szCs w:val="22"/>
        </w:rPr>
        <w:t xml:space="preserve">providing </w:t>
      </w:r>
      <w:r w:rsidR="00A3273D" w:rsidRPr="00E14F67">
        <w:rPr>
          <w:rFonts w:cstheme="minorHAnsi"/>
          <w:color w:val="000000" w:themeColor="text1"/>
          <w:szCs w:val="22"/>
        </w:rPr>
        <w:t>recommendations</w:t>
      </w:r>
      <w:r w:rsidR="007D0F97">
        <w:rPr>
          <w:rFonts w:cstheme="minorHAnsi"/>
          <w:color w:val="000000" w:themeColor="text1"/>
          <w:szCs w:val="22"/>
        </w:rPr>
        <w:t xml:space="preserve"> to the State in question which although valuable</w:t>
      </w:r>
      <w:r w:rsidR="007E44CB">
        <w:rPr>
          <w:rFonts w:cstheme="minorHAnsi"/>
          <w:color w:val="000000" w:themeColor="text1"/>
          <w:szCs w:val="22"/>
        </w:rPr>
        <w:t>,</w:t>
      </w:r>
      <w:r w:rsidR="00A3273D" w:rsidRPr="00E14F67">
        <w:rPr>
          <w:rFonts w:cstheme="minorHAnsi"/>
          <w:color w:val="000000" w:themeColor="text1"/>
          <w:szCs w:val="22"/>
        </w:rPr>
        <w:t xml:space="preserve"> do not provide </w:t>
      </w:r>
      <w:r w:rsidR="000C1CE6" w:rsidRPr="00E14F67">
        <w:rPr>
          <w:rFonts w:cstheme="minorHAnsi"/>
          <w:color w:val="000000" w:themeColor="text1"/>
          <w:szCs w:val="22"/>
        </w:rPr>
        <w:t xml:space="preserve">personal </w:t>
      </w:r>
      <w:r w:rsidR="00A3273D" w:rsidRPr="00E14F67">
        <w:rPr>
          <w:rFonts w:cstheme="minorHAnsi"/>
          <w:color w:val="000000" w:themeColor="text1"/>
          <w:szCs w:val="22"/>
        </w:rPr>
        <w:t xml:space="preserve">remedy for those affected. </w:t>
      </w:r>
    </w:p>
    <w:p w14:paraId="3F960E80" w14:textId="1441DE27" w:rsidR="00A967FE" w:rsidRPr="00E14F67" w:rsidRDefault="00A3273D" w:rsidP="00E14F67">
      <w:pPr>
        <w:tabs>
          <w:tab w:val="left" w:pos="360"/>
          <w:tab w:val="left" w:pos="720"/>
          <w:tab w:val="left" w:pos="1080"/>
          <w:tab w:val="left" w:pos="1440"/>
          <w:tab w:val="left" w:pos="1800"/>
          <w:tab w:val="left" w:pos="2160"/>
          <w:tab w:val="left" w:pos="2880"/>
          <w:tab w:val="left" w:pos="3600"/>
          <w:tab w:val="left" w:pos="4320"/>
        </w:tabs>
        <w:spacing w:line="480" w:lineRule="auto"/>
        <w:jc w:val="both"/>
        <w:rPr>
          <w:rFonts w:cstheme="minorHAnsi"/>
          <w:color w:val="000000" w:themeColor="text1"/>
          <w:szCs w:val="22"/>
        </w:rPr>
      </w:pPr>
      <w:r w:rsidRPr="00E14F67">
        <w:rPr>
          <w:rFonts w:cstheme="minorHAnsi"/>
          <w:color w:val="000000" w:themeColor="text1"/>
          <w:szCs w:val="22"/>
        </w:rPr>
        <w:tab/>
      </w:r>
      <w:r w:rsidRPr="00E14F67">
        <w:rPr>
          <w:rFonts w:cstheme="minorHAnsi"/>
          <w:color w:val="000000" w:themeColor="text1"/>
          <w:szCs w:val="22"/>
        </w:rPr>
        <w:tab/>
      </w:r>
      <w:r w:rsidR="007427D5">
        <w:rPr>
          <w:rFonts w:cstheme="minorHAnsi"/>
          <w:color w:val="000000" w:themeColor="text1"/>
          <w:szCs w:val="22"/>
        </w:rPr>
        <w:t>Consequently, t</w:t>
      </w:r>
      <w:r w:rsidRPr="00E14F67">
        <w:rPr>
          <w:rFonts w:cstheme="minorHAnsi"/>
          <w:color w:val="000000" w:themeColor="text1"/>
          <w:szCs w:val="22"/>
        </w:rPr>
        <w:t xml:space="preserve">his paper explores the added-value of </w:t>
      </w:r>
      <w:r w:rsidR="007D0F97">
        <w:rPr>
          <w:rFonts w:cstheme="minorHAnsi"/>
          <w:color w:val="000000" w:themeColor="text1"/>
          <w:szCs w:val="22"/>
        </w:rPr>
        <w:t>addressing</w:t>
      </w:r>
      <w:r w:rsidR="007D0F97" w:rsidRPr="00E14F67">
        <w:rPr>
          <w:rFonts w:cstheme="minorHAnsi"/>
          <w:color w:val="000000" w:themeColor="text1"/>
          <w:szCs w:val="22"/>
        </w:rPr>
        <w:t xml:space="preserve"> </w:t>
      </w:r>
      <w:r w:rsidR="000C1CE6" w:rsidRPr="00E14F67">
        <w:rPr>
          <w:rFonts w:cstheme="minorHAnsi"/>
          <w:color w:val="000000" w:themeColor="text1"/>
          <w:szCs w:val="22"/>
        </w:rPr>
        <w:t xml:space="preserve">poverty and </w:t>
      </w:r>
      <w:r w:rsidR="00E451A5">
        <w:rPr>
          <w:rFonts w:cstheme="minorHAnsi"/>
          <w:color w:val="000000" w:themeColor="text1"/>
          <w:szCs w:val="22"/>
        </w:rPr>
        <w:t>related</w:t>
      </w:r>
      <w:r w:rsidR="000C1CE6" w:rsidRPr="00E14F67">
        <w:rPr>
          <w:rFonts w:cstheme="minorHAnsi"/>
          <w:color w:val="000000" w:themeColor="text1"/>
          <w:szCs w:val="22"/>
        </w:rPr>
        <w:t xml:space="preserve"> violations of ESCRs </w:t>
      </w:r>
      <w:r w:rsidR="002F7DB4" w:rsidRPr="00E14F67">
        <w:rPr>
          <w:rFonts w:cstheme="minorHAnsi"/>
          <w:color w:val="000000" w:themeColor="text1"/>
          <w:szCs w:val="22"/>
        </w:rPr>
        <w:t xml:space="preserve">using alternative and additional ‘justice’ mechanisms </w:t>
      </w:r>
      <w:r w:rsidR="006A63DC" w:rsidRPr="00E14F67">
        <w:rPr>
          <w:rFonts w:cstheme="minorHAnsi"/>
          <w:color w:val="000000" w:themeColor="text1"/>
          <w:szCs w:val="22"/>
        </w:rPr>
        <w:t xml:space="preserve">drawn from the practice of </w:t>
      </w:r>
      <w:r w:rsidR="002F7DB4" w:rsidRPr="00E14F67">
        <w:rPr>
          <w:rFonts w:cstheme="minorHAnsi"/>
          <w:color w:val="000000" w:themeColor="text1"/>
          <w:szCs w:val="22"/>
        </w:rPr>
        <w:t xml:space="preserve">transitional justice, </w:t>
      </w:r>
      <w:r w:rsidR="006A63DC" w:rsidRPr="00E14F67">
        <w:rPr>
          <w:rFonts w:cstheme="minorHAnsi"/>
          <w:color w:val="000000" w:themeColor="text1"/>
          <w:szCs w:val="22"/>
        </w:rPr>
        <w:t xml:space="preserve">in </w:t>
      </w:r>
      <w:r w:rsidR="002F7DB4" w:rsidRPr="00E14F67">
        <w:rPr>
          <w:rFonts w:cstheme="minorHAnsi"/>
          <w:color w:val="000000" w:themeColor="text1"/>
          <w:szCs w:val="22"/>
        </w:rPr>
        <w:t xml:space="preserve">particular </w:t>
      </w:r>
      <w:r w:rsidR="005352D8">
        <w:rPr>
          <w:rFonts w:cstheme="minorHAnsi"/>
          <w:color w:val="000000" w:themeColor="text1"/>
          <w:szCs w:val="22"/>
        </w:rPr>
        <w:t>T</w:t>
      </w:r>
      <w:r w:rsidR="002F7DB4" w:rsidRPr="00E14F67">
        <w:rPr>
          <w:rFonts w:cstheme="minorHAnsi"/>
          <w:color w:val="000000" w:themeColor="text1"/>
          <w:szCs w:val="22"/>
        </w:rPr>
        <w:t xml:space="preserve">ruth and </w:t>
      </w:r>
      <w:r w:rsidR="005352D8">
        <w:rPr>
          <w:rFonts w:cstheme="minorHAnsi"/>
          <w:color w:val="000000" w:themeColor="text1"/>
          <w:szCs w:val="22"/>
        </w:rPr>
        <w:t>R</w:t>
      </w:r>
      <w:r w:rsidR="002F7DB4" w:rsidRPr="00E14F67">
        <w:rPr>
          <w:rFonts w:cstheme="minorHAnsi"/>
          <w:color w:val="000000" w:themeColor="text1"/>
          <w:szCs w:val="22"/>
        </w:rPr>
        <w:t xml:space="preserve">econciliation </w:t>
      </w:r>
      <w:r w:rsidR="005352D8">
        <w:rPr>
          <w:rFonts w:cstheme="minorHAnsi"/>
          <w:color w:val="000000" w:themeColor="text1"/>
          <w:szCs w:val="22"/>
        </w:rPr>
        <w:t>C</w:t>
      </w:r>
      <w:r w:rsidR="002F7DB4" w:rsidRPr="00E14F67">
        <w:rPr>
          <w:rFonts w:cstheme="minorHAnsi"/>
          <w:color w:val="000000" w:themeColor="text1"/>
          <w:szCs w:val="22"/>
        </w:rPr>
        <w:t>ommissions</w:t>
      </w:r>
      <w:r w:rsidR="005352D8">
        <w:rPr>
          <w:rFonts w:cstheme="minorHAnsi"/>
          <w:color w:val="000000" w:themeColor="text1"/>
          <w:szCs w:val="22"/>
        </w:rPr>
        <w:t xml:space="preserve"> (TRCs)</w:t>
      </w:r>
      <w:r w:rsidR="002F7DB4" w:rsidRPr="00E14F67">
        <w:rPr>
          <w:rFonts w:cstheme="minorHAnsi"/>
          <w:color w:val="000000" w:themeColor="text1"/>
          <w:szCs w:val="22"/>
        </w:rPr>
        <w:t>.</w:t>
      </w:r>
      <w:r w:rsidR="00244F28" w:rsidRPr="00E14F67">
        <w:rPr>
          <w:rFonts w:cstheme="minorHAnsi"/>
          <w:color w:val="000000" w:themeColor="text1"/>
          <w:szCs w:val="22"/>
        </w:rPr>
        <w:t xml:space="preserve"> </w:t>
      </w:r>
      <w:r w:rsidRPr="00E14F67">
        <w:rPr>
          <w:rFonts w:cstheme="minorHAnsi"/>
          <w:color w:val="000000" w:themeColor="text1"/>
          <w:szCs w:val="22"/>
        </w:rPr>
        <w:t xml:space="preserve">Such mechanisms are usually utilised to seek to remedy for </w:t>
      </w:r>
      <w:r w:rsidR="005352D8">
        <w:rPr>
          <w:rFonts w:cstheme="minorHAnsi"/>
          <w:color w:val="000000" w:themeColor="text1"/>
          <w:szCs w:val="22"/>
        </w:rPr>
        <w:t>human rights violations</w:t>
      </w:r>
      <w:r w:rsidRPr="00E14F67">
        <w:rPr>
          <w:rFonts w:cstheme="minorHAnsi"/>
          <w:color w:val="000000" w:themeColor="text1"/>
          <w:szCs w:val="22"/>
        </w:rPr>
        <w:t xml:space="preserve"> in societies emerging from </w:t>
      </w:r>
      <w:r w:rsidR="002522E4">
        <w:rPr>
          <w:rFonts w:cstheme="minorHAnsi"/>
          <w:color w:val="000000" w:themeColor="text1"/>
          <w:szCs w:val="22"/>
        </w:rPr>
        <w:t xml:space="preserve">armed </w:t>
      </w:r>
      <w:r w:rsidRPr="00E14F67">
        <w:rPr>
          <w:rFonts w:cstheme="minorHAnsi"/>
          <w:color w:val="000000" w:themeColor="text1"/>
          <w:szCs w:val="22"/>
        </w:rPr>
        <w:t xml:space="preserve">conflict or repression. </w:t>
      </w:r>
      <w:r w:rsidRPr="00E14F67">
        <w:rPr>
          <w:rFonts w:cstheme="minorHAnsi"/>
          <w:color w:val="000000" w:themeColor="text1"/>
          <w:szCs w:val="22"/>
        </w:rPr>
        <w:lastRenderedPageBreak/>
        <w:t>However</w:t>
      </w:r>
      <w:r w:rsidR="00A6571C">
        <w:rPr>
          <w:rFonts w:cstheme="minorHAnsi"/>
          <w:color w:val="000000" w:themeColor="text1"/>
          <w:szCs w:val="22"/>
        </w:rPr>
        <w:t>,</w:t>
      </w:r>
      <w:r w:rsidR="002522E4">
        <w:rPr>
          <w:rFonts w:cstheme="minorHAnsi"/>
          <w:color w:val="000000" w:themeColor="text1"/>
          <w:szCs w:val="22"/>
        </w:rPr>
        <w:t xml:space="preserve"> </w:t>
      </w:r>
      <w:r w:rsidRPr="00E14F67">
        <w:rPr>
          <w:rFonts w:cstheme="minorHAnsi"/>
          <w:color w:val="000000" w:themeColor="text1"/>
          <w:szCs w:val="22"/>
        </w:rPr>
        <w:t xml:space="preserve">these mechanisms can be appropriated to tackle </w:t>
      </w:r>
      <w:r w:rsidR="000C1CE6" w:rsidRPr="00E14F67">
        <w:rPr>
          <w:rFonts w:cstheme="minorHAnsi"/>
          <w:color w:val="000000" w:themeColor="text1"/>
          <w:szCs w:val="22"/>
        </w:rPr>
        <w:t xml:space="preserve">both direct and </w:t>
      </w:r>
      <w:r w:rsidRPr="00E14F67">
        <w:rPr>
          <w:rFonts w:cstheme="minorHAnsi"/>
          <w:color w:val="000000" w:themeColor="text1"/>
          <w:szCs w:val="22"/>
        </w:rPr>
        <w:t>structural vio</w:t>
      </w:r>
      <w:r w:rsidR="005352D8">
        <w:rPr>
          <w:rFonts w:cstheme="minorHAnsi"/>
          <w:color w:val="000000" w:themeColor="text1"/>
          <w:szCs w:val="22"/>
        </w:rPr>
        <w:t xml:space="preserve">lations of human </w:t>
      </w:r>
      <w:r w:rsidR="00716D6B">
        <w:rPr>
          <w:rFonts w:cstheme="minorHAnsi"/>
          <w:color w:val="000000" w:themeColor="text1"/>
          <w:szCs w:val="22"/>
        </w:rPr>
        <w:t xml:space="preserve">rights </w:t>
      </w:r>
      <w:r w:rsidR="00716D6B" w:rsidRPr="00E14F67">
        <w:rPr>
          <w:rFonts w:cstheme="minorHAnsi"/>
          <w:color w:val="000000" w:themeColor="text1"/>
          <w:szCs w:val="22"/>
        </w:rPr>
        <w:t>outside</w:t>
      </w:r>
      <w:r w:rsidR="002522E4">
        <w:rPr>
          <w:rFonts w:cstheme="minorHAnsi"/>
          <w:color w:val="000000" w:themeColor="text1"/>
          <w:szCs w:val="22"/>
        </w:rPr>
        <w:t xml:space="preserve"> of an armed conflict context</w:t>
      </w:r>
      <w:r w:rsidR="000C1CE6" w:rsidRPr="00E14F67">
        <w:rPr>
          <w:rFonts w:cstheme="minorHAnsi"/>
          <w:color w:val="000000" w:themeColor="text1"/>
          <w:szCs w:val="22"/>
        </w:rPr>
        <w:t xml:space="preserve">. This </w:t>
      </w:r>
      <w:r w:rsidR="008B141E">
        <w:rPr>
          <w:rFonts w:cstheme="minorHAnsi"/>
          <w:color w:val="000000" w:themeColor="text1"/>
          <w:szCs w:val="22"/>
        </w:rPr>
        <w:t xml:space="preserve">paper </w:t>
      </w:r>
      <w:r w:rsidR="00215A20">
        <w:rPr>
          <w:rFonts w:cstheme="minorHAnsi"/>
          <w:color w:val="000000" w:themeColor="text1"/>
          <w:szCs w:val="22"/>
        </w:rPr>
        <w:t>assesses</w:t>
      </w:r>
      <w:r w:rsidR="000C1CE6" w:rsidRPr="00E14F67">
        <w:rPr>
          <w:rFonts w:cstheme="minorHAnsi"/>
          <w:color w:val="000000" w:themeColor="text1"/>
          <w:szCs w:val="22"/>
        </w:rPr>
        <w:t xml:space="preserve"> the effectiveness </w:t>
      </w:r>
      <w:r w:rsidR="007427D5">
        <w:rPr>
          <w:rFonts w:cstheme="minorHAnsi"/>
          <w:color w:val="000000" w:themeColor="text1"/>
          <w:szCs w:val="22"/>
        </w:rPr>
        <w:t xml:space="preserve">of </w:t>
      </w:r>
      <w:r w:rsidR="002D3CE3">
        <w:rPr>
          <w:rFonts w:cstheme="minorHAnsi"/>
          <w:color w:val="000000" w:themeColor="text1"/>
          <w:szCs w:val="22"/>
        </w:rPr>
        <w:t xml:space="preserve">using </w:t>
      </w:r>
      <w:r w:rsidR="00716D6B">
        <w:rPr>
          <w:rFonts w:cstheme="minorHAnsi"/>
          <w:color w:val="000000" w:themeColor="text1"/>
          <w:szCs w:val="22"/>
        </w:rPr>
        <w:t>community-based</w:t>
      </w:r>
      <w:r w:rsidR="007427D5">
        <w:rPr>
          <w:rFonts w:cstheme="minorHAnsi"/>
          <w:color w:val="000000" w:themeColor="text1"/>
          <w:szCs w:val="22"/>
        </w:rPr>
        <w:t xml:space="preserve"> truth and </w:t>
      </w:r>
      <w:r w:rsidR="00716D6B">
        <w:rPr>
          <w:rFonts w:cstheme="minorHAnsi"/>
          <w:color w:val="000000" w:themeColor="text1"/>
          <w:szCs w:val="22"/>
        </w:rPr>
        <w:t>reconciliation</w:t>
      </w:r>
      <w:r w:rsidR="007427D5">
        <w:rPr>
          <w:rFonts w:cstheme="minorHAnsi"/>
          <w:color w:val="000000" w:themeColor="text1"/>
          <w:szCs w:val="22"/>
        </w:rPr>
        <w:t xml:space="preserve"> commissions (CBTRCs) in realising justice</w:t>
      </w:r>
      <w:r w:rsidR="000C1CE6" w:rsidRPr="00E14F67">
        <w:rPr>
          <w:rFonts w:cstheme="minorHAnsi"/>
          <w:color w:val="000000" w:themeColor="text1"/>
          <w:szCs w:val="22"/>
        </w:rPr>
        <w:t xml:space="preserve"> for addressing poverty and </w:t>
      </w:r>
      <w:r w:rsidR="008477C2">
        <w:rPr>
          <w:rFonts w:cstheme="minorHAnsi"/>
          <w:color w:val="000000" w:themeColor="text1"/>
          <w:szCs w:val="22"/>
        </w:rPr>
        <w:t>poverty-</w:t>
      </w:r>
      <w:r w:rsidR="000C1CE6" w:rsidRPr="00E14F67">
        <w:rPr>
          <w:rFonts w:cstheme="minorHAnsi"/>
          <w:color w:val="000000" w:themeColor="text1"/>
          <w:szCs w:val="22"/>
        </w:rPr>
        <w:t>related human rights violations</w:t>
      </w:r>
      <w:r w:rsidR="002D3CE3">
        <w:rPr>
          <w:rFonts w:cstheme="minorHAnsi"/>
          <w:color w:val="000000" w:themeColor="text1"/>
          <w:szCs w:val="22"/>
        </w:rPr>
        <w:t>,</w:t>
      </w:r>
      <w:r w:rsidR="000C1CE6" w:rsidRPr="00E14F67">
        <w:rPr>
          <w:rFonts w:cstheme="minorHAnsi"/>
          <w:color w:val="000000" w:themeColor="text1"/>
          <w:szCs w:val="22"/>
        </w:rPr>
        <w:t xml:space="preserve"> </w:t>
      </w:r>
      <w:r w:rsidR="000F3B30" w:rsidRPr="00E07DAA">
        <w:rPr>
          <w:rFonts w:cstheme="minorHAnsi"/>
          <w:color w:val="000000" w:themeColor="text1"/>
          <w:szCs w:val="22"/>
        </w:rPr>
        <w:t>through</w:t>
      </w:r>
      <w:r w:rsidR="002522E4" w:rsidRPr="00E07DAA">
        <w:rPr>
          <w:rFonts w:cstheme="minorHAnsi"/>
          <w:color w:val="000000" w:themeColor="text1"/>
          <w:szCs w:val="22"/>
        </w:rPr>
        <w:t xml:space="preserve"> </w:t>
      </w:r>
      <w:r w:rsidR="008477C2" w:rsidRPr="00E07DAA">
        <w:rPr>
          <w:rFonts w:cstheme="minorHAnsi"/>
          <w:color w:val="000000" w:themeColor="text1"/>
          <w:szCs w:val="22"/>
        </w:rPr>
        <w:t>analy</w:t>
      </w:r>
      <w:r w:rsidR="002522E4" w:rsidRPr="00E07DAA">
        <w:rPr>
          <w:rFonts w:cstheme="minorHAnsi"/>
          <w:color w:val="000000" w:themeColor="text1"/>
          <w:szCs w:val="22"/>
        </w:rPr>
        <w:t>sis of</w:t>
      </w:r>
      <w:r w:rsidR="000F3B30" w:rsidRPr="00E07DAA">
        <w:rPr>
          <w:rFonts w:cstheme="minorHAnsi"/>
          <w:color w:val="000000" w:themeColor="text1"/>
          <w:szCs w:val="22"/>
        </w:rPr>
        <w:t xml:space="preserve"> the UK Poverty Truth Commissions</w:t>
      </w:r>
      <w:r w:rsidR="007427D5" w:rsidRPr="00C9569B">
        <w:rPr>
          <w:rFonts w:cstheme="minorHAnsi"/>
          <w:color w:val="000000" w:themeColor="text1"/>
          <w:szCs w:val="22"/>
        </w:rPr>
        <w:t xml:space="preserve"> (PTCs).</w:t>
      </w:r>
    </w:p>
    <w:p w14:paraId="443F1276" w14:textId="7047DC7F" w:rsidR="002D3CE3" w:rsidRDefault="00A3273D" w:rsidP="00E14F67">
      <w:pPr>
        <w:tabs>
          <w:tab w:val="left" w:pos="360"/>
          <w:tab w:val="left" w:pos="720"/>
          <w:tab w:val="left" w:pos="1080"/>
          <w:tab w:val="left" w:pos="1440"/>
          <w:tab w:val="left" w:pos="1800"/>
          <w:tab w:val="left" w:pos="2160"/>
          <w:tab w:val="left" w:pos="2880"/>
          <w:tab w:val="left" w:pos="3600"/>
          <w:tab w:val="left" w:pos="4320"/>
        </w:tabs>
        <w:spacing w:line="480" w:lineRule="auto"/>
        <w:jc w:val="both"/>
        <w:rPr>
          <w:rFonts w:cstheme="minorHAnsi"/>
          <w:color w:val="000000" w:themeColor="text1"/>
          <w:szCs w:val="22"/>
        </w:rPr>
      </w:pPr>
      <w:r w:rsidRPr="00E14F67">
        <w:rPr>
          <w:rFonts w:cstheme="minorHAnsi"/>
          <w:color w:val="000000" w:themeColor="text1"/>
          <w:szCs w:val="22"/>
        </w:rPr>
        <w:tab/>
      </w:r>
      <w:r w:rsidRPr="00E14F67">
        <w:rPr>
          <w:rFonts w:cstheme="minorHAnsi"/>
          <w:color w:val="000000" w:themeColor="text1"/>
          <w:szCs w:val="22"/>
        </w:rPr>
        <w:tab/>
      </w:r>
      <w:r w:rsidRPr="00524A81">
        <w:rPr>
          <w:rFonts w:cstheme="minorHAnsi"/>
          <w:color w:val="000000" w:themeColor="text1"/>
          <w:szCs w:val="22"/>
        </w:rPr>
        <w:t xml:space="preserve">The paper begins by </w:t>
      </w:r>
      <w:r w:rsidR="002D50F9" w:rsidRPr="00524A81">
        <w:rPr>
          <w:rFonts w:cstheme="minorHAnsi"/>
          <w:color w:val="000000" w:themeColor="text1"/>
          <w:szCs w:val="22"/>
        </w:rPr>
        <w:t>defining</w:t>
      </w:r>
      <w:r w:rsidR="002D50F9" w:rsidRPr="00C9569B">
        <w:rPr>
          <w:rFonts w:cstheme="minorHAnsi"/>
          <w:color w:val="000000" w:themeColor="text1"/>
          <w:szCs w:val="22"/>
        </w:rPr>
        <w:t xml:space="preserve"> poverty</w:t>
      </w:r>
      <w:r w:rsidR="00BC590A" w:rsidRPr="00524A81">
        <w:rPr>
          <w:rFonts w:cstheme="minorHAnsi"/>
          <w:color w:val="000000" w:themeColor="text1"/>
          <w:szCs w:val="22"/>
        </w:rPr>
        <w:t xml:space="preserve"> as a human rights issue </w:t>
      </w:r>
      <w:r w:rsidRPr="00524A81">
        <w:rPr>
          <w:rFonts w:cstheme="minorHAnsi"/>
          <w:color w:val="000000" w:themeColor="text1"/>
          <w:szCs w:val="22"/>
        </w:rPr>
        <w:t>and provid</w:t>
      </w:r>
      <w:r w:rsidR="005352D8" w:rsidRPr="00C9569B">
        <w:rPr>
          <w:rFonts w:cstheme="minorHAnsi"/>
          <w:color w:val="000000" w:themeColor="text1"/>
          <w:szCs w:val="22"/>
        </w:rPr>
        <w:t>es</w:t>
      </w:r>
      <w:r w:rsidRPr="00524A81">
        <w:rPr>
          <w:rFonts w:cstheme="minorHAnsi"/>
          <w:color w:val="000000" w:themeColor="text1"/>
          <w:szCs w:val="22"/>
        </w:rPr>
        <w:t xml:space="preserve"> an overview of the negative impacts </w:t>
      </w:r>
      <w:r w:rsidR="00BC590A" w:rsidRPr="00524A81">
        <w:rPr>
          <w:rFonts w:cstheme="minorHAnsi"/>
          <w:color w:val="000000" w:themeColor="text1"/>
          <w:szCs w:val="22"/>
        </w:rPr>
        <w:t xml:space="preserve">existing poverty, compounded by </w:t>
      </w:r>
      <w:r w:rsidRPr="00524A81">
        <w:rPr>
          <w:rFonts w:cstheme="minorHAnsi"/>
          <w:color w:val="000000" w:themeColor="text1"/>
          <w:szCs w:val="22"/>
        </w:rPr>
        <w:t xml:space="preserve">austerity </w:t>
      </w:r>
      <w:r w:rsidR="000F3B30" w:rsidRPr="00524A81">
        <w:rPr>
          <w:rFonts w:cstheme="minorHAnsi"/>
          <w:color w:val="000000" w:themeColor="text1"/>
          <w:szCs w:val="22"/>
        </w:rPr>
        <w:t>policies</w:t>
      </w:r>
      <w:r w:rsidR="00A533BB" w:rsidRPr="00524A81">
        <w:rPr>
          <w:rFonts w:cstheme="minorHAnsi"/>
          <w:color w:val="000000" w:themeColor="text1"/>
          <w:szCs w:val="22"/>
        </w:rPr>
        <w:t>,</w:t>
      </w:r>
      <w:r w:rsidR="000F3B30" w:rsidRPr="00524A81">
        <w:rPr>
          <w:rFonts w:cstheme="minorHAnsi"/>
          <w:color w:val="000000" w:themeColor="text1"/>
          <w:szCs w:val="22"/>
        </w:rPr>
        <w:t xml:space="preserve"> </w:t>
      </w:r>
      <w:r w:rsidRPr="00524A81">
        <w:rPr>
          <w:rFonts w:cstheme="minorHAnsi"/>
          <w:color w:val="000000" w:themeColor="text1"/>
          <w:szCs w:val="22"/>
        </w:rPr>
        <w:t>ha</w:t>
      </w:r>
      <w:r w:rsidR="005352D8" w:rsidRPr="00C9569B">
        <w:rPr>
          <w:rFonts w:cstheme="minorHAnsi"/>
          <w:color w:val="000000" w:themeColor="text1"/>
          <w:szCs w:val="22"/>
        </w:rPr>
        <w:t>s</w:t>
      </w:r>
      <w:r w:rsidRPr="00524A81">
        <w:rPr>
          <w:rFonts w:cstheme="minorHAnsi"/>
          <w:color w:val="000000" w:themeColor="text1"/>
          <w:szCs w:val="22"/>
        </w:rPr>
        <w:t xml:space="preserve"> had upon the enjoyment of ESCRs throughout the UK</w:t>
      </w:r>
      <w:r w:rsidR="00BC590A" w:rsidRPr="00524A81">
        <w:rPr>
          <w:rFonts w:cstheme="minorHAnsi"/>
          <w:color w:val="000000" w:themeColor="text1"/>
          <w:szCs w:val="22"/>
        </w:rPr>
        <w:t>.</w:t>
      </w:r>
      <w:r w:rsidRPr="00524A81">
        <w:rPr>
          <w:rFonts w:cstheme="minorHAnsi"/>
          <w:color w:val="000000" w:themeColor="text1"/>
          <w:szCs w:val="22"/>
        </w:rPr>
        <w:t xml:space="preserve"> </w:t>
      </w:r>
      <w:r w:rsidR="00A4464A">
        <w:rPr>
          <w:rFonts w:cstheme="minorHAnsi"/>
          <w:color w:val="000000" w:themeColor="text1"/>
          <w:szCs w:val="22"/>
        </w:rPr>
        <w:tab/>
      </w:r>
      <w:r w:rsidR="00A4464A">
        <w:rPr>
          <w:rFonts w:cstheme="minorHAnsi"/>
          <w:color w:val="000000" w:themeColor="text1"/>
          <w:szCs w:val="22"/>
        </w:rPr>
        <w:tab/>
      </w:r>
      <w:r w:rsidR="005352D8" w:rsidRPr="00C9569B">
        <w:rPr>
          <w:rFonts w:cstheme="minorHAnsi"/>
          <w:color w:val="000000" w:themeColor="text1"/>
          <w:szCs w:val="22"/>
        </w:rPr>
        <w:t>Secondly</w:t>
      </w:r>
      <w:r w:rsidR="001F0FA5" w:rsidRPr="00524A81">
        <w:rPr>
          <w:rFonts w:cstheme="minorHAnsi"/>
          <w:color w:val="000000" w:themeColor="text1"/>
          <w:szCs w:val="22"/>
        </w:rPr>
        <w:t xml:space="preserve">, </w:t>
      </w:r>
      <w:r w:rsidR="00BC590A" w:rsidRPr="00524A81">
        <w:rPr>
          <w:rFonts w:cstheme="minorHAnsi"/>
          <w:color w:val="000000" w:themeColor="text1"/>
          <w:szCs w:val="22"/>
        </w:rPr>
        <w:t>current mechanisms for realising justice for poverty</w:t>
      </w:r>
      <w:r w:rsidR="00E451A5">
        <w:rPr>
          <w:rFonts w:cstheme="minorHAnsi"/>
          <w:color w:val="000000" w:themeColor="text1"/>
          <w:szCs w:val="22"/>
        </w:rPr>
        <w:t xml:space="preserve">-related </w:t>
      </w:r>
      <w:r w:rsidR="00BC590A" w:rsidRPr="00524A81">
        <w:rPr>
          <w:rFonts w:cstheme="minorHAnsi"/>
          <w:color w:val="000000" w:themeColor="text1"/>
          <w:szCs w:val="22"/>
        </w:rPr>
        <w:t>ESCR</w:t>
      </w:r>
      <w:r w:rsidR="007427D5">
        <w:rPr>
          <w:rFonts w:cstheme="minorHAnsi"/>
          <w:color w:val="000000" w:themeColor="text1"/>
          <w:szCs w:val="22"/>
        </w:rPr>
        <w:t>s violations</w:t>
      </w:r>
      <w:r w:rsidR="00BC590A" w:rsidRPr="00524A81">
        <w:rPr>
          <w:rFonts w:cstheme="minorHAnsi"/>
          <w:color w:val="000000" w:themeColor="text1"/>
          <w:szCs w:val="22"/>
        </w:rPr>
        <w:t xml:space="preserve"> are examined, focussing on how</w:t>
      </w:r>
      <w:r w:rsidR="00AC1E0C" w:rsidRPr="00C9569B">
        <w:rPr>
          <w:rFonts w:cstheme="minorHAnsi"/>
          <w:color w:val="000000" w:themeColor="text1"/>
          <w:szCs w:val="22"/>
        </w:rPr>
        <w:t xml:space="preserve"> international</w:t>
      </w:r>
      <w:r w:rsidR="00BC590A" w:rsidRPr="00524A81">
        <w:rPr>
          <w:rFonts w:cstheme="minorHAnsi"/>
          <w:color w:val="000000" w:themeColor="text1"/>
          <w:szCs w:val="22"/>
        </w:rPr>
        <w:t xml:space="preserve"> human rights law has dealt with these violations to date. </w:t>
      </w:r>
      <w:r w:rsidR="000F3B30" w:rsidRPr="00524A81">
        <w:rPr>
          <w:rFonts w:cstheme="minorHAnsi"/>
          <w:color w:val="000000" w:themeColor="text1"/>
          <w:szCs w:val="22"/>
        </w:rPr>
        <w:t xml:space="preserve"> </w:t>
      </w:r>
      <w:r w:rsidR="00BC590A" w:rsidRPr="00524A81">
        <w:rPr>
          <w:rFonts w:cstheme="minorHAnsi"/>
          <w:color w:val="000000" w:themeColor="text1"/>
          <w:szCs w:val="22"/>
        </w:rPr>
        <w:t xml:space="preserve">Noting the limitations of such an approach, </w:t>
      </w:r>
      <w:r w:rsidRPr="00524A81">
        <w:rPr>
          <w:rFonts w:cstheme="minorHAnsi"/>
          <w:color w:val="000000" w:themeColor="text1"/>
          <w:szCs w:val="22"/>
        </w:rPr>
        <w:t xml:space="preserve">the paper </w:t>
      </w:r>
      <w:r w:rsidR="00577D55" w:rsidRPr="00524A81">
        <w:rPr>
          <w:rFonts w:cstheme="minorHAnsi"/>
          <w:color w:val="000000" w:themeColor="text1"/>
          <w:szCs w:val="22"/>
        </w:rPr>
        <w:t>sub</w:t>
      </w:r>
      <w:r w:rsidRPr="00524A81">
        <w:rPr>
          <w:rFonts w:cstheme="minorHAnsi"/>
          <w:color w:val="000000" w:themeColor="text1"/>
          <w:szCs w:val="22"/>
        </w:rPr>
        <w:t xml:space="preserve">sequently explores </w:t>
      </w:r>
      <w:r w:rsidR="00F82A7D" w:rsidRPr="00C9569B">
        <w:rPr>
          <w:rFonts w:cstheme="minorHAnsi"/>
          <w:color w:val="000000" w:themeColor="text1"/>
          <w:szCs w:val="22"/>
        </w:rPr>
        <w:t xml:space="preserve">alternative and </w:t>
      </w:r>
      <w:r w:rsidR="00577D55" w:rsidRPr="00524A81">
        <w:rPr>
          <w:rFonts w:cstheme="minorHAnsi"/>
          <w:color w:val="000000" w:themeColor="text1"/>
          <w:szCs w:val="22"/>
        </w:rPr>
        <w:t>broader ideas of justice</w:t>
      </w:r>
      <w:r w:rsidR="005352D8" w:rsidRPr="00C9569B">
        <w:rPr>
          <w:rFonts w:cstheme="minorHAnsi"/>
          <w:color w:val="000000" w:themeColor="text1"/>
          <w:szCs w:val="22"/>
        </w:rPr>
        <w:t xml:space="preserve">, </w:t>
      </w:r>
      <w:r w:rsidR="00F82A7D" w:rsidRPr="00C9569B">
        <w:rPr>
          <w:rFonts w:cstheme="minorHAnsi"/>
          <w:color w:val="000000" w:themeColor="text1"/>
          <w:szCs w:val="22"/>
        </w:rPr>
        <w:t>focussing on</w:t>
      </w:r>
      <w:r w:rsidR="00577D55" w:rsidRPr="00524A81">
        <w:rPr>
          <w:rFonts w:cstheme="minorHAnsi"/>
          <w:color w:val="000000" w:themeColor="text1"/>
          <w:szCs w:val="22"/>
        </w:rPr>
        <w:t xml:space="preserve"> </w:t>
      </w:r>
      <w:r w:rsidRPr="00524A81">
        <w:rPr>
          <w:rFonts w:cstheme="minorHAnsi"/>
          <w:color w:val="000000" w:themeColor="text1"/>
          <w:szCs w:val="22"/>
        </w:rPr>
        <w:t xml:space="preserve">the </w:t>
      </w:r>
      <w:r w:rsidR="00AC1E0C" w:rsidRPr="00C9569B">
        <w:rPr>
          <w:rFonts w:cstheme="minorHAnsi"/>
          <w:color w:val="000000" w:themeColor="text1"/>
          <w:szCs w:val="22"/>
        </w:rPr>
        <w:t xml:space="preserve">adaption </w:t>
      </w:r>
      <w:r w:rsidR="002D50F9" w:rsidRPr="00C9569B">
        <w:rPr>
          <w:rFonts w:cstheme="minorHAnsi"/>
          <w:color w:val="000000" w:themeColor="text1"/>
          <w:szCs w:val="22"/>
        </w:rPr>
        <w:t xml:space="preserve">of </w:t>
      </w:r>
      <w:r w:rsidR="002D50F9" w:rsidRPr="00524A81">
        <w:rPr>
          <w:rFonts w:cstheme="minorHAnsi"/>
          <w:color w:val="000000" w:themeColor="text1"/>
          <w:szCs w:val="22"/>
        </w:rPr>
        <w:t>truth</w:t>
      </w:r>
      <w:r w:rsidRPr="00524A81">
        <w:rPr>
          <w:rFonts w:cstheme="minorHAnsi"/>
          <w:color w:val="000000" w:themeColor="text1"/>
          <w:szCs w:val="22"/>
        </w:rPr>
        <w:t xml:space="preserve"> and reconciliation commissions, to </w:t>
      </w:r>
      <w:r w:rsidR="004E1B52" w:rsidRPr="00524A81">
        <w:rPr>
          <w:rFonts w:cstheme="minorHAnsi"/>
          <w:color w:val="000000" w:themeColor="text1"/>
          <w:szCs w:val="22"/>
        </w:rPr>
        <w:t>address</w:t>
      </w:r>
      <w:r w:rsidR="00AC1E0C" w:rsidRPr="00C9569B">
        <w:rPr>
          <w:rFonts w:cstheme="minorHAnsi"/>
          <w:color w:val="000000" w:themeColor="text1"/>
          <w:szCs w:val="22"/>
        </w:rPr>
        <w:t xml:space="preserve"> </w:t>
      </w:r>
      <w:r w:rsidR="00F82A7D" w:rsidRPr="00C9569B">
        <w:rPr>
          <w:rFonts w:cstheme="minorHAnsi"/>
          <w:color w:val="000000" w:themeColor="text1"/>
          <w:szCs w:val="22"/>
        </w:rPr>
        <w:t>human rights violations</w:t>
      </w:r>
      <w:r w:rsidR="00AC1E0C" w:rsidRPr="00C9569B">
        <w:rPr>
          <w:rFonts w:cstheme="minorHAnsi"/>
          <w:color w:val="000000" w:themeColor="text1"/>
          <w:szCs w:val="22"/>
        </w:rPr>
        <w:t xml:space="preserve"> </w:t>
      </w:r>
      <w:r w:rsidR="002979D9" w:rsidRPr="00C9569B">
        <w:rPr>
          <w:rFonts w:cstheme="minorHAnsi"/>
          <w:color w:val="000000" w:themeColor="text1"/>
          <w:szCs w:val="22"/>
        </w:rPr>
        <w:t xml:space="preserve">at a community level. </w:t>
      </w:r>
      <w:r w:rsidR="0065344C">
        <w:rPr>
          <w:rFonts w:cstheme="minorHAnsi"/>
          <w:color w:val="000000" w:themeColor="text1"/>
          <w:szCs w:val="22"/>
        </w:rPr>
        <w:t xml:space="preserve"> </w:t>
      </w:r>
    </w:p>
    <w:p w14:paraId="29CE77FE" w14:textId="0360C72E" w:rsidR="002D3CE3" w:rsidRDefault="00A1484E" w:rsidP="00C9569B">
      <w:pPr>
        <w:spacing w:line="480" w:lineRule="auto"/>
        <w:ind w:firstLine="720"/>
        <w:jc w:val="both"/>
        <w:rPr>
          <w:rFonts w:cstheme="minorHAnsi"/>
          <w:color w:val="000000" w:themeColor="text1"/>
          <w:szCs w:val="22"/>
        </w:rPr>
      </w:pPr>
      <w:r>
        <w:rPr>
          <w:rFonts w:cstheme="minorHAnsi"/>
          <w:szCs w:val="22"/>
        </w:rPr>
        <w:t>It</w:t>
      </w:r>
      <w:r w:rsidR="002D3CE3">
        <w:rPr>
          <w:rFonts w:cstheme="minorHAnsi"/>
          <w:szCs w:val="22"/>
        </w:rPr>
        <w:t xml:space="preserve"> should be noted </w:t>
      </w:r>
      <w:r>
        <w:rPr>
          <w:rFonts w:cstheme="minorHAnsi"/>
          <w:szCs w:val="22"/>
        </w:rPr>
        <w:t>here that</w:t>
      </w:r>
      <w:r w:rsidR="002D3CE3">
        <w:rPr>
          <w:rFonts w:cstheme="minorHAnsi"/>
          <w:szCs w:val="22"/>
        </w:rPr>
        <w:t xml:space="preserve"> </w:t>
      </w:r>
      <w:r>
        <w:rPr>
          <w:rFonts w:cstheme="minorHAnsi"/>
          <w:szCs w:val="22"/>
        </w:rPr>
        <w:t>t</w:t>
      </w:r>
      <w:r w:rsidRPr="00E14F67">
        <w:rPr>
          <w:rFonts w:cstheme="minorHAnsi"/>
          <w:szCs w:val="22"/>
        </w:rPr>
        <w:t xml:space="preserve">he debate around the suitability and indeed desirability of transitional justice mechanisms for dealing with </w:t>
      </w:r>
      <w:r>
        <w:rPr>
          <w:rFonts w:cstheme="minorHAnsi"/>
          <w:szCs w:val="22"/>
        </w:rPr>
        <w:t>ESCRs</w:t>
      </w:r>
      <w:r w:rsidRPr="00E14F67">
        <w:rPr>
          <w:rFonts w:cstheme="minorHAnsi"/>
          <w:szCs w:val="22"/>
        </w:rPr>
        <w:t xml:space="preserve"> violations is well documented (Cahill-Ripley </w:t>
      </w:r>
      <w:r w:rsidRPr="005E400C">
        <w:rPr>
          <w:rFonts w:cstheme="minorHAnsi"/>
          <w:szCs w:val="22"/>
        </w:rPr>
        <w:t xml:space="preserve">2014; Waldorf 2012). </w:t>
      </w:r>
      <w:r>
        <w:rPr>
          <w:rFonts w:cstheme="minorHAnsi"/>
          <w:szCs w:val="22"/>
        </w:rPr>
        <w:t xml:space="preserve">Given </w:t>
      </w:r>
      <w:r w:rsidRPr="00E14F67">
        <w:rPr>
          <w:rFonts w:cstheme="minorHAnsi"/>
          <w:szCs w:val="22"/>
        </w:rPr>
        <w:t xml:space="preserve">limitations of space and indeed focus, for the purposes of this </w:t>
      </w:r>
      <w:r>
        <w:rPr>
          <w:rFonts w:cstheme="minorHAnsi"/>
          <w:szCs w:val="22"/>
        </w:rPr>
        <w:t>paper,</w:t>
      </w:r>
      <w:r w:rsidRPr="00E14F67">
        <w:rPr>
          <w:rFonts w:cstheme="minorHAnsi"/>
          <w:szCs w:val="22"/>
        </w:rPr>
        <w:t xml:space="preserve"> </w:t>
      </w:r>
      <w:r w:rsidR="002D3CE3">
        <w:rPr>
          <w:rFonts w:cstheme="minorHAnsi"/>
          <w:szCs w:val="22"/>
        </w:rPr>
        <w:t>in discussing the role of TRCs</w:t>
      </w:r>
      <w:r w:rsidR="002D3CE3" w:rsidRPr="00E14F67">
        <w:rPr>
          <w:rFonts w:cstheme="minorHAnsi"/>
          <w:szCs w:val="22"/>
        </w:rPr>
        <w:t xml:space="preserve"> </w:t>
      </w:r>
      <w:r w:rsidRPr="00E14F67">
        <w:rPr>
          <w:rFonts w:cstheme="minorHAnsi"/>
          <w:szCs w:val="22"/>
        </w:rPr>
        <w:t>it is taken as both necessary and appropriate for TRCs to address such violations where relevant (Cahill-Ripley 2014).</w:t>
      </w:r>
    </w:p>
    <w:p w14:paraId="0FCFCB3D" w14:textId="430C92EC" w:rsidR="00A1484E" w:rsidRPr="00E14F67" w:rsidRDefault="004E1B52" w:rsidP="00A1484E">
      <w:pPr>
        <w:spacing w:line="480" w:lineRule="auto"/>
        <w:ind w:firstLine="720"/>
        <w:jc w:val="both"/>
        <w:rPr>
          <w:rFonts w:cstheme="minorHAnsi"/>
          <w:szCs w:val="22"/>
        </w:rPr>
      </w:pPr>
      <w:r w:rsidRPr="00C9569B">
        <w:rPr>
          <w:rFonts w:cstheme="minorHAnsi"/>
          <w:color w:val="000000" w:themeColor="text1"/>
          <w:szCs w:val="22"/>
        </w:rPr>
        <w:t xml:space="preserve">The paper then </w:t>
      </w:r>
      <w:r w:rsidR="002979D9" w:rsidRPr="00C9569B">
        <w:rPr>
          <w:rFonts w:cstheme="minorHAnsi"/>
          <w:color w:val="000000" w:themeColor="text1"/>
          <w:szCs w:val="22"/>
        </w:rPr>
        <w:t>examine</w:t>
      </w:r>
      <w:r w:rsidRPr="00C9569B">
        <w:rPr>
          <w:rFonts w:cstheme="minorHAnsi"/>
          <w:color w:val="000000" w:themeColor="text1"/>
          <w:szCs w:val="22"/>
        </w:rPr>
        <w:t>s</w:t>
      </w:r>
      <w:r w:rsidR="002979D9" w:rsidRPr="00C9569B">
        <w:rPr>
          <w:rFonts w:cstheme="minorHAnsi"/>
          <w:color w:val="000000" w:themeColor="text1"/>
          <w:szCs w:val="22"/>
        </w:rPr>
        <w:t xml:space="preserve"> in detail the experience and practice to date of the UK Poverty Truth </w:t>
      </w:r>
      <w:r w:rsidR="002D50F9" w:rsidRPr="00C9569B">
        <w:rPr>
          <w:rFonts w:cstheme="minorHAnsi"/>
          <w:color w:val="000000" w:themeColor="text1"/>
          <w:szCs w:val="22"/>
        </w:rPr>
        <w:t>Commissions as</w:t>
      </w:r>
      <w:r w:rsidR="002979D9" w:rsidRPr="00C9569B">
        <w:rPr>
          <w:rFonts w:cstheme="minorHAnsi"/>
          <w:color w:val="000000" w:themeColor="text1"/>
          <w:szCs w:val="22"/>
        </w:rPr>
        <w:t xml:space="preserve"> an example of a </w:t>
      </w:r>
      <w:r w:rsidR="002D50F9" w:rsidRPr="00C9569B">
        <w:rPr>
          <w:rFonts w:cstheme="minorHAnsi"/>
          <w:color w:val="000000" w:themeColor="text1"/>
          <w:szCs w:val="22"/>
        </w:rPr>
        <w:t>CBTRC and</w:t>
      </w:r>
      <w:r w:rsidR="002979D9" w:rsidRPr="00C9569B">
        <w:rPr>
          <w:rFonts w:cstheme="minorHAnsi"/>
          <w:color w:val="000000" w:themeColor="text1"/>
          <w:szCs w:val="22"/>
        </w:rPr>
        <w:t xml:space="preserve"> explores the transformative potential of utilising such local level</w:t>
      </w:r>
      <w:r w:rsidR="00493A4F" w:rsidRPr="00C9569B">
        <w:rPr>
          <w:rFonts w:cstheme="minorHAnsi"/>
          <w:color w:val="000000" w:themeColor="text1"/>
          <w:szCs w:val="22"/>
        </w:rPr>
        <w:t>,</w:t>
      </w:r>
      <w:r w:rsidR="002979D9" w:rsidRPr="00C9569B">
        <w:rPr>
          <w:rFonts w:cstheme="minorHAnsi"/>
          <w:color w:val="000000" w:themeColor="text1"/>
          <w:szCs w:val="22"/>
        </w:rPr>
        <w:t xml:space="preserve"> non-state initiatives for </w:t>
      </w:r>
      <w:r w:rsidR="002979D9" w:rsidRPr="00C9569B">
        <w:rPr>
          <w:rFonts w:cstheme="minorHAnsi"/>
          <w:color w:val="000000" w:themeColor="text1"/>
          <w:szCs w:val="22"/>
        </w:rPr>
        <w:lastRenderedPageBreak/>
        <w:t>addressing poverty and the corresponding violations of economic and social rights in the UK.</w:t>
      </w:r>
      <w:r w:rsidR="002979D9" w:rsidRPr="00C9569B" w:rsidDel="003A664B">
        <w:rPr>
          <w:rStyle w:val="CommentReference"/>
          <w:rFonts w:eastAsia="TimesNewRomanPSMT" w:cstheme="minorHAnsi"/>
          <w:color w:val="000000" w:themeColor="text1"/>
          <w:sz w:val="22"/>
          <w:szCs w:val="22"/>
        </w:rPr>
        <w:t xml:space="preserve"> </w:t>
      </w:r>
      <w:r w:rsidR="00A1484E">
        <w:rPr>
          <w:rFonts w:cstheme="minorHAnsi"/>
          <w:szCs w:val="22"/>
        </w:rPr>
        <w:t xml:space="preserve">In evaluating whether the PTCs are effective in realising justice for poverty </w:t>
      </w:r>
      <w:r w:rsidR="002D50F9">
        <w:rPr>
          <w:rFonts w:cstheme="minorHAnsi"/>
          <w:szCs w:val="22"/>
        </w:rPr>
        <w:t>and related</w:t>
      </w:r>
      <w:r w:rsidR="00A1484E">
        <w:rPr>
          <w:rFonts w:cstheme="minorHAnsi"/>
          <w:szCs w:val="22"/>
        </w:rPr>
        <w:t xml:space="preserve"> violations of human rights,</w:t>
      </w:r>
      <w:r w:rsidR="00A1484E" w:rsidRPr="00E14F67">
        <w:rPr>
          <w:rFonts w:cstheme="minorHAnsi"/>
          <w:szCs w:val="22"/>
        </w:rPr>
        <w:t xml:space="preserve"> Lederach’s tripartite model of justice (2001) </w:t>
      </w:r>
      <w:r w:rsidR="00A1484E">
        <w:rPr>
          <w:rFonts w:cstheme="minorHAnsi"/>
          <w:szCs w:val="22"/>
        </w:rPr>
        <w:t>Is utilised</w:t>
      </w:r>
      <w:r w:rsidR="00A1484E" w:rsidRPr="00E14F67">
        <w:rPr>
          <w:rFonts w:cstheme="minorHAnsi"/>
          <w:szCs w:val="22"/>
        </w:rPr>
        <w:t xml:space="preserve">. Thus, </w:t>
      </w:r>
      <w:r w:rsidR="00A1484E">
        <w:rPr>
          <w:rFonts w:cstheme="minorHAnsi"/>
          <w:szCs w:val="22"/>
        </w:rPr>
        <w:t>the</w:t>
      </w:r>
      <w:r w:rsidR="00A1484E" w:rsidRPr="00E14F67">
        <w:rPr>
          <w:rFonts w:cstheme="minorHAnsi"/>
          <w:szCs w:val="22"/>
        </w:rPr>
        <w:t xml:space="preserve"> conception of ‘justice’ </w:t>
      </w:r>
      <w:r w:rsidR="00A1484E">
        <w:rPr>
          <w:rFonts w:cstheme="minorHAnsi"/>
          <w:szCs w:val="22"/>
        </w:rPr>
        <w:t xml:space="preserve">used </w:t>
      </w:r>
      <w:r w:rsidR="00A1484E" w:rsidRPr="00E14F67">
        <w:rPr>
          <w:rFonts w:cstheme="minorHAnsi"/>
          <w:szCs w:val="22"/>
        </w:rPr>
        <w:t xml:space="preserve">refers to a wide conception of justice including and focussed upon social justice rather than limited to criminal justice. </w:t>
      </w:r>
    </w:p>
    <w:p w14:paraId="6B16E6B6" w14:textId="14B729BC" w:rsidR="00493A4F" w:rsidRPr="00C9569B" w:rsidRDefault="000125BA" w:rsidP="00E14F67">
      <w:pPr>
        <w:tabs>
          <w:tab w:val="left" w:pos="360"/>
          <w:tab w:val="left" w:pos="720"/>
          <w:tab w:val="left" w:pos="1080"/>
          <w:tab w:val="left" w:pos="1440"/>
          <w:tab w:val="left" w:pos="1800"/>
          <w:tab w:val="left" w:pos="2160"/>
          <w:tab w:val="left" w:pos="2880"/>
          <w:tab w:val="left" w:pos="3600"/>
          <w:tab w:val="left" w:pos="4320"/>
        </w:tabs>
        <w:spacing w:line="480" w:lineRule="auto"/>
        <w:jc w:val="both"/>
        <w:rPr>
          <w:rFonts w:cstheme="minorHAnsi"/>
          <w:color w:val="000000" w:themeColor="text1"/>
          <w:szCs w:val="22"/>
        </w:rPr>
      </w:pPr>
      <w:r w:rsidRPr="00C9569B">
        <w:rPr>
          <w:rFonts w:cstheme="minorHAnsi"/>
          <w:color w:val="000000" w:themeColor="text1"/>
          <w:szCs w:val="22"/>
        </w:rPr>
        <w:tab/>
      </w:r>
      <w:r w:rsidRPr="00C9569B">
        <w:rPr>
          <w:rFonts w:cstheme="minorHAnsi"/>
          <w:color w:val="000000" w:themeColor="text1"/>
          <w:szCs w:val="22"/>
        </w:rPr>
        <w:tab/>
      </w:r>
      <w:r w:rsidR="007F202D" w:rsidRPr="00524A81">
        <w:rPr>
          <w:rFonts w:cstheme="minorHAnsi"/>
          <w:color w:val="000000" w:themeColor="text1"/>
          <w:szCs w:val="22"/>
        </w:rPr>
        <w:t>Finally, in conclusion the paper offers some thoughts on the value-added of addressing poverty and ESCRs violations through additional and alternative justice processes</w:t>
      </w:r>
      <w:r w:rsidR="00005DBF" w:rsidRPr="00524A81">
        <w:rPr>
          <w:rFonts w:cstheme="minorHAnsi"/>
          <w:color w:val="000000" w:themeColor="text1"/>
          <w:szCs w:val="22"/>
        </w:rPr>
        <w:t xml:space="preserve"> and the benefits of using an explicit human rights framework to tackle poverty both in the work of the PTCs and more widely as a tool for transformative change. </w:t>
      </w:r>
      <w:r w:rsidR="005E400C" w:rsidRPr="00524A81">
        <w:rPr>
          <w:rFonts w:cstheme="minorHAnsi"/>
          <w:color w:val="000000" w:themeColor="text1"/>
          <w:szCs w:val="22"/>
        </w:rPr>
        <w:t xml:space="preserve"> </w:t>
      </w:r>
    </w:p>
    <w:p w14:paraId="0EE32C7C" w14:textId="4272DB17" w:rsidR="00A1484E" w:rsidRPr="00E14F67" w:rsidRDefault="00493A4F" w:rsidP="00A1484E">
      <w:pPr>
        <w:spacing w:line="480" w:lineRule="auto"/>
        <w:ind w:firstLine="720"/>
        <w:jc w:val="both"/>
        <w:rPr>
          <w:rFonts w:cstheme="minorHAnsi"/>
          <w:szCs w:val="22"/>
        </w:rPr>
      </w:pPr>
      <w:r>
        <w:t>The central contention is that to adequately address the widening and de</w:t>
      </w:r>
      <w:r w:rsidR="0065344C">
        <w:t>e</w:t>
      </w:r>
      <w:r>
        <w:t>pening poverty and related ESCR vio</w:t>
      </w:r>
      <w:r w:rsidR="00524A81">
        <w:t>l</w:t>
      </w:r>
      <w:r>
        <w:t xml:space="preserve">ations within the UK, justice must be </w:t>
      </w:r>
      <w:r w:rsidRPr="00C9569B">
        <w:rPr>
          <w:rFonts w:cstheme="minorHAnsi"/>
          <w:color w:val="000000" w:themeColor="text1"/>
          <w:szCs w:val="22"/>
        </w:rPr>
        <w:t xml:space="preserve">sought using alternative forms of justice with wider reach and scope, for deeper more transformative change. </w:t>
      </w:r>
      <w:r w:rsidR="00A1484E" w:rsidRPr="00E14F67">
        <w:rPr>
          <w:rFonts w:cstheme="minorHAnsi"/>
          <w:szCs w:val="22"/>
        </w:rPr>
        <w:t>Poverty Truth Commissions are a form of transformative justice, driving transformative positive change within the local and potentially national sphere.</w:t>
      </w:r>
      <w:r w:rsidR="00A1484E" w:rsidRPr="00A1484E">
        <w:rPr>
          <w:rFonts w:cstheme="minorHAnsi"/>
          <w:color w:val="000000" w:themeColor="text1"/>
          <w:szCs w:val="22"/>
        </w:rPr>
        <w:t xml:space="preserve"> </w:t>
      </w:r>
      <w:r w:rsidR="00A1484E" w:rsidRPr="00A549E0">
        <w:rPr>
          <w:rFonts w:cstheme="minorHAnsi"/>
          <w:color w:val="000000" w:themeColor="text1"/>
          <w:szCs w:val="22"/>
        </w:rPr>
        <w:t>Thus, the PTCs and potentially other CBIs can help to close the ‘justice gap’ (Lederach 2001) and make a valuable contribution to transformative justice, tackling poverty and realising ESCRs within the UK.</w:t>
      </w:r>
      <w:r w:rsidR="00A1484E" w:rsidRPr="00A1484E">
        <w:rPr>
          <w:rFonts w:cstheme="minorHAnsi"/>
          <w:szCs w:val="22"/>
        </w:rPr>
        <w:t xml:space="preserve"> </w:t>
      </w:r>
    </w:p>
    <w:p w14:paraId="2CC20E7A" w14:textId="3C2E4439" w:rsidR="00493A4F" w:rsidRDefault="00493A4F" w:rsidP="00493A4F">
      <w:pPr>
        <w:tabs>
          <w:tab w:val="left" w:pos="360"/>
          <w:tab w:val="left" w:pos="720"/>
          <w:tab w:val="left" w:pos="1080"/>
          <w:tab w:val="left" w:pos="1440"/>
          <w:tab w:val="left" w:pos="1800"/>
          <w:tab w:val="left" w:pos="2160"/>
          <w:tab w:val="left" w:pos="2880"/>
          <w:tab w:val="left" w:pos="3600"/>
          <w:tab w:val="left" w:pos="4320"/>
        </w:tabs>
        <w:spacing w:line="480" w:lineRule="auto"/>
        <w:jc w:val="both"/>
        <w:rPr>
          <w:rFonts w:cstheme="minorHAnsi"/>
          <w:color w:val="000000" w:themeColor="text1"/>
          <w:szCs w:val="22"/>
        </w:rPr>
      </w:pPr>
    </w:p>
    <w:p w14:paraId="6E83842E" w14:textId="0810EBD8" w:rsidR="003577C0" w:rsidRPr="00E14F67" w:rsidRDefault="0042110D" w:rsidP="00E63CA6">
      <w:pPr>
        <w:pStyle w:val="Heading1"/>
      </w:pPr>
      <w:bookmarkStart w:id="1" w:name="Austerity"/>
      <w:r w:rsidRPr="00E14F67">
        <w:t>Poverty as a human rights issue</w:t>
      </w:r>
      <w:r w:rsidR="003577C0" w:rsidRPr="00E14F67">
        <w:t xml:space="preserve"> </w:t>
      </w:r>
    </w:p>
    <w:p w14:paraId="1A0A2798" w14:textId="7D1DA5B8" w:rsidR="00096735" w:rsidRDefault="00FB2AA3" w:rsidP="00203FCB">
      <w:pPr>
        <w:pStyle w:val="NoSpacing"/>
        <w:spacing w:line="480" w:lineRule="auto"/>
        <w:rPr>
          <w:rFonts w:cstheme="minorHAnsi"/>
          <w:szCs w:val="22"/>
        </w:rPr>
      </w:pPr>
      <w:r w:rsidRPr="00E14F67">
        <w:rPr>
          <w:rFonts w:cstheme="minorHAnsi"/>
          <w:szCs w:val="22"/>
        </w:rPr>
        <w:t xml:space="preserve">Poverty is a human rights issue </w:t>
      </w:r>
      <w:r w:rsidR="006E5061">
        <w:rPr>
          <w:rFonts w:cstheme="minorHAnsi"/>
          <w:szCs w:val="22"/>
        </w:rPr>
        <w:t>as it</w:t>
      </w:r>
      <w:r w:rsidR="00163162">
        <w:rPr>
          <w:rFonts w:cstheme="minorHAnsi"/>
          <w:szCs w:val="22"/>
        </w:rPr>
        <w:t xml:space="preserve"> constitutes a denial of</w:t>
      </w:r>
      <w:r w:rsidRPr="00E14F67">
        <w:rPr>
          <w:rFonts w:cstheme="minorHAnsi"/>
          <w:szCs w:val="22"/>
        </w:rPr>
        <w:t xml:space="preserve"> </w:t>
      </w:r>
      <w:r w:rsidR="006D43B8">
        <w:rPr>
          <w:rFonts w:cstheme="minorHAnsi"/>
          <w:szCs w:val="22"/>
        </w:rPr>
        <w:t>many</w:t>
      </w:r>
      <w:r w:rsidRPr="00E14F67">
        <w:rPr>
          <w:rFonts w:cstheme="minorHAnsi"/>
          <w:szCs w:val="22"/>
        </w:rPr>
        <w:t xml:space="preserve"> </w:t>
      </w:r>
      <w:r w:rsidR="006E5061">
        <w:rPr>
          <w:rFonts w:cstheme="minorHAnsi"/>
          <w:szCs w:val="22"/>
        </w:rPr>
        <w:t xml:space="preserve">established and </w:t>
      </w:r>
      <w:r w:rsidRPr="00E14F67">
        <w:rPr>
          <w:rFonts w:cstheme="minorHAnsi"/>
          <w:szCs w:val="22"/>
        </w:rPr>
        <w:t xml:space="preserve">substantive rights including the right to an adequate standard of living (food, water, housing) and the right to </w:t>
      </w:r>
      <w:r w:rsidR="002D50F9" w:rsidRPr="00E14F67">
        <w:rPr>
          <w:rFonts w:cstheme="minorHAnsi"/>
          <w:szCs w:val="22"/>
        </w:rPr>
        <w:t>health (</w:t>
      </w:r>
      <w:r w:rsidR="002F6C4C">
        <w:rPr>
          <w:rFonts w:cstheme="minorHAnsi"/>
          <w:szCs w:val="22"/>
        </w:rPr>
        <w:t xml:space="preserve">UN CESCR </w:t>
      </w:r>
      <w:r w:rsidR="00163162" w:rsidRPr="00E14F67">
        <w:rPr>
          <w:rFonts w:cstheme="minorHAnsi"/>
          <w:noProof/>
          <w:kern w:val="1"/>
          <w:szCs w:val="22"/>
        </w:rPr>
        <w:t>2001, para. 1</w:t>
      </w:r>
      <w:r w:rsidR="00163162">
        <w:rPr>
          <w:rFonts w:cstheme="minorHAnsi"/>
          <w:noProof/>
          <w:kern w:val="1"/>
          <w:szCs w:val="22"/>
        </w:rPr>
        <w:t>;</w:t>
      </w:r>
      <w:r w:rsidR="00163162" w:rsidRPr="00163162">
        <w:rPr>
          <w:rFonts w:cstheme="minorHAnsi"/>
          <w:noProof/>
          <w:szCs w:val="22"/>
        </w:rPr>
        <w:t xml:space="preserve"> </w:t>
      </w:r>
      <w:r w:rsidR="00163162" w:rsidRPr="00E14F67">
        <w:rPr>
          <w:rFonts w:cstheme="minorHAnsi"/>
          <w:noProof/>
          <w:szCs w:val="22"/>
        </w:rPr>
        <w:t>Osmani 2012, 195</w:t>
      </w:r>
      <w:r w:rsidR="00163162">
        <w:rPr>
          <w:rFonts w:cstheme="minorHAnsi"/>
          <w:noProof/>
          <w:kern w:val="1"/>
          <w:szCs w:val="22"/>
        </w:rPr>
        <w:t xml:space="preserve"> </w:t>
      </w:r>
      <w:r w:rsidR="00163162" w:rsidRPr="00E14F67">
        <w:rPr>
          <w:rFonts w:cstheme="minorHAnsi"/>
          <w:noProof/>
          <w:kern w:val="1"/>
          <w:szCs w:val="22"/>
        </w:rPr>
        <w:t>)</w:t>
      </w:r>
      <w:r w:rsidR="00163162" w:rsidRPr="00E14F67">
        <w:rPr>
          <w:rFonts w:cstheme="minorHAnsi"/>
          <w:kern w:val="1"/>
          <w:szCs w:val="22"/>
        </w:rPr>
        <w:t xml:space="preserve">. </w:t>
      </w:r>
      <w:r w:rsidR="00163162" w:rsidRPr="00E14F67">
        <w:rPr>
          <w:rFonts w:cstheme="minorHAnsi"/>
          <w:kern w:val="1"/>
          <w:szCs w:val="22"/>
        </w:rPr>
        <w:lastRenderedPageBreak/>
        <w:t xml:space="preserve">Furthermore, </w:t>
      </w:r>
      <w:r w:rsidR="00163162" w:rsidRPr="00E14F67">
        <w:rPr>
          <w:rFonts w:cstheme="minorHAnsi"/>
          <w:szCs w:val="22"/>
        </w:rPr>
        <w:t xml:space="preserve">whilst there is no explicit </w:t>
      </w:r>
      <w:r w:rsidR="00163162" w:rsidRPr="00C9569B">
        <w:rPr>
          <w:rFonts w:cstheme="minorHAnsi"/>
          <w:i/>
          <w:iCs/>
          <w:szCs w:val="22"/>
        </w:rPr>
        <w:t>right</w:t>
      </w:r>
      <w:r w:rsidR="00163162" w:rsidRPr="00E14F67">
        <w:rPr>
          <w:rFonts w:cstheme="minorHAnsi"/>
          <w:szCs w:val="22"/>
        </w:rPr>
        <w:t xml:space="preserve"> to be free from poverty, </w:t>
      </w:r>
      <w:r w:rsidR="00163162" w:rsidRPr="00E14F67">
        <w:rPr>
          <w:rFonts w:cstheme="minorHAnsi"/>
          <w:kern w:val="1"/>
          <w:szCs w:val="22"/>
        </w:rPr>
        <w:t xml:space="preserve">if the guarantees contained within the normative framework of international human rights law were fulfilled poor people would be lifted out of poverty </w:t>
      </w:r>
      <w:r w:rsidR="00163162" w:rsidRPr="00E14F67">
        <w:rPr>
          <w:rFonts w:cstheme="minorHAnsi"/>
          <w:color w:val="000000"/>
          <w:szCs w:val="22"/>
        </w:rPr>
        <w:t>(Skogly 2002, 73)</w:t>
      </w:r>
      <w:r w:rsidR="00163162" w:rsidRPr="00E14F67">
        <w:rPr>
          <w:rFonts w:cstheme="minorHAnsi"/>
          <w:szCs w:val="22"/>
        </w:rPr>
        <w:t>.</w:t>
      </w:r>
    </w:p>
    <w:p w14:paraId="1B60C263" w14:textId="24C33123" w:rsidR="00524A81" w:rsidRDefault="00163162" w:rsidP="00C9569B">
      <w:pPr>
        <w:pStyle w:val="NoSpacing"/>
        <w:spacing w:line="480" w:lineRule="auto"/>
        <w:ind w:firstLine="720"/>
        <w:rPr>
          <w:rFonts w:cstheme="minorHAnsi"/>
          <w:kern w:val="2"/>
          <w:szCs w:val="22"/>
          <w:lang w:eastAsia="en-US"/>
        </w:rPr>
      </w:pPr>
      <w:r>
        <w:rPr>
          <w:rFonts w:cstheme="minorHAnsi"/>
          <w:szCs w:val="22"/>
        </w:rPr>
        <w:t xml:space="preserve">Consequently, </w:t>
      </w:r>
      <w:r>
        <w:rPr>
          <w:rFonts w:cstheme="minorHAnsi"/>
          <w:kern w:val="1"/>
          <w:szCs w:val="22"/>
        </w:rPr>
        <w:t xml:space="preserve">poverty </w:t>
      </w:r>
      <w:r w:rsidR="0042110D" w:rsidRPr="00E14F67">
        <w:rPr>
          <w:rFonts w:cstheme="minorHAnsi"/>
          <w:kern w:val="1"/>
          <w:szCs w:val="22"/>
        </w:rPr>
        <w:t xml:space="preserve">‘is both a cause and consequence’ </w:t>
      </w:r>
      <w:r w:rsidR="0042110D" w:rsidRPr="00E14F67">
        <w:rPr>
          <w:rFonts w:cstheme="minorHAnsi"/>
          <w:noProof/>
          <w:kern w:val="1"/>
          <w:szCs w:val="22"/>
        </w:rPr>
        <w:t>(Van Bueren 2010, 1)</w:t>
      </w:r>
      <w:r w:rsidR="0042110D" w:rsidRPr="00E14F67">
        <w:rPr>
          <w:rFonts w:cstheme="minorHAnsi"/>
          <w:kern w:val="1"/>
          <w:szCs w:val="22"/>
        </w:rPr>
        <w:t xml:space="preserve"> of human rights</w:t>
      </w:r>
      <w:r w:rsidR="000E7337">
        <w:rPr>
          <w:rFonts w:cstheme="minorHAnsi"/>
          <w:kern w:val="1"/>
          <w:szCs w:val="22"/>
        </w:rPr>
        <w:t xml:space="preserve"> – especially ESCRs -</w:t>
      </w:r>
      <w:r w:rsidR="0042110D" w:rsidRPr="00E14F67">
        <w:rPr>
          <w:rFonts w:cstheme="minorHAnsi"/>
          <w:kern w:val="1"/>
          <w:szCs w:val="22"/>
        </w:rPr>
        <w:t xml:space="preserve"> failings </w:t>
      </w:r>
      <w:r w:rsidR="0042110D" w:rsidRPr="00E14F67">
        <w:rPr>
          <w:rFonts w:cstheme="minorHAnsi"/>
          <w:color w:val="000000"/>
          <w:szCs w:val="22"/>
        </w:rPr>
        <w:t>(Ratjen and Satija 2014, 124)</w:t>
      </w:r>
      <w:r w:rsidR="0042110D" w:rsidRPr="00E14F67">
        <w:rPr>
          <w:rFonts w:cstheme="minorHAnsi"/>
          <w:szCs w:val="22"/>
        </w:rPr>
        <w:t>.</w:t>
      </w:r>
      <w:r w:rsidR="0042110D" w:rsidRPr="00E14F67">
        <w:rPr>
          <w:rFonts w:cstheme="minorHAnsi"/>
          <w:kern w:val="1"/>
          <w:szCs w:val="22"/>
        </w:rPr>
        <w:t xml:space="preserve"> </w:t>
      </w:r>
      <w:r>
        <w:rPr>
          <w:rFonts w:cstheme="minorHAnsi"/>
          <w:kern w:val="1"/>
          <w:szCs w:val="22"/>
        </w:rPr>
        <w:t>However, b</w:t>
      </w:r>
      <w:r w:rsidR="00C87902" w:rsidRPr="00AD7C05">
        <w:rPr>
          <w:rFonts w:cstheme="minorHAnsi"/>
          <w:kern w:val="1"/>
          <w:szCs w:val="22"/>
        </w:rPr>
        <w:t xml:space="preserve">eyond </w:t>
      </w:r>
      <w:r>
        <w:rPr>
          <w:rFonts w:cstheme="minorHAnsi"/>
          <w:kern w:val="1"/>
          <w:szCs w:val="22"/>
        </w:rPr>
        <w:t xml:space="preserve">fundamental </w:t>
      </w:r>
      <w:r w:rsidR="00C87902" w:rsidRPr="00AD7C05">
        <w:rPr>
          <w:rFonts w:cstheme="minorHAnsi"/>
          <w:kern w:val="1"/>
          <w:szCs w:val="22"/>
        </w:rPr>
        <w:t>material deprivation</w:t>
      </w:r>
      <w:r>
        <w:rPr>
          <w:rFonts w:cstheme="minorHAnsi"/>
          <w:kern w:val="1"/>
          <w:szCs w:val="22"/>
        </w:rPr>
        <w:t xml:space="preserve">s </w:t>
      </w:r>
      <w:r w:rsidRPr="00E14F67">
        <w:rPr>
          <w:rFonts w:cstheme="minorHAnsi"/>
          <w:noProof/>
          <w:szCs w:val="22"/>
        </w:rPr>
        <w:t>(McFate et al. 1995, 109)</w:t>
      </w:r>
      <w:r w:rsidR="00C87902" w:rsidRPr="00AD7C05">
        <w:rPr>
          <w:rFonts w:cstheme="minorHAnsi"/>
          <w:kern w:val="1"/>
          <w:szCs w:val="22"/>
        </w:rPr>
        <w:t xml:space="preserve">, poverty is also a denial of </w:t>
      </w:r>
      <w:r w:rsidR="00721C08" w:rsidRPr="00AD7C05">
        <w:rPr>
          <w:rFonts w:cstheme="minorHAnsi"/>
          <w:kern w:val="1"/>
          <w:szCs w:val="22"/>
        </w:rPr>
        <w:t>‘</w:t>
      </w:r>
      <w:r w:rsidR="00C87902" w:rsidRPr="00AD7C05">
        <w:rPr>
          <w:rFonts w:cstheme="minorHAnsi"/>
          <w:kern w:val="1"/>
          <w:szCs w:val="22"/>
        </w:rPr>
        <w:t>capabilities</w:t>
      </w:r>
      <w:r w:rsidR="00721C08" w:rsidRPr="00AD7C05">
        <w:rPr>
          <w:rFonts w:cstheme="minorHAnsi"/>
          <w:kern w:val="1"/>
          <w:szCs w:val="22"/>
        </w:rPr>
        <w:t>, choices,</w:t>
      </w:r>
      <w:r w:rsidR="00721C08" w:rsidRPr="00AD7C05">
        <w:rPr>
          <w:rFonts w:cstheme="minorHAnsi"/>
          <w:szCs w:val="22"/>
        </w:rPr>
        <w:t xml:space="preserve"> </w:t>
      </w:r>
      <w:r w:rsidR="00721C08" w:rsidRPr="00AD7C05">
        <w:rPr>
          <w:rFonts w:cstheme="minorHAnsi"/>
          <w:kern w:val="1"/>
          <w:szCs w:val="22"/>
        </w:rPr>
        <w:t xml:space="preserve">security and power necessary for the enjoyment’ of all human rights including civil and </w:t>
      </w:r>
      <w:r w:rsidR="00881865">
        <w:rPr>
          <w:rFonts w:cstheme="minorHAnsi"/>
          <w:kern w:val="1"/>
          <w:szCs w:val="22"/>
        </w:rPr>
        <w:t>political</w:t>
      </w:r>
      <w:r w:rsidR="00881865" w:rsidRPr="00AD7C05">
        <w:rPr>
          <w:rFonts w:cstheme="minorHAnsi"/>
          <w:kern w:val="1"/>
          <w:szCs w:val="22"/>
        </w:rPr>
        <w:t xml:space="preserve"> </w:t>
      </w:r>
      <w:r w:rsidR="00721C08" w:rsidRPr="00AD7C05">
        <w:rPr>
          <w:rFonts w:cstheme="minorHAnsi"/>
          <w:kern w:val="1"/>
          <w:szCs w:val="22"/>
        </w:rPr>
        <w:t xml:space="preserve">rights </w:t>
      </w:r>
      <w:r w:rsidR="00F16DEC">
        <w:rPr>
          <w:rFonts w:cstheme="minorHAnsi"/>
          <w:kern w:val="1"/>
          <w:szCs w:val="22"/>
        </w:rPr>
        <w:t>and</w:t>
      </w:r>
      <w:r w:rsidR="00A2016F">
        <w:rPr>
          <w:rFonts w:cstheme="minorHAnsi"/>
          <w:kern w:val="1"/>
          <w:szCs w:val="22"/>
        </w:rPr>
        <w:t xml:space="preserve"> consequently</w:t>
      </w:r>
      <w:r w:rsidR="00721C08" w:rsidRPr="00AD7C05">
        <w:rPr>
          <w:rFonts w:cstheme="minorHAnsi"/>
          <w:kern w:val="2"/>
          <w:szCs w:val="22"/>
          <w:lang w:eastAsia="en-US"/>
        </w:rPr>
        <w:t xml:space="preserve"> the reality of the lived experience of poverty reflects the indivisible and interdependent nature of all human rights (UN </w:t>
      </w:r>
      <w:r w:rsidR="00A2016F" w:rsidRPr="00AD7C05">
        <w:rPr>
          <w:rFonts w:cstheme="minorHAnsi"/>
          <w:kern w:val="2"/>
          <w:szCs w:val="22"/>
          <w:lang w:eastAsia="en-US"/>
        </w:rPr>
        <w:t>C</w:t>
      </w:r>
      <w:r w:rsidR="00A2016F">
        <w:rPr>
          <w:rFonts w:cstheme="minorHAnsi"/>
          <w:kern w:val="2"/>
          <w:szCs w:val="22"/>
          <w:lang w:eastAsia="en-US"/>
        </w:rPr>
        <w:t>ommittee on Economic, Social</w:t>
      </w:r>
      <w:r w:rsidR="00052DAE">
        <w:rPr>
          <w:rFonts w:cstheme="minorHAnsi"/>
          <w:kern w:val="2"/>
          <w:szCs w:val="22"/>
          <w:lang w:eastAsia="en-US"/>
        </w:rPr>
        <w:t xml:space="preserve"> and Cultural Rights</w:t>
      </w:r>
      <w:r w:rsidR="00721C08" w:rsidRPr="00AD7C05">
        <w:rPr>
          <w:rFonts w:cstheme="minorHAnsi"/>
          <w:kern w:val="2"/>
          <w:szCs w:val="22"/>
          <w:lang w:eastAsia="en-US"/>
        </w:rPr>
        <w:t xml:space="preserve">, </w:t>
      </w:r>
      <w:r w:rsidR="002D50F9" w:rsidRPr="00AD7C05">
        <w:rPr>
          <w:rFonts w:cstheme="minorHAnsi"/>
          <w:kern w:val="2"/>
          <w:szCs w:val="22"/>
          <w:lang w:eastAsia="en-US"/>
        </w:rPr>
        <w:t>2001, para</w:t>
      </w:r>
      <w:r w:rsidR="00721C08" w:rsidRPr="00AD7C05">
        <w:rPr>
          <w:rFonts w:cstheme="minorHAnsi"/>
          <w:kern w:val="2"/>
          <w:szCs w:val="22"/>
          <w:lang w:eastAsia="en-US"/>
        </w:rPr>
        <w:t xml:space="preserve">.8).  </w:t>
      </w:r>
    </w:p>
    <w:p w14:paraId="4EA47D2A" w14:textId="5B86800C" w:rsidR="00357C55" w:rsidRDefault="00F77A87" w:rsidP="00C9569B">
      <w:pPr>
        <w:pStyle w:val="NoSpacing"/>
        <w:spacing w:line="480" w:lineRule="auto"/>
        <w:ind w:firstLine="720"/>
        <w:rPr>
          <w:rFonts w:cstheme="minorHAnsi"/>
          <w:szCs w:val="22"/>
        </w:rPr>
      </w:pPr>
      <w:r>
        <w:rPr>
          <w:rFonts w:cstheme="minorHAnsi"/>
          <w:kern w:val="2"/>
          <w:szCs w:val="22"/>
          <w:lang w:eastAsia="en-US"/>
        </w:rPr>
        <w:t>Further</w:t>
      </w:r>
      <w:r w:rsidR="00881865">
        <w:rPr>
          <w:rFonts w:cstheme="minorHAnsi"/>
          <w:kern w:val="2"/>
          <w:szCs w:val="22"/>
          <w:lang w:eastAsia="en-US"/>
        </w:rPr>
        <w:t xml:space="preserve">more, </w:t>
      </w:r>
      <w:r>
        <w:rPr>
          <w:rFonts w:cstheme="minorHAnsi"/>
          <w:szCs w:val="22"/>
        </w:rPr>
        <w:t>p</w:t>
      </w:r>
      <w:r w:rsidR="00163162" w:rsidRPr="00E14F67">
        <w:rPr>
          <w:rFonts w:cstheme="minorHAnsi"/>
          <w:szCs w:val="22"/>
        </w:rPr>
        <w:t xml:space="preserve">overty is </w:t>
      </w:r>
      <w:r w:rsidR="009539AD">
        <w:rPr>
          <w:rFonts w:cstheme="minorHAnsi"/>
          <w:szCs w:val="22"/>
        </w:rPr>
        <w:t xml:space="preserve">a </w:t>
      </w:r>
      <w:r w:rsidR="00A80E8E">
        <w:rPr>
          <w:rFonts w:cstheme="minorHAnsi"/>
          <w:szCs w:val="22"/>
        </w:rPr>
        <w:t>form</w:t>
      </w:r>
      <w:r w:rsidR="009539AD">
        <w:rPr>
          <w:rFonts w:cstheme="minorHAnsi"/>
          <w:szCs w:val="22"/>
        </w:rPr>
        <w:t xml:space="preserve"> of structural violence and injustice, a </w:t>
      </w:r>
      <w:r w:rsidR="00163162" w:rsidRPr="00E14F67">
        <w:rPr>
          <w:rFonts w:cstheme="minorHAnsi"/>
          <w:szCs w:val="22"/>
        </w:rPr>
        <w:t>result of inequality and discrimination</w:t>
      </w:r>
      <w:r w:rsidR="00A754BF">
        <w:rPr>
          <w:rFonts w:cstheme="minorHAnsi"/>
          <w:szCs w:val="22"/>
        </w:rPr>
        <w:t>,</w:t>
      </w:r>
      <w:r w:rsidR="00524A81">
        <w:rPr>
          <w:rFonts w:cstheme="minorHAnsi"/>
          <w:szCs w:val="22"/>
        </w:rPr>
        <w:t xml:space="preserve"> which in </w:t>
      </w:r>
      <w:r w:rsidR="003B0D3E">
        <w:rPr>
          <w:rFonts w:cstheme="minorHAnsi"/>
          <w:szCs w:val="22"/>
        </w:rPr>
        <w:t>themselves are</w:t>
      </w:r>
      <w:r w:rsidR="00524A81">
        <w:rPr>
          <w:rFonts w:cstheme="minorHAnsi"/>
          <w:szCs w:val="22"/>
        </w:rPr>
        <w:t xml:space="preserve"> violations of human rights.</w:t>
      </w:r>
      <w:r w:rsidR="009539AD">
        <w:rPr>
          <w:rFonts w:cstheme="minorHAnsi"/>
          <w:szCs w:val="22"/>
        </w:rPr>
        <w:t xml:space="preserve"> Poverty is structural violence because poverty results from ‘</w:t>
      </w:r>
      <w:r w:rsidR="009539AD" w:rsidRPr="009539AD">
        <w:rPr>
          <w:rFonts w:cstheme="minorHAnsi"/>
          <w:szCs w:val="22"/>
        </w:rPr>
        <w:t>social arrangements that put individuals and populations in harm’s</w:t>
      </w:r>
      <w:r w:rsidR="009539AD">
        <w:rPr>
          <w:rFonts w:cstheme="minorHAnsi"/>
          <w:szCs w:val="22"/>
        </w:rPr>
        <w:t xml:space="preserve"> </w:t>
      </w:r>
      <w:r w:rsidR="009539AD" w:rsidRPr="009539AD">
        <w:rPr>
          <w:rFonts w:cstheme="minorHAnsi"/>
          <w:szCs w:val="22"/>
        </w:rPr>
        <w:t>way ... The arrangements are structural because they are embedded in the</w:t>
      </w:r>
      <w:r w:rsidR="009539AD">
        <w:rPr>
          <w:rFonts w:cstheme="minorHAnsi"/>
          <w:szCs w:val="22"/>
        </w:rPr>
        <w:t xml:space="preserve"> </w:t>
      </w:r>
      <w:r w:rsidR="009539AD" w:rsidRPr="009539AD">
        <w:rPr>
          <w:rFonts w:cstheme="minorHAnsi"/>
          <w:szCs w:val="22"/>
        </w:rPr>
        <w:t>political and economic organisation of our social world; they are violent</w:t>
      </w:r>
      <w:r w:rsidR="009539AD">
        <w:rPr>
          <w:rFonts w:cstheme="minorHAnsi"/>
          <w:szCs w:val="22"/>
        </w:rPr>
        <w:t xml:space="preserve"> </w:t>
      </w:r>
      <w:r w:rsidR="009539AD" w:rsidRPr="009539AD">
        <w:rPr>
          <w:rFonts w:cstheme="minorHAnsi"/>
          <w:szCs w:val="22"/>
        </w:rPr>
        <w:t>because they cause injury to people</w:t>
      </w:r>
      <w:r w:rsidR="00512675" w:rsidRPr="00512675">
        <w:rPr>
          <w:rFonts w:cstheme="minorHAnsi"/>
          <w:szCs w:val="22"/>
        </w:rPr>
        <w:t xml:space="preserve"> (typically, not</w:t>
      </w:r>
      <w:r w:rsidR="00512675">
        <w:rPr>
          <w:rFonts w:cstheme="minorHAnsi"/>
          <w:szCs w:val="22"/>
        </w:rPr>
        <w:t xml:space="preserve"> </w:t>
      </w:r>
      <w:r w:rsidR="00512675" w:rsidRPr="00512675">
        <w:rPr>
          <w:rFonts w:cstheme="minorHAnsi"/>
          <w:szCs w:val="22"/>
        </w:rPr>
        <w:t>those responsible for perpetuating</w:t>
      </w:r>
      <w:r w:rsidR="00512675">
        <w:rPr>
          <w:rFonts w:cstheme="minorHAnsi"/>
          <w:szCs w:val="22"/>
        </w:rPr>
        <w:t xml:space="preserve"> </w:t>
      </w:r>
      <w:r w:rsidR="00512675" w:rsidRPr="00512675">
        <w:rPr>
          <w:rFonts w:cstheme="minorHAnsi"/>
          <w:szCs w:val="22"/>
        </w:rPr>
        <w:t>such inequalities)</w:t>
      </w:r>
      <w:r w:rsidR="00251544">
        <w:rPr>
          <w:rFonts w:cstheme="minorHAnsi"/>
          <w:szCs w:val="22"/>
        </w:rPr>
        <w:t>’</w:t>
      </w:r>
      <w:bookmarkStart w:id="2" w:name="_Hlk60993435"/>
      <w:r w:rsidR="002D50F9">
        <w:rPr>
          <w:rFonts w:cstheme="minorHAnsi"/>
          <w:szCs w:val="22"/>
        </w:rPr>
        <w:t xml:space="preserve"> </w:t>
      </w:r>
      <w:r w:rsidR="009539AD" w:rsidRPr="009539AD">
        <w:rPr>
          <w:rFonts w:cstheme="minorHAnsi"/>
          <w:szCs w:val="22"/>
        </w:rPr>
        <w:t xml:space="preserve">(Farmer </w:t>
      </w:r>
      <w:r w:rsidR="009539AD" w:rsidRPr="00C9569B">
        <w:rPr>
          <w:rFonts w:cstheme="minorHAnsi"/>
          <w:i/>
          <w:iCs/>
          <w:szCs w:val="22"/>
        </w:rPr>
        <w:t>et al</w:t>
      </w:r>
      <w:r w:rsidR="009539AD" w:rsidRPr="009539AD">
        <w:rPr>
          <w:rFonts w:cstheme="minorHAnsi"/>
          <w:szCs w:val="22"/>
        </w:rPr>
        <w:t xml:space="preserve"> 2006</w:t>
      </w:r>
      <w:r w:rsidR="00512675">
        <w:rPr>
          <w:rFonts w:cstheme="minorHAnsi"/>
          <w:szCs w:val="22"/>
        </w:rPr>
        <w:t xml:space="preserve">, </w:t>
      </w:r>
      <w:r w:rsidR="009539AD" w:rsidRPr="009539AD">
        <w:rPr>
          <w:rFonts w:cstheme="minorHAnsi"/>
          <w:szCs w:val="22"/>
        </w:rPr>
        <w:t>1686</w:t>
      </w:r>
      <w:r w:rsidR="009539AD">
        <w:rPr>
          <w:rFonts w:cstheme="minorHAnsi"/>
          <w:szCs w:val="22"/>
        </w:rPr>
        <w:t>).</w:t>
      </w:r>
      <w:bookmarkEnd w:id="2"/>
      <w:r w:rsidR="00251544">
        <w:rPr>
          <w:rFonts w:cstheme="minorHAnsi"/>
          <w:szCs w:val="22"/>
        </w:rPr>
        <w:t xml:space="preserve"> </w:t>
      </w:r>
      <w:r w:rsidR="009539AD">
        <w:rPr>
          <w:rFonts w:cstheme="minorHAnsi"/>
          <w:szCs w:val="22"/>
        </w:rPr>
        <w:t xml:space="preserve">When </w:t>
      </w:r>
      <w:r w:rsidR="009539AD" w:rsidRPr="003B0D3E">
        <w:rPr>
          <w:rFonts w:cstheme="minorHAnsi"/>
          <w:szCs w:val="22"/>
        </w:rPr>
        <w:t xml:space="preserve">these </w:t>
      </w:r>
      <w:r w:rsidR="00357C55" w:rsidRPr="00C9569B">
        <w:rPr>
          <w:rFonts w:cstheme="minorHAnsi"/>
          <w:color w:val="000000" w:themeColor="text1"/>
          <w:kern w:val="1"/>
          <w:szCs w:val="22"/>
        </w:rPr>
        <w:t xml:space="preserve">‘economic and social structures conspire to limit one’s agency to the extent that fundamental human needs cannot be met then structural violence becomes a structural violation of human rights’ </w:t>
      </w:r>
      <w:r w:rsidR="00357C55" w:rsidRPr="00C9569B">
        <w:rPr>
          <w:rFonts w:cstheme="minorHAnsi"/>
          <w:noProof/>
          <w:color w:val="000000" w:themeColor="text1"/>
          <w:kern w:val="1"/>
          <w:szCs w:val="22"/>
        </w:rPr>
        <w:t>(Ho 2007, 15)</w:t>
      </w:r>
      <w:r w:rsidR="00357C55" w:rsidRPr="00C9569B">
        <w:rPr>
          <w:rFonts w:cstheme="minorHAnsi"/>
          <w:color w:val="000000" w:themeColor="text1"/>
          <w:kern w:val="1"/>
          <w:szCs w:val="22"/>
        </w:rPr>
        <w:t>.</w:t>
      </w:r>
    </w:p>
    <w:p w14:paraId="1AE926FA" w14:textId="245F6848" w:rsidR="00163162" w:rsidRDefault="003C1CCB" w:rsidP="00C9569B">
      <w:pPr>
        <w:tabs>
          <w:tab w:val="left" w:pos="360"/>
          <w:tab w:val="left" w:pos="720"/>
          <w:tab w:val="left" w:pos="1080"/>
          <w:tab w:val="left" w:pos="1440"/>
          <w:tab w:val="left" w:pos="1800"/>
          <w:tab w:val="left" w:pos="2160"/>
          <w:tab w:val="left" w:pos="2880"/>
          <w:tab w:val="left" w:pos="3600"/>
          <w:tab w:val="left" w:pos="4320"/>
        </w:tabs>
        <w:spacing w:line="480" w:lineRule="auto"/>
        <w:jc w:val="both"/>
        <w:rPr>
          <w:rFonts w:cstheme="minorHAnsi"/>
          <w:szCs w:val="22"/>
        </w:rPr>
      </w:pPr>
      <w:r>
        <w:rPr>
          <w:rFonts w:cstheme="minorHAnsi"/>
          <w:szCs w:val="22"/>
        </w:rPr>
        <w:tab/>
      </w:r>
      <w:r>
        <w:rPr>
          <w:rFonts w:cstheme="minorHAnsi"/>
          <w:szCs w:val="22"/>
        </w:rPr>
        <w:tab/>
      </w:r>
      <w:r w:rsidR="00357C55" w:rsidRPr="00C9569B">
        <w:rPr>
          <w:rFonts w:cstheme="minorHAnsi"/>
          <w:color w:val="000000" w:themeColor="text1"/>
          <w:kern w:val="1"/>
          <w:szCs w:val="22"/>
        </w:rPr>
        <w:t xml:space="preserve"> </w:t>
      </w:r>
      <w:r w:rsidR="009539AD" w:rsidRPr="00C9569B">
        <w:rPr>
          <w:rFonts w:cstheme="minorHAnsi"/>
          <w:color w:val="000000" w:themeColor="text1"/>
          <w:kern w:val="1"/>
          <w:szCs w:val="22"/>
        </w:rPr>
        <w:t>Imp</w:t>
      </w:r>
      <w:r w:rsidR="003B0D3E" w:rsidRPr="00C9569B">
        <w:rPr>
          <w:rFonts w:cstheme="minorHAnsi"/>
          <w:color w:val="000000" w:themeColor="text1"/>
          <w:kern w:val="1"/>
          <w:szCs w:val="22"/>
        </w:rPr>
        <w:t>o</w:t>
      </w:r>
      <w:r w:rsidR="009539AD" w:rsidRPr="00C9569B">
        <w:rPr>
          <w:rFonts w:cstheme="minorHAnsi"/>
          <w:color w:val="000000" w:themeColor="text1"/>
          <w:kern w:val="1"/>
          <w:szCs w:val="22"/>
        </w:rPr>
        <w:t>rtantly</w:t>
      </w:r>
      <w:r w:rsidR="003B0D3E" w:rsidRPr="00C9569B">
        <w:rPr>
          <w:rFonts w:cstheme="minorHAnsi"/>
          <w:color w:val="000000" w:themeColor="text1"/>
          <w:kern w:val="1"/>
          <w:szCs w:val="22"/>
        </w:rPr>
        <w:t>,</w:t>
      </w:r>
      <w:r w:rsidR="009539AD" w:rsidRPr="00C9569B">
        <w:rPr>
          <w:rFonts w:cstheme="minorHAnsi"/>
          <w:color w:val="000000" w:themeColor="text1"/>
          <w:kern w:val="1"/>
          <w:szCs w:val="22"/>
        </w:rPr>
        <w:t xml:space="preserve"> r</w:t>
      </w:r>
      <w:r w:rsidR="00357C55" w:rsidRPr="00C9569B">
        <w:rPr>
          <w:rFonts w:cstheme="minorHAnsi"/>
          <w:color w:val="000000" w:themeColor="text1"/>
          <w:kern w:val="1"/>
          <w:szCs w:val="22"/>
        </w:rPr>
        <w:t xml:space="preserve">ecognising poverty as a form of structural violence </w:t>
      </w:r>
      <w:r w:rsidR="003B0D3E" w:rsidRPr="00C9569B">
        <w:rPr>
          <w:rFonts w:cstheme="minorHAnsi"/>
          <w:color w:val="000000" w:themeColor="text1"/>
          <w:kern w:val="1"/>
          <w:szCs w:val="22"/>
        </w:rPr>
        <w:t xml:space="preserve">serves to </w:t>
      </w:r>
      <w:r w:rsidR="002D50F9" w:rsidRPr="00C9569B">
        <w:rPr>
          <w:rFonts w:cstheme="minorHAnsi"/>
          <w:color w:val="000000" w:themeColor="text1"/>
          <w:kern w:val="1"/>
          <w:szCs w:val="22"/>
        </w:rPr>
        <w:t xml:space="preserve">expose </w:t>
      </w:r>
      <w:r w:rsidR="002D50F9">
        <w:rPr>
          <w:rFonts w:cstheme="minorHAnsi"/>
          <w:color w:val="000000" w:themeColor="text1"/>
          <w:kern w:val="1"/>
          <w:szCs w:val="22"/>
        </w:rPr>
        <w:t>the</w:t>
      </w:r>
      <w:r w:rsidR="00EE0B14">
        <w:rPr>
          <w:rFonts w:cstheme="minorHAnsi"/>
          <w:color w:val="000000" w:themeColor="text1"/>
          <w:kern w:val="1"/>
          <w:szCs w:val="22"/>
        </w:rPr>
        <w:t xml:space="preserve"> preventable </w:t>
      </w:r>
      <w:r w:rsidR="002D50F9">
        <w:rPr>
          <w:rFonts w:cstheme="minorHAnsi"/>
          <w:color w:val="000000" w:themeColor="text1"/>
          <w:kern w:val="1"/>
          <w:szCs w:val="22"/>
        </w:rPr>
        <w:t xml:space="preserve">harms </w:t>
      </w:r>
      <w:r w:rsidR="002D50F9" w:rsidRPr="00C9569B">
        <w:rPr>
          <w:rFonts w:cstheme="minorHAnsi"/>
          <w:color w:val="000000" w:themeColor="text1"/>
          <w:kern w:val="1"/>
          <w:szCs w:val="22"/>
        </w:rPr>
        <w:t>of</w:t>
      </w:r>
      <w:r w:rsidR="00EE0B14">
        <w:rPr>
          <w:rFonts w:cstheme="minorHAnsi"/>
          <w:color w:val="000000" w:themeColor="text1"/>
          <w:kern w:val="1"/>
          <w:szCs w:val="22"/>
        </w:rPr>
        <w:t xml:space="preserve"> poverty </w:t>
      </w:r>
      <w:r w:rsidR="00357C55" w:rsidRPr="00C9569B">
        <w:rPr>
          <w:rFonts w:cstheme="minorHAnsi"/>
          <w:color w:val="000000" w:themeColor="text1"/>
          <w:kern w:val="1"/>
          <w:szCs w:val="22"/>
        </w:rPr>
        <w:t xml:space="preserve">and refute the view that poverty is unavoidable. Alston contends that ‘poverty is a political choice and will be with us until </w:t>
      </w:r>
      <w:r w:rsidR="00357C55" w:rsidRPr="00C9569B">
        <w:rPr>
          <w:rFonts w:cstheme="minorHAnsi"/>
          <w:color w:val="000000" w:themeColor="text1"/>
          <w:kern w:val="1"/>
          <w:szCs w:val="22"/>
        </w:rPr>
        <w:lastRenderedPageBreak/>
        <w:t>its elimination is reconceived as a matter of social justice’ (</w:t>
      </w:r>
      <w:r w:rsidR="00357C55" w:rsidRPr="00C9569B">
        <w:rPr>
          <w:rFonts w:cstheme="minorHAnsi"/>
          <w:szCs w:val="22"/>
        </w:rPr>
        <w:t>UN Human Rights Council 2020, para. 85</w:t>
      </w:r>
      <w:r w:rsidR="00357C55" w:rsidRPr="00C9569B">
        <w:rPr>
          <w:rFonts w:cstheme="minorHAnsi"/>
          <w:color w:val="000000" w:themeColor="text1"/>
          <w:kern w:val="1"/>
          <w:szCs w:val="22"/>
        </w:rPr>
        <w:t xml:space="preserve">). Although poverty is clearly visible in society, </w:t>
      </w:r>
      <w:r w:rsidR="009539AD" w:rsidRPr="00C9569B">
        <w:rPr>
          <w:rFonts w:cstheme="minorHAnsi"/>
          <w:color w:val="000000" w:themeColor="text1"/>
          <w:kern w:val="1"/>
          <w:szCs w:val="22"/>
        </w:rPr>
        <w:t>acknowledging the structural violence of poverty</w:t>
      </w:r>
      <w:r w:rsidR="00357C55" w:rsidRPr="00C9569B">
        <w:rPr>
          <w:rFonts w:cstheme="minorHAnsi"/>
          <w:color w:val="000000" w:themeColor="text1"/>
          <w:kern w:val="1"/>
          <w:szCs w:val="22"/>
        </w:rPr>
        <w:t xml:space="preserve"> exposes the deliberate acts and omissions by the State which result in, exacerbate or perpetuate poverty.</w:t>
      </w:r>
      <w:r w:rsidR="009539AD" w:rsidRPr="00C9569B">
        <w:rPr>
          <w:rFonts w:cstheme="minorHAnsi"/>
          <w:color w:val="000000" w:themeColor="text1"/>
          <w:kern w:val="1"/>
          <w:szCs w:val="22"/>
        </w:rPr>
        <w:t xml:space="preserve"> Thus, </w:t>
      </w:r>
      <w:r w:rsidR="00357C55" w:rsidRPr="00C9569B">
        <w:rPr>
          <w:rFonts w:cstheme="minorHAnsi"/>
          <w:color w:val="000000" w:themeColor="text1"/>
          <w:kern w:val="1"/>
          <w:szCs w:val="22"/>
        </w:rPr>
        <w:t>the causal link between these acts and omissions, and poverty (rather than poverty itself) is rendered visible</w:t>
      </w:r>
      <w:r w:rsidR="009539AD" w:rsidRPr="00C9569B">
        <w:rPr>
          <w:rFonts w:cstheme="minorHAnsi"/>
          <w:color w:val="000000" w:themeColor="text1"/>
          <w:kern w:val="1"/>
          <w:szCs w:val="22"/>
        </w:rPr>
        <w:t>.</w:t>
      </w:r>
      <w:r w:rsidR="00357C55" w:rsidRPr="00C9569B">
        <w:rPr>
          <w:rFonts w:cstheme="minorHAnsi"/>
          <w:color w:val="000000" w:themeColor="text1"/>
          <w:kern w:val="1"/>
          <w:szCs w:val="22"/>
        </w:rPr>
        <w:t xml:space="preserve"> </w:t>
      </w:r>
      <w:r w:rsidR="009539AD" w:rsidRPr="003B0D3E">
        <w:rPr>
          <w:rFonts w:cstheme="minorHAnsi"/>
          <w:szCs w:val="22"/>
        </w:rPr>
        <w:t xml:space="preserve"> </w:t>
      </w:r>
    </w:p>
    <w:p w14:paraId="59DD7AF7" w14:textId="76C20444" w:rsidR="00F77585" w:rsidRDefault="00AD7C05" w:rsidP="004C6FD1">
      <w:pPr>
        <w:spacing w:line="480" w:lineRule="auto"/>
        <w:ind w:firstLine="720"/>
        <w:jc w:val="both"/>
        <w:rPr>
          <w:rFonts w:cstheme="minorHAnsi"/>
          <w:color w:val="000000" w:themeColor="text1"/>
          <w:szCs w:val="22"/>
        </w:rPr>
      </w:pPr>
      <w:r>
        <w:rPr>
          <w:rFonts w:cstheme="minorHAnsi"/>
          <w:color w:val="000000" w:themeColor="text1"/>
          <w:szCs w:val="22"/>
        </w:rPr>
        <w:t xml:space="preserve">In the </w:t>
      </w:r>
      <w:r w:rsidR="002B171A">
        <w:rPr>
          <w:rFonts w:cstheme="minorHAnsi"/>
          <w:color w:val="000000" w:themeColor="text1"/>
          <w:szCs w:val="22"/>
        </w:rPr>
        <w:t>UK,</w:t>
      </w:r>
      <w:r>
        <w:rPr>
          <w:rFonts w:cstheme="minorHAnsi"/>
          <w:color w:val="000000" w:themeColor="text1"/>
          <w:szCs w:val="22"/>
        </w:rPr>
        <w:t xml:space="preserve"> current </w:t>
      </w:r>
      <w:r w:rsidR="00484A02" w:rsidRPr="00E14F67">
        <w:rPr>
          <w:rFonts w:cstheme="minorHAnsi"/>
          <w:color w:val="000000" w:themeColor="text1"/>
          <w:szCs w:val="22"/>
        </w:rPr>
        <w:t>poverty</w:t>
      </w:r>
      <w:r w:rsidR="00164BCB" w:rsidRPr="00E14F67">
        <w:rPr>
          <w:rFonts w:cstheme="minorHAnsi"/>
          <w:color w:val="000000" w:themeColor="text1"/>
          <w:szCs w:val="22"/>
        </w:rPr>
        <w:t xml:space="preserve"> levels</w:t>
      </w:r>
      <w:r w:rsidR="00484A02" w:rsidRPr="00E14F67">
        <w:rPr>
          <w:rFonts w:cstheme="minorHAnsi"/>
          <w:color w:val="000000" w:themeColor="text1"/>
          <w:szCs w:val="22"/>
        </w:rPr>
        <w:t xml:space="preserve"> must be understood within the context </w:t>
      </w:r>
      <w:r w:rsidR="002D50F9" w:rsidRPr="00E14F67">
        <w:rPr>
          <w:rFonts w:cstheme="minorHAnsi"/>
          <w:color w:val="000000" w:themeColor="text1"/>
          <w:szCs w:val="22"/>
        </w:rPr>
        <w:t xml:space="preserve">of </w:t>
      </w:r>
      <w:r w:rsidR="002D50F9">
        <w:rPr>
          <w:rFonts w:cstheme="minorHAnsi"/>
          <w:color w:val="000000" w:themeColor="text1"/>
          <w:szCs w:val="22"/>
        </w:rPr>
        <w:t>the</w:t>
      </w:r>
      <w:r>
        <w:rPr>
          <w:rFonts w:cstheme="minorHAnsi"/>
          <w:color w:val="000000" w:themeColor="text1"/>
          <w:szCs w:val="22"/>
        </w:rPr>
        <w:t xml:space="preserve"> financial crisis of 2008 and the consequent </w:t>
      </w:r>
      <w:r w:rsidR="00484A02" w:rsidRPr="00E14F67">
        <w:rPr>
          <w:rFonts w:cstheme="minorHAnsi"/>
          <w:color w:val="000000" w:themeColor="text1"/>
          <w:szCs w:val="22"/>
        </w:rPr>
        <w:t>austerity</w:t>
      </w:r>
      <w:r>
        <w:rPr>
          <w:rFonts w:cstheme="minorHAnsi"/>
          <w:color w:val="000000" w:themeColor="text1"/>
          <w:szCs w:val="22"/>
        </w:rPr>
        <w:t xml:space="preserve"> measures</w:t>
      </w:r>
      <w:r w:rsidR="00F77A87">
        <w:rPr>
          <w:rFonts w:cstheme="minorHAnsi"/>
          <w:color w:val="000000" w:themeColor="text1"/>
          <w:szCs w:val="22"/>
        </w:rPr>
        <w:t xml:space="preserve"> which negatively impacted upon the already most vulnerable within UK society</w:t>
      </w:r>
      <w:r w:rsidR="00484A02" w:rsidRPr="00E14F67">
        <w:rPr>
          <w:rFonts w:cstheme="minorHAnsi"/>
          <w:color w:val="000000" w:themeColor="text1"/>
          <w:szCs w:val="22"/>
        </w:rPr>
        <w:t xml:space="preserve">. </w:t>
      </w:r>
      <w:r w:rsidR="0052305C" w:rsidRPr="0052305C">
        <w:rPr>
          <w:rFonts w:cstheme="minorHAnsi"/>
          <w:color w:val="000000" w:themeColor="text1"/>
          <w:szCs w:val="22"/>
        </w:rPr>
        <w:t xml:space="preserve">Although poverty is not a new phenomenon, both the scale and depth of poverty in the UK has worsened as a consequence of austerity.  </w:t>
      </w:r>
      <w:r w:rsidR="00495B0C">
        <w:rPr>
          <w:rFonts w:cstheme="minorHAnsi"/>
          <w:color w:val="000000" w:themeColor="text1"/>
          <w:szCs w:val="22"/>
        </w:rPr>
        <w:t>In the UK context</w:t>
      </w:r>
      <w:r w:rsidR="0052305C" w:rsidRPr="0052305C">
        <w:rPr>
          <w:rFonts w:cstheme="minorHAnsi"/>
          <w:color w:val="000000" w:themeColor="text1"/>
          <w:szCs w:val="22"/>
        </w:rPr>
        <w:t xml:space="preserve">, </w:t>
      </w:r>
      <w:r w:rsidR="00495B0C" w:rsidRPr="00744B3C">
        <w:t>austerity is most associated with the global financial crisis of the first decade of the 2000s</w:t>
      </w:r>
      <w:r w:rsidR="00495B0C">
        <w:t xml:space="preserve"> </w:t>
      </w:r>
      <w:r w:rsidR="002D50F9">
        <w:t xml:space="preserve">when </w:t>
      </w:r>
      <w:r w:rsidR="002D50F9" w:rsidRPr="00744B3C">
        <w:t>austerity</w:t>
      </w:r>
      <w:r w:rsidR="00495B0C" w:rsidRPr="00744B3C">
        <w:t xml:space="preserve"> </w:t>
      </w:r>
      <w:r w:rsidR="00495B0C">
        <w:t>was the mechanism through which the public deficit was reduced in response to increased public debt. This was achieved through</w:t>
      </w:r>
      <w:r w:rsidR="00495B0C" w:rsidRPr="002B57A2">
        <w:t xml:space="preserve"> ‘deregulation, privatisation, free trade and investment, and the withdrawal of the state from many areas of social provision’ (Salomon 2015, 541)</w:t>
      </w:r>
      <w:r w:rsidR="00495B0C">
        <w:t>.</w:t>
      </w:r>
      <w:r w:rsidR="00495B0C" w:rsidRPr="00495B0C">
        <w:t xml:space="preserve"> </w:t>
      </w:r>
      <w:r w:rsidR="00495B0C" w:rsidRPr="00B71436">
        <w:t>Th</w:t>
      </w:r>
      <w:r w:rsidR="00495B0C">
        <w:t xml:space="preserve">is withdrawal of the State from social provision included </w:t>
      </w:r>
      <w:r w:rsidR="00495B0C" w:rsidRPr="00C9569B">
        <w:rPr>
          <w:i/>
          <w:iCs/>
        </w:rPr>
        <w:t>inter alia</w:t>
      </w:r>
      <w:r w:rsidR="00495B0C" w:rsidRPr="00B71436">
        <w:t xml:space="preserve"> restricting contributory employment and support allowance to one year; replacing the disability living allowance; abolishing council tax benefit; introducing the ‘bedroom tax’; introducing a household benefit cap; limiting the increase of benefits; and the introduction of universal credit</w:t>
      </w:r>
      <w:r w:rsidR="00495B0C">
        <w:t xml:space="preserve"> </w:t>
      </w:r>
      <w:r w:rsidR="00495B0C" w:rsidRPr="00744B3C">
        <w:t>(Wilson et al 2013, 10).</w:t>
      </w:r>
      <w:r w:rsidR="00495B0C" w:rsidRPr="00495B0C">
        <w:t xml:space="preserve"> </w:t>
      </w:r>
      <w:r w:rsidR="00495B0C">
        <w:t>This means that as compared to before austerity, those in receipt of benefits are worse off (</w:t>
      </w:r>
      <w:r w:rsidR="00495B0C" w:rsidRPr="00744B3C">
        <w:t>Kennedy et al 201</w:t>
      </w:r>
      <w:r w:rsidR="00AB58EA">
        <w:t>6</w:t>
      </w:r>
      <w:r w:rsidR="00495B0C" w:rsidRPr="00744B3C">
        <w:t>, 23</w:t>
      </w:r>
      <w:r w:rsidR="00495B0C">
        <w:t xml:space="preserve">; </w:t>
      </w:r>
      <w:r w:rsidR="00495B0C" w:rsidRPr="00744B3C">
        <w:t xml:space="preserve">Wilson and Foster 2017, 11). </w:t>
      </w:r>
      <w:r w:rsidR="00495B0C">
        <w:t xml:space="preserve"> Moreover</w:t>
      </w:r>
      <w:r w:rsidR="00F77585">
        <w:t>,</w:t>
      </w:r>
      <w:r w:rsidR="00495B0C">
        <w:t xml:space="preserve"> there has been an increase in the ‘working poor’. </w:t>
      </w:r>
      <w:r w:rsidR="00F77585">
        <w:t xml:space="preserve">For example, public sector </w:t>
      </w:r>
      <w:r w:rsidR="002D50F9">
        <w:t>pays</w:t>
      </w:r>
      <w:r w:rsidR="00F77585">
        <w:t xml:space="preserve"> freezes have resulted in real terms pay cuts for many in the public sector (</w:t>
      </w:r>
      <w:r w:rsidR="00A34D23">
        <w:t>Strauss</w:t>
      </w:r>
      <w:r w:rsidR="000845DF">
        <w:t xml:space="preserve"> 2020</w:t>
      </w:r>
      <w:r w:rsidR="00F77585">
        <w:t>)</w:t>
      </w:r>
      <w:r w:rsidR="00334502">
        <w:t>.</w:t>
      </w:r>
    </w:p>
    <w:p w14:paraId="1F2B43E2" w14:textId="7E33D7C3" w:rsidR="00C261A9" w:rsidRDefault="00F77585" w:rsidP="00203FCB">
      <w:pPr>
        <w:spacing w:line="480" w:lineRule="auto"/>
        <w:ind w:firstLine="720"/>
        <w:jc w:val="both"/>
        <w:rPr>
          <w:rFonts w:cstheme="minorHAnsi"/>
          <w:color w:val="000000" w:themeColor="text1"/>
          <w:szCs w:val="22"/>
        </w:rPr>
      </w:pPr>
      <w:r>
        <w:rPr>
          <w:rFonts w:cstheme="minorHAnsi"/>
          <w:color w:val="000000" w:themeColor="text1"/>
          <w:szCs w:val="22"/>
        </w:rPr>
        <w:lastRenderedPageBreak/>
        <w:t>Thus, t</w:t>
      </w:r>
      <w:r w:rsidR="00AD7C05">
        <w:rPr>
          <w:rFonts w:cstheme="minorHAnsi"/>
          <w:color w:val="000000" w:themeColor="text1"/>
          <w:szCs w:val="22"/>
        </w:rPr>
        <w:t>he</w:t>
      </w:r>
      <w:r w:rsidR="000C5637" w:rsidRPr="00E14F67">
        <w:rPr>
          <w:rFonts w:cstheme="minorHAnsi"/>
          <w:color w:val="000000" w:themeColor="text1"/>
          <w:szCs w:val="22"/>
        </w:rPr>
        <w:t xml:space="preserve"> overall consequence of austerity has been a rise in deprivation </w:t>
      </w:r>
      <w:r w:rsidR="000C5637" w:rsidRPr="00E14F67">
        <w:rPr>
          <w:rFonts w:cstheme="minorHAnsi"/>
          <w:color w:val="000000" w:themeColor="text1"/>
          <w:szCs w:val="22"/>
        </w:rPr>
        <w:fldChar w:fldCharType="begin"/>
      </w:r>
      <w:r w:rsidR="000C5637" w:rsidRPr="00E14F67">
        <w:rPr>
          <w:rFonts w:cstheme="minorHAnsi"/>
          <w:color w:val="000000" w:themeColor="text1"/>
          <w:szCs w:val="22"/>
        </w:rPr>
        <w:instrText xml:space="preserve"> ADDIN ZOTERO_ITEM CSL_CITATION {"citationID":"28Ziu4UQ","properties":{"formattedCitation":"(Bell and Cemlyn 2014, 826)","plainCitation":"(Bell and Cemlyn 2014, 826)","noteIndex":0},"citationItems":[{"id":34,"uris":["http://zotero.org/users/6323431/items/6DJDS9EB"],"uri":["http://zotero.org/users/6323431/items/6DJDS9EB"],"itemData":{"id":34,"type":"article-journal","container-title":"The International Journal of Human Rights","issue":"7-8","page":"822","title":"Developing public support for human rights in the United Kingdom: reasserting the importance of socio-economic rights","volume":"18","author":[{"family":"Bell","given":"Karen"},{"family":"Cemlyn","given":"Sarah"}],"issued":{"date-parts":[["2014"]]}},"locator":"826"}],"schema":"https://github.com/citation-style-language/schema/raw/master/csl-citation.json"} </w:instrText>
      </w:r>
      <w:r w:rsidR="000C5637" w:rsidRPr="00E14F67">
        <w:rPr>
          <w:rFonts w:cstheme="minorHAnsi"/>
          <w:color w:val="000000" w:themeColor="text1"/>
          <w:szCs w:val="22"/>
        </w:rPr>
        <w:fldChar w:fldCharType="separate"/>
      </w:r>
      <w:r w:rsidR="000C5637" w:rsidRPr="00E14F67">
        <w:rPr>
          <w:rFonts w:cstheme="minorHAnsi"/>
          <w:noProof/>
          <w:color w:val="000000" w:themeColor="text1"/>
          <w:szCs w:val="22"/>
        </w:rPr>
        <w:t>(Bell and Cemlyn 2014, 826)</w:t>
      </w:r>
      <w:r w:rsidR="000C5637" w:rsidRPr="00E14F67">
        <w:rPr>
          <w:rFonts w:cstheme="minorHAnsi"/>
          <w:color w:val="000000" w:themeColor="text1"/>
          <w:szCs w:val="22"/>
        </w:rPr>
        <w:fldChar w:fldCharType="end"/>
      </w:r>
      <w:r w:rsidR="000C5637" w:rsidRPr="00E14F67">
        <w:rPr>
          <w:rFonts w:cstheme="minorHAnsi"/>
          <w:color w:val="000000" w:themeColor="text1"/>
          <w:szCs w:val="22"/>
        </w:rPr>
        <w:t xml:space="preserve"> and widening and deepening poverty</w:t>
      </w:r>
      <w:r w:rsidR="00C261A9">
        <w:rPr>
          <w:rFonts w:cstheme="minorHAnsi"/>
          <w:color w:val="000000" w:themeColor="text1"/>
          <w:szCs w:val="22"/>
        </w:rPr>
        <w:t xml:space="preserve"> (</w:t>
      </w:r>
      <w:r w:rsidR="00C261A9" w:rsidRPr="00C261A9">
        <w:rPr>
          <w:rFonts w:cstheme="minorHAnsi"/>
          <w:color w:val="000000" w:themeColor="text1"/>
          <w:szCs w:val="22"/>
        </w:rPr>
        <w:t>Scotland’s National Action Plan for Human Rights</w:t>
      </w:r>
      <w:r w:rsidR="00AB2724">
        <w:rPr>
          <w:rFonts w:cstheme="minorHAnsi"/>
          <w:color w:val="000000" w:themeColor="text1"/>
          <w:szCs w:val="22"/>
        </w:rPr>
        <w:t xml:space="preserve"> </w:t>
      </w:r>
      <w:r w:rsidR="00C261A9" w:rsidRPr="00C261A9">
        <w:rPr>
          <w:rFonts w:cstheme="minorHAnsi"/>
          <w:color w:val="000000" w:themeColor="text1"/>
          <w:szCs w:val="22"/>
        </w:rPr>
        <w:t>2014</w:t>
      </w:r>
      <w:r w:rsidR="00AB2724">
        <w:rPr>
          <w:rFonts w:cstheme="minorHAnsi"/>
          <w:color w:val="000000" w:themeColor="text1"/>
          <w:szCs w:val="22"/>
        </w:rPr>
        <w:t xml:space="preserve">, </w:t>
      </w:r>
      <w:r w:rsidR="00C261A9" w:rsidRPr="00C261A9">
        <w:rPr>
          <w:rFonts w:cstheme="minorHAnsi"/>
          <w:color w:val="000000" w:themeColor="text1"/>
          <w:szCs w:val="22"/>
        </w:rPr>
        <w:t>5).</w:t>
      </w:r>
      <w:r w:rsidR="000C5637" w:rsidRPr="00E14F67">
        <w:rPr>
          <w:rFonts w:cstheme="minorHAnsi"/>
          <w:color w:val="000000" w:themeColor="text1"/>
          <w:szCs w:val="22"/>
        </w:rPr>
        <w:t xml:space="preserve"> </w:t>
      </w:r>
      <w:r w:rsidR="00AD7C05">
        <w:rPr>
          <w:rFonts w:cstheme="minorHAnsi"/>
          <w:color w:val="000000" w:themeColor="text1"/>
          <w:szCs w:val="22"/>
        </w:rPr>
        <w:t>P</w:t>
      </w:r>
      <w:r w:rsidR="000C5637" w:rsidRPr="00E14F67">
        <w:rPr>
          <w:rFonts w:cstheme="minorHAnsi"/>
          <w:color w:val="000000" w:themeColor="text1"/>
          <w:szCs w:val="22"/>
        </w:rPr>
        <w:t>overty statistics</w:t>
      </w:r>
      <w:r w:rsidR="00AD7C05">
        <w:rPr>
          <w:rFonts w:cstheme="minorHAnsi"/>
          <w:color w:val="000000" w:themeColor="text1"/>
          <w:szCs w:val="22"/>
        </w:rPr>
        <w:t xml:space="preserve"> indicate f</w:t>
      </w:r>
      <w:r w:rsidR="000C5637" w:rsidRPr="00E14F67">
        <w:rPr>
          <w:rFonts w:cstheme="minorHAnsi"/>
          <w:color w:val="000000" w:themeColor="text1"/>
          <w:szCs w:val="22"/>
        </w:rPr>
        <w:t xml:space="preserve">or example, </w:t>
      </w:r>
      <w:r w:rsidR="00AD7C05">
        <w:rPr>
          <w:rFonts w:cstheme="minorHAnsi"/>
          <w:color w:val="000000" w:themeColor="text1"/>
          <w:szCs w:val="22"/>
        </w:rPr>
        <w:t xml:space="preserve">that </w:t>
      </w:r>
      <w:r w:rsidR="000C5637" w:rsidRPr="00E14F67">
        <w:rPr>
          <w:rFonts w:cstheme="minorHAnsi"/>
          <w:color w:val="000000" w:themeColor="text1"/>
          <w:szCs w:val="22"/>
        </w:rPr>
        <w:t xml:space="preserve">child poverty rates have increased from 27.1% in 2011-12 to 30.3% (4.1 million) in 2016-17 and are projected to rise to 37% (5.2 million) by 2023-24 (Corlett 2019, 43). </w:t>
      </w:r>
      <w:r w:rsidR="00D25D94" w:rsidRPr="00D25D94">
        <w:rPr>
          <w:rFonts w:cstheme="minorHAnsi"/>
          <w:color w:val="000000" w:themeColor="text1"/>
          <w:szCs w:val="22"/>
        </w:rPr>
        <w:t xml:space="preserve">Levels of destitution are also on the rise with a recent Joseph Rowntree Foundation Report finding a 54% increase between 2017 and 2019 (JRF 2020, 2). </w:t>
      </w:r>
      <w:r>
        <w:rPr>
          <w:rFonts w:cstheme="minorHAnsi"/>
          <w:color w:val="000000" w:themeColor="text1"/>
          <w:szCs w:val="22"/>
        </w:rPr>
        <w:t>In sum</w:t>
      </w:r>
      <w:r w:rsidR="000C5637" w:rsidRPr="00E14F67">
        <w:rPr>
          <w:rFonts w:cstheme="minorHAnsi"/>
          <w:color w:val="000000" w:themeColor="text1"/>
          <w:szCs w:val="22"/>
        </w:rPr>
        <w:t xml:space="preserve">, austerity in the UK </w:t>
      </w:r>
      <w:r w:rsidR="000C5637" w:rsidRPr="00E14F67">
        <w:rPr>
          <w:rFonts w:cstheme="minorHAnsi"/>
          <w:color w:val="000000" w:themeColor="text1"/>
          <w:szCs w:val="22"/>
          <w:lang w:eastAsia="en-US"/>
        </w:rPr>
        <w:t xml:space="preserve">has </w:t>
      </w:r>
      <w:r w:rsidR="00AD7C05">
        <w:rPr>
          <w:rFonts w:cstheme="minorHAnsi"/>
          <w:color w:val="000000" w:themeColor="text1"/>
          <w:szCs w:val="22"/>
          <w:lang w:eastAsia="en-US"/>
        </w:rPr>
        <w:t xml:space="preserve">exacerbated existing poverty and </w:t>
      </w:r>
      <w:r w:rsidR="000C5637" w:rsidRPr="00E14F67">
        <w:rPr>
          <w:rFonts w:cstheme="minorHAnsi"/>
          <w:color w:val="000000" w:themeColor="text1"/>
          <w:szCs w:val="22"/>
          <w:lang w:eastAsia="en-US"/>
        </w:rPr>
        <w:t>served to entrench and compound the non-realisation of human rights.</w:t>
      </w:r>
      <w:r w:rsidR="000C5637" w:rsidRPr="00E14F67">
        <w:rPr>
          <w:rFonts w:cstheme="minorHAnsi"/>
          <w:color w:val="000000" w:themeColor="text1"/>
          <w:szCs w:val="22"/>
        </w:rPr>
        <w:t xml:space="preserve"> </w:t>
      </w:r>
    </w:p>
    <w:p w14:paraId="2826272A" w14:textId="08431AE8" w:rsidR="00F77A87" w:rsidRDefault="00AD7C05" w:rsidP="00E14F67">
      <w:pPr>
        <w:spacing w:line="480" w:lineRule="auto"/>
        <w:ind w:firstLine="720"/>
        <w:jc w:val="both"/>
        <w:rPr>
          <w:rFonts w:cstheme="minorHAnsi"/>
          <w:color w:val="000000" w:themeColor="text1"/>
          <w:kern w:val="1"/>
          <w:szCs w:val="22"/>
        </w:rPr>
      </w:pPr>
      <w:r>
        <w:rPr>
          <w:rFonts w:cstheme="minorHAnsi"/>
          <w:color w:val="000000" w:themeColor="text1"/>
          <w:szCs w:val="22"/>
        </w:rPr>
        <w:t>A range of ESCRs have been negatively impacted</w:t>
      </w:r>
      <w:r w:rsidR="00C261A9">
        <w:rPr>
          <w:rFonts w:cstheme="minorHAnsi"/>
          <w:color w:val="000000" w:themeColor="text1"/>
          <w:szCs w:val="22"/>
        </w:rPr>
        <w:t xml:space="preserve"> </w:t>
      </w:r>
      <w:r w:rsidR="00F77A87">
        <w:rPr>
          <w:rFonts w:cstheme="minorHAnsi"/>
          <w:color w:val="000000" w:themeColor="text1"/>
          <w:szCs w:val="22"/>
        </w:rPr>
        <w:t>by these policies: T</w:t>
      </w:r>
      <w:r w:rsidR="000C5637" w:rsidRPr="00E14F67">
        <w:rPr>
          <w:rFonts w:cstheme="minorHAnsi"/>
          <w:color w:val="000000" w:themeColor="text1"/>
          <w:szCs w:val="22"/>
        </w:rPr>
        <w:t>he health implications of austerity have in their most extreme resulted in increased mortality rates:  findings in England link austerity to 120,000 excess deaths between 2010 and 2017 (Watkins et al. 2017, 6).</w:t>
      </w:r>
      <w:r w:rsidR="000C5637" w:rsidRPr="00E14F67">
        <w:rPr>
          <w:rFonts w:cstheme="minorHAnsi"/>
          <w:color w:val="000000" w:themeColor="text1"/>
          <w:kern w:val="1"/>
          <w:szCs w:val="22"/>
        </w:rPr>
        <w:t xml:space="preserve"> </w:t>
      </w:r>
      <w:r w:rsidR="00F77A87">
        <w:rPr>
          <w:rFonts w:cstheme="minorHAnsi"/>
          <w:color w:val="000000" w:themeColor="text1"/>
          <w:szCs w:val="22"/>
        </w:rPr>
        <w:t xml:space="preserve"> </w:t>
      </w:r>
      <w:r>
        <w:rPr>
          <w:rFonts w:cstheme="minorHAnsi"/>
          <w:color w:val="000000" w:themeColor="text1"/>
          <w:szCs w:val="22"/>
        </w:rPr>
        <w:t>The right to food has also been affected. Notably, f</w:t>
      </w:r>
      <w:r w:rsidR="000C5637" w:rsidRPr="00E14F67">
        <w:rPr>
          <w:rFonts w:cstheme="minorHAnsi"/>
          <w:color w:val="000000" w:themeColor="text1"/>
          <w:szCs w:val="22"/>
        </w:rPr>
        <w:t xml:space="preserve">or some, a lack of adequate food is the ‘ultimate criterion of poverty’ (Narayan et al. 2000; quoted in Skogly 2002, 66). In the UK foodbank usage has expanded rapidly ‘specifically since the introduction of austerity policies from 2011 onwards’ (Strong 2020, 214) and Lambie-Mumford finds that receiving food aid from emergency food aid providers is not an acceptable process of obtaining food under right to food standards (Lambie-Mumford 2017, </w:t>
      </w:r>
      <w:r w:rsidR="005332A4">
        <w:rPr>
          <w:rFonts w:cstheme="minorHAnsi"/>
          <w:color w:val="000000" w:themeColor="text1"/>
          <w:szCs w:val="22"/>
        </w:rPr>
        <w:t>57-74</w:t>
      </w:r>
      <w:r w:rsidR="000C5637" w:rsidRPr="00E14F67">
        <w:rPr>
          <w:rFonts w:cstheme="minorHAnsi"/>
          <w:color w:val="000000" w:themeColor="text1"/>
          <w:szCs w:val="22"/>
        </w:rPr>
        <w:t xml:space="preserve">). </w:t>
      </w:r>
      <w:r w:rsidR="00F77A87">
        <w:rPr>
          <w:rFonts w:cstheme="minorHAnsi"/>
          <w:color w:val="000000" w:themeColor="text1"/>
          <w:kern w:val="1"/>
          <w:szCs w:val="22"/>
        </w:rPr>
        <w:t>Fu</w:t>
      </w:r>
      <w:r w:rsidR="0065344C">
        <w:rPr>
          <w:rFonts w:cstheme="minorHAnsi"/>
          <w:color w:val="000000" w:themeColor="text1"/>
          <w:kern w:val="1"/>
          <w:szCs w:val="22"/>
        </w:rPr>
        <w:t>r</w:t>
      </w:r>
      <w:r w:rsidR="00F77A87">
        <w:rPr>
          <w:rFonts w:cstheme="minorHAnsi"/>
          <w:color w:val="000000" w:themeColor="text1"/>
          <w:kern w:val="1"/>
          <w:szCs w:val="22"/>
        </w:rPr>
        <w:t>ther, s</w:t>
      </w:r>
      <w:r w:rsidR="00AB2724" w:rsidRPr="00AB2724">
        <w:rPr>
          <w:rFonts w:cstheme="minorHAnsi"/>
          <w:color w:val="000000" w:themeColor="text1"/>
          <w:kern w:val="1"/>
          <w:szCs w:val="22"/>
        </w:rPr>
        <w:t xml:space="preserve">pecific austerity policies have </w:t>
      </w:r>
      <w:r w:rsidR="00A36A23">
        <w:rPr>
          <w:rFonts w:cstheme="minorHAnsi"/>
          <w:color w:val="000000" w:themeColor="text1"/>
          <w:kern w:val="1"/>
          <w:szCs w:val="22"/>
        </w:rPr>
        <w:t>adversely impacted</w:t>
      </w:r>
      <w:r w:rsidR="00AB2724" w:rsidRPr="00AB2724">
        <w:rPr>
          <w:rFonts w:cstheme="minorHAnsi"/>
          <w:color w:val="000000" w:themeColor="text1"/>
          <w:kern w:val="1"/>
          <w:szCs w:val="22"/>
        </w:rPr>
        <w:t xml:space="preserve"> ‘the right to adequate housing’ with there being a ‘significant rise’ in homelessness (UN CESCR 2016, para. 51). </w:t>
      </w:r>
      <w:r w:rsidR="00AB2724">
        <w:rPr>
          <w:rFonts w:cstheme="minorHAnsi"/>
          <w:color w:val="000000" w:themeColor="text1"/>
          <w:kern w:val="1"/>
          <w:szCs w:val="22"/>
        </w:rPr>
        <w:t xml:space="preserve">The Special </w:t>
      </w:r>
      <w:r w:rsidR="002D50F9">
        <w:rPr>
          <w:rFonts w:cstheme="minorHAnsi"/>
          <w:color w:val="000000" w:themeColor="text1"/>
          <w:kern w:val="1"/>
          <w:szCs w:val="22"/>
        </w:rPr>
        <w:t>Rapporteur</w:t>
      </w:r>
      <w:r w:rsidR="00AB2724">
        <w:rPr>
          <w:rFonts w:cstheme="minorHAnsi"/>
          <w:color w:val="000000" w:themeColor="text1"/>
          <w:kern w:val="1"/>
          <w:szCs w:val="22"/>
        </w:rPr>
        <w:t xml:space="preserve"> on Poverty in his report on the </w:t>
      </w:r>
      <w:r w:rsidR="002D50F9">
        <w:rPr>
          <w:rFonts w:cstheme="minorHAnsi"/>
          <w:color w:val="000000" w:themeColor="text1"/>
          <w:kern w:val="1"/>
          <w:szCs w:val="22"/>
        </w:rPr>
        <w:t xml:space="preserve">UK </w:t>
      </w:r>
      <w:r w:rsidR="002D50F9" w:rsidRPr="00E14F67">
        <w:rPr>
          <w:rFonts w:cstheme="minorHAnsi"/>
          <w:color w:val="000000" w:themeColor="text1"/>
          <w:kern w:val="1"/>
          <w:szCs w:val="22"/>
        </w:rPr>
        <w:t>highlighted</w:t>
      </w:r>
      <w:r w:rsidR="000C5637" w:rsidRPr="00E14F67">
        <w:rPr>
          <w:rFonts w:cstheme="minorHAnsi"/>
          <w:color w:val="000000" w:themeColor="text1"/>
          <w:kern w:val="1"/>
          <w:szCs w:val="22"/>
        </w:rPr>
        <w:t xml:space="preserve"> that the </w:t>
      </w:r>
      <w:r w:rsidR="00AB2724">
        <w:rPr>
          <w:rFonts w:cstheme="minorHAnsi"/>
          <w:color w:val="000000" w:themeColor="text1"/>
          <w:kern w:val="1"/>
          <w:szCs w:val="22"/>
        </w:rPr>
        <w:t xml:space="preserve">UK </w:t>
      </w:r>
      <w:r w:rsidR="000C5637" w:rsidRPr="00E14F67">
        <w:rPr>
          <w:rFonts w:cstheme="minorHAnsi"/>
          <w:color w:val="000000" w:themeColor="text1"/>
          <w:kern w:val="1"/>
          <w:szCs w:val="22"/>
        </w:rPr>
        <w:t xml:space="preserve">Secretary of State for Housing has ‘acknowledged that the Government’s policies may have played a role in rising </w:t>
      </w:r>
      <w:r w:rsidR="000C5637" w:rsidRPr="00E14F67">
        <w:rPr>
          <w:rFonts w:cstheme="minorHAnsi"/>
          <w:color w:val="000000" w:themeColor="text1"/>
          <w:kern w:val="1"/>
          <w:szCs w:val="22"/>
        </w:rPr>
        <w:lastRenderedPageBreak/>
        <w:t>homelessness’ (</w:t>
      </w:r>
      <w:r w:rsidR="000C5637" w:rsidRPr="00E14F67">
        <w:rPr>
          <w:rFonts w:cstheme="minorHAnsi"/>
          <w:color w:val="000000" w:themeColor="text1"/>
          <w:szCs w:val="22"/>
        </w:rPr>
        <w:t xml:space="preserve">UN Human Rights Council 2019, </w:t>
      </w:r>
      <w:r w:rsidR="000C5637" w:rsidRPr="00E14F67">
        <w:rPr>
          <w:rFonts w:cstheme="minorHAnsi"/>
          <w:color w:val="000000" w:themeColor="text1"/>
          <w:kern w:val="1"/>
          <w:szCs w:val="22"/>
        </w:rPr>
        <w:t>para. 15). Given that ‘homelessness often results in the violation of a host of other human rights, from</w:t>
      </w:r>
      <w:r w:rsidR="000F0221">
        <w:rPr>
          <w:rFonts w:cstheme="minorHAnsi"/>
          <w:color w:val="000000" w:themeColor="text1"/>
          <w:kern w:val="1"/>
          <w:szCs w:val="22"/>
        </w:rPr>
        <w:t xml:space="preserve"> </w:t>
      </w:r>
      <w:r w:rsidR="000C5637" w:rsidRPr="00E14F67">
        <w:rPr>
          <w:rFonts w:cstheme="minorHAnsi"/>
          <w:color w:val="000000" w:themeColor="text1"/>
          <w:kern w:val="1"/>
          <w:szCs w:val="22"/>
        </w:rPr>
        <w:t>privacy to health, and in the inability to exercise civic human rights such as the right to vote’</w:t>
      </w:r>
      <w:r w:rsidR="0034705E">
        <w:rPr>
          <w:rFonts w:cstheme="minorHAnsi"/>
          <w:color w:val="000000" w:themeColor="text1"/>
          <w:kern w:val="1"/>
          <w:szCs w:val="22"/>
        </w:rPr>
        <w:t xml:space="preserve"> </w:t>
      </w:r>
      <w:r w:rsidR="000C5637" w:rsidRPr="00E14F67">
        <w:rPr>
          <w:rFonts w:cstheme="minorHAnsi"/>
          <w:color w:val="000000" w:themeColor="text1"/>
          <w:kern w:val="1"/>
          <w:szCs w:val="22"/>
        </w:rPr>
        <w:t>(Hohmann 2015, 24)</w:t>
      </w:r>
      <w:r w:rsidR="00F77A87">
        <w:rPr>
          <w:rFonts w:cstheme="minorHAnsi"/>
          <w:color w:val="000000" w:themeColor="text1"/>
          <w:kern w:val="1"/>
          <w:szCs w:val="22"/>
        </w:rPr>
        <w:t>,</w:t>
      </w:r>
      <w:r w:rsidR="000C5637" w:rsidRPr="00E14F67">
        <w:rPr>
          <w:rFonts w:cstheme="minorHAnsi"/>
          <w:color w:val="000000" w:themeColor="text1"/>
          <w:kern w:val="1"/>
          <w:szCs w:val="22"/>
        </w:rPr>
        <w:t xml:space="preserve"> it </w:t>
      </w:r>
      <w:r w:rsidR="000F0221">
        <w:rPr>
          <w:rFonts w:cstheme="minorHAnsi"/>
          <w:color w:val="000000" w:themeColor="text1"/>
          <w:kern w:val="1"/>
          <w:szCs w:val="22"/>
        </w:rPr>
        <w:t>is clear</w:t>
      </w:r>
      <w:r w:rsidR="000C5637" w:rsidRPr="00E14F67">
        <w:rPr>
          <w:rFonts w:cstheme="minorHAnsi"/>
          <w:color w:val="000000" w:themeColor="text1"/>
          <w:kern w:val="1"/>
          <w:szCs w:val="22"/>
        </w:rPr>
        <w:t xml:space="preserve"> that </w:t>
      </w:r>
      <w:r w:rsidR="00E304E8">
        <w:rPr>
          <w:rFonts w:cstheme="minorHAnsi"/>
          <w:color w:val="000000" w:themeColor="text1"/>
          <w:kern w:val="1"/>
          <w:szCs w:val="22"/>
        </w:rPr>
        <w:t xml:space="preserve">such </w:t>
      </w:r>
      <w:r w:rsidR="002D50F9" w:rsidRPr="00E14F67">
        <w:rPr>
          <w:rFonts w:cstheme="minorHAnsi"/>
          <w:color w:val="000000" w:themeColor="text1"/>
          <w:kern w:val="1"/>
          <w:szCs w:val="22"/>
        </w:rPr>
        <w:t>governmental</w:t>
      </w:r>
      <w:r w:rsidR="002D50F9">
        <w:rPr>
          <w:rFonts w:cstheme="minorHAnsi"/>
          <w:color w:val="000000" w:themeColor="text1"/>
          <w:kern w:val="1"/>
          <w:szCs w:val="22"/>
        </w:rPr>
        <w:t xml:space="preserve"> </w:t>
      </w:r>
      <w:r w:rsidR="002D50F9" w:rsidRPr="00E14F67">
        <w:rPr>
          <w:rFonts w:cstheme="minorHAnsi"/>
          <w:color w:val="000000" w:themeColor="text1"/>
          <w:kern w:val="1"/>
          <w:szCs w:val="22"/>
        </w:rPr>
        <w:t>policies</w:t>
      </w:r>
      <w:r w:rsidR="000C5637" w:rsidRPr="00E14F67">
        <w:rPr>
          <w:rFonts w:cstheme="minorHAnsi"/>
          <w:color w:val="000000" w:themeColor="text1"/>
          <w:kern w:val="1"/>
          <w:szCs w:val="22"/>
        </w:rPr>
        <w:t xml:space="preserve"> can </w:t>
      </w:r>
      <w:r w:rsidR="00F77A87">
        <w:rPr>
          <w:rFonts w:cstheme="minorHAnsi"/>
          <w:color w:val="000000" w:themeColor="text1"/>
          <w:kern w:val="1"/>
          <w:szCs w:val="22"/>
        </w:rPr>
        <w:t xml:space="preserve">result in the violation </w:t>
      </w:r>
      <w:r w:rsidR="002D50F9">
        <w:rPr>
          <w:rFonts w:cstheme="minorHAnsi"/>
          <w:color w:val="000000" w:themeColor="text1"/>
          <w:kern w:val="1"/>
          <w:szCs w:val="22"/>
        </w:rPr>
        <w:t xml:space="preserve">of </w:t>
      </w:r>
      <w:r w:rsidR="002D50F9" w:rsidRPr="00E14F67">
        <w:rPr>
          <w:rFonts w:cstheme="minorHAnsi"/>
          <w:color w:val="000000" w:themeColor="text1"/>
          <w:kern w:val="1"/>
          <w:szCs w:val="22"/>
        </w:rPr>
        <w:t>a</w:t>
      </w:r>
      <w:r w:rsidR="00F77A87" w:rsidRPr="00E14F67">
        <w:rPr>
          <w:rFonts w:cstheme="minorHAnsi"/>
          <w:color w:val="000000" w:themeColor="text1"/>
          <w:kern w:val="1"/>
          <w:szCs w:val="22"/>
        </w:rPr>
        <w:t xml:space="preserve"> </w:t>
      </w:r>
      <w:r w:rsidR="000C5637" w:rsidRPr="00E14F67">
        <w:rPr>
          <w:rFonts w:cstheme="minorHAnsi"/>
          <w:color w:val="000000" w:themeColor="text1"/>
          <w:kern w:val="1"/>
          <w:szCs w:val="22"/>
        </w:rPr>
        <w:t>broad</w:t>
      </w:r>
      <w:r w:rsidR="00F77A87">
        <w:rPr>
          <w:rFonts w:cstheme="minorHAnsi"/>
          <w:color w:val="000000" w:themeColor="text1"/>
          <w:kern w:val="1"/>
          <w:szCs w:val="22"/>
        </w:rPr>
        <w:t xml:space="preserve"> spectrum of</w:t>
      </w:r>
      <w:r w:rsidR="000C5637" w:rsidRPr="00E14F67">
        <w:rPr>
          <w:rFonts w:cstheme="minorHAnsi"/>
          <w:color w:val="000000" w:themeColor="text1"/>
          <w:kern w:val="1"/>
          <w:szCs w:val="22"/>
        </w:rPr>
        <w:t xml:space="preserve"> human rights</w:t>
      </w:r>
      <w:r w:rsidR="000F0221">
        <w:rPr>
          <w:rFonts w:cstheme="minorHAnsi"/>
          <w:color w:val="000000" w:themeColor="text1"/>
          <w:kern w:val="1"/>
          <w:szCs w:val="22"/>
        </w:rPr>
        <w:t xml:space="preserve">, </w:t>
      </w:r>
      <w:r w:rsidR="0032644F" w:rsidRPr="00E14F67">
        <w:rPr>
          <w:rFonts w:cstheme="minorHAnsi"/>
          <w:color w:val="000000" w:themeColor="text1"/>
          <w:kern w:val="1"/>
          <w:szCs w:val="22"/>
        </w:rPr>
        <w:t xml:space="preserve">beyond the right to </w:t>
      </w:r>
      <w:r w:rsidR="00F77A87">
        <w:rPr>
          <w:rFonts w:cstheme="minorHAnsi"/>
          <w:color w:val="000000" w:themeColor="text1"/>
          <w:kern w:val="1"/>
          <w:szCs w:val="22"/>
        </w:rPr>
        <w:t>an adequate standard of living.</w:t>
      </w:r>
    </w:p>
    <w:p w14:paraId="1003BA9F" w14:textId="40DA3CC7" w:rsidR="00F77A87" w:rsidRPr="00C9569B" w:rsidRDefault="000F0221" w:rsidP="00120010">
      <w:pPr>
        <w:spacing w:line="480" w:lineRule="auto"/>
        <w:ind w:firstLine="720"/>
        <w:jc w:val="both"/>
      </w:pPr>
      <w:r>
        <w:rPr>
          <w:rFonts w:cstheme="minorHAnsi"/>
          <w:color w:val="000000" w:themeColor="text1"/>
          <w:kern w:val="1"/>
          <w:szCs w:val="22"/>
        </w:rPr>
        <w:t xml:space="preserve"> </w:t>
      </w:r>
      <w:r w:rsidR="003823E5" w:rsidRPr="001E77DC">
        <w:rPr>
          <w:rFonts w:cstheme="minorHAnsi"/>
          <w:color w:val="000000" w:themeColor="text1"/>
          <w:kern w:val="1"/>
          <w:szCs w:val="22"/>
        </w:rPr>
        <w:t>Most recently</w:t>
      </w:r>
      <w:r w:rsidR="0034705E">
        <w:rPr>
          <w:rFonts w:cstheme="minorHAnsi"/>
          <w:color w:val="000000" w:themeColor="text1"/>
          <w:kern w:val="1"/>
          <w:szCs w:val="22"/>
        </w:rPr>
        <w:t xml:space="preserve">, </w:t>
      </w:r>
      <w:r w:rsidR="003823E5" w:rsidRPr="001E77DC">
        <w:rPr>
          <w:rFonts w:cstheme="minorHAnsi"/>
          <w:color w:val="000000" w:themeColor="text1"/>
          <w:kern w:val="1"/>
          <w:szCs w:val="22"/>
        </w:rPr>
        <w:t>the COVID</w:t>
      </w:r>
      <w:r w:rsidR="005D7E53">
        <w:rPr>
          <w:rFonts w:cstheme="minorHAnsi"/>
          <w:color w:val="000000" w:themeColor="text1"/>
          <w:kern w:val="1"/>
          <w:szCs w:val="22"/>
        </w:rPr>
        <w:t>-</w:t>
      </w:r>
      <w:r w:rsidR="003823E5" w:rsidRPr="001E77DC">
        <w:rPr>
          <w:rFonts w:cstheme="minorHAnsi"/>
          <w:color w:val="000000" w:themeColor="text1"/>
          <w:kern w:val="1"/>
          <w:szCs w:val="22"/>
        </w:rPr>
        <w:t xml:space="preserve">19 pandemic has negatively impacted upon those already </w:t>
      </w:r>
      <w:r w:rsidR="003823E5" w:rsidRPr="00D95974">
        <w:rPr>
          <w:rFonts w:cstheme="minorHAnsi"/>
          <w:color w:val="000000" w:themeColor="text1"/>
          <w:kern w:val="1"/>
          <w:szCs w:val="22"/>
        </w:rPr>
        <w:t xml:space="preserve">most </w:t>
      </w:r>
      <w:r w:rsidR="00711C7A" w:rsidRPr="00C9569B">
        <w:rPr>
          <w:rFonts w:cstheme="minorHAnsi"/>
          <w:color w:val="000000" w:themeColor="text1"/>
          <w:kern w:val="1"/>
          <w:szCs w:val="22"/>
        </w:rPr>
        <w:t>vulnerable</w:t>
      </w:r>
      <w:r w:rsidR="003823E5" w:rsidRPr="003C300C">
        <w:rPr>
          <w:rFonts w:cstheme="minorHAnsi"/>
          <w:color w:val="000000" w:themeColor="text1"/>
          <w:kern w:val="1"/>
          <w:szCs w:val="22"/>
        </w:rPr>
        <w:t xml:space="preserve"> within UK society. </w:t>
      </w:r>
      <w:r w:rsidR="006A6788">
        <w:rPr>
          <w:rFonts w:cstheme="minorHAnsi"/>
          <w:color w:val="000000" w:themeColor="text1"/>
          <w:szCs w:val="22"/>
        </w:rPr>
        <w:t xml:space="preserve"> </w:t>
      </w:r>
      <w:r w:rsidR="00711C7A" w:rsidRPr="00D25D94">
        <w:rPr>
          <w:rFonts w:cstheme="minorHAnsi"/>
          <w:color w:val="000000" w:themeColor="text1"/>
          <w:szCs w:val="22"/>
        </w:rPr>
        <w:t xml:space="preserve">In the UK, </w:t>
      </w:r>
      <w:r w:rsidR="006A6788">
        <w:rPr>
          <w:rFonts w:cstheme="minorHAnsi"/>
          <w:color w:val="000000" w:themeColor="text1"/>
          <w:szCs w:val="22"/>
        </w:rPr>
        <w:t>the effects of the pandemic have already increased poverty</w:t>
      </w:r>
      <w:r w:rsidR="008A4EA1">
        <w:t xml:space="preserve"> </w:t>
      </w:r>
      <w:r w:rsidR="00711C7A" w:rsidRPr="00D25D94">
        <w:rPr>
          <w:rFonts w:cstheme="minorHAnsi"/>
          <w:color w:val="000000" w:themeColor="text1"/>
          <w:szCs w:val="22"/>
        </w:rPr>
        <w:t>(Butler 2020; Gordon 2020; Legatum Institute 2020)</w:t>
      </w:r>
      <w:r w:rsidR="00A36A23">
        <w:rPr>
          <w:rFonts w:cstheme="minorHAnsi"/>
          <w:color w:val="000000" w:themeColor="text1"/>
          <w:szCs w:val="22"/>
        </w:rPr>
        <w:t xml:space="preserve">. </w:t>
      </w:r>
      <w:r w:rsidR="00F77585">
        <w:rPr>
          <w:rFonts w:cstheme="minorHAnsi"/>
          <w:color w:val="000000" w:themeColor="text1"/>
          <w:szCs w:val="22"/>
        </w:rPr>
        <w:t xml:space="preserve">This is due to </w:t>
      </w:r>
      <w:r w:rsidR="00A36A23">
        <w:rPr>
          <w:rFonts w:cstheme="minorHAnsi"/>
          <w:color w:val="000000" w:themeColor="text1"/>
          <w:szCs w:val="22"/>
        </w:rPr>
        <w:t>numerous</w:t>
      </w:r>
      <w:r w:rsidR="00F77585">
        <w:rPr>
          <w:rFonts w:cstheme="minorHAnsi"/>
          <w:color w:val="000000" w:themeColor="text1"/>
          <w:szCs w:val="22"/>
        </w:rPr>
        <w:t xml:space="preserve"> factors including </w:t>
      </w:r>
      <w:r w:rsidR="00F77585" w:rsidRPr="00744B3C">
        <w:t>increased</w:t>
      </w:r>
      <w:r w:rsidR="00F77585">
        <w:t xml:space="preserve"> unemployment</w:t>
      </w:r>
      <w:r w:rsidR="008A4EA1">
        <w:t xml:space="preserve"> and</w:t>
      </w:r>
      <w:r w:rsidR="00F77585">
        <w:t xml:space="preserve"> increased reliance on a welfare state</w:t>
      </w:r>
      <w:r w:rsidR="008A4EA1">
        <w:t>,</w:t>
      </w:r>
      <w:r w:rsidR="00F77585">
        <w:t xml:space="preserve"> which itself has been made inadequate by a decade of austerity driven reform. Even the </w:t>
      </w:r>
      <w:r w:rsidR="006A6788">
        <w:t xml:space="preserve">governmental </w:t>
      </w:r>
      <w:r w:rsidR="00F77585">
        <w:t>measures designed to reduce increases in unemployment</w:t>
      </w:r>
      <w:r w:rsidR="006A6788">
        <w:t xml:space="preserve"> have</w:t>
      </w:r>
      <w:r w:rsidR="00F77585">
        <w:t xml:space="preserve"> undermine</w:t>
      </w:r>
      <w:r w:rsidR="006A6788">
        <w:t>d</w:t>
      </w:r>
      <w:r w:rsidR="00F77585">
        <w:t xml:space="preserve"> peoples’ ability to avoid poverty. For example, the furlough scheme guaranteed only 80% of wages. For </w:t>
      </w:r>
      <w:r w:rsidR="00A858D8">
        <w:t>some</w:t>
      </w:r>
      <w:r w:rsidR="00F77585">
        <w:t xml:space="preserve">, 80% </w:t>
      </w:r>
      <w:r w:rsidR="00640D56">
        <w:t xml:space="preserve">may be </w:t>
      </w:r>
      <w:r w:rsidR="004D4A8C">
        <w:t>insufficient to avert poverty</w:t>
      </w:r>
      <w:r w:rsidR="008A4EA1">
        <w:t xml:space="preserve"> (</w:t>
      </w:r>
      <w:r w:rsidR="006B5662">
        <w:t>McDonald</w:t>
      </w:r>
      <w:r w:rsidR="00422C71">
        <w:t>, 2020</w:t>
      </w:r>
      <w:r w:rsidR="008A4EA1">
        <w:t>)</w:t>
      </w:r>
      <w:r w:rsidR="00F77585">
        <w:t xml:space="preserve">. </w:t>
      </w:r>
      <w:r w:rsidR="00F77585" w:rsidRPr="00744B3C">
        <w:t xml:space="preserve"> </w:t>
      </w:r>
      <w:r w:rsidR="002D50F9">
        <w:t xml:space="preserve">Consequently, </w:t>
      </w:r>
      <w:r w:rsidR="002D50F9" w:rsidRPr="00120010">
        <w:rPr>
          <w:rFonts w:cstheme="minorHAnsi"/>
          <w:color w:val="000000" w:themeColor="text1"/>
          <w:szCs w:val="22"/>
        </w:rPr>
        <w:t>COVID</w:t>
      </w:r>
      <w:r w:rsidR="00120010" w:rsidRPr="00E14F67">
        <w:rPr>
          <w:rFonts w:cstheme="minorHAnsi"/>
          <w:color w:val="000000" w:themeColor="text1"/>
          <w:szCs w:val="22"/>
        </w:rPr>
        <w:t>-19 is projected to lead to ‘catastrophic rises in destitution’ (Trussell Trust 2020, 4).</w:t>
      </w:r>
      <w:r w:rsidR="00120010">
        <w:rPr>
          <w:rFonts w:cstheme="minorHAnsi"/>
          <w:color w:val="000000" w:themeColor="text1"/>
          <w:szCs w:val="22"/>
        </w:rPr>
        <w:t xml:space="preserve"> </w:t>
      </w:r>
      <w:r w:rsidR="00F77585">
        <w:t xml:space="preserve">Additionally, </w:t>
      </w:r>
      <w:r w:rsidR="00F77585" w:rsidRPr="00744B3C">
        <w:t>the economic cost of the</w:t>
      </w:r>
      <w:r w:rsidR="008A4EA1">
        <w:rPr>
          <w:rFonts w:cstheme="minorHAnsi"/>
          <w:color w:val="000000" w:themeColor="text1"/>
          <w:szCs w:val="22"/>
        </w:rPr>
        <w:t xml:space="preserve"> pandemic </w:t>
      </w:r>
      <w:r w:rsidR="00711C7A" w:rsidRPr="00D25D94">
        <w:rPr>
          <w:rFonts w:cstheme="minorHAnsi"/>
          <w:color w:val="000000" w:themeColor="text1"/>
          <w:szCs w:val="22"/>
        </w:rPr>
        <w:t>response may result in further reductions in public expenditure (King 2020; Partington 2020)</w:t>
      </w:r>
      <w:r w:rsidR="00F77585">
        <w:rPr>
          <w:rFonts w:cstheme="minorHAnsi"/>
          <w:color w:val="000000" w:themeColor="text1"/>
          <w:szCs w:val="22"/>
        </w:rPr>
        <w:t xml:space="preserve"> perhaps resulting in a second period of austerity measures. </w:t>
      </w:r>
      <w:r w:rsidR="00F77585">
        <w:t xml:space="preserve"> If the effects of the austerity of the past decade are repeated this may well lead to </w:t>
      </w:r>
      <w:r w:rsidR="008A4EA1">
        <w:t xml:space="preserve">even further </w:t>
      </w:r>
      <w:r w:rsidR="00F77585">
        <w:t xml:space="preserve">increasing poverty. </w:t>
      </w:r>
    </w:p>
    <w:p w14:paraId="0649DDFB" w14:textId="5EA558FF" w:rsidR="00AB2724" w:rsidRPr="00E14F67" w:rsidRDefault="00F77A87" w:rsidP="00203FCB">
      <w:pPr>
        <w:spacing w:line="480" w:lineRule="auto"/>
        <w:ind w:firstLine="720"/>
        <w:jc w:val="both"/>
        <w:rPr>
          <w:rFonts w:cstheme="minorHAnsi"/>
          <w:color w:val="000000" w:themeColor="text1"/>
          <w:kern w:val="1"/>
          <w:szCs w:val="22"/>
        </w:rPr>
      </w:pPr>
      <w:r>
        <w:rPr>
          <w:rFonts w:cstheme="minorHAnsi"/>
          <w:color w:val="000000" w:themeColor="text1"/>
          <w:kern w:val="1"/>
          <w:szCs w:val="22"/>
        </w:rPr>
        <w:t>Overall</w:t>
      </w:r>
      <w:r w:rsidR="00C2059A">
        <w:rPr>
          <w:rFonts w:cstheme="minorHAnsi"/>
          <w:color w:val="000000" w:themeColor="text1"/>
          <w:kern w:val="1"/>
          <w:szCs w:val="22"/>
        </w:rPr>
        <w:t xml:space="preserve">, </w:t>
      </w:r>
      <w:r w:rsidR="00C261A9" w:rsidRPr="00C261A9">
        <w:rPr>
          <w:rFonts w:cstheme="minorHAnsi"/>
          <w:color w:val="000000" w:themeColor="text1"/>
          <w:kern w:val="1"/>
          <w:szCs w:val="22"/>
        </w:rPr>
        <w:t xml:space="preserve">it is clear that the negative impacts of </w:t>
      </w:r>
      <w:r w:rsidR="002D50F9" w:rsidRPr="00C261A9">
        <w:rPr>
          <w:rFonts w:cstheme="minorHAnsi"/>
          <w:color w:val="000000" w:themeColor="text1"/>
          <w:kern w:val="1"/>
          <w:szCs w:val="22"/>
        </w:rPr>
        <w:t xml:space="preserve">austerity </w:t>
      </w:r>
      <w:r w:rsidR="002D50F9">
        <w:rPr>
          <w:rFonts w:cstheme="minorHAnsi"/>
          <w:color w:val="000000" w:themeColor="text1"/>
          <w:kern w:val="1"/>
          <w:szCs w:val="22"/>
        </w:rPr>
        <w:t>and</w:t>
      </w:r>
      <w:r w:rsidR="003823E5">
        <w:rPr>
          <w:rFonts w:cstheme="minorHAnsi"/>
          <w:color w:val="000000" w:themeColor="text1"/>
          <w:kern w:val="1"/>
          <w:szCs w:val="22"/>
        </w:rPr>
        <w:t xml:space="preserve"> the impact of </w:t>
      </w:r>
      <w:r>
        <w:rPr>
          <w:rFonts w:cstheme="minorHAnsi"/>
          <w:color w:val="000000" w:themeColor="text1"/>
          <w:kern w:val="1"/>
          <w:szCs w:val="22"/>
        </w:rPr>
        <w:t xml:space="preserve">the </w:t>
      </w:r>
      <w:r w:rsidR="003823E5">
        <w:rPr>
          <w:rFonts w:cstheme="minorHAnsi"/>
          <w:color w:val="000000" w:themeColor="text1"/>
          <w:kern w:val="1"/>
          <w:szCs w:val="22"/>
        </w:rPr>
        <w:t>COVID</w:t>
      </w:r>
      <w:r w:rsidR="00965106">
        <w:rPr>
          <w:rFonts w:cstheme="minorHAnsi"/>
          <w:color w:val="000000" w:themeColor="text1"/>
          <w:kern w:val="1"/>
          <w:szCs w:val="22"/>
        </w:rPr>
        <w:t>-</w:t>
      </w:r>
      <w:r w:rsidR="003823E5">
        <w:rPr>
          <w:rFonts w:cstheme="minorHAnsi"/>
          <w:color w:val="000000" w:themeColor="text1"/>
          <w:kern w:val="1"/>
          <w:szCs w:val="22"/>
        </w:rPr>
        <w:t>19</w:t>
      </w:r>
      <w:r>
        <w:rPr>
          <w:rFonts w:cstheme="minorHAnsi"/>
          <w:color w:val="000000" w:themeColor="text1"/>
          <w:kern w:val="1"/>
          <w:szCs w:val="22"/>
        </w:rPr>
        <w:t xml:space="preserve"> </w:t>
      </w:r>
      <w:r w:rsidR="002D50F9">
        <w:rPr>
          <w:rFonts w:cstheme="minorHAnsi"/>
          <w:color w:val="000000" w:themeColor="text1"/>
          <w:kern w:val="1"/>
          <w:szCs w:val="22"/>
        </w:rPr>
        <w:t>pandemic have</w:t>
      </w:r>
      <w:r>
        <w:rPr>
          <w:rFonts w:cstheme="minorHAnsi"/>
          <w:color w:val="000000" w:themeColor="text1"/>
          <w:kern w:val="1"/>
          <w:szCs w:val="22"/>
        </w:rPr>
        <w:t xml:space="preserve"> compounded existing vulnerabilities</w:t>
      </w:r>
      <w:r w:rsidR="003823E5">
        <w:rPr>
          <w:rFonts w:cstheme="minorHAnsi"/>
          <w:color w:val="000000" w:themeColor="text1"/>
          <w:kern w:val="1"/>
          <w:szCs w:val="22"/>
        </w:rPr>
        <w:t xml:space="preserve"> </w:t>
      </w:r>
      <w:r w:rsidR="00C261A9" w:rsidRPr="00C261A9">
        <w:rPr>
          <w:rFonts w:cstheme="minorHAnsi"/>
          <w:color w:val="000000" w:themeColor="text1"/>
          <w:kern w:val="1"/>
          <w:szCs w:val="22"/>
        </w:rPr>
        <w:t xml:space="preserve">and </w:t>
      </w:r>
      <w:r>
        <w:rPr>
          <w:rFonts w:cstheme="minorHAnsi"/>
          <w:color w:val="000000" w:themeColor="text1"/>
          <w:kern w:val="1"/>
          <w:szCs w:val="22"/>
        </w:rPr>
        <w:t xml:space="preserve">have negatively </w:t>
      </w:r>
      <w:r w:rsidR="00C261A9" w:rsidRPr="00C261A9">
        <w:rPr>
          <w:rFonts w:cstheme="minorHAnsi"/>
          <w:color w:val="000000" w:themeColor="text1"/>
          <w:kern w:val="1"/>
          <w:szCs w:val="22"/>
        </w:rPr>
        <w:t>affect</w:t>
      </w:r>
      <w:r>
        <w:rPr>
          <w:rFonts w:cstheme="minorHAnsi"/>
          <w:color w:val="000000" w:themeColor="text1"/>
          <w:kern w:val="1"/>
          <w:szCs w:val="22"/>
        </w:rPr>
        <w:t>ed</w:t>
      </w:r>
      <w:r w:rsidR="00C261A9" w:rsidRPr="00C261A9">
        <w:rPr>
          <w:rFonts w:cstheme="minorHAnsi"/>
          <w:color w:val="000000" w:themeColor="text1"/>
          <w:kern w:val="1"/>
          <w:szCs w:val="22"/>
        </w:rPr>
        <w:t xml:space="preserve"> all </w:t>
      </w:r>
      <w:r w:rsidR="00C261A9">
        <w:rPr>
          <w:rFonts w:cstheme="minorHAnsi"/>
          <w:color w:val="000000" w:themeColor="text1"/>
          <w:kern w:val="1"/>
          <w:szCs w:val="22"/>
        </w:rPr>
        <w:t>human rights</w:t>
      </w:r>
      <w:r w:rsidR="00C261A9" w:rsidRPr="00C261A9">
        <w:rPr>
          <w:rFonts w:cstheme="minorHAnsi"/>
          <w:color w:val="000000" w:themeColor="text1"/>
          <w:kern w:val="1"/>
          <w:szCs w:val="22"/>
        </w:rPr>
        <w:t xml:space="preserve">, inducing wider and deeper poverty within UK society.  </w:t>
      </w:r>
      <w:r w:rsidR="00DB1B1F">
        <w:rPr>
          <w:rFonts w:cstheme="minorHAnsi"/>
          <w:color w:val="000000" w:themeColor="text1"/>
          <w:kern w:val="1"/>
          <w:szCs w:val="22"/>
        </w:rPr>
        <w:t xml:space="preserve"> Thus</w:t>
      </w:r>
      <w:r w:rsidR="003A436E">
        <w:rPr>
          <w:rFonts w:cstheme="minorHAnsi"/>
          <w:color w:val="000000" w:themeColor="text1"/>
          <w:kern w:val="1"/>
          <w:szCs w:val="22"/>
        </w:rPr>
        <w:t>,</w:t>
      </w:r>
      <w:r w:rsidR="00DB1B1F">
        <w:rPr>
          <w:rFonts w:cstheme="minorHAnsi"/>
          <w:color w:val="000000" w:themeColor="text1"/>
          <w:kern w:val="1"/>
          <w:szCs w:val="22"/>
        </w:rPr>
        <w:t xml:space="preserve"> the need to tackle poverty is more pressing than ever.</w:t>
      </w:r>
    </w:p>
    <w:p w14:paraId="0B6B2572" w14:textId="3DA97B8D" w:rsidR="0042110D" w:rsidRPr="00E14F67" w:rsidRDefault="003577C0" w:rsidP="00E14F67">
      <w:pPr>
        <w:spacing w:line="480" w:lineRule="auto"/>
        <w:ind w:firstLine="720"/>
        <w:jc w:val="both"/>
        <w:rPr>
          <w:rFonts w:cstheme="minorHAnsi"/>
          <w:szCs w:val="22"/>
        </w:rPr>
      </w:pPr>
      <w:r w:rsidRPr="00E14F67">
        <w:rPr>
          <w:rFonts w:cstheme="minorHAnsi"/>
          <w:szCs w:val="22"/>
        </w:rPr>
        <w:lastRenderedPageBreak/>
        <w:t xml:space="preserve">The value-added of </w:t>
      </w:r>
      <w:r w:rsidR="00DB1B1F">
        <w:rPr>
          <w:rFonts w:cstheme="minorHAnsi"/>
          <w:szCs w:val="22"/>
        </w:rPr>
        <w:t>tackling</w:t>
      </w:r>
      <w:r w:rsidR="00DB1B1F" w:rsidRPr="00E14F67">
        <w:rPr>
          <w:rFonts w:cstheme="minorHAnsi"/>
          <w:szCs w:val="22"/>
        </w:rPr>
        <w:t xml:space="preserve"> </w:t>
      </w:r>
      <w:r w:rsidRPr="00E14F67">
        <w:rPr>
          <w:rFonts w:cstheme="minorHAnsi"/>
          <w:szCs w:val="22"/>
        </w:rPr>
        <w:t xml:space="preserve">poverty from a human rights perspective is severalfold: Significantly, using a human rights framework ‘entails a shift from needs to socially and legally guaranteed entitlements and from charity to duty’ (Donald and Mottershaw 2009, 5).  It makes tackling poverty an obligation rather than a policy aim.  Moreover, ‘Human rights invite analysis of the structural causes of poverty, rather than only its symptoms, and of the impact of governmental action or inaction on communities experiencing poverty’ (Donald and Mottershaw 2009, 5). Finally using human rights including </w:t>
      </w:r>
      <w:r w:rsidR="00833B7E">
        <w:rPr>
          <w:rFonts w:cstheme="minorHAnsi"/>
          <w:szCs w:val="22"/>
        </w:rPr>
        <w:t>ESCRs</w:t>
      </w:r>
      <w:r w:rsidRPr="00E14F67">
        <w:rPr>
          <w:rFonts w:cstheme="minorHAnsi"/>
          <w:szCs w:val="22"/>
        </w:rPr>
        <w:t xml:space="preserve"> can provide an additional framing for advocacy and mobilisation around poverty. ‘It’s about enabling traditional empowerment but in “human rights framework language” (Scotland’s National Action Plan for Human Rights 2014, 9).  </w:t>
      </w:r>
      <w:r w:rsidR="00721C08" w:rsidRPr="00721C08">
        <w:rPr>
          <w:rFonts w:cstheme="minorHAnsi"/>
          <w:szCs w:val="22"/>
        </w:rPr>
        <w:t>While the common theme underlying poor people’s experiences is one of powerlessness, human rights can empower individuals and communities.  The challenge is to connect the powerless with the empowering potential of human rights</w:t>
      </w:r>
      <w:r w:rsidR="00721C08">
        <w:rPr>
          <w:rFonts w:cstheme="minorHAnsi"/>
          <w:szCs w:val="22"/>
        </w:rPr>
        <w:t xml:space="preserve"> (</w:t>
      </w:r>
      <w:r w:rsidR="00AD7C05">
        <w:rPr>
          <w:rFonts w:cstheme="minorHAnsi"/>
          <w:szCs w:val="22"/>
        </w:rPr>
        <w:t>UN CESCR, 2001, para.6</w:t>
      </w:r>
      <w:r w:rsidR="00721C08">
        <w:rPr>
          <w:rFonts w:cstheme="minorHAnsi"/>
          <w:szCs w:val="22"/>
        </w:rPr>
        <w:t>).</w:t>
      </w:r>
    </w:p>
    <w:bookmarkEnd w:id="1"/>
    <w:p w14:paraId="3F73481E" w14:textId="5F0826A3" w:rsidR="00C61026" w:rsidRPr="00E14F67" w:rsidRDefault="00B9748D" w:rsidP="00E63CA6">
      <w:pPr>
        <w:pStyle w:val="Heading1"/>
      </w:pPr>
      <w:r w:rsidRPr="00E14F67">
        <w:t xml:space="preserve">Existing </w:t>
      </w:r>
      <w:r w:rsidR="00C61026" w:rsidRPr="00E14F67">
        <w:t xml:space="preserve">‘Justice’ for Poverty </w:t>
      </w:r>
      <w:r w:rsidR="00EB508D" w:rsidRPr="00E14F67">
        <w:t xml:space="preserve">and </w:t>
      </w:r>
      <w:r w:rsidR="00C61026" w:rsidRPr="00E14F67">
        <w:t>Related ESCRs Violations</w:t>
      </w:r>
    </w:p>
    <w:p w14:paraId="0A427ABE" w14:textId="5CD8C0C0" w:rsidR="00A3273D" w:rsidRPr="00E14F67" w:rsidRDefault="002D7912" w:rsidP="00E14F67">
      <w:pPr>
        <w:tabs>
          <w:tab w:val="left" w:pos="360"/>
          <w:tab w:val="left" w:pos="720"/>
          <w:tab w:val="left" w:pos="1080"/>
          <w:tab w:val="left" w:pos="1440"/>
          <w:tab w:val="left" w:pos="1800"/>
          <w:tab w:val="left" w:pos="2160"/>
          <w:tab w:val="left" w:pos="2880"/>
          <w:tab w:val="left" w:pos="3600"/>
          <w:tab w:val="left" w:pos="4320"/>
        </w:tabs>
        <w:spacing w:line="480" w:lineRule="auto"/>
        <w:jc w:val="both"/>
        <w:rPr>
          <w:rFonts w:cstheme="minorHAnsi"/>
          <w:color w:val="000000" w:themeColor="text1"/>
          <w:szCs w:val="22"/>
        </w:rPr>
      </w:pPr>
      <w:r w:rsidRPr="00E14F67">
        <w:rPr>
          <w:rFonts w:cstheme="minorHAnsi"/>
          <w:szCs w:val="22"/>
        </w:rPr>
        <w:t>Lederach conceptualises justice as having three facets: Accountability; Recompense and Equality and Fairness (Lederach 2001, 852).</w:t>
      </w:r>
      <w:r w:rsidR="00121091" w:rsidRPr="00E14F67">
        <w:rPr>
          <w:rFonts w:cstheme="minorHAnsi"/>
          <w:color w:val="000000" w:themeColor="text1"/>
          <w:szCs w:val="22"/>
        </w:rPr>
        <w:t xml:space="preserve"> </w:t>
      </w:r>
      <w:r w:rsidR="00A3273D" w:rsidRPr="00E14F67">
        <w:rPr>
          <w:rFonts w:cstheme="minorHAnsi"/>
          <w:color w:val="000000" w:themeColor="text1"/>
          <w:szCs w:val="22"/>
        </w:rPr>
        <w:t xml:space="preserve">In terms of </w:t>
      </w:r>
      <w:r w:rsidR="00A10289" w:rsidRPr="00E14F67">
        <w:rPr>
          <w:rFonts w:cstheme="minorHAnsi"/>
          <w:color w:val="000000" w:themeColor="text1"/>
          <w:szCs w:val="22"/>
        </w:rPr>
        <w:t xml:space="preserve">justice </w:t>
      </w:r>
      <w:r w:rsidR="00A3273D" w:rsidRPr="00E14F67">
        <w:rPr>
          <w:rFonts w:cstheme="minorHAnsi"/>
          <w:color w:val="000000" w:themeColor="text1"/>
          <w:szCs w:val="22"/>
        </w:rPr>
        <w:t xml:space="preserve">for </w:t>
      </w:r>
      <w:r w:rsidR="00C61026" w:rsidRPr="00E14F67">
        <w:rPr>
          <w:rFonts w:cstheme="minorHAnsi"/>
          <w:color w:val="000000" w:themeColor="text1"/>
          <w:szCs w:val="22"/>
        </w:rPr>
        <w:t xml:space="preserve">poverty and </w:t>
      </w:r>
      <w:r w:rsidR="00A3273D" w:rsidRPr="00E14F67">
        <w:rPr>
          <w:rFonts w:cstheme="minorHAnsi"/>
          <w:color w:val="000000" w:themeColor="text1"/>
          <w:szCs w:val="22"/>
        </w:rPr>
        <w:t xml:space="preserve">austerity related ESCRs violations, </w:t>
      </w:r>
      <w:r w:rsidR="00C61026" w:rsidRPr="00E14F67">
        <w:rPr>
          <w:rFonts w:cstheme="minorHAnsi"/>
          <w:color w:val="000000" w:themeColor="text1"/>
          <w:szCs w:val="22"/>
        </w:rPr>
        <w:t xml:space="preserve">the </w:t>
      </w:r>
      <w:r w:rsidR="00A3273D" w:rsidRPr="00E14F67">
        <w:rPr>
          <w:rFonts w:cstheme="minorHAnsi"/>
          <w:color w:val="000000" w:themeColor="text1"/>
          <w:szCs w:val="22"/>
        </w:rPr>
        <w:t xml:space="preserve">accountability of the State for such </w:t>
      </w:r>
      <w:r w:rsidR="00EA3668" w:rsidRPr="00E14F67">
        <w:rPr>
          <w:rFonts w:cstheme="minorHAnsi"/>
          <w:color w:val="000000" w:themeColor="text1"/>
          <w:szCs w:val="22"/>
        </w:rPr>
        <w:t xml:space="preserve">individual </w:t>
      </w:r>
      <w:r w:rsidR="00A3273D" w:rsidRPr="00E14F67">
        <w:rPr>
          <w:rFonts w:cstheme="minorHAnsi"/>
          <w:color w:val="000000" w:themeColor="text1"/>
          <w:szCs w:val="22"/>
        </w:rPr>
        <w:t xml:space="preserve">violations has been determined under </w:t>
      </w:r>
      <w:r w:rsidR="006E262A">
        <w:rPr>
          <w:rFonts w:cstheme="minorHAnsi"/>
          <w:color w:val="000000" w:themeColor="text1"/>
          <w:szCs w:val="22"/>
        </w:rPr>
        <w:t>several</w:t>
      </w:r>
      <w:r w:rsidR="00A3273D" w:rsidRPr="00E14F67">
        <w:rPr>
          <w:rFonts w:cstheme="minorHAnsi"/>
          <w:color w:val="000000" w:themeColor="text1"/>
          <w:szCs w:val="22"/>
        </w:rPr>
        <w:t xml:space="preserve"> </w:t>
      </w:r>
      <w:r w:rsidR="00EA3668" w:rsidRPr="00E14F67">
        <w:rPr>
          <w:rFonts w:cstheme="minorHAnsi"/>
          <w:color w:val="000000" w:themeColor="text1"/>
          <w:szCs w:val="22"/>
        </w:rPr>
        <w:t xml:space="preserve">judicial and quasi-judicial </w:t>
      </w:r>
      <w:r w:rsidR="00A3273D" w:rsidRPr="00E14F67">
        <w:rPr>
          <w:rFonts w:cstheme="minorHAnsi"/>
          <w:color w:val="000000" w:themeColor="text1"/>
          <w:szCs w:val="22"/>
        </w:rPr>
        <w:t xml:space="preserve">international human rights law </w:t>
      </w:r>
      <w:r w:rsidR="00563AB0" w:rsidRPr="00E14F67">
        <w:rPr>
          <w:rFonts w:cstheme="minorHAnsi"/>
          <w:color w:val="000000" w:themeColor="text1"/>
          <w:szCs w:val="22"/>
        </w:rPr>
        <w:t>mechanisms</w:t>
      </w:r>
      <w:r w:rsidR="001F0FA5">
        <w:rPr>
          <w:rFonts w:cstheme="minorHAnsi"/>
          <w:color w:val="000000" w:themeColor="text1"/>
          <w:szCs w:val="22"/>
        </w:rPr>
        <w:t xml:space="preserve"> </w:t>
      </w:r>
      <w:r w:rsidR="00121091" w:rsidRPr="00E14F67">
        <w:rPr>
          <w:rFonts w:cstheme="minorHAnsi"/>
          <w:color w:val="000000" w:themeColor="text1"/>
          <w:szCs w:val="22"/>
        </w:rPr>
        <w:t>which aim to address all three components of justice, all be it with limitations depending on the enforcement powers of the body in question. M</w:t>
      </w:r>
      <w:r w:rsidR="00A3273D" w:rsidRPr="00E14F67">
        <w:rPr>
          <w:rFonts w:cstheme="minorHAnsi"/>
          <w:color w:val="000000" w:themeColor="text1"/>
          <w:szCs w:val="22"/>
        </w:rPr>
        <w:t>echanisms</w:t>
      </w:r>
      <w:r w:rsidR="00121091" w:rsidRPr="00E14F67">
        <w:rPr>
          <w:rFonts w:cstheme="minorHAnsi"/>
          <w:color w:val="000000" w:themeColor="text1"/>
          <w:szCs w:val="22"/>
        </w:rPr>
        <w:t xml:space="preserve"> which have addressed poverty</w:t>
      </w:r>
      <w:r w:rsidR="00C9628D">
        <w:rPr>
          <w:rFonts w:cstheme="minorHAnsi"/>
          <w:color w:val="000000" w:themeColor="text1"/>
          <w:szCs w:val="22"/>
        </w:rPr>
        <w:t>-</w:t>
      </w:r>
      <w:r w:rsidR="00121091" w:rsidRPr="00E14F67">
        <w:rPr>
          <w:rFonts w:cstheme="minorHAnsi"/>
          <w:color w:val="000000" w:themeColor="text1"/>
          <w:szCs w:val="22"/>
        </w:rPr>
        <w:t>related violations</w:t>
      </w:r>
      <w:r w:rsidR="00A3273D" w:rsidRPr="00E14F67">
        <w:rPr>
          <w:rFonts w:cstheme="minorHAnsi"/>
          <w:color w:val="000000" w:themeColor="text1"/>
          <w:szCs w:val="22"/>
        </w:rPr>
        <w:t xml:space="preserve"> includ</w:t>
      </w:r>
      <w:r w:rsidR="00121091" w:rsidRPr="00E14F67">
        <w:rPr>
          <w:rFonts w:cstheme="minorHAnsi"/>
          <w:color w:val="000000" w:themeColor="text1"/>
          <w:szCs w:val="22"/>
        </w:rPr>
        <w:t>e</w:t>
      </w:r>
      <w:r w:rsidR="00A3273D" w:rsidRPr="00E14F67">
        <w:rPr>
          <w:rFonts w:cstheme="minorHAnsi"/>
          <w:color w:val="000000" w:themeColor="text1"/>
          <w:szCs w:val="22"/>
        </w:rPr>
        <w:t xml:space="preserve"> the UN Treaty Monitoring Bodies State Periodic Reporting System</w:t>
      </w:r>
      <w:r w:rsidR="00B25B30">
        <w:rPr>
          <w:rFonts w:cstheme="minorHAnsi"/>
          <w:color w:val="000000" w:themeColor="text1"/>
          <w:szCs w:val="22"/>
        </w:rPr>
        <w:t xml:space="preserve">, for example the UN </w:t>
      </w:r>
      <w:r w:rsidR="00B25B30">
        <w:rPr>
          <w:rFonts w:cstheme="minorHAnsi"/>
          <w:color w:val="000000" w:themeColor="text1"/>
          <w:szCs w:val="22"/>
        </w:rPr>
        <w:lastRenderedPageBreak/>
        <w:t>CESCR</w:t>
      </w:r>
      <w:r w:rsidR="00A3273D" w:rsidRPr="00E14F67">
        <w:rPr>
          <w:rFonts w:cstheme="minorHAnsi"/>
          <w:color w:val="000000" w:themeColor="text1"/>
          <w:szCs w:val="22"/>
        </w:rPr>
        <w:t xml:space="preserve"> (</w:t>
      </w:r>
      <w:r w:rsidR="00A3273D" w:rsidRPr="00E14F67">
        <w:rPr>
          <w:rFonts w:cstheme="minorHAnsi"/>
          <w:noProof/>
          <w:szCs w:val="22"/>
        </w:rPr>
        <w:t>UN CESCR 2016, para. 18</w:t>
      </w:r>
      <w:r w:rsidR="00B25B30">
        <w:rPr>
          <w:rFonts w:cstheme="minorHAnsi"/>
          <w:noProof/>
          <w:szCs w:val="22"/>
        </w:rPr>
        <w:t>),  the</w:t>
      </w:r>
      <w:r w:rsidR="00A3273D" w:rsidRPr="00E14F67">
        <w:rPr>
          <w:rFonts w:cstheme="minorHAnsi"/>
          <w:color w:val="000000" w:themeColor="text1"/>
          <w:szCs w:val="22"/>
        </w:rPr>
        <w:t xml:space="preserve"> UN Committee on the Rights of Persons with </w:t>
      </w:r>
      <w:r w:rsidR="002D50F9" w:rsidRPr="00E14F67">
        <w:rPr>
          <w:rFonts w:cstheme="minorHAnsi"/>
          <w:color w:val="000000" w:themeColor="text1"/>
          <w:szCs w:val="22"/>
        </w:rPr>
        <w:t xml:space="preserve">Disabilities </w:t>
      </w:r>
      <w:r w:rsidR="002D50F9" w:rsidRPr="00E14F67">
        <w:rPr>
          <w:rFonts w:cstheme="minorHAnsi"/>
          <w:noProof/>
          <w:szCs w:val="22"/>
        </w:rPr>
        <w:t>(</w:t>
      </w:r>
      <w:r w:rsidR="00B25B30">
        <w:rPr>
          <w:rFonts w:cstheme="minorHAnsi"/>
          <w:noProof/>
          <w:szCs w:val="22"/>
        </w:rPr>
        <w:t xml:space="preserve">UN CRPD </w:t>
      </w:r>
      <w:r w:rsidR="00A3273D" w:rsidRPr="00E14F67">
        <w:rPr>
          <w:rFonts w:cstheme="minorHAnsi"/>
          <w:noProof/>
          <w:szCs w:val="22"/>
        </w:rPr>
        <w:t>2016, paras 113 (a)-113 (j)</w:t>
      </w:r>
      <w:r w:rsidR="00B25B30">
        <w:rPr>
          <w:rFonts w:cstheme="minorHAnsi"/>
          <w:noProof/>
          <w:szCs w:val="22"/>
        </w:rPr>
        <w:t xml:space="preserve">) and the </w:t>
      </w:r>
      <w:r w:rsidR="00A3273D" w:rsidRPr="00E14F67">
        <w:rPr>
          <w:rFonts w:cstheme="minorHAnsi"/>
          <w:color w:val="000000" w:themeColor="text1"/>
          <w:szCs w:val="22"/>
        </w:rPr>
        <w:t>UN Committee on the Rights of the Child</w:t>
      </w:r>
      <w:r w:rsidR="00A3273D" w:rsidRPr="00E14F67">
        <w:rPr>
          <w:rFonts w:cstheme="minorHAnsi"/>
          <w:szCs w:val="22"/>
        </w:rPr>
        <w:t xml:space="preserve"> </w:t>
      </w:r>
      <w:r w:rsidR="00B25B30">
        <w:rPr>
          <w:rFonts w:cstheme="minorHAnsi"/>
          <w:szCs w:val="22"/>
        </w:rPr>
        <w:t xml:space="preserve">(UN CRC </w:t>
      </w:r>
      <w:r w:rsidR="00A3273D" w:rsidRPr="00E14F67">
        <w:rPr>
          <w:rFonts w:cstheme="minorHAnsi"/>
          <w:noProof/>
          <w:szCs w:val="22"/>
        </w:rPr>
        <w:t>2016, para. 13 (d)</w:t>
      </w:r>
      <w:r w:rsidR="00A3273D" w:rsidRPr="00E14F67">
        <w:rPr>
          <w:rFonts w:cstheme="minorHAnsi"/>
          <w:color w:val="000000" w:themeColor="text1"/>
          <w:szCs w:val="22"/>
        </w:rPr>
        <w:t>)</w:t>
      </w:r>
      <w:r w:rsidR="00B25B30">
        <w:rPr>
          <w:rFonts w:cstheme="minorHAnsi"/>
          <w:color w:val="000000" w:themeColor="text1"/>
          <w:szCs w:val="22"/>
        </w:rPr>
        <w:t xml:space="preserve">. </w:t>
      </w:r>
      <w:r w:rsidR="002D50F9">
        <w:rPr>
          <w:rFonts w:cstheme="minorHAnsi"/>
          <w:color w:val="000000" w:themeColor="text1"/>
          <w:szCs w:val="22"/>
        </w:rPr>
        <w:t xml:space="preserve">Also, </w:t>
      </w:r>
      <w:r w:rsidR="002D50F9" w:rsidRPr="00E14F67">
        <w:rPr>
          <w:rFonts w:cstheme="minorHAnsi"/>
          <w:color w:val="000000" w:themeColor="text1"/>
          <w:szCs w:val="22"/>
        </w:rPr>
        <w:t>the</w:t>
      </w:r>
      <w:r w:rsidR="00A3273D" w:rsidRPr="00E14F67">
        <w:rPr>
          <w:rFonts w:cstheme="minorHAnsi"/>
          <w:color w:val="000000" w:themeColor="text1"/>
          <w:szCs w:val="22"/>
        </w:rPr>
        <w:t xml:space="preserve"> </w:t>
      </w:r>
      <w:r w:rsidR="00B25B30">
        <w:rPr>
          <w:rFonts w:cstheme="minorHAnsi"/>
          <w:color w:val="000000" w:themeColor="text1"/>
          <w:szCs w:val="22"/>
        </w:rPr>
        <w:t xml:space="preserve">Human Rights Council </w:t>
      </w:r>
      <w:r w:rsidR="00A3273D" w:rsidRPr="00E14F67">
        <w:rPr>
          <w:rFonts w:cstheme="minorHAnsi"/>
          <w:color w:val="000000" w:themeColor="text1"/>
          <w:szCs w:val="22"/>
        </w:rPr>
        <w:t>Universal Periodic Review</w:t>
      </w:r>
      <w:r w:rsidR="00A3273D" w:rsidRPr="00E14F67">
        <w:rPr>
          <w:rFonts w:cstheme="minorHAnsi"/>
          <w:noProof/>
          <w:color w:val="000000" w:themeColor="text1"/>
          <w:szCs w:val="22"/>
        </w:rPr>
        <w:t xml:space="preserve"> (UN Human Rights Council 2017, paras 134.163 - 134.168)</w:t>
      </w:r>
      <w:r w:rsidR="005C5286">
        <w:rPr>
          <w:rFonts w:cstheme="minorHAnsi"/>
          <w:noProof/>
          <w:color w:val="000000" w:themeColor="text1"/>
          <w:szCs w:val="22"/>
        </w:rPr>
        <w:t xml:space="preserve"> and</w:t>
      </w:r>
      <w:r w:rsidR="00A3273D" w:rsidRPr="00E14F67">
        <w:rPr>
          <w:rFonts w:cstheme="minorHAnsi"/>
          <w:color w:val="000000" w:themeColor="text1"/>
          <w:szCs w:val="22"/>
        </w:rPr>
        <w:t xml:space="preserve"> Reports of the UN Special Rapporteurs</w:t>
      </w:r>
      <w:r w:rsidR="005C5286">
        <w:rPr>
          <w:rFonts w:cstheme="minorHAnsi"/>
          <w:color w:val="000000" w:themeColor="text1"/>
          <w:szCs w:val="22"/>
        </w:rPr>
        <w:t>, for example the Special Rapporteur</w:t>
      </w:r>
      <w:r w:rsidR="00A3273D" w:rsidRPr="00E14F67">
        <w:rPr>
          <w:rFonts w:cstheme="minorHAnsi"/>
          <w:color w:val="000000" w:themeColor="text1"/>
          <w:szCs w:val="22"/>
        </w:rPr>
        <w:t xml:space="preserve"> on Poverty </w:t>
      </w:r>
      <w:r w:rsidR="00A3273D" w:rsidRPr="00E14F67">
        <w:rPr>
          <w:rFonts w:cstheme="minorHAnsi"/>
          <w:noProof/>
          <w:color w:val="000000" w:themeColor="text1"/>
          <w:szCs w:val="22"/>
        </w:rPr>
        <w:t>(</w:t>
      </w:r>
      <w:r w:rsidR="00A3273D" w:rsidRPr="00E14F67">
        <w:rPr>
          <w:rFonts w:cstheme="minorHAnsi"/>
          <w:noProof/>
          <w:szCs w:val="22"/>
        </w:rPr>
        <w:t>UN Human Rights Council</w:t>
      </w:r>
      <w:r w:rsidR="00A3273D" w:rsidRPr="00E14F67">
        <w:rPr>
          <w:rFonts w:cstheme="minorHAnsi"/>
          <w:noProof/>
          <w:color w:val="000000" w:themeColor="text1"/>
          <w:szCs w:val="22"/>
        </w:rPr>
        <w:t xml:space="preserve"> 2019)</w:t>
      </w:r>
      <w:r w:rsidR="00A3273D" w:rsidRPr="00E14F67">
        <w:rPr>
          <w:rFonts w:cstheme="minorHAnsi"/>
          <w:color w:val="000000" w:themeColor="text1"/>
          <w:szCs w:val="22"/>
        </w:rPr>
        <w:t xml:space="preserve"> and </w:t>
      </w:r>
      <w:r w:rsidR="005C5286">
        <w:rPr>
          <w:rFonts w:cstheme="minorHAnsi"/>
          <w:color w:val="000000" w:themeColor="text1"/>
          <w:szCs w:val="22"/>
        </w:rPr>
        <w:t xml:space="preserve">Special Rapporteur on </w:t>
      </w:r>
      <w:r w:rsidR="00A3273D" w:rsidRPr="00E14F67">
        <w:rPr>
          <w:rFonts w:cstheme="minorHAnsi"/>
          <w:color w:val="000000" w:themeColor="text1"/>
          <w:szCs w:val="22"/>
        </w:rPr>
        <w:t xml:space="preserve">Housing </w:t>
      </w:r>
      <w:r w:rsidR="00A3273D" w:rsidRPr="00E14F67">
        <w:rPr>
          <w:rFonts w:cstheme="minorHAnsi"/>
          <w:noProof/>
          <w:szCs w:val="22"/>
        </w:rPr>
        <w:t>(UN Human Rights Council 2013, para. 79)</w:t>
      </w:r>
      <w:r w:rsidR="005C5286">
        <w:rPr>
          <w:rFonts w:cstheme="minorHAnsi"/>
          <w:noProof/>
          <w:szCs w:val="22"/>
        </w:rPr>
        <w:t xml:space="preserve">. </w:t>
      </w:r>
      <w:r w:rsidR="005C5286">
        <w:rPr>
          <w:rFonts w:cstheme="minorHAnsi"/>
          <w:color w:val="000000" w:themeColor="text1"/>
          <w:szCs w:val="22"/>
        </w:rPr>
        <w:t>C</w:t>
      </w:r>
      <w:r w:rsidR="00A3273D" w:rsidRPr="00E14F67">
        <w:rPr>
          <w:rFonts w:cstheme="minorHAnsi"/>
          <w:color w:val="000000" w:themeColor="text1"/>
          <w:szCs w:val="22"/>
        </w:rPr>
        <w:t xml:space="preserve">omplaints procedures </w:t>
      </w:r>
      <w:r w:rsidR="005C5286">
        <w:rPr>
          <w:rFonts w:cstheme="minorHAnsi"/>
          <w:color w:val="000000" w:themeColor="text1"/>
          <w:szCs w:val="22"/>
        </w:rPr>
        <w:t xml:space="preserve">have also been used, for </w:t>
      </w:r>
      <w:r w:rsidR="002D50F9">
        <w:rPr>
          <w:rFonts w:cstheme="minorHAnsi"/>
          <w:color w:val="000000" w:themeColor="text1"/>
          <w:szCs w:val="22"/>
        </w:rPr>
        <w:t xml:space="preserve">example </w:t>
      </w:r>
      <w:r w:rsidR="002D50F9" w:rsidRPr="00E14F67">
        <w:rPr>
          <w:rFonts w:cstheme="minorHAnsi"/>
          <w:color w:val="000000" w:themeColor="text1"/>
          <w:szCs w:val="22"/>
        </w:rPr>
        <w:t>the</w:t>
      </w:r>
      <w:r w:rsidR="00A3273D" w:rsidRPr="00E14F67">
        <w:rPr>
          <w:rFonts w:cstheme="minorHAnsi"/>
          <w:color w:val="000000" w:themeColor="text1"/>
          <w:szCs w:val="22"/>
        </w:rPr>
        <w:t xml:space="preserve"> Optional Protocol to the UN CESCR </w:t>
      </w:r>
      <w:r w:rsidR="00A3273D" w:rsidRPr="00E14F67">
        <w:rPr>
          <w:rFonts w:cstheme="minorHAnsi"/>
          <w:szCs w:val="22"/>
        </w:rPr>
        <w:t>(UN CESCR 2017, para 17.6)</w:t>
      </w:r>
      <w:r w:rsidR="00B25B30">
        <w:rPr>
          <w:rFonts w:cstheme="minorHAnsi"/>
          <w:szCs w:val="22"/>
        </w:rPr>
        <w:t>. Moreover</w:t>
      </w:r>
      <w:r w:rsidR="00B25B30">
        <w:rPr>
          <w:rFonts w:cstheme="minorHAnsi"/>
          <w:color w:val="000000" w:themeColor="text1"/>
          <w:szCs w:val="22"/>
        </w:rPr>
        <w:t>,</w:t>
      </w:r>
      <w:r w:rsidR="00A3273D" w:rsidRPr="00E14F67">
        <w:rPr>
          <w:rFonts w:cstheme="minorHAnsi"/>
          <w:color w:val="000000" w:themeColor="text1"/>
          <w:szCs w:val="22"/>
        </w:rPr>
        <w:t xml:space="preserve"> regional </w:t>
      </w:r>
      <w:r w:rsidR="008F11A7">
        <w:rPr>
          <w:rFonts w:cstheme="minorHAnsi"/>
          <w:color w:val="000000" w:themeColor="text1"/>
          <w:szCs w:val="22"/>
        </w:rPr>
        <w:t xml:space="preserve">human rights </w:t>
      </w:r>
      <w:r w:rsidR="00A3273D" w:rsidRPr="00E14F67">
        <w:rPr>
          <w:rFonts w:cstheme="minorHAnsi"/>
          <w:color w:val="000000" w:themeColor="text1"/>
          <w:szCs w:val="22"/>
        </w:rPr>
        <w:t xml:space="preserve">bodies’ </w:t>
      </w:r>
      <w:r w:rsidR="00B25B30">
        <w:rPr>
          <w:rFonts w:cstheme="minorHAnsi"/>
          <w:color w:val="000000" w:themeColor="text1"/>
          <w:szCs w:val="22"/>
        </w:rPr>
        <w:t xml:space="preserve">have dealt with such violations </w:t>
      </w:r>
      <w:r w:rsidR="00D25A56">
        <w:rPr>
          <w:rFonts w:cstheme="minorHAnsi"/>
          <w:color w:val="000000" w:themeColor="text1"/>
          <w:szCs w:val="22"/>
        </w:rPr>
        <w:t xml:space="preserve">in their case law, </w:t>
      </w:r>
      <w:r w:rsidR="00B25B30">
        <w:rPr>
          <w:rFonts w:cstheme="minorHAnsi"/>
          <w:color w:val="000000" w:themeColor="text1"/>
          <w:szCs w:val="22"/>
        </w:rPr>
        <w:t>for example</w:t>
      </w:r>
      <w:r w:rsidR="008F11A7">
        <w:rPr>
          <w:rFonts w:cstheme="minorHAnsi"/>
          <w:color w:val="000000" w:themeColor="text1"/>
          <w:szCs w:val="22"/>
        </w:rPr>
        <w:t>,</w:t>
      </w:r>
      <w:r w:rsidR="00B25B30">
        <w:rPr>
          <w:rFonts w:cstheme="minorHAnsi"/>
          <w:color w:val="000000" w:themeColor="text1"/>
          <w:szCs w:val="22"/>
        </w:rPr>
        <w:t xml:space="preserve"> </w:t>
      </w:r>
      <w:r w:rsidR="00A3273D" w:rsidRPr="00E14F67">
        <w:rPr>
          <w:rFonts w:cstheme="minorHAnsi"/>
          <w:color w:val="000000" w:themeColor="text1"/>
          <w:szCs w:val="22"/>
        </w:rPr>
        <w:t xml:space="preserve">the European Court of Human Rights </w:t>
      </w:r>
      <w:r w:rsidR="00A3273D" w:rsidRPr="00E14F67">
        <w:rPr>
          <w:rFonts w:cstheme="minorHAnsi"/>
          <w:szCs w:val="22"/>
        </w:rPr>
        <w:t>(</w:t>
      </w:r>
      <w:r w:rsidR="00A3273D" w:rsidRPr="00E14F67">
        <w:rPr>
          <w:rFonts w:cstheme="minorHAnsi"/>
          <w:i/>
          <w:iCs/>
          <w:szCs w:val="22"/>
        </w:rPr>
        <w:t>J.D. and A v. The United Kingdom,</w:t>
      </w:r>
      <w:r w:rsidR="00A3273D" w:rsidRPr="00E14F67">
        <w:rPr>
          <w:rFonts w:cstheme="minorHAnsi"/>
          <w:szCs w:val="22"/>
        </w:rPr>
        <w:t xml:space="preserve"> nos. 32949/17 and 34614/17</w:t>
      </w:r>
      <w:r w:rsidR="00A3273D" w:rsidRPr="00E14F67">
        <w:rPr>
          <w:rFonts w:cstheme="minorHAnsi"/>
          <w:i/>
          <w:iCs/>
          <w:szCs w:val="22"/>
        </w:rPr>
        <w:t xml:space="preserve"> </w:t>
      </w:r>
      <w:r w:rsidR="00A3273D" w:rsidRPr="00E14F67">
        <w:rPr>
          <w:rFonts w:cstheme="minorHAnsi"/>
          <w:szCs w:val="22"/>
        </w:rPr>
        <w:t>(ECtHR, October 2019, paras. 57 and 107)</w:t>
      </w:r>
      <w:r w:rsidR="008F11A7">
        <w:rPr>
          <w:rFonts w:cstheme="minorHAnsi"/>
          <w:szCs w:val="22"/>
        </w:rPr>
        <w:t xml:space="preserve"> and</w:t>
      </w:r>
      <w:r w:rsidR="00D25A56">
        <w:rPr>
          <w:rFonts w:cstheme="minorHAnsi"/>
          <w:szCs w:val="22"/>
        </w:rPr>
        <w:t xml:space="preserve"> </w:t>
      </w:r>
      <w:r w:rsidR="002D50F9">
        <w:rPr>
          <w:rFonts w:cstheme="minorHAnsi"/>
          <w:szCs w:val="22"/>
        </w:rPr>
        <w:t>through collective</w:t>
      </w:r>
      <w:r w:rsidR="00EA3668" w:rsidRPr="00E14F67">
        <w:rPr>
          <w:rFonts w:cstheme="minorHAnsi"/>
          <w:szCs w:val="22"/>
        </w:rPr>
        <w:t xml:space="preserve"> complaints </w:t>
      </w:r>
      <w:r w:rsidR="002D50F9">
        <w:rPr>
          <w:rFonts w:cstheme="minorHAnsi"/>
          <w:szCs w:val="22"/>
        </w:rPr>
        <w:t>mechanisms</w:t>
      </w:r>
      <w:r w:rsidR="00D25A56">
        <w:rPr>
          <w:rFonts w:cstheme="minorHAnsi"/>
          <w:szCs w:val="22"/>
        </w:rPr>
        <w:t>, such as those which have be</w:t>
      </w:r>
      <w:r w:rsidR="00EA3668" w:rsidRPr="00E14F67">
        <w:rPr>
          <w:rFonts w:cstheme="minorHAnsi"/>
          <w:szCs w:val="22"/>
        </w:rPr>
        <w:t>en upheld under the European Social Charter</w:t>
      </w:r>
      <w:r w:rsidR="00EA3668" w:rsidRPr="00E14F67">
        <w:rPr>
          <w:rFonts w:cstheme="minorHAnsi"/>
          <w:color w:val="000000" w:themeColor="text1"/>
          <w:szCs w:val="22"/>
        </w:rPr>
        <w:t xml:space="preserve">, </w:t>
      </w:r>
      <w:r w:rsidR="00EA3668" w:rsidRPr="00E14F67">
        <w:rPr>
          <w:rFonts w:cstheme="minorHAnsi"/>
          <w:i/>
          <w:iCs/>
          <w:color w:val="000000" w:themeColor="text1"/>
          <w:szCs w:val="22"/>
        </w:rPr>
        <w:t xml:space="preserve">inter </w:t>
      </w:r>
      <w:r w:rsidR="000C5FA8" w:rsidRPr="00E14F67">
        <w:rPr>
          <w:rFonts w:cstheme="minorHAnsi"/>
          <w:i/>
          <w:iCs/>
          <w:color w:val="000000" w:themeColor="text1"/>
          <w:szCs w:val="22"/>
        </w:rPr>
        <w:t>alia</w:t>
      </w:r>
      <w:r w:rsidR="00D25A56">
        <w:rPr>
          <w:rFonts w:cstheme="minorHAnsi"/>
          <w:i/>
          <w:iCs/>
          <w:color w:val="000000" w:themeColor="text1"/>
          <w:szCs w:val="22"/>
        </w:rPr>
        <w:t>,</w:t>
      </w:r>
      <w:r w:rsidR="000C5FA8" w:rsidRPr="00E14F67">
        <w:rPr>
          <w:rFonts w:cstheme="minorHAnsi"/>
          <w:color w:val="000000" w:themeColor="text1"/>
          <w:szCs w:val="22"/>
        </w:rPr>
        <w:t xml:space="preserve"> European</w:t>
      </w:r>
      <w:r w:rsidR="00A3273D" w:rsidRPr="00E14F67">
        <w:rPr>
          <w:rFonts w:cstheme="minorHAnsi"/>
          <w:color w:val="000000" w:themeColor="text1"/>
          <w:szCs w:val="22"/>
        </w:rPr>
        <w:t xml:space="preserve"> Committee on Social Rights (IKA-ETAM v. Greece, Complaint No. 76/2012, paras. 69, 75, 79-81; POPS v. Greece, Complaint No. 77/2012, paras. 74-78; I.S.A.P. v. Greece, Complaint No. 78/2012, paras. 74-78; POS-DEI v. Greece, Complaint No. 79/2012, paras. 74-78; ATE v. Greece, Complaint No. 80/2012, paras. 74-78).</w:t>
      </w:r>
    </w:p>
    <w:p w14:paraId="3DBE47B9" w14:textId="525ADA92" w:rsidR="00A3273D" w:rsidRPr="00E14F67" w:rsidRDefault="00A3273D" w:rsidP="00E14F67">
      <w:pPr>
        <w:tabs>
          <w:tab w:val="left" w:pos="360"/>
          <w:tab w:val="left" w:pos="720"/>
          <w:tab w:val="left" w:pos="1080"/>
          <w:tab w:val="left" w:pos="1440"/>
          <w:tab w:val="left" w:pos="1800"/>
          <w:tab w:val="left" w:pos="2160"/>
          <w:tab w:val="left" w:pos="2880"/>
          <w:tab w:val="left" w:pos="3600"/>
          <w:tab w:val="left" w:pos="4320"/>
        </w:tabs>
        <w:spacing w:line="480" w:lineRule="auto"/>
        <w:jc w:val="both"/>
        <w:rPr>
          <w:rFonts w:cstheme="minorHAnsi"/>
          <w:color w:val="000000" w:themeColor="text1"/>
          <w:szCs w:val="22"/>
        </w:rPr>
      </w:pPr>
      <w:r w:rsidRPr="00E14F67">
        <w:rPr>
          <w:rFonts w:cstheme="minorHAnsi"/>
          <w:color w:val="000000" w:themeColor="text1"/>
          <w:szCs w:val="22"/>
        </w:rPr>
        <w:tab/>
      </w:r>
      <w:r w:rsidRPr="00E14F67">
        <w:rPr>
          <w:rFonts w:cstheme="minorHAnsi"/>
          <w:color w:val="000000" w:themeColor="text1"/>
          <w:szCs w:val="22"/>
        </w:rPr>
        <w:tab/>
        <w:t xml:space="preserve">Whilst commendable, such mechanisms have limited reach, </w:t>
      </w:r>
      <w:r w:rsidR="00EA3668" w:rsidRPr="00E14F67">
        <w:rPr>
          <w:rFonts w:cstheme="minorHAnsi"/>
          <w:color w:val="000000" w:themeColor="text1"/>
          <w:szCs w:val="22"/>
        </w:rPr>
        <w:t xml:space="preserve">as they </w:t>
      </w:r>
      <w:r w:rsidRPr="00E14F67">
        <w:rPr>
          <w:rFonts w:cstheme="minorHAnsi"/>
          <w:color w:val="000000" w:themeColor="text1"/>
          <w:szCs w:val="22"/>
        </w:rPr>
        <w:t xml:space="preserve">either deal with these violations on a </w:t>
      </w:r>
      <w:r w:rsidR="002D50F9" w:rsidRPr="00E14F67">
        <w:rPr>
          <w:rFonts w:cstheme="minorHAnsi"/>
          <w:color w:val="000000" w:themeColor="text1"/>
          <w:szCs w:val="22"/>
        </w:rPr>
        <w:t>case-by-case</w:t>
      </w:r>
      <w:r w:rsidRPr="00E14F67">
        <w:rPr>
          <w:rFonts w:cstheme="minorHAnsi"/>
          <w:color w:val="000000" w:themeColor="text1"/>
          <w:szCs w:val="22"/>
        </w:rPr>
        <w:t xml:space="preserve"> basis or </w:t>
      </w:r>
      <w:r w:rsidR="00EA3668" w:rsidRPr="00E14F67">
        <w:rPr>
          <w:rFonts w:cstheme="minorHAnsi"/>
          <w:color w:val="000000" w:themeColor="text1"/>
          <w:szCs w:val="22"/>
        </w:rPr>
        <w:t xml:space="preserve">they </w:t>
      </w:r>
      <w:r w:rsidR="00D25A56">
        <w:rPr>
          <w:rFonts w:cstheme="minorHAnsi"/>
          <w:color w:val="000000" w:themeColor="text1"/>
          <w:szCs w:val="22"/>
        </w:rPr>
        <w:t xml:space="preserve">provide </w:t>
      </w:r>
      <w:r w:rsidRPr="00E14F67">
        <w:rPr>
          <w:rFonts w:cstheme="minorHAnsi"/>
          <w:color w:val="000000" w:themeColor="text1"/>
          <w:szCs w:val="22"/>
        </w:rPr>
        <w:t xml:space="preserve">observations </w:t>
      </w:r>
      <w:r w:rsidR="00D25A56">
        <w:rPr>
          <w:rFonts w:cstheme="minorHAnsi"/>
          <w:color w:val="000000" w:themeColor="text1"/>
          <w:szCs w:val="22"/>
        </w:rPr>
        <w:t xml:space="preserve">and </w:t>
      </w:r>
      <w:r w:rsidRPr="00E14F67">
        <w:rPr>
          <w:rFonts w:cstheme="minorHAnsi"/>
          <w:color w:val="000000" w:themeColor="text1"/>
          <w:szCs w:val="22"/>
        </w:rPr>
        <w:t xml:space="preserve">recommendations </w:t>
      </w:r>
      <w:r w:rsidR="00D25A56">
        <w:rPr>
          <w:rFonts w:cstheme="minorHAnsi"/>
          <w:color w:val="000000" w:themeColor="text1"/>
          <w:szCs w:val="22"/>
        </w:rPr>
        <w:t xml:space="preserve">to the State, </w:t>
      </w:r>
      <w:r w:rsidRPr="00E14F67">
        <w:rPr>
          <w:rFonts w:cstheme="minorHAnsi"/>
          <w:color w:val="000000" w:themeColor="text1"/>
          <w:szCs w:val="22"/>
        </w:rPr>
        <w:t xml:space="preserve">but do not </w:t>
      </w:r>
      <w:r w:rsidR="00D25A56">
        <w:rPr>
          <w:rFonts w:cstheme="minorHAnsi"/>
          <w:color w:val="000000" w:themeColor="text1"/>
          <w:szCs w:val="22"/>
        </w:rPr>
        <w:t>offer</w:t>
      </w:r>
      <w:r w:rsidR="00D25A56" w:rsidRPr="00E14F67">
        <w:rPr>
          <w:rFonts w:cstheme="minorHAnsi"/>
          <w:color w:val="000000" w:themeColor="text1"/>
          <w:szCs w:val="22"/>
        </w:rPr>
        <w:t xml:space="preserve"> </w:t>
      </w:r>
      <w:r w:rsidR="00A10289" w:rsidRPr="00E14F67">
        <w:rPr>
          <w:rFonts w:cstheme="minorHAnsi"/>
          <w:color w:val="000000" w:themeColor="text1"/>
          <w:szCs w:val="22"/>
        </w:rPr>
        <w:t xml:space="preserve">personal </w:t>
      </w:r>
      <w:r w:rsidRPr="00E14F67">
        <w:rPr>
          <w:rFonts w:cstheme="minorHAnsi"/>
          <w:color w:val="000000" w:themeColor="text1"/>
          <w:szCs w:val="22"/>
        </w:rPr>
        <w:t xml:space="preserve">remedy for those affected.  As such dealing with violations </w:t>
      </w:r>
      <w:r w:rsidR="00A10289" w:rsidRPr="00E14F67">
        <w:rPr>
          <w:rFonts w:cstheme="minorHAnsi"/>
          <w:color w:val="000000" w:themeColor="text1"/>
          <w:szCs w:val="22"/>
        </w:rPr>
        <w:t xml:space="preserve">in </w:t>
      </w:r>
      <w:r w:rsidR="00D25A56">
        <w:rPr>
          <w:rFonts w:cstheme="minorHAnsi"/>
          <w:color w:val="000000" w:themeColor="text1"/>
          <w:szCs w:val="22"/>
        </w:rPr>
        <w:t>the above</w:t>
      </w:r>
      <w:r w:rsidR="00A10289" w:rsidRPr="00E14F67">
        <w:rPr>
          <w:rFonts w:cstheme="minorHAnsi"/>
          <w:color w:val="000000" w:themeColor="text1"/>
          <w:szCs w:val="22"/>
        </w:rPr>
        <w:t xml:space="preserve"> ways</w:t>
      </w:r>
      <w:r w:rsidRPr="00E14F67">
        <w:rPr>
          <w:rFonts w:cstheme="minorHAnsi"/>
          <w:color w:val="000000" w:themeColor="text1"/>
          <w:szCs w:val="22"/>
        </w:rPr>
        <w:t xml:space="preserve"> may not be the most effective way to address widespread violations</w:t>
      </w:r>
      <w:r w:rsidR="00814AC5" w:rsidRPr="00E14F67">
        <w:rPr>
          <w:rFonts w:cstheme="minorHAnsi"/>
          <w:szCs w:val="22"/>
        </w:rPr>
        <w:t xml:space="preserve"> </w:t>
      </w:r>
      <w:r w:rsidR="00814AC5" w:rsidRPr="00E14F67">
        <w:rPr>
          <w:rFonts w:cstheme="minorHAnsi"/>
          <w:color w:val="000000" w:themeColor="text1"/>
          <w:szCs w:val="22"/>
        </w:rPr>
        <w:t>and deepening poverty</w:t>
      </w:r>
      <w:r w:rsidRPr="00E14F67">
        <w:rPr>
          <w:rFonts w:cstheme="minorHAnsi"/>
          <w:color w:val="000000" w:themeColor="text1"/>
          <w:szCs w:val="22"/>
        </w:rPr>
        <w:t xml:space="preserve">. Further, it is also clear that those most affected by </w:t>
      </w:r>
      <w:r w:rsidR="00EA3668" w:rsidRPr="00E14F67">
        <w:rPr>
          <w:rFonts w:cstheme="minorHAnsi"/>
          <w:color w:val="000000" w:themeColor="text1"/>
          <w:szCs w:val="22"/>
        </w:rPr>
        <w:t xml:space="preserve">poverty </w:t>
      </w:r>
      <w:r w:rsidRPr="00E14F67">
        <w:rPr>
          <w:rFonts w:cstheme="minorHAnsi"/>
          <w:color w:val="000000" w:themeColor="text1"/>
          <w:szCs w:val="22"/>
        </w:rPr>
        <w:t xml:space="preserve">are already </w:t>
      </w:r>
      <w:r w:rsidR="00A10289" w:rsidRPr="00E14F67">
        <w:rPr>
          <w:rFonts w:cstheme="minorHAnsi"/>
          <w:color w:val="000000" w:themeColor="text1"/>
          <w:szCs w:val="22"/>
        </w:rPr>
        <w:t xml:space="preserve">the </w:t>
      </w:r>
      <w:r w:rsidRPr="00E14F67">
        <w:rPr>
          <w:rFonts w:cstheme="minorHAnsi"/>
          <w:color w:val="000000" w:themeColor="text1"/>
          <w:szCs w:val="22"/>
        </w:rPr>
        <w:t xml:space="preserve">most vulnerable or marginalised in </w:t>
      </w:r>
      <w:r w:rsidRPr="00E14F67">
        <w:rPr>
          <w:rFonts w:cstheme="minorHAnsi"/>
          <w:color w:val="000000" w:themeColor="text1"/>
          <w:szCs w:val="22"/>
        </w:rPr>
        <w:lastRenderedPageBreak/>
        <w:t>society</w:t>
      </w:r>
      <w:r w:rsidR="00EA3668" w:rsidRPr="00E14F67">
        <w:rPr>
          <w:rFonts w:cstheme="minorHAnsi"/>
          <w:color w:val="000000" w:themeColor="text1"/>
          <w:szCs w:val="22"/>
        </w:rPr>
        <w:t>. T</w:t>
      </w:r>
      <w:r w:rsidRPr="00E14F67">
        <w:rPr>
          <w:rFonts w:cstheme="minorHAnsi"/>
          <w:color w:val="000000" w:themeColor="text1"/>
          <w:szCs w:val="22"/>
        </w:rPr>
        <w:t xml:space="preserve">hese people often lack access to justice </w:t>
      </w:r>
      <w:r w:rsidR="00434494" w:rsidRPr="00E14F67">
        <w:rPr>
          <w:rFonts w:cstheme="minorHAnsi"/>
          <w:color w:val="000000" w:themeColor="text1"/>
          <w:szCs w:val="22"/>
        </w:rPr>
        <w:t>whilst also experiencing</w:t>
      </w:r>
      <w:r w:rsidRPr="00E14F67">
        <w:rPr>
          <w:rFonts w:cstheme="minorHAnsi"/>
          <w:color w:val="000000" w:themeColor="text1"/>
          <w:szCs w:val="22"/>
        </w:rPr>
        <w:t xml:space="preserve"> exclusion from participatory networks. Consequently, despite the</w:t>
      </w:r>
      <w:r w:rsidR="00EA3668" w:rsidRPr="00E14F67">
        <w:rPr>
          <w:rFonts w:cstheme="minorHAnsi"/>
          <w:color w:val="000000" w:themeColor="text1"/>
          <w:szCs w:val="22"/>
        </w:rPr>
        <w:t xml:space="preserve"> above positive examples of </w:t>
      </w:r>
      <w:r w:rsidR="00A10289" w:rsidRPr="00E14F67">
        <w:rPr>
          <w:rFonts w:cstheme="minorHAnsi"/>
          <w:color w:val="000000" w:themeColor="text1"/>
          <w:szCs w:val="22"/>
        </w:rPr>
        <w:t>justice</w:t>
      </w:r>
      <w:r w:rsidR="00EA3668" w:rsidRPr="00E14F67">
        <w:rPr>
          <w:rFonts w:cstheme="minorHAnsi"/>
          <w:color w:val="000000" w:themeColor="text1"/>
          <w:szCs w:val="22"/>
        </w:rPr>
        <w:t xml:space="preserve"> </w:t>
      </w:r>
      <w:r w:rsidR="00160E99" w:rsidRPr="00E14F67">
        <w:rPr>
          <w:rFonts w:cstheme="minorHAnsi"/>
          <w:color w:val="000000" w:themeColor="text1"/>
          <w:szCs w:val="22"/>
        </w:rPr>
        <w:t>mechanisms,</w:t>
      </w:r>
      <w:r w:rsidRPr="00E14F67">
        <w:rPr>
          <w:rFonts w:cstheme="minorHAnsi"/>
          <w:color w:val="000000" w:themeColor="text1"/>
          <w:szCs w:val="22"/>
        </w:rPr>
        <w:t xml:space="preserve"> breaches of </w:t>
      </w:r>
      <w:r w:rsidR="00A10289" w:rsidRPr="00E14F67">
        <w:rPr>
          <w:rFonts w:cstheme="minorHAnsi"/>
          <w:color w:val="000000" w:themeColor="text1"/>
          <w:szCs w:val="22"/>
        </w:rPr>
        <w:t xml:space="preserve">poverty-related </w:t>
      </w:r>
      <w:r w:rsidRPr="00E14F67">
        <w:rPr>
          <w:rFonts w:cstheme="minorHAnsi"/>
          <w:color w:val="000000" w:themeColor="text1"/>
          <w:szCs w:val="22"/>
        </w:rPr>
        <w:t xml:space="preserve">ESCRs are ongoing and very few individuals have </w:t>
      </w:r>
      <w:r w:rsidR="00814AC5" w:rsidRPr="00E14F67">
        <w:rPr>
          <w:rFonts w:cstheme="minorHAnsi"/>
          <w:color w:val="000000" w:themeColor="text1"/>
          <w:szCs w:val="22"/>
        </w:rPr>
        <w:t xml:space="preserve">access </w:t>
      </w:r>
      <w:r w:rsidR="00780AA7" w:rsidRPr="00E14F67">
        <w:rPr>
          <w:rFonts w:cstheme="minorHAnsi"/>
          <w:color w:val="000000" w:themeColor="text1"/>
          <w:szCs w:val="22"/>
        </w:rPr>
        <w:t>to remedy</w:t>
      </w:r>
      <w:r w:rsidR="00814AC5" w:rsidRPr="00E14F67">
        <w:rPr>
          <w:rFonts w:cstheme="minorHAnsi"/>
          <w:color w:val="000000" w:themeColor="text1"/>
          <w:szCs w:val="22"/>
        </w:rPr>
        <w:t xml:space="preserve"> or have </w:t>
      </w:r>
      <w:r w:rsidRPr="00E14F67">
        <w:rPr>
          <w:rFonts w:cstheme="minorHAnsi"/>
          <w:color w:val="000000" w:themeColor="text1"/>
          <w:szCs w:val="22"/>
        </w:rPr>
        <w:t xml:space="preserve">received any personal </w:t>
      </w:r>
      <w:r w:rsidR="00814AC5" w:rsidRPr="00E14F67">
        <w:rPr>
          <w:rFonts w:cstheme="minorHAnsi"/>
          <w:color w:val="000000" w:themeColor="text1"/>
          <w:szCs w:val="22"/>
        </w:rPr>
        <w:t xml:space="preserve">reparations </w:t>
      </w:r>
      <w:r w:rsidRPr="00E14F67">
        <w:rPr>
          <w:rFonts w:cstheme="minorHAnsi"/>
          <w:color w:val="000000" w:themeColor="text1"/>
          <w:szCs w:val="22"/>
        </w:rPr>
        <w:t>for violations suffered.</w:t>
      </w:r>
    </w:p>
    <w:p w14:paraId="7B6E00FA" w14:textId="40185677" w:rsidR="006E0272" w:rsidRPr="00E14F67" w:rsidRDefault="00A3273D" w:rsidP="00E14F67">
      <w:pPr>
        <w:tabs>
          <w:tab w:val="left" w:pos="360"/>
          <w:tab w:val="left" w:pos="720"/>
          <w:tab w:val="left" w:pos="1080"/>
          <w:tab w:val="left" w:pos="1440"/>
          <w:tab w:val="left" w:pos="1800"/>
          <w:tab w:val="left" w:pos="2160"/>
          <w:tab w:val="left" w:pos="2880"/>
          <w:tab w:val="left" w:pos="3600"/>
          <w:tab w:val="left" w:pos="4320"/>
        </w:tabs>
        <w:spacing w:line="480" w:lineRule="auto"/>
        <w:jc w:val="both"/>
        <w:rPr>
          <w:rFonts w:cstheme="minorHAnsi"/>
          <w:color w:val="000000" w:themeColor="text1"/>
          <w:szCs w:val="22"/>
        </w:rPr>
      </w:pPr>
      <w:r w:rsidRPr="00E14F67">
        <w:rPr>
          <w:rFonts w:cstheme="minorHAnsi"/>
          <w:color w:val="000000" w:themeColor="text1"/>
          <w:szCs w:val="22"/>
        </w:rPr>
        <w:tab/>
      </w:r>
      <w:r w:rsidRPr="00E14F67">
        <w:rPr>
          <w:rFonts w:cstheme="minorHAnsi"/>
          <w:color w:val="000000" w:themeColor="text1"/>
          <w:szCs w:val="22"/>
        </w:rPr>
        <w:tab/>
        <w:t xml:space="preserve">Thus, there is a need for alternative </w:t>
      </w:r>
      <w:r w:rsidR="00160E99" w:rsidRPr="00E14F67">
        <w:rPr>
          <w:rFonts w:cstheme="minorHAnsi"/>
          <w:color w:val="000000" w:themeColor="text1"/>
          <w:szCs w:val="22"/>
        </w:rPr>
        <w:t>supplementary</w:t>
      </w:r>
      <w:r w:rsidRPr="00E14F67">
        <w:rPr>
          <w:rFonts w:cstheme="minorHAnsi"/>
          <w:color w:val="000000" w:themeColor="text1"/>
          <w:szCs w:val="22"/>
        </w:rPr>
        <w:t xml:space="preserve"> approaches </w:t>
      </w:r>
      <w:r w:rsidR="00160E99" w:rsidRPr="00E14F67">
        <w:rPr>
          <w:rFonts w:cstheme="minorHAnsi"/>
          <w:color w:val="000000" w:themeColor="text1"/>
          <w:szCs w:val="22"/>
        </w:rPr>
        <w:t>for</w:t>
      </w:r>
      <w:r w:rsidRPr="00E14F67">
        <w:rPr>
          <w:rFonts w:cstheme="minorHAnsi"/>
          <w:color w:val="000000" w:themeColor="text1"/>
          <w:szCs w:val="22"/>
        </w:rPr>
        <w:t xml:space="preserve"> addressing </w:t>
      </w:r>
      <w:r w:rsidR="00160E99" w:rsidRPr="00E14F67">
        <w:rPr>
          <w:rFonts w:cstheme="minorHAnsi"/>
          <w:color w:val="000000" w:themeColor="text1"/>
          <w:szCs w:val="22"/>
        </w:rPr>
        <w:t xml:space="preserve">poverty </w:t>
      </w:r>
      <w:r w:rsidRPr="00E14F67">
        <w:rPr>
          <w:rFonts w:cstheme="minorHAnsi"/>
          <w:color w:val="000000" w:themeColor="text1"/>
          <w:szCs w:val="22"/>
        </w:rPr>
        <w:t xml:space="preserve">and seeking </w:t>
      </w:r>
      <w:r w:rsidR="00160E99" w:rsidRPr="00E14F67">
        <w:rPr>
          <w:rFonts w:cstheme="minorHAnsi"/>
          <w:color w:val="000000" w:themeColor="text1"/>
          <w:szCs w:val="22"/>
        </w:rPr>
        <w:t xml:space="preserve">‘justice’ </w:t>
      </w:r>
      <w:r w:rsidRPr="00E14F67">
        <w:rPr>
          <w:rFonts w:cstheme="minorHAnsi"/>
          <w:color w:val="000000" w:themeColor="text1"/>
          <w:szCs w:val="22"/>
        </w:rPr>
        <w:t xml:space="preserve">for the </w:t>
      </w:r>
      <w:r w:rsidR="00160E99" w:rsidRPr="00E14F67">
        <w:rPr>
          <w:rFonts w:cstheme="minorHAnsi"/>
          <w:color w:val="000000" w:themeColor="text1"/>
          <w:szCs w:val="22"/>
        </w:rPr>
        <w:t xml:space="preserve">resulting </w:t>
      </w:r>
      <w:r w:rsidRPr="00E14F67">
        <w:rPr>
          <w:rFonts w:cstheme="minorHAnsi"/>
          <w:color w:val="000000" w:themeColor="text1"/>
          <w:szCs w:val="22"/>
        </w:rPr>
        <w:t xml:space="preserve">ESCRs violations. </w:t>
      </w:r>
      <w:r w:rsidR="00160E99" w:rsidRPr="00E14F67">
        <w:rPr>
          <w:rFonts w:cstheme="minorHAnsi"/>
          <w:color w:val="000000" w:themeColor="text1"/>
          <w:szCs w:val="22"/>
        </w:rPr>
        <w:t>This is especially important given th</w:t>
      </w:r>
      <w:r w:rsidR="00120010">
        <w:rPr>
          <w:rFonts w:cstheme="minorHAnsi"/>
          <w:color w:val="000000" w:themeColor="text1"/>
          <w:szCs w:val="22"/>
        </w:rPr>
        <w:t>at</w:t>
      </w:r>
      <w:r w:rsidR="00160E99" w:rsidRPr="00E14F67">
        <w:rPr>
          <w:rFonts w:cstheme="minorHAnsi"/>
          <w:color w:val="000000" w:themeColor="text1"/>
          <w:szCs w:val="22"/>
        </w:rPr>
        <w:t xml:space="preserve"> responses to the recent global financial crisis </w:t>
      </w:r>
      <w:r w:rsidR="00120010">
        <w:rPr>
          <w:rFonts w:cstheme="minorHAnsi"/>
          <w:color w:val="000000" w:themeColor="text1"/>
          <w:szCs w:val="22"/>
        </w:rPr>
        <w:t>noted above</w:t>
      </w:r>
      <w:r w:rsidR="00160E99" w:rsidRPr="00E14F67">
        <w:rPr>
          <w:rFonts w:cstheme="minorHAnsi"/>
          <w:color w:val="000000" w:themeColor="text1"/>
          <w:szCs w:val="22"/>
        </w:rPr>
        <w:t xml:space="preserve"> have ‘exposed a series of black holes when it comes to accountability for the violation of human rights,’ (Salomon 2015, 522). </w:t>
      </w:r>
      <w:r w:rsidR="00987342" w:rsidRPr="00E14F67">
        <w:rPr>
          <w:rFonts w:cstheme="minorHAnsi"/>
          <w:color w:val="000000" w:themeColor="text1"/>
          <w:szCs w:val="22"/>
        </w:rPr>
        <w:t xml:space="preserve"> </w:t>
      </w:r>
      <w:r w:rsidRPr="00E14F67">
        <w:rPr>
          <w:rFonts w:cstheme="minorHAnsi"/>
          <w:color w:val="000000" w:themeColor="text1"/>
          <w:szCs w:val="22"/>
        </w:rPr>
        <w:t xml:space="preserve">The question then is what alternative or additional approaches can be used to address </w:t>
      </w:r>
      <w:r w:rsidR="00160E99" w:rsidRPr="00E14F67">
        <w:rPr>
          <w:rFonts w:cstheme="minorHAnsi"/>
          <w:color w:val="000000" w:themeColor="text1"/>
          <w:szCs w:val="22"/>
        </w:rPr>
        <w:t>this justice gap?</w:t>
      </w:r>
    </w:p>
    <w:p w14:paraId="6E06F1AA" w14:textId="0BC0E2B2" w:rsidR="00A3273D" w:rsidRPr="00E14F67" w:rsidRDefault="00EB508D" w:rsidP="00E63CA6">
      <w:pPr>
        <w:pStyle w:val="Heading1"/>
        <w:rPr>
          <w:bCs/>
        </w:rPr>
      </w:pPr>
      <w:r w:rsidRPr="00E14F67">
        <w:t xml:space="preserve">Alternative Approaches to Justice: </w:t>
      </w:r>
      <w:r w:rsidR="00DC2937" w:rsidRPr="00E14F67">
        <w:t>Community Based T</w:t>
      </w:r>
      <w:r w:rsidRPr="00E14F67">
        <w:t xml:space="preserve">ruth and </w:t>
      </w:r>
      <w:r w:rsidR="006B2CB8" w:rsidRPr="00E14F67">
        <w:t>Reconciliation</w:t>
      </w:r>
      <w:r w:rsidRPr="00E14F67">
        <w:t xml:space="preserve"> Commissions</w:t>
      </w:r>
    </w:p>
    <w:p w14:paraId="694D855A" w14:textId="07C139E2" w:rsidR="000C5FA8" w:rsidRPr="00E14F67" w:rsidRDefault="00B838D7" w:rsidP="00E14F67">
      <w:pPr>
        <w:tabs>
          <w:tab w:val="left" w:pos="360"/>
          <w:tab w:val="left" w:pos="720"/>
          <w:tab w:val="left" w:pos="1080"/>
          <w:tab w:val="left" w:pos="1440"/>
          <w:tab w:val="left" w:pos="1800"/>
          <w:tab w:val="left" w:pos="2160"/>
          <w:tab w:val="left" w:pos="2880"/>
          <w:tab w:val="left" w:pos="3600"/>
          <w:tab w:val="left" w:pos="4320"/>
        </w:tabs>
        <w:spacing w:line="480" w:lineRule="auto"/>
        <w:jc w:val="both"/>
        <w:rPr>
          <w:rFonts w:cstheme="minorHAnsi"/>
          <w:color w:val="000000" w:themeColor="text1"/>
          <w:szCs w:val="22"/>
        </w:rPr>
      </w:pPr>
      <w:r w:rsidRPr="00E14F67">
        <w:rPr>
          <w:rFonts w:cstheme="minorHAnsi"/>
          <w:color w:val="000000" w:themeColor="text1"/>
          <w:szCs w:val="22"/>
        </w:rPr>
        <w:t xml:space="preserve">When </w:t>
      </w:r>
      <w:r w:rsidR="00451039">
        <w:rPr>
          <w:rFonts w:cstheme="minorHAnsi"/>
          <w:color w:val="000000" w:themeColor="text1"/>
          <w:szCs w:val="22"/>
        </w:rPr>
        <w:t>considering</w:t>
      </w:r>
      <w:r w:rsidRPr="00E14F67">
        <w:rPr>
          <w:rFonts w:cstheme="minorHAnsi"/>
          <w:color w:val="000000" w:themeColor="text1"/>
          <w:szCs w:val="22"/>
        </w:rPr>
        <w:t xml:space="preserve"> justice for human rights violations, the tendency is to conceptualise justice as based predominantly upon the idea of criminal justice as oppose</w:t>
      </w:r>
      <w:r w:rsidR="007433B9" w:rsidRPr="00E14F67">
        <w:rPr>
          <w:rFonts w:cstheme="minorHAnsi"/>
          <w:color w:val="000000" w:themeColor="text1"/>
          <w:szCs w:val="22"/>
        </w:rPr>
        <w:t>d</w:t>
      </w:r>
      <w:r w:rsidRPr="00E14F67">
        <w:rPr>
          <w:rFonts w:cstheme="minorHAnsi"/>
          <w:color w:val="000000" w:themeColor="text1"/>
          <w:szCs w:val="22"/>
        </w:rPr>
        <w:t xml:space="preserve"> to other forms of justice such as </w:t>
      </w:r>
      <w:r w:rsidR="002D50F9" w:rsidRPr="00E14F67">
        <w:rPr>
          <w:rFonts w:cstheme="minorHAnsi"/>
          <w:color w:val="000000" w:themeColor="text1"/>
          <w:szCs w:val="22"/>
        </w:rPr>
        <w:t>social</w:t>
      </w:r>
      <w:r w:rsidR="002D50F9">
        <w:rPr>
          <w:rFonts w:cstheme="minorHAnsi"/>
          <w:color w:val="000000" w:themeColor="text1"/>
          <w:szCs w:val="22"/>
        </w:rPr>
        <w:t>,</w:t>
      </w:r>
      <w:r w:rsidR="002D50F9" w:rsidRPr="00E14F67">
        <w:rPr>
          <w:rFonts w:cstheme="minorHAnsi"/>
          <w:color w:val="000000" w:themeColor="text1"/>
          <w:szCs w:val="22"/>
        </w:rPr>
        <w:t xml:space="preserve"> restorative</w:t>
      </w:r>
      <w:r w:rsidR="00D25A56">
        <w:rPr>
          <w:rFonts w:cstheme="minorHAnsi"/>
          <w:color w:val="000000" w:themeColor="text1"/>
          <w:szCs w:val="22"/>
        </w:rPr>
        <w:t xml:space="preserve"> or distributive</w:t>
      </w:r>
      <w:r w:rsidRPr="00E14F67">
        <w:rPr>
          <w:rFonts w:cstheme="minorHAnsi"/>
          <w:color w:val="000000" w:themeColor="text1"/>
          <w:szCs w:val="22"/>
        </w:rPr>
        <w:t xml:space="preserve"> justice. However, </w:t>
      </w:r>
      <w:r w:rsidR="00D002A8">
        <w:rPr>
          <w:rFonts w:cstheme="minorHAnsi"/>
          <w:color w:val="000000" w:themeColor="text1"/>
          <w:szCs w:val="22"/>
        </w:rPr>
        <w:t xml:space="preserve">there are contexts where a broader approach to justice for human rights violations has been taken, notably </w:t>
      </w:r>
      <w:r w:rsidRPr="00E14F67">
        <w:rPr>
          <w:rFonts w:cstheme="minorHAnsi"/>
          <w:color w:val="000000" w:themeColor="text1"/>
          <w:szCs w:val="22"/>
        </w:rPr>
        <w:t xml:space="preserve">in the </w:t>
      </w:r>
      <w:r w:rsidR="00D002A8">
        <w:rPr>
          <w:rFonts w:cstheme="minorHAnsi"/>
          <w:color w:val="000000" w:themeColor="text1"/>
          <w:szCs w:val="22"/>
        </w:rPr>
        <w:t>practice</w:t>
      </w:r>
      <w:r w:rsidR="00D002A8" w:rsidRPr="00E14F67">
        <w:rPr>
          <w:rFonts w:cstheme="minorHAnsi"/>
          <w:color w:val="000000" w:themeColor="text1"/>
          <w:szCs w:val="22"/>
        </w:rPr>
        <w:t xml:space="preserve"> </w:t>
      </w:r>
      <w:r w:rsidRPr="00E14F67">
        <w:rPr>
          <w:rFonts w:cstheme="minorHAnsi"/>
          <w:color w:val="000000" w:themeColor="text1"/>
          <w:szCs w:val="22"/>
        </w:rPr>
        <w:t>of transitional justice processes, in particular Truth and Reconciliation Commissions (TRCs).</w:t>
      </w:r>
    </w:p>
    <w:p w14:paraId="6ABA681C" w14:textId="75293826" w:rsidR="006E13E4" w:rsidRPr="00E14F67" w:rsidRDefault="00A3273D" w:rsidP="00E14F67">
      <w:pPr>
        <w:spacing w:line="480" w:lineRule="auto"/>
        <w:ind w:firstLine="720"/>
        <w:jc w:val="both"/>
        <w:rPr>
          <w:rFonts w:cstheme="minorHAnsi"/>
          <w:color w:val="000000" w:themeColor="text1"/>
          <w:szCs w:val="22"/>
        </w:rPr>
      </w:pPr>
      <w:r w:rsidRPr="00E14F67">
        <w:rPr>
          <w:rFonts w:cstheme="minorHAnsi"/>
          <w:color w:val="000000" w:themeColor="text1"/>
          <w:szCs w:val="22"/>
        </w:rPr>
        <w:t>‘T</w:t>
      </w:r>
      <w:r w:rsidR="001F0FA5">
        <w:rPr>
          <w:rFonts w:cstheme="minorHAnsi"/>
          <w:color w:val="000000" w:themeColor="text1"/>
          <w:szCs w:val="22"/>
        </w:rPr>
        <w:t xml:space="preserve">ruth and </w:t>
      </w:r>
      <w:r w:rsidR="002D50F9" w:rsidRPr="00E14F67">
        <w:rPr>
          <w:rFonts w:cstheme="minorHAnsi"/>
          <w:color w:val="000000" w:themeColor="text1"/>
          <w:szCs w:val="22"/>
        </w:rPr>
        <w:t>R</w:t>
      </w:r>
      <w:r w:rsidR="002D50F9">
        <w:rPr>
          <w:rFonts w:cstheme="minorHAnsi"/>
          <w:color w:val="000000" w:themeColor="text1"/>
          <w:szCs w:val="22"/>
        </w:rPr>
        <w:t>econciliation</w:t>
      </w:r>
      <w:r w:rsidR="001F0FA5">
        <w:rPr>
          <w:rFonts w:cstheme="minorHAnsi"/>
          <w:color w:val="000000" w:themeColor="text1"/>
          <w:szCs w:val="22"/>
        </w:rPr>
        <w:t xml:space="preserve"> </w:t>
      </w:r>
      <w:r w:rsidRPr="00E14F67">
        <w:rPr>
          <w:rFonts w:cstheme="minorHAnsi"/>
          <w:color w:val="000000" w:themeColor="text1"/>
          <w:szCs w:val="22"/>
        </w:rPr>
        <w:t>C</w:t>
      </w:r>
      <w:r w:rsidR="001F0FA5">
        <w:rPr>
          <w:rFonts w:cstheme="minorHAnsi"/>
          <w:color w:val="000000" w:themeColor="text1"/>
          <w:szCs w:val="22"/>
        </w:rPr>
        <w:t>ommissions</w:t>
      </w:r>
      <w:r w:rsidRPr="00E14F67">
        <w:rPr>
          <w:rFonts w:cstheme="minorHAnsi"/>
          <w:color w:val="000000" w:themeColor="text1"/>
          <w:szCs w:val="22"/>
        </w:rPr>
        <w:t xml:space="preserve"> are global human rights interventions that seek to transform communities affected by oppression and violence through restorative justice principles’ (Androff 2018, 273).  Such mechanisms are usually used to seek remedy for </w:t>
      </w:r>
      <w:r w:rsidR="00AD595C" w:rsidRPr="00E14F67">
        <w:rPr>
          <w:rFonts w:cstheme="minorHAnsi"/>
          <w:color w:val="000000" w:themeColor="text1"/>
          <w:szCs w:val="22"/>
        </w:rPr>
        <w:t>civil and political rights</w:t>
      </w:r>
      <w:r w:rsidR="002335DF" w:rsidRPr="00E14F67">
        <w:rPr>
          <w:rFonts w:cstheme="minorHAnsi"/>
          <w:color w:val="000000" w:themeColor="text1"/>
          <w:szCs w:val="22"/>
        </w:rPr>
        <w:t xml:space="preserve"> violations </w:t>
      </w:r>
      <w:r w:rsidRPr="00E14F67">
        <w:rPr>
          <w:rFonts w:cstheme="minorHAnsi"/>
          <w:color w:val="000000" w:themeColor="text1"/>
          <w:szCs w:val="22"/>
        </w:rPr>
        <w:t xml:space="preserve">in societies emerging from </w:t>
      </w:r>
      <w:r w:rsidRPr="00E14F67">
        <w:rPr>
          <w:rFonts w:cstheme="minorHAnsi"/>
          <w:color w:val="000000" w:themeColor="text1"/>
          <w:szCs w:val="22"/>
        </w:rPr>
        <w:lastRenderedPageBreak/>
        <w:t>armed conflict or repression</w:t>
      </w:r>
      <w:r w:rsidR="002335DF" w:rsidRPr="00E14F67">
        <w:rPr>
          <w:rFonts w:cstheme="minorHAnsi"/>
          <w:color w:val="000000" w:themeColor="text1"/>
          <w:szCs w:val="22"/>
        </w:rPr>
        <w:t xml:space="preserve">, although a limited number of TRCs have also addressed </w:t>
      </w:r>
      <w:r w:rsidR="00455080">
        <w:rPr>
          <w:rFonts w:cstheme="minorHAnsi"/>
          <w:color w:val="000000" w:themeColor="text1"/>
          <w:szCs w:val="22"/>
        </w:rPr>
        <w:t>ESCRs</w:t>
      </w:r>
      <w:r w:rsidR="002335DF" w:rsidRPr="00E14F67">
        <w:rPr>
          <w:rFonts w:cstheme="minorHAnsi"/>
          <w:color w:val="000000" w:themeColor="text1"/>
          <w:szCs w:val="22"/>
        </w:rPr>
        <w:t xml:space="preserve"> violations</w:t>
      </w:r>
      <w:r w:rsidR="00AD595C" w:rsidRPr="00E14F67">
        <w:rPr>
          <w:rFonts w:cstheme="minorHAnsi"/>
          <w:color w:val="000000" w:themeColor="text1"/>
          <w:szCs w:val="22"/>
        </w:rPr>
        <w:t xml:space="preserve"> </w:t>
      </w:r>
      <w:r w:rsidR="00AD595C" w:rsidRPr="00D74FBA">
        <w:rPr>
          <w:rFonts w:cstheme="minorHAnsi"/>
          <w:color w:val="000000" w:themeColor="text1"/>
          <w:szCs w:val="22"/>
        </w:rPr>
        <w:t>(Cahill</w:t>
      </w:r>
      <w:r w:rsidR="00D74FBA">
        <w:rPr>
          <w:rFonts w:cstheme="minorHAnsi"/>
          <w:color w:val="000000" w:themeColor="text1"/>
          <w:szCs w:val="22"/>
        </w:rPr>
        <w:t>-Ripley</w:t>
      </w:r>
      <w:r w:rsidR="00AD595C" w:rsidRPr="00D74FBA">
        <w:rPr>
          <w:rFonts w:cstheme="minorHAnsi"/>
          <w:color w:val="000000" w:themeColor="text1"/>
          <w:szCs w:val="22"/>
        </w:rPr>
        <w:t xml:space="preserve"> 201</w:t>
      </w:r>
      <w:r w:rsidR="00D74FBA" w:rsidRPr="00D74FBA">
        <w:rPr>
          <w:rFonts w:cstheme="minorHAnsi"/>
          <w:color w:val="000000" w:themeColor="text1"/>
          <w:szCs w:val="22"/>
        </w:rPr>
        <w:t>4, 190)</w:t>
      </w:r>
      <w:r w:rsidR="00455080">
        <w:rPr>
          <w:rFonts w:cstheme="minorHAnsi"/>
          <w:color w:val="000000" w:themeColor="text1"/>
          <w:szCs w:val="22"/>
        </w:rPr>
        <w:t>.</w:t>
      </w:r>
      <w:r w:rsidR="002335DF" w:rsidRPr="00E14F67">
        <w:rPr>
          <w:rFonts w:cstheme="minorHAnsi"/>
          <w:color w:val="000000" w:themeColor="text1"/>
          <w:szCs w:val="22"/>
        </w:rPr>
        <w:t xml:space="preserve"> </w:t>
      </w:r>
      <w:r w:rsidR="002773BC" w:rsidRPr="00E14F67">
        <w:rPr>
          <w:rFonts w:cstheme="minorHAnsi"/>
          <w:color w:val="000000" w:themeColor="text1"/>
          <w:szCs w:val="22"/>
        </w:rPr>
        <w:t xml:space="preserve"> </w:t>
      </w:r>
      <w:r w:rsidR="00AD595C" w:rsidRPr="00E14F67">
        <w:rPr>
          <w:rFonts w:cstheme="minorHAnsi"/>
          <w:color w:val="000000" w:themeColor="text1"/>
          <w:szCs w:val="22"/>
        </w:rPr>
        <w:t xml:space="preserve">The extent to which </w:t>
      </w:r>
      <w:r w:rsidR="00EB508D" w:rsidRPr="00E14F67">
        <w:rPr>
          <w:rFonts w:cstheme="minorHAnsi"/>
          <w:color w:val="000000" w:themeColor="text1"/>
          <w:szCs w:val="22"/>
        </w:rPr>
        <w:t xml:space="preserve">transitional justice mechanisms including </w:t>
      </w:r>
      <w:r w:rsidR="00AD595C" w:rsidRPr="00E14F67">
        <w:rPr>
          <w:rFonts w:cstheme="minorHAnsi"/>
          <w:color w:val="000000" w:themeColor="text1"/>
          <w:szCs w:val="22"/>
        </w:rPr>
        <w:t xml:space="preserve">TRCs have been successful in achieving their aims of establishing ‘truth’ and ‘reconciliation’ have been widely debated and </w:t>
      </w:r>
      <w:r w:rsidR="00433B8F" w:rsidRPr="00E14F67">
        <w:rPr>
          <w:rFonts w:cstheme="minorHAnsi"/>
          <w:color w:val="000000" w:themeColor="text1"/>
          <w:szCs w:val="22"/>
        </w:rPr>
        <w:t>the</w:t>
      </w:r>
      <w:r w:rsidR="00DE2C47" w:rsidRPr="00E14F67">
        <w:rPr>
          <w:rFonts w:cstheme="minorHAnsi"/>
          <w:color w:val="000000" w:themeColor="text1"/>
          <w:szCs w:val="22"/>
        </w:rPr>
        <w:t xml:space="preserve"> benefits and </w:t>
      </w:r>
      <w:r w:rsidR="00433B8F" w:rsidRPr="00E14F67">
        <w:rPr>
          <w:rFonts w:cstheme="minorHAnsi"/>
          <w:color w:val="000000" w:themeColor="text1"/>
          <w:szCs w:val="22"/>
        </w:rPr>
        <w:t>limitations of TRCs as delivering accountability and justice are well documented (</w:t>
      </w:r>
      <w:r w:rsidR="00EB508D" w:rsidRPr="00E14F67">
        <w:rPr>
          <w:rFonts w:cstheme="minorHAnsi"/>
          <w:color w:val="000000" w:themeColor="text1"/>
          <w:szCs w:val="22"/>
        </w:rPr>
        <w:t>For example see Evans 2019; McAuliffe 2017).</w:t>
      </w:r>
      <w:r w:rsidR="00DE2C47" w:rsidRPr="00E14F67">
        <w:rPr>
          <w:rFonts w:cstheme="minorHAnsi"/>
          <w:color w:val="000000" w:themeColor="text1"/>
          <w:szCs w:val="22"/>
        </w:rPr>
        <w:t xml:space="preserve"> </w:t>
      </w:r>
    </w:p>
    <w:p w14:paraId="30B832BC" w14:textId="6A885A62" w:rsidR="00E37FF5" w:rsidRPr="00E14F67" w:rsidRDefault="000C5FA8" w:rsidP="00E14F67">
      <w:pPr>
        <w:spacing w:line="480" w:lineRule="auto"/>
        <w:ind w:firstLine="720"/>
        <w:jc w:val="both"/>
        <w:rPr>
          <w:rFonts w:cstheme="minorHAnsi"/>
          <w:color w:val="000000" w:themeColor="text1"/>
          <w:szCs w:val="22"/>
        </w:rPr>
      </w:pPr>
      <w:r w:rsidRPr="00E14F67">
        <w:rPr>
          <w:rFonts w:cstheme="minorHAnsi"/>
          <w:color w:val="000000" w:themeColor="text1"/>
          <w:szCs w:val="22"/>
        </w:rPr>
        <w:t>However</w:t>
      </w:r>
      <w:r w:rsidR="001F0FA5">
        <w:rPr>
          <w:rFonts w:cstheme="minorHAnsi"/>
          <w:color w:val="000000" w:themeColor="text1"/>
          <w:szCs w:val="22"/>
        </w:rPr>
        <w:t>, de</w:t>
      </w:r>
      <w:r w:rsidR="00B838D7" w:rsidRPr="00E14F67">
        <w:rPr>
          <w:rFonts w:cstheme="minorHAnsi"/>
          <w:color w:val="000000" w:themeColor="text1"/>
          <w:szCs w:val="22"/>
        </w:rPr>
        <w:t xml:space="preserve">spite limitations, </w:t>
      </w:r>
      <w:r w:rsidR="00DE2C47" w:rsidRPr="00E14F67">
        <w:rPr>
          <w:rFonts w:cstheme="minorHAnsi"/>
          <w:color w:val="000000" w:themeColor="text1"/>
          <w:szCs w:val="22"/>
        </w:rPr>
        <w:t xml:space="preserve">the concept of a </w:t>
      </w:r>
      <w:r w:rsidR="001F0FA5">
        <w:rPr>
          <w:rFonts w:cstheme="minorHAnsi"/>
          <w:color w:val="000000" w:themeColor="text1"/>
          <w:szCs w:val="22"/>
        </w:rPr>
        <w:t>TRC</w:t>
      </w:r>
      <w:r w:rsidR="00DE2C47" w:rsidRPr="00E14F67">
        <w:rPr>
          <w:rFonts w:cstheme="minorHAnsi"/>
          <w:color w:val="000000" w:themeColor="text1"/>
          <w:szCs w:val="22"/>
        </w:rPr>
        <w:t xml:space="preserve"> has proved attractive as a forum for justice </w:t>
      </w:r>
      <w:r w:rsidR="00962DE9" w:rsidRPr="00E14F67">
        <w:rPr>
          <w:rFonts w:cstheme="minorHAnsi"/>
          <w:color w:val="000000" w:themeColor="text1"/>
          <w:szCs w:val="22"/>
        </w:rPr>
        <w:t>in situations where more tra</w:t>
      </w:r>
      <w:r w:rsidR="00B838D7" w:rsidRPr="00E14F67">
        <w:rPr>
          <w:rFonts w:cstheme="minorHAnsi"/>
          <w:color w:val="000000" w:themeColor="text1"/>
          <w:szCs w:val="22"/>
        </w:rPr>
        <w:t>d</w:t>
      </w:r>
      <w:r w:rsidR="00962DE9" w:rsidRPr="00E14F67">
        <w:rPr>
          <w:rFonts w:cstheme="minorHAnsi"/>
          <w:color w:val="000000" w:themeColor="text1"/>
          <w:szCs w:val="22"/>
        </w:rPr>
        <w:t xml:space="preserve">itional forms of justice </w:t>
      </w:r>
      <w:r w:rsidR="002D50F9" w:rsidRPr="00E14F67">
        <w:rPr>
          <w:rFonts w:cstheme="minorHAnsi"/>
          <w:color w:val="000000" w:themeColor="text1"/>
          <w:szCs w:val="22"/>
        </w:rPr>
        <w:t>i.e.,</w:t>
      </w:r>
      <w:r w:rsidR="00962DE9" w:rsidRPr="00E14F67">
        <w:rPr>
          <w:rFonts w:cstheme="minorHAnsi"/>
          <w:color w:val="000000" w:themeColor="text1"/>
          <w:szCs w:val="22"/>
        </w:rPr>
        <w:t xml:space="preserve"> criminal justice </w:t>
      </w:r>
      <w:r w:rsidRPr="00E14F67">
        <w:rPr>
          <w:rFonts w:cstheme="minorHAnsi"/>
          <w:color w:val="000000" w:themeColor="text1"/>
          <w:szCs w:val="22"/>
        </w:rPr>
        <w:t>have</w:t>
      </w:r>
      <w:r w:rsidR="00962DE9" w:rsidRPr="00E14F67">
        <w:rPr>
          <w:rFonts w:cstheme="minorHAnsi"/>
          <w:color w:val="000000" w:themeColor="text1"/>
          <w:szCs w:val="22"/>
        </w:rPr>
        <w:t xml:space="preserve"> </w:t>
      </w:r>
      <w:r w:rsidR="00B838D7" w:rsidRPr="00E14F67">
        <w:rPr>
          <w:rFonts w:cstheme="minorHAnsi"/>
          <w:color w:val="000000" w:themeColor="text1"/>
          <w:szCs w:val="22"/>
        </w:rPr>
        <w:t>failed</w:t>
      </w:r>
      <w:r w:rsidR="00F472D2" w:rsidRPr="00E14F67">
        <w:rPr>
          <w:rFonts w:cstheme="minorHAnsi"/>
          <w:color w:val="000000" w:themeColor="text1"/>
          <w:szCs w:val="22"/>
        </w:rPr>
        <w:t>,</w:t>
      </w:r>
      <w:r w:rsidR="00962DE9" w:rsidRPr="00E14F67">
        <w:rPr>
          <w:rFonts w:cstheme="minorHAnsi"/>
          <w:color w:val="000000" w:themeColor="text1"/>
          <w:szCs w:val="22"/>
        </w:rPr>
        <w:t xml:space="preserve"> or had limited </w:t>
      </w:r>
      <w:r w:rsidR="00B838D7" w:rsidRPr="00E14F67">
        <w:rPr>
          <w:rFonts w:cstheme="minorHAnsi"/>
          <w:color w:val="000000" w:themeColor="text1"/>
          <w:szCs w:val="22"/>
        </w:rPr>
        <w:t>effect</w:t>
      </w:r>
      <w:r w:rsidR="00F472D2" w:rsidRPr="00E14F67">
        <w:rPr>
          <w:rFonts w:cstheme="minorHAnsi"/>
          <w:color w:val="000000" w:themeColor="text1"/>
          <w:szCs w:val="22"/>
        </w:rPr>
        <w:t>,</w:t>
      </w:r>
      <w:r w:rsidR="00B838D7" w:rsidRPr="00E14F67">
        <w:rPr>
          <w:rFonts w:cstheme="minorHAnsi"/>
          <w:color w:val="000000" w:themeColor="text1"/>
          <w:szCs w:val="22"/>
        </w:rPr>
        <w:t xml:space="preserve"> or been </w:t>
      </w:r>
      <w:r w:rsidR="002773BC" w:rsidRPr="00E14F67">
        <w:rPr>
          <w:rFonts w:cstheme="minorHAnsi"/>
          <w:color w:val="000000" w:themeColor="text1"/>
          <w:szCs w:val="22"/>
        </w:rPr>
        <w:t>inaccessible or unavailable</w:t>
      </w:r>
      <w:r w:rsidR="00962DE9" w:rsidRPr="00E14F67">
        <w:rPr>
          <w:rFonts w:cstheme="minorHAnsi"/>
          <w:color w:val="000000" w:themeColor="text1"/>
          <w:szCs w:val="22"/>
        </w:rPr>
        <w:t xml:space="preserve">. </w:t>
      </w:r>
      <w:r w:rsidR="00A3273D" w:rsidRPr="00E14F67">
        <w:rPr>
          <w:rFonts w:cstheme="minorHAnsi"/>
          <w:color w:val="000000" w:themeColor="text1"/>
          <w:szCs w:val="22"/>
        </w:rPr>
        <w:t>Consequently, recent years have seen TRC’s adapted from th</w:t>
      </w:r>
      <w:r w:rsidR="000F0B20" w:rsidRPr="00E14F67">
        <w:rPr>
          <w:rFonts w:cstheme="minorHAnsi"/>
          <w:color w:val="000000" w:themeColor="text1"/>
          <w:szCs w:val="22"/>
        </w:rPr>
        <w:t>e</w:t>
      </w:r>
      <w:r w:rsidR="00A3273D" w:rsidRPr="00E14F67">
        <w:rPr>
          <w:rFonts w:cstheme="minorHAnsi"/>
          <w:color w:val="000000" w:themeColor="text1"/>
          <w:szCs w:val="22"/>
        </w:rPr>
        <w:t xml:space="preserve"> context of </w:t>
      </w:r>
      <w:r w:rsidR="00962DE9" w:rsidRPr="00E14F67">
        <w:rPr>
          <w:rFonts w:cstheme="minorHAnsi"/>
          <w:color w:val="000000" w:themeColor="text1"/>
          <w:szCs w:val="22"/>
        </w:rPr>
        <w:t xml:space="preserve">transitional justice </w:t>
      </w:r>
      <w:r w:rsidR="00962DE9" w:rsidRPr="00D002A8">
        <w:rPr>
          <w:rFonts w:cstheme="minorHAnsi"/>
          <w:color w:val="000000" w:themeColor="text1"/>
          <w:szCs w:val="22"/>
        </w:rPr>
        <w:t xml:space="preserve">(where a </w:t>
      </w:r>
      <w:r w:rsidR="000F0B20" w:rsidRPr="00D002A8">
        <w:rPr>
          <w:rFonts w:cstheme="minorHAnsi"/>
          <w:color w:val="000000" w:themeColor="text1"/>
          <w:szCs w:val="22"/>
        </w:rPr>
        <w:t xml:space="preserve">state </w:t>
      </w:r>
      <w:r w:rsidR="00A3273D" w:rsidRPr="00D002A8">
        <w:rPr>
          <w:rFonts w:cstheme="minorHAnsi"/>
          <w:color w:val="000000" w:themeColor="text1"/>
          <w:szCs w:val="22"/>
        </w:rPr>
        <w:t>transition</w:t>
      </w:r>
      <w:r w:rsidR="00962DE9" w:rsidRPr="00D002A8">
        <w:rPr>
          <w:rFonts w:cstheme="minorHAnsi"/>
          <w:color w:val="000000" w:themeColor="text1"/>
          <w:szCs w:val="22"/>
        </w:rPr>
        <w:t>s</w:t>
      </w:r>
      <w:r w:rsidR="00A3273D" w:rsidRPr="00D002A8">
        <w:rPr>
          <w:rFonts w:cstheme="minorHAnsi"/>
          <w:color w:val="000000" w:themeColor="text1"/>
          <w:szCs w:val="22"/>
        </w:rPr>
        <w:t xml:space="preserve"> from armed conflict and</w:t>
      </w:r>
      <w:r w:rsidR="00962DE9" w:rsidRPr="00D002A8">
        <w:rPr>
          <w:rFonts w:cstheme="minorHAnsi"/>
          <w:color w:val="000000" w:themeColor="text1"/>
          <w:szCs w:val="22"/>
        </w:rPr>
        <w:t>/or</w:t>
      </w:r>
      <w:r w:rsidR="00A3273D" w:rsidRPr="00D002A8">
        <w:rPr>
          <w:rFonts w:cstheme="minorHAnsi"/>
          <w:color w:val="000000" w:themeColor="text1"/>
          <w:szCs w:val="22"/>
        </w:rPr>
        <w:t xml:space="preserve"> repression</w:t>
      </w:r>
      <w:r w:rsidR="000F0B20" w:rsidRPr="00D002A8">
        <w:rPr>
          <w:rFonts w:cstheme="minorHAnsi"/>
          <w:color w:val="000000" w:themeColor="text1"/>
          <w:szCs w:val="22"/>
        </w:rPr>
        <w:t xml:space="preserve"> to peace and democracy</w:t>
      </w:r>
      <w:r w:rsidR="00962DE9" w:rsidRPr="00D002A8">
        <w:rPr>
          <w:rFonts w:cstheme="minorHAnsi"/>
          <w:color w:val="000000" w:themeColor="text1"/>
          <w:szCs w:val="22"/>
        </w:rPr>
        <w:t>)</w:t>
      </w:r>
      <w:r w:rsidR="00A3273D" w:rsidRPr="00D002A8">
        <w:rPr>
          <w:rFonts w:cstheme="minorHAnsi"/>
          <w:color w:val="000000" w:themeColor="text1"/>
          <w:szCs w:val="22"/>
        </w:rPr>
        <w:t xml:space="preserve"> to</w:t>
      </w:r>
      <w:r w:rsidR="000F0B20" w:rsidRPr="00E14F67">
        <w:rPr>
          <w:rFonts w:cstheme="minorHAnsi"/>
          <w:color w:val="000000" w:themeColor="text1"/>
          <w:szCs w:val="22"/>
        </w:rPr>
        <w:t xml:space="preserve"> the context of local </w:t>
      </w:r>
      <w:r w:rsidR="002773BC" w:rsidRPr="00E14F67">
        <w:rPr>
          <w:rFonts w:cstheme="minorHAnsi"/>
          <w:color w:val="000000" w:themeColor="text1"/>
          <w:szCs w:val="22"/>
        </w:rPr>
        <w:t xml:space="preserve">transformative </w:t>
      </w:r>
      <w:r w:rsidR="00962DE9" w:rsidRPr="00E14F67">
        <w:rPr>
          <w:rFonts w:cstheme="minorHAnsi"/>
          <w:color w:val="000000" w:themeColor="text1"/>
          <w:szCs w:val="22"/>
        </w:rPr>
        <w:t>justice</w:t>
      </w:r>
      <w:r w:rsidR="002773BC" w:rsidRPr="00E14F67">
        <w:rPr>
          <w:rFonts w:cstheme="minorHAnsi"/>
          <w:color w:val="000000" w:themeColor="text1"/>
          <w:szCs w:val="22"/>
        </w:rPr>
        <w:t>.</w:t>
      </w:r>
      <w:r w:rsidR="00962DE9" w:rsidRPr="00E14F67">
        <w:rPr>
          <w:rFonts w:cstheme="minorHAnsi"/>
          <w:color w:val="000000" w:themeColor="text1"/>
          <w:szCs w:val="22"/>
        </w:rPr>
        <w:t xml:space="preserve"> </w:t>
      </w:r>
      <w:r w:rsidR="002773BC" w:rsidRPr="00E14F67">
        <w:rPr>
          <w:rFonts w:cstheme="minorHAnsi"/>
          <w:color w:val="000000" w:themeColor="text1"/>
          <w:szCs w:val="22"/>
        </w:rPr>
        <w:t>Such</w:t>
      </w:r>
      <w:r w:rsidR="00EB508D" w:rsidRPr="00E14F67">
        <w:rPr>
          <w:rFonts w:cstheme="minorHAnsi"/>
          <w:color w:val="000000" w:themeColor="text1"/>
          <w:szCs w:val="22"/>
        </w:rPr>
        <w:t xml:space="preserve"> local</w:t>
      </w:r>
      <w:r w:rsidR="002773BC" w:rsidRPr="00E14F67">
        <w:rPr>
          <w:rFonts w:cstheme="minorHAnsi"/>
          <w:color w:val="000000" w:themeColor="text1"/>
          <w:szCs w:val="22"/>
        </w:rPr>
        <w:t xml:space="preserve"> TRCs ‘focus on repairing communities affected by </w:t>
      </w:r>
      <w:r w:rsidR="002773BC" w:rsidRPr="00E14F67">
        <w:rPr>
          <w:rFonts w:cstheme="minorHAnsi"/>
          <w:i/>
          <w:iCs/>
          <w:color w:val="000000" w:themeColor="text1"/>
          <w:szCs w:val="22"/>
        </w:rPr>
        <w:t>social injustice</w:t>
      </w:r>
      <w:r w:rsidR="002773BC" w:rsidRPr="00E14F67">
        <w:rPr>
          <w:rFonts w:cstheme="minorHAnsi"/>
          <w:color w:val="000000" w:themeColor="text1"/>
          <w:szCs w:val="22"/>
        </w:rPr>
        <w:t xml:space="preserve"> and human rights violations’ (Androff 2018, 274 our emphasis added), </w:t>
      </w:r>
      <w:r w:rsidR="00A3273D" w:rsidRPr="00E14F67">
        <w:rPr>
          <w:rFonts w:cstheme="minorHAnsi"/>
          <w:color w:val="000000" w:themeColor="text1"/>
          <w:szCs w:val="22"/>
        </w:rPr>
        <w:t>for example,</w:t>
      </w:r>
      <w:r w:rsidR="000F0B20" w:rsidRPr="00E14F67">
        <w:rPr>
          <w:rFonts w:cstheme="minorHAnsi"/>
          <w:color w:val="000000" w:themeColor="text1"/>
          <w:szCs w:val="22"/>
        </w:rPr>
        <w:t xml:space="preserve"> the </w:t>
      </w:r>
      <w:r w:rsidR="00962DE9" w:rsidRPr="00E14F67">
        <w:rPr>
          <w:rFonts w:cstheme="minorHAnsi"/>
          <w:color w:val="000000" w:themeColor="text1"/>
          <w:szCs w:val="22"/>
        </w:rPr>
        <w:t xml:space="preserve">direct and </w:t>
      </w:r>
      <w:r w:rsidR="000F0B20" w:rsidRPr="00E14F67">
        <w:rPr>
          <w:rFonts w:cstheme="minorHAnsi"/>
          <w:color w:val="000000" w:themeColor="text1"/>
          <w:szCs w:val="22"/>
        </w:rPr>
        <w:t>structural</w:t>
      </w:r>
      <w:r w:rsidR="00962DE9" w:rsidRPr="00E14F67">
        <w:rPr>
          <w:rFonts w:cstheme="minorHAnsi"/>
          <w:color w:val="000000" w:themeColor="text1"/>
          <w:szCs w:val="22"/>
        </w:rPr>
        <w:t xml:space="preserve"> </w:t>
      </w:r>
      <w:r w:rsidR="000F0B20" w:rsidRPr="00E14F67">
        <w:rPr>
          <w:rFonts w:cstheme="minorHAnsi"/>
          <w:color w:val="000000" w:themeColor="text1"/>
          <w:szCs w:val="22"/>
        </w:rPr>
        <w:t>violence of institutional</w:t>
      </w:r>
      <w:r w:rsidR="00A3273D" w:rsidRPr="00E14F67">
        <w:rPr>
          <w:rFonts w:cstheme="minorHAnsi"/>
          <w:color w:val="000000" w:themeColor="text1"/>
          <w:szCs w:val="22"/>
        </w:rPr>
        <w:t xml:space="preserve"> raci</w:t>
      </w:r>
      <w:r w:rsidR="000F0B20" w:rsidRPr="00E14F67">
        <w:rPr>
          <w:rFonts w:cstheme="minorHAnsi"/>
          <w:color w:val="000000" w:themeColor="text1"/>
          <w:szCs w:val="22"/>
        </w:rPr>
        <w:t>sm</w:t>
      </w:r>
      <w:r w:rsidR="00962DE9" w:rsidRPr="00E14F67">
        <w:rPr>
          <w:rFonts w:cstheme="minorHAnsi"/>
          <w:color w:val="000000" w:themeColor="text1"/>
          <w:szCs w:val="22"/>
        </w:rPr>
        <w:t xml:space="preserve"> or</w:t>
      </w:r>
      <w:r w:rsidR="00A3273D" w:rsidRPr="00E14F67">
        <w:rPr>
          <w:rFonts w:cstheme="minorHAnsi"/>
          <w:color w:val="000000" w:themeColor="text1"/>
          <w:szCs w:val="22"/>
        </w:rPr>
        <w:t xml:space="preserve"> indigenous discrimination</w:t>
      </w:r>
      <w:r w:rsidR="00962DE9" w:rsidRPr="00E14F67">
        <w:rPr>
          <w:rFonts w:cstheme="minorHAnsi"/>
          <w:color w:val="000000" w:themeColor="text1"/>
          <w:szCs w:val="22"/>
        </w:rPr>
        <w:t>.</w:t>
      </w:r>
      <w:r w:rsidR="00A3273D" w:rsidRPr="00E14F67">
        <w:rPr>
          <w:rFonts w:cstheme="minorHAnsi"/>
          <w:color w:val="000000" w:themeColor="text1"/>
          <w:szCs w:val="22"/>
        </w:rPr>
        <w:t xml:space="preserve"> </w:t>
      </w:r>
      <w:r w:rsidR="00B9748D" w:rsidRPr="00E14F67">
        <w:rPr>
          <w:rFonts w:cstheme="minorHAnsi"/>
          <w:color w:val="000000" w:themeColor="text1"/>
          <w:szCs w:val="22"/>
        </w:rPr>
        <w:t>We conceptualise these TRCs as Community Based Truth and Reconciliation Commissions (CBTRCs)</w:t>
      </w:r>
      <w:r w:rsidR="00120010">
        <w:rPr>
          <w:rFonts w:cstheme="minorHAnsi"/>
          <w:color w:val="000000" w:themeColor="text1"/>
          <w:szCs w:val="22"/>
        </w:rPr>
        <w:t xml:space="preserve"> and related</w:t>
      </w:r>
      <w:r w:rsidR="00B9748D" w:rsidRPr="00E14F67">
        <w:rPr>
          <w:rFonts w:cstheme="minorHAnsi"/>
          <w:color w:val="000000" w:themeColor="text1"/>
          <w:szCs w:val="22"/>
        </w:rPr>
        <w:t xml:space="preserve"> alternative </w:t>
      </w:r>
      <w:r w:rsidR="00C04FC2" w:rsidRPr="00E14F67">
        <w:rPr>
          <w:rFonts w:cstheme="minorHAnsi"/>
          <w:color w:val="000000" w:themeColor="text1"/>
          <w:szCs w:val="22"/>
        </w:rPr>
        <w:t xml:space="preserve">projects </w:t>
      </w:r>
      <w:r w:rsidR="009679CC" w:rsidRPr="00E14F67">
        <w:rPr>
          <w:rFonts w:cstheme="minorHAnsi"/>
          <w:color w:val="000000" w:themeColor="text1"/>
          <w:szCs w:val="22"/>
        </w:rPr>
        <w:t xml:space="preserve">which are </w:t>
      </w:r>
      <w:r w:rsidR="00C04FC2" w:rsidRPr="00E14F67">
        <w:rPr>
          <w:rFonts w:cstheme="minorHAnsi"/>
          <w:color w:val="000000" w:themeColor="text1"/>
          <w:szCs w:val="22"/>
        </w:rPr>
        <w:t>not strictly truth commissions are deemed Community Based Initiatives (CBIs).</w:t>
      </w:r>
      <w:r w:rsidR="00B9748D" w:rsidRPr="00E14F67">
        <w:rPr>
          <w:rFonts w:cstheme="minorHAnsi"/>
          <w:color w:val="000000" w:themeColor="text1"/>
          <w:szCs w:val="22"/>
        </w:rPr>
        <w:t xml:space="preserve"> </w:t>
      </w:r>
    </w:p>
    <w:p w14:paraId="211A0E7E" w14:textId="133F952B" w:rsidR="00A3273D" w:rsidRPr="00E14F67" w:rsidRDefault="00A3273D" w:rsidP="00E14F67">
      <w:pPr>
        <w:spacing w:line="480" w:lineRule="auto"/>
        <w:ind w:firstLine="720"/>
        <w:jc w:val="both"/>
        <w:rPr>
          <w:rFonts w:cstheme="minorHAnsi"/>
          <w:color w:val="000000" w:themeColor="text1"/>
          <w:szCs w:val="22"/>
        </w:rPr>
      </w:pPr>
      <w:r w:rsidRPr="00E14F67">
        <w:rPr>
          <w:rFonts w:cstheme="minorHAnsi"/>
          <w:szCs w:val="22"/>
        </w:rPr>
        <w:t xml:space="preserve">In the USA  examples of </w:t>
      </w:r>
      <w:r w:rsidR="006E262A">
        <w:rPr>
          <w:rFonts w:cstheme="minorHAnsi"/>
          <w:szCs w:val="22"/>
        </w:rPr>
        <w:t>community-based</w:t>
      </w:r>
      <w:r w:rsidRPr="00E14F67">
        <w:rPr>
          <w:rFonts w:cstheme="minorHAnsi"/>
          <w:szCs w:val="22"/>
        </w:rPr>
        <w:t xml:space="preserve"> initiatives being used to confront </w:t>
      </w:r>
      <w:r w:rsidR="00B9748D" w:rsidRPr="00E14F67">
        <w:rPr>
          <w:rFonts w:cstheme="minorHAnsi"/>
          <w:szCs w:val="22"/>
        </w:rPr>
        <w:t xml:space="preserve">such </w:t>
      </w:r>
      <w:r w:rsidRPr="00E14F67">
        <w:rPr>
          <w:rFonts w:cstheme="minorHAnsi"/>
          <w:szCs w:val="22"/>
        </w:rPr>
        <w:t xml:space="preserve">social and community harms include S.T.A.R. (Southern Truth and Reconciliation) and the Alliance for Truth and Reconciliation </w:t>
      </w:r>
      <w:r w:rsidRPr="00E14F67">
        <w:rPr>
          <w:rFonts w:cstheme="minorHAnsi"/>
          <w:noProof/>
          <w:szCs w:val="22"/>
        </w:rPr>
        <w:t>(Androff 2018, 284; Magarrell and Gutierrez 2006)</w:t>
      </w:r>
      <w:r w:rsidRPr="00E14F67">
        <w:rPr>
          <w:rFonts w:cstheme="minorHAnsi"/>
          <w:szCs w:val="22"/>
        </w:rPr>
        <w:t xml:space="preserve">; </w:t>
      </w:r>
      <w:r w:rsidRPr="00E14F67">
        <w:rPr>
          <w:rFonts w:cstheme="minorHAnsi"/>
          <w:color w:val="000000" w:themeColor="text1"/>
          <w:szCs w:val="22"/>
        </w:rPr>
        <w:t>The Michigan Roundtable for Diversity and Inclusion,  which began as the Metropolitan Detroit TRC on Racial Inequality</w:t>
      </w:r>
      <w:r w:rsidR="00CD7EE6" w:rsidRPr="00E14F67">
        <w:rPr>
          <w:rFonts w:cstheme="minorHAnsi"/>
          <w:color w:val="000000" w:themeColor="text1"/>
          <w:szCs w:val="22"/>
        </w:rPr>
        <w:t>,</w:t>
      </w:r>
      <w:r w:rsidRPr="00E14F67">
        <w:rPr>
          <w:rFonts w:cstheme="minorHAnsi"/>
          <w:color w:val="000000" w:themeColor="text1"/>
          <w:szCs w:val="22"/>
        </w:rPr>
        <w:t xml:space="preserve"> and The indigenous Wabanaki </w:t>
      </w:r>
      <w:r w:rsidRPr="00E14F67">
        <w:rPr>
          <w:rFonts w:cstheme="minorHAnsi"/>
          <w:color w:val="000000" w:themeColor="text1"/>
          <w:szCs w:val="22"/>
        </w:rPr>
        <w:lastRenderedPageBreak/>
        <w:t xml:space="preserve">people of Maine  who established a TRC to address the forced schooling of children through the child welfare system </w:t>
      </w:r>
      <w:r w:rsidRPr="00E14F67">
        <w:rPr>
          <w:rFonts w:cstheme="minorHAnsi"/>
          <w:noProof/>
          <w:color w:val="000000" w:themeColor="text1"/>
          <w:szCs w:val="22"/>
        </w:rPr>
        <w:t>(Androff 2012, 408; 2018, 284)</w:t>
      </w:r>
      <w:r w:rsidRPr="00E14F67">
        <w:rPr>
          <w:rFonts w:cstheme="minorHAnsi"/>
          <w:color w:val="000000" w:themeColor="text1"/>
          <w:szCs w:val="22"/>
        </w:rPr>
        <w:t>.</w:t>
      </w:r>
      <w:r w:rsidR="0016796A" w:rsidRPr="00E14F67">
        <w:rPr>
          <w:rFonts w:cstheme="minorHAnsi"/>
          <w:color w:val="000000" w:themeColor="text1"/>
          <w:szCs w:val="22"/>
        </w:rPr>
        <w:t xml:space="preserve"> </w:t>
      </w:r>
    </w:p>
    <w:p w14:paraId="4E91121D" w14:textId="352D123C" w:rsidR="006B2CB8" w:rsidRPr="00E14F67" w:rsidRDefault="00A3273D" w:rsidP="00E14F67">
      <w:pPr>
        <w:spacing w:line="480" w:lineRule="auto"/>
        <w:ind w:firstLine="720"/>
        <w:jc w:val="both"/>
        <w:rPr>
          <w:rFonts w:eastAsia="Calibri" w:cstheme="minorHAnsi"/>
          <w:color w:val="000000" w:themeColor="text1"/>
          <w:szCs w:val="22"/>
          <w:shd w:val="clear" w:color="auto" w:fill="FFFFFF"/>
        </w:rPr>
      </w:pPr>
      <w:r w:rsidRPr="00E14F67">
        <w:rPr>
          <w:rFonts w:cstheme="minorHAnsi"/>
          <w:color w:val="000000" w:themeColor="text1"/>
          <w:szCs w:val="22"/>
        </w:rPr>
        <w:t xml:space="preserve">Significantly, in </w:t>
      </w:r>
      <w:r w:rsidR="00C95755" w:rsidRPr="00E14F67">
        <w:rPr>
          <w:rFonts w:cstheme="minorHAnsi"/>
          <w:color w:val="000000" w:themeColor="text1"/>
          <w:szCs w:val="22"/>
        </w:rPr>
        <w:t xml:space="preserve">2004 in </w:t>
      </w:r>
      <w:r w:rsidRPr="00E14F67">
        <w:rPr>
          <w:rFonts w:eastAsia="Calibri" w:cstheme="minorHAnsi"/>
          <w:color w:val="000000" w:themeColor="text1"/>
          <w:szCs w:val="22"/>
          <w:shd w:val="clear" w:color="auto" w:fill="FFFFFF"/>
        </w:rPr>
        <w:t xml:space="preserve">Greensboro, North Carolina, a </w:t>
      </w:r>
      <w:r w:rsidR="00F23B11">
        <w:rPr>
          <w:rFonts w:eastAsia="Calibri" w:cstheme="minorHAnsi"/>
          <w:color w:val="000000" w:themeColor="text1"/>
          <w:szCs w:val="22"/>
          <w:shd w:val="clear" w:color="auto" w:fill="FFFFFF"/>
        </w:rPr>
        <w:t>TRC</w:t>
      </w:r>
      <w:r w:rsidRPr="00E14F67">
        <w:rPr>
          <w:rFonts w:eastAsia="Calibri" w:cstheme="minorHAnsi"/>
          <w:color w:val="000000" w:themeColor="text1"/>
          <w:szCs w:val="22"/>
          <w:shd w:val="clear" w:color="auto" w:fill="FFFFFF"/>
        </w:rPr>
        <w:t xml:space="preserve"> was established to examine the events around </w:t>
      </w:r>
      <w:r w:rsidR="00C95755" w:rsidRPr="00E14F67">
        <w:rPr>
          <w:rFonts w:eastAsia="Calibri" w:cstheme="minorHAnsi"/>
          <w:color w:val="000000" w:themeColor="text1"/>
          <w:szCs w:val="22"/>
          <w:shd w:val="clear" w:color="auto" w:fill="FFFFFF"/>
        </w:rPr>
        <w:t>the 1979 ‘Greensboro Massacre’,</w:t>
      </w:r>
      <w:r w:rsidRPr="00E14F67">
        <w:rPr>
          <w:rFonts w:eastAsia="Calibri" w:cstheme="minorHAnsi"/>
          <w:color w:val="000000" w:themeColor="text1"/>
          <w:szCs w:val="22"/>
          <w:shd w:val="clear" w:color="auto" w:fill="FFFFFF"/>
        </w:rPr>
        <w:t xml:space="preserve"> when a peaceful march for racial and economic justice was attacked by racist groups, leaving ﬁve dead and ten seriously injured</w:t>
      </w:r>
      <w:r w:rsidR="00090C13">
        <w:rPr>
          <w:rFonts w:eastAsia="Calibri" w:cstheme="minorHAnsi"/>
          <w:color w:val="000000" w:themeColor="text1"/>
          <w:szCs w:val="22"/>
          <w:shd w:val="clear" w:color="auto" w:fill="FFFFFF"/>
        </w:rPr>
        <w:t xml:space="preserve"> </w:t>
      </w:r>
      <w:r w:rsidR="00C95755" w:rsidRPr="00E14F67">
        <w:rPr>
          <w:rFonts w:eastAsia="Calibri" w:cstheme="minorHAnsi"/>
          <w:color w:val="000000" w:themeColor="text1"/>
          <w:szCs w:val="22"/>
          <w:shd w:val="clear" w:color="auto" w:fill="FFFFFF"/>
        </w:rPr>
        <w:t>(Greensboro Truth and Reconciliation Commission 2006</w:t>
      </w:r>
      <w:r w:rsidR="00232141">
        <w:rPr>
          <w:rFonts w:eastAsia="Calibri" w:cstheme="minorHAnsi"/>
          <w:color w:val="000000" w:themeColor="text1"/>
          <w:szCs w:val="22"/>
          <w:shd w:val="clear" w:color="auto" w:fill="FFFFFF"/>
        </w:rPr>
        <w:t>a, 2</w:t>
      </w:r>
      <w:r w:rsidR="00C95755" w:rsidRPr="00E14F67">
        <w:rPr>
          <w:rFonts w:eastAsia="Calibri" w:cstheme="minorHAnsi"/>
          <w:color w:val="000000" w:themeColor="text1"/>
          <w:szCs w:val="22"/>
          <w:shd w:val="clear" w:color="auto" w:fill="FFFFFF"/>
        </w:rPr>
        <w:t>).</w:t>
      </w:r>
      <w:r w:rsidRPr="00E14F67">
        <w:rPr>
          <w:rFonts w:eastAsia="Calibri" w:cstheme="minorHAnsi"/>
          <w:color w:val="000000" w:themeColor="text1"/>
          <w:szCs w:val="22"/>
          <w:shd w:val="clear" w:color="auto" w:fill="FFFFFF"/>
        </w:rPr>
        <w:t xml:space="preserve"> Several parties were implicated in the violence including the Ku Klux Klan and the American Nazi Party </w:t>
      </w:r>
      <w:r w:rsidR="005A37C7" w:rsidRPr="005A37C7">
        <w:rPr>
          <w:rFonts w:eastAsia="Calibri" w:cstheme="minorHAnsi"/>
          <w:color w:val="000000" w:themeColor="text1"/>
          <w:szCs w:val="22"/>
          <w:shd w:val="clear" w:color="auto" w:fill="FFFFFF"/>
        </w:rPr>
        <w:t xml:space="preserve">(non-state actors) </w:t>
      </w:r>
      <w:r w:rsidRPr="00E14F67">
        <w:rPr>
          <w:rFonts w:eastAsia="Calibri" w:cstheme="minorHAnsi"/>
          <w:color w:val="000000" w:themeColor="text1"/>
          <w:szCs w:val="22"/>
          <w:shd w:val="clear" w:color="auto" w:fill="FFFFFF"/>
        </w:rPr>
        <w:t xml:space="preserve">but it was also believed that local or federal authorities </w:t>
      </w:r>
      <w:r w:rsidR="00D36983">
        <w:rPr>
          <w:rFonts w:eastAsia="Calibri" w:cstheme="minorHAnsi"/>
          <w:color w:val="000000" w:themeColor="text1"/>
          <w:szCs w:val="22"/>
          <w:shd w:val="clear" w:color="auto" w:fill="FFFFFF"/>
        </w:rPr>
        <w:t>(</w:t>
      </w:r>
      <w:r w:rsidR="002D50F9">
        <w:rPr>
          <w:rFonts w:eastAsia="Calibri" w:cstheme="minorHAnsi"/>
          <w:color w:val="000000" w:themeColor="text1"/>
          <w:szCs w:val="22"/>
          <w:shd w:val="clear" w:color="auto" w:fill="FFFFFF"/>
        </w:rPr>
        <w:t>i.e.,</w:t>
      </w:r>
      <w:r w:rsidR="00D25A56">
        <w:rPr>
          <w:rFonts w:eastAsia="Calibri" w:cstheme="minorHAnsi"/>
          <w:color w:val="000000" w:themeColor="text1"/>
          <w:szCs w:val="22"/>
          <w:shd w:val="clear" w:color="auto" w:fill="FFFFFF"/>
        </w:rPr>
        <w:t xml:space="preserve"> </w:t>
      </w:r>
      <w:r w:rsidR="00D36983">
        <w:rPr>
          <w:rFonts w:eastAsia="Calibri" w:cstheme="minorHAnsi"/>
          <w:color w:val="000000" w:themeColor="text1"/>
          <w:szCs w:val="22"/>
          <w:shd w:val="clear" w:color="auto" w:fill="FFFFFF"/>
        </w:rPr>
        <w:t xml:space="preserve">the State) </w:t>
      </w:r>
      <w:r w:rsidRPr="00E14F67">
        <w:rPr>
          <w:rFonts w:eastAsia="Calibri" w:cstheme="minorHAnsi"/>
          <w:color w:val="000000" w:themeColor="text1"/>
          <w:szCs w:val="22"/>
          <w:shd w:val="clear" w:color="auto" w:fill="FFFFFF"/>
        </w:rPr>
        <w:t xml:space="preserve">were in some way involved </w:t>
      </w:r>
      <w:r w:rsidRPr="00E14F67">
        <w:rPr>
          <w:rFonts w:eastAsia="Calibri" w:cstheme="minorHAnsi"/>
          <w:noProof/>
          <w:color w:val="000000" w:themeColor="text1"/>
          <w:szCs w:val="22"/>
          <w:shd w:val="clear" w:color="auto" w:fill="FFFFFF"/>
        </w:rPr>
        <w:t>(Hayner 2010, 62)</w:t>
      </w:r>
      <w:r w:rsidRPr="00E14F67">
        <w:rPr>
          <w:rFonts w:eastAsia="Calibri" w:cstheme="minorHAnsi"/>
          <w:color w:val="000000" w:themeColor="text1"/>
          <w:szCs w:val="22"/>
          <w:shd w:val="clear" w:color="auto" w:fill="FFFFFF"/>
        </w:rPr>
        <w:t xml:space="preserve">. </w:t>
      </w:r>
      <w:r w:rsidR="002D50F9" w:rsidRPr="00E14F67">
        <w:rPr>
          <w:rFonts w:eastAsia="Calibri" w:cstheme="minorHAnsi"/>
          <w:color w:val="000000" w:themeColor="text1"/>
          <w:szCs w:val="22"/>
          <w:shd w:val="clear" w:color="auto" w:fill="FFFFFF"/>
        </w:rPr>
        <w:t xml:space="preserve">Although </w:t>
      </w:r>
      <w:r w:rsidR="002D50F9" w:rsidRPr="00120010">
        <w:rPr>
          <w:rFonts w:eastAsia="Calibri" w:cstheme="minorHAnsi"/>
          <w:color w:val="000000" w:themeColor="text1"/>
          <w:szCs w:val="22"/>
          <w:shd w:val="clear" w:color="auto" w:fill="FFFFFF"/>
        </w:rPr>
        <w:t>several</w:t>
      </w:r>
      <w:r w:rsidR="002D50F9" w:rsidDel="00120010">
        <w:rPr>
          <w:rFonts w:eastAsia="Calibri" w:cstheme="minorHAnsi"/>
          <w:color w:val="000000" w:themeColor="text1"/>
          <w:szCs w:val="22"/>
          <w:shd w:val="clear" w:color="auto" w:fill="FFFFFF"/>
        </w:rPr>
        <w:t xml:space="preserve"> </w:t>
      </w:r>
      <w:r w:rsidR="002D50F9" w:rsidRPr="00E14F67">
        <w:rPr>
          <w:rFonts w:eastAsia="Calibri" w:cstheme="minorHAnsi"/>
          <w:color w:val="000000" w:themeColor="text1"/>
          <w:szCs w:val="22"/>
          <w:shd w:val="clear" w:color="auto" w:fill="FFFFFF"/>
        </w:rPr>
        <w:t>criminal</w:t>
      </w:r>
      <w:r w:rsidRPr="00E14F67">
        <w:rPr>
          <w:rFonts w:eastAsia="Calibri" w:cstheme="minorHAnsi"/>
          <w:color w:val="000000" w:themeColor="text1"/>
          <w:szCs w:val="22"/>
          <w:shd w:val="clear" w:color="auto" w:fill="FFFFFF"/>
        </w:rPr>
        <w:t xml:space="preserve"> and civil trials were held, these were largely unsuccessful with the ‘acquittal of defendants in both state and federal criminal trials, </w:t>
      </w:r>
      <w:r w:rsidR="001F39A8">
        <w:rPr>
          <w:rFonts w:eastAsia="Calibri" w:cstheme="minorHAnsi"/>
          <w:color w:val="000000" w:themeColor="text1"/>
          <w:szCs w:val="22"/>
          <w:shd w:val="clear" w:color="auto" w:fill="FFFFFF"/>
        </w:rPr>
        <w:t>even though</w:t>
      </w:r>
      <w:r w:rsidRPr="00E14F67">
        <w:rPr>
          <w:rFonts w:eastAsia="Calibri" w:cstheme="minorHAnsi"/>
          <w:color w:val="000000" w:themeColor="text1"/>
          <w:szCs w:val="22"/>
          <w:shd w:val="clear" w:color="auto" w:fill="FFFFFF"/>
        </w:rPr>
        <w:t xml:space="preserve"> the shootings were videotaped and widely viewed’</w:t>
      </w:r>
      <w:r w:rsidR="00165BB8">
        <w:rPr>
          <w:rFonts w:eastAsia="Calibri" w:cstheme="minorHAnsi"/>
          <w:color w:val="000000" w:themeColor="text1"/>
          <w:szCs w:val="22"/>
          <w:shd w:val="clear" w:color="auto" w:fill="FFFFFF"/>
        </w:rPr>
        <w:t xml:space="preserve"> </w:t>
      </w:r>
      <w:r w:rsidRPr="00E14F67">
        <w:rPr>
          <w:rFonts w:eastAsia="Calibri" w:cstheme="minorHAnsi"/>
          <w:noProof/>
          <w:color w:val="000000" w:themeColor="text1"/>
          <w:szCs w:val="22"/>
          <w:shd w:val="clear" w:color="auto" w:fill="FFFFFF"/>
        </w:rPr>
        <w:t>(Greensboro Truth and Reconciliation Commission 2006b, 16)</w:t>
      </w:r>
      <w:r w:rsidRPr="00E14F67">
        <w:rPr>
          <w:rFonts w:eastAsia="Calibri" w:cstheme="minorHAnsi"/>
          <w:color w:val="000000" w:themeColor="text1"/>
          <w:szCs w:val="22"/>
          <w:shd w:val="clear" w:color="auto" w:fill="FFFFFF"/>
        </w:rPr>
        <w:t>. Subsequently</w:t>
      </w:r>
      <w:r w:rsidR="00561A96">
        <w:rPr>
          <w:rFonts w:eastAsia="Calibri" w:cstheme="minorHAnsi"/>
          <w:color w:val="000000" w:themeColor="text1"/>
          <w:szCs w:val="22"/>
          <w:shd w:val="clear" w:color="auto" w:fill="FFFFFF"/>
        </w:rPr>
        <w:t>,</w:t>
      </w:r>
      <w:r w:rsidRPr="00E14F67">
        <w:rPr>
          <w:rFonts w:eastAsia="Calibri" w:cstheme="minorHAnsi"/>
          <w:color w:val="000000" w:themeColor="text1"/>
          <w:szCs w:val="22"/>
          <w:shd w:val="clear" w:color="auto" w:fill="FFFFFF"/>
        </w:rPr>
        <w:t xml:space="preserve"> in response to </w:t>
      </w:r>
      <w:r w:rsidR="00561A96">
        <w:rPr>
          <w:rFonts w:eastAsia="Calibri" w:cstheme="minorHAnsi"/>
          <w:color w:val="000000" w:themeColor="text1"/>
          <w:szCs w:val="22"/>
          <w:shd w:val="clear" w:color="auto" w:fill="FFFFFF"/>
        </w:rPr>
        <w:t xml:space="preserve">grassroots </w:t>
      </w:r>
      <w:r w:rsidRPr="00E14F67">
        <w:rPr>
          <w:rFonts w:eastAsia="Calibri" w:cstheme="minorHAnsi"/>
          <w:color w:val="000000" w:themeColor="text1"/>
          <w:szCs w:val="22"/>
          <w:shd w:val="clear" w:color="auto" w:fill="FFFFFF"/>
        </w:rPr>
        <w:t>calls for justice</w:t>
      </w:r>
      <w:r w:rsidR="00561A96">
        <w:rPr>
          <w:rFonts w:eastAsia="Calibri" w:cstheme="minorHAnsi"/>
          <w:color w:val="000000" w:themeColor="text1"/>
          <w:szCs w:val="22"/>
          <w:shd w:val="clear" w:color="auto" w:fill="FFFFFF"/>
        </w:rPr>
        <w:t>,</w:t>
      </w:r>
      <w:r w:rsidRPr="00E14F67">
        <w:rPr>
          <w:rFonts w:eastAsia="Calibri" w:cstheme="minorHAnsi"/>
          <w:color w:val="000000" w:themeColor="text1"/>
          <w:szCs w:val="22"/>
          <w:shd w:val="clear" w:color="auto" w:fill="FFFFFF"/>
        </w:rPr>
        <w:t xml:space="preserve"> the Greensboro Commission was established with the mandate to examine, ‘the context, causes, sequence and consequence of the events of November 3, 1979.’ </w:t>
      </w:r>
    </w:p>
    <w:p w14:paraId="54329BB3" w14:textId="42E1CE2B" w:rsidR="00EB508D" w:rsidRPr="00E14F67" w:rsidRDefault="00CB5B96" w:rsidP="00E14F67">
      <w:pPr>
        <w:spacing w:line="480" w:lineRule="auto"/>
        <w:ind w:firstLine="720"/>
        <w:jc w:val="both"/>
        <w:rPr>
          <w:rFonts w:eastAsia="Calibri" w:cstheme="minorHAnsi"/>
          <w:color w:val="000000" w:themeColor="text1"/>
          <w:szCs w:val="22"/>
          <w:shd w:val="clear" w:color="auto" w:fill="FFFFFF"/>
        </w:rPr>
      </w:pPr>
      <w:r w:rsidRPr="00E14F67">
        <w:rPr>
          <w:rFonts w:eastAsia="Calibri" w:cstheme="minorHAnsi"/>
          <w:color w:val="000000" w:themeColor="text1"/>
          <w:szCs w:val="22"/>
          <w:shd w:val="clear" w:color="auto" w:fill="FFFFFF"/>
        </w:rPr>
        <w:t>The Greensboro TRC was si</w:t>
      </w:r>
      <w:r w:rsidR="008D5BDF" w:rsidRPr="00E14F67">
        <w:rPr>
          <w:rFonts w:eastAsia="Calibri" w:cstheme="minorHAnsi"/>
          <w:color w:val="000000" w:themeColor="text1"/>
          <w:szCs w:val="22"/>
          <w:shd w:val="clear" w:color="auto" w:fill="FFFFFF"/>
        </w:rPr>
        <w:t>g</w:t>
      </w:r>
      <w:r w:rsidRPr="00E14F67">
        <w:rPr>
          <w:rFonts w:eastAsia="Calibri" w:cstheme="minorHAnsi"/>
          <w:color w:val="000000" w:themeColor="text1"/>
          <w:szCs w:val="22"/>
          <w:shd w:val="clear" w:color="auto" w:fill="FFFFFF"/>
        </w:rPr>
        <w:t>n</w:t>
      </w:r>
      <w:r w:rsidR="008D5BDF" w:rsidRPr="00E14F67">
        <w:rPr>
          <w:rFonts w:eastAsia="Calibri" w:cstheme="minorHAnsi"/>
          <w:color w:val="000000" w:themeColor="text1"/>
          <w:szCs w:val="22"/>
          <w:shd w:val="clear" w:color="auto" w:fill="FFFFFF"/>
        </w:rPr>
        <w:t>if</w:t>
      </w:r>
      <w:r w:rsidRPr="00E14F67">
        <w:rPr>
          <w:rFonts w:eastAsia="Calibri" w:cstheme="minorHAnsi"/>
          <w:color w:val="000000" w:themeColor="text1"/>
          <w:szCs w:val="22"/>
          <w:shd w:val="clear" w:color="auto" w:fill="FFFFFF"/>
        </w:rPr>
        <w:t xml:space="preserve">icant for a number of reasons: </w:t>
      </w:r>
      <w:r w:rsidR="008D5BDF" w:rsidRPr="00E14F67">
        <w:rPr>
          <w:rFonts w:eastAsia="Calibri" w:cstheme="minorHAnsi"/>
          <w:color w:val="000000" w:themeColor="text1"/>
          <w:szCs w:val="22"/>
          <w:shd w:val="clear" w:color="auto" w:fill="FFFFFF"/>
        </w:rPr>
        <w:t>Firstly,</w:t>
      </w:r>
      <w:r w:rsidR="00D36983" w:rsidRPr="00D36983">
        <w:rPr>
          <w:rFonts w:eastAsia="Calibri" w:cstheme="minorHAnsi"/>
          <w:color w:val="000000" w:themeColor="text1"/>
          <w:szCs w:val="22"/>
          <w:shd w:val="clear" w:color="auto" w:fill="FFFFFF"/>
        </w:rPr>
        <w:t xml:space="preserve"> </w:t>
      </w:r>
      <w:r w:rsidR="00D36983">
        <w:rPr>
          <w:rFonts w:eastAsia="Calibri" w:cstheme="minorHAnsi"/>
          <w:color w:val="000000" w:themeColor="text1"/>
          <w:szCs w:val="22"/>
          <w:shd w:val="clear" w:color="auto" w:fill="FFFFFF"/>
        </w:rPr>
        <w:t xml:space="preserve">it focussed upon the role of the State as responsible for such human rights violations (whether through overt or tacit support), rather than focussing solely on the non-state actors as key perpetrators. </w:t>
      </w:r>
      <w:r w:rsidR="00D36983" w:rsidRPr="00E14F67">
        <w:rPr>
          <w:rFonts w:eastAsia="Calibri" w:cstheme="minorHAnsi"/>
          <w:color w:val="000000" w:themeColor="text1"/>
          <w:szCs w:val="22"/>
          <w:shd w:val="clear" w:color="auto" w:fill="FFFFFF"/>
        </w:rPr>
        <w:t>Secondly,</w:t>
      </w:r>
      <w:r w:rsidRPr="00E14F67">
        <w:rPr>
          <w:rFonts w:eastAsia="Calibri" w:cstheme="minorHAnsi"/>
          <w:color w:val="000000" w:themeColor="text1"/>
          <w:szCs w:val="22"/>
          <w:shd w:val="clear" w:color="auto" w:fill="FFFFFF"/>
        </w:rPr>
        <w:t xml:space="preserve"> it was </w:t>
      </w:r>
      <w:r w:rsidR="008D5BDF" w:rsidRPr="00E14F67">
        <w:rPr>
          <w:rFonts w:eastAsia="Calibri" w:cstheme="minorHAnsi"/>
          <w:color w:val="000000" w:themeColor="text1"/>
          <w:szCs w:val="22"/>
          <w:shd w:val="clear" w:color="auto" w:fill="FFFFFF"/>
        </w:rPr>
        <w:t xml:space="preserve">established and led by </w:t>
      </w:r>
      <w:r w:rsidRPr="00E14F67">
        <w:rPr>
          <w:rFonts w:eastAsia="Calibri" w:cstheme="minorHAnsi"/>
          <w:color w:val="000000" w:themeColor="text1"/>
          <w:szCs w:val="22"/>
          <w:shd w:val="clear" w:color="auto" w:fill="FFFFFF"/>
        </w:rPr>
        <w:t xml:space="preserve">grassroots </w:t>
      </w:r>
      <w:r w:rsidR="008D5BDF" w:rsidRPr="00E14F67">
        <w:rPr>
          <w:rFonts w:eastAsia="Calibri" w:cstheme="minorHAnsi"/>
          <w:color w:val="000000" w:themeColor="text1"/>
          <w:szCs w:val="22"/>
          <w:shd w:val="clear" w:color="auto" w:fill="FFFFFF"/>
        </w:rPr>
        <w:t>demands for justice</w:t>
      </w:r>
      <w:r w:rsidRPr="00E14F67">
        <w:rPr>
          <w:rFonts w:eastAsia="Calibri" w:cstheme="minorHAnsi"/>
          <w:color w:val="000000" w:themeColor="text1"/>
          <w:szCs w:val="22"/>
          <w:shd w:val="clear" w:color="auto" w:fill="FFFFFF"/>
        </w:rPr>
        <w:t xml:space="preserve">. </w:t>
      </w:r>
      <w:r w:rsidR="00D36983">
        <w:rPr>
          <w:rFonts w:eastAsia="Calibri" w:cstheme="minorHAnsi"/>
          <w:color w:val="000000" w:themeColor="text1"/>
          <w:szCs w:val="22"/>
          <w:shd w:val="clear" w:color="auto" w:fill="FFFFFF"/>
        </w:rPr>
        <w:t xml:space="preserve">Moreover, </w:t>
      </w:r>
      <w:r w:rsidRPr="00E14F67">
        <w:rPr>
          <w:rFonts w:eastAsia="Calibri" w:cstheme="minorHAnsi"/>
          <w:color w:val="000000" w:themeColor="text1"/>
          <w:szCs w:val="22"/>
          <w:shd w:val="clear" w:color="auto" w:fill="FFFFFF"/>
        </w:rPr>
        <w:t xml:space="preserve">its application of an international model to a localised </w:t>
      </w:r>
      <w:r w:rsidR="008D5BDF" w:rsidRPr="00E14F67">
        <w:rPr>
          <w:rFonts w:eastAsia="Calibri" w:cstheme="minorHAnsi"/>
          <w:color w:val="000000" w:themeColor="text1"/>
          <w:szCs w:val="22"/>
          <w:shd w:val="clear" w:color="auto" w:fill="FFFFFF"/>
        </w:rPr>
        <w:t>context was</w:t>
      </w:r>
      <w:r w:rsidRPr="00E14F67">
        <w:rPr>
          <w:rFonts w:eastAsia="Calibri" w:cstheme="minorHAnsi"/>
          <w:color w:val="000000" w:themeColor="text1"/>
          <w:szCs w:val="22"/>
          <w:shd w:val="clear" w:color="auto" w:fill="FFFFFF"/>
        </w:rPr>
        <w:t xml:space="preserve"> seen as innovative and inspired other community</w:t>
      </w:r>
      <w:r w:rsidR="008D5BDF" w:rsidRPr="00E14F67">
        <w:rPr>
          <w:rFonts w:eastAsia="Calibri" w:cstheme="minorHAnsi"/>
          <w:color w:val="000000" w:themeColor="text1"/>
          <w:szCs w:val="22"/>
          <w:shd w:val="clear" w:color="auto" w:fill="FFFFFF"/>
        </w:rPr>
        <w:t>-</w:t>
      </w:r>
      <w:r w:rsidRPr="00E14F67">
        <w:rPr>
          <w:rFonts w:eastAsia="Calibri" w:cstheme="minorHAnsi"/>
          <w:color w:val="000000" w:themeColor="text1"/>
          <w:szCs w:val="22"/>
          <w:shd w:val="clear" w:color="auto" w:fill="FFFFFF"/>
        </w:rPr>
        <w:t>based initiatives to consider adopting a TRC in response</w:t>
      </w:r>
      <w:r w:rsidR="008D5BDF" w:rsidRPr="00E14F67">
        <w:rPr>
          <w:rFonts w:eastAsia="Calibri" w:cstheme="minorHAnsi"/>
          <w:color w:val="000000" w:themeColor="text1"/>
          <w:szCs w:val="22"/>
          <w:shd w:val="clear" w:color="auto" w:fill="FFFFFF"/>
        </w:rPr>
        <w:t xml:space="preserve"> to</w:t>
      </w:r>
      <w:r w:rsidRPr="00E14F67">
        <w:rPr>
          <w:rFonts w:eastAsia="Calibri" w:cstheme="minorHAnsi"/>
          <w:color w:val="000000" w:themeColor="text1"/>
          <w:szCs w:val="22"/>
          <w:shd w:val="clear" w:color="auto" w:fill="FFFFFF"/>
        </w:rPr>
        <w:t xml:space="preserve"> ‘significant racist or other targeted violence [that] remains largely unrecorded’ (Hayner 2010, 62).</w:t>
      </w:r>
      <w:r w:rsidR="007803E0" w:rsidRPr="00E14F67">
        <w:rPr>
          <w:rFonts w:eastAsia="Calibri" w:cstheme="minorHAnsi"/>
          <w:color w:val="000000" w:themeColor="text1"/>
          <w:szCs w:val="22"/>
          <w:shd w:val="clear" w:color="auto" w:fill="FFFFFF"/>
        </w:rPr>
        <w:t xml:space="preserve"> </w:t>
      </w:r>
      <w:r w:rsidR="00254EF2" w:rsidRPr="00E14F67">
        <w:rPr>
          <w:rFonts w:eastAsia="Calibri" w:cstheme="minorHAnsi"/>
          <w:color w:val="000000" w:themeColor="text1"/>
          <w:szCs w:val="22"/>
          <w:shd w:val="clear" w:color="auto" w:fill="FFFFFF"/>
        </w:rPr>
        <w:t xml:space="preserve">Hence, the Greensboro model </w:t>
      </w:r>
      <w:r w:rsidR="00254EF2" w:rsidRPr="00E14F67">
        <w:rPr>
          <w:rFonts w:eastAsia="Calibri" w:cstheme="minorHAnsi"/>
          <w:color w:val="000000" w:themeColor="text1"/>
          <w:szCs w:val="22"/>
          <w:shd w:val="clear" w:color="auto" w:fill="FFFFFF"/>
        </w:rPr>
        <w:lastRenderedPageBreak/>
        <w:t>‘has served as a template for reconciliation processes in several U.S. cities and states’ (Inwood 2016, 57)</w:t>
      </w:r>
      <w:r w:rsidR="00970571" w:rsidRPr="00E14F67">
        <w:rPr>
          <w:rFonts w:eastAsia="Calibri" w:cstheme="minorHAnsi"/>
          <w:color w:val="000000" w:themeColor="text1"/>
          <w:szCs w:val="22"/>
          <w:shd w:val="clear" w:color="auto" w:fill="FFFFFF"/>
        </w:rPr>
        <w:t>.</w:t>
      </w:r>
    </w:p>
    <w:p w14:paraId="6B33B46B" w14:textId="26423138" w:rsidR="00151DBF" w:rsidRPr="00E14F67" w:rsidRDefault="00EB508D" w:rsidP="00E14F67">
      <w:pPr>
        <w:spacing w:line="480" w:lineRule="auto"/>
        <w:ind w:firstLine="720"/>
        <w:jc w:val="both"/>
        <w:rPr>
          <w:rFonts w:eastAsia="Calibri" w:cstheme="minorHAnsi"/>
          <w:color w:val="000000" w:themeColor="text1"/>
          <w:szCs w:val="22"/>
          <w:shd w:val="clear" w:color="auto" w:fill="FFFFFF"/>
        </w:rPr>
      </w:pPr>
      <w:r w:rsidRPr="0044456A">
        <w:rPr>
          <w:rFonts w:eastAsia="Calibri" w:cstheme="minorHAnsi"/>
          <w:color w:val="000000" w:themeColor="text1"/>
          <w:szCs w:val="22"/>
          <w:shd w:val="clear" w:color="auto" w:fill="FFFFFF"/>
        </w:rPr>
        <w:t xml:space="preserve">One such example is </w:t>
      </w:r>
      <w:r w:rsidR="0016796A" w:rsidRPr="0044456A">
        <w:rPr>
          <w:rFonts w:cstheme="minorHAnsi"/>
          <w:szCs w:val="22"/>
        </w:rPr>
        <w:t>t</w:t>
      </w:r>
      <w:r w:rsidR="0016796A" w:rsidRPr="0044456A">
        <w:rPr>
          <w:rFonts w:eastAsia="Calibri" w:cstheme="minorHAnsi"/>
          <w:color w:val="000000" w:themeColor="text1"/>
          <w:szCs w:val="22"/>
          <w:shd w:val="clear" w:color="auto" w:fill="FFFFFF"/>
        </w:rPr>
        <w:t>he Mississippi Truth Project</w:t>
      </w:r>
      <w:r w:rsidR="0043614D" w:rsidRPr="0044456A">
        <w:rPr>
          <w:rFonts w:eastAsia="Calibri" w:cstheme="minorHAnsi"/>
          <w:color w:val="000000" w:themeColor="text1"/>
          <w:szCs w:val="22"/>
          <w:shd w:val="clear" w:color="auto" w:fill="FFFFFF"/>
        </w:rPr>
        <w:t>, e</w:t>
      </w:r>
      <w:r w:rsidR="0016796A" w:rsidRPr="0044456A">
        <w:rPr>
          <w:rFonts w:eastAsia="Calibri" w:cstheme="minorHAnsi"/>
          <w:color w:val="000000" w:themeColor="text1"/>
          <w:szCs w:val="22"/>
          <w:shd w:val="clear" w:color="auto" w:fill="FFFFFF"/>
        </w:rPr>
        <w:t>stablished in 2008</w:t>
      </w:r>
      <w:r w:rsidR="0043614D" w:rsidRPr="0044456A">
        <w:rPr>
          <w:rFonts w:eastAsia="Calibri" w:cstheme="minorHAnsi"/>
          <w:color w:val="000000" w:themeColor="text1"/>
          <w:szCs w:val="22"/>
          <w:shd w:val="clear" w:color="auto" w:fill="FFFFFF"/>
        </w:rPr>
        <w:t>. It</w:t>
      </w:r>
      <w:r w:rsidR="0016796A" w:rsidRPr="0044456A">
        <w:rPr>
          <w:rFonts w:eastAsia="Calibri" w:cstheme="minorHAnsi"/>
          <w:color w:val="000000" w:themeColor="text1"/>
          <w:szCs w:val="22"/>
          <w:shd w:val="clear" w:color="auto" w:fill="FFFFFF"/>
        </w:rPr>
        <w:t xml:space="preserve"> was the ‘first step towards the establishment of a Mississippi Truth and Reconciliation Commission and highlighted the limits of criminal prosecutions in terms of generating an acknowledgement of institutional </w:t>
      </w:r>
      <w:r w:rsidR="005A37C7">
        <w:rPr>
          <w:rFonts w:eastAsia="Calibri" w:cstheme="minorHAnsi"/>
          <w:color w:val="000000" w:themeColor="text1"/>
          <w:szCs w:val="22"/>
          <w:shd w:val="clear" w:color="auto" w:fill="FFFFFF"/>
        </w:rPr>
        <w:t xml:space="preserve">(state) </w:t>
      </w:r>
      <w:r w:rsidR="0016796A" w:rsidRPr="0044456A">
        <w:rPr>
          <w:rFonts w:eastAsia="Calibri" w:cstheme="minorHAnsi"/>
          <w:color w:val="000000" w:themeColor="text1"/>
          <w:szCs w:val="22"/>
          <w:shd w:val="clear" w:color="auto" w:fill="FFFFFF"/>
        </w:rPr>
        <w:t>responsibility for past violence and present racial inequality’</w:t>
      </w:r>
      <w:r w:rsidR="008D5BDF" w:rsidRPr="0044456A">
        <w:rPr>
          <w:rFonts w:eastAsia="Calibri" w:cstheme="minorHAnsi"/>
          <w:color w:val="000000" w:themeColor="text1"/>
          <w:szCs w:val="22"/>
          <w:shd w:val="clear" w:color="auto" w:fill="FFFFFF"/>
        </w:rPr>
        <w:t xml:space="preserve"> </w:t>
      </w:r>
      <w:r w:rsidR="0016796A" w:rsidRPr="0044456A">
        <w:rPr>
          <w:rFonts w:eastAsia="Calibri" w:cstheme="minorHAnsi"/>
          <w:color w:val="000000" w:themeColor="text1"/>
          <w:szCs w:val="22"/>
          <w:shd w:val="clear" w:color="auto" w:fill="FFFFFF"/>
        </w:rPr>
        <w:t>(Lamont 2010,</w:t>
      </w:r>
      <w:r w:rsidR="008D5BDF" w:rsidRPr="0044456A">
        <w:rPr>
          <w:rFonts w:eastAsia="Calibri" w:cstheme="minorHAnsi"/>
          <w:color w:val="000000" w:themeColor="text1"/>
          <w:szCs w:val="22"/>
          <w:shd w:val="clear" w:color="auto" w:fill="FFFFFF"/>
        </w:rPr>
        <w:t xml:space="preserve"> </w:t>
      </w:r>
      <w:r w:rsidR="0016796A" w:rsidRPr="0044456A">
        <w:rPr>
          <w:rFonts w:eastAsia="Calibri" w:cstheme="minorHAnsi"/>
          <w:color w:val="000000" w:themeColor="text1"/>
          <w:szCs w:val="22"/>
          <w:shd w:val="clear" w:color="auto" w:fill="FFFFFF"/>
        </w:rPr>
        <w:t xml:space="preserve">184). </w:t>
      </w:r>
      <w:r w:rsidR="001409EE" w:rsidRPr="0044456A">
        <w:rPr>
          <w:rFonts w:eastAsia="Calibri" w:cstheme="minorHAnsi"/>
          <w:color w:val="000000" w:themeColor="text1"/>
          <w:szCs w:val="22"/>
          <w:shd w:val="clear" w:color="auto" w:fill="FFFFFF"/>
        </w:rPr>
        <w:t>Thus,</w:t>
      </w:r>
      <w:r w:rsidR="0016796A" w:rsidRPr="0044456A">
        <w:rPr>
          <w:rFonts w:eastAsia="Calibri" w:cstheme="minorHAnsi"/>
          <w:color w:val="000000" w:themeColor="text1"/>
          <w:szCs w:val="22"/>
          <w:shd w:val="clear" w:color="auto" w:fill="FFFFFF"/>
        </w:rPr>
        <w:t xml:space="preserve"> th</w:t>
      </w:r>
      <w:r w:rsidRPr="0044456A">
        <w:rPr>
          <w:rFonts w:eastAsia="Calibri" w:cstheme="minorHAnsi"/>
          <w:color w:val="000000" w:themeColor="text1"/>
          <w:szCs w:val="22"/>
          <w:shd w:val="clear" w:color="auto" w:fill="FFFFFF"/>
        </w:rPr>
        <w:t>is</w:t>
      </w:r>
      <w:r w:rsidR="0016796A" w:rsidRPr="0044456A">
        <w:rPr>
          <w:rFonts w:eastAsia="Calibri" w:cstheme="minorHAnsi"/>
          <w:color w:val="000000" w:themeColor="text1"/>
          <w:szCs w:val="22"/>
          <w:shd w:val="clear" w:color="auto" w:fill="FFFFFF"/>
        </w:rPr>
        <w:t xml:space="preserve"> CBTRC </w:t>
      </w:r>
      <w:r w:rsidR="001409EE" w:rsidRPr="0044456A">
        <w:rPr>
          <w:rFonts w:eastAsia="Calibri" w:cstheme="minorHAnsi"/>
          <w:color w:val="000000" w:themeColor="text1"/>
          <w:szCs w:val="22"/>
          <w:shd w:val="clear" w:color="auto" w:fill="FFFFFF"/>
        </w:rPr>
        <w:t>aimed to address</w:t>
      </w:r>
      <w:r w:rsidR="0016796A" w:rsidRPr="0044456A">
        <w:rPr>
          <w:rFonts w:eastAsia="Calibri" w:cstheme="minorHAnsi"/>
          <w:color w:val="000000" w:themeColor="text1"/>
          <w:szCs w:val="22"/>
          <w:shd w:val="clear" w:color="auto" w:fill="FFFFFF"/>
        </w:rPr>
        <w:t xml:space="preserve"> the direct and personal violence experienced </w:t>
      </w:r>
      <w:r w:rsidR="001409EE" w:rsidRPr="0044456A">
        <w:rPr>
          <w:rFonts w:eastAsia="Calibri" w:cstheme="minorHAnsi"/>
          <w:color w:val="000000" w:themeColor="text1"/>
          <w:szCs w:val="22"/>
          <w:shd w:val="clear" w:color="auto" w:fill="FFFFFF"/>
        </w:rPr>
        <w:t>to date, ensure</w:t>
      </w:r>
      <w:r w:rsidR="0016796A" w:rsidRPr="0044456A">
        <w:rPr>
          <w:rFonts w:eastAsia="Calibri" w:cstheme="minorHAnsi"/>
          <w:color w:val="000000" w:themeColor="text1"/>
          <w:szCs w:val="22"/>
          <w:shd w:val="clear" w:color="auto" w:fill="FFFFFF"/>
        </w:rPr>
        <w:t xml:space="preserve"> </w:t>
      </w:r>
      <w:r w:rsidR="001409EE" w:rsidRPr="0044456A">
        <w:rPr>
          <w:rFonts w:eastAsia="Calibri" w:cstheme="minorHAnsi"/>
          <w:color w:val="000000" w:themeColor="text1"/>
          <w:szCs w:val="22"/>
          <w:shd w:val="clear" w:color="auto" w:fill="FFFFFF"/>
        </w:rPr>
        <w:t>‘</w:t>
      </w:r>
      <w:r w:rsidR="0016796A" w:rsidRPr="0044456A">
        <w:rPr>
          <w:rFonts w:eastAsia="Calibri" w:cstheme="minorHAnsi"/>
          <w:color w:val="000000" w:themeColor="text1"/>
          <w:szCs w:val="22"/>
          <w:shd w:val="clear" w:color="auto" w:fill="FFFFFF"/>
        </w:rPr>
        <w:t>acknowledgement of institutional responsibility for crimes of the past</w:t>
      </w:r>
      <w:r w:rsidR="001409EE" w:rsidRPr="0044456A">
        <w:rPr>
          <w:rFonts w:eastAsia="Calibri" w:cstheme="minorHAnsi"/>
          <w:color w:val="000000" w:themeColor="text1"/>
          <w:szCs w:val="22"/>
          <w:shd w:val="clear" w:color="auto" w:fill="FFFFFF"/>
        </w:rPr>
        <w:t>’ but also to emphasise the</w:t>
      </w:r>
      <w:r w:rsidR="0016796A" w:rsidRPr="0044456A">
        <w:rPr>
          <w:rFonts w:eastAsia="Calibri" w:cstheme="minorHAnsi"/>
          <w:color w:val="000000" w:themeColor="text1"/>
          <w:szCs w:val="22"/>
          <w:shd w:val="clear" w:color="auto" w:fill="FFFFFF"/>
        </w:rPr>
        <w:t xml:space="preserve"> </w:t>
      </w:r>
      <w:r w:rsidR="001409EE" w:rsidRPr="0044456A">
        <w:rPr>
          <w:rFonts w:eastAsia="Calibri" w:cstheme="minorHAnsi"/>
          <w:color w:val="000000" w:themeColor="text1"/>
          <w:szCs w:val="22"/>
          <w:shd w:val="clear" w:color="auto" w:fill="FFFFFF"/>
        </w:rPr>
        <w:t>‘</w:t>
      </w:r>
      <w:r w:rsidR="0016796A" w:rsidRPr="0044456A">
        <w:rPr>
          <w:rFonts w:eastAsia="Calibri" w:cstheme="minorHAnsi"/>
          <w:color w:val="000000" w:themeColor="text1"/>
          <w:szCs w:val="22"/>
          <w:shd w:val="clear" w:color="auto" w:fill="FFFFFF"/>
        </w:rPr>
        <w:t>racial inequalities of the present</w:t>
      </w:r>
      <w:r w:rsidR="008D5BDF" w:rsidRPr="0044456A">
        <w:rPr>
          <w:rFonts w:eastAsia="Calibri" w:cstheme="minorHAnsi"/>
          <w:color w:val="000000" w:themeColor="text1"/>
          <w:szCs w:val="22"/>
          <w:shd w:val="clear" w:color="auto" w:fill="FFFFFF"/>
        </w:rPr>
        <w:t>’</w:t>
      </w:r>
      <w:r w:rsidR="0016796A" w:rsidRPr="0044456A">
        <w:rPr>
          <w:rFonts w:eastAsia="Calibri" w:cstheme="minorHAnsi"/>
          <w:color w:val="000000" w:themeColor="text1"/>
          <w:szCs w:val="22"/>
          <w:shd w:val="clear" w:color="auto" w:fill="FFFFFF"/>
        </w:rPr>
        <w:t xml:space="preserve"> </w:t>
      </w:r>
      <w:r w:rsidR="00122006" w:rsidRPr="0044456A">
        <w:rPr>
          <w:rFonts w:eastAsia="Calibri" w:cstheme="minorHAnsi"/>
          <w:color w:val="000000" w:themeColor="text1"/>
          <w:szCs w:val="22"/>
          <w:shd w:val="clear" w:color="auto" w:fill="FFFFFF"/>
        </w:rPr>
        <w:t>(</w:t>
      </w:r>
      <w:r w:rsidR="008D5BDF" w:rsidRPr="0044456A">
        <w:rPr>
          <w:rFonts w:eastAsia="Calibri" w:cstheme="minorHAnsi"/>
          <w:color w:val="000000" w:themeColor="text1"/>
          <w:szCs w:val="22"/>
          <w:shd w:val="clear" w:color="auto" w:fill="FFFFFF"/>
        </w:rPr>
        <w:t>Lamont 2010, 187</w:t>
      </w:r>
      <w:r w:rsidR="0016796A" w:rsidRPr="0044456A">
        <w:rPr>
          <w:rFonts w:eastAsia="Calibri" w:cstheme="minorHAnsi"/>
          <w:color w:val="000000" w:themeColor="text1"/>
          <w:szCs w:val="22"/>
          <w:shd w:val="clear" w:color="auto" w:fill="FFFFFF"/>
        </w:rPr>
        <w:t>).</w:t>
      </w:r>
      <w:r w:rsidR="0044456A">
        <w:rPr>
          <w:rFonts w:eastAsia="Calibri" w:cstheme="minorHAnsi"/>
          <w:color w:val="000000" w:themeColor="text1"/>
          <w:szCs w:val="22"/>
          <w:shd w:val="clear" w:color="auto" w:fill="FFFFFF"/>
        </w:rPr>
        <w:t xml:space="preserve"> </w:t>
      </w:r>
      <w:r w:rsidR="008D5BDF" w:rsidRPr="0044456A">
        <w:rPr>
          <w:rFonts w:eastAsia="Calibri" w:cstheme="minorHAnsi"/>
          <w:color w:val="000000" w:themeColor="text1"/>
          <w:szCs w:val="22"/>
          <w:shd w:val="clear" w:color="auto" w:fill="FFFFFF"/>
        </w:rPr>
        <w:t xml:space="preserve">Moreover, ‘The Mississippi Truth Project’s acknowledgement of contemporary socio-economic legacies of </w:t>
      </w:r>
      <w:r w:rsidR="0044456A">
        <w:rPr>
          <w:rFonts w:eastAsia="Calibri" w:cstheme="minorHAnsi"/>
          <w:color w:val="000000" w:themeColor="text1"/>
          <w:szCs w:val="22"/>
          <w:shd w:val="clear" w:color="auto" w:fill="FFFFFF"/>
        </w:rPr>
        <w:t>“</w:t>
      </w:r>
      <w:r w:rsidR="008D5BDF" w:rsidRPr="0044456A">
        <w:rPr>
          <w:rFonts w:eastAsia="Calibri" w:cstheme="minorHAnsi"/>
          <w:color w:val="000000" w:themeColor="text1"/>
          <w:szCs w:val="22"/>
          <w:shd w:val="clear" w:color="auto" w:fill="FFFFFF"/>
        </w:rPr>
        <w:t xml:space="preserve">a dominant culture of </w:t>
      </w:r>
      <w:r w:rsidR="00134845" w:rsidRPr="0044456A">
        <w:rPr>
          <w:rFonts w:eastAsia="Calibri" w:cstheme="minorHAnsi"/>
          <w:color w:val="000000" w:themeColor="text1"/>
          <w:szCs w:val="22"/>
          <w:shd w:val="clear" w:color="auto" w:fill="FFFFFF"/>
        </w:rPr>
        <w:t xml:space="preserve">racism” </w:t>
      </w:r>
      <w:r w:rsidR="008D5BDF" w:rsidRPr="0044456A">
        <w:rPr>
          <w:rFonts w:eastAsia="Calibri" w:cstheme="minorHAnsi"/>
          <w:color w:val="000000" w:themeColor="text1"/>
          <w:szCs w:val="22"/>
          <w:shd w:val="clear" w:color="auto" w:fill="FFFFFF"/>
        </w:rPr>
        <w:t xml:space="preserve">in terms of </w:t>
      </w:r>
      <w:r w:rsidR="0044456A">
        <w:rPr>
          <w:rFonts w:eastAsia="Calibri" w:cstheme="minorHAnsi"/>
          <w:color w:val="000000" w:themeColor="text1"/>
          <w:szCs w:val="22"/>
          <w:shd w:val="clear" w:color="auto" w:fill="FFFFFF"/>
        </w:rPr>
        <w:t>“</w:t>
      </w:r>
      <w:r w:rsidR="008D5BDF" w:rsidRPr="0044456A">
        <w:rPr>
          <w:rFonts w:eastAsia="Calibri" w:cstheme="minorHAnsi"/>
          <w:color w:val="000000" w:themeColor="text1"/>
          <w:szCs w:val="22"/>
          <w:shd w:val="clear" w:color="auto" w:fill="FFFFFF"/>
        </w:rPr>
        <w:t xml:space="preserve">housing, healthcare, education, criminal justice and </w:t>
      </w:r>
      <w:r w:rsidR="00134845" w:rsidRPr="0044456A">
        <w:rPr>
          <w:rFonts w:eastAsia="Calibri" w:cstheme="minorHAnsi"/>
          <w:color w:val="000000" w:themeColor="text1"/>
          <w:szCs w:val="22"/>
          <w:shd w:val="clear" w:color="auto" w:fill="FFFFFF"/>
        </w:rPr>
        <w:t xml:space="preserve">employment” </w:t>
      </w:r>
      <w:r w:rsidR="008D5BDF" w:rsidRPr="0044456A">
        <w:rPr>
          <w:rFonts w:eastAsia="Calibri" w:cstheme="minorHAnsi"/>
          <w:color w:val="000000" w:themeColor="text1"/>
          <w:szCs w:val="22"/>
          <w:shd w:val="clear" w:color="auto" w:fill="FFFFFF"/>
        </w:rPr>
        <w:t xml:space="preserve">in its Declaration of Intent </w:t>
      </w:r>
      <w:r w:rsidR="00122006" w:rsidRPr="0044456A">
        <w:rPr>
          <w:rFonts w:eastAsia="Calibri" w:cstheme="minorHAnsi"/>
          <w:color w:val="000000" w:themeColor="text1"/>
          <w:szCs w:val="22"/>
          <w:shd w:val="clear" w:color="auto" w:fill="FFFFFF"/>
        </w:rPr>
        <w:t>is reflective of a</w:t>
      </w:r>
      <w:r w:rsidR="008D5BDF" w:rsidRPr="0044456A">
        <w:rPr>
          <w:rFonts w:eastAsia="Calibri" w:cstheme="minorHAnsi"/>
          <w:color w:val="000000" w:themeColor="text1"/>
          <w:szCs w:val="22"/>
          <w:shd w:val="clear" w:color="auto" w:fill="FFFFFF"/>
        </w:rPr>
        <w:t xml:space="preserve"> concern for social justice</w:t>
      </w:r>
      <w:r w:rsidR="0044456A">
        <w:rPr>
          <w:rFonts w:eastAsia="Calibri" w:cstheme="minorHAnsi"/>
          <w:color w:val="000000" w:themeColor="text1"/>
          <w:szCs w:val="22"/>
          <w:shd w:val="clear" w:color="auto" w:fill="FFFFFF"/>
        </w:rPr>
        <w:t>’</w:t>
      </w:r>
      <w:r w:rsidR="00F9189F">
        <w:rPr>
          <w:rFonts w:eastAsia="Calibri" w:cstheme="minorHAnsi"/>
          <w:color w:val="000000" w:themeColor="text1"/>
          <w:szCs w:val="22"/>
          <w:shd w:val="clear" w:color="auto" w:fill="FFFFFF"/>
        </w:rPr>
        <w:t xml:space="preserve"> </w:t>
      </w:r>
      <w:r w:rsidR="008D5BDF" w:rsidRPr="0044456A">
        <w:rPr>
          <w:rFonts w:eastAsia="Calibri" w:cstheme="minorHAnsi"/>
          <w:color w:val="000000" w:themeColor="text1"/>
          <w:szCs w:val="22"/>
          <w:shd w:val="clear" w:color="auto" w:fill="FFFFFF"/>
        </w:rPr>
        <w:t>(Lamont 2010,</w:t>
      </w:r>
      <w:r w:rsidR="00597254" w:rsidRPr="0044456A">
        <w:rPr>
          <w:rFonts w:eastAsia="Calibri" w:cstheme="minorHAnsi"/>
          <w:color w:val="000000" w:themeColor="text1"/>
          <w:szCs w:val="22"/>
          <w:shd w:val="clear" w:color="auto" w:fill="FFFFFF"/>
        </w:rPr>
        <w:t xml:space="preserve"> </w:t>
      </w:r>
      <w:r w:rsidR="008D5BDF" w:rsidRPr="0044456A">
        <w:rPr>
          <w:rFonts w:eastAsia="Calibri" w:cstheme="minorHAnsi"/>
          <w:color w:val="000000" w:themeColor="text1"/>
          <w:szCs w:val="22"/>
          <w:shd w:val="clear" w:color="auto" w:fill="FFFFFF"/>
        </w:rPr>
        <w:t>188</w:t>
      </w:r>
      <w:r w:rsidR="0044456A">
        <w:rPr>
          <w:rFonts w:eastAsia="Calibri" w:cstheme="minorHAnsi"/>
          <w:color w:val="000000" w:themeColor="text1"/>
          <w:szCs w:val="22"/>
          <w:shd w:val="clear" w:color="auto" w:fill="FFFFFF"/>
        </w:rPr>
        <w:t xml:space="preserve">; </w:t>
      </w:r>
      <w:r w:rsidR="0044456A" w:rsidRPr="0044456A">
        <w:rPr>
          <w:rFonts w:eastAsia="Calibri" w:cstheme="minorHAnsi"/>
          <w:color w:val="000000" w:themeColor="text1"/>
          <w:szCs w:val="22"/>
          <w:shd w:val="clear" w:color="auto" w:fill="FFFFFF"/>
        </w:rPr>
        <w:t>Ladd</w:t>
      </w:r>
      <w:r w:rsidR="006573F9">
        <w:rPr>
          <w:rFonts w:eastAsia="Calibri" w:cstheme="minorHAnsi"/>
          <w:color w:val="000000" w:themeColor="text1"/>
          <w:szCs w:val="22"/>
          <w:shd w:val="clear" w:color="auto" w:fill="FFFFFF"/>
        </w:rPr>
        <w:t xml:space="preserve"> </w:t>
      </w:r>
      <w:r w:rsidR="0044456A" w:rsidRPr="0044456A">
        <w:rPr>
          <w:rFonts w:eastAsia="Calibri" w:cstheme="minorHAnsi"/>
          <w:color w:val="000000" w:themeColor="text1"/>
          <w:szCs w:val="22"/>
          <w:shd w:val="clear" w:color="auto" w:fill="FFFFFF"/>
        </w:rPr>
        <w:t>2009</w:t>
      </w:r>
      <w:r w:rsidR="008D5BDF" w:rsidRPr="0044456A">
        <w:rPr>
          <w:rFonts w:eastAsia="Calibri" w:cstheme="minorHAnsi"/>
          <w:color w:val="000000" w:themeColor="text1"/>
          <w:szCs w:val="22"/>
          <w:shd w:val="clear" w:color="auto" w:fill="FFFFFF"/>
        </w:rPr>
        <w:t>).</w:t>
      </w:r>
    </w:p>
    <w:p w14:paraId="7FAACE76" w14:textId="5466F501" w:rsidR="00A3273D" w:rsidRPr="00E14F67" w:rsidRDefault="00254EF2" w:rsidP="00E14F67">
      <w:pPr>
        <w:spacing w:line="480" w:lineRule="auto"/>
        <w:ind w:firstLine="720"/>
        <w:jc w:val="both"/>
        <w:rPr>
          <w:rFonts w:eastAsia="Calibri" w:cstheme="minorHAnsi"/>
          <w:color w:val="000000" w:themeColor="text1"/>
          <w:szCs w:val="22"/>
          <w:shd w:val="clear" w:color="auto" w:fill="FFFFFF"/>
        </w:rPr>
      </w:pPr>
      <w:r w:rsidRPr="00E14F67">
        <w:rPr>
          <w:rFonts w:eastAsia="Calibri" w:cstheme="minorHAnsi"/>
          <w:color w:val="000000" w:themeColor="text1"/>
          <w:szCs w:val="22"/>
          <w:shd w:val="clear" w:color="auto" w:fill="FFFFFF"/>
        </w:rPr>
        <w:t xml:space="preserve">Lastly, Greensboro </w:t>
      </w:r>
      <w:r w:rsidR="00AA711B" w:rsidRPr="00E14F67">
        <w:rPr>
          <w:rFonts w:eastAsia="Calibri" w:cstheme="minorHAnsi"/>
          <w:color w:val="000000" w:themeColor="text1"/>
          <w:szCs w:val="22"/>
          <w:shd w:val="clear" w:color="auto" w:fill="FFFFFF"/>
        </w:rPr>
        <w:t>inspir</w:t>
      </w:r>
      <w:r w:rsidRPr="00E14F67">
        <w:rPr>
          <w:rFonts w:eastAsia="Calibri" w:cstheme="minorHAnsi"/>
          <w:color w:val="000000" w:themeColor="text1"/>
          <w:szCs w:val="22"/>
          <w:shd w:val="clear" w:color="auto" w:fill="FFFFFF"/>
        </w:rPr>
        <w:t>ed</w:t>
      </w:r>
      <w:r w:rsidR="00AA711B" w:rsidRPr="00E14F67">
        <w:rPr>
          <w:rFonts w:eastAsia="Calibri" w:cstheme="minorHAnsi"/>
          <w:color w:val="000000" w:themeColor="text1"/>
          <w:szCs w:val="22"/>
          <w:shd w:val="clear" w:color="auto" w:fill="FFFFFF"/>
        </w:rPr>
        <w:t xml:space="preserve"> </w:t>
      </w:r>
      <w:r w:rsidR="007803E0" w:rsidRPr="00E14F67">
        <w:rPr>
          <w:rFonts w:eastAsia="Calibri" w:cstheme="minorHAnsi"/>
          <w:color w:val="000000" w:themeColor="text1"/>
          <w:szCs w:val="22"/>
          <w:shd w:val="clear" w:color="auto" w:fill="FFFFFF"/>
        </w:rPr>
        <w:t xml:space="preserve">CBTRCs outside of the USA including </w:t>
      </w:r>
      <w:r w:rsidR="00CB5B96" w:rsidRPr="00E14F67">
        <w:rPr>
          <w:rFonts w:eastAsia="Calibri" w:cstheme="minorHAnsi"/>
          <w:color w:val="000000" w:themeColor="text1"/>
          <w:szCs w:val="22"/>
          <w:shd w:val="clear" w:color="auto" w:fill="FFFFFF"/>
        </w:rPr>
        <w:t xml:space="preserve">the Poverty Truth </w:t>
      </w:r>
      <w:r w:rsidR="007803E0" w:rsidRPr="00E14F67">
        <w:rPr>
          <w:rFonts w:eastAsia="Calibri" w:cstheme="minorHAnsi"/>
          <w:color w:val="000000" w:themeColor="text1"/>
          <w:szCs w:val="22"/>
          <w:shd w:val="clear" w:color="auto" w:fill="FFFFFF"/>
        </w:rPr>
        <w:t xml:space="preserve">Commission </w:t>
      </w:r>
      <w:r w:rsidR="00CB5B96" w:rsidRPr="00E14F67">
        <w:rPr>
          <w:rFonts w:eastAsia="Calibri" w:cstheme="minorHAnsi"/>
          <w:color w:val="000000" w:themeColor="text1"/>
          <w:szCs w:val="22"/>
          <w:shd w:val="clear" w:color="auto" w:fill="FFFFFF"/>
        </w:rPr>
        <w:t xml:space="preserve">Network in the UK </w:t>
      </w:r>
      <w:r w:rsidR="00AA711B" w:rsidRPr="00E14F67">
        <w:rPr>
          <w:rFonts w:eastAsia="Calibri" w:cstheme="minorHAnsi"/>
          <w:color w:val="000000" w:themeColor="text1"/>
          <w:szCs w:val="22"/>
          <w:shd w:val="clear" w:color="auto" w:fill="FFFFFF"/>
        </w:rPr>
        <w:t>(The Poverty Truth Commission 2014, 3)</w:t>
      </w:r>
      <w:r w:rsidR="00CB5B96" w:rsidRPr="00E14F67">
        <w:rPr>
          <w:rFonts w:eastAsia="Calibri" w:cstheme="minorHAnsi"/>
          <w:color w:val="000000" w:themeColor="text1"/>
          <w:szCs w:val="22"/>
          <w:shd w:val="clear" w:color="auto" w:fill="FFFFFF"/>
        </w:rPr>
        <w:t xml:space="preserve">. Thus, the impact of the Greensboro TRC should not be </w:t>
      </w:r>
      <w:r w:rsidR="000841E8" w:rsidRPr="00E14F67">
        <w:rPr>
          <w:rFonts w:eastAsia="Calibri" w:cstheme="minorHAnsi"/>
          <w:color w:val="000000" w:themeColor="text1"/>
          <w:szCs w:val="22"/>
          <w:shd w:val="clear" w:color="auto" w:fill="FFFFFF"/>
        </w:rPr>
        <w:t>under</w:t>
      </w:r>
      <w:r w:rsidR="000841E8">
        <w:rPr>
          <w:rFonts w:eastAsia="Calibri" w:cstheme="minorHAnsi"/>
          <w:color w:val="000000" w:themeColor="text1"/>
          <w:szCs w:val="22"/>
          <w:shd w:val="clear" w:color="auto" w:fill="FFFFFF"/>
        </w:rPr>
        <w:t>estimate</w:t>
      </w:r>
      <w:r w:rsidR="000841E8" w:rsidRPr="00E14F67">
        <w:rPr>
          <w:rFonts w:eastAsia="Calibri" w:cstheme="minorHAnsi"/>
          <w:color w:val="000000" w:themeColor="text1"/>
          <w:szCs w:val="22"/>
          <w:shd w:val="clear" w:color="auto" w:fill="FFFFFF"/>
        </w:rPr>
        <w:t>d</w:t>
      </w:r>
      <w:r w:rsidR="00CB5B96" w:rsidRPr="00E14F67">
        <w:rPr>
          <w:rFonts w:eastAsia="Calibri" w:cstheme="minorHAnsi"/>
          <w:color w:val="000000" w:themeColor="text1"/>
          <w:szCs w:val="22"/>
          <w:shd w:val="clear" w:color="auto" w:fill="FFFFFF"/>
        </w:rPr>
        <w:t>.</w:t>
      </w:r>
    </w:p>
    <w:p w14:paraId="38DC4560" w14:textId="664155B2" w:rsidR="00A3273D" w:rsidRPr="00E14F67" w:rsidRDefault="00A3273D" w:rsidP="00E14F67">
      <w:pPr>
        <w:spacing w:line="480" w:lineRule="auto"/>
        <w:ind w:firstLine="720"/>
        <w:jc w:val="both"/>
        <w:rPr>
          <w:rFonts w:cstheme="minorHAnsi"/>
          <w:szCs w:val="22"/>
          <w:shd w:val="clear" w:color="auto" w:fill="FFFFFF"/>
        </w:rPr>
      </w:pPr>
      <w:r w:rsidRPr="00E14F67">
        <w:rPr>
          <w:rFonts w:cstheme="minorHAnsi"/>
          <w:color w:val="000000" w:themeColor="text1"/>
          <w:szCs w:val="22"/>
        </w:rPr>
        <w:t xml:space="preserve">CBTRCs have also been used to tackle structural violence of a different nature - economic violence. </w:t>
      </w:r>
      <w:r w:rsidR="005D1F1E" w:rsidRPr="00E14F67">
        <w:rPr>
          <w:rFonts w:cstheme="minorHAnsi"/>
          <w:color w:val="000000" w:themeColor="text1"/>
          <w:szCs w:val="22"/>
        </w:rPr>
        <w:t xml:space="preserve"> </w:t>
      </w:r>
      <w:r w:rsidRPr="00E14F67">
        <w:rPr>
          <w:rFonts w:cstheme="minorHAnsi"/>
          <w:color w:val="000000" w:themeColor="text1"/>
          <w:szCs w:val="22"/>
        </w:rPr>
        <w:t xml:space="preserve">In the USA </w:t>
      </w:r>
      <w:r w:rsidR="005D1F1E" w:rsidRPr="00E14F67">
        <w:rPr>
          <w:rFonts w:cstheme="minorHAnsi"/>
          <w:color w:val="000000" w:themeColor="text1"/>
          <w:szCs w:val="22"/>
        </w:rPr>
        <w:t>several CBIs have used a TRC model to address poverty: T</w:t>
      </w:r>
      <w:r w:rsidRPr="00E14F67">
        <w:rPr>
          <w:rFonts w:cstheme="minorHAnsi"/>
          <w:color w:val="000000" w:themeColor="text1"/>
          <w:szCs w:val="22"/>
        </w:rPr>
        <w:t xml:space="preserve">he </w:t>
      </w:r>
      <w:bookmarkStart w:id="3" w:name="_Hlk34740624"/>
      <w:r w:rsidRPr="00E14F67">
        <w:rPr>
          <w:rFonts w:cstheme="minorHAnsi"/>
          <w:color w:val="000000" w:themeColor="text1"/>
          <w:szCs w:val="22"/>
        </w:rPr>
        <w:t>Poor People’s Economic Human Rights Campaign</w:t>
      </w:r>
      <w:bookmarkEnd w:id="3"/>
      <w:r w:rsidRPr="00E14F67">
        <w:rPr>
          <w:rFonts w:cstheme="minorHAnsi"/>
          <w:color w:val="000000" w:themeColor="text1"/>
          <w:szCs w:val="22"/>
        </w:rPr>
        <w:t xml:space="preserve"> (PPEHRC) have used a CBTRC to ‘share their stories of how their economic human rights have been violated’ </w:t>
      </w:r>
      <w:r w:rsidRPr="00E14F67">
        <w:rPr>
          <w:rFonts w:cstheme="minorHAnsi"/>
          <w:noProof/>
          <w:color w:val="000000" w:themeColor="text1"/>
          <w:szCs w:val="22"/>
        </w:rPr>
        <w:t>(PPEHRC 2020)</w:t>
      </w:r>
      <w:r w:rsidRPr="00E14F67">
        <w:rPr>
          <w:rFonts w:cstheme="minorHAnsi"/>
          <w:color w:val="000000" w:themeColor="text1"/>
          <w:szCs w:val="22"/>
        </w:rPr>
        <w:t xml:space="preserve">. </w:t>
      </w:r>
      <w:r w:rsidR="00031672">
        <w:rPr>
          <w:rFonts w:cstheme="minorHAnsi"/>
          <w:color w:val="000000" w:themeColor="text1"/>
          <w:szCs w:val="22"/>
        </w:rPr>
        <w:t>T</w:t>
      </w:r>
      <w:r w:rsidRPr="00E14F67">
        <w:rPr>
          <w:rFonts w:cstheme="minorHAnsi"/>
          <w:color w:val="000000" w:themeColor="text1"/>
          <w:szCs w:val="22"/>
        </w:rPr>
        <w:t xml:space="preserve">he first National Truth Commission on Poverty in the USA, was held in Cleveland Ohio in 2006, covered 32 states and received testimony from over 1,000 </w:t>
      </w:r>
      <w:r w:rsidRPr="00E14F67">
        <w:rPr>
          <w:rFonts w:cstheme="minorHAnsi"/>
          <w:color w:val="000000" w:themeColor="text1"/>
          <w:szCs w:val="22"/>
        </w:rPr>
        <w:lastRenderedPageBreak/>
        <w:t xml:space="preserve">people </w:t>
      </w:r>
      <w:r w:rsidRPr="00E14F67">
        <w:rPr>
          <w:rFonts w:cstheme="minorHAnsi"/>
          <w:noProof/>
          <w:color w:val="000000" w:themeColor="text1"/>
          <w:szCs w:val="22"/>
        </w:rPr>
        <w:t>(Androff 2018, 284)</w:t>
      </w:r>
      <w:r w:rsidR="00031672">
        <w:rPr>
          <w:rFonts w:cstheme="minorHAnsi"/>
          <w:noProof/>
          <w:color w:val="000000" w:themeColor="text1"/>
          <w:szCs w:val="22"/>
        </w:rPr>
        <w:t>,</w:t>
      </w:r>
      <w:r w:rsidRPr="00E14F67">
        <w:rPr>
          <w:rFonts w:cstheme="minorHAnsi"/>
          <w:color w:val="000000" w:themeColor="text1"/>
          <w:szCs w:val="22"/>
        </w:rPr>
        <w:t xml:space="preserve"> to an audience of over 600 national and international truth commissioners </w:t>
      </w:r>
      <w:r w:rsidRPr="00E14F67">
        <w:rPr>
          <w:rFonts w:cstheme="minorHAnsi"/>
          <w:noProof/>
          <w:color w:val="000000" w:themeColor="text1"/>
          <w:szCs w:val="22"/>
        </w:rPr>
        <w:t>(PPEHRC 2020)</w:t>
      </w:r>
      <w:r w:rsidRPr="00E14F67">
        <w:rPr>
          <w:rFonts w:cstheme="minorHAnsi"/>
          <w:color w:val="000000" w:themeColor="text1"/>
          <w:szCs w:val="22"/>
        </w:rPr>
        <w:t xml:space="preserve">. </w:t>
      </w:r>
      <w:r w:rsidRPr="00E14F67">
        <w:rPr>
          <w:rFonts w:cstheme="minorHAnsi"/>
          <w:szCs w:val="22"/>
        </w:rPr>
        <w:t xml:space="preserve">The </w:t>
      </w:r>
      <w:r w:rsidR="005E042F">
        <w:rPr>
          <w:rFonts w:cstheme="minorHAnsi"/>
          <w:szCs w:val="22"/>
        </w:rPr>
        <w:t>rationale</w:t>
      </w:r>
      <w:r w:rsidR="005E042F" w:rsidRPr="00E14F67">
        <w:rPr>
          <w:rFonts w:cstheme="minorHAnsi"/>
          <w:szCs w:val="22"/>
        </w:rPr>
        <w:t xml:space="preserve"> </w:t>
      </w:r>
      <w:r w:rsidRPr="00E14F67">
        <w:rPr>
          <w:rFonts w:cstheme="minorHAnsi"/>
          <w:szCs w:val="22"/>
        </w:rPr>
        <w:t xml:space="preserve">behind the Commission was to acknowledge the </w:t>
      </w:r>
      <w:r w:rsidR="00031672">
        <w:rPr>
          <w:rFonts w:cstheme="minorHAnsi"/>
          <w:szCs w:val="22"/>
        </w:rPr>
        <w:t xml:space="preserve">lived experience of </w:t>
      </w:r>
      <w:r w:rsidR="002620FF">
        <w:rPr>
          <w:rFonts w:cstheme="minorHAnsi"/>
          <w:szCs w:val="22"/>
        </w:rPr>
        <w:t xml:space="preserve">those suffering from </w:t>
      </w:r>
      <w:r w:rsidR="00031672">
        <w:rPr>
          <w:rFonts w:cstheme="minorHAnsi"/>
          <w:szCs w:val="22"/>
        </w:rPr>
        <w:t xml:space="preserve">ESCRs violations including </w:t>
      </w:r>
      <w:r w:rsidR="002620FF" w:rsidRPr="00C9569B">
        <w:rPr>
          <w:rFonts w:cstheme="minorHAnsi"/>
          <w:i/>
          <w:iCs/>
          <w:szCs w:val="22"/>
        </w:rPr>
        <w:t>inter alia</w:t>
      </w:r>
      <w:r w:rsidR="002620FF">
        <w:rPr>
          <w:rFonts w:cstheme="minorHAnsi"/>
          <w:szCs w:val="22"/>
        </w:rPr>
        <w:t xml:space="preserve"> those</w:t>
      </w:r>
      <w:r w:rsidRPr="00E14F67">
        <w:rPr>
          <w:rFonts w:cstheme="minorHAnsi"/>
          <w:szCs w:val="22"/>
          <w:shd w:val="clear" w:color="auto" w:fill="FFFFFF"/>
        </w:rPr>
        <w:t xml:space="preserve"> </w:t>
      </w:r>
      <w:r w:rsidR="002620FF">
        <w:rPr>
          <w:rFonts w:cstheme="minorHAnsi"/>
          <w:szCs w:val="22"/>
          <w:shd w:val="clear" w:color="auto" w:fill="FFFFFF"/>
        </w:rPr>
        <w:t xml:space="preserve">whose basic human needs were not being met, those without </w:t>
      </w:r>
      <w:r w:rsidRPr="00E14F67">
        <w:rPr>
          <w:rFonts w:cstheme="minorHAnsi"/>
          <w:szCs w:val="22"/>
          <w:shd w:val="clear" w:color="auto" w:fill="FFFFFF"/>
        </w:rPr>
        <w:t>healthcare</w:t>
      </w:r>
      <w:r w:rsidR="002620FF">
        <w:rPr>
          <w:rFonts w:cstheme="minorHAnsi"/>
          <w:szCs w:val="22"/>
          <w:shd w:val="clear" w:color="auto" w:fill="FFFFFF"/>
        </w:rPr>
        <w:t xml:space="preserve"> or homes</w:t>
      </w:r>
      <w:r w:rsidRPr="00E14F67">
        <w:rPr>
          <w:rFonts w:cstheme="minorHAnsi"/>
          <w:szCs w:val="22"/>
          <w:shd w:val="clear" w:color="auto" w:fill="FFFFFF"/>
        </w:rPr>
        <w:t xml:space="preserve"> </w:t>
      </w:r>
      <w:r w:rsidRPr="00E14F67">
        <w:rPr>
          <w:rFonts w:cstheme="minorHAnsi"/>
          <w:noProof/>
          <w:szCs w:val="22"/>
          <w:shd w:val="clear" w:color="auto" w:fill="FFFFFF"/>
        </w:rPr>
        <w:t>(PPEHRC 2020)</w:t>
      </w:r>
      <w:r w:rsidR="002620FF">
        <w:rPr>
          <w:rFonts w:cstheme="minorHAnsi"/>
          <w:noProof/>
          <w:szCs w:val="22"/>
          <w:shd w:val="clear" w:color="auto" w:fill="FFFFFF"/>
        </w:rPr>
        <w:t xml:space="preserve">. Further  aims were to </w:t>
      </w:r>
      <w:r w:rsidR="00031672">
        <w:rPr>
          <w:rFonts w:cstheme="minorHAnsi"/>
          <w:szCs w:val="22"/>
          <w:shd w:val="clear" w:color="auto" w:fill="FFFFFF"/>
        </w:rPr>
        <w:t>‘</w:t>
      </w:r>
      <w:r w:rsidRPr="00E14F67">
        <w:rPr>
          <w:rFonts w:cstheme="minorHAnsi"/>
          <w:szCs w:val="22"/>
          <w:shd w:val="clear" w:color="auto" w:fill="FFFFFF"/>
        </w:rPr>
        <w:t>form a foundation for a movement to abolish poverty</w:t>
      </w:r>
      <w:r w:rsidR="002620FF">
        <w:rPr>
          <w:rFonts w:cstheme="minorHAnsi"/>
          <w:szCs w:val="22"/>
          <w:shd w:val="clear" w:color="auto" w:fill="FFFFFF"/>
        </w:rPr>
        <w:t xml:space="preserve"> […] to give</w:t>
      </w:r>
      <w:r w:rsidRPr="00E14F67">
        <w:rPr>
          <w:rFonts w:cstheme="minorHAnsi"/>
          <w:szCs w:val="22"/>
          <w:shd w:val="clear" w:color="auto" w:fill="FFFFFF"/>
        </w:rPr>
        <w:t xml:space="preserve"> poor people a voice instead of just a number’ </w:t>
      </w:r>
      <w:r w:rsidRPr="00E14F67">
        <w:rPr>
          <w:rFonts w:cstheme="minorHAnsi"/>
          <w:noProof/>
          <w:szCs w:val="22"/>
          <w:shd w:val="clear" w:color="auto" w:fill="FFFFFF"/>
        </w:rPr>
        <w:t>(PPEHRC 2020)</w:t>
      </w:r>
      <w:r w:rsidRPr="00E14F67">
        <w:rPr>
          <w:rFonts w:cstheme="minorHAnsi"/>
          <w:szCs w:val="22"/>
          <w:shd w:val="clear" w:color="auto" w:fill="FFFFFF"/>
        </w:rPr>
        <w:t>.</w:t>
      </w:r>
    </w:p>
    <w:p w14:paraId="01756BE4" w14:textId="73816B8C" w:rsidR="00E84FE0" w:rsidRPr="00E14F67" w:rsidRDefault="00A3273D" w:rsidP="00E14F67">
      <w:pPr>
        <w:spacing w:line="480" w:lineRule="auto"/>
        <w:ind w:firstLine="720"/>
        <w:jc w:val="both"/>
        <w:rPr>
          <w:rFonts w:cstheme="minorHAnsi"/>
          <w:color w:val="000000" w:themeColor="text1"/>
          <w:szCs w:val="22"/>
        </w:rPr>
      </w:pPr>
      <w:r w:rsidRPr="00E14F67">
        <w:rPr>
          <w:rFonts w:cstheme="minorHAnsi"/>
          <w:color w:val="000000" w:themeColor="text1"/>
          <w:szCs w:val="22"/>
        </w:rPr>
        <w:t xml:space="preserve">These examples demonstrate that there is precedent for CBIs/CBTRCs dealing with </w:t>
      </w:r>
      <w:r w:rsidR="00031672">
        <w:rPr>
          <w:rFonts w:cstheme="minorHAnsi"/>
          <w:color w:val="000000" w:themeColor="text1"/>
          <w:szCs w:val="22"/>
        </w:rPr>
        <w:t xml:space="preserve">violations of </w:t>
      </w:r>
      <w:r w:rsidRPr="00E14F67">
        <w:rPr>
          <w:rFonts w:cstheme="minorHAnsi"/>
          <w:color w:val="000000" w:themeColor="text1"/>
          <w:szCs w:val="22"/>
        </w:rPr>
        <w:t xml:space="preserve">human rights. Those that have dealt with racial or indigenous discrimination have had an overt human rights basis, advocating for the enjoyment of equality and minority rights. Equally the USA based poverty focused CBIs have explicitly used human rights as a basis for advocacy and policy. </w:t>
      </w:r>
    </w:p>
    <w:p w14:paraId="340916CB" w14:textId="22B20CF3" w:rsidR="006B2CB8" w:rsidRPr="0044456A" w:rsidRDefault="001B040B" w:rsidP="0044456A">
      <w:pPr>
        <w:tabs>
          <w:tab w:val="left" w:pos="360"/>
          <w:tab w:val="left" w:pos="720"/>
          <w:tab w:val="left" w:pos="1080"/>
          <w:tab w:val="left" w:pos="1440"/>
          <w:tab w:val="left" w:pos="1800"/>
          <w:tab w:val="left" w:pos="2160"/>
          <w:tab w:val="left" w:pos="2880"/>
          <w:tab w:val="left" w:pos="3600"/>
          <w:tab w:val="left" w:pos="4320"/>
        </w:tabs>
        <w:spacing w:line="480" w:lineRule="auto"/>
        <w:jc w:val="both"/>
        <w:rPr>
          <w:rFonts w:ascii="Calibri" w:hAnsi="Calibri" w:cs="Calibri"/>
          <w:color w:val="000000" w:themeColor="text1"/>
          <w:szCs w:val="22"/>
        </w:rPr>
      </w:pPr>
      <w:r>
        <w:rPr>
          <w:rFonts w:cstheme="minorHAnsi"/>
          <w:color w:val="000000" w:themeColor="text1"/>
          <w:szCs w:val="22"/>
        </w:rPr>
        <w:tab/>
      </w:r>
      <w:r>
        <w:rPr>
          <w:rFonts w:cstheme="minorHAnsi"/>
          <w:color w:val="000000" w:themeColor="text1"/>
          <w:szCs w:val="22"/>
        </w:rPr>
        <w:tab/>
      </w:r>
      <w:r w:rsidR="002D50F9">
        <w:rPr>
          <w:rFonts w:cstheme="minorHAnsi"/>
          <w:color w:val="000000" w:themeColor="text1"/>
          <w:szCs w:val="22"/>
        </w:rPr>
        <w:t>Moreover</w:t>
      </w:r>
      <w:r w:rsidR="002D50F9" w:rsidRPr="00E14F67" w:rsidDel="00031672">
        <w:rPr>
          <w:rFonts w:cstheme="minorHAnsi"/>
          <w:color w:val="000000" w:themeColor="text1"/>
          <w:szCs w:val="22"/>
        </w:rPr>
        <w:t>,</w:t>
      </w:r>
      <w:r w:rsidR="00EB508D" w:rsidRPr="00E14F67">
        <w:rPr>
          <w:rFonts w:cstheme="minorHAnsi"/>
          <w:color w:val="000000" w:themeColor="text1"/>
          <w:szCs w:val="22"/>
        </w:rPr>
        <w:t xml:space="preserve"> a</w:t>
      </w:r>
      <w:r w:rsidR="00E8349F" w:rsidRPr="00E14F67">
        <w:rPr>
          <w:rFonts w:cstheme="minorHAnsi"/>
          <w:color w:val="000000" w:themeColor="text1"/>
          <w:szCs w:val="22"/>
        </w:rPr>
        <w:t xml:space="preserve">ll the above examples illustrate how previous CBTRCs have been used to drive social, cultural, economic and political change. They have not only addressed personal direct violence that has not been adequately remedied through criminal justice mechanisms but have crucially tackled ongoing structural violence and embraced campaigns for social and economic justice. </w:t>
      </w:r>
      <w:r w:rsidR="007803E0" w:rsidRPr="00E14F67">
        <w:rPr>
          <w:rFonts w:cstheme="minorHAnsi"/>
          <w:color w:val="000000" w:themeColor="text1"/>
          <w:szCs w:val="22"/>
        </w:rPr>
        <w:t xml:space="preserve">The question that remains is whether such CBTRCs actually work? What are the outcomes of such initiatives in terms of justice and accountability? </w:t>
      </w:r>
      <w:r w:rsidR="00EB508D" w:rsidRPr="00E14F67">
        <w:rPr>
          <w:rFonts w:cstheme="minorHAnsi"/>
          <w:color w:val="000000" w:themeColor="text1"/>
          <w:szCs w:val="22"/>
        </w:rPr>
        <w:t xml:space="preserve">Evidence as to the long-term impacts of many CBTRCs is sketchy. In Mississippi, the </w:t>
      </w:r>
      <w:r w:rsidR="0044456A">
        <w:rPr>
          <w:rFonts w:cstheme="minorHAnsi"/>
          <w:color w:val="000000" w:themeColor="text1"/>
          <w:szCs w:val="22"/>
        </w:rPr>
        <w:t>Truth Project</w:t>
      </w:r>
      <w:r w:rsidR="00EB508D" w:rsidRPr="00E14F67">
        <w:rPr>
          <w:rFonts w:cstheme="minorHAnsi"/>
          <w:color w:val="000000" w:themeColor="text1"/>
          <w:szCs w:val="22"/>
        </w:rPr>
        <w:t xml:space="preserve"> w</w:t>
      </w:r>
      <w:r w:rsidR="0044456A">
        <w:rPr>
          <w:rFonts w:cstheme="minorHAnsi"/>
          <w:color w:val="000000" w:themeColor="text1"/>
          <w:szCs w:val="22"/>
        </w:rPr>
        <w:t>as</w:t>
      </w:r>
      <w:r w:rsidR="00EB508D" w:rsidRPr="00E14F67">
        <w:rPr>
          <w:rFonts w:cstheme="minorHAnsi"/>
          <w:color w:val="000000" w:themeColor="text1"/>
          <w:szCs w:val="22"/>
        </w:rPr>
        <w:t xml:space="preserve"> taken forward</w:t>
      </w:r>
      <w:r w:rsidR="0044456A">
        <w:rPr>
          <w:rFonts w:cstheme="minorHAnsi"/>
          <w:color w:val="000000" w:themeColor="text1"/>
          <w:szCs w:val="22"/>
        </w:rPr>
        <w:t xml:space="preserve"> through </w:t>
      </w:r>
      <w:r w:rsidR="000432D2">
        <w:rPr>
          <w:rFonts w:cstheme="minorHAnsi"/>
          <w:color w:val="000000" w:themeColor="text1"/>
          <w:szCs w:val="22"/>
        </w:rPr>
        <w:t xml:space="preserve">several </w:t>
      </w:r>
      <w:r w:rsidR="0044456A">
        <w:rPr>
          <w:rFonts w:cstheme="minorHAnsi"/>
          <w:color w:val="000000" w:themeColor="text1"/>
          <w:szCs w:val="22"/>
        </w:rPr>
        <w:t>different initiatives rather than through a CBTRC per se.</w:t>
      </w:r>
      <w:r w:rsidR="00031672">
        <w:rPr>
          <w:rFonts w:cstheme="minorHAnsi"/>
          <w:color w:val="000000" w:themeColor="text1"/>
          <w:szCs w:val="22"/>
        </w:rPr>
        <w:t xml:space="preserve"> For </w:t>
      </w:r>
      <w:r w:rsidR="002D50F9">
        <w:rPr>
          <w:rFonts w:cstheme="minorHAnsi"/>
          <w:color w:val="000000" w:themeColor="text1"/>
          <w:szCs w:val="22"/>
        </w:rPr>
        <w:t>example, The</w:t>
      </w:r>
      <w:r w:rsidR="0044456A" w:rsidRPr="003B4F30">
        <w:rPr>
          <w:rFonts w:ascii="Calibri" w:hAnsi="Calibri" w:cs="Calibri"/>
          <w:color w:val="000000" w:themeColor="text1"/>
          <w:szCs w:val="22"/>
        </w:rPr>
        <w:t xml:space="preserve"> William Winter Institute for Racial Reconciliation </w:t>
      </w:r>
      <w:r w:rsidR="00031672">
        <w:rPr>
          <w:rFonts w:ascii="Calibri" w:hAnsi="Calibri" w:cs="Calibri"/>
          <w:color w:val="000000" w:themeColor="text1"/>
          <w:szCs w:val="22"/>
        </w:rPr>
        <w:t>was established to ‘</w:t>
      </w:r>
      <w:r w:rsidR="0044456A" w:rsidRPr="003B4F30">
        <w:rPr>
          <w:rFonts w:ascii="Calibri" w:hAnsi="Calibri" w:cs="Calibri"/>
          <w:color w:val="000000" w:themeColor="text1"/>
          <w:szCs w:val="22"/>
        </w:rPr>
        <w:t>work</w:t>
      </w:r>
      <w:r w:rsidR="00031672">
        <w:rPr>
          <w:rFonts w:ascii="Calibri" w:hAnsi="Calibri" w:cs="Calibri"/>
          <w:color w:val="000000" w:themeColor="text1"/>
          <w:szCs w:val="22"/>
        </w:rPr>
        <w:t>[</w:t>
      </w:r>
      <w:r w:rsidR="0044456A" w:rsidRPr="003B4F30">
        <w:rPr>
          <w:rFonts w:ascii="Calibri" w:hAnsi="Calibri" w:cs="Calibri"/>
          <w:color w:val="000000" w:themeColor="text1"/>
          <w:szCs w:val="22"/>
        </w:rPr>
        <w:t>s</w:t>
      </w:r>
      <w:r w:rsidR="00031672">
        <w:rPr>
          <w:rFonts w:ascii="Calibri" w:hAnsi="Calibri" w:cs="Calibri"/>
          <w:color w:val="000000" w:themeColor="text1"/>
          <w:szCs w:val="22"/>
        </w:rPr>
        <w:t>]</w:t>
      </w:r>
      <w:r w:rsidR="0044456A" w:rsidRPr="003B4F30">
        <w:rPr>
          <w:rFonts w:ascii="Calibri" w:hAnsi="Calibri" w:cs="Calibri"/>
          <w:color w:val="000000" w:themeColor="text1"/>
          <w:szCs w:val="22"/>
        </w:rPr>
        <w:t xml:space="preserve"> in </w:t>
      </w:r>
      <w:r w:rsidR="002D50F9" w:rsidRPr="003B4F30">
        <w:rPr>
          <w:rFonts w:ascii="Calibri" w:hAnsi="Calibri" w:cs="Calibri"/>
          <w:color w:val="000000" w:themeColor="text1"/>
          <w:szCs w:val="22"/>
        </w:rPr>
        <w:t xml:space="preserve">communities, </w:t>
      </w:r>
      <w:r w:rsidR="002D50F9">
        <w:rPr>
          <w:rFonts w:ascii="Calibri" w:hAnsi="Calibri" w:cs="Calibri"/>
          <w:color w:val="000000" w:themeColor="text1"/>
          <w:szCs w:val="22"/>
        </w:rPr>
        <w:t>organizations</w:t>
      </w:r>
      <w:r w:rsidR="0044456A" w:rsidRPr="003B4F30">
        <w:rPr>
          <w:rFonts w:ascii="Calibri" w:hAnsi="Calibri" w:cs="Calibri"/>
          <w:color w:val="000000" w:themeColor="text1"/>
          <w:szCs w:val="22"/>
        </w:rPr>
        <w:t xml:space="preserve">, and classrooms, in Mississippi and beyond, to support a movement of </w:t>
      </w:r>
      <w:r w:rsidR="0044456A" w:rsidRPr="003B4F30">
        <w:rPr>
          <w:rFonts w:ascii="Calibri" w:hAnsi="Calibri" w:cs="Calibri"/>
          <w:color w:val="000000" w:themeColor="text1"/>
          <w:szCs w:val="22"/>
        </w:rPr>
        <w:lastRenderedPageBreak/>
        <w:t>equity and wholeness as a pathway to ending and transcending all division and discrimination based on differences</w:t>
      </w:r>
      <w:r w:rsidR="0044456A">
        <w:rPr>
          <w:rFonts w:ascii="Calibri" w:hAnsi="Calibri" w:cs="Calibri"/>
          <w:color w:val="000000" w:themeColor="text1"/>
          <w:szCs w:val="22"/>
        </w:rPr>
        <w:t>’ (</w:t>
      </w:r>
      <w:r w:rsidR="0044456A" w:rsidRPr="003B4F30">
        <w:rPr>
          <w:rFonts w:ascii="Calibri" w:hAnsi="Calibri" w:cs="Calibri"/>
          <w:color w:val="000000" w:themeColor="text1"/>
          <w:szCs w:val="22"/>
        </w:rPr>
        <w:t>The William Winter Institute for Racial Reconciliation</w:t>
      </w:r>
      <w:r w:rsidR="0044456A">
        <w:rPr>
          <w:rFonts w:ascii="Calibri" w:hAnsi="Calibri" w:cs="Calibri"/>
          <w:color w:val="000000" w:themeColor="text1"/>
          <w:szCs w:val="22"/>
        </w:rPr>
        <w:t>, 2020</w:t>
      </w:r>
      <w:r w:rsidR="00716D6B">
        <w:rPr>
          <w:rFonts w:ascii="Calibri" w:hAnsi="Calibri" w:cs="Calibri"/>
          <w:color w:val="000000" w:themeColor="text1"/>
          <w:szCs w:val="22"/>
        </w:rPr>
        <w:t>).</w:t>
      </w:r>
      <w:r w:rsidR="0044456A" w:rsidRPr="003B4F30">
        <w:rPr>
          <w:rFonts w:ascii="Calibri" w:hAnsi="Calibri" w:cs="Calibri"/>
          <w:color w:val="000000" w:themeColor="text1"/>
          <w:szCs w:val="22"/>
        </w:rPr>
        <w:t xml:space="preserve"> </w:t>
      </w:r>
      <w:r w:rsidR="0044456A">
        <w:rPr>
          <w:rFonts w:cstheme="minorHAnsi"/>
          <w:color w:val="000000" w:themeColor="text1"/>
          <w:szCs w:val="22"/>
        </w:rPr>
        <w:t xml:space="preserve">Although evolved from a </w:t>
      </w:r>
      <w:r w:rsidR="00EB508D" w:rsidRPr="00E14F67">
        <w:rPr>
          <w:rFonts w:cstheme="minorHAnsi"/>
          <w:color w:val="000000" w:themeColor="text1"/>
          <w:szCs w:val="22"/>
        </w:rPr>
        <w:t>Commission model</w:t>
      </w:r>
      <w:r w:rsidR="0044456A">
        <w:rPr>
          <w:rFonts w:cstheme="minorHAnsi"/>
          <w:color w:val="000000" w:themeColor="text1"/>
          <w:szCs w:val="22"/>
        </w:rPr>
        <w:t xml:space="preserve"> the </w:t>
      </w:r>
      <w:r w:rsidR="00031672">
        <w:rPr>
          <w:rFonts w:cstheme="minorHAnsi"/>
          <w:color w:val="000000" w:themeColor="text1"/>
          <w:szCs w:val="22"/>
        </w:rPr>
        <w:t xml:space="preserve">ongoing </w:t>
      </w:r>
      <w:r w:rsidR="0044456A">
        <w:rPr>
          <w:rFonts w:cstheme="minorHAnsi"/>
          <w:color w:val="000000" w:themeColor="text1"/>
          <w:szCs w:val="22"/>
        </w:rPr>
        <w:t xml:space="preserve">programmes </w:t>
      </w:r>
      <w:r w:rsidR="006B2CB8" w:rsidRPr="00E14F67">
        <w:rPr>
          <w:rFonts w:cstheme="minorHAnsi"/>
          <w:color w:val="000000" w:themeColor="text1"/>
          <w:szCs w:val="22"/>
        </w:rPr>
        <w:t xml:space="preserve">demonstrate </w:t>
      </w:r>
      <w:r w:rsidR="00031672">
        <w:rPr>
          <w:rFonts w:cstheme="minorHAnsi"/>
          <w:color w:val="000000" w:themeColor="text1"/>
          <w:szCs w:val="22"/>
        </w:rPr>
        <w:t>a</w:t>
      </w:r>
      <w:r w:rsidR="006B2CB8" w:rsidRPr="00E14F67">
        <w:rPr>
          <w:rFonts w:cstheme="minorHAnsi"/>
          <w:color w:val="000000" w:themeColor="text1"/>
          <w:szCs w:val="22"/>
        </w:rPr>
        <w:t xml:space="preserve">n </w:t>
      </w:r>
      <w:r w:rsidR="00031672">
        <w:rPr>
          <w:rFonts w:cstheme="minorHAnsi"/>
          <w:color w:val="000000" w:themeColor="text1"/>
          <w:szCs w:val="22"/>
        </w:rPr>
        <w:t>enduring</w:t>
      </w:r>
      <w:r w:rsidR="00031672" w:rsidRPr="00E14F67">
        <w:rPr>
          <w:rFonts w:cstheme="minorHAnsi"/>
          <w:color w:val="000000" w:themeColor="text1"/>
          <w:szCs w:val="22"/>
        </w:rPr>
        <w:t xml:space="preserve"> </w:t>
      </w:r>
      <w:r w:rsidR="006B2CB8" w:rsidRPr="00E14F67">
        <w:rPr>
          <w:rFonts w:cstheme="minorHAnsi"/>
          <w:color w:val="000000" w:themeColor="text1"/>
          <w:szCs w:val="22"/>
        </w:rPr>
        <w:t xml:space="preserve">commitment to </w:t>
      </w:r>
      <w:r w:rsidR="00716D6B">
        <w:rPr>
          <w:rFonts w:cstheme="minorHAnsi"/>
          <w:color w:val="000000" w:themeColor="text1"/>
          <w:szCs w:val="22"/>
        </w:rPr>
        <w:t>transformative</w:t>
      </w:r>
      <w:r w:rsidR="0044456A">
        <w:rPr>
          <w:rFonts w:cstheme="minorHAnsi"/>
          <w:color w:val="000000" w:themeColor="text1"/>
          <w:szCs w:val="22"/>
        </w:rPr>
        <w:t xml:space="preserve"> </w:t>
      </w:r>
      <w:r w:rsidR="006B2CB8" w:rsidRPr="00E14F67">
        <w:rPr>
          <w:rFonts w:cstheme="minorHAnsi"/>
          <w:color w:val="000000" w:themeColor="text1"/>
          <w:szCs w:val="22"/>
        </w:rPr>
        <w:t xml:space="preserve">change. </w:t>
      </w:r>
    </w:p>
    <w:p w14:paraId="331EFE46" w14:textId="575C379F" w:rsidR="00084A18" w:rsidRPr="00E14F67" w:rsidRDefault="00262FF7" w:rsidP="00E14F67">
      <w:pPr>
        <w:spacing w:line="480" w:lineRule="auto"/>
        <w:ind w:firstLine="720"/>
        <w:jc w:val="both"/>
        <w:rPr>
          <w:rFonts w:cstheme="minorHAnsi"/>
          <w:color w:val="000000" w:themeColor="text1"/>
          <w:szCs w:val="22"/>
        </w:rPr>
      </w:pPr>
      <w:r w:rsidRPr="00E14F67">
        <w:rPr>
          <w:rFonts w:cstheme="minorHAnsi"/>
          <w:color w:val="000000" w:themeColor="text1"/>
          <w:szCs w:val="22"/>
        </w:rPr>
        <w:t>In analysing whether Greensboro TRC was successful in achieving ‘justice’, in establishing truth and accountability Beitler notes the difficulty of measuring success against abstract objectives: ‘How does one gauge the extent to which the Commission reconciled the community, […] acknowledged people’s feelings, or facilitated changes in social consciousness? […] And what is the extent of the Commission’s impact that would count as success?’</w:t>
      </w:r>
      <w:r w:rsidR="00025C74" w:rsidRPr="00E14F67">
        <w:rPr>
          <w:rFonts w:cstheme="minorHAnsi"/>
          <w:color w:val="000000" w:themeColor="text1"/>
          <w:szCs w:val="22"/>
        </w:rPr>
        <w:t xml:space="preserve"> (Beitler</w:t>
      </w:r>
      <w:r w:rsidR="00597254" w:rsidRPr="00E14F67">
        <w:rPr>
          <w:rFonts w:cstheme="minorHAnsi"/>
          <w:color w:val="000000" w:themeColor="text1"/>
          <w:szCs w:val="22"/>
        </w:rPr>
        <w:t xml:space="preserve"> </w:t>
      </w:r>
      <w:r w:rsidR="00025C74" w:rsidRPr="00E14F67">
        <w:rPr>
          <w:rFonts w:cstheme="minorHAnsi"/>
          <w:color w:val="000000" w:themeColor="text1"/>
          <w:szCs w:val="22"/>
        </w:rPr>
        <w:t>2013, 143). What we can say is that whilst Greensboro TRC ‘encountered</w:t>
      </w:r>
      <w:r w:rsidR="00025C74" w:rsidRPr="00E14F67">
        <w:rPr>
          <w:rFonts w:cstheme="minorHAnsi"/>
          <w:szCs w:val="22"/>
        </w:rPr>
        <w:t xml:space="preserve"> </w:t>
      </w:r>
      <w:r w:rsidR="00025C74" w:rsidRPr="00E14F67">
        <w:rPr>
          <w:rFonts w:cstheme="minorHAnsi"/>
          <w:color w:val="000000" w:themeColor="text1"/>
          <w:szCs w:val="22"/>
        </w:rPr>
        <w:t>resistance and apathy</w:t>
      </w:r>
      <w:r w:rsidR="00831392" w:rsidRPr="00E14F67">
        <w:rPr>
          <w:rFonts w:cstheme="minorHAnsi"/>
          <w:color w:val="000000" w:themeColor="text1"/>
          <w:szCs w:val="22"/>
        </w:rPr>
        <w:t>’</w:t>
      </w:r>
      <w:r w:rsidR="00025C74" w:rsidRPr="00E14F67">
        <w:rPr>
          <w:rFonts w:cstheme="minorHAnsi"/>
          <w:color w:val="000000" w:themeColor="text1"/>
          <w:szCs w:val="22"/>
        </w:rPr>
        <w:t xml:space="preserve"> (Androff</w:t>
      </w:r>
      <w:r w:rsidR="00597254" w:rsidRPr="00E14F67">
        <w:rPr>
          <w:rFonts w:cstheme="minorHAnsi"/>
          <w:color w:val="000000" w:themeColor="text1"/>
          <w:szCs w:val="22"/>
        </w:rPr>
        <w:t xml:space="preserve"> </w:t>
      </w:r>
      <w:r w:rsidR="00025C74" w:rsidRPr="00E14F67">
        <w:rPr>
          <w:rFonts w:cstheme="minorHAnsi"/>
          <w:color w:val="000000" w:themeColor="text1"/>
          <w:szCs w:val="22"/>
        </w:rPr>
        <w:t xml:space="preserve">2018, 282), it also positively engaged a great number of people from across the community, not just in terms of attracting a high number of </w:t>
      </w:r>
      <w:r w:rsidR="006B2CB8" w:rsidRPr="00E14F67">
        <w:rPr>
          <w:rFonts w:cstheme="minorHAnsi"/>
          <w:color w:val="000000" w:themeColor="text1"/>
          <w:szCs w:val="22"/>
        </w:rPr>
        <w:t>participants, but</w:t>
      </w:r>
      <w:r w:rsidR="00025C74" w:rsidRPr="00E14F67">
        <w:rPr>
          <w:rFonts w:cstheme="minorHAnsi"/>
          <w:color w:val="000000" w:themeColor="text1"/>
          <w:szCs w:val="22"/>
        </w:rPr>
        <w:t xml:space="preserve"> also in terms of positive impact</w:t>
      </w:r>
      <w:r w:rsidR="00C56C6C" w:rsidRPr="00E14F67">
        <w:rPr>
          <w:rFonts w:cstheme="minorHAnsi"/>
          <w:color w:val="000000" w:themeColor="text1"/>
          <w:szCs w:val="22"/>
        </w:rPr>
        <w:t>s</w:t>
      </w:r>
      <w:r w:rsidR="00025C74" w:rsidRPr="00E14F67">
        <w:rPr>
          <w:rFonts w:cstheme="minorHAnsi"/>
          <w:color w:val="000000" w:themeColor="text1"/>
          <w:szCs w:val="22"/>
        </w:rPr>
        <w:t xml:space="preserve"> upon those community members </w:t>
      </w:r>
      <w:bookmarkStart w:id="4" w:name="_Hlk51354725"/>
      <w:r w:rsidR="00025C74" w:rsidRPr="00E14F67">
        <w:rPr>
          <w:rFonts w:cstheme="minorHAnsi"/>
          <w:color w:val="000000" w:themeColor="text1"/>
          <w:szCs w:val="22"/>
        </w:rPr>
        <w:t>(Androff</w:t>
      </w:r>
      <w:r w:rsidR="00597254" w:rsidRPr="00E14F67">
        <w:rPr>
          <w:rFonts w:cstheme="minorHAnsi"/>
          <w:color w:val="000000" w:themeColor="text1"/>
          <w:szCs w:val="22"/>
        </w:rPr>
        <w:t xml:space="preserve"> </w:t>
      </w:r>
      <w:r w:rsidR="00025C74" w:rsidRPr="00E14F67">
        <w:rPr>
          <w:rFonts w:cstheme="minorHAnsi"/>
          <w:color w:val="000000" w:themeColor="text1"/>
          <w:szCs w:val="22"/>
        </w:rPr>
        <w:t>2018, 283; Magarrell &amp; Wesley</w:t>
      </w:r>
      <w:r w:rsidR="00597254" w:rsidRPr="00E14F67">
        <w:rPr>
          <w:rFonts w:cstheme="minorHAnsi"/>
          <w:color w:val="000000" w:themeColor="text1"/>
          <w:szCs w:val="22"/>
        </w:rPr>
        <w:t xml:space="preserve"> </w:t>
      </w:r>
      <w:r w:rsidR="00025C74" w:rsidRPr="00E14F67">
        <w:rPr>
          <w:rFonts w:cstheme="minorHAnsi"/>
          <w:color w:val="000000" w:themeColor="text1"/>
          <w:szCs w:val="22"/>
        </w:rPr>
        <w:t>2008)</w:t>
      </w:r>
      <w:r w:rsidR="00C56C6C" w:rsidRPr="00E14F67">
        <w:rPr>
          <w:rFonts w:cstheme="minorHAnsi"/>
          <w:color w:val="000000" w:themeColor="text1"/>
          <w:szCs w:val="22"/>
        </w:rPr>
        <w:t xml:space="preserve">. One tangible outcome has been the formation of community groups to take forward recommendations from the commission for example on a </w:t>
      </w:r>
      <w:r w:rsidR="00625096" w:rsidRPr="00E14F67">
        <w:rPr>
          <w:rFonts w:cstheme="minorHAnsi"/>
          <w:color w:val="000000" w:themeColor="text1"/>
          <w:szCs w:val="22"/>
        </w:rPr>
        <w:t>minimum</w:t>
      </w:r>
      <w:r w:rsidR="00C56C6C" w:rsidRPr="00E14F67">
        <w:rPr>
          <w:rFonts w:cstheme="minorHAnsi"/>
          <w:color w:val="000000" w:themeColor="text1"/>
          <w:szCs w:val="22"/>
        </w:rPr>
        <w:t xml:space="preserve"> wage and anti</w:t>
      </w:r>
      <w:r w:rsidR="00031672">
        <w:rPr>
          <w:rFonts w:cstheme="minorHAnsi"/>
          <w:color w:val="000000" w:themeColor="text1"/>
          <w:szCs w:val="22"/>
        </w:rPr>
        <w:t>-</w:t>
      </w:r>
      <w:r w:rsidR="00C56C6C" w:rsidRPr="00E14F67">
        <w:rPr>
          <w:rFonts w:cstheme="minorHAnsi"/>
          <w:color w:val="000000" w:themeColor="text1"/>
          <w:szCs w:val="22"/>
        </w:rPr>
        <w:t xml:space="preserve">racism training </w:t>
      </w:r>
      <w:bookmarkStart w:id="5" w:name="_Hlk51622635"/>
      <w:r w:rsidR="00C56C6C" w:rsidRPr="00E14F67">
        <w:rPr>
          <w:rFonts w:cstheme="minorHAnsi"/>
          <w:color w:val="000000" w:themeColor="text1"/>
          <w:szCs w:val="22"/>
        </w:rPr>
        <w:t>(</w:t>
      </w:r>
      <w:r w:rsidR="00625096" w:rsidRPr="00E14F67">
        <w:rPr>
          <w:rFonts w:cstheme="minorHAnsi"/>
          <w:color w:val="000000" w:themeColor="text1"/>
          <w:szCs w:val="22"/>
        </w:rPr>
        <w:t>Beit</w:t>
      </w:r>
      <w:r w:rsidR="00EF03C9">
        <w:rPr>
          <w:rFonts w:cstheme="minorHAnsi"/>
          <w:color w:val="000000" w:themeColor="text1"/>
          <w:szCs w:val="22"/>
        </w:rPr>
        <w:t>l</w:t>
      </w:r>
      <w:r w:rsidR="00625096" w:rsidRPr="00E14F67">
        <w:rPr>
          <w:rFonts w:cstheme="minorHAnsi"/>
          <w:color w:val="000000" w:themeColor="text1"/>
          <w:szCs w:val="22"/>
        </w:rPr>
        <w:t>er</w:t>
      </w:r>
      <w:r w:rsidR="00597254" w:rsidRPr="00E14F67">
        <w:rPr>
          <w:rFonts w:cstheme="minorHAnsi"/>
          <w:color w:val="000000" w:themeColor="text1"/>
          <w:szCs w:val="22"/>
        </w:rPr>
        <w:t xml:space="preserve"> </w:t>
      </w:r>
      <w:r w:rsidR="00625096" w:rsidRPr="00E14F67">
        <w:rPr>
          <w:rFonts w:cstheme="minorHAnsi"/>
          <w:color w:val="000000" w:themeColor="text1"/>
          <w:szCs w:val="22"/>
        </w:rPr>
        <w:t>2013, 144</w:t>
      </w:r>
      <w:bookmarkEnd w:id="5"/>
      <w:r w:rsidR="00625096" w:rsidRPr="00E14F67">
        <w:rPr>
          <w:rFonts w:cstheme="minorHAnsi"/>
          <w:color w:val="000000" w:themeColor="text1"/>
          <w:szCs w:val="22"/>
        </w:rPr>
        <w:t xml:space="preserve">; </w:t>
      </w:r>
      <w:r w:rsidR="00C56C6C" w:rsidRPr="00E14F67">
        <w:rPr>
          <w:rFonts w:cstheme="minorHAnsi"/>
          <w:color w:val="000000" w:themeColor="text1"/>
          <w:szCs w:val="22"/>
        </w:rPr>
        <w:t>Androff</w:t>
      </w:r>
      <w:r w:rsidR="00597254" w:rsidRPr="00E14F67">
        <w:rPr>
          <w:rFonts w:cstheme="minorHAnsi"/>
          <w:color w:val="000000" w:themeColor="text1"/>
          <w:szCs w:val="22"/>
        </w:rPr>
        <w:t xml:space="preserve"> </w:t>
      </w:r>
      <w:r w:rsidR="00C56C6C" w:rsidRPr="00E14F67">
        <w:rPr>
          <w:rFonts w:cstheme="minorHAnsi"/>
          <w:color w:val="000000" w:themeColor="text1"/>
          <w:szCs w:val="22"/>
        </w:rPr>
        <w:t>2018, 283; Magarrell &amp; Wesley</w:t>
      </w:r>
      <w:r w:rsidR="00597254" w:rsidRPr="00E14F67">
        <w:rPr>
          <w:rFonts w:cstheme="minorHAnsi"/>
          <w:color w:val="000000" w:themeColor="text1"/>
          <w:szCs w:val="22"/>
        </w:rPr>
        <w:t xml:space="preserve"> </w:t>
      </w:r>
      <w:r w:rsidR="00C56C6C" w:rsidRPr="00E14F67">
        <w:rPr>
          <w:rFonts w:cstheme="minorHAnsi"/>
          <w:color w:val="000000" w:themeColor="text1"/>
          <w:szCs w:val="22"/>
        </w:rPr>
        <w:t xml:space="preserve">2008). </w:t>
      </w:r>
      <w:r w:rsidR="00625096" w:rsidRPr="00E14F67">
        <w:rPr>
          <w:rFonts w:cstheme="minorHAnsi"/>
          <w:color w:val="000000" w:themeColor="text1"/>
          <w:szCs w:val="22"/>
        </w:rPr>
        <w:t xml:space="preserve">Further, </w:t>
      </w:r>
      <w:r w:rsidR="006B2CB8" w:rsidRPr="00E14F67">
        <w:rPr>
          <w:rFonts w:cstheme="minorHAnsi"/>
          <w:color w:val="000000" w:themeColor="text1"/>
          <w:szCs w:val="22"/>
        </w:rPr>
        <w:t>Beit</w:t>
      </w:r>
      <w:r w:rsidR="00EF03C9">
        <w:rPr>
          <w:rFonts w:cstheme="minorHAnsi"/>
          <w:color w:val="000000" w:themeColor="text1"/>
          <w:szCs w:val="22"/>
        </w:rPr>
        <w:t>l</w:t>
      </w:r>
      <w:r w:rsidR="006B2CB8" w:rsidRPr="00E14F67">
        <w:rPr>
          <w:rFonts w:cstheme="minorHAnsi"/>
          <w:color w:val="000000" w:themeColor="text1"/>
          <w:szCs w:val="22"/>
        </w:rPr>
        <w:t>er contends</w:t>
      </w:r>
      <w:r w:rsidR="00625096" w:rsidRPr="00E14F67">
        <w:rPr>
          <w:rFonts w:cstheme="minorHAnsi"/>
          <w:color w:val="000000" w:themeColor="text1"/>
          <w:szCs w:val="22"/>
        </w:rPr>
        <w:t xml:space="preserve"> that the Greensboro TRC created a space for previously silenced voices to be heard</w:t>
      </w:r>
      <w:r w:rsidR="006B2CB8" w:rsidRPr="00E14F67">
        <w:rPr>
          <w:rFonts w:cstheme="minorHAnsi"/>
          <w:color w:val="000000" w:themeColor="text1"/>
          <w:szCs w:val="22"/>
        </w:rPr>
        <w:t xml:space="preserve"> (Beit</w:t>
      </w:r>
      <w:r w:rsidR="00EF03C9">
        <w:rPr>
          <w:rFonts w:cstheme="minorHAnsi"/>
          <w:color w:val="000000" w:themeColor="text1"/>
          <w:szCs w:val="22"/>
        </w:rPr>
        <w:t>l</w:t>
      </w:r>
      <w:r w:rsidR="006B2CB8" w:rsidRPr="00E14F67">
        <w:rPr>
          <w:rFonts w:cstheme="minorHAnsi"/>
          <w:color w:val="000000" w:themeColor="text1"/>
          <w:szCs w:val="22"/>
        </w:rPr>
        <w:t>er</w:t>
      </w:r>
      <w:r w:rsidR="00597254" w:rsidRPr="00E14F67">
        <w:rPr>
          <w:rFonts w:cstheme="minorHAnsi"/>
          <w:color w:val="000000" w:themeColor="text1"/>
          <w:szCs w:val="22"/>
        </w:rPr>
        <w:t xml:space="preserve"> </w:t>
      </w:r>
      <w:r w:rsidR="006B2CB8" w:rsidRPr="00E14F67">
        <w:rPr>
          <w:rFonts w:cstheme="minorHAnsi"/>
          <w:color w:val="000000" w:themeColor="text1"/>
          <w:szCs w:val="22"/>
        </w:rPr>
        <w:t>2013, 144</w:t>
      </w:r>
      <w:r w:rsidR="00716D6B" w:rsidRPr="00E14F67">
        <w:rPr>
          <w:rFonts w:cstheme="minorHAnsi"/>
          <w:color w:val="000000" w:themeColor="text1"/>
          <w:szCs w:val="22"/>
        </w:rPr>
        <w:t>), ‘</w:t>
      </w:r>
      <w:r w:rsidR="00625096" w:rsidRPr="00E14F67">
        <w:rPr>
          <w:rFonts w:cstheme="minorHAnsi"/>
          <w:color w:val="000000" w:themeColor="text1"/>
          <w:szCs w:val="22"/>
        </w:rPr>
        <w:t>creating a kind of justice that not only publicly exposes truth and vindicates people, but also a kind of justice that is dynamic and ongoing, not perfect of course, but a visible manifestation of an ethical and political commitment that honors truth, individual worth, dignity, and equality’ (Phelps</w:t>
      </w:r>
      <w:r w:rsidR="00597254" w:rsidRPr="00E14F67">
        <w:rPr>
          <w:rFonts w:cstheme="minorHAnsi"/>
          <w:color w:val="000000" w:themeColor="text1"/>
          <w:szCs w:val="22"/>
        </w:rPr>
        <w:t xml:space="preserve"> </w:t>
      </w:r>
      <w:r w:rsidR="00625096" w:rsidRPr="00E14F67">
        <w:rPr>
          <w:rFonts w:cstheme="minorHAnsi"/>
          <w:color w:val="000000" w:themeColor="text1"/>
          <w:szCs w:val="22"/>
        </w:rPr>
        <w:t>2004, 72).</w:t>
      </w:r>
      <w:bookmarkEnd w:id="4"/>
    </w:p>
    <w:p w14:paraId="6E9AFBC9" w14:textId="2A97537E" w:rsidR="00A3273D" w:rsidRPr="00E14F67" w:rsidRDefault="00A3273D" w:rsidP="00E63CA6">
      <w:pPr>
        <w:pStyle w:val="Heading1"/>
      </w:pPr>
      <w:r w:rsidRPr="00E14F67">
        <w:lastRenderedPageBreak/>
        <w:t>TRCs v CBTRCs: Similarities, Differences and Implications for Practice</w:t>
      </w:r>
    </w:p>
    <w:p w14:paraId="2145CBC3" w14:textId="4338139B" w:rsidR="00F76688" w:rsidRPr="00E14F67" w:rsidRDefault="00A3273D" w:rsidP="00BA1790">
      <w:pPr>
        <w:spacing w:line="480" w:lineRule="auto"/>
        <w:jc w:val="both"/>
        <w:rPr>
          <w:rFonts w:cstheme="minorHAnsi"/>
          <w:bCs/>
          <w:iCs/>
          <w:color w:val="000000" w:themeColor="text1"/>
          <w:szCs w:val="22"/>
        </w:rPr>
      </w:pPr>
      <w:r w:rsidRPr="00E14F67">
        <w:rPr>
          <w:rFonts w:cstheme="minorHAnsi"/>
          <w:bCs/>
          <w:iCs/>
          <w:color w:val="000000" w:themeColor="text1"/>
          <w:szCs w:val="22"/>
        </w:rPr>
        <w:t xml:space="preserve">Clearly, the establishment of CBTRCs has been heavily influenced by traditional TRCs. However, </w:t>
      </w:r>
      <w:r w:rsidR="00F76688" w:rsidRPr="00E14F67">
        <w:rPr>
          <w:rFonts w:cstheme="minorHAnsi"/>
          <w:bCs/>
          <w:iCs/>
          <w:color w:val="000000" w:themeColor="text1"/>
          <w:szCs w:val="22"/>
        </w:rPr>
        <w:t xml:space="preserve">there are </w:t>
      </w:r>
      <w:r w:rsidR="002620FF">
        <w:rPr>
          <w:rFonts w:cstheme="minorHAnsi"/>
          <w:bCs/>
          <w:iCs/>
          <w:color w:val="000000" w:themeColor="text1"/>
          <w:szCs w:val="22"/>
        </w:rPr>
        <w:t>certain</w:t>
      </w:r>
      <w:r w:rsidR="00F76688" w:rsidRPr="00E14F67">
        <w:rPr>
          <w:rFonts w:cstheme="minorHAnsi"/>
          <w:bCs/>
          <w:iCs/>
          <w:color w:val="000000" w:themeColor="text1"/>
          <w:szCs w:val="22"/>
        </w:rPr>
        <w:t xml:space="preserve"> differences in the nature of these bodies as institutions. </w:t>
      </w:r>
      <w:r w:rsidRPr="00E14F67">
        <w:rPr>
          <w:rFonts w:cstheme="minorHAnsi"/>
          <w:bCs/>
          <w:iCs/>
          <w:color w:val="000000" w:themeColor="text1"/>
          <w:szCs w:val="22"/>
        </w:rPr>
        <w:t>‘</w:t>
      </w:r>
      <w:r w:rsidR="00F76688" w:rsidRPr="00E14F67">
        <w:rPr>
          <w:rFonts w:cstheme="minorHAnsi"/>
          <w:bCs/>
          <w:iCs/>
          <w:color w:val="000000" w:themeColor="text1"/>
          <w:szCs w:val="22"/>
        </w:rPr>
        <w:t>T</w:t>
      </w:r>
      <w:r w:rsidRPr="00E14F67">
        <w:rPr>
          <w:rFonts w:cstheme="minorHAnsi"/>
          <w:bCs/>
          <w:iCs/>
          <w:color w:val="000000" w:themeColor="text1"/>
          <w:szCs w:val="22"/>
        </w:rPr>
        <w:t>raditional’ truth commissions ‘are usually temporary bodies, officially sanctioned, authorized or empowered by the state. They are no</w:t>
      </w:r>
      <w:r w:rsidR="008C275A" w:rsidRPr="00E14F67">
        <w:rPr>
          <w:rFonts w:cstheme="minorHAnsi"/>
          <w:bCs/>
          <w:iCs/>
          <w:color w:val="000000" w:themeColor="text1"/>
          <w:szCs w:val="22"/>
        </w:rPr>
        <w:t xml:space="preserve">t </w:t>
      </w:r>
      <w:r w:rsidRPr="00E14F67">
        <w:rPr>
          <w:rFonts w:cstheme="minorHAnsi"/>
          <w:bCs/>
          <w:iCs/>
          <w:color w:val="000000" w:themeColor="text1"/>
          <w:szCs w:val="22"/>
        </w:rPr>
        <w:t xml:space="preserve">judicial in nature and operate independently of government’ </w:t>
      </w:r>
      <w:r w:rsidRPr="00E14F67">
        <w:rPr>
          <w:rFonts w:cstheme="minorHAnsi"/>
          <w:bCs/>
          <w:iCs/>
          <w:noProof/>
          <w:color w:val="000000" w:themeColor="text1"/>
          <w:szCs w:val="22"/>
        </w:rPr>
        <w:t>(Greensboro Truth and Reconciliation Commission 2006b, 10)</w:t>
      </w:r>
      <w:r w:rsidRPr="00E14F67">
        <w:rPr>
          <w:rFonts w:cstheme="minorHAnsi"/>
          <w:bCs/>
          <w:iCs/>
          <w:color w:val="000000" w:themeColor="text1"/>
          <w:szCs w:val="22"/>
        </w:rPr>
        <w:t xml:space="preserve">. They usually focus on the past and investigate serious widespread, systematic violations of human rights and are also ‘created through legislation or an executive decree of some kind’ </w:t>
      </w:r>
      <w:r w:rsidRPr="00E14F67">
        <w:rPr>
          <w:rFonts w:cstheme="minorHAnsi"/>
          <w:bCs/>
          <w:iCs/>
          <w:noProof/>
          <w:color w:val="000000" w:themeColor="text1"/>
          <w:szCs w:val="22"/>
        </w:rPr>
        <w:t>(Greensboro Truth and Reconciliation Commission 2006b, 10)</w:t>
      </w:r>
      <w:r w:rsidRPr="00E14F67">
        <w:rPr>
          <w:rFonts w:cstheme="minorHAnsi"/>
          <w:bCs/>
          <w:iCs/>
          <w:color w:val="000000" w:themeColor="text1"/>
          <w:szCs w:val="22"/>
        </w:rPr>
        <w:t xml:space="preserve">. The </w:t>
      </w:r>
      <w:r w:rsidR="00F76688" w:rsidRPr="00E14F67">
        <w:rPr>
          <w:rFonts w:cstheme="minorHAnsi"/>
          <w:bCs/>
          <w:iCs/>
          <w:color w:val="000000" w:themeColor="text1"/>
          <w:szCs w:val="22"/>
        </w:rPr>
        <w:t>CB</w:t>
      </w:r>
      <w:r w:rsidRPr="00E14F67">
        <w:rPr>
          <w:rFonts w:cstheme="minorHAnsi"/>
          <w:bCs/>
          <w:iCs/>
          <w:color w:val="000000" w:themeColor="text1"/>
          <w:szCs w:val="22"/>
        </w:rPr>
        <w:t xml:space="preserve">TRCs discussed above are fundamentally different from these traditional TRCs in that they are ‘unofficial truth projects’ </w:t>
      </w:r>
      <w:r w:rsidRPr="00E14F67">
        <w:rPr>
          <w:rFonts w:cstheme="minorHAnsi"/>
          <w:bCs/>
          <w:iCs/>
          <w:noProof/>
          <w:color w:val="000000" w:themeColor="text1"/>
          <w:szCs w:val="22"/>
        </w:rPr>
        <w:t>(Bickford 2007, 994)</w:t>
      </w:r>
      <w:r w:rsidRPr="00E14F67">
        <w:rPr>
          <w:rFonts w:cstheme="minorHAnsi"/>
          <w:bCs/>
          <w:iCs/>
          <w:color w:val="000000" w:themeColor="text1"/>
          <w:szCs w:val="22"/>
        </w:rPr>
        <w:t xml:space="preserve">. That is, they are not state sanctioned or funded, they are not established by statute and do not involve the state as an official party to the proceedings.  Rather, ‘they emerge from, and remain located in, civil society’ </w:t>
      </w:r>
      <w:r w:rsidRPr="00E14F67">
        <w:rPr>
          <w:rFonts w:cstheme="minorHAnsi"/>
          <w:bCs/>
          <w:iCs/>
          <w:noProof/>
          <w:color w:val="000000" w:themeColor="text1"/>
          <w:szCs w:val="22"/>
        </w:rPr>
        <w:t>(Greensboro Truth and Reconciliation Commission 2006b, 10)</w:t>
      </w:r>
      <w:r w:rsidRPr="00E14F67">
        <w:rPr>
          <w:rFonts w:cstheme="minorHAnsi"/>
          <w:bCs/>
          <w:iCs/>
          <w:color w:val="000000" w:themeColor="text1"/>
          <w:szCs w:val="22"/>
        </w:rPr>
        <w:t xml:space="preserve">. </w:t>
      </w:r>
    </w:p>
    <w:p w14:paraId="0576EFFE" w14:textId="72F5C3D0" w:rsidR="004E056F" w:rsidRPr="00E14F67" w:rsidRDefault="00F76688" w:rsidP="00E14F67">
      <w:pPr>
        <w:spacing w:line="480" w:lineRule="auto"/>
        <w:ind w:firstLine="720"/>
        <w:jc w:val="both"/>
        <w:rPr>
          <w:rFonts w:cstheme="minorHAnsi"/>
          <w:b/>
          <w:bCs/>
          <w:i/>
          <w:iCs/>
          <w:color w:val="000000" w:themeColor="text1"/>
          <w:szCs w:val="22"/>
        </w:rPr>
      </w:pPr>
      <w:r w:rsidRPr="00E14F67">
        <w:rPr>
          <w:rFonts w:cstheme="minorHAnsi"/>
          <w:bCs/>
          <w:iCs/>
          <w:color w:val="000000" w:themeColor="text1"/>
          <w:szCs w:val="22"/>
        </w:rPr>
        <w:t>Furthermore</w:t>
      </w:r>
      <w:r w:rsidR="00A3273D" w:rsidRPr="00E14F67">
        <w:rPr>
          <w:rFonts w:cstheme="minorHAnsi"/>
          <w:bCs/>
          <w:iCs/>
          <w:color w:val="000000" w:themeColor="text1"/>
          <w:szCs w:val="22"/>
        </w:rPr>
        <w:t xml:space="preserve">, despite the wide use of </w:t>
      </w:r>
      <w:r w:rsidR="00A3273D" w:rsidRPr="00E14F67">
        <w:rPr>
          <w:rFonts w:cstheme="minorHAnsi"/>
          <w:color w:val="000000" w:themeColor="text1"/>
          <w:szCs w:val="22"/>
        </w:rPr>
        <w:t>the TRC model</w:t>
      </w:r>
      <w:r w:rsidR="00A3273D" w:rsidRPr="00E14F67">
        <w:rPr>
          <w:rFonts w:cstheme="minorHAnsi"/>
          <w:iCs/>
          <w:color w:val="000000" w:themeColor="text1"/>
          <w:szCs w:val="22"/>
        </w:rPr>
        <w:t xml:space="preserve"> there are important differences </w:t>
      </w:r>
      <w:r w:rsidRPr="00E14F67">
        <w:rPr>
          <w:rFonts w:cstheme="minorHAnsi"/>
          <w:iCs/>
          <w:color w:val="000000" w:themeColor="text1"/>
          <w:szCs w:val="22"/>
        </w:rPr>
        <w:t xml:space="preserve">in the </w:t>
      </w:r>
      <w:r w:rsidR="000B7D54" w:rsidRPr="00E14F67">
        <w:rPr>
          <w:rFonts w:cstheme="minorHAnsi"/>
          <w:iCs/>
          <w:color w:val="000000" w:themeColor="text1"/>
          <w:szCs w:val="22"/>
        </w:rPr>
        <w:t xml:space="preserve">mandates </w:t>
      </w:r>
      <w:r w:rsidR="000C5FA8" w:rsidRPr="00E14F67">
        <w:rPr>
          <w:rFonts w:cstheme="minorHAnsi"/>
          <w:iCs/>
          <w:color w:val="000000" w:themeColor="text1"/>
          <w:szCs w:val="22"/>
        </w:rPr>
        <w:t>of traditional</w:t>
      </w:r>
      <w:r w:rsidR="00A3273D" w:rsidRPr="00E14F67">
        <w:rPr>
          <w:rFonts w:cstheme="minorHAnsi"/>
          <w:iCs/>
          <w:color w:val="000000" w:themeColor="text1"/>
          <w:szCs w:val="22"/>
        </w:rPr>
        <w:t xml:space="preserve"> TRCs</w:t>
      </w:r>
      <w:r w:rsidR="000B7D54" w:rsidRPr="00E14F67">
        <w:rPr>
          <w:rFonts w:cstheme="minorHAnsi"/>
          <w:iCs/>
          <w:color w:val="000000" w:themeColor="text1"/>
          <w:szCs w:val="22"/>
        </w:rPr>
        <w:t xml:space="preserve"> and CBTRCs: TRCs are </w:t>
      </w:r>
      <w:r w:rsidR="00A3273D" w:rsidRPr="00E14F67">
        <w:rPr>
          <w:rFonts w:cstheme="minorHAnsi"/>
          <w:iCs/>
          <w:color w:val="000000" w:themeColor="text1"/>
          <w:szCs w:val="22"/>
        </w:rPr>
        <w:t>established in</w:t>
      </w:r>
      <w:r w:rsidR="00A3273D" w:rsidRPr="00E14F67">
        <w:rPr>
          <w:rFonts w:cstheme="minorHAnsi"/>
          <w:bCs/>
          <w:iCs/>
          <w:color w:val="000000" w:themeColor="text1"/>
          <w:szCs w:val="22"/>
        </w:rPr>
        <w:t xml:space="preserve"> transitional or post-conflict states to aid transition from conflict and repression</w:t>
      </w:r>
      <w:r w:rsidR="000B7D54" w:rsidRPr="00E14F67">
        <w:rPr>
          <w:rFonts w:cstheme="minorHAnsi"/>
          <w:bCs/>
          <w:iCs/>
          <w:color w:val="000000" w:themeColor="text1"/>
          <w:szCs w:val="22"/>
        </w:rPr>
        <w:t xml:space="preserve"> to peace and democracy and focus on grave human rights violations, usually limited to those of a civil and political nature. </w:t>
      </w:r>
      <w:r w:rsidR="00A3273D" w:rsidRPr="00E14F67">
        <w:rPr>
          <w:rFonts w:cstheme="minorHAnsi"/>
          <w:bCs/>
          <w:iCs/>
          <w:color w:val="000000" w:themeColor="text1"/>
          <w:szCs w:val="22"/>
        </w:rPr>
        <w:t xml:space="preserve"> CBTRCs </w:t>
      </w:r>
      <w:r w:rsidR="000B7D54" w:rsidRPr="00E14F67">
        <w:rPr>
          <w:rFonts w:cstheme="minorHAnsi"/>
          <w:bCs/>
          <w:iCs/>
          <w:color w:val="000000" w:themeColor="text1"/>
          <w:szCs w:val="22"/>
        </w:rPr>
        <w:t xml:space="preserve">are </w:t>
      </w:r>
      <w:r w:rsidR="00A3273D" w:rsidRPr="00E14F67">
        <w:rPr>
          <w:rFonts w:cstheme="minorHAnsi"/>
          <w:bCs/>
          <w:iCs/>
          <w:color w:val="000000" w:themeColor="text1"/>
          <w:szCs w:val="22"/>
        </w:rPr>
        <w:t xml:space="preserve">established </w:t>
      </w:r>
      <w:r w:rsidR="000B7D54" w:rsidRPr="00E14F67">
        <w:rPr>
          <w:rFonts w:cstheme="minorHAnsi"/>
          <w:bCs/>
          <w:iCs/>
          <w:color w:val="000000" w:themeColor="text1"/>
          <w:szCs w:val="22"/>
        </w:rPr>
        <w:t xml:space="preserve">in so-called peaceful states </w:t>
      </w:r>
      <w:r w:rsidR="000822A8" w:rsidRPr="00E14F67">
        <w:rPr>
          <w:rFonts w:cstheme="minorHAnsi"/>
          <w:bCs/>
          <w:iCs/>
          <w:color w:val="000000" w:themeColor="text1"/>
          <w:szCs w:val="22"/>
        </w:rPr>
        <w:t xml:space="preserve">to </w:t>
      </w:r>
      <w:r w:rsidR="000B7D54" w:rsidRPr="00E14F67">
        <w:rPr>
          <w:rFonts w:cstheme="minorHAnsi"/>
          <w:bCs/>
          <w:iCs/>
          <w:color w:val="000000" w:themeColor="text1"/>
          <w:szCs w:val="22"/>
        </w:rPr>
        <w:t xml:space="preserve">transform communities; </w:t>
      </w:r>
      <w:r w:rsidR="00A3273D" w:rsidRPr="00E14F67">
        <w:rPr>
          <w:rFonts w:cstheme="minorHAnsi"/>
          <w:bCs/>
          <w:iCs/>
          <w:color w:val="000000" w:themeColor="text1"/>
          <w:szCs w:val="22"/>
        </w:rPr>
        <w:t xml:space="preserve">to deal with </w:t>
      </w:r>
      <w:r w:rsidR="000B7D54" w:rsidRPr="00E14F67">
        <w:rPr>
          <w:rFonts w:cstheme="minorHAnsi"/>
          <w:bCs/>
          <w:iCs/>
          <w:color w:val="000000" w:themeColor="text1"/>
          <w:szCs w:val="22"/>
        </w:rPr>
        <w:t xml:space="preserve">structural and </w:t>
      </w:r>
      <w:r w:rsidR="00A3273D" w:rsidRPr="00E14F67">
        <w:rPr>
          <w:rFonts w:cstheme="minorHAnsi"/>
          <w:bCs/>
          <w:iCs/>
          <w:color w:val="000000" w:themeColor="text1"/>
          <w:szCs w:val="22"/>
        </w:rPr>
        <w:t xml:space="preserve">social </w:t>
      </w:r>
      <w:r w:rsidR="001B7E02">
        <w:rPr>
          <w:rFonts w:cstheme="minorHAnsi"/>
          <w:bCs/>
          <w:iCs/>
          <w:color w:val="000000" w:themeColor="text1"/>
          <w:szCs w:val="22"/>
        </w:rPr>
        <w:t>in</w:t>
      </w:r>
      <w:r w:rsidR="00A3273D" w:rsidRPr="00E14F67">
        <w:rPr>
          <w:rFonts w:cstheme="minorHAnsi"/>
          <w:bCs/>
          <w:iCs/>
          <w:color w:val="000000" w:themeColor="text1"/>
          <w:szCs w:val="22"/>
        </w:rPr>
        <w:t>justice at a community</w:t>
      </w:r>
      <w:r w:rsidR="000B7D54" w:rsidRPr="00E14F67">
        <w:rPr>
          <w:rFonts w:cstheme="minorHAnsi"/>
          <w:bCs/>
          <w:iCs/>
          <w:color w:val="000000" w:themeColor="text1"/>
          <w:szCs w:val="22"/>
        </w:rPr>
        <w:t xml:space="preserve"> and</w:t>
      </w:r>
      <w:r w:rsidR="00A3273D" w:rsidRPr="00E14F67">
        <w:rPr>
          <w:rFonts w:cstheme="minorHAnsi"/>
          <w:bCs/>
          <w:iCs/>
          <w:color w:val="000000" w:themeColor="text1"/>
          <w:szCs w:val="22"/>
        </w:rPr>
        <w:t xml:space="preserve"> local level.  </w:t>
      </w:r>
      <w:r w:rsidR="000B7D54" w:rsidRPr="00E14F67">
        <w:rPr>
          <w:rFonts w:cstheme="minorHAnsi"/>
          <w:bCs/>
          <w:iCs/>
          <w:color w:val="000000" w:themeColor="text1"/>
          <w:szCs w:val="22"/>
        </w:rPr>
        <w:t xml:space="preserve">They focus on both civil and political rights and </w:t>
      </w:r>
      <w:r w:rsidR="00833B7E">
        <w:rPr>
          <w:rFonts w:cstheme="minorHAnsi"/>
          <w:bCs/>
          <w:iCs/>
          <w:color w:val="000000" w:themeColor="text1"/>
          <w:szCs w:val="22"/>
        </w:rPr>
        <w:t>ESCRs</w:t>
      </w:r>
      <w:r w:rsidR="000B7D54" w:rsidRPr="00E14F67">
        <w:rPr>
          <w:rFonts w:cstheme="minorHAnsi"/>
          <w:bCs/>
          <w:iCs/>
          <w:color w:val="000000" w:themeColor="text1"/>
          <w:szCs w:val="22"/>
        </w:rPr>
        <w:t xml:space="preserve"> but rights may or may not be explicit in their mandate.</w:t>
      </w:r>
    </w:p>
    <w:p w14:paraId="2CE3E9BD" w14:textId="77A5909E" w:rsidR="00A3273D" w:rsidRPr="00E14F67" w:rsidRDefault="00A3273D" w:rsidP="00E14F67">
      <w:pPr>
        <w:spacing w:line="480" w:lineRule="auto"/>
        <w:ind w:firstLine="720"/>
        <w:jc w:val="both"/>
        <w:rPr>
          <w:rFonts w:cstheme="minorHAnsi"/>
          <w:b/>
          <w:bCs/>
          <w:i/>
          <w:iCs/>
          <w:color w:val="000000" w:themeColor="text1"/>
          <w:szCs w:val="22"/>
        </w:rPr>
      </w:pPr>
      <w:r w:rsidRPr="00E14F67">
        <w:rPr>
          <w:rFonts w:cstheme="minorHAnsi"/>
          <w:color w:val="000000" w:themeColor="text1"/>
          <w:szCs w:val="22"/>
        </w:rPr>
        <w:lastRenderedPageBreak/>
        <w:t>Th</w:t>
      </w:r>
      <w:r w:rsidR="00ED234B" w:rsidRPr="00E14F67">
        <w:rPr>
          <w:rFonts w:cstheme="minorHAnsi"/>
          <w:color w:val="000000" w:themeColor="text1"/>
          <w:szCs w:val="22"/>
        </w:rPr>
        <w:t>e</w:t>
      </w:r>
      <w:r w:rsidRPr="00E14F67">
        <w:rPr>
          <w:rFonts w:cstheme="minorHAnsi"/>
          <w:color w:val="000000" w:themeColor="text1"/>
          <w:szCs w:val="22"/>
        </w:rPr>
        <w:t xml:space="preserve"> unofficial nature </w:t>
      </w:r>
      <w:r w:rsidR="00ED234B" w:rsidRPr="00E14F67">
        <w:rPr>
          <w:rFonts w:cstheme="minorHAnsi"/>
          <w:color w:val="000000" w:themeColor="text1"/>
          <w:szCs w:val="22"/>
        </w:rPr>
        <w:t xml:space="preserve">of CBTRCs </w:t>
      </w:r>
      <w:r w:rsidRPr="00E14F67">
        <w:rPr>
          <w:rFonts w:cstheme="minorHAnsi"/>
          <w:color w:val="000000" w:themeColor="text1"/>
          <w:szCs w:val="22"/>
        </w:rPr>
        <w:t>has advantages and disadvantages. On the one hand, because the State are not involved</w:t>
      </w:r>
      <w:r w:rsidR="005A37C7">
        <w:rPr>
          <w:rFonts w:cstheme="minorHAnsi"/>
          <w:color w:val="000000" w:themeColor="text1"/>
          <w:szCs w:val="22"/>
        </w:rPr>
        <w:t>,</w:t>
      </w:r>
      <w:r w:rsidRPr="00E14F67">
        <w:rPr>
          <w:rFonts w:cstheme="minorHAnsi"/>
          <w:color w:val="000000" w:themeColor="text1"/>
          <w:szCs w:val="22"/>
        </w:rPr>
        <w:t xml:space="preserve"> </w:t>
      </w:r>
      <w:r w:rsidR="00901912" w:rsidRPr="00E14F67">
        <w:rPr>
          <w:rFonts w:cstheme="minorHAnsi"/>
          <w:color w:val="000000" w:themeColor="text1"/>
          <w:szCs w:val="22"/>
        </w:rPr>
        <w:t xml:space="preserve">victim trust and participation </w:t>
      </w:r>
      <w:r w:rsidR="00716D6B" w:rsidRPr="00E14F67">
        <w:rPr>
          <w:rFonts w:cstheme="minorHAnsi"/>
          <w:color w:val="000000" w:themeColor="text1"/>
          <w:szCs w:val="22"/>
        </w:rPr>
        <w:t>are</w:t>
      </w:r>
      <w:r w:rsidR="00901912" w:rsidRPr="00E14F67">
        <w:rPr>
          <w:rFonts w:cstheme="minorHAnsi"/>
          <w:color w:val="000000" w:themeColor="text1"/>
          <w:szCs w:val="22"/>
        </w:rPr>
        <w:t xml:space="preserve"> </w:t>
      </w:r>
      <w:r w:rsidR="001B7E02">
        <w:rPr>
          <w:rFonts w:cstheme="minorHAnsi"/>
          <w:color w:val="000000" w:themeColor="text1"/>
          <w:szCs w:val="22"/>
        </w:rPr>
        <w:t xml:space="preserve">often </w:t>
      </w:r>
      <w:r w:rsidR="00901912" w:rsidRPr="00E14F67">
        <w:rPr>
          <w:rFonts w:cstheme="minorHAnsi"/>
          <w:color w:val="000000" w:themeColor="text1"/>
          <w:szCs w:val="22"/>
        </w:rPr>
        <w:t>enhanced</w:t>
      </w:r>
      <w:r w:rsidRPr="00E14F67">
        <w:rPr>
          <w:rFonts w:cstheme="minorHAnsi"/>
          <w:color w:val="000000" w:themeColor="text1"/>
          <w:szCs w:val="22"/>
        </w:rPr>
        <w:t xml:space="preserve">. </w:t>
      </w:r>
      <w:r w:rsidR="001B7E02">
        <w:rPr>
          <w:rFonts w:cstheme="minorHAnsi"/>
          <w:color w:val="000000" w:themeColor="text1"/>
          <w:szCs w:val="22"/>
        </w:rPr>
        <w:t>Frequently</w:t>
      </w:r>
      <w:r w:rsidR="001B7E02" w:rsidRPr="00E14F67" w:rsidDel="001B7E02">
        <w:rPr>
          <w:rFonts w:cstheme="minorHAnsi"/>
          <w:color w:val="000000" w:themeColor="text1"/>
          <w:szCs w:val="22"/>
        </w:rPr>
        <w:t xml:space="preserve"> </w:t>
      </w:r>
      <w:r w:rsidR="00D1427D" w:rsidRPr="00E14F67">
        <w:rPr>
          <w:rFonts w:cstheme="minorHAnsi"/>
          <w:color w:val="000000" w:themeColor="text1"/>
          <w:szCs w:val="22"/>
        </w:rPr>
        <w:t>those involved in CBTRCs harness a deep mistrust of state institutions due to their experiences (</w:t>
      </w:r>
      <w:r w:rsidR="00082BD4" w:rsidRPr="00E14F67">
        <w:rPr>
          <w:rFonts w:cstheme="minorHAnsi"/>
          <w:color w:val="000000" w:themeColor="text1"/>
          <w:szCs w:val="22"/>
        </w:rPr>
        <w:t>Lamont</w:t>
      </w:r>
      <w:r w:rsidR="00597254" w:rsidRPr="00E14F67">
        <w:rPr>
          <w:rFonts w:cstheme="minorHAnsi"/>
          <w:color w:val="000000" w:themeColor="text1"/>
          <w:szCs w:val="22"/>
        </w:rPr>
        <w:t xml:space="preserve"> </w:t>
      </w:r>
      <w:r w:rsidR="00082BD4" w:rsidRPr="00E14F67">
        <w:rPr>
          <w:rFonts w:cstheme="minorHAnsi"/>
          <w:color w:val="000000" w:themeColor="text1"/>
          <w:szCs w:val="22"/>
        </w:rPr>
        <w:t>2010, 187</w:t>
      </w:r>
      <w:r w:rsidR="00D1427D" w:rsidRPr="00E14F67">
        <w:rPr>
          <w:rFonts w:cstheme="minorHAnsi"/>
          <w:color w:val="000000" w:themeColor="text1"/>
          <w:szCs w:val="22"/>
        </w:rPr>
        <w:t>)</w:t>
      </w:r>
      <w:r w:rsidR="00082BD4" w:rsidRPr="00E14F67">
        <w:rPr>
          <w:rFonts w:cstheme="minorHAnsi"/>
          <w:color w:val="000000" w:themeColor="text1"/>
          <w:szCs w:val="22"/>
        </w:rPr>
        <w:t>. Although it is also the case that at times mistrust also acts as an obstacle to participation in unofficial truth projects (Salford Poverty Truth Commission</w:t>
      </w:r>
      <w:r w:rsidR="00F610D1" w:rsidRPr="00E14F67">
        <w:rPr>
          <w:rFonts w:cstheme="minorHAnsi"/>
          <w:color w:val="000000" w:themeColor="text1"/>
          <w:szCs w:val="22"/>
        </w:rPr>
        <w:t xml:space="preserve"> 2017, </w:t>
      </w:r>
      <w:r w:rsidR="00082BD4" w:rsidRPr="00E14F67">
        <w:rPr>
          <w:rFonts w:cstheme="minorHAnsi"/>
          <w:color w:val="000000" w:themeColor="text1"/>
          <w:szCs w:val="22"/>
        </w:rPr>
        <w:t xml:space="preserve">12) it is less likely with CBTRCs as they are grassroots established. </w:t>
      </w:r>
      <w:r w:rsidRPr="00E14F67">
        <w:rPr>
          <w:rFonts w:cstheme="minorHAnsi"/>
          <w:color w:val="000000" w:themeColor="text1"/>
          <w:szCs w:val="22"/>
        </w:rPr>
        <w:t>Further</w:t>
      </w:r>
      <w:r w:rsidR="005F06AA">
        <w:rPr>
          <w:rFonts w:cstheme="minorHAnsi"/>
          <w:color w:val="000000" w:themeColor="text1"/>
          <w:szCs w:val="22"/>
        </w:rPr>
        <w:t>,</w:t>
      </w:r>
      <w:r w:rsidR="00082BD4" w:rsidRPr="00E14F67">
        <w:rPr>
          <w:rFonts w:cstheme="minorHAnsi"/>
          <w:color w:val="000000" w:themeColor="text1"/>
          <w:szCs w:val="22"/>
        </w:rPr>
        <w:t xml:space="preserve"> this unofficial nature</w:t>
      </w:r>
      <w:r w:rsidRPr="00E14F67">
        <w:rPr>
          <w:rFonts w:cstheme="minorHAnsi"/>
          <w:color w:val="000000" w:themeColor="text1"/>
          <w:szCs w:val="22"/>
        </w:rPr>
        <w:t xml:space="preserve"> ensures that the </w:t>
      </w:r>
      <w:r w:rsidR="00D1427D" w:rsidRPr="00E14F67">
        <w:rPr>
          <w:rFonts w:cstheme="minorHAnsi"/>
          <w:color w:val="000000" w:themeColor="text1"/>
          <w:szCs w:val="22"/>
        </w:rPr>
        <w:t>participants</w:t>
      </w:r>
      <w:r w:rsidR="00082BD4" w:rsidRPr="00E14F67">
        <w:rPr>
          <w:rFonts w:cstheme="minorHAnsi"/>
          <w:color w:val="000000" w:themeColor="text1"/>
          <w:szCs w:val="22"/>
        </w:rPr>
        <w:t xml:space="preserve"> </w:t>
      </w:r>
      <w:r w:rsidR="00D1427D" w:rsidRPr="00E14F67">
        <w:rPr>
          <w:rFonts w:cstheme="minorHAnsi"/>
          <w:color w:val="000000" w:themeColor="text1"/>
          <w:szCs w:val="22"/>
        </w:rPr>
        <w:t>(</w:t>
      </w:r>
      <w:r w:rsidRPr="00E14F67">
        <w:rPr>
          <w:rFonts w:cstheme="minorHAnsi"/>
          <w:color w:val="000000" w:themeColor="text1"/>
          <w:szCs w:val="22"/>
        </w:rPr>
        <w:t>victims</w:t>
      </w:r>
      <w:r w:rsidR="00082BD4" w:rsidRPr="00E14F67">
        <w:rPr>
          <w:rFonts w:cstheme="minorHAnsi"/>
          <w:color w:val="000000" w:themeColor="text1"/>
          <w:szCs w:val="22"/>
        </w:rPr>
        <w:t>, commissioners, staff)</w:t>
      </w:r>
      <w:r w:rsidRPr="00E14F67">
        <w:rPr>
          <w:rFonts w:cstheme="minorHAnsi"/>
          <w:color w:val="000000" w:themeColor="text1"/>
          <w:szCs w:val="22"/>
        </w:rPr>
        <w:t xml:space="preserve"> exercise control over the process, setting the agenda and deciding on appropriate recommendations. </w:t>
      </w:r>
      <w:r w:rsidR="00ED234B" w:rsidRPr="00E14F67">
        <w:rPr>
          <w:rFonts w:cstheme="minorHAnsi"/>
          <w:color w:val="000000" w:themeColor="text1"/>
          <w:szCs w:val="22"/>
        </w:rPr>
        <w:t>The evidence from CBTRCs to date demonstrates that</w:t>
      </w:r>
      <w:r w:rsidR="00ED234B" w:rsidRPr="00E14F67">
        <w:rPr>
          <w:rFonts w:cstheme="minorHAnsi"/>
          <w:szCs w:val="22"/>
        </w:rPr>
        <w:t xml:space="preserve"> </w:t>
      </w:r>
      <w:r w:rsidR="00ED234B" w:rsidRPr="00E14F67">
        <w:rPr>
          <w:rFonts w:cstheme="minorHAnsi"/>
          <w:color w:val="000000" w:themeColor="text1"/>
          <w:szCs w:val="22"/>
        </w:rPr>
        <w:t>participation in a CBTRC is not just about giving testimony and truth telling but also about harnessing power and control of such processes at a community level.</w:t>
      </w:r>
    </w:p>
    <w:p w14:paraId="7932C596" w14:textId="1DC59894" w:rsidR="00082BD4" w:rsidRPr="00E14F67" w:rsidRDefault="00A3273D" w:rsidP="00E14F67">
      <w:pPr>
        <w:spacing w:line="480" w:lineRule="auto"/>
        <w:ind w:firstLine="720"/>
        <w:jc w:val="both"/>
        <w:rPr>
          <w:rFonts w:cstheme="minorHAnsi"/>
          <w:color w:val="000000" w:themeColor="text1"/>
          <w:szCs w:val="22"/>
        </w:rPr>
      </w:pPr>
      <w:r w:rsidRPr="00E14F67">
        <w:rPr>
          <w:rFonts w:cstheme="minorHAnsi"/>
          <w:color w:val="000000" w:themeColor="text1"/>
          <w:szCs w:val="22"/>
        </w:rPr>
        <w:t>Conversely, because there is no official State input</w:t>
      </w:r>
      <w:r w:rsidR="00057AA9" w:rsidRPr="00E14F67">
        <w:rPr>
          <w:rFonts w:cstheme="minorHAnsi"/>
          <w:color w:val="000000" w:themeColor="text1"/>
          <w:szCs w:val="22"/>
        </w:rPr>
        <w:t>,</w:t>
      </w:r>
      <w:r w:rsidRPr="00E14F67">
        <w:rPr>
          <w:rFonts w:cstheme="minorHAnsi"/>
          <w:color w:val="000000" w:themeColor="text1"/>
          <w:szCs w:val="22"/>
        </w:rPr>
        <w:t xml:space="preserve"> CBTRCs are powerless to compel someone to testify or to provide </w:t>
      </w:r>
      <w:r w:rsidR="00082BD4" w:rsidRPr="00E14F67">
        <w:rPr>
          <w:rFonts w:cstheme="minorHAnsi"/>
          <w:color w:val="000000" w:themeColor="text1"/>
          <w:szCs w:val="22"/>
        </w:rPr>
        <w:t>‘</w:t>
      </w:r>
      <w:r w:rsidRPr="00E14F67">
        <w:rPr>
          <w:rFonts w:cstheme="minorHAnsi"/>
          <w:color w:val="000000" w:themeColor="text1"/>
          <w:szCs w:val="22"/>
        </w:rPr>
        <w:t>evidence</w:t>
      </w:r>
      <w:r w:rsidR="00082BD4" w:rsidRPr="00E14F67">
        <w:rPr>
          <w:rFonts w:cstheme="minorHAnsi"/>
          <w:color w:val="000000" w:themeColor="text1"/>
          <w:szCs w:val="22"/>
        </w:rPr>
        <w:t>’</w:t>
      </w:r>
      <w:r w:rsidRPr="00E14F67">
        <w:rPr>
          <w:rFonts w:cstheme="minorHAnsi"/>
          <w:color w:val="000000" w:themeColor="text1"/>
          <w:szCs w:val="22"/>
        </w:rPr>
        <w:t xml:space="preserve">. Further, they have no power to enforce remedy or to ensure obligations on others to implement recommendations. However, as the Greensboro TRC note, </w:t>
      </w:r>
    </w:p>
    <w:p w14:paraId="5704E4FC" w14:textId="5F0E6F14" w:rsidR="00082BD4" w:rsidRPr="00E14F67" w:rsidRDefault="00A3273D" w:rsidP="00E14F67">
      <w:pPr>
        <w:spacing w:line="480" w:lineRule="auto"/>
        <w:ind w:left="720"/>
        <w:jc w:val="both"/>
        <w:rPr>
          <w:rFonts w:cstheme="minorHAnsi"/>
          <w:color w:val="000000" w:themeColor="text1"/>
          <w:szCs w:val="22"/>
        </w:rPr>
      </w:pPr>
      <w:r w:rsidRPr="00E14F67">
        <w:rPr>
          <w:rFonts w:cstheme="minorHAnsi"/>
          <w:color w:val="000000" w:themeColor="text1"/>
          <w:szCs w:val="22"/>
        </w:rPr>
        <w:t xml:space="preserve">‘Many truth commissions, even officially sanctioned ones, are undertaken without a prior commitment that recommendations will be put into immediate effect. Rather, truth commissions are premised on a belief in the compelling nature of the truth and well-grounded recommendations that help communities deal with that truth and turn in a new and healthier direction’ </w:t>
      </w:r>
      <w:r w:rsidRPr="00E14F67">
        <w:rPr>
          <w:rFonts w:cstheme="minorHAnsi"/>
          <w:noProof/>
          <w:color w:val="000000" w:themeColor="text1"/>
          <w:szCs w:val="22"/>
        </w:rPr>
        <w:t>(Greensboro Truth and Reconciliation Commission 2006b, 15)</w:t>
      </w:r>
      <w:r w:rsidRPr="00E14F67">
        <w:rPr>
          <w:rFonts w:cstheme="minorHAnsi"/>
          <w:color w:val="000000" w:themeColor="text1"/>
          <w:szCs w:val="22"/>
        </w:rPr>
        <w:t xml:space="preserve">. </w:t>
      </w:r>
    </w:p>
    <w:p w14:paraId="68CECF2C" w14:textId="7D812AE2" w:rsidR="0027203B" w:rsidRPr="00E14F67" w:rsidRDefault="00A3273D" w:rsidP="00E14F67">
      <w:pPr>
        <w:spacing w:line="480" w:lineRule="auto"/>
        <w:jc w:val="both"/>
        <w:rPr>
          <w:rFonts w:cstheme="minorHAnsi"/>
          <w:color w:val="000000" w:themeColor="text1"/>
          <w:szCs w:val="22"/>
        </w:rPr>
      </w:pPr>
      <w:r w:rsidRPr="00E14F67">
        <w:rPr>
          <w:rFonts w:cstheme="minorHAnsi"/>
          <w:color w:val="000000" w:themeColor="text1"/>
          <w:szCs w:val="22"/>
        </w:rPr>
        <w:lastRenderedPageBreak/>
        <w:t xml:space="preserve">As such, this lack of </w:t>
      </w:r>
      <w:r w:rsidR="0027203B" w:rsidRPr="00E14F67">
        <w:rPr>
          <w:rFonts w:cstheme="minorHAnsi"/>
          <w:color w:val="000000" w:themeColor="text1"/>
          <w:szCs w:val="22"/>
        </w:rPr>
        <w:t xml:space="preserve">formal </w:t>
      </w:r>
      <w:r w:rsidRPr="00E14F67">
        <w:rPr>
          <w:rFonts w:cstheme="minorHAnsi"/>
          <w:color w:val="000000" w:themeColor="text1"/>
          <w:szCs w:val="22"/>
        </w:rPr>
        <w:t xml:space="preserve">enforcement does not negate the value-added of such CBTRCs in making a meaningful contribution to achieving social justice and enhancing the enjoyment of human rights. </w:t>
      </w:r>
    </w:p>
    <w:p w14:paraId="725201DD" w14:textId="33C8F150" w:rsidR="00A02FB3" w:rsidRPr="00E14F67" w:rsidRDefault="00A3273D" w:rsidP="00E14F67">
      <w:pPr>
        <w:spacing w:line="480" w:lineRule="auto"/>
        <w:ind w:firstLine="720"/>
        <w:jc w:val="both"/>
        <w:rPr>
          <w:rFonts w:cstheme="minorHAnsi"/>
          <w:color w:val="000000" w:themeColor="text1"/>
          <w:szCs w:val="22"/>
        </w:rPr>
      </w:pPr>
      <w:r w:rsidRPr="00E14F67">
        <w:rPr>
          <w:rFonts w:cstheme="minorHAnsi"/>
          <w:color w:val="000000" w:themeColor="text1"/>
          <w:szCs w:val="22"/>
        </w:rPr>
        <w:t xml:space="preserve">Moreover, moral persuasion is often more successful than compulsion in achieving change </w:t>
      </w:r>
      <w:r w:rsidRPr="00E14F67">
        <w:rPr>
          <w:rFonts w:cstheme="minorHAnsi"/>
          <w:noProof/>
          <w:color w:val="000000" w:themeColor="text1"/>
          <w:szCs w:val="22"/>
        </w:rPr>
        <w:t>(Brysk 2013, 35)</w:t>
      </w:r>
      <w:r w:rsidRPr="00E14F67">
        <w:rPr>
          <w:rFonts w:cstheme="minorHAnsi"/>
          <w:color w:val="000000" w:themeColor="text1"/>
          <w:szCs w:val="22"/>
        </w:rPr>
        <w:t xml:space="preserve">. As such the ‘unofficial’ process may be more effective in persuading those in power of the need for change and in mobilising the community to advocate for such change. </w:t>
      </w:r>
      <w:r w:rsidR="0027203B" w:rsidRPr="00E14F67">
        <w:rPr>
          <w:rFonts w:cstheme="minorHAnsi"/>
          <w:color w:val="000000" w:themeColor="text1"/>
          <w:szCs w:val="22"/>
        </w:rPr>
        <w:t>Hence</w:t>
      </w:r>
      <w:r w:rsidR="00927018" w:rsidRPr="00E14F67">
        <w:rPr>
          <w:rFonts w:cstheme="minorHAnsi"/>
          <w:color w:val="000000" w:themeColor="text1"/>
          <w:szCs w:val="22"/>
        </w:rPr>
        <w:t>,</w:t>
      </w:r>
      <w:r w:rsidR="0027203B" w:rsidRPr="00E14F67">
        <w:rPr>
          <w:rFonts w:cstheme="minorHAnsi"/>
          <w:color w:val="000000" w:themeColor="text1"/>
          <w:szCs w:val="22"/>
        </w:rPr>
        <w:t xml:space="preserve"> rather than a</w:t>
      </w:r>
      <w:r w:rsidR="001279F4" w:rsidRPr="00E14F67">
        <w:rPr>
          <w:rFonts w:cstheme="minorHAnsi"/>
          <w:color w:val="000000" w:themeColor="text1"/>
          <w:szCs w:val="22"/>
        </w:rPr>
        <w:t xml:space="preserve">n adversarial </w:t>
      </w:r>
      <w:r w:rsidR="0027203B" w:rsidRPr="00E14F67">
        <w:rPr>
          <w:rFonts w:cstheme="minorHAnsi"/>
          <w:color w:val="000000" w:themeColor="text1"/>
          <w:szCs w:val="22"/>
        </w:rPr>
        <w:t>culture</w:t>
      </w:r>
      <w:r w:rsidR="003427F3" w:rsidRPr="00E14F67">
        <w:rPr>
          <w:rFonts w:cstheme="minorHAnsi"/>
          <w:color w:val="000000" w:themeColor="text1"/>
          <w:szCs w:val="22"/>
        </w:rPr>
        <w:t xml:space="preserve">, </w:t>
      </w:r>
      <w:r w:rsidR="001279F4" w:rsidRPr="00E14F67">
        <w:rPr>
          <w:rFonts w:cstheme="minorHAnsi"/>
          <w:color w:val="000000" w:themeColor="text1"/>
          <w:szCs w:val="22"/>
        </w:rPr>
        <w:t xml:space="preserve">CBTRCs </w:t>
      </w:r>
      <w:r w:rsidR="0027203B" w:rsidRPr="00E14F67">
        <w:rPr>
          <w:rFonts w:cstheme="minorHAnsi"/>
          <w:color w:val="000000" w:themeColor="text1"/>
          <w:szCs w:val="22"/>
        </w:rPr>
        <w:t xml:space="preserve">aim to </w:t>
      </w:r>
      <w:r w:rsidR="001279F4" w:rsidRPr="00E14F67">
        <w:rPr>
          <w:rFonts w:cstheme="minorHAnsi"/>
          <w:color w:val="000000" w:themeColor="text1"/>
          <w:szCs w:val="22"/>
        </w:rPr>
        <w:t xml:space="preserve">foster </w:t>
      </w:r>
      <w:r w:rsidR="00927018" w:rsidRPr="00E14F67">
        <w:rPr>
          <w:rFonts w:cstheme="minorHAnsi"/>
          <w:color w:val="000000" w:themeColor="text1"/>
          <w:szCs w:val="22"/>
        </w:rPr>
        <w:t xml:space="preserve">a culture of </w:t>
      </w:r>
      <w:r w:rsidR="009C6711" w:rsidRPr="00E14F67">
        <w:rPr>
          <w:rFonts w:cstheme="minorHAnsi"/>
          <w:color w:val="000000" w:themeColor="text1"/>
          <w:szCs w:val="22"/>
        </w:rPr>
        <w:t xml:space="preserve">both </w:t>
      </w:r>
      <w:r w:rsidR="00927018" w:rsidRPr="00E14F67">
        <w:rPr>
          <w:rFonts w:cstheme="minorHAnsi"/>
          <w:color w:val="000000" w:themeColor="text1"/>
          <w:szCs w:val="22"/>
        </w:rPr>
        <w:t xml:space="preserve">responsibility </w:t>
      </w:r>
      <w:r w:rsidR="009C6711" w:rsidRPr="00E14F67">
        <w:rPr>
          <w:rFonts w:cstheme="minorHAnsi"/>
          <w:color w:val="000000" w:themeColor="text1"/>
          <w:szCs w:val="22"/>
        </w:rPr>
        <w:t>and</w:t>
      </w:r>
      <w:r w:rsidR="00927018" w:rsidRPr="00E14F67">
        <w:rPr>
          <w:rFonts w:cstheme="minorHAnsi"/>
          <w:color w:val="000000" w:themeColor="text1"/>
          <w:szCs w:val="22"/>
        </w:rPr>
        <w:t xml:space="preserve"> </w:t>
      </w:r>
      <w:r w:rsidR="001279F4" w:rsidRPr="00E14F67">
        <w:rPr>
          <w:rFonts w:cstheme="minorHAnsi"/>
          <w:color w:val="000000" w:themeColor="text1"/>
          <w:szCs w:val="22"/>
        </w:rPr>
        <w:t>cooperation</w:t>
      </w:r>
      <w:r w:rsidR="00927018" w:rsidRPr="00E14F67">
        <w:rPr>
          <w:rFonts w:cstheme="minorHAnsi"/>
          <w:color w:val="000000" w:themeColor="text1"/>
          <w:szCs w:val="22"/>
        </w:rPr>
        <w:t xml:space="preserve">. </w:t>
      </w:r>
      <w:r w:rsidR="00FE1439" w:rsidRPr="00E14F67">
        <w:rPr>
          <w:rFonts w:cstheme="minorHAnsi"/>
          <w:color w:val="000000" w:themeColor="text1"/>
          <w:szCs w:val="22"/>
        </w:rPr>
        <w:t xml:space="preserve">By </w:t>
      </w:r>
      <w:r w:rsidR="00A25BA3" w:rsidRPr="00E14F67">
        <w:rPr>
          <w:rFonts w:cstheme="minorHAnsi"/>
          <w:color w:val="000000" w:themeColor="text1"/>
          <w:szCs w:val="22"/>
        </w:rPr>
        <w:t>sharing experiences with those with power</w:t>
      </w:r>
      <w:r w:rsidR="00927018" w:rsidRPr="00E14F67">
        <w:rPr>
          <w:rFonts w:cstheme="minorHAnsi"/>
          <w:color w:val="000000" w:themeColor="text1"/>
          <w:szCs w:val="22"/>
        </w:rPr>
        <w:t xml:space="preserve"> they aim to build first-hand relationships</w:t>
      </w:r>
      <w:r w:rsidR="00A25BA3" w:rsidRPr="00E14F67">
        <w:rPr>
          <w:rFonts w:cstheme="minorHAnsi"/>
          <w:color w:val="000000" w:themeColor="text1"/>
          <w:szCs w:val="22"/>
        </w:rPr>
        <w:t xml:space="preserve">. Thus, they help to </w:t>
      </w:r>
      <w:r w:rsidR="0027203B" w:rsidRPr="00E14F67">
        <w:rPr>
          <w:rFonts w:cstheme="minorHAnsi"/>
          <w:color w:val="000000" w:themeColor="text1"/>
          <w:szCs w:val="22"/>
        </w:rPr>
        <w:t xml:space="preserve">build trust </w:t>
      </w:r>
      <w:r w:rsidR="00A25BA3" w:rsidRPr="00E14F67">
        <w:rPr>
          <w:rFonts w:cstheme="minorHAnsi"/>
          <w:color w:val="000000" w:themeColor="text1"/>
          <w:szCs w:val="22"/>
        </w:rPr>
        <w:t xml:space="preserve">within </w:t>
      </w:r>
      <w:r w:rsidR="0027203B" w:rsidRPr="00E14F67">
        <w:rPr>
          <w:rFonts w:cstheme="minorHAnsi"/>
          <w:color w:val="000000" w:themeColor="text1"/>
          <w:szCs w:val="22"/>
        </w:rPr>
        <w:t>communities and between citizens and the state (</w:t>
      </w:r>
      <w:r w:rsidR="003427F3" w:rsidRPr="00E14F67">
        <w:rPr>
          <w:rFonts w:cstheme="minorHAnsi"/>
          <w:color w:val="000000" w:themeColor="text1"/>
          <w:szCs w:val="22"/>
        </w:rPr>
        <w:t>Simpson</w:t>
      </w:r>
      <w:r w:rsidR="00597254" w:rsidRPr="00E14F67">
        <w:rPr>
          <w:rFonts w:cstheme="minorHAnsi"/>
          <w:color w:val="000000" w:themeColor="text1"/>
          <w:szCs w:val="22"/>
        </w:rPr>
        <w:t xml:space="preserve"> </w:t>
      </w:r>
      <w:r w:rsidR="003427F3" w:rsidRPr="00E14F67">
        <w:rPr>
          <w:rFonts w:cstheme="minorHAnsi"/>
          <w:color w:val="000000" w:themeColor="text1"/>
          <w:szCs w:val="22"/>
        </w:rPr>
        <w:t>2017, 392)</w:t>
      </w:r>
      <w:r w:rsidR="001279F4" w:rsidRPr="00E14F67">
        <w:rPr>
          <w:rFonts w:cstheme="minorHAnsi"/>
          <w:color w:val="000000" w:themeColor="text1"/>
          <w:szCs w:val="22"/>
        </w:rPr>
        <w:t>.</w:t>
      </w:r>
      <w:r w:rsidR="00927018" w:rsidRPr="00E14F67">
        <w:rPr>
          <w:rFonts w:cstheme="minorHAnsi"/>
          <w:color w:val="000000" w:themeColor="text1"/>
          <w:szCs w:val="22"/>
        </w:rPr>
        <w:t xml:space="preserve"> Although operating at a </w:t>
      </w:r>
      <w:r w:rsidRPr="00E14F67">
        <w:rPr>
          <w:rFonts w:cstheme="minorHAnsi"/>
          <w:color w:val="000000" w:themeColor="text1"/>
          <w:szCs w:val="22"/>
        </w:rPr>
        <w:t xml:space="preserve">local or community level </w:t>
      </w:r>
      <w:r w:rsidR="00927018" w:rsidRPr="00E14F67">
        <w:rPr>
          <w:rFonts w:cstheme="minorHAnsi"/>
          <w:color w:val="000000" w:themeColor="text1"/>
          <w:szCs w:val="22"/>
        </w:rPr>
        <w:t xml:space="preserve">(rather than in the context of national political transition as most TRCs do) </w:t>
      </w:r>
      <w:r w:rsidRPr="00E14F67">
        <w:rPr>
          <w:rFonts w:cstheme="minorHAnsi"/>
          <w:color w:val="000000" w:themeColor="text1"/>
          <w:szCs w:val="22"/>
        </w:rPr>
        <w:t xml:space="preserve">it is important to remember that change often begins in these local grassroots contexts </w:t>
      </w:r>
      <w:r w:rsidRPr="00E14F67">
        <w:rPr>
          <w:rFonts w:cstheme="minorHAnsi"/>
          <w:szCs w:val="22"/>
        </w:rPr>
        <w:t>(Cahill-Ripley 2019a, 1265–68)</w:t>
      </w:r>
      <w:r w:rsidRPr="00E14F67">
        <w:rPr>
          <w:rFonts w:cstheme="minorHAnsi"/>
          <w:color w:val="000000" w:themeColor="text1"/>
          <w:szCs w:val="22"/>
        </w:rPr>
        <w:t>.</w:t>
      </w:r>
    </w:p>
    <w:p w14:paraId="176D69FF" w14:textId="2B1AB21F" w:rsidR="00076FF8" w:rsidRPr="00E14F67" w:rsidRDefault="00A3273D" w:rsidP="00E14F67">
      <w:pPr>
        <w:spacing w:line="480" w:lineRule="auto"/>
        <w:ind w:firstLine="720"/>
        <w:jc w:val="both"/>
        <w:rPr>
          <w:rFonts w:cstheme="minorHAnsi"/>
          <w:color w:val="000000" w:themeColor="text1"/>
          <w:szCs w:val="22"/>
        </w:rPr>
      </w:pPr>
      <w:r w:rsidRPr="00E14F67">
        <w:rPr>
          <w:rFonts w:cstheme="minorHAnsi"/>
          <w:color w:val="000000" w:themeColor="text1"/>
          <w:szCs w:val="22"/>
        </w:rPr>
        <w:t xml:space="preserve">Despite these differences, CBTRCs also share </w:t>
      </w:r>
      <w:r w:rsidR="002620FF">
        <w:rPr>
          <w:rFonts w:cstheme="minorHAnsi"/>
          <w:color w:val="000000" w:themeColor="text1"/>
          <w:szCs w:val="22"/>
        </w:rPr>
        <w:t>particular</w:t>
      </w:r>
      <w:r w:rsidRPr="00E14F67">
        <w:rPr>
          <w:rFonts w:cstheme="minorHAnsi"/>
          <w:color w:val="000000" w:themeColor="text1"/>
          <w:szCs w:val="22"/>
        </w:rPr>
        <w:t xml:space="preserve"> features with traditional TRCs. For example, both mechanisms use similar working methods. This is evidenced in that at Greensboro, </w:t>
      </w:r>
    </w:p>
    <w:p w14:paraId="0C345B47" w14:textId="22A8DAE4" w:rsidR="004E0BB0" w:rsidRPr="00E14F67" w:rsidRDefault="00A3273D" w:rsidP="000C7D93">
      <w:pPr>
        <w:spacing w:line="480" w:lineRule="auto"/>
        <w:ind w:left="720"/>
        <w:jc w:val="both"/>
        <w:rPr>
          <w:rFonts w:cstheme="minorHAnsi"/>
          <w:color w:val="000000" w:themeColor="text1"/>
          <w:szCs w:val="22"/>
        </w:rPr>
      </w:pPr>
      <w:r w:rsidRPr="00E14F67">
        <w:rPr>
          <w:rFonts w:cstheme="minorHAnsi"/>
          <w:color w:val="000000" w:themeColor="text1"/>
          <w:szCs w:val="22"/>
        </w:rPr>
        <w:t xml:space="preserve">‘The GTRC’s truth-seeking process involved research and investigation by reviewing evidence from the legal trials, local and federal law enforcement records, and original media coverage. Documentary sources were supplemented with about 200 statements given in personal interviews and public hearings and focus groups with key informants’ </w:t>
      </w:r>
      <w:r w:rsidRPr="00E14F67">
        <w:rPr>
          <w:rFonts w:cstheme="minorHAnsi"/>
          <w:noProof/>
          <w:color w:val="000000" w:themeColor="text1"/>
          <w:szCs w:val="22"/>
        </w:rPr>
        <w:t>(Androff 2018, 280)</w:t>
      </w:r>
      <w:r w:rsidRPr="00E14F67">
        <w:rPr>
          <w:rFonts w:cstheme="minorHAnsi"/>
          <w:color w:val="000000" w:themeColor="text1"/>
          <w:szCs w:val="22"/>
        </w:rPr>
        <w:t xml:space="preserve">. </w:t>
      </w:r>
    </w:p>
    <w:p w14:paraId="4C84C2EB" w14:textId="6EF9CD99" w:rsidR="00A3273D" w:rsidRPr="00E14F67" w:rsidRDefault="00A3273D" w:rsidP="0043614D">
      <w:pPr>
        <w:spacing w:line="480" w:lineRule="auto"/>
        <w:jc w:val="both"/>
        <w:rPr>
          <w:rFonts w:cstheme="minorHAnsi"/>
          <w:color w:val="000000" w:themeColor="text1"/>
          <w:szCs w:val="22"/>
        </w:rPr>
      </w:pPr>
      <w:r w:rsidRPr="00E14F67">
        <w:rPr>
          <w:rFonts w:cstheme="minorHAnsi"/>
          <w:color w:val="000000" w:themeColor="text1"/>
          <w:szCs w:val="22"/>
        </w:rPr>
        <w:lastRenderedPageBreak/>
        <w:t xml:space="preserve">In addition, public hearings were held, three in total, each 2 days long and focusing on different themes. During these hearings 55 participants delivered testimonies </w:t>
      </w:r>
      <w:r w:rsidRPr="00E14F67">
        <w:rPr>
          <w:rFonts w:cstheme="minorHAnsi"/>
          <w:noProof/>
          <w:color w:val="000000" w:themeColor="text1"/>
          <w:szCs w:val="22"/>
        </w:rPr>
        <w:t>(Androff 2018, 281; Greensboro Truth and Reconciliation Commission 2006a, 3)</w:t>
      </w:r>
      <w:r w:rsidRPr="00E14F67">
        <w:rPr>
          <w:rFonts w:cstheme="minorHAnsi"/>
          <w:color w:val="000000" w:themeColor="text1"/>
          <w:szCs w:val="22"/>
        </w:rPr>
        <w:t xml:space="preserve">. </w:t>
      </w:r>
    </w:p>
    <w:p w14:paraId="73EC94A3" w14:textId="1200E16E" w:rsidR="00D53977" w:rsidRPr="00E14F67" w:rsidRDefault="00A3273D" w:rsidP="00E14F67">
      <w:pPr>
        <w:spacing w:line="480" w:lineRule="auto"/>
        <w:ind w:firstLine="720"/>
        <w:jc w:val="both"/>
        <w:rPr>
          <w:rFonts w:cstheme="minorHAnsi"/>
          <w:color w:val="000000" w:themeColor="text1"/>
          <w:szCs w:val="22"/>
        </w:rPr>
      </w:pPr>
      <w:r w:rsidRPr="00E14F67">
        <w:rPr>
          <w:rFonts w:cstheme="minorHAnsi"/>
          <w:color w:val="000000" w:themeColor="text1"/>
          <w:szCs w:val="22"/>
        </w:rPr>
        <w:t>The concept of participation is also common to both official and unofficial mechanisms</w:t>
      </w:r>
      <w:r w:rsidRPr="00D95974">
        <w:rPr>
          <w:rFonts w:cstheme="minorHAnsi"/>
          <w:color w:val="000000" w:themeColor="text1"/>
          <w:szCs w:val="22"/>
        </w:rPr>
        <w:t xml:space="preserve">.  </w:t>
      </w:r>
      <w:r w:rsidR="00114110" w:rsidRPr="00E07DAA">
        <w:rPr>
          <w:rFonts w:cstheme="minorHAnsi"/>
          <w:color w:val="000000" w:themeColor="text1"/>
          <w:szCs w:val="22"/>
        </w:rPr>
        <w:t>‘</w:t>
      </w:r>
      <w:r w:rsidRPr="00E07DAA">
        <w:rPr>
          <w:rFonts w:cstheme="minorHAnsi"/>
          <w:color w:val="000000" w:themeColor="text1"/>
          <w:szCs w:val="22"/>
        </w:rPr>
        <w:t xml:space="preserve">All of these truth commissions </w:t>
      </w:r>
      <w:r w:rsidR="002620FF" w:rsidRPr="00E07DAA">
        <w:rPr>
          <w:rFonts w:cstheme="minorHAnsi"/>
          <w:color w:val="000000" w:themeColor="text1"/>
          <w:szCs w:val="22"/>
        </w:rPr>
        <w:t>[</w:t>
      </w:r>
      <w:r w:rsidR="005D55DD" w:rsidRPr="00E07DAA">
        <w:rPr>
          <w:rFonts w:cstheme="minorHAnsi"/>
          <w:color w:val="000000" w:themeColor="text1"/>
          <w:szCs w:val="22"/>
        </w:rPr>
        <w:t>…]</w:t>
      </w:r>
      <w:r w:rsidRPr="00E07DAA">
        <w:rPr>
          <w:rFonts w:cstheme="minorHAnsi"/>
          <w:color w:val="000000" w:themeColor="text1"/>
          <w:szCs w:val="22"/>
        </w:rPr>
        <w:t xml:space="preserve"> tell a version of history that includes the victims’ experiences and voices</w:t>
      </w:r>
      <w:r w:rsidR="00114110" w:rsidRPr="00E07DAA">
        <w:rPr>
          <w:rFonts w:cstheme="minorHAnsi"/>
          <w:color w:val="000000" w:themeColor="text1"/>
          <w:szCs w:val="22"/>
        </w:rPr>
        <w:t>’</w:t>
      </w:r>
      <w:r w:rsidR="0018536B" w:rsidRPr="00E14F67">
        <w:rPr>
          <w:rFonts w:cstheme="minorHAnsi"/>
          <w:color w:val="000000" w:themeColor="text1"/>
          <w:szCs w:val="22"/>
        </w:rPr>
        <w:t xml:space="preserve"> (Greensboro Truth and Reconciliation Commission 2006b, 11)</w:t>
      </w:r>
      <w:r w:rsidR="00114110" w:rsidRPr="00E14F67">
        <w:rPr>
          <w:rFonts w:cstheme="minorHAnsi"/>
          <w:color w:val="000000" w:themeColor="text1"/>
          <w:szCs w:val="22"/>
        </w:rPr>
        <w:t>.</w:t>
      </w:r>
      <w:r w:rsidR="001424FF" w:rsidRPr="00E14F67">
        <w:rPr>
          <w:rFonts w:cstheme="minorHAnsi"/>
          <w:color w:val="000000" w:themeColor="text1"/>
          <w:szCs w:val="22"/>
        </w:rPr>
        <w:t xml:space="preserve"> This illustrates that in terms of participation the </w:t>
      </w:r>
      <w:r w:rsidR="001424FF" w:rsidRPr="00E14F67">
        <w:rPr>
          <w:rFonts w:cstheme="minorHAnsi"/>
          <w:i/>
          <w:iCs/>
          <w:color w:val="000000" w:themeColor="text1"/>
          <w:szCs w:val="22"/>
        </w:rPr>
        <w:t>aim</w:t>
      </w:r>
      <w:r w:rsidR="001424FF" w:rsidRPr="00E14F67">
        <w:rPr>
          <w:rFonts w:cstheme="minorHAnsi"/>
          <w:color w:val="000000" w:themeColor="text1"/>
          <w:szCs w:val="22"/>
        </w:rPr>
        <w:t xml:space="preserve"> of traditional TRCs and CBTRCs is very similar. </w:t>
      </w:r>
      <w:r w:rsidR="00114110" w:rsidRPr="00E14F67">
        <w:rPr>
          <w:rFonts w:cstheme="minorHAnsi"/>
          <w:color w:val="000000" w:themeColor="text1"/>
          <w:szCs w:val="22"/>
        </w:rPr>
        <w:t>H</w:t>
      </w:r>
      <w:r w:rsidRPr="00E14F67">
        <w:rPr>
          <w:rFonts w:cstheme="minorHAnsi"/>
          <w:color w:val="000000" w:themeColor="text1"/>
          <w:szCs w:val="22"/>
        </w:rPr>
        <w:t xml:space="preserve">owever, </w:t>
      </w:r>
      <w:r w:rsidRPr="00E14F67">
        <w:rPr>
          <w:rFonts w:cstheme="minorHAnsi"/>
          <w:i/>
          <w:iCs/>
          <w:color w:val="000000" w:themeColor="text1"/>
          <w:szCs w:val="22"/>
        </w:rPr>
        <w:t xml:space="preserve">in </w:t>
      </w:r>
      <w:r w:rsidR="00716D6B" w:rsidRPr="00E14F67">
        <w:rPr>
          <w:rFonts w:cstheme="minorHAnsi"/>
          <w:i/>
          <w:iCs/>
          <w:color w:val="000000" w:themeColor="text1"/>
          <w:szCs w:val="22"/>
        </w:rPr>
        <w:t>practice</w:t>
      </w:r>
      <w:r w:rsidR="00716D6B" w:rsidRPr="00E14F67">
        <w:rPr>
          <w:rFonts w:cstheme="minorHAnsi"/>
          <w:color w:val="000000" w:themeColor="text1"/>
          <w:szCs w:val="22"/>
        </w:rPr>
        <w:t xml:space="preserve"> participation</w:t>
      </w:r>
      <w:r w:rsidR="00114110" w:rsidRPr="00E14F67">
        <w:rPr>
          <w:rFonts w:cstheme="minorHAnsi"/>
          <w:color w:val="000000" w:themeColor="text1"/>
          <w:szCs w:val="22"/>
        </w:rPr>
        <w:t xml:space="preserve"> within TRCs can be limited by obstacles:  I</w:t>
      </w:r>
      <w:r w:rsidRPr="00E14F67">
        <w:rPr>
          <w:rFonts w:cstheme="minorHAnsi"/>
          <w:color w:val="000000" w:themeColor="text1"/>
          <w:szCs w:val="22"/>
        </w:rPr>
        <w:t xml:space="preserve">t is often contested as to who controls a traditional TRC mechanism and who can participate in a TRC process </w:t>
      </w:r>
      <w:r w:rsidRPr="00E14F67">
        <w:rPr>
          <w:rFonts w:cstheme="minorHAnsi"/>
          <w:noProof/>
          <w:color w:val="000000" w:themeColor="text1"/>
          <w:szCs w:val="22"/>
        </w:rPr>
        <w:t>(Fijalkowski 2017, 98)</w:t>
      </w:r>
      <w:r w:rsidRPr="00E14F67">
        <w:rPr>
          <w:rFonts w:cstheme="minorHAnsi"/>
          <w:color w:val="000000" w:themeColor="text1"/>
          <w:szCs w:val="22"/>
        </w:rPr>
        <w:t xml:space="preserve">. In this regard the CBTRCs may have an advantage as the process is community </w:t>
      </w:r>
      <w:r w:rsidR="00A55FC6">
        <w:rPr>
          <w:rFonts w:cstheme="minorHAnsi"/>
          <w:color w:val="000000" w:themeColor="text1"/>
          <w:szCs w:val="22"/>
        </w:rPr>
        <w:t>controlled</w:t>
      </w:r>
      <w:r w:rsidRPr="00E14F67">
        <w:rPr>
          <w:rFonts w:cstheme="minorHAnsi"/>
          <w:color w:val="000000" w:themeColor="text1"/>
          <w:szCs w:val="22"/>
        </w:rPr>
        <w:t xml:space="preserve">. </w:t>
      </w:r>
    </w:p>
    <w:p w14:paraId="30C38DCD" w14:textId="3FBFFEB4" w:rsidR="006B2CB8" w:rsidRPr="00E14F67" w:rsidRDefault="00A3273D" w:rsidP="00E14F67">
      <w:pPr>
        <w:spacing w:line="480" w:lineRule="auto"/>
        <w:ind w:firstLine="720"/>
        <w:jc w:val="both"/>
        <w:rPr>
          <w:rFonts w:cstheme="minorHAnsi"/>
          <w:color w:val="000000" w:themeColor="text1"/>
          <w:szCs w:val="22"/>
        </w:rPr>
      </w:pPr>
      <w:r w:rsidRPr="00E14F67">
        <w:rPr>
          <w:rFonts w:cstheme="minorHAnsi"/>
          <w:bCs/>
          <w:iCs/>
          <w:color w:val="000000" w:themeColor="text1"/>
          <w:szCs w:val="22"/>
        </w:rPr>
        <w:t xml:space="preserve">In sum, </w:t>
      </w:r>
      <w:r w:rsidR="00322490" w:rsidRPr="00E14F67">
        <w:rPr>
          <w:rFonts w:cstheme="minorHAnsi"/>
          <w:bCs/>
          <w:iCs/>
          <w:color w:val="000000" w:themeColor="text1"/>
          <w:szCs w:val="22"/>
        </w:rPr>
        <w:t xml:space="preserve">as illustrated </w:t>
      </w:r>
      <w:r w:rsidRPr="00E14F67">
        <w:rPr>
          <w:rFonts w:cstheme="minorHAnsi"/>
          <w:bCs/>
          <w:iCs/>
          <w:color w:val="000000" w:themeColor="text1"/>
          <w:szCs w:val="22"/>
        </w:rPr>
        <w:t>there are certain common aims and objectives, as well as similar working methods between traditional TRCs and CBTRCs.</w:t>
      </w:r>
      <w:r w:rsidR="00322490" w:rsidRPr="00E14F67">
        <w:rPr>
          <w:rFonts w:cstheme="minorHAnsi"/>
          <w:bCs/>
          <w:iCs/>
          <w:color w:val="000000" w:themeColor="text1"/>
          <w:szCs w:val="22"/>
        </w:rPr>
        <w:t xml:space="preserve"> There are also </w:t>
      </w:r>
      <w:r w:rsidR="0071382E">
        <w:rPr>
          <w:rFonts w:cstheme="minorHAnsi"/>
          <w:bCs/>
          <w:iCs/>
          <w:color w:val="000000" w:themeColor="text1"/>
          <w:szCs w:val="22"/>
        </w:rPr>
        <w:t>several</w:t>
      </w:r>
      <w:r w:rsidR="00322490" w:rsidRPr="00E14F67">
        <w:rPr>
          <w:rFonts w:cstheme="minorHAnsi"/>
          <w:bCs/>
          <w:iCs/>
          <w:color w:val="000000" w:themeColor="text1"/>
          <w:szCs w:val="22"/>
        </w:rPr>
        <w:t xml:space="preserve"> differences with implications for practice as highlighted above.</w:t>
      </w:r>
      <w:r w:rsidR="00322490" w:rsidRPr="00E14F67">
        <w:rPr>
          <w:rFonts w:cstheme="minorHAnsi"/>
          <w:szCs w:val="22"/>
        </w:rPr>
        <w:t xml:space="preserve"> </w:t>
      </w:r>
      <w:r w:rsidR="00322490" w:rsidRPr="00E14F67">
        <w:rPr>
          <w:rFonts w:cstheme="minorHAnsi"/>
          <w:bCs/>
          <w:iCs/>
          <w:color w:val="000000" w:themeColor="text1"/>
          <w:szCs w:val="22"/>
        </w:rPr>
        <w:t xml:space="preserve">The </w:t>
      </w:r>
      <w:r w:rsidR="00A55FC6">
        <w:rPr>
          <w:rFonts w:cstheme="minorHAnsi"/>
          <w:bCs/>
          <w:iCs/>
          <w:color w:val="000000" w:themeColor="text1"/>
          <w:szCs w:val="22"/>
        </w:rPr>
        <w:t xml:space="preserve">crucial </w:t>
      </w:r>
      <w:r w:rsidR="00322490" w:rsidRPr="00E14F67">
        <w:rPr>
          <w:rFonts w:cstheme="minorHAnsi"/>
          <w:bCs/>
          <w:iCs/>
          <w:color w:val="000000" w:themeColor="text1"/>
          <w:szCs w:val="22"/>
        </w:rPr>
        <w:t>question is</w:t>
      </w:r>
      <w:r w:rsidR="00A55FC6">
        <w:rPr>
          <w:rFonts w:cstheme="minorHAnsi"/>
          <w:bCs/>
          <w:iCs/>
          <w:color w:val="000000" w:themeColor="text1"/>
          <w:szCs w:val="22"/>
        </w:rPr>
        <w:t>,</w:t>
      </w:r>
      <w:r w:rsidR="00322490" w:rsidRPr="00E14F67">
        <w:rPr>
          <w:rFonts w:cstheme="minorHAnsi"/>
          <w:bCs/>
          <w:iCs/>
          <w:color w:val="000000" w:themeColor="text1"/>
          <w:szCs w:val="22"/>
        </w:rPr>
        <w:t xml:space="preserve"> </w:t>
      </w:r>
      <w:bookmarkStart w:id="6" w:name="_Hlk60928905"/>
      <w:r w:rsidR="00322490" w:rsidRPr="00E14F67">
        <w:rPr>
          <w:rFonts w:cstheme="minorHAnsi"/>
          <w:bCs/>
          <w:iCs/>
          <w:color w:val="000000" w:themeColor="text1"/>
          <w:szCs w:val="22"/>
        </w:rPr>
        <w:t>what is the value-added of utilising such a CBTRC model to address poverty and the related ESCRs violations within the UK?</w:t>
      </w:r>
      <w:r w:rsidR="00322490" w:rsidRPr="00E14F67">
        <w:rPr>
          <w:rFonts w:cstheme="minorHAnsi"/>
          <w:szCs w:val="22"/>
        </w:rPr>
        <w:t xml:space="preserve"> </w:t>
      </w:r>
    </w:p>
    <w:bookmarkEnd w:id="6"/>
    <w:p w14:paraId="50DFCAC1" w14:textId="35F535BD" w:rsidR="00322490" w:rsidRPr="00E14F67" w:rsidRDefault="006B2CB8" w:rsidP="00E63CA6">
      <w:pPr>
        <w:pStyle w:val="Heading1"/>
      </w:pPr>
      <w:r w:rsidRPr="00E14F67">
        <w:t>The UK Experience of a CBTRC: The Poverty Truth Commissions</w:t>
      </w:r>
    </w:p>
    <w:p w14:paraId="156694E6" w14:textId="10B4E11C" w:rsidR="000F4D8E" w:rsidRPr="00E14F67" w:rsidRDefault="006B2CB8" w:rsidP="00BA1790">
      <w:pPr>
        <w:spacing w:line="480" w:lineRule="auto"/>
        <w:jc w:val="both"/>
        <w:rPr>
          <w:rFonts w:cstheme="minorHAnsi"/>
          <w:color w:val="000000" w:themeColor="text1"/>
          <w:szCs w:val="22"/>
        </w:rPr>
      </w:pPr>
      <w:r w:rsidRPr="00E14F67">
        <w:rPr>
          <w:rFonts w:cstheme="minorHAnsi"/>
          <w:color w:val="000000" w:themeColor="text1"/>
          <w:szCs w:val="22"/>
        </w:rPr>
        <w:t xml:space="preserve">In the UK, </w:t>
      </w:r>
      <w:r w:rsidR="00CC603F" w:rsidRPr="00E14F67">
        <w:rPr>
          <w:rFonts w:cstheme="minorHAnsi"/>
          <w:color w:val="000000" w:themeColor="text1"/>
          <w:szCs w:val="22"/>
        </w:rPr>
        <w:t xml:space="preserve">a number of CBTRCs have been </w:t>
      </w:r>
      <w:r w:rsidR="000F4D8E" w:rsidRPr="00E14F67">
        <w:rPr>
          <w:rFonts w:cstheme="minorHAnsi"/>
          <w:color w:val="000000" w:themeColor="text1"/>
          <w:szCs w:val="22"/>
        </w:rPr>
        <w:t>established in</w:t>
      </w:r>
      <w:r w:rsidRPr="00E14F67">
        <w:rPr>
          <w:rFonts w:cstheme="minorHAnsi"/>
          <w:color w:val="000000" w:themeColor="text1"/>
          <w:szCs w:val="22"/>
        </w:rPr>
        <w:t xml:space="preserve"> response to poverty and </w:t>
      </w:r>
      <w:r w:rsidR="00716D6B" w:rsidRPr="00E14F67">
        <w:rPr>
          <w:rFonts w:cstheme="minorHAnsi"/>
          <w:color w:val="000000" w:themeColor="text1"/>
          <w:szCs w:val="22"/>
        </w:rPr>
        <w:t>austerity</w:t>
      </w:r>
      <w:r w:rsidR="00716D6B">
        <w:rPr>
          <w:rFonts w:cstheme="minorHAnsi"/>
          <w:color w:val="000000" w:themeColor="text1"/>
          <w:szCs w:val="22"/>
        </w:rPr>
        <w:t xml:space="preserve">, </w:t>
      </w:r>
      <w:r w:rsidR="00716D6B" w:rsidRPr="00E14F67">
        <w:rPr>
          <w:rFonts w:cstheme="minorHAnsi"/>
          <w:color w:val="000000" w:themeColor="text1"/>
          <w:szCs w:val="22"/>
        </w:rPr>
        <w:t>known</w:t>
      </w:r>
      <w:r w:rsidR="00CC603F" w:rsidRPr="00E14F67">
        <w:rPr>
          <w:rFonts w:cstheme="minorHAnsi"/>
          <w:color w:val="000000" w:themeColor="text1"/>
          <w:szCs w:val="22"/>
        </w:rPr>
        <w:t xml:space="preserve"> as</w:t>
      </w:r>
      <w:r w:rsidRPr="00E14F67">
        <w:rPr>
          <w:rFonts w:cstheme="minorHAnsi"/>
          <w:color w:val="000000" w:themeColor="text1"/>
          <w:szCs w:val="22"/>
        </w:rPr>
        <w:t xml:space="preserve"> the Poverty Truth Commissions (PTCs). </w:t>
      </w:r>
      <w:r w:rsidR="00E844BD" w:rsidRPr="00E14F67">
        <w:rPr>
          <w:rFonts w:cstheme="minorHAnsi"/>
          <w:color w:val="000000" w:themeColor="text1"/>
          <w:szCs w:val="22"/>
        </w:rPr>
        <w:t xml:space="preserve"> </w:t>
      </w:r>
      <w:r w:rsidRPr="00E14F67">
        <w:rPr>
          <w:rFonts w:cstheme="minorHAnsi"/>
          <w:color w:val="000000" w:themeColor="text1"/>
          <w:szCs w:val="22"/>
        </w:rPr>
        <w:t xml:space="preserve">Originating in Glasgow, Scotland, the first commission was formed in March 2009. </w:t>
      </w:r>
      <w:r w:rsidR="00780AA7" w:rsidRPr="00E14F67">
        <w:rPr>
          <w:rFonts w:cstheme="minorHAnsi"/>
          <w:color w:val="000000" w:themeColor="text1"/>
          <w:szCs w:val="22"/>
        </w:rPr>
        <w:t xml:space="preserve">They prioritised work on kinship care, overcoming violence and challenging stereotypes. (The Poverty Truth Commission 2016, 3). </w:t>
      </w:r>
      <w:r w:rsidRPr="00E14F67">
        <w:rPr>
          <w:rFonts w:cstheme="minorHAnsi"/>
          <w:color w:val="000000" w:themeColor="text1"/>
          <w:szCs w:val="22"/>
        </w:rPr>
        <w:t xml:space="preserve">Since </w:t>
      </w:r>
      <w:r w:rsidR="00716D6B" w:rsidRPr="00E14F67">
        <w:rPr>
          <w:rFonts w:cstheme="minorHAnsi"/>
          <w:color w:val="000000" w:themeColor="text1"/>
          <w:szCs w:val="22"/>
        </w:rPr>
        <w:t>then,</w:t>
      </w:r>
      <w:r w:rsidRPr="00E14F67">
        <w:rPr>
          <w:rFonts w:cstheme="minorHAnsi"/>
          <w:color w:val="000000" w:themeColor="text1"/>
          <w:szCs w:val="22"/>
        </w:rPr>
        <w:t xml:space="preserve"> there have been 3 more Scottish commissions </w:t>
      </w:r>
      <w:r w:rsidRPr="00E14F67">
        <w:rPr>
          <w:rFonts w:cstheme="minorHAnsi"/>
          <w:color w:val="000000" w:themeColor="text1"/>
          <w:szCs w:val="22"/>
        </w:rPr>
        <w:lastRenderedPageBreak/>
        <w:t xml:space="preserve">dealing with issues including </w:t>
      </w:r>
      <w:r w:rsidR="00CC603F" w:rsidRPr="00E14F67">
        <w:rPr>
          <w:rFonts w:cstheme="minorHAnsi"/>
          <w:i/>
          <w:iCs/>
          <w:color w:val="000000" w:themeColor="text1"/>
          <w:szCs w:val="22"/>
        </w:rPr>
        <w:t>inter alia</w:t>
      </w:r>
      <w:r w:rsidR="00CC603F" w:rsidRPr="00E14F67">
        <w:rPr>
          <w:rFonts w:cstheme="minorHAnsi"/>
          <w:color w:val="000000" w:themeColor="text1"/>
          <w:szCs w:val="22"/>
        </w:rPr>
        <w:t xml:space="preserve"> </w:t>
      </w:r>
      <w:r w:rsidRPr="00E14F67">
        <w:rPr>
          <w:rFonts w:cstheme="minorHAnsi"/>
          <w:color w:val="000000" w:themeColor="text1"/>
          <w:szCs w:val="22"/>
        </w:rPr>
        <w:t>welfare cuts, in-</w:t>
      </w:r>
      <w:r w:rsidR="00716D6B" w:rsidRPr="00E14F67">
        <w:rPr>
          <w:rFonts w:cstheme="minorHAnsi"/>
          <w:color w:val="000000" w:themeColor="text1"/>
          <w:szCs w:val="22"/>
        </w:rPr>
        <w:t xml:space="preserve">work </w:t>
      </w:r>
      <w:r w:rsidR="00716D6B">
        <w:rPr>
          <w:rFonts w:cstheme="minorHAnsi"/>
          <w:color w:val="000000" w:themeColor="text1"/>
          <w:szCs w:val="22"/>
        </w:rPr>
        <w:t>and</w:t>
      </w:r>
      <w:r w:rsidR="00107EFC">
        <w:rPr>
          <w:rFonts w:cstheme="minorHAnsi"/>
          <w:color w:val="000000" w:themeColor="text1"/>
          <w:szCs w:val="22"/>
        </w:rPr>
        <w:t xml:space="preserve"> food </w:t>
      </w:r>
      <w:r w:rsidRPr="00E14F67">
        <w:rPr>
          <w:rFonts w:cstheme="minorHAnsi"/>
          <w:color w:val="000000" w:themeColor="text1"/>
          <w:szCs w:val="22"/>
        </w:rPr>
        <w:t>poverty</w:t>
      </w:r>
      <w:r w:rsidR="00107EFC">
        <w:rPr>
          <w:rFonts w:cstheme="minorHAnsi"/>
          <w:color w:val="000000" w:themeColor="text1"/>
          <w:szCs w:val="22"/>
        </w:rPr>
        <w:t xml:space="preserve"> and the</w:t>
      </w:r>
      <w:r w:rsidR="00CC603F" w:rsidRPr="00E14F67">
        <w:rPr>
          <w:rFonts w:cstheme="minorHAnsi"/>
          <w:color w:val="000000" w:themeColor="text1"/>
          <w:szCs w:val="22"/>
        </w:rPr>
        <w:t xml:space="preserve"> </w:t>
      </w:r>
      <w:r w:rsidRPr="00E14F67">
        <w:rPr>
          <w:rFonts w:cstheme="minorHAnsi"/>
          <w:color w:val="000000" w:themeColor="text1"/>
          <w:szCs w:val="22"/>
        </w:rPr>
        <w:t xml:space="preserve">stigma of poverty </w:t>
      </w:r>
      <w:r w:rsidRPr="00E14F67">
        <w:rPr>
          <w:rFonts w:cstheme="minorHAnsi"/>
          <w:noProof/>
          <w:color w:val="000000" w:themeColor="text1"/>
          <w:szCs w:val="22"/>
        </w:rPr>
        <w:t xml:space="preserve">(The Poverty Truth Commission 2016, </w:t>
      </w:r>
      <w:r w:rsidR="00CC603F" w:rsidRPr="00E14F67">
        <w:rPr>
          <w:rFonts w:cstheme="minorHAnsi"/>
          <w:noProof/>
          <w:color w:val="000000" w:themeColor="text1"/>
          <w:szCs w:val="22"/>
        </w:rPr>
        <w:t xml:space="preserve">6; </w:t>
      </w:r>
      <w:r w:rsidRPr="00E14F67">
        <w:rPr>
          <w:rFonts w:cstheme="minorHAnsi"/>
          <w:noProof/>
          <w:color w:val="000000" w:themeColor="text1"/>
          <w:szCs w:val="22"/>
        </w:rPr>
        <w:t>2)</w:t>
      </w:r>
      <w:r w:rsidRPr="00E14F67">
        <w:rPr>
          <w:rFonts w:cstheme="minorHAnsi"/>
          <w:color w:val="000000" w:themeColor="text1"/>
          <w:szCs w:val="22"/>
        </w:rPr>
        <w:t>. Currently, the fourth commission is focusing on poverty and asylum</w:t>
      </w:r>
      <w:r w:rsidR="000F4D8E" w:rsidRPr="00E14F67">
        <w:rPr>
          <w:rFonts w:cstheme="minorHAnsi"/>
          <w:color w:val="000000" w:themeColor="text1"/>
          <w:szCs w:val="22"/>
        </w:rPr>
        <w:t>,</w:t>
      </w:r>
      <w:r w:rsidRPr="00E14F67">
        <w:rPr>
          <w:rFonts w:cstheme="minorHAnsi"/>
          <w:color w:val="000000" w:themeColor="text1"/>
          <w:szCs w:val="22"/>
        </w:rPr>
        <w:t xml:space="preserve"> mental health</w:t>
      </w:r>
      <w:r w:rsidR="00107EFC">
        <w:rPr>
          <w:rFonts w:cstheme="minorHAnsi"/>
          <w:color w:val="000000" w:themeColor="text1"/>
          <w:szCs w:val="22"/>
        </w:rPr>
        <w:t xml:space="preserve">, </w:t>
      </w:r>
      <w:r w:rsidR="00C76379" w:rsidRPr="00E14F67">
        <w:rPr>
          <w:rFonts w:cstheme="minorHAnsi"/>
          <w:color w:val="000000" w:themeColor="text1"/>
          <w:szCs w:val="22"/>
        </w:rPr>
        <w:t xml:space="preserve">benefit </w:t>
      </w:r>
      <w:r w:rsidRPr="00E14F67">
        <w:rPr>
          <w:rFonts w:cstheme="minorHAnsi"/>
          <w:color w:val="000000" w:themeColor="text1"/>
          <w:szCs w:val="22"/>
        </w:rPr>
        <w:t xml:space="preserve">cuts and </w:t>
      </w:r>
      <w:r w:rsidR="00C76379" w:rsidRPr="00E14F67">
        <w:rPr>
          <w:rFonts w:cstheme="minorHAnsi"/>
          <w:color w:val="000000" w:themeColor="text1"/>
          <w:szCs w:val="22"/>
        </w:rPr>
        <w:t xml:space="preserve">medical </w:t>
      </w:r>
      <w:r w:rsidRPr="00E14F67">
        <w:rPr>
          <w:rFonts w:cstheme="minorHAnsi"/>
          <w:color w:val="000000" w:themeColor="text1"/>
          <w:szCs w:val="22"/>
        </w:rPr>
        <w:t xml:space="preserve">assessments </w:t>
      </w:r>
      <w:r w:rsidRPr="00E14F67">
        <w:rPr>
          <w:rFonts w:cstheme="minorHAnsi"/>
          <w:color w:val="000000"/>
          <w:szCs w:val="22"/>
        </w:rPr>
        <w:t>(The Poverty Truth Commission 2018</w:t>
      </w:r>
      <w:r w:rsidR="00C76379" w:rsidRPr="00E14F67">
        <w:rPr>
          <w:rFonts w:cstheme="minorHAnsi"/>
          <w:color w:val="000000"/>
          <w:szCs w:val="22"/>
        </w:rPr>
        <w:t>, 17</w:t>
      </w:r>
      <w:r w:rsidRPr="00E14F67">
        <w:rPr>
          <w:rFonts w:cstheme="minorHAnsi"/>
          <w:color w:val="000000"/>
          <w:szCs w:val="22"/>
        </w:rPr>
        <w:t>)</w:t>
      </w:r>
      <w:r w:rsidRPr="00E14F67">
        <w:rPr>
          <w:rFonts w:cstheme="minorHAnsi"/>
          <w:color w:val="000000" w:themeColor="text1"/>
          <w:szCs w:val="22"/>
        </w:rPr>
        <w:t>.</w:t>
      </w:r>
    </w:p>
    <w:p w14:paraId="5F71027B" w14:textId="59156B50" w:rsidR="006B2CB8" w:rsidRPr="00E14F67" w:rsidRDefault="000F4D8E" w:rsidP="00E14F67">
      <w:pPr>
        <w:spacing w:line="480" w:lineRule="auto"/>
        <w:ind w:firstLine="720"/>
        <w:jc w:val="both"/>
        <w:rPr>
          <w:rFonts w:cstheme="minorHAnsi"/>
          <w:color w:val="000000" w:themeColor="text1"/>
          <w:szCs w:val="22"/>
        </w:rPr>
      </w:pPr>
      <w:r w:rsidRPr="00E14F67">
        <w:rPr>
          <w:rFonts w:cstheme="minorHAnsi"/>
          <w:szCs w:val="22"/>
        </w:rPr>
        <w:t xml:space="preserve">Subsequently, the idea of PTCs has expanded nationwide. There are now </w:t>
      </w:r>
      <w:r w:rsidR="0089458B">
        <w:rPr>
          <w:rFonts w:cstheme="minorHAnsi"/>
          <w:szCs w:val="22"/>
        </w:rPr>
        <w:t xml:space="preserve">an additional </w:t>
      </w:r>
      <w:r w:rsidRPr="00E14F67">
        <w:rPr>
          <w:rFonts w:cstheme="minorHAnsi"/>
          <w:szCs w:val="22"/>
        </w:rPr>
        <w:t xml:space="preserve">nine PTCs </w:t>
      </w:r>
      <w:r w:rsidR="006965FB">
        <w:rPr>
          <w:rFonts w:cstheme="minorHAnsi"/>
          <w:szCs w:val="22"/>
        </w:rPr>
        <w:t xml:space="preserve">active </w:t>
      </w:r>
      <w:r w:rsidR="0089458B">
        <w:rPr>
          <w:rFonts w:cstheme="minorHAnsi"/>
          <w:szCs w:val="22"/>
        </w:rPr>
        <w:t>in</w:t>
      </w:r>
      <w:r w:rsidRPr="00E14F67">
        <w:rPr>
          <w:rFonts w:cstheme="minorHAnsi"/>
          <w:szCs w:val="22"/>
        </w:rPr>
        <w:t xml:space="preserve"> England</w:t>
      </w:r>
      <w:r w:rsidR="006965FB">
        <w:rPr>
          <w:rFonts w:cstheme="minorHAnsi"/>
          <w:szCs w:val="22"/>
        </w:rPr>
        <w:t xml:space="preserve"> and a further four in development across the UK </w:t>
      </w:r>
      <w:r w:rsidR="00D002A8">
        <w:rPr>
          <w:rFonts w:cstheme="minorHAnsi"/>
          <w:szCs w:val="22"/>
        </w:rPr>
        <w:t xml:space="preserve">(Poverty Truth Network 2020a). </w:t>
      </w:r>
      <w:r w:rsidR="00FB39D6">
        <w:rPr>
          <w:rFonts w:cstheme="minorHAnsi"/>
          <w:szCs w:val="22"/>
        </w:rPr>
        <w:t xml:space="preserve">In response to this growing interest in CBTRCs as a response to poverty, the </w:t>
      </w:r>
      <w:r w:rsidR="00FB39D6" w:rsidRPr="00E14F67">
        <w:rPr>
          <w:rFonts w:cstheme="minorHAnsi"/>
          <w:szCs w:val="22"/>
        </w:rPr>
        <w:t>Poverty Truth Network</w:t>
      </w:r>
      <w:r w:rsidR="00FB39D6">
        <w:rPr>
          <w:rFonts w:cstheme="minorHAnsi"/>
          <w:szCs w:val="22"/>
        </w:rPr>
        <w:t xml:space="preserve"> has been established to </w:t>
      </w:r>
      <w:r w:rsidRPr="00E14F67">
        <w:rPr>
          <w:rFonts w:cstheme="minorHAnsi"/>
          <w:szCs w:val="22"/>
        </w:rPr>
        <w:t>co-ordinate</w:t>
      </w:r>
      <w:r w:rsidR="00FB39D6">
        <w:rPr>
          <w:rFonts w:cstheme="minorHAnsi"/>
          <w:szCs w:val="22"/>
        </w:rPr>
        <w:t xml:space="preserve"> the work </w:t>
      </w:r>
      <w:r w:rsidR="00716D6B">
        <w:rPr>
          <w:rFonts w:cstheme="minorHAnsi"/>
          <w:szCs w:val="22"/>
        </w:rPr>
        <w:t>of individual</w:t>
      </w:r>
      <w:r w:rsidR="00FB39D6">
        <w:rPr>
          <w:rFonts w:cstheme="minorHAnsi"/>
          <w:szCs w:val="22"/>
        </w:rPr>
        <w:t xml:space="preserve"> commissions in </w:t>
      </w:r>
      <w:r w:rsidR="00716D6B">
        <w:rPr>
          <w:rFonts w:cstheme="minorHAnsi"/>
          <w:szCs w:val="22"/>
        </w:rPr>
        <w:t>England and</w:t>
      </w:r>
      <w:r w:rsidR="00FB39D6">
        <w:rPr>
          <w:rFonts w:cstheme="minorHAnsi"/>
          <w:szCs w:val="22"/>
        </w:rPr>
        <w:t xml:space="preserve"> to </w:t>
      </w:r>
      <w:r w:rsidRPr="00E14F67">
        <w:rPr>
          <w:rFonts w:cstheme="minorHAnsi"/>
          <w:szCs w:val="22"/>
        </w:rPr>
        <w:t xml:space="preserve">support the establishment of new PTCs </w:t>
      </w:r>
      <w:r w:rsidRPr="00E14F67">
        <w:rPr>
          <w:rFonts w:cstheme="minorHAnsi"/>
          <w:noProof/>
          <w:szCs w:val="22"/>
        </w:rPr>
        <w:t>(Poverty Truth Network 2020</w:t>
      </w:r>
      <w:r w:rsidR="0057040E" w:rsidRPr="00E14F67">
        <w:rPr>
          <w:rFonts w:cstheme="minorHAnsi"/>
          <w:noProof/>
          <w:szCs w:val="22"/>
        </w:rPr>
        <w:t>a</w:t>
      </w:r>
      <w:r w:rsidRPr="00E14F67">
        <w:rPr>
          <w:rFonts w:cstheme="minorHAnsi"/>
          <w:noProof/>
          <w:szCs w:val="22"/>
        </w:rPr>
        <w:t>)</w:t>
      </w:r>
      <w:r w:rsidRPr="00E14F67">
        <w:rPr>
          <w:rFonts w:cstheme="minorHAnsi"/>
          <w:szCs w:val="22"/>
        </w:rPr>
        <w:t xml:space="preserve">. </w:t>
      </w:r>
    </w:p>
    <w:p w14:paraId="23738721" w14:textId="196FBF25" w:rsidR="005677C8" w:rsidRPr="00E14F67" w:rsidRDefault="006B2CB8" w:rsidP="00E14F67">
      <w:pPr>
        <w:spacing w:line="480" w:lineRule="auto"/>
        <w:ind w:firstLine="720"/>
        <w:jc w:val="both"/>
        <w:rPr>
          <w:rFonts w:cstheme="minorHAnsi"/>
          <w:color w:val="000000" w:themeColor="text1"/>
          <w:szCs w:val="22"/>
        </w:rPr>
      </w:pPr>
      <w:r w:rsidRPr="00E14F67">
        <w:rPr>
          <w:rFonts w:cstheme="minorHAnsi"/>
          <w:color w:val="000000" w:themeColor="text1"/>
          <w:szCs w:val="22"/>
        </w:rPr>
        <w:t>The first PTC was inspired by the South African Truth and Reconciliation Commission</w:t>
      </w:r>
      <w:r w:rsidR="000F4D8E" w:rsidRPr="00E14F67">
        <w:rPr>
          <w:rFonts w:cstheme="minorHAnsi"/>
          <w:color w:val="000000" w:themeColor="text1"/>
          <w:szCs w:val="22"/>
        </w:rPr>
        <w:t xml:space="preserve"> (SATRC)</w:t>
      </w:r>
      <w:r w:rsidRPr="00E14F67">
        <w:rPr>
          <w:rFonts w:cstheme="minorHAnsi"/>
          <w:color w:val="000000" w:themeColor="text1"/>
          <w:szCs w:val="22"/>
        </w:rPr>
        <w:t xml:space="preserve"> and ensuing PTCs have all adopted the SATRC foundational principle </w:t>
      </w:r>
      <w:r w:rsidR="000F4D8E" w:rsidRPr="00E14F67">
        <w:rPr>
          <w:rFonts w:cstheme="minorHAnsi"/>
          <w:color w:val="000000" w:themeColor="text1"/>
          <w:szCs w:val="22"/>
        </w:rPr>
        <w:t>as a basis to their work</w:t>
      </w:r>
      <w:r w:rsidR="00814675" w:rsidRPr="00E14F67">
        <w:rPr>
          <w:rFonts w:cstheme="minorHAnsi"/>
          <w:color w:val="000000" w:themeColor="text1"/>
          <w:szCs w:val="22"/>
        </w:rPr>
        <w:t xml:space="preserve"> </w:t>
      </w:r>
      <w:r w:rsidR="000F4D8E" w:rsidRPr="00E14F67">
        <w:rPr>
          <w:rFonts w:cstheme="minorHAnsi"/>
          <w:color w:val="000000" w:themeColor="text1"/>
          <w:szCs w:val="22"/>
        </w:rPr>
        <w:t xml:space="preserve">and </w:t>
      </w:r>
      <w:r w:rsidR="00814675" w:rsidRPr="00E14F67">
        <w:rPr>
          <w:rFonts w:cstheme="minorHAnsi"/>
          <w:color w:val="000000" w:themeColor="text1"/>
          <w:szCs w:val="22"/>
        </w:rPr>
        <w:t xml:space="preserve">as </w:t>
      </w:r>
      <w:r w:rsidRPr="00E14F67">
        <w:rPr>
          <w:rFonts w:cstheme="minorHAnsi"/>
          <w:color w:val="000000" w:themeColor="text1"/>
          <w:szCs w:val="22"/>
        </w:rPr>
        <w:t xml:space="preserve">central to </w:t>
      </w:r>
      <w:r w:rsidR="000F4D8E" w:rsidRPr="00E14F67">
        <w:rPr>
          <w:rFonts w:cstheme="minorHAnsi"/>
          <w:color w:val="000000" w:themeColor="text1"/>
          <w:szCs w:val="22"/>
        </w:rPr>
        <w:t>their</w:t>
      </w:r>
      <w:r w:rsidRPr="00E14F67">
        <w:rPr>
          <w:rFonts w:cstheme="minorHAnsi"/>
          <w:color w:val="000000" w:themeColor="text1"/>
          <w:szCs w:val="22"/>
        </w:rPr>
        <w:t xml:space="preserve"> inclusive intentions</w:t>
      </w:r>
      <w:r w:rsidR="00716D6B" w:rsidRPr="00E14F67">
        <w:rPr>
          <w:rFonts w:cstheme="minorHAnsi"/>
          <w:color w:val="000000" w:themeColor="text1"/>
          <w:szCs w:val="22"/>
        </w:rPr>
        <w:t>: ‘</w:t>
      </w:r>
      <w:r w:rsidRPr="00E14F67">
        <w:rPr>
          <w:rFonts w:cstheme="minorHAnsi"/>
          <w:i/>
          <w:color w:val="000000" w:themeColor="text1"/>
          <w:szCs w:val="22"/>
        </w:rPr>
        <w:t>Nothing about us, without us, is for us</w:t>
      </w:r>
      <w:r w:rsidRPr="00E14F67">
        <w:rPr>
          <w:rFonts w:cstheme="minorHAnsi"/>
          <w:color w:val="000000" w:themeColor="text1"/>
          <w:szCs w:val="22"/>
        </w:rPr>
        <w:t xml:space="preserve">’ </w:t>
      </w:r>
      <w:r w:rsidRPr="002E6EBB">
        <w:rPr>
          <w:rFonts w:cstheme="minorHAnsi"/>
          <w:noProof/>
          <w:color w:val="000000" w:themeColor="text1"/>
          <w:szCs w:val="22"/>
        </w:rPr>
        <w:t xml:space="preserve">(West Cheshire Poverty Truth Commission </w:t>
      </w:r>
      <w:r w:rsidRPr="00E14F67">
        <w:rPr>
          <w:rFonts w:cstheme="minorHAnsi"/>
          <w:noProof/>
          <w:color w:val="000000" w:themeColor="text1"/>
          <w:szCs w:val="22"/>
        </w:rPr>
        <w:t>2018a, 3</w:t>
      </w:r>
      <w:r w:rsidR="00497ACA" w:rsidRPr="00E14F67">
        <w:rPr>
          <w:rFonts w:cstheme="minorHAnsi"/>
          <w:noProof/>
          <w:color w:val="000000" w:themeColor="text1"/>
          <w:szCs w:val="22"/>
        </w:rPr>
        <w:t>-4</w:t>
      </w:r>
      <w:r w:rsidRPr="00E14F67">
        <w:rPr>
          <w:rFonts w:cstheme="minorHAnsi"/>
          <w:noProof/>
          <w:color w:val="000000" w:themeColor="text1"/>
          <w:szCs w:val="22"/>
        </w:rPr>
        <w:t>)</w:t>
      </w:r>
      <w:r w:rsidRPr="00E14F67">
        <w:rPr>
          <w:rFonts w:cstheme="minorHAnsi"/>
          <w:color w:val="000000" w:themeColor="text1"/>
          <w:szCs w:val="22"/>
        </w:rPr>
        <w:t>. For the PTCs, th</w:t>
      </w:r>
      <w:r w:rsidR="000F4D8E" w:rsidRPr="00E14F67">
        <w:rPr>
          <w:rFonts w:cstheme="minorHAnsi"/>
          <w:color w:val="000000" w:themeColor="text1"/>
          <w:szCs w:val="22"/>
        </w:rPr>
        <w:t>is</w:t>
      </w:r>
      <w:r w:rsidRPr="00E14F67">
        <w:rPr>
          <w:rFonts w:cstheme="minorHAnsi"/>
          <w:color w:val="000000" w:themeColor="text1"/>
          <w:szCs w:val="22"/>
        </w:rPr>
        <w:t xml:space="preserve"> underlying principle embodies their </w:t>
      </w:r>
      <w:r w:rsidR="007078E4" w:rsidRPr="00E14F67">
        <w:rPr>
          <w:rFonts w:cstheme="minorHAnsi"/>
          <w:color w:val="000000" w:themeColor="text1"/>
          <w:szCs w:val="22"/>
        </w:rPr>
        <w:t>primary aim to overcome poverty in their particular locality (and more recently nationally) through ensuring that those affected by poverty, are central to decision-making</w:t>
      </w:r>
    </w:p>
    <w:p w14:paraId="7C844F8D" w14:textId="47B5B13F" w:rsidR="005677C8" w:rsidRPr="00E14F67" w:rsidRDefault="007078E4" w:rsidP="00E14F67">
      <w:pPr>
        <w:spacing w:line="480" w:lineRule="auto"/>
        <w:ind w:firstLine="720"/>
        <w:jc w:val="both"/>
        <w:rPr>
          <w:rFonts w:cstheme="minorHAnsi"/>
          <w:color w:val="000000" w:themeColor="text1"/>
          <w:szCs w:val="22"/>
        </w:rPr>
      </w:pPr>
      <w:r w:rsidRPr="00E14F67">
        <w:rPr>
          <w:rFonts w:cstheme="minorHAnsi"/>
          <w:color w:val="000000" w:themeColor="text1"/>
          <w:szCs w:val="22"/>
        </w:rPr>
        <w:t xml:space="preserve">The statement of the SATRC reflects this </w:t>
      </w:r>
      <w:r w:rsidR="006B2CB8" w:rsidRPr="00E14F67">
        <w:rPr>
          <w:rFonts w:cstheme="minorHAnsi"/>
          <w:color w:val="000000" w:themeColor="text1"/>
          <w:szCs w:val="22"/>
        </w:rPr>
        <w:t xml:space="preserve">belief that </w:t>
      </w:r>
      <w:r w:rsidR="000F4D8E" w:rsidRPr="00E14F67">
        <w:rPr>
          <w:rFonts w:cstheme="minorHAnsi"/>
          <w:color w:val="000000" w:themeColor="text1"/>
          <w:szCs w:val="22"/>
        </w:rPr>
        <w:t>‘</w:t>
      </w:r>
      <w:r w:rsidR="006B2CB8" w:rsidRPr="00E14F67">
        <w:rPr>
          <w:rFonts w:cstheme="minorHAnsi"/>
          <w:color w:val="000000" w:themeColor="text1"/>
          <w:szCs w:val="22"/>
        </w:rPr>
        <w:t>real progress towards overcoming poverty will be made when those who hold experience of poverty are central to the development, delivery and analysis of solutions’</w:t>
      </w:r>
      <w:r w:rsidR="000F4D8E" w:rsidRPr="00E14F67">
        <w:rPr>
          <w:rFonts w:cstheme="minorHAnsi"/>
          <w:color w:val="000000" w:themeColor="text1"/>
          <w:szCs w:val="22"/>
        </w:rPr>
        <w:t xml:space="preserve"> </w:t>
      </w:r>
      <w:r w:rsidR="006B2CB8" w:rsidRPr="00E14F67">
        <w:rPr>
          <w:rFonts w:cstheme="minorHAnsi"/>
          <w:noProof/>
          <w:color w:val="000000" w:themeColor="text1"/>
          <w:szCs w:val="22"/>
        </w:rPr>
        <w:t>(West Cheshire Poverty Truth Commission 2018a, 3)</w:t>
      </w:r>
      <w:r w:rsidR="006B2CB8" w:rsidRPr="00E14F67">
        <w:rPr>
          <w:rFonts w:cstheme="minorHAnsi"/>
          <w:color w:val="000000" w:themeColor="text1"/>
          <w:szCs w:val="22"/>
        </w:rPr>
        <w:t xml:space="preserve">. </w:t>
      </w:r>
      <w:r w:rsidR="00CA16B6">
        <w:rPr>
          <w:rFonts w:cstheme="minorHAnsi"/>
          <w:color w:val="000000" w:themeColor="text1"/>
          <w:szCs w:val="22"/>
        </w:rPr>
        <w:t xml:space="preserve">The inspiration taken from other TRCs such as those in Latin America; Chile, Argentina and Guatemala in particular </w:t>
      </w:r>
      <w:r w:rsidR="00CA16B6" w:rsidRPr="00CA16B6">
        <w:rPr>
          <w:rFonts w:cstheme="minorHAnsi"/>
          <w:color w:val="000000" w:themeColor="text1"/>
          <w:szCs w:val="22"/>
        </w:rPr>
        <w:t>(West Cheshire Poverty Truth Commission 2018a, 5)</w:t>
      </w:r>
      <w:r w:rsidR="00CA16B6">
        <w:rPr>
          <w:rFonts w:cstheme="minorHAnsi"/>
          <w:color w:val="000000" w:themeColor="text1"/>
          <w:szCs w:val="22"/>
        </w:rPr>
        <w:t xml:space="preserve"> is also reflected in the PTCs f</w:t>
      </w:r>
      <w:r w:rsidRPr="00E14F67">
        <w:rPr>
          <w:rFonts w:cstheme="minorHAnsi"/>
          <w:color w:val="000000" w:themeColor="text1"/>
          <w:szCs w:val="22"/>
        </w:rPr>
        <w:t xml:space="preserve">urther </w:t>
      </w:r>
      <w:r w:rsidR="00716D6B" w:rsidRPr="00E14F67">
        <w:rPr>
          <w:rFonts w:cstheme="minorHAnsi"/>
          <w:color w:val="000000" w:themeColor="text1"/>
          <w:szCs w:val="22"/>
        </w:rPr>
        <w:t>aims</w:t>
      </w:r>
      <w:r w:rsidR="00716D6B">
        <w:rPr>
          <w:rFonts w:cstheme="minorHAnsi"/>
          <w:color w:val="000000" w:themeColor="text1"/>
          <w:szCs w:val="22"/>
        </w:rPr>
        <w:t xml:space="preserve">, </w:t>
      </w:r>
      <w:r w:rsidR="00716D6B" w:rsidRPr="00E14F67">
        <w:rPr>
          <w:rFonts w:cstheme="minorHAnsi"/>
          <w:color w:val="000000" w:themeColor="text1"/>
          <w:szCs w:val="22"/>
        </w:rPr>
        <w:t>including</w:t>
      </w:r>
      <w:r w:rsidRPr="00E14F67">
        <w:rPr>
          <w:rFonts w:cstheme="minorHAnsi"/>
          <w:color w:val="000000" w:themeColor="text1"/>
          <w:szCs w:val="22"/>
        </w:rPr>
        <w:t xml:space="preserve"> </w:t>
      </w:r>
      <w:r w:rsidR="00A76AE0" w:rsidRPr="00E14F67">
        <w:rPr>
          <w:rFonts w:cstheme="minorHAnsi"/>
          <w:color w:val="000000" w:themeColor="text1"/>
          <w:szCs w:val="22"/>
        </w:rPr>
        <w:t xml:space="preserve">giving </w:t>
      </w:r>
      <w:r w:rsidR="00A76AE0" w:rsidRPr="00E14F67">
        <w:rPr>
          <w:rFonts w:cstheme="minorHAnsi"/>
          <w:color w:val="000000" w:themeColor="text1"/>
          <w:szCs w:val="22"/>
        </w:rPr>
        <w:lastRenderedPageBreak/>
        <w:t xml:space="preserve">‘voice’ to affect change through truth telling and sharing experiences; </w:t>
      </w:r>
      <w:r w:rsidRPr="00E14F67">
        <w:rPr>
          <w:rFonts w:cstheme="minorHAnsi"/>
          <w:color w:val="000000" w:themeColor="text1"/>
          <w:szCs w:val="22"/>
        </w:rPr>
        <w:t xml:space="preserve">building </w:t>
      </w:r>
      <w:r w:rsidR="00A76AE0" w:rsidRPr="00E14F67">
        <w:rPr>
          <w:rFonts w:cstheme="minorHAnsi"/>
          <w:color w:val="000000" w:themeColor="text1"/>
          <w:szCs w:val="22"/>
        </w:rPr>
        <w:t xml:space="preserve">trust and </w:t>
      </w:r>
      <w:r w:rsidRPr="00E14F67">
        <w:rPr>
          <w:rFonts w:cstheme="minorHAnsi"/>
          <w:color w:val="000000" w:themeColor="text1"/>
          <w:szCs w:val="22"/>
        </w:rPr>
        <w:t xml:space="preserve">relationships between those with lived experience of poverty and </w:t>
      </w:r>
      <w:r w:rsidR="00732865" w:rsidRPr="00E14F67">
        <w:rPr>
          <w:rFonts w:cstheme="minorHAnsi"/>
          <w:color w:val="000000" w:themeColor="text1"/>
          <w:szCs w:val="22"/>
        </w:rPr>
        <w:t xml:space="preserve">those </w:t>
      </w:r>
      <w:r w:rsidR="00A76AE0" w:rsidRPr="00E14F67">
        <w:rPr>
          <w:rFonts w:cstheme="minorHAnsi"/>
          <w:color w:val="000000" w:themeColor="text1"/>
          <w:szCs w:val="22"/>
        </w:rPr>
        <w:t xml:space="preserve">with </w:t>
      </w:r>
      <w:r w:rsidR="00732865" w:rsidRPr="00E14F67">
        <w:rPr>
          <w:rFonts w:cstheme="minorHAnsi"/>
          <w:color w:val="000000" w:themeColor="text1"/>
          <w:szCs w:val="22"/>
        </w:rPr>
        <w:t>power</w:t>
      </w:r>
      <w:r w:rsidRPr="005E042F">
        <w:rPr>
          <w:rFonts w:cstheme="minorHAnsi"/>
          <w:color w:val="000000" w:themeColor="text1"/>
          <w:szCs w:val="22"/>
        </w:rPr>
        <w:t xml:space="preserve">; </w:t>
      </w:r>
      <w:r w:rsidR="00A76AE0" w:rsidRPr="005E042F">
        <w:rPr>
          <w:rFonts w:cstheme="minorHAnsi"/>
          <w:color w:val="000000" w:themeColor="text1"/>
          <w:szCs w:val="22"/>
        </w:rPr>
        <w:t>driving positive c</w:t>
      </w:r>
      <w:r w:rsidRPr="005E042F">
        <w:rPr>
          <w:rFonts w:cstheme="minorHAnsi"/>
          <w:color w:val="000000" w:themeColor="text1"/>
          <w:szCs w:val="22"/>
        </w:rPr>
        <w:t>hange</w:t>
      </w:r>
      <w:r w:rsidR="00A76AE0" w:rsidRPr="005E042F">
        <w:rPr>
          <w:rFonts w:cstheme="minorHAnsi"/>
          <w:color w:val="000000" w:themeColor="text1"/>
          <w:szCs w:val="22"/>
        </w:rPr>
        <w:t xml:space="preserve"> </w:t>
      </w:r>
      <w:r w:rsidRPr="005E042F">
        <w:rPr>
          <w:rFonts w:cstheme="minorHAnsi"/>
          <w:color w:val="000000" w:themeColor="text1"/>
          <w:szCs w:val="22"/>
        </w:rPr>
        <w:t>(Goldstraw</w:t>
      </w:r>
      <w:r w:rsidR="00597254" w:rsidRPr="00E14F67">
        <w:rPr>
          <w:rFonts w:cstheme="minorHAnsi"/>
          <w:color w:val="000000" w:themeColor="text1"/>
          <w:szCs w:val="22"/>
        </w:rPr>
        <w:t xml:space="preserve"> </w:t>
      </w:r>
      <w:r w:rsidRPr="00E14F67">
        <w:rPr>
          <w:rFonts w:cstheme="minorHAnsi"/>
          <w:color w:val="000000" w:themeColor="text1"/>
          <w:szCs w:val="22"/>
        </w:rPr>
        <w:t xml:space="preserve">2019, </w:t>
      </w:r>
      <w:r w:rsidR="00A76AE0" w:rsidRPr="00E14F67">
        <w:rPr>
          <w:rFonts w:cstheme="minorHAnsi"/>
          <w:color w:val="000000" w:themeColor="text1"/>
          <w:szCs w:val="22"/>
        </w:rPr>
        <w:t>2-</w:t>
      </w:r>
      <w:r w:rsidRPr="00E14F67">
        <w:rPr>
          <w:rFonts w:cstheme="minorHAnsi"/>
          <w:color w:val="000000" w:themeColor="text1"/>
          <w:szCs w:val="22"/>
        </w:rPr>
        <w:t>3)</w:t>
      </w:r>
      <w:r w:rsidR="00CA16B6">
        <w:rPr>
          <w:rFonts w:cstheme="minorHAnsi"/>
          <w:color w:val="000000" w:themeColor="text1"/>
          <w:szCs w:val="22"/>
        </w:rPr>
        <w:t xml:space="preserve">. </w:t>
      </w:r>
      <w:r w:rsidR="00716D6B">
        <w:rPr>
          <w:rFonts w:cstheme="minorHAnsi"/>
          <w:color w:val="000000" w:themeColor="text1"/>
          <w:szCs w:val="22"/>
        </w:rPr>
        <w:t>T</w:t>
      </w:r>
      <w:r w:rsidR="00716D6B" w:rsidRPr="00E14F67">
        <w:rPr>
          <w:rFonts w:cstheme="minorHAnsi"/>
          <w:color w:val="000000" w:themeColor="text1"/>
          <w:szCs w:val="22"/>
        </w:rPr>
        <w:t>hus,</w:t>
      </w:r>
      <w:r w:rsidR="00CA16B6">
        <w:rPr>
          <w:rFonts w:cstheme="minorHAnsi"/>
          <w:color w:val="000000" w:themeColor="text1"/>
          <w:szCs w:val="22"/>
        </w:rPr>
        <w:t xml:space="preserve"> the aims of the PTCs</w:t>
      </w:r>
      <w:r w:rsidR="00814675" w:rsidRPr="00E14F67">
        <w:rPr>
          <w:rFonts w:cstheme="minorHAnsi"/>
          <w:color w:val="000000" w:themeColor="text1"/>
          <w:szCs w:val="22"/>
        </w:rPr>
        <w:t xml:space="preserve"> echo many of the aims of traditional TRCs: truth; reconciliation and justice.</w:t>
      </w:r>
    </w:p>
    <w:p w14:paraId="3C7B32C8" w14:textId="71D3C297" w:rsidR="00A0450C" w:rsidRPr="00E14F67" w:rsidRDefault="00B211DE" w:rsidP="00E14F67">
      <w:pPr>
        <w:spacing w:line="480" w:lineRule="auto"/>
        <w:ind w:firstLine="720"/>
        <w:jc w:val="both"/>
        <w:rPr>
          <w:rFonts w:cstheme="minorHAnsi"/>
          <w:color w:val="000000" w:themeColor="text1"/>
          <w:szCs w:val="22"/>
        </w:rPr>
      </w:pPr>
      <w:r>
        <w:rPr>
          <w:rFonts w:cstheme="minorHAnsi"/>
          <w:color w:val="000000" w:themeColor="text1"/>
          <w:szCs w:val="22"/>
        </w:rPr>
        <w:t>T</w:t>
      </w:r>
      <w:r w:rsidR="001424FF" w:rsidRPr="00E14F67">
        <w:rPr>
          <w:rFonts w:cstheme="minorHAnsi"/>
          <w:color w:val="000000" w:themeColor="text1"/>
          <w:szCs w:val="22"/>
        </w:rPr>
        <w:t>he PTCs have</w:t>
      </w:r>
      <w:r>
        <w:rPr>
          <w:rFonts w:cstheme="minorHAnsi"/>
          <w:color w:val="000000" w:themeColor="text1"/>
          <w:szCs w:val="22"/>
        </w:rPr>
        <w:t xml:space="preserve"> also</w:t>
      </w:r>
      <w:r w:rsidR="001424FF" w:rsidRPr="00E14F67">
        <w:rPr>
          <w:rFonts w:cstheme="minorHAnsi"/>
          <w:color w:val="000000" w:themeColor="text1"/>
          <w:szCs w:val="22"/>
        </w:rPr>
        <w:t xml:space="preserve"> been influenced by </w:t>
      </w:r>
      <w:r w:rsidR="00716D6B" w:rsidRPr="00E14F67">
        <w:rPr>
          <w:rFonts w:cstheme="minorHAnsi"/>
          <w:color w:val="000000" w:themeColor="text1"/>
          <w:szCs w:val="22"/>
        </w:rPr>
        <w:t>CBTRCs</w:t>
      </w:r>
      <w:r w:rsidR="00716D6B">
        <w:rPr>
          <w:rFonts w:cstheme="minorHAnsi"/>
          <w:color w:val="000000" w:themeColor="text1"/>
          <w:szCs w:val="22"/>
        </w:rPr>
        <w:t xml:space="preserve">, </w:t>
      </w:r>
      <w:r w:rsidR="00716D6B" w:rsidRPr="00E14F67">
        <w:rPr>
          <w:rFonts w:cstheme="minorHAnsi"/>
          <w:color w:val="000000" w:themeColor="text1"/>
          <w:szCs w:val="22"/>
        </w:rPr>
        <w:t>including</w:t>
      </w:r>
      <w:r w:rsidR="001424FF" w:rsidRPr="00E14F67">
        <w:rPr>
          <w:rFonts w:cstheme="minorHAnsi"/>
          <w:color w:val="000000" w:themeColor="text1"/>
          <w:szCs w:val="22"/>
        </w:rPr>
        <w:t xml:space="preserve"> Greensboro and Mississippi </w:t>
      </w:r>
      <w:r w:rsidR="001424FF" w:rsidRPr="00E14F67">
        <w:rPr>
          <w:rFonts w:cstheme="minorHAnsi"/>
          <w:noProof/>
          <w:color w:val="000000" w:themeColor="text1"/>
          <w:szCs w:val="22"/>
        </w:rPr>
        <w:t>(The Poverty Truth Commission 2014, 3)</w:t>
      </w:r>
      <w:r w:rsidR="001424FF" w:rsidRPr="00E14F67">
        <w:rPr>
          <w:rFonts w:cstheme="minorHAnsi"/>
          <w:color w:val="000000" w:themeColor="text1"/>
          <w:szCs w:val="22"/>
        </w:rPr>
        <w:t xml:space="preserve">.  </w:t>
      </w:r>
      <w:r w:rsidR="00753CC0" w:rsidRPr="00E14F67">
        <w:rPr>
          <w:rFonts w:cstheme="minorHAnsi"/>
          <w:color w:val="000000" w:themeColor="text1"/>
          <w:szCs w:val="22"/>
        </w:rPr>
        <w:t>In commonality with these CBTRCs</w:t>
      </w:r>
      <w:r>
        <w:rPr>
          <w:rFonts w:cstheme="minorHAnsi"/>
          <w:color w:val="000000" w:themeColor="text1"/>
          <w:szCs w:val="22"/>
        </w:rPr>
        <w:t xml:space="preserve"> and CBIs</w:t>
      </w:r>
      <w:r w:rsidR="00753CC0" w:rsidRPr="00E14F67">
        <w:rPr>
          <w:rFonts w:cstheme="minorHAnsi"/>
          <w:color w:val="000000" w:themeColor="text1"/>
          <w:szCs w:val="22"/>
        </w:rPr>
        <w:t xml:space="preserve">, the PTCs </w:t>
      </w:r>
      <w:r w:rsidR="00CA16B6">
        <w:rPr>
          <w:rFonts w:cstheme="minorHAnsi"/>
          <w:color w:val="000000" w:themeColor="text1"/>
          <w:szCs w:val="22"/>
        </w:rPr>
        <w:t>also constitute</w:t>
      </w:r>
      <w:r w:rsidR="00753CC0" w:rsidRPr="00E14F67">
        <w:rPr>
          <w:rFonts w:cstheme="minorHAnsi"/>
          <w:color w:val="000000" w:themeColor="text1"/>
          <w:szCs w:val="22"/>
        </w:rPr>
        <w:t xml:space="preserve"> ‘unofficial truth project(s)’</w:t>
      </w:r>
      <w:r w:rsidR="00CA16B6">
        <w:rPr>
          <w:rFonts w:cstheme="minorHAnsi"/>
          <w:color w:val="000000" w:themeColor="text1"/>
          <w:szCs w:val="22"/>
        </w:rPr>
        <w:t xml:space="preserve"> </w:t>
      </w:r>
      <w:r w:rsidR="00753CC0" w:rsidRPr="00E14F67">
        <w:rPr>
          <w:rFonts w:cstheme="minorHAnsi"/>
          <w:color w:val="000000" w:themeColor="text1"/>
          <w:szCs w:val="22"/>
        </w:rPr>
        <w:t>(Bickford 2007</w:t>
      </w:r>
      <w:r w:rsidR="00940FFF" w:rsidRPr="00E14F67">
        <w:rPr>
          <w:rFonts w:cstheme="minorHAnsi"/>
          <w:color w:val="000000" w:themeColor="text1"/>
          <w:szCs w:val="22"/>
        </w:rPr>
        <w:t>, 995</w:t>
      </w:r>
      <w:r w:rsidR="00753CC0" w:rsidRPr="00E14F67">
        <w:rPr>
          <w:rFonts w:cstheme="minorHAnsi"/>
          <w:color w:val="000000" w:themeColor="text1"/>
          <w:szCs w:val="22"/>
        </w:rPr>
        <w:t xml:space="preserve">). They embody the same elements as CBTRCs noted above:  No official state involvement or funding; grassroots established and led; no legal mandate. The UK PTCs may have some local government </w:t>
      </w:r>
      <w:r w:rsidR="00716D6B" w:rsidRPr="00E14F67">
        <w:rPr>
          <w:rFonts w:cstheme="minorHAnsi"/>
          <w:color w:val="000000" w:themeColor="text1"/>
          <w:szCs w:val="22"/>
        </w:rPr>
        <w:t>support</w:t>
      </w:r>
      <w:r w:rsidR="00716D6B">
        <w:rPr>
          <w:rFonts w:cstheme="minorHAnsi"/>
          <w:color w:val="000000" w:themeColor="text1"/>
          <w:szCs w:val="22"/>
        </w:rPr>
        <w:t xml:space="preserve">, </w:t>
      </w:r>
      <w:r w:rsidR="00716D6B" w:rsidRPr="00E14F67">
        <w:rPr>
          <w:rFonts w:cstheme="minorHAnsi"/>
          <w:color w:val="000000" w:themeColor="text1"/>
          <w:szCs w:val="22"/>
        </w:rPr>
        <w:t>by</w:t>
      </w:r>
      <w:r w:rsidR="00753CC0" w:rsidRPr="00E14F67">
        <w:rPr>
          <w:rFonts w:cstheme="minorHAnsi"/>
          <w:color w:val="000000" w:themeColor="text1"/>
          <w:szCs w:val="22"/>
        </w:rPr>
        <w:t xml:space="preserve"> way of individual councillors and local council representatives who may be members. However, it is important to note that the PTCs are not officially sanctioned or supported by central government.  </w:t>
      </w:r>
      <w:r w:rsidR="000F4D8E" w:rsidRPr="00E14F67">
        <w:rPr>
          <w:rFonts w:cstheme="minorHAnsi"/>
          <w:color w:val="000000" w:themeColor="text1"/>
          <w:szCs w:val="22"/>
        </w:rPr>
        <w:t xml:space="preserve">In the same way as </w:t>
      </w:r>
      <w:r>
        <w:rPr>
          <w:rFonts w:cstheme="minorHAnsi"/>
          <w:color w:val="000000" w:themeColor="text1"/>
          <w:szCs w:val="22"/>
        </w:rPr>
        <w:t xml:space="preserve">other </w:t>
      </w:r>
      <w:r w:rsidR="000F4D8E" w:rsidRPr="00E14F67">
        <w:rPr>
          <w:rFonts w:cstheme="minorHAnsi"/>
          <w:color w:val="000000" w:themeColor="text1"/>
          <w:szCs w:val="22"/>
        </w:rPr>
        <w:t>CBTRCs the</w:t>
      </w:r>
      <w:r>
        <w:rPr>
          <w:rFonts w:cstheme="minorHAnsi"/>
          <w:color w:val="000000" w:themeColor="text1"/>
          <w:szCs w:val="22"/>
        </w:rPr>
        <w:t xml:space="preserve"> PTCs</w:t>
      </w:r>
      <w:r w:rsidR="000F4D8E" w:rsidRPr="00E14F67">
        <w:rPr>
          <w:rFonts w:cstheme="minorHAnsi"/>
          <w:color w:val="000000" w:themeColor="text1"/>
          <w:szCs w:val="22"/>
        </w:rPr>
        <w:t xml:space="preserve"> have adapted the truth commissions of transitional justice to better suit and reflect local needs and priorities. </w:t>
      </w:r>
    </w:p>
    <w:p w14:paraId="14827BCA" w14:textId="37726991" w:rsidR="00753CC0" w:rsidRPr="00E14F67" w:rsidRDefault="00753CC0" w:rsidP="00E14F67">
      <w:pPr>
        <w:spacing w:line="480" w:lineRule="auto"/>
        <w:ind w:firstLine="720"/>
        <w:jc w:val="both"/>
        <w:rPr>
          <w:rFonts w:cstheme="minorHAnsi"/>
          <w:color w:val="000000" w:themeColor="text1"/>
          <w:szCs w:val="22"/>
        </w:rPr>
      </w:pPr>
      <w:r w:rsidRPr="00E14F67">
        <w:rPr>
          <w:rFonts w:cstheme="minorHAnsi"/>
          <w:color w:val="000000" w:themeColor="text1"/>
          <w:szCs w:val="22"/>
        </w:rPr>
        <w:t xml:space="preserve">In terms of resources the unofficial nature of the PTCs has implications: The UK PTCs receive support from a variety of sources including charities and faith-based organisations and are careful to ensure funding received does not compromise independence </w:t>
      </w:r>
      <w:r w:rsidRPr="00E14F67">
        <w:rPr>
          <w:rFonts w:cstheme="minorHAnsi"/>
          <w:color w:val="000000"/>
          <w:szCs w:val="22"/>
        </w:rPr>
        <w:t>(Leeds Poverty Truth 2020; West Cheshire Poverty Truth Commission 2018a, 6)</w:t>
      </w:r>
      <w:r w:rsidRPr="00E14F67">
        <w:rPr>
          <w:rFonts w:cstheme="minorHAnsi"/>
          <w:color w:val="000000" w:themeColor="text1"/>
          <w:szCs w:val="22"/>
        </w:rPr>
        <w:t xml:space="preserve">. </w:t>
      </w:r>
      <w:r w:rsidRPr="00E14F67">
        <w:rPr>
          <w:rFonts w:cstheme="minorHAnsi"/>
          <w:bCs/>
          <w:color w:val="000000" w:themeColor="text1"/>
          <w:szCs w:val="22"/>
        </w:rPr>
        <w:t>Exceptionally the PTC in Scotland receives some funding from the devolved Scottish Government in addition to charitable sources (The Poverty Truth Commission 2018</w:t>
      </w:r>
      <w:r w:rsidR="00C76379" w:rsidRPr="00E14F67">
        <w:rPr>
          <w:rFonts w:cstheme="minorHAnsi"/>
          <w:bCs/>
          <w:color w:val="000000" w:themeColor="text1"/>
          <w:szCs w:val="22"/>
        </w:rPr>
        <w:t>, 23</w:t>
      </w:r>
      <w:r w:rsidRPr="00E14F67">
        <w:rPr>
          <w:rFonts w:cstheme="minorHAnsi"/>
          <w:bCs/>
          <w:color w:val="000000" w:themeColor="text1"/>
          <w:szCs w:val="22"/>
        </w:rPr>
        <w:t>). However, the Scotland PTC remains an ‘unofficial’ truth project and is not controlled by the devolved</w:t>
      </w:r>
      <w:r w:rsidR="00B211DE">
        <w:rPr>
          <w:rFonts w:cstheme="minorHAnsi"/>
          <w:bCs/>
          <w:color w:val="000000" w:themeColor="text1"/>
          <w:szCs w:val="22"/>
        </w:rPr>
        <w:t xml:space="preserve"> or UK</w:t>
      </w:r>
      <w:r w:rsidRPr="00E14F67">
        <w:rPr>
          <w:rFonts w:cstheme="minorHAnsi"/>
          <w:bCs/>
          <w:color w:val="000000" w:themeColor="text1"/>
          <w:szCs w:val="22"/>
        </w:rPr>
        <w:t xml:space="preserve"> government.</w:t>
      </w:r>
    </w:p>
    <w:p w14:paraId="678CAACF" w14:textId="2D7BE327" w:rsidR="00A3273D" w:rsidRPr="00E14F67" w:rsidRDefault="00753CC0" w:rsidP="00E14F67">
      <w:pPr>
        <w:spacing w:line="480" w:lineRule="auto"/>
        <w:ind w:firstLine="720"/>
        <w:jc w:val="both"/>
        <w:rPr>
          <w:rFonts w:cstheme="minorHAnsi"/>
          <w:color w:val="000000" w:themeColor="text1"/>
          <w:szCs w:val="22"/>
        </w:rPr>
      </w:pPr>
      <w:r w:rsidRPr="00E14F67">
        <w:rPr>
          <w:rFonts w:cstheme="minorHAnsi"/>
          <w:color w:val="000000" w:themeColor="text1"/>
          <w:szCs w:val="22"/>
        </w:rPr>
        <w:lastRenderedPageBreak/>
        <w:t xml:space="preserve">At an operational level the </w:t>
      </w:r>
      <w:r w:rsidR="001424FF" w:rsidRPr="00E14F67">
        <w:rPr>
          <w:rFonts w:cstheme="minorHAnsi"/>
          <w:color w:val="000000" w:themeColor="text1"/>
          <w:szCs w:val="22"/>
        </w:rPr>
        <w:t>PTCs in the UK use comparable methods to those of the US</w:t>
      </w:r>
      <w:r w:rsidR="000F4D8E" w:rsidRPr="00E14F67">
        <w:rPr>
          <w:rFonts w:cstheme="minorHAnsi"/>
          <w:color w:val="000000" w:themeColor="text1"/>
          <w:szCs w:val="22"/>
        </w:rPr>
        <w:t>A</w:t>
      </w:r>
      <w:r w:rsidR="001424FF" w:rsidRPr="00E14F67">
        <w:rPr>
          <w:rFonts w:cstheme="minorHAnsi"/>
          <w:color w:val="000000" w:themeColor="text1"/>
          <w:szCs w:val="22"/>
        </w:rPr>
        <w:t xml:space="preserve"> based CBTRCs: gathering testimonies (written and oral), hosting hearings (open and closed), producing research and reports documenting experiences; and making recommendations for policy change/actions.</w:t>
      </w:r>
      <w:r w:rsidR="00610FCF" w:rsidRPr="00E14F67">
        <w:rPr>
          <w:rFonts w:cstheme="minorHAnsi"/>
          <w:color w:val="000000" w:themeColor="text1"/>
          <w:szCs w:val="22"/>
        </w:rPr>
        <w:t xml:space="preserve"> </w:t>
      </w:r>
      <w:r w:rsidR="00022CDC" w:rsidRPr="00E14F67">
        <w:rPr>
          <w:rFonts w:cstheme="minorHAnsi"/>
          <w:color w:val="000000" w:themeColor="text1"/>
          <w:szCs w:val="22"/>
        </w:rPr>
        <w:t>I</w:t>
      </w:r>
      <w:r w:rsidR="001424FF" w:rsidRPr="00E14F67">
        <w:rPr>
          <w:rFonts w:cstheme="minorHAnsi"/>
          <w:color w:val="000000" w:themeColor="text1"/>
          <w:szCs w:val="22"/>
        </w:rPr>
        <w:t>n terms of participation</w:t>
      </w:r>
      <w:r w:rsidR="00022CDC" w:rsidRPr="00E14F67">
        <w:rPr>
          <w:rFonts w:cstheme="minorHAnsi"/>
          <w:color w:val="000000" w:themeColor="text1"/>
          <w:szCs w:val="22"/>
        </w:rPr>
        <w:t xml:space="preserve"> as noted above, </w:t>
      </w:r>
      <w:r w:rsidR="001424FF" w:rsidRPr="00E14F67">
        <w:rPr>
          <w:rFonts w:cstheme="minorHAnsi"/>
          <w:color w:val="000000" w:themeColor="text1"/>
          <w:szCs w:val="22"/>
        </w:rPr>
        <w:t>the key underlying principle of the PTCs, ‘</w:t>
      </w:r>
      <w:r w:rsidR="001424FF" w:rsidRPr="00E14F67">
        <w:rPr>
          <w:rFonts w:cstheme="minorHAnsi"/>
          <w:i/>
          <w:iCs/>
          <w:color w:val="000000" w:themeColor="text1"/>
          <w:szCs w:val="22"/>
        </w:rPr>
        <w:t>Nothing about us, without us is for us</w:t>
      </w:r>
      <w:r w:rsidR="001424FF" w:rsidRPr="00E14F67">
        <w:rPr>
          <w:rFonts w:cstheme="minorHAnsi"/>
          <w:color w:val="000000" w:themeColor="text1"/>
          <w:szCs w:val="22"/>
        </w:rPr>
        <w:t xml:space="preserve">’ reflects the imperative that victims’ stories are central to the legitimacy of both the process and outcome of </w:t>
      </w:r>
      <w:r w:rsidR="00A76A1D" w:rsidRPr="00E14F67">
        <w:rPr>
          <w:rFonts w:cstheme="minorHAnsi"/>
          <w:color w:val="000000" w:themeColor="text1"/>
          <w:szCs w:val="22"/>
        </w:rPr>
        <w:t>their work</w:t>
      </w:r>
      <w:r w:rsidR="001424FF" w:rsidRPr="00E14F67">
        <w:rPr>
          <w:rFonts w:cstheme="minorHAnsi"/>
          <w:color w:val="000000" w:themeColor="text1"/>
          <w:szCs w:val="22"/>
        </w:rPr>
        <w:t xml:space="preserve">. </w:t>
      </w:r>
      <w:r w:rsidR="00A76A1D" w:rsidRPr="00E14F67">
        <w:rPr>
          <w:rFonts w:cstheme="minorHAnsi"/>
          <w:color w:val="000000" w:themeColor="text1"/>
          <w:szCs w:val="22"/>
        </w:rPr>
        <w:t>In terms of the scope of p</w:t>
      </w:r>
      <w:r w:rsidR="001424FF" w:rsidRPr="00E14F67">
        <w:rPr>
          <w:rFonts w:cstheme="minorHAnsi"/>
          <w:color w:val="000000" w:themeColor="text1"/>
          <w:szCs w:val="22"/>
        </w:rPr>
        <w:t xml:space="preserve">articipation </w:t>
      </w:r>
      <w:r w:rsidR="00A76A1D" w:rsidRPr="00E14F67">
        <w:rPr>
          <w:rFonts w:cstheme="minorHAnsi"/>
          <w:color w:val="000000" w:themeColor="text1"/>
          <w:szCs w:val="22"/>
        </w:rPr>
        <w:t>it</w:t>
      </w:r>
      <w:r w:rsidR="001424FF" w:rsidRPr="00E14F67">
        <w:rPr>
          <w:rFonts w:cstheme="minorHAnsi"/>
          <w:color w:val="000000" w:themeColor="text1"/>
          <w:szCs w:val="22"/>
        </w:rPr>
        <w:t xml:space="preserve"> is varied across practice </w:t>
      </w:r>
      <w:r w:rsidR="00A76A1D" w:rsidRPr="00E14F67">
        <w:rPr>
          <w:rFonts w:cstheme="minorHAnsi"/>
          <w:color w:val="000000" w:themeColor="text1"/>
          <w:szCs w:val="22"/>
        </w:rPr>
        <w:t>but must include</w:t>
      </w:r>
      <w:r w:rsidR="001424FF" w:rsidRPr="00E14F67">
        <w:rPr>
          <w:rFonts w:cstheme="minorHAnsi"/>
          <w:color w:val="000000" w:themeColor="text1"/>
          <w:szCs w:val="22"/>
        </w:rPr>
        <w:t xml:space="preserve"> </w:t>
      </w:r>
      <w:r w:rsidR="00A76A1D" w:rsidRPr="00E14F67">
        <w:rPr>
          <w:rFonts w:cstheme="minorHAnsi"/>
          <w:color w:val="000000" w:themeColor="text1"/>
          <w:szCs w:val="22"/>
        </w:rPr>
        <w:t xml:space="preserve">those who have direct experience of poverty. Other </w:t>
      </w:r>
      <w:r w:rsidR="001424FF" w:rsidRPr="00E14F67">
        <w:rPr>
          <w:rFonts w:cstheme="minorHAnsi"/>
          <w:color w:val="000000" w:themeColor="text1"/>
          <w:szCs w:val="22"/>
        </w:rPr>
        <w:t>Commissioners</w:t>
      </w:r>
      <w:r w:rsidR="00A76A1D" w:rsidRPr="00E14F67">
        <w:rPr>
          <w:rFonts w:cstheme="minorHAnsi"/>
          <w:color w:val="000000" w:themeColor="text1"/>
          <w:szCs w:val="22"/>
        </w:rPr>
        <w:t xml:space="preserve"> are appointed from</w:t>
      </w:r>
      <w:r w:rsidR="001424FF" w:rsidRPr="00E14F67">
        <w:rPr>
          <w:rFonts w:cstheme="minorHAnsi"/>
          <w:color w:val="000000" w:themeColor="text1"/>
          <w:szCs w:val="22"/>
        </w:rPr>
        <w:t xml:space="preserve"> </w:t>
      </w:r>
      <w:r w:rsidR="00022CDC" w:rsidRPr="00E14F67">
        <w:rPr>
          <w:rFonts w:cstheme="minorHAnsi"/>
          <w:color w:val="000000" w:themeColor="text1"/>
          <w:szCs w:val="22"/>
        </w:rPr>
        <w:t xml:space="preserve">the local </w:t>
      </w:r>
      <w:r w:rsidR="001424FF" w:rsidRPr="00E14F67">
        <w:rPr>
          <w:rFonts w:cstheme="minorHAnsi"/>
          <w:color w:val="000000" w:themeColor="text1"/>
          <w:szCs w:val="22"/>
        </w:rPr>
        <w:t>community</w:t>
      </w:r>
      <w:r w:rsidR="00022CDC" w:rsidRPr="00E14F67">
        <w:rPr>
          <w:rFonts w:cstheme="minorHAnsi"/>
          <w:color w:val="000000" w:themeColor="text1"/>
          <w:szCs w:val="22"/>
        </w:rPr>
        <w:t xml:space="preserve"> including those who work to support those in poverty and those who exercise leadership and/or harness power within the local community</w:t>
      </w:r>
      <w:r w:rsidR="00BA1790">
        <w:rPr>
          <w:rFonts w:cstheme="minorHAnsi"/>
          <w:color w:val="000000" w:themeColor="text1"/>
          <w:szCs w:val="22"/>
        </w:rPr>
        <w:t>.</w:t>
      </w:r>
      <w:r w:rsidR="00022CDC" w:rsidRPr="00E14F67">
        <w:rPr>
          <w:rFonts w:cstheme="minorHAnsi"/>
          <w:color w:val="000000" w:themeColor="text1"/>
          <w:szCs w:val="22"/>
        </w:rPr>
        <w:t xml:space="preserve"> I</w:t>
      </w:r>
      <w:r w:rsidR="00610FCF" w:rsidRPr="00E14F67">
        <w:rPr>
          <w:rFonts w:cstheme="minorHAnsi"/>
          <w:color w:val="000000" w:themeColor="text1"/>
          <w:szCs w:val="22"/>
        </w:rPr>
        <w:t>n addition to Commissioners</w:t>
      </w:r>
      <w:r w:rsidR="006F4084" w:rsidRPr="00E14F67">
        <w:rPr>
          <w:rFonts w:cstheme="minorHAnsi"/>
          <w:color w:val="000000" w:themeColor="text1"/>
          <w:szCs w:val="22"/>
        </w:rPr>
        <w:t>,</w:t>
      </w:r>
      <w:r w:rsidR="00610FCF" w:rsidRPr="00E14F67">
        <w:rPr>
          <w:rFonts w:cstheme="minorHAnsi"/>
          <w:color w:val="000000" w:themeColor="text1"/>
          <w:szCs w:val="22"/>
        </w:rPr>
        <w:t xml:space="preserve"> in</w:t>
      </w:r>
      <w:r w:rsidR="00022CDC" w:rsidRPr="00E14F67">
        <w:rPr>
          <w:rFonts w:cstheme="minorHAnsi"/>
          <w:color w:val="000000" w:themeColor="text1"/>
          <w:szCs w:val="22"/>
        </w:rPr>
        <w:t xml:space="preserve"> some cases </w:t>
      </w:r>
      <w:r w:rsidR="00610FCF" w:rsidRPr="00E14F67">
        <w:rPr>
          <w:rFonts w:cstheme="minorHAnsi"/>
          <w:color w:val="000000" w:themeColor="text1"/>
          <w:szCs w:val="22"/>
        </w:rPr>
        <w:t xml:space="preserve">staff are appointed to </w:t>
      </w:r>
      <w:r w:rsidR="000C5FA8" w:rsidRPr="00E14F67">
        <w:rPr>
          <w:rFonts w:cstheme="minorHAnsi"/>
          <w:color w:val="000000" w:themeColor="text1"/>
          <w:szCs w:val="22"/>
        </w:rPr>
        <w:t xml:space="preserve">facilitate and </w:t>
      </w:r>
      <w:r w:rsidR="00610FCF" w:rsidRPr="00E14F67">
        <w:rPr>
          <w:rFonts w:cstheme="minorHAnsi"/>
          <w:color w:val="000000" w:themeColor="text1"/>
          <w:szCs w:val="22"/>
        </w:rPr>
        <w:t>support the PTC in its work,</w:t>
      </w:r>
      <w:r w:rsidR="00A76A1D" w:rsidRPr="00E14F67">
        <w:rPr>
          <w:rFonts w:cstheme="minorHAnsi"/>
          <w:color w:val="000000" w:themeColor="text1"/>
          <w:szCs w:val="22"/>
        </w:rPr>
        <w:t xml:space="preserve"> for example Morecambe Bay PTC has a dedicated community development worker (Cahill-Ripley 2019b).</w:t>
      </w:r>
    </w:p>
    <w:p w14:paraId="5D038FFA" w14:textId="28C92494" w:rsidR="001424FF" w:rsidRPr="00E14F67" w:rsidRDefault="00A3273D" w:rsidP="00E63CA6">
      <w:pPr>
        <w:pStyle w:val="Heading1"/>
      </w:pPr>
      <w:r w:rsidRPr="00E14F67">
        <w:t xml:space="preserve">The Value-Added of </w:t>
      </w:r>
      <w:r w:rsidR="001424FF" w:rsidRPr="00E14F67">
        <w:t>Using</w:t>
      </w:r>
      <w:r w:rsidR="00322490" w:rsidRPr="00E14F67">
        <w:t xml:space="preserve"> a</w:t>
      </w:r>
      <w:r w:rsidRPr="00E14F67">
        <w:t xml:space="preserve"> </w:t>
      </w:r>
      <w:r w:rsidR="00322490" w:rsidRPr="00E14F67">
        <w:t>CBTRC model</w:t>
      </w:r>
      <w:r w:rsidRPr="00E14F67">
        <w:t xml:space="preserve"> to Address to address </w:t>
      </w:r>
      <w:r w:rsidR="00322490" w:rsidRPr="00E14F67">
        <w:t xml:space="preserve">Poverty and </w:t>
      </w:r>
      <w:r w:rsidRPr="00E14F67">
        <w:t xml:space="preserve">related </w:t>
      </w:r>
      <w:r w:rsidR="00780AA7" w:rsidRPr="00E14F67">
        <w:t>ESCRs</w:t>
      </w:r>
      <w:r w:rsidRPr="00E14F67">
        <w:t xml:space="preserve"> Violations</w:t>
      </w:r>
      <w:r w:rsidR="001424FF" w:rsidRPr="00E14F67">
        <w:t>: Assessing the PTCs Contribution to Justice</w:t>
      </w:r>
    </w:p>
    <w:p w14:paraId="3B41E4CB" w14:textId="02A48850" w:rsidR="00D002A8" w:rsidRPr="005D7E53" w:rsidRDefault="00610FCF" w:rsidP="00C9569B">
      <w:pPr>
        <w:spacing w:line="480" w:lineRule="auto"/>
        <w:jc w:val="both"/>
      </w:pPr>
      <w:r w:rsidRPr="00E14F67">
        <w:rPr>
          <w:rFonts w:cstheme="minorHAnsi"/>
          <w:color w:val="000000" w:themeColor="text1"/>
          <w:szCs w:val="22"/>
        </w:rPr>
        <w:t xml:space="preserve">Having outlined the aims, underlying principles and nature of the </w:t>
      </w:r>
      <w:r w:rsidR="00C81C07" w:rsidRPr="00E14F67">
        <w:rPr>
          <w:rFonts w:cstheme="minorHAnsi"/>
          <w:color w:val="000000" w:themeColor="text1"/>
          <w:szCs w:val="22"/>
        </w:rPr>
        <w:t>PTCs</w:t>
      </w:r>
      <w:r w:rsidR="005E7138">
        <w:rPr>
          <w:rFonts w:cstheme="minorHAnsi"/>
          <w:color w:val="000000" w:themeColor="text1"/>
          <w:szCs w:val="22"/>
        </w:rPr>
        <w:t>,</w:t>
      </w:r>
      <w:r w:rsidR="00C81C07" w:rsidRPr="00E14F67">
        <w:rPr>
          <w:rFonts w:cstheme="minorHAnsi"/>
          <w:color w:val="000000" w:themeColor="text1"/>
          <w:szCs w:val="22"/>
        </w:rPr>
        <w:t xml:space="preserve"> </w:t>
      </w:r>
      <w:r w:rsidR="005E7138">
        <w:rPr>
          <w:rFonts w:cstheme="minorHAnsi"/>
          <w:color w:val="000000" w:themeColor="text1"/>
          <w:szCs w:val="22"/>
        </w:rPr>
        <w:t>this section evaluates their</w:t>
      </w:r>
      <w:r w:rsidRPr="00E14F67">
        <w:rPr>
          <w:rFonts w:cstheme="minorHAnsi"/>
          <w:color w:val="000000" w:themeColor="text1"/>
          <w:szCs w:val="22"/>
        </w:rPr>
        <w:t xml:space="preserve"> effectiveness in achieving justice and addressing poverty and related ESCRs violations. </w:t>
      </w:r>
      <w:r w:rsidR="00AB7D61">
        <w:rPr>
          <w:rFonts w:cstheme="minorHAnsi"/>
          <w:bCs/>
          <w:iCs/>
          <w:color w:val="000000" w:themeColor="text1"/>
          <w:szCs w:val="22"/>
        </w:rPr>
        <w:t>The work of the PTCs in achieving justice can be evaluated in practice in returning to</w:t>
      </w:r>
      <w:r w:rsidR="00DE24C2" w:rsidRPr="00E14F67">
        <w:rPr>
          <w:rFonts w:cstheme="minorHAnsi"/>
          <w:bCs/>
          <w:iCs/>
          <w:color w:val="000000" w:themeColor="text1"/>
          <w:szCs w:val="22"/>
        </w:rPr>
        <w:t xml:space="preserve"> </w:t>
      </w:r>
      <w:r w:rsidR="00716D6B" w:rsidRPr="00E14F67">
        <w:rPr>
          <w:rFonts w:cstheme="minorHAnsi"/>
          <w:bCs/>
          <w:iCs/>
          <w:color w:val="000000" w:themeColor="text1"/>
          <w:szCs w:val="22"/>
        </w:rPr>
        <w:t>support, by</w:t>
      </w:r>
      <w:r w:rsidR="00322490" w:rsidRPr="00E14F67">
        <w:rPr>
          <w:rFonts w:cstheme="minorHAnsi"/>
          <w:bCs/>
          <w:iCs/>
          <w:color w:val="000000" w:themeColor="text1"/>
          <w:szCs w:val="22"/>
        </w:rPr>
        <w:t xml:space="preserve"> Lederach’s </w:t>
      </w:r>
      <w:r w:rsidR="00DE24C2" w:rsidRPr="00E14F67">
        <w:rPr>
          <w:rFonts w:cstheme="minorHAnsi"/>
          <w:bCs/>
          <w:iCs/>
          <w:color w:val="000000" w:themeColor="text1"/>
          <w:szCs w:val="22"/>
        </w:rPr>
        <w:t xml:space="preserve">conception of </w:t>
      </w:r>
      <w:r w:rsidR="00322490" w:rsidRPr="00E14F67">
        <w:rPr>
          <w:rFonts w:cstheme="minorHAnsi"/>
          <w:bCs/>
          <w:iCs/>
          <w:color w:val="000000" w:themeColor="text1"/>
          <w:szCs w:val="22"/>
        </w:rPr>
        <w:t>justice</w:t>
      </w:r>
      <w:r w:rsidR="00DE24C2" w:rsidRPr="00E14F67">
        <w:rPr>
          <w:rFonts w:cstheme="minorHAnsi"/>
          <w:bCs/>
          <w:iCs/>
          <w:color w:val="000000" w:themeColor="text1"/>
          <w:szCs w:val="22"/>
        </w:rPr>
        <w:t xml:space="preserve"> as</w:t>
      </w:r>
      <w:r w:rsidR="00322490" w:rsidRPr="00E14F67">
        <w:rPr>
          <w:rFonts w:cstheme="minorHAnsi"/>
          <w:bCs/>
          <w:iCs/>
          <w:color w:val="000000" w:themeColor="text1"/>
          <w:szCs w:val="22"/>
        </w:rPr>
        <w:t xml:space="preserve"> accountability; recompense</w:t>
      </w:r>
      <w:r w:rsidR="00245796">
        <w:rPr>
          <w:rFonts w:cstheme="minorHAnsi"/>
          <w:bCs/>
          <w:iCs/>
          <w:color w:val="000000" w:themeColor="text1"/>
          <w:szCs w:val="22"/>
        </w:rPr>
        <w:t>,</w:t>
      </w:r>
      <w:r w:rsidR="00322490" w:rsidRPr="00E14F67">
        <w:rPr>
          <w:rFonts w:cstheme="minorHAnsi"/>
          <w:bCs/>
          <w:iCs/>
          <w:color w:val="000000" w:themeColor="text1"/>
          <w:szCs w:val="22"/>
        </w:rPr>
        <w:t xml:space="preserve"> and </w:t>
      </w:r>
      <w:r w:rsidR="00DE24C2" w:rsidRPr="00E14F67">
        <w:rPr>
          <w:rFonts w:cstheme="minorHAnsi"/>
          <w:bCs/>
          <w:iCs/>
          <w:color w:val="000000" w:themeColor="text1"/>
          <w:szCs w:val="22"/>
        </w:rPr>
        <w:t>equality</w:t>
      </w:r>
      <w:r w:rsidR="00322490" w:rsidRPr="00E14F67">
        <w:rPr>
          <w:rFonts w:cstheme="minorHAnsi"/>
          <w:bCs/>
          <w:iCs/>
          <w:color w:val="000000" w:themeColor="text1"/>
          <w:szCs w:val="22"/>
        </w:rPr>
        <w:t xml:space="preserve"> and fairness</w:t>
      </w:r>
      <w:r w:rsidR="00AB7D61">
        <w:rPr>
          <w:rFonts w:cstheme="minorHAnsi"/>
          <w:bCs/>
          <w:iCs/>
          <w:color w:val="000000" w:themeColor="text1"/>
          <w:szCs w:val="22"/>
        </w:rPr>
        <w:t>.</w:t>
      </w:r>
      <w:r w:rsidR="00AB7D61" w:rsidRPr="00E14F67">
        <w:rPr>
          <w:rFonts w:cstheme="minorHAnsi"/>
          <w:bCs/>
          <w:iCs/>
          <w:color w:val="000000" w:themeColor="text1"/>
          <w:szCs w:val="22"/>
        </w:rPr>
        <w:t xml:space="preserve"> </w:t>
      </w:r>
    </w:p>
    <w:p w14:paraId="34072C4D" w14:textId="64E360E3" w:rsidR="00126B34" w:rsidRPr="00E14F67" w:rsidRDefault="00D002A8" w:rsidP="00A1715A">
      <w:pPr>
        <w:spacing w:line="480" w:lineRule="auto"/>
        <w:ind w:firstLine="720"/>
        <w:jc w:val="both"/>
        <w:rPr>
          <w:rFonts w:cstheme="minorHAnsi"/>
          <w:bCs/>
          <w:iCs/>
          <w:color w:val="000000" w:themeColor="text1"/>
          <w:szCs w:val="22"/>
        </w:rPr>
      </w:pPr>
      <w:r>
        <w:rPr>
          <w:rFonts w:cstheme="minorHAnsi"/>
          <w:bCs/>
          <w:iCs/>
          <w:color w:val="000000" w:themeColor="text1"/>
          <w:szCs w:val="22"/>
        </w:rPr>
        <w:t xml:space="preserve">Firstly, accountability: </w:t>
      </w:r>
      <w:r w:rsidR="00322490" w:rsidRPr="00E14F67">
        <w:rPr>
          <w:rFonts w:cstheme="minorHAnsi"/>
          <w:bCs/>
          <w:iCs/>
          <w:color w:val="000000" w:themeColor="text1"/>
          <w:szCs w:val="22"/>
        </w:rPr>
        <w:t xml:space="preserve">As noted previously accountability for </w:t>
      </w:r>
      <w:r w:rsidR="0071382E">
        <w:rPr>
          <w:rFonts w:cstheme="minorHAnsi"/>
          <w:bCs/>
          <w:iCs/>
          <w:color w:val="000000" w:themeColor="text1"/>
          <w:szCs w:val="22"/>
        </w:rPr>
        <w:t>poverty-related</w:t>
      </w:r>
      <w:r w:rsidR="00322490" w:rsidRPr="00E14F67">
        <w:rPr>
          <w:rFonts w:cstheme="minorHAnsi"/>
          <w:bCs/>
          <w:iCs/>
          <w:color w:val="000000" w:themeColor="text1"/>
          <w:szCs w:val="22"/>
        </w:rPr>
        <w:t xml:space="preserve"> ESCRs violations is usually focussed on judicial or quasi-judicial remedies</w:t>
      </w:r>
      <w:r w:rsidR="00780AA7" w:rsidRPr="00E14F67">
        <w:rPr>
          <w:rFonts w:cstheme="minorHAnsi"/>
          <w:bCs/>
          <w:iCs/>
          <w:color w:val="000000" w:themeColor="text1"/>
          <w:szCs w:val="22"/>
        </w:rPr>
        <w:t>.</w:t>
      </w:r>
      <w:r w:rsidR="00322490" w:rsidRPr="00E14F67">
        <w:rPr>
          <w:rFonts w:cstheme="minorHAnsi"/>
          <w:bCs/>
          <w:iCs/>
          <w:color w:val="000000" w:themeColor="text1"/>
          <w:szCs w:val="22"/>
        </w:rPr>
        <w:t xml:space="preserve"> </w:t>
      </w:r>
      <w:r w:rsidR="009E2960">
        <w:rPr>
          <w:rFonts w:cstheme="minorHAnsi"/>
          <w:bCs/>
          <w:iCs/>
          <w:color w:val="000000" w:themeColor="text1"/>
          <w:szCs w:val="22"/>
        </w:rPr>
        <w:t xml:space="preserve">However, </w:t>
      </w:r>
      <w:r w:rsidR="009E2960">
        <w:rPr>
          <w:rFonts w:cstheme="minorHAnsi"/>
          <w:bCs/>
          <w:iCs/>
          <w:color w:val="000000" w:themeColor="text1"/>
          <w:szCs w:val="22"/>
        </w:rPr>
        <w:lastRenderedPageBreak/>
        <w:t>t</w:t>
      </w:r>
      <w:r w:rsidR="00322490" w:rsidRPr="00E14F67">
        <w:rPr>
          <w:rFonts w:cstheme="minorHAnsi"/>
          <w:bCs/>
          <w:iCs/>
          <w:color w:val="000000" w:themeColor="text1"/>
          <w:szCs w:val="22"/>
        </w:rPr>
        <w:t>he PTC</w:t>
      </w:r>
      <w:r w:rsidR="007D1EF0" w:rsidRPr="00E14F67">
        <w:rPr>
          <w:rFonts w:cstheme="minorHAnsi"/>
          <w:bCs/>
          <w:iCs/>
          <w:color w:val="000000" w:themeColor="text1"/>
          <w:szCs w:val="22"/>
        </w:rPr>
        <w:t xml:space="preserve"> provide accountability in additional ways</w:t>
      </w:r>
      <w:r w:rsidR="00322490" w:rsidRPr="00E14F67">
        <w:rPr>
          <w:rFonts w:cstheme="minorHAnsi"/>
          <w:bCs/>
          <w:iCs/>
          <w:color w:val="000000" w:themeColor="text1"/>
          <w:szCs w:val="22"/>
        </w:rPr>
        <w:t xml:space="preserve">: </w:t>
      </w:r>
      <w:r w:rsidR="00233A06" w:rsidRPr="00E14F67">
        <w:rPr>
          <w:rFonts w:cstheme="minorHAnsi"/>
          <w:bCs/>
          <w:iCs/>
          <w:color w:val="000000" w:themeColor="text1"/>
          <w:szCs w:val="22"/>
        </w:rPr>
        <w:t>Firstly,</w:t>
      </w:r>
      <w:r w:rsidR="00BA563E" w:rsidRPr="00E14F67">
        <w:rPr>
          <w:rFonts w:cstheme="minorHAnsi"/>
          <w:bCs/>
          <w:iCs/>
          <w:color w:val="000000" w:themeColor="text1"/>
          <w:szCs w:val="22"/>
        </w:rPr>
        <w:t xml:space="preserve"> they</w:t>
      </w:r>
      <w:r w:rsidR="007D1EF0" w:rsidRPr="00E14F67">
        <w:rPr>
          <w:rFonts w:cstheme="minorHAnsi"/>
          <w:bCs/>
          <w:iCs/>
          <w:color w:val="000000" w:themeColor="text1"/>
          <w:szCs w:val="22"/>
        </w:rPr>
        <w:t xml:space="preserve"> </w:t>
      </w:r>
      <w:r w:rsidR="00575C8B">
        <w:rPr>
          <w:rFonts w:cstheme="minorHAnsi"/>
          <w:bCs/>
          <w:iCs/>
          <w:color w:val="000000" w:themeColor="text1"/>
          <w:szCs w:val="22"/>
        </w:rPr>
        <w:t xml:space="preserve">facilitate the </w:t>
      </w:r>
      <w:r w:rsidR="007D1EF0" w:rsidRPr="00E14F67">
        <w:rPr>
          <w:rFonts w:cstheme="minorHAnsi"/>
          <w:bCs/>
          <w:iCs/>
          <w:color w:val="000000" w:themeColor="text1"/>
          <w:szCs w:val="22"/>
        </w:rPr>
        <w:t>exercise</w:t>
      </w:r>
      <w:r w:rsidR="00575C8B">
        <w:rPr>
          <w:rFonts w:cstheme="minorHAnsi"/>
          <w:bCs/>
          <w:iCs/>
          <w:color w:val="000000" w:themeColor="text1"/>
          <w:szCs w:val="22"/>
        </w:rPr>
        <w:t xml:space="preserve"> of</w:t>
      </w:r>
      <w:r w:rsidR="007D1EF0" w:rsidRPr="00E14F67">
        <w:rPr>
          <w:rFonts w:cstheme="minorHAnsi"/>
          <w:bCs/>
          <w:iCs/>
          <w:color w:val="000000" w:themeColor="text1"/>
          <w:szCs w:val="22"/>
        </w:rPr>
        <w:t xml:space="preserve"> the right to truth.</w:t>
      </w:r>
      <w:r w:rsidR="007D1EF0" w:rsidRPr="00E14F67">
        <w:rPr>
          <w:rFonts w:cstheme="minorHAnsi"/>
          <w:szCs w:val="22"/>
        </w:rPr>
        <w:t xml:space="preserve"> </w:t>
      </w:r>
      <w:r w:rsidR="007D1EF0" w:rsidRPr="00E14F67">
        <w:rPr>
          <w:rFonts w:cstheme="minorHAnsi"/>
          <w:bCs/>
          <w:iCs/>
          <w:color w:val="000000" w:themeColor="text1"/>
          <w:szCs w:val="22"/>
        </w:rPr>
        <w:t xml:space="preserve">It is important to highlight that the exercise of </w:t>
      </w:r>
      <w:r w:rsidR="004D2817" w:rsidRPr="00E14F67">
        <w:rPr>
          <w:rFonts w:cstheme="minorHAnsi"/>
          <w:bCs/>
          <w:iCs/>
          <w:color w:val="000000" w:themeColor="text1"/>
          <w:szCs w:val="22"/>
        </w:rPr>
        <w:t xml:space="preserve">the </w:t>
      </w:r>
      <w:r w:rsidR="007D1EF0" w:rsidRPr="00E14F67">
        <w:rPr>
          <w:rFonts w:cstheme="minorHAnsi"/>
          <w:bCs/>
          <w:iCs/>
          <w:color w:val="000000" w:themeColor="text1"/>
          <w:szCs w:val="22"/>
        </w:rPr>
        <w:t>right to truth requires acknowledgement: ‘Truth as acknowledgement is whole if it states the action committed openly, creates a clarity of public recognition and establishes that it had detrimental destructive and impact on real people that is not acceptable.’ (Lederach</w:t>
      </w:r>
      <w:r w:rsidR="00597254" w:rsidRPr="00E14F67">
        <w:rPr>
          <w:rFonts w:cstheme="minorHAnsi"/>
          <w:bCs/>
          <w:iCs/>
          <w:color w:val="000000" w:themeColor="text1"/>
          <w:szCs w:val="22"/>
        </w:rPr>
        <w:t xml:space="preserve"> </w:t>
      </w:r>
      <w:r w:rsidR="007D1EF0" w:rsidRPr="00E14F67">
        <w:rPr>
          <w:rFonts w:cstheme="minorHAnsi"/>
          <w:bCs/>
          <w:iCs/>
          <w:color w:val="000000" w:themeColor="text1"/>
          <w:szCs w:val="22"/>
        </w:rPr>
        <w:t xml:space="preserve">2001, 849). The PTCs </w:t>
      </w:r>
      <w:r w:rsidR="00233A06" w:rsidRPr="00E14F67">
        <w:rPr>
          <w:rFonts w:cstheme="minorHAnsi"/>
          <w:bCs/>
          <w:iCs/>
          <w:color w:val="000000" w:themeColor="text1"/>
          <w:szCs w:val="22"/>
        </w:rPr>
        <w:t xml:space="preserve">support such truth telling through </w:t>
      </w:r>
      <w:r w:rsidR="00575C8B">
        <w:rPr>
          <w:rFonts w:cstheme="minorHAnsi"/>
          <w:bCs/>
          <w:iCs/>
          <w:color w:val="000000" w:themeColor="text1"/>
          <w:szCs w:val="22"/>
        </w:rPr>
        <w:t xml:space="preserve">their participatory nature </w:t>
      </w:r>
      <w:r w:rsidR="00233A06" w:rsidRPr="00E14F67">
        <w:rPr>
          <w:rFonts w:cstheme="minorHAnsi"/>
          <w:bCs/>
          <w:iCs/>
          <w:color w:val="000000" w:themeColor="text1"/>
          <w:szCs w:val="22"/>
        </w:rPr>
        <w:t xml:space="preserve">and through </w:t>
      </w:r>
      <w:r w:rsidR="00BA563E" w:rsidRPr="00E14F67">
        <w:rPr>
          <w:rFonts w:cstheme="minorHAnsi"/>
          <w:bCs/>
          <w:iCs/>
          <w:color w:val="000000" w:themeColor="text1"/>
          <w:szCs w:val="22"/>
        </w:rPr>
        <w:t>provid</w:t>
      </w:r>
      <w:r w:rsidR="00233A06" w:rsidRPr="00E14F67">
        <w:rPr>
          <w:rFonts w:cstheme="minorHAnsi"/>
          <w:bCs/>
          <w:iCs/>
          <w:color w:val="000000" w:themeColor="text1"/>
          <w:szCs w:val="22"/>
        </w:rPr>
        <w:t>ing</w:t>
      </w:r>
      <w:r w:rsidR="00BA563E" w:rsidRPr="00E14F67">
        <w:rPr>
          <w:rFonts w:cstheme="minorHAnsi"/>
          <w:bCs/>
          <w:iCs/>
          <w:color w:val="000000" w:themeColor="text1"/>
          <w:szCs w:val="22"/>
        </w:rPr>
        <w:t xml:space="preserve"> an opportunity for those previously silenced to have a voice.</w:t>
      </w:r>
      <w:r w:rsidR="00575C8B">
        <w:rPr>
          <w:rFonts w:cstheme="minorHAnsi"/>
          <w:bCs/>
          <w:iCs/>
          <w:color w:val="000000" w:themeColor="text1"/>
          <w:szCs w:val="22"/>
        </w:rPr>
        <w:t xml:space="preserve"> The PTC</w:t>
      </w:r>
      <w:r w:rsidR="00121091" w:rsidRPr="00E14F67">
        <w:rPr>
          <w:rFonts w:cstheme="minorHAnsi"/>
          <w:color w:val="000000" w:themeColor="text1"/>
          <w:szCs w:val="22"/>
        </w:rPr>
        <w:t xml:space="preserve"> </w:t>
      </w:r>
      <w:r w:rsidR="00A3273D" w:rsidRPr="00E14F67">
        <w:rPr>
          <w:rFonts w:cstheme="minorHAnsi"/>
          <w:color w:val="000000" w:themeColor="text1"/>
          <w:szCs w:val="22"/>
        </w:rPr>
        <w:t>‘is a process which is framed in the most basic principles of democracy; voice. The right to truth for all citizens is one that is fundamental’</w:t>
      </w:r>
      <w:r w:rsidR="0022323E">
        <w:rPr>
          <w:rFonts w:cstheme="minorHAnsi"/>
          <w:color w:val="000000" w:themeColor="text1"/>
          <w:szCs w:val="22"/>
        </w:rPr>
        <w:t xml:space="preserve"> </w:t>
      </w:r>
      <w:r w:rsidR="00A3273D" w:rsidRPr="00E14F67">
        <w:rPr>
          <w:rFonts w:cstheme="minorHAnsi"/>
          <w:noProof/>
          <w:color w:val="000000" w:themeColor="text1"/>
          <w:szCs w:val="22"/>
        </w:rPr>
        <w:t>(West Cheshire Poverty Truth Commission 2018b, 19)</w:t>
      </w:r>
      <w:r w:rsidR="00A3273D" w:rsidRPr="00E14F67">
        <w:rPr>
          <w:rFonts w:cstheme="minorHAnsi"/>
          <w:color w:val="000000" w:themeColor="text1"/>
          <w:szCs w:val="22"/>
        </w:rPr>
        <w:t>.</w:t>
      </w:r>
      <w:r w:rsidR="00121091" w:rsidRPr="00E14F67">
        <w:rPr>
          <w:rFonts w:cstheme="minorHAnsi"/>
          <w:color w:val="000000" w:themeColor="text1"/>
          <w:szCs w:val="22"/>
        </w:rPr>
        <w:t xml:space="preserve"> </w:t>
      </w:r>
      <w:r w:rsidR="00A3273D" w:rsidRPr="00E14F67">
        <w:rPr>
          <w:rFonts w:cstheme="minorHAnsi"/>
          <w:color w:val="000000" w:themeColor="text1"/>
          <w:szCs w:val="22"/>
        </w:rPr>
        <w:t xml:space="preserve">Further, this participatory nature ‘respects the knowledge of those with lived experiences and recognises the expertise of experience’ </w:t>
      </w:r>
      <w:r w:rsidR="00A3273D" w:rsidRPr="00E14F67">
        <w:rPr>
          <w:rFonts w:cstheme="minorHAnsi"/>
          <w:noProof/>
          <w:color w:val="000000" w:themeColor="text1"/>
          <w:szCs w:val="22"/>
        </w:rPr>
        <w:t>(West Cheshire Poverty Truth Commission 2018a, 7)</w:t>
      </w:r>
      <w:r w:rsidR="00A3273D" w:rsidRPr="00E14F67">
        <w:rPr>
          <w:rFonts w:cstheme="minorHAnsi"/>
          <w:color w:val="000000" w:themeColor="text1"/>
          <w:szCs w:val="22"/>
        </w:rPr>
        <w:t xml:space="preserve">. </w:t>
      </w:r>
      <w:r w:rsidR="00575C8B" w:rsidRPr="00E14F67">
        <w:rPr>
          <w:rFonts w:cstheme="minorHAnsi"/>
          <w:color w:val="000000" w:themeColor="text1"/>
          <w:szCs w:val="22"/>
        </w:rPr>
        <w:t>Such commissions allow the reality of the lived experience of those living in poverty to be seen and heard: PTCs thus</w:t>
      </w:r>
      <w:r w:rsidR="00575C8B">
        <w:rPr>
          <w:rFonts w:cstheme="minorHAnsi"/>
          <w:color w:val="000000" w:themeColor="text1"/>
          <w:szCs w:val="22"/>
        </w:rPr>
        <w:t xml:space="preserve"> </w:t>
      </w:r>
      <w:r w:rsidR="00575C8B" w:rsidRPr="00E14F67">
        <w:rPr>
          <w:rFonts w:cstheme="minorHAnsi"/>
          <w:color w:val="000000" w:themeColor="text1"/>
          <w:szCs w:val="22"/>
        </w:rPr>
        <w:t xml:space="preserve">give a platform and a voice to those who would otherwise be unable to tell their stories. Such voices can act as powerful advocates for change </w:t>
      </w:r>
      <w:r w:rsidR="00575C8B" w:rsidRPr="00E14F67">
        <w:rPr>
          <w:rFonts w:cstheme="minorHAnsi"/>
          <w:noProof/>
          <w:color w:val="000000" w:themeColor="text1"/>
          <w:szCs w:val="22"/>
        </w:rPr>
        <w:t>(Cahill-Ripley 2019</w:t>
      </w:r>
      <w:r w:rsidR="00575C8B">
        <w:rPr>
          <w:rFonts w:cstheme="minorHAnsi"/>
          <w:noProof/>
          <w:color w:val="000000" w:themeColor="text1"/>
          <w:szCs w:val="22"/>
        </w:rPr>
        <w:t>a</w:t>
      </w:r>
      <w:r w:rsidR="00575C8B" w:rsidRPr="00E14F67">
        <w:rPr>
          <w:rFonts w:cstheme="minorHAnsi"/>
          <w:noProof/>
          <w:color w:val="000000" w:themeColor="text1"/>
          <w:szCs w:val="22"/>
        </w:rPr>
        <w:t>, 1266)</w:t>
      </w:r>
      <w:r w:rsidR="00575C8B" w:rsidRPr="00E14F67">
        <w:rPr>
          <w:rFonts w:cstheme="minorHAnsi"/>
          <w:color w:val="000000" w:themeColor="text1"/>
          <w:szCs w:val="22"/>
        </w:rPr>
        <w:t>.</w:t>
      </w:r>
      <w:r w:rsidR="00575C8B" w:rsidRPr="00575C8B">
        <w:rPr>
          <w:rFonts w:cstheme="minorHAnsi"/>
          <w:color w:val="000000" w:themeColor="text1"/>
          <w:szCs w:val="22"/>
        </w:rPr>
        <w:t xml:space="preserve"> </w:t>
      </w:r>
      <w:r w:rsidR="00575C8B" w:rsidRPr="00E14F67">
        <w:rPr>
          <w:rFonts w:cstheme="minorHAnsi"/>
          <w:color w:val="000000" w:themeColor="text1"/>
          <w:szCs w:val="22"/>
        </w:rPr>
        <w:t xml:space="preserve">The benefits of this participatory nature have been described as constituting a ‘slow but successful means of re-enacting democracy’ </w:t>
      </w:r>
      <w:r w:rsidR="00575C8B" w:rsidRPr="00E14F67">
        <w:rPr>
          <w:rFonts w:cstheme="minorHAnsi"/>
          <w:noProof/>
          <w:color w:val="000000" w:themeColor="text1"/>
          <w:szCs w:val="22"/>
        </w:rPr>
        <w:t>(West Cheshire Poverty Truth Commission 2018b, 19)</w:t>
      </w:r>
      <w:r w:rsidR="00575C8B" w:rsidRPr="00E14F67">
        <w:rPr>
          <w:rFonts w:cstheme="minorHAnsi"/>
          <w:color w:val="000000" w:themeColor="text1"/>
          <w:szCs w:val="22"/>
        </w:rPr>
        <w:t xml:space="preserve">. </w:t>
      </w:r>
    </w:p>
    <w:p w14:paraId="330F7E16" w14:textId="14D82D81" w:rsidR="00233A06" w:rsidRPr="00E14F67" w:rsidRDefault="008865A9" w:rsidP="00A1715A">
      <w:pPr>
        <w:spacing w:line="480" w:lineRule="auto"/>
        <w:jc w:val="both"/>
        <w:rPr>
          <w:rFonts w:cstheme="minorHAnsi"/>
          <w:szCs w:val="22"/>
        </w:rPr>
      </w:pPr>
      <w:r>
        <w:rPr>
          <w:rFonts w:cstheme="minorHAnsi"/>
          <w:color w:val="000000" w:themeColor="text1"/>
          <w:szCs w:val="22"/>
        </w:rPr>
        <w:tab/>
      </w:r>
      <w:r w:rsidR="00233A06" w:rsidRPr="00E14F67">
        <w:rPr>
          <w:rFonts w:cstheme="minorHAnsi"/>
          <w:color w:val="000000" w:themeColor="text1"/>
          <w:szCs w:val="22"/>
        </w:rPr>
        <w:t xml:space="preserve">Secondly the PTCs use moral persuasion rather than compulsion to pursue accountability of those in power and to drive change. </w:t>
      </w:r>
      <w:r w:rsidR="00AC3407">
        <w:rPr>
          <w:rFonts w:cstheme="minorHAnsi"/>
          <w:color w:val="000000" w:themeColor="text1"/>
          <w:szCs w:val="22"/>
        </w:rPr>
        <w:t>The PTCs facilitate</w:t>
      </w:r>
      <w:r w:rsidR="00F768F7">
        <w:rPr>
          <w:rFonts w:cstheme="minorHAnsi"/>
          <w:color w:val="000000" w:themeColor="text1"/>
          <w:szCs w:val="22"/>
        </w:rPr>
        <w:t xml:space="preserve"> rel</w:t>
      </w:r>
      <w:r w:rsidR="00AC3407">
        <w:rPr>
          <w:rFonts w:cstheme="minorHAnsi"/>
          <w:color w:val="000000" w:themeColor="text1"/>
          <w:szCs w:val="22"/>
        </w:rPr>
        <w:t>a</w:t>
      </w:r>
      <w:r w:rsidR="00F768F7">
        <w:rPr>
          <w:rFonts w:cstheme="minorHAnsi"/>
          <w:color w:val="000000" w:themeColor="text1"/>
          <w:szCs w:val="22"/>
        </w:rPr>
        <w:t xml:space="preserve">tionships between those who experience poverty and those who </w:t>
      </w:r>
      <w:r w:rsidR="00AC3407">
        <w:rPr>
          <w:rFonts w:cstheme="minorHAnsi"/>
          <w:color w:val="000000" w:themeColor="text1"/>
          <w:szCs w:val="22"/>
        </w:rPr>
        <w:t>have not encountered such poverty.  S</w:t>
      </w:r>
      <w:r w:rsidR="00233A06" w:rsidRPr="00E14F67">
        <w:rPr>
          <w:rFonts w:cstheme="minorHAnsi"/>
          <w:color w:val="000000" w:themeColor="text1"/>
          <w:szCs w:val="22"/>
        </w:rPr>
        <w:t xml:space="preserve">uch encounters </w:t>
      </w:r>
      <w:r w:rsidR="00293874">
        <w:rPr>
          <w:rFonts w:cstheme="minorHAnsi"/>
          <w:color w:val="000000" w:themeColor="text1"/>
          <w:szCs w:val="22"/>
        </w:rPr>
        <w:t>‘</w:t>
      </w:r>
      <w:r w:rsidR="00293874" w:rsidRPr="00293874">
        <w:rPr>
          <w:rFonts w:cstheme="minorHAnsi"/>
          <w:color w:val="000000" w:themeColor="text1"/>
          <w:szCs w:val="22"/>
        </w:rPr>
        <w:t>create</w:t>
      </w:r>
      <w:r w:rsidR="005E042F">
        <w:rPr>
          <w:rFonts w:cstheme="minorHAnsi"/>
          <w:color w:val="000000" w:themeColor="text1"/>
          <w:szCs w:val="22"/>
        </w:rPr>
        <w:t xml:space="preserve"> </w:t>
      </w:r>
      <w:r w:rsidR="00293874" w:rsidRPr="00293874">
        <w:rPr>
          <w:rFonts w:cstheme="minorHAnsi"/>
          <w:color w:val="000000" w:themeColor="text1"/>
          <w:szCs w:val="22"/>
        </w:rPr>
        <w:t>a deep discomfort in us that things really do need to change</w:t>
      </w:r>
      <w:r w:rsidR="00293874">
        <w:rPr>
          <w:rFonts w:cstheme="minorHAnsi"/>
          <w:color w:val="000000" w:themeColor="text1"/>
          <w:szCs w:val="22"/>
        </w:rPr>
        <w:t>’</w:t>
      </w:r>
      <w:r w:rsidR="00233A06" w:rsidRPr="00E14F67">
        <w:rPr>
          <w:rFonts w:cstheme="minorHAnsi"/>
          <w:color w:val="000000" w:themeColor="text1"/>
          <w:szCs w:val="22"/>
        </w:rPr>
        <w:t xml:space="preserve"> </w:t>
      </w:r>
      <w:r w:rsidR="00233A06" w:rsidRPr="00E14F67">
        <w:rPr>
          <w:rFonts w:cstheme="minorHAnsi"/>
          <w:noProof/>
          <w:color w:val="000000" w:themeColor="text1"/>
          <w:szCs w:val="22"/>
        </w:rPr>
        <w:t>(Knox 2018, 612)</w:t>
      </w:r>
      <w:r w:rsidR="00233A06" w:rsidRPr="00E14F67">
        <w:rPr>
          <w:rFonts w:cstheme="minorHAnsi"/>
          <w:color w:val="000000" w:themeColor="text1"/>
          <w:szCs w:val="22"/>
        </w:rPr>
        <w:t xml:space="preserve">.  Consequently, the use of PTCs to address poverty may </w:t>
      </w:r>
      <w:r w:rsidR="00233A06" w:rsidRPr="00E14F67">
        <w:rPr>
          <w:rFonts w:cstheme="minorHAnsi"/>
          <w:color w:val="000000" w:themeColor="text1"/>
          <w:szCs w:val="22"/>
        </w:rPr>
        <w:lastRenderedPageBreak/>
        <w:t xml:space="preserve">have the potential to induce a desire for change in those not directly affected by poverty and austerity and </w:t>
      </w:r>
      <w:r w:rsidR="00AC3407">
        <w:rPr>
          <w:rFonts w:cstheme="minorHAnsi"/>
          <w:color w:val="000000" w:themeColor="text1"/>
          <w:szCs w:val="22"/>
        </w:rPr>
        <w:t xml:space="preserve">to </w:t>
      </w:r>
      <w:r w:rsidR="00233A06" w:rsidRPr="00E14F67">
        <w:rPr>
          <w:rFonts w:cstheme="minorHAnsi"/>
          <w:color w:val="000000" w:themeColor="text1"/>
          <w:szCs w:val="22"/>
        </w:rPr>
        <w:t xml:space="preserve">engage the wider community. </w:t>
      </w:r>
    </w:p>
    <w:p w14:paraId="297FD803" w14:textId="0BBEF52C" w:rsidR="007D1EF0" w:rsidRPr="00E14F67" w:rsidRDefault="00BE299C" w:rsidP="00E14F67">
      <w:pPr>
        <w:spacing w:line="480" w:lineRule="auto"/>
        <w:ind w:firstLine="720"/>
        <w:jc w:val="both"/>
        <w:rPr>
          <w:rFonts w:cstheme="minorHAnsi"/>
          <w:color w:val="000000" w:themeColor="text1"/>
          <w:szCs w:val="22"/>
        </w:rPr>
      </w:pPr>
      <w:r w:rsidRPr="00E14F67">
        <w:rPr>
          <w:rFonts w:cstheme="minorHAnsi"/>
          <w:color w:val="000000" w:themeColor="text1"/>
          <w:szCs w:val="22"/>
        </w:rPr>
        <w:t>Thirdly,</w:t>
      </w:r>
      <w:r w:rsidR="00233A06" w:rsidRPr="00E14F67">
        <w:rPr>
          <w:rFonts w:cstheme="minorHAnsi"/>
          <w:color w:val="000000" w:themeColor="text1"/>
          <w:szCs w:val="22"/>
        </w:rPr>
        <w:t xml:space="preserve"> but importantly, the process of the PTCs also facilitates much wider participation than a legal case could incorporate, hence widening participation and extending the reach of justice. This question of capacity is important when searching for legitimacy within the community and society. The wider scope of CBTRCs ensures more stories and experiences can be heard. As those involved in Greensboro noted, ‘we looked at a much bigger picture than any court has painted or than any one group of people can tell’ </w:t>
      </w:r>
      <w:r w:rsidR="00233A06" w:rsidRPr="00E14F67">
        <w:rPr>
          <w:rFonts w:cstheme="minorHAnsi"/>
          <w:noProof/>
          <w:color w:val="000000" w:themeColor="text1"/>
          <w:szCs w:val="22"/>
        </w:rPr>
        <w:t>(Greensboro Truth and Reconciliation Commission 2006a, 2)</w:t>
      </w:r>
      <w:r w:rsidR="00233A06" w:rsidRPr="00E14F67">
        <w:rPr>
          <w:rFonts w:cstheme="minorHAnsi"/>
          <w:color w:val="000000" w:themeColor="text1"/>
          <w:szCs w:val="22"/>
        </w:rPr>
        <w:t>.</w:t>
      </w:r>
    </w:p>
    <w:p w14:paraId="7EF90F67" w14:textId="44567AF7" w:rsidR="00AC3407" w:rsidRPr="00E14F67" w:rsidRDefault="00AC3407" w:rsidP="00AC3407">
      <w:pPr>
        <w:spacing w:line="480" w:lineRule="auto"/>
        <w:ind w:firstLine="720"/>
        <w:jc w:val="both"/>
        <w:rPr>
          <w:rFonts w:cstheme="minorHAnsi"/>
          <w:bCs/>
          <w:iCs/>
          <w:color w:val="000000" w:themeColor="text1"/>
          <w:szCs w:val="22"/>
        </w:rPr>
      </w:pPr>
      <w:r w:rsidRPr="00E14F67">
        <w:rPr>
          <w:rFonts w:cstheme="minorHAnsi"/>
          <w:color w:val="000000" w:themeColor="text1"/>
          <w:szCs w:val="22"/>
        </w:rPr>
        <w:t>F</w:t>
      </w:r>
      <w:r>
        <w:rPr>
          <w:rFonts w:cstheme="minorHAnsi"/>
          <w:color w:val="000000" w:themeColor="text1"/>
          <w:szCs w:val="22"/>
        </w:rPr>
        <w:t>ourthly</w:t>
      </w:r>
      <w:r w:rsidRPr="00E14F67">
        <w:rPr>
          <w:rFonts w:cstheme="minorHAnsi"/>
          <w:color w:val="000000" w:themeColor="text1"/>
          <w:szCs w:val="22"/>
        </w:rPr>
        <w:t xml:space="preserve">, this pursuit of accountability generates data documenting evidence of injustice and violations. In the absence of state recognition of harms, it catalogues their experiences and produces a record of harms that cannot be dismissed or hidden or forgotten </w:t>
      </w:r>
      <w:r w:rsidRPr="00E14F67">
        <w:rPr>
          <w:rFonts w:cstheme="minorHAnsi"/>
          <w:noProof/>
          <w:color w:val="000000" w:themeColor="text1"/>
          <w:szCs w:val="22"/>
        </w:rPr>
        <w:t>(Hayner 2010, 20;84)</w:t>
      </w:r>
      <w:r w:rsidRPr="00E14F67">
        <w:rPr>
          <w:rFonts w:cstheme="minorHAnsi"/>
          <w:color w:val="000000" w:themeColor="text1"/>
          <w:szCs w:val="22"/>
        </w:rPr>
        <w:t>.</w:t>
      </w:r>
      <w:r>
        <w:rPr>
          <w:rFonts w:cstheme="minorHAnsi"/>
          <w:color w:val="000000" w:themeColor="text1"/>
          <w:szCs w:val="22"/>
        </w:rPr>
        <w:t xml:space="preserve"> </w:t>
      </w:r>
    </w:p>
    <w:p w14:paraId="235F8FBB" w14:textId="23375C22" w:rsidR="009E2960" w:rsidRDefault="00AC3407" w:rsidP="00E14F67">
      <w:pPr>
        <w:spacing w:line="480" w:lineRule="auto"/>
        <w:ind w:firstLine="720"/>
        <w:jc w:val="both"/>
        <w:rPr>
          <w:rFonts w:cstheme="minorHAnsi"/>
          <w:color w:val="000000" w:themeColor="text1"/>
          <w:szCs w:val="22"/>
        </w:rPr>
      </w:pPr>
      <w:r>
        <w:rPr>
          <w:rFonts w:cstheme="minorHAnsi"/>
          <w:color w:val="000000" w:themeColor="text1"/>
          <w:szCs w:val="22"/>
        </w:rPr>
        <w:t>I</w:t>
      </w:r>
      <w:r w:rsidR="009E2960" w:rsidRPr="009E2960">
        <w:rPr>
          <w:rFonts w:cstheme="minorHAnsi"/>
          <w:color w:val="000000" w:themeColor="text1"/>
          <w:szCs w:val="22"/>
        </w:rPr>
        <w:t>t is also important to note that justice for poverty-</w:t>
      </w:r>
      <w:r w:rsidR="00716D6B" w:rsidRPr="009E2960">
        <w:rPr>
          <w:rFonts w:cstheme="minorHAnsi"/>
          <w:color w:val="000000" w:themeColor="text1"/>
          <w:szCs w:val="22"/>
        </w:rPr>
        <w:t>related human</w:t>
      </w:r>
      <w:r w:rsidR="009E2960" w:rsidRPr="009E2960">
        <w:rPr>
          <w:rFonts w:cstheme="minorHAnsi"/>
          <w:color w:val="000000" w:themeColor="text1"/>
          <w:szCs w:val="22"/>
        </w:rPr>
        <w:t xml:space="preserve"> rights violations by the state can be realised through political accountability and elections. The PTC can also contribute to wider political movements for change including </w:t>
      </w:r>
      <w:r w:rsidR="009E2960">
        <w:rPr>
          <w:rFonts w:cstheme="minorHAnsi"/>
          <w:color w:val="000000" w:themeColor="text1"/>
          <w:szCs w:val="22"/>
        </w:rPr>
        <w:t xml:space="preserve">a </w:t>
      </w:r>
      <w:r w:rsidR="009E2960" w:rsidRPr="009E2960">
        <w:rPr>
          <w:rFonts w:cstheme="minorHAnsi"/>
          <w:color w:val="000000" w:themeColor="text1"/>
          <w:szCs w:val="22"/>
        </w:rPr>
        <w:t xml:space="preserve">change of government as the ultimate recognition of </w:t>
      </w:r>
      <w:r w:rsidR="009E2960">
        <w:rPr>
          <w:rFonts w:cstheme="minorHAnsi"/>
          <w:color w:val="000000" w:themeColor="text1"/>
          <w:szCs w:val="22"/>
        </w:rPr>
        <w:t>culpability</w:t>
      </w:r>
      <w:r w:rsidR="009E2960" w:rsidRPr="009E2960">
        <w:rPr>
          <w:rFonts w:cstheme="minorHAnsi"/>
          <w:color w:val="000000" w:themeColor="text1"/>
          <w:szCs w:val="22"/>
        </w:rPr>
        <w:t xml:space="preserve"> for </w:t>
      </w:r>
      <w:r w:rsidR="006C4885">
        <w:rPr>
          <w:rFonts w:cstheme="minorHAnsi"/>
          <w:color w:val="000000" w:themeColor="text1"/>
          <w:szCs w:val="22"/>
        </w:rPr>
        <w:t xml:space="preserve">detrimental </w:t>
      </w:r>
      <w:r w:rsidR="009E2960" w:rsidRPr="009E2960">
        <w:rPr>
          <w:rFonts w:cstheme="minorHAnsi"/>
          <w:color w:val="000000" w:themeColor="text1"/>
          <w:szCs w:val="22"/>
        </w:rPr>
        <w:t>policy choices.</w:t>
      </w:r>
    </w:p>
    <w:p w14:paraId="544BCA6B" w14:textId="77CBD72B" w:rsidR="00AC3407" w:rsidRDefault="00AC3407" w:rsidP="00AC3407">
      <w:pPr>
        <w:spacing w:line="480" w:lineRule="auto"/>
        <w:ind w:firstLine="720"/>
        <w:jc w:val="both"/>
        <w:rPr>
          <w:rFonts w:cstheme="minorHAnsi"/>
          <w:color w:val="000000" w:themeColor="text1"/>
          <w:szCs w:val="22"/>
        </w:rPr>
      </w:pPr>
      <w:r>
        <w:rPr>
          <w:rFonts w:cstheme="minorHAnsi"/>
          <w:color w:val="000000" w:themeColor="text1"/>
          <w:szCs w:val="22"/>
        </w:rPr>
        <w:t xml:space="preserve">Lastly, at an international level, </w:t>
      </w:r>
      <w:r w:rsidRPr="00AB2724">
        <w:rPr>
          <w:rFonts w:cstheme="minorHAnsi"/>
          <w:color w:val="000000" w:themeColor="text1"/>
          <w:szCs w:val="22"/>
        </w:rPr>
        <w:t>the PTCs have the potential to contribute to global</w:t>
      </w:r>
      <w:r w:rsidRPr="00E14F67">
        <w:rPr>
          <w:rFonts w:cstheme="minorHAnsi"/>
          <w:color w:val="000000" w:themeColor="text1"/>
          <w:szCs w:val="22"/>
        </w:rPr>
        <w:t xml:space="preserve"> accountability mechanisms. For example, The PTCs in future could undertake a parallel report for a UN human rights monitoring body thus ‘advancing domestic poverty issues on a global stage’ (Donald and Mottershaw 2009, 6). </w:t>
      </w:r>
    </w:p>
    <w:p w14:paraId="1AA558C9" w14:textId="77777777" w:rsidR="00AC3407" w:rsidRPr="00C9569B" w:rsidRDefault="00AC3407" w:rsidP="00C9569B">
      <w:pPr>
        <w:pStyle w:val="NormalIndent"/>
      </w:pPr>
    </w:p>
    <w:p w14:paraId="30C3E259" w14:textId="42C98C9F" w:rsidR="00D002A8" w:rsidRPr="00D002A8" w:rsidRDefault="002102C1" w:rsidP="00C9569B">
      <w:pPr>
        <w:spacing w:line="480" w:lineRule="auto"/>
        <w:ind w:firstLine="720"/>
        <w:jc w:val="both"/>
      </w:pPr>
      <w:r w:rsidRPr="00E14F67">
        <w:rPr>
          <w:rFonts w:cstheme="minorHAnsi"/>
          <w:color w:val="000000" w:themeColor="text1"/>
          <w:szCs w:val="22"/>
        </w:rPr>
        <w:lastRenderedPageBreak/>
        <w:t xml:space="preserve">In sum the PTC make a valuable contribution to ‘The pursuit of accountability’ </w:t>
      </w:r>
      <w:r w:rsidR="00AC3407">
        <w:rPr>
          <w:rFonts w:cstheme="minorHAnsi"/>
          <w:color w:val="000000" w:themeColor="text1"/>
          <w:szCs w:val="22"/>
        </w:rPr>
        <w:t xml:space="preserve">at local, regional, national and international levels. Such a contribution </w:t>
      </w:r>
      <w:r w:rsidRPr="00E14F67">
        <w:rPr>
          <w:rFonts w:cstheme="minorHAnsi"/>
          <w:color w:val="000000" w:themeColor="text1"/>
          <w:szCs w:val="22"/>
        </w:rPr>
        <w:t>can in turn ‘generate data, policy solutions and new understandings of poverty which may, […] open up spaces for engagement with the state and influence official action.’ (Donald and Mottershaw</w:t>
      </w:r>
      <w:r w:rsidR="00597254" w:rsidRPr="00E14F67">
        <w:rPr>
          <w:rFonts w:cstheme="minorHAnsi"/>
          <w:color w:val="000000" w:themeColor="text1"/>
          <w:szCs w:val="22"/>
        </w:rPr>
        <w:t xml:space="preserve"> </w:t>
      </w:r>
      <w:r w:rsidRPr="00E14F67">
        <w:rPr>
          <w:rFonts w:cstheme="minorHAnsi"/>
          <w:color w:val="000000" w:themeColor="text1"/>
          <w:szCs w:val="22"/>
        </w:rPr>
        <w:t>2009, 6).</w:t>
      </w:r>
    </w:p>
    <w:p w14:paraId="22322776" w14:textId="32867132" w:rsidR="00447F02" w:rsidRPr="00E14F67" w:rsidRDefault="002102C1" w:rsidP="005D7E53">
      <w:pPr>
        <w:spacing w:line="480" w:lineRule="auto"/>
        <w:ind w:firstLine="720"/>
        <w:jc w:val="both"/>
        <w:rPr>
          <w:rFonts w:cstheme="minorHAnsi"/>
          <w:color w:val="000000" w:themeColor="text1"/>
          <w:szCs w:val="22"/>
        </w:rPr>
      </w:pPr>
      <w:r w:rsidRPr="00E14F67">
        <w:rPr>
          <w:rFonts w:cstheme="minorHAnsi"/>
          <w:color w:val="000000" w:themeColor="text1"/>
          <w:szCs w:val="22"/>
        </w:rPr>
        <w:t xml:space="preserve">Lederach’s second component of justice, recompense (or restitution/reparation) </w:t>
      </w:r>
      <w:r w:rsidR="00A533C4">
        <w:rPr>
          <w:rFonts w:cstheme="minorHAnsi"/>
          <w:color w:val="000000" w:themeColor="text1"/>
          <w:szCs w:val="22"/>
        </w:rPr>
        <w:t>can</w:t>
      </w:r>
      <w:r w:rsidR="000A44BC">
        <w:rPr>
          <w:rFonts w:cstheme="minorHAnsi"/>
          <w:color w:val="000000" w:themeColor="text1"/>
          <w:szCs w:val="22"/>
        </w:rPr>
        <w:t xml:space="preserve"> be understood as</w:t>
      </w:r>
      <w:r w:rsidRPr="00E14F67">
        <w:rPr>
          <w:rFonts w:cstheme="minorHAnsi"/>
          <w:color w:val="000000" w:themeColor="text1"/>
          <w:szCs w:val="22"/>
        </w:rPr>
        <w:t xml:space="preserve"> ‘seek[ing] to make those responsible for the harms done ‘pay’ for the damage done or restore in some form what has been lost’ (Lederach</w:t>
      </w:r>
      <w:r w:rsidR="00597254" w:rsidRPr="00E14F67">
        <w:rPr>
          <w:rFonts w:cstheme="minorHAnsi"/>
          <w:color w:val="000000" w:themeColor="text1"/>
          <w:szCs w:val="22"/>
        </w:rPr>
        <w:t xml:space="preserve"> </w:t>
      </w:r>
      <w:r w:rsidRPr="00E14F67">
        <w:rPr>
          <w:rFonts w:cstheme="minorHAnsi"/>
          <w:color w:val="000000" w:themeColor="text1"/>
          <w:szCs w:val="22"/>
        </w:rPr>
        <w:t>2001, 852)</w:t>
      </w:r>
      <w:r w:rsidR="000A44BC">
        <w:rPr>
          <w:rFonts w:cstheme="minorHAnsi"/>
          <w:color w:val="000000" w:themeColor="text1"/>
          <w:szCs w:val="22"/>
        </w:rPr>
        <w:t>.</w:t>
      </w:r>
      <w:r w:rsidRPr="00E14F67">
        <w:rPr>
          <w:rFonts w:cstheme="minorHAnsi"/>
          <w:szCs w:val="22"/>
        </w:rPr>
        <w:t xml:space="preserve"> </w:t>
      </w:r>
      <w:r w:rsidR="000A44BC">
        <w:rPr>
          <w:rFonts w:cstheme="minorHAnsi"/>
          <w:szCs w:val="22"/>
        </w:rPr>
        <w:t>W</w:t>
      </w:r>
      <w:r w:rsidRPr="00E14F67">
        <w:rPr>
          <w:rFonts w:cstheme="minorHAnsi"/>
          <w:color w:val="000000" w:themeColor="text1"/>
          <w:szCs w:val="22"/>
        </w:rPr>
        <w:t xml:space="preserve">hilst there are no reparations in the classic sense of financial recompense or individual remedy though a judicial mechanism, the process of the PTCs seeks to make those with power (local leaders, </w:t>
      </w:r>
      <w:r w:rsidR="00E33407" w:rsidRPr="00E14F67">
        <w:rPr>
          <w:rFonts w:cstheme="minorHAnsi"/>
          <w:color w:val="000000" w:themeColor="text1"/>
          <w:szCs w:val="22"/>
        </w:rPr>
        <w:t>business</w:t>
      </w:r>
      <w:r w:rsidR="00E33407">
        <w:rPr>
          <w:rFonts w:cstheme="minorHAnsi"/>
          <w:color w:val="000000" w:themeColor="text1"/>
          <w:szCs w:val="22"/>
        </w:rPr>
        <w:t>persons</w:t>
      </w:r>
      <w:r w:rsidR="00E33407" w:rsidRPr="00E14F67">
        <w:rPr>
          <w:rFonts w:cstheme="minorHAnsi"/>
          <w:color w:val="000000" w:themeColor="text1"/>
          <w:szCs w:val="22"/>
        </w:rPr>
        <w:t xml:space="preserve"> </w:t>
      </w:r>
      <w:r w:rsidRPr="00E14F67">
        <w:rPr>
          <w:rFonts w:cstheme="minorHAnsi"/>
          <w:color w:val="000000" w:themeColor="text1"/>
          <w:szCs w:val="22"/>
        </w:rPr>
        <w:t xml:space="preserve">and local government) ‘take a greater level of responsibility for their </w:t>
      </w:r>
      <w:r w:rsidRPr="004E0BB0">
        <w:rPr>
          <w:rFonts w:cstheme="minorHAnsi"/>
          <w:color w:val="000000" w:themeColor="text1"/>
          <w:szCs w:val="22"/>
        </w:rPr>
        <w:t>actions’ (</w:t>
      </w:r>
      <w:r w:rsidR="004E0BB0" w:rsidRPr="004E0BB0">
        <w:rPr>
          <w:rFonts w:cstheme="minorHAnsi"/>
          <w:color w:val="000000" w:themeColor="text1"/>
          <w:szCs w:val="22"/>
        </w:rPr>
        <w:t>Lederach, 2001, 852</w:t>
      </w:r>
      <w:r w:rsidR="00716D6B" w:rsidRPr="004E0BB0">
        <w:rPr>
          <w:rFonts w:cstheme="minorHAnsi"/>
          <w:color w:val="000000" w:themeColor="text1"/>
          <w:szCs w:val="22"/>
        </w:rPr>
        <w:t>), resulting</w:t>
      </w:r>
      <w:r w:rsidRPr="004E0BB0">
        <w:rPr>
          <w:rFonts w:cstheme="minorHAnsi"/>
          <w:color w:val="000000" w:themeColor="text1"/>
          <w:szCs w:val="22"/>
        </w:rPr>
        <w:t xml:space="preserve"> in tangible outcomes to effect positive change.</w:t>
      </w:r>
      <w:r w:rsidRPr="00E14F67">
        <w:rPr>
          <w:rFonts w:cstheme="minorHAnsi"/>
          <w:color w:val="000000" w:themeColor="text1"/>
          <w:szCs w:val="22"/>
        </w:rPr>
        <w:t xml:space="preserve"> </w:t>
      </w:r>
      <w:r w:rsidR="003457CA" w:rsidRPr="00E14F67">
        <w:rPr>
          <w:rFonts w:cstheme="minorHAnsi"/>
          <w:color w:val="000000" w:themeColor="text1"/>
          <w:szCs w:val="22"/>
        </w:rPr>
        <w:t xml:space="preserve"> </w:t>
      </w:r>
    </w:p>
    <w:p w14:paraId="5949D66D" w14:textId="16B88093" w:rsidR="00780AA7" w:rsidRPr="00E14F67" w:rsidRDefault="005C68C8" w:rsidP="00E14F67">
      <w:pPr>
        <w:spacing w:line="480" w:lineRule="auto"/>
        <w:ind w:firstLine="720"/>
        <w:jc w:val="both"/>
        <w:rPr>
          <w:rFonts w:cstheme="minorHAnsi"/>
          <w:color w:val="000000" w:themeColor="text1"/>
          <w:szCs w:val="22"/>
        </w:rPr>
      </w:pPr>
      <w:r w:rsidRPr="00E14F67">
        <w:rPr>
          <w:rFonts w:cstheme="minorHAnsi"/>
          <w:color w:val="000000" w:themeColor="text1"/>
          <w:szCs w:val="22"/>
        </w:rPr>
        <w:t>Evaluating the PTCs in terms of outcomes is challenging. Just as evaluating the outcome and effectiveness of CBTRCs in the USA is dependent on how one measures success, so too there will be varying views as to how successful the PTCs have been in addressing material poverty. However, it is clear that they have driven change to effect positive changes to the lives of those living in poverty. Change is evident on several levels</w:t>
      </w:r>
      <w:r w:rsidR="00F44698" w:rsidRPr="00E14F67">
        <w:rPr>
          <w:rFonts w:cstheme="minorHAnsi"/>
          <w:color w:val="000000" w:themeColor="text1"/>
          <w:szCs w:val="22"/>
        </w:rPr>
        <w:t>:</w:t>
      </w:r>
      <w:r w:rsidR="00795F3D" w:rsidRPr="00E14F67">
        <w:rPr>
          <w:rFonts w:cstheme="minorHAnsi"/>
          <w:color w:val="000000" w:themeColor="text1"/>
          <w:szCs w:val="22"/>
        </w:rPr>
        <w:t xml:space="preserve"> </w:t>
      </w:r>
      <w:r w:rsidR="00EB38F7" w:rsidRPr="00E14F67">
        <w:rPr>
          <w:rFonts w:cstheme="minorHAnsi"/>
          <w:color w:val="000000" w:themeColor="text1"/>
          <w:szCs w:val="22"/>
        </w:rPr>
        <w:t>personal, cultural and tangible (Goldstraw</w:t>
      </w:r>
      <w:r w:rsidR="00597254" w:rsidRPr="00E14F67">
        <w:rPr>
          <w:rFonts w:cstheme="minorHAnsi"/>
          <w:color w:val="000000" w:themeColor="text1"/>
          <w:szCs w:val="22"/>
        </w:rPr>
        <w:t xml:space="preserve"> et al. </w:t>
      </w:r>
      <w:r w:rsidR="00EB38F7" w:rsidRPr="00E14F67">
        <w:rPr>
          <w:rFonts w:cstheme="minorHAnsi"/>
          <w:color w:val="000000" w:themeColor="text1"/>
          <w:szCs w:val="22"/>
        </w:rPr>
        <w:t>2019, 1)</w:t>
      </w:r>
      <w:r w:rsidR="00F44698" w:rsidRPr="00E14F67">
        <w:rPr>
          <w:rFonts w:cstheme="minorHAnsi"/>
          <w:color w:val="000000" w:themeColor="text1"/>
          <w:szCs w:val="22"/>
        </w:rPr>
        <w:t xml:space="preserve"> each of which can overlap</w:t>
      </w:r>
      <w:r w:rsidR="00EB38F7" w:rsidRPr="00E14F67">
        <w:rPr>
          <w:rFonts w:cstheme="minorHAnsi"/>
          <w:color w:val="000000" w:themeColor="text1"/>
          <w:szCs w:val="22"/>
        </w:rPr>
        <w:t xml:space="preserve">.  </w:t>
      </w:r>
      <w:r w:rsidRPr="00E14F67">
        <w:rPr>
          <w:rFonts w:cstheme="minorHAnsi"/>
          <w:color w:val="000000" w:themeColor="text1"/>
          <w:szCs w:val="22"/>
        </w:rPr>
        <w:t xml:space="preserve"> </w:t>
      </w:r>
      <w:r w:rsidR="0015007C" w:rsidRPr="00E14F67">
        <w:rPr>
          <w:rFonts w:cstheme="minorHAnsi"/>
          <w:color w:val="000000" w:themeColor="text1"/>
          <w:szCs w:val="22"/>
        </w:rPr>
        <w:t xml:space="preserve">Goldstraw </w:t>
      </w:r>
      <w:r w:rsidR="0015007C" w:rsidRPr="00E14F67">
        <w:rPr>
          <w:rFonts w:cstheme="minorHAnsi"/>
          <w:i/>
          <w:iCs/>
          <w:color w:val="000000" w:themeColor="text1"/>
          <w:szCs w:val="22"/>
        </w:rPr>
        <w:t>et al</w:t>
      </w:r>
      <w:r w:rsidR="0015007C" w:rsidRPr="00E14F67">
        <w:rPr>
          <w:rFonts w:cstheme="minorHAnsi"/>
          <w:color w:val="000000" w:themeColor="text1"/>
          <w:szCs w:val="22"/>
        </w:rPr>
        <w:t xml:space="preserve"> note that although most PTCs </w:t>
      </w:r>
      <w:r w:rsidR="005255DC">
        <w:rPr>
          <w:rFonts w:cstheme="minorHAnsi"/>
          <w:color w:val="000000" w:themeColor="text1"/>
          <w:szCs w:val="22"/>
        </w:rPr>
        <w:t>begin</w:t>
      </w:r>
      <w:r w:rsidR="0015007C" w:rsidRPr="00E14F67">
        <w:rPr>
          <w:rFonts w:cstheme="minorHAnsi"/>
          <w:color w:val="000000" w:themeColor="text1"/>
          <w:szCs w:val="22"/>
        </w:rPr>
        <w:t xml:space="preserve"> with the aim of </w:t>
      </w:r>
      <w:r w:rsidR="00795F3D" w:rsidRPr="00E14F67">
        <w:rPr>
          <w:rFonts w:cstheme="minorHAnsi"/>
          <w:color w:val="000000" w:themeColor="text1"/>
          <w:szCs w:val="22"/>
        </w:rPr>
        <w:t>tangible</w:t>
      </w:r>
      <w:r w:rsidR="0015007C" w:rsidRPr="00E14F67">
        <w:rPr>
          <w:rFonts w:cstheme="minorHAnsi"/>
          <w:color w:val="000000" w:themeColor="text1"/>
          <w:szCs w:val="22"/>
        </w:rPr>
        <w:t xml:space="preserve"> change such as policy change, they soon realised that </w:t>
      </w:r>
      <w:r w:rsidR="00795F3D" w:rsidRPr="00E14F67">
        <w:rPr>
          <w:rFonts w:cstheme="minorHAnsi"/>
          <w:color w:val="000000" w:themeColor="text1"/>
          <w:szCs w:val="22"/>
        </w:rPr>
        <w:t>‘</w:t>
      </w:r>
      <w:r w:rsidR="0015007C" w:rsidRPr="00E14F67">
        <w:rPr>
          <w:rFonts w:cstheme="minorHAnsi"/>
          <w:color w:val="000000" w:themeColor="text1"/>
          <w:szCs w:val="22"/>
        </w:rPr>
        <w:t xml:space="preserve">tangible changes were just one side of the triangle. Personal changes for each commissioner and broader </w:t>
      </w:r>
      <w:r w:rsidR="0015007C" w:rsidRPr="00E14F67">
        <w:rPr>
          <w:rFonts w:cstheme="minorHAnsi"/>
          <w:color w:val="000000" w:themeColor="text1"/>
          <w:szCs w:val="22"/>
        </w:rPr>
        <w:lastRenderedPageBreak/>
        <w:t>cultural changes in the policy environment were outcomes that were very much part of the changes achieved by PTCs’</w:t>
      </w:r>
      <w:r w:rsidR="00795F3D" w:rsidRPr="00E14F67">
        <w:rPr>
          <w:rFonts w:cstheme="minorHAnsi"/>
          <w:szCs w:val="22"/>
        </w:rPr>
        <w:t xml:space="preserve"> </w:t>
      </w:r>
      <w:bookmarkStart w:id="7" w:name="_Hlk51496392"/>
      <w:r w:rsidR="00795F3D" w:rsidRPr="00E14F67">
        <w:rPr>
          <w:rFonts w:cstheme="minorHAnsi"/>
          <w:color w:val="000000" w:themeColor="text1"/>
          <w:szCs w:val="22"/>
        </w:rPr>
        <w:t>(Goldstraw</w:t>
      </w:r>
      <w:r w:rsidR="00597254" w:rsidRPr="00E14F67">
        <w:rPr>
          <w:rFonts w:cstheme="minorHAnsi"/>
          <w:color w:val="000000" w:themeColor="text1"/>
          <w:szCs w:val="22"/>
        </w:rPr>
        <w:t xml:space="preserve"> et al </w:t>
      </w:r>
      <w:r w:rsidR="00795F3D" w:rsidRPr="00E14F67">
        <w:rPr>
          <w:rFonts w:cstheme="minorHAnsi"/>
          <w:color w:val="000000" w:themeColor="text1"/>
          <w:szCs w:val="22"/>
        </w:rPr>
        <w:t>2019, 13).</w:t>
      </w:r>
      <w:r w:rsidR="0015007C" w:rsidRPr="00E14F67">
        <w:rPr>
          <w:rFonts w:cstheme="minorHAnsi"/>
          <w:color w:val="000000" w:themeColor="text1"/>
          <w:szCs w:val="22"/>
        </w:rPr>
        <w:t xml:space="preserve"> </w:t>
      </w:r>
      <w:bookmarkEnd w:id="7"/>
    </w:p>
    <w:p w14:paraId="4FA74426" w14:textId="14993A1E" w:rsidR="001424FF" w:rsidRPr="00F81D5A" w:rsidRDefault="00EB38F7" w:rsidP="00283973">
      <w:pPr>
        <w:spacing w:line="480" w:lineRule="auto"/>
        <w:ind w:firstLine="720"/>
        <w:jc w:val="both"/>
        <w:rPr>
          <w:rFonts w:cstheme="minorHAnsi"/>
          <w:color w:val="000000" w:themeColor="text1"/>
          <w:szCs w:val="22"/>
        </w:rPr>
      </w:pPr>
      <w:r w:rsidRPr="00EB7A76">
        <w:rPr>
          <w:rFonts w:cstheme="minorHAnsi"/>
          <w:color w:val="000000" w:themeColor="text1"/>
          <w:szCs w:val="22"/>
        </w:rPr>
        <w:t>Specific tangible policy changes</w:t>
      </w:r>
      <w:r w:rsidRPr="00172056">
        <w:rPr>
          <w:rFonts w:cstheme="minorHAnsi"/>
          <w:color w:val="000000" w:themeColor="text1"/>
          <w:szCs w:val="22"/>
        </w:rPr>
        <w:t xml:space="preserve"> </w:t>
      </w:r>
      <w:r w:rsidRPr="00E14F67">
        <w:rPr>
          <w:rFonts w:cstheme="minorHAnsi"/>
          <w:color w:val="000000" w:themeColor="text1"/>
          <w:szCs w:val="22"/>
        </w:rPr>
        <w:t xml:space="preserve">as a result of PTCs include </w:t>
      </w:r>
      <w:r w:rsidRPr="00E14F67">
        <w:rPr>
          <w:rFonts w:cstheme="minorHAnsi"/>
          <w:i/>
          <w:iCs/>
          <w:color w:val="000000" w:themeColor="text1"/>
          <w:szCs w:val="22"/>
        </w:rPr>
        <w:t>inter alia</w:t>
      </w:r>
      <w:r w:rsidRPr="00E14F67">
        <w:rPr>
          <w:rFonts w:cstheme="minorHAnsi"/>
          <w:color w:val="000000" w:themeColor="text1"/>
          <w:szCs w:val="22"/>
        </w:rPr>
        <w:t>, a GP Engagement Strategy, a Support Guide for Rough Sleepers, a change of Policy re School Clothing Grant</w:t>
      </w:r>
      <w:r w:rsidR="001702C6">
        <w:rPr>
          <w:rFonts w:cstheme="minorHAnsi"/>
          <w:color w:val="000000" w:themeColor="text1"/>
          <w:szCs w:val="22"/>
        </w:rPr>
        <w:t xml:space="preserve"> (from a piecemeal approach across authorities to a standardised  and sufficient grant for all who required it)</w:t>
      </w:r>
      <w:r w:rsidRPr="00E14F67">
        <w:rPr>
          <w:rFonts w:cstheme="minorHAnsi"/>
          <w:color w:val="000000" w:themeColor="text1"/>
          <w:szCs w:val="22"/>
        </w:rPr>
        <w:t xml:space="preserve">, a newly created Council website to help local people with debt; access to identity documents for the homeless </w:t>
      </w:r>
      <w:r w:rsidR="001702C6">
        <w:rPr>
          <w:rFonts w:cstheme="minorHAnsi"/>
          <w:color w:val="000000" w:themeColor="text1"/>
          <w:szCs w:val="22"/>
        </w:rPr>
        <w:t xml:space="preserve">(removal of the requirement of an address to access a birth certificate) </w:t>
      </w:r>
      <w:r w:rsidRPr="00E14F67">
        <w:rPr>
          <w:rFonts w:cstheme="minorHAnsi"/>
          <w:color w:val="000000" w:themeColor="text1"/>
          <w:szCs w:val="22"/>
        </w:rPr>
        <w:t>and ‘connecting [the] local to [the] national conversation’ on tackling poverty (Goldstraw</w:t>
      </w:r>
      <w:r w:rsidR="00597254" w:rsidRPr="00E14F67">
        <w:rPr>
          <w:rFonts w:cstheme="minorHAnsi"/>
          <w:color w:val="000000" w:themeColor="text1"/>
          <w:szCs w:val="22"/>
        </w:rPr>
        <w:t xml:space="preserve"> et al </w:t>
      </w:r>
      <w:r w:rsidRPr="00E14F67">
        <w:rPr>
          <w:rFonts w:cstheme="minorHAnsi"/>
          <w:color w:val="000000" w:themeColor="text1"/>
          <w:szCs w:val="22"/>
        </w:rPr>
        <w:t xml:space="preserve">2019, 14-15). </w:t>
      </w:r>
      <w:r w:rsidR="001424FF" w:rsidRPr="00E14F67">
        <w:rPr>
          <w:rFonts w:cstheme="minorHAnsi"/>
          <w:color w:val="000000" w:themeColor="text1"/>
          <w:szCs w:val="22"/>
        </w:rPr>
        <w:t xml:space="preserve"> </w:t>
      </w:r>
      <w:r w:rsidRPr="00E14F67">
        <w:rPr>
          <w:rFonts w:cstheme="minorHAnsi"/>
          <w:color w:val="000000" w:themeColor="text1"/>
          <w:szCs w:val="22"/>
        </w:rPr>
        <w:t>In Salford the PTC’s work resulted in the redesigning of the council debt recovery process</w:t>
      </w:r>
      <w:r w:rsidR="00A92FE1">
        <w:rPr>
          <w:rFonts w:cstheme="minorHAnsi"/>
          <w:color w:val="000000" w:themeColor="text1"/>
          <w:szCs w:val="22"/>
        </w:rPr>
        <w:t>:</w:t>
      </w:r>
      <w:r w:rsidR="00EB7A76">
        <w:rPr>
          <w:rFonts w:cstheme="minorHAnsi"/>
          <w:color w:val="000000" w:themeColor="text1"/>
          <w:szCs w:val="22"/>
        </w:rPr>
        <w:t xml:space="preserve"> As a result of joint meetings between the PTC and the City Council, the </w:t>
      </w:r>
      <w:r w:rsidR="00EB7A76" w:rsidRPr="00EB7A76">
        <w:rPr>
          <w:rFonts w:cstheme="minorHAnsi"/>
          <w:color w:val="000000" w:themeColor="text1"/>
          <w:szCs w:val="22"/>
        </w:rPr>
        <w:t>Council simplif</w:t>
      </w:r>
      <w:r w:rsidR="00EB7A76">
        <w:rPr>
          <w:rFonts w:cstheme="minorHAnsi"/>
          <w:color w:val="000000" w:themeColor="text1"/>
          <w:szCs w:val="22"/>
        </w:rPr>
        <w:t>ied</w:t>
      </w:r>
      <w:r w:rsidR="00EB7A76" w:rsidRPr="00EB7A76">
        <w:rPr>
          <w:rFonts w:cstheme="minorHAnsi"/>
          <w:color w:val="000000" w:themeColor="text1"/>
          <w:szCs w:val="22"/>
        </w:rPr>
        <w:t xml:space="preserve"> the language </w:t>
      </w:r>
      <w:r w:rsidR="00EB7A76">
        <w:rPr>
          <w:rFonts w:cstheme="minorHAnsi"/>
          <w:color w:val="000000" w:themeColor="text1"/>
          <w:szCs w:val="22"/>
        </w:rPr>
        <w:t xml:space="preserve">used in </w:t>
      </w:r>
      <w:r w:rsidR="00EB7A76" w:rsidRPr="00EB7A76">
        <w:rPr>
          <w:rFonts w:cstheme="minorHAnsi"/>
          <w:color w:val="000000" w:themeColor="text1"/>
          <w:szCs w:val="22"/>
        </w:rPr>
        <w:t>their letters</w:t>
      </w:r>
      <w:r w:rsidR="00EB7A76">
        <w:rPr>
          <w:rFonts w:cstheme="minorHAnsi"/>
          <w:color w:val="000000" w:themeColor="text1"/>
          <w:szCs w:val="22"/>
        </w:rPr>
        <w:t xml:space="preserve">; </w:t>
      </w:r>
      <w:r w:rsidR="00EB7A76" w:rsidRPr="00EB7A76">
        <w:rPr>
          <w:rFonts w:cstheme="minorHAnsi"/>
          <w:color w:val="000000" w:themeColor="text1"/>
          <w:szCs w:val="22"/>
        </w:rPr>
        <w:t>recognize</w:t>
      </w:r>
      <w:r w:rsidR="00EB7A76">
        <w:rPr>
          <w:rFonts w:cstheme="minorHAnsi"/>
          <w:color w:val="000000" w:themeColor="text1"/>
          <w:szCs w:val="22"/>
        </w:rPr>
        <w:t>d</w:t>
      </w:r>
      <w:r w:rsidR="00EB7A76" w:rsidRPr="00EB7A76">
        <w:rPr>
          <w:rFonts w:cstheme="minorHAnsi"/>
          <w:color w:val="000000" w:themeColor="text1"/>
          <w:szCs w:val="22"/>
        </w:rPr>
        <w:t xml:space="preserve"> </w:t>
      </w:r>
      <w:r w:rsidR="00EB7A76">
        <w:rPr>
          <w:rFonts w:cstheme="minorHAnsi"/>
          <w:color w:val="000000" w:themeColor="text1"/>
          <w:szCs w:val="22"/>
        </w:rPr>
        <w:t>that not</w:t>
      </w:r>
      <w:r w:rsidR="00EB7A76" w:rsidRPr="00EB7A76">
        <w:rPr>
          <w:rFonts w:cstheme="minorHAnsi"/>
          <w:color w:val="000000" w:themeColor="text1"/>
          <w:szCs w:val="22"/>
        </w:rPr>
        <w:t xml:space="preserve"> everyone can use the internet and so </w:t>
      </w:r>
      <w:r w:rsidR="00EB7A76">
        <w:rPr>
          <w:rFonts w:cstheme="minorHAnsi"/>
          <w:color w:val="000000" w:themeColor="text1"/>
          <w:szCs w:val="22"/>
        </w:rPr>
        <w:t xml:space="preserve">established a drop in session where </w:t>
      </w:r>
      <w:r w:rsidR="00EB7A76" w:rsidRPr="00EB7A76">
        <w:rPr>
          <w:rFonts w:cstheme="minorHAnsi"/>
          <w:color w:val="000000" w:themeColor="text1"/>
          <w:szCs w:val="22"/>
        </w:rPr>
        <w:t>residents attended to discuss their council tax concerns</w:t>
      </w:r>
      <w:r w:rsidR="00EB7A76">
        <w:rPr>
          <w:rFonts w:cstheme="minorHAnsi"/>
          <w:color w:val="000000" w:themeColor="text1"/>
          <w:szCs w:val="22"/>
        </w:rPr>
        <w:t xml:space="preserve"> and ‘</w:t>
      </w:r>
      <w:r w:rsidR="00EB7A76" w:rsidRPr="00EB7A76">
        <w:rPr>
          <w:rFonts w:cstheme="minorHAnsi"/>
          <w:color w:val="000000" w:themeColor="text1"/>
          <w:szCs w:val="22"/>
        </w:rPr>
        <w:t>agreed not to use bailiffs to collect any arrears owed to the Council for people classed as vulnerable in future</w:t>
      </w:r>
      <w:r w:rsidR="00EB7A76">
        <w:rPr>
          <w:rFonts w:cstheme="minorHAnsi"/>
          <w:color w:val="000000" w:themeColor="text1"/>
          <w:szCs w:val="22"/>
        </w:rPr>
        <w:t>’</w:t>
      </w:r>
      <w:r w:rsidR="00A92FE1">
        <w:rPr>
          <w:rFonts w:cstheme="minorHAnsi"/>
          <w:color w:val="000000" w:themeColor="text1"/>
          <w:szCs w:val="22"/>
        </w:rPr>
        <w:t xml:space="preserve"> </w:t>
      </w:r>
      <w:r w:rsidR="00EB7A76" w:rsidRPr="00EB7A76">
        <w:rPr>
          <w:rFonts w:cstheme="minorHAnsi"/>
          <w:color w:val="000000" w:themeColor="text1"/>
          <w:szCs w:val="22"/>
        </w:rPr>
        <w:t xml:space="preserve">(Salford Poverty Truth Commission 2017, 9). </w:t>
      </w:r>
      <w:r w:rsidR="00F44698" w:rsidRPr="00E14F67">
        <w:rPr>
          <w:rFonts w:cstheme="minorHAnsi"/>
          <w:color w:val="000000" w:themeColor="text1"/>
          <w:szCs w:val="22"/>
        </w:rPr>
        <w:t xml:space="preserve">They also document individual tangible outcomes, such as a grassroots commissioner successfully challenging their housing benefit decision due to advice and support from a </w:t>
      </w:r>
      <w:r w:rsidR="00C1135F">
        <w:rPr>
          <w:rFonts w:cstheme="minorHAnsi"/>
          <w:color w:val="000000" w:themeColor="text1"/>
          <w:szCs w:val="22"/>
        </w:rPr>
        <w:t xml:space="preserve">professional member of the poverty truth </w:t>
      </w:r>
      <w:r w:rsidR="00F44698" w:rsidRPr="00E14F67">
        <w:rPr>
          <w:rFonts w:cstheme="minorHAnsi"/>
          <w:color w:val="000000" w:themeColor="text1"/>
          <w:szCs w:val="22"/>
        </w:rPr>
        <w:t>commission and a welfare rights worker at the council (</w:t>
      </w:r>
      <w:r w:rsidR="008F01D9" w:rsidRPr="00E14F67">
        <w:rPr>
          <w:rFonts w:cstheme="minorHAnsi"/>
          <w:color w:val="000000" w:themeColor="text1"/>
          <w:szCs w:val="22"/>
        </w:rPr>
        <w:t xml:space="preserve">Salford Poverty Truth Commission 2017, </w:t>
      </w:r>
      <w:r w:rsidR="00F44698" w:rsidRPr="00E14F67">
        <w:rPr>
          <w:rFonts w:cstheme="minorHAnsi"/>
          <w:color w:val="000000" w:themeColor="text1"/>
          <w:szCs w:val="22"/>
        </w:rPr>
        <w:t>7).</w:t>
      </w:r>
      <w:r w:rsidR="00283973" w:rsidRPr="00283973">
        <w:t xml:space="preserve"> </w:t>
      </w:r>
      <w:r w:rsidR="00283973" w:rsidRPr="00E828F6">
        <w:rPr>
          <w:rFonts w:cstheme="minorHAnsi"/>
          <w:szCs w:val="22"/>
        </w:rPr>
        <w:t>The work of the Morecambe Bay PTC resulted in</w:t>
      </w:r>
      <w:r w:rsidR="00283973" w:rsidRPr="00E828F6">
        <w:rPr>
          <w:szCs w:val="22"/>
        </w:rPr>
        <w:t xml:space="preserve"> </w:t>
      </w:r>
      <w:r w:rsidR="00283973" w:rsidRPr="00283973">
        <w:rPr>
          <w:rFonts w:cstheme="minorHAnsi"/>
          <w:color w:val="000000" w:themeColor="text1"/>
          <w:szCs w:val="22"/>
        </w:rPr>
        <w:t xml:space="preserve">United Utilities </w:t>
      </w:r>
      <w:r w:rsidR="00716D6B" w:rsidRPr="00E828F6">
        <w:rPr>
          <w:rFonts w:cstheme="minorHAnsi"/>
          <w:color w:val="000000" w:themeColor="text1"/>
          <w:szCs w:val="22"/>
        </w:rPr>
        <w:t>introducing a</w:t>
      </w:r>
      <w:r w:rsidR="00283973" w:rsidRPr="00E828F6">
        <w:rPr>
          <w:rFonts w:cstheme="minorHAnsi"/>
          <w:color w:val="000000" w:themeColor="text1"/>
          <w:szCs w:val="22"/>
        </w:rPr>
        <w:t xml:space="preserve"> </w:t>
      </w:r>
      <w:r w:rsidR="00716D6B" w:rsidRPr="00E828F6">
        <w:rPr>
          <w:rFonts w:cstheme="minorHAnsi"/>
          <w:color w:val="000000" w:themeColor="text1"/>
          <w:szCs w:val="22"/>
        </w:rPr>
        <w:t>2-month</w:t>
      </w:r>
      <w:r w:rsidR="00283973" w:rsidRPr="00E828F6">
        <w:rPr>
          <w:rFonts w:cstheme="minorHAnsi"/>
          <w:color w:val="000000" w:themeColor="text1"/>
          <w:szCs w:val="22"/>
        </w:rPr>
        <w:t xml:space="preserve"> payment deferral for customers having to claim Universal Credit, as well as ‘support </w:t>
      </w:r>
      <w:r w:rsidR="00283973" w:rsidRPr="00574E1C">
        <w:rPr>
          <w:rFonts w:cstheme="minorHAnsi"/>
          <w:color w:val="000000" w:themeColor="text1"/>
          <w:szCs w:val="22"/>
        </w:rPr>
        <w:t>for people before they go into debt rather than afterward</w:t>
      </w:r>
      <w:r w:rsidR="00283973" w:rsidRPr="00F81D5A">
        <w:rPr>
          <w:rFonts w:cstheme="minorHAnsi"/>
          <w:color w:val="000000" w:themeColor="text1"/>
          <w:szCs w:val="22"/>
        </w:rPr>
        <w:t>’ (</w:t>
      </w:r>
      <w:r w:rsidR="00C525F8" w:rsidRPr="00051E6D">
        <w:rPr>
          <w:rFonts w:cstheme="minorHAnsi"/>
          <w:szCs w:val="22"/>
        </w:rPr>
        <w:t>Morecambe Bay Poverty Truth Commission</w:t>
      </w:r>
      <w:r w:rsidR="00283973" w:rsidRPr="00F81D5A">
        <w:rPr>
          <w:rFonts w:cstheme="minorHAnsi"/>
          <w:color w:val="000000" w:themeColor="text1"/>
          <w:szCs w:val="22"/>
        </w:rPr>
        <w:t xml:space="preserve">, 2020b, 6). </w:t>
      </w:r>
    </w:p>
    <w:p w14:paraId="08A0ABB0" w14:textId="3A26B45E" w:rsidR="00637F29" w:rsidRPr="00E14F67" w:rsidRDefault="00D15EB5" w:rsidP="00E14F67">
      <w:pPr>
        <w:spacing w:line="480" w:lineRule="auto"/>
        <w:ind w:firstLine="720"/>
        <w:jc w:val="both"/>
        <w:rPr>
          <w:rFonts w:cstheme="minorHAnsi"/>
          <w:color w:val="000000" w:themeColor="text1"/>
          <w:szCs w:val="22"/>
        </w:rPr>
      </w:pPr>
      <w:r>
        <w:rPr>
          <w:rFonts w:cstheme="minorHAnsi"/>
          <w:color w:val="000000" w:themeColor="text1"/>
          <w:szCs w:val="22"/>
        </w:rPr>
        <w:lastRenderedPageBreak/>
        <w:t xml:space="preserve">What is </w:t>
      </w:r>
      <w:r w:rsidR="001702C6">
        <w:rPr>
          <w:rFonts w:cstheme="minorHAnsi"/>
          <w:color w:val="000000" w:themeColor="text1"/>
          <w:szCs w:val="22"/>
        </w:rPr>
        <w:t>different</w:t>
      </w:r>
      <w:r>
        <w:rPr>
          <w:rFonts w:cstheme="minorHAnsi"/>
          <w:color w:val="000000" w:themeColor="text1"/>
          <w:szCs w:val="22"/>
        </w:rPr>
        <w:t xml:space="preserve"> about these tangible policy changes is</w:t>
      </w:r>
      <w:r w:rsidR="001702C6">
        <w:rPr>
          <w:rFonts w:cstheme="minorHAnsi"/>
          <w:color w:val="000000" w:themeColor="text1"/>
          <w:szCs w:val="22"/>
        </w:rPr>
        <w:t xml:space="preserve"> the problems were </w:t>
      </w:r>
      <w:r w:rsidR="00716D6B">
        <w:rPr>
          <w:rFonts w:cstheme="minorHAnsi"/>
          <w:color w:val="000000" w:themeColor="text1"/>
          <w:szCs w:val="22"/>
        </w:rPr>
        <w:t>identified</w:t>
      </w:r>
      <w:r w:rsidR="001702C6">
        <w:rPr>
          <w:rFonts w:cstheme="minorHAnsi"/>
          <w:color w:val="000000" w:themeColor="text1"/>
          <w:szCs w:val="22"/>
        </w:rPr>
        <w:t xml:space="preserve"> and prioritised by those experiencing poverty themselves</w:t>
      </w:r>
      <w:r w:rsidR="00C1542C">
        <w:rPr>
          <w:rFonts w:cstheme="minorHAnsi"/>
          <w:color w:val="000000" w:themeColor="text1"/>
          <w:szCs w:val="22"/>
        </w:rPr>
        <w:t xml:space="preserve"> and thus were people focussed</w:t>
      </w:r>
      <w:r w:rsidR="001702C6">
        <w:rPr>
          <w:rFonts w:cstheme="minorHAnsi"/>
          <w:color w:val="000000" w:themeColor="text1"/>
          <w:szCs w:val="22"/>
        </w:rPr>
        <w:t>. They were then driven by those s</w:t>
      </w:r>
      <w:r w:rsidR="00C1542C">
        <w:rPr>
          <w:rFonts w:cstheme="minorHAnsi"/>
          <w:color w:val="000000" w:themeColor="text1"/>
          <w:szCs w:val="22"/>
        </w:rPr>
        <w:t>a</w:t>
      </w:r>
      <w:r w:rsidR="001702C6">
        <w:rPr>
          <w:rFonts w:cstheme="minorHAnsi"/>
          <w:color w:val="000000" w:themeColor="text1"/>
          <w:szCs w:val="22"/>
        </w:rPr>
        <w:t xml:space="preserve">me people working together with other PTC commissioners. </w:t>
      </w:r>
      <w:r w:rsidR="00716D6B">
        <w:rPr>
          <w:rFonts w:cstheme="minorHAnsi"/>
          <w:color w:val="000000" w:themeColor="text1"/>
          <w:szCs w:val="22"/>
        </w:rPr>
        <w:t>Thus,</w:t>
      </w:r>
      <w:r w:rsidR="001702C6">
        <w:rPr>
          <w:rFonts w:cstheme="minorHAnsi"/>
          <w:color w:val="000000" w:themeColor="text1"/>
          <w:szCs w:val="22"/>
        </w:rPr>
        <w:t xml:space="preserve"> tangible changes were accompanied by </w:t>
      </w:r>
      <w:r w:rsidR="00F44698" w:rsidRPr="00E14F67">
        <w:rPr>
          <w:rFonts w:cstheme="minorHAnsi"/>
          <w:color w:val="000000" w:themeColor="text1"/>
          <w:szCs w:val="22"/>
        </w:rPr>
        <w:t>cultural and personal change</w:t>
      </w:r>
      <w:r w:rsidR="001702C6">
        <w:rPr>
          <w:rFonts w:cstheme="minorHAnsi"/>
          <w:color w:val="000000" w:themeColor="text1"/>
          <w:szCs w:val="22"/>
        </w:rPr>
        <w:t>. E</w:t>
      </w:r>
      <w:r w:rsidR="00F44698" w:rsidRPr="00E14F67">
        <w:rPr>
          <w:rFonts w:cstheme="minorHAnsi"/>
          <w:color w:val="000000" w:themeColor="text1"/>
          <w:szCs w:val="22"/>
        </w:rPr>
        <w:t>mpowerment was listed frequently as an outcome of participation in the PTCs (</w:t>
      </w:r>
      <w:r w:rsidR="006D362F" w:rsidRPr="00E14F67">
        <w:rPr>
          <w:rFonts w:cstheme="minorHAnsi"/>
          <w:szCs w:val="22"/>
        </w:rPr>
        <w:t>West Cheshire Poverty Truth Commission 2018b,</w:t>
      </w:r>
      <w:r w:rsidR="006D362F" w:rsidRPr="00E14F67" w:rsidDel="006D362F">
        <w:rPr>
          <w:rFonts w:cstheme="minorHAnsi"/>
          <w:color w:val="000000" w:themeColor="text1"/>
          <w:szCs w:val="22"/>
        </w:rPr>
        <w:t xml:space="preserve"> </w:t>
      </w:r>
      <w:r w:rsidR="00F44698" w:rsidRPr="00E14F67">
        <w:rPr>
          <w:rFonts w:cstheme="minorHAnsi"/>
          <w:color w:val="000000" w:themeColor="text1"/>
          <w:szCs w:val="22"/>
        </w:rPr>
        <w:t xml:space="preserve">14 and 19; </w:t>
      </w:r>
      <w:r w:rsidR="007E6765" w:rsidRPr="00E14F67">
        <w:rPr>
          <w:rFonts w:cstheme="minorHAnsi"/>
          <w:color w:val="000000" w:themeColor="text1"/>
          <w:szCs w:val="22"/>
        </w:rPr>
        <w:t>Salford Poverty Truth Commission 2017,</w:t>
      </w:r>
      <w:r w:rsidR="008F01D9" w:rsidRPr="00E14F67">
        <w:rPr>
          <w:rFonts w:cstheme="minorHAnsi"/>
          <w:color w:val="000000" w:themeColor="text1"/>
          <w:szCs w:val="22"/>
        </w:rPr>
        <w:t xml:space="preserve"> </w:t>
      </w:r>
      <w:r w:rsidR="00F44698" w:rsidRPr="00E14F67">
        <w:rPr>
          <w:rFonts w:cstheme="minorHAnsi"/>
          <w:color w:val="000000" w:themeColor="text1"/>
          <w:szCs w:val="22"/>
        </w:rPr>
        <w:t xml:space="preserve">3). </w:t>
      </w:r>
      <w:r w:rsidR="00E14E4F" w:rsidRPr="00E14F67">
        <w:rPr>
          <w:rFonts w:cstheme="minorHAnsi"/>
          <w:color w:val="000000" w:themeColor="text1"/>
          <w:szCs w:val="22"/>
        </w:rPr>
        <w:t xml:space="preserve">In </w:t>
      </w:r>
      <w:r w:rsidR="00781586" w:rsidRPr="00E14F67">
        <w:rPr>
          <w:rFonts w:cstheme="minorHAnsi"/>
          <w:color w:val="000000" w:themeColor="text1"/>
          <w:szCs w:val="22"/>
        </w:rPr>
        <w:t>addition, it</w:t>
      </w:r>
      <w:r w:rsidR="00E14E4F" w:rsidRPr="00E14F67">
        <w:rPr>
          <w:rFonts w:cstheme="minorHAnsi"/>
          <w:color w:val="000000" w:themeColor="text1"/>
          <w:szCs w:val="22"/>
        </w:rPr>
        <w:t xml:space="preserve"> is noted that the PTCs have resulted in less conflictual and more peaceful and trusting relationships (Goldstraw </w:t>
      </w:r>
      <w:r w:rsidR="00E14E4F" w:rsidRPr="00E14F67">
        <w:rPr>
          <w:rFonts w:cstheme="minorHAnsi"/>
          <w:i/>
          <w:iCs/>
          <w:color w:val="000000" w:themeColor="text1"/>
          <w:szCs w:val="22"/>
        </w:rPr>
        <w:t>et al</w:t>
      </w:r>
      <w:r w:rsidR="00597254" w:rsidRPr="00E14F67">
        <w:rPr>
          <w:rFonts w:cstheme="minorHAnsi"/>
          <w:color w:val="000000" w:themeColor="text1"/>
          <w:szCs w:val="22"/>
        </w:rPr>
        <w:t xml:space="preserve"> </w:t>
      </w:r>
      <w:r w:rsidR="00E14E4F" w:rsidRPr="00E14F67">
        <w:rPr>
          <w:rFonts w:cstheme="minorHAnsi"/>
          <w:color w:val="000000" w:themeColor="text1"/>
          <w:szCs w:val="22"/>
        </w:rPr>
        <w:t>2019, 16) and in some cases ha</w:t>
      </w:r>
      <w:r w:rsidR="00A72437" w:rsidRPr="00E14F67">
        <w:rPr>
          <w:rFonts w:cstheme="minorHAnsi"/>
          <w:color w:val="000000" w:themeColor="text1"/>
          <w:szCs w:val="22"/>
        </w:rPr>
        <w:t>ve</w:t>
      </w:r>
      <w:r w:rsidR="00E14E4F" w:rsidRPr="00E14F67">
        <w:rPr>
          <w:rFonts w:cstheme="minorHAnsi"/>
          <w:color w:val="000000" w:themeColor="text1"/>
          <w:szCs w:val="22"/>
        </w:rPr>
        <w:t xml:space="preserve"> ‘started a deep personal process of self-understanding, acceptance and healing’ (</w:t>
      </w:r>
      <w:r w:rsidR="008F01D9" w:rsidRPr="00E14F67">
        <w:rPr>
          <w:rFonts w:cstheme="minorHAnsi"/>
          <w:color w:val="000000" w:themeColor="text1"/>
          <w:szCs w:val="22"/>
        </w:rPr>
        <w:t xml:space="preserve">Salford Poverty Truth Commission 2017, </w:t>
      </w:r>
      <w:r w:rsidR="00E14E4F" w:rsidRPr="00E14F67">
        <w:rPr>
          <w:rFonts w:cstheme="minorHAnsi"/>
          <w:color w:val="000000" w:themeColor="text1"/>
          <w:szCs w:val="22"/>
        </w:rPr>
        <w:t>12).</w:t>
      </w:r>
      <w:r w:rsidR="001424FF" w:rsidRPr="00E14F67">
        <w:rPr>
          <w:rFonts w:cstheme="minorHAnsi"/>
          <w:color w:val="000000" w:themeColor="text1"/>
          <w:szCs w:val="22"/>
        </w:rPr>
        <w:t xml:space="preserve"> </w:t>
      </w:r>
      <w:r w:rsidR="00781586" w:rsidRPr="00E14F67">
        <w:rPr>
          <w:rFonts w:cstheme="minorHAnsi"/>
          <w:color w:val="000000" w:themeColor="text1"/>
          <w:szCs w:val="22"/>
        </w:rPr>
        <w:t>Culture</w:t>
      </w:r>
      <w:r w:rsidR="00E14E4F" w:rsidRPr="00E14F67">
        <w:rPr>
          <w:rFonts w:cstheme="minorHAnsi"/>
          <w:color w:val="000000" w:themeColor="text1"/>
          <w:szCs w:val="22"/>
        </w:rPr>
        <w:t xml:space="preserve"> change can also be seen in the working methods of organisations </w:t>
      </w:r>
      <w:r w:rsidR="00781586" w:rsidRPr="00E14F67">
        <w:rPr>
          <w:rFonts w:cstheme="minorHAnsi"/>
          <w:color w:val="000000" w:themeColor="text1"/>
          <w:szCs w:val="22"/>
        </w:rPr>
        <w:t xml:space="preserve">due to their involvement in the Commissions. For example, one civic/business leader stated that their organisation had ‘built into the design of any programmes the need to immerse ourselves into the local community to truly understand the nuances of local need’ </w:t>
      </w:r>
      <w:r w:rsidR="00194413" w:rsidRPr="00E14F67">
        <w:rPr>
          <w:rFonts w:cstheme="minorHAnsi"/>
          <w:color w:val="000000" w:themeColor="text1"/>
          <w:szCs w:val="22"/>
        </w:rPr>
        <w:t>(West Cheshire Poverty Truth Commission 2018a, 17)</w:t>
      </w:r>
    </w:p>
    <w:p w14:paraId="59742FE9" w14:textId="77777777" w:rsidR="00E828F6" w:rsidRDefault="0065471A" w:rsidP="00E14F67">
      <w:pPr>
        <w:spacing w:line="480" w:lineRule="auto"/>
        <w:ind w:firstLine="720"/>
        <w:jc w:val="both"/>
        <w:rPr>
          <w:rFonts w:cstheme="minorHAnsi"/>
          <w:color w:val="000000" w:themeColor="text1"/>
          <w:szCs w:val="22"/>
        </w:rPr>
      </w:pPr>
      <w:r w:rsidRPr="00E14F67">
        <w:rPr>
          <w:rFonts w:cstheme="minorHAnsi"/>
          <w:color w:val="000000" w:themeColor="text1"/>
          <w:szCs w:val="22"/>
        </w:rPr>
        <w:t xml:space="preserve">In sum, the above assessment of existing evidence, illustrates that crucially participation in the process of a PTC or other CBTRC assist in the identification of ways of resistance and the co-design of policy and practical measures that can be taken at community level to improve people’s lives and mitigate some of the impacts of poverty.  </w:t>
      </w:r>
    </w:p>
    <w:p w14:paraId="30047341" w14:textId="3B301800" w:rsidR="00E47E26" w:rsidRPr="00C9569B" w:rsidRDefault="00E828F6" w:rsidP="00C9569B">
      <w:pPr>
        <w:pStyle w:val="NoSpacing"/>
        <w:spacing w:line="480" w:lineRule="auto"/>
        <w:ind w:firstLine="720"/>
        <w:rPr>
          <w:rFonts w:ascii="Calibri" w:hAnsi="Calibri" w:cs="Calibri"/>
          <w:szCs w:val="22"/>
        </w:rPr>
      </w:pPr>
      <w:r w:rsidRPr="00C9569B">
        <w:rPr>
          <w:rFonts w:ascii="Calibri" w:hAnsi="Calibri" w:cs="Calibri"/>
          <w:szCs w:val="22"/>
        </w:rPr>
        <w:t>Moreo</w:t>
      </w:r>
      <w:r w:rsidR="00574E1C" w:rsidRPr="00C9569B">
        <w:rPr>
          <w:rFonts w:ascii="Calibri" w:hAnsi="Calibri" w:cs="Calibri"/>
          <w:szCs w:val="22"/>
        </w:rPr>
        <w:t>v</w:t>
      </w:r>
      <w:r w:rsidRPr="00C9569B">
        <w:rPr>
          <w:rFonts w:ascii="Calibri" w:hAnsi="Calibri" w:cs="Calibri"/>
          <w:szCs w:val="22"/>
        </w:rPr>
        <w:t>er, s</w:t>
      </w:r>
      <w:r w:rsidR="0065471A" w:rsidRPr="00C9569B">
        <w:rPr>
          <w:rFonts w:ascii="Calibri" w:hAnsi="Calibri" w:cs="Calibri"/>
          <w:szCs w:val="22"/>
        </w:rPr>
        <w:t xml:space="preserve">ome of these tangible outcomes could be viewed as reparations in the </w:t>
      </w:r>
      <w:r w:rsidR="003E380D" w:rsidRPr="00C9569B">
        <w:rPr>
          <w:rFonts w:ascii="Calibri" w:hAnsi="Calibri" w:cs="Calibri"/>
          <w:szCs w:val="22"/>
        </w:rPr>
        <w:t xml:space="preserve">transformative </w:t>
      </w:r>
      <w:r w:rsidR="0065471A" w:rsidRPr="00C9569B">
        <w:rPr>
          <w:rFonts w:ascii="Calibri" w:hAnsi="Calibri" w:cs="Calibri"/>
          <w:szCs w:val="22"/>
        </w:rPr>
        <w:t xml:space="preserve">sense as they may remedy in part at least some of the harms done. It </w:t>
      </w:r>
      <w:r w:rsidR="003E380D" w:rsidRPr="00C9569B">
        <w:rPr>
          <w:rFonts w:ascii="Calibri" w:hAnsi="Calibri" w:cs="Calibri"/>
          <w:szCs w:val="22"/>
        </w:rPr>
        <w:t xml:space="preserve">may </w:t>
      </w:r>
      <w:r w:rsidR="0065471A" w:rsidRPr="00C9569B">
        <w:rPr>
          <w:rFonts w:ascii="Calibri" w:hAnsi="Calibri" w:cs="Calibri"/>
          <w:szCs w:val="22"/>
        </w:rPr>
        <w:t xml:space="preserve">not be a case of restoring what went before but rather improving on </w:t>
      </w:r>
      <w:r w:rsidR="0065471A" w:rsidRPr="00C9569B">
        <w:rPr>
          <w:rFonts w:ascii="Calibri" w:hAnsi="Calibri" w:cs="Calibri"/>
          <w:szCs w:val="22"/>
        </w:rPr>
        <w:lastRenderedPageBreak/>
        <w:t>what went before, empowering those participants to drive change.</w:t>
      </w:r>
      <w:r w:rsidRPr="00C9569B">
        <w:rPr>
          <w:rFonts w:ascii="Calibri" w:hAnsi="Calibri" w:cs="Calibri"/>
          <w:szCs w:val="22"/>
        </w:rPr>
        <w:t xml:space="preserve"> Such</w:t>
      </w:r>
      <w:r w:rsidR="00574E1C" w:rsidRPr="00C9569B">
        <w:rPr>
          <w:rFonts w:ascii="Calibri" w:hAnsi="Calibri" w:cs="Calibri"/>
          <w:szCs w:val="22"/>
        </w:rPr>
        <w:t xml:space="preserve"> outcomes align with the concept </w:t>
      </w:r>
      <w:r w:rsidR="00716D6B" w:rsidRPr="00C9569B">
        <w:rPr>
          <w:rFonts w:ascii="Calibri" w:hAnsi="Calibri" w:cs="Calibri"/>
          <w:szCs w:val="22"/>
        </w:rPr>
        <w:t>of ‘</w:t>
      </w:r>
      <w:r w:rsidRPr="00C9569B">
        <w:rPr>
          <w:rFonts w:ascii="Calibri" w:hAnsi="Calibri" w:cs="Calibri"/>
          <w:szCs w:val="22"/>
        </w:rPr>
        <w:t>transformative reparations</w:t>
      </w:r>
      <w:r w:rsidR="00574E1C" w:rsidRPr="00C9569B">
        <w:rPr>
          <w:rFonts w:ascii="Calibri" w:hAnsi="Calibri" w:cs="Calibri"/>
          <w:szCs w:val="22"/>
        </w:rPr>
        <w:t>’</w:t>
      </w:r>
      <w:r w:rsidRPr="00C9569B">
        <w:rPr>
          <w:rFonts w:ascii="Calibri" w:hAnsi="Calibri" w:cs="Calibri"/>
          <w:szCs w:val="22"/>
        </w:rPr>
        <w:t xml:space="preserve"> </w:t>
      </w:r>
      <w:r w:rsidR="008A6CA7" w:rsidRPr="00C9569B">
        <w:rPr>
          <w:rFonts w:ascii="Calibri" w:hAnsi="Calibri" w:cs="Calibri"/>
          <w:szCs w:val="22"/>
        </w:rPr>
        <w:t>(</w:t>
      </w:r>
      <w:r w:rsidR="00574E1C" w:rsidRPr="00C9569B">
        <w:rPr>
          <w:rFonts w:ascii="Calibri" w:hAnsi="Calibri" w:cs="Calibri"/>
          <w:szCs w:val="22"/>
        </w:rPr>
        <w:t>Yepes, 2009).  In this context the PTCs fulfil the symbolic dime</w:t>
      </w:r>
      <w:r w:rsidR="003E380D" w:rsidRPr="00C9569B">
        <w:rPr>
          <w:rFonts w:ascii="Calibri" w:hAnsi="Calibri" w:cs="Calibri"/>
          <w:szCs w:val="22"/>
        </w:rPr>
        <w:t>n</w:t>
      </w:r>
      <w:r w:rsidR="00574E1C" w:rsidRPr="00C9569B">
        <w:rPr>
          <w:rFonts w:ascii="Calibri" w:hAnsi="Calibri" w:cs="Calibri"/>
          <w:szCs w:val="22"/>
        </w:rPr>
        <w:t>sion of reparations by acknowledging harms and prom</w:t>
      </w:r>
      <w:r w:rsidR="003E380D" w:rsidRPr="00C9569B">
        <w:rPr>
          <w:rFonts w:ascii="Calibri" w:hAnsi="Calibri" w:cs="Calibri"/>
          <w:szCs w:val="22"/>
        </w:rPr>
        <w:t>o</w:t>
      </w:r>
      <w:r w:rsidR="00574E1C" w:rsidRPr="00C9569B">
        <w:rPr>
          <w:rFonts w:ascii="Calibri" w:hAnsi="Calibri" w:cs="Calibri"/>
          <w:szCs w:val="22"/>
        </w:rPr>
        <w:t xml:space="preserve">ting truth </w:t>
      </w:r>
      <w:r w:rsidR="00716D6B" w:rsidRPr="00C9569B">
        <w:rPr>
          <w:rFonts w:ascii="Calibri" w:hAnsi="Calibri" w:cs="Calibri"/>
          <w:szCs w:val="22"/>
        </w:rPr>
        <w:t>recovery (</w:t>
      </w:r>
      <w:r w:rsidR="00574E1C" w:rsidRPr="00C9569B">
        <w:rPr>
          <w:rFonts w:ascii="Calibri" w:hAnsi="Calibri" w:cs="Calibri"/>
          <w:szCs w:val="22"/>
        </w:rPr>
        <w:t>Yepes, 2009, 635</w:t>
      </w:r>
      <w:r w:rsidR="00716D6B" w:rsidRPr="00C9569B">
        <w:rPr>
          <w:rFonts w:ascii="Calibri" w:hAnsi="Calibri" w:cs="Calibri"/>
          <w:szCs w:val="22"/>
        </w:rPr>
        <w:t>), but</w:t>
      </w:r>
      <w:r w:rsidR="00574E1C" w:rsidRPr="00C9569B">
        <w:rPr>
          <w:rFonts w:ascii="Calibri" w:hAnsi="Calibri" w:cs="Calibri"/>
          <w:szCs w:val="22"/>
        </w:rPr>
        <w:t xml:space="preserve"> also </w:t>
      </w:r>
      <w:r w:rsidR="004F42DC" w:rsidRPr="00C9569B">
        <w:rPr>
          <w:rFonts w:ascii="Calibri" w:hAnsi="Calibri" w:cs="Calibri"/>
          <w:szCs w:val="22"/>
        </w:rPr>
        <w:t xml:space="preserve">undertake </w:t>
      </w:r>
      <w:r w:rsidR="003E380D" w:rsidRPr="00C9569B">
        <w:rPr>
          <w:rFonts w:ascii="Calibri" w:hAnsi="Calibri" w:cs="Calibri"/>
          <w:szCs w:val="22"/>
        </w:rPr>
        <w:t xml:space="preserve">concrete </w:t>
      </w:r>
      <w:r w:rsidR="00574E1C" w:rsidRPr="00C9569B">
        <w:rPr>
          <w:rFonts w:ascii="Calibri" w:hAnsi="Calibri" w:cs="Calibri"/>
          <w:szCs w:val="22"/>
        </w:rPr>
        <w:t>action</w:t>
      </w:r>
      <w:r w:rsidR="003E380D" w:rsidRPr="00C9569B">
        <w:rPr>
          <w:rFonts w:ascii="Calibri" w:hAnsi="Calibri" w:cs="Calibri"/>
          <w:szCs w:val="22"/>
        </w:rPr>
        <w:t>s</w:t>
      </w:r>
      <w:r w:rsidR="00574E1C" w:rsidRPr="00C9569B">
        <w:rPr>
          <w:rFonts w:ascii="Calibri" w:hAnsi="Calibri" w:cs="Calibri"/>
          <w:szCs w:val="22"/>
        </w:rPr>
        <w:t xml:space="preserve"> which aim to change society and transform the </w:t>
      </w:r>
      <w:r w:rsidR="00716D6B" w:rsidRPr="00C9569B">
        <w:rPr>
          <w:rFonts w:ascii="Calibri" w:hAnsi="Calibri" w:cs="Calibri"/>
          <w:szCs w:val="22"/>
        </w:rPr>
        <w:t>circumstances</w:t>
      </w:r>
      <w:r w:rsidR="00574E1C" w:rsidRPr="00C9569B">
        <w:rPr>
          <w:rFonts w:ascii="Calibri" w:hAnsi="Calibri" w:cs="Calibri"/>
          <w:szCs w:val="22"/>
        </w:rPr>
        <w:t xml:space="preserve"> in which participants live (Yepes 2009, 638). Such a transformative approach prioritises and empowers the most vulnerable in society, is designed to reduce inequalities</w:t>
      </w:r>
      <w:r w:rsidR="003E380D" w:rsidRPr="00C9569B">
        <w:rPr>
          <w:rFonts w:ascii="Calibri" w:hAnsi="Calibri" w:cs="Calibri"/>
          <w:szCs w:val="22"/>
        </w:rPr>
        <w:t xml:space="preserve"> and to overcome poverty because it is unjust (Yepes 2009, 646). </w:t>
      </w:r>
      <w:r w:rsidR="00F81D5A" w:rsidRPr="00C9569B">
        <w:rPr>
          <w:rFonts w:ascii="Calibri" w:hAnsi="Calibri" w:cs="Calibri"/>
          <w:szCs w:val="22"/>
        </w:rPr>
        <w:t xml:space="preserve">Thus, </w:t>
      </w:r>
      <w:r w:rsidR="003E380D" w:rsidRPr="00C9569B">
        <w:rPr>
          <w:rFonts w:ascii="Calibri" w:hAnsi="Calibri" w:cs="Calibri"/>
          <w:szCs w:val="22"/>
        </w:rPr>
        <w:t>‘</w:t>
      </w:r>
      <w:r w:rsidR="00F81D5A" w:rsidRPr="00C9569B">
        <w:rPr>
          <w:rFonts w:ascii="Calibri" w:hAnsi="Calibri" w:cs="Calibri"/>
          <w:szCs w:val="22"/>
        </w:rPr>
        <w:t>t</w:t>
      </w:r>
      <w:r w:rsidR="003E380D" w:rsidRPr="00C9569B">
        <w:rPr>
          <w:rFonts w:ascii="Calibri" w:hAnsi="Calibri" w:cs="Calibri"/>
          <w:szCs w:val="22"/>
        </w:rPr>
        <w:t xml:space="preserve">he concept of transformative reparations can be, […] a useful tool in the difficult battle in favour of human dignity’ especially for those living in poverty. </w:t>
      </w:r>
      <w:r w:rsidR="00F81D5A" w:rsidRPr="00C9569B">
        <w:rPr>
          <w:rFonts w:ascii="Calibri" w:hAnsi="Calibri" w:cs="Calibri"/>
          <w:szCs w:val="22"/>
        </w:rPr>
        <w:t xml:space="preserve"> </w:t>
      </w:r>
    </w:p>
    <w:p w14:paraId="4D32D715" w14:textId="77C9F473" w:rsidR="00A1715A" w:rsidRPr="00C9569B" w:rsidRDefault="00D002A8" w:rsidP="00C9569B">
      <w:pPr>
        <w:pStyle w:val="NoSpacing"/>
        <w:spacing w:line="480" w:lineRule="auto"/>
        <w:ind w:firstLine="720"/>
        <w:rPr>
          <w:rFonts w:ascii="Calibri" w:hAnsi="Calibri" w:cs="Calibri"/>
          <w:szCs w:val="22"/>
        </w:rPr>
      </w:pPr>
      <w:r w:rsidRPr="00C9569B">
        <w:rPr>
          <w:rFonts w:ascii="Calibri" w:hAnsi="Calibri" w:cs="Calibri"/>
          <w:szCs w:val="22"/>
        </w:rPr>
        <w:t xml:space="preserve">Such reparative actions support the equality and fairness component of justice as conceived of by Lederach. </w:t>
      </w:r>
      <w:r w:rsidR="00E63CA6" w:rsidRPr="00C9569B">
        <w:rPr>
          <w:rFonts w:ascii="Calibri" w:hAnsi="Calibri" w:cs="Calibri"/>
          <w:szCs w:val="22"/>
        </w:rPr>
        <w:t>However, t</w:t>
      </w:r>
      <w:r w:rsidR="0065471A" w:rsidRPr="00C9569B">
        <w:rPr>
          <w:rFonts w:ascii="Calibri" w:hAnsi="Calibri" w:cs="Calibri"/>
          <w:szCs w:val="22"/>
        </w:rPr>
        <w:t>he PT</w:t>
      </w:r>
      <w:r w:rsidR="002B5349" w:rsidRPr="00C9569B">
        <w:rPr>
          <w:rFonts w:ascii="Calibri" w:hAnsi="Calibri" w:cs="Calibri"/>
          <w:szCs w:val="22"/>
        </w:rPr>
        <w:t>C</w:t>
      </w:r>
      <w:r w:rsidR="0065471A" w:rsidRPr="00C9569B">
        <w:rPr>
          <w:rFonts w:ascii="Calibri" w:hAnsi="Calibri" w:cs="Calibri"/>
          <w:szCs w:val="22"/>
        </w:rPr>
        <w:t xml:space="preserve">s </w:t>
      </w:r>
      <w:r w:rsidR="00E63CA6" w:rsidRPr="00C9569B">
        <w:rPr>
          <w:rFonts w:ascii="Calibri" w:hAnsi="Calibri" w:cs="Calibri"/>
          <w:szCs w:val="22"/>
        </w:rPr>
        <w:t>also realise</w:t>
      </w:r>
      <w:r w:rsidR="0065471A" w:rsidRPr="00C9569B">
        <w:rPr>
          <w:rFonts w:ascii="Calibri" w:hAnsi="Calibri" w:cs="Calibri"/>
          <w:szCs w:val="22"/>
        </w:rPr>
        <w:t xml:space="preserve"> the equality and fairness component of justice </w:t>
      </w:r>
      <w:r w:rsidR="00E63CA6" w:rsidRPr="00C9569B">
        <w:rPr>
          <w:rFonts w:ascii="Calibri" w:hAnsi="Calibri" w:cs="Calibri"/>
          <w:szCs w:val="22"/>
        </w:rPr>
        <w:t xml:space="preserve">fundamentally </w:t>
      </w:r>
      <w:r w:rsidR="0065471A" w:rsidRPr="00C9569B">
        <w:rPr>
          <w:rFonts w:ascii="Calibri" w:hAnsi="Calibri" w:cs="Calibri"/>
          <w:szCs w:val="22"/>
        </w:rPr>
        <w:t xml:space="preserve">through their </w:t>
      </w:r>
      <w:r w:rsidR="00E63CA6" w:rsidRPr="00C9569B">
        <w:rPr>
          <w:rFonts w:ascii="Calibri" w:hAnsi="Calibri" w:cs="Calibri"/>
          <w:szCs w:val="22"/>
        </w:rPr>
        <w:t>main remit including</w:t>
      </w:r>
      <w:r w:rsidR="0065471A" w:rsidRPr="00C9569B">
        <w:rPr>
          <w:rFonts w:ascii="Calibri" w:hAnsi="Calibri" w:cs="Calibri"/>
          <w:szCs w:val="22"/>
        </w:rPr>
        <w:t xml:space="preserve"> </w:t>
      </w:r>
      <w:r w:rsidR="00914E90" w:rsidRPr="00C9569B">
        <w:rPr>
          <w:rFonts w:ascii="Calibri" w:hAnsi="Calibri" w:cs="Calibri"/>
          <w:szCs w:val="22"/>
        </w:rPr>
        <w:t>tackling inequality, discrimination</w:t>
      </w:r>
      <w:r w:rsidR="008C7662" w:rsidRPr="00C9569B">
        <w:rPr>
          <w:rFonts w:ascii="Calibri" w:hAnsi="Calibri" w:cs="Calibri"/>
          <w:szCs w:val="22"/>
        </w:rPr>
        <w:t>, stigmatisation</w:t>
      </w:r>
      <w:r w:rsidR="00914E90" w:rsidRPr="00C9569B">
        <w:rPr>
          <w:rFonts w:ascii="Calibri" w:hAnsi="Calibri" w:cs="Calibri"/>
          <w:szCs w:val="22"/>
        </w:rPr>
        <w:t xml:space="preserve"> and vulnerability</w:t>
      </w:r>
      <w:r w:rsidR="001E1042" w:rsidRPr="00C9569B">
        <w:rPr>
          <w:rFonts w:ascii="Calibri" w:hAnsi="Calibri" w:cs="Calibri"/>
          <w:szCs w:val="22"/>
        </w:rPr>
        <w:t>.</w:t>
      </w:r>
      <w:r w:rsidR="00914E90" w:rsidRPr="00C9569B">
        <w:rPr>
          <w:rFonts w:ascii="Calibri" w:hAnsi="Calibri" w:cs="Calibri"/>
          <w:szCs w:val="22"/>
        </w:rPr>
        <w:t xml:space="preserve"> </w:t>
      </w:r>
      <w:r w:rsidR="00921AFC" w:rsidRPr="00C9569B">
        <w:rPr>
          <w:rFonts w:ascii="Calibri" w:hAnsi="Calibri" w:cs="Calibri"/>
          <w:szCs w:val="22"/>
        </w:rPr>
        <w:t>T</w:t>
      </w:r>
      <w:r w:rsidR="00914E90" w:rsidRPr="00C9569B">
        <w:rPr>
          <w:rFonts w:ascii="Calibri" w:hAnsi="Calibri" w:cs="Calibri"/>
          <w:szCs w:val="22"/>
        </w:rPr>
        <w:t xml:space="preserve">he work of the PTCs is underpinned by a </w:t>
      </w:r>
      <w:r w:rsidR="008C7662" w:rsidRPr="00C9569B">
        <w:rPr>
          <w:rFonts w:ascii="Calibri" w:hAnsi="Calibri" w:cs="Calibri"/>
          <w:szCs w:val="22"/>
        </w:rPr>
        <w:t xml:space="preserve">strong </w:t>
      </w:r>
      <w:r w:rsidR="00914E90" w:rsidRPr="00C9569B">
        <w:rPr>
          <w:rFonts w:ascii="Calibri" w:hAnsi="Calibri" w:cs="Calibri"/>
          <w:szCs w:val="22"/>
        </w:rPr>
        <w:t xml:space="preserve">commitment to social </w:t>
      </w:r>
      <w:r w:rsidR="008C7662" w:rsidRPr="00C9569B">
        <w:rPr>
          <w:rFonts w:ascii="Calibri" w:hAnsi="Calibri" w:cs="Calibri"/>
          <w:szCs w:val="22"/>
        </w:rPr>
        <w:t>change (Goldstraw</w:t>
      </w:r>
      <w:r w:rsidR="00922EE4" w:rsidRPr="00C9569B">
        <w:rPr>
          <w:rFonts w:ascii="Calibri" w:hAnsi="Calibri" w:cs="Calibri"/>
          <w:szCs w:val="22"/>
        </w:rPr>
        <w:t xml:space="preserve"> </w:t>
      </w:r>
      <w:r w:rsidR="00922EE4" w:rsidRPr="00C9569B">
        <w:rPr>
          <w:rFonts w:ascii="Calibri" w:hAnsi="Calibri" w:cs="Calibri"/>
          <w:i/>
          <w:iCs/>
          <w:szCs w:val="22"/>
        </w:rPr>
        <w:t>et al</w:t>
      </w:r>
      <w:r w:rsidR="00922EE4" w:rsidRPr="00C9569B">
        <w:rPr>
          <w:rFonts w:ascii="Calibri" w:hAnsi="Calibri" w:cs="Calibri"/>
          <w:szCs w:val="22"/>
        </w:rPr>
        <w:t xml:space="preserve"> 2019,</w:t>
      </w:r>
      <w:r w:rsidR="005823FD" w:rsidRPr="00C9569B">
        <w:rPr>
          <w:rFonts w:ascii="Calibri" w:hAnsi="Calibri" w:cs="Calibri"/>
          <w:szCs w:val="22"/>
        </w:rPr>
        <w:t xml:space="preserve"> 4; 11</w:t>
      </w:r>
      <w:r w:rsidR="00716D6B" w:rsidRPr="00C9569B">
        <w:rPr>
          <w:rFonts w:ascii="Calibri" w:hAnsi="Calibri" w:cs="Calibri"/>
          <w:szCs w:val="22"/>
        </w:rPr>
        <w:t>), social</w:t>
      </w:r>
      <w:r w:rsidR="00E828F6" w:rsidRPr="00C9569B">
        <w:rPr>
          <w:rFonts w:ascii="Calibri" w:hAnsi="Calibri" w:cs="Calibri"/>
          <w:szCs w:val="22"/>
        </w:rPr>
        <w:t xml:space="preserve"> inclusion </w:t>
      </w:r>
      <w:r w:rsidR="00DD638C" w:rsidRPr="00C9569B">
        <w:rPr>
          <w:rFonts w:ascii="Calibri" w:hAnsi="Calibri" w:cs="Calibri"/>
          <w:szCs w:val="22"/>
        </w:rPr>
        <w:t xml:space="preserve">and equality, </w:t>
      </w:r>
      <w:r w:rsidR="00921AFC" w:rsidRPr="00C9569B">
        <w:rPr>
          <w:rFonts w:ascii="Calibri" w:hAnsi="Calibri" w:cs="Calibri"/>
          <w:szCs w:val="22"/>
        </w:rPr>
        <w:t xml:space="preserve">with a primary aim of the PTCs being to drive a ‘culture of inclusion and equality of those who suffer poverty with those working to tackle it’ (Salford Poverty Truth Commission 2017, 8).  </w:t>
      </w:r>
      <w:r w:rsidR="001E1042" w:rsidRPr="00C9569B">
        <w:rPr>
          <w:rFonts w:ascii="Calibri" w:hAnsi="Calibri" w:cs="Calibri"/>
          <w:szCs w:val="22"/>
        </w:rPr>
        <w:t>T</w:t>
      </w:r>
      <w:r w:rsidR="008C7662" w:rsidRPr="00C9569B">
        <w:rPr>
          <w:rFonts w:ascii="Calibri" w:hAnsi="Calibri" w:cs="Calibri"/>
          <w:szCs w:val="22"/>
        </w:rPr>
        <w:t xml:space="preserve">hrough their </w:t>
      </w:r>
      <w:r w:rsidR="001E1042" w:rsidRPr="00C9569B">
        <w:rPr>
          <w:rFonts w:ascii="Calibri" w:hAnsi="Calibri" w:cs="Calibri"/>
          <w:szCs w:val="22"/>
        </w:rPr>
        <w:t xml:space="preserve">express </w:t>
      </w:r>
      <w:r w:rsidR="008C7662" w:rsidRPr="00C9569B">
        <w:rPr>
          <w:rFonts w:ascii="Calibri" w:hAnsi="Calibri" w:cs="Calibri"/>
          <w:szCs w:val="22"/>
        </w:rPr>
        <w:t xml:space="preserve">work to challenge </w:t>
      </w:r>
      <w:r w:rsidR="001E1042" w:rsidRPr="00C9569B">
        <w:rPr>
          <w:rFonts w:ascii="Calibri" w:hAnsi="Calibri" w:cs="Calibri"/>
          <w:szCs w:val="22"/>
        </w:rPr>
        <w:t xml:space="preserve">the </w:t>
      </w:r>
      <w:r w:rsidR="008C7662" w:rsidRPr="00C9569B">
        <w:rPr>
          <w:rFonts w:ascii="Calibri" w:hAnsi="Calibri" w:cs="Calibri"/>
          <w:szCs w:val="22"/>
        </w:rPr>
        <w:t xml:space="preserve">allocation of resources and their fundamental </w:t>
      </w:r>
      <w:r w:rsidR="00716D6B" w:rsidRPr="00C9569B">
        <w:rPr>
          <w:rFonts w:ascii="Calibri" w:hAnsi="Calibri" w:cs="Calibri"/>
          <w:szCs w:val="22"/>
        </w:rPr>
        <w:t>commitment</w:t>
      </w:r>
      <w:r w:rsidR="008C7662" w:rsidRPr="00C9569B">
        <w:rPr>
          <w:rFonts w:ascii="Calibri" w:hAnsi="Calibri" w:cs="Calibri"/>
          <w:szCs w:val="22"/>
        </w:rPr>
        <w:t xml:space="preserve"> to participation, the PTCs</w:t>
      </w:r>
      <w:r w:rsidR="0065471A" w:rsidRPr="00C9569B">
        <w:rPr>
          <w:rFonts w:ascii="Calibri" w:hAnsi="Calibri" w:cs="Calibri"/>
          <w:szCs w:val="22"/>
        </w:rPr>
        <w:t xml:space="preserve"> are contributing to filling what Lederach deems ‘a significant justice gap’ (Lederach 2001, 852). This gap </w:t>
      </w:r>
      <w:r w:rsidR="00C12BD1" w:rsidRPr="00C9569B">
        <w:rPr>
          <w:rFonts w:ascii="Calibri" w:hAnsi="Calibri" w:cs="Calibri"/>
          <w:szCs w:val="22"/>
        </w:rPr>
        <w:t>exists</w:t>
      </w:r>
      <w:r w:rsidR="0065471A" w:rsidRPr="00C9569B">
        <w:rPr>
          <w:rFonts w:ascii="Calibri" w:hAnsi="Calibri" w:cs="Calibri"/>
          <w:szCs w:val="22"/>
        </w:rPr>
        <w:t xml:space="preserve"> when only direct personal violence is addressed within society and adequate access to resources, participation and protection of rights are not </w:t>
      </w:r>
      <w:bookmarkStart w:id="8" w:name="_Hlk51493133"/>
      <w:r w:rsidR="0065471A" w:rsidRPr="00C9569B">
        <w:rPr>
          <w:rFonts w:ascii="Calibri" w:hAnsi="Calibri" w:cs="Calibri"/>
          <w:szCs w:val="22"/>
        </w:rPr>
        <w:t xml:space="preserve">(Lederach 2001, 852).  </w:t>
      </w:r>
      <w:r w:rsidR="002B5349" w:rsidRPr="00C9569B">
        <w:rPr>
          <w:rFonts w:ascii="Calibri" w:hAnsi="Calibri" w:cs="Calibri"/>
          <w:szCs w:val="22"/>
        </w:rPr>
        <w:t>However</w:t>
      </w:r>
      <w:r w:rsidR="0065471A" w:rsidRPr="00C9569B">
        <w:rPr>
          <w:rFonts w:ascii="Calibri" w:hAnsi="Calibri" w:cs="Calibri"/>
          <w:szCs w:val="22"/>
        </w:rPr>
        <w:t xml:space="preserve">, it is contended that </w:t>
      </w:r>
      <w:r w:rsidR="002B5349" w:rsidRPr="00C9569B">
        <w:rPr>
          <w:rFonts w:ascii="Calibri" w:hAnsi="Calibri" w:cs="Calibri"/>
          <w:szCs w:val="22"/>
        </w:rPr>
        <w:t xml:space="preserve">by </w:t>
      </w:r>
      <w:r w:rsidR="002B5349" w:rsidRPr="00C9569B">
        <w:rPr>
          <w:rFonts w:ascii="Calibri" w:hAnsi="Calibri" w:cs="Calibri"/>
          <w:szCs w:val="22"/>
        </w:rPr>
        <w:lastRenderedPageBreak/>
        <w:t xml:space="preserve">adopting </w:t>
      </w:r>
      <w:r w:rsidR="0065471A" w:rsidRPr="00C9569B">
        <w:rPr>
          <w:rFonts w:ascii="Calibri" w:hAnsi="Calibri" w:cs="Calibri"/>
          <w:szCs w:val="22"/>
        </w:rPr>
        <w:t>a</w:t>
      </w:r>
      <w:r w:rsidR="001E1042" w:rsidRPr="00C9569B">
        <w:rPr>
          <w:rFonts w:ascii="Calibri" w:hAnsi="Calibri" w:cs="Calibri"/>
          <w:szCs w:val="22"/>
        </w:rPr>
        <w:t>n</w:t>
      </w:r>
      <w:r w:rsidR="0065471A" w:rsidRPr="00C9569B">
        <w:rPr>
          <w:rFonts w:ascii="Calibri" w:hAnsi="Calibri" w:cs="Calibri"/>
          <w:szCs w:val="22"/>
        </w:rPr>
        <w:t xml:space="preserve"> explicit rights-based approach</w:t>
      </w:r>
      <w:r w:rsidR="001E1042" w:rsidRPr="00C9569B">
        <w:rPr>
          <w:rFonts w:ascii="Calibri" w:hAnsi="Calibri" w:cs="Calibri"/>
          <w:szCs w:val="22"/>
        </w:rPr>
        <w:t>,</w:t>
      </w:r>
      <w:r w:rsidR="0065471A" w:rsidRPr="00C9569B">
        <w:rPr>
          <w:rFonts w:ascii="Calibri" w:hAnsi="Calibri" w:cs="Calibri"/>
          <w:szCs w:val="22"/>
        </w:rPr>
        <w:t xml:space="preserve"> the ability of the PTCs to address this justice gap</w:t>
      </w:r>
      <w:r w:rsidR="002B5349" w:rsidRPr="00C9569B">
        <w:rPr>
          <w:rFonts w:ascii="Calibri" w:hAnsi="Calibri" w:cs="Calibri"/>
          <w:szCs w:val="22"/>
        </w:rPr>
        <w:t xml:space="preserve"> would be further enhanced. </w:t>
      </w:r>
      <w:r w:rsidR="001E1042" w:rsidRPr="00C9569B">
        <w:rPr>
          <w:rFonts w:ascii="Calibri" w:hAnsi="Calibri" w:cs="Calibri"/>
          <w:szCs w:val="22"/>
        </w:rPr>
        <w:t xml:space="preserve">A human rights approach would provide a formalised equality framework for both advocacy and justiciability purposes. It would </w:t>
      </w:r>
      <w:r w:rsidR="00076B0A" w:rsidRPr="00C9569B">
        <w:rPr>
          <w:rFonts w:ascii="Calibri" w:hAnsi="Calibri" w:cs="Calibri"/>
          <w:szCs w:val="22"/>
        </w:rPr>
        <w:t xml:space="preserve">provide a useful tool to </w:t>
      </w:r>
      <w:r w:rsidR="001E1042" w:rsidRPr="00C9569B">
        <w:rPr>
          <w:rFonts w:ascii="Calibri" w:hAnsi="Calibri" w:cs="Calibri"/>
          <w:szCs w:val="22"/>
        </w:rPr>
        <w:t>suppor</w:t>
      </w:r>
      <w:r w:rsidR="00076B0A" w:rsidRPr="00C9569B">
        <w:rPr>
          <w:rFonts w:ascii="Calibri" w:hAnsi="Calibri" w:cs="Calibri"/>
          <w:szCs w:val="22"/>
        </w:rPr>
        <w:t>t</w:t>
      </w:r>
      <w:r w:rsidR="001E1042" w:rsidRPr="00C9569B">
        <w:rPr>
          <w:rFonts w:ascii="Calibri" w:hAnsi="Calibri" w:cs="Calibri"/>
          <w:szCs w:val="22"/>
        </w:rPr>
        <w:t xml:space="preserve"> the PTCs in the </w:t>
      </w:r>
      <w:r w:rsidR="002B5349" w:rsidRPr="00C9569B">
        <w:rPr>
          <w:rFonts w:ascii="Calibri" w:hAnsi="Calibri" w:cs="Calibri"/>
          <w:szCs w:val="22"/>
        </w:rPr>
        <w:t>protect</w:t>
      </w:r>
      <w:r w:rsidR="001E1042" w:rsidRPr="00C9569B">
        <w:rPr>
          <w:rFonts w:ascii="Calibri" w:hAnsi="Calibri" w:cs="Calibri"/>
          <w:szCs w:val="22"/>
        </w:rPr>
        <w:t>ion</w:t>
      </w:r>
      <w:r w:rsidR="002B5349" w:rsidRPr="00C9569B">
        <w:rPr>
          <w:rFonts w:ascii="Calibri" w:hAnsi="Calibri" w:cs="Calibri"/>
          <w:szCs w:val="22"/>
        </w:rPr>
        <w:t xml:space="preserve"> and promot</w:t>
      </w:r>
      <w:r w:rsidR="001E1042" w:rsidRPr="00C9569B">
        <w:rPr>
          <w:rFonts w:ascii="Calibri" w:hAnsi="Calibri" w:cs="Calibri"/>
          <w:szCs w:val="22"/>
        </w:rPr>
        <w:t>ion of</w:t>
      </w:r>
      <w:r w:rsidR="002B5349" w:rsidRPr="00C9569B">
        <w:rPr>
          <w:rFonts w:ascii="Calibri" w:hAnsi="Calibri" w:cs="Calibri"/>
          <w:szCs w:val="22"/>
        </w:rPr>
        <w:t xml:space="preserve"> the ESCRs of their participa</w:t>
      </w:r>
      <w:r w:rsidR="000B1180" w:rsidRPr="00C9569B">
        <w:rPr>
          <w:rFonts w:ascii="Calibri" w:hAnsi="Calibri" w:cs="Calibri"/>
          <w:szCs w:val="22"/>
        </w:rPr>
        <w:t>n</w:t>
      </w:r>
      <w:r w:rsidR="002B5349" w:rsidRPr="00C9569B">
        <w:rPr>
          <w:rFonts w:ascii="Calibri" w:hAnsi="Calibri" w:cs="Calibri"/>
          <w:szCs w:val="22"/>
        </w:rPr>
        <w:t xml:space="preserve">ts and </w:t>
      </w:r>
      <w:r w:rsidR="00076B0A" w:rsidRPr="00C9569B">
        <w:rPr>
          <w:rFonts w:ascii="Calibri" w:hAnsi="Calibri" w:cs="Calibri"/>
          <w:szCs w:val="22"/>
        </w:rPr>
        <w:t xml:space="preserve">for advocating </w:t>
      </w:r>
      <w:r w:rsidR="002B5349" w:rsidRPr="00C9569B">
        <w:rPr>
          <w:rFonts w:ascii="Calibri" w:hAnsi="Calibri" w:cs="Calibri"/>
          <w:szCs w:val="22"/>
        </w:rPr>
        <w:t>empowering anti-poverty policy</w:t>
      </w:r>
      <w:r w:rsidR="000B1180" w:rsidRPr="00C9569B">
        <w:rPr>
          <w:rFonts w:ascii="Calibri" w:hAnsi="Calibri" w:cs="Calibri"/>
          <w:szCs w:val="22"/>
        </w:rPr>
        <w:t xml:space="preserve"> and law</w:t>
      </w:r>
      <w:r w:rsidR="0065471A" w:rsidRPr="00C9569B">
        <w:rPr>
          <w:rFonts w:ascii="Calibri" w:hAnsi="Calibri" w:cs="Calibri"/>
          <w:szCs w:val="22"/>
        </w:rPr>
        <w:t>.</w:t>
      </w:r>
      <w:bookmarkEnd w:id="8"/>
    </w:p>
    <w:p w14:paraId="341534B0" w14:textId="12B9EAA5" w:rsidR="00BD3D7A" w:rsidRPr="00A1715A" w:rsidRDefault="00FF6C10" w:rsidP="00A1715A">
      <w:pPr>
        <w:pStyle w:val="Heading1"/>
      </w:pPr>
      <w:r w:rsidRPr="00A1715A">
        <w:t xml:space="preserve">The Poverty Truth Commissions </w:t>
      </w:r>
      <w:r w:rsidR="003457CA" w:rsidRPr="00A1715A">
        <w:t xml:space="preserve">as </w:t>
      </w:r>
      <w:r w:rsidRPr="00A1715A">
        <w:t>Transformative Justice</w:t>
      </w:r>
    </w:p>
    <w:p w14:paraId="4566BE62" w14:textId="608E17A6" w:rsidR="00A3273D" w:rsidRPr="00E14F67" w:rsidRDefault="0065471A" w:rsidP="00A1715A">
      <w:pPr>
        <w:spacing w:line="480" w:lineRule="auto"/>
        <w:jc w:val="both"/>
        <w:rPr>
          <w:rFonts w:cstheme="minorHAnsi"/>
          <w:szCs w:val="22"/>
        </w:rPr>
      </w:pPr>
      <w:r w:rsidRPr="00E14F67">
        <w:rPr>
          <w:rFonts w:cstheme="minorHAnsi"/>
          <w:color w:val="000000" w:themeColor="text1"/>
          <w:szCs w:val="22"/>
        </w:rPr>
        <w:t>The above</w:t>
      </w:r>
      <w:r w:rsidR="00BD3D7A" w:rsidRPr="00E14F67">
        <w:rPr>
          <w:rFonts w:cstheme="minorHAnsi"/>
          <w:color w:val="000000" w:themeColor="text1"/>
          <w:szCs w:val="22"/>
        </w:rPr>
        <w:t xml:space="preserve"> assessment of the work of the PTCs as a CBTRC has illustrated that the change they seek as grassroots bodies and the positive impacts</w:t>
      </w:r>
      <w:r w:rsidR="00FA76A2" w:rsidRPr="00E14F67">
        <w:rPr>
          <w:rFonts w:cstheme="minorHAnsi"/>
          <w:color w:val="000000" w:themeColor="text1"/>
          <w:szCs w:val="22"/>
        </w:rPr>
        <w:t xml:space="preserve"> and outcomes</w:t>
      </w:r>
      <w:r w:rsidR="00BD3D7A" w:rsidRPr="00E14F67">
        <w:rPr>
          <w:rFonts w:cstheme="minorHAnsi"/>
          <w:color w:val="000000" w:themeColor="text1"/>
          <w:szCs w:val="22"/>
        </w:rPr>
        <w:t xml:space="preserve"> they are producing constitute more than </w:t>
      </w:r>
      <w:r w:rsidR="007E2729">
        <w:rPr>
          <w:rFonts w:cstheme="minorHAnsi"/>
          <w:color w:val="000000" w:themeColor="text1"/>
          <w:szCs w:val="22"/>
        </w:rPr>
        <w:t>minor</w:t>
      </w:r>
      <w:r w:rsidR="00BD3D7A" w:rsidRPr="00E14F67">
        <w:rPr>
          <w:rFonts w:cstheme="minorHAnsi"/>
          <w:color w:val="000000" w:themeColor="text1"/>
          <w:szCs w:val="22"/>
        </w:rPr>
        <w:t xml:space="preserve"> reforms</w:t>
      </w:r>
      <w:r w:rsidR="007E2729">
        <w:rPr>
          <w:rFonts w:cstheme="minorHAnsi"/>
          <w:color w:val="000000" w:themeColor="text1"/>
          <w:szCs w:val="22"/>
        </w:rPr>
        <w:t>.</w:t>
      </w:r>
      <w:r w:rsidR="00302C77" w:rsidRPr="00E14F67">
        <w:rPr>
          <w:rFonts w:cstheme="minorHAnsi"/>
          <w:color w:val="000000" w:themeColor="text1"/>
          <w:szCs w:val="22"/>
        </w:rPr>
        <w:t xml:space="preserve"> </w:t>
      </w:r>
      <w:r w:rsidR="00BD3D7A" w:rsidRPr="00E14F67">
        <w:rPr>
          <w:rFonts w:cstheme="minorHAnsi"/>
          <w:color w:val="000000" w:themeColor="text1"/>
          <w:szCs w:val="22"/>
        </w:rPr>
        <w:t xml:space="preserve"> Evidence to date shows they seek deep-rooted change. </w:t>
      </w:r>
      <w:r w:rsidR="0066061F" w:rsidRPr="00E14F67">
        <w:rPr>
          <w:rFonts w:cstheme="minorHAnsi"/>
          <w:color w:val="000000" w:themeColor="text1"/>
          <w:szCs w:val="22"/>
        </w:rPr>
        <w:t>T</w:t>
      </w:r>
      <w:r w:rsidR="00A3273D" w:rsidRPr="00E14F67">
        <w:rPr>
          <w:rFonts w:cstheme="minorHAnsi"/>
          <w:color w:val="000000" w:themeColor="text1"/>
          <w:szCs w:val="22"/>
        </w:rPr>
        <w:t>he Scottish PTC</w:t>
      </w:r>
      <w:r w:rsidR="0066061F" w:rsidRPr="00E14F67">
        <w:rPr>
          <w:rFonts w:cstheme="minorHAnsi"/>
          <w:color w:val="000000" w:themeColor="text1"/>
          <w:szCs w:val="22"/>
        </w:rPr>
        <w:t xml:space="preserve"> for </w:t>
      </w:r>
      <w:r w:rsidR="00716D6B" w:rsidRPr="00E14F67">
        <w:rPr>
          <w:rFonts w:cstheme="minorHAnsi"/>
          <w:color w:val="000000" w:themeColor="text1"/>
          <w:szCs w:val="22"/>
        </w:rPr>
        <w:t>example, affirm</w:t>
      </w:r>
      <w:r w:rsidR="00A3273D" w:rsidRPr="00E14F67">
        <w:rPr>
          <w:rFonts w:cstheme="minorHAnsi"/>
          <w:color w:val="000000" w:themeColor="text1"/>
          <w:szCs w:val="22"/>
        </w:rPr>
        <w:t xml:space="preserve"> that it is not merely interested in the collection of information and the making of recommendations but is instead ‘primarily committed to being that change, seeking to demonstrate the approach and culture shift we advocate’ </w:t>
      </w:r>
      <w:r w:rsidR="00A3273D" w:rsidRPr="00E14F67">
        <w:rPr>
          <w:rFonts w:cstheme="minorHAnsi"/>
          <w:noProof/>
          <w:color w:val="000000" w:themeColor="text1"/>
          <w:szCs w:val="22"/>
        </w:rPr>
        <w:t>(The Poverty Truth Commission 2014, 2)</w:t>
      </w:r>
      <w:r w:rsidR="00A3273D" w:rsidRPr="00E14F67">
        <w:rPr>
          <w:rFonts w:cstheme="minorHAnsi"/>
          <w:color w:val="000000" w:themeColor="text1"/>
          <w:szCs w:val="22"/>
        </w:rPr>
        <w:t xml:space="preserve">. </w:t>
      </w:r>
      <w:r w:rsidR="00802FFC" w:rsidRPr="00E14F67">
        <w:rPr>
          <w:rFonts w:cstheme="minorHAnsi"/>
          <w:color w:val="000000" w:themeColor="text1"/>
          <w:szCs w:val="22"/>
        </w:rPr>
        <w:t xml:space="preserve">This does not relieve the state of responsibility. Rather it illustrates that those involved in the PTCs seek to drive change through active participation: through control and </w:t>
      </w:r>
      <w:r w:rsidR="00302C77" w:rsidRPr="00E14F67">
        <w:rPr>
          <w:rFonts w:cstheme="minorHAnsi"/>
          <w:color w:val="000000" w:themeColor="text1"/>
          <w:szCs w:val="22"/>
        </w:rPr>
        <w:t>ownership</w:t>
      </w:r>
      <w:r w:rsidR="00802FFC" w:rsidRPr="00E14F67">
        <w:rPr>
          <w:rFonts w:cstheme="minorHAnsi"/>
          <w:color w:val="000000" w:themeColor="text1"/>
          <w:szCs w:val="22"/>
        </w:rPr>
        <w:t xml:space="preserve"> of the process itself, setting their own terms of en</w:t>
      </w:r>
      <w:r w:rsidR="00302C77" w:rsidRPr="00E14F67">
        <w:rPr>
          <w:rFonts w:cstheme="minorHAnsi"/>
          <w:color w:val="000000" w:themeColor="text1"/>
          <w:szCs w:val="22"/>
        </w:rPr>
        <w:t>g</w:t>
      </w:r>
      <w:r w:rsidR="00802FFC" w:rsidRPr="00E14F67">
        <w:rPr>
          <w:rFonts w:cstheme="minorHAnsi"/>
          <w:color w:val="000000" w:themeColor="text1"/>
          <w:szCs w:val="22"/>
        </w:rPr>
        <w:t>agement</w:t>
      </w:r>
      <w:r w:rsidR="00302C77" w:rsidRPr="00E14F67">
        <w:rPr>
          <w:rFonts w:cstheme="minorHAnsi"/>
          <w:color w:val="000000" w:themeColor="text1"/>
          <w:szCs w:val="22"/>
        </w:rPr>
        <w:t xml:space="preserve"> with those in power. Furthermore, the</w:t>
      </w:r>
      <w:r w:rsidR="00A3273D" w:rsidRPr="00E14F67">
        <w:rPr>
          <w:rFonts w:cstheme="minorHAnsi"/>
          <w:color w:val="000000" w:themeColor="text1"/>
          <w:szCs w:val="22"/>
        </w:rPr>
        <w:t xml:space="preserve"> aim of deeper culture change is significant. </w:t>
      </w:r>
      <w:r w:rsidR="00A3273D" w:rsidRPr="00E14F67">
        <w:rPr>
          <w:rFonts w:cstheme="minorHAnsi"/>
          <w:szCs w:val="22"/>
        </w:rPr>
        <w:t xml:space="preserve">Evidently, transitional justice mechanisms have been the inspiration for </w:t>
      </w:r>
      <w:r w:rsidR="00302C77" w:rsidRPr="00E14F67">
        <w:rPr>
          <w:rFonts w:cstheme="minorHAnsi"/>
          <w:szCs w:val="22"/>
        </w:rPr>
        <w:t xml:space="preserve">CBTRCs </w:t>
      </w:r>
      <w:r w:rsidR="00A3273D" w:rsidRPr="00E14F67">
        <w:rPr>
          <w:rFonts w:cstheme="minorHAnsi"/>
          <w:szCs w:val="22"/>
        </w:rPr>
        <w:t>including the PTCs</w:t>
      </w:r>
      <w:r w:rsidR="00716D6B">
        <w:rPr>
          <w:rFonts w:cstheme="minorHAnsi"/>
          <w:szCs w:val="22"/>
        </w:rPr>
        <w:t>,</w:t>
      </w:r>
      <w:r w:rsidR="00A3273D" w:rsidRPr="00E14F67">
        <w:rPr>
          <w:rFonts w:cstheme="minorHAnsi"/>
          <w:szCs w:val="22"/>
        </w:rPr>
        <w:t xml:space="preserve"> </w:t>
      </w:r>
      <w:r w:rsidR="00716D6B">
        <w:rPr>
          <w:rFonts w:cstheme="minorHAnsi"/>
          <w:szCs w:val="22"/>
        </w:rPr>
        <w:t>b</w:t>
      </w:r>
      <w:r w:rsidR="00302C77" w:rsidRPr="00E14F67">
        <w:rPr>
          <w:rFonts w:cstheme="minorHAnsi"/>
          <w:szCs w:val="22"/>
        </w:rPr>
        <w:t>ut</w:t>
      </w:r>
      <w:r w:rsidR="00A3273D" w:rsidRPr="00E14F67">
        <w:rPr>
          <w:rFonts w:cstheme="minorHAnsi"/>
          <w:szCs w:val="22"/>
        </w:rPr>
        <w:t xml:space="preserve">, it is also clear that such transitional justice mechanisms have been adapted to better suit the needs of the communities. They are less legalistic, community driven and acknowledge that transforming society is a long-term goal, indeed it may be that such transformation is an ongoing process </w:t>
      </w:r>
      <w:r w:rsidR="00A3273D" w:rsidRPr="00E14F67">
        <w:rPr>
          <w:rFonts w:cstheme="minorHAnsi"/>
          <w:noProof/>
          <w:szCs w:val="22"/>
        </w:rPr>
        <w:t>(Gready 2019, 23)</w:t>
      </w:r>
      <w:r w:rsidR="00A3273D" w:rsidRPr="00E14F67">
        <w:rPr>
          <w:rFonts w:cstheme="minorHAnsi"/>
          <w:szCs w:val="22"/>
        </w:rPr>
        <w:t xml:space="preserve">. As such they can be viewed as a form of transformative justice rather than transitional justice. As Gready </w:t>
      </w:r>
      <w:r w:rsidR="00A3273D" w:rsidRPr="00E14F67">
        <w:rPr>
          <w:rFonts w:cstheme="minorHAnsi"/>
          <w:szCs w:val="22"/>
        </w:rPr>
        <w:lastRenderedPageBreak/>
        <w:t>note</w:t>
      </w:r>
      <w:r w:rsidR="002A3CBE" w:rsidRPr="00E14F67">
        <w:rPr>
          <w:rFonts w:cstheme="minorHAnsi"/>
          <w:szCs w:val="22"/>
        </w:rPr>
        <w:t>s</w:t>
      </w:r>
      <w:r w:rsidR="00A3273D" w:rsidRPr="00E14F67">
        <w:rPr>
          <w:rFonts w:cstheme="minorHAnsi"/>
          <w:szCs w:val="22"/>
        </w:rPr>
        <w:t xml:space="preserve">, ‘Transformative justice as an alternative, umbrella approach goes beyond the notion of adaptation and small-bore reforms. It is relevant in transitional settings, but can also be applied anywhere and at any time to address concerns, such as structural and everyday </w:t>
      </w:r>
      <w:r w:rsidR="00A3273D" w:rsidRPr="007E2729">
        <w:rPr>
          <w:rFonts w:cstheme="minorHAnsi"/>
          <w:szCs w:val="22"/>
        </w:rPr>
        <w:t xml:space="preserve">violence’ </w:t>
      </w:r>
      <w:r w:rsidR="00A3273D" w:rsidRPr="007E2729">
        <w:rPr>
          <w:rFonts w:cstheme="minorHAnsi"/>
          <w:noProof/>
          <w:szCs w:val="22"/>
        </w:rPr>
        <w:t>(Gready 2019, 2)</w:t>
      </w:r>
      <w:r w:rsidR="00A3273D" w:rsidRPr="007E2729">
        <w:rPr>
          <w:rFonts w:cstheme="minorHAnsi"/>
          <w:szCs w:val="22"/>
        </w:rPr>
        <w:t>.</w:t>
      </w:r>
      <w:r w:rsidR="007E2729" w:rsidRPr="007E2729" w:rsidDel="00F6210F">
        <w:rPr>
          <w:rFonts w:cstheme="minorHAnsi"/>
          <w:szCs w:val="22"/>
        </w:rPr>
        <w:t xml:space="preserve"> </w:t>
      </w:r>
    </w:p>
    <w:p w14:paraId="1F99D2AF" w14:textId="6A89246B" w:rsidR="00802FFC" w:rsidRPr="00E14F67" w:rsidRDefault="00A3273D" w:rsidP="00E14F67">
      <w:pPr>
        <w:spacing w:line="480" w:lineRule="auto"/>
        <w:ind w:firstLine="720"/>
        <w:jc w:val="both"/>
        <w:rPr>
          <w:rFonts w:cstheme="minorHAnsi"/>
          <w:bCs/>
          <w:iCs/>
          <w:color w:val="000000" w:themeColor="text1"/>
          <w:szCs w:val="22"/>
        </w:rPr>
      </w:pPr>
      <w:r w:rsidRPr="00E14F67">
        <w:rPr>
          <w:rFonts w:cstheme="minorHAnsi"/>
          <w:bCs/>
          <w:iCs/>
          <w:color w:val="000000" w:themeColor="text1"/>
          <w:szCs w:val="22"/>
        </w:rPr>
        <w:t xml:space="preserve">Consequently, it can be argued that the PTCs can be viewed as a form of transformative justice, aiming to ‘hear’ the truth of the situation and </w:t>
      </w:r>
      <w:r w:rsidR="00802FFC" w:rsidRPr="00E14F67">
        <w:rPr>
          <w:rFonts w:cstheme="minorHAnsi"/>
          <w:bCs/>
          <w:iCs/>
          <w:color w:val="000000" w:themeColor="text1"/>
          <w:szCs w:val="22"/>
        </w:rPr>
        <w:t xml:space="preserve">tackling structural </w:t>
      </w:r>
      <w:r w:rsidR="000C5FA8" w:rsidRPr="00E14F67">
        <w:rPr>
          <w:rFonts w:cstheme="minorHAnsi"/>
          <w:bCs/>
          <w:iCs/>
          <w:color w:val="000000" w:themeColor="text1"/>
          <w:szCs w:val="22"/>
        </w:rPr>
        <w:t>violence by</w:t>
      </w:r>
      <w:r w:rsidRPr="00E14F67">
        <w:rPr>
          <w:rFonts w:cstheme="minorHAnsi"/>
          <w:bCs/>
          <w:iCs/>
          <w:color w:val="000000" w:themeColor="text1"/>
          <w:szCs w:val="22"/>
        </w:rPr>
        <w:t xml:space="preserve"> seeking to transform the community experience to a </w:t>
      </w:r>
      <w:r w:rsidR="00802FFC" w:rsidRPr="00E14F67">
        <w:rPr>
          <w:rFonts w:cstheme="minorHAnsi"/>
          <w:bCs/>
          <w:iCs/>
          <w:color w:val="000000" w:themeColor="text1"/>
          <w:szCs w:val="22"/>
        </w:rPr>
        <w:t>more equal</w:t>
      </w:r>
      <w:r w:rsidRPr="00E14F67">
        <w:rPr>
          <w:rFonts w:cstheme="minorHAnsi"/>
          <w:bCs/>
          <w:iCs/>
          <w:color w:val="000000" w:themeColor="text1"/>
          <w:szCs w:val="22"/>
        </w:rPr>
        <w:t>, inclusive, and peaceful community.</w:t>
      </w:r>
      <w:r w:rsidRPr="00E14F67">
        <w:rPr>
          <w:rFonts w:cstheme="minorHAnsi"/>
          <w:szCs w:val="22"/>
        </w:rPr>
        <w:t xml:space="preserve"> Transformative justice is defined as ‘</w:t>
      </w:r>
      <w:r w:rsidRPr="00E14F67">
        <w:rPr>
          <w:rFonts w:cstheme="minorHAnsi"/>
          <w:bCs/>
          <w:iCs/>
          <w:color w:val="000000" w:themeColor="text1"/>
          <w:szCs w:val="22"/>
        </w:rPr>
        <w:t xml:space="preserve">transformative change that emphasizes local agency and resources, the prioritization of process rather than preconceived outcomes, and the challenging of unequal and intersecting power relationships and structures of exclusion at both local and global levels’ </w:t>
      </w:r>
      <w:r w:rsidRPr="00E14F67">
        <w:rPr>
          <w:rFonts w:cstheme="minorHAnsi"/>
          <w:bCs/>
          <w:iCs/>
          <w:noProof/>
          <w:color w:val="000000" w:themeColor="text1"/>
          <w:szCs w:val="22"/>
        </w:rPr>
        <w:t>(Gready 2019, 2)</w:t>
      </w:r>
      <w:r w:rsidRPr="00E14F67">
        <w:rPr>
          <w:rFonts w:cstheme="minorHAnsi"/>
          <w:bCs/>
          <w:iCs/>
          <w:color w:val="000000" w:themeColor="text1"/>
          <w:szCs w:val="22"/>
        </w:rPr>
        <w:t xml:space="preserve">. Thus clearly, the PTCs fall within the </w:t>
      </w:r>
      <w:r w:rsidR="0066061F" w:rsidRPr="00E14F67">
        <w:rPr>
          <w:rFonts w:cstheme="minorHAnsi"/>
          <w:bCs/>
          <w:iCs/>
          <w:color w:val="000000" w:themeColor="text1"/>
          <w:szCs w:val="22"/>
        </w:rPr>
        <w:t xml:space="preserve">definition </w:t>
      </w:r>
      <w:r w:rsidRPr="00E14F67">
        <w:rPr>
          <w:rFonts w:cstheme="minorHAnsi"/>
          <w:bCs/>
          <w:iCs/>
          <w:color w:val="000000" w:themeColor="text1"/>
          <w:szCs w:val="22"/>
        </w:rPr>
        <w:t>of transformative justice</w:t>
      </w:r>
      <w:r w:rsidR="00802FFC" w:rsidRPr="00E14F67">
        <w:rPr>
          <w:rFonts w:cstheme="minorHAnsi"/>
          <w:bCs/>
          <w:iCs/>
          <w:color w:val="000000" w:themeColor="text1"/>
          <w:szCs w:val="22"/>
        </w:rPr>
        <w:t xml:space="preserve"> </w:t>
      </w:r>
      <w:r w:rsidR="00302C77" w:rsidRPr="00E14F67">
        <w:rPr>
          <w:rFonts w:cstheme="minorHAnsi"/>
          <w:bCs/>
          <w:iCs/>
          <w:color w:val="000000" w:themeColor="text1"/>
          <w:szCs w:val="22"/>
        </w:rPr>
        <w:t>embodying change which encompasses all</w:t>
      </w:r>
      <w:r w:rsidR="00802FFC" w:rsidRPr="00E14F67">
        <w:rPr>
          <w:rFonts w:cstheme="minorHAnsi"/>
          <w:bCs/>
          <w:iCs/>
          <w:color w:val="000000" w:themeColor="text1"/>
          <w:szCs w:val="22"/>
        </w:rPr>
        <w:t xml:space="preserve"> these elements</w:t>
      </w:r>
      <w:r w:rsidRPr="00E14F67">
        <w:rPr>
          <w:rFonts w:cstheme="minorHAnsi"/>
          <w:bCs/>
          <w:iCs/>
          <w:color w:val="000000" w:themeColor="text1"/>
          <w:szCs w:val="22"/>
        </w:rPr>
        <w:t xml:space="preserve">. </w:t>
      </w:r>
    </w:p>
    <w:p w14:paraId="7C6203D6" w14:textId="47B6DB65" w:rsidR="00C12BD1" w:rsidRPr="00E14F67" w:rsidRDefault="0066061F" w:rsidP="00E14F67">
      <w:pPr>
        <w:spacing w:line="480" w:lineRule="auto"/>
        <w:ind w:firstLine="720"/>
        <w:jc w:val="both"/>
        <w:rPr>
          <w:rFonts w:cstheme="minorHAnsi"/>
          <w:szCs w:val="22"/>
        </w:rPr>
      </w:pPr>
      <w:r w:rsidRPr="00E14F67">
        <w:rPr>
          <w:rFonts w:cstheme="minorHAnsi"/>
          <w:szCs w:val="22"/>
        </w:rPr>
        <w:t>The PTCs</w:t>
      </w:r>
      <w:r w:rsidR="00841C30">
        <w:rPr>
          <w:rFonts w:cstheme="minorHAnsi"/>
          <w:szCs w:val="22"/>
        </w:rPr>
        <w:t>,</w:t>
      </w:r>
      <w:r w:rsidRPr="00E14F67">
        <w:rPr>
          <w:rFonts w:cstheme="minorHAnsi"/>
          <w:szCs w:val="22"/>
        </w:rPr>
        <w:t xml:space="preserve"> rather than offering an instrumental form of participation</w:t>
      </w:r>
      <w:r w:rsidR="00841C30">
        <w:rPr>
          <w:rFonts w:cstheme="minorHAnsi"/>
          <w:szCs w:val="22"/>
        </w:rPr>
        <w:t>,</w:t>
      </w:r>
      <w:r w:rsidRPr="00E14F67">
        <w:rPr>
          <w:rFonts w:cstheme="minorHAnsi"/>
          <w:szCs w:val="22"/>
        </w:rPr>
        <w:t xml:space="preserve"> have provided ‘transformative spaces’ (Goldstraw </w:t>
      </w:r>
      <w:r w:rsidRPr="00E14F67">
        <w:rPr>
          <w:rFonts w:cstheme="minorHAnsi"/>
          <w:i/>
          <w:iCs/>
          <w:szCs w:val="22"/>
        </w:rPr>
        <w:t>et al</w:t>
      </w:r>
      <w:r w:rsidRPr="00E14F67">
        <w:rPr>
          <w:rFonts w:cstheme="minorHAnsi"/>
          <w:szCs w:val="22"/>
        </w:rPr>
        <w:t xml:space="preserve"> 2019, 9).   </w:t>
      </w:r>
      <w:r w:rsidR="005175F0" w:rsidRPr="00E14F67">
        <w:rPr>
          <w:rFonts w:cstheme="minorHAnsi"/>
          <w:szCs w:val="22"/>
        </w:rPr>
        <w:t>P</w:t>
      </w:r>
      <w:r w:rsidRPr="00E14F67">
        <w:rPr>
          <w:rFonts w:cstheme="minorHAnsi"/>
          <w:szCs w:val="22"/>
        </w:rPr>
        <w:t xml:space="preserve">articipation does not </w:t>
      </w:r>
      <w:r w:rsidR="005175F0" w:rsidRPr="00E14F67">
        <w:rPr>
          <w:rFonts w:cstheme="minorHAnsi"/>
          <w:szCs w:val="22"/>
        </w:rPr>
        <w:t xml:space="preserve">alone bring </w:t>
      </w:r>
      <w:r w:rsidRPr="00E14F67">
        <w:rPr>
          <w:rFonts w:cstheme="minorHAnsi"/>
          <w:szCs w:val="22"/>
        </w:rPr>
        <w:t>change</w:t>
      </w:r>
      <w:r w:rsidR="005175F0" w:rsidRPr="00E14F67">
        <w:rPr>
          <w:rFonts w:cstheme="minorHAnsi"/>
          <w:szCs w:val="22"/>
        </w:rPr>
        <w:t>;</w:t>
      </w:r>
      <w:r w:rsidRPr="00E14F67">
        <w:rPr>
          <w:rFonts w:cstheme="minorHAnsi"/>
          <w:szCs w:val="22"/>
        </w:rPr>
        <w:t xml:space="preserve"> </w:t>
      </w:r>
      <w:r w:rsidR="005175F0" w:rsidRPr="00E14F67">
        <w:rPr>
          <w:rFonts w:cstheme="minorHAnsi"/>
          <w:szCs w:val="22"/>
        </w:rPr>
        <w:t xml:space="preserve">addressing </w:t>
      </w:r>
      <w:r w:rsidRPr="00E14F67">
        <w:rPr>
          <w:rFonts w:cstheme="minorHAnsi"/>
          <w:szCs w:val="22"/>
        </w:rPr>
        <w:t xml:space="preserve">structural violence such as poverty </w:t>
      </w:r>
      <w:r w:rsidR="005175F0" w:rsidRPr="00E14F67">
        <w:rPr>
          <w:rFonts w:cstheme="minorHAnsi"/>
          <w:szCs w:val="22"/>
        </w:rPr>
        <w:t xml:space="preserve">also </w:t>
      </w:r>
      <w:r w:rsidRPr="00E14F67">
        <w:rPr>
          <w:rFonts w:cstheme="minorHAnsi"/>
          <w:szCs w:val="22"/>
        </w:rPr>
        <w:t>requires structural change</w:t>
      </w:r>
      <w:r w:rsidR="005175F0" w:rsidRPr="00E14F67">
        <w:rPr>
          <w:rFonts w:cstheme="minorHAnsi"/>
          <w:szCs w:val="22"/>
        </w:rPr>
        <w:t xml:space="preserve"> (Vaughan 2014, 191).  It requires moving from participatory spaces to ‘engaging with local power structures in order to support “transformative action in context”’ </w:t>
      </w:r>
      <w:r w:rsidR="00771DC9" w:rsidRPr="00E14F67">
        <w:rPr>
          <w:rFonts w:cstheme="minorHAnsi"/>
          <w:szCs w:val="22"/>
        </w:rPr>
        <w:t>(</w:t>
      </w:r>
      <w:r w:rsidR="005175F0" w:rsidRPr="00E14F67">
        <w:rPr>
          <w:rFonts w:cstheme="minorHAnsi"/>
          <w:szCs w:val="22"/>
        </w:rPr>
        <w:t>Vaughan</w:t>
      </w:r>
      <w:r w:rsidR="00597254" w:rsidRPr="00E14F67">
        <w:rPr>
          <w:rFonts w:cstheme="minorHAnsi"/>
          <w:szCs w:val="22"/>
        </w:rPr>
        <w:t xml:space="preserve"> </w:t>
      </w:r>
      <w:r w:rsidR="005175F0" w:rsidRPr="00E14F67">
        <w:rPr>
          <w:rFonts w:cstheme="minorHAnsi"/>
          <w:szCs w:val="22"/>
        </w:rPr>
        <w:t>2014, 185).  By providing such transformational spaces the PTCs have driven transformative change.</w:t>
      </w:r>
    </w:p>
    <w:p w14:paraId="422DD947" w14:textId="778E8AF3" w:rsidR="00C12BD1" w:rsidRPr="00E14F67" w:rsidRDefault="00052857" w:rsidP="00E14F67">
      <w:pPr>
        <w:spacing w:line="480" w:lineRule="auto"/>
        <w:ind w:firstLine="720"/>
        <w:jc w:val="both"/>
        <w:rPr>
          <w:rFonts w:cstheme="minorHAnsi"/>
          <w:color w:val="000000" w:themeColor="text1"/>
          <w:szCs w:val="22"/>
        </w:rPr>
      </w:pPr>
      <w:r w:rsidRPr="00E14F67">
        <w:rPr>
          <w:rFonts w:cstheme="minorHAnsi"/>
          <w:color w:val="000000" w:themeColor="text1"/>
          <w:szCs w:val="22"/>
        </w:rPr>
        <w:t xml:space="preserve">The evidence from the PTCs to date points to a variety of positive outcomes and transformative positive change. However, there are of course also limitations to that change: Firstly, it is predominantly at a local level. This is both necessary and </w:t>
      </w:r>
      <w:r w:rsidRPr="00E14F67">
        <w:rPr>
          <w:rFonts w:cstheme="minorHAnsi"/>
          <w:color w:val="000000" w:themeColor="text1"/>
          <w:szCs w:val="22"/>
        </w:rPr>
        <w:lastRenderedPageBreak/>
        <w:t>positive but change is also required at a national level to tackle structural poverty.  Moving forwards, West Cheshire PTC state that ‘Taking the learning from the experience of West Cheshire Poverty Truth Commission from the local policy arena to the national policy arena is the next step.’</w:t>
      </w:r>
      <w:r w:rsidRPr="00E14F67">
        <w:rPr>
          <w:rFonts w:cstheme="minorHAnsi"/>
          <w:szCs w:val="22"/>
        </w:rPr>
        <w:t xml:space="preserve"> </w:t>
      </w:r>
      <w:r w:rsidRPr="00E14F67">
        <w:rPr>
          <w:rFonts w:cstheme="minorHAnsi"/>
          <w:color w:val="000000" w:themeColor="text1"/>
          <w:szCs w:val="22"/>
        </w:rPr>
        <w:t>(</w:t>
      </w:r>
      <w:r w:rsidR="00EE5425" w:rsidRPr="00E14F67">
        <w:rPr>
          <w:rFonts w:cstheme="minorHAnsi"/>
          <w:color w:val="000000" w:themeColor="text1"/>
          <w:szCs w:val="22"/>
        </w:rPr>
        <w:t xml:space="preserve">West Cheshire Poverty Truth Commission 2018a, </w:t>
      </w:r>
      <w:r w:rsidRPr="00E14F67">
        <w:rPr>
          <w:rFonts w:cstheme="minorHAnsi"/>
          <w:color w:val="000000" w:themeColor="text1"/>
          <w:szCs w:val="22"/>
        </w:rPr>
        <w:t xml:space="preserve">19). Clearly the collective experiences of the PTCs have huge potential to inform practice and build an evidence base for tackling poverty at a national level </w:t>
      </w:r>
      <w:r w:rsidR="00C20CD6" w:rsidRPr="00E14F67">
        <w:rPr>
          <w:rFonts w:cstheme="minorHAnsi"/>
          <w:color w:val="000000" w:themeColor="text1"/>
          <w:szCs w:val="22"/>
        </w:rPr>
        <w:t xml:space="preserve">(West Cheshire Poverty Truth Commission 2018a, 18). </w:t>
      </w:r>
      <w:r w:rsidRPr="00E14F67">
        <w:rPr>
          <w:rFonts w:cstheme="minorHAnsi"/>
          <w:color w:val="000000" w:themeColor="text1"/>
          <w:szCs w:val="22"/>
        </w:rPr>
        <w:t xml:space="preserve"> The newly established Poverty Truth Network aims to drive this next </w:t>
      </w:r>
      <w:r w:rsidRPr="00AB2724">
        <w:rPr>
          <w:rFonts w:cstheme="minorHAnsi"/>
          <w:color w:val="000000" w:themeColor="text1"/>
          <w:szCs w:val="22"/>
        </w:rPr>
        <w:t>step forwards</w:t>
      </w:r>
      <w:r w:rsidR="00265691" w:rsidRPr="00AB2724">
        <w:rPr>
          <w:rFonts w:cstheme="minorHAnsi"/>
          <w:color w:val="000000" w:themeColor="text1"/>
          <w:szCs w:val="22"/>
        </w:rPr>
        <w:t xml:space="preserve"> </w:t>
      </w:r>
      <w:r w:rsidR="00AA7D49" w:rsidRPr="00AB2724">
        <w:rPr>
          <w:rFonts w:cstheme="minorHAnsi"/>
          <w:color w:val="000000" w:themeColor="text1"/>
          <w:szCs w:val="22"/>
        </w:rPr>
        <w:t>(Poverty Truth Network 2020</w:t>
      </w:r>
      <w:r w:rsidR="0057040E" w:rsidRPr="00AB2724">
        <w:rPr>
          <w:rFonts w:cstheme="minorHAnsi"/>
          <w:color w:val="000000" w:themeColor="text1"/>
          <w:szCs w:val="22"/>
        </w:rPr>
        <w:t>b</w:t>
      </w:r>
      <w:r w:rsidR="00AA7D49" w:rsidRPr="00AB2724">
        <w:rPr>
          <w:rFonts w:cstheme="minorHAnsi"/>
          <w:color w:val="000000" w:themeColor="text1"/>
          <w:szCs w:val="22"/>
        </w:rPr>
        <w:t xml:space="preserve">). </w:t>
      </w:r>
      <w:r w:rsidR="00330DAE" w:rsidRPr="00AB2724">
        <w:rPr>
          <w:rFonts w:cstheme="minorHAnsi"/>
          <w:szCs w:val="22"/>
        </w:rPr>
        <w:t>Importantly</w:t>
      </w:r>
      <w:r w:rsidR="00330DAE" w:rsidRPr="00E14F67">
        <w:rPr>
          <w:rFonts w:cstheme="minorHAnsi"/>
          <w:szCs w:val="22"/>
        </w:rPr>
        <w:t>, e</w:t>
      </w:r>
      <w:r w:rsidR="00330DAE" w:rsidRPr="00E14F67">
        <w:rPr>
          <w:rFonts w:cstheme="minorHAnsi"/>
          <w:color w:val="000000" w:themeColor="text1"/>
          <w:szCs w:val="22"/>
        </w:rPr>
        <w:t>xpanding and also translating from the local context to the national context is key to embedding structural change.</w:t>
      </w:r>
    </w:p>
    <w:p w14:paraId="64626D64" w14:textId="3E9DD990" w:rsidR="00C12BD1" w:rsidRPr="00E14F67" w:rsidRDefault="00DF2C11" w:rsidP="00E14F67">
      <w:pPr>
        <w:spacing w:line="480" w:lineRule="auto"/>
        <w:ind w:firstLine="720"/>
        <w:jc w:val="both"/>
        <w:rPr>
          <w:rFonts w:cstheme="minorHAnsi"/>
          <w:szCs w:val="22"/>
        </w:rPr>
      </w:pPr>
      <w:r w:rsidRPr="00E14F67">
        <w:rPr>
          <w:rFonts w:cstheme="minorHAnsi"/>
          <w:color w:val="000000" w:themeColor="text1"/>
          <w:szCs w:val="22"/>
        </w:rPr>
        <w:t>Secondly</w:t>
      </w:r>
      <w:r w:rsidR="00AE4B3B" w:rsidRPr="00E14F67">
        <w:rPr>
          <w:rFonts w:cstheme="minorHAnsi"/>
          <w:color w:val="000000" w:themeColor="text1"/>
          <w:szCs w:val="22"/>
        </w:rPr>
        <w:t xml:space="preserve">, </w:t>
      </w:r>
      <w:r w:rsidR="00052857" w:rsidRPr="00E14F67">
        <w:rPr>
          <w:rFonts w:cstheme="minorHAnsi"/>
          <w:color w:val="000000" w:themeColor="text1"/>
          <w:szCs w:val="22"/>
        </w:rPr>
        <w:t xml:space="preserve">evidence as to the full extent and duration of the changes made (and consequently of the effectiveness of the PTCs) is partial and emergent. There has been little systematic evaluation of the outcomes of the PTCs and their impacts as a whole (with the exception of the 2019 report by Goldstraw </w:t>
      </w:r>
      <w:r w:rsidR="00052857" w:rsidRPr="00C9569B">
        <w:rPr>
          <w:rFonts w:cstheme="minorHAnsi"/>
          <w:i/>
          <w:iCs/>
          <w:color w:val="000000" w:themeColor="text1"/>
          <w:szCs w:val="22"/>
        </w:rPr>
        <w:t>et al</w:t>
      </w:r>
      <w:r w:rsidR="00052857" w:rsidRPr="00E14F67">
        <w:rPr>
          <w:rFonts w:cstheme="minorHAnsi"/>
          <w:color w:val="000000" w:themeColor="text1"/>
          <w:szCs w:val="22"/>
        </w:rPr>
        <w:t xml:space="preserve">) in terms of evaluating wider patterns in outcomes and changes to policy. </w:t>
      </w:r>
      <w:r w:rsidR="00AE4B3B" w:rsidRPr="00E14F67">
        <w:rPr>
          <w:rFonts w:cstheme="minorHAnsi"/>
          <w:color w:val="000000" w:themeColor="text1"/>
          <w:szCs w:val="22"/>
        </w:rPr>
        <w:t>Most d</w:t>
      </w:r>
      <w:r w:rsidR="00052857" w:rsidRPr="00E14F67">
        <w:rPr>
          <w:rFonts w:cstheme="minorHAnsi"/>
          <w:color w:val="000000" w:themeColor="text1"/>
          <w:szCs w:val="22"/>
        </w:rPr>
        <w:t>ocumented evidence</w:t>
      </w:r>
      <w:r w:rsidR="00AE4B3B" w:rsidRPr="00E14F67">
        <w:rPr>
          <w:rFonts w:cstheme="minorHAnsi"/>
          <w:color w:val="000000" w:themeColor="text1"/>
          <w:szCs w:val="22"/>
        </w:rPr>
        <w:t xml:space="preserve"> to date</w:t>
      </w:r>
      <w:r w:rsidR="00052857" w:rsidRPr="00E14F67">
        <w:rPr>
          <w:rFonts w:cstheme="minorHAnsi"/>
          <w:color w:val="000000" w:themeColor="text1"/>
          <w:szCs w:val="22"/>
        </w:rPr>
        <w:t xml:space="preserve"> is</w:t>
      </w:r>
      <w:r w:rsidR="00076B0A">
        <w:rPr>
          <w:rFonts w:cstheme="minorHAnsi"/>
          <w:color w:val="000000" w:themeColor="text1"/>
          <w:szCs w:val="22"/>
        </w:rPr>
        <w:t xml:space="preserve"> from</w:t>
      </w:r>
      <w:r w:rsidR="00052857" w:rsidRPr="00E14F67">
        <w:rPr>
          <w:rFonts w:cstheme="minorHAnsi"/>
          <w:color w:val="000000" w:themeColor="text1"/>
          <w:szCs w:val="22"/>
        </w:rPr>
        <w:t xml:space="preserve"> </w:t>
      </w:r>
      <w:r w:rsidR="00296115">
        <w:rPr>
          <w:rFonts w:cstheme="minorHAnsi"/>
          <w:color w:val="000000" w:themeColor="text1"/>
          <w:szCs w:val="22"/>
        </w:rPr>
        <w:t>internal self-assessment by</w:t>
      </w:r>
      <w:r w:rsidR="00052857" w:rsidRPr="00E14F67">
        <w:rPr>
          <w:rFonts w:cstheme="minorHAnsi"/>
          <w:color w:val="000000" w:themeColor="text1"/>
          <w:szCs w:val="22"/>
        </w:rPr>
        <w:t xml:space="preserve"> individual PTCs</w:t>
      </w:r>
      <w:r w:rsidR="006C5E6D" w:rsidRPr="00E14F67">
        <w:rPr>
          <w:rFonts w:cstheme="minorHAnsi"/>
          <w:color w:val="000000" w:themeColor="text1"/>
          <w:szCs w:val="22"/>
        </w:rPr>
        <w:t xml:space="preserve"> </w:t>
      </w:r>
      <w:r w:rsidR="006C5E6D" w:rsidRPr="00E14F67">
        <w:rPr>
          <w:rFonts w:cstheme="minorHAnsi"/>
          <w:szCs w:val="22"/>
        </w:rPr>
        <w:t>(</w:t>
      </w:r>
      <w:r w:rsidR="005B6D8D">
        <w:rPr>
          <w:rFonts w:cstheme="minorHAnsi"/>
          <w:szCs w:val="22"/>
        </w:rPr>
        <w:t xml:space="preserve">for example see </w:t>
      </w:r>
      <w:r w:rsidR="006C5E6D" w:rsidRPr="00E14F67">
        <w:rPr>
          <w:rFonts w:cstheme="minorHAnsi"/>
          <w:szCs w:val="22"/>
        </w:rPr>
        <w:t xml:space="preserve">West Cheshire Poverty Truth Commission 2018b; </w:t>
      </w:r>
      <w:r w:rsidR="006C5E6D" w:rsidRPr="00E14F67">
        <w:rPr>
          <w:rFonts w:cstheme="minorHAnsi"/>
          <w:color w:val="000000" w:themeColor="text1"/>
          <w:szCs w:val="22"/>
        </w:rPr>
        <w:t xml:space="preserve">Salford Poverty Truth Commission 2017; </w:t>
      </w:r>
      <w:r w:rsidR="006C5E6D" w:rsidRPr="00E14F67">
        <w:rPr>
          <w:rFonts w:cstheme="minorHAnsi"/>
          <w:szCs w:val="22"/>
        </w:rPr>
        <w:t>The Poverty Truth Commission 2018)</w:t>
      </w:r>
      <w:r w:rsidR="005B6D8D">
        <w:rPr>
          <w:rFonts w:cstheme="minorHAnsi"/>
          <w:szCs w:val="22"/>
        </w:rPr>
        <w:t xml:space="preserve">. </w:t>
      </w:r>
      <w:r w:rsidR="00052857" w:rsidRPr="00E14F67">
        <w:rPr>
          <w:rFonts w:cstheme="minorHAnsi"/>
          <w:color w:val="000000" w:themeColor="text1"/>
          <w:szCs w:val="22"/>
        </w:rPr>
        <w:t xml:space="preserve">Although this is not surprising given they are all independent organisations, </w:t>
      </w:r>
      <w:r w:rsidR="00330DAE" w:rsidRPr="00E14F67">
        <w:rPr>
          <w:rFonts w:cstheme="minorHAnsi"/>
          <w:color w:val="000000" w:themeColor="text1"/>
          <w:szCs w:val="22"/>
        </w:rPr>
        <w:t>the extent to which PTCs provide sustainable lasting transformative justice more widely requires further</w:t>
      </w:r>
      <w:r w:rsidR="00076B0A">
        <w:rPr>
          <w:rFonts w:cstheme="minorHAnsi"/>
          <w:color w:val="000000" w:themeColor="text1"/>
          <w:szCs w:val="22"/>
        </w:rPr>
        <w:t xml:space="preserve">, </w:t>
      </w:r>
      <w:r w:rsidR="00296115">
        <w:rPr>
          <w:rFonts w:cstheme="minorHAnsi"/>
          <w:color w:val="000000" w:themeColor="text1"/>
          <w:szCs w:val="22"/>
        </w:rPr>
        <w:t>independent</w:t>
      </w:r>
      <w:r w:rsidR="00330DAE" w:rsidRPr="00E14F67">
        <w:rPr>
          <w:rFonts w:cstheme="minorHAnsi"/>
          <w:color w:val="000000" w:themeColor="text1"/>
          <w:szCs w:val="22"/>
        </w:rPr>
        <w:t xml:space="preserve"> research. </w:t>
      </w:r>
    </w:p>
    <w:p w14:paraId="7CC0A62C" w14:textId="2DD347B8" w:rsidR="003F637D" w:rsidRPr="00E14F67" w:rsidRDefault="0029487E" w:rsidP="00E14F67">
      <w:pPr>
        <w:spacing w:line="480" w:lineRule="auto"/>
        <w:ind w:firstLine="720"/>
        <w:jc w:val="both"/>
        <w:rPr>
          <w:rFonts w:cstheme="minorHAnsi"/>
          <w:szCs w:val="22"/>
        </w:rPr>
      </w:pPr>
      <w:r w:rsidRPr="00E14F67">
        <w:rPr>
          <w:rFonts w:cstheme="minorHAnsi"/>
          <w:color w:val="000000" w:themeColor="text1"/>
          <w:szCs w:val="22"/>
        </w:rPr>
        <w:t>Lastly, it is important to note that the PTCs should not be seen as</w:t>
      </w:r>
      <w:r w:rsidR="004509E4" w:rsidRPr="00E14F67">
        <w:rPr>
          <w:rFonts w:cstheme="minorHAnsi"/>
          <w:color w:val="000000" w:themeColor="text1"/>
          <w:szCs w:val="22"/>
        </w:rPr>
        <w:t xml:space="preserve"> a</w:t>
      </w:r>
      <w:r w:rsidRPr="00E14F67">
        <w:rPr>
          <w:rFonts w:cstheme="minorHAnsi"/>
          <w:color w:val="000000" w:themeColor="text1"/>
          <w:szCs w:val="22"/>
        </w:rPr>
        <w:t xml:space="preserve"> </w:t>
      </w:r>
      <w:r w:rsidR="004509E4" w:rsidRPr="00E14F67">
        <w:rPr>
          <w:rFonts w:cstheme="minorHAnsi"/>
          <w:color w:val="000000" w:themeColor="text1"/>
          <w:szCs w:val="22"/>
        </w:rPr>
        <w:t xml:space="preserve">panacea for addressing poverty and there are obviously practical operational limitations that PTCs might face: Having sufficient resources in terms of staffing/participants, time </w:t>
      </w:r>
      <w:r w:rsidR="004509E4" w:rsidRPr="00E14F67">
        <w:rPr>
          <w:rFonts w:cstheme="minorHAnsi"/>
          <w:color w:val="000000" w:themeColor="text1"/>
          <w:szCs w:val="22"/>
        </w:rPr>
        <w:lastRenderedPageBreak/>
        <w:t xml:space="preserve">and funding are imperative </w:t>
      </w:r>
      <w:r w:rsidR="003A426A">
        <w:rPr>
          <w:rFonts w:cstheme="minorHAnsi"/>
          <w:color w:val="000000" w:themeColor="text1"/>
          <w:szCs w:val="22"/>
        </w:rPr>
        <w:t xml:space="preserve">and it is also </w:t>
      </w:r>
      <w:r w:rsidR="004509E4" w:rsidRPr="00E14F67">
        <w:rPr>
          <w:rFonts w:cstheme="minorHAnsi"/>
          <w:color w:val="000000" w:themeColor="text1"/>
          <w:szCs w:val="22"/>
        </w:rPr>
        <w:t xml:space="preserve">imperative </w:t>
      </w:r>
      <w:r w:rsidR="003A426A">
        <w:rPr>
          <w:rFonts w:cstheme="minorHAnsi"/>
          <w:color w:val="000000" w:themeColor="text1"/>
          <w:szCs w:val="22"/>
        </w:rPr>
        <w:t>to have</w:t>
      </w:r>
      <w:r w:rsidR="004509E4" w:rsidRPr="00E14F67">
        <w:rPr>
          <w:rFonts w:cstheme="minorHAnsi"/>
          <w:color w:val="000000" w:themeColor="text1"/>
          <w:szCs w:val="22"/>
        </w:rPr>
        <w:t xml:space="preserve"> access to power and voice to influence policy, legislation and practice (West Cheshire Poverty Truth Commission 2018a).  It is also necessary to manage expectations</w:t>
      </w:r>
      <w:r w:rsidRPr="00E14F67">
        <w:rPr>
          <w:rFonts w:cstheme="minorHAnsi"/>
          <w:color w:val="000000" w:themeColor="text1"/>
          <w:szCs w:val="22"/>
        </w:rPr>
        <w:t xml:space="preserve"> in terms of what </w:t>
      </w:r>
      <w:r w:rsidR="004509E4" w:rsidRPr="00E14F67">
        <w:rPr>
          <w:rFonts w:cstheme="minorHAnsi"/>
          <w:color w:val="000000" w:themeColor="text1"/>
          <w:szCs w:val="22"/>
        </w:rPr>
        <w:t>the PTCs</w:t>
      </w:r>
      <w:r w:rsidRPr="00E14F67">
        <w:rPr>
          <w:rFonts w:cstheme="minorHAnsi"/>
          <w:color w:val="000000" w:themeColor="text1"/>
          <w:szCs w:val="22"/>
        </w:rPr>
        <w:t xml:space="preserve"> can achieve</w:t>
      </w:r>
      <w:r w:rsidR="004509E4" w:rsidRPr="00E14F67">
        <w:rPr>
          <w:rFonts w:cstheme="minorHAnsi"/>
          <w:color w:val="000000" w:themeColor="text1"/>
          <w:szCs w:val="22"/>
        </w:rPr>
        <w:t xml:space="preserve">. </w:t>
      </w:r>
      <w:r w:rsidRPr="00E14F67">
        <w:rPr>
          <w:rFonts w:cstheme="minorHAnsi"/>
          <w:color w:val="000000" w:themeColor="text1"/>
          <w:szCs w:val="22"/>
        </w:rPr>
        <w:t xml:space="preserve"> </w:t>
      </w:r>
      <w:r w:rsidR="004509E4" w:rsidRPr="00E14F67">
        <w:rPr>
          <w:rFonts w:cstheme="minorHAnsi"/>
          <w:color w:val="000000" w:themeColor="text1"/>
          <w:szCs w:val="22"/>
        </w:rPr>
        <w:t>O</w:t>
      </w:r>
      <w:r w:rsidRPr="00E14F67">
        <w:rPr>
          <w:rFonts w:cstheme="minorHAnsi"/>
          <w:color w:val="000000" w:themeColor="text1"/>
          <w:szCs w:val="22"/>
        </w:rPr>
        <w:t>ften</w:t>
      </w:r>
      <w:r w:rsidR="004509E4" w:rsidRPr="00E14F67">
        <w:rPr>
          <w:rFonts w:cstheme="minorHAnsi"/>
          <w:color w:val="000000" w:themeColor="text1"/>
          <w:szCs w:val="22"/>
        </w:rPr>
        <w:t xml:space="preserve"> expectations for CBTRCs (and similarly TRCs)</w:t>
      </w:r>
      <w:r w:rsidRPr="00E14F67">
        <w:rPr>
          <w:rFonts w:cstheme="minorHAnsi"/>
          <w:color w:val="000000" w:themeColor="text1"/>
          <w:szCs w:val="22"/>
        </w:rPr>
        <w:t xml:space="preserve"> ‘run too high’ (Greensboro Truth and Reconciliation Commission 2006b, 12). No one body can transform society and redress structural </w:t>
      </w:r>
      <w:r w:rsidR="005E042F">
        <w:rPr>
          <w:rFonts w:cstheme="minorHAnsi"/>
          <w:color w:val="000000" w:themeColor="text1"/>
          <w:szCs w:val="22"/>
        </w:rPr>
        <w:t>injustice</w:t>
      </w:r>
      <w:r w:rsidR="005E042F" w:rsidRPr="00E14F67">
        <w:rPr>
          <w:rFonts w:cstheme="minorHAnsi"/>
          <w:szCs w:val="22"/>
        </w:rPr>
        <w:t xml:space="preserve"> </w:t>
      </w:r>
      <w:r w:rsidRPr="00E14F67">
        <w:rPr>
          <w:rFonts w:cstheme="minorHAnsi"/>
          <w:color w:val="000000" w:themeColor="text1"/>
          <w:szCs w:val="22"/>
        </w:rPr>
        <w:t>by itself. However, ‘they can help identify the reasons structural change is needed’ (Greensboro Truth and Reconciliation Commission 2006b, 12), drive change and make crucial progress in addressing such violence. Hence</w:t>
      </w:r>
      <w:r w:rsidR="004509E4" w:rsidRPr="00E14F67">
        <w:rPr>
          <w:rFonts w:cstheme="minorHAnsi"/>
          <w:color w:val="000000" w:themeColor="text1"/>
          <w:szCs w:val="22"/>
        </w:rPr>
        <w:t>,</w:t>
      </w:r>
      <w:r w:rsidRPr="00E14F67">
        <w:rPr>
          <w:rFonts w:cstheme="minorHAnsi"/>
          <w:color w:val="000000" w:themeColor="text1"/>
          <w:szCs w:val="22"/>
        </w:rPr>
        <w:t xml:space="preserve"> whilst the benefits of using CBTRCs are evident they are not meant to replace other forms of justice</w:t>
      </w:r>
      <w:r w:rsidR="004509E4" w:rsidRPr="00E14F67">
        <w:rPr>
          <w:rFonts w:cstheme="minorHAnsi"/>
          <w:color w:val="000000" w:themeColor="text1"/>
          <w:szCs w:val="22"/>
        </w:rPr>
        <w:t>, rather, CBTRCs ‘might be viewed most realistically as one part of a larger effort to achieve social justice’ (Greensboro Truth and Reconciliation Commission 2006b, 12).</w:t>
      </w:r>
    </w:p>
    <w:p w14:paraId="7A42DF93" w14:textId="07648E1A" w:rsidR="00330DAE" w:rsidRPr="00E14F67" w:rsidRDefault="00330DAE" w:rsidP="00E63CA6">
      <w:pPr>
        <w:pStyle w:val="Heading1"/>
      </w:pPr>
      <w:bookmarkStart w:id="9" w:name="_Hlk51605989"/>
      <w:r w:rsidRPr="00E14F67">
        <w:t xml:space="preserve">Moving Forwards - Enhancing Transformative Justice to Address Poverty </w:t>
      </w:r>
      <w:r w:rsidRPr="00E14F67">
        <w:rPr>
          <w:i/>
          <w:iCs/>
        </w:rPr>
        <w:t>and</w:t>
      </w:r>
      <w:r w:rsidRPr="00E14F67">
        <w:t xml:space="preserve"> </w:t>
      </w:r>
      <w:r w:rsidR="00FF6C10" w:rsidRPr="00E14F67">
        <w:t xml:space="preserve">embrace </w:t>
      </w:r>
      <w:r w:rsidRPr="00E14F67">
        <w:t>ESCR</w:t>
      </w:r>
      <w:r w:rsidR="00FF6C10" w:rsidRPr="00E14F67">
        <w:t>s</w:t>
      </w:r>
      <w:r w:rsidRPr="00E14F67">
        <w:t xml:space="preserve"> </w:t>
      </w:r>
    </w:p>
    <w:bookmarkEnd w:id="9"/>
    <w:p w14:paraId="056693FE" w14:textId="1D7316DE" w:rsidR="00C12BD1" w:rsidRPr="00E14F67" w:rsidRDefault="00A3273D" w:rsidP="00E14F67">
      <w:pPr>
        <w:spacing w:line="480" w:lineRule="auto"/>
        <w:jc w:val="both"/>
        <w:rPr>
          <w:rFonts w:cstheme="minorHAnsi"/>
          <w:color w:val="000000" w:themeColor="text1"/>
          <w:szCs w:val="22"/>
        </w:rPr>
      </w:pPr>
      <w:r w:rsidRPr="00E14F67">
        <w:rPr>
          <w:rFonts w:cstheme="minorHAnsi"/>
          <w:color w:val="000000" w:themeColor="text1"/>
          <w:szCs w:val="22"/>
        </w:rPr>
        <w:t xml:space="preserve">Moving forwards, </w:t>
      </w:r>
      <w:r w:rsidR="00C23D38" w:rsidRPr="00E14F67">
        <w:rPr>
          <w:rFonts w:cstheme="minorHAnsi"/>
          <w:color w:val="000000" w:themeColor="text1"/>
          <w:szCs w:val="22"/>
        </w:rPr>
        <w:t xml:space="preserve">although </w:t>
      </w:r>
      <w:r w:rsidRPr="00E14F67">
        <w:rPr>
          <w:rFonts w:cstheme="minorHAnsi"/>
          <w:color w:val="000000" w:themeColor="text1"/>
          <w:szCs w:val="22"/>
        </w:rPr>
        <w:t xml:space="preserve">the PTCs </w:t>
      </w:r>
      <w:r w:rsidR="00C23D38" w:rsidRPr="00E14F67">
        <w:rPr>
          <w:rFonts w:cstheme="minorHAnsi"/>
          <w:color w:val="000000" w:themeColor="text1"/>
          <w:szCs w:val="22"/>
        </w:rPr>
        <w:t>have made enormous progress in</w:t>
      </w:r>
      <w:r w:rsidRPr="00E14F67">
        <w:rPr>
          <w:rFonts w:cstheme="minorHAnsi"/>
          <w:color w:val="000000" w:themeColor="text1"/>
          <w:szCs w:val="22"/>
        </w:rPr>
        <w:t xml:space="preserve"> addressing the negative impacts of </w:t>
      </w:r>
      <w:r w:rsidR="00650718" w:rsidRPr="00E14F67">
        <w:rPr>
          <w:rFonts w:cstheme="minorHAnsi"/>
          <w:color w:val="000000" w:themeColor="text1"/>
          <w:szCs w:val="22"/>
        </w:rPr>
        <w:t xml:space="preserve">poverty </w:t>
      </w:r>
      <w:r w:rsidRPr="00E14F67">
        <w:rPr>
          <w:rFonts w:cstheme="minorHAnsi"/>
          <w:color w:val="000000" w:themeColor="text1"/>
          <w:szCs w:val="22"/>
        </w:rPr>
        <w:t xml:space="preserve">and the deepening inequalities </w:t>
      </w:r>
      <w:r w:rsidR="00C23D38" w:rsidRPr="00E14F67">
        <w:rPr>
          <w:rFonts w:cstheme="minorHAnsi"/>
          <w:color w:val="000000" w:themeColor="text1"/>
          <w:szCs w:val="22"/>
        </w:rPr>
        <w:t>caused by poverty</w:t>
      </w:r>
      <w:r w:rsidRPr="00E14F67">
        <w:rPr>
          <w:rFonts w:cstheme="minorHAnsi"/>
          <w:color w:val="000000" w:themeColor="text1"/>
          <w:szCs w:val="22"/>
        </w:rPr>
        <w:t xml:space="preserve"> within the UK</w:t>
      </w:r>
      <w:r w:rsidR="00C23D38" w:rsidRPr="00E14F67">
        <w:rPr>
          <w:rFonts w:cstheme="minorHAnsi"/>
          <w:color w:val="000000" w:themeColor="text1"/>
          <w:szCs w:val="22"/>
        </w:rPr>
        <w:t>,</w:t>
      </w:r>
      <w:r w:rsidRPr="00E14F67">
        <w:rPr>
          <w:rFonts w:cstheme="minorHAnsi"/>
          <w:color w:val="000000" w:themeColor="text1"/>
          <w:szCs w:val="22"/>
        </w:rPr>
        <w:t xml:space="preserve"> there are several </w:t>
      </w:r>
      <w:r w:rsidR="0029487E" w:rsidRPr="00E14F67">
        <w:rPr>
          <w:rFonts w:cstheme="minorHAnsi"/>
          <w:color w:val="000000" w:themeColor="text1"/>
          <w:szCs w:val="22"/>
        </w:rPr>
        <w:t xml:space="preserve">steps </w:t>
      </w:r>
      <w:r w:rsidRPr="00E14F67">
        <w:rPr>
          <w:rFonts w:cstheme="minorHAnsi"/>
          <w:color w:val="000000" w:themeColor="text1"/>
          <w:szCs w:val="22"/>
        </w:rPr>
        <w:t>that can be taken to advance</w:t>
      </w:r>
      <w:r w:rsidR="00120085" w:rsidRPr="00E14F67">
        <w:rPr>
          <w:rFonts w:cstheme="minorHAnsi"/>
          <w:color w:val="000000" w:themeColor="text1"/>
          <w:szCs w:val="22"/>
        </w:rPr>
        <w:t xml:space="preserve"> the </w:t>
      </w:r>
      <w:r w:rsidRPr="00E14F67">
        <w:rPr>
          <w:rFonts w:cstheme="minorHAnsi"/>
          <w:color w:val="000000" w:themeColor="text1"/>
          <w:szCs w:val="22"/>
        </w:rPr>
        <w:t>transformative</w:t>
      </w:r>
      <w:r w:rsidR="00120085" w:rsidRPr="00E14F67">
        <w:rPr>
          <w:rFonts w:cstheme="minorHAnsi"/>
          <w:color w:val="000000" w:themeColor="text1"/>
          <w:szCs w:val="22"/>
        </w:rPr>
        <w:t xml:space="preserve"> potential</w:t>
      </w:r>
      <w:r w:rsidRPr="00E14F67">
        <w:rPr>
          <w:rFonts w:cstheme="minorHAnsi"/>
          <w:color w:val="000000" w:themeColor="text1"/>
          <w:szCs w:val="22"/>
        </w:rPr>
        <w:t xml:space="preserve"> </w:t>
      </w:r>
      <w:r w:rsidR="00076B0A">
        <w:rPr>
          <w:rFonts w:cstheme="minorHAnsi"/>
          <w:color w:val="000000" w:themeColor="text1"/>
          <w:szCs w:val="22"/>
        </w:rPr>
        <w:t xml:space="preserve">of PTCs </w:t>
      </w:r>
      <w:r w:rsidRPr="00E14F67">
        <w:rPr>
          <w:rFonts w:cstheme="minorHAnsi"/>
          <w:color w:val="000000" w:themeColor="text1"/>
          <w:szCs w:val="22"/>
        </w:rPr>
        <w:t xml:space="preserve">and </w:t>
      </w:r>
      <w:r w:rsidR="00C23D38" w:rsidRPr="00E14F67">
        <w:rPr>
          <w:rFonts w:cstheme="minorHAnsi"/>
          <w:color w:val="000000" w:themeColor="text1"/>
          <w:szCs w:val="22"/>
        </w:rPr>
        <w:t xml:space="preserve">to </w:t>
      </w:r>
      <w:r w:rsidRPr="00E14F67">
        <w:rPr>
          <w:rFonts w:cstheme="minorHAnsi"/>
          <w:color w:val="000000" w:themeColor="text1"/>
          <w:szCs w:val="22"/>
        </w:rPr>
        <w:t>address ESCRs violations more effectively</w:t>
      </w:r>
      <w:r w:rsidR="00C23D38" w:rsidRPr="00E14F67">
        <w:rPr>
          <w:rFonts w:cstheme="minorHAnsi"/>
          <w:color w:val="000000" w:themeColor="text1"/>
          <w:szCs w:val="22"/>
        </w:rPr>
        <w:t>.</w:t>
      </w:r>
    </w:p>
    <w:p w14:paraId="224B47F8" w14:textId="4C36F032" w:rsidR="00F9092F" w:rsidRPr="00E14F67" w:rsidRDefault="001723E9" w:rsidP="00E14F67">
      <w:pPr>
        <w:spacing w:line="480" w:lineRule="auto"/>
        <w:ind w:firstLine="720"/>
        <w:jc w:val="both"/>
        <w:rPr>
          <w:rFonts w:cstheme="minorHAnsi"/>
          <w:color w:val="000000" w:themeColor="text1"/>
          <w:szCs w:val="22"/>
        </w:rPr>
      </w:pPr>
      <w:r w:rsidRPr="00E14F67">
        <w:rPr>
          <w:rFonts w:cstheme="minorHAnsi"/>
          <w:color w:val="000000" w:themeColor="text1"/>
          <w:szCs w:val="22"/>
        </w:rPr>
        <w:t>The benefits of using a rights-based approach for tackling poverty have been set out above. However, in relation to the specific work of the PTCs it is contended that the use of an explicit human rights framework would further the empowerment of participants as well as providing a</w:t>
      </w:r>
      <w:r w:rsidR="00F9092F" w:rsidRPr="00E14F67">
        <w:rPr>
          <w:rFonts w:cstheme="minorHAnsi"/>
          <w:color w:val="000000" w:themeColor="text1"/>
          <w:szCs w:val="22"/>
        </w:rPr>
        <w:t xml:space="preserve"> working </w:t>
      </w:r>
      <w:r w:rsidRPr="00E14F67">
        <w:rPr>
          <w:rFonts w:cstheme="minorHAnsi"/>
          <w:color w:val="000000" w:themeColor="text1"/>
          <w:szCs w:val="22"/>
        </w:rPr>
        <w:t xml:space="preserve">tool </w:t>
      </w:r>
      <w:r w:rsidR="00352F29" w:rsidRPr="00E14F67">
        <w:rPr>
          <w:rFonts w:cstheme="minorHAnsi"/>
          <w:color w:val="000000" w:themeColor="text1"/>
          <w:szCs w:val="22"/>
        </w:rPr>
        <w:t xml:space="preserve">for </w:t>
      </w:r>
      <w:r w:rsidR="00F9092F" w:rsidRPr="00E14F67">
        <w:rPr>
          <w:rFonts w:cstheme="minorHAnsi"/>
          <w:color w:val="000000" w:themeColor="text1"/>
          <w:szCs w:val="22"/>
        </w:rPr>
        <w:t xml:space="preserve">assessing harms (potential and actual), </w:t>
      </w:r>
      <w:r w:rsidRPr="00E14F67">
        <w:rPr>
          <w:rFonts w:cstheme="minorHAnsi"/>
          <w:color w:val="000000" w:themeColor="text1"/>
          <w:szCs w:val="22"/>
        </w:rPr>
        <w:t xml:space="preserve">for mobilisation and </w:t>
      </w:r>
      <w:r w:rsidR="00F9092F" w:rsidRPr="00E14F67">
        <w:rPr>
          <w:rFonts w:cstheme="minorHAnsi"/>
          <w:color w:val="000000" w:themeColor="text1"/>
          <w:szCs w:val="22"/>
        </w:rPr>
        <w:t xml:space="preserve">for </w:t>
      </w:r>
      <w:r w:rsidRPr="00E14F67">
        <w:rPr>
          <w:rFonts w:cstheme="minorHAnsi"/>
          <w:color w:val="000000" w:themeColor="text1"/>
          <w:szCs w:val="22"/>
        </w:rPr>
        <w:t>advocacy</w:t>
      </w:r>
      <w:r w:rsidR="00F9092F" w:rsidRPr="00E14F67">
        <w:rPr>
          <w:rFonts w:cstheme="minorHAnsi"/>
          <w:color w:val="000000" w:themeColor="text1"/>
          <w:szCs w:val="22"/>
        </w:rPr>
        <w:t>.</w:t>
      </w:r>
    </w:p>
    <w:p w14:paraId="1548822F" w14:textId="2E2F2527" w:rsidR="00C12BD1" w:rsidRPr="00E14F67" w:rsidRDefault="00120085" w:rsidP="00E14F67">
      <w:pPr>
        <w:spacing w:line="480" w:lineRule="auto"/>
        <w:ind w:firstLine="720"/>
        <w:jc w:val="both"/>
        <w:rPr>
          <w:rFonts w:cstheme="minorHAnsi"/>
          <w:color w:val="000000" w:themeColor="text1"/>
          <w:szCs w:val="22"/>
        </w:rPr>
      </w:pPr>
      <w:r w:rsidRPr="00E14F67">
        <w:rPr>
          <w:rFonts w:cstheme="minorHAnsi"/>
          <w:color w:val="000000" w:themeColor="text1"/>
          <w:szCs w:val="22"/>
        </w:rPr>
        <w:lastRenderedPageBreak/>
        <w:t xml:space="preserve">Just as using a development approach or policy approach hopes to achieve positive </w:t>
      </w:r>
      <w:r w:rsidR="00EB2B8E" w:rsidRPr="00E14F67">
        <w:rPr>
          <w:rFonts w:cstheme="minorHAnsi"/>
          <w:color w:val="000000" w:themeColor="text1"/>
          <w:szCs w:val="22"/>
        </w:rPr>
        <w:t>change</w:t>
      </w:r>
      <w:r w:rsidRPr="00E14F67">
        <w:rPr>
          <w:rFonts w:cstheme="minorHAnsi"/>
          <w:color w:val="000000" w:themeColor="text1"/>
          <w:szCs w:val="22"/>
        </w:rPr>
        <w:t xml:space="preserve"> so does a </w:t>
      </w:r>
      <w:r w:rsidR="003E6420" w:rsidRPr="00E14F67">
        <w:rPr>
          <w:rFonts w:cstheme="minorHAnsi"/>
          <w:color w:val="000000" w:themeColor="text1"/>
          <w:szCs w:val="22"/>
        </w:rPr>
        <w:t xml:space="preserve">human rights-based approach </w:t>
      </w:r>
      <w:r w:rsidRPr="00E14F67">
        <w:rPr>
          <w:rFonts w:cstheme="minorHAnsi"/>
          <w:color w:val="000000" w:themeColor="text1"/>
          <w:szCs w:val="22"/>
        </w:rPr>
        <w:t xml:space="preserve">– it is not about </w:t>
      </w:r>
      <w:r w:rsidR="00F9092F" w:rsidRPr="00E14F67">
        <w:rPr>
          <w:rFonts w:cstheme="minorHAnsi"/>
          <w:color w:val="000000" w:themeColor="text1"/>
          <w:szCs w:val="22"/>
        </w:rPr>
        <w:t xml:space="preserve">achieving specific </w:t>
      </w:r>
      <w:r w:rsidRPr="00E14F67">
        <w:rPr>
          <w:rFonts w:cstheme="minorHAnsi"/>
          <w:color w:val="000000" w:themeColor="text1"/>
          <w:szCs w:val="22"/>
        </w:rPr>
        <w:t>preconceived outcomes but using the framework as an approach to working through the issues</w:t>
      </w:r>
      <w:r w:rsidR="00F9092F" w:rsidRPr="00E14F67">
        <w:rPr>
          <w:rFonts w:cstheme="minorHAnsi"/>
          <w:color w:val="000000" w:themeColor="text1"/>
          <w:szCs w:val="22"/>
        </w:rPr>
        <w:t xml:space="preserve"> </w:t>
      </w:r>
      <w:r w:rsidR="00682828" w:rsidRPr="00E14F67">
        <w:rPr>
          <w:rFonts w:cstheme="minorHAnsi"/>
          <w:color w:val="000000" w:themeColor="text1"/>
          <w:szCs w:val="22"/>
        </w:rPr>
        <w:t>faced.</w:t>
      </w:r>
      <w:r w:rsidR="00F9092F" w:rsidRPr="00E14F67">
        <w:rPr>
          <w:rFonts w:cstheme="minorHAnsi"/>
          <w:color w:val="000000" w:themeColor="text1"/>
          <w:szCs w:val="22"/>
        </w:rPr>
        <w:t xml:space="preserve"> </w:t>
      </w:r>
      <w:r w:rsidRPr="00E14F67">
        <w:rPr>
          <w:rFonts w:cstheme="minorHAnsi"/>
          <w:color w:val="000000" w:themeColor="text1"/>
          <w:szCs w:val="22"/>
        </w:rPr>
        <w:t xml:space="preserve"> </w:t>
      </w:r>
      <w:r w:rsidR="00F9092F" w:rsidRPr="00E14F67">
        <w:rPr>
          <w:rFonts w:cstheme="minorHAnsi"/>
          <w:color w:val="000000" w:themeColor="text1"/>
          <w:szCs w:val="22"/>
        </w:rPr>
        <w:t>T</w:t>
      </w:r>
      <w:r w:rsidRPr="00E14F67">
        <w:rPr>
          <w:rFonts w:cstheme="minorHAnsi"/>
          <w:color w:val="000000" w:themeColor="text1"/>
          <w:szCs w:val="22"/>
        </w:rPr>
        <w:t xml:space="preserve">he outcome is driven by those participating. </w:t>
      </w:r>
      <w:r w:rsidR="00F9092F" w:rsidRPr="00E14F67">
        <w:rPr>
          <w:rFonts w:cstheme="minorHAnsi"/>
          <w:color w:val="000000" w:themeColor="text1"/>
          <w:szCs w:val="22"/>
        </w:rPr>
        <w:t>P</w:t>
      </w:r>
      <w:r w:rsidR="00EB2B8E" w:rsidRPr="00E14F67">
        <w:rPr>
          <w:rFonts w:cstheme="minorHAnsi"/>
          <w:color w:val="000000" w:themeColor="text1"/>
          <w:szCs w:val="22"/>
        </w:rPr>
        <w:t>articipants decide themselves which rights take priority</w:t>
      </w:r>
      <w:r w:rsidR="00682828" w:rsidRPr="00E14F67">
        <w:rPr>
          <w:rFonts w:cstheme="minorHAnsi"/>
          <w:color w:val="000000" w:themeColor="text1"/>
          <w:szCs w:val="22"/>
        </w:rPr>
        <w:t>.</w:t>
      </w:r>
      <w:r w:rsidR="00EB2B8E" w:rsidRPr="00E14F67">
        <w:rPr>
          <w:rFonts w:cstheme="minorHAnsi"/>
          <w:color w:val="000000" w:themeColor="text1"/>
          <w:szCs w:val="22"/>
        </w:rPr>
        <w:t xml:space="preserve"> </w:t>
      </w:r>
      <w:r w:rsidR="00D423DA" w:rsidRPr="00E14F67">
        <w:rPr>
          <w:rFonts w:cstheme="minorHAnsi"/>
          <w:color w:val="000000" w:themeColor="text1"/>
          <w:szCs w:val="22"/>
        </w:rPr>
        <w:t xml:space="preserve">As </w:t>
      </w:r>
      <w:r w:rsidR="00FF6C10" w:rsidRPr="00E14F67">
        <w:rPr>
          <w:rFonts w:cstheme="minorHAnsi"/>
          <w:color w:val="000000" w:themeColor="text1"/>
          <w:szCs w:val="22"/>
        </w:rPr>
        <w:t>Parlevliet argues</w:t>
      </w:r>
      <w:r w:rsidR="00D423DA" w:rsidRPr="00E14F67">
        <w:rPr>
          <w:rFonts w:cstheme="minorHAnsi"/>
          <w:color w:val="000000" w:themeColor="text1"/>
          <w:szCs w:val="22"/>
        </w:rPr>
        <w:t>, ‘A narrow, legalistic understanding of human rights is insufficient’ (Parlevliet</w:t>
      </w:r>
      <w:r w:rsidR="00597254" w:rsidRPr="00E14F67">
        <w:rPr>
          <w:rFonts w:cstheme="minorHAnsi"/>
          <w:color w:val="000000" w:themeColor="text1"/>
          <w:szCs w:val="22"/>
        </w:rPr>
        <w:t xml:space="preserve"> </w:t>
      </w:r>
      <w:r w:rsidR="00D423DA" w:rsidRPr="00E14F67">
        <w:rPr>
          <w:rFonts w:cstheme="minorHAnsi"/>
          <w:color w:val="000000" w:themeColor="text1"/>
          <w:szCs w:val="22"/>
        </w:rPr>
        <w:t>2009, 8). Rather human rights should be conceived more widely: not just a ‘normative framework of rules, but also as a more dynamic set of processes’ (Simpson</w:t>
      </w:r>
      <w:r w:rsidR="00597254" w:rsidRPr="00E14F67">
        <w:rPr>
          <w:rFonts w:cstheme="minorHAnsi"/>
          <w:color w:val="000000" w:themeColor="text1"/>
          <w:szCs w:val="22"/>
        </w:rPr>
        <w:t xml:space="preserve"> </w:t>
      </w:r>
      <w:r w:rsidR="00D423DA" w:rsidRPr="00E14F67">
        <w:rPr>
          <w:rFonts w:cstheme="minorHAnsi"/>
          <w:color w:val="000000" w:themeColor="text1"/>
          <w:szCs w:val="22"/>
        </w:rPr>
        <w:t>2017, 391; Parlevliet</w:t>
      </w:r>
      <w:r w:rsidR="00597254" w:rsidRPr="00E14F67">
        <w:rPr>
          <w:rFonts w:cstheme="minorHAnsi"/>
          <w:color w:val="000000" w:themeColor="text1"/>
          <w:szCs w:val="22"/>
        </w:rPr>
        <w:t xml:space="preserve"> </w:t>
      </w:r>
      <w:r w:rsidR="00D423DA" w:rsidRPr="00E14F67">
        <w:rPr>
          <w:rFonts w:cstheme="minorHAnsi"/>
          <w:color w:val="000000" w:themeColor="text1"/>
          <w:szCs w:val="22"/>
        </w:rPr>
        <w:t>2009, 8).</w:t>
      </w:r>
    </w:p>
    <w:p w14:paraId="6567A326" w14:textId="6340FEE4" w:rsidR="00C12BD1" w:rsidRPr="00E14F67" w:rsidRDefault="00682828" w:rsidP="00E14F67">
      <w:pPr>
        <w:spacing w:line="480" w:lineRule="auto"/>
        <w:ind w:firstLine="720"/>
        <w:jc w:val="both"/>
        <w:rPr>
          <w:rFonts w:cstheme="minorHAnsi"/>
          <w:color w:val="000000" w:themeColor="text1"/>
          <w:szCs w:val="22"/>
        </w:rPr>
      </w:pPr>
      <w:r w:rsidRPr="00E14F67">
        <w:rPr>
          <w:rFonts w:cstheme="minorHAnsi"/>
          <w:color w:val="000000" w:themeColor="text1"/>
          <w:szCs w:val="22"/>
        </w:rPr>
        <w:t>ESCRs based work should be co-designed and training could be facilitated for members of PTCs and other CBIs to encourage and assist them in the</w:t>
      </w:r>
      <w:r w:rsidRPr="00E14F67">
        <w:rPr>
          <w:rFonts w:cstheme="minorHAnsi"/>
          <w:szCs w:val="22"/>
        </w:rPr>
        <w:t xml:space="preserve"> </w:t>
      </w:r>
      <w:r w:rsidRPr="00E14F67">
        <w:rPr>
          <w:rFonts w:cstheme="minorHAnsi"/>
          <w:color w:val="000000" w:themeColor="text1"/>
          <w:szCs w:val="22"/>
        </w:rPr>
        <w:t xml:space="preserve">inclusion of </w:t>
      </w:r>
      <w:r w:rsidR="00D423DA" w:rsidRPr="00E14F67">
        <w:rPr>
          <w:rFonts w:cstheme="minorHAnsi"/>
          <w:color w:val="000000" w:themeColor="text1"/>
          <w:szCs w:val="22"/>
        </w:rPr>
        <w:t xml:space="preserve">a </w:t>
      </w:r>
      <w:r w:rsidRPr="00E14F67">
        <w:rPr>
          <w:rFonts w:cstheme="minorHAnsi"/>
          <w:color w:val="000000" w:themeColor="text1"/>
          <w:szCs w:val="22"/>
        </w:rPr>
        <w:t xml:space="preserve">rights-based element in their work. Although communities can be ‘wary of </w:t>
      </w:r>
      <w:r w:rsidR="00C13F6B">
        <w:rPr>
          <w:rFonts w:cstheme="minorHAnsi"/>
          <w:color w:val="000000" w:themeColor="text1"/>
          <w:szCs w:val="22"/>
        </w:rPr>
        <w:t>“</w:t>
      </w:r>
      <w:r w:rsidRPr="00E14F67">
        <w:rPr>
          <w:rFonts w:cstheme="minorHAnsi"/>
          <w:color w:val="000000" w:themeColor="text1"/>
          <w:szCs w:val="22"/>
        </w:rPr>
        <w:t>rights talk</w:t>
      </w:r>
      <w:r w:rsidR="00C13F6B">
        <w:rPr>
          <w:rFonts w:cstheme="minorHAnsi"/>
          <w:color w:val="000000" w:themeColor="text1"/>
          <w:szCs w:val="22"/>
        </w:rPr>
        <w:t>”</w:t>
      </w:r>
      <w:r w:rsidRPr="00E14F67">
        <w:rPr>
          <w:rFonts w:cstheme="minorHAnsi"/>
          <w:color w:val="000000" w:themeColor="text1"/>
          <w:szCs w:val="22"/>
        </w:rPr>
        <w:t>, seeing it as inaccessible or overly adversarial and not necessarily pro-poor’</w:t>
      </w:r>
      <w:r w:rsidR="00C13F6B" w:rsidRPr="00C13F6B">
        <w:rPr>
          <w:rFonts w:cstheme="minorHAnsi"/>
          <w:color w:val="000000" w:themeColor="text1"/>
          <w:szCs w:val="22"/>
        </w:rPr>
        <w:t xml:space="preserve"> </w:t>
      </w:r>
      <w:r w:rsidR="00C13F6B">
        <w:rPr>
          <w:rFonts w:cstheme="minorHAnsi"/>
          <w:color w:val="000000" w:themeColor="text1"/>
          <w:szCs w:val="22"/>
        </w:rPr>
        <w:t>(</w:t>
      </w:r>
      <w:r w:rsidR="00C13F6B" w:rsidRPr="00E14F67">
        <w:rPr>
          <w:rFonts w:cstheme="minorHAnsi"/>
          <w:color w:val="000000" w:themeColor="text1"/>
          <w:szCs w:val="22"/>
        </w:rPr>
        <w:t>Donald and Mottershaw 2009, 5</w:t>
      </w:r>
      <w:r w:rsidR="00C13F6B">
        <w:rPr>
          <w:rFonts w:cstheme="minorHAnsi"/>
          <w:color w:val="000000" w:themeColor="text1"/>
          <w:szCs w:val="22"/>
        </w:rPr>
        <w:t>)</w:t>
      </w:r>
      <w:r w:rsidR="00D423DA" w:rsidRPr="00E14F67">
        <w:rPr>
          <w:rFonts w:cstheme="minorHAnsi"/>
          <w:color w:val="000000" w:themeColor="text1"/>
          <w:szCs w:val="22"/>
        </w:rPr>
        <w:t>,</w:t>
      </w:r>
      <w:r w:rsidRPr="00E14F67">
        <w:rPr>
          <w:rFonts w:cstheme="minorHAnsi"/>
          <w:color w:val="000000" w:themeColor="text1"/>
          <w:szCs w:val="22"/>
        </w:rPr>
        <w:t xml:space="preserve"> rights can be reframed for particular audiences so that they resonate better (Donald and Mottershaw</w:t>
      </w:r>
      <w:r w:rsidR="00597254" w:rsidRPr="00E14F67">
        <w:rPr>
          <w:rFonts w:cstheme="minorHAnsi"/>
          <w:color w:val="000000" w:themeColor="text1"/>
          <w:szCs w:val="22"/>
        </w:rPr>
        <w:t xml:space="preserve"> </w:t>
      </w:r>
      <w:r w:rsidRPr="00E14F67">
        <w:rPr>
          <w:rFonts w:cstheme="minorHAnsi"/>
          <w:color w:val="000000" w:themeColor="text1"/>
          <w:szCs w:val="22"/>
        </w:rPr>
        <w:t>2009, 6</w:t>
      </w:r>
      <w:r w:rsidR="002A46B4" w:rsidRPr="00E14F67">
        <w:rPr>
          <w:rFonts w:cstheme="minorHAnsi"/>
          <w:color w:val="000000" w:themeColor="text1"/>
          <w:szCs w:val="22"/>
        </w:rPr>
        <w:t>).</w:t>
      </w:r>
      <w:r w:rsidRPr="00E14F67">
        <w:rPr>
          <w:rFonts w:cstheme="minorHAnsi"/>
          <w:color w:val="000000" w:themeColor="text1"/>
          <w:szCs w:val="22"/>
        </w:rPr>
        <w:t xml:space="preserve"> Consequently, rights can be adopted and adapted to suit the local priorities and context of PTC participants</w:t>
      </w:r>
      <w:r w:rsidR="004E0BB0">
        <w:rPr>
          <w:rFonts w:cstheme="minorHAnsi"/>
          <w:color w:val="000000" w:themeColor="text1"/>
          <w:szCs w:val="22"/>
        </w:rPr>
        <w:t xml:space="preserve"> </w:t>
      </w:r>
      <w:r w:rsidRPr="004E0BB0">
        <w:rPr>
          <w:rFonts w:cstheme="minorHAnsi"/>
          <w:color w:val="000000" w:themeColor="text1"/>
          <w:szCs w:val="22"/>
        </w:rPr>
        <w:t>(Cahill-Ripley 2019</w:t>
      </w:r>
      <w:r w:rsidR="000725F1">
        <w:rPr>
          <w:rFonts w:cstheme="minorHAnsi"/>
          <w:color w:val="000000" w:themeColor="text1"/>
          <w:szCs w:val="22"/>
        </w:rPr>
        <w:t>a</w:t>
      </w:r>
      <w:r w:rsidR="00A90A0C" w:rsidRPr="004E0BB0">
        <w:rPr>
          <w:rFonts w:cstheme="minorHAnsi"/>
          <w:color w:val="000000" w:themeColor="text1"/>
          <w:szCs w:val="22"/>
        </w:rPr>
        <w:t xml:space="preserve">, </w:t>
      </w:r>
      <w:r w:rsidR="00EB113B">
        <w:rPr>
          <w:rFonts w:cstheme="minorHAnsi"/>
          <w:color w:val="000000" w:themeColor="text1"/>
          <w:szCs w:val="22"/>
        </w:rPr>
        <w:t>1250</w:t>
      </w:r>
      <w:r w:rsidRPr="004E0BB0">
        <w:rPr>
          <w:rFonts w:cstheme="minorHAnsi"/>
          <w:color w:val="000000" w:themeColor="text1"/>
          <w:szCs w:val="22"/>
        </w:rPr>
        <w:t xml:space="preserve">). </w:t>
      </w:r>
    </w:p>
    <w:p w14:paraId="4F6B1A6D" w14:textId="4F7F4C2A" w:rsidR="007C4BC2" w:rsidRPr="00E14F67" w:rsidRDefault="00D423DA" w:rsidP="00E14F67">
      <w:pPr>
        <w:spacing w:line="480" w:lineRule="auto"/>
        <w:ind w:firstLine="720"/>
        <w:jc w:val="both"/>
        <w:rPr>
          <w:rFonts w:cstheme="minorHAnsi"/>
          <w:color w:val="000000" w:themeColor="text1"/>
          <w:szCs w:val="22"/>
        </w:rPr>
      </w:pPr>
      <w:r w:rsidRPr="00E14F67">
        <w:rPr>
          <w:rFonts w:cstheme="minorHAnsi"/>
          <w:color w:val="000000" w:themeColor="text1"/>
          <w:szCs w:val="22"/>
        </w:rPr>
        <w:t>However, t</w:t>
      </w:r>
      <w:r w:rsidR="00F9092F" w:rsidRPr="00E14F67">
        <w:rPr>
          <w:rFonts w:cstheme="minorHAnsi"/>
          <w:color w:val="000000" w:themeColor="text1"/>
          <w:szCs w:val="22"/>
        </w:rPr>
        <w:t>o implement such an approach i</w:t>
      </w:r>
      <w:r w:rsidR="00A3273D" w:rsidRPr="00E14F67">
        <w:rPr>
          <w:rFonts w:cstheme="minorHAnsi"/>
          <w:color w:val="000000" w:themeColor="text1"/>
          <w:szCs w:val="22"/>
        </w:rPr>
        <w:t xml:space="preserve">t is imperative that further empirical </w:t>
      </w:r>
      <w:r w:rsidR="00F9092F" w:rsidRPr="00E14F67">
        <w:rPr>
          <w:rFonts w:cstheme="minorHAnsi"/>
          <w:color w:val="000000" w:themeColor="text1"/>
          <w:szCs w:val="22"/>
        </w:rPr>
        <w:t xml:space="preserve">research </w:t>
      </w:r>
      <w:r w:rsidR="00A3273D" w:rsidRPr="00E14F67">
        <w:rPr>
          <w:rFonts w:cstheme="minorHAnsi"/>
          <w:color w:val="000000" w:themeColor="text1"/>
          <w:szCs w:val="22"/>
        </w:rPr>
        <w:t xml:space="preserve">and knowledge exchange is undertaken with existing PTCs (and other CBIs) to examine </w:t>
      </w:r>
      <w:r w:rsidR="00F9092F" w:rsidRPr="00E14F67">
        <w:rPr>
          <w:rFonts w:cstheme="minorHAnsi"/>
          <w:color w:val="000000" w:themeColor="text1"/>
          <w:szCs w:val="22"/>
        </w:rPr>
        <w:t xml:space="preserve">attitudes, knowledge and understanding of </w:t>
      </w:r>
      <w:r w:rsidR="00833B7E">
        <w:rPr>
          <w:rFonts w:cstheme="minorHAnsi"/>
          <w:color w:val="000000" w:themeColor="text1"/>
          <w:szCs w:val="22"/>
        </w:rPr>
        <w:t>ESCRs</w:t>
      </w:r>
      <w:r w:rsidR="00F9092F" w:rsidRPr="00E14F67">
        <w:rPr>
          <w:rFonts w:cstheme="minorHAnsi"/>
          <w:color w:val="000000" w:themeColor="text1"/>
          <w:szCs w:val="22"/>
        </w:rPr>
        <w:t xml:space="preserve"> </w:t>
      </w:r>
      <w:r w:rsidR="00A3273D" w:rsidRPr="00E14F67">
        <w:rPr>
          <w:rFonts w:cstheme="minorHAnsi"/>
          <w:color w:val="000000" w:themeColor="text1"/>
          <w:szCs w:val="22"/>
        </w:rPr>
        <w:t>and to assess participants views of their use as a tool for justice and advocacy.</w:t>
      </w:r>
      <w:r w:rsidR="00F9092F" w:rsidRPr="00E14F67">
        <w:rPr>
          <w:rFonts w:cstheme="minorHAnsi"/>
          <w:color w:val="000000" w:themeColor="text1"/>
          <w:szCs w:val="22"/>
        </w:rPr>
        <w:t xml:space="preserve"> Further</w:t>
      </w:r>
      <w:r w:rsidRPr="00E14F67">
        <w:rPr>
          <w:rFonts w:cstheme="minorHAnsi"/>
          <w:color w:val="000000" w:themeColor="text1"/>
          <w:szCs w:val="22"/>
        </w:rPr>
        <w:t>, it is necessary</w:t>
      </w:r>
      <w:r w:rsidR="00F9092F" w:rsidRPr="00E14F67">
        <w:rPr>
          <w:rFonts w:cstheme="minorHAnsi"/>
          <w:color w:val="000000" w:themeColor="text1"/>
          <w:szCs w:val="22"/>
        </w:rPr>
        <w:t xml:space="preserve"> to investigate and record any informal or undocumented community use of ESCRs.</w:t>
      </w:r>
      <w:r w:rsidR="00A3273D" w:rsidRPr="00E14F67">
        <w:rPr>
          <w:rFonts w:cstheme="minorHAnsi"/>
          <w:color w:val="000000" w:themeColor="text1"/>
          <w:szCs w:val="22"/>
        </w:rPr>
        <w:t xml:space="preserve"> </w:t>
      </w:r>
      <w:r w:rsidR="0075571B" w:rsidRPr="00E14F67">
        <w:rPr>
          <w:rFonts w:cstheme="minorHAnsi"/>
          <w:color w:val="000000" w:themeColor="text1"/>
          <w:szCs w:val="22"/>
        </w:rPr>
        <w:t>At present there is little evidence of the PTCs using such an approach. As such</w:t>
      </w:r>
      <w:r w:rsidR="005B5097">
        <w:rPr>
          <w:rFonts w:cstheme="minorHAnsi"/>
          <w:color w:val="000000" w:themeColor="text1"/>
          <w:szCs w:val="22"/>
        </w:rPr>
        <w:t>,</w:t>
      </w:r>
      <w:r w:rsidR="0075571B" w:rsidRPr="00E14F67">
        <w:rPr>
          <w:rFonts w:cstheme="minorHAnsi"/>
          <w:color w:val="000000" w:themeColor="text1"/>
          <w:szCs w:val="22"/>
        </w:rPr>
        <w:t xml:space="preserve"> the extent to which an explicit rights framing would be beneficial is unknown </w:t>
      </w:r>
      <w:r w:rsidR="0075571B" w:rsidRPr="00E14F67">
        <w:rPr>
          <w:rFonts w:cstheme="minorHAnsi"/>
          <w:color w:val="000000" w:themeColor="text1"/>
          <w:szCs w:val="22"/>
        </w:rPr>
        <w:lastRenderedPageBreak/>
        <w:t xml:space="preserve">(hence the need for further research). However, we can draw upon evidence from other contexts and practice of using human rights to tackle poverty outside of the PTCs practice. For example, the </w:t>
      </w:r>
      <w:r w:rsidR="00B03CF2" w:rsidRPr="00E14F67">
        <w:rPr>
          <w:rFonts w:cstheme="minorHAnsi"/>
          <w:color w:val="000000" w:themeColor="text1"/>
          <w:szCs w:val="22"/>
        </w:rPr>
        <w:t xml:space="preserve">work of the </w:t>
      </w:r>
      <w:r w:rsidR="0075571B" w:rsidRPr="00E14F67">
        <w:rPr>
          <w:rFonts w:cstheme="minorHAnsi"/>
          <w:color w:val="000000" w:themeColor="text1"/>
          <w:szCs w:val="22"/>
        </w:rPr>
        <w:t xml:space="preserve">Belfast based grassroots organisation </w:t>
      </w:r>
      <w:r w:rsidR="0075571B" w:rsidRPr="00DD638C">
        <w:rPr>
          <w:rFonts w:cstheme="minorHAnsi"/>
          <w:color w:val="000000" w:themeColor="text1"/>
          <w:szCs w:val="22"/>
        </w:rPr>
        <w:t xml:space="preserve">Participation and </w:t>
      </w:r>
      <w:r w:rsidR="005B4301" w:rsidRPr="00DD638C">
        <w:rPr>
          <w:rFonts w:cstheme="minorHAnsi"/>
          <w:color w:val="000000" w:themeColor="text1"/>
          <w:szCs w:val="22"/>
        </w:rPr>
        <w:t xml:space="preserve">the </w:t>
      </w:r>
      <w:r w:rsidR="0075571B" w:rsidRPr="00E828F6">
        <w:rPr>
          <w:rFonts w:cstheme="minorHAnsi"/>
          <w:color w:val="000000" w:themeColor="text1"/>
          <w:szCs w:val="22"/>
        </w:rPr>
        <w:t>Practice of Rights</w:t>
      </w:r>
      <w:r w:rsidR="005B4301" w:rsidRPr="00E828F6">
        <w:rPr>
          <w:rFonts w:cstheme="minorHAnsi"/>
          <w:color w:val="000000" w:themeColor="text1"/>
          <w:szCs w:val="22"/>
        </w:rPr>
        <w:t xml:space="preserve"> </w:t>
      </w:r>
      <w:r w:rsidR="0075571B" w:rsidRPr="00E828F6">
        <w:rPr>
          <w:rFonts w:cstheme="minorHAnsi"/>
          <w:color w:val="000000" w:themeColor="text1"/>
          <w:szCs w:val="22"/>
        </w:rPr>
        <w:t>and the</w:t>
      </w:r>
      <w:r w:rsidR="00B03CF2" w:rsidRPr="00E828F6">
        <w:rPr>
          <w:rFonts w:cstheme="minorHAnsi"/>
          <w:color w:val="000000" w:themeColor="text1"/>
          <w:szCs w:val="22"/>
        </w:rPr>
        <w:t>ir joint work with</w:t>
      </w:r>
      <w:r w:rsidR="0075571B" w:rsidRPr="00E828F6">
        <w:rPr>
          <w:rFonts w:cstheme="minorHAnsi"/>
          <w:color w:val="000000" w:themeColor="text1"/>
          <w:szCs w:val="22"/>
        </w:rPr>
        <w:t xml:space="preserve"> the Scottish Human Rights Commission </w:t>
      </w:r>
      <w:r w:rsidR="00B03CF2" w:rsidRPr="00E828F6">
        <w:rPr>
          <w:rFonts w:cstheme="minorHAnsi"/>
          <w:color w:val="000000" w:themeColor="text1"/>
          <w:szCs w:val="22"/>
        </w:rPr>
        <w:t>on</w:t>
      </w:r>
      <w:r w:rsidR="0075571B" w:rsidRPr="00E828F6">
        <w:rPr>
          <w:rFonts w:cstheme="minorHAnsi"/>
          <w:color w:val="000000" w:themeColor="text1"/>
          <w:szCs w:val="22"/>
        </w:rPr>
        <w:t xml:space="preserve"> the </w:t>
      </w:r>
      <w:r w:rsidR="00B03CF2" w:rsidRPr="00E828F6">
        <w:rPr>
          <w:rFonts w:cstheme="minorHAnsi"/>
          <w:color w:val="000000" w:themeColor="text1"/>
          <w:szCs w:val="22"/>
        </w:rPr>
        <w:t xml:space="preserve">Housing Rights in Practice </w:t>
      </w:r>
      <w:r w:rsidR="00F9092F" w:rsidRPr="00E828F6">
        <w:rPr>
          <w:rFonts w:cstheme="minorHAnsi"/>
          <w:color w:val="000000" w:themeColor="text1"/>
          <w:szCs w:val="22"/>
        </w:rPr>
        <w:t>Project (</w:t>
      </w:r>
      <w:r w:rsidR="00B03CF2" w:rsidRPr="00F81D5A">
        <w:rPr>
          <w:rFonts w:cstheme="minorHAnsi"/>
          <w:color w:val="000000" w:themeColor="text1"/>
          <w:szCs w:val="22"/>
        </w:rPr>
        <w:t>Scottish Human Rights Commission</w:t>
      </w:r>
      <w:r w:rsidR="00D31844" w:rsidRPr="00F81D5A">
        <w:rPr>
          <w:rFonts w:cstheme="minorHAnsi"/>
          <w:color w:val="000000" w:themeColor="text1"/>
          <w:szCs w:val="22"/>
        </w:rPr>
        <w:t xml:space="preserve"> </w:t>
      </w:r>
      <w:r w:rsidR="00B03CF2" w:rsidRPr="00F81D5A">
        <w:rPr>
          <w:rFonts w:cstheme="minorHAnsi"/>
          <w:color w:val="000000" w:themeColor="text1"/>
          <w:szCs w:val="22"/>
        </w:rPr>
        <w:t>2020</w:t>
      </w:r>
      <w:r w:rsidR="00F9092F" w:rsidRPr="00F81D5A">
        <w:rPr>
          <w:rFonts w:cstheme="minorHAnsi"/>
          <w:color w:val="000000" w:themeColor="text1"/>
          <w:szCs w:val="22"/>
        </w:rPr>
        <w:t>)</w:t>
      </w:r>
      <w:r w:rsidR="0075571B" w:rsidRPr="00F81D5A">
        <w:rPr>
          <w:rFonts w:cstheme="minorHAnsi"/>
          <w:color w:val="000000" w:themeColor="text1"/>
          <w:szCs w:val="22"/>
        </w:rPr>
        <w:t xml:space="preserve"> </w:t>
      </w:r>
      <w:r w:rsidR="000C5FA8" w:rsidRPr="00F81D5A">
        <w:rPr>
          <w:rFonts w:cstheme="minorHAnsi"/>
          <w:color w:val="000000" w:themeColor="text1"/>
          <w:szCs w:val="22"/>
        </w:rPr>
        <w:t>are</w:t>
      </w:r>
      <w:r w:rsidR="000C5FA8" w:rsidRPr="00E14F67">
        <w:rPr>
          <w:rFonts w:cstheme="minorHAnsi"/>
          <w:color w:val="000000" w:themeColor="text1"/>
          <w:szCs w:val="22"/>
        </w:rPr>
        <w:t xml:space="preserve"> successful</w:t>
      </w:r>
      <w:r w:rsidR="0075571B" w:rsidRPr="00E14F67">
        <w:rPr>
          <w:rFonts w:cstheme="minorHAnsi"/>
          <w:color w:val="000000" w:themeColor="text1"/>
          <w:szCs w:val="22"/>
        </w:rPr>
        <w:t xml:space="preserve"> examples of using ESCRs and a wider human rights framework </w:t>
      </w:r>
      <w:r w:rsidR="00F9092F" w:rsidRPr="00E14F67">
        <w:rPr>
          <w:rFonts w:cstheme="minorHAnsi"/>
          <w:color w:val="000000" w:themeColor="text1"/>
          <w:szCs w:val="22"/>
        </w:rPr>
        <w:t xml:space="preserve">as </w:t>
      </w:r>
      <w:r w:rsidR="0075571B" w:rsidRPr="00E14F67">
        <w:rPr>
          <w:rFonts w:cstheme="minorHAnsi"/>
          <w:color w:val="000000" w:themeColor="text1"/>
          <w:szCs w:val="22"/>
        </w:rPr>
        <w:t xml:space="preserve">a powerful tool for </w:t>
      </w:r>
      <w:r w:rsidR="00682828" w:rsidRPr="00E14F67">
        <w:rPr>
          <w:rFonts w:cstheme="minorHAnsi"/>
          <w:color w:val="000000" w:themeColor="text1"/>
          <w:szCs w:val="22"/>
        </w:rPr>
        <w:t xml:space="preserve">addressing poverty and inducing and making </w:t>
      </w:r>
      <w:r w:rsidR="0075571B" w:rsidRPr="00E14F67">
        <w:rPr>
          <w:rFonts w:cstheme="minorHAnsi"/>
          <w:color w:val="000000" w:themeColor="text1"/>
          <w:szCs w:val="22"/>
        </w:rPr>
        <w:t xml:space="preserve">positive change. </w:t>
      </w:r>
    </w:p>
    <w:p w14:paraId="7E721D41" w14:textId="6199D134" w:rsidR="00C12BD1" w:rsidRPr="00E14F67" w:rsidRDefault="00A3273D" w:rsidP="00E14F67">
      <w:pPr>
        <w:spacing w:line="480" w:lineRule="auto"/>
        <w:ind w:firstLine="720"/>
        <w:jc w:val="both"/>
        <w:rPr>
          <w:rFonts w:cstheme="minorHAnsi"/>
          <w:color w:val="000000" w:themeColor="text1"/>
          <w:szCs w:val="22"/>
        </w:rPr>
      </w:pPr>
      <w:r w:rsidRPr="00E14F67">
        <w:rPr>
          <w:rFonts w:cstheme="minorHAnsi"/>
          <w:color w:val="000000" w:themeColor="text1"/>
          <w:szCs w:val="22"/>
        </w:rPr>
        <w:t xml:space="preserve">Strengthening advocacy for ESCRs within communities is also imperative </w:t>
      </w:r>
      <w:r w:rsidR="00D423DA" w:rsidRPr="00E14F67">
        <w:rPr>
          <w:rFonts w:cstheme="minorHAnsi"/>
          <w:color w:val="000000" w:themeColor="text1"/>
          <w:szCs w:val="22"/>
        </w:rPr>
        <w:t xml:space="preserve">if poverty is to be viewed as a rights issue.  This advocacy can be part of the </w:t>
      </w:r>
      <w:r w:rsidRPr="00E14F67">
        <w:rPr>
          <w:rFonts w:cstheme="minorHAnsi"/>
          <w:color w:val="000000" w:themeColor="text1"/>
          <w:szCs w:val="22"/>
        </w:rPr>
        <w:t xml:space="preserve">specific </w:t>
      </w:r>
      <w:r w:rsidR="00D423DA" w:rsidRPr="00E14F67">
        <w:rPr>
          <w:rFonts w:cstheme="minorHAnsi"/>
          <w:color w:val="000000" w:themeColor="text1"/>
          <w:szCs w:val="22"/>
        </w:rPr>
        <w:t>PTC work</w:t>
      </w:r>
      <w:r w:rsidR="00352F29" w:rsidRPr="00E14F67">
        <w:rPr>
          <w:rFonts w:cstheme="minorHAnsi"/>
          <w:color w:val="000000" w:themeColor="text1"/>
          <w:szCs w:val="22"/>
        </w:rPr>
        <w:t>,</w:t>
      </w:r>
      <w:r w:rsidRPr="00E14F67">
        <w:rPr>
          <w:rFonts w:cstheme="minorHAnsi"/>
          <w:color w:val="000000" w:themeColor="text1"/>
          <w:szCs w:val="22"/>
        </w:rPr>
        <w:t xml:space="preserve"> </w:t>
      </w:r>
      <w:r w:rsidR="00352F29" w:rsidRPr="00E14F67">
        <w:rPr>
          <w:rFonts w:cstheme="minorHAnsi"/>
          <w:color w:val="000000" w:themeColor="text1"/>
          <w:szCs w:val="22"/>
        </w:rPr>
        <w:t>f</w:t>
      </w:r>
      <w:r w:rsidRPr="00E14F67">
        <w:rPr>
          <w:rFonts w:cstheme="minorHAnsi"/>
          <w:color w:val="000000" w:themeColor="text1"/>
          <w:szCs w:val="22"/>
        </w:rPr>
        <w:t xml:space="preserve">or example, </w:t>
      </w:r>
      <w:r w:rsidR="00D423DA" w:rsidRPr="00E14F67">
        <w:rPr>
          <w:rFonts w:cstheme="minorHAnsi"/>
          <w:color w:val="000000" w:themeColor="text1"/>
          <w:szCs w:val="22"/>
        </w:rPr>
        <w:t xml:space="preserve">the PTCs could appoint </w:t>
      </w:r>
      <w:r w:rsidRPr="00E14F67">
        <w:rPr>
          <w:rFonts w:cstheme="minorHAnsi"/>
          <w:color w:val="000000" w:themeColor="text1"/>
          <w:szCs w:val="22"/>
        </w:rPr>
        <w:t xml:space="preserve">a community commissioner to gather testimonies utilising </w:t>
      </w:r>
      <w:r w:rsidR="004A1B98" w:rsidRPr="00E14F67">
        <w:rPr>
          <w:rFonts w:cstheme="minorHAnsi"/>
          <w:color w:val="000000" w:themeColor="text1"/>
          <w:szCs w:val="22"/>
        </w:rPr>
        <w:t xml:space="preserve">a </w:t>
      </w:r>
      <w:r w:rsidRPr="00E14F67">
        <w:rPr>
          <w:rFonts w:cstheme="minorHAnsi"/>
          <w:color w:val="000000" w:themeColor="text1"/>
          <w:szCs w:val="22"/>
        </w:rPr>
        <w:t xml:space="preserve">human rights framework or could hold human rights-based hearings. </w:t>
      </w:r>
    </w:p>
    <w:p w14:paraId="39D85A4B" w14:textId="4440E371" w:rsidR="00EA4637" w:rsidRDefault="00352F29" w:rsidP="005D7E53">
      <w:pPr>
        <w:spacing w:line="480" w:lineRule="auto"/>
        <w:ind w:firstLine="720"/>
        <w:jc w:val="both"/>
        <w:rPr>
          <w:rFonts w:cstheme="minorHAnsi"/>
          <w:color w:val="000000" w:themeColor="text1"/>
          <w:szCs w:val="22"/>
        </w:rPr>
      </w:pPr>
      <w:r w:rsidRPr="00E14F67">
        <w:rPr>
          <w:rFonts w:cstheme="minorHAnsi"/>
          <w:color w:val="000000" w:themeColor="text1"/>
          <w:szCs w:val="22"/>
        </w:rPr>
        <w:t xml:space="preserve">Additionally, the work of the PTCs needs to be accompanied by </w:t>
      </w:r>
      <w:r w:rsidR="00FF6C10" w:rsidRPr="00E14F67">
        <w:rPr>
          <w:rFonts w:cstheme="minorHAnsi"/>
          <w:color w:val="000000" w:themeColor="text1"/>
          <w:szCs w:val="22"/>
        </w:rPr>
        <w:t xml:space="preserve">other CBIs to create </w:t>
      </w:r>
      <w:r w:rsidR="00C81C07" w:rsidRPr="00E14F67">
        <w:rPr>
          <w:rFonts w:cstheme="minorHAnsi"/>
          <w:color w:val="000000" w:themeColor="text1"/>
          <w:szCs w:val="22"/>
        </w:rPr>
        <w:t>a wider</w:t>
      </w:r>
      <w:r w:rsidR="00FF6C10" w:rsidRPr="00E14F67">
        <w:rPr>
          <w:rFonts w:cstheme="minorHAnsi"/>
          <w:color w:val="000000" w:themeColor="text1"/>
          <w:szCs w:val="22"/>
        </w:rPr>
        <w:t xml:space="preserve"> movement for</w:t>
      </w:r>
      <w:r w:rsidRPr="00E14F67">
        <w:rPr>
          <w:rFonts w:cstheme="minorHAnsi"/>
          <w:color w:val="000000" w:themeColor="text1"/>
          <w:szCs w:val="22"/>
        </w:rPr>
        <w:t xml:space="preserve"> advocacy for rights-based legal and policy frameworks to address poverty at a national level and to protect against non-reoccurrence of violations</w:t>
      </w:r>
      <w:r w:rsidR="00076B0A">
        <w:rPr>
          <w:rFonts w:cstheme="minorHAnsi"/>
          <w:color w:val="000000" w:themeColor="text1"/>
          <w:szCs w:val="22"/>
        </w:rPr>
        <w:t xml:space="preserve"> (a fundamental principle of reparations)</w:t>
      </w:r>
      <w:r w:rsidRPr="00E14F67">
        <w:rPr>
          <w:rFonts w:cstheme="minorHAnsi"/>
          <w:color w:val="000000" w:themeColor="text1"/>
          <w:szCs w:val="22"/>
        </w:rPr>
        <w:t xml:space="preserve">. Examples of such advocacy include </w:t>
      </w:r>
      <w:r w:rsidRPr="00E14F67">
        <w:rPr>
          <w:rFonts w:cstheme="minorHAnsi"/>
          <w:i/>
          <w:iCs/>
          <w:color w:val="000000" w:themeColor="text1"/>
          <w:szCs w:val="22"/>
        </w:rPr>
        <w:t>inter alia</w:t>
      </w:r>
      <w:r w:rsidRPr="00E14F67">
        <w:rPr>
          <w:rFonts w:cstheme="minorHAnsi"/>
          <w:color w:val="000000" w:themeColor="text1"/>
          <w:szCs w:val="22"/>
        </w:rPr>
        <w:t xml:space="preserve"> a Bill of Rights that includes justiciable ESCRs; </w:t>
      </w:r>
      <w:r w:rsidR="000A0F58" w:rsidRPr="000A0F58">
        <w:rPr>
          <w:rFonts w:cstheme="minorHAnsi"/>
          <w:color w:val="000000" w:themeColor="text1"/>
          <w:szCs w:val="22"/>
        </w:rPr>
        <w:t>The Social Rights Alliance England</w:t>
      </w:r>
      <w:r w:rsidR="00DB0D42">
        <w:rPr>
          <w:rFonts w:cstheme="minorHAnsi"/>
          <w:color w:val="000000" w:themeColor="text1"/>
          <w:szCs w:val="22"/>
        </w:rPr>
        <w:t xml:space="preserve">, </w:t>
      </w:r>
      <w:r w:rsidR="004C0BBB">
        <w:rPr>
          <w:rFonts w:cstheme="minorHAnsi"/>
          <w:color w:val="000000" w:themeColor="text1"/>
          <w:szCs w:val="22"/>
        </w:rPr>
        <w:t xml:space="preserve">a movement </w:t>
      </w:r>
      <w:r w:rsidR="000A0F58">
        <w:rPr>
          <w:rFonts w:cstheme="minorHAnsi"/>
          <w:color w:val="000000" w:themeColor="text1"/>
          <w:szCs w:val="22"/>
        </w:rPr>
        <w:t>which</w:t>
      </w:r>
      <w:r w:rsidR="000A0F58" w:rsidRPr="000A0F58">
        <w:rPr>
          <w:rFonts w:cstheme="minorHAnsi"/>
          <w:color w:val="000000" w:themeColor="text1"/>
          <w:szCs w:val="22"/>
        </w:rPr>
        <w:t xml:space="preserve"> aim</w:t>
      </w:r>
      <w:r w:rsidR="000A0F58">
        <w:rPr>
          <w:rFonts w:cstheme="minorHAnsi"/>
          <w:color w:val="000000" w:themeColor="text1"/>
          <w:szCs w:val="22"/>
        </w:rPr>
        <w:t>s</w:t>
      </w:r>
      <w:r w:rsidR="000A0F58" w:rsidRPr="000A0F58">
        <w:rPr>
          <w:rFonts w:cstheme="minorHAnsi"/>
          <w:color w:val="000000" w:themeColor="text1"/>
          <w:szCs w:val="22"/>
        </w:rPr>
        <w:t xml:space="preserve"> to bring together communities with lived experience of poverty to tackle injustices through the exercise of social rights (Social Rights Alliance, 2021)</w:t>
      </w:r>
      <w:r w:rsidR="000A0F58">
        <w:rPr>
          <w:rFonts w:cstheme="minorHAnsi"/>
          <w:color w:val="000000" w:themeColor="text1"/>
          <w:szCs w:val="22"/>
        </w:rPr>
        <w:t xml:space="preserve"> and </w:t>
      </w:r>
      <w:r w:rsidRPr="00207C51">
        <w:rPr>
          <w:rFonts w:cstheme="minorHAnsi"/>
          <w:color w:val="000000" w:themeColor="text1"/>
          <w:szCs w:val="22"/>
        </w:rPr>
        <w:t xml:space="preserve">The Equality Trust / Just Fair Campaign to </w:t>
      </w:r>
      <w:r w:rsidR="002D3CE3">
        <w:rPr>
          <w:rFonts w:cstheme="minorHAnsi"/>
          <w:color w:val="000000" w:themeColor="text1"/>
          <w:szCs w:val="22"/>
        </w:rPr>
        <w:t xml:space="preserve">enforce </w:t>
      </w:r>
      <w:r w:rsidRPr="00207C51">
        <w:rPr>
          <w:rFonts w:cstheme="minorHAnsi"/>
          <w:color w:val="000000" w:themeColor="text1"/>
          <w:szCs w:val="22"/>
        </w:rPr>
        <w:t xml:space="preserve">Section 1 of the Equality Act 2010, the Public Sector Socio-Economic Duty, through two UK Parliament House of Commons Early Day Motions (EDMs),  EDM 591 </w:t>
      </w:r>
      <w:r w:rsidRPr="00207C51">
        <w:rPr>
          <w:rFonts w:cstheme="minorHAnsi"/>
          <w:noProof/>
          <w:color w:val="000000" w:themeColor="text1"/>
          <w:szCs w:val="22"/>
        </w:rPr>
        <w:t xml:space="preserve">(UK Parliament </w:t>
      </w:r>
      <w:r w:rsidRPr="00207C51">
        <w:rPr>
          <w:rFonts w:cstheme="minorHAnsi"/>
          <w:noProof/>
          <w:color w:val="000000" w:themeColor="text1"/>
          <w:szCs w:val="22"/>
        </w:rPr>
        <w:lastRenderedPageBreak/>
        <w:t>2017)</w:t>
      </w:r>
      <w:r w:rsidRPr="00207C51">
        <w:rPr>
          <w:rFonts w:cstheme="minorHAnsi"/>
          <w:color w:val="000000" w:themeColor="text1"/>
          <w:szCs w:val="22"/>
        </w:rPr>
        <w:t xml:space="preserve"> and EDM 2249 </w:t>
      </w:r>
      <w:r w:rsidRPr="00207C51">
        <w:rPr>
          <w:rFonts w:cstheme="minorHAnsi"/>
          <w:noProof/>
          <w:color w:val="000000" w:themeColor="text1"/>
          <w:szCs w:val="22"/>
        </w:rPr>
        <w:t>(UK Parliament 2019)</w:t>
      </w:r>
      <w:r w:rsidRPr="00207C51">
        <w:rPr>
          <w:rFonts w:cstheme="minorHAnsi"/>
          <w:color w:val="000000" w:themeColor="text1"/>
          <w:szCs w:val="22"/>
        </w:rPr>
        <w:t>.</w:t>
      </w:r>
      <w:r w:rsidRPr="00E14F67">
        <w:rPr>
          <w:rFonts w:cstheme="minorHAnsi"/>
          <w:color w:val="000000" w:themeColor="text1"/>
          <w:szCs w:val="22"/>
        </w:rPr>
        <w:t xml:space="preserve"> </w:t>
      </w:r>
      <w:r w:rsidR="00EA4637" w:rsidRPr="00EA4637">
        <w:rPr>
          <w:rFonts w:eastAsiaTheme="minorHAnsi" w:cstheme="minorBidi"/>
          <w:szCs w:val="22"/>
          <w:lang w:eastAsia="en-US"/>
        </w:rPr>
        <w:t xml:space="preserve">EDMs </w:t>
      </w:r>
      <w:r w:rsidR="00DB0D42">
        <w:rPr>
          <w:rFonts w:eastAsiaTheme="minorHAnsi" w:cstheme="minorBidi"/>
          <w:szCs w:val="22"/>
          <w:lang w:eastAsia="en-US"/>
        </w:rPr>
        <w:t>are</w:t>
      </w:r>
      <w:r w:rsidR="00EA4637" w:rsidRPr="00EA4637">
        <w:rPr>
          <w:rFonts w:eastAsiaTheme="minorHAnsi" w:cstheme="minorBidi"/>
          <w:szCs w:val="22"/>
          <w:lang w:eastAsia="en-US"/>
        </w:rPr>
        <w:t xml:space="preserve"> </w:t>
      </w:r>
      <w:r w:rsidR="00DB0D42">
        <w:rPr>
          <w:rFonts w:eastAsiaTheme="minorHAnsi" w:cstheme="minorBidi"/>
          <w:szCs w:val="22"/>
          <w:lang w:eastAsia="en-US"/>
        </w:rPr>
        <w:t>‘</w:t>
      </w:r>
      <w:r w:rsidR="00EA4637" w:rsidRPr="00EA4637">
        <w:rPr>
          <w:rFonts w:eastAsiaTheme="minorHAnsi" w:cstheme="minorBidi"/>
          <w:szCs w:val="22"/>
          <w:lang w:eastAsia="en-US"/>
        </w:rPr>
        <w:t xml:space="preserve">submitted </w:t>
      </w:r>
      <w:r w:rsidR="007C0030">
        <w:rPr>
          <w:rFonts w:eastAsiaTheme="minorHAnsi" w:cstheme="minorBidi"/>
          <w:szCs w:val="22"/>
          <w:lang w:eastAsia="en-US"/>
        </w:rPr>
        <w:t>to debate a particular issue in the</w:t>
      </w:r>
      <w:r w:rsidR="00EA4637" w:rsidRPr="00EA4637">
        <w:rPr>
          <w:rFonts w:eastAsiaTheme="minorHAnsi" w:cstheme="minorBidi"/>
          <w:szCs w:val="22"/>
          <w:lang w:eastAsia="en-US"/>
        </w:rPr>
        <w:t xml:space="preserve"> [UK] House of Commons</w:t>
      </w:r>
      <w:r w:rsidR="00E63CA6">
        <w:rPr>
          <w:rFonts w:eastAsiaTheme="minorHAnsi" w:cstheme="minorBidi"/>
          <w:szCs w:val="22"/>
          <w:lang w:eastAsia="en-US"/>
        </w:rPr>
        <w:t xml:space="preserve">’ and open for </w:t>
      </w:r>
      <w:r w:rsidR="00EA4637" w:rsidRPr="00EA4637">
        <w:rPr>
          <w:rFonts w:eastAsiaTheme="minorHAnsi" w:cstheme="minorBidi"/>
          <w:szCs w:val="22"/>
          <w:lang w:eastAsia="en-US"/>
        </w:rPr>
        <w:t xml:space="preserve">signatures </w:t>
      </w:r>
      <w:r w:rsidR="00E63CA6">
        <w:rPr>
          <w:rFonts w:eastAsiaTheme="minorHAnsi" w:cstheme="minorBidi"/>
          <w:szCs w:val="22"/>
          <w:lang w:eastAsia="en-US"/>
        </w:rPr>
        <w:t>by</w:t>
      </w:r>
      <w:r w:rsidR="00EA4637" w:rsidRPr="00EA4637">
        <w:rPr>
          <w:rFonts w:eastAsiaTheme="minorHAnsi" w:cstheme="minorBidi"/>
          <w:szCs w:val="22"/>
          <w:lang w:eastAsia="en-US"/>
        </w:rPr>
        <w:t xml:space="preserve"> MPs, </w:t>
      </w:r>
      <w:r w:rsidR="00E63CA6">
        <w:rPr>
          <w:rFonts w:eastAsiaTheme="minorHAnsi" w:cstheme="minorBidi"/>
          <w:szCs w:val="22"/>
          <w:lang w:eastAsia="en-US"/>
        </w:rPr>
        <w:t>to ga</w:t>
      </w:r>
      <w:r w:rsidR="00DB0D42">
        <w:rPr>
          <w:rFonts w:eastAsiaTheme="minorHAnsi" w:cstheme="minorBidi"/>
          <w:szCs w:val="22"/>
          <w:lang w:eastAsia="en-US"/>
        </w:rPr>
        <w:t>rner</w:t>
      </w:r>
      <w:r w:rsidR="00E63CA6">
        <w:rPr>
          <w:rFonts w:eastAsiaTheme="minorHAnsi" w:cstheme="minorBidi"/>
          <w:szCs w:val="22"/>
          <w:lang w:eastAsia="en-US"/>
        </w:rPr>
        <w:t xml:space="preserve"> </w:t>
      </w:r>
      <w:r w:rsidR="00EA4637" w:rsidRPr="00EA4637">
        <w:rPr>
          <w:rFonts w:eastAsiaTheme="minorHAnsi" w:cstheme="minorBidi"/>
          <w:szCs w:val="22"/>
          <w:lang w:eastAsia="en-US"/>
        </w:rPr>
        <w:t xml:space="preserve">parliamentary support for a </w:t>
      </w:r>
      <w:r w:rsidR="00E63CA6">
        <w:rPr>
          <w:rFonts w:eastAsiaTheme="minorHAnsi" w:cstheme="minorBidi"/>
          <w:szCs w:val="22"/>
          <w:lang w:eastAsia="en-US"/>
        </w:rPr>
        <w:t>specific</w:t>
      </w:r>
      <w:r w:rsidR="00EA4637" w:rsidRPr="00EA4637">
        <w:rPr>
          <w:rFonts w:eastAsiaTheme="minorHAnsi" w:cstheme="minorBidi"/>
          <w:szCs w:val="22"/>
          <w:lang w:eastAsia="en-US"/>
        </w:rPr>
        <w:t xml:space="preserve"> cause</w:t>
      </w:r>
      <w:r w:rsidR="00E63CA6">
        <w:rPr>
          <w:rFonts w:eastAsiaTheme="minorHAnsi" w:cstheme="minorBidi"/>
          <w:szCs w:val="22"/>
          <w:lang w:eastAsia="en-US"/>
        </w:rPr>
        <w:t xml:space="preserve"> </w:t>
      </w:r>
      <w:r w:rsidR="00EA4637" w:rsidRPr="00EA4637">
        <w:rPr>
          <w:rFonts w:eastAsiaTheme="minorHAnsi" w:cstheme="minorBidi"/>
          <w:szCs w:val="22"/>
          <w:lang w:eastAsia="en-US"/>
        </w:rPr>
        <w:t>(UK Parliament, 2021)</w:t>
      </w:r>
      <w:r w:rsidR="00EA4637">
        <w:rPr>
          <w:rFonts w:eastAsiaTheme="minorHAnsi" w:cstheme="minorBidi"/>
          <w:szCs w:val="22"/>
          <w:lang w:eastAsia="en-US"/>
        </w:rPr>
        <w:t xml:space="preserve">. </w:t>
      </w:r>
      <w:r w:rsidR="00076B0A">
        <w:rPr>
          <w:rFonts w:eastAsiaTheme="minorHAnsi" w:cstheme="minorBidi"/>
          <w:szCs w:val="22"/>
          <w:lang w:eastAsia="en-US"/>
        </w:rPr>
        <w:t>EDM 2249</w:t>
      </w:r>
      <w:r w:rsidR="00EA4637" w:rsidRPr="00EA4637">
        <w:rPr>
          <w:rFonts w:eastAsiaTheme="minorHAnsi" w:cstheme="minorBidi"/>
          <w:szCs w:val="22"/>
          <w:lang w:eastAsia="en-US"/>
        </w:rPr>
        <w:t xml:space="preserve"> note</w:t>
      </w:r>
      <w:r w:rsidR="00DB0D42">
        <w:rPr>
          <w:rFonts w:eastAsiaTheme="minorHAnsi" w:cstheme="minorBidi"/>
          <w:szCs w:val="22"/>
          <w:lang w:eastAsia="en-US"/>
        </w:rPr>
        <w:t>d</w:t>
      </w:r>
      <w:r w:rsidR="00EA4637" w:rsidRPr="00EA4637">
        <w:rPr>
          <w:rFonts w:eastAsiaTheme="minorHAnsi" w:cstheme="minorBidi"/>
          <w:szCs w:val="22"/>
          <w:lang w:eastAsia="en-US"/>
        </w:rPr>
        <w:t xml:space="preserve"> ‘</w:t>
      </w:r>
      <w:r w:rsidR="001B7459" w:rsidRPr="001B7459">
        <w:rPr>
          <w:rFonts w:eastAsiaTheme="minorHAnsi" w:cstheme="minorBidi"/>
          <w:szCs w:val="22"/>
          <w:lang w:eastAsia="en-US"/>
        </w:rPr>
        <w:t>the high levels of income and wealth inequality in the UK</w:t>
      </w:r>
      <w:r w:rsidR="00E63CA6">
        <w:rPr>
          <w:rFonts w:eastAsiaTheme="minorHAnsi" w:cstheme="minorBidi"/>
          <w:szCs w:val="22"/>
          <w:lang w:eastAsia="en-US"/>
        </w:rPr>
        <w:t>’</w:t>
      </w:r>
      <w:r w:rsidR="001B7459" w:rsidRPr="001B7459">
        <w:rPr>
          <w:rFonts w:eastAsiaTheme="minorHAnsi" w:cstheme="minorBidi"/>
          <w:szCs w:val="22"/>
          <w:lang w:eastAsia="en-US"/>
        </w:rPr>
        <w:t xml:space="preserve"> and call</w:t>
      </w:r>
      <w:r w:rsidR="00DB0D42">
        <w:rPr>
          <w:rFonts w:eastAsiaTheme="minorHAnsi" w:cstheme="minorBidi"/>
          <w:szCs w:val="22"/>
          <w:lang w:eastAsia="en-US"/>
        </w:rPr>
        <w:t xml:space="preserve">ed </w:t>
      </w:r>
      <w:r w:rsidR="001B7459" w:rsidRPr="001B7459">
        <w:rPr>
          <w:rFonts w:eastAsiaTheme="minorHAnsi" w:cstheme="minorBidi"/>
          <w:szCs w:val="22"/>
          <w:lang w:eastAsia="en-US"/>
        </w:rPr>
        <w:t xml:space="preserve">on the Government to bring into effect </w:t>
      </w:r>
      <w:r w:rsidR="002D3CE3">
        <w:rPr>
          <w:rFonts w:eastAsiaTheme="minorHAnsi" w:cstheme="minorBidi"/>
          <w:szCs w:val="22"/>
          <w:lang w:eastAsia="en-US"/>
        </w:rPr>
        <w:t xml:space="preserve">this section of the Act </w:t>
      </w:r>
      <w:r w:rsidR="00DB0D42">
        <w:rPr>
          <w:rFonts w:eastAsiaTheme="minorHAnsi" w:cstheme="minorBidi"/>
          <w:szCs w:val="22"/>
          <w:lang w:eastAsia="en-US"/>
        </w:rPr>
        <w:t xml:space="preserve">to tackle </w:t>
      </w:r>
      <w:r w:rsidR="002D3CE3">
        <w:rPr>
          <w:rFonts w:eastAsiaTheme="minorHAnsi" w:cstheme="minorBidi"/>
          <w:szCs w:val="22"/>
          <w:lang w:eastAsia="en-US"/>
        </w:rPr>
        <w:t>such inequality, ‘</w:t>
      </w:r>
      <w:r w:rsidR="001B7459" w:rsidRPr="001B7459">
        <w:rPr>
          <w:rFonts w:eastAsiaTheme="minorHAnsi" w:cstheme="minorBidi"/>
          <w:szCs w:val="22"/>
          <w:lang w:eastAsia="en-US"/>
        </w:rPr>
        <w:t>including listening to and drawing on the experience of those who have lived in poverty</w:t>
      </w:r>
      <w:r w:rsidR="00EA4637" w:rsidRPr="00EA4637">
        <w:rPr>
          <w:rFonts w:eastAsiaTheme="minorHAnsi" w:cstheme="minorBidi"/>
          <w:szCs w:val="22"/>
          <w:lang w:eastAsia="en-US"/>
        </w:rPr>
        <w:t>’ (</w:t>
      </w:r>
      <w:r w:rsidR="00EA4637">
        <w:rPr>
          <w:rFonts w:eastAsiaTheme="minorHAnsi" w:cstheme="minorBidi"/>
          <w:szCs w:val="22"/>
          <w:lang w:eastAsia="en-US"/>
        </w:rPr>
        <w:t>UK Parliament</w:t>
      </w:r>
      <w:r w:rsidR="00EA4637" w:rsidRPr="00EA4637">
        <w:rPr>
          <w:rFonts w:eastAsiaTheme="minorHAnsi" w:cstheme="minorBidi"/>
          <w:szCs w:val="22"/>
          <w:lang w:eastAsia="en-US"/>
        </w:rPr>
        <w:t>, 2019).</w:t>
      </w:r>
      <w:r w:rsidR="001B7459">
        <w:rPr>
          <w:rFonts w:eastAsiaTheme="minorHAnsi" w:cstheme="minorBidi"/>
          <w:szCs w:val="22"/>
          <w:lang w:eastAsia="en-US"/>
        </w:rPr>
        <w:t xml:space="preserve">  </w:t>
      </w:r>
    </w:p>
    <w:p w14:paraId="090DCEB8" w14:textId="3D2B54A3" w:rsidR="00992285" w:rsidRDefault="00352F29" w:rsidP="00E14F67">
      <w:pPr>
        <w:spacing w:line="480" w:lineRule="auto"/>
        <w:ind w:firstLine="720"/>
        <w:jc w:val="both"/>
        <w:rPr>
          <w:rFonts w:cstheme="minorHAnsi"/>
          <w:bCs/>
          <w:color w:val="000000" w:themeColor="text1"/>
          <w:szCs w:val="22"/>
        </w:rPr>
      </w:pPr>
      <w:r w:rsidRPr="00E14F67">
        <w:rPr>
          <w:rFonts w:cstheme="minorHAnsi"/>
          <w:color w:val="000000" w:themeColor="text1"/>
          <w:szCs w:val="22"/>
        </w:rPr>
        <w:t xml:space="preserve">Other local community-based initiatives with an ESCR focus include </w:t>
      </w:r>
      <w:r w:rsidRPr="00E14F67">
        <w:rPr>
          <w:rFonts w:cstheme="minorHAnsi"/>
          <w:bCs/>
          <w:color w:val="000000" w:themeColor="text1"/>
          <w:szCs w:val="22"/>
        </w:rPr>
        <w:t xml:space="preserve">Brighton and Hove Housing Coalition’s Homeless Bill of Rights </w:t>
      </w:r>
      <w:r w:rsidRPr="00E14F67">
        <w:rPr>
          <w:rFonts w:cstheme="minorHAnsi"/>
          <w:bCs/>
          <w:noProof/>
          <w:color w:val="000000" w:themeColor="text1"/>
          <w:szCs w:val="22"/>
        </w:rPr>
        <w:t>(Brighton and Hove Housing Coalition 2018)</w:t>
      </w:r>
      <w:r w:rsidRPr="00E14F67">
        <w:rPr>
          <w:rFonts w:cstheme="minorHAnsi"/>
          <w:bCs/>
          <w:color w:val="000000" w:themeColor="text1"/>
          <w:szCs w:val="22"/>
        </w:rPr>
        <w:t xml:space="preserve"> and </w:t>
      </w:r>
      <w:r w:rsidRPr="005E042F">
        <w:rPr>
          <w:rFonts w:cstheme="minorHAnsi"/>
          <w:bCs/>
          <w:color w:val="000000" w:themeColor="text1"/>
          <w:szCs w:val="22"/>
        </w:rPr>
        <w:t>the Making Rights Real initiative in Scotland</w:t>
      </w:r>
      <w:bookmarkStart w:id="10" w:name="_Hlk60669504"/>
      <w:r w:rsidR="00E63CA6" w:rsidRPr="005E042F">
        <w:rPr>
          <w:rFonts w:cstheme="minorHAnsi"/>
          <w:bCs/>
          <w:color w:val="000000" w:themeColor="text1"/>
          <w:szCs w:val="22"/>
        </w:rPr>
        <w:t xml:space="preserve"> </w:t>
      </w:r>
      <w:r w:rsidR="00992285" w:rsidRPr="005E042F">
        <w:rPr>
          <w:rFonts w:cstheme="minorHAnsi"/>
          <w:bCs/>
          <w:color w:val="000000" w:themeColor="text1"/>
          <w:szCs w:val="22"/>
        </w:rPr>
        <w:t>(Scottish</w:t>
      </w:r>
      <w:r w:rsidR="00992285" w:rsidRPr="00992285">
        <w:rPr>
          <w:rFonts w:cstheme="minorHAnsi"/>
          <w:bCs/>
          <w:color w:val="000000" w:themeColor="text1"/>
          <w:szCs w:val="22"/>
        </w:rPr>
        <w:t xml:space="preserve"> Community Alliance, 2020)</w:t>
      </w:r>
      <w:r w:rsidR="00992285">
        <w:rPr>
          <w:rFonts w:cstheme="minorHAnsi"/>
          <w:bCs/>
          <w:color w:val="000000" w:themeColor="text1"/>
          <w:szCs w:val="22"/>
        </w:rPr>
        <w:t>.</w:t>
      </w:r>
    </w:p>
    <w:bookmarkEnd w:id="10"/>
    <w:p w14:paraId="6F2299A4" w14:textId="29871982" w:rsidR="00C12BD1" w:rsidRPr="00E14F67" w:rsidRDefault="001832E1" w:rsidP="00E14F67">
      <w:pPr>
        <w:spacing w:line="480" w:lineRule="auto"/>
        <w:ind w:firstLine="720"/>
        <w:jc w:val="both"/>
        <w:rPr>
          <w:rFonts w:cstheme="minorHAnsi"/>
          <w:color w:val="000000" w:themeColor="text1"/>
          <w:szCs w:val="22"/>
        </w:rPr>
      </w:pPr>
      <w:r w:rsidRPr="00E14F67">
        <w:rPr>
          <w:rFonts w:cstheme="minorHAnsi"/>
          <w:bCs/>
          <w:color w:val="000000" w:themeColor="text1"/>
          <w:szCs w:val="22"/>
        </w:rPr>
        <w:t xml:space="preserve"> </w:t>
      </w:r>
      <w:r w:rsidR="00992285">
        <w:rPr>
          <w:rFonts w:cstheme="minorHAnsi"/>
          <w:bCs/>
          <w:color w:val="000000" w:themeColor="text1"/>
          <w:szCs w:val="22"/>
        </w:rPr>
        <w:t xml:space="preserve">The </w:t>
      </w:r>
      <w:r w:rsidR="00156875">
        <w:rPr>
          <w:rFonts w:cstheme="minorHAnsi"/>
          <w:bCs/>
          <w:color w:val="000000" w:themeColor="text1"/>
          <w:szCs w:val="22"/>
        </w:rPr>
        <w:t>common</w:t>
      </w:r>
      <w:r w:rsidR="00992285">
        <w:rPr>
          <w:rFonts w:cstheme="minorHAnsi"/>
          <w:bCs/>
          <w:color w:val="000000" w:themeColor="text1"/>
          <w:szCs w:val="22"/>
        </w:rPr>
        <w:t xml:space="preserve"> aspect to all these </w:t>
      </w:r>
      <w:r w:rsidR="00BC0636">
        <w:rPr>
          <w:rFonts w:cstheme="minorHAnsi"/>
          <w:bCs/>
          <w:color w:val="000000" w:themeColor="text1"/>
          <w:szCs w:val="22"/>
        </w:rPr>
        <w:t>in</w:t>
      </w:r>
      <w:r w:rsidR="001B7459">
        <w:rPr>
          <w:rFonts w:cstheme="minorHAnsi"/>
          <w:bCs/>
          <w:color w:val="000000" w:themeColor="text1"/>
          <w:szCs w:val="22"/>
        </w:rPr>
        <w:t>i</w:t>
      </w:r>
      <w:r w:rsidR="00BC0636">
        <w:rPr>
          <w:rFonts w:cstheme="minorHAnsi"/>
          <w:bCs/>
          <w:color w:val="000000" w:themeColor="text1"/>
          <w:szCs w:val="22"/>
        </w:rPr>
        <w:t>ti</w:t>
      </w:r>
      <w:r w:rsidR="001B7459">
        <w:rPr>
          <w:rFonts w:cstheme="minorHAnsi"/>
          <w:bCs/>
          <w:color w:val="000000" w:themeColor="text1"/>
          <w:szCs w:val="22"/>
        </w:rPr>
        <w:t>a</w:t>
      </w:r>
      <w:r w:rsidR="00BC0636">
        <w:rPr>
          <w:rFonts w:cstheme="minorHAnsi"/>
          <w:bCs/>
          <w:color w:val="000000" w:themeColor="text1"/>
          <w:szCs w:val="22"/>
        </w:rPr>
        <w:t>tives</w:t>
      </w:r>
      <w:r w:rsidR="00992285">
        <w:rPr>
          <w:rFonts w:cstheme="minorHAnsi"/>
          <w:bCs/>
          <w:color w:val="000000" w:themeColor="text1"/>
          <w:szCs w:val="22"/>
        </w:rPr>
        <w:t xml:space="preserve"> is the mandate to utilise ESCRs to tackle poverty </w:t>
      </w:r>
      <w:r w:rsidR="00BC0636">
        <w:rPr>
          <w:rFonts w:cstheme="minorHAnsi"/>
          <w:bCs/>
          <w:color w:val="000000" w:themeColor="text1"/>
          <w:szCs w:val="22"/>
        </w:rPr>
        <w:t xml:space="preserve">and inequality through advocacy for </w:t>
      </w:r>
      <w:r w:rsidR="001C51BC">
        <w:rPr>
          <w:rFonts w:cstheme="minorHAnsi"/>
          <w:bCs/>
          <w:color w:val="000000" w:themeColor="text1"/>
          <w:szCs w:val="22"/>
        </w:rPr>
        <w:t>political</w:t>
      </w:r>
      <w:r w:rsidR="00BC0636">
        <w:rPr>
          <w:rFonts w:cstheme="minorHAnsi"/>
          <w:bCs/>
          <w:color w:val="000000" w:themeColor="text1"/>
          <w:szCs w:val="22"/>
        </w:rPr>
        <w:t xml:space="preserve"> and legal change</w:t>
      </w:r>
      <w:r w:rsidR="00DB0D42">
        <w:rPr>
          <w:rFonts w:cstheme="minorHAnsi"/>
          <w:bCs/>
          <w:color w:val="000000" w:themeColor="text1"/>
          <w:szCs w:val="22"/>
        </w:rPr>
        <w:t>,</w:t>
      </w:r>
      <w:r w:rsidR="00BC0636">
        <w:rPr>
          <w:rFonts w:cstheme="minorHAnsi"/>
          <w:bCs/>
          <w:color w:val="000000" w:themeColor="text1"/>
          <w:szCs w:val="22"/>
        </w:rPr>
        <w:t xml:space="preserve"> through</w:t>
      </w:r>
      <w:r w:rsidR="00992285">
        <w:rPr>
          <w:rFonts w:cstheme="minorHAnsi"/>
          <w:bCs/>
          <w:color w:val="000000" w:themeColor="text1"/>
          <w:szCs w:val="22"/>
        </w:rPr>
        <w:t xml:space="preserve"> build</w:t>
      </w:r>
      <w:r w:rsidR="00BC0636">
        <w:rPr>
          <w:rFonts w:cstheme="minorHAnsi"/>
          <w:bCs/>
          <w:color w:val="000000" w:themeColor="text1"/>
          <w:szCs w:val="22"/>
        </w:rPr>
        <w:t>ing</w:t>
      </w:r>
      <w:r w:rsidR="00992285">
        <w:rPr>
          <w:rFonts w:cstheme="minorHAnsi"/>
          <w:bCs/>
          <w:color w:val="000000" w:themeColor="text1"/>
          <w:szCs w:val="22"/>
        </w:rPr>
        <w:t xml:space="preserve"> power</w:t>
      </w:r>
      <w:r w:rsidR="00BC0636">
        <w:rPr>
          <w:rFonts w:cstheme="minorHAnsi"/>
          <w:bCs/>
          <w:color w:val="000000" w:themeColor="text1"/>
          <w:szCs w:val="22"/>
        </w:rPr>
        <w:t xml:space="preserve"> at a</w:t>
      </w:r>
      <w:r w:rsidR="00992285">
        <w:rPr>
          <w:rFonts w:cstheme="minorHAnsi"/>
          <w:bCs/>
          <w:color w:val="000000" w:themeColor="text1"/>
          <w:szCs w:val="22"/>
        </w:rPr>
        <w:t xml:space="preserve"> grassroots</w:t>
      </w:r>
      <w:r w:rsidR="00DB0D42">
        <w:rPr>
          <w:rFonts w:cstheme="minorHAnsi"/>
          <w:bCs/>
          <w:color w:val="000000" w:themeColor="text1"/>
          <w:szCs w:val="22"/>
        </w:rPr>
        <w:t xml:space="preserve"> </w:t>
      </w:r>
      <w:r w:rsidR="00BC0636">
        <w:rPr>
          <w:rFonts w:cstheme="minorHAnsi"/>
          <w:bCs/>
          <w:color w:val="000000" w:themeColor="text1"/>
          <w:szCs w:val="22"/>
        </w:rPr>
        <w:t xml:space="preserve">level to </w:t>
      </w:r>
      <w:r w:rsidR="00DB0D42">
        <w:rPr>
          <w:rFonts w:cstheme="minorHAnsi"/>
          <w:bCs/>
          <w:color w:val="000000" w:themeColor="text1"/>
          <w:szCs w:val="22"/>
        </w:rPr>
        <w:t>realise</w:t>
      </w:r>
      <w:r w:rsidR="00992285">
        <w:rPr>
          <w:rFonts w:cstheme="minorHAnsi"/>
          <w:bCs/>
          <w:color w:val="000000" w:themeColor="text1"/>
          <w:szCs w:val="22"/>
        </w:rPr>
        <w:t xml:space="preserve"> change.  </w:t>
      </w:r>
      <w:r w:rsidR="00BC0636">
        <w:rPr>
          <w:rFonts w:cstheme="minorHAnsi"/>
          <w:bCs/>
          <w:color w:val="000000" w:themeColor="text1"/>
          <w:szCs w:val="22"/>
        </w:rPr>
        <w:t xml:space="preserve">Thus, </w:t>
      </w:r>
      <w:r w:rsidR="00BC0636">
        <w:rPr>
          <w:rFonts w:cstheme="minorHAnsi"/>
          <w:color w:val="000000" w:themeColor="text1"/>
          <w:szCs w:val="22"/>
        </w:rPr>
        <w:t>t</w:t>
      </w:r>
      <w:r w:rsidR="00352F29" w:rsidRPr="00E14F67">
        <w:rPr>
          <w:rFonts w:cstheme="minorHAnsi"/>
          <w:color w:val="000000" w:themeColor="text1"/>
          <w:szCs w:val="22"/>
        </w:rPr>
        <w:t>he PTCs</w:t>
      </w:r>
      <w:r w:rsidR="00A3273D" w:rsidRPr="00E14F67">
        <w:rPr>
          <w:rFonts w:cstheme="minorHAnsi"/>
          <w:color w:val="000000" w:themeColor="text1"/>
          <w:szCs w:val="22"/>
        </w:rPr>
        <w:t xml:space="preserve"> could </w:t>
      </w:r>
      <w:r w:rsidR="00352F29" w:rsidRPr="00E14F67">
        <w:rPr>
          <w:rFonts w:cstheme="minorHAnsi"/>
          <w:color w:val="000000" w:themeColor="text1"/>
          <w:szCs w:val="22"/>
        </w:rPr>
        <w:t>collaborate</w:t>
      </w:r>
      <w:r w:rsidR="00A3273D" w:rsidRPr="00E14F67">
        <w:rPr>
          <w:rFonts w:cstheme="minorHAnsi"/>
          <w:color w:val="000000" w:themeColor="text1"/>
          <w:szCs w:val="22"/>
        </w:rPr>
        <w:t xml:space="preserve"> with NGOs</w:t>
      </w:r>
      <w:r w:rsidR="001B7459">
        <w:rPr>
          <w:rFonts w:cstheme="minorHAnsi"/>
          <w:color w:val="000000" w:themeColor="text1"/>
          <w:szCs w:val="22"/>
        </w:rPr>
        <w:t xml:space="preserve"> and other </w:t>
      </w:r>
      <w:r w:rsidR="00DB0D42">
        <w:rPr>
          <w:rFonts w:cstheme="minorHAnsi"/>
          <w:color w:val="000000" w:themeColor="text1"/>
          <w:szCs w:val="22"/>
        </w:rPr>
        <w:t>civil society</w:t>
      </w:r>
      <w:r w:rsidR="001B7459">
        <w:rPr>
          <w:rFonts w:cstheme="minorHAnsi"/>
          <w:color w:val="000000" w:themeColor="text1"/>
          <w:szCs w:val="22"/>
        </w:rPr>
        <w:t xml:space="preserve"> projects, </w:t>
      </w:r>
      <w:r w:rsidR="00A3273D" w:rsidRPr="00E14F67">
        <w:rPr>
          <w:rFonts w:cstheme="minorHAnsi"/>
          <w:color w:val="000000" w:themeColor="text1"/>
          <w:szCs w:val="22"/>
        </w:rPr>
        <w:t xml:space="preserve">launching joint community level </w:t>
      </w:r>
      <w:r w:rsidR="00BC0636">
        <w:rPr>
          <w:rFonts w:cstheme="minorHAnsi"/>
          <w:color w:val="000000" w:themeColor="text1"/>
          <w:szCs w:val="22"/>
        </w:rPr>
        <w:t xml:space="preserve">campaigns </w:t>
      </w:r>
      <w:r w:rsidR="00A3273D" w:rsidRPr="00E14F67">
        <w:rPr>
          <w:rFonts w:cstheme="minorHAnsi"/>
          <w:color w:val="000000" w:themeColor="text1"/>
          <w:szCs w:val="22"/>
        </w:rPr>
        <w:t xml:space="preserve">or </w:t>
      </w:r>
      <w:r w:rsidR="001B7459">
        <w:rPr>
          <w:rFonts w:cstheme="minorHAnsi"/>
          <w:color w:val="000000" w:themeColor="text1"/>
          <w:szCs w:val="22"/>
        </w:rPr>
        <w:t xml:space="preserve">collaborating </w:t>
      </w:r>
      <w:r w:rsidR="00716D6B">
        <w:rPr>
          <w:rFonts w:cstheme="minorHAnsi"/>
          <w:color w:val="000000" w:themeColor="text1"/>
          <w:szCs w:val="22"/>
        </w:rPr>
        <w:t xml:space="preserve">with </w:t>
      </w:r>
      <w:r w:rsidR="00716D6B" w:rsidRPr="00E14F67">
        <w:rPr>
          <w:rFonts w:cstheme="minorHAnsi"/>
          <w:color w:val="000000" w:themeColor="text1"/>
          <w:szCs w:val="22"/>
        </w:rPr>
        <w:t>national</w:t>
      </w:r>
      <w:r w:rsidR="00A3273D" w:rsidRPr="00E14F67">
        <w:rPr>
          <w:rFonts w:cstheme="minorHAnsi"/>
          <w:color w:val="000000" w:themeColor="text1"/>
          <w:szCs w:val="22"/>
        </w:rPr>
        <w:t xml:space="preserve"> level initiatives</w:t>
      </w:r>
      <w:r w:rsidR="00352F29" w:rsidRPr="00E14F67">
        <w:rPr>
          <w:rFonts w:cstheme="minorHAnsi"/>
          <w:color w:val="000000" w:themeColor="text1"/>
          <w:szCs w:val="22"/>
        </w:rPr>
        <w:t>.</w:t>
      </w:r>
    </w:p>
    <w:p w14:paraId="42A85DD2" w14:textId="0C6B4ECE" w:rsidR="00C12BD1" w:rsidRPr="00E14F67" w:rsidRDefault="00FF6C10" w:rsidP="00E14F67">
      <w:pPr>
        <w:spacing w:line="480" w:lineRule="auto"/>
        <w:ind w:firstLine="720"/>
        <w:jc w:val="both"/>
        <w:rPr>
          <w:rFonts w:cstheme="minorHAnsi"/>
          <w:color w:val="000000" w:themeColor="text1"/>
          <w:szCs w:val="22"/>
        </w:rPr>
      </w:pPr>
      <w:r w:rsidRPr="00E14F67">
        <w:rPr>
          <w:rFonts w:cstheme="minorHAnsi"/>
          <w:color w:val="000000" w:themeColor="text1"/>
          <w:szCs w:val="22"/>
        </w:rPr>
        <w:t>Specifically, by embedding ESCRs within domestic law, people will have some legal protections from the worst impacts of poverty in the future.  Although ESCRs are not currently justiciable within the law of England or Northern Ireland there are some positive changes within</w:t>
      </w:r>
      <w:r w:rsidR="000E7CA3">
        <w:rPr>
          <w:rFonts w:cstheme="minorHAnsi"/>
          <w:color w:val="000000" w:themeColor="text1"/>
          <w:szCs w:val="22"/>
        </w:rPr>
        <w:t xml:space="preserve"> the rest of the UK,</w:t>
      </w:r>
      <w:r w:rsidR="000E7CA3" w:rsidRPr="000E7CA3">
        <w:t xml:space="preserve"> </w:t>
      </w:r>
      <w:r w:rsidR="000E7CA3" w:rsidRPr="000E7CA3">
        <w:rPr>
          <w:rFonts w:cstheme="minorHAnsi"/>
          <w:color w:val="000000" w:themeColor="text1"/>
          <w:szCs w:val="22"/>
        </w:rPr>
        <w:t>illustrating that change is possible</w:t>
      </w:r>
      <w:r w:rsidR="000E7CA3">
        <w:rPr>
          <w:rFonts w:cstheme="minorHAnsi"/>
          <w:color w:val="000000" w:themeColor="text1"/>
          <w:szCs w:val="22"/>
        </w:rPr>
        <w:t xml:space="preserve">, for </w:t>
      </w:r>
      <w:r w:rsidR="00716D6B">
        <w:rPr>
          <w:rFonts w:cstheme="minorHAnsi"/>
          <w:color w:val="000000" w:themeColor="text1"/>
          <w:szCs w:val="22"/>
        </w:rPr>
        <w:t>example</w:t>
      </w:r>
      <w:r w:rsidR="00716D6B" w:rsidRPr="000E7CA3">
        <w:rPr>
          <w:rFonts w:cstheme="minorHAnsi"/>
          <w:color w:val="000000" w:themeColor="text1"/>
          <w:szCs w:val="22"/>
        </w:rPr>
        <w:t xml:space="preserve"> </w:t>
      </w:r>
      <w:r w:rsidR="00716D6B">
        <w:rPr>
          <w:rFonts w:cstheme="minorHAnsi"/>
          <w:color w:val="000000" w:themeColor="text1"/>
          <w:szCs w:val="22"/>
        </w:rPr>
        <w:t xml:space="preserve">in </w:t>
      </w:r>
      <w:r w:rsidR="00716D6B" w:rsidRPr="00E14F67">
        <w:rPr>
          <w:rFonts w:cstheme="minorHAnsi"/>
          <w:color w:val="000000" w:themeColor="text1"/>
          <w:szCs w:val="22"/>
        </w:rPr>
        <w:t>Scotland</w:t>
      </w:r>
      <w:r w:rsidR="000E7CA3">
        <w:rPr>
          <w:rFonts w:cstheme="minorHAnsi"/>
          <w:color w:val="000000" w:themeColor="text1"/>
          <w:szCs w:val="22"/>
        </w:rPr>
        <w:t xml:space="preserve"> where </w:t>
      </w:r>
      <w:r w:rsidR="00DB0D42">
        <w:rPr>
          <w:rFonts w:cstheme="minorHAnsi"/>
          <w:color w:val="000000" w:themeColor="text1"/>
          <w:szCs w:val="22"/>
        </w:rPr>
        <w:t>t</w:t>
      </w:r>
      <w:r w:rsidR="000E7CA3" w:rsidRPr="000E7CA3">
        <w:rPr>
          <w:rFonts w:cstheme="minorHAnsi"/>
          <w:color w:val="000000" w:themeColor="text1"/>
          <w:szCs w:val="22"/>
        </w:rPr>
        <w:t xml:space="preserve">he </w:t>
      </w:r>
      <w:r w:rsidR="00DB0D42">
        <w:rPr>
          <w:rFonts w:cstheme="minorHAnsi"/>
          <w:color w:val="000000" w:themeColor="text1"/>
          <w:szCs w:val="22"/>
        </w:rPr>
        <w:t>‘</w:t>
      </w:r>
      <w:r w:rsidR="000E7CA3" w:rsidRPr="000E7CA3">
        <w:rPr>
          <w:rFonts w:cstheme="minorHAnsi"/>
          <w:color w:val="000000" w:themeColor="text1"/>
          <w:szCs w:val="22"/>
        </w:rPr>
        <w:t>Fairer Scotland Duty, Part 1 of the Equality Act 2010</w:t>
      </w:r>
      <w:r w:rsidR="00DB0D42">
        <w:rPr>
          <w:rFonts w:cstheme="minorHAnsi"/>
          <w:color w:val="000000" w:themeColor="text1"/>
          <w:szCs w:val="22"/>
        </w:rPr>
        <w:t>’</w:t>
      </w:r>
      <w:r w:rsidR="000E7CA3">
        <w:rPr>
          <w:rFonts w:cstheme="minorHAnsi"/>
          <w:color w:val="000000" w:themeColor="text1"/>
          <w:szCs w:val="22"/>
        </w:rPr>
        <w:t xml:space="preserve"> in now in force</w:t>
      </w:r>
      <w:r w:rsidR="000E7CA3" w:rsidRPr="000E7CA3">
        <w:rPr>
          <w:rFonts w:cstheme="minorHAnsi"/>
          <w:color w:val="000000" w:themeColor="text1"/>
          <w:szCs w:val="22"/>
        </w:rPr>
        <w:t xml:space="preserve"> </w:t>
      </w:r>
      <w:r w:rsidRPr="00E14F67">
        <w:rPr>
          <w:rFonts w:cstheme="minorHAnsi"/>
          <w:color w:val="000000" w:themeColor="text1"/>
          <w:szCs w:val="22"/>
        </w:rPr>
        <w:t xml:space="preserve">and Wales </w:t>
      </w:r>
      <w:r w:rsidR="000E7CA3">
        <w:rPr>
          <w:rFonts w:cstheme="minorHAnsi"/>
          <w:color w:val="000000" w:themeColor="text1"/>
          <w:szCs w:val="22"/>
        </w:rPr>
        <w:t>where the ‘</w:t>
      </w:r>
      <w:r w:rsidR="000E7CA3" w:rsidRPr="000E7CA3">
        <w:rPr>
          <w:rFonts w:cstheme="minorHAnsi"/>
          <w:color w:val="000000" w:themeColor="text1"/>
          <w:szCs w:val="22"/>
        </w:rPr>
        <w:t>Socio-economic Duty</w:t>
      </w:r>
      <w:r w:rsidR="000E7CA3">
        <w:rPr>
          <w:rFonts w:cstheme="minorHAnsi"/>
          <w:color w:val="000000" w:themeColor="text1"/>
          <w:szCs w:val="22"/>
        </w:rPr>
        <w:t>’</w:t>
      </w:r>
      <w:r w:rsidR="000E7CA3" w:rsidRPr="000E7CA3">
        <w:rPr>
          <w:rFonts w:cstheme="minorHAnsi"/>
          <w:color w:val="000000" w:themeColor="text1"/>
          <w:szCs w:val="22"/>
        </w:rPr>
        <w:t xml:space="preserve"> will come into effect on 31 March 2021.</w:t>
      </w:r>
      <w:r w:rsidRPr="00E14F67">
        <w:rPr>
          <w:rFonts w:cstheme="minorHAnsi"/>
          <w:color w:val="000000" w:themeColor="text1"/>
          <w:szCs w:val="22"/>
        </w:rPr>
        <w:t xml:space="preserve"> </w:t>
      </w:r>
    </w:p>
    <w:p w14:paraId="1C8F937A" w14:textId="4F0983A9" w:rsidR="00C12BD1" w:rsidRPr="00E14F67" w:rsidRDefault="00FF6C10" w:rsidP="00E14F67">
      <w:pPr>
        <w:spacing w:line="480" w:lineRule="auto"/>
        <w:ind w:firstLine="720"/>
        <w:jc w:val="both"/>
        <w:rPr>
          <w:rFonts w:cstheme="minorHAnsi"/>
          <w:color w:val="000000" w:themeColor="text1"/>
          <w:szCs w:val="22"/>
        </w:rPr>
      </w:pPr>
      <w:r w:rsidRPr="00E14F67">
        <w:rPr>
          <w:rFonts w:cstheme="minorHAnsi"/>
          <w:color w:val="000000" w:themeColor="text1"/>
          <w:szCs w:val="22"/>
        </w:rPr>
        <w:lastRenderedPageBreak/>
        <w:t>Further, ESCRs are internationally recognised legal rights. Thus, recognising such harms as breaches of the UKs international obligations highlights the remedy available to participants/victims under international and regional human rights mechanisms</w:t>
      </w:r>
      <w:r w:rsidR="007C2004" w:rsidRPr="00E14F67">
        <w:rPr>
          <w:rFonts w:cstheme="minorHAnsi"/>
          <w:color w:val="000000" w:themeColor="text1"/>
          <w:szCs w:val="22"/>
        </w:rPr>
        <w:t>. A</w:t>
      </w:r>
      <w:r w:rsidR="00352F29" w:rsidRPr="00E14F67">
        <w:rPr>
          <w:rFonts w:cstheme="minorHAnsi"/>
          <w:color w:val="000000" w:themeColor="text1"/>
          <w:szCs w:val="22"/>
        </w:rPr>
        <w:t>s noted previously the PTCs can strengthen international accountability for poverty-</w:t>
      </w:r>
      <w:r w:rsidR="00E451A5">
        <w:rPr>
          <w:rFonts w:cstheme="minorHAnsi"/>
          <w:color w:val="000000" w:themeColor="text1"/>
          <w:szCs w:val="22"/>
        </w:rPr>
        <w:t>related</w:t>
      </w:r>
      <w:r w:rsidR="00E451A5" w:rsidRPr="00E14F67">
        <w:rPr>
          <w:rFonts w:cstheme="minorHAnsi"/>
          <w:color w:val="000000" w:themeColor="text1"/>
          <w:szCs w:val="22"/>
        </w:rPr>
        <w:t xml:space="preserve"> </w:t>
      </w:r>
      <w:r w:rsidR="00352F29" w:rsidRPr="00E14F67">
        <w:rPr>
          <w:rFonts w:cstheme="minorHAnsi"/>
          <w:color w:val="000000" w:themeColor="text1"/>
          <w:szCs w:val="22"/>
        </w:rPr>
        <w:t xml:space="preserve">ESCRs violations </w:t>
      </w:r>
      <w:r w:rsidR="000C5FA8" w:rsidRPr="00E14F67">
        <w:rPr>
          <w:rFonts w:cstheme="minorHAnsi"/>
          <w:color w:val="000000" w:themeColor="text1"/>
          <w:szCs w:val="22"/>
        </w:rPr>
        <w:t>by contributing</w:t>
      </w:r>
      <w:r w:rsidR="00D423DA" w:rsidRPr="00E14F67">
        <w:rPr>
          <w:rFonts w:cstheme="minorHAnsi"/>
          <w:color w:val="000000" w:themeColor="text1"/>
          <w:szCs w:val="22"/>
        </w:rPr>
        <w:t xml:space="preserve"> to </w:t>
      </w:r>
      <w:r w:rsidR="007C2004" w:rsidRPr="00E14F67">
        <w:rPr>
          <w:rFonts w:cstheme="minorHAnsi"/>
          <w:color w:val="000000" w:themeColor="text1"/>
          <w:szCs w:val="22"/>
        </w:rPr>
        <w:t xml:space="preserve">such global justice mechanisms </w:t>
      </w:r>
      <w:r w:rsidR="00A3273D" w:rsidRPr="00E14F67">
        <w:rPr>
          <w:rFonts w:cstheme="minorHAnsi"/>
          <w:color w:val="000000" w:themeColor="text1"/>
          <w:szCs w:val="22"/>
        </w:rPr>
        <w:t xml:space="preserve">for </w:t>
      </w:r>
      <w:r w:rsidR="002B6155" w:rsidRPr="00E14F67">
        <w:rPr>
          <w:rFonts w:cstheme="minorHAnsi"/>
          <w:color w:val="000000" w:themeColor="text1"/>
          <w:szCs w:val="22"/>
        </w:rPr>
        <w:t xml:space="preserve">the protection and </w:t>
      </w:r>
      <w:r w:rsidR="00A3273D" w:rsidRPr="00E14F67">
        <w:rPr>
          <w:rFonts w:cstheme="minorHAnsi"/>
          <w:color w:val="000000" w:themeColor="text1"/>
          <w:szCs w:val="22"/>
        </w:rPr>
        <w:t>promoti</w:t>
      </w:r>
      <w:r w:rsidR="002B6155" w:rsidRPr="00E14F67">
        <w:rPr>
          <w:rFonts w:cstheme="minorHAnsi"/>
          <w:color w:val="000000" w:themeColor="text1"/>
          <w:szCs w:val="22"/>
        </w:rPr>
        <w:t>on of</w:t>
      </w:r>
      <w:r w:rsidR="00A3273D" w:rsidRPr="00E14F67">
        <w:rPr>
          <w:rFonts w:cstheme="minorHAnsi"/>
          <w:color w:val="000000" w:themeColor="text1"/>
          <w:szCs w:val="22"/>
        </w:rPr>
        <w:t xml:space="preserve"> </w:t>
      </w:r>
      <w:r w:rsidR="00833B7E">
        <w:rPr>
          <w:rFonts w:cstheme="minorHAnsi"/>
          <w:color w:val="000000" w:themeColor="text1"/>
          <w:szCs w:val="22"/>
        </w:rPr>
        <w:t>ESCRs</w:t>
      </w:r>
      <w:r w:rsidR="00A3273D" w:rsidRPr="00E14F67">
        <w:rPr>
          <w:rFonts w:cstheme="minorHAnsi"/>
          <w:color w:val="000000" w:themeColor="text1"/>
          <w:szCs w:val="22"/>
        </w:rPr>
        <w:t xml:space="preserve">.  For example, </w:t>
      </w:r>
      <w:r w:rsidR="007C2004" w:rsidRPr="00E14F67">
        <w:rPr>
          <w:rFonts w:cstheme="minorHAnsi"/>
          <w:color w:val="000000" w:themeColor="text1"/>
          <w:szCs w:val="22"/>
        </w:rPr>
        <w:t>the recent</w:t>
      </w:r>
      <w:r w:rsidR="00A3273D" w:rsidRPr="00E14F67">
        <w:rPr>
          <w:rFonts w:cstheme="minorHAnsi"/>
          <w:color w:val="000000" w:themeColor="text1"/>
          <w:szCs w:val="22"/>
        </w:rPr>
        <w:t xml:space="preserve"> UN Special Rapporteur on Poverty visit to the UK constituted a strong </w:t>
      </w:r>
      <w:r w:rsidR="007C2004" w:rsidRPr="00E14F67">
        <w:rPr>
          <w:rFonts w:cstheme="minorHAnsi"/>
          <w:color w:val="000000" w:themeColor="text1"/>
          <w:szCs w:val="22"/>
        </w:rPr>
        <w:t xml:space="preserve">mechanism </w:t>
      </w:r>
      <w:r w:rsidR="00A3273D" w:rsidRPr="00E14F67">
        <w:rPr>
          <w:rFonts w:cstheme="minorHAnsi"/>
          <w:color w:val="000000" w:themeColor="text1"/>
          <w:szCs w:val="22"/>
        </w:rPr>
        <w:t xml:space="preserve">at international level to tackle the </w:t>
      </w:r>
      <w:r w:rsidR="005255DC">
        <w:rPr>
          <w:rFonts w:cstheme="minorHAnsi"/>
          <w:color w:val="000000" w:themeColor="text1"/>
          <w:szCs w:val="22"/>
        </w:rPr>
        <w:t>poverty-related</w:t>
      </w:r>
      <w:r w:rsidR="007C2004" w:rsidRPr="00E14F67">
        <w:rPr>
          <w:rFonts w:cstheme="minorHAnsi"/>
          <w:color w:val="000000" w:themeColor="text1"/>
          <w:szCs w:val="22"/>
        </w:rPr>
        <w:t xml:space="preserve"> human rights violations within the UK, especially </w:t>
      </w:r>
      <w:r w:rsidR="00A3273D" w:rsidRPr="00E14F67">
        <w:rPr>
          <w:rFonts w:cstheme="minorHAnsi"/>
          <w:color w:val="000000" w:themeColor="text1"/>
          <w:szCs w:val="22"/>
        </w:rPr>
        <w:t>violations of ESCRs</w:t>
      </w:r>
      <w:r w:rsidR="007C2004" w:rsidRPr="00E14F67">
        <w:rPr>
          <w:rFonts w:cstheme="minorHAnsi"/>
          <w:color w:val="000000" w:themeColor="text1"/>
          <w:szCs w:val="22"/>
        </w:rPr>
        <w:t>. The impact of such global mechanisms should not be underestimated:  The report succeeded in the Government admitting responsibility for increased reliance on foodbanks and rising homelessness in addition to driving some policy changes such as delaying the rollout of universal credit. (</w:t>
      </w:r>
      <w:r w:rsidR="00FA3D45" w:rsidRPr="00E14F67">
        <w:rPr>
          <w:rFonts w:cstheme="minorHAnsi"/>
          <w:szCs w:val="22"/>
        </w:rPr>
        <w:t xml:space="preserve">UN Human Rights Council. 2019, </w:t>
      </w:r>
      <w:r w:rsidR="007C2004" w:rsidRPr="00E14F67">
        <w:rPr>
          <w:rFonts w:cstheme="minorHAnsi"/>
          <w:color w:val="000000" w:themeColor="text1"/>
          <w:szCs w:val="22"/>
        </w:rPr>
        <w:t>para.15).</w:t>
      </w:r>
      <w:r w:rsidR="002D3B5A">
        <w:rPr>
          <w:rFonts w:cstheme="minorHAnsi"/>
          <w:color w:val="000000" w:themeColor="text1"/>
          <w:szCs w:val="22"/>
        </w:rPr>
        <w:t xml:space="preserve"> As such the PTCs could benefit from </w:t>
      </w:r>
      <w:r w:rsidR="00716D6B">
        <w:rPr>
          <w:rFonts w:cstheme="minorHAnsi"/>
          <w:color w:val="000000" w:themeColor="text1"/>
          <w:szCs w:val="22"/>
        </w:rPr>
        <w:t>engaging</w:t>
      </w:r>
      <w:r w:rsidR="002D3B5A">
        <w:rPr>
          <w:rFonts w:cstheme="minorHAnsi"/>
          <w:color w:val="000000" w:themeColor="text1"/>
          <w:szCs w:val="22"/>
        </w:rPr>
        <w:t xml:space="preserve"> in such processes </w:t>
      </w:r>
      <w:r w:rsidR="00B015C3">
        <w:rPr>
          <w:rFonts w:cstheme="minorHAnsi"/>
          <w:color w:val="000000" w:themeColor="text1"/>
          <w:szCs w:val="22"/>
        </w:rPr>
        <w:t>in terms of achieving their aims.</w:t>
      </w:r>
    </w:p>
    <w:p w14:paraId="48AB6C36" w14:textId="00ED69DC" w:rsidR="006A63DC" w:rsidRPr="00E14F67" w:rsidRDefault="00650718" w:rsidP="00E14F67">
      <w:pPr>
        <w:spacing w:line="480" w:lineRule="auto"/>
        <w:ind w:firstLine="720"/>
        <w:jc w:val="both"/>
        <w:rPr>
          <w:rFonts w:cstheme="minorHAnsi"/>
          <w:color w:val="000000" w:themeColor="text1"/>
          <w:szCs w:val="22"/>
        </w:rPr>
      </w:pPr>
      <w:r w:rsidRPr="00E14F67">
        <w:rPr>
          <w:rFonts w:cstheme="minorHAnsi"/>
          <w:color w:val="000000" w:themeColor="text1"/>
          <w:szCs w:val="22"/>
        </w:rPr>
        <w:t xml:space="preserve">In sum, </w:t>
      </w:r>
      <w:r w:rsidR="001832E1" w:rsidRPr="00E14F67">
        <w:rPr>
          <w:rFonts w:cstheme="minorHAnsi"/>
          <w:color w:val="000000" w:themeColor="text1"/>
          <w:szCs w:val="22"/>
        </w:rPr>
        <w:t xml:space="preserve">it is contended that the use of </w:t>
      </w:r>
      <w:r w:rsidR="00271BA1" w:rsidRPr="00E14F67">
        <w:rPr>
          <w:rFonts w:cstheme="minorHAnsi"/>
          <w:color w:val="000000" w:themeColor="text1"/>
          <w:szCs w:val="22"/>
        </w:rPr>
        <w:t>ESCRs</w:t>
      </w:r>
      <w:r w:rsidR="001832E1" w:rsidRPr="00E14F67">
        <w:rPr>
          <w:rFonts w:cstheme="minorHAnsi"/>
          <w:color w:val="000000" w:themeColor="text1"/>
          <w:szCs w:val="22"/>
        </w:rPr>
        <w:t xml:space="preserve"> within the work of the PTCs will enhance the existing transformative potential of their work.   </w:t>
      </w:r>
      <w:r w:rsidR="007C2004" w:rsidRPr="00E14F67">
        <w:rPr>
          <w:rFonts w:cstheme="minorHAnsi"/>
          <w:color w:val="000000" w:themeColor="text1"/>
          <w:szCs w:val="22"/>
        </w:rPr>
        <w:t xml:space="preserve">Equally, </w:t>
      </w:r>
      <w:r w:rsidR="001832E1" w:rsidRPr="00E14F67">
        <w:rPr>
          <w:rFonts w:cstheme="minorHAnsi"/>
          <w:color w:val="000000" w:themeColor="text1"/>
          <w:szCs w:val="22"/>
        </w:rPr>
        <w:t xml:space="preserve">it is also the case that the work of the PTCs as an alternative means of justice has </w:t>
      </w:r>
      <w:r w:rsidR="00253367" w:rsidRPr="00E14F67">
        <w:rPr>
          <w:rFonts w:cstheme="minorHAnsi"/>
          <w:color w:val="000000" w:themeColor="text1"/>
          <w:szCs w:val="22"/>
        </w:rPr>
        <w:t xml:space="preserve">already </w:t>
      </w:r>
      <w:r w:rsidR="001832E1" w:rsidRPr="00E14F67">
        <w:rPr>
          <w:rFonts w:cstheme="minorHAnsi"/>
          <w:color w:val="000000" w:themeColor="text1"/>
          <w:szCs w:val="22"/>
        </w:rPr>
        <w:t xml:space="preserve">enhanced the accountability, recompense and equality and fairness </w:t>
      </w:r>
      <w:r w:rsidR="001A688A" w:rsidRPr="00E14F67">
        <w:rPr>
          <w:rFonts w:cstheme="minorHAnsi"/>
          <w:color w:val="000000" w:themeColor="text1"/>
          <w:szCs w:val="22"/>
        </w:rPr>
        <w:t>opportunities</w:t>
      </w:r>
      <w:r w:rsidR="001832E1" w:rsidRPr="00E14F67">
        <w:rPr>
          <w:rFonts w:cstheme="minorHAnsi"/>
          <w:color w:val="000000" w:themeColor="text1"/>
          <w:szCs w:val="22"/>
        </w:rPr>
        <w:t xml:space="preserve"> available for poverty</w:t>
      </w:r>
      <w:r w:rsidR="00C9628D">
        <w:rPr>
          <w:rFonts w:cstheme="minorHAnsi"/>
          <w:color w:val="000000" w:themeColor="text1"/>
          <w:szCs w:val="22"/>
        </w:rPr>
        <w:t>-</w:t>
      </w:r>
      <w:r w:rsidR="001832E1" w:rsidRPr="00E14F67">
        <w:rPr>
          <w:rFonts w:cstheme="minorHAnsi"/>
          <w:color w:val="000000" w:themeColor="text1"/>
          <w:szCs w:val="22"/>
        </w:rPr>
        <w:t xml:space="preserve">related violations of ESCRs. </w:t>
      </w:r>
    </w:p>
    <w:p w14:paraId="4D49EE16" w14:textId="37AC1EBD" w:rsidR="00A3273D" w:rsidRPr="00E14F67" w:rsidRDefault="00A3273D" w:rsidP="00E63CA6">
      <w:pPr>
        <w:pStyle w:val="Heading1"/>
      </w:pPr>
      <w:r w:rsidRPr="00E14F67">
        <w:t>Conclusion</w:t>
      </w:r>
      <w:r w:rsidR="00CD3B67" w:rsidRPr="00E14F67">
        <w:t xml:space="preserve"> </w:t>
      </w:r>
      <w:r w:rsidR="00C81C07" w:rsidRPr="00E14F67">
        <w:t>– Working towards Closing the Justice Gap</w:t>
      </w:r>
    </w:p>
    <w:p w14:paraId="5AC0A733" w14:textId="4E5086C6" w:rsidR="00C12BD1" w:rsidRPr="00E14F67" w:rsidRDefault="004C18B1" w:rsidP="00C9569B">
      <w:pPr>
        <w:pStyle w:val="CommentText"/>
        <w:spacing w:line="480" w:lineRule="auto"/>
        <w:jc w:val="both"/>
        <w:rPr>
          <w:rFonts w:cstheme="minorHAnsi"/>
          <w:bCs/>
          <w:color w:val="000000" w:themeColor="text1"/>
          <w:sz w:val="22"/>
          <w:szCs w:val="22"/>
        </w:rPr>
      </w:pPr>
      <w:r w:rsidRPr="00E14F67">
        <w:rPr>
          <w:rFonts w:cstheme="minorHAnsi"/>
          <w:bCs/>
          <w:color w:val="000000" w:themeColor="text1"/>
          <w:sz w:val="22"/>
          <w:szCs w:val="22"/>
        </w:rPr>
        <w:t xml:space="preserve">In </w:t>
      </w:r>
      <w:r w:rsidRPr="00854D7A">
        <w:rPr>
          <w:rFonts w:cstheme="minorHAnsi"/>
          <w:bCs/>
          <w:color w:val="000000" w:themeColor="text1"/>
          <w:sz w:val="22"/>
          <w:szCs w:val="22"/>
        </w:rPr>
        <w:t>conclusion</w:t>
      </w:r>
      <w:r>
        <w:rPr>
          <w:rFonts w:cstheme="minorHAnsi"/>
          <w:bCs/>
          <w:color w:val="000000" w:themeColor="text1"/>
          <w:sz w:val="22"/>
          <w:szCs w:val="22"/>
        </w:rPr>
        <w:t xml:space="preserve"> it is clear there is an urgent need to address widening and deepening poverty across the UK. The value of addressing poverty through a human rights lens has been recognised previously. However, to date</w:t>
      </w:r>
      <w:r w:rsidR="00AE21D8">
        <w:rPr>
          <w:rFonts w:cstheme="minorHAnsi"/>
          <w:bCs/>
          <w:color w:val="000000" w:themeColor="text1"/>
          <w:sz w:val="22"/>
          <w:szCs w:val="22"/>
        </w:rPr>
        <w:t xml:space="preserve"> p</w:t>
      </w:r>
      <w:r w:rsidR="00752D43" w:rsidRPr="00E14F67">
        <w:rPr>
          <w:rFonts w:cstheme="minorHAnsi"/>
          <w:bCs/>
          <w:color w:val="000000" w:themeColor="text1"/>
          <w:sz w:val="22"/>
          <w:szCs w:val="22"/>
        </w:rPr>
        <w:t>overty</w:t>
      </w:r>
      <w:r w:rsidR="00C9628D">
        <w:rPr>
          <w:rFonts w:cstheme="minorHAnsi"/>
          <w:bCs/>
          <w:color w:val="000000" w:themeColor="text1"/>
          <w:sz w:val="22"/>
          <w:szCs w:val="22"/>
        </w:rPr>
        <w:t>-</w:t>
      </w:r>
      <w:r w:rsidR="00752D43" w:rsidRPr="00E14F67">
        <w:rPr>
          <w:rFonts w:cstheme="minorHAnsi"/>
          <w:bCs/>
          <w:color w:val="000000" w:themeColor="text1"/>
          <w:sz w:val="22"/>
          <w:szCs w:val="22"/>
        </w:rPr>
        <w:t xml:space="preserve">related human rights </w:t>
      </w:r>
      <w:r w:rsidR="00A3273D" w:rsidRPr="00E14F67">
        <w:rPr>
          <w:rFonts w:cstheme="minorHAnsi"/>
          <w:bCs/>
          <w:color w:val="000000" w:themeColor="text1"/>
          <w:sz w:val="22"/>
          <w:szCs w:val="22"/>
        </w:rPr>
        <w:lastRenderedPageBreak/>
        <w:t>violations</w:t>
      </w:r>
      <w:r w:rsidR="00062181" w:rsidRPr="00E14F67">
        <w:rPr>
          <w:rFonts w:cstheme="minorHAnsi"/>
          <w:bCs/>
          <w:color w:val="000000" w:themeColor="text1"/>
          <w:sz w:val="22"/>
          <w:szCs w:val="22"/>
        </w:rPr>
        <w:t xml:space="preserve"> </w:t>
      </w:r>
      <w:r w:rsidR="00A3273D" w:rsidRPr="00E14F67">
        <w:rPr>
          <w:rFonts w:cstheme="minorHAnsi"/>
          <w:bCs/>
          <w:color w:val="000000" w:themeColor="text1"/>
          <w:sz w:val="22"/>
          <w:szCs w:val="22"/>
        </w:rPr>
        <w:t xml:space="preserve">have </w:t>
      </w:r>
      <w:r w:rsidR="005122FB" w:rsidRPr="00E14F67">
        <w:rPr>
          <w:rFonts w:cstheme="minorHAnsi"/>
          <w:bCs/>
          <w:color w:val="000000" w:themeColor="text1"/>
          <w:sz w:val="22"/>
          <w:szCs w:val="22"/>
        </w:rPr>
        <w:t xml:space="preserve">predominantly </w:t>
      </w:r>
      <w:r w:rsidR="00A3273D" w:rsidRPr="00E14F67">
        <w:rPr>
          <w:rFonts w:cstheme="minorHAnsi"/>
          <w:bCs/>
          <w:color w:val="000000" w:themeColor="text1"/>
          <w:sz w:val="22"/>
          <w:szCs w:val="22"/>
        </w:rPr>
        <w:t xml:space="preserve">been addressed </w:t>
      </w:r>
      <w:r w:rsidR="005122FB" w:rsidRPr="00E14F67">
        <w:rPr>
          <w:rFonts w:cstheme="minorHAnsi"/>
          <w:bCs/>
          <w:color w:val="000000" w:themeColor="text1"/>
          <w:sz w:val="22"/>
          <w:szCs w:val="22"/>
        </w:rPr>
        <w:t>by</w:t>
      </w:r>
      <w:r w:rsidR="00147621" w:rsidRPr="00E14F67">
        <w:rPr>
          <w:rFonts w:cstheme="minorHAnsi"/>
          <w:bCs/>
          <w:color w:val="000000" w:themeColor="text1"/>
          <w:sz w:val="22"/>
          <w:szCs w:val="22"/>
        </w:rPr>
        <w:t xml:space="preserve"> judicial or quasi-judicial </w:t>
      </w:r>
      <w:r w:rsidR="005122FB" w:rsidRPr="00E14F67">
        <w:rPr>
          <w:rFonts w:cstheme="minorHAnsi"/>
          <w:bCs/>
          <w:color w:val="000000" w:themeColor="text1"/>
          <w:sz w:val="22"/>
          <w:szCs w:val="22"/>
        </w:rPr>
        <w:t>remedies</w:t>
      </w:r>
      <w:r w:rsidR="00147621" w:rsidRPr="00E14F67">
        <w:rPr>
          <w:rFonts w:cstheme="minorHAnsi"/>
          <w:bCs/>
          <w:color w:val="000000" w:themeColor="text1"/>
          <w:sz w:val="22"/>
          <w:szCs w:val="22"/>
        </w:rPr>
        <w:t>.</w:t>
      </w:r>
      <w:r w:rsidR="00A3273D" w:rsidRPr="00E14F67">
        <w:rPr>
          <w:rFonts w:cstheme="minorHAnsi"/>
          <w:bCs/>
          <w:color w:val="000000" w:themeColor="text1"/>
          <w:sz w:val="22"/>
          <w:szCs w:val="22"/>
        </w:rPr>
        <w:t xml:space="preserve"> </w:t>
      </w:r>
      <w:r>
        <w:rPr>
          <w:rFonts w:cstheme="minorHAnsi"/>
          <w:bCs/>
          <w:color w:val="000000" w:themeColor="text1"/>
          <w:sz w:val="22"/>
          <w:szCs w:val="22"/>
        </w:rPr>
        <w:t xml:space="preserve">This </w:t>
      </w:r>
      <w:r w:rsidR="0096583E">
        <w:rPr>
          <w:rFonts w:cstheme="minorHAnsi"/>
          <w:bCs/>
          <w:color w:val="000000" w:themeColor="text1"/>
          <w:sz w:val="22"/>
          <w:szCs w:val="22"/>
        </w:rPr>
        <w:t>paper</w:t>
      </w:r>
      <w:r>
        <w:rPr>
          <w:rFonts w:cstheme="minorHAnsi"/>
          <w:bCs/>
          <w:color w:val="000000" w:themeColor="text1"/>
          <w:sz w:val="22"/>
          <w:szCs w:val="22"/>
        </w:rPr>
        <w:t xml:space="preserve"> has demonstrated, that</w:t>
      </w:r>
      <w:r w:rsidR="00A3273D" w:rsidRPr="00E14F67">
        <w:rPr>
          <w:rFonts w:cstheme="minorHAnsi"/>
          <w:bCs/>
          <w:color w:val="000000" w:themeColor="text1"/>
          <w:sz w:val="22"/>
          <w:szCs w:val="22"/>
        </w:rPr>
        <w:t xml:space="preserve"> that </w:t>
      </w:r>
      <w:r w:rsidR="005122FB" w:rsidRPr="00E14F67">
        <w:rPr>
          <w:rFonts w:cstheme="minorHAnsi"/>
          <w:bCs/>
          <w:color w:val="000000" w:themeColor="text1"/>
          <w:sz w:val="22"/>
          <w:szCs w:val="22"/>
        </w:rPr>
        <w:t>due to limitations of scope and reach, alternative and additional mechanisms encompassing broader forms of justice are required to effectively address poverty</w:t>
      </w:r>
      <w:r w:rsidR="00752D43" w:rsidRPr="00E14F67">
        <w:rPr>
          <w:rFonts w:cstheme="minorHAnsi"/>
          <w:bCs/>
          <w:color w:val="000000" w:themeColor="text1"/>
          <w:sz w:val="22"/>
          <w:szCs w:val="22"/>
        </w:rPr>
        <w:t xml:space="preserve"> and related violations of </w:t>
      </w:r>
      <w:r>
        <w:rPr>
          <w:rFonts w:cstheme="minorHAnsi"/>
          <w:bCs/>
          <w:color w:val="000000" w:themeColor="text1"/>
          <w:sz w:val="22"/>
          <w:szCs w:val="22"/>
        </w:rPr>
        <w:t xml:space="preserve">human </w:t>
      </w:r>
      <w:r w:rsidR="00752D43" w:rsidRPr="00E14F67">
        <w:rPr>
          <w:rFonts w:cstheme="minorHAnsi"/>
          <w:bCs/>
          <w:color w:val="000000" w:themeColor="text1"/>
          <w:sz w:val="22"/>
          <w:szCs w:val="22"/>
        </w:rPr>
        <w:t>rights</w:t>
      </w:r>
      <w:r w:rsidR="005122FB" w:rsidRPr="00E14F67">
        <w:rPr>
          <w:rFonts w:cstheme="minorHAnsi"/>
          <w:bCs/>
          <w:color w:val="000000" w:themeColor="text1"/>
          <w:sz w:val="22"/>
          <w:szCs w:val="22"/>
        </w:rPr>
        <w:t>. I</w:t>
      </w:r>
      <w:r w:rsidR="00062181" w:rsidRPr="00E14F67">
        <w:rPr>
          <w:rFonts w:cstheme="minorHAnsi"/>
          <w:bCs/>
          <w:color w:val="000000" w:themeColor="text1"/>
          <w:sz w:val="22"/>
          <w:szCs w:val="22"/>
        </w:rPr>
        <w:t xml:space="preserve">nspiration </w:t>
      </w:r>
      <w:r w:rsidR="005122FB" w:rsidRPr="00E14F67">
        <w:rPr>
          <w:rFonts w:cstheme="minorHAnsi"/>
          <w:bCs/>
          <w:color w:val="000000" w:themeColor="text1"/>
          <w:sz w:val="22"/>
          <w:szCs w:val="22"/>
        </w:rPr>
        <w:t>has been</w:t>
      </w:r>
      <w:r w:rsidR="00062181" w:rsidRPr="00E14F67">
        <w:rPr>
          <w:rFonts w:cstheme="minorHAnsi"/>
          <w:bCs/>
          <w:color w:val="000000" w:themeColor="text1"/>
          <w:sz w:val="22"/>
          <w:szCs w:val="22"/>
        </w:rPr>
        <w:t xml:space="preserve"> taken from </w:t>
      </w:r>
      <w:r w:rsidR="005122FB" w:rsidRPr="00E14F67">
        <w:rPr>
          <w:rFonts w:cstheme="minorHAnsi"/>
          <w:bCs/>
          <w:color w:val="000000" w:themeColor="text1"/>
          <w:sz w:val="22"/>
          <w:szCs w:val="22"/>
        </w:rPr>
        <w:t xml:space="preserve">transitional justice mechanisms and their adaption into </w:t>
      </w:r>
      <w:r w:rsidR="00F23B11">
        <w:rPr>
          <w:rFonts w:cstheme="minorHAnsi"/>
          <w:bCs/>
          <w:color w:val="000000" w:themeColor="text1"/>
          <w:sz w:val="22"/>
          <w:szCs w:val="22"/>
        </w:rPr>
        <w:t>CBTRCs</w:t>
      </w:r>
      <w:r w:rsidR="005122FB" w:rsidRPr="00E14F67">
        <w:rPr>
          <w:rFonts w:cstheme="minorHAnsi"/>
          <w:bCs/>
          <w:color w:val="000000" w:themeColor="text1"/>
          <w:sz w:val="22"/>
          <w:szCs w:val="22"/>
        </w:rPr>
        <w:t xml:space="preserve"> in order to evaluate </w:t>
      </w:r>
      <w:r w:rsidR="007D0F97">
        <w:rPr>
          <w:rFonts w:cstheme="minorHAnsi"/>
          <w:bCs/>
          <w:color w:val="000000" w:themeColor="text1"/>
          <w:sz w:val="22"/>
          <w:szCs w:val="22"/>
        </w:rPr>
        <w:t>the value-</w:t>
      </w:r>
      <w:r w:rsidR="00716D6B">
        <w:rPr>
          <w:rFonts w:cstheme="minorHAnsi"/>
          <w:bCs/>
          <w:color w:val="000000" w:themeColor="text1"/>
          <w:sz w:val="22"/>
          <w:szCs w:val="22"/>
        </w:rPr>
        <w:t xml:space="preserve">added </w:t>
      </w:r>
      <w:r w:rsidR="00716D6B" w:rsidRPr="007D0F97">
        <w:rPr>
          <w:rFonts w:cstheme="minorHAnsi"/>
          <w:bCs/>
          <w:color w:val="000000" w:themeColor="text1"/>
          <w:sz w:val="22"/>
          <w:szCs w:val="22"/>
        </w:rPr>
        <w:t>of</w:t>
      </w:r>
      <w:r w:rsidR="007D0F97" w:rsidRPr="007D0F97">
        <w:rPr>
          <w:rFonts w:cstheme="minorHAnsi"/>
          <w:bCs/>
          <w:color w:val="000000" w:themeColor="text1"/>
          <w:sz w:val="22"/>
          <w:szCs w:val="22"/>
        </w:rPr>
        <w:t xml:space="preserve"> utilising </w:t>
      </w:r>
      <w:r w:rsidR="009D75BD">
        <w:rPr>
          <w:rFonts w:cstheme="minorHAnsi"/>
          <w:bCs/>
          <w:color w:val="000000" w:themeColor="text1"/>
          <w:sz w:val="22"/>
          <w:szCs w:val="22"/>
        </w:rPr>
        <w:t>the</w:t>
      </w:r>
      <w:r w:rsidR="007D0F97" w:rsidRPr="007D0F97">
        <w:rPr>
          <w:rFonts w:cstheme="minorHAnsi"/>
          <w:bCs/>
          <w:color w:val="000000" w:themeColor="text1"/>
          <w:sz w:val="22"/>
          <w:szCs w:val="22"/>
        </w:rPr>
        <w:t xml:space="preserve"> CBTRC model to address poverty and the related ESCRs violations within the UK</w:t>
      </w:r>
      <w:r w:rsidR="007D0F97">
        <w:rPr>
          <w:rFonts w:cstheme="minorHAnsi"/>
          <w:bCs/>
          <w:color w:val="000000" w:themeColor="text1"/>
          <w:sz w:val="22"/>
          <w:szCs w:val="22"/>
        </w:rPr>
        <w:t>.</w:t>
      </w:r>
      <w:r w:rsidR="007D0F97" w:rsidRPr="007D0F97">
        <w:rPr>
          <w:rFonts w:cstheme="minorHAnsi"/>
          <w:bCs/>
          <w:color w:val="000000" w:themeColor="text1"/>
          <w:sz w:val="22"/>
          <w:szCs w:val="22"/>
        </w:rPr>
        <w:t xml:space="preserve"> </w:t>
      </w:r>
      <w:r w:rsidR="005122FB" w:rsidRPr="00E14F67">
        <w:rPr>
          <w:rFonts w:cstheme="minorHAnsi"/>
          <w:bCs/>
          <w:color w:val="000000" w:themeColor="text1"/>
          <w:sz w:val="22"/>
          <w:szCs w:val="22"/>
        </w:rPr>
        <w:t xml:space="preserve"> </w:t>
      </w:r>
      <w:r w:rsidR="000C5FA8" w:rsidRPr="00E14F67">
        <w:rPr>
          <w:rFonts w:cstheme="minorHAnsi"/>
          <w:bCs/>
          <w:color w:val="000000" w:themeColor="text1"/>
          <w:sz w:val="22"/>
          <w:szCs w:val="22"/>
        </w:rPr>
        <w:t>Consequently,</w:t>
      </w:r>
      <w:r w:rsidR="005122FB" w:rsidRPr="00E14F67">
        <w:rPr>
          <w:rFonts w:cstheme="minorHAnsi"/>
          <w:bCs/>
          <w:color w:val="000000" w:themeColor="text1"/>
          <w:sz w:val="22"/>
          <w:szCs w:val="22"/>
        </w:rPr>
        <w:t xml:space="preserve"> a detailed examination of the PTCs has illustrated how t</w:t>
      </w:r>
      <w:r w:rsidR="00062181" w:rsidRPr="00E14F67">
        <w:rPr>
          <w:rFonts w:cstheme="minorHAnsi"/>
          <w:bCs/>
          <w:color w:val="000000" w:themeColor="text1"/>
          <w:sz w:val="22"/>
          <w:szCs w:val="22"/>
        </w:rPr>
        <w:t>he</w:t>
      </w:r>
      <w:r w:rsidR="005122FB" w:rsidRPr="00E14F67">
        <w:rPr>
          <w:rFonts w:cstheme="minorHAnsi"/>
          <w:bCs/>
          <w:color w:val="000000" w:themeColor="text1"/>
          <w:sz w:val="22"/>
          <w:szCs w:val="22"/>
        </w:rPr>
        <w:t xml:space="preserve">y </w:t>
      </w:r>
      <w:r w:rsidR="00062181" w:rsidRPr="00E14F67">
        <w:rPr>
          <w:rFonts w:cstheme="minorHAnsi"/>
          <w:bCs/>
          <w:color w:val="000000" w:themeColor="text1"/>
          <w:sz w:val="22"/>
          <w:szCs w:val="22"/>
        </w:rPr>
        <w:t xml:space="preserve">clearly embody Lederach’s necessary elements of justice:  </w:t>
      </w:r>
      <w:r w:rsidR="0032012D" w:rsidRPr="00E14F67">
        <w:rPr>
          <w:rFonts w:cstheme="minorHAnsi"/>
          <w:bCs/>
          <w:color w:val="000000" w:themeColor="text1"/>
          <w:sz w:val="22"/>
          <w:szCs w:val="22"/>
        </w:rPr>
        <w:t>A</w:t>
      </w:r>
      <w:r w:rsidR="00062181" w:rsidRPr="00E14F67">
        <w:rPr>
          <w:rFonts w:cstheme="minorHAnsi"/>
          <w:bCs/>
          <w:color w:val="000000" w:themeColor="text1"/>
          <w:sz w:val="22"/>
          <w:szCs w:val="22"/>
        </w:rPr>
        <w:t>ccountability; Recompense</w:t>
      </w:r>
      <w:r w:rsidR="008F19B5" w:rsidRPr="00E14F67">
        <w:rPr>
          <w:rFonts w:cstheme="minorHAnsi"/>
          <w:bCs/>
          <w:color w:val="000000" w:themeColor="text1"/>
          <w:sz w:val="22"/>
          <w:szCs w:val="22"/>
        </w:rPr>
        <w:t>;</w:t>
      </w:r>
      <w:r w:rsidR="00062181" w:rsidRPr="00E14F67">
        <w:rPr>
          <w:rFonts w:cstheme="minorHAnsi"/>
          <w:bCs/>
          <w:color w:val="000000" w:themeColor="text1"/>
          <w:sz w:val="22"/>
          <w:szCs w:val="22"/>
        </w:rPr>
        <w:t xml:space="preserve"> and Equality and Fairness</w:t>
      </w:r>
      <w:r w:rsidR="00752D43" w:rsidRPr="00E14F67">
        <w:rPr>
          <w:rFonts w:cstheme="minorHAnsi"/>
          <w:bCs/>
          <w:color w:val="000000" w:themeColor="text1"/>
          <w:sz w:val="22"/>
          <w:szCs w:val="22"/>
        </w:rPr>
        <w:t>,</w:t>
      </w:r>
      <w:r w:rsidR="00062181" w:rsidRPr="00E14F67">
        <w:rPr>
          <w:rFonts w:cstheme="minorHAnsi"/>
          <w:bCs/>
          <w:color w:val="000000" w:themeColor="text1"/>
          <w:sz w:val="22"/>
          <w:szCs w:val="22"/>
        </w:rPr>
        <w:t xml:space="preserve"> hence contributing to filling the ‘justice gap’ that exists for transforming structural violence</w:t>
      </w:r>
      <w:r w:rsidR="007D0F97">
        <w:rPr>
          <w:rFonts w:cstheme="minorHAnsi"/>
          <w:bCs/>
          <w:color w:val="000000" w:themeColor="text1"/>
          <w:sz w:val="22"/>
          <w:szCs w:val="22"/>
        </w:rPr>
        <w:t xml:space="preserve"> and injustice</w:t>
      </w:r>
      <w:r w:rsidR="00062181" w:rsidRPr="00E14F67">
        <w:rPr>
          <w:rFonts w:cstheme="minorHAnsi"/>
          <w:bCs/>
          <w:color w:val="000000" w:themeColor="text1"/>
          <w:sz w:val="22"/>
          <w:szCs w:val="22"/>
        </w:rPr>
        <w:t xml:space="preserve"> (Simpson, 2017, 390).</w:t>
      </w:r>
      <w:r w:rsidR="00062181" w:rsidRPr="00E14F67">
        <w:rPr>
          <w:rFonts w:cstheme="minorHAnsi"/>
          <w:sz w:val="22"/>
          <w:szCs w:val="22"/>
        </w:rPr>
        <w:t xml:space="preserve"> </w:t>
      </w:r>
    </w:p>
    <w:p w14:paraId="4B3C2696" w14:textId="0B8DBC8A" w:rsidR="00C12BD1" w:rsidRPr="00E14F67" w:rsidRDefault="00062181" w:rsidP="00E14F67">
      <w:pPr>
        <w:pStyle w:val="CommentText"/>
        <w:spacing w:line="480" w:lineRule="auto"/>
        <w:ind w:firstLine="720"/>
        <w:jc w:val="both"/>
        <w:rPr>
          <w:rFonts w:cstheme="minorHAnsi"/>
          <w:bCs/>
          <w:color w:val="000000" w:themeColor="text1"/>
          <w:sz w:val="22"/>
          <w:szCs w:val="22"/>
        </w:rPr>
      </w:pPr>
      <w:r w:rsidRPr="00E14F67">
        <w:rPr>
          <w:rFonts w:cstheme="minorHAnsi"/>
          <w:sz w:val="22"/>
          <w:szCs w:val="22"/>
        </w:rPr>
        <w:t xml:space="preserve">Further, the </w:t>
      </w:r>
      <w:r w:rsidRPr="00E14F67">
        <w:rPr>
          <w:rFonts w:cstheme="minorHAnsi"/>
          <w:bCs/>
          <w:color w:val="000000" w:themeColor="text1"/>
          <w:sz w:val="22"/>
          <w:szCs w:val="22"/>
        </w:rPr>
        <w:t xml:space="preserve">PTCs (and other CBTRCs noted) help to ‘shift the justice discourse from an important normative premise to a potentially transformative set of social, political and economic [and </w:t>
      </w:r>
      <w:r w:rsidR="005122FB" w:rsidRPr="00E14F67">
        <w:rPr>
          <w:rFonts w:cstheme="minorHAnsi"/>
          <w:bCs/>
          <w:color w:val="000000" w:themeColor="text1"/>
          <w:sz w:val="22"/>
          <w:szCs w:val="22"/>
        </w:rPr>
        <w:t>cultural] engagements</w:t>
      </w:r>
      <w:r w:rsidRPr="00E14F67">
        <w:rPr>
          <w:rFonts w:cstheme="minorHAnsi"/>
          <w:bCs/>
          <w:color w:val="000000" w:themeColor="text1"/>
          <w:sz w:val="22"/>
          <w:szCs w:val="22"/>
        </w:rPr>
        <w:t>’ (Simpson</w:t>
      </w:r>
      <w:r w:rsidR="00970571" w:rsidRPr="00E14F67">
        <w:rPr>
          <w:rFonts w:cstheme="minorHAnsi"/>
          <w:bCs/>
          <w:color w:val="000000" w:themeColor="text1"/>
          <w:sz w:val="22"/>
          <w:szCs w:val="22"/>
        </w:rPr>
        <w:t xml:space="preserve"> </w:t>
      </w:r>
      <w:r w:rsidRPr="00E14F67">
        <w:rPr>
          <w:rFonts w:cstheme="minorHAnsi"/>
          <w:bCs/>
          <w:color w:val="000000" w:themeColor="text1"/>
          <w:sz w:val="22"/>
          <w:szCs w:val="22"/>
        </w:rPr>
        <w:t>2017, 388). The result is a form of transformative justice, the added value of which has been demonstrated.</w:t>
      </w:r>
    </w:p>
    <w:p w14:paraId="672D18EA" w14:textId="52333709" w:rsidR="00A3273D" w:rsidRPr="00E14F67" w:rsidRDefault="000C5FA8" w:rsidP="00E14F67">
      <w:pPr>
        <w:pStyle w:val="CommentText"/>
        <w:spacing w:line="480" w:lineRule="auto"/>
        <w:ind w:firstLine="720"/>
        <w:jc w:val="both"/>
        <w:rPr>
          <w:rFonts w:cstheme="minorHAnsi"/>
          <w:bCs/>
          <w:color w:val="000000" w:themeColor="text1"/>
          <w:sz w:val="22"/>
          <w:szCs w:val="22"/>
        </w:rPr>
      </w:pPr>
      <w:r w:rsidRPr="00E14F67">
        <w:rPr>
          <w:rFonts w:cstheme="minorHAnsi"/>
          <w:sz w:val="22"/>
          <w:szCs w:val="22"/>
        </w:rPr>
        <w:t>Finally,</w:t>
      </w:r>
      <w:r w:rsidR="005122FB" w:rsidRPr="00E14F67">
        <w:rPr>
          <w:rFonts w:cstheme="minorHAnsi"/>
          <w:sz w:val="22"/>
          <w:szCs w:val="22"/>
        </w:rPr>
        <w:t xml:space="preserve"> and importantly, a</w:t>
      </w:r>
      <w:r w:rsidR="00A3273D" w:rsidRPr="00E14F67">
        <w:rPr>
          <w:rFonts w:cstheme="minorHAnsi"/>
          <w:sz w:val="22"/>
          <w:szCs w:val="22"/>
        </w:rPr>
        <w:t>lthough the PTC</w:t>
      </w:r>
      <w:r w:rsidR="005122FB" w:rsidRPr="00E14F67">
        <w:rPr>
          <w:rFonts w:cstheme="minorHAnsi"/>
          <w:sz w:val="22"/>
          <w:szCs w:val="22"/>
        </w:rPr>
        <w:t>s</w:t>
      </w:r>
      <w:r w:rsidR="00A3273D" w:rsidRPr="00E14F67">
        <w:rPr>
          <w:rFonts w:cstheme="minorHAnsi"/>
          <w:sz w:val="22"/>
          <w:szCs w:val="22"/>
        </w:rPr>
        <w:t xml:space="preserve"> in the UK do not currently explicitly address </w:t>
      </w:r>
      <w:r w:rsidR="00147621" w:rsidRPr="00E14F67">
        <w:rPr>
          <w:rFonts w:cstheme="minorHAnsi"/>
          <w:sz w:val="22"/>
          <w:szCs w:val="22"/>
        </w:rPr>
        <w:t>poverty</w:t>
      </w:r>
      <w:r w:rsidR="00A3273D" w:rsidRPr="00E14F67">
        <w:rPr>
          <w:rFonts w:cstheme="minorHAnsi"/>
          <w:sz w:val="22"/>
          <w:szCs w:val="22"/>
        </w:rPr>
        <w:t xml:space="preserve"> from a human rights-based perspective, we contend that there is </w:t>
      </w:r>
      <w:r w:rsidR="005122FB" w:rsidRPr="00E14F67">
        <w:rPr>
          <w:rFonts w:cstheme="minorHAnsi"/>
          <w:sz w:val="22"/>
          <w:szCs w:val="22"/>
        </w:rPr>
        <w:t>significant</w:t>
      </w:r>
      <w:r w:rsidR="00330DAE" w:rsidRPr="00E14F67">
        <w:rPr>
          <w:rFonts w:cstheme="minorHAnsi"/>
          <w:sz w:val="22"/>
          <w:szCs w:val="22"/>
        </w:rPr>
        <w:t xml:space="preserve"> </w:t>
      </w:r>
      <w:r w:rsidR="00A3273D" w:rsidRPr="00E14F67">
        <w:rPr>
          <w:rFonts w:cstheme="minorHAnsi"/>
          <w:sz w:val="22"/>
          <w:szCs w:val="22"/>
        </w:rPr>
        <w:t xml:space="preserve">added-value in </w:t>
      </w:r>
      <w:r w:rsidR="00064783" w:rsidRPr="00E14F67">
        <w:rPr>
          <w:rFonts w:cstheme="minorHAnsi"/>
          <w:sz w:val="22"/>
          <w:szCs w:val="22"/>
        </w:rPr>
        <w:t xml:space="preserve">adopting an explicit ESCRs agenda, </w:t>
      </w:r>
      <w:r w:rsidR="00A3273D" w:rsidRPr="00E14F67">
        <w:rPr>
          <w:rFonts w:cstheme="minorHAnsi"/>
          <w:sz w:val="22"/>
          <w:szCs w:val="22"/>
        </w:rPr>
        <w:t>addressing these issues as violations of ESCRs</w:t>
      </w:r>
      <w:r w:rsidR="00064783" w:rsidRPr="00E14F67">
        <w:rPr>
          <w:rFonts w:cstheme="minorHAnsi"/>
          <w:sz w:val="22"/>
          <w:szCs w:val="22"/>
        </w:rPr>
        <w:t xml:space="preserve"> and working for the adoption of ESCRs as justiciable rights within the UK</w:t>
      </w:r>
      <w:r w:rsidR="00A3273D" w:rsidRPr="00E14F67">
        <w:rPr>
          <w:rFonts w:cstheme="minorHAnsi"/>
          <w:sz w:val="22"/>
          <w:szCs w:val="22"/>
        </w:rPr>
        <w:t xml:space="preserve">. </w:t>
      </w:r>
      <w:r w:rsidR="00A3273D" w:rsidRPr="00E14F67">
        <w:rPr>
          <w:rFonts w:cstheme="minorHAnsi"/>
          <w:bCs/>
          <w:color w:val="000000" w:themeColor="text1"/>
          <w:sz w:val="22"/>
          <w:szCs w:val="22"/>
        </w:rPr>
        <w:tab/>
        <w:t xml:space="preserve">Significantly, the </w:t>
      </w:r>
      <w:r w:rsidR="00064783" w:rsidRPr="00E14F67">
        <w:rPr>
          <w:rFonts w:cstheme="minorHAnsi"/>
          <w:bCs/>
          <w:color w:val="000000" w:themeColor="text1"/>
          <w:sz w:val="22"/>
          <w:szCs w:val="22"/>
        </w:rPr>
        <w:t>combination of ESCRs and the transformative justice of the PTCs</w:t>
      </w:r>
      <w:r w:rsidR="00A3273D" w:rsidRPr="00E14F67">
        <w:rPr>
          <w:rFonts w:cstheme="minorHAnsi"/>
          <w:bCs/>
          <w:color w:val="000000" w:themeColor="text1"/>
          <w:sz w:val="22"/>
          <w:szCs w:val="22"/>
        </w:rPr>
        <w:t xml:space="preserve"> has further potential to </w:t>
      </w:r>
      <w:r w:rsidR="00064783" w:rsidRPr="00E14F67">
        <w:rPr>
          <w:rFonts w:cstheme="minorHAnsi"/>
          <w:bCs/>
          <w:color w:val="000000" w:themeColor="text1"/>
          <w:sz w:val="22"/>
          <w:szCs w:val="22"/>
        </w:rPr>
        <w:t>empower</w:t>
      </w:r>
      <w:r w:rsidR="00A3273D" w:rsidRPr="00E14F67">
        <w:rPr>
          <w:rFonts w:cstheme="minorHAnsi"/>
          <w:bCs/>
          <w:color w:val="000000" w:themeColor="text1"/>
          <w:sz w:val="22"/>
          <w:szCs w:val="22"/>
        </w:rPr>
        <w:t xml:space="preserve"> the most vulnerable and marginalised in our communities</w:t>
      </w:r>
      <w:r w:rsidR="00064783" w:rsidRPr="00E14F67">
        <w:rPr>
          <w:rFonts w:cstheme="minorHAnsi"/>
          <w:bCs/>
          <w:color w:val="000000" w:themeColor="text1"/>
          <w:sz w:val="22"/>
          <w:szCs w:val="22"/>
        </w:rPr>
        <w:t>,</w:t>
      </w:r>
      <w:r w:rsidR="00A3273D" w:rsidRPr="00E14F67">
        <w:rPr>
          <w:rFonts w:cstheme="minorHAnsi"/>
          <w:bCs/>
          <w:color w:val="000000" w:themeColor="text1"/>
          <w:sz w:val="22"/>
          <w:szCs w:val="22"/>
        </w:rPr>
        <w:t xml:space="preserve"> to tackle the structural violence of poverty and to create an </w:t>
      </w:r>
      <w:r w:rsidR="00A3273D" w:rsidRPr="00E14F67">
        <w:rPr>
          <w:rFonts w:cstheme="minorHAnsi"/>
          <w:bCs/>
          <w:color w:val="000000" w:themeColor="text1"/>
          <w:sz w:val="22"/>
          <w:szCs w:val="22"/>
        </w:rPr>
        <w:lastRenderedPageBreak/>
        <w:t xml:space="preserve">enabling local </w:t>
      </w:r>
      <w:r w:rsidR="00064783" w:rsidRPr="00E14F67">
        <w:rPr>
          <w:rFonts w:cstheme="minorHAnsi"/>
          <w:bCs/>
          <w:color w:val="000000" w:themeColor="text1"/>
          <w:sz w:val="22"/>
          <w:szCs w:val="22"/>
        </w:rPr>
        <w:t xml:space="preserve">transformative </w:t>
      </w:r>
      <w:r w:rsidR="00A3273D" w:rsidRPr="00E14F67">
        <w:rPr>
          <w:rFonts w:cstheme="minorHAnsi"/>
          <w:bCs/>
          <w:color w:val="000000" w:themeColor="text1"/>
          <w:sz w:val="22"/>
          <w:szCs w:val="22"/>
        </w:rPr>
        <w:t xml:space="preserve">space </w:t>
      </w:r>
      <w:r w:rsidR="00064783" w:rsidRPr="00E14F67">
        <w:rPr>
          <w:rFonts w:cstheme="minorHAnsi"/>
          <w:bCs/>
          <w:color w:val="000000" w:themeColor="text1"/>
          <w:sz w:val="22"/>
          <w:szCs w:val="22"/>
        </w:rPr>
        <w:t>where the PTCs can ‘speak truth to power’ but also</w:t>
      </w:r>
      <w:r w:rsidR="00A3273D" w:rsidRPr="00E14F67">
        <w:rPr>
          <w:rFonts w:cstheme="minorHAnsi"/>
          <w:bCs/>
          <w:color w:val="000000" w:themeColor="text1"/>
          <w:sz w:val="22"/>
          <w:szCs w:val="22"/>
        </w:rPr>
        <w:t xml:space="preserve"> ‘speak rights’ to power</w:t>
      </w:r>
      <w:r w:rsidR="00716D6B" w:rsidRPr="00E14F67">
        <w:rPr>
          <w:rFonts w:cstheme="minorHAnsi"/>
          <w:bCs/>
          <w:color w:val="000000" w:themeColor="text1"/>
          <w:sz w:val="22"/>
          <w:szCs w:val="22"/>
        </w:rPr>
        <w:t>’</w:t>
      </w:r>
      <w:r w:rsidR="00716D6B" w:rsidRPr="00E14F67">
        <w:rPr>
          <w:rFonts w:cstheme="minorHAnsi"/>
          <w:bCs/>
          <w:noProof/>
          <w:color w:val="000000" w:themeColor="text1"/>
          <w:sz w:val="22"/>
          <w:szCs w:val="22"/>
        </w:rPr>
        <w:t xml:space="preserve"> (</w:t>
      </w:r>
      <w:r w:rsidR="00A3273D" w:rsidRPr="00E14F67">
        <w:rPr>
          <w:rFonts w:cstheme="minorHAnsi"/>
          <w:bCs/>
          <w:noProof/>
          <w:color w:val="000000" w:themeColor="text1"/>
          <w:sz w:val="22"/>
          <w:szCs w:val="22"/>
        </w:rPr>
        <w:t>Brysk 2013; see also Cahill-Ripley 2019a)</w:t>
      </w:r>
      <w:r w:rsidR="00A3273D" w:rsidRPr="00E14F67">
        <w:rPr>
          <w:rFonts w:cstheme="minorHAnsi"/>
          <w:bCs/>
          <w:color w:val="000000" w:themeColor="text1"/>
          <w:sz w:val="22"/>
          <w:szCs w:val="22"/>
        </w:rPr>
        <w:t>.</w:t>
      </w:r>
      <w:r w:rsidR="00064783" w:rsidRPr="00E14F67">
        <w:rPr>
          <w:rFonts w:cstheme="minorHAnsi"/>
          <w:bCs/>
          <w:color w:val="000000" w:themeColor="text1"/>
          <w:sz w:val="22"/>
          <w:szCs w:val="22"/>
        </w:rPr>
        <w:t xml:space="preserve">  </w:t>
      </w:r>
    </w:p>
    <w:p w14:paraId="1B700617" w14:textId="1F6486CA" w:rsidR="002A53CF" w:rsidRDefault="00A3273D" w:rsidP="00DF7FBB">
      <w:pPr>
        <w:pStyle w:val="Heading2"/>
        <w:rPr>
          <w:bCs/>
          <w:color w:val="000000" w:themeColor="text1"/>
        </w:rPr>
      </w:pPr>
      <w:r w:rsidRPr="00BD4F31">
        <w:t xml:space="preserve">Words: </w:t>
      </w:r>
      <w:r w:rsidR="008A5472">
        <w:t>9,9</w:t>
      </w:r>
      <w:r w:rsidR="006519AD">
        <w:t>63</w:t>
      </w:r>
    </w:p>
    <w:p w14:paraId="005CC78F" w14:textId="77777777" w:rsidR="00051E6D" w:rsidRDefault="00051E6D" w:rsidP="00051E6D">
      <w:pPr>
        <w:spacing w:line="480" w:lineRule="auto"/>
        <w:jc w:val="both"/>
        <w:rPr>
          <w:rFonts w:cstheme="minorHAnsi"/>
          <w:b/>
          <w:bCs/>
          <w:szCs w:val="22"/>
        </w:rPr>
      </w:pPr>
    </w:p>
    <w:p w14:paraId="556F7014" w14:textId="4F0EA856" w:rsidR="00A3273D" w:rsidRPr="00051E6D" w:rsidRDefault="00A3273D">
      <w:pPr>
        <w:spacing w:line="480" w:lineRule="auto"/>
        <w:jc w:val="center"/>
        <w:rPr>
          <w:rFonts w:cstheme="minorHAnsi"/>
          <w:b/>
          <w:bCs/>
          <w:szCs w:val="22"/>
        </w:rPr>
      </w:pPr>
      <w:r w:rsidRPr="00051E6D">
        <w:rPr>
          <w:rFonts w:cstheme="minorHAnsi"/>
          <w:b/>
          <w:bCs/>
          <w:szCs w:val="22"/>
        </w:rPr>
        <w:t>Bibliography</w:t>
      </w:r>
    </w:p>
    <w:p w14:paraId="1F1277FA" w14:textId="77777777" w:rsidR="00895908" w:rsidRPr="00051E6D" w:rsidRDefault="00895908" w:rsidP="00C9569B">
      <w:pPr>
        <w:spacing w:line="480" w:lineRule="auto"/>
        <w:jc w:val="both"/>
        <w:rPr>
          <w:rFonts w:cstheme="minorHAnsi"/>
          <w:szCs w:val="22"/>
        </w:rPr>
      </w:pPr>
    </w:p>
    <w:p w14:paraId="2291837F" w14:textId="77777777" w:rsidR="00895908" w:rsidRPr="00051E6D" w:rsidRDefault="00895908">
      <w:pPr>
        <w:spacing w:line="480" w:lineRule="auto"/>
        <w:jc w:val="both"/>
        <w:rPr>
          <w:rFonts w:cstheme="minorHAnsi"/>
          <w:szCs w:val="22"/>
        </w:rPr>
      </w:pPr>
      <w:r w:rsidRPr="00051E6D">
        <w:rPr>
          <w:rFonts w:cstheme="minorHAnsi"/>
          <w:szCs w:val="22"/>
        </w:rPr>
        <w:t xml:space="preserve">Androff, D. 2012. Adaptations of Truth and Reconciliation Commissions in the North American Context: Local Examples of a Global Restorative Justice Intervention. </w:t>
      </w:r>
      <w:r w:rsidRPr="00051E6D">
        <w:rPr>
          <w:rFonts w:cstheme="minorHAnsi"/>
          <w:i/>
          <w:iCs/>
          <w:szCs w:val="22"/>
        </w:rPr>
        <w:t>Advances in Social Work: Special Issue on Global Problems and Local Solutions</w:t>
      </w:r>
      <w:r w:rsidRPr="00051E6D">
        <w:rPr>
          <w:rFonts w:cstheme="minorHAnsi"/>
          <w:szCs w:val="22"/>
        </w:rPr>
        <w:t xml:space="preserve"> 13 (2): 408–19. (in-text reference: Androff 2012)</w:t>
      </w:r>
    </w:p>
    <w:p w14:paraId="436E522A" w14:textId="77777777" w:rsidR="00895908" w:rsidRPr="00051E6D" w:rsidRDefault="00895908">
      <w:pPr>
        <w:spacing w:line="480" w:lineRule="auto"/>
        <w:jc w:val="both"/>
        <w:rPr>
          <w:rFonts w:cstheme="minorHAnsi"/>
          <w:szCs w:val="22"/>
        </w:rPr>
      </w:pPr>
    </w:p>
    <w:p w14:paraId="7A52E37B" w14:textId="77777777" w:rsidR="00895908" w:rsidRPr="00051E6D" w:rsidRDefault="00895908">
      <w:pPr>
        <w:spacing w:line="480" w:lineRule="auto"/>
        <w:ind w:left="720"/>
        <w:jc w:val="both"/>
        <w:rPr>
          <w:rFonts w:cstheme="minorHAnsi"/>
          <w:szCs w:val="22"/>
        </w:rPr>
      </w:pPr>
      <w:r w:rsidRPr="00051E6D">
        <w:rPr>
          <w:rFonts w:cstheme="minorHAnsi"/>
          <w:szCs w:val="22"/>
        </w:rPr>
        <w:t xml:space="preserve">———. 2018. A Case Study of a Grassroots Truth and Reconciliation Commission from a Community Practice Perspective. </w:t>
      </w:r>
      <w:r w:rsidRPr="00051E6D">
        <w:rPr>
          <w:rFonts w:cstheme="minorHAnsi"/>
          <w:i/>
          <w:iCs/>
          <w:szCs w:val="22"/>
        </w:rPr>
        <w:t>Journal of Social Work</w:t>
      </w:r>
      <w:r w:rsidRPr="00051E6D">
        <w:rPr>
          <w:rFonts w:cstheme="minorHAnsi"/>
          <w:szCs w:val="22"/>
        </w:rPr>
        <w:t xml:space="preserve"> 18 (3): 273–87. (in-text reference: Androff 2018)</w:t>
      </w:r>
    </w:p>
    <w:p w14:paraId="58EDD7CC" w14:textId="77777777" w:rsidR="00895908" w:rsidRPr="00051E6D" w:rsidRDefault="00895908">
      <w:pPr>
        <w:spacing w:line="480" w:lineRule="auto"/>
        <w:jc w:val="both"/>
        <w:rPr>
          <w:rFonts w:cstheme="minorHAnsi"/>
          <w:szCs w:val="22"/>
        </w:rPr>
      </w:pPr>
    </w:p>
    <w:p w14:paraId="253E311E" w14:textId="77777777" w:rsidR="00895908" w:rsidRPr="00051E6D" w:rsidRDefault="00895908">
      <w:pPr>
        <w:spacing w:line="480" w:lineRule="auto"/>
        <w:jc w:val="both"/>
        <w:rPr>
          <w:rFonts w:cstheme="minorHAnsi"/>
          <w:szCs w:val="22"/>
        </w:rPr>
      </w:pPr>
      <w:r w:rsidRPr="00051E6D">
        <w:rPr>
          <w:rFonts w:cstheme="minorHAnsi"/>
          <w:szCs w:val="22"/>
        </w:rPr>
        <w:t xml:space="preserve">Beitler, J.E.III.  (2013) </w:t>
      </w:r>
      <w:r w:rsidRPr="00051E6D">
        <w:rPr>
          <w:rFonts w:cstheme="minorHAnsi"/>
          <w:i/>
          <w:iCs/>
          <w:szCs w:val="22"/>
        </w:rPr>
        <w:t>Remaking Transitional Justice in the United States</w:t>
      </w:r>
      <w:r w:rsidRPr="00051E6D">
        <w:rPr>
          <w:rFonts w:cstheme="minorHAnsi"/>
          <w:szCs w:val="22"/>
        </w:rPr>
        <w:t>. New York; London: Springer. (in-text reference: Beitler 2013)</w:t>
      </w:r>
    </w:p>
    <w:p w14:paraId="5DEF1148" w14:textId="77777777" w:rsidR="00895908" w:rsidRPr="00051E6D" w:rsidRDefault="00895908">
      <w:pPr>
        <w:spacing w:line="480" w:lineRule="auto"/>
        <w:jc w:val="both"/>
        <w:rPr>
          <w:rFonts w:cstheme="minorHAnsi"/>
          <w:szCs w:val="22"/>
        </w:rPr>
      </w:pPr>
    </w:p>
    <w:p w14:paraId="3776D8A4" w14:textId="77777777" w:rsidR="00895908" w:rsidRPr="00051E6D" w:rsidRDefault="00895908">
      <w:pPr>
        <w:spacing w:line="480" w:lineRule="auto"/>
        <w:jc w:val="both"/>
        <w:rPr>
          <w:rFonts w:cstheme="minorHAnsi"/>
          <w:szCs w:val="22"/>
        </w:rPr>
      </w:pPr>
      <w:r w:rsidRPr="00051E6D">
        <w:rPr>
          <w:rFonts w:cstheme="minorHAnsi"/>
          <w:szCs w:val="22"/>
        </w:rPr>
        <w:t xml:space="preserve">Bell, K. and Cemlyn, S. 2014. Developing Public Support for Human Rights in the United Kingdom: Reasserting the Importance of Socio-Economic Rights. </w:t>
      </w:r>
      <w:r w:rsidRPr="00051E6D">
        <w:rPr>
          <w:rFonts w:cstheme="minorHAnsi"/>
          <w:i/>
          <w:iCs/>
          <w:szCs w:val="22"/>
        </w:rPr>
        <w:t>The International Journal of Human Rights</w:t>
      </w:r>
      <w:r w:rsidRPr="00051E6D">
        <w:rPr>
          <w:rFonts w:cstheme="minorHAnsi"/>
          <w:szCs w:val="22"/>
        </w:rPr>
        <w:t xml:space="preserve"> 18 (7–8): 822-841. (in-text reference: Bell and Cemlyn 2014)</w:t>
      </w:r>
    </w:p>
    <w:p w14:paraId="6561CB1E" w14:textId="77777777" w:rsidR="00895908" w:rsidRPr="00051E6D" w:rsidRDefault="00895908">
      <w:pPr>
        <w:spacing w:line="480" w:lineRule="auto"/>
        <w:jc w:val="both"/>
        <w:rPr>
          <w:rFonts w:cstheme="minorHAnsi"/>
          <w:szCs w:val="22"/>
        </w:rPr>
      </w:pPr>
    </w:p>
    <w:p w14:paraId="3A7A02CB" w14:textId="5FFF326C" w:rsidR="00D73DBC" w:rsidRDefault="00895908">
      <w:pPr>
        <w:spacing w:line="480" w:lineRule="auto"/>
        <w:jc w:val="both"/>
        <w:rPr>
          <w:rFonts w:cstheme="minorHAnsi"/>
          <w:szCs w:val="22"/>
        </w:rPr>
      </w:pPr>
      <w:r w:rsidRPr="00051E6D">
        <w:rPr>
          <w:rFonts w:cstheme="minorHAnsi"/>
          <w:szCs w:val="22"/>
        </w:rPr>
        <w:lastRenderedPageBreak/>
        <w:t xml:space="preserve">Bickford, L. 2007. Unofficial Truth Projects. </w:t>
      </w:r>
      <w:r w:rsidRPr="00051E6D">
        <w:rPr>
          <w:rFonts w:cstheme="minorHAnsi"/>
          <w:i/>
          <w:iCs/>
          <w:szCs w:val="22"/>
        </w:rPr>
        <w:t>Human Rights Quarterly</w:t>
      </w:r>
      <w:r w:rsidRPr="00051E6D">
        <w:rPr>
          <w:rFonts w:cstheme="minorHAnsi"/>
          <w:szCs w:val="22"/>
        </w:rPr>
        <w:t xml:space="preserve"> 29 (4): 994–1035. (in-text reference: Bickford 2007)</w:t>
      </w:r>
    </w:p>
    <w:p w14:paraId="5C3E3AB7" w14:textId="77777777" w:rsidR="005D7E53" w:rsidRPr="005D7E53" w:rsidRDefault="005D7E53" w:rsidP="00C9569B">
      <w:pPr>
        <w:pStyle w:val="NormalIndent"/>
        <w:spacing w:line="480" w:lineRule="auto"/>
      </w:pPr>
    </w:p>
    <w:p w14:paraId="1CED1D48" w14:textId="4D9E75D9" w:rsidR="00895908" w:rsidRDefault="00895908">
      <w:pPr>
        <w:spacing w:line="480" w:lineRule="auto"/>
        <w:jc w:val="both"/>
        <w:rPr>
          <w:rFonts w:cstheme="minorHAnsi"/>
          <w:szCs w:val="22"/>
        </w:rPr>
      </w:pPr>
      <w:r w:rsidRPr="00051E6D">
        <w:rPr>
          <w:rFonts w:cstheme="minorHAnsi"/>
          <w:szCs w:val="22"/>
        </w:rPr>
        <w:t xml:space="preserve">Brighton and Hove Housing Coalition. 2018. ‘The Homeless Bill of Rights’. Brighton and Hove Housing Coalition. </w:t>
      </w:r>
      <w:hyperlink r:id="rId7" w:history="1">
        <w:r w:rsidRPr="00995760">
          <w:rPr>
            <w:rStyle w:val="Hyperlink"/>
            <w:rFonts w:eastAsia="TimesNewRomanPSMT" w:cstheme="minorHAnsi"/>
            <w:color w:val="4472C4" w:themeColor="accent1"/>
            <w:szCs w:val="22"/>
            <w:u w:val="single"/>
          </w:rPr>
          <w:t>https://housingcoalition.co.uk/homeless-bill-of-rights/</w:t>
        </w:r>
      </w:hyperlink>
      <w:r w:rsidRPr="00995760">
        <w:rPr>
          <w:rFonts w:cstheme="minorHAnsi"/>
          <w:szCs w:val="22"/>
          <w:u w:val="single"/>
        </w:rPr>
        <w:t>.</w:t>
      </w:r>
      <w:r w:rsidRPr="00051E6D">
        <w:rPr>
          <w:rFonts w:cstheme="minorHAnsi"/>
          <w:szCs w:val="22"/>
        </w:rPr>
        <w:t xml:space="preserve"> (referenced 9 April 2020) (in-text reference: Brighton and Hove Housing Coalition 2018.)</w:t>
      </w:r>
    </w:p>
    <w:p w14:paraId="531BDA0D" w14:textId="77777777" w:rsidR="005D7E53" w:rsidRPr="005D7E53" w:rsidRDefault="005D7E53" w:rsidP="00C9569B">
      <w:pPr>
        <w:pStyle w:val="NormalIndent"/>
        <w:spacing w:line="480" w:lineRule="auto"/>
      </w:pPr>
    </w:p>
    <w:p w14:paraId="4AEB8F51" w14:textId="2B7AC530" w:rsidR="00AD653C" w:rsidRDefault="00895908">
      <w:pPr>
        <w:spacing w:line="480" w:lineRule="auto"/>
        <w:jc w:val="both"/>
        <w:rPr>
          <w:rFonts w:cstheme="minorHAnsi"/>
          <w:szCs w:val="22"/>
        </w:rPr>
      </w:pPr>
      <w:r w:rsidRPr="00051E6D">
        <w:rPr>
          <w:rFonts w:cstheme="minorHAnsi"/>
          <w:szCs w:val="22"/>
        </w:rPr>
        <w:t xml:space="preserve">Brysk, A. 2013. </w:t>
      </w:r>
      <w:r w:rsidRPr="00051E6D">
        <w:rPr>
          <w:rFonts w:cstheme="minorHAnsi"/>
          <w:i/>
          <w:iCs/>
          <w:szCs w:val="22"/>
        </w:rPr>
        <w:t>Speaking Rights to Power</w:t>
      </w:r>
      <w:r w:rsidRPr="00051E6D">
        <w:rPr>
          <w:rFonts w:cstheme="minorHAnsi"/>
          <w:szCs w:val="22"/>
        </w:rPr>
        <w:t>. Oxford: Oxford University Press. (in-text reference: Brysk 2013)</w:t>
      </w:r>
    </w:p>
    <w:p w14:paraId="1FEB910A" w14:textId="77777777" w:rsidR="005D7E53" w:rsidRPr="005D7E53" w:rsidRDefault="005D7E53" w:rsidP="00C9569B">
      <w:pPr>
        <w:pStyle w:val="NormalIndent"/>
        <w:spacing w:line="480" w:lineRule="auto"/>
      </w:pPr>
    </w:p>
    <w:p w14:paraId="568589E3" w14:textId="343758C5" w:rsidR="00895908" w:rsidRDefault="00AD653C" w:rsidP="00C9569B">
      <w:pPr>
        <w:spacing w:line="480" w:lineRule="auto"/>
        <w:jc w:val="both"/>
      </w:pPr>
      <w:r>
        <w:t>Butler, P. 2020. ‘</w:t>
      </w:r>
      <w:r w:rsidRPr="00A06C06">
        <w:t>Extreme poverty 'will double by Christmas' in UK because of Covid-19</w:t>
      </w:r>
      <w:r>
        <w:t xml:space="preserve">’ </w:t>
      </w:r>
      <w:r w:rsidRPr="007707E5">
        <w:t>The Guardian.</w:t>
      </w:r>
      <w:r>
        <w:t xml:space="preserve"> </w:t>
      </w:r>
      <w:hyperlink r:id="rId8" w:history="1">
        <w:r w:rsidRPr="00995760">
          <w:rPr>
            <w:rStyle w:val="Hyperlink"/>
            <w:rFonts w:eastAsia="TimesNewRomanPSMT"/>
            <w:color w:val="4472C4" w:themeColor="accent1"/>
            <w:u w:val="single"/>
          </w:rPr>
          <w:t>https://www.theguardian.com/society/2020/sep/14/coronavirus-extreme-poverty-in-uk-will-double-by-christmas-trust-predicts</w:t>
        </w:r>
      </w:hyperlink>
      <w:r w:rsidRPr="00995760">
        <w:rPr>
          <w:color w:val="4472C4" w:themeColor="accent1"/>
        </w:rPr>
        <w:t xml:space="preserve"> </w:t>
      </w:r>
      <w:r>
        <w:t>(referenced 5 January 2021) (in-text reference: Butler 2020).</w:t>
      </w:r>
    </w:p>
    <w:p w14:paraId="34CE95C4" w14:textId="77777777" w:rsidR="005D7E53" w:rsidRPr="005D7E53" w:rsidRDefault="005D7E53" w:rsidP="00C9569B">
      <w:pPr>
        <w:pStyle w:val="NormalIndent"/>
        <w:spacing w:line="480" w:lineRule="auto"/>
      </w:pPr>
    </w:p>
    <w:p w14:paraId="2ACEC77E" w14:textId="590F6D44" w:rsidR="00895908" w:rsidRPr="00051E6D" w:rsidRDefault="00895908">
      <w:pPr>
        <w:spacing w:line="480" w:lineRule="auto"/>
        <w:jc w:val="both"/>
        <w:rPr>
          <w:rFonts w:cstheme="minorHAnsi"/>
          <w:szCs w:val="22"/>
        </w:rPr>
      </w:pPr>
      <w:r w:rsidRPr="00051E6D">
        <w:rPr>
          <w:rFonts w:cstheme="minorHAnsi"/>
          <w:szCs w:val="22"/>
        </w:rPr>
        <w:t xml:space="preserve">Cahill-Ripley, A. 2014. Foregrounding Socioeconomic Rights in Transitional Justice: Realising Justice for Violations of Economic and Social Rights. </w:t>
      </w:r>
      <w:r w:rsidRPr="00051E6D">
        <w:rPr>
          <w:rFonts w:cstheme="minorHAnsi"/>
          <w:i/>
          <w:iCs/>
          <w:szCs w:val="22"/>
        </w:rPr>
        <w:t>Netherlands Quarterly of Human Rights</w:t>
      </w:r>
      <w:r w:rsidRPr="00051E6D">
        <w:rPr>
          <w:rFonts w:cstheme="minorHAnsi"/>
          <w:szCs w:val="22"/>
        </w:rPr>
        <w:t xml:space="preserve"> 32 (2): 183-213. (in-text reference: Cahill-Ripley 2014)</w:t>
      </w:r>
    </w:p>
    <w:p w14:paraId="1019FD6C" w14:textId="0EC00289" w:rsidR="00895908" w:rsidRPr="00051E6D" w:rsidRDefault="00895908">
      <w:pPr>
        <w:spacing w:line="480" w:lineRule="auto"/>
        <w:ind w:left="720"/>
        <w:jc w:val="both"/>
        <w:rPr>
          <w:rFonts w:cstheme="minorHAnsi"/>
          <w:szCs w:val="22"/>
        </w:rPr>
      </w:pPr>
      <w:r w:rsidRPr="00051E6D">
        <w:rPr>
          <w:rFonts w:cstheme="minorHAnsi"/>
          <w:szCs w:val="22"/>
        </w:rPr>
        <w:t xml:space="preserve">———. 2019a. Exploring the Local: Vernacularizing Economic and Social Rights for Peacebuilding within the Protestant/Unionist Borderland Community in Northern Ireland. </w:t>
      </w:r>
      <w:r w:rsidRPr="00051E6D">
        <w:rPr>
          <w:rFonts w:cstheme="minorHAnsi"/>
          <w:i/>
          <w:iCs/>
          <w:szCs w:val="22"/>
        </w:rPr>
        <w:t>The International Journal of Human Rights</w:t>
      </w:r>
      <w:r w:rsidRPr="00051E6D">
        <w:rPr>
          <w:rFonts w:cstheme="minorHAnsi"/>
          <w:szCs w:val="22"/>
        </w:rPr>
        <w:t xml:space="preserve"> 23 (8): 1248-1275. (in-text reference: Cahill-Ripley 2019a)</w:t>
      </w:r>
    </w:p>
    <w:p w14:paraId="501BBF1F" w14:textId="77777777" w:rsidR="00895908" w:rsidRPr="00051E6D" w:rsidRDefault="00895908">
      <w:pPr>
        <w:spacing w:line="480" w:lineRule="auto"/>
        <w:ind w:left="720"/>
        <w:jc w:val="both"/>
        <w:rPr>
          <w:rFonts w:cstheme="minorHAnsi"/>
          <w:szCs w:val="22"/>
        </w:rPr>
      </w:pPr>
      <w:r w:rsidRPr="00051E6D">
        <w:rPr>
          <w:rFonts w:cstheme="minorHAnsi"/>
          <w:szCs w:val="22"/>
        </w:rPr>
        <w:lastRenderedPageBreak/>
        <w:t>---2019b. Personal Meeting with a Morecambe Bay PTC Commissioner. Lancaster University, 2019. (in-text reference: Cahill-Ripley 2019b)</w:t>
      </w:r>
    </w:p>
    <w:p w14:paraId="537FEC84" w14:textId="77777777" w:rsidR="00895908" w:rsidRPr="00051E6D" w:rsidRDefault="00895908">
      <w:pPr>
        <w:spacing w:line="480" w:lineRule="auto"/>
        <w:jc w:val="both"/>
        <w:rPr>
          <w:rFonts w:cstheme="minorHAnsi"/>
          <w:szCs w:val="22"/>
        </w:rPr>
      </w:pPr>
    </w:p>
    <w:p w14:paraId="378E2CED" w14:textId="68E81905" w:rsidR="00D73DBC" w:rsidRDefault="00895908">
      <w:pPr>
        <w:spacing w:line="480" w:lineRule="auto"/>
        <w:jc w:val="both"/>
        <w:rPr>
          <w:rFonts w:cstheme="minorHAnsi"/>
          <w:szCs w:val="22"/>
        </w:rPr>
      </w:pPr>
      <w:r w:rsidRPr="00051E6D">
        <w:rPr>
          <w:rFonts w:cstheme="minorHAnsi"/>
          <w:szCs w:val="22"/>
        </w:rPr>
        <w:t xml:space="preserve">Corlett, A. 2019. ‘The Living Standards Outlook 2019’. Resolution Foundation. </w:t>
      </w:r>
      <w:hyperlink r:id="rId9" w:history="1">
        <w:r w:rsidRPr="00995760">
          <w:rPr>
            <w:rStyle w:val="Hyperlink"/>
            <w:rFonts w:eastAsia="TimesNewRomanPSMT" w:cstheme="minorHAnsi"/>
            <w:color w:val="4472C4" w:themeColor="accent1"/>
            <w:szCs w:val="22"/>
            <w:u w:val="single"/>
          </w:rPr>
          <w:t>https://www.resolutionfoundation.org/app/uploads/2019/02/Living-Standards-Outlook-2019.pdf</w:t>
        </w:r>
      </w:hyperlink>
      <w:r w:rsidRPr="00995760">
        <w:rPr>
          <w:rFonts w:cstheme="minorHAnsi"/>
          <w:szCs w:val="22"/>
          <w:u w:val="single"/>
        </w:rPr>
        <w:t>.</w:t>
      </w:r>
      <w:r w:rsidRPr="00051E6D">
        <w:rPr>
          <w:rFonts w:cstheme="minorHAnsi"/>
          <w:szCs w:val="22"/>
        </w:rPr>
        <w:t xml:space="preserve"> (referenced 9 April 2020). (in-text reference: Corlett 2019)</w:t>
      </w:r>
    </w:p>
    <w:p w14:paraId="2B14C848" w14:textId="77777777" w:rsidR="005D7E53" w:rsidRPr="005D7E53" w:rsidRDefault="005D7E53" w:rsidP="00C9569B">
      <w:pPr>
        <w:pStyle w:val="NormalIndent"/>
        <w:spacing w:line="480" w:lineRule="auto"/>
      </w:pPr>
    </w:p>
    <w:p w14:paraId="0579FE1A" w14:textId="18D57BB5" w:rsidR="00895908" w:rsidRDefault="00895908">
      <w:pPr>
        <w:spacing w:line="480" w:lineRule="auto"/>
        <w:jc w:val="both"/>
        <w:rPr>
          <w:rFonts w:cstheme="minorHAnsi"/>
          <w:color w:val="000000" w:themeColor="text1"/>
          <w:szCs w:val="22"/>
        </w:rPr>
      </w:pPr>
      <w:bookmarkStart w:id="11" w:name="_Hlk50654481"/>
      <w:r w:rsidRPr="00051E6D">
        <w:rPr>
          <w:rFonts w:cstheme="minorHAnsi"/>
          <w:color w:val="000000" w:themeColor="text1"/>
          <w:szCs w:val="22"/>
        </w:rPr>
        <w:t xml:space="preserve">Donald, A. and Mottershaw, E. 2009. </w:t>
      </w:r>
      <w:r w:rsidRPr="00051E6D">
        <w:rPr>
          <w:rFonts w:cstheme="minorHAnsi"/>
          <w:i/>
          <w:iCs/>
          <w:color w:val="000000" w:themeColor="text1"/>
          <w:szCs w:val="22"/>
        </w:rPr>
        <w:t>Poverty, inequality and human rights - Do human rights make a difference</w:t>
      </w:r>
      <w:r w:rsidRPr="00051E6D">
        <w:rPr>
          <w:rFonts w:cstheme="minorHAnsi"/>
          <w:color w:val="000000" w:themeColor="text1"/>
          <w:szCs w:val="22"/>
        </w:rPr>
        <w:t xml:space="preserve">. York: Joseph Rowntree Foundation. </w:t>
      </w:r>
      <w:hyperlink r:id="rId10" w:history="1">
        <w:r w:rsidR="0021618E" w:rsidRPr="0021618E">
          <w:rPr>
            <w:rStyle w:val="Hyperlink"/>
            <w:rFonts w:cstheme="minorHAnsi"/>
            <w:color w:val="4472C4" w:themeColor="accent1"/>
            <w:szCs w:val="22"/>
            <w:u w:val="single"/>
          </w:rPr>
          <w:t>https://www.jrf.org.uk/report/poverty-inequality-and-human-rights</w:t>
        </w:r>
      </w:hyperlink>
      <w:r w:rsidR="000F480D" w:rsidRPr="00051E6D">
        <w:rPr>
          <w:rFonts w:cstheme="minorHAnsi"/>
          <w:color w:val="4472C4" w:themeColor="accent1"/>
          <w:szCs w:val="22"/>
        </w:rPr>
        <w:t xml:space="preserve"> </w:t>
      </w:r>
      <w:r w:rsidRPr="00051E6D">
        <w:rPr>
          <w:rFonts w:cstheme="minorHAnsi"/>
          <w:color w:val="000000" w:themeColor="text1"/>
          <w:szCs w:val="22"/>
        </w:rPr>
        <w:t>(referenced 10 September 2020). (in-text reference: Donald and Mottershaw 2009)</w:t>
      </w:r>
      <w:bookmarkEnd w:id="11"/>
    </w:p>
    <w:p w14:paraId="0692688B" w14:textId="77777777" w:rsidR="005D7E53" w:rsidRPr="005D7E53" w:rsidRDefault="005D7E53" w:rsidP="00C9569B">
      <w:pPr>
        <w:pStyle w:val="NormalIndent"/>
        <w:spacing w:line="480" w:lineRule="auto"/>
      </w:pPr>
    </w:p>
    <w:p w14:paraId="480FBEA5" w14:textId="4DC6874C" w:rsidR="00895908" w:rsidRDefault="00895908">
      <w:pPr>
        <w:spacing w:line="480" w:lineRule="auto"/>
        <w:jc w:val="both"/>
        <w:rPr>
          <w:rFonts w:cstheme="minorHAnsi"/>
          <w:color w:val="000000" w:themeColor="text1"/>
          <w:szCs w:val="22"/>
        </w:rPr>
      </w:pPr>
      <w:r w:rsidRPr="00051E6D">
        <w:rPr>
          <w:rFonts w:cstheme="minorHAnsi"/>
          <w:color w:val="000000" w:themeColor="text1"/>
          <w:szCs w:val="22"/>
        </w:rPr>
        <w:t xml:space="preserve">Evans. M (ed). 2019. </w:t>
      </w:r>
      <w:r w:rsidRPr="00051E6D">
        <w:rPr>
          <w:rFonts w:cstheme="minorHAnsi"/>
          <w:i/>
          <w:iCs/>
          <w:color w:val="000000" w:themeColor="text1"/>
          <w:szCs w:val="22"/>
        </w:rPr>
        <w:t>Transitional and Transformative Justice – Critical and International Perspectives</w:t>
      </w:r>
      <w:r w:rsidRPr="00051E6D">
        <w:rPr>
          <w:rFonts w:cstheme="minorHAnsi"/>
          <w:color w:val="000000" w:themeColor="text1"/>
          <w:szCs w:val="22"/>
        </w:rPr>
        <w:t>. Oxford: Routledge. (in-text reference: Evans 2019)</w:t>
      </w:r>
    </w:p>
    <w:p w14:paraId="54414DD8" w14:textId="77777777" w:rsidR="005D7E53" w:rsidRPr="005D7E53" w:rsidRDefault="005D7E53" w:rsidP="00C9569B">
      <w:pPr>
        <w:pStyle w:val="NormalIndent"/>
        <w:spacing w:line="480" w:lineRule="auto"/>
      </w:pPr>
    </w:p>
    <w:p w14:paraId="75010A21" w14:textId="1AE34C28" w:rsidR="00EE0B14" w:rsidRDefault="00EE0B14">
      <w:pPr>
        <w:spacing w:line="480" w:lineRule="auto"/>
        <w:jc w:val="both"/>
        <w:rPr>
          <w:rFonts w:cstheme="minorHAnsi"/>
          <w:szCs w:val="22"/>
        </w:rPr>
      </w:pPr>
      <w:r w:rsidRPr="009539AD">
        <w:rPr>
          <w:rFonts w:cstheme="minorHAnsi"/>
          <w:szCs w:val="22"/>
        </w:rPr>
        <w:t>Farmer</w:t>
      </w:r>
      <w:r>
        <w:rPr>
          <w:rFonts w:cstheme="minorHAnsi"/>
          <w:szCs w:val="22"/>
        </w:rPr>
        <w:t>.</w:t>
      </w:r>
      <w:r w:rsidRPr="009539AD">
        <w:rPr>
          <w:rFonts w:cstheme="minorHAnsi"/>
          <w:szCs w:val="22"/>
        </w:rPr>
        <w:t xml:space="preserve"> </w:t>
      </w:r>
      <w:r w:rsidRPr="00EE0B14">
        <w:rPr>
          <w:rFonts w:cstheme="minorHAnsi"/>
          <w:szCs w:val="22"/>
        </w:rPr>
        <w:t>P</w:t>
      </w:r>
      <w:r>
        <w:rPr>
          <w:rFonts w:cstheme="minorHAnsi"/>
          <w:szCs w:val="22"/>
        </w:rPr>
        <w:t xml:space="preserve">, </w:t>
      </w:r>
      <w:r w:rsidRPr="00EE0B14">
        <w:rPr>
          <w:rFonts w:cstheme="minorHAnsi"/>
          <w:szCs w:val="22"/>
        </w:rPr>
        <w:t>Nizeye</w:t>
      </w:r>
      <w:r>
        <w:rPr>
          <w:rFonts w:cstheme="minorHAnsi"/>
          <w:szCs w:val="22"/>
        </w:rPr>
        <w:t>.B</w:t>
      </w:r>
      <w:r w:rsidRPr="00EE0B14">
        <w:rPr>
          <w:rFonts w:cstheme="minorHAnsi"/>
          <w:szCs w:val="22"/>
        </w:rPr>
        <w:t>, Stulac</w:t>
      </w:r>
      <w:r>
        <w:rPr>
          <w:rFonts w:cstheme="minorHAnsi"/>
          <w:szCs w:val="22"/>
        </w:rPr>
        <w:t>.S</w:t>
      </w:r>
      <w:r w:rsidRPr="00EE0B14">
        <w:rPr>
          <w:rFonts w:cstheme="minorHAnsi"/>
          <w:szCs w:val="22"/>
        </w:rPr>
        <w:t>, Keshavjee</w:t>
      </w:r>
      <w:r w:rsidRPr="006507F1">
        <w:rPr>
          <w:rFonts w:cstheme="minorHAnsi"/>
          <w:i/>
          <w:iCs/>
          <w:szCs w:val="22"/>
        </w:rPr>
        <w:t>et</w:t>
      </w:r>
      <w:r>
        <w:rPr>
          <w:rFonts w:cstheme="minorHAnsi"/>
          <w:i/>
          <w:iCs/>
          <w:szCs w:val="22"/>
        </w:rPr>
        <w:t>.</w:t>
      </w:r>
      <w:r w:rsidRPr="00C9569B">
        <w:rPr>
          <w:rFonts w:cstheme="minorHAnsi"/>
          <w:szCs w:val="22"/>
        </w:rPr>
        <w:t>S</w:t>
      </w:r>
      <w:r>
        <w:rPr>
          <w:rFonts w:cstheme="minorHAnsi"/>
          <w:szCs w:val="22"/>
        </w:rPr>
        <w:t>. 2006</w:t>
      </w:r>
      <w:r>
        <w:rPr>
          <w:rFonts w:cstheme="minorHAnsi"/>
          <w:i/>
          <w:iCs/>
          <w:szCs w:val="22"/>
        </w:rPr>
        <w:t>.</w:t>
      </w:r>
      <w:r w:rsidRPr="006507F1">
        <w:rPr>
          <w:rFonts w:cstheme="minorHAnsi"/>
          <w:i/>
          <w:iCs/>
          <w:szCs w:val="22"/>
        </w:rPr>
        <w:t xml:space="preserve"> </w:t>
      </w:r>
      <w:r>
        <w:t xml:space="preserve">Structural Violence and Clinical Medicine.  </w:t>
      </w:r>
      <w:r w:rsidR="0065344C" w:rsidRPr="00C9569B">
        <w:rPr>
          <w:i/>
          <w:iCs/>
        </w:rPr>
        <w:t>PLOS Medicine</w:t>
      </w:r>
      <w:r>
        <w:t xml:space="preserve"> </w:t>
      </w:r>
      <w:r w:rsidRPr="00EE0B14">
        <w:t>3</w:t>
      </w:r>
      <w:r>
        <w:t xml:space="preserve"> (</w:t>
      </w:r>
      <w:r w:rsidRPr="00EE0B14">
        <w:t>1</w:t>
      </w:r>
      <w:r>
        <w:t>0):</w:t>
      </w:r>
      <w:r>
        <w:rPr>
          <w:rFonts w:cstheme="minorHAnsi"/>
          <w:szCs w:val="22"/>
        </w:rPr>
        <w:t xml:space="preserve"> </w:t>
      </w:r>
      <w:r w:rsidRPr="009539AD">
        <w:rPr>
          <w:rFonts w:cstheme="minorHAnsi"/>
          <w:szCs w:val="22"/>
        </w:rPr>
        <w:t>1686</w:t>
      </w:r>
      <w:r>
        <w:rPr>
          <w:rFonts w:cstheme="minorHAnsi"/>
          <w:szCs w:val="22"/>
        </w:rPr>
        <w:t>-1691.</w:t>
      </w:r>
      <w:r w:rsidR="0065344C" w:rsidRPr="0065344C">
        <w:rPr>
          <w:rFonts w:cstheme="minorHAnsi"/>
          <w:szCs w:val="22"/>
        </w:rPr>
        <w:t xml:space="preserve"> </w:t>
      </w:r>
      <w:r w:rsidR="0065344C" w:rsidRPr="00051E6D">
        <w:rPr>
          <w:rFonts w:cstheme="minorHAnsi"/>
          <w:szCs w:val="22"/>
        </w:rPr>
        <w:t>(in-text reference:</w:t>
      </w:r>
      <w:r w:rsidR="0065344C">
        <w:rPr>
          <w:rFonts w:cstheme="minorHAnsi"/>
          <w:szCs w:val="22"/>
        </w:rPr>
        <w:t xml:space="preserve"> Farmer et al 2006)</w:t>
      </w:r>
    </w:p>
    <w:p w14:paraId="1CED5B1C" w14:textId="77777777" w:rsidR="005D7E53" w:rsidRPr="005D7E53" w:rsidRDefault="005D7E53" w:rsidP="00C9569B">
      <w:pPr>
        <w:pStyle w:val="NormalIndent"/>
        <w:spacing w:line="480" w:lineRule="auto"/>
      </w:pPr>
    </w:p>
    <w:p w14:paraId="5C06A506" w14:textId="38358872" w:rsidR="00895908" w:rsidRDefault="00895908">
      <w:pPr>
        <w:spacing w:line="480" w:lineRule="auto"/>
        <w:jc w:val="both"/>
        <w:rPr>
          <w:rFonts w:cstheme="minorHAnsi"/>
          <w:szCs w:val="22"/>
        </w:rPr>
      </w:pPr>
      <w:r w:rsidRPr="00051E6D">
        <w:rPr>
          <w:rFonts w:cstheme="minorHAnsi"/>
          <w:szCs w:val="22"/>
        </w:rPr>
        <w:t xml:space="preserve">Fijalkowski, Agata. 2017. Truth and Reconciliation Commissions. In O. Simić (ed.), </w:t>
      </w:r>
      <w:r w:rsidRPr="00051E6D">
        <w:rPr>
          <w:rFonts w:cstheme="minorHAnsi"/>
          <w:i/>
          <w:iCs/>
          <w:szCs w:val="22"/>
        </w:rPr>
        <w:t>An Introduction to Transitional Justice</w:t>
      </w:r>
      <w:r w:rsidRPr="00051E6D">
        <w:rPr>
          <w:rFonts w:cstheme="minorHAnsi"/>
          <w:szCs w:val="22"/>
        </w:rPr>
        <w:t>, 91–112. Abingdon: Routledge. (in-text reference: Fijalkowski 2017)</w:t>
      </w:r>
    </w:p>
    <w:p w14:paraId="78C05C6C" w14:textId="77777777" w:rsidR="005D7E53" w:rsidRPr="005D7E53" w:rsidRDefault="005D7E53" w:rsidP="00C9569B">
      <w:pPr>
        <w:pStyle w:val="NormalIndent"/>
        <w:spacing w:line="480" w:lineRule="auto"/>
      </w:pPr>
    </w:p>
    <w:p w14:paraId="19F7FFB3" w14:textId="645E5A3C" w:rsidR="00895908" w:rsidRDefault="00895908">
      <w:pPr>
        <w:spacing w:line="480" w:lineRule="auto"/>
        <w:jc w:val="both"/>
        <w:rPr>
          <w:rFonts w:cstheme="minorHAnsi"/>
          <w:color w:val="000000" w:themeColor="text1"/>
          <w:szCs w:val="22"/>
        </w:rPr>
      </w:pPr>
      <w:r w:rsidRPr="00051E6D">
        <w:rPr>
          <w:rFonts w:cstheme="minorHAnsi"/>
          <w:color w:val="000000" w:themeColor="text1"/>
          <w:szCs w:val="22"/>
        </w:rPr>
        <w:lastRenderedPageBreak/>
        <w:t>Goldstraw, K. Silver, D. Wilson, M. 2019.Poverty Truth Commissions Learning Project, Learning Report. Joseph Rowntree Foundation</w:t>
      </w:r>
      <w:r w:rsidRPr="00051E6D">
        <w:rPr>
          <w:rFonts w:cstheme="minorHAnsi"/>
          <w:color w:val="4472C4" w:themeColor="accent1"/>
          <w:szCs w:val="22"/>
        </w:rPr>
        <w:t xml:space="preserve"> </w:t>
      </w:r>
      <w:hyperlink r:id="rId11" w:history="1">
        <w:r w:rsidRPr="00995760">
          <w:rPr>
            <w:rStyle w:val="Hyperlink"/>
            <w:rFonts w:eastAsia="TimesNewRomanPSMT" w:cstheme="minorHAnsi"/>
            <w:color w:val="4472C4" w:themeColor="accent1"/>
            <w:szCs w:val="22"/>
            <w:u w:val="single"/>
          </w:rPr>
          <w:t>https://www.jrf.org.uk/reports</w:t>
        </w:r>
      </w:hyperlink>
      <w:r w:rsidRPr="00051E6D">
        <w:rPr>
          <w:rFonts w:cstheme="minorHAnsi"/>
          <w:color w:val="000000" w:themeColor="text1"/>
          <w:szCs w:val="22"/>
        </w:rPr>
        <w:t>. (referenced 10 September 2020) (in-text reference: Goldstraw et al 2019)</w:t>
      </w:r>
    </w:p>
    <w:p w14:paraId="12B89D58" w14:textId="77777777" w:rsidR="00D73DBC" w:rsidRPr="00051E6D" w:rsidRDefault="00D73DBC">
      <w:pPr>
        <w:spacing w:line="480" w:lineRule="auto"/>
        <w:jc w:val="both"/>
        <w:rPr>
          <w:rFonts w:cstheme="minorHAnsi"/>
          <w:color w:val="000000" w:themeColor="text1"/>
          <w:szCs w:val="22"/>
        </w:rPr>
      </w:pPr>
    </w:p>
    <w:p w14:paraId="20B8B059" w14:textId="29C44357" w:rsidR="00895908" w:rsidRDefault="00895908">
      <w:pPr>
        <w:spacing w:line="480" w:lineRule="auto"/>
        <w:jc w:val="both"/>
        <w:rPr>
          <w:rFonts w:cstheme="minorHAnsi"/>
          <w:szCs w:val="22"/>
        </w:rPr>
      </w:pPr>
      <w:r w:rsidRPr="00051E6D">
        <w:rPr>
          <w:rFonts w:cstheme="minorHAnsi"/>
          <w:szCs w:val="22"/>
        </w:rPr>
        <w:t>Gready, P. 2019. Introduction</w:t>
      </w:r>
      <w:r w:rsidR="007D3DE8">
        <w:rPr>
          <w:rFonts w:cstheme="minorHAnsi"/>
          <w:szCs w:val="22"/>
        </w:rPr>
        <w:t>,</w:t>
      </w:r>
      <w:r w:rsidRPr="00051E6D">
        <w:rPr>
          <w:rFonts w:cstheme="minorHAnsi"/>
          <w:szCs w:val="22"/>
        </w:rPr>
        <w:t xml:space="preserve"> </w:t>
      </w:r>
      <w:r w:rsidR="007D3DE8">
        <w:rPr>
          <w:rFonts w:cstheme="minorHAnsi"/>
          <w:szCs w:val="22"/>
        </w:rPr>
        <w:t>i</w:t>
      </w:r>
      <w:r w:rsidRPr="00051E6D">
        <w:rPr>
          <w:rFonts w:cstheme="minorHAnsi"/>
          <w:szCs w:val="22"/>
        </w:rPr>
        <w:t xml:space="preserve">n P. Gready and S. Robins (eds) </w:t>
      </w:r>
      <w:r w:rsidRPr="00051E6D">
        <w:rPr>
          <w:rFonts w:cstheme="minorHAnsi"/>
          <w:i/>
          <w:iCs/>
          <w:szCs w:val="22"/>
        </w:rPr>
        <w:t>From Transitional to Transformative Justice</w:t>
      </w:r>
      <w:r w:rsidRPr="00051E6D">
        <w:rPr>
          <w:rFonts w:cstheme="minorHAnsi"/>
          <w:szCs w:val="22"/>
        </w:rPr>
        <w:t>, pp. 1–28. Cambridge: Cambridge University Press. (in-text reference: Gready 2019)</w:t>
      </w:r>
    </w:p>
    <w:p w14:paraId="69582C81" w14:textId="77777777" w:rsidR="005D7E53" w:rsidRPr="005D7E53" w:rsidRDefault="005D7E53" w:rsidP="00C9569B">
      <w:pPr>
        <w:pStyle w:val="NormalIndent"/>
        <w:spacing w:line="480" w:lineRule="auto"/>
      </w:pPr>
    </w:p>
    <w:p w14:paraId="307297A0" w14:textId="0CF6C823" w:rsidR="00895908" w:rsidRPr="00051E6D" w:rsidRDefault="00895908">
      <w:pPr>
        <w:spacing w:line="480" w:lineRule="auto"/>
        <w:jc w:val="both"/>
        <w:rPr>
          <w:rFonts w:cstheme="minorHAnsi"/>
          <w:szCs w:val="22"/>
        </w:rPr>
      </w:pPr>
      <w:r w:rsidRPr="00051E6D">
        <w:rPr>
          <w:rFonts w:cstheme="minorHAnsi"/>
          <w:szCs w:val="22"/>
        </w:rPr>
        <w:t xml:space="preserve">Greensboro Truth and Reconciliation Commission. 2006a. Executive Summary in ‘The Greensboro Truth and Reconciliation Commission Final Report’. 25 May 2006. </w:t>
      </w:r>
      <w:hyperlink r:id="rId12" w:history="1">
        <w:r w:rsidRPr="00995760">
          <w:rPr>
            <w:rStyle w:val="Hyperlink"/>
            <w:rFonts w:eastAsia="TimesNewRomanPSMT" w:cstheme="minorHAnsi"/>
            <w:color w:val="4472C4" w:themeColor="accent1"/>
            <w:szCs w:val="22"/>
            <w:u w:val="single"/>
          </w:rPr>
          <w:t>http://www.greensborotrc.org/exec_summary.pdf</w:t>
        </w:r>
      </w:hyperlink>
      <w:r w:rsidRPr="00051E6D">
        <w:rPr>
          <w:rFonts w:cstheme="minorHAnsi"/>
          <w:szCs w:val="22"/>
        </w:rPr>
        <w:t>. (referenced 9 April 2020). (in-text reference: Greensboro Truth and Reconciliation Commission 2006a)</w:t>
      </w:r>
    </w:p>
    <w:p w14:paraId="38FC6690" w14:textId="0822B12D" w:rsidR="00895908" w:rsidRPr="00051E6D" w:rsidRDefault="00895908">
      <w:pPr>
        <w:spacing w:line="480" w:lineRule="auto"/>
        <w:ind w:left="720"/>
        <w:jc w:val="both"/>
        <w:rPr>
          <w:rFonts w:cstheme="minorHAnsi"/>
          <w:szCs w:val="22"/>
        </w:rPr>
      </w:pPr>
      <w:r w:rsidRPr="00051E6D">
        <w:rPr>
          <w:rFonts w:cstheme="minorHAnsi"/>
          <w:szCs w:val="22"/>
        </w:rPr>
        <w:t xml:space="preserve">———. 2006b. Introduction. in ‘The Greensboro Truth and Reconciliation Commission Final Report’. 25 May 2006. </w:t>
      </w:r>
      <w:hyperlink r:id="rId13" w:history="1">
        <w:r w:rsidRPr="00995760">
          <w:rPr>
            <w:rStyle w:val="Hyperlink"/>
            <w:rFonts w:eastAsia="TimesNewRomanPSMT" w:cstheme="minorHAnsi"/>
            <w:color w:val="4472C4" w:themeColor="accent1"/>
            <w:szCs w:val="22"/>
            <w:u w:val="single"/>
          </w:rPr>
          <w:t>http://www.greensborotrc.org/introduction.pdf</w:t>
        </w:r>
      </w:hyperlink>
      <w:r w:rsidRPr="00051E6D">
        <w:rPr>
          <w:rFonts w:cstheme="minorHAnsi"/>
          <w:szCs w:val="22"/>
        </w:rPr>
        <w:t>. (referenced 9 April 2020). (in-text reference: Greensboro Truth and Reconciliation Commission 2006b)</w:t>
      </w:r>
    </w:p>
    <w:p w14:paraId="37FD7152" w14:textId="4C13E215" w:rsidR="00895908" w:rsidRDefault="00895908">
      <w:pPr>
        <w:spacing w:line="480" w:lineRule="auto"/>
        <w:ind w:left="720"/>
        <w:jc w:val="both"/>
        <w:rPr>
          <w:rFonts w:cstheme="minorHAnsi"/>
          <w:szCs w:val="22"/>
        </w:rPr>
      </w:pPr>
    </w:p>
    <w:p w14:paraId="3A371BD0" w14:textId="7610523D" w:rsidR="00E937D9" w:rsidRDefault="003F721D">
      <w:pPr>
        <w:pStyle w:val="NormalIndent"/>
        <w:spacing w:line="480" w:lineRule="auto"/>
        <w:ind w:left="0"/>
        <w:jc w:val="both"/>
      </w:pPr>
      <w:r w:rsidRPr="003F721D">
        <w:t xml:space="preserve">Gordon, D. 2020. ‘Covid-19 and Poverty in the UK’ Bristol Poverty Institute </w:t>
      </w:r>
      <w:hyperlink r:id="rId14" w:history="1">
        <w:r w:rsidR="00995760" w:rsidRPr="00995760">
          <w:rPr>
            <w:rStyle w:val="Hyperlink"/>
            <w:color w:val="4472C4" w:themeColor="accent1"/>
            <w:u w:val="single"/>
          </w:rPr>
          <w:t>http://www.bristol.ac.uk/media-library/sites/poverty-institute/documents/David%20Gordon%20presentation.pdf</w:t>
        </w:r>
      </w:hyperlink>
      <w:r w:rsidR="00995760">
        <w:t xml:space="preserve"> </w:t>
      </w:r>
      <w:r w:rsidRPr="003F721D">
        <w:t>(referenced 5 January 2021) (in-text reference: Gordon 2020).</w:t>
      </w:r>
    </w:p>
    <w:p w14:paraId="6B2FF388" w14:textId="77777777" w:rsidR="00995760" w:rsidRDefault="00995760" w:rsidP="00995760">
      <w:pPr>
        <w:pStyle w:val="NormalIndent"/>
        <w:spacing w:line="480" w:lineRule="auto"/>
        <w:ind w:left="0"/>
        <w:jc w:val="both"/>
      </w:pPr>
    </w:p>
    <w:p w14:paraId="74CB5410" w14:textId="55E93E69" w:rsidR="00895908" w:rsidRDefault="00895908">
      <w:pPr>
        <w:spacing w:line="480" w:lineRule="auto"/>
        <w:jc w:val="both"/>
        <w:rPr>
          <w:rFonts w:cstheme="minorHAnsi"/>
          <w:szCs w:val="22"/>
        </w:rPr>
      </w:pPr>
      <w:r w:rsidRPr="00051E6D">
        <w:rPr>
          <w:rFonts w:cstheme="minorHAnsi"/>
          <w:szCs w:val="22"/>
        </w:rPr>
        <w:lastRenderedPageBreak/>
        <w:t xml:space="preserve">Hayner, P. B. 2010. </w:t>
      </w:r>
      <w:r w:rsidRPr="00051E6D">
        <w:rPr>
          <w:rFonts w:cstheme="minorHAnsi"/>
          <w:i/>
          <w:iCs/>
          <w:szCs w:val="22"/>
        </w:rPr>
        <w:t>Unspeakable Truths: Transitional Justice and the Challenge of Truth Commissions</w:t>
      </w:r>
      <w:r w:rsidRPr="00051E6D">
        <w:rPr>
          <w:rFonts w:cstheme="minorHAnsi"/>
          <w:szCs w:val="22"/>
        </w:rPr>
        <w:t>. Routledge. (in-text reference: Hayner 2010)</w:t>
      </w:r>
    </w:p>
    <w:p w14:paraId="700C2173" w14:textId="77777777" w:rsidR="005D7E53" w:rsidRPr="005D7E53" w:rsidRDefault="005D7E53" w:rsidP="00C9569B">
      <w:pPr>
        <w:pStyle w:val="NormalIndent"/>
        <w:spacing w:line="480" w:lineRule="auto"/>
      </w:pPr>
    </w:p>
    <w:p w14:paraId="3052151B" w14:textId="691D5F68" w:rsidR="00D73DBC" w:rsidRDefault="00895908">
      <w:pPr>
        <w:spacing w:line="480" w:lineRule="auto"/>
        <w:jc w:val="both"/>
        <w:rPr>
          <w:rFonts w:cstheme="minorHAnsi"/>
          <w:szCs w:val="22"/>
        </w:rPr>
      </w:pPr>
      <w:r w:rsidRPr="00051E6D">
        <w:rPr>
          <w:rFonts w:cstheme="minorHAnsi"/>
          <w:szCs w:val="22"/>
        </w:rPr>
        <w:t xml:space="preserve">Ho, K. 2007. Structural Violence as a Human Rights Violation. </w:t>
      </w:r>
      <w:r w:rsidRPr="00051E6D">
        <w:rPr>
          <w:rFonts w:cstheme="minorHAnsi"/>
          <w:i/>
          <w:iCs/>
          <w:szCs w:val="22"/>
        </w:rPr>
        <w:t>Essex Human Rights Review</w:t>
      </w:r>
      <w:r w:rsidRPr="00051E6D">
        <w:rPr>
          <w:rFonts w:cstheme="minorHAnsi"/>
          <w:szCs w:val="22"/>
        </w:rPr>
        <w:t xml:space="preserve"> 4 (2): 1-17. (in-text reference: Ho 2007)</w:t>
      </w:r>
    </w:p>
    <w:p w14:paraId="26E2116B" w14:textId="77777777" w:rsidR="005D7E53" w:rsidRPr="005D7E53" w:rsidRDefault="005D7E53" w:rsidP="00C9569B">
      <w:pPr>
        <w:pStyle w:val="NormalIndent"/>
        <w:spacing w:line="480" w:lineRule="auto"/>
      </w:pPr>
    </w:p>
    <w:p w14:paraId="6E1DD420" w14:textId="77032029" w:rsidR="00895908" w:rsidRDefault="00895908">
      <w:pPr>
        <w:spacing w:line="480" w:lineRule="auto"/>
        <w:jc w:val="both"/>
        <w:rPr>
          <w:rFonts w:cstheme="minorHAnsi"/>
          <w:szCs w:val="22"/>
        </w:rPr>
      </w:pPr>
      <w:r w:rsidRPr="00051E6D">
        <w:rPr>
          <w:rFonts w:cstheme="minorHAnsi"/>
          <w:szCs w:val="22"/>
        </w:rPr>
        <w:t xml:space="preserve">Hohmann, J. 2015. ‘Protecting the Right to Housing in England: A Context of Crisis’. Just Fair. </w:t>
      </w:r>
      <w:hyperlink r:id="rId15" w:history="1">
        <w:r w:rsidRPr="00995760">
          <w:rPr>
            <w:rStyle w:val="Hyperlink"/>
            <w:rFonts w:eastAsia="TimesNewRomanPSMT" w:cstheme="minorHAnsi"/>
            <w:color w:val="4472C4" w:themeColor="accent1"/>
            <w:szCs w:val="22"/>
            <w:u w:val="single"/>
          </w:rPr>
          <w:t>https://www.qmul.ac.uk/law/media/law/docs/news/154442.pdf</w:t>
        </w:r>
      </w:hyperlink>
      <w:r w:rsidRPr="00051E6D">
        <w:rPr>
          <w:rFonts w:cstheme="minorHAnsi"/>
          <w:szCs w:val="22"/>
        </w:rPr>
        <w:t>. (referenced 9 April 2020). (in-text reference: Hohmann 2015)</w:t>
      </w:r>
    </w:p>
    <w:p w14:paraId="4DF5C0C0" w14:textId="77777777" w:rsidR="005D7E53" w:rsidRPr="005D7E53" w:rsidRDefault="005D7E53" w:rsidP="00C9569B">
      <w:pPr>
        <w:pStyle w:val="NormalIndent"/>
        <w:spacing w:line="480" w:lineRule="auto"/>
      </w:pPr>
    </w:p>
    <w:p w14:paraId="65B587E7" w14:textId="32C2CBE9" w:rsidR="00073657" w:rsidRDefault="00895908">
      <w:pPr>
        <w:spacing w:line="480" w:lineRule="auto"/>
        <w:jc w:val="both"/>
        <w:rPr>
          <w:rFonts w:cstheme="minorHAnsi"/>
          <w:color w:val="000000" w:themeColor="text1"/>
          <w:szCs w:val="22"/>
        </w:rPr>
      </w:pPr>
      <w:r w:rsidRPr="00051E6D">
        <w:rPr>
          <w:rFonts w:cstheme="minorHAnsi"/>
          <w:color w:val="000000" w:themeColor="text1"/>
          <w:szCs w:val="22"/>
        </w:rPr>
        <w:t xml:space="preserve">Inwood. J. 2016. How Grassroots Truth and Reconciliation Movements can Further the Fight for Social Justice in U.S. Communities. </w:t>
      </w:r>
      <w:r w:rsidRPr="00051E6D">
        <w:rPr>
          <w:rFonts w:cstheme="minorHAnsi"/>
          <w:i/>
          <w:iCs/>
          <w:color w:val="000000" w:themeColor="text1"/>
          <w:szCs w:val="22"/>
        </w:rPr>
        <w:t>National Civic Review</w:t>
      </w:r>
      <w:r w:rsidRPr="00051E6D">
        <w:rPr>
          <w:rFonts w:cstheme="minorHAnsi"/>
          <w:color w:val="000000" w:themeColor="text1"/>
          <w:szCs w:val="22"/>
        </w:rPr>
        <w:t xml:space="preserve"> </w:t>
      </w:r>
      <w:hyperlink r:id="rId16" w:history="1">
        <w:r w:rsidRPr="00995760">
          <w:rPr>
            <w:rStyle w:val="Hyperlink"/>
            <w:rFonts w:eastAsia="TimesNewRomanPSMT" w:cstheme="minorHAnsi"/>
            <w:color w:val="4472C4" w:themeColor="accent1"/>
            <w:szCs w:val="22"/>
            <w:u w:val="single"/>
          </w:rPr>
          <w:t>http://www.nationalcivicleague.org/wp-content/uploads/2017/05/Truth.Recon_.Inwood.pdf</w:t>
        </w:r>
      </w:hyperlink>
      <w:r w:rsidRPr="00051E6D">
        <w:rPr>
          <w:rFonts w:cstheme="minorHAnsi"/>
          <w:color w:val="000000" w:themeColor="text1"/>
          <w:szCs w:val="22"/>
        </w:rPr>
        <w:t xml:space="preserve"> (referenced 10 September 2020). (in-text reference: Inwood 2016)</w:t>
      </w:r>
    </w:p>
    <w:p w14:paraId="761577F1" w14:textId="77777777" w:rsidR="005D7E53" w:rsidRPr="005D7E53" w:rsidRDefault="005D7E53" w:rsidP="00C9569B">
      <w:pPr>
        <w:pStyle w:val="NormalIndent"/>
        <w:spacing w:line="480" w:lineRule="auto"/>
      </w:pPr>
    </w:p>
    <w:p w14:paraId="3DE356E0" w14:textId="38D9B84A" w:rsidR="00073657" w:rsidRDefault="00073657" w:rsidP="00C9569B">
      <w:pPr>
        <w:pStyle w:val="NormalIndent"/>
        <w:spacing w:line="480" w:lineRule="auto"/>
        <w:ind w:left="0"/>
        <w:jc w:val="both"/>
      </w:pPr>
      <w:r w:rsidRPr="00073657">
        <w:t xml:space="preserve">Joseph Rowntree Foundation. 2020. ‘Destitution in the UK’. Joseph Rowntree Foundation. </w:t>
      </w:r>
      <w:hyperlink r:id="rId17" w:history="1">
        <w:r w:rsidR="00995760" w:rsidRPr="00995760">
          <w:rPr>
            <w:rStyle w:val="Hyperlink"/>
            <w:color w:val="4472C4" w:themeColor="accent1"/>
            <w:u w:val="single"/>
          </w:rPr>
          <w:t>https://www.jrf.org.uk/file/57091/download?token=RUTqeIbh&amp;filetype=full-report</w:t>
        </w:r>
      </w:hyperlink>
      <w:r w:rsidR="00995760" w:rsidRPr="00995760">
        <w:rPr>
          <w:color w:val="4472C4" w:themeColor="accent1"/>
          <w:u w:val="single"/>
        </w:rPr>
        <w:t xml:space="preserve"> </w:t>
      </w:r>
      <w:r w:rsidRPr="00995760">
        <w:rPr>
          <w:color w:val="4472C4" w:themeColor="accent1"/>
        </w:rPr>
        <w:t xml:space="preserve"> </w:t>
      </w:r>
      <w:r w:rsidRPr="00073657">
        <w:t>(referenced 5 January 2021) (in-text reference: JRF 2020).</w:t>
      </w:r>
    </w:p>
    <w:p w14:paraId="24614634" w14:textId="47E6E854" w:rsidR="009836F8" w:rsidRDefault="009836F8" w:rsidP="00C9569B">
      <w:pPr>
        <w:pStyle w:val="NormalIndent"/>
        <w:spacing w:line="480" w:lineRule="auto"/>
        <w:ind w:left="0"/>
        <w:jc w:val="both"/>
      </w:pPr>
    </w:p>
    <w:p w14:paraId="19A611CA" w14:textId="24FCD8A5" w:rsidR="0092228A" w:rsidRDefault="0092228A" w:rsidP="00C9569B">
      <w:pPr>
        <w:spacing w:line="480" w:lineRule="auto"/>
        <w:jc w:val="both"/>
      </w:pPr>
      <w:r>
        <w:t xml:space="preserve">Kennedy, S. Murphy, C. and Wilson, W. 2016. ‘Welfare Reform and Disabled People’. House of Commons Briefing Paper. </w:t>
      </w:r>
      <w:hyperlink r:id="rId18" w:history="1">
        <w:r w:rsidRPr="00995760">
          <w:rPr>
            <w:rStyle w:val="Hyperlink"/>
            <w:rFonts w:eastAsia="TimesNewRomanPSMT"/>
            <w:color w:val="4472C4" w:themeColor="accent1"/>
            <w:u w:val="single"/>
          </w:rPr>
          <w:t>https://commonslibrary.parliament.uk/research-</w:t>
        </w:r>
        <w:r w:rsidRPr="00995760">
          <w:rPr>
            <w:rStyle w:val="Hyperlink"/>
            <w:rFonts w:eastAsia="TimesNewRomanPSMT"/>
            <w:color w:val="4472C4" w:themeColor="accent1"/>
            <w:u w:val="single"/>
          </w:rPr>
          <w:lastRenderedPageBreak/>
          <w:t>briefings/cbp-7571/</w:t>
        </w:r>
      </w:hyperlink>
      <w:r w:rsidR="00995760">
        <w:t xml:space="preserve"> </w:t>
      </w:r>
      <w:r>
        <w:t xml:space="preserve"> (referenced 5 January 2021) (in-text reference: Kennedy et al 2016).</w:t>
      </w:r>
    </w:p>
    <w:p w14:paraId="13052B68" w14:textId="77777777" w:rsidR="0092228A" w:rsidRDefault="0092228A" w:rsidP="00C9569B">
      <w:pPr>
        <w:spacing w:line="480" w:lineRule="auto"/>
        <w:jc w:val="both"/>
      </w:pPr>
    </w:p>
    <w:p w14:paraId="3B0571BA" w14:textId="43B20792" w:rsidR="00895908" w:rsidRDefault="0092228A" w:rsidP="00C9569B">
      <w:pPr>
        <w:spacing w:line="480" w:lineRule="auto"/>
        <w:jc w:val="both"/>
      </w:pPr>
      <w:r>
        <w:t>King, B. 2020. ‘</w:t>
      </w:r>
      <w:r w:rsidRPr="00044558">
        <w:t>Coronavirus: How much will it cost the UK and how will we pay?</w:t>
      </w:r>
      <w:r>
        <w:t xml:space="preserve">’ </w:t>
      </w:r>
      <w:r w:rsidRPr="007707E5">
        <w:t>BBC News</w:t>
      </w:r>
      <w:r>
        <w:t>.</w:t>
      </w:r>
      <w:r w:rsidRPr="007707E5">
        <w:t xml:space="preserve"> </w:t>
      </w:r>
      <w:hyperlink r:id="rId19" w:history="1">
        <w:r w:rsidRPr="00995760">
          <w:rPr>
            <w:rStyle w:val="Hyperlink"/>
            <w:rFonts w:eastAsia="TimesNewRomanPSMT"/>
            <w:color w:val="4472C4" w:themeColor="accent1"/>
            <w:u w:val="single"/>
          </w:rPr>
          <w:t>https://www.bbc.co.uk/news/business-52663523</w:t>
        </w:r>
      </w:hyperlink>
      <w:r>
        <w:t xml:space="preserve"> (referenced 5 January 2021) (in-text reference: King 2020).</w:t>
      </w:r>
    </w:p>
    <w:p w14:paraId="1FD93FE3" w14:textId="77777777" w:rsidR="005D7E53" w:rsidRPr="005D7E53" w:rsidRDefault="005D7E53" w:rsidP="00C9569B">
      <w:pPr>
        <w:pStyle w:val="NormalIndent"/>
        <w:spacing w:line="480" w:lineRule="auto"/>
      </w:pPr>
    </w:p>
    <w:p w14:paraId="4EC567CC" w14:textId="3E3374BE" w:rsidR="007E7AF9" w:rsidRDefault="00895908">
      <w:pPr>
        <w:spacing w:line="480" w:lineRule="auto"/>
        <w:jc w:val="both"/>
        <w:rPr>
          <w:rFonts w:cstheme="minorHAnsi"/>
          <w:szCs w:val="22"/>
        </w:rPr>
      </w:pPr>
      <w:r w:rsidRPr="00051E6D">
        <w:rPr>
          <w:rFonts w:cstheme="minorHAnsi"/>
          <w:szCs w:val="22"/>
        </w:rPr>
        <w:t xml:space="preserve">Knox, A. 2018. Examining Self-Love, Love of the “Other” and Love of the “Enemy”: A Reply to Mitchell. </w:t>
      </w:r>
      <w:r w:rsidRPr="00051E6D">
        <w:rPr>
          <w:rFonts w:cstheme="minorHAnsi"/>
          <w:i/>
          <w:iCs/>
          <w:szCs w:val="22"/>
        </w:rPr>
        <w:t>Global Discourse</w:t>
      </w:r>
      <w:r w:rsidRPr="00051E6D">
        <w:rPr>
          <w:rFonts w:cstheme="minorHAnsi"/>
          <w:szCs w:val="22"/>
        </w:rPr>
        <w:t xml:space="preserve"> 8 (4): 610–614. (in-text reference: Knox 2018)</w:t>
      </w:r>
    </w:p>
    <w:p w14:paraId="571263AE" w14:textId="77777777" w:rsidR="005D7E53" w:rsidRPr="005D7E53" w:rsidRDefault="005D7E53" w:rsidP="00C9569B">
      <w:pPr>
        <w:pStyle w:val="NormalIndent"/>
        <w:spacing w:line="480" w:lineRule="auto"/>
      </w:pPr>
    </w:p>
    <w:p w14:paraId="2665A98C" w14:textId="0EC7EA7E" w:rsidR="00D73DBC" w:rsidRDefault="002E6EBB">
      <w:pPr>
        <w:tabs>
          <w:tab w:val="left" w:pos="360"/>
          <w:tab w:val="left" w:pos="720"/>
          <w:tab w:val="left" w:pos="1080"/>
          <w:tab w:val="left" w:pos="1440"/>
          <w:tab w:val="left" w:pos="1800"/>
          <w:tab w:val="left" w:pos="2160"/>
          <w:tab w:val="left" w:pos="2880"/>
          <w:tab w:val="left" w:pos="3600"/>
          <w:tab w:val="left" w:pos="4320"/>
        </w:tabs>
        <w:spacing w:line="480" w:lineRule="auto"/>
        <w:jc w:val="both"/>
        <w:rPr>
          <w:rFonts w:cstheme="minorHAnsi"/>
          <w:color w:val="000000" w:themeColor="text1"/>
          <w:szCs w:val="22"/>
        </w:rPr>
      </w:pPr>
      <w:r w:rsidRPr="00051E6D">
        <w:rPr>
          <w:rFonts w:cstheme="minorHAnsi"/>
          <w:color w:val="000000" w:themeColor="text1"/>
          <w:szCs w:val="22"/>
        </w:rPr>
        <w:t xml:space="preserve">Ladd. D, ‘Mississippi Truth Project to Probe State's Race History’ Jackson Free </w:t>
      </w:r>
      <w:r w:rsidR="00716D6B" w:rsidRPr="00051E6D">
        <w:rPr>
          <w:rFonts w:cstheme="minorHAnsi"/>
          <w:color w:val="000000" w:themeColor="text1"/>
          <w:szCs w:val="22"/>
        </w:rPr>
        <w:t>Press, Friday</w:t>
      </w:r>
      <w:r w:rsidRPr="00051E6D">
        <w:rPr>
          <w:rFonts w:cstheme="minorHAnsi"/>
          <w:color w:val="000000" w:themeColor="text1"/>
          <w:szCs w:val="22"/>
        </w:rPr>
        <w:t xml:space="preserve"> January 30, 2009 at </w:t>
      </w:r>
      <w:hyperlink r:id="rId20" w:history="1">
        <w:r w:rsidRPr="00995760">
          <w:rPr>
            <w:rStyle w:val="Hyperlink"/>
            <w:rFonts w:cstheme="minorHAnsi"/>
            <w:color w:val="4472C4" w:themeColor="accent1"/>
            <w:szCs w:val="22"/>
            <w:u w:val="single"/>
          </w:rPr>
          <w:t>https://www.jacksonfreepress.com/news/2009/jan/30/mississippi-truth-project-to-probe-states-race/</w:t>
        </w:r>
      </w:hyperlink>
      <w:r w:rsidRPr="00051E6D">
        <w:rPr>
          <w:rFonts w:cstheme="minorHAnsi"/>
          <w:color w:val="000000" w:themeColor="text1"/>
          <w:szCs w:val="22"/>
        </w:rPr>
        <w:t xml:space="preserve"> (</w:t>
      </w:r>
      <w:r w:rsidR="00D73DBC">
        <w:rPr>
          <w:rFonts w:cstheme="minorHAnsi"/>
          <w:color w:val="000000" w:themeColor="text1"/>
          <w:szCs w:val="22"/>
        </w:rPr>
        <w:t>referenced 25 September 2020). (in-text reference: Ladd 2020)</w:t>
      </w:r>
    </w:p>
    <w:p w14:paraId="77F7CD71" w14:textId="77777777" w:rsidR="005D7E53" w:rsidRPr="005D7E53" w:rsidRDefault="005D7E53" w:rsidP="00C9569B">
      <w:pPr>
        <w:pStyle w:val="NormalIndent"/>
        <w:spacing w:line="480" w:lineRule="auto"/>
      </w:pPr>
    </w:p>
    <w:p w14:paraId="178971CB" w14:textId="1ACC90C4" w:rsidR="007D3DE8" w:rsidRDefault="00895908">
      <w:pPr>
        <w:tabs>
          <w:tab w:val="left" w:pos="360"/>
          <w:tab w:val="left" w:pos="720"/>
          <w:tab w:val="left" w:pos="1080"/>
          <w:tab w:val="left" w:pos="1440"/>
          <w:tab w:val="left" w:pos="1800"/>
          <w:tab w:val="left" w:pos="2160"/>
          <w:tab w:val="left" w:pos="2880"/>
          <w:tab w:val="left" w:pos="3600"/>
          <w:tab w:val="left" w:pos="4320"/>
        </w:tabs>
        <w:spacing w:line="480" w:lineRule="auto"/>
        <w:jc w:val="both"/>
        <w:rPr>
          <w:rFonts w:cstheme="minorHAnsi"/>
          <w:szCs w:val="22"/>
        </w:rPr>
      </w:pPr>
      <w:r w:rsidRPr="00051E6D">
        <w:rPr>
          <w:rFonts w:cstheme="minorHAnsi"/>
          <w:szCs w:val="22"/>
        </w:rPr>
        <w:t xml:space="preserve">Lambie-Mumford, H. 2017. </w:t>
      </w:r>
      <w:r w:rsidRPr="00051E6D">
        <w:rPr>
          <w:rFonts w:cstheme="minorHAnsi"/>
          <w:i/>
          <w:iCs/>
          <w:szCs w:val="22"/>
        </w:rPr>
        <w:t>Hungry Britain: The Rise of Food Charity</w:t>
      </w:r>
      <w:r w:rsidRPr="00051E6D">
        <w:rPr>
          <w:rFonts w:cstheme="minorHAnsi"/>
          <w:szCs w:val="22"/>
        </w:rPr>
        <w:t>. Bristol: Policy Press. (in-text reference: Lambie-Mumford 2017)</w:t>
      </w:r>
    </w:p>
    <w:p w14:paraId="34DA6800" w14:textId="77777777" w:rsidR="005D7E53" w:rsidRPr="005D7E53" w:rsidRDefault="005D7E53" w:rsidP="00C9569B">
      <w:pPr>
        <w:pStyle w:val="NormalIndent"/>
        <w:spacing w:line="480" w:lineRule="auto"/>
      </w:pPr>
    </w:p>
    <w:p w14:paraId="215BF1CC" w14:textId="77AE9BF3" w:rsidR="00895908" w:rsidRDefault="00895908">
      <w:pPr>
        <w:spacing w:line="480" w:lineRule="auto"/>
        <w:jc w:val="both"/>
        <w:rPr>
          <w:rFonts w:cstheme="minorHAnsi"/>
          <w:color w:val="000000" w:themeColor="text1"/>
          <w:szCs w:val="22"/>
        </w:rPr>
      </w:pPr>
      <w:r w:rsidRPr="00051E6D">
        <w:rPr>
          <w:rFonts w:cstheme="minorHAnsi"/>
          <w:color w:val="000000" w:themeColor="text1"/>
          <w:szCs w:val="22"/>
        </w:rPr>
        <w:t xml:space="preserve">Lamont, C. 2010. Justice and Transition in Mississippi: Opening the Books on the American South. </w:t>
      </w:r>
      <w:r w:rsidRPr="00051E6D">
        <w:rPr>
          <w:rFonts w:cstheme="minorHAnsi"/>
          <w:i/>
          <w:iCs/>
          <w:color w:val="000000" w:themeColor="text1"/>
          <w:szCs w:val="22"/>
        </w:rPr>
        <w:t>Politics</w:t>
      </w:r>
      <w:r w:rsidRPr="00051E6D">
        <w:rPr>
          <w:rFonts w:cstheme="minorHAnsi"/>
          <w:color w:val="000000" w:themeColor="text1"/>
          <w:szCs w:val="22"/>
        </w:rPr>
        <w:t xml:space="preserve"> 30 (3): 183–190. (in-text reference: Lamont 2010)</w:t>
      </w:r>
    </w:p>
    <w:p w14:paraId="00A1A674" w14:textId="77777777" w:rsidR="005D7E53" w:rsidRPr="005D7E53" w:rsidRDefault="005D7E53" w:rsidP="00C9569B">
      <w:pPr>
        <w:pStyle w:val="NormalIndent"/>
        <w:spacing w:line="480" w:lineRule="auto"/>
      </w:pPr>
    </w:p>
    <w:p w14:paraId="06B4EA61" w14:textId="56179FEA" w:rsidR="005D7E53" w:rsidRDefault="00895908">
      <w:pPr>
        <w:spacing w:line="480" w:lineRule="auto"/>
        <w:jc w:val="both"/>
        <w:rPr>
          <w:rFonts w:cstheme="minorHAnsi"/>
          <w:color w:val="000000" w:themeColor="text1"/>
          <w:szCs w:val="22"/>
        </w:rPr>
      </w:pPr>
      <w:r w:rsidRPr="00051E6D">
        <w:rPr>
          <w:rFonts w:cstheme="minorHAnsi"/>
          <w:color w:val="000000" w:themeColor="text1"/>
          <w:szCs w:val="22"/>
        </w:rPr>
        <w:t xml:space="preserve">Lederach, J. P. (2001) ‘Civil Society and Reconciliation’ In C. A. Crocker, F. O. Hampson, and P. Aall (eds), </w:t>
      </w:r>
      <w:r w:rsidRPr="00051E6D">
        <w:rPr>
          <w:rFonts w:cstheme="minorHAnsi"/>
          <w:i/>
          <w:iCs/>
          <w:color w:val="000000" w:themeColor="text1"/>
          <w:szCs w:val="22"/>
        </w:rPr>
        <w:t>Turbulent Peace: The Challenges of Managing International Conflict</w:t>
      </w:r>
      <w:r w:rsidRPr="00051E6D">
        <w:rPr>
          <w:rFonts w:cstheme="minorHAnsi"/>
          <w:color w:val="000000" w:themeColor="text1"/>
          <w:szCs w:val="22"/>
        </w:rPr>
        <w:t xml:space="preserve">. </w:t>
      </w:r>
      <w:r w:rsidRPr="00051E6D">
        <w:rPr>
          <w:rFonts w:cstheme="minorHAnsi"/>
          <w:color w:val="000000" w:themeColor="text1"/>
          <w:szCs w:val="22"/>
        </w:rPr>
        <w:lastRenderedPageBreak/>
        <w:t>841-854. Washington DC: United States Institute of Peace Press. (in-text reference Lederach 2001)</w:t>
      </w:r>
    </w:p>
    <w:p w14:paraId="635EB88F" w14:textId="77777777" w:rsidR="00B63574" w:rsidRPr="00C9569B" w:rsidRDefault="00B63574" w:rsidP="00C9569B">
      <w:pPr>
        <w:pStyle w:val="NormalIndent"/>
        <w:spacing w:line="480" w:lineRule="auto"/>
        <w:ind w:left="0"/>
      </w:pPr>
    </w:p>
    <w:p w14:paraId="0991285F" w14:textId="038454C6" w:rsidR="00895908" w:rsidRPr="005D7E53" w:rsidRDefault="00895908">
      <w:pPr>
        <w:spacing w:line="480" w:lineRule="auto"/>
        <w:jc w:val="both"/>
        <w:rPr>
          <w:rFonts w:cstheme="minorHAnsi"/>
          <w:color w:val="000000" w:themeColor="text1"/>
          <w:szCs w:val="22"/>
        </w:rPr>
      </w:pPr>
      <w:r w:rsidRPr="00051E6D">
        <w:rPr>
          <w:rFonts w:cstheme="minorHAnsi"/>
          <w:szCs w:val="22"/>
        </w:rPr>
        <w:t xml:space="preserve">Leeds Poverty Truth. 2020. ‘Leeds Poverty Truth’. Accessed 3 March 2020. </w:t>
      </w:r>
      <w:hyperlink r:id="rId21" w:history="1">
        <w:r w:rsidRPr="00995760">
          <w:rPr>
            <w:rStyle w:val="Hyperlink"/>
            <w:rFonts w:eastAsia="TimesNewRomanPSMT" w:cstheme="minorHAnsi"/>
            <w:color w:val="4472C4" w:themeColor="accent1"/>
            <w:szCs w:val="22"/>
            <w:u w:val="single"/>
          </w:rPr>
          <w:t>https://www.leedspovertytruth.org.uk/</w:t>
        </w:r>
      </w:hyperlink>
      <w:r w:rsidRPr="00051E6D">
        <w:rPr>
          <w:rFonts w:cstheme="minorHAnsi"/>
          <w:szCs w:val="22"/>
        </w:rPr>
        <w:t>. (referenced 9 April 2020). (in-text reference: Leeds Poverty Truth 2020)</w:t>
      </w:r>
    </w:p>
    <w:p w14:paraId="0B9A696B" w14:textId="12FC1E30" w:rsidR="00BE2D5E" w:rsidRDefault="00BE2D5E" w:rsidP="00C9569B">
      <w:pPr>
        <w:pStyle w:val="NormalIndent"/>
        <w:spacing w:line="480" w:lineRule="auto"/>
        <w:ind w:left="0"/>
      </w:pPr>
    </w:p>
    <w:p w14:paraId="486E1B81" w14:textId="77777777" w:rsidR="00BE2D5E" w:rsidRDefault="00BE2D5E" w:rsidP="00C9569B">
      <w:pPr>
        <w:spacing w:line="480" w:lineRule="auto"/>
        <w:jc w:val="both"/>
      </w:pPr>
      <w:r>
        <w:t xml:space="preserve">Legatum Institute. 2020. ‘Briefing: </w:t>
      </w:r>
      <w:r w:rsidRPr="00473602">
        <w:t>Poverty during the Covid-19 crisis</w:t>
      </w:r>
      <w:r>
        <w:t xml:space="preserve">’ </w:t>
      </w:r>
      <w:hyperlink r:id="rId22" w:history="1">
        <w:r w:rsidRPr="00995760">
          <w:rPr>
            <w:rStyle w:val="Hyperlink"/>
            <w:rFonts w:eastAsia="TimesNewRomanPSMT"/>
            <w:color w:val="4472C4" w:themeColor="accent1"/>
            <w:u w:val="single"/>
          </w:rPr>
          <w:t>https://li.com/wp-content/uploads/2020/11/Legatum-Institute-briefing-on-poverty-during-the-Covid-crisis.pdf</w:t>
        </w:r>
      </w:hyperlink>
      <w:r>
        <w:t xml:space="preserve"> (referenced 5 January 2021) (in-text reference: Legatum Institute 2020).</w:t>
      </w:r>
    </w:p>
    <w:p w14:paraId="2AEF0BEC" w14:textId="77777777" w:rsidR="005D7E53" w:rsidRPr="005D7E53" w:rsidRDefault="005D7E53" w:rsidP="00C9569B">
      <w:pPr>
        <w:pStyle w:val="NormalIndent"/>
        <w:spacing w:line="480" w:lineRule="auto"/>
        <w:ind w:left="0"/>
      </w:pPr>
    </w:p>
    <w:p w14:paraId="0207C468" w14:textId="6C179E10" w:rsidR="00895908" w:rsidRDefault="00895908">
      <w:pPr>
        <w:spacing w:line="480" w:lineRule="auto"/>
        <w:jc w:val="both"/>
        <w:rPr>
          <w:rFonts w:cstheme="minorHAnsi"/>
          <w:szCs w:val="22"/>
        </w:rPr>
      </w:pPr>
      <w:r w:rsidRPr="00051E6D">
        <w:rPr>
          <w:rFonts w:cstheme="minorHAnsi"/>
          <w:szCs w:val="22"/>
        </w:rPr>
        <w:t xml:space="preserve">Magarrell, L. and Gutierrez, B. 2006. Lessons in Truth-Seeking: International Experiences Informing United States Initiatives. International Center for Transitional Justice. </w:t>
      </w:r>
      <w:hyperlink r:id="rId23" w:history="1">
        <w:r w:rsidRPr="00995760">
          <w:rPr>
            <w:rStyle w:val="Hyperlink"/>
            <w:rFonts w:eastAsia="TimesNewRomanPSMT" w:cstheme="minorHAnsi"/>
            <w:color w:val="4472C4" w:themeColor="accent1"/>
            <w:szCs w:val="22"/>
            <w:u w:val="single"/>
          </w:rPr>
          <w:t>https://www.racialequitytools.org/resourcefiles/magarrell.pdf</w:t>
        </w:r>
      </w:hyperlink>
      <w:r w:rsidRPr="00051E6D">
        <w:rPr>
          <w:rFonts w:cstheme="minorHAnsi"/>
          <w:szCs w:val="22"/>
        </w:rPr>
        <w:t>. (referenced 9 April 2020). (in-text reference: Magarrell and Gutierrez 2006)</w:t>
      </w:r>
    </w:p>
    <w:p w14:paraId="6117B3E3" w14:textId="77777777" w:rsidR="005D7E53" w:rsidRPr="005D7E53" w:rsidRDefault="005D7E53" w:rsidP="00C9569B">
      <w:pPr>
        <w:pStyle w:val="NormalIndent"/>
        <w:spacing w:line="480" w:lineRule="auto"/>
      </w:pPr>
    </w:p>
    <w:p w14:paraId="6626E394" w14:textId="0754E55A" w:rsidR="00D73DBC" w:rsidRDefault="00895908">
      <w:pPr>
        <w:spacing w:line="480" w:lineRule="auto"/>
        <w:jc w:val="both"/>
        <w:rPr>
          <w:rFonts w:cstheme="minorHAnsi"/>
          <w:color w:val="000000" w:themeColor="text1"/>
          <w:szCs w:val="22"/>
        </w:rPr>
      </w:pPr>
      <w:r w:rsidRPr="00051E6D">
        <w:rPr>
          <w:rFonts w:cstheme="minorHAnsi"/>
          <w:color w:val="000000" w:themeColor="text1"/>
          <w:szCs w:val="22"/>
        </w:rPr>
        <w:t xml:space="preserve">Magarrell, L. and Wesley, J. 2008. </w:t>
      </w:r>
      <w:r w:rsidRPr="00051E6D">
        <w:rPr>
          <w:rFonts w:cstheme="minorHAnsi"/>
          <w:i/>
          <w:iCs/>
          <w:color w:val="000000" w:themeColor="text1"/>
          <w:szCs w:val="22"/>
        </w:rPr>
        <w:t>Learning from Greensboro: Truth and Reconciliation in the United States</w:t>
      </w:r>
      <w:r w:rsidRPr="00051E6D">
        <w:rPr>
          <w:rFonts w:cstheme="minorHAnsi"/>
          <w:color w:val="000000" w:themeColor="text1"/>
          <w:szCs w:val="22"/>
        </w:rPr>
        <w:t>. Philadelphia, PA: University of Pennsylvania Press. (in-text reference: Magarrell and Wesley 2008)</w:t>
      </w:r>
    </w:p>
    <w:p w14:paraId="5EEF745A" w14:textId="77777777" w:rsidR="005D7E53" w:rsidRPr="005D7E53" w:rsidRDefault="005D7E53" w:rsidP="00C9569B">
      <w:pPr>
        <w:pStyle w:val="NormalIndent"/>
        <w:spacing w:line="480" w:lineRule="auto"/>
      </w:pPr>
    </w:p>
    <w:p w14:paraId="647D4F3D" w14:textId="006BAE9E" w:rsidR="007D3DE8" w:rsidRDefault="00895908">
      <w:pPr>
        <w:spacing w:line="480" w:lineRule="auto"/>
        <w:jc w:val="both"/>
        <w:rPr>
          <w:rFonts w:cstheme="minorHAnsi"/>
          <w:color w:val="000000" w:themeColor="text1"/>
          <w:szCs w:val="22"/>
        </w:rPr>
      </w:pPr>
      <w:r w:rsidRPr="00051E6D">
        <w:rPr>
          <w:rFonts w:cstheme="minorHAnsi"/>
          <w:color w:val="000000" w:themeColor="text1"/>
          <w:szCs w:val="22"/>
        </w:rPr>
        <w:t xml:space="preserve">McAuliffe, P. 2017. </w:t>
      </w:r>
      <w:r w:rsidRPr="00051E6D">
        <w:rPr>
          <w:rFonts w:cstheme="minorHAnsi"/>
          <w:i/>
          <w:iCs/>
          <w:color w:val="000000" w:themeColor="text1"/>
          <w:szCs w:val="22"/>
        </w:rPr>
        <w:t>Transformative and Transitional Justice and the Malleability of Post-Conflict States</w:t>
      </w:r>
      <w:r w:rsidRPr="00051E6D">
        <w:rPr>
          <w:rFonts w:cstheme="minorHAnsi"/>
          <w:color w:val="000000" w:themeColor="text1"/>
          <w:szCs w:val="22"/>
        </w:rPr>
        <w:t>. Cheltenham: Elgar. (in-text reference: McAuliffe 2017)</w:t>
      </w:r>
    </w:p>
    <w:p w14:paraId="3E169D8B" w14:textId="04A6B58B" w:rsidR="006B5662" w:rsidRDefault="006B5662" w:rsidP="00C9569B">
      <w:pPr>
        <w:pStyle w:val="NormalIndent"/>
        <w:spacing w:line="480" w:lineRule="auto"/>
        <w:ind w:left="0"/>
      </w:pPr>
    </w:p>
    <w:p w14:paraId="345CDC3C" w14:textId="495787C4" w:rsidR="006B5662" w:rsidRDefault="006B5662" w:rsidP="00C9569B">
      <w:pPr>
        <w:pStyle w:val="NormalIndent"/>
        <w:spacing w:line="480" w:lineRule="auto"/>
        <w:ind w:left="0"/>
        <w:jc w:val="both"/>
      </w:pPr>
      <w:r>
        <w:rPr>
          <w:rFonts w:cstheme="minorHAnsi"/>
          <w:szCs w:val="22"/>
        </w:rPr>
        <w:t>McDonald, R</w:t>
      </w:r>
      <w:r w:rsidRPr="00051E6D">
        <w:rPr>
          <w:rFonts w:cstheme="minorHAnsi"/>
          <w:szCs w:val="22"/>
        </w:rPr>
        <w:t>.</w:t>
      </w:r>
      <w:r>
        <w:rPr>
          <w:rFonts w:cstheme="minorHAnsi"/>
          <w:szCs w:val="22"/>
        </w:rPr>
        <w:t xml:space="preserve"> 2020. '</w:t>
      </w:r>
      <w:r w:rsidRPr="009836F8">
        <w:t xml:space="preserve"> Last minute extension of furlough undermines its effectiveness</w:t>
      </w:r>
      <w:r>
        <w:t xml:space="preserve">’. </w:t>
      </w:r>
      <w:r w:rsidRPr="00073657">
        <w:t>Joseph Rowntree Foundation.</w:t>
      </w:r>
      <w:r>
        <w:t xml:space="preserve"> </w:t>
      </w:r>
      <w:hyperlink r:id="rId24" w:history="1">
        <w:r w:rsidRPr="00995760">
          <w:rPr>
            <w:rStyle w:val="Hyperlink"/>
            <w:color w:val="4472C4" w:themeColor="accent1"/>
            <w:u w:val="single"/>
          </w:rPr>
          <w:t>https://www.jrf.org.uk/blog/last-minute-extension-furlough-undermines-its-effectiveness</w:t>
        </w:r>
      </w:hyperlink>
      <w:r>
        <w:t xml:space="preserve"> </w:t>
      </w:r>
      <w:r w:rsidRPr="00073657">
        <w:t xml:space="preserve">(referenced 5 January 2021) (in-text reference: </w:t>
      </w:r>
      <w:r>
        <w:t xml:space="preserve">McDonald </w:t>
      </w:r>
      <w:r w:rsidRPr="00073657">
        <w:t>2020).</w:t>
      </w:r>
    </w:p>
    <w:p w14:paraId="3E00452B" w14:textId="2B6A49BB" w:rsidR="002F6FAF" w:rsidRDefault="002F6FAF" w:rsidP="00C9569B">
      <w:pPr>
        <w:pStyle w:val="NormalIndent"/>
        <w:spacing w:line="480" w:lineRule="auto"/>
        <w:ind w:left="0"/>
        <w:jc w:val="both"/>
      </w:pPr>
    </w:p>
    <w:p w14:paraId="279B4CDF" w14:textId="33E5E282" w:rsidR="002F6FAF" w:rsidRDefault="002F6FAF" w:rsidP="00C9569B">
      <w:pPr>
        <w:pStyle w:val="NormalIndent"/>
        <w:spacing w:line="480" w:lineRule="auto"/>
        <w:ind w:left="0"/>
        <w:jc w:val="both"/>
      </w:pPr>
      <w:r w:rsidRPr="002F6FAF">
        <w:t>McFate, K. Lawson, R. Wilson, WJ. 1995. Poverty, Inequality and the Future of Social Policy. London: Russell sage Foundation. (in-text reference: McFate et al 1995)</w:t>
      </w:r>
    </w:p>
    <w:p w14:paraId="0A8F3E7C" w14:textId="77777777" w:rsidR="006B5662" w:rsidRPr="00C9569B" w:rsidRDefault="006B5662" w:rsidP="00C9569B">
      <w:pPr>
        <w:pStyle w:val="NormalIndent"/>
        <w:spacing w:line="480" w:lineRule="auto"/>
        <w:ind w:left="0"/>
        <w:jc w:val="both"/>
      </w:pPr>
    </w:p>
    <w:p w14:paraId="187E4FC4" w14:textId="1781117B" w:rsidR="00895908" w:rsidRPr="00051E6D" w:rsidRDefault="00895908">
      <w:pPr>
        <w:spacing w:line="480" w:lineRule="auto"/>
        <w:jc w:val="both"/>
        <w:rPr>
          <w:rFonts w:cstheme="minorHAnsi"/>
          <w:szCs w:val="22"/>
        </w:rPr>
      </w:pPr>
      <w:r w:rsidRPr="00051E6D">
        <w:rPr>
          <w:rFonts w:cstheme="minorHAnsi"/>
          <w:szCs w:val="22"/>
        </w:rPr>
        <w:t xml:space="preserve">Morecambe Bay Poverty Truth Commission. 2020. History – MBPTC. Accessed 13 March 2020. </w:t>
      </w:r>
      <w:hyperlink r:id="rId25" w:history="1">
        <w:r w:rsidRPr="00995760">
          <w:rPr>
            <w:rStyle w:val="Hyperlink"/>
            <w:rFonts w:eastAsia="TimesNewRomanPSMT" w:cstheme="minorHAnsi"/>
            <w:color w:val="4472C4" w:themeColor="accent1"/>
            <w:szCs w:val="22"/>
            <w:u w:val="single"/>
          </w:rPr>
          <w:t>http://www.morecambebaypovertytruthcommission.org.uk/history/</w:t>
        </w:r>
      </w:hyperlink>
      <w:r w:rsidRPr="00051E6D">
        <w:rPr>
          <w:rFonts w:cstheme="minorHAnsi"/>
          <w:szCs w:val="22"/>
        </w:rPr>
        <w:t>. (referenced 9 April 2020). (in-text reference: Morecambe Bay Poverty Truth Commission 2020</w:t>
      </w:r>
      <w:r w:rsidR="00E32869">
        <w:rPr>
          <w:rFonts w:cstheme="minorHAnsi"/>
          <w:szCs w:val="22"/>
        </w:rPr>
        <w:t>a</w:t>
      </w:r>
      <w:r w:rsidRPr="00051E6D">
        <w:rPr>
          <w:rFonts w:cstheme="minorHAnsi"/>
          <w:szCs w:val="22"/>
        </w:rPr>
        <w:t>)</w:t>
      </w:r>
    </w:p>
    <w:p w14:paraId="2CD38C72" w14:textId="77777777" w:rsidR="00667380" w:rsidRDefault="00667380">
      <w:pPr>
        <w:spacing w:line="480" w:lineRule="auto"/>
        <w:jc w:val="both"/>
        <w:rPr>
          <w:rFonts w:cstheme="minorHAnsi"/>
          <w:color w:val="000000" w:themeColor="text1"/>
          <w:szCs w:val="22"/>
        </w:rPr>
      </w:pPr>
    </w:p>
    <w:p w14:paraId="78C56AEB" w14:textId="4F1F2459" w:rsidR="00E32869" w:rsidRPr="00051E6D" w:rsidRDefault="005D7E53">
      <w:pPr>
        <w:spacing w:line="480" w:lineRule="auto"/>
        <w:ind w:left="720"/>
        <w:jc w:val="both"/>
        <w:rPr>
          <w:rFonts w:cstheme="minorHAnsi"/>
          <w:szCs w:val="22"/>
        </w:rPr>
      </w:pPr>
      <w:r w:rsidRPr="00051E6D">
        <w:rPr>
          <w:rFonts w:cstheme="minorHAnsi"/>
          <w:szCs w:val="22"/>
        </w:rPr>
        <w:t>———.</w:t>
      </w:r>
      <w:r w:rsidR="00667380">
        <w:rPr>
          <w:rFonts w:cstheme="minorHAnsi"/>
          <w:color w:val="000000" w:themeColor="text1"/>
          <w:szCs w:val="22"/>
        </w:rPr>
        <w:t xml:space="preserve"> 2020. </w:t>
      </w:r>
      <w:r w:rsidR="00667380" w:rsidRPr="00C9569B">
        <w:rPr>
          <w:rFonts w:cstheme="minorHAnsi"/>
          <w:i/>
          <w:iCs/>
          <w:color w:val="000000" w:themeColor="text1"/>
          <w:szCs w:val="22"/>
        </w:rPr>
        <w:t>Reflections and Learning</w:t>
      </w:r>
      <w:r w:rsidR="00E32869">
        <w:rPr>
          <w:rFonts w:cstheme="minorHAnsi"/>
          <w:color w:val="000000" w:themeColor="text1"/>
          <w:szCs w:val="22"/>
        </w:rPr>
        <w:t>.</w:t>
      </w:r>
      <w:r w:rsidR="00667380" w:rsidRPr="00667380">
        <w:t xml:space="preserve"> </w:t>
      </w:r>
      <w:hyperlink r:id="rId26" w:history="1">
        <w:r w:rsidRPr="00995760">
          <w:rPr>
            <w:rStyle w:val="Hyperlink"/>
            <w:rFonts w:cstheme="minorHAnsi"/>
            <w:color w:val="4472C4" w:themeColor="accent1"/>
            <w:szCs w:val="22"/>
            <w:u w:val="single"/>
          </w:rPr>
          <w:t>http://www.morecambebaypovertytruthcommission.org.uk/reports/</w:t>
        </w:r>
      </w:hyperlink>
      <w:r w:rsidR="00E32869">
        <w:rPr>
          <w:rFonts w:cstheme="minorHAnsi"/>
          <w:color w:val="000000" w:themeColor="text1"/>
          <w:szCs w:val="22"/>
        </w:rPr>
        <w:t xml:space="preserve">. </w:t>
      </w:r>
      <w:r w:rsidR="00E32869" w:rsidRPr="00051E6D">
        <w:rPr>
          <w:rFonts w:cstheme="minorHAnsi"/>
          <w:szCs w:val="22"/>
        </w:rPr>
        <w:t xml:space="preserve">(referenced </w:t>
      </w:r>
      <w:r w:rsidR="00E32869">
        <w:rPr>
          <w:rFonts w:cstheme="minorHAnsi"/>
          <w:szCs w:val="22"/>
        </w:rPr>
        <w:t>5</w:t>
      </w:r>
      <w:r w:rsidR="00E32869" w:rsidRPr="00051E6D">
        <w:rPr>
          <w:rFonts w:cstheme="minorHAnsi"/>
          <w:szCs w:val="22"/>
        </w:rPr>
        <w:t xml:space="preserve"> </w:t>
      </w:r>
      <w:r w:rsidR="00E32869">
        <w:rPr>
          <w:rFonts w:cstheme="minorHAnsi"/>
          <w:szCs w:val="22"/>
        </w:rPr>
        <w:t>January 2021</w:t>
      </w:r>
      <w:r w:rsidR="00E32869" w:rsidRPr="00051E6D">
        <w:rPr>
          <w:rFonts w:cstheme="minorHAnsi"/>
          <w:szCs w:val="22"/>
        </w:rPr>
        <w:t>). (in-text reference: Morecambe Bay Poverty Truth Commission 2020</w:t>
      </w:r>
      <w:r w:rsidR="00E32869">
        <w:rPr>
          <w:rFonts w:cstheme="minorHAnsi"/>
          <w:szCs w:val="22"/>
        </w:rPr>
        <w:t>b</w:t>
      </w:r>
      <w:r w:rsidR="00E32869" w:rsidRPr="00051E6D">
        <w:rPr>
          <w:rFonts w:cstheme="minorHAnsi"/>
          <w:szCs w:val="22"/>
        </w:rPr>
        <w:t>)</w:t>
      </w:r>
    </w:p>
    <w:p w14:paraId="378CB4D3" w14:textId="2D02B145" w:rsidR="00667380" w:rsidRDefault="00667380">
      <w:pPr>
        <w:spacing w:line="480" w:lineRule="auto"/>
        <w:jc w:val="both"/>
        <w:rPr>
          <w:rFonts w:cstheme="minorHAnsi"/>
          <w:szCs w:val="22"/>
        </w:rPr>
      </w:pPr>
    </w:p>
    <w:p w14:paraId="04C5E745" w14:textId="78C25ACC" w:rsidR="005D7E53" w:rsidRPr="005D7E53" w:rsidRDefault="00895908" w:rsidP="00C9569B">
      <w:pPr>
        <w:pStyle w:val="NormalIndent"/>
        <w:spacing w:line="480" w:lineRule="auto"/>
        <w:ind w:left="0"/>
        <w:jc w:val="both"/>
      </w:pPr>
      <w:r w:rsidRPr="00051E6D">
        <w:rPr>
          <w:rFonts w:cstheme="minorHAnsi"/>
          <w:szCs w:val="22"/>
        </w:rPr>
        <w:t xml:space="preserve">Narayan, D., R. Patel, K. Schafft, A. Rademacher, and S. Koch-Schulte. 2000. </w:t>
      </w:r>
      <w:r w:rsidRPr="00051E6D">
        <w:rPr>
          <w:rFonts w:cstheme="minorHAnsi"/>
          <w:i/>
          <w:iCs/>
          <w:szCs w:val="22"/>
        </w:rPr>
        <w:t>Voices of the Poor: Can Anyone Hear Us</w:t>
      </w:r>
      <w:r w:rsidRPr="00051E6D">
        <w:rPr>
          <w:rFonts w:cstheme="minorHAnsi"/>
          <w:szCs w:val="22"/>
        </w:rPr>
        <w:t>. Oxford: Oxford University Press for the World Bank. (in-text reference Narayan et al.)</w:t>
      </w:r>
    </w:p>
    <w:p w14:paraId="0BDA1179" w14:textId="6F1843C9" w:rsidR="00C41487" w:rsidRDefault="00895908">
      <w:pPr>
        <w:spacing w:line="480" w:lineRule="auto"/>
        <w:jc w:val="both"/>
        <w:rPr>
          <w:rFonts w:cstheme="minorHAnsi"/>
          <w:szCs w:val="22"/>
        </w:rPr>
      </w:pPr>
      <w:r w:rsidRPr="00051E6D">
        <w:rPr>
          <w:rFonts w:cstheme="minorHAnsi"/>
          <w:szCs w:val="22"/>
        </w:rPr>
        <w:lastRenderedPageBreak/>
        <w:t>Osmani, S. R. 2012. Poverty and Human Rights: Building on the Capability Approach in D. Elson, S. Fukuda-Parr, P. Vizard (eds) Human Rights and the Capabilities Approach, 193-207. Abingdon: Routledge. (in-text reference: Osmani 2012)</w:t>
      </w:r>
    </w:p>
    <w:p w14:paraId="10ED79BF" w14:textId="77777777" w:rsidR="005D7E53" w:rsidRPr="005D7E53" w:rsidRDefault="005D7E53" w:rsidP="00C9569B">
      <w:pPr>
        <w:pStyle w:val="NormalIndent"/>
        <w:spacing w:line="480" w:lineRule="auto"/>
      </w:pPr>
    </w:p>
    <w:p w14:paraId="38F47297" w14:textId="12AD32D7" w:rsidR="00895908" w:rsidRDefault="00895908">
      <w:pPr>
        <w:spacing w:line="480" w:lineRule="auto"/>
        <w:jc w:val="both"/>
        <w:rPr>
          <w:rStyle w:val="Hyperlink"/>
          <w:rFonts w:eastAsia="TimesNewRomanPSMT" w:cstheme="minorHAnsi"/>
          <w:color w:val="000000" w:themeColor="text1"/>
          <w:szCs w:val="22"/>
        </w:rPr>
      </w:pPr>
      <w:r w:rsidRPr="00051E6D">
        <w:rPr>
          <w:rFonts w:cstheme="minorHAnsi"/>
          <w:color w:val="000000" w:themeColor="text1"/>
          <w:szCs w:val="22"/>
        </w:rPr>
        <w:t xml:space="preserve">Parlevliet, M. 2010. Rethinking Conflict Transformation from a Human Rights Perspective. In Handbook Dialogue No. 9. Berlin: Berghof Foundation. </w:t>
      </w:r>
      <w:hyperlink r:id="rId27" w:history="1">
        <w:r w:rsidRPr="00051E6D">
          <w:rPr>
            <w:rStyle w:val="Hyperlink"/>
            <w:rFonts w:eastAsia="TimesNewRomanPSMT" w:cstheme="minorHAnsi"/>
            <w:color w:val="4472C4" w:themeColor="accent1"/>
            <w:szCs w:val="22"/>
            <w:u w:val="single"/>
          </w:rPr>
          <w:t>http://www.berghoffoundation.org/fileadmin/redaktion/Publications/Handbook/Articles/parlevliethandbook.pdf</w:t>
        </w:r>
      </w:hyperlink>
      <w:r w:rsidRPr="00051E6D">
        <w:rPr>
          <w:rStyle w:val="Hyperlink"/>
          <w:rFonts w:eastAsia="TimesNewRomanPSMT" w:cstheme="minorHAnsi"/>
          <w:color w:val="000000" w:themeColor="text1"/>
          <w:szCs w:val="22"/>
        </w:rPr>
        <w:t xml:space="preserve">  (referenced 10 September 2020). (in-text reference: Parlevliet 2010)</w:t>
      </w:r>
    </w:p>
    <w:p w14:paraId="151B9600" w14:textId="74F92D1C" w:rsidR="007B394E" w:rsidRDefault="007B394E" w:rsidP="00C9569B">
      <w:pPr>
        <w:pStyle w:val="NormalIndent"/>
        <w:spacing w:line="480" w:lineRule="auto"/>
        <w:ind w:left="0"/>
        <w:rPr>
          <w:rFonts w:eastAsia="TimesNewRomanPSMT"/>
        </w:rPr>
      </w:pPr>
    </w:p>
    <w:p w14:paraId="2AACE704" w14:textId="77777777" w:rsidR="0087417B" w:rsidRPr="0087417B" w:rsidRDefault="0087417B" w:rsidP="00C9569B">
      <w:pPr>
        <w:pStyle w:val="NormalIndent"/>
        <w:spacing w:line="480" w:lineRule="auto"/>
        <w:ind w:left="0"/>
        <w:jc w:val="both"/>
        <w:rPr>
          <w:rFonts w:eastAsia="TimesNewRomanPSMT"/>
        </w:rPr>
      </w:pPr>
      <w:r w:rsidRPr="0087417B">
        <w:rPr>
          <w:rFonts w:eastAsia="TimesNewRomanPSMT"/>
        </w:rPr>
        <w:t xml:space="preserve">Partington, R. 2020. ‘Rishi Sunak: hard choices ahead to tackle debt from Covid crisis’ The Guardian. </w:t>
      </w:r>
      <w:hyperlink r:id="rId28" w:history="1">
        <w:r w:rsidRPr="00995760">
          <w:rPr>
            <w:rStyle w:val="Hyperlink"/>
            <w:rFonts w:eastAsia="TimesNewRomanPSMT"/>
            <w:color w:val="4472C4" w:themeColor="accent1"/>
            <w:u w:val="single"/>
          </w:rPr>
          <w:t>https://www.theguardian.com/business/2020/oct/05/rishi-sunak-debt-covid-crisis-tax-spending-cuts</w:t>
        </w:r>
      </w:hyperlink>
      <w:r w:rsidRPr="0087417B">
        <w:rPr>
          <w:rFonts w:eastAsia="TimesNewRomanPSMT"/>
        </w:rPr>
        <w:t xml:space="preserve"> (referenced 5 January 2021) (in-text reference: Partington 2020).</w:t>
      </w:r>
    </w:p>
    <w:p w14:paraId="7682F87A" w14:textId="77777777" w:rsidR="005D7E53" w:rsidRPr="005D7E53" w:rsidRDefault="005D7E53" w:rsidP="00C9569B">
      <w:pPr>
        <w:pStyle w:val="NormalIndent"/>
        <w:spacing w:line="480" w:lineRule="auto"/>
      </w:pPr>
    </w:p>
    <w:p w14:paraId="6795272B" w14:textId="3DD04F7C" w:rsidR="00895908" w:rsidRDefault="00895908">
      <w:pPr>
        <w:spacing w:line="480" w:lineRule="auto"/>
        <w:jc w:val="both"/>
        <w:rPr>
          <w:rFonts w:cstheme="minorHAnsi"/>
          <w:color w:val="000000" w:themeColor="text1"/>
          <w:szCs w:val="22"/>
        </w:rPr>
      </w:pPr>
      <w:r w:rsidRPr="00051E6D">
        <w:rPr>
          <w:rFonts w:cstheme="minorHAnsi"/>
          <w:color w:val="000000" w:themeColor="text1"/>
          <w:szCs w:val="22"/>
        </w:rPr>
        <w:t xml:space="preserve">Phelps, T. G. 2004. </w:t>
      </w:r>
      <w:r w:rsidRPr="00051E6D">
        <w:rPr>
          <w:rFonts w:cstheme="minorHAnsi"/>
          <w:i/>
          <w:iCs/>
          <w:color w:val="000000" w:themeColor="text1"/>
          <w:szCs w:val="22"/>
        </w:rPr>
        <w:t>Shattered voices: Language, violence, and the work of truth commissions</w:t>
      </w:r>
      <w:r w:rsidRPr="00051E6D">
        <w:rPr>
          <w:rFonts w:cstheme="minorHAnsi"/>
          <w:color w:val="000000" w:themeColor="text1"/>
          <w:szCs w:val="22"/>
        </w:rPr>
        <w:t>. Philadelphia, PA: University of Pennsylvania Press. (in-text reference: Phelps 2004)</w:t>
      </w:r>
    </w:p>
    <w:p w14:paraId="647414DE" w14:textId="77777777" w:rsidR="005D7E53" w:rsidRPr="005D7E53" w:rsidRDefault="005D7E53" w:rsidP="00C9569B">
      <w:pPr>
        <w:pStyle w:val="NormalIndent"/>
        <w:spacing w:line="480" w:lineRule="auto"/>
      </w:pPr>
    </w:p>
    <w:p w14:paraId="11762B89" w14:textId="2C1B08C8" w:rsidR="00AA7D49" w:rsidRDefault="00895908">
      <w:pPr>
        <w:spacing w:line="480" w:lineRule="auto"/>
        <w:jc w:val="both"/>
        <w:rPr>
          <w:rFonts w:cstheme="minorHAnsi"/>
          <w:szCs w:val="22"/>
        </w:rPr>
      </w:pPr>
      <w:r w:rsidRPr="00051E6D">
        <w:rPr>
          <w:rFonts w:cstheme="minorHAnsi"/>
          <w:szCs w:val="22"/>
        </w:rPr>
        <w:t xml:space="preserve">Poverty Truth Network. 2020. ‘About’. Poverty Truth Network. 2020. </w:t>
      </w:r>
      <w:hyperlink r:id="rId29" w:history="1">
        <w:r w:rsidRPr="00995760">
          <w:rPr>
            <w:rStyle w:val="Hyperlink"/>
            <w:rFonts w:eastAsia="TimesNewRomanPSMT" w:cstheme="minorHAnsi"/>
            <w:color w:val="4472C4" w:themeColor="accent1"/>
            <w:szCs w:val="22"/>
            <w:u w:val="single"/>
          </w:rPr>
          <w:t>https://www.povertytruthnetwork.org</w:t>
        </w:r>
      </w:hyperlink>
      <w:r w:rsidRPr="00051E6D">
        <w:rPr>
          <w:rFonts w:cstheme="minorHAnsi"/>
          <w:szCs w:val="22"/>
        </w:rPr>
        <w:t>. (referenced 9 April 2020). (in-text reference: Poverty Truth Network 2020</w:t>
      </w:r>
      <w:r w:rsidR="00AA7D49" w:rsidRPr="00051E6D">
        <w:rPr>
          <w:rFonts w:cstheme="minorHAnsi"/>
          <w:szCs w:val="22"/>
        </w:rPr>
        <w:t>a</w:t>
      </w:r>
      <w:r w:rsidRPr="00051E6D">
        <w:rPr>
          <w:rFonts w:cstheme="minorHAnsi"/>
          <w:szCs w:val="22"/>
        </w:rPr>
        <w:t>)</w:t>
      </w:r>
    </w:p>
    <w:p w14:paraId="242CA4C5" w14:textId="77777777" w:rsidR="005D7E53" w:rsidRPr="005D7E53" w:rsidRDefault="005D7E53" w:rsidP="00C9569B">
      <w:pPr>
        <w:pStyle w:val="NormalIndent"/>
        <w:spacing w:line="480" w:lineRule="auto"/>
      </w:pPr>
    </w:p>
    <w:p w14:paraId="599699A0" w14:textId="7B861F2F" w:rsidR="00895908" w:rsidRDefault="00D33848" w:rsidP="00C9569B">
      <w:pPr>
        <w:spacing w:line="480" w:lineRule="auto"/>
        <w:ind w:left="720"/>
        <w:jc w:val="both"/>
        <w:rPr>
          <w:rFonts w:cstheme="minorHAnsi"/>
          <w:szCs w:val="22"/>
        </w:rPr>
      </w:pPr>
      <w:r w:rsidRPr="00051E6D">
        <w:rPr>
          <w:rFonts w:cstheme="minorHAnsi"/>
          <w:szCs w:val="22"/>
        </w:rPr>
        <w:lastRenderedPageBreak/>
        <w:t>———.</w:t>
      </w:r>
      <w:r w:rsidR="0057040E" w:rsidRPr="00051E6D">
        <w:rPr>
          <w:rFonts w:cstheme="minorHAnsi"/>
          <w:szCs w:val="22"/>
        </w:rPr>
        <w:t xml:space="preserve">2020. Written Evidence from Poverty Truth Network. </w:t>
      </w:r>
      <w:r w:rsidR="0057040E" w:rsidRPr="00051E6D">
        <w:rPr>
          <w:rFonts w:cstheme="minorHAnsi"/>
          <w:i/>
          <w:iCs/>
          <w:szCs w:val="22"/>
        </w:rPr>
        <w:t>UK Parliament Committees</w:t>
      </w:r>
      <w:r w:rsidR="0057040E" w:rsidRPr="00051E6D">
        <w:rPr>
          <w:rFonts w:cstheme="minorHAnsi"/>
          <w:szCs w:val="22"/>
        </w:rPr>
        <w:t xml:space="preserve">. </w:t>
      </w:r>
      <w:hyperlink r:id="rId30" w:history="1">
        <w:r w:rsidR="00995760" w:rsidRPr="00995760">
          <w:rPr>
            <w:rStyle w:val="Hyperlink"/>
            <w:rFonts w:cstheme="minorHAnsi"/>
            <w:color w:val="4472C4" w:themeColor="accent1"/>
            <w:szCs w:val="22"/>
            <w:u w:val="single"/>
          </w:rPr>
          <w:t>https://committees.parliament.uk/writtenevidence/1595/pdf/</w:t>
        </w:r>
      </w:hyperlink>
      <w:r w:rsidR="00995760" w:rsidRPr="00995760">
        <w:rPr>
          <w:rFonts w:cstheme="minorHAnsi"/>
          <w:color w:val="4472C4" w:themeColor="accent1"/>
          <w:szCs w:val="22"/>
        </w:rPr>
        <w:t xml:space="preserve"> </w:t>
      </w:r>
      <w:r w:rsidR="0057040E" w:rsidRPr="00995760">
        <w:rPr>
          <w:rFonts w:cstheme="minorHAnsi"/>
          <w:color w:val="4472C4" w:themeColor="accent1"/>
          <w:szCs w:val="22"/>
        </w:rPr>
        <w:t xml:space="preserve"> </w:t>
      </w:r>
      <w:r w:rsidR="0057040E" w:rsidRPr="00051E6D">
        <w:rPr>
          <w:rFonts w:cstheme="minorHAnsi"/>
          <w:szCs w:val="22"/>
        </w:rPr>
        <w:t>(referenced on 17 September 2020). (in-text reference: Poverty Truth Network 2020b)</w:t>
      </w:r>
    </w:p>
    <w:p w14:paraId="3139D587" w14:textId="77777777" w:rsidR="005D7E53" w:rsidRPr="005D7E53" w:rsidRDefault="005D7E53" w:rsidP="00C9569B">
      <w:pPr>
        <w:pStyle w:val="NormalIndent"/>
        <w:spacing w:line="480" w:lineRule="auto"/>
      </w:pPr>
    </w:p>
    <w:p w14:paraId="0190655F" w14:textId="77815FC1" w:rsidR="00895908" w:rsidRDefault="00895908">
      <w:pPr>
        <w:spacing w:line="480" w:lineRule="auto"/>
        <w:jc w:val="both"/>
        <w:rPr>
          <w:rFonts w:cstheme="minorHAnsi"/>
          <w:szCs w:val="22"/>
        </w:rPr>
      </w:pPr>
      <w:r w:rsidRPr="00051E6D">
        <w:rPr>
          <w:rFonts w:cstheme="minorHAnsi"/>
          <w:szCs w:val="22"/>
        </w:rPr>
        <w:t xml:space="preserve">Poor People's Economic Human Rights Campaign (PPEHRC). 2020. ‘Movement Building’. 2020. </w:t>
      </w:r>
      <w:hyperlink r:id="rId31" w:history="1">
        <w:r w:rsidRPr="00995760">
          <w:rPr>
            <w:rStyle w:val="Hyperlink"/>
            <w:rFonts w:eastAsia="TimesNewRomanPSMT" w:cstheme="minorHAnsi"/>
            <w:color w:val="4472C4" w:themeColor="accent1"/>
            <w:szCs w:val="22"/>
            <w:u w:val="single"/>
          </w:rPr>
          <w:t>http://economichumanrights.org/movement-building/</w:t>
        </w:r>
      </w:hyperlink>
      <w:r w:rsidRPr="00051E6D">
        <w:rPr>
          <w:rFonts w:cstheme="minorHAnsi"/>
          <w:szCs w:val="22"/>
        </w:rPr>
        <w:t>. (in-text reference: PPEHRC 2020)</w:t>
      </w:r>
    </w:p>
    <w:p w14:paraId="39435877" w14:textId="67A58FB1" w:rsidR="00995760" w:rsidRDefault="00995760" w:rsidP="00995760">
      <w:pPr>
        <w:pStyle w:val="NormalIndent"/>
      </w:pPr>
    </w:p>
    <w:p w14:paraId="5586578F" w14:textId="77777777" w:rsidR="00995760" w:rsidRPr="00995760" w:rsidRDefault="00995760" w:rsidP="00995760">
      <w:pPr>
        <w:pStyle w:val="NormalIndent"/>
      </w:pPr>
    </w:p>
    <w:p w14:paraId="77377C17" w14:textId="77777777" w:rsidR="0046758C" w:rsidRPr="0046758C" w:rsidRDefault="0046758C" w:rsidP="00C9569B">
      <w:pPr>
        <w:pStyle w:val="NormalIndent"/>
        <w:spacing w:line="480" w:lineRule="auto"/>
        <w:ind w:left="0"/>
        <w:jc w:val="both"/>
      </w:pPr>
      <w:r w:rsidRPr="0046758C">
        <w:t xml:space="preserve">Ratjen, S and Satija, M. 2014. Economic, Social, and Cultural Rights for All. In Riedel, E (ed) </w:t>
      </w:r>
      <w:r w:rsidRPr="0046758C">
        <w:rPr>
          <w:i/>
          <w:iCs/>
        </w:rPr>
        <w:t>Economic, Social, and Cultural Rights in International Law</w:t>
      </w:r>
      <w:r w:rsidRPr="0046758C">
        <w:t>, 111-133. Oxford University Press. (in-text reference Ratjen and Satija 2014)</w:t>
      </w:r>
    </w:p>
    <w:p w14:paraId="78F39A7F" w14:textId="77777777" w:rsidR="0046758C" w:rsidRPr="0046758C" w:rsidRDefault="0046758C" w:rsidP="00C9569B">
      <w:pPr>
        <w:pStyle w:val="NormalIndent"/>
        <w:spacing w:line="480" w:lineRule="auto"/>
        <w:ind w:left="0"/>
      </w:pPr>
    </w:p>
    <w:p w14:paraId="23F5BD29" w14:textId="586092DD" w:rsidR="00895908" w:rsidRDefault="00895908">
      <w:pPr>
        <w:spacing w:line="480" w:lineRule="auto"/>
        <w:jc w:val="both"/>
        <w:rPr>
          <w:rFonts w:cstheme="minorHAnsi"/>
          <w:color w:val="000000" w:themeColor="text1"/>
          <w:szCs w:val="22"/>
        </w:rPr>
      </w:pPr>
      <w:r w:rsidRPr="00051E6D">
        <w:rPr>
          <w:rFonts w:cstheme="minorHAnsi"/>
          <w:color w:val="000000" w:themeColor="text1"/>
          <w:szCs w:val="22"/>
        </w:rPr>
        <w:t xml:space="preserve">Salford Poverty Truth Commission. 2017. EEG008, CCG Final Report. </w:t>
      </w:r>
      <w:hyperlink r:id="rId32" w:history="1">
        <w:r w:rsidRPr="00051E6D">
          <w:rPr>
            <w:rStyle w:val="Hyperlink"/>
            <w:rFonts w:eastAsia="TimesNewRomanPSMT" w:cstheme="minorHAnsi"/>
            <w:color w:val="4472C4" w:themeColor="accent1"/>
            <w:szCs w:val="22"/>
            <w:u w:val="single"/>
          </w:rPr>
          <w:t>https://extranet.salfordccg.nhs.uk/application/files/4015/5368/6293/Poverty_Truth_Commission.pdf</w:t>
        </w:r>
      </w:hyperlink>
      <w:r w:rsidRPr="00051E6D">
        <w:rPr>
          <w:rFonts w:cstheme="minorHAnsi"/>
          <w:color w:val="4472C4" w:themeColor="accent1"/>
          <w:szCs w:val="22"/>
        </w:rPr>
        <w:t xml:space="preserve">  (</w:t>
      </w:r>
      <w:r w:rsidRPr="00051E6D">
        <w:rPr>
          <w:rFonts w:cstheme="minorHAnsi"/>
          <w:color w:val="000000" w:themeColor="text1"/>
          <w:szCs w:val="22"/>
        </w:rPr>
        <w:t>referenced on 10 September 2020). (in-text reference Salford Poverty Truth Commission 2017)</w:t>
      </w:r>
    </w:p>
    <w:p w14:paraId="0BEF1216" w14:textId="77777777" w:rsidR="005D7E53" w:rsidRPr="005D7E53" w:rsidRDefault="005D7E53" w:rsidP="00C9569B">
      <w:pPr>
        <w:pStyle w:val="NormalIndent"/>
        <w:spacing w:line="480" w:lineRule="auto"/>
      </w:pPr>
    </w:p>
    <w:p w14:paraId="6896F15A" w14:textId="6028DC29" w:rsidR="00895908" w:rsidRDefault="00895908">
      <w:pPr>
        <w:spacing w:line="480" w:lineRule="auto"/>
        <w:jc w:val="both"/>
        <w:rPr>
          <w:rFonts w:cstheme="minorHAnsi"/>
          <w:szCs w:val="22"/>
        </w:rPr>
      </w:pPr>
      <w:r w:rsidRPr="00051E6D">
        <w:rPr>
          <w:rFonts w:cstheme="minorHAnsi"/>
          <w:szCs w:val="22"/>
        </w:rPr>
        <w:t xml:space="preserve">Salomon, M. E. 2015. Of Austerity, Human Rights and International Institutions. </w:t>
      </w:r>
      <w:r w:rsidRPr="00051E6D">
        <w:rPr>
          <w:rFonts w:cstheme="minorHAnsi"/>
          <w:i/>
          <w:iCs/>
          <w:szCs w:val="22"/>
        </w:rPr>
        <w:t xml:space="preserve">European Law Journal </w:t>
      </w:r>
      <w:r w:rsidRPr="00051E6D">
        <w:rPr>
          <w:rFonts w:cstheme="minorHAnsi"/>
          <w:szCs w:val="22"/>
        </w:rPr>
        <w:t>21 (4): 521-545. (in-text reference: Salomon 2015)</w:t>
      </w:r>
    </w:p>
    <w:p w14:paraId="1A92EB7C" w14:textId="77777777" w:rsidR="005D7E53" w:rsidRPr="005D7E53" w:rsidRDefault="005D7E53" w:rsidP="00C9569B">
      <w:pPr>
        <w:pStyle w:val="NormalIndent"/>
        <w:spacing w:line="480" w:lineRule="auto"/>
      </w:pPr>
    </w:p>
    <w:p w14:paraId="3D50A920" w14:textId="5446D885" w:rsidR="00895908" w:rsidRDefault="00895908">
      <w:pPr>
        <w:spacing w:line="480" w:lineRule="auto"/>
        <w:jc w:val="both"/>
        <w:rPr>
          <w:rFonts w:cstheme="minorHAnsi"/>
          <w:szCs w:val="22"/>
        </w:rPr>
      </w:pPr>
      <w:r w:rsidRPr="00051E6D">
        <w:rPr>
          <w:rFonts w:cstheme="minorHAnsi"/>
          <w:szCs w:val="22"/>
        </w:rPr>
        <w:t xml:space="preserve">Scotland’s National Action Plan for Human Rights. 2014. Tackling Poverty Through Human Rights Innovation Forum, Event Report. </w:t>
      </w:r>
      <w:hyperlink r:id="rId33" w:history="1">
        <w:r w:rsidRPr="00051E6D">
          <w:rPr>
            <w:rStyle w:val="Hyperlink"/>
            <w:rFonts w:eastAsia="TimesNewRomanPSMT" w:cstheme="minorHAnsi"/>
            <w:color w:val="4472C4" w:themeColor="accent1"/>
            <w:szCs w:val="22"/>
            <w:u w:val="single"/>
          </w:rPr>
          <w:t>https://www.scottishhumanrights.com/media/1179/reportmarch2015wordpovertyinnovationforumeventreport.docx</w:t>
        </w:r>
      </w:hyperlink>
      <w:r w:rsidRPr="00051E6D">
        <w:rPr>
          <w:rFonts w:cstheme="minorHAnsi"/>
          <w:szCs w:val="22"/>
        </w:rPr>
        <w:t xml:space="preserve"> (referenced 10 September 2020). (in-text reference: Scotland’s National Action Plan for Human Rights 20</w:t>
      </w:r>
      <w:r w:rsidR="00E03903">
        <w:rPr>
          <w:rFonts w:cstheme="minorHAnsi"/>
          <w:szCs w:val="22"/>
        </w:rPr>
        <w:t>1</w:t>
      </w:r>
      <w:r w:rsidRPr="00051E6D">
        <w:rPr>
          <w:rFonts w:cstheme="minorHAnsi"/>
          <w:szCs w:val="22"/>
        </w:rPr>
        <w:t>4)</w:t>
      </w:r>
    </w:p>
    <w:p w14:paraId="7787F21D" w14:textId="77777777" w:rsidR="005D7E53" w:rsidRPr="005D7E53" w:rsidRDefault="005D7E53" w:rsidP="00C9569B">
      <w:pPr>
        <w:pStyle w:val="NormalIndent"/>
        <w:spacing w:line="480" w:lineRule="auto"/>
      </w:pPr>
    </w:p>
    <w:p w14:paraId="4FAE2DF9" w14:textId="3212C5D3" w:rsidR="00BC0636" w:rsidRDefault="00895908" w:rsidP="00C9569B">
      <w:pPr>
        <w:spacing w:after="160" w:line="480" w:lineRule="auto"/>
        <w:jc w:val="both"/>
        <w:rPr>
          <w:rFonts w:cstheme="minorHAnsi"/>
          <w:color w:val="000000" w:themeColor="text1"/>
          <w:szCs w:val="22"/>
        </w:rPr>
      </w:pPr>
      <w:r w:rsidRPr="00051E6D">
        <w:rPr>
          <w:rFonts w:cstheme="minorHAnsi"/>
          <w:color w:val="000000" w:themeColor="text1"/>
          <w:szCs w:val="22"/>
        </w:rPr>
        <w:t>Scottish Human Rights Commission. 2020. Housing Rights in Practice - Lessons learned from Leith. Edinburgh: Scottish Human Rights Commission. (in-text reference: Scottish Human Rights Commission 2020)</w:t>
      </w:r>
    </w:p>
    <w:p w14:paraId="153C0EBD" w14:textId="77777777" w:rsidR="00D95974" w:rsidRPr="00C9569B" w:rsidRDefault="00D95974" w:rsidP="00C9569B">
      <w:pPr>
        <w:pStyle w:val="NormalIndent"/>
        <w:spacing w:line="480" w:lineRule="auto"/>
      </w:pPr>
    </w:p>
    <w:p w14:paraId="401598CD" w14:textId="1801CBED" w:rsidR="00D73DBC" w:rsidRPr="00D73DBC" w:rsidRDefault="00BC0636" w:rsidP="00C9569B">
      <w:pPr>
        <w:spacing w:line="480" w:lineRule="auto"/>
        <w:jc w:val="both"/>
        <w:rPr>
          <w:rFonts w:cstheme="minorHAnsi"/>
          <w:color w:val="000000" w:themeColor="text1"/>
          <w:szCs w:val="22"/>
        </w:rPr>
      </w:pPr>
      <w:r w:rsidRPr="00992285">
        <w:rPr>
          <w:rFonts w:cstheme="minorHAnsi"/>
          <w:bCs/>
          <w:color w:val="000000" w:themeColor="text1"/>
          <w:szCs w:val="22"/>
        </w:rPr>
        <w:t>Scottish Community Alliance</w:t>
      </w:r>
      <w:r w:rsidR="00985E93">
        <w:rPr>
          <w:rFonts w:cstheme="minorHAnsi"/>
          <w:bCs/>
          <w:color w:val="000000" w:themeColor="text1"/>
          <w:szCs w:val="22"/>
        </w:rPr>
        <w:t>. 2020.</w:t>
      </w:r>
      <w:r>
        <w:rPr>
          <w:rFonts w:cstheme="minorHAnsi"/>
          <w:bCs/>
          <w:color w:val="000000" w:themeColor="text1"/>
          <w:szCs w:val="22"/>
        </w:rPr>
        <w:t xml:space="preserve"> </w:t>
      </w:r>
      <w:r w:rsidR="00985E93">
        <w:rPr>
          <w:rFonts w:cstheme="minorHAnsi"/>
          <w:bCs/>
          <w:color w:val="000000" w:themeColor="text1"/>
          <w:szCs w:val="22"/>
        </w:rPr>
        <w:t>‘</w:t>
      </w:r>
      <w:r>
        <w:rPr>
          <w:rFonts w:cstheme="minorHAnsi"/>
          <w:bCs/>
          <w:color w:val="000000" w:themeColor="text1"/>
          <w:szCs w:val="22"/>
        </w:rPr>
        <w:t>Briefings</w:t>
      </w:r>
      <w:r w:rsidR="00985E93">
        <w:rPr>
          <w:rFonts w:cstheme="minorHAnsi"/>
          <w:bCs/>
          <w:color w:val="000000" w:themeColor="text1"/>
          <w:szCs w:val="22"/>
        </w:rPr>
        <w:t>’.</w:t>
      </w:r>
      <w:r w:rsidRPr="00992285">
        <w:rPr>
          <w:rFonts w:cstheme="minorHAnsi"/>
          <w:bCs/>
          <w:color w:val="000000" w:themeColor="text1"/>
          <w:szCs w:val="22"/>
        </w:rPr>
        <w:t xml:space="preserve"> June 16 2020 </w:t>
      </w:r>
      <w:hyperlink r:id="rId34" w:history="1">
        <w:r w:rsidRPr="00995760">
          <w:rPr>
            <w:rStyle w:val="Hyperlink"/>
            <w:rFonts w:cstheme="minorHAnsi"/>
            <w:bCs/>
            <w:color w:val="4472C4" w:themeColor="accent1"/>
            <w:szCs w:val="22"/>
            <w:u w:val="single"/>
          </w:rPr>
          <w:t>https://scottishcommunityalliance.org.uk/2020/06/16/making-rights-real/</w:t>
        </w:r>
      </w:hyperlink>
      <w:r w:rsidR="00985E93">
        <w:rPr>
          <w:rFonts w:cstheme="minorHAnsi"/>
          <w:bCs/>
          <w:color w:val="000000" w:themeColor="text1"/>
          <w:szCs w:val="22"/>
        </w:rPr>
        <w:t xml:space="preserve">. (referenced 5 </w:t>
      </w:r>
      <w:r w:rsidR="00985E93">
        <w:rPr>
          <w:rFonts w:cstheme="minorHAnsi"/>
          <w:bCs/>
          <w:color w:val="000000" w:themeColor="text1"/>
          <w:szCs w:val="22"/>
          <w:vertAlign w:val="superscript"/>
        </w:rPr>
        <w:t xml:space="preserve"> </w:t>
      </w:r>
      <w:r w:rsidR="00985E93">
        <w:rPr>
          <w:rFonts w:cstheme="minorHAnsi"/>
          <w:bCs/>
          <w:color w:val="000000" w:themeColor="text1"/>
          <w:szCs w:val="22"/>
        </w:rPr>
        <w:t>January 2020)</w:t>
      </w:r>
      <w:r w:rsidR="00C63793">
        <w:rPr>
          <w:rFonts w:cstheme="minorHAnsi"/>
          <w:bCs/>
          <w:color w:val="000000" w:themeColor="text1"/>
          <w:szCs w:val="22"/>
        </w:rPr>
        <w:t xml:space="preserve"> </w:t>
      </w:r>
      <w:r w:rsidR="00985E93" w:rsidRPr="00051E6D">
        <w:rPr>
          <w:rFonts w:cstheme="minorHAnsi"/>
          <w:color w:val="000000" w:themeColor="text1"/>
          <w:szCs w:val="22"/>
        </w:rPr>
        <w:t>(in-text reference:</w:t>
      </w:r>
      <w:r w:rsidR="00985E93">
        <w:rPr>
          <w:rFonts w:cstheme="minorHAnsi"/>
          <w:color w:val="000000" w:themeColor="text1"/>
          <w:szCs w:val="22"/>
        </w:rPr>
        <w:t xml:space="preserve"> Scottish Community Alliance 2020)</w:t>
      </w:r>
    </w:p>
    <w:p w14:paraId="027C4110" w14:textId="77777777" w:rsidR="00D33848" w:rsidRDefault="00D33848">
      <w:pPr>
        <w:spacing w:line="480" w:lineRule="auto"/>
        <w:jc w:val="both"/>
        <w:rPr>
          <w:rFonts w:cstheme="minorHAnsi"/>
          <w:color w:val="000000" w:themeColor="text1"/>
          <w:szCs w:val="22"/>
        </w:rPr>
      </w:pPr>
      <w:bookmarkStart w:id="12" w:name="_Hlk51412263"/>
    </w:p>
    <w:p w14:paraId="7C79B2DF" w14:textId="4385E3AD" w:rsidR="00D73DBC" w:rsidRDefault="00895908">
      <w:pPr>
        <w:spacing w:line="480" w:lineRule="auto"/>
        <w:jc w:val="both"/>
        <w:rPr>
          <w:rFonts w:cstheme="minorHAnsi"/>
          <w:color w:val="000000" w:themeColor="text1"/>
          <w:szCs w:val="22"/>
        </w:rPr>
      </w:pPr>
      <w:r w:rsidRPr="00051E6D">
        <w:rPr>
          <w:rFonts w:cstheme="minorHAnsi"/>
          <w:color w:val="000000" w:themeColor="text1"/>
          <w:szCs w:val="22"/>
        </w:rPr>
        <w:t>Simpson</w:t>
      </w:r>
      <w:bookmarkEnd w:id="12"/>
      <w:r w:rsidRPr="00051E6D">
        <w:rPr>
          <w:rFonts w:cstheme="minorHAnsi"/>
          <w:color w:val="000000" w:themeColor="text1"/>
          <w:szCs w:val="22"/>
        </w:rPr>
        <w:t>, G. 2017.</w:t>
      </w:r>
      <w:r w:rsidRPr="00051E6D">
        <w:rPr>
          <w:rFonts w:cstheme="minorHAnsi"/>
          <w:i/>
          <w:iCs/>
          <w:color w:val="000000" w:themeColor="text1"/>
          <w:szCs w:val="22"/>
        </w:rPr>
        <w:t xml:space="preserve"> </w:t>
      </w:r>
      <w:r w:rsidRPr="00051E6D">
        <w:rPr>
          <w:rFonts w:cstheme="minorHAnsi"/>
          <w:color w:val="000000" w:themeColor="text1"/>
          <w:szCs w:val="22"/>
        </w:rPr>
        <w:t xml:space="preserve">From the Normative to the Transformative: Defining and Promoting Justice and Human Rights as Part of Violent Conflict Prevention and Peacebuilding. </w:t>
      </w:r>
      <w:r w:rsidRPr="00051E6D">
        <w:rPr>
          <w:rFonts w:cstheme="minorHAnsi"/>
          <w:i/>
          <w:iCs/>
          <w:color w:val="000000" w:themeColor="text1"/>
          <w:szCs w:val="22"/>
        </w:rPr>
        <w:t>Journal of Human Rights Practice</w:t>
      </w:r>
      <w:r w:rsidRPr="00051E6D">
        <w:rPr>
          <w:rFonts w:cstheme="minorHAnsi"/>
          <w:color w:val="000000" w:themeColor="text1"/>
          <w:szCs w:val="22"/>
        </w:rPr>
        <w:t xml:space="preserve"> 9: 379–400. (in-text reference Simpson 2017)</w:t>
      </w:r>
    </w:p>
    <w:p w14:paraId="4F058F2F" w14:textId="77777777" w:rsidR="005D7E53" w:rsidRPr="005D7E53" w:rsidRDefault="005D7E53" w:rsidP="00C9569B">
      <w:pPr>
        <w:pStyle w:val="NormalIndent"/>
        <w:spacing w:line="480" w:lineRule="auto"/>
      </w:pPr>
    </w:p>
    <w:p w14:paraId="0D18D2C5" w14:textId="0D72584C" w:rsidR="00992285" w:rsidRDefault="00895908">
      <w:pPr>
        <w:spacing w:line="480" w:lineRule="auto"/>
        <w:jc w:val="both"/>
        <w:rPr>
          <w:rFonts w:cstheme="minorHAnsi"/>
          <w:szCs w:val="22"/>
        </w:rPr>
      </w:pPr>
      <w:r w:rsidRPr="00051E6D">
        <w:rPr>
          <w:rFonts w:cstheme="minorHAnsi"/>
          <w:szCs w:val="22"/>
        </w:rPr>
        <w:t xml:space="preserve">Skogly, S. I. 2002. Is There a Right Not to Be Poor? </w:t>
      </w:r>
      <w:r w:rsidRPr="00051E6D">
        <w:rPr>
          <w:rFonts w:cstheme="minorHAnsi"/>
          <w:i/>
          <w:iCs/>
          <w:szCs w:val="22"/>
        </w:rPr>
        <w:t>Human Rights Law Review</w:t>
      </w:r>
      <w:r w:rsidRPr="00051E6D">
        <w:rPr>
          <w:rFonts w:cstheme="minorHAnsi"/>
          <w:szCs w:val="22"/>
        </w:rPr>
        <w:t xml:space="preserve"> 2 (1): 59-80. (in-text reference: Skogly 2002)</w:t>
      </w:r>
    </w:p>
    <w:p w14:paraId="76B22569" w14:textId="77777777" w:rsidR="005D7E53" w:rsidRPr="005D7E53" w:rsidRDefault="005D7E53" w:rsidP="00C9569B">
      <w:pPr>
        <w:pStyle w:val="NormalIndent"/>
        <w:spacing w:line="480" w:lineRule="auto"/>
        <w:rPr>
          <w:rFonts w:eastAsiaTheme="minorHAnsi"/>
        </w:rPr>
      </w:pPr>
    </w:p>
    <w:p w14:paraId="17F0889B" w14:textId="5E1DE212" w:rsidR="00992285" w:rsidRDefault="00992285">
      <w:pPr>
        <w:spacing w:line="480" w:lineRule="auto"/>
        <w:jc w:val="both"/>
        <w:rPr>
          <w:rFonts w:cstheme="minorHAnsi"/>
          <w:color w:val="000000" w:themeColor="text1"/>
          <w:szCs w:val="22"/>
        </w:rPr>
      </w:pPr>
      <w:r w:rsidRPr="00EA4637">
        <w:rPr>
          <w:rFonts w:eastAsiaTheme="minorHAnsi" w:cstheme="minorBidi"/>
          <w:szCs w:val="22"/>
          <w:lang w:eastAsia="en-US"/>
        </w:rPr>
        <w:t>Social Rights Alliance England</w:t>
      </w:r>
      <w:r w:rsidR="00C63793">
        <w:rPr>
          <w:rFonts w:eastAsiaTheme="minorHAnsi" w:cstheme="minorBidi"/>
          <w:szCs w:val="22"/>
          <w:lang w:eastAsia="en-US"/>
        </w:rPr>
        <w:t>. 2021.‘</w:t>
      </w:r>
      <w:r>
        <w:rPr>
          <w:rFonts w:eastAsiaTheme="minorHAnsi" w:cstheme="minorBidi"/>
          <w:szCs w:val="22"/>
          <w:lang w:eastAsia="en-US"/>
        </w:rPr>
        <w:t>Home</w:t>
      </w:r>
      <w:r w:rsidR="00C63793">
        <w:rPr>
          <w:rFonts w:eastAsiaTheme="minorHAnsi" w:cstheme="minorBidi"/>
          <w:szCs w:val="22"/>
          <w:lang w:eastAsia="en-US"/>
        </w:rPr>
        <w:t>’.</w:t>
      </w:r>
      <w:r>
        <w:rPr>
          <w:rFonts w:eastAsiaTheme="minorHAnsi" w:cstheme="minorBidi"/>
          <w:szCs w:val="22"/>
          <w:lang w:eastAsia="en-US"/>
        </w:rPr>
        <w:t xml:space="preserve"> </w:t>
      </w:r>
      <w:hyperlink r:id="rId35" w:history="1">
        <w:r w:rsidRPr="00EA4637">
          <w:rPr>
            <w:rFonts w:eastAsiaTheme="minorHAnsi" w:cstheme="minorBidi"/>
            <w:color w:val="0563C1" w:themeColor="hyperlink"/>
            <w:szCs w:val="22"/>
            <w:u w:val="single"/>
            <w:lang w:eastAsia="en-US"/>
          </w:rPr>
          <w:t>https://www.socialrightsalliance.org.uk/</w:t>
        </w:r>
      </w:hyperlink>
      <w:r w:rsidR="00C63793">
        <w:rPr>
          <w:rFonts w:eastAsiaTheme="minorHAnsi" w:cstheme="minorBidi"/>
          <w:szCs w:val="22"/>
          <w:lang w:eastAsia="en-US"/>
        </w:rPr>
        <w:t xml:space="preserve"> </w:t>
      </w:r>
      <w:r w:rsidR="00C63793">
        <w:rPr>
          <w:rFonts w:cstheme="minorHAnsi"/>
          <w:bCs/>
          <w:color w:val="000000" w:themeColor="text1"/>
          <w:szCs w:val="22"/>
        </w:rPr>
        <w:t xml:space="preserve">(referenced 5 </w:t>
      </w:r>
      <w:r w:rsidR="00C63793">
        <w:rPr>
          <w:rFonts w:cstheme="minorHAnsi"/>
          <w:bCs/>
          <w:color w:val="000000" w:themeColor="text1"/>
          <w:szCs w:val="22"/>
          <w:vertAlign w:val="superscript"/>
        </w:rPr>
        <w:t xml:space="preserve"> </w:t>
      </w:r>
      <w:r w:rsidR="00C63793">
        <w:rPr>
          <w:rFonts w:cstheme="minorHAnsi"/>
          <w:bCs/>
          <w:color w:val="000000" w:themeColor="text1"/>
          <w:szCs w:val="22"/>
        </w:rPr>
        <w:t xml:space="preserve">January 2020) </w:t>
      </w:r>
      <w:r w:rsidR="00C63793" w:rsidRPr="00051E6D">
        <w:rPr>
          <w:rFonts w:cstheme="minorHAnsi"/>
          <w:color w:val="000000" w:themeColor="text1"/>
          <w:szCs w:val="22"/>
        </w:rPr>
        <w:t>(in-text reference:</w:t>
      </w:r>
      <w:r w:rsidR="00C63793">
        <w:rPr>
          <w:rFonts w:cstheme="minorHAnsi"/>
          <w:color w:val="000000" w:themeColor="text1"/>
          <w:szCs w:val="22"/>
        </w:rPr>
        <w:t xml:space="preserve"> </w:t>
      </w:r>
      <w:r w:rsidR="00A15AE8">
        <w:rPr>
          <w:rFonts w:cstheme="minorHAnsi"/>
          <w:color w:val="000000" w:themeColor="text1"/>
          <w:szCs w:val="22"/>
        </w:rPr>
        <w:t>Social Rights</w:t>
      </w:r>
      <w:r w:rsidR="00C63793">
        <w:rPr>
          <w:rFonts w:cstheme="minorHAnsi"/>
          <w:color w:val="000000" w:themeColor="text1"/>
          <w:szCs w:val="22"/>
        </w:rPr>
        <w:t xml:space="preserve"> Alliance 202</w:t>
      </w:r>
      <w:r w:rsidR="00A15AE8">
        <w:rPr>
          <w:rFonts w:cstheme="minorHAnsi"/>
          <w:color w:val="000000" w:themeColor="text1"/>
          <w:szCs w:val="22"/>
        </w:rPr>
        <w:t>1</w:t>
      </w:r>
      <w:r w:rsidR="00C63793">
        <w:rPr>
          <w:rFonts w:cstheme="minorHAnsi"/>
          <w:color w:val="000000" w:themeColor="text1"/>
          <w:szCs w:val="22"/>
        </w:rPr>
        <w:t>)</w:t>
      </w:r>
    </w:p>
    <w:p w14:paraId="7B43DA7F" w14:textId="77777777" w:rsidR="00767797" w:rsidRPr="00C9569B" w:rsidRDefault="00767797" w:rsidP="00C9569B">
      <w:pPr>
        <w:pStyle w:val="NormalIndent"/>
        <w:spacing w:line="480" w:lineRule="auto"/>
      </w:pPr>
    </w:p>
    <w:p w14:paraId="0BB63FED" w14:textId="3B76A8C7" w:rsidR="00992285" w:rsidRDefault="00A34D23" w:rsidP="00C9569B">
      <w:pPr>
        <w:pStyle w:val="NormalIndent"/>
        <w:spacing w:line="480" w:lineRule="auto"/>
        <w:ind w:left="0"/>
      </w:pPr>
      <w:r>
        <w:rPr>
          <w:rFonts w:eastAsiaTheme="minorHAnsi" w:cstheme="minorBidi"/>
          <w:szCs w:val="22"/>
          <w:lang w:eastAsia="en-US"/>
        </w:rPr>
        <w:lastRenderedPageBreak/>
        <w:t>Strauss</w:t>
      </w:r>
      <w:r w:rsidR="00291066">
        <w:rPr>
          <w:rFonts w:eastAsiaTheme="minorHAnsi" w:cstheme="minorBidi"/>
          <w:szCs w:val="22"/>
          <w:lang w:eastAsia="en-US"/>
        </w:rPr>
        <w:t>, D. 2020. ‘</w:t>
      </w:r>
      <w:r w:rsidR="00291066" w:rsidRPr="00291066">
        <w:t>UK public sector workers face real terms pay cut, Sunak confirms</w:t>
      </w:r>
      <w:r w:rsidR="00291066">
        <w:t>’</w:t>
      </w:r>
      <w:r w:rsidR="00767797">
        <w:t xml:space="preserve">. Financial Times. </w:t>
      </w:r>
      <w:hyperlink r:id="rId36" w:history="1">
        <w:r w:rsidR="00767797" w:rsidRPr="00995760">
          <w:rPr>
            <w:rStyle w:val="Hyperlink"/>
            <w:color w:val="4472C4" w:themeColor="accent1"/>
            <w:u w:val="single"/>
          </w:rPr>
          <w:t>https://www.ft.com/content/d213db96-7a4a-4748-b94c-ba2a9243e938</w:t>
        </w:r>
      </w:hyperlink>
      <w:r w:rsidR="00767797">
        <w:t xml:space="preserve"> (referenced 5 </w:t>
      </w:r>
      <w:r w:rsidR="00974E20">
        <w:t>J</w:t>
      </w:r>
      <w:r w:rsidR="00767797">
        <w:t>anuary 202</w:t>
      </w:r>
      <w:r w:rsidR="00974E20">
        <w:t>1</w:t>
      </w:r>
      <w:r w:rsidR="00767797">
        <w:t>) (in-text reference: Strauss 2020)</w:t>
      </w:r>
    </w:p>
    <w:p w14:paraId="3C328E19" w14:textId="77777777" w:rsidR="002B624A" w:rsidRDefault="002B624A" w:rsidP="00C9569B">
      <w:pPr>
        <w:pStyle w:val="NormalIndent"/>
        <w:spacing w:line="480" w:lineRule="auto"/>
        <w:ind w:left="0"/>
      </w:pPr>
    </w:p>
    <w:p w14:paraId="630EA8B2" w14:textId="0B052DD7" w:rsidR="00895908" w:rsidRDefault="00895908">
      <w:pPr>
        <w:spacing w:line="480" w:lineRule="auto"/>
        <w:jc w:val="both"/>
        <w:rPr>
          <w:rFonts w:cstheme="minorHAnsi"/>
          <w:szCs w:val="22"/>
        </w:rPr>
      </w:pPr>
      <w:r w:rsidRPr="00051E6D">
        <w:rPr>
          <w:rFonts w:cstheme="minorHAnsi"/>
          <w:szCs w:val="22"/>
        </w:rPr>
        <w:t>Strong, S. 2020. ‘Food Banks, Actually Existing Austerity and the Localisation of Responsibility’. Geoforum 110: 211-219 (in-text reference: Strong 2020)</w:t>
      </w:r>
    </w:p>
    <w:p w14:paraId="60BC3751" w14:textId="77777777" w:rsidR="005D7E53" w:rsidRPr="005D7E53" w:rsidRDefault="005D7E53" w:rsidP="00C9569B">
      <w:pPr>
        <w:pStyle w:val="NormalIndent"/>
        <w:spacing w:line="480" w:lineRule="auto"/>
      </w:pPr>
    </w:p>
    <w:p w14:paraId="482BAE0D" w14:textId="198B5708" w:rsidR="00895908" w:rsidRDefault="00895908">
      <w:pPr>
        <w:spacing w:line="480" w:lineRule="auto"/>
        <w:jc w:val="both"/>
        <w:rPr>
          <w:rFonts w:cstheme="minorHAnsi"/>
          <w:szCs w:val="22"/>
        </w:rPr>
      </w:pPr>
      <w:r w:rsidRPr="00051E6D">
        <w:rPr>
          <w:rFonts w:cstheme="minorHAnsi"/>
          <w:szCs w:val="22"/>
        </w:rPr>
        <w:t>The Poverty Truth Commission. 2014. ‘Turn Up the Volume on Poverty’. Faith in Community (Scotland). (in-text reference: The Poverty Truth Commission 2014)</w:t>
      </w:r>
    </w:p>
    <w:p w14:paraId="11969C82" w14:textId="77777777" w:rsidR="005D7E53" w:rsidRPr="005D7E53" w:rsidRDefault="005D7E53" w:rsidP="00C9569B">
      <w:pPr>
        <w:pStyle w:val="NormalIndent"/>
        <w:spacing w:line="480" w:lineRule="auto"/>
      </w:pPr>
    </w:p>
    <w:p w14:paraId="5D4CE2D4" w14:textId="5235A4C5" w:rsidR="00895908" w:rsidRPr="00051E6D" w:rsidRDefault="00895908">
      <w:pPr>
        <w:spacing w:line="480" w:lineRule="auto"/>
        <w:jc w:val="both"/>
        <w:rPr>
          <w:rFonts w:cstheme="minorHAnsi"/>
          <w:szCs w:val="22"/>
        </w:rPr>
      </w:pPr>
      <w:r w:rsidRPr="00051E6D">
        <w:rPr>
          <w:rFonts w:cstheme="minorHAnsi"/>
          <w:szCs w:val="22"/>
        </w:rPr>
        <w:t>The Poverty Truth Commission / Faith in Community (Scotland). 2016. ‘#Names Not Numbers: The Poverty Truth Commission Report 2014-2016’. (in-text reference: The Poverty Truth Commission 2016)</w:t>
      </w:r>
    </w:p>
    <w:p w14:paraId="246424C3" w14:textId="2C2B13D6" w:rsidR="00C41487" w:rsidRDefault="00895908">
      <w:pPr>
        <w:spacing w:line="480" w:lineRule="auto"/>
        <w:ind w:left="720"/>
        <w:jc w:val="both"/>
        <w:rPr>
          <w:rFonts w:cstheme="minorHAnsi"/>
          <w:szCs w:val="22"/>
        </w:rPr>
      </w:pPr>
      <w:r w:rsidRPr="00051E6D">
        <w:rPr>
          <w:rFonts w:cstheme="minorHAnsi"/>
          <w:szCs w:val="22"/>
        </w:rPr>
        <w:t>———. 2018. ‘The Poverty Truth Commission Annual Report’. Glasgow: Poverty Truth Commission: Glasgow.</w:t>
      </w:r>
      <w:r w:rsidR="00C76379" w:rsidRPr="00051E6D">
        <w:rPr>
          <w:rFonts w:cstheme="minorHAnsi"/>
          <w:szCs w:val="22"/>
        </w:rPr>
        <w:t xml:space="preserve"> </w:t>
      </w:r>
      <w:hyperlink r:id="rId37" w:history="1">
        <w:r w:rsidR="0021618E" w:rsidRPr="0021618E">
          <w:rPr>
            <w:rStyle w:val="Hyperlink"/>
            <w:rFonts w:cstheme="minorHAnsi"/>
            <w:color w:val="4472C4" w:themeColor="accent1"/>
            <w:szCs w:val="22"/>
            <w:u w:val="single"/>
          </w:rPr>
          <w:t>https://static1.squarespace.com/static/5d72d9ffd7ef2750a4da336b/t/5d7ac7fa0b8d0a04f82557c4/1568327696187/FICS+signed+accounts+31+March+2018+email+web.pdf</w:t>
        </w:r>
      </w:hyperlink>
      <w:r w:rsidR="0021618E">
        <w:rPr>
          <w:rFonts w:cstheme="minorHAnsi"/>
          <w:color w:val="4472C4" w:themeColor="accent1"/>
          <w:szCs w:val="22"/>
          <w:u w:val="single"/>
        </w:rPr>
        <w:t xml:space="preserve"> </w:t>
      </w:r>
      <w:r w:rsidR="006A3FDA" w:rsidRPr="00051E6D">
        <w:rPr>
          <w:rFonts w:cstheme="minorHAnsi"/>
          <w:szCs w:val="22"/>
        </w:rPr>
        <w:t xml:space="preserve">(referenced 21 September 2020) </w:t>
      </w:r>
      <w:r w:rsidRPr="00051E6D">
        <w:rPr>
          <w:rFonts w:cstheme="minorHAnsi"/>
          <w:szCs w:val="22"/>
        </w:rPr>
        <w:t xml:space="preserve">(in-text reference: The </w:t>
      </w:r>
    </w:p>
    <w:p w14:paraId="3289CE96" w14:textId="48F749FC" w:rsidR="00C41487" w:rsidRDefault="00895908">
      <w:pPr>
        <w:spacing w:line="480" w:lineRule="auto"/>
        <w:ind w:left="720"/>
        <w:jc w:val="both"/>
        <w:rPr>
          <w:rFonts w:cstheme="minorHAnsi"/>
          <w:szCs w:val="22"/>
        </w:rPr>
      </w:pPr>
      <w:r w:rsidRPr="00051E6D">
        <w:rPr>
          <w:rFonts w:cstheme="minorHAnsi"/>
          <w:szCs w:val="22"/>
        </w:rPr>
        <w:t>Poverty Truth Commission 2018)</w:t>
      </w:r>
    </w:p>
    <w:p w14:paraId="474BC5DF" w14:textId="77777777" w:rsidR="005D7E53" w:rsidRPr="005D7E53" w:rsidRDefault="005D7E53" w:rsidP="00C9569B">
      <w:pPr>
        <w:pStyle w:val="NormalIndent"/>
        <w:spacing w:line="480" w:lineRule="auto"/>
      </w:pPr>
    </w:p>
    <w:p w14:paraId="323F90C6" w14:textId="42C6C840" w:rsidR="00E91BE5" w:rsidRDefault="007E7AF9">
      <w:pPr>
        <w:spacing w:line="480" w:lineRule="auto"/>
        <w:jc w:val="both"/>
        <w:rPr>
          <w:rFonts w:cstheme="minorHAnsi"/>
          <w:color w:val="000000" w:themeColor="text1"/>
          <w:szCs w:val="22"/>
        </w:rPr>
      </w:pPr>
      <w:r w:rsidRPr="00051E6D">
        <w:rPr>
          <w:rFonts w:cstheme="minorHAnsi"/>
          <w:color w:val="000000" w:themeColor="text1"/>
          <w:szCs w:val="22"/>
        </w:rPr>
        <w:t xml:space="preserve">The William Winter Institute for Racial Reconciliation, ‘Mission, Vision, Values’ 2020 at </w:t>
      </w:r>
      <w:hyperlink r:id="rId38" w:history="1">
        <w:r w:rsidRPr="00995760">
          <w:rPr>
            <w:rStyle w:val="Hyperlink"/>
            <w:rFonts w:cstheme="minorHAnsi"/>
            <w:color w:val="4472C4" w:themeColor="accent1"/>
            <w:szCs w:val="22"/>
            <w:u w:val="single"/>
          </w:rPr>
          <w:t>https://www.winterinstitute.org/about/mission-vision-values/</w:t>
        </w:r>
      </w:hyperlink>
      <w:r w:rsidRPr="00051E6D">
        <w:rPr>
          <w:rFonts w:cstheme="minorHAnsi"/>
          <w:color w:val="000000" w:themeColor="text1"/>
          <w:szCs w:val="22"/>
        </w:rPr>
        <w:t xml:space="preserve"> (</w:t>
      </w:r>
      <w:r w:rsidR="00D73DBC">
        <w:rPr>
          <w:rFonts w:cstheme="minorHAnsi"/>
          <w:color w:val="000000" w:themeColor="text1"/>
          <w:szCs w:val="22"/>
        </w:rPr>
        <w:t xml:space="preserve">referenced 25 </w:t>
      </w:r>
      <w:r w:rsidR="00D73DBC">
        <w:rPr>
          <w:rFonts w:cstheme="minorHAnsi"/>
          <w:color w:val="000000" w:themeColor="text1"/>
          <w:szCs w:val="22"/>
        </w:rPr>
        <w:lastRenderedPageBreak/>
        <w:t>September 2020)</w:t>
      </w:r>
      <w:r w:rsidRPr="00051E6D">
        <w:rPr>
          <w:rFonts w:cstheme="minorHAnsi"/>
          <w:color w:val="000000" w:themeColor="text1"/>
          <w:szCs w:val="22"/>
        </w:rPr>
        <w:t xml:space="preserve"> </w:t>
      </w:r>
      <w:r w:rsidR="00E91BE5">
        <w:rPr>
          <w:rFonts w:cstheme="minorHAnsi"/>
          <w:color w:val="000000" w:themeColor="text1"/>
          <w:szCs w:val="22"/>
        </w:rPr>
        <w:t xml:space="preserve">(in-text refrence: </w:t>
      </w:r>
      <w:r w:rsidR="00E91BE5" w:rsidRPr="00051E6D">
        <w:rPr>
          <w:rFonts w:cstheme="minorHAnsi"/>
          <w:color w:val="000000" w:themeColor="text1"/>
          <w:szCs w:val="22"/>
        </w:rPr>
        <w:t>The William Winter Institute for Racial Reconciliation</w:t>
      </w:r>
      <w:r w:rsidR="00E91BE5">
        <w:rPr>
          <w:rFonts w:cstheme="minorHAnsi"/>
          <w:color w:val="000000" w:themeColor="text1"/>
          <w:szCs w:val="22"/>
        </w:rPr>
        <w:t xml:space="preserve"> 2020)</w:t>
      </w:r>
    </w:p>
    <w:p w14:paraId="5EFD1591" w14:textId="77777777" w:rsidR="005D7E53" w:rsidRPr="005D7E53" w:rsidRDefault="005D7E53" w:rsidP="00C9569B">
      <w:pPr>
        <w:pStyle w:val="NormalIndent"/>
        <w:spacing w:line="480" w:lineRule="auto"/>
      </w:pPr>
    </w:p>
    <w:p w14:paraId="53EBBE6E" w14:textId="20E68122" w:rsidR="003759C9" w:rsidRDefault="00895908">
      <w:pPr>
        <w:spacing w:line="480" w:lineRule="auto"/>
        <w:jc w:val="both"/>
        <w:rPr>
          <w:rFonts w:cstheme="minorHAnsi"/>
          <w:szCs w:val="22"/>
        </w:rPr>
      </w:pPr>
      <w:r w:rsidRPr="00051E6D">
        <w:rPr>
          <w:rFonts w:cstheme="minorHAnsi"/>
          <w:szCs w:val="22"/>
        </w:rPr>
        <w:t xml:space="preserve">Thoreau, H.D. 1906. </w:t>
      </w:r>
      <w:r w:rsidRPr="00051E6D">
        <w:rPr>
          <w:rFonts w:cstheme="minorHAnsi"/>
          <w:i/>
          <w:iCs/>
          <w:szCs w:val="22"/>
        </w:rPr>
        <w:t>The Writings Of Henry David Thoreau I - A Week On The Concord And Merrimack Rivers</w:t>
      </w:r>
      <w:r w:rsidRPr="00051E6D">
        <w:rPr>
          <w:rFonts w:cstheme="minorHAnsi"/>
          <w:szCs w:val="22"/>
        </w:rPr>
        <w:t xml:space="preserve">. Cambridge: The Riverside Press. </w:t>
      </w:r>
      <w:hyperlink r:id="rId39" w:history="1">
        <w:r w:rsidRPr="00995760">
          <w:rPr>
            <w:rStyle w:val="Hyperlink"/>
            <w:rFonts w:eastAsia="TimesNewRomanPSMT" w:cstheme="minorHAnsi"/>
            <w:color w:val="4472C4" w:themeColor="accent1"/>
            <w:szCs w:val="22"/>
            <w:u w:val="single"/>
          </w:rPr>
          <w:t>https://www.walden.org/wp-content/uploads/2016/03/Week09Wednesday.pdf</w:t>
        </w:r>
      </w:hyperlink>
      <w:r w:rsidRPr="00051E6D">
        <w:rPr>
          <w:rFonts w:cstheme="minorHAnsi"/>
          <w:szCs w:val="22"/>
        </w:rPr>
        <w:t>. (referenced 9 April 2020). (in-text reference: Thoreau 1906)</w:t>
      </w:r>
    </w:p>
    <w:p w14:paraId="45F4CAB2" w14:textId="77777777" w:rsidR="005D7E53" w:rsidRPr="005D7E53" w:rsidRDefault="005D7E53" w:rsidP="00C9569B">
      <w:pPr>
        <w:pStyle w:val="NormalIndent"/>
        <w:spacing w:line="480" w:lineRule="auto"/>
      </w:pPr>
    </w:p>
    <w:p w14:paraId="10EB0DEE" w14:textId="457BB290" w:rsidR="00AB2724" w:rsidRDefault="003759C9">
      <w:pPr>
        <w:spacing w:line="480" w:lineRule="auto"/>
        <w:jc w:val="both"/>
        <w:rPr>
          <w:rFonts w:cstheme="minorHAnsi"/>
          <w:szCs w:val="22"/>
        </w:rPr>
      </w:pPr>
      <w:r w:rsidRPr="00051E6D">
        <w:rPr>
          <w:rFonts w:cstheme="minorHAnsi"/>
          <w:szCs w:val="22"/>
        </w:rPr>
        <w:t xml:space="preserve">Trussell Trust. 2020. Lockdown, </w:t>
      </w:r>
      <w:r w:rsidR="00632014" w:rsidRPr="00051E6D">
        <w:rPr>
          <w:rFonts w:cstheme="minorHAnsi"/>
          <w:szCs w:val="22"/>
        </w:rPr>
        <w:t>L</w:t>
      </w:r>
      <w:r w:rsidRPr="00051E6D">
        <w:rPr>
          <w:rFonts w:cstheme="minorHAnsi"/>
          <w:szCs w:val="22"/>
        </w:rPr>
        <w:t>ifelines</w:t>
      </w:r>
      <w:r w:rsidR="00632014" w:rsidRPr="00051E6D">
        <w:rPr>
          <w:rFonts w:cstheme="minorHAnsi"/>
          <w:szCs w:val="22"/>
        </w:rPr>
        <w:t xml:space="preserve"> and the Long Haul Ahead: The Impact of Covid-19 on foodbanks in the Trussell Trust Network. </w:t>
      </w:r>
      <w:hyperlink r:id="rId40" w:history="1">
        <w:r w:rsidR="00632014" w:rsidRPr="00051E6D">
          <w:rPr>
            <w:rStyle w:val="Hyperlink"/>
            <w:rFonts w:cstheme="minorHAnsi"/>
            <w:color w:val="4472C4" w:themeColor="accent1"/>
            <w:szCs w:val="22"/>
            <w:u w:val="single"/>
          </w:rPr>
          <w:t>https://www.trusselltrust.org/wp-content/uploads/sites/2/2020/09/the-impact-of-covid-19-on-food-banks-report.pdf</w:t>
        </w:r>
      </w:hyperlink>
      <w:r w:rsidR="00632014" w:rsidRPr="00051E6D">
        <w:rPr>
          <w:rFonts w:cstheme="minorHAnsi"/>
          <w:szCs w:val="22"/>
        </w:rPr>
        <w:t xml:space="preserve">. </w:t>
      </w:r>
      <w:r w:rsidR="005D004C" w:rsidRPr="00051E6D">
        <w:rPr>
          <w:rFonts w:cstheme="minorHAnsi"/>
          <w:szCs w:val="22"/>
        </w:rPr>
        <w:t>(r</w:t>
      </w:r>
      <w:r w:rsidR="00632014" w:rsidRPr="00051E6D">
        <w:rPr>
          <w:rFonts w:cstheme="minorHAnsi"/>
          <w:szCs w:val="22"/>
        </w:rPr>
        <w:t xml:space="preserve">eferenced </w:t>
      </w:r>
      <w:r w:rsidR="005D004C" w:rsidRPr="00051E6D">
        <w:rPr>
          <w:rFonts w:cstheme="minorHAnsi"/>
          <w:szCs w:val="22"/>
        </w:rPr>
        <w:t>21 September 2020). (in-text reference: Trussell Trust 2020)</w:t>
      </w:r>
    </w:p>
    <w:p w14:paraId="357E12FC" w14:textId="77777777" w:rsidR="005D7E53" w:rsidRPr="005D7E53" w:rsidRDefault="005D7E53" w:rsidP="00C9569B">
      <w:pPr>
        <w:pStyle w:val="NormalIndent"/>
        <w:spacing w:line="480" w:lineRule="auto"/>
      </w:pPr>
    </w:p>
    <w:p w14:paraId="2FC8C4E9" w14:textId="3F2031AA" w:rsidR="00895908" w:rsidRPr="00051E6D" w:rsidRDefault="00895908">
      <w:pPr>
        <w:spacing w:line="480" w:lineRule="auto"/>
        <w:jc w:val="both"/>
        <w:rPr>
          <w:rFonts w:cstheme="minorHAnsi"/>
          <w:szCs w:val="22"/>
        </w:rPr>
      </w:pPr>
      <w:r w:rsidRPr="00051E6D">
        <w:rPr>
          <w:rFonts w:cstheme="minorHAnsi"/>
          <w:szCs w:val="22"/>
        </w:rPr>
        <w:t xml:space="preserve">UK Parliament, </w:t>
      </w:r>
      <w:r w:rsidR="00A15AE8" w:rsidRPr="00051E6D">
        <w:rPr>
          <w:rFonts w:cstheme="minorHAnsi"/>
          <w:szCs w:val="22"/>
        </w:rPr>
        <w:t xml:space="preserve">Early Day Motions, House of Commons. 2019. ‘Enforcement of the Socio-Economic Duty in Section 1 of the Equality Act 2010 - Early Day Motion #2249’. 2019. </w:t>
      </w:r>
      <w:hyperlink r:id="rId41" w:history="1">
        <w:r w:rsidR="00A15AE8" w:rsidRPr="00995760">
          <w:rPr>
            <w:rStyle w:val="Hyperlink"/>
            <w:rFonts w:eastAsia="TimesNewRomanPSMT" w:cstheme="minorHAnsi"/>
            <w:color w:val="4472C4" w:themeColor="accent1"/>
            <w:szCs w:val="22"/>
            <w:u w:val="single"/>
          </w:rPr>
          <w:t>https://edm.parliament.uk/early-day-motion/52769/enforcement-of-the-socioeconomic-duty-in-section-1-of-the-equality-act-2010</w:t>
        </w:r>
      </w:hyperlink>
      <w:r w:rsidR="00A15AE8" w:rsidRPr="00051E6D">
        <w:rPr>
          <w:rFonts w:cstheme="minorHAnsi"/>
          <w:szCs w:val="22"/>
        </w:rPr>
        <w:t>. (Referenced 9 April 2020) (in-text reference: UK Parliament 2019)</w:t>
      </w:r>
    </w:p>
    <w:p w14:paraId="4436F6E9" w14:textId="77777777" w:rsidR="00895908" w:rsidRPr="00051E6D" w:rsidRDefault="00895908">
      <w:pPr>
        <w:spacing w:line="480" w:lineRule="auto"/>
        <w:jc w:val="both"/>
        <w:rPr>
          <w:rFonts w:cstheme="minorHAnsi"/>
          <w:szCs w:val="22"/>
        </w:rPr>
      </w:pPr>
    </w:p>
    <w:p w14:paraId="188A6FA6" w14:textId="4AC9CC70" w:rsidR="00E91BE5" w:rsidRDefault="00895908">
      <w:pPr>
        <w:spacing w:line="480" w:lineRule="auto"/>
        <w:ind w:left="720"/>
        <w:jc w:val="both"/>
        <w:rPr>
          <w:rFonts w:cstheme="minorHAnsi"/>
          <w:szCs w:val="22"/>
        </w:rPr>
      </w:pPr>
      <w:r w:rsidRPr="00051E6D">
        <w:rPr>
          <w:rFonts w:cstheme="minorHAnsi"/>
          <w:szCs w:val="22"/>
        </w:rPr>
        <w:t>———.</w:t>
      </w:r>
      <w:r w:rsidR="00A15AE8" w:rsidRPr="00A15AE8">
        <w:rPr>
          <w:rFonts w:cstheme="minorHAnsi"/>
          <w:szCs w:val="22"/>
        </w:rPr>
        <w:t xml:space="preserve"> </w:t>
      </w:r>
      <w:r w:rsidR="00A15AE8" w:rsidRPr="00051E6D">
        <w:rPr>
          <w:rFonts w:cstheme="minorHAnsi"/>
          <w:szCs w:val="22"/>
        </w:rPr>
        <w:t xml:space="preserve">Early Day Motions, House of Commons. 2017. ‘Commencement and Enforcement of the Socio-Economic Duty - S1 of the Equality Act - Early Day Motion #591’. 2017. </w:t>
      </w:r>
      <w:hyperlink r:id="rId42" w:history="1">
        <w:r w:rsidR="00A15AE8" w:rsidRPr="00995760">
          <w:rPr>
            <w:rStyle w:val="Hyperlink"/>
            <w:rFonts w:eastAsia="TimesNewRomanPSMT" w:cstheme="minorHAnsi"/>
            <w:color w:val="4472C4" w:themeColor="accent1"/>
            <w:szCs w:val="22"/>
            <w:u w:val="single"/>
          </w:rPr>
          <w:t>https://edm.parliament.uk/early-day-</w:t>
        </w:r>
        <w:r w:rsidR="00A15AE8" w:rsidRPr="00995760">
          <w:rPr>
            <w:rStyle w:val="Hyperlink"/>
            <w:rFonts w:eastAsia="TimesNewRomanPSMT" w:cstheme="minorHAnsi"/>
            <w:color w:val="4472C4" w:themeColor="accent1"/>
            <w:szCs w:val="22"/>
            <w:u w:val="single"/>
          </w:rPr>
          <w:lastRenderedPageBreak/>
          <w:t>motion/51058/commencement-and-enforcement-of-the-socioeconomic-duty-s1-of-the-equality-act</w:t>
        </w:r>
      </w:hyperlink>
      <w:r w:rsidR="00A15AE8" w:rsidRPr="00051E6D">
        <w:rPr>
          <w:rFonts w:cstheme="minorHAnsi"/>
          <w:szCs w:val="22"/>
        </w:rPr>
        <w:t>. (Referenced 9 April 2020) (in-text reference: UK Parliament 2017)</w:t>
      </w:r>
    </w:p>
    <w:p w14:paraId="673B912A" w14:textId="7D8457C1" w:rsidR="00EA4637" w:rsidRDefault="00776AD1">
      <w:pPr>
        <w:spacing w:line="480" w:lineRule="auto"/>
        <w:ind w:left="720"/>
        <w:jc w:val="both"/>
        <w:rPr>
          <w:rFonts w:cstheme="minorHAnsi"/>
          <w:szCs w:val="22"/>
        </w:rPr>
      </w:pPr>
      <w:r w:rsidRPr="00051E6D">
        <w:rPr>
          <w:rFonts w:cstheme="minorHAnsi"/>
          <w:szCs w:val="22"/>
        </w:rPr>
        <w:t>———</w:t>
      </w:r>
      <w:r w:rsidR="00CE2E64">
        <w:rPr>
          <w:rFonts w:cstheme="minorHAnsi"/>
          <w:szCs w:val="22"/>
        </w:rPr>
        <w:t>2021.</w:t>
      </w:r>
      <w:r w:rsidR="00EA4637" w:rsidRPr="00EA4637">
        <w:rPr>
          <w:rFonts w:cstheme="minorHAnsi"/>
          <w:szCs w:val="22"/>
        </w:rPr>
        <w:t xml:space="preserve"> </w:t>
      </w:r>
      <w:r w:rsidR="00CE2E64">
        <w:rPr>
          <w:rFonts w:cstheme="minorHAnsi"/>
          <w:szCs w:val="22"/>
        </w:rPr>
        <w:t>‘</w:t>
      </w:r>
      <w:r w:rsidR="00992285" w:rsidRPr="00992285">
        <w:rPr>
          <w:rFonts w:cstheme="minorHAnsi"/>
          <w:szCs w:val="22"/>
        </w:rPr>
        <w:t xml:space="preserve">About </w:t>
      </w:r>
      <w:r w:rsidR="00716D6B" w:rsidRPr="00992285">
        <w:rPr>
          <w:rFonts w:cstheme="minorHAnsi"/>
          <w:szCs w:val="22"/>
        </w:rPr>
        <w:t>Parliament</w:t>
      </w:r>
      <w:r w:rsidR="00716D6B">
        <w:rPr>
          <w:rFonts w:cstheme="minorHAnsi"/>
          <w:szCs w:val="22"/>
        </w:rPr>
        <w:t>:</w:t>
      </w:r>
      <w:r w:rsidR="00716D6B" w:rsidRPr="00992285">
        <w:rPr>
          <w:rFonts w:cstheme="minorHAnsi"/>
          <w:szCs w:val="22"/>
        </w:rPr>
        <w:t xml:space="preserve"> How</w:t>
      </w:r>
      <w:r w:rsidR="00992285" w:rsidRPr="00992285">
        <w:rPr>
          <w:rFonts w:cstheme="minorHAnsi"/>
          <w:szCs w:val="22"/>
        </w:rPr>
        <w:t xml:space="preserve"> Parliament works</w:t>
      </w:r>
      <w:r w:rsidR="00992285">
        <w:rPr>
          <w:rFonts w:cstheme="minorHAnsi"/>
          <w:szCs w:val="22"/>
        </w:rPr>
        <w:t>,</w:t>
      </w:r>
      <w:r w:rsidR="00992285" w:rsidRPr="00992285">
        <w:rPr>
          <w:rFonts w:cstheme="minorHAnsi"/>
          <w:szCs w:val="22"/>
        </w:rPr>
        <w:t xml:space="preserve"> Daily business</w:t>
      </w:r>
      <w:r w:rsidR="00992285">
        <w:rPr>
          <w:rFonts w:cstheme="minorHAnsi"/>
          <w:szCs w:val="22"/>
        </w:rPr>
        <w:t>,</w:t>
      </w:r>
      <w:r w:rsidR="00992285" w:rsidRPr="00992285">
        <w:rPr>
          <w:rFonts w:cstheme="minorHAnsi"/>
          <w:szCs w:val="22"/>
        </w:rPr>
        <w:t xml:space="preserve"> What are Early day motions?</w:t>
      </w:r>
      <w:r w:rsidR="00CE2E64">
        <w:rPr>
          <w:rFonts w:cstheme="minorHAnsi"/>
          <w:szCs w:val="22"/>
        </w:rPr>
        <w:t>’</w:t>
      </w:r>
      <w:r w:rsidR="00992285" w:rsidRPr="00992285">
        <w:rPr>
          <w:rFonts w:cstheme="minorHAnsi"/>
          <w:szCs w:val="22"/>
        </w:rPr>
        <w:t xml:space="preserve"> </w:t>
      </w:r>
      <w:r w:rsidR="00EA4637" w:rsidRPr="00EA4637">
        <w:rPr>
          <w:rFonts w:cstheme="minorHAnsi"/>
          <w:szCs w:val="22"/>
        </w:rPr>
        <w:t xml:space="preserve">2021 </w:t>
      </w:r>
      <w:r w:rsidR="00EA4637">
        <w:rPr>
          <w:rFonts w:cstheme="minorHAnsi"/>
          <w:szCs w:val="22"/>
        </w:rPr>
        <w:t xml:space="preserve"> </w:t>
      </w:r>
      <w:hyperlink r:id="rId43" w:history="1">
        <w:r w:rsidR="00EA4637" w:rsidRPr="00995760">
          <w:rPr>
            <w:rStyle w:val="Hyperlink"/>
            <w:rFonts w:cstheme="minorHAnsi"/>
            <w:color w:val="4472C4" w:themeColor="accent1"/>
            <w:szCs w:val="22"/>
            <w:u w:val="single"/>
          </w:rPr>
          <w:t>https://www.parliament.uk/about/how/business/edms/</w:t>
        </w:r>
      </w:hyperlink>
      <w:r w:rsidR="00CE2E64">
        <w:rPr>
          <w:rFonts w:cstheme="minorHAnsi"/>
          <w:szCs w:val="22"/>
        </w:rPr>
        <w:t>. (referenced 5 January 2021) (</w:t>
      </w:r>
      <w:r w:rsidR="00CE2E64" w:rsidRPr="00051E6D">
        <w:rPr>
          <w:rFonts w:cstheme="minorHAnsi"/>
          <w:szCs w:val="22"/>
        </w:rPr>
        <w:t>(in-text reference:</w:t>
      </w:r>
      <w:r>
        <w:rPr>
          <w:rFonts w:cstheme="minorHAnsi"/>
          <w:szCs w:val="22"/>
        </w:rPr>
        <w:t xml:space="preserve"> UK Parliament 2021)</w:t>
      </w:r>
    </w:p>
    <w:p w14:paraId="2DEFA94D" w14:textId="77777777" w:rsidR="005D7E53" w:rsidRPr="005D7E53" w:rsidRDefault="005D7E53" w:rsidP="00C9569B">
      <w:pPr>
        <w:pStyle w:val="NormalIndent"/>
        <w:spacing w:line="480" w:lineRule="auto"/>
      </w:pPr>
    </w:p>
    <w:p w14:paraId="7FB3A118" w14:textId="68FC47C5" w:rsidR="00721C08" w:rsidRDefault="00721C08">
      <w:pPr>
        <w:spacing w:line="480" w:lineRule="auto"/>
        <w:jc w:val="both"/>
        <w:rPr>
          <w:rFonts w:cstheme="minorHAnsi"/>
          <w:szCs w:val="22"/>
        </w:rPr>
      </w:pPr>
      <w:r w:rsidRPr="00051E6D">
        <w:rPr>
          <w:rFonts w:cstheme="minorHAnsi"/>
          <w:szCs w:val="22"/>
        </w:rPr>
        <w:t>UN Committee on Economic, Social and Cultural Rights</w:t>
      </w:r>
      <w:r w:rsidR="005D7E53">
        <w:rPr>
          <w:rFonts w:cstheme="minorHAnsi"/>
          <w:szCs w:val="22"/>
        </w:rPr>
        <w:t>. 2001.</w:t>
      </w:r>
      <w:r w:rsidRPr="00051E6D">
        <w:rPr>
          <w:rFonts w:cstheme="minorHAnsi"/>
          <w:szCs w:val="22"/>
        </w:rPr>
        <w:t xml:space="preserve"> </w:t>
      </w:r>
      <w:r w:rsidR="00051E6D" w:rsidRPr="00051E6D">
        <w:rPr>
          <w:rFonts w:cstheme="minorHAnsi"/>
          <w:szCs w:val="22"/>
        </w:rPr>
        <w:t>‘</w:t>
      </w:r>
      <w:r w:rsidRPr="00051E6D">
        <w:rPr>
          <w:rFonts w:cstheme="minorHAnsi"/>
          <w:szCs w:val="22"/>
        </w:rPr>
        <w:t>Poverty and the International Covenant on Economic, Social and Cultural Rights, Statement adopted on 4 May 2001</w:t>
      </w:r>
      <w:r w:rsidR="005D7E53">
        <w:rPr>
          <w:rFonts w:cstheme="minorHAnsi"/>
          <w:szCs w:val="22"/>
        </w:rPr>
        <w:t>’</w:t>
      </w:r>
      <w:r w:rsidR="00051E6D" w:rsidRPr="00051E6D">
        <w:rPr>
          <w:rFonts w:cstheme="minorHAnsi"/>
          <w:szCs w:val="22"/>
        </w:rPr>
        <w:t xml:space="preserve">  E/C.12/2001/10</w:t>
      </w:r>
      <w:r w:rsidRPr="00051E6D">
        <w:rPr>
          <w:rFonts w:cstheme="minorHAnsi"/>
          <w:szCs w:val="22"/>
        </w:rPr>
        <w:t xml:space="preserve"> (in-text reference: </w:t>
      </w:r>
      <w:r w:rsidR="002F6C4C">
        <w:rPr>
          <w:rFonts w:cstheme="minorHAnsi"/>
          <w:szCs w:val="22"/>
        </w:rPr>
        <w:t>UN CESCR</w:t>
      </w:r>
      <w:r w:rsidRPr="00051E6D">
        <w:rPr>
          <w:rFonts w:cstheme="minorHAnsi"/>
          <w:szCs w:val="22"/>
        </w:rPr>
        <w:t xml:space="preserve"> 2001)</w:t>
      </w:r>
    </w:p>
    <w:p w14:paraId="4A5B1064" w14:textId="2290A86B" w:rsidR="0021618E" w:rsidRDefault="0021618E" w:rsidP="0021618E">
      <w:pPr>
        <w:pStyle w:val="NormalIndent"/>
      </w:pPr>
    </w:p>
    <w:p w14:paraId="2299CD6A" w14:textId="77777777" w:rsidR="0021618E" w:rsidRPr="0021618E" w:rsidRDefault="0021618E" w:rsidP="0021618E">
      <w:pPr>
        <w:pStyle w:val="NormalIndent"/>
      </w:pPr>
    </w:p>
    <w:p w14:paraId="517D652F" w14:textId="6DCBA40E" w:rsidR="00895908" w:rsidRDefault="00794DE4" w:rsidP="00C9569B">
      <w:pPr>
        <w:spacing w:line="480" w:lineRule="auto"/>
        <w:ind w:left="720"/>
        <w:jc w:val="both"/>
        <w:rPr>
          <w:rFonts w:cstheme="minorHAnsi"/>
          <w:szCs w:val="22"/>
        </w:rPr>
      </w:pPr>
      <w:r w:rsidRPr="00051E6D">
        <w:rPr>
          <w:rFonts w:cstheme="minorHAnsi"/>
          <w:szCs w:val="22"/>
        </w:rPr>
        <w:t xml:space="preserve">———. </w:t>
      </w:r>
      <w:r w:rsidR="00895908" w:rsidRPr="00051E6D">
        <w:rPr>
          <w:rFonts w:cstheme="minorHAnsi"/>
          <w:szCs w:val="22"/>
        </w:rPr>
        <w:t xml:space="preserve">2016. ‘Concluding Observations on the Sixth Periodic Report of the United Kingdom of Great Britain and Northern Ireland’ E/C.12/GBR/CO/6’. (in-text reference: </w:t>
      </w:r>
      <w:r w:rsidR="002F6C4C">
        <w:rPr>
          <w:rFonts w:cstheme="minorHAnsi"/>
          <w:szCs w:val="22"/>
        </w:rPr>
        <w:t>UN CESCR</w:t>
      </w:r>
      <w:r w:rsidR="002F6C4C" w:rsidRPr="00051E6D">
        <w:rPr>
          <w:rFonts w:cstheme="minorHAnsi"/>
          <w:szCs w:val="22"/>
        </w:rPr>
        <w:t xml:space="preserve"> </w:t>
      </w:r>
      <w:r w:rsidR="00895908" w:rsidRPr="00051E6D">
        <w:rPr>
          <w:rFonts w:cstheme="minorHAnsi"/>
          <w:szCs w:val="22"/>
        </w:rPr>
        <w:t>2016)</w:t>
      </w:r>
    </w:p>
    <w:p w14:paraId="202512E4" w14:textId="77777777" w:rsidR="005D7E53" w:rsidRPr="005D7E53" w:rsidRDefault="005D7E53" w:rsidP="00C9569B">
      <w:pPr>
        <w:pStyle w:val="NormalIndent"/>
        <w:spacing w:line="480" w:lineRule="auto"/>
      </w:pPr>
    </w:p>
    <w:p w14:paraId="4ED408DA" w14:textId="38619EFA" w:rsidR="00895908" w:rsidRDefault="00895908">
      <w:pPr>
        <w:spacing w:line="480" w:lineRule="auto"/>
        <w:jc w:val="both"/>
        <w:rPr>
          <w:rFonts w:cstheme="minorHAnsi"/>
          <w:szCs w:val="22"/>
        </w:rPr>
      </w:pPr>
      <w:r w:rsidRPr="00051E6D">
        <w:rPr>
          <w:rFonts w:cstheme="minorHAnsi"/>
          <w:szCs w:val="22"/>
        </w:rPr>
        <w:t xml:space="preserve">UN Committee on the Rights of Persons with Disabilities. 2016. ‘Inquiry Concerning the United Kingdom of Great Britain and Northern Ireland Carried out by the Committee under Article 6 of the Optional Protocol to the Convention’. CRPD/C/15/R.2/Rev.1. (in-text reference: UN </w:t>
      </w:r>
      <w:r w:rsidR="002F6C4C">
        <w:rPr>
          <w:rFonts w:cstheme="minorHAnsi"/>
          <w:szCs w:val="22"/>
        </w:rPr>
        <w:t>CRPD</w:t>
      </w:r>
      <w:r w:rsidRPr="00051E6D">
        <w:rPr>
          <w:rFonts w:cstheme="minorHAnsi"/>
          <w:szCs w:val="22"/>
        </w:rPr>
        <w:t xml:space="preserve"> 2016)</w:t>
      </w:r>
    </w:p>
    <w:p w14:paraId="22BD52B2" w14:textId="77777777" w:rsidR="005D7E53" w:rsidRPr="005D7E53" w:rsidRDefault="005D7E53" w:rsidP="00C9569B">
      <w:pPr>
        <w:pStyle w:val="NormalIndent"/>
        <w:spacing w:line="480" w:lineRule="auto"/>
      </w:pPr>
    </w:p>
    <w:p w14:paraId="5598ED98" w14:textId="141CBA42" w:rsidR="007D3DE8" w:rsidRDefault="00895908">
      <w:pPr>
        <w:spacing w:line="480" w:lineRule="auto"/>
        <w:jc w:val="both"/>
        <w:rPr>
          <w:rFonts w:cstheme="minorHAnsi"/>
          <w:szCs w:val="22"/>
        </w:rPr>
      </w:pPr>
      <w:r w:rsidRPr="00051E6D">
        <w:rPr>
          <w:rFonts w:cstheme="minorHAnsi"/>
          <w:szCs w:val="22"/>
        </w:rPr>
        <w:lastRenderedPageBreak/>
        <w:t xml:space="preserve">UN Committee on the Rights of the Child. 2016. ‘Concluding Observations on the Fifth Periodic Report of the United Kingdom of Great Britain and Northern Ireland’. CRC/C/GBR/CO/5. United Nations. (in-text reference: UN </w:t>
      </w:r>
      <w:r w:rsidR="002F6C4C">
        <w:rPr>
          <w:rFonts w:cstheme="minorHAnsi"/>
          <w:szCs w:val="22"/>
        </w:rPr>
        <w:t>CRC</w:t>
      </w:r>
      <w:r w:rsidRPr="00051E6D">
        <w:rPr>
          <w:rFonts w:cstheme="minorHAnsi"/>
          <w:szCs w:val="22"/>
        </w:rPr>
        <w:t xml:space="preserve"> 2016)</w:t>
      </w:r>
    </w:p>
    <w:p w14:paraId="292AFDD0" w14:textId="77777777" w:rsidR="005D7E53" w:rsidRPr="005D7E53" w:rsidRDefault="005D7E53" w:rsidP="00C9569B">
      <w:pPr>
        <w:pStyle w:val="NormalIndent"/>
        <w:spacing w:line="480" w:lineRule="auto"/>
      </w:pPr>
    </w:p>
    <w:p w14:paraId="14D7AAAE" w14:textId="32C4A5D8" w:rsidR="00895908" w:rsidRDefault="00895908">
      <w:pPr>
        <w:spacing w:line="480" w:lineRule="auto"/>
        <w:jc w:val="both"/>
        <w:rPr>
          <w:rFonts w:cstheme="minorHAnsi"/>
          <w:szCs w:val="22"/>
        </w:rPr>
      </w:pPr>
      <w:r w:rsidRPr="00051E6D">
        <w:rPr>
          <w:rFonts w:cstheme="minorHAnsi"/>
          <w:szCs w:val="22"/>
        </w:rPr>
        <w:t>UN Human Rights Council 2020. Report of the Special Rapporteur on Extreme Poverty and Human Rights: The parlous state of poverty eradication (Advance Unedited Version), Alston, P. A/HRC/44/40. (in text-reference UN Human Rights Council. 2020)</w:t>
      </w:r>
    </w:p>
    <w:p w14:paraId="60069A93" w14:textId="77777777" w:rsidR="005D7E53" w:rsidRPr="005D7E53" w:rsidRDefault="005D7E53" w:rsidP="00C9569B">
      <w:pPr>
        <w:pStyle w:val="NormalIndent"/>
        <w:spacing w:line="480" w:lineRule="auto"/>
      </w:pPr>
    </w:p>
    <w:p w14:paraId="274384EB" w14:textId="54A823E8" w:rsidR="00895908" w:rsidRDefault="005D7E53">
      <w:pPr>
        <w:spacing w:line="480" w:lineRule="auto"/>
        <w:ind w:left="720"/>
        <w:jc w:val="both"/>
        <w:rPr>
          <w:rFonts w:cstheme="minorHAnsi"/>
          <w:szCs w:val="22"/>
        </w:rPr>
      </w:pPr>
      <w:r w:rsidRPr="00051E6D">
        <w:rPr>
          <w:rFonts w:cstheme="minorHAnsi"/>
          <w:szCs w:val="22"/>
        </w:rPr>
        <w:t>———</w:t>
      </w:r>
      <w:r w:rsidR="00895908" w:rsidRPr="00051E6D">
        <w:rPr>
          <w:rFonts w:cstheme="minorHAnsi"/>
          <w:szCs w:val="22"/>
        </w:rPr>
        <w:t>. 2019. Report of the Special Rapporteur on Extreme Poverty and Human Rights: Visit to the United Kingdom of Great Britain and Northern Ireland, Alston, P. A/HRC/41/39/Add.1. (in-text reference: UN Human Rights Council. 2019).</w:t>
      </w:r>
    </w:p>
    <w:p w14:paraId="5845EBE6" w14:textId="77777777" w:rsidR="005D7E53" w:rsidRPr="005D7E53" w:rsidRDefault="005D7E53" w:rsidP="00C9569B">
      <w:pPr>
        <w:pStyle w:val="NormalIndent"/>
        <w:spacing w:line="480" w:lineRule="auto"/>
      </w:pPr>
    </w:p>
    <w:p w14:paraId="4562877B" w14:textId="29DEA941" w:rsidR="00895908" w:rsidRDefault="005D7E53">
      <w:pPr>
        <w:spacing w:line="480" w:lineRule="auto"/>
        <w:ind w:left="720"/>
        <w:jc w:val="both"/>
        <w:rPr>
          <w:rFonts w:cstheme="minorHAnsi"/>
          <w:szCs w:val="22"/>
        </w:rPr>
      </w:pPr>
      <w:r w:rsidRPr="00051E6D">
        <w:rPr>
          <w:rFonts w:cstheme="minorHAnsi"/>
          <w:szCs w:val="22"/>
        </w:rPr>
        <w:t>———</w:t>
      </w:r>
      <w:r w:rsidR="00895908" w:rsidRPr="00051E6D">
        <w:rPr>
          <w:rFonts w:cstheme="minorHAnsi"/>
          <w:szCs w:val="22"/>
        </w:rPr>
        <w:t>. 2017. Report of the Working Group on the Universal Periodic Review: United Kingdom of Great Britain and Northern Ireland. A/HRC/36/9. (in-text reference: UN Human Rights Council 2017).</w:t>
      </w:r>
    </w:p>
    <w:p w14:paraId="5822158C" w14:textId="77777777" w:rsidR="005D7E53" w:rsidRPr="005D7E53" w:rsidRDefault="005D7E53" w:rsidP="00C9569B">
      <w:pPr>
        <w:pStyle w:val="NormalIndent"/>
        <w:spacing w:line="480" w:lineRule="auto"/>
      </w:pPr>
    </w:p>
    <w:p w14:paraId="4336600A" w14:textId="059B80A3" w:rsidR="005D7E53" w:rsidRDefault="005D7E53">
      <w:pPr>
        <w:spacing w:line="480" w:lineRule="auto"/>
        <w:ind w:left="720"/>
        <w:jc w:val="both"/>
        <w:rPr>
          <w:rFonts w:cstheme="minorHAnsi"/>
          <w:szCs w:val="22"/>
        </w:rPr>
      </w:pPr>
      <w:r w:rsidRPr="00051E6D">
        <w:rPr>
          <w:rFonts w:cstheme="minorHAnsi"/>
          <w:szCs w:val="22"/>
        </w:rPr>
        <w:t>———</w:t>
      </w:r>
      <w:r w:rsidR="00895908" w:rsidRPr="00051E6D">
        <w:rPr>
          <w:rFonts w:cstheme="minorHAnsi"/>
          <w:szCs w:val="22"/>
        </w:rPr>
        <w:t>. 2013. Report of the Special Rapporteur on Adequate Housing as a Component of the Right to an Adequate Standard of Living, and on the Right to Non-Discrimination in This Context on Her Mission to the United Kingdom of Great Britain and Northern Ireland (29 August–11 September 2013)’. Rolnik, R. A/HRC/25/54/Add.2. (in-text reference: UN Human Rights Council 2013)</w:t>
      </w:r>
      <w:r>
        <w:rPr>
          <w:rFonts w:cstheme="minorHAnsi"/>
          <w:szCs w:val="22"/>
        </w:rPr>
        <w:t>.</w:t>
      </w:r>
    </w:p>
    <w:p w14:paraId="1F7E719E" w14:textId="0890548D" w:rsidR="00FC42B1" w:rsidRDefault="00FC42B1" w:rsidP="00C9569B">
      <w:pPr>
        <w:pStyle w:val="NormalIndent"/>
        <w:spacing w:line="480" w:lineRule="auto"/>
        <w:ind w:left="0"/>
      </w:pPr>
    </w:p>
    <w:p w14:paraId="71B24D6A" w14:textId="77777777" w:rsidR="00FC42B1" w:rsidRPr="00FC42B1" w:rsidRDefault="00FC42B1" w:rsidP="00C9569B">
      <w:pPr>
        <w:pStyle w:val="NormalIndent"/>
        <w:spacing w:line="480" w:lineRule="auto"/>
        <w:ind w:left="0"/>
        <w:jc w:val="both"/>
        <w:rPr>
          <w:i/>
          <w:iCs/>
        </w:rPr>
      </w:pPr>
      <w:r w:rsidRPr="00FC42B1">
        <w:t xml:space="preserve">Van Bueren, G. 2010. Fulfilling Law’s Duty to the Poor. In Van Bueren, G (ed.) </w:t>
      </w:r>
      <w:r w:rsidRPr="00FC42B1">
        <w:rPr>
          <w:i/>
          <w:iCs/>
        </w:rPr>
        <w:t xml:space="preserve">Freedom from Poverty as a Human Right, </w:t>
      </w:r>
      <w:r w:rsidRPr="00FC42B1">
        <w:t>1-20. UNESCO Publishing (in-text reference: Van Bueren 2010)</w:t>
      </w:r>
    </w:p>
    <w:p w14:paraId="24085C39" w14:textId="77777777" w:rsidR="00FC42B1" w:rsidRPr="00FC42B1" w:rsidRDefault="00FC42B1" w:rsidP="00C9569B">
      <w:pPr>
        <w:pStyle w:val="NormalIndent"/>
        <w:spacing w:line="480" w:lineRule="auto"/>
        <w:ind w:left="0"/>
      </w:pPr>
    </w:p>
    <w:p w14:paraId="01502B08" w14:textId="4BCB12D4" w:rsidR="007D3DE8" w:rsidRDefault="00895908">
      <w:pPr>
        <w:spacing w:line="480" w:lineRule="auto"/>
        <w:jc w:val="both"/>
        <w:rPr>
          <w:rFonts w:cstheme="minorHAnsi"/>
          <w:color w:val="000000" w:themeColor="text1"/>
          <w:szCs w:val="22"/>
        </w:rPr>
      </w:pPr>
      <w:r w:rsidRPr="00051E6D">
        <w:rPr>
          <w:rFonts w:cstheme="minorHAnsi"/>
          <w:color w:val="000000" w:themeColor="text1"/>
          <w:szCs w:val="22"/>
        </w:rPr>
        <w:t xml:space="preserve">Vaughan, C. 2014. Participatory Research with youth: Idealising safe social spaces or building transformative links in difficult environments? </w:t>
      </w:r>
      <w:r w:rsidRPr="00051E6D">
        <w:rPr>
          <w:rFonts w:cstheme="minorHAnsi"/>
          <w:i/>
          <w:iCs/>
          <w:color w:val="000000" w:themeColor="text1"/>
          <w:szCs w:val="22"/>
        </w:rPr>
        <w:t>Journal of Health Psychology</w:t>
      </w:r>
      <w:r w:rsidRPr="00051E6D">
        <w:rPr>
          <w:rFonts w:cstheme="minorHAnsi"/>
          <w:color w:val="000000" w:themeColor="text1"/>
          <w:szCs w:val="22"/>
        </w:rPr>
        <w:t xml:space="preserve"> 19 (1): 184-192. (in-text reference: Vaughan 2014)</w:t>
      </w:r>
    </w:p>
    <w:p w14:paraId="7F20A8A2" w14:textId="77777777" w:rsidR="005D7E53" w:rsidRPr="005D7E53" w:rsidRDefault="005D7E53" w:rsidP="00C9569B">
      <w:pPr>
        <w:pStyle w:val="NormalIndent"/>
        <w:spacing w:line="480" w:lineRule="auto"/>
      </w:pPr>
    </w:p>
    <w:p w14:paraId="36262F74" w14:textId="106B5456" w:rsidR="00895908" w:rsidRDefault="00895908">
      <w:pPr>
        <w:spacing w:line="480" w:lineRule="auto"/>
        <w:jc w:val="both"/>
        <w:rPr>
          <w:rFonts w:cstheme="minorHAnsi"/>
          <w:szCs w:val="22"/>
        </w:rPr>
      </w:pPr>
      <w:r w:rsidRPr="00051E6D">
        <w:rPr>
          <w:rFonts w:cstheme="minorHAnsi"/>
          <w:szCs w:val="22"/>
        </w:rPr>
        <w:t xml:space="preserve">Watkins, J. Wulaningsih, W., Da Zhou, C., Marshall, D.C., Sylianteng, G.D.C., Dela Rosa, P.G., Miguel, V.A., Raine, R., King, L.P., Maruthappu, M. 2017. ‘Effects of Health and Social Care Spending Constraints on Mortality in England: A Time Trend Analysis’. </w:t>
      </w:r>
      <w:r w:rsidRPr="00051E6D">
        <w:rPr>
          <w:rFonts w:cstheme="minorHAnsi"/>
          <w:i/>
          <w:iCs/>
          <w:szCs w:val="22"/>
        </w:rPr>
        <w:t>BMJ Open</w:t>
      </w:r>
      <w:r w:rsidRPr="00051E6D">
        <w:rPr>
          <w:rFonts w:cstheme="minorHAnsi"/>
          <w:szCs w:val="22"/>
        </w:rPr>
        <w:t xml:space="preserve">. </w:t>
      </w:r>
      <w:hyperlink r:id="rId44" w:history="1">
        <w:r w:rsidRPr="00995760">
          <w:rPr>
            <w:rStyle w:val="Hyperlink"/>
            <w:rFonts w:eastAsia="TimesNewRomanPSMT" w:cstheme="minorHAnsi"/>
            <w:color w:val="4472C4" w:themeColor="accent1"/>
            <w:szCs w:val="22"/>
            <w:u w:val="single"/>
          </w:rPr>
          <w:t>https://bmjopen.bmj.com/content/bmjopen/7/11/e017722.full.pdf</w:t>
        </w:r>
      </w:hyperlink>
      <w:r w:rsidRPr="00051E6D">
        <w:rPr>
          <w:rFonts w:cstheme="minorHAnsi"/>
          <w:szCs w:val="22"/>
        </w:rPr>
        <w:t>. (in-text reference Watkins et al. 2017)</w:t>
      </w:r>
    </w:p>
    <w:p w14:paraId="008F1ACD" w14:textId="77777777" w:rsidR="005D7E53" w:rsidRPr="005D7E53" w:rsidRDefault="005D7E53" w:rsidP="00C9569B">
      <w:pPr>
        <w:pStyle w:val="NormalIndent"/>
        <w:spacing w:line="480" w:lineRule="auto"/>
      </w:pPr>
    </w:p>
    <w:p w14:paraId="378C85A2" w14:textId="590BCF62" w:rsidR="00895908" w:rsidRDefault="00895908" w:rsidP="00C9569B">
      <w:pPr>
        <w:spacing w:line="480" w:lineRule="auto"/>
        <w:jc w:val="both"/>
        <w:rPr>
          <w:rFonts w:cstheme="minorHAnsi"/>
          <w:szCs w:val="22"/>
        </w:rPr>
      </w:pPr>
      <w:r w:rsidRPr="00051E6D">
        <w:rPr>
          <w:rFonts w:cstheme="minorHAnsi"/>
          <w:szCs w:val="22"/>
        </w:rPr>
        <w:t xml:space="preserve">West Cheshire Poverty Truth Commission and Edge Hill University Institute for Public Policy and Professional Practice. 2018a. Briefing Paper: Learning from Developing the West Cheshire Poverty Truth Commission. </w:t>
      </w:r>
      <w:hyperlink r:id="rId45" w:history="1">
        <w:r w:rsidRPr="00995760">
          <w:rPr>
            <w:rStyle w:val="Hyperlink"/>
            <w:rFonts w:eastAsia="TimesNewRomanPSMT" w:cstheme="minorHAnsi"/>
            <w:color w:val="4472C4" w:themeColor="accent1"/>
            <w:szCs w:val="22"/>
            <w:u w:val="single"/>
          </w:rPr>
          <w:t>https://www.edgehill.ac.uk/i4p/files/2018/03/Learning-from-Developing-Poverty-Truth-Commission.pdf</w:t>
        </w:r>
      </w:hyperlink>
      <w:r w:rsidRPr="00051E6D">
        <w:rPr>
          <w:rFonts w:cstheme="minorHAnsi"/>
          <w:szCs w:val="22"/>
        </w:rPr>
        <w:t>. (referenced 9 April 2020). (in-text reference: West Cheshire Poverty Truth Commission 2018a)</w:t>
      </w:r>
    </w:p>
    <w:p w14:paraId="497BC941" w14:textId="77777777" w:rsidR="00D95974" w:rsidRPr="00C9569B" w:rsidRDefault="00D95974" w:rsidP="00C9569B">
      <w:pPr>
        <w:pStyle w:val="NormalIndent"/>
        <w:spacing w:line="480" w:lineRule="auto"/>
      </w:pPr>
    </w:p>
    <w:p w14:paraId="0D71C847" w14:textId="351FB6F9" w:rsidR="007D3DE8" w:rsidRDefault="00895908">
      <w:pPr>
        <w:spacing w:line="480" w:lineRule="auto"/>
        <w:ind w:left="720"/>
        <w:jc w:val="both"/>
        <w:rPr>
          <w:rFonts w:cstheme="minorHAnsi"/>
          <w:szCs w:val="22"/>
        </w:rPr>
      </w:pPr>
      <w:r w:rsidRPr="00051E6D">
        <w:rPr>
          <w:rFonts w:cstheme="minorHAnsi"/>
          <w:szCs w:val="22"/>
        </w:rPr>
        <w:lastRenderedPageBreak/>
        <w:t xml:space="preserve">———. 2018b. Final Report: West Cheshire Poverty Truth Commission 2017/18. </w:t>
      </w:r>
      <w:hyperlink r:id="rId46" w:history="1">
        <w:r w:rsidRPr="00995760">
          <w:rPr>
            <w:rStyle w:val="Hyperlink"/>
            <w:rFonts w:eastAsia="TimesNewRomanPSMT" w:cstheme="minorHAnsi"/>
            <w:color w:val="4472C4" w:themeColor="accent1"/>
            <w:szCs w:val="22"/>
            <w:u w:val="single"/>
          </w:rPr>
          <w:t>https://www.edgehill.ac.uk/i4p/files/2018/07/4392-PTC-final-report.pdf</w:t>
        </w:r>
      </w:hyperlink>
      <w:r w:rsidRPr="00051E6D">
        <w:rPr>
          <w:rFonts w:cstheme="minorHAnsi"/>
          <w:szCs w:val="22"/>
        </w:rPr>
        <w:t>. (referenced 9 April 2020). (in-text reference: West Cheshire Poverty Truth Commission 2018b)</w:t>
      </w:r>
    </w:p>
    <w:p w14:paraId="432C42EC" w14:textId="77777777" w:rsidR="00096735" w:rsidRPr="00096735" w:rsidRDefault="00096735" w:rsidP="00C9569B">
      <w:pPr>
        <w:pStyle w:val="NormalIndent"/>
        <w:spacing w:line="480" w:lineRule="auto"/>
      </w:pPr>
    </w:p>
    <w:p w14:paraId="41E1BA9F" w14:textId="5FB95162" w:rsidR="00895908" w:rsidRDefault="00895908">
      <w:pPr>
        <w:spacing w:line="480" w:lineRule="auto"/>
        <w:jc w:val="both"/>
        <w:rPr>
          <w:rFonts w:cstheme="minorHAnsi"/>
          <w:szCs w:val="22"/>
        </w:rPr>
      </w:pPr>
      <w:r w:rsidRPr="00051E6D">
        <w:rPr>
          <w:rFonts w:cstheme="minorHAnsi"/>
          <w:szCs w:val="22"/>
        </w:rPr>
        <w:t xml:space="preserve">Waldorf, L. 2012. Anticipating the Past: Transitional Justice and Socio-Economic Wrongs. </w:t>
      </w:r>
      <w:r w:rsidRPr="00C9569B">
        <w:rPr>
          <w:rFonts w:cstheme="minorHAnsi"/>
          <w:i/>
          <w:iCs/>
          <w:szCs w:val="22"/>
        </w:rPr>
        <w:t>Social &amp; Legal Studies</w:t>
      </w:r>
      <w:r w:rsidRPr="00051E6D">
        <w:rPr>
          <w:rFonts w:cstheme="minorHAnsi"/>
          <w:szCs w:val="22"/>
        </w:rPr>
        <w:t xml:space="preserve"> 21 (2): 171-186. (in-text reference: Waldorf 2012)</w:t>
      </w:r>
    </w:p>
    <w:p w14:paraId="7FA93DE0" w14:textId="77777777" w:rsidR="005D7E53" w:rsidRPr="007B394E" w:rsidRDefault="005D7E53" w:rsidP="00C9569B">
      <w:pPr>
        <w:pStyle w:val="NormalIndent"/>
        <w:spacing w:line="480" w:lineRule="auto"/>
        <w:ind w:left="0"/>
      </w:pPr>
    </w:p>
    <w:p w14:paraId="2FC1386F" w14:textId="2D73D9CC" w:rsidR="007B394E" w:rsidRDefault="007B394E">
      <w:pPr>
        <w:spacing w:line="480" w:lineRule="auto"/>
        <w:jc w:val="both"/>
        <w:rPr>
          <w:rFonts w:cstheme="minorHAnsi"/>
          <w:color w:val="000000" w:themeColor="text1"/>
          <w:szCs w:val="22"/>
        </w:rPr>
      </w:pPr>
      <w:r w:rsidRPr="007B394E">
        <w:rPr>
          <w:rFonts w:cstheme="minorHAnsi"/>
          <w:color w:val="000000" w:themeColor="text1"/>
          <w:szCs w:val="22"/>
        </w:rPr>
        <w:t xml:space="preserve">Wilson, T. Morgan, G. Rahman, A. Vaid, L. 2013. ‘The Local Impacts of Welfare Reform: An Assessment of Cumulative Impacts and Mitigations’. Local Government Association. </w:t>
      </w:r>
      <w:hyperlink r:id="rId47" w:history="1">
        <w:r w:rsidR="00995760" w:rsidRPr="00995760">
          <w:rPr>
            <w:rStyle w:val="Hyperlink"/>
            <w:rFonts w:cstheme="minorHAnsi"/>
            <w:color w:val="4472C4" w:themeColor="accent1"/>
            <w:szCs w:val="22"/>
            <w:u w:val="single"/>
          </w:rPr>
          <w:t>http://www.learningandwork.org.uk.gridhosted.co.uk/wp-content/uploads/2017/01/The-local-impacts-of-welfare-reform-version-7.pdf</w:t>
        </w:r>
      </w:hyperlink>
      <w:r w:rsidR="00995760" w:rsidRPr="00995760">
        <w:rPr>
          <w:rFonts w:cstheme="minorHAnsi"/>
          <w:color w:val="4472C4" w:themeColor="accent1"/>
          <w:szCs w:val="22"/>
          <w:u w:val="single"/>
        </w:rPr>
        <w:t xml:space="preserve"> </w:t>
      </w:r>
      <w:r w:rsidRPr="00995760">
        <w:rPr>
          <w:rFonts w:cstheme="minorHAnsi"/>
          <w:color w:val="4472C4" w:themeColor="accent1"/>
          <w:szCs w:val="22"/>
        </w:rPr>
        <w:t xml:space="preserve"> </w:t>
      </w:r>
      <w:r w:rsidRPr="007B394E">
        <w:rPr>
          <w:rFonts w:cstheme="minorHAnsi"/>
          <w:color w:val="000000" w:themeColor="text1"/>
          <w:szCs w:val="22"/>
        </w:rPr>
        <w:t>(referenced 5 January 2021) (in-text reference: Wilson et al 2013).</w:t>
      </w:r>
    </w:p>
    <w:p w14:paraId="06C7CFC3" w14:textId="77777777" w:rsidR="005D7E53" w:rsidRPr="005D7E53" w:rsidRDefault="005D7E53" w:rsidP="00C9569B">
      <w:pPr>
        <w:pStyle w:val="NormalIndent"/>
        <w:spacing w:line="480" w:lineRule="auto"/>
      </w:pPr>
    </w:p>
    <w:p w14:paraId="763A193C" w14:textId="45840AE3" w:rsidR="00DB2A02" w:rsidRDefault="007B394E">
      <w:pPr>
        <w:spacing w:line="480" w:lineRule="auto"/>
        <w:jc w:val="both"/>
        <w:rPr>
          <w:rFonts w:cstheme="minorHAnsi"/>
          <w:color w:val="000000" w:themeColor="text1"/>
          <w:szCs w:val="22"/>
        </w:rPr>
      </w:pPr>
      <w:r w:rsidRPr="007B394E">
        <w:rPr>
          <w:rFonts w:cstheme="minorHAnsi"/>
          <w:color w:val="000000" w:themeColor="text1"/>
          <w:szCs w:val="22"/>
        </w:rPr>
        <w:t xml:space="preserve">Wilson, T. and Foster, S. 2017. ‘The Local Impacts of Welfare Reform: A Review of the Impacts of Welfare Changes on People, Communities and Services’ Learning and Work Institute. </w:t>
      </w:r>
      <w:hyperlink r:id="rId48" w:history="1">
        <w:r w:rsidR="00995760" w:rsidRPr="00995760">
          <w:rPr>
            <w:rStyle w:val="Hyperlink"/>
            <w:rFonts w:cstheme="minorHAnsi"/>
            <w:color w:val="4472C4" w:themeColor="accent1"/>
            <w:szCs w:val="22"/>
            <w:u w:val="single"/>
          </w:rPr>
          <w:t>https://www.local.gov.uk/sites/default/files/documents/FINAL%20Review%20of%20impacts%20of%20welfare%20reform%20report%20to%20LGA%20Oct%2017-1.pdf</w:t>
        </w:r>
      </w:hyperlink>
      <w:r w:rsidR="00995760" w:rsidRPr="00995760">
        <w:rPr>
          <w:rFonts w:cstheme="minorHAnsi"/>
          <w:color w:val="4472C4" w:themeColor="accent1"/>
          <w:szCs w:val="22"/>
        </w:rPr>
        <w:t xml:space="preserve"> </w:t>
      </w:r>
      <w:r w:rsidRPr="00995760">
        <w:rPr>
          <w:rFonts w:cstheme="minorHAnsi"/>
          <w:color w:val="4472C4" w:themeColor="accent1"/>
          <w:szCs w:val="22"/>
        </w:rPr>
        <w:t xml:space="preserve"> </w:t>
      </w:r>
      <w:r w:rsidRPr="007B394E">
        <w:rPr>
          <w:rFonts w:cstheme="minorHAnsi"/>
          <w:color w:val="000000" w:themeColor="text1"/>
          <w:szCs w:val="22"/>
        </w:rPr>
        <w:t>(referenced 5 January 2021) (in-text reference: Wilson and Foster 2017).</w:t>
      </w:r>
    </w:p>
    <w:p w14:paraId="468E64AE" w14:textId="77777777" w:rsidR="00E020AB" w:rsidRPr="00C9569B" w:rsidRDefault="00E020AB" w:rsidP="00C9569B">
      <w:pPr>
        <w:pStyle w:val="NormalIndent"/>
        <w:spacing w:line="480" w:lineRule="auto"/>
      </w:pPr>
    </w:p>
    <w:p w14:paraId="71689BC0" w14:textId="1572F552" w:rsidR="00DB2A02" w:rsidRPr="00051E6D" w:rsidRDefault="00DB2A02">
      <w:pPr>
        <w:spacing w:line="480" w:lineRule="auto"/>
        <w:jc w:val="both"/>
        <w:rPr>
          <w:rFonts w:cstheme="minorHAnsi"/>
          <w:szCs w:val="22"/>
        </w:rPr>
      </w:pPr>
      <w:r w:rsidRPr="00DB2A02">
        <w:rPr>
          <w:rFonts w:cstheme="minorHAnsi"/>
          <w:color w:val="000000" w:themeColor="text1"/>
          <w:szCs w:val="22"/>
        </w:rPr>
        <w:lastRenderedPageBreak/>
        <w:t>Yepes, R. 2009. Transformative reparations of massive gross human rights</w:t>
      </w:r>
      <w:r>
        <w:rPr>
          <w:rFonts w:cstheme="minorHAnsi"/>
          <w:color w:val="000000" w:themeColor="text1"/>
          <w:szCs w:val="22"/>
        </w:rPr>
        <w:t xml:space="preserve"> </w:t>
      </w:r>
      <w:r w:rsidRPr="00DB2A02">
        <w:rPr>
          <w:rFonts w:cstheme="minorHAnsi"/>
          <w:color w:val="000000" w:themeColor="text1"/>
          <w:szCs w:val="22"/>
        </w:rPr>
        <w:t xml:space="preserve">violations: Between corrective and distributive justice. </w:t>
      </w:r>
      <w:r w:rsidRPr="00014A65">
        <w:rPr>
          <w:rFonts w:cstheme="minorHAnsi"/>
          <w:i/>
          <w:iCs/>
          <w:color w:val="000000" w:themeColor="text1"/>
          <w:szCs w:val="22"/>
        </w:rPr>
        <w:t>Netherlands Quarterly of</w:t>
      </w:r>
      <w:r>
        <w:rPr>
          <w:rFonts w:cstheme="minorHAnsi"/>
          <w:i/>
          <w:iCs/>
          <w:color w:val="000000" w:themeColor="text1"/>
          <w:szCs w:val="22"/>
        </w:rPr>
        <w:t xml:space="preserve"> </w:t>
      </w:r>
      <w:r w:rsidRPr="00014A65">
        <w:rPr>
          <w:rFonts w:cstheme="minorHAnsi"/>
          <w:i/>
          <w:iCs/>
          <w:color w:val="000000" w:themeColor="text1"/>
          <w:szCs w:val="22"/>
        </w:rPr>
        <w:t>Human Rights</w:t>
      </w:r>
      <w:r w:rsidRPr="00DB2A02">
        <w:rPr>
          <w:rFonts w:cstheme="minorHAnsi"/>
          <w:color w:val="000000" w:themeColor="text1"/>
          <w:szCs w:val="22"/>
        </w:rPr>
        <w:t xml:space="preserve"> 27(4)</w:t>
      </w:r>
      <w:r>
        <w:rPr>
          <w:rFonts w:cstheme="minorHAnsi"/>
          <w:color w:val="000000" w:themeColor="text1"/>
          <w:szCs w:val="22"/>
        </w:rPr>
        <w:t>:</w:t>
      </w:r>
      <w:r w:rsidRPr="00DB2A02">
        <w:rPr>
          <w:rFonts w:cstheme="minorHAnsi"/>
          <w:color w:val="000000" w:themeColor="text1"/>
          <w:szCs w:val="22"/>
        </w:rPr>
        <w:t xml:space="preserve"> 625-648. </w:t>
      </w:r>
      <w:r>
        <w:rPr>
          <w:rFonts w:cstheme="minorHAnsi"/>
          <w:color w:val="000000" w:themeColor="text1"/>
          <w:szCs w:val="22"/>
        </w:rPr>
        <w:t xml:space="preserve">(in-text reference: Yepes </w:t>
      </w:r>
      <w:r w:rsidRPr="003E380D">
        <w:rPr>
          <w:rFonts w:cstheme="minorHAnsi"/>
          <w:color w:val="000000" w:themeColor="text1"/>
          <w:szCs w:val="22"/>
        </w:rPr>
        <w:t>2009</w:t>
      </w:r>
      <w:r>
        <w:rPr>
          <w:rFonts w:cstheme="minorHAnsi"/>
          <w:color w:val="000000" w:themeColor="text1"/>
          <w:szCs w:val="22"/>
        </w:rPr>
        <w:t>)</w:t>
      </w:r>
    </w:p>
    <w:p w14:paraId="6EC0A949" w14:textId="77777777" w:rsidR="00895908" w:rsidRPr="00051E6D" w:rsidRDefault="00895908">
      <w:pPr>
        <w:tabs>
          <w:tab w:val="left" w:pos="360"/>
          <w:tab w:val="left" w:pos="720"/>
          <w:tab w:val="left" w:pos="1080"/>
          <w:tab w:val="left" w:pos="1440"/>
          <w:tab w:val="left" w:pos="1800"/>
          <w:tab w:val="left" w:pos="2160"/>
          <w:tab w:val="left" w:pos="2880"/>
          <w:tab w:val="left" w:pos="3600"/>
          <w:tab w:val="left" w:pos="4320"/>
        </w:tabs>
        <w:spacing w:line="480" w:lineRule="auto"/>
        <w:jc w:val="both"/>
        <w:rPr>
          <w:rFonts w:cstheme="minorHAnsi"/>
          <w:b/>
          <w:bCs/>
          <w:szCs w:val="22"/>
        </w:rPr>
      </w:pPr>
    </w:p>
    <w:p w14:paraId="4631923C" w14:textId="1816D8B8" w:rsidR="00895908" w:rsidRPr="005D7E53" w:rsidRDefault="00895908">
      <w:pPr>
        <w:tabs>
          <w:tab w:val="left" w:pos="360"/>
          <w:tab w:val="left" w:pos="720"/>
          <w:tab w:val="left" w:pos="1080"/>
          <w:tab w:val="left" w:pos="1440"/>
          <w:tab w:val="left" w:pos="1800"/>
          <w:tab w:val="left" w:pos="2160"/>
          <w:tab w:val="left" w:pos="2880"/>
          <w:tab w:val="left" w:pos="3600"/>
          <w:tab w:val="left" w:pos="4320"/>
        </w:tabs>
        <w:spacing w:line="480" w:lineRule="auto"/>
        <w:jc w:val="center"/>
        <w:rPr>
          <w:rFonts w:cstheme="minorHAnsi"/>
          <w:b/>
          <w:bCs/>
          <w:szCs w:val="22"/>
        </w:rPr>
      </w:pPr>
      <w:r w:rsidRPr="00051E6D">
        <w:rPr>
          <w:rFonts w:cstheme="minorHAnsi"/>
          <w:b/>
          <w:bCs/>
          <w:szCs w:val="22"/>
        </w:rPr>
        <w:t>Table of Cases</w:t>
      </w:r>
    </w:p>
    <w:p w14:paraId="76C3E06F" w14:textId="77777777" w:rsidR="00895908" w:rsidRPr="00051E6D" w:rsidRDefault="00895908">
      <w:pPr>
        <w:tabs>
          <w:tab w:val="left" w:pos="360"/>
          <w:tab w:val="left" w:pos="720"/>
          <w:tab w:val="left" w:pos="1080"/>
          <w:tab w:val="left" w:pos="1440"/>
          <w:tab w:val="left" w:pos="1800"/>
          <w:tab w:val="left" w:pos="2160"/>
          <w:tab w:val="left" w:pos="2880"/>
          <w:tab w:val="left" w:pos="3600"/>
          <w:tab w:val="left" w:pos="4320"/>
        </w:tabs>
        <w:spacing w:line="480" w:lineRule="auto"/>
        <w:jc w:val="both"/>
        <w:rPr>
          <w:rFonts w:cstheme="minorHAnsi"/>
          <w:i/>
          <w:iCs/>
          <w:color w:val="000000" w:themeColor="text1"/>
          <w:szCs w:val="22"/>
          <w:u w:val="single"/>
        </w:rPr>
      </w:pPr>
      <w:r w:rsidRPr="00051E6D">
        <w:rPr>
          <w:rFonts w:cstheme="minorHAnsi"/>
          <w:i/>
          <w:iCs/>
          <w:color w:val="000000" w:themeColor="text1"/>
          <w:szCs w:val="22"/>
          <w:u w:val="single"/>
        </w:rPr>
        <w:t xml:space="preserve">European Court of Human Rights </w:t>
      </w:r>
    </w:p>
    <w:p w14:paraId="566C6EC1" w14:textId="247D3AE5" w:rsidR="00895908" w:rsidRDefault="00895908">
      <w:pPr>
        <w:tabs>
          <w:tab w:val="left" w:pos="360"/>
          <w:tab w:val="left" w:pos="720"/>
          <w:tab w:val="left" w:pos="1080"/>
          <w:tab w:val="left" w:pos="1440"/>
          <w:tab w:val="left" w:pos="1800"/>
          <w:tab w:val="left" w:pos="2160"/>
          <w:tab w:val="left" w:pos="2880"/>
          <w:tab w:val="left" w:pos="3600"/>
          <w:tab w:val="left" w:pos="4320"/>
        </w:tabs>
        <w:spacing w:line="480" w:lineRule="auto"/>
        <w:jc w:val="both"/>
        <w:rPr>
          <w:rFonts w:cstheme="minorHAnsi"/>
          <w:szCs w:val="22"/>
        </w:rPr>
      </w:pPr>
      <w:r w:rsidRPr="00051E6D">
        <w:rPr>
          <w:rFonts w:cstheme="minorHAnsi"/>
          <w:i/>
          <w:iCs/>
          <w:szCs w:val="22"/>
        </w:rPr>
        <w:t>J.D. and A v. The United Kingdom,</w:t>
      </w:r>
      <w:r w:rsidRPr="00051E6D">
        <w:rPr>
          <w:rFonts w:cstheme="minorHAnsi"/>
          <w:szCs w:val="22"/>
        </w:rPr>
        <w:t xml:space="preserve"> nos. 32949/17 and 34614/17 ECtHR, October 2019</w:t>
      </w:r>
    </w:p>
    <w:p w14:paraId="18E1B849" w14:textId="77777777" w:rsidR="00895908" w:rsidRPr="00051E6D" w:rsidRDefault="00895908">
      <w:pPr>
        <w:tabs>
          <w:tab w:val="left" w:pos="360"/>
          <w:tab w:val="left" w:pos="720"/>
          <w:tab w:val="left" w:pos="1080"/>
          <w:tab w:val="left" w:pos="1440"/>
          <w:tab w:val="left" w:pos="1800"/>
          <w:tab w:val="left" w:pos="2160"/>
          <w:tab w:val="left" w:pos="2880"/>
          <w:tab w:val="left" w:pos="3600"/>
          <w:tab w:val="left" w:pos="4320"/>
        </w:tabs>
        <w:spacing w:line="480" w:lineRule="auto"/>
        <w:jc w:val="both"/>
        <w:rPr>
          <w:rFonts w:cstheme="minorHAnsi"/>
          <w:i/>
          <w:iCs/>
          <w:szCs w:val="22"/>
          <w:u w:val="single"/>
        </w:rPr>
      </w:pPr>
      <w:r w:rsidRPr="00051E6D">
        <w:rPr>
          <w:rFonts w:cstheme="minorHAnsi"/>
          <w:i/>
          <w:iCs/>
          <w:szCs w:val="22"/>
          <w:u w:val="single"/>
        </w:rPr>
        <w:t>European Committee of Social Rights</w:t>
      </w:r>
    </w:p>
    <w:p w14:paraId="6A65FECF" w14:textId="6199F77C" w:rsidR="00895908" w:rsidRDefault="00895908">
      <w:pPr>
        <w:tabs>
          <w:tab w:val="left" w:pos="360"/>
          <w:tab w:val="left" w:pos="720"/>
          <w:tab w:val="left" w:pos="1080"/>
          <w:tab w:val="left" w:pos="1440"/>
          <w:tab w:val="left" w:pos="1800"/>
          <w:tab w:val="left" w:pos="2160"/>
          <w:tab w:val="left" w:pos="2880"/>
          <w:tab w:val="left" w:pos="3600"/>
          <w:tab w:val="left" w:pos="4320"/>
        </w:tabs>
        <w:spacing w:line="480" w:lineRule="auto"/>
        <w:jc w:val="both"/>
        <w:rPr>
          <w:rFonts w:cstheme="minorHAnsi"/>
          <w:szCs w:val="22"/>
        </w:rPr>
      </w:pPr>
      <w:r w:rsidRPr="00051E6D">
        <w:rPr>
          <w:rFonts w:cstheme="minorHAnsi"/>
          <w:i/>
          <w:iCs/>
          <w:szCs w:val="22"/>
        </w:rPr>
        <w:t>Federation of employed pensioners of Greece (IKA-ETAM) v. Greece Complaint</w:t>
      </w:r>
      <w:r w:rsidRPr="00051E6D">
        <w:rPr>
          <w:rFonts w:cstheme="minorHAnsi"/>
          <w:szCs w:val="22"/>
        </w:rPr>
        <w:t xml:space="preserve"> No. 76/2012 (in-text reference IKA-ETAM v Greece, Complaint No. 76/2012)</w:t>
      </w:r>
    </w:p>
    <w:p w14:paraId="6AB82982" w14:textId="77777777" w:rsidR="005D7E53" w:rsidRPr="005D7E53" w:rsidRDefault="005D7E53" w:rsidP="00C9569B">
      <w:pPr>
        <w:pStyle w:val="NormalIndent"/>
        <w:spacing w:line="480" w:lineRule="auto"/>
      </w:pPr>
    </w:p>
    <w:p w14:paraId="56F4B3D2" w14:textId="2E44A12E" w:rsidR="00895908" w:rsidRDefault="00895908">
      <w:pPr>
        <w:tabs>
          <w:tab w:val="left" w:pos="360"/>
          <w:tab w:val="left" w:pos="720"/>
          <w:tab w:val="left" w:pos="1080"/>
          <w:tab w:val="left" w:pos="1440"/>
          <w:tab w:val="left" w:pos="1800"/>
          <w:tab w:val="left" w:pos="2160"/>
          <w:tab w:val="left" w:pos="2880"/>
          <w:tab w:val="left" w:pos="3600"/>
          <w:tab w:val="left" w:pos="4320"/>
        </w:tabs>
        <w:spacing w:line="480" w:lineRule="auto"/>
        <w:jc w:val="both"/>
        <w:rPr>
          <w:rFonts w:cstheme="minorHAnsi"/>
          <w:szCs w:val="22"/>
        </w:rPr>
      </w:pPr>
      <w:r w:rsidRPr="00051E6D">
        <w:rPr>
          <w:rFonts w:cstheme="minorHAnsi"/>
          <w:i/>
          <w:iCs/>
          <w:szCs w:val="22"/>
        </w:rPr>
        <w:t>Panhellenic Federation of Public Service Pensioners (POPS) v. Greece</w:t>
      </w:r>
      <w:r w:rsidRPr="00051E6D">
        <w:rPr>
          <w:rFonts w:cstheme="minorHAnsi"/>
          <w:szCs w:val="22"/>
        </w:rPr>
        <w:t xml:space="preserve"> Complaint No. 77/2012 (in-text reference POPS v Greece, Complaint No. 77/2012)</w:t>
      </w:r>
    </w:p>
    <w:p w14:paraId="19E821A1" w14:textId="77777777" w:rsidR="005D7E53" w:rsidRPr="005D7E53" w:rsidRDefault="005D7E53" w:rsidP="00C9569B">
      <w:pPr>
        <w:pStyle w:val="NormalIndent"/>
        <w:spacing w:line="480" w:lineRule="auto"/>
      </w:pPr>
    </w:p>
    <w:p w14:paraId="04A3577C" w14:textId="77777777" w:rsidR="00895908" w:rsidRPr="00051E6D" w:rsidRDefault="00895908">
      <w:pPr>
        <w:tabs>
          <w:tab w:val="left" w:pos="360"/>
          <w:tab w:val="left" w:pos="720"/>
          <w:tab w:val="left" w:pos="1080"/>
          <w:tab w:val="left" w:pos="1440"/>
          <w:tab w:val="left" w:pos="1800"/>
          <w:tab w:val="left" w:pos="2160"/>
          <w:tab w:val="left" w:pos="2880"/>
          <w:tab w:val="left" w:pos="3600"/>
          <w:tab w:val="left" w:pos="4320"/>
        </w:tabs>
        <w:spacing w:line="480" w:lineRule="auto"/>
        <w:jc w:val="both"/>
        <w:rPr>
          <w:rFonts w:cstheme="minorHAnsi"/>
          <w:szCs w:val="22"/>
        </w:rPr>
      </w:pPr>
      <w:r w:rsidRPr="00051E6D">
        <w:rPr>
          <w:rFonts w:cstheme="minorHAnsi"/>
          <w:i/>
          <w:iCs/>
          <w:szCs w:val="22"/>
        </w:rPr>
        <w:t>Pensioners’ Union of the Athens-Piraeus Electric Railways (I.S.A.P.) v. Greece</w:t>
      </w:r>
      <w:r w:rsidRPr="00051E6D">
        <w:rPr>
          <w:rFonts w:cstheme="minorHAnsi"/>
          <w:szCs w:val="22"/>
        </w:rPr>
        <w:t xml:space="preserve"> Complaint No. 78/2012 (in-text reference I.S.A.P v Greece, Complaint No. 78/2012)</w:t>
      </w:r>
    </w:p>
    <w:p w14:paraId="33230D17" w14:textId="636138A3" w:rsidR="007D3DE8" w:rsidRDefault="00895908">
      <w:pPr>
        <w:tabs>
          <w:tab w:val="left" w:pos="360"/>
          <w:tab w:val="left" w:pos="720"/>
          <w:tab w:val="left" w:pos="1080"/>
          <w:tab w:val="left" w:pos="1440"/>
          <w:tab w:val="left" w:pos="1800"/>
          <w:tab w:val="left" w:pos="2160"/>
          <w:tab w:val="left" w:pos="2880"/>
          <w:tab w:val="left" w:pos="3600"/>
          <w:tab w:val="left" w:pos="4320"/>
        </w:tabs>
        <w:spacing w:line="480" w:lineRule="auto"/>
        <w:jc w:val="both"/>
        <w:rPr>
          <w:rFonts w:cstheme="minorHAnsi"/>
          <w:szCs w:val="22"/>
        </w:rPr>
      </w:pPr>
      <w:r w:rsidRPr="00051E6D">
        <w:rPr>
          <w:rFonts w:cstheme="minorHAnsi"/>
          <w:i/>
          <w:iCs/>
          <w:szCs w:val="22"/>
        </w:rPr>
        <w:t>Panhellenic Federation of pensioners of the Public Electricity Corporation (POS-DEI) v. Greece</w:t>
      </w:r>
      <w:r w:rsidRPr="00051E6D">
        <w:rPr>
          <w:rFonts w:cstheme="minorHAnsi"/>
          <w:szCs w:val="22"/>
        </w:rPr>
        <w:t xml:space="preserve"> Complaint No. 79/2012 (in-text reference POS-DEI v Greece, Complaint No. 79/2012)</w:t>
      </w:r>
    </w:p>
    <w:p w14:paraId="75747077" w14:textId="77777777" w:rsidR="00D95974" w:rsidRPr="005D7E53" w:rsidRDefault="00D95974" w:rsidP="00C9569B">
      <w:pPr>
        <w:pStyle w:val="NormalIndent"/>
        <w:spacing w:line="480" w:lineRule="auto"/>
        <w:ind w:left="0"/>
      </w:pPr>
    </w:p>
    <w:p w14:paraId="07EB0039" w14:textId="1CBB362A" w:rsidR="00D95974" w:rsidRDefault="00895908" w:rsidP="00C9569B">
      <w:pPr>
        <w:pStyle w:val="NormalIndent"/>
        <w:spacing w:line="480" w:lineRule="auto"/>
        <w:ind w:left="0"/>
        <w:jc w:val="both"/>
      </w:pPr>
      <w:r w:rsidRPr="00051E6D">
        <w:rPr>
          <w:rFonts w:cstheme="minorHAnsi"/>
          <w:i/>
          <w:iCs/>
          <w:szCs w:val="22"/>
        </w:rPr>
        <w:t>Pensioners’ Union of the Agricultural Bank of Greece (ATE) v. Greece</w:t>
      </w:r>
      <w:r w:rsidRPr="00051E6D">
        <w:rPr>
          <w:rFonts w:cstheme="minorHAnsi"/>
          <w:szCs w:val="22"/>
        </w:rPr>
        <w:t xml:space="preserve"> Complaint No. 80/2012 (in-text reference ATE v. Greece, Complaint No. 80/2012)</w:t>
      </w:r>
    </w:p>
    <w:p w14:paraId="42C4FF71" w14:textId="77777777" w:rsidR="00D95974" w:rsidRPr="00C9569B" w:rsidRDefault="00D95974" w:rsidP="00C9569B">
      <w:pPr>
        <w:pStyle w:val="NormalIndent"/>
      </w:pPr>
    </w:p>
    <w:p w14:paraId="6AFC53B3" w14:textId="70490483" w:rsidR="00AB7FC8" w:rsidRPr="005D7E53" w:rsidRDefault="00895908" w:rsidP="005D7E53">
      <w:pPr>
        <w:tabs>
          <w:tab w:val="left" w:pos="360"/>
          <w:tab w:val="left" w:pos="720"/>
          <w:tab w:val="left" w:pos="1080"/>
          <w:tab w:val="left" w:pos="1440"/>
          <w:tab w:val="left" w:pos="1800"/>
          <w:tab w:val="left" w:pos="2160"/>
          <w:tab w:val="left" w:pos="2880"/>
          <w:tab w:val="left" w:pos="3600"/>
          <w:tab w:val="left" w:pos="4320"/>
        </w:tabs>
        <w:spacing w:line="480" w:lineRule="auto"/>
        <w:jc w:val="center"/>
        <w:rPr>
          <w:rFonts w:cstheme="minorHAnsi"/>
          <w:b/>
          <w:bCs/>
          <w:color w:val="000000" w:themeColor="text1"/>
          <w:szCs w:val="22"/>
        </w:rPr>
      </w:pPr>
      <w:r w:rsidRPr="00051E6D">
        <w:rPr>
          <w:rFonts w:cstheme="minorHAnsi"/>
          <w:b/>
          <w:bCs/>
          <w:color w:val="000000" w:themeColor="text1"/>
          <w:szCs w:val="22"/>
        </w:rPr>
        <w:t>EN</w:t>
      </w:r>
      <w:r w:rsidR="005D7E53">
        <w:rPr>
          <w:rFonts w:cstheme="minorHAnsi"/>
          <w:b/>
          <w:bCs/>
          <w:color w:val="000000" w:themeColor="text1"/>
          <w:szCs w:val="22"/>
        </w:rPr>
        <w:t>D</w:t>
      </w:r>
    </w:p>
    <w:sectPr w:rsidR="00AB7FC8" w:rsidRPr="005D7E53" w:rsidSect="00A3273D">
      <w:footerReference w:type="even" r:id="rId49"/>
      <w:footerReference w:type="default" r:id="rId50"/>
      <w:pgSz w:w="11900" w:h="16840"/>
      <w:pgMar w:top="2160" w:right="2160" w:bottom="216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AEA8AD" w14:textId="77777777" w:rsidR="00D73AB8" w:rsidRDefault="00D73AB8" w:rsidP="00A3273D">
      <w:r>
        <w:separator/>
      </w:r>
    </w:p>
  </w:endnote>
  <w:endnote w:type="continuationSeparator" w:id="0">
    <w:p w14:paraId="189A80D5" w14:textId="77777777" w:rsidR="00D73AB8" w:rsidRDefault="00D73AB8" w:rsidP="00A32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PSMT">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02684097"/>
      <w:docPartObj>
        <w:docPartGallery w:val="Page Numbers (Bottom of Page)"/>
        <w:docPartUnique/>
      </w:docPartObj>
    </w:sdtPr>
    <w:sdtEndPr>
      <w:rPr>
        <w:rStyle w:val="PageNumber"/>
      </w:rPr>
    </w:sdtEndPr>
    <w:sdtContent>
      <w:p w14:paraId="2D268B48" w14:textId="77777777" w:rsidR="00120010" w:rsidRDefault="00120010" w:rsidP="00A3273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BA1655" w14:textId="77777777" w:rsidR="00120010" w:rsidRDefault="00120010" w:rsidP="00A3273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84772015"/>
      <w:docPartObj>
        <w:docPartGallery w:val="Page Numbers (Bottom of Page)"/>
        <w:docPartUnique/>
      </w:docPartObj>
    </w:sdtPr>
    <w:sdtEndPr>
      <w:rPr>
        <w:rStyle w:val="PageNumber"/>
      </w:rPr>
    </w:sdtEndPr>
    <w:sdtContent>
      <w:p w14:paraId="28956291" w14:textId="77777777" w:rsidR="00120010" w:rsidRDefault="00120010" w:rsidP="00A3273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5F33051" w14:textId="77777777" w:rsidR="00120010" w:rsidRDefault="00120010" w:rsidP="00A3273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825154" w14:textId="77777777" w:rsidR="00D73AB8" w:rsidRDefault="00D73AB8" w:rsidP="00A3273D">
      <w:r>
        <w:separator/>
      </w:r>
    </w:p>
  </w:footnote>
  <w:footnote w:type="continuationSeparator" w:id="0">
    <w:p w14:paraId="5EFC056B" w14:textId="77777777" w:rsidR="00D73AB8" w:rsidRDefault="00D73AB8" w:rsidP="00A327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D2141C"/>
    <w:multiLevelType w:val="multilevel"/>
    <w:tmpl w:val="CFF692DE"/>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28E10037"/>
    <w:multiLevelType w:val="multilevel"/>
    <w:tmpl w:val="B776AB2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C2705D5"/>
    <w:multiLevelType w:val="hybridMultilevel"/>
    <w:tmpl w:val="4CE0993E"/>
    <w:lvl w:ilvl="0" w:tplc="4C98E24E">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6C371F"/>
    <w:multiLevelType w:val="multilevel"/>
    <w:tmpl w:val="E264960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DCB71D5"/>
    <w:multiLevelType w:val="hybridMultilevel"/>
    <w:tmpl w:val="DAEE8460"/>
    <w:lvl w:ilvl="0" w:tplc="E8B8A14E">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4"/>
  </w:num>
  <w:num w:numId="3">
    <w:abstractNumId w:val="1"/>
  </w:num>
  <w:num w:numId="4">
    <w:abstractNumId w:val="3"/>
  </w:num>
  <w:num w:numId="5">
    <w:abstractNumId w:val="2"/>
  </w:num>
  <w:num w:numId="6">
    <w:abstractNumId w:val="2"/>
    <w:lvlOverride w:ilvl="0">
      <w:startOverride w:val="1"/>
    </w:lvlOverride>
  </w:num>
  <w:num w:numId="7">
    <w:abstractNumId w:val="2"/>
    <w:lvlOverride w:ilvl="0">
      <w:startOverride w:val="1"/>
    </w:lvlOverride>
  </w:num>
  <w:num w:numId="8">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73D"/>
    <w:rsid w:val="00005DBF"/>
    <w:rsid w:val="00006F85"/>
    <w:rsid w:val="000125BA"/>
    <w:rsid w:val="00016100"/>
    <w:rsid w:val="00020740"/>
    <w:rsid w:val="00022CDC"/>
    <w:rsid w:val="00025C74"/>
    <w:rsid w:val="00030AB5"/>
    <w:rsid w:val="00031468"/>
    <w:rsid w:val="00031672"/>
    <w:rsid w:val="00033D2E"/>
    <w:rsid w:val="000370DB"/>
    <w:rsid w:val="000432D2"/>
    <w:rsid w:val="00051D7E"/>
    <w:rsid w:val="00051E6D"/>
    <w:rsid w:val="00052068"/>
    <w:rsid w:val="00052857"/>
    <w:rsid w:val="00052DAE"/>
    <w:rsid w:val="00053699"/>
    <w:rsid w:val="00057AA9"/>
    <w:rsid w:val="00062181"/>
    <w:rsid w:val="00064783"/>
    <w:rsid w:val="0007122A"/>
    <w:rsid w:val="000721CD"/>
    <w:rsid w:val="000725F1"/>
    <w:rsid w:val="00073657"/>
    <w:rsid w:val="00074EB2"/>
    <w:rsid w:val="00076B0A"/>
    <w:rsid w:val="00076FF8"/>
    <w:rsid w:val="0008074C"/>
    <w:rsid w:val="000822A8"/>
    <w:rsid w:val="00082BD4"/>
    <w:rsid w:val="000839BF"/>
    <w:rsid w:val="000841E8"/>
    <w:rsid w:val="000845DF"/>
    <w:rsid w:val="00084A18"/>
    <w:rsid w:val="00086164"/>
    <w:rsid w:val="00090C13"/>
    <w:rsid w:val="00092F2B"/>
    <w:rsid w:val="00096735"/>
    <w:rsid w:val="00097310"/>
    <w:rsid w:val="000A0F58"/>
    <w:rsid w:val="000A3A93"/>
    <w:rsid w:val="000A44BC"/>
    <w:rsid w:val="000A4D6D"/>
    <w:rsid w:val="000B1180"/>
    <w:rsid w:val="000B7D54"/>
    <w:rsid w:val="000C1CE6"/>
    <w:rsid w:val="000C200D"/>
    <w:rsid w:val="000C2146"/>
    <w:rsid w:val="000C5637"/>
    <w:rsid w:val="000C582A"/>
    <w:rsid w:val="000C5FA8"/>
    <w:rsid w:val="000C7D93"/>
    <w:rsid w:val="000D4181"/>
    <w:rsid w:val="000D683B"/>
    <w:rsid w:val="000D7270"/>
    <w:rsid w:val="000E355E"/>
    <w:rsid w:val="000E6186"/>
    <w:rsid w:val="000E7337"/>
    <w:rsid w:val="000E7CA3"/>
    <w:rsid w:val="000F0221"/>
    <w:rsid w:val="000F0B20"/>
    <w:rsid w:val="000F3B30"/>
    <w:rsid w:val="000F480D"/>
    <w:rsid w:val="000F4D8E"/>
    <w:rsid w:val="00103F14"/>
    <w:rsid w:val="00107EFC"/>
    <w:rsid w:val="00114110"/>
    <w:rsid w:val="00120010"/>
    <w:rsid w:val="00120085"/>
    <w:rsid w:val="00121009"/>
    <w:rsid w:val="00121091"/>
    <w:rsid w:val="0012199B"/>
    <w:rsid w:val="00122006"/>
    <w:rsid w:val="00125002"/>
    <w:rsid w:val="0012558E"/>
    <w:rsid w:val="00126B34"/>
    <w:rsid w:val="00127643"/>
    <w:rsid w:val="001279F4"/>
    <w:rsid w:val="00131383"/>
    <w:rsid w:val="00134845"/>
    <w:rsid w:val="001409EE"/>
    <w:rsid w:val="00141F14"/>
    <w:rsid w:val="001424FF"/>
    <w:rsid w:val="0014307F"/>
    <w:rsid w:val="00146C24"/>
    <w:rsid w:val="00147621"/>
    <w:rsid w:val="00147692"/>
    <w:rsid w:val="0015007C"/>
    <w:rsid w:val="00151DBF"/>
    <w:rsid w:val="0015370A"/>
    <w:rsid w:val="001544C2"/>
    <w:rsid w:val="00156875"/>
    <w:rsid w:val="00160E99"/>
    <w:rsid w:val="00163162"/>
    <w:rsid w:val="00164491"/>
    <w:rsid w:val="00164BCB"/>
    <w:rsid w:val="00165BB8"/>
    <w:rsid w:val="0016796A"/>
    <w:rsid w:val="001702C6"/>
    <w:rsid w:val="00172056"/>
    <w:rsid w:val="001723E9"/>
    <w:rsid w:val="00173F1A"/>
    <w:rsid w:val="00181492"/>
    <w:rsid w:val="001832E1"/>
    <w:rsid w:val="001847C5"/>
    <w:rsid w:val="00184EDC"/>
    <w:rsid w:val="0018536B"/>
    <w:rsid w:val="00185B21"/>
    <w:rsid w:val="001868B1"/>
    <w:rsid w:val="00194413"/>
    <w:rsid w:val="001969B6"/>
    <w:rsid w:val="001A0F60"/>
    <w:rsid w:val="001A53F0"/>
    <w:rsid w:val="001A5ADB"/>
    <w:rsid w:val="001A688A"/>
    <w:rsid w:val="001B040B"/>
    <w:rsid w:val="001B5202"/>
    <w:rsid w:val="001B70DE"/>
    <w:rsid w:val="001B7459"/>
    <w:rsid w:val="001B7E02"/>
    <w:rsid w:val="001C51BC"/>
    <w:rsid w:val="001E1042"/>
    <w:rsid w:val="001E1B86"/>
    <w:rsid w:val="001E7039"/>
    <w:rsid w:val="001E77DC"/>
    <w:rsid w:val="001F0FA5"/>
    <w:rsid w:val="001F388C"/>
    <w:rsid w:val="001F39A8"/>
    <w:rsid w:val="001F4E49"/>
    <w:rsid w:val="00201CE5"/>
    <w:rsid w:val="002025A4"/>
    <w:rsid w:val="00203FCB"/>
    <w:rsid w:val="00207C51"/>
    <w:rsid w:val="00207CA2"/>
    <w:rsid w:val="002102C1"/>
    <w:rsid w:val="0021138F"/>
    <w:rsid w:val="0021190A"/>
    <w:rsid w:val="002132EC"/>
    <w:rsid w:val="00215A20"/>
    <w:rsid w:val="0021618E"/>
    <w:rsid w:val="0022323E"/>
    <w:rsid w:val="00226A8A"/>
    <w:rsid w:val="00232141"/>
    <w:rsid w:val="002335DF"/>
    <w:rsid w:val="00233A06"/>
    <w:rsid w:val="00242894"/>
    <w:rsid w:val="00244F28"/>
    <w:rsid w:val="00245637"/>
    <w:rsid w:val="00245796"/>
    <w:rsid w:val="0024579E"/>
    <w:rsid w:val="00251544"/>
    <w:rsid w:val="00251CF1"/>
    <w:rsid w:val="002522E4"/>
    <w:rsid w:val="00253367"/>
    <w:rsid w:val="00254EF2"/>
    <w:rsid w:val="002620FF"/>
    <w:rsid w:val="00262FF7"/>
    <w:rsid w:val="00265691"/>
    <w:rsid w:val="00271BA1"/>
    <w:rsid w:val="0027203B"/>
    <w:rsid w:val="002773BC"/>
    <w:rsid w:val="002833E3"/>
    <w:rsid w:val="00283973"/>
    <w:rsid w:val="00291066"/>
    <w:rsid w:val="00293874"/>
    <w:rsid w:val="0029487E"/>
    <w:rsid w:val="00296115"/>
    <w:rsid w:val="00297780"/>
    <w:rsid w:val="002979D9"/>
    <w:rsid w:val="002A3CBE"/>
    <w:rsid w:val="002A439C"/>
    <w:rsid w:val="002A444E"/>
    <w:rsid w:val="002A46B4"/>
    <w:rsid w:val="002A53CF"/>
    <w:rsid w:val="002A6764"/>
    <w:rsid w:val="002B171A"/>
    <w:rsid w:val="002B3284"/>
    <w:rsid w:val="002B5349"/>
    <w:rsid w:val="002B59CA"/>
    <w:rsid w:val="002B6155"/>
    <w:rsid w:val="002B624A"/>
    <w:rsid w:val="002B6644"/>
    <w:rsid w:val="002D2762"/>
    <w:rsid w:val="002D3B5A"/>
    <w:rsid w:val="002D3CE3"/>
    <w:rsid w:val="002D50F9"/>
    <w:rsid w:val="002D7912"/>
    <w:rsid w:val="002E6EBB"/>
    <w:rsid w:val="002F2156"/>
    <w:rsid w:val="002F24C2"/>
    <w:rsid w:val="002F6BEA"/>
    <w:rsid w:val="002F6C4C"/>
    <w:rsid w:val="002F6FAF"/>
    <w:rsid w:val="002F7CDE"/>
    <w:rsid w:val="002F7DB4"/>
    <w:rsid w:val="0030262C"/>
    <w:rsid w:val="00302C77"/>
    <w:rsid w:val="0032012D"/>
    <w:rsid w:val="00320951"/>
    <w:rsid w:val="003213B7"/>
    <w:rsid w:val="00322490"/>
    <w:rsid w:val="00323C97"/>
    <w:rsid w:val="003247B7"/>
    <w:rsid w:val="00325A77"/>
    <w:rsid w:val="0032644F"/>
    <w:rsid w:val="00330DAE"/>
    <w:rsid w:val="0033194D"/>
    <w:rsid w:val="0033305A"/>
    <w:rsid w:val="003335EA"/>
    <w:rsid w:val="00334502"/>
    <w:rsid w:val="003427F3"/>
    <w:rsid w:val="003457CA"/>
    <w:rsid w:val="0034705E"/>
    <w:rsid w:val="00352F29"/>
    <w:rsid w:val="00354146"/>
    <w:rsid w:val="003577C0"/>
    <w:rsid w:val="00357C55"/>
    <w:rsid w:val="00363E94"/>
    <w:rsid w:val="003759C9"/>
    <w:rsid w:val="00377F11"/>
    <w:rsid w:val="003823E5"/>
    <w:rsid w:val="00386426"/>
    <w:rsid w:val="00390DF1"/>
    <w:rsid w:val="00392489"/>
    <w:rsid w:val="003949E2"/>
    <w:rsid w:val="003A2A3E"/>
    <w:rsid w:val="003A3D52"/>
    <w:rsid w:val="003A426A"/>
    <w:rsid w:val="003A436E"/>
    <w:rsid w:val="003B0D3E"/>
    <w:rsid w:val="003B2EE8"/>
    <w:rsid w:val="003B4F30"/>
    <w:rsid w:val="003B59AE"/>
    <w:rsid w:val="003B5C02"/>
    <w:rsid w:val="003B6D1D"/>
    <w:rsid w:val="003C1CCB"/>
    <w:rsid w:val="003C300C"/>
    <w:rsid w:val="003C7F4E"/>
    <w:rsid w:val="003D1CDD"/>
    <w:rsid w:val="003D2C66"/>
    <w:rsid w:val="003D6EA8"/>
    <w:rsid w:val="003E11A4"/>
    <w:rsid w:val="003E380D"/>
    <w:rsid w:val="003E5836"/>
    <w:rsid w:val="003E6420"/>
    <w:rsid w:val="003E76A6"/>
    <w:rsid w:val="003F637D"/>
    <w:rsid w:val="003F721D"/>
    <w:rsid w:val="003F785A"/>
    <w:rsid w:val="00404DDD"/>
    <w:rsid w:val="00406C4F"/>
    <w:rsid w:val="00410B23"/>
    <w:rsid w:val="00414607"/>
    <w:rsid w:val="0042110D"/>
    <w:rsid w:val="00422C71"/>
    <w:rsid w:val="0042744E"/>
    <w:rsid w:val="004305AC"/>
    <w:rsid w:val="00431581"/>
    <w:rsid w:val="00433B8F"/>
    <w:rsid w:val="00434494"/>
    <w:rsid w:val="00435794"/>
    <w:rsid w:val="0043614D"/>
    <w:rsid w:val="0043646B"/>
    <w:rsid w:val="0044456A"/>
    <w:rsid w:val="00446FF2"/>
    <w:rsid w:val="00447F02"/>
    <w:rsid w:val="004509E4"/>
    <w:rsid w:val="00450AF2"/>
    <w:rsid w:val="00451039"/>
    <w:rsid w:val="0045188D"/>
    <w:rsid w:val="00455080"/>
    <w:rsid w:val="004608E6"/>
    <w:rsid w:val="004631D4"/>
    <w:rsid w:val="00463936"/>
    <w:rsid w:val="0046758C"/>
    <w:rsid w:val="00472C48"/>
    <w:rsid w:val="004819FD"/>
    <w:rsid w:val="00482E07"/>
    <w:rsid w:val="00484A02"/>
    <w:rsid w:val="00493A4F"/>
    <w:rsid w:val="00495B0C"/>
    <w:rsid w:val="00496B0A"/>
    <w:rsid w:val="00497ACA"/>
    <w:rsid w:val="004A1B98"/>
    <w:rsid w:val="004A54EF"/>
    <w:rsid w:val="004A7AD3"/>
    <w:rsid w:val="004B4B0F"/>
    <w:rsid w:val="004C0BBB"/>
    <w:rsid w:val="004C18B1"/>
    <w:rsid w:val="004C2770"/>
    <w:rsid w:val="004C6FD1"/>
    <w:rsid w:val="004D2817"/>
    <w:rsid w:val="004D29B7"/>
    <w:rsid w:val="004D4935"/>
    <w:rsid w:val="004D4A8C"/>
    <w:rsid w:val="004E056F"/>
    <w:rsid w:val="004E0BB0"/>
    <w:rsid w:val="004E1B52"/>
    <w:rsid w:val="004E2B42"/>
    <w:rsid w:val="004E4CC3"/>
    <w:rsid w:val="004F1E9B"/>
    <w:rsid w:val="004F42DC"/>
    <w:rsid w:val="00500F17"/>
    <w:rsid w:val="00501A34"/>
    <w:rsid w:val="00502724"/>
    <w:rsid w:val="005122FB"/>
    <w:rsid w:val="00512675"/>
    <w:rsid w:val="005175F0"/>
    <w:rsid w:val="0052305C"/>
    <w:rsid w:val="005246AF"/>
    <w:rsid w:val="005247F2"/>
    <w:rsid w:val="00524A81"/>
    <w:rsid w:val="005255DC"/>
    <w:rsid w:val="00526D28"/>
    <w:rsid w:val="005309A6"/>
    <w:rsid w:val="005332A4"/>
    <w:rsid w:val="005352D8"/>
    <w:rsid w:val="00537845"/>
    <w:rsid w:val="00537AA2"/>
    <w:rsid w:val="00545305"/>
    <w:rsid w:val="00553FB4"/>
    <w:rsid w:val="00561A96"/>
    <w:rsid w:val="00562974"/>
    <w:rsid w:val="00563AB0"/>
    <w:rsid w:val="005677C8"/>
    <w:rsid w:val="0057040E"/>
    <w:rsid w:val="00573890"/>
    <w:rsid w:val="0057431E"/>
    <w:rsid w:val="00574E1C"/>
    <w:rsid w:val="00575C8B"/>
    <w:rsid w:val="00577D55"/>
    <w:rsid w:val="005823FD"/>
    <w:rsid w:val="005827FD"/>
    <w:rsid w:val="005934B4"/>
    <w:rsid w:val="00593E69"/>
    <w:rsid w:val="00595379"/>
    <w:rsid w:val="00597254"/>
    <w:rsid w:val="005A27A0"/>
    <w:rsid w:val="005A37C7"/>
    <w:rsid w:val="005B2650"/>
    <w:rsid w:val="005B4301"/>
    <w:rsid w:val="005B4BA6"/>
    <w:rsid w:val="005B5097"/>
    <w:rsid w:val="005B67E5"/>
    <w:rsid w:val="005B6D8D"/>
    <w:rsid w:val="005B6E46"/>
    <w:rsid w:val="005B713D"/>
    <w:rsid w:val="005C5286"/>
    <w:rsid w:val="005C68C8"/>
    <w:rsid w:val="005D004C"/>
    <w:rsid w:val="005D1F1E"/>
    <w:rsid w:val="005D3E26"/>
    <w:rsid w:val="005D552E"/>
    <w:rsid w:val="005D55DD"/>
    <w:rsid w:val="005D7E53"/>
    <w:rsid w:val="005E042F"/>
    <w:rsid w:val="005E1908"/>
    <w:rsid w:val="005E3ADB"/>
    <w:rsid w:val="005E400C"/>
    <w:rsid w:val="005E7138"/>
    <w:rsid w:val="005E79C7"/>
    <w:rsid w:val="005F0568"/>
    <w:rsid w:val="005F06AA"/>
    <w:rsid w:val="005F5AAC"/>
    <w:rsid w:val="005F74C8"/>
    <w:rsid w:val="00610FCF"/>
    <w:rsid w:val="0061507A"/>
    <w:rsid w:val="0061592B"/>
    <w:rsid w:val="00625096"/>
    <w:rsid w:val="00632014"/>
    <w:rsid w:val="00632EBD"/>
    <w:rsid w:val="00633030"/>
    <w:rsid w:val="00637F29"/>
    <w:rsid w:val="00640D56"/>
    <w:rsid w:val="00641166"/>
    <w:rsid w:val="00643071"/>
    <w:rsid w:val="00645332"/>
    <w:rsid w:val="00650718"/>
    <w:rsid w:val="006519AD"/>
    <w:rsid w:val="0065344C"/>
    <w:rsid w:val="00654594"/>
    <w:rsid w:val="0065471A"/>
    <w:rsid w:val="006573F9"/>
    <w:rsid w:val="0066061F"/>
    <w:rsid w:val="006671D0"/>
    <w:rsid w:val="00667380"/>
    <w:rsid w:val="00681C4A"/>
    <w:rsid w:val="00682828"/>
    <w:rsid w:val="006965FB"/>
    <w:rsid w:val="006966E3"/>
    <w:rsid w:val="00696729"/>
    <w:rsid w:val="006A2C89"/>
    <w:rsid w:val="006A2DDA"/>
    <w:rsid w:val="006A3FDA"/>
    <w:rsid w:val="006A63DC"/>
    <w:rsid w:val="006A6788"/>
    <w:rsid w:val="006A7D20"/>
    <w:rsid w:val="006B2CB8"/>
    <w:rsid w:val="006B2DBB"/>
    <w:rsid w:val="006B3E29"/>
    <w:rsid w:val="006B5662"/>
    <w:rsid w:val="006B6565"/>
    <w:rsid w:val="006B667C"/>
    <w:rsid w:val="006C4885"/>
    <w:rsid w:val="006C5E6D"/>
    <w:rsid w:val="006C69FA"/>
    <w:rsid w:val="006C71AA"/>
    <w:rsid w:val="006D1712"/>
    <w:rsid w:val="006D362F"/>
    <w:rsid w:val="006D43B8"/>
    <w:rsid w:val="006D70B5"/>
    <w:rsid w:val="006E0272"/>
    <w:rsid w:val="006E11D7"/>
    <w:rsid w:val="006E13E4"/>
    <w:rsid w:val="006E262A"/>
    <w:rsid w:val="006E5061"/>
    <w:rsid w:val="006F0D72"/>
    <w:rsid w:val="006F0E8D"/>
    <w:rsid w:val="006F4084"/>
    <w:rsid w:val="00701DAF"/>
    <w:rsid w:val="007078E4"/>
    <w:rsid w:val="00710C9B"/>
    <w:rsid w:val="00711C7A"/>
    <w:rsid w:val="0071382E"/>
    <w:rsid w:val="00716A91"/>
    <w:rsid w:val="00716B5B"/>
    <w:rsid w:val="00716D6B"/>
    <w:rsid w:val="00721C08"/>
    <w:rsid w:val="00722B87"/>
    <w:rsid w:val="00730947"/>
    <w:rsid w:val="00732865"/>
    <w:rsid w:val="007346FF"/>
    <w:rsid w:val="0073546A"/>
    <w:rsid w:val="00735F71"/>
    <w:rsid w:val="007427D5"/>
    <w:rsid w:val="007433B9"/>
    <w:rsid w:val="007437F6"/>
    <w:rsid w:val="00752D43"/>
    <w:rsid w:val="00753CC0"/>
    <w:rsid w:val="0075571B"/>
    <w:rsid w:val="00762340"/>
    <w:rsid w:val="00762D00"/>
    <w:rsid w:val="007660EF"/>
    <w:rsid w:val="00767797"/>
    <w:rsid w:val="00771DC9"/>
    <w:rsid w:val="00776264"/>
    <w:rsid w:val="00776AD1"/>
    <w:rsid w:val="00776C25"/>
    <w:rsid w:val="007771BE"/>
    <w:rsid w:val="007803E0"/>
    <w:rsid w:val="00780AA7"/>
    <w:rsid w:val="00781586"/>
    <w:rsid w:val="007861D1"/>
    <w:rsid w:val="00787D43"/>
    <w:rsid w:val="00787DC3"/>
    <w:rsid w:val="00791999"/>
    <w:rsid w:val="00794C6C"/>
    <w:rsid w:val="00794DE4"/>
    <w:rsid w:val="00794FAC"/>
    <w:rsid w:val="00795F3D"/>
    <w:rsid w:val="007A001D"/>
    <w:rsid w:val="007A1E87"/>
    <w:rsid w:val="007A2207"/>
    <w:rsid w:val="007A5042"/>
    <w:rsid w:val="007B29D7"/>
    <w:rsid w:val="007B394E"/>
    <w:rsid w:val="007C0030"/>
    <w:rsid w:val="007C2004"/>
    <w:rsid w:val="007C259E"/>
    <w:rsid w:val="007C4BC2"/>
    <w:rsid w:val="007C6C7D"/>
    <w:rsid w:val="007D0F97"/>
    <w:rsid w:val="007D1EF0"/>
    <w:rsid w:val="007D3DE8"/>
    <w:rsid w:val="007D458C"/>
    <w:rsid w:val="007E2729"/>
    <w:rsid w:val="007E44CB"/>
    <w:rsid w:val="007E6765"/>
    <w:rsid w:val="007E7AF9"/>
    <w:rsid w:val="007F1DD7"/>
    <w:rsid w:val="007F202D"/>
    <w:rsid w:val="008001D7"/>
    <w:rsid w:val="00800E4E"/>
    <w:rsid w:val="00802FFC"/>
    <w:rsid w:val="00804375"/>
    <w:rsid w:val="00806679"/>
    <w:rsid w:val="0081123F"/>
    <w:rsid w:val="00814675"/>
    <w:rsid w:val="00814AC5"/>
    <w:rsid w:val="00816917"/>
    <w:rsid w:val="00824CA3"/>
    <w:rsid w:val="00826C52"/>
    <w:rsid w:val="008275D0"/>
    <w:rsid w:val="00831392"/>
    <w:rsid w:val="00833B7E"/>
    <w:rsid w:val="00841C30"/>
    <w:rsid w:val="008475AC"/>
    <w:rsid w:val="008477C2"/>
    <w:rsid w:val="00854D7A"/>
    <w:rsid w:val="00856CB3"/>
    <w:rsid w:val="00857493"/>
    <w:rsid w:val="0086119F"/>
    <w:rsid w:val="0087417B"/>
    <w:rsid w:val="00881865"/>
    <w:rsid w:val="00885CCD"/>
    <w:rsid w:val="008865A9"/>
    <w:rsid w:val="008902E9"/>
    <w:rsid w:val="00892195"/>
    <w:rsid w:val="0089458B"/>
    <w:rsid w:val="00895908"/>
    <w:rsid w:val="00897757"/>
    <w:rsid w:val="008A1037"/>
    <w:rsid w:val="008A4EA1"/>
    <w:rsid w:val="008A5472"/>
    <w:rsid w:val="008A6CA7"/>
    <w:rsid w:val="008B141E"/>
    <w:rsid w:val="008B4BA1"/>
    <w:rsid w:val="008B54CA"/>
    <w:rsid w:val="008C275A"/>
    <w:rsid w:val="008C359F"/>
    <w:rsid w:val="008C3C63"/>
    <w:rsid w:val="008C7662"/>
    <w:rsid w:val="008D05C8"/>
    <w:rsid w:val="008D5BDF"/>
    <w:rsid w:val="008E7426"/>
    <w:rsid w:val="008F01D9"/>
    <w:rsid w:val="008F11A7"/>
    <w:rsid w:val="008F19B5"/>
    <w:rsid w:val="008F5DD0"/>
    <w:rsid w:val="008F64C2"/>
    <w:rsid w:val="008F776E"/>
    <w:rsid w:val="00901912"/>
    <w:rsid w:val="00901DDF"/>
    <w:rsid w:val="0090468A"/>
    <w:rsid w:val="00910755"/>
    <w:rsid w:val="00914E90"/>
    <w:rsid w:val="0091598A"/>
    <w:rsid w:val="00920347"/>
    <w:rsid w:val="00921AFC"/>
    <w:rsid w:val="0092228A"/>
    <w:rsid w:val="009225BB"/>
    <w:rsid w:val="00922EE4"/>
    <w:rsid w:val="00927018"/>
    <w:rsid w:val="00931837"/>
    <w:rsid w:val="00934622"/>
    <w:rsid w:val="00934CF3"/>
    <w:rsid w:val="0093570D"/>
    <w:rsid w:val="00940FFF"/>
    <w:rsid w:val="00943ED0"/>
    <w:rsid w:val="00944DFD"/>
    <w:rsid w:val="00950852"/>
    <w:rsid w:val="009539AD"/>
    <w:rsid w:val="009542CA"/>
    <w:rsid w:val="009560E7"/>
    <w:rsid w:val="00962DE9"/>
    <w:rsid w:val="00964CA3"/>
    <w:rsid w:val="00965106"/>
    <w:rsid w:val="0096583E"/>
    <w:rsid w:val="009679CC"/>
    <w:rsid w:val="00967A39"/>
    <w:rsid w:val="00970571"/>
    <w:rsid w:val="00974CF7"/>
    <w:rsid w:val="00974E20"/>
    <w:rsid w:val="00976865"/>
    <w:rsid w:val="009825A9"/>
    <w:rsid w:val="009836F8"/>
    <w:rsid w:val="00985E93"/>
    <w:rsid w:val="00987342"/>
    <w:rsid w:val="00992285"/>
    <w:rsid w:val="00995760"/>
    <w:rsid w:val="00995AC4"/>
    <w:rsid w:val="00996028"/>
    <w:rsid w:val="009A346A"/>
    <w:rsid w:val="009A7EB3"/>
    <w:rsid w:val="009B0129"/>
    <w:rsid w:val="009B6B23"/>
    <w:rsid w:val="009C135A"/>
    <w:rsid w:val="009C18DF"/>
    <w:rsid w:val="009C2212"/>
    <w:rsid w:val="009C4292"/>
    <w:rsid w:val="009C5DC3"/>
    <w:rsid w:val="009C6711"/>
    <w:rsid w:val="009D44DC"/>
    <w:rsid w:val="009D75BD"/>
    <w:rsid w:val="009E1B28"/>
    <w:rsid w:val="009E27EB"/>
    <w:rsid w:val="009E2960"/>
    <w:rsid w:val="009E2A4F"/>
    <w:rsid w:val="009E54A1"/>
    <w:rsid w:val="009F3153"/>
    <w:rsid w:val="009F4A49"/>
    <w:rsid w:val="009F7617"/>
    <w:rsid w:val="00A01883"/>
    <w:rsid w:val="00A02FB3"/>
    <w:rsid w:val="00A0450C"/>
    <w:rsid w:val="00A054EC"/>
    <w:rsid w:val="00A070E2"/>
    <w:rsid w:val="00A10289"/>
    <w:rsid w:val="00A1484E"/>
    <w:rsid w:val="00A15AE8"/>
    <w:rsid w:val="00A1715A"/>
    <w:rsid w:val="00A2016F"/>
    <w:rsid w:val="00A25BA3"/>
    <w:rsid w:val="00A27598"/>
    <w:rsid w:val="00A3273D"/>
    <w:rsid w:val="00A34BC7"/>
    <w:rsid w:val="00A34D23"/>
    <w:rsid w:val="00A36A23"/>
    <w:rsid w:val="00A37605"/>
    <w:rsid w:val="00A4464A"/>
    <w:rsid w:val="00A4737A"/>
    <w:rsid w:val="00A508AB"/>
    <w:rsid w:val="00A514FD"/>
    <w:rsid w:val="00A52A98"/>
    <w:rsid w:val="00A533BB"/>
    <w:rsid w:val="00A533C4"/>
    <w:rsid w:val="00A55FC6"/>
    <w:rsid w:val="00A56BDD"/>
    <w:rsid w:val="00A6571C"/>
    <w:rsid w:val="00A72437"/>
    <w:rsid w:val="00A754BF"/>
    <w:rsid w:val="00A76A1D"/>
    <w:rsid w:val="00A76AE0"/>
    <w:rsid w:val="00A77BF5"/>
    <w:rsid w:val="00A80E8E"/>
    <w:rsid w:val="00A81E7E"/>
    <w:rsid w:val="00A858D8"/>
    <w:rsid w:val="00A90A0C"/>
    <w:rsid w:val="00A90D4B"/>
    <w:rsid w:val="00A91CF6"/>
    <w:rsid w:val="00A92044"/>
    <w:rsid w:val="00A92FE1"/>
    <w:rsid w:val="00A94DEE"/>
    <w:rsid w:val="00A95A47"/>
    <w:rsid w:val="00A967FE"/>
    <w:rsid w:val="00AA711B"/>
    <w:rsid w:val="00AA7D49"/>
    <w:rsid w:val="00AB0B24"/>
    <w:rsid w:val="00AB2724"/>
    <w:rsid w:val="00AB471C"/>
    <w:rsid w:val="00AB58EA"/>
    <w:rsid w:val="00AB7D61"/>
    <w:rsid w:val="00AB7FC8"/>
    <w:rsid w:val="00AC1E0C"/>
    <w:rsid w:val="00AC3407"/>
    <w:rsid w:val="00AC49F2"/>
    <w:rsid w:val="00AD595C"/>
    <w:rsid w:val="00AD653C"/>
    <w:rsid w:val="00AD7C05"/>
    <w:rsid w:val="00AE21D8"/>
    <w:rsid w:val="00AE4B3B"/>
    <w:rsid w:val="00AF03D5"/>
    <w:rsid w:val="00AF188E"/>
    <w:rsid w:val="00B015C3"/>
    <w:rsid w:val="00B03CF2"/>
    <w:rsid w:val="00B1047D"/>
    <w:rsid w:val="00B10A17"/>
    <w:rsid w:val="00B11217"/>
    <w:rsid w:val="00B13373"/>
    <w:rsid w:val="00B14B4D"/>
    <w:rsid w:val="00B1712A"/>
    <w:rsid w:val="00B17A7B"/>
    <w:rsid w:val="00B211DE"/>
    <w:rsid w:val="00B25B30"/>
    <w:rsid w:val="00B26C1A"/>
    <w:rsid w:val="00B27037"/>
    <w:rsid w:val="00B32F1E"/>
    <w:rsid w:val="00B439D1"/>
    <w:rsid w:val="00B45703"/>
    <w:rsid w:val="00B51B72"/>
    <w:rsid w:val="00B52A7F"/>
    <w:rsid w:val="00B54C36"/>
    <w:rsid w:val="00B567E0"/>
    <w:rsid w:val="00B61845"/>
    <w:rsid w:val="00B61F55"/>
    <w:rsid w:val="00B63574"/>
    <w:rsid w:val="00B7157F"/>
    <w:rsid w:val="00B7221F"/>
    <w:rsid w:val="00B7484F"/>
    <w:rsid w:val="00B7709E"/>
    <w:rsid w:val="00B80D81"/>
    <w:rsid w:val="00B838D7"/>
    <w:rsid w:val="00B86488"/>
    <w:rsid w:val="00B90A53"/>
    <w:rsid w:val="00B90BF1"/>
    <w:rsid w:val="00B9524D"/>
    <w:rsid w:val="00B9748D"/>
    <w:rsid w:val="00BA1790"/>
    <w:rsid w:val="00BA563E"/>
    <w:rsid w:val="00BC0636"/>
    <w:rsid w:val="00BC590A"/>
    <w:rsid w:val="00BC7372"/>
    <w:rsid w:val="00BD26A0"/>
    <w:rsid w:val="00BD3D7A"/>
    <w:rsid w:val="00BD68CE"/>
    <w:rsid w:val="00BE06EA"/>
    <w:rsid w:val="00BE0A64"/>
    <w:rsid w:val="00BE299C"/>
    <w:rsid w:val="00BE2D5E"/>
    <w:rsid w:val="00BF47FE"/>
    <w:rsid w:val="00BF64BE"/>
    <w:rsid w:val="00BF7789"/>
    <w:rsid w:val="00C04FC2"/>
    <w:rsid w:val="00C07E65"/>
    <w:rsid w:val="00C1135F"/>
    <w:rsid w:val="00C12BD1"/>
    <w:rsid w:val="00C13F6B"/>
    <w:rsid w:val="00C1542C"/>
    <w:rsid w:val="00C2059A"/>
    <w:rsid w:val="00C20CD6"/>
    <w:rsid w:val="00C21548"/>
    <w:rsid w:val="00C21DF6"/>
    <w:rsid w:val="00C22660"/>
    <w:rsid w:val="00C23D38"/>
    <w:rsid w:val="00C2557A"/>
    <w:rsid w:val="00C261A9"/>
    <w:rsid w:val="00C352BF"/>
    <w:rsid w:val="00C3627E"/>
    <w:rsid w:val="00C375A3"/>
    <w:rsid w:val="00C41487"/>
    <w:rsid w:val="00C42B8A"/>
    <w:rsid w:val="00C4370E"/>
    <w:rsid w:val="00C44AE9"/>
    <w:rsid w:val="00C45640"/>
    <w:rsid w:val="00C46D6B"/>
    <w:rsid w:val="00C471C8"/>
    <w:rsid w:val="00C525F4"/>
    <w:rsid w:val="00C525F8"/>
    <w:rsid w:val="00C5642B"/>
    <w:rsid w:val="00C56C6C"/>
    <w:rsid w:val="00C5765D"/>
    <w:rsid w:val="00C57A48"/>
    <w:rsid w:val="00C60F43"/>
    <w:rsid w:val="00C61026"/>
    <w:rsid w:val="00C61E3E"/>
    <w:rsid w:val="00C63793"/>
    <w:rsid w:val="00C6774B"/>
    <w:rsid w:val="00C70EF1"/>
    <w:rsid w:val="00C76379"/>
    <w:rsid w:val="00C81C07"/>
    <w:rsid w:val="00C8436E"/>
    <w:rsid w:val="00C87902"/>
    <w:rsid w:val="00C90EDB"/>
    <w:rsid w:val="00C939D3"/>
    <w:rsid w:val="00C94769"/>
    <w:rsid w:val="00C9569B"/>
    <w:rsid w:val="00C95755"/>
    <w:rsid w:val="00C95E09"/>
    <w:rsid w:val="00C9628D"/>
    <w:rsid w:val="00CA0BCE"/>
    <w:rsid w:val="00CA16B6"/>
    <w:rsid w:val="00CA3EF9"/>
    <w:rsid w:val="00CB2F99"/>
    <w:rsid w:val="00CB5B96"/>
    <w:rsid w:val="00CC603F"/>
    <w:rsid w:val="00CD3B67"/>
    <w:rsid w:val="00CD3FEB"/>
    <w:rsid w:val="00CD7EE6"/>
    <w:rsid w:val="00CE2E64"/>
    <w:rsid w:val="00CE4A50"/>
    <w:rsid w:val="00CF275D"/>
    <w:rsid w:val="00CF62A5"/>
    <w:rsid w:val="00CF71BF"/>
    <w:rsid w:val="00D002A8"/>
    <w:rsid w:val="00D02BB8"/>
    <w:rsid w:val="00D110A9"/>
    <w:rsid w:val="00D11C08"/>
    <w:rsid w:val="00D1427D"/>
    <w:rsid w:val="00D15CE2"/>
    <w:rsid w:val="00D15EB5"/>
    <w:rsid w:val="00D15F1C"/>
    <w:rsid w:val="00D1734F"/>
    <w:rsid w:val="00D21811"/>
    <w:rsid w:val="00D22171"/>
    <w:rsid w:val="00D25A56"/>
    <w:rsid w:val="00D25D94"/>
    <w:rsid w:val="00D26C57"/>
    <w:rsid w:val="00D27858"/>
    <w:rsid w:val="00D31844"/>
    <w:rsid w:val="00D33848"/>
    <w:rsid w:val="00D36983"/>
    <w:rsid w:val="00D40558"/>
    <w:rsid w:val="00D423DA"/>
    <w:rsid w:val="00D4308B"/>
    <w:rsid w:val="00D434E7"/>
    <w:rsid w:val="00D43878"/>
    <w:rsid w:val="00D4764E"/>
    <w:rsid w:val="00D53977"/>
    <w:rsid w:val="00D72015"/>
    <w:rsid w:val="00D73AB8"/>
    <w:rsid w:val="00D73DBC"/>
    <w:rsid w:val="00D74FBA"/>
    <w:rsid w:val="00D82FDA"/>
    <w:rsid w:val="00D85B49"/>
    <w:rsid w:val="00D91EAA"/>
    <w:rsid w:val="00D95974"/>
    <w:rsid w:val="00D9758B"/>
    <w:rsid w:val="00DA53D3"/>
    <w:rsid w:val="00DB048D"/>
    <w:rsid w:val="00DB0D42"/>
    <w:rsid w:val="00DB1B1F"/>
    <w:rsid w:val="00DB2A02"/>
    <w:rsid w:val="00DB4B44"/>
    <w:rsid w:val="00DB6A71"/>
    <w:rsid w:val="00DC2937"/>
    <w:rsid w:val="00DC37C2"/>
    <w:rsid w:val="00DC4769"/>
    <w:rsid w:val="00DD638C"/>
    <w:rsid w:val="00DE24C2"/>
    <w:rsid w:val="00DE2C47"/>
    <w:rsid w:val="00DE6AFE"/>
    <w:rsid w:val="00DF2C11"/>
    <w:rsid w:val="00DF686E"/>
    <w:rsid w:val="00DF69CD"/>
    <w:rsid w:val="00DF7FBB"/>
    <w:rsid w:val="00E00458"/>
    <w:rsid w:val="00E020AB"/>
    <w:rsid w:val="00E03903"/>
    <w:rsid w:val="00E07DAA"/>
    <w:rsid w:val="00E10041"/>
    <w:rsid w:val="00E10A2E"/>
    <w:rsid w:val="00E12563"/>
    <w:rsid w:val="00E14E4F"/>
    <w:rsid w:val="00E14F67"/>
    <w:rsid w:val="00E21223"/>
    <w:rsid w:val="00E304E8"/>
    <w:rsid w:val="00E31B64"/>
    <w:rsid w:val="00E325DB"/>
    <w:rsid w:val="00E32869"/>
    <w:rsid w:val="00E33407"/>
    <w:rsid w:val="00E37C3F"/>
    <w:rsid w:val="00E37FF5"/>
    <w:rsid w:val="00E451A5"/>
    <w:rsid w:val="00E47E26"/>
    <w:rsid w:val="00E5290E"/>
    <w:rsid w:val="00E60831"/>
    <w:rsid w:val="00E63CA6"/>
    <w:rsid w:val="00E640FD"/>
    <w:rsid w:val="00E72568"/>
    <w:rsid w:val="00E740DC"/>
    <w:rsid w:val="00E828F6"/>
    <w:rsid w:val="00E8349F"/>
    <w:rsid w:val="00E842D1"/>
    <w:rsid w:val="00E844BD"/>
    <w:rsid w:val="00E84FE0"/>
    <w:rsid w:val="00E91BE5"/>
    <w:rsid w:val="00E92BF2"/>
    <w:rsid w:val="00E937D9"/>
    <w:rsid w:val="00E97121"/>
    <w:rsid w:val="00E9717F"/>
    <w:rsid w:val="00EA3668"/>
    <w:rsid w:val="00EA438D"/>
    <w:rsid w:val="00EA45E8"/>
    <w:rsid w:val="00EA4637"/>
    <w:rsid w:val="00EB113B"/>
    <w:rsid w:val="00EB2B8E"/>
    <w:rsid w:val="00EB38F7"/>
    <w:rsid w:val="00EB508D"/>
    <w:rsid w:val="00EB7A76"/>
    <w:rsid w:val="00EC35B4"/>
    <w:rsid w:val="00EC7F39"/>
    <w:rsid w:val="00ED234B"/>
    <w:rsid w:val="00EE0B14"/>
    <w:rsid w:val="00EE2FEB"/>
    <w:rsid w:val="00EE454E"/>
    <w:rsid w:val="00EE5425"/>
    <w:rsid w:val="00EE54A9"/>
    <w:rsid w:val="00EE696F"/>
    <w:rsid w:val="00EF03C9"/>
    <w:rsid w:val="00EF180C"/>
    <w:rsid w:val="00EF2934"/>
    <w:rsid w:val="00EF514A"/>
    <w:rsid w:val="00F016BB"/>
    <w:rsid w:val="00F0599D"/>
    <w:rsid w:val="00F05C0A"/>
    <w:rsid w:val="00F06820"/>
    <w:rsid w:val="00F07642"/>
    <w:rsid w:val="00F11E19"/>
    <w:rsid w:val="00F16DEC"/>
    <w:rsid w:val="00F20585"/>
    <w:rsid w:val="00F23B11"/>
    <w:rsid w:val="00F26558"/>
    <w:rsid w:val="00F27F7F"/>
    <w:rsid w:val="00F34D2B"/>
    <w:rsid w:val="00F44698"/>
    <w:rsid w:val="00F45CDC"/>
    <w:rsid w:val="00F472D2"/>
    <w:rsid w:val="00F50BBD"/>
    <w:rsid w:val="00F57872"/>
    <w:rsid w:val="00F610D1"/>
    <w:rsid w:val="00F6210F"/>
    <w:rsid w:val="00F63F5A"/>
    <w:rsid w:val="00F66AF3"/>
    <w:rsid w:val="00F735E5"/>
    <w:rsid w:val="00F76688"/>
    <w:rsid w:val="00F768F7"/>
    <w:rsid w:val="00F77585"/>
    <w:rsid w:val="00F77A87"/>
    <w:rsid w:val="00F81854"/>
    <w:rsid w:val="00F81D5A"/>
    <w:rsid w:val="00F82A7D"/>
    <w:rsid w:val="00F830EC"/>
    <w:rsid w:val="00F871AD"/>
    <w:rsid w:val="00F90376"/>
    <w:rsid w:val="00F9092F"/>
    <w:rsid w:val="00F9189F"/>
    <w:rsid w:val="00F938E6"/>
    <w:rsid w:val="00F9657F"/>
    <w:rsid w:val="00FA3D45"/>
    <w:rsid w:val="00FA64A5"/>
    <w:rsid w:val="00FA76A2"/>
    <w:rsid w:val="00FB2AA3"/>
    <w:rsid w:val="00FB39D6"/>
    <w:rsid w:val="00FC3053"/>
    <w:rsid w:val="00FC33B3"/>
    <w:rsid w:val="00FC42B1"/>
    <w:rsid w:val="00FD3EA3"/>
    <w:rsid w:val="00FD701F"/>
    <w:rsid w:val="00FE1439"/>
    <w:rsid w:val="00FF4FEA"/>
    <w:rsid w:val="00FF6C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3B52E8"/>
  <w15:chartTrackingRefBased/>
  <w15:docId w15:val="{9EC389B3-8211-494B-97A6-14AA02152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rmalIndent"/>
    <w:uiPriority w:val="99"/>
    <w:qFormat/>
    <w:rsid w:val="00357C55"/>
    <w:pPr>
      <w:spacing w:after="0" w:line="240" w:lineRule="auto"/>
    </w:pPr>
    <w:rPr>
      <w:rFonts w:eastAsia="Times New Roman" w:cs="Times New Roman"/>
      <w:szCs w:val="24"/>
      <w:lang w:eastAsia="en-GB"/>
    </w:rPr>
  </w:style>
  <w:style w:type="paragraph" w:styleId="Heading1">
    <w:name w:val="heading 1"/>
    <w:aliases w:val="heading"/>
    <w:basedOn w:val="Normal"/>
    <w:next w:val="Normal"/>
    <w:link w:val="Heading1Char"/>
    <w:autoRedefine/>
    <w:uiPriority w:val="9"/>
    <w:qFormat/>
    <w:rsid w:val="00E63CA6"/>
    <w:pPr>
      <w:keepNext/>
      <w:keepLines/>
      <w:widowControl w:val="0"/>
      <w:numPr>
        <w:numId w:val="5"/>
      </w:numPr>
      <w:autoSpaceDE w:val="0"/>
      <w:autoSpaceDN w:val="0"/>
      <w:adjustRightInd w:val="0"/>
      <w:spacing w:before="40" w:line="480" w:lineRule="auto"/>
      <w:jc w:val="both"/>
      <w:outlineLvl w:val="0"/>
    </w:pPr>
    <w:rPr>
      <w:rFonts w:eastAsiaTheme="majorEastAsia" w:cstheme="minorHAnsi"/>
      <w:b/>
      <w:color w:val="000000" w:themeColor="text1"/>
      <w:kern w:val="1"/>
      <w:szCs w:val="22"/>
    </w:rPr>
  </w:style>
  <w:style w:type="paragraph" w:styleId="Heading2">
    <w:name w:val="heading 2"/>
    <w:basedOn w:val="Normal"/>
    <w:next w:val="Normal"/>
    <w:link w:val="Heading2Char"/>
    <w:autoRedefine/>
    <w:uiPriority w:val="9"/>
    <w:unhideWhenUsed/>
    <w:qFormat/>
    <w:rsid w:val="00DF7FBB"/>
    <w:pPr>
      <w:keepNext/>
      <w:keepLines/>
      <w:spacing w:before="40" w:line="480" w:lineRule="auto"/>
      <w:jc w:val="both"/>
      <w:outlineLvl w:val="1"/>
    </w:pPr>
    <w:rPr>
      <w:rFonts w:ascii="Calibri" w:eastAsiaTheme="majorEastAsia" w:hAnsi="Calibri" w:cs="Calibri"/>
      <w:b/>
      <w:i/>
      <w:szCs w:val="22"/>
    </w:rPr>
  </w:style>
  <w:style w:type="paragraph" w:styleId="Heading3">
    <w:name w:val="heading 3"/>
    <w:basedOn w:val="Normal"/>
    <w:next w:val="Normal"/>
    <w:link w:val="Heading3Char"/>
    <w:uiPriority w:val="9"/>
    <w:semiHidden/>
    <w:unhideWhenUsed/>
    <w:qFormat/>
    <w:rsid w:val="00A3273D"/>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uiPriority w:val="9"/>
    <w:rsid w:val="00E63CA6"/>
    <w:rPr>
      <w:rFonts w:eastAsiaTheme="majorEastAsia" w:cstheme="minorHAnsi"/>
      <w:b/>
      <w:color w:val="000000" w:themeColor="text1"/>
      <w:kern w:val="1"/>
      <w:lang w:eastAsia="en-GB"/>
    </w:rPr>
  </w:style>
  <w:style w:type="character" w:customStyle="1" w:styleId="Heading2Char">
    <w:name w:val="Heading 2 Char"/>
    <w:basedOn w:val="DefaultParagraphFont"/>
    <w:link w:val="Heading2"/>
    <w:uiPriority w:val="9"/>
    <w:rsid w:val="00DF7FBB"/>
    <w:rPr>
      <w:rFonts w:ascii="Calibri" w:eastAsiaTheme="majorEastAsia" w:hAnsi="Calibri" w:cs="Calibri"/>
      <w:b/>
      <w:i/>
      <w:lang w:eastAsia="en-GB"/>
    </w:rPr>
  </w:style>
  <w:style w:type="character" w:customStyle="1" w:styleId="Heading3Char">
    <w:name w:val="Heading 3 Char"/>
    <w:basedOn w:val="DefaultParagraphFont"/>
    <w:link w:val="Heading3"/>
    <w:uiPriority w:val="9"/>
    <w:semiHidden/>
    <w:rsid w:val="00A3273D"/>
    <w:rPr>
      <w:rFonts w:asciiTheme="majorHAnsi" w:eastAsiaTheme="majorEastAsia" w:hAnsiTheme="majorHAnsi" w:cstheme="majorBidi"/>
      <w:color w:val="1F3763" w:themeColor="accent1" w:themeShade="7F"/>
      <w:sz w:val="24"/>
      <w:szCs w:val="24"/>
      <w:lang w:eastAsia="en-GB"/>
    </w:rPr>
  </w:style>
  <w:style w:type="paragraph" w:styleId="Title">
    <w:name w:val="Title"/>
    <w:link w:val="TitleChar"/>
    <w:uiPriority w:val="99"/>
    <w:rsid w:val="00A3273D"/>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60" w:after="0" w:line="264" w:lineRule="auto"/>
      <w:jc w:val="center"/>
    </w:pPr>
    <w:rPr>
      <w:rFonts w:ascii="Times New Roman" w:eastAsia="TimesNewRomanPSMT" w:hAnsi="Times New Roman"/>
      <w:b/>
      <w:sz w:val="28"/>
      <w:szCs w:val="20"/>
      <w:u w:val="single"/>
      <w:lang w:val="en-US"/>
    </w:rPr>
  </w:style>
  <w:style w:type="character" w:customStyle="1" w:styleId="TitleChar">
    <w:name w:val="Title Char"/>
    <w:basedOn w:val="DefaultParagraphFont"/>
    <w:link w:val="Title"/>
    <w:uiPriority w:val="99"/>
    <w:rsid w:val="00A3273D"/>
    <w:rPr>
      <w:rFonts w:ascii="Times New Roman" w:eastAsia="TimesNewRomanPSMT" w:hAnsi="Times New Roman"/>
      <w:b/>
      <w:sz w:val="28"/>
      <w:szCs w:val="20"/>
      <w:u w:val="single"/>
      <w:lang w:val="en-US"/>
    </w:rPr>
  </w:style>
  <w:style w:type="paragraph" w:customStyle="1" w:styleId="Footnote">
    <w:name w:val="Footnote"/>
    <w:uiPriority w:val="99"/>
    <w:rsid w:val="00A3273D"/>
    <w:pPr>
      <w:widowControl w:val="0"/>
      <w:autoSpaceDE w:val="0"/>
      <w:autoSpaceDN w:val="0"/>
      <w:adjustRightInd w:val="0"/>
      <w:spacing w:after="0" w:line="240" w:lineRule="auto"/>
    </w:pPr>
    <w:rPr>
      <w:rFonts w:eastAsia="TimesNewRomanPSMT"/>
      <w:sz w:val="20"/>
      <w:szCs w:val="20"/>
      <w:lang w:val="en-US"/>
    </w:rPr>
  </w:style>
  <w:style w:type="character" w:styleId="Hyperlink">
    <w:name w:val="Hyperlink"/>
    <w:uiPriority w:val="99"/>
    <w:rsid w:val="00A3273D"/>
  </w:style>
  <w:style w:type="character" w:styleId="FootnoteReference">
    <w:name w:val="footnote reference"/>
    <w:aliases w:val="Footnote symbol Car Zchn Zchn Char,Footnote Car Zchn Zchn Char,Times 10 Point Car Zchn Zchn Char,Exposant 3 Point Car Zchn Zchn Char,Footnote Reference Superscript Car Zchn Zchn Char,Char Char Char Char Char Car Zchn Zchn Char,4_G Ch"/>
    <w:basedOn w:val="DefaultParagraphFont"/>
    <w:link w:val="FootnotesymbolCarZchnZchn"/>
    <w:unhideWhenUsed/>
    <w:qFormat/>
    <w:rsid w:val="00A3273D"/>
    <w:rPr>
      <w:vertAlign w:val="superscript"/>
    </w:rPr>
  </w:style>
  <w:style w:type="paragraph" w:customStyle="1" w:styleId="FootnotesymbolCarZchnZchn">
    <w:name w:val="Footnote symbol Car Zchn Zchn"/>
    <w:aliases w:val="Footnote Car Zchn Zchn,Times 10 Point Car Zchn Zchn,Exposant 3 Point Car Zchn Zchn,Footnote Reference Superscript Car Zchn Zchn,Char Char Char Char Char Car Zchn Zchn,BVI fnr Car Zchn Zchn,4_G,ftref,Ref"/>
    <w:basedOn w:val="Normal"/>
    <w:link w:val="FootnoteReference"/>
    <w:uiPriority w:val="99"/>
    <w:rsid w:val="00A3273D"/>
    <w:pPr>
      <w:suppressAutoHyphens/>
      <w:spacing w:after="40" w:line="240" w:lineRule="exact"/>
      <w:jc w:val="both"/>
    </w:pPr>
    <w:rPr>
      <w:rFonts w:eastAsiaTheme="minorHAnsi" w:cstheme="minorBidi"/>
      <w:szCs w:val="22"/>
      <w:vertAlign w:val="superscript"/>
      <w:lang w:eastAsia="en-US"/>
    </w:rPr>
  </w:style>
  <w:style w:type="paragraph" w:styleId="FootnoteText">
    <w:name w:val="footnote text"/>
    <w:aliases w:val="5_G,Footnotes,Note de bas de page2,fn,Fußnotentext RAXEN,Footnote Text Char2 Char,Footnote Text Char Char1 Char,Footnote Text Char2 Char Char Char,Footnote Text Char1 Char Char Char Char,footnotes,footnote text,FA Fu,f,ft,FA,Texto"/>
    <w:basedOn w:val="Normal"/>
    <w:link w:val="FootnoteTextChar"/>
    <w:uiPriority w:val="99"/>
    <w:unhideWhenUsed/>
    <w:qFormat/>
    <w:rsid w:val="00A3273D"/>
    <w:pPr>
      <w:widowControl w:val="0"/>
      <w:autoSpaceDE w:val="0"/>
      <w:autoSpaceDN w:val="0"/>
      <w:adjustRightInd w:val="0"/>
    </w:pPr>
    <w:rPr>
      <w:rFonts w:eastAsia="TimesNewRomanPSMT" w:cstheme="minorBidi"/>
      <w:sz w:val="20"/>
      <w:szCs w:val="20"/>
      <w:lang w:eastAsia="en-US"/>
    </w:rPr>
  </w:style>
  <w:style w:type="character" w:customStyle="1" w:styleId="FootnoteTextChar">
    <w:name w:val="Footnote Text Char"/>
    <w:aliases w:val="5_G Char,Footnotes Char,Note de bas de page2 Char,fn Char,Fußnotentext RAXEN Char,Footnote Text Char2 Char Char,Footnote Text Char Char1 Char Char,Footnote Text Char2 Char Char Char Char,Footnote Text Char1 Char Char Char Char Char"/>
    <w:basedOn w:val="DefaultParagraphFont"/>
    <w:link w:val="FootnoteText"/>
    <w:uiPriority w:val="99"/>
    <w:rsid w:val="00A3273D"/>
    <w:rPr>
      <w:rFonts w:eastAsia="TimesNewRomanPSMT"/>
      <w:sz w:val="20"/>
      <w:szCs w:val="20"/>
    </w:rPr>
  </w:style>
  <w:style w:type="character" w:styleId="CommentReference">
    <w:name w:val="annotation reference"/>
    <w:basedOn w:val="DefaultParagraphFont"/>
    <w:uiPriority w:val="99"/>
    <w:semiHidden/>
    <w:unhideWhenUsed/>
    <w:rsid w:val="00A3273D"/>
    <w:rPr>
      <w:sz w:val="16"/>
      <w:szCs w:val="16"/>
    </w:rPr>
  </w:style>
  <w:style w:type="paragraph" w:styleId="CommentText">
    <w:name w:val="annotation text"/>
    <w:basedOn w:val="Normal"/>
    <w:link w:val="CommentTextChar"/>
    <w:uiPriority w:val="99"/>
    <w:unhideWhenUsed/>
    <w:rsid w:val="00A3273D"/>
    <w:rPr>
      <w:sz w:val="20"/>
      <w:szCs w:val="20"/>
    </w:rPr>
  </w:style>
  <w:style w:type="character" w:customStyle="1" w:styleId="CommentTextChar">
    <w:name w:val="Comment Text Char"/>
    <w:basedOn w:val="DefaultParagraphFont"/>
    <w:link w:val="CommentText"/>
    <w:uiPriority w:val="99"/>
    <w:rsid w:val="00A3273D"/>
    <w:rPr>
      <w:rFonts w:ascii="Times New Roman" w:eastAsia="Times New Roman" w:hAnsi="Times New Roman" w:cs="Times New Roman"/>
      <w:sz w:val="20"/>
      <w:szCs w:val="20"/>
      <w:lang w:eastAsia="en-GB"/>
    </w:rPr>
  </w:style>
  <w:style w:type="character" w:customStyle="1" w:styleId="CommentSubjectChar">
    <w:name w:val="Comment Subject Char"/>
    <w:basedOn w:val="CommentTextChar"/>
    <w:link w:val="CommentSubject"/>
    <w:uiPriority w:val="99"/>
    <w:semiHidden/>
    <w:rsid w:val="00A3273D"/>
    <w:rPr>
      <w:rFonts w:ascii="Times New Roman" w:eastAsia="Times New Roman" w:hAnsi="Times New Roman" w:cs="Times New Roman"/>
      <w:b/>
      <w:bCs/>
      <w:sz w:val="20"/>
      <w:szCs w:val="20"/>
      <w:lang w:eastAsia="en-GB"/>
    </w:rPr>
  </w:style>
  <w:style w:type="paragraph" w:styleId="CommentSubject">
    <w:name w:val="annotation subject"/>
    <w:basedOn w:val="CommentText"/>
    <w:next w:val="CommentText"/>
    <w:link w:val="CommentSubjectChar"/>
    <w:uiPriority w:val="99"/>
    <w:semiHidden/>
    <w:unhideWhenUsed/>
    <w:rsid w:val="00A3273D"/>
    <w:rPr>
      <w:b/>
      <w:bCs/>
    </w:rPr>
  </w:style>
  <w:style w:type="paragraph" w:styleId="BalloonText">
    <w:name w:val="Balloon Text"/>
    <w:basedOn w:val="Normal"/>
    <w:link w:val="BalloonTextChar"/>
    <w:uiPriority w:val="99"/>
    <w:semiHidden/>
    <w:unhideWhenUsed/>
    <w:rsid w:val="00A3273D"/>
    <w:rPr>
      <w:sz w:val="18"/>
      <w:szCs w:val="18"/>
    </w:rPr>
  </w:style>
  <w:style w:type="character" w:customStyle="1" w:styleId="BalloonTextChar">
    <w:name w:val="Balloon Text Char"/>
    <w:basedOn w:val="DefaultParagraphFont"/>
    <w:link w:val="BalloonText"/>
    <w:uiPriority w:val="99"/>
    <w:semiHidden/>
    <w:rsid w:val="00A3273D"/>
    <w:rPr>
      <w:rFonts w:ascii="Times New Roman" w:eastAsia="Times New Roman" w:hAnsi="Times New Roman" w:cs="Times New Roman"/>
      <w:sz w:val="18"/>
      <w:szCs w:val="18"/>
      <w:lang w:eastAsia="en-GB"/>
    </w:rPr>
  </w:style>
  <w:style w:type="character" w:styleId="UnresolvedMention">
    <w:name w:val="Unresolved Mention"/>
    <w:basedOn w:val="DefaultParagraphFont"/>
    <w:uiPriority w:val="99"/>
    <w:rsid w:val="00A3273D"/>
    <w:rPr>
      <w:color w:val="605E5C"/>
      <w:shd w:val="clear" w:color="auto" w:fill="E1DFDD"/>
    </w:rPr>
  </w:style>
  <w:style w:type="paragraph" w:styleId="Footer">
    <w:name w:val="footer"/>
    <w:basedOn w:val="Normal"/>
    <w:link w:val="FooterChar"/>
    <w:uiPriority w:val="99"/>
    <w:unhideWhenUsed/>
    <w:rsid w:val="00A3273D"/>
    <w:pPr>
      <w:tabs>
        <w:tab w:val="center" w:pos="4680"/>
        <w:tab w:val="right" w:pos="9360"/>
      </w:tabs>
    </w:pPr>
  </w:style>
  <w:style w:type="character" w:customStyle="1" w:styleId="FooterChar">
    <w:name w:val="Footer Char"/>
    <w:basedOn w:val="DefaultParagraphFont"/>
    <w:link w:val="Footer"/>
    <w:uiPriority w:val="99"/>
    <w:rsid w:val="00A3273D"/>
    <w:rPr>
      <w:rFonts w:ascii="Times New Roman" w:eastAsia="Times New Roman" w:hAnsi="Times New Roman" w:cs="Times New Roman"/>
      <w:sz w:val="24"/>
      <w:szCs w:val="24"/>
      <w:lang w:eastAsia="en-GB"/>
    </w:rPr>
  </w:style>
  <w:style w:type="character" w:styleId="PageNumber">
    <w:name w:val="page number"/>
    <w:basedOn w:val="DefaultParagraphFont"/>
    <w:uiPriority w:val="99"/>
    <w:semiHidden/>
    <w:unhideWhenUsed/>
    <w:rsid w:val="00A3273D"/>
  </w:style>
  <w:style w:type="character" w:customStyle="1" w:styleId="HeaderChar">
    <w:name w:val="Header Char"/>
    <w:basedOn w:val="DefaultParagraphFont"/>
    <w:link w:val="Header"/>
    <w:uiPriority w:val="99"/>
    <w:semiHidden/>
    <w:rsid w:val="00A3273D"/>
    <w:rPr>
      <w:rFonts w:ascii="Times New Roman" w:eastAsia="Times New Roman" w:hAnsi="Times New Roman" w:cs="Times New Roman"/>
      <w:sz w:val="24"/>
      <w:szCs w:val="24"/>
      <w:lang w:eastAsia="en-GB"/>
    </w:rPr>
  </w:style>
  <w:style w:type="paragraph" w:styleId="Header">
    <w:name w:val="header"/>
    <w:basedOn w:val="Normal"/>
    <w:link w:val="HeaderChar"/>
    <w:uiPriority w:val="99"/>
    <w:semiHidden/>
    <w:unhideWhenUsed/>
    <w:rsid w:val="00A3273D"/>
    <w:pPr>
      <w:tabs>
        <w:tab w:val="center" w:pos="4680"/>
        <w:tab w:val="right" w:pos="9360"/>
      </w:tabs>
    </w:pPr>
  </w:style>
  <w:style w:type="paragraph" w:styleId="Bibliography">
    <w:name w:val="Bibliography"/>
    <w:basedOn w:val="Normal"/>
    <w:next w:val="Normal"/>
    <w:uiPriority w:val="37"/>
    <w:unhideWhenUsed/>
    <w:rsid w:val="00A3273D"/>
    <w:pPr>
      <w:ind w:left="720" w:hanging="720"/>
    </w:pPr>
  </w:style>
  <w:style w:type="paragraph" w:styleId="ListParagraph">
    <w:name w:val="List Paragraph"/>
    <w:basedOn w:val="Normal"/>
    <w:uiPriority w:val="34"/>
    <w:qFormat/>
    <w:rsid w:val="00A3273D"/>
    <w:pPr>
      <w:ind w:left="720"/>
      <w:contextualSpacing/>
    </w:pPr>
  </w:style>
  <w:style w:type="paragraph" w:styleId="NormalWeb">
    <w:name w:val="Normal (Web)"/>
    <w:basedOn w:val="NormalIndent"/>
    <w:next w:val="NormalIndent"/>
    <w:uiPriority w:val="99"/>
    <w:unhideWhenUsed/>
    <w:rsid w:val="008D5BDF"/>
    <w:pPr>
      <w:spacing w:before="100" w:beforeAutospacing="1" w:after="100" w:afterAutospacing="1"/>
    </w:pPr>
  </w:style>
  <w:style w:type="paragraph" w:styleId="Revision">
    <w:name w:val="Revision"/>
    <w:hidden/>
    <w:uiPriority w:val="99"/>
    <w:semiHidden/>
    <w:rsid w:val="00780AA7"/>
    <w:pPr>
      <w:spacing w:after="0"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EA438D"/>
    <w:pPr>
      <w:spacing w:after="0" w:line="240" w:lineRule="auto"/>
      <w:jc w:val="both"/>
    </w:pPr>
    <w:rPr>
      <w:rFonts w:eastAsia="Times New Roman" w:cs="Times New Roman"/>
      <w:szCs w:val="24"/>
      <w:lang w:eastAsia="en-GB"/>
    </w:rPr>
  </w:style>
  <w:style w:type="character" w:customStyle="1" w:styleId="apple-converted-space">
    <w:name w:val="apple-converted-space"/>
    <w:basedOn w:val="DefaultParagraphFont"/>
    <w:rsid w:val="00B90BF1"/>
  </w:style>
  <w:style w:type="character" w:styleId="Emphasis">
    <w:name w:val="Emphasis"/>
    <w:basedOn w:val="DefaultParagraphFont"/>
    <w:uiPriority w:val="20"/>
    <w:qFormat/>
    <w:rsid w:val="00B90BF1"/>
    <w:rPr>
      <w:i/>
      <w:iCs/>
    </w:rPr>
  </w:style>
  <w:style w:type="character" w:customStyle="1" w:styleId="a">
    <w:name w:val="_"/>
    <w:basedOn w:val="DefaultParagraphFont"/>
    <w:rsid w:val="00895908"/>
  </w:style>
  <w:style w:type="character" w:customStyle="1" w:styleId="r-search-result">
    <w:name w:val="r-search-result"/>
    <w:basedOn w:val="DefaultParagraphFont"/>
    <w:rsid w:val="00895908"/>
  </w:style>
  <w:style w:type="character" w:styleId="FollowedHyperlink">
    <w:name w:val="FollowedHyperlink"/>
    <w:basedOn w:val="DefaultParagraphFont"/>
    <w:uiPriority w:val="99"/>
    <w:semiHidden/>
    <w:unhideWhenUsed/>
    <w:rsid w:val="00895908"/>
    <w:rPr>
      <w:color w:val="954F72" w:themeColor="followedHyperlink"/>
      <w:u w:val="single"/>
    </w:rPr>
  </w:style>
  <w:style w:type="paragraph" w:customStyle="1" w:styleId="s43866c28">
    <w:name w:val="s43866c28"/>
    <w:basedOn w:val="Normal"/>
    <w:rsid w:val="000D4181"/>
    <w:pPr>
      <w:spacing w:before="100" w:beforeAutospacing="1" w:after="100" w:afterAutospacing="1"/>
    </w:pPr>
  </w:style>
  <w:style w:type="character" w:customStyle="1" w:styleId="sb8d990e2">
    <w:name w:val="sb8d990e2"/>
    <w:basedOn w:val="DefaultParagraphFont"/>
    <w:rsid w:val="000D4181"/>
  </w:style>
  <w:style w:type="character" w:customStyle="1" w:styleId="s52c23de3">
    <w:name w:val="s52c23de3"/>
    <w:basedOn w:val="DefaultParagraphFont"/>
    <w:rsid w:val="000D4181"/>
  </w:style>
  <w:style w:type="paragraph" w:styleId="NormalIndent">
    <w:name w:val="Normal Indent"/>
    <w:basedOn w:val="Normal"/>
    <w:uiPriority w:val="99"/>
    <w:unhideWhenUsed/>
    <w:rsid w:val="00E828F6"/>
    <w:pPr>
      <w:ind w:left="720"/>
    </w:pPr>
  </w:style>
  <w:style w:type="character" w:customStyle="1" w:styleId="article-classifiergap">
    <w:name w:val="article-classifier__gap"/>
    <w:basedOn w:val="DefaultParagraphFont"/>
    <w:rsid w:val="002910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43076">
      <w:bodyDiv w:val="1"/>
      <w:marLeft w:val="0"/>
      <w:marRight w:val="0"/>
      <w:marTop w:val="0"/>
      <w:marBottom w:val="0"/>
      <w:divBdr>
        <w:top w:val="none" w:sz="0" w:space="0" w:color="auto"/>
        <w:left w:val="none" w:sz="0" w:space="0" w:color="auto"/>
        <w:bottom w:val="none" w:sz="0" w:space="0" w:color="auto"/>
        <w:right w:val="none" w:sz="0" w:space="0" w:color="auto"/>
      </w:divBdr>
    </w:div>
    <w:div w:id="100220595">
      <w:bodyDiv w:val="1"/>
      <w:marLeft w:val="0"/>
      <w:marRight w:val="0"/>
      <w:marTop w:val="0"/>
      <w:marBottom w:val="0"/>
      <w:divBdr>
        <w:top w:val="none" w:sz="0" w:space="0" w:color="auto"/>
        <w:left w:val="none" w:sz="0" w:space="0" w:color="auto"/>
        <w:bottom w:val="none" w:sz="0" w:space="0" w:color="auto"/>
        <w:right w:val="none" w:sz="0" w:space="0" w:color="auto"/>
      </w:divBdr>
      <w:divsChild>
        <w:div w:id="559751190">
          <w:marLeft w:val="0"/>
          <w:marRight w:val="0"/>
          <w:marTop w:val="0"/>
          <w:marBottom w:val="0"/>
          <w:divBdr>
            <w:top w:val="none" w:sz="0" w:space="0" w:color="auto"/>
            <w:left w:val="none" w:sz="0" w:space="0" w:color="auto"/>
            <w:bottom w:val="none" w:sz="0" w:space="0" w:color="auto"/>
            <w:right w:val="none" w:sz="0" w:space="0" w:color="auto"/>
          </w:divBdr>
          <w:divsChild>
            <w:div w:id="646932395">
              <w:marLeft w:val="0"/>
              <w:marRight w:val="0"/>
              <w:marTop w:val="0"/>
              <w:marBottom w:val="0"/>
              <w:divBdr>
                <w:top w:val="none" w:sz="0" w:space="0" w:color="auto"/>
                <w:left w:val="none" w:sz="0" w:space="0" w:color="auto"/>
                <w:bottom w:val="none" w:sz="0" w:space="0" w:color="auto"/>
                <w:right w:val="none" w:sz="0" w:space="0" w:color="auto"/>
              </w:divBdr>
              <w:divsChild>
                <w:div w:id="195594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35015">
      <w:bodyDiv w:val="1"/>
      <w:marLeft w:val="0"/>
      <w:marRight w:val="0"/>
      <w:marTop w:val="0"/>
      <w:marBottom w:val="0"/>
      <w:divBdr>
        <w:top w:val="none" w:sz="0" w:space="0" w:color="auto"/>
        <w:left w:val="none" w:sz="0" w:space="0" w:color="auto"/>
        <w:bottom w:val="none" w:sz="0" w:space="0" w:color="auto"/>
        <w:right w:val="none" w:sz="0" w:space="0" w:color="auto"/>
      </w:divBdr>
    </w:div>
    <w:div w:id="154303841">
      <w:bodyDiv w:val="1"/>
      <w:marLeft w:val="0"/>
      <w:marRight w:val="0"/>
      <w:marTop w:val="0"/>
      <w:marBottom w:val="0"/>
      <w:divBdr>
        <w:top w:val="none" w:sz="0" w:space="0" w:color="auto"/>
        <w:left w:val="none" w:sz="0" w:space="0" w:color="auto"/>
        <w:bottom w:val="none" w:sz="0" w:space="0" w:color="auto"/>
        <w:right w:val="none" w:sz="0" w:space="0" w:color="auto"/>
      </w:divBdr>
      <w:divsChild>
        <w:div w:id="1831826157">
          <w:marLeft w:val="0"/>
          <w:marRight w:val="0"/>
          <w:marTop w:val="0"/>
          <w:marBottom w:val="0"/>
          <w:divBdr>
            <w:top w:val="none" w:sz="0" w:space="0" w:color="auto"/>
            <w:left w:val="none" w:sz="0" w:space="0" w:color="auto"/>
            <w:bottom w:val="none" w:sz="0" w:space="0" w:color="auto"/>
            <w:right w:val="none" w:sz="0" w:space="0" w:color="auto"/>
          </w:divBdr>
          <w:divsChild>
            <w:div w:id="1364743290">
              <w:marLeft w:val="0"/>
              <w:marRight w:val="0"/>
              <w:marTop w:val="0"/>
              <w:marBottom w:val="0"/>
              <w:divBdr>
                <w:top w:val="none" w:sz="0" w:space="0" w:color="auto"/>
                <w:left w:val="none" w:sz="0" w:space="0" w:color="auto"/>
                <w:bottom w:val="none" w:sz="0" w:space="0" w:color="auto"/>
                <w:right w:val="none" w:sz="0" w:space="0" w:color="auto"/>
              </w:divBdr>
              <w:divsChild>
                <w:div w:id="64023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191204">
      <w:bodyDiv w:val="1"/>
      <w:marLeft w:val="0"/>
      <w:marRight w:val="0"/>
      <w:marTop w:val="0"/>
      <w:marBottom w:val="0"/>
      <w:divBdr>
        <w:top w:val="none" w:sz="0" w:space="0" w:color="auto"/>
        <w:left w:val="none" w:sz="0" w:space="0" w:color="auto"/>
        <w:bottom w:val="none" w:sz="0" w:space="0" w:color="auto"/>
        <w:right w:val="none" w:sz="0" w:space="0" w:color="auto"/>
      </w:divBdr>
      <w:divsChild>
        <w:div w:id="1834490693">
          <w:marLeft w:val="0"/>
          <w:marRight w:val="0"/>
          <w:marTop w:val="0"/>
          <w:marBottom w:val="0"/>
          <w:divBdr>
            <w:top w:val="none" w:sz="0" w:space="0" w:color="auto"/>
            <w:left w:val="none" w:sz="0" w:space="0" w:color="auto"/>
            <w:bottom w:val="none" w:sz="0" w:space="0" w:color="auto"/>
            <w:right w:val="none" w:sz="0" w:space="0" w:color="auto"/>
          </w:divBdr>
          <w:divsChild>
            <w:div w:id="213007597">
              <w:marLeft w:val="0"/>
              <w:marRight w:val="0"/>
              <w:marTop w:val="0"/>
              <w:marBottom w:val="0"/>
              <w:divBdr>
                <w:top w:val="none" w:sz="0" w:space="0" w:color="auto"/>
                <w:left w:val="none" w:sz="0" w:space="0" w:color="auto"/>
                <w:bottom w:val="none" w:sz="0" w:space="0" w:color="auto"/>
                <w:right w:val="none" w:sz="0" w:space="0" w:color="auto"/>
              </w:divBdr>
              <w:divsChild>
                <w:div w:id="33615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928495">
      <w:bodyDiv w:val="1"/>
      <w:marLeft w:val="0"/>
      <w:marRight w:val="0"/>
      <w:marTop w:val="0"/>
      <w:marBottom w:val="0"/>
      <w:divBdr>
        <w:top w:val="none" w:sz="0" w:space="0" w:color="auto"/>
        <w:left w:val="none" w:sz="0" w:space="0" w:color="auto"/>
        <w:bottom w:val="none" w:sz="0" w:space="0" w:color="auto"/>
        <w:right w:val="none" w:sz="0" w:space="0" w:color="auto"/>
      </w:divBdr>
      <w:divsChild>
        <w:div w:id="65612026">
          <w:marLeft w:val="0"/>
          <w:marRight w:val="0"/>
          <w:marTop w:val="0"/>
          <w:marBottom w:val="0"/>
          <w:divBdr>
            <w:top w:val="none" w:sz="0" w:space="0" w:color="auto"/>
            <w:left w:val="none" w:sz="0" w:space="0" w:color="auto"/>
            <w:bottom w:val="none" w:sz="0" w:space="0" w:color="auto"/>
            <w:right w:val="none" w:sz="0" w:space="0" w:color="auto"/>
          </w:divBdr>
          <w:divsChild>
            <w:div w:id="1415006016">
              <w:marLeft w:val="0"/>
              <w:marRight w:val="0"/>
              <w:marTop w:val="0"/>
              <w:marBottom w:val="0"/>
              <w:divBdr>
                <w:top w:val="none" w:sz="0" w:space="0" w:color="auto"/>
                <w:left w:val="none" w:sz="0" w:space="0" w:color="auto"/>
                <w:bottom w:val="none" w:sz="0" w:space="0" w:color="auto"/>
                <w:right w:val="none" w:sz="0" w:space="0" w:color="auto"/>
              </w:divBdr>
              <w:divsChild>
                <w:div w:id="1430810330">
                  <w:marLeft w:val="0"/>
                  <w:marRight w:val="0"/>
                  <w:marTop w:val="0"/>
                  <w:marBottom w:val="0"/>
                  <w:divBdr>
                    <w:top w:val="none" w:sz="0" w:space="0" w:color="auto"/>
                    <w:left w:val="none" w:sz="0" w:space="0" w:color="auto"/>
                    <w:bottom w:val="none" w:sz="0" w:space="0" w:color="auto"/>
                    <w:right w:val="none" w:sz="0" w:space="0" w:color="auto"/>
                  </w:divBdr>
                  <w:divsChild>
                    <w:div w:id="99105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503176">
      <w:bodyDiv w:val="1"/>
      <w:marLeft w:val="0"/>
      <w:marRight w:val="0"/>
      <w:marTop w:val="0"/>
      <w:marBottom w:val="0"/>
      <w:divBdr>
        <w:top w:val="none" w:sz="0" w:space="0" w:color="auto"/>
        <w:left w:val="none" w:sz="0" w:space="0" w:color="auto"/>
        <w:bottom w:val="none" w:sz="0" w:space="0" w:color="auto"/>
        <w:right w:val="none" w:sz="0" w:space="0" w:color="auto"/>
      </w:divBdr>
      <w:divsChild>
        <w:div w:id="1447041697">
          <w:marLeft w:val="0"/>
          <w:marRight w:val="0"/>
          <w:marTop w:val="0"/>
          <w:marBottom w:val="0"/>
          <w:divBdr>
            <w:top w:val="none" w:sz="0" w:space="0" w:color="auto"/>
            <w:left w:val="none" w:sz="0" w:space="0" w:color="auto"/>
            <w:bottom w:val="none" w:sz="0" w:space="0" w:color="auto"/>
            <w:right w:val="none" w:sz="0" w:space="0" w:color="auto"/>
          </w:divBdr>
          <w:divsChild>
            <w:div w:id="1468939264">
              <w:marLeft w:val="0"/>
              <w:marRight w:val="0"/>
              <w:marTop w:val="0"/>
              <w:marBottom w:val="0"/>
              <w:divBdr>
                <w:top w:val="none" w:sz="0" w:space="0" w:color="auto"/>
                <w:left w:val="none" w:sz="0" w:space="0" w:color="auto"/>
                <w:bottom w:val="none" w:sz="0" w:space="0" w:color="auto"/>
                <w:right w:val="none" w:sz="0" w:space="0" w:color="auto"/>
              </w:divBdr>
              <w:divsChild>
                <w:div w:id="716201222">
                  <w:marLeft w:val="0"/>
                  <w:marRight w:val="0"/>
                  <w:marTop w:val="0"/>
                  <w:marBottom w:val="0"/>
                  <w:divBdr>
                    <w:top w:val="none" w:sz="0" w:space="0" w:color="auto"/>
                    <w:left w:val="none" w:sz="0" w:space="0" w:color="auto"/>
                    <w:bottom w:val="none" w:sz="0" w:space="0" w:color="auto"/>
                    <w:right w:val="none" w:sz="0" w:space="0" w:color="auto"/>
                  </w:divBdr>
                  <w:divsChild>
                    <w:div w:id="61783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284087">
      <w:bodyDiv w:val="1"/>
      <w:marLeft w:val="0"/>
      <w:marRight w:val="0"/>
      <w:marTop w:val="0"/>
      <w:marBottom w:val="0"/>
      <w:divBdr>
        <w:top w:val="none" w:sz="0" w:space="0" w:color="auto"/>
        <w:left w:val="none" w:sz="0" w:space="0" w:color="auto"/>
        <w:bottom w:val="none" w:sz="0" w:space="0" w:color="auto"/>
        <w:right w:val="none" w:sz="0" w:space="0" w:color="auto"/>
      </w:divBdr>
      <w:divsChild>
        <w:div w:id="1311786177">
          <w:marLeft w:val="0"/>
          <w:marRight w:val="0"/>
          <w:marTop w:val="0"/>
          <w:marBottom w:val="0"/>
          <w:divBdr>
            <w:top w:val="none" w:sz="0" w:space="0" w:color="auto"/>
            <w:left w:val="none" w:sz="0" w:space="0" w:color="auto"/>
            <w:bottom w:val="none" w:sz="0" w:space="0" w:color="auto"/>
            <w:right w:val="none" w:sz="0" w:space="0" w:color="auto"/>
          </w:divBdr>
          <w:divsChild>
            <w:div w:id="592327462">
              <w:marLeft w:val="0"/>
              <w:marRight w:val="0"/>
              <w:marTop w:val="0"/>
              <w:marBottom w:val="0"/>
              <w:divBdr>
                <w:top w:val="none" w:sz="0" w:space="0" w:color="auto"/>
                <w:left w:val="none" w:sz="0" w:space="0" w:color="auto"/>
                <w:bottom w:val="none" w:sz="0" w:space="0" w:color="auto"/>
                <w:right w:val="none" w:sz="0" w:space="0" w:color="auto"/>
              </w:divBdr>
              <w:divsChild>
                <w:div w:id="166947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536836">
      <w:bodyDiv w:val="1"/>
      <w:marLeft w:val="0"/>
      <w:marRight w:val="0"/>
      <w:marTop w:val="0"/>
      <w:marBottom w:val="0"/>
      <w:divBdr>
        <w:top w:val="none" w:sz="0" w:space="0" w:color="auto"/>
        <w:left w:val="none" w:sz="0" w:space="0" w:color="auto"/>
        <w:bottom w:val="none" w:sz="0" w:space="0" w:color="auto"/>
        <w:right w:val="none" w:sz="0" w:space="0" w:color="auto"/>
      </w:divBdr>
    </w:div>
    <w:div w:id="1579290668">
      <w:bodyDiv w:val="1"/>
      <w:marLeft w:val="0"/>
      <w:marRight w:val="0"/>
      <w:marTop w:val="0"/>
      <w:marBottom w:val="0"/>
      <w:divBdr>
        <w:top w:val="none" w:sz="0" w:space="0" w:color="auto"/>
        <w:left w:val="none" w:sz="0" w:space="0" w:color="auto"/>
        <w:bottom w:val="none" w:sz="0" w:space="0" w:color="auto"/>
        <w:right w:val="none" w:sz="0" w:space="0" w:color="auto"/>
      </w:divBdr>
      <w:divsChild>
        <w:div w:id="2070687106">
          <w:marLeft w:val="0"/>
          <w:marRight w:val="0"/>
          <w:marTop w:val="0"/>
          <w:marBottom w:val="0"/>
          <w:divBdr>
            <w:top w:val="none" w:sz="0" w:space="0" w:color="auto"/>
            <w:left w:val="none" w:sz="0" w:space="0" w:color="auto"/>
            <w:bottom w:val="none" w:sz="0" w:space="0" w:color="auto"/>
            <w:right w:val="none" w:sz="0" w:space="0" w:color="auto"/>
          </w:divBdr>
          <w:divsChild>
            <w:div w:id="164444701">
              <w:marLeft w:val="0"/>
              <w:marRight w:val="0"/>
              <w:marTop w:val="0"/>
              <w:marBottom w:val="0"/>
              <w:divBdr>
                <w:top w:val="none" w:sz="0" w:space="0" w:color="auto"/>
                <w:left w:val="none" w:sz="0" w:space="0" w:color="auto"/>
                <w:bottom w:val="none" w:sz="0" w:space="0" w:color="auto"/>
                <w:right w:val="none" w:sz="0" w:space="0" w:color="auto"/>
              </w:divBdr>
              <w:divsChild>
                <w:div w:id="202174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556012">
      <w:bodyDiv w:val="1"/>
      <w:marLeft w:val="0"/>
      <w:marRight w:val="0"/>
      <w:marTop w:val="0"/>
      <w:marBottom w:val="0"/>
      <w:divBdr>
        <w:top w:val="none" w:sz="0" w:space="0" w:color="auto"/>
        <w:left w:val="none" w:sz="0" w:space="0" w:color="auto"/>
        <w:bottom w:val="none" w:sz="0" w:space="0" w:color="auto"/>
        <w:right w:val="none" w:sz="0" w:space="0" w:color="auto"/>
      </w:divBdr>
    </w:div>
    <w:div w:id="1678385983">
      <w:bodyDiv w:val="1"/>
      <w:marLeft w:val="0"/>
      <w:marRight w:val="0"/>
      <w:marTop w:val="0"/>
      <w:marBottom w:val="0"/>
      <w:divBdr>
        <w:top w:val="none" w:sz="0" w:space="0" w:color="auto"/>
        <w:left w:val="none" w:sz="0" w:space="0" w:color="auto"/>
        <w:bottom w:val="none" w:sz="0" w:space="0" w:color="auto"/>
        <w:right w:val="none" w:sz="0" w:space="0" w:color="auto"/>
      </w:divBdr>
    </w:div>
    <w:div w:id="1998608593">
      <w:bodyDiv w:val="1"/>
      <w:marLeft w:val="0"/>
      <w:marRight w:val="0"/>
      <w:marTop w:val="0"/>
      <w:marBottom w:val="0"/>
      <w:divBdr>
        <w:top w:val="none" w:sz="0" w:space="0" w:color="auto"/>
        <w:left w:val="none" w:sz="0" w:space="0" w:color="auto"/>
        <w:bottom w:val="none" w:sz="0" w:space="0" w:color="auto"/>
        <w:right w:val="none" w:sz="0" w:space="0" w:color="auto"/>
      </w:divBdr>
    </w:div>
    <w:div w:id="2129201995">
      <w:bodyDiv w:val="1"/>
      <w:marLeft w:val="0"/>
      <w:marRight w:val="0"/>
      <w:marTop w:val="0"/>
      <w:marBottom w:val="0"/>
      <w:divBdr>
        <w:top w:val="none" w:sz="0" w:space="0" w:color="auto"/>
        <w:left w:val="none" w:sz="0" w:space="0" w:color="auto"/>
        <w:bottom w:val="none" w:sz="0" w:space="0" w:color="auto"/>
        <w:right w:val="none" w:sz="0" w:space="0" w:color="auto"/>
      </w:divBdr>
      <w:divsChild>
        <w:div w:id="1340497960">
          <w:marLeft w:val="0"/>
          <w:marRight w:val="0"/>
          <w:marTop w:val="0"/>
          <w:marBottom w:val="0"/>
          <w:divBdr>
            <w:top w:val="none" w:sz="0" w:space="0" w:color="auto"/>
            <w:left w:val="none" w:sz="0" w:space="0" w:color="auto"/>
            <w:bottom w:val="none" w:sz="0" w:space="0" w:color="auto"/>
            <w:right w:val="none" w:sz="0" w:space="0" w:color="auto"/>
          </w:divBdr>
          <w:divsChild>
            <w:div w:id="1944529995">
              <w:marLeft w:val="0"/>
              <w:marRight w:val="0"/>
              <w:marTop w:val="0"/>
              <w:marBottom w:val="0"/>
              <w:divBdr>
                <w:top w:val="none" w:sz="0" w:space="0" w:color="auto"/>
                <w:left w:val="none" w:sz="0" w:space="0" w:color="auto"/>
                <w:bottom w:val="none" w:sz="0" w:space="0" w:color="auto"/>
                <w:right w:val="none" w:sz="0" w:space="0" w:color="auto"/>
              </w:divBdr>
              <w:divsChild>
                <w:div w:id="65819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reensborotrc.org/introduction.pdf" TargetMode="External"/><Relationship Id="rId18" Type="http://schemas.openxmlformats.org/officeDocument/2006/relationships/hyperlink" Target="https://commonslibrary.parliament.uk/research-briefings/cbp-7571/" TargetMode="External"/><Relationship Id="rId26" Type="http://schemas.openxmlformats.org/officeDocument/2006/relationships/hyperlink" Target="http://www.morecambebaypovertytruthcommission.org.uk/reports/" TargetMode="External"/><Relationship Id="rId39" Type="http://schemas.openxmlformats.org/officeDocument/2006/relationships/hyperlink" Target="https://www.walden.org/wp-content/uploads/2016/03/Week09Wednesday.pdf" TargetMode="External"/><Relationship Id="rId3" Type="http://schemas.openxmlformats.org/officeDocument/2006/relationships/settings" Target="settings.xml"/><Relationship Id="rId21" Type="http://schemas.openxmlformats.org/officeDocument/2006/relationships/hyperlink" Target="https://www.leedspovertytruth.org.uk/" TargetMode="External"/><Relationship Id="rId34" Type="http://schemas.openxmlformats.org/officeDocument/2006/relationships/hyperlink" Target="https://scottishcommunityalliance.org.uk/2020/06/16/making-rights-real/" TargetMode="External"/><Relationship Id="rId42" Type="http://schemas.openxmlformats.org/officeDocument/2006/relationships/hyperlink" Target="https://edm.parliament.uk/early-day-motion/51058/commencement-and-enforcement-of-the-socioeconomic-duty-s1-of-the-equality-act" TargetMode="External"/><Relationship Id="rId47" Type="http://schemas.openxmlformats.org/officeDocument/2006/relationships/hyperlink" Target="http://www.learningandwork.org.uk.gridhosted.co.uk/wp-content/uploads/2017/01/The-local-impacts-of-welfare-reform-version-7.pdf" TargetMode="External"/><Relationship Id="rId50" Type="http://schemas.openxmlformats.org/officeDocument/2006/relationships/footer" Target="footer2.xml"/><Relationship Id="rId7" Type="http://schemas.openxmlformats.org/officeDocument/2006/relationships/hyperlink" Target="https://housingcoalition.co.uk/homeless-bill-of-rights/" TargetMode="External"/><Relationship Id="rId12" Type="http://schemas.openxmlformats.org/officeDocument/2006/relationships/hyperlink" Target="http://www.greensborotrc.org/exec_summary.pdf" TargetMode="External"/><Relationship Id="rId17" Type="http://schemas.openxmlformats.org/officeDocument/2006/relationships/hyperlink" Target="https://www.jrf.org.uk/file/57091/download?token=RUTqeIbh&amp;filetype=full-report" TargetMode="External"/><Relationship Id="rId25" Type="http://schemas.openxmlformats.org/officeDocument/2006/relationships/hyperlink" Target="http://www.morecambebaypovertytruthcommission.org.uk/history/" TargetMode="External"/><Relationship Id="rId33" Type="http://schemas.openxmlformats.org/officeDocument/2006/relationships/hyperlink" Target="https://www.scottishhumanrights.com/media/1179/reportmarch2015wordpovertyinnovationforumeventreport.docx" TargetMode="External"/><Relationship Id="rId38" Type="http://schemas.openxmlformats.org/officeDocument/2006/relationships/hyperlink" Target="https://www.winterinstitute.org/about/mission-vision-values/" TargetMode="External"/><Relationship Id="rId46" Type="http://schemas.openxmlformats.org/officeDocument/2006/relationships/hyperlink" Target="https://www.edgehill.ac.uk/i4p/files/2018/07/4392-PTC-final-report.pdf" TargetMode="External"/><Relationship Id="rId2" Type="http://schemas.openxmlformats.org/officeDocument/2006/relationships/styles" Target="styles.xml"/><Relationship Id="rId16" Type="http://schemas.openxmlformats.org/officeDocument/2006/relationships/hyperlink" Target="http://www.nationalcivicleague.org/wp-content/uploads/2017/05/Truth.Recon_.Inwood.pdf" TargetMode="External"/><Relationship Id="rId20" Type="http://schemas.openxmlformats.org/officeDocument/2006/relationships/hyperlink" Target="https://www.jacksonfreepress.com/news/2009/jan/30/mississippi-truth-project-to-probe-states-race/" TargetMode="External"/><Relationship Id="rId29" Type="http://schemas.openxmlformats.org/officeDocument/2006/relationships/hyperlink" Target="https://www.povertytruthnetwork.org" TargetMode="External"/><Relationship Id="rId41" Type="http://schemas.openxmlformats.org/officeDocument/2006/relationships/hyperlink" Target="https://edm.parliament.uk/early-day-motion/52769/enforcement-of-the-socioeconomic-duty-in-section-1-of-the-equality-act-201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jrf.org.uk/reports" TargetMode="External"/><Relationship Id="rId24" Type="http://schemas.openxmlformats.org/officeDocument/2006/relationships/hyperlink" Target="https://www.jrf.org.uk/blog/last-minute-extension-furlough-undermines-its-effectiveness" TargetMode="External"/><Relationship Id="rId32" Type="http://schemas.openxmlformats.org/officeDocument/2006/relationships/hyperlink" Target="https://extranet.salfordccg.nhs.uk/application/files/4015/5368/6293/Poverty_Truth_Commission.pdf" TargetMode="External"/><Relationship Id="rId37" Type="http://schemas.openxmlformats.org/officeDocument/2006/relationships/hyperlink" Target="https://static1.squarespace.com/static/5d72d9ffd7ef2750a4da336b/t/5d7ac7fa0b8d0a04f82557c4/1568327696187/FICS+signed+accounts+31+March+2018+email+web.pdf" TargetMode="External"/><Relationship Id="rId40" Type="http://schemas.openxmlformats.org/officeDocument/2006/relationships/hyperlink" Target="https://www.trusselltrust.org/wp-content/uploads/sites/2/2020/09/the-impact-of-covid-19-on-food-banks-report.pdf" TargetMode="External"/><Relationship Id="rId45" Type="http://schemas.openxmlformats.org/officeDocument/2006/relationships/hyperlink" Target="https://www.edgehill.ac.uk/i4p/files/2018/03/Learning-from-Developing-Poverty-Truth-Commission.pdf" TargetMode="External"/><Relationship Id="rId5" Type="http://schemas.openxmlformats.org/officeDocument/2006/relationships/footnotes" Target="footnotes.xml"/><Relationship Id="rId15" Type="http://schemas.openxmlformats.org/officeDocument/2006/relationships/hyperlink" Target="https://www.qmul.ac.uk/law/media/law/docs/news/154442.pdf" TargetMode="External"/><Relationship Id="rId23" Type="http://schemas.openxmlformats.org/officeDocument/2006/relationships/hyperlink" Target="https://www.racialequitytools.org/resourcefiles/magarrell.pdf" TargetMode="External"/><Relationship Id="rId28" Type="http://schemas.openxmlformats.org/officeDocument/2006/relationships/hyperlink" Target="https://www.theguardian.com/business/2020/oct/05/rishi-sunak-debt-covid-crisis-tax-spending-cuts" TargetMode="External"/><Relationship Id="rId36" Type="http://schemas.openxmlformats.org/officeDocument/2006/relationships/hyperlink" Target="https://www.ft.com/content/d213db96-7a4a-4748-b94c-ba2a9243e938" TargetMode="External"/><Relationship Id="rId49" Type="http://schemas.openxmlformats.org/officeDocument/2006/relationships/footer" Target="footer1.xml"/><Relationship Id="rId10" Type="http://schemas.openxmlformats.org/officeDocument/2006/relationships/hyperlink" Target="https://www.jrf.org.uk/report/poverty-inequality-and-human-rights" TargetMode="External"/><Relationship Id="rId19" Type="http://schemas.openxmlformats.org/officeDocument/2006/relationships/hyperlink" Target="https://www.bbc.co.uk/news/business-52663523" TargetMode="External"/><Relationship Id="rId31" Type="http://schemas.openxmlformats.org/officeDocument/2006/relationships/hyperlink" Target="http://economichumanrights.org/movement-building/" TargetMode="External"/><Relationship Id="rId44" Type="http://schemas.openxmlformats.org/officeDocument/2006/relationships/hyperlink" Target="https://bmjopen.bmj.com/content/bmjopen/7/11/e017722.full.pdf"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resolutionfoundation.org/app/uploads/2019/02/Living-Standards-Outlook-2019.pdf" TargetMode="External"/><Relationship Id="rId14" Type="http://schemas.openxmlformats.org/officeDocument/2006/relationships/hyperlink" Target="http://www.bristol.ac.uk/media-library/sites/poverty-institute/documents/David%20Gordon%20presentation.pdf" TargetMode="External"/><Relationship Id="rId22" Type="http://schemas.openxmlformats.org/officeDocument/2006/relationships/hyperlink" Target="https://li.com/wp-content/uploads/2020/11/Legatum-Institute-briefing-on-poverty-during-the-Covid-crisis.pdf" TargetMode="External"/><Relationship Id="rId27" Type="http://schemas.openxmlformats.org/officeDocument/2006/relationships/hyperlink" Target="http://www.berghoffoundation.org/fileadmin/redaktion/Publications/Handbook/Articles/parlevliethandbook.pdf" TargetMode="External"/><Relationship Id="rId30" Type="http://schemas.openxmlformats.org/officeDocument/2006/relationships/hyperlink" Target="https://committees.parliament.uk/writtenevidence/1595/pdf/" TargetMode="External"/><Relationship Id="rId35" Type="http://schemas.openxmlformats.org/officeDocument/2006/relationships/hyperlink" Target="https://www.socialrightsalliance.org.uk/" TargetMode="External"/><Relationship Id="rId43" Type="http://schemas.openxmlformats.org/officeDocument/2006/relationships/hyperlink" Target="https://www.parliament.uk/about/how/business/edms/" TargetMode="External"/><Relationship Id="rId48" Type="http://schemas.openxmlformats.org/officeDocument/2006/relationships/hyperlink" Target="https://www.local.gov.uk/sites/default/files/documents/FINAL%20Review%20of%20impacts%20of%20welfare%20reform%20report%20to%20LGA%20Oct%2017-1.pdf" TargetMode="External"/><Relationship Id="rId8" Type="http://schemas.openxmlformats.org/officeDocument/2006/relationships/hyperlink" Target="https://www.theguardian.com/society/2020/sep/14/coronavirus-extreme-poverty-in-uk-will-double-by-christmas-trust-predicts"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9E7946B-74B9-6C42-8D7F-FEDA3CE7C8F3}">
  <we:reference id="wa200001011" version="1.1.0.0" store="en-GB" storeType="OMEX"/>
  <we:alternateReferences>
    <we:reference id="wa200001011" version="1.1.0.0" store="en-GB"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17</TotalTime>
  <Pages>55</Pages>
  <Words>13732</Words>
  <Characters>78277</Characters>
  <Application>Microsoft Office Word</Application>
  <DocSecurity>0</DocSecurity>
  <Lines>652</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Cahill-Ripley, Amanda</dc:creator>
  <cp:keywords/>
  <dc:description/>
  <cp:lastModifiedBy>Cahill-Ripley, Amanda</cp:lastModifiedBy>
  <cp:revision>3</cp:revision>
  <cp:lastPrinted>2021-01-07T12:09:00Z</cp:lastPrinted>
  <dcterms:created xsi:type="dcterms:W3CDTF">2021-01-08T20:54:00Z</dcterms:created>
  <dcterms:modified xsi:type="dcterms:W3CDTF">2021-01-08T21:15:00Z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zotero-version="5.0.90"&gt;&lt;session id="8ZIMCKQf"/&gt;&lt;style id="http://www.zotero.org/styles/chicago-author-date" locale="en-GB" hasBibliography="1" bibliographyStyleHasBeenSet="0"/&gt;&lt;prefs&gt;&lt;pref name="fieldType" value="Field"/&gt;&lt;/prefs&gt;&lt;/</vt:lpwstr>
  </property>
  <property fmtid="{D5CDD505-2E9C-101B-9397-08002B2CF9AE}" pid="3" name="ZOTERO_PREF_2">
    <vt:lpwstr>data&gt;</vt:lpwstr>
  </property>
  <property fmtid="{D5CDD505-2E9C-101B-9397-08002B2CF9AE}" pid="4" name="grammarly_documentId">
    <vt:lpwstr>documentId_7172</vt:lpwstr>
  </property>
  <property fmtid="{D5CDD505-2E9C-101B-9397-08002B2CF9AE}" pid="5" name="grammarly_documentContext">
    <vt:lpwstr>{"goals":[],"domain":"general","emotions":[],"dialect":"british"}</vt:lpwstr>
  </property>
</Properties>
</file>