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3C98" w14:textId="4318ABD3" w:rsidR="003F40EA" w:rsidRPr="0078109C" w:rsidRDefault="0009565B" w:rsidP="00912BD3">
      <w:pPr>
        <w:autoSpaceDE w:val="0"/>
        <w:autoSpaceDN w:val="0"/>
        <w:adjustRightInd w:val="0"/>
        <w:spacing w:line="360" w:lineRule="auto"/>
        <w:jc w:val="center"/>
        <w:rPr>
          <w:rFonts w:ascii="Palatino Linotype" w:hAnsi="Palatino Linotype" w:cs="Times New Roman"/>
          <w:b/>
          <w:bCs/>
          <w:color w:val="333333"/>
        </w:rPr>
      </w:pPr>
      <w:r w:rsidRPr="0078109C">
        <w:rPr>
          <w:rFonts w:ascii="Palatino Linotype" w:hAnsi="Palatino Linotype" w:cs="Times New Roman"/>
          <w:b/>
          <w:bCs/>
          <w:color w:val="333333"/>
        </w:rPr>
        <w:t xml:space="preserve">The Irish </w:t>
      </w:r>
      <w:r w:rsidR="00046BFC" w:rsidRPr="0078109C">
        <w:rPr>
          <w:rFonts w:ascii="Palatino Linotype" w:hAnsi="Palatino Linotype" w:cs="Times New Roman"/>
          <w:b/>
          <w:bCs/>
          <w:color w:val="333333"/>
        </w:rPr>
        <w:t>State</w:t>
      </w:r>
      <w:r w:rsidRPr="0078109C">
        <w:rPr>
          <w:rFonts w:ascii="Palatino Linotype" w:hAnsi="Palatino Linotype" w:cs="Times New Roman"/>
          <w:b/>
          <w:bCs/>
          <w:color w:val="333333"/>
        </w:rPr>
        <w:t>’s</w:t>
      </w:r>
      <w:r w:rsidR="00046BFC" w:rsidRPr="0078109C">
        <w:rPr>
          <w:rFonts w:ascii="Palatino Linotype" w:hAnsi="Palatino Linotype" w:cs="Times New Roman"/>
          <w:b/>
          <w:bCs/>
          <w:color w:val="333333"/>
        </w:rPr>
        <w:t xml:space="preserve"> </w:t>
      </w:r>
      <w:r w:rsidR="00EA08FA" w:rsidRPr="0078109C">
        <w:rPr>
          <w:rFonts w:ascii="Palatino Linotype" w:hAnsi="Palatino Linotype" w:cs="Times New Roman"/>
          <w:b/>
          <w:bCs/>
          <w:color w:val="333333"/>
        </w:rPr>
        <w:t>COVID-19</w:t>
      </w:r>
      <w:r w:rsidR="00046BFC" w:rsidRPr="0078109C">
        <w:rPr>
          <w:rFonts w:ascii="Palatino Linotype" w:hAnsi="Palatino Linotype" w:cs="Times New Roman"/>
          <w:b/>
          <w:bCs/>
          <w:color w:val="333333"/>
        </w:rPr>
        <w:t xml:space="preserve"> Response and the Rule of Law</w:t>
      </w:r>
      <w:r w:rsidR="00387CC4" w:rsidRPr="0078109C">
        <w:rPr>
          <w:rFonts w:ascii="Palatino Linotype" w:hAnsi="Palatino Linotype" w:cs="Times New Roman"/>
          <w:b/>
          <w:bCs/>
          <w:color w:val="333333"/>
        </w:rPr>
        <w:t>: Causes for Concern</w:t>
      </w:r>
    </w:p>
    <w:p w14:paraId="4EAE8882" w14:textId="77777777" w:rsidR="003F40EA" w:rsidRPr="0078109C" w:rsidRDefault="003F40EA" w:rsidP="0078109C">
      <w:pPr>
        <w:autoSpaceDE w:val="0"/>
        <w:autoSpaceDN w:val="0"/>
        <w:adjustRightInd w:val="0"/>
        <w:spacing w:line="360" w:lineRule="auto"/>
        <w:jc w:val="both"/>
        <w:rPr>
          <w:rFonts w:ascii="Palatino Linotype" w:hAnsi="Palatino Linotype" w:cs="Times New Roman"/>
          <w:b/>
          <w:bCs/>
          <w:color w:val="333333"/>
          <w:sz w:val="22"/>
          <w:szCs w:val="22"/>
        </w:rPr>
      </w:pPr>
    </w:p>
    <w:p w14:paraId="0598660E" w14:textId="067AA038" w:rsidR="003F40EA" w:rsidRPr="0078109C" w:rsidRDefault="003F40EA" w:rsidP="0078109C">
      <w:pPr>
        <w:spacing w:line="360" w:lineRule="auto"/>
        <w:jc w:val="both"/>
        <w:rPr>
          <w:rFonts w:ascii="Palatino Linotype" w:hAnsi="Palatino Linotype" w:cs="Times New Roman"/>
          <w:i/>
          <w:iCs/>
          <w:sz w:val="22"/>
          <w:szCs w:val="22"/>
        </w:rPr>
      </w:pPr>
      <w:r w:rsidRPr="0078109C">
        <w:rPr>
          <w:rFonts w:ascii="Palatino Linotype" w:hAnsi="Palatino Linotype" w:cs="Times New Roman"/>
          <w:b/>
          <w:bCs/>
          <w:sz w:val="22"/>
          <w:szCs w:val="22"/>
        </w:rPr>
        <w:t xml:space="preserve">Conor Casey </w:t>
      </w:r>
      <w:r w:rsidR="00DE4376" w:rsidRPr="0078109C">
        <w:rPr>
          <w:rFonts w:ascii="Palatino Linotype" w:hAnsi="Palatino Linotype" w:cs="Times New Roman"/>
          <w:i/>
          <w:iCs/>
          <w:sz w:val="22"/>
          <w:szCs w:val="22"/>
        </w:rPr>
        <w:t>Lecturer in Law, University of Liverpool.</w:t>
      </w:r>
    </w:p>
    <w:p w14:paraId="29612CA8" w14:textId="699FA8EC" w:rsidR="005169F2" w:rsidRPr="0078109C" w:rsidRDefault="005169F2" w:rsidP="0078109C">
      <w:pPr>
        <w:spacing w:line="360" w:lineRule="auto"/>
        <w:jc w:val="both"/>
        <w:rPr>
          <w:rFonts w:ascii="Palatino Linotype" w:hAnsi="Palatino Linotype" w:cs="Times New Roman"/>
          <w:i/>
          <w:iCs/>
          <w:sz w:val="22"/>
          <w:szCs w:val="22"/>
        </w:rPr>
      </w:pPr>
      <w:r w:rsidRPr="0078109C">
        <w:rPr>
          <w:rFonts w:ascii="Palatino Linotype" w:hAnsi="Palatino Linotype" w:cs="Times New Roman"/>
          <w:b/>
          <w:bCs/>
          <w:sz w:val="22"/>
          <w:szCs w:val="22"/>
        </w:rPr>
        <w:t xml:space="preserve">Oran Doyle </w:t>
      </w:r>
      <w:r w:rsidRPr="0078109C">
        <w:rPr>
          <w:rFonts w:ascii="Palatino Linotype" w:hAnsi="Palatino Linotype" w:cs="Times New Roman"/>
          <w:i/>
          <w:iCs/>
          <w:sz w:val="22"/>
          <w:szCs w:val="22"/>
        </w:rPr>
        <w:t xml:space="preserve">Professor </w:t>
      </w:r>
      <w:r w:rsidR="00A445AD">
        <w:rPr>
          <w:rFonts w:ascii="Palatino Linotype" w:hAnsi="Palatino Linotype" w:cs="Times New Roman"/>
          <w:i/>
          <w:iCs/>
          <w:sz w:val="22"/>
          <w:szCs w:val="22"/>
        </w:rPr>
        <w:t>in</w:t>
      </w:r>
      <w:r w:rsidRPr="0078109C">
        <w:rPr>
          <w:rFonts w:ascii="Palatino Linotype" w:hAnsi="Palatino Linotype" w:cs="Times New Roman"/>
          <w:i/>
          <w:iCs/>
          <w:sz w:val="22"/>
          <w:szCs w:val="22"/>
        </w:rPr>
        <w:t xml:space="preserve"> Law, Trinity College, Dublin</w:t>
      </w:r>
    </w:p>
    <w:p w14:paraId="428FDCA9" w14:textId="1FAAC5A0" w:rsidR="003F40EA" w:rsidRPr="0078109C" w:rsidRDefault="003F40EA" w:rsidP="0078109C">
      <w:pPr>
        <w:spacing w:line="360" w:lineRule="auto"/>
        <w:jc w:val="both"/>
        <w:rPr>
          <w:rFonts w:ascii="Palatino Linotype" w:hAnsi="Palatino Linotype" w:cs="Times New Roman"/>
          <w:i/>
          <w:iCs/>
          <w:sz w:val="22"/>
          <w:szCs w:val="22"/>
        </w:rPr>
      </w:pPr>
      <w:r w:rsidRPr="0078109C">
        <w:rPr>
          <w:rFonts w:ascii="Palatino Linotype" w:hAnsi="Palatino Linotype" w:cs="Times New Roman"/>
          <w:b/>
          <w:bCs/>
          <w:sz w:val="22"/>
          <w:szCs w:val="22"/>
        </w:rPr>
        <w:t xml:space="preserve">David Kenny </w:t>
      </w:r>
      <w:r w:rsidRPr="0078109C">
        <w:rPr>
          <w:rFonts w:ascii="Palatino Linotype" w:hAnsi="Palatino Linotype" w:cs="Times New Roman"/>
          <w:i/>
          <w:iCs/>
          <w:sz w:val="22"/>
          <w:szCs w:val="22"/>
        </w:rPr>
        <w:t>Associate Professor of Law, Trinity College, Dublin.</w:t>
      </w:r>
    </w:p>
    <w:p w14:paraId="647FC807" w14:textId="3BDAFCFC" w:rsidR="00CC01A4" w:rsidRPr="0078109C" w:rsidRDefault="00CC01A4" w:rsidP="0078109C">
      <w:pPr>
        <w:autoSpaceDE w:val="0"/>
        <w:autoSpaceDN w:val="0"/>
        <w:adjustRightInd w:val="0"/>
        <w:spacing w:line="360" w:lineRule="auto"/>
        <w:jc w:val="both"/>
        <w:rPr>
          <w:rFonts w:ascii="Palatino Linotype" w:hAnsi="Palatino Linotype" w:cs="Times New Roman"/>
          <w:i/>
          <w:iCs/>
          <w:color w:val="333333"/>
          <w:sz w:val="22"/>
          <w:szCs w:val="22"/>
        </w:rPr>
      </w:pPr>
    </w:p>
    <w:p w14:paraId="3EE7728A" w14:textId="2DFA642F" w:rsidR="0018034D" w:rsidRPr="0078109C" w:rsidRDefault="0018034D" w:rsidP="0078109C">
      <w:pPr>
        <w:pStyle w:val="ListParagraph"/>
        <w:numPr>
          <w:ilvl w:val="0"/>
          <w:numId w:val="3"/>
        </w:numPr>
        <w:autoSpaceDE w:val="0"/>
        <w:autoSpaceDN w:val="0"/>
        <w:adjustRightInd w:val="0"/>
        <w:spacing w:line="360" w:lineRule="auto"/>
        <w:jc w:val="both"/>
        <w:rPr>
          <w:rFonts w:ascii="Palatino Linotype" w:hAnsi="Palatino Linotype"/>
          <w:b/>
          <w:bCs/>
          <w:color w:val="333333"/>
          <w:sz w:val="22"/>
          <w:szCs w:val="22"/>
        </w:rPr>
      </w:pPr>
      <w:r w:rsidRPr="0078109C">
        <w:rPr>
          <w:rFonts w:ascii="Palatino Linotype" w:hAnsi="Palatino Linotype"/>
          <w:b/>
          <w:bCs/>
          <w:color w:val="333333"/>
          <w:sz w:val="22"/>
          <w:szCs w:val="22"/>
        </w:rPr>
        <w:t>Outline of State Covid-19 Response</w:t>
      </w:r>
    </w:p>
    <w:p w14:paraId="1D1CE747" w14:textId="166D7C07" w:rsidR="00321FB8" w:rsidRPr="0078109C" w:rsidRDefault="002F46DD" w:rsidP="00A445AD">
      <w:pPr>
        <w:spacing w:afterLines="120" w:after="288" w:line="360" w:lineRule="auto"/>
        <w:jc w:val="both"/>
        <w:rPr>
          <w:rFonts w:ascii="Palatino Linotype" w:eastAsia="Calibri" w:hAnsi="Palatino Linotype" w:cs="Times New Roman"/>
          <w:color w:val="000000" w:themeColor="text1"/>
          <w:sz w:val="22"/>
          <w:szCs w:val="22"/>
          <w:lang w:val="en-IE"/>
        </w:rPr>
      </w:pPr>
      <w:r w:rsidRPr="0078109C">
        <w:rPr>
          <w:rFonts w:ascii="Palatino Linotype" w:eastAsia="Calibri" w:hAnsi="Palatino Linotype" w:cs="Times New Roman"/>
          <w:sz w:val="22"/>
          <w:szCs w:val="22"/>
          <w:lang w:val="en-IE"/>
        </w:rPr>
        <w:t>Since March 2020, t</w:t>
      </w:r>
      <w:r w:rsidR="00432456" w:rsidRPr="0078109C">
        <w:rPr>
          <w:rFonts w:ascii="Palatino Linotype" w:eastAsia="Calibri" w:hAnsi="Palatino Linotype" w:cs="Times New Roman"/>
          <w:sz w:val="22"/>
          <w:szCs w:val="22"/>
          <w:lang w:val="en-IE"/>
        </w:rPr>
        <w:t>he</w:t>
      </w:r>
      <w:r w:rsidR="00204F25" w:rsidRPr="0078109C">
        <w:rPr>
          <w:rFonts w:ascii="Palatino Linotype" w:eastAsia="Calibri" w:hAnsi="Palatino Linotype" w:cs="Times New Roman"/>
          <w:sz w:val="22"/>
          <w:szCs w:val="22"/>
          <w:lang w:val="en-IE"/>
        </w:rPr>
        <w:t xml:space="preserve"> most dominant issue in the Irish </w:t>
      </w:r>
      <w:r w:rsidR="00A445AD">
        <w:rPr>
          <w:rFonts w:ascii="Palatino Linotype" w:eastAsia="Calibri" w:hAnsi="Palatino Linotype" w:cs="Times New Roman"/>
          <w:sz w:val="22"/>
          <w:szCs w:val="22"/>
          <w:lang w:val="en-IE"/>
        </w:rPr>
        <w:t xml:space="preserve">legal </w:t>
      </w:r>
      <w:r w:rsidR="00204F25" w:rsidRPr="0078109C">
        <w:rPr>
          <w:rFonts w:ascii="Palatino Linotype" w:eastAsia="Calibri" w:hAnsi="Palatino Linotype" w:cs="Times New Roman"/>
          <w:sz w:val="22"/>
          <w:szCs w:val="22"/>
          <w:lang w:val="en-IE"/>
        </w:rPr>
        <w:t>landscape</w:t>
      </w:r>
      <w:r w:rsidR="00046BFC" w:rsidRPr="0078109C">
        <w:rPr>
          <w:rFonts w:ascii="Palatino Linotype" w:eastAsia="Calibri" w:hAnsi="Palatino Linotype" w:cs="Times New Roman"/>
          <w:sz w:val="22"/>
          <w:szCs w:val="22"/>
          <w:lang w:val="en-IE"/>
        </w:rPr>
        <w:t xml:space="preserve"> </w:t>
      </w:r>
      <w:r w:rsidRPr="0078109C">
        <w:rPr>
          <w:rFonts w:ascii="Palatino Linotype" w:eastAsia="Calibri" w:hAnsi="Palatino Linotype" w:cs="Times New Roman"/>
          <w:sz w:val="22"/>
          <w:szCs w:val="22"/>
          <w:lang w:val="en-IE"/>
        </w:rPr>
        <w:t>has been</w:t>
      </w:r>
      <w:r w:rsidR="00204F25" w:rsidRPr="0078109C">
        <w:rPr>
          <w:rFonts w:ascii="Palatino Linotype" w:eastAsia="Calibri" w:hAnsi="Palatino Linotype" w:cs="Times New Roman"/>
          <w:sz w:val="22"/>
          <w:szCs w:val="22"/>
          <w:lang w:val="en-IE"/>
        </w:rPr>
        <w:t>, unsurprisingly, the COVID-19 Pandemic.</w:t>
      </w:r>
      <w:bookmarkStart w:id="0" w:name="_Ref85103793"/>
      <w:r w:rsidR="00DE79D2" w:rsidRPr="0078109C">
        <w:rPr>
          <w:rStyle w:val="FootnoteReference"/>
          <w:rFonts w:ascii="Palatino Linotype" w:eastAsia="Calibri" w:hAnsi="Palatino Linotype" w:cs="Times New Roman"/>
          <w:sz w:val="22"/>
          <w:szCs w:val="22"/>
          <w:lang w:val="en-IE"/>
        </w:rPr>
        <w:footnoteReference w:id="1"/>
      </w:r>
      <w:bookmarkEnd w:id="0"/>
      <w:r w:rsidR="0018034D" w:rsidRPr="0078109C">
        <w:rPr>
          <w:rFonts w:ascii="Palatino Linotype" w:eastAsia="Calibri" w:hAnsi="Palatino Linotype" w:cs="Times New Roman"/>
          <w:sz w:val="22"/>
          <w:szCs w:val="22"/>
          <w:lang w:val="en-IE"/>
        </w:rPr>
        <w:t xml:space="preserve"> Ireland has not declared a constitutional state of emergency</w:t>
      </w:r>
      <w:r w:rsidRPr="0078109C">
        <w:rPr>
          <w:rFonts w:ascii="Palatino Linotype" w:eastAsia="Calibri" w:hAnsi="Palatino Linotype" w:cs="Times New Roman"/>
          <w:sz w:val="22"/>
          <w:szCs w:val="22"/>
          <w:lang w:val="en-IE"/>
        </w:rPr>
        <w:t xml:space="preserve"> since the pandemic reached its shores</w:t>
      </w:r>
      <w:r w:rsidR="007810F4" w:rsidRPr="0078109C">
        <w:rPr>
          <w:rFonts w:ascii="Palatino Linotype" w:eastAsia="Calibri" w:hAnsi="Palatino Linotype" w:cs="Times New Roman"/>
          <w:sz w:val="22"/>
          <w:szCs w:val="22"/>
          <w:lang w:val="en-IE"/>
        </w:rPr>
        <w:t>:</w:t>
      </w:r>
      <w:r w:rsidR="0018034D" w:rsidRPr="0078109C">
        <w:rPr>
          <w:rFonts w:ascii="Palatino Linotype" w:eastAsia="Calibri" w:hAnsi="Palatino Linotype" w:cs="Times New Roman"/>
          <w:sz w:val="22"/>
          <w:szCs w:val="22"/>
          <w:lang w:val="en-IE"/>
        </w:rPr>
        <w:t xml:space="preserve"> it cannot, as a public health emergency is not grounds for use of emergency powers in the Irish Constitution. </w:t>
      </w:r>
      <w:r w:rsidR="007810F4" w:rsidRPr="0078109C">
        <w:rPr>
          <w:rFonts w:ascii="Palatino Linotype" w:eastAsia="Calibri" w:hAnsi="Palatino Linotype" w:cs="Times New Roman"/>
          <w:sz w:val="22"/>
          <w:szCs w:val="22"/>
          <w:lang w:val="en-IE"/>
        </w:rPr>
        <w:t xml:space="preserve">But </w:t>
      </w:r>
      <w:r w:rsidR="00DA7B87" w:rsidRPr="0078109C">
        <w:rPr>
          <w:rFonts w:ascii="Palatino Linotype" w:eastAsia="Calibri" w:hAnsi="Palatino Linotype" w:cs="Times New Roman"/>
          <w:sz w:val="22"/>
          <w:szCs w:val="22"/>
          <w:lang w:val="en-IE"/>
        </w:rPr>
        <w:t>the Irish State’s</w:t>
      </w:r>
      <w:r w:rsidR="0018034D" w:rsidRPr="0078109C">
        <w:rPr>
          <w:rFonts w:ascii="Palatino Linotype" w:eastAsia="Calibri" w:hAnsi="Palatino Linotype" w:cs="Times New Roman"/>
          <w:sz w:val="22"/>
          <w:szCs w:val="22"/>
          <w:lang w:val="en-IE"/>
        </w:rPr>
        <w:t xml:space="preserve"> </w:t>
      </w:r>
      <w:r w:rsidR="00DA7B87" w:rsidRPr="0078109C">
        <w:rPr>
          <w:rFonts w:ascii="Palatino Linotype" w:eastAsia="Calibri" w:hAnsi="Palatino Linotype" w:cs="Times New Roman"/>
          <w:sz w:val="22"/>
          <w:szCs w:val="22"/>
          <w:lang w:val="en-IE"/>
        </w:rPr>
        <w:t>approach to tackling the pandemic</w:t>
      </w:r>
      <w:r w:rsidR="0018034D" w:rsidRPr="0078109C">
        <w:rPr>
          <w:rFonts w:ascii="Palatino Linotype" w:eastAsia="Calibri" w:hAnsi="Palatino Linotype" w:cs="Times New Roman"/>
          <w:sz w:val="22"/>
          <w:szCs w:val="22"/>
          <w:lang w:val="en-IE"/>
        </w:rPr>
        <w:t xml:space="preserve"> </w:t>
      </w:r>
      <w:r w:rsidRPr="0078109C">
        <w:rPr>
          <w:rFonts w:ascii="Palatino Linotype" w:eastAsia="Calibri" w:hAnsi="Palatino Linotype" w:cs="Times New Roman"/>
          <w:sz w:val="22"/>
          <w:szCs w:val="22"/>
          <w:lang w:val="en-IE"/>
        </w:rPr>
        <w:t xml:space="preserve">since March </w:t>
      </w:r>
      <w:r w:rsidR="0018034D" w:rsidRPr="0078109C">
        <w:rPr>
          <w:rFonts w:ascii="Palatino Linotype" w:eastAsia="Calibri" w:hAnsi="Palatino Linotype" w:cs="Times New Roman"/>
          <w:sz w:val="22"/>
          <w:szCs w:val="22"/>
          <w:lang w:val="en-IE"/>
        </w:rPr>
        <w:t>closely resembles a</w:t>
      </w:r>
      <w:r w:rsidR="00DA7B87" w:rsidRPr="0078109C">
        <w:rPr>
          <w:rFonts w:ascii="Palatino Linotype" w:eastAsia="Calibri" w:hAnsi="Palatino Linotype" w:cs="Times New Roman"/>
          <w:sz w:val="22"/>
          <w:szCs w:val="22"/>
          <w:lang w:val="en-IE"/>
        </w:rPr>
        <w:t xml:space="preserve"> typical</w:t>
      </w:r>
      <w:r w:rsidR="0018034D" w:rsidRPr="0078109C">
        <w:rPr>
          <w:rFonts w:ascii="Palatino Linotype" w:eastAsia="Calibri" w:hAnsi="Palatino Linotype" w:cs="Times New Roman"/>
          <w:sz w:val="22"/>
          <w:szCs w:val="22"/>
          <w:lang w:val="en-IE"/>
        </w:rPr>
        <w:t xml:space="preserve"> constitutional emergency response</w:t>
      </w:r>
      <w:r w:rsidR="00A445AD">
        <w:rPr>
          <w:rFonts w:ascii="Palatino Linotype" w:eastAsia="Calibri" w:hAnsi="Palatino Linotype" w:cs="Times New Roman"/>
          <w:sz w:val="22"/>
          <w:szCs w:val="22"/>
          <w:lang w:val="en-IE"/>
        </w:rPr>
        <w:t xml:space="preserve">, heavily reliant </w:t>
      </w:r>
      <w:r w:rsidR="0018034D" w:rsidRPr="0078109C">
        <w:rPr>
          <w:rFonts w:ascii="Palatino Linotype" w:eastAsia="Calibri" w:hAnsi="Palatino Linotype" w:cs="Times New Roman"/>
          <w:color w:val="000000" w:themeColor="text1"/>
          <w:sz w:val="22"/>
          <w:szCs w:val="22"/>
          <w:lang w:val="en-IE"/>
        </w:rPr>
        <w:t>on executive action</w:t>
      </w:r>
      <w:r w:rsidR="00A445AD">
        <w:rPr>
          <w:rFonts w:ascii="Palatino Linotype" w:eastAsia="Calibri" w:hAnsi="Palatino Linotype" w:cs="Times New Roman"/>
          <w:color w:val="000000" w:themeColor="text1"/>
          <w:sz w:val="22"/>
          <w:szCs w:val="22"/>
          <w:lang w:val="en-IE"/>
        </w:rPr>
        <w:t xml:space="preserve"> in the form of regulations made by the </w:t>
      </w:r>
      <w:r w:rsidR="0018034D" w:rsidRPr="0078109C">
        <w:rPr>
          <w:rFonts w:ascii="Palatino Linotype" w:eastAsia="Calibri" w:hAnsi="Palatino Linotype" w:cs="Times New Roman"/>
          <w:color w:val="000000" w:themeColor="text1"/>
          <w:sz w:val="22"/>
          <w:szCs w:val="22"/>
          <w:lang w:val="en-IE"/>
        </w:rPr>
        <w:t>Minister for Health.</w:t>
      </w:r>
      <w:r w:rsidR="0018034D" w:rsidRPr="0078109C">
        <w:rPr>
          <w:rStyle w:val="FootnoteReference"/>
          <w:rFonts w:ascii="Palatino Linotype" w:eastAsia="Calibri" w:hAnsi="Palatino Linotype" w:cs="Times New Roman"/>
          <w:color w:val="000000" w:themeColor="text1"/>
          <w:sz w:val="22"/>
          <w:szCs w:val="22"/>
          <w:lang w:val="en-IE"/>
        </w:rPr>
        <w:footnoteReference w:id="2"/>
      </w:r>
      <w:r w:rsidR="0018034D" w:rsidRPr="0078109C">
        <w:rPr>
          <w:rFonts w:ascii="Palatino Linotype" w:eastAsia="Calibri" w:hAnsi="Palatino Linotype" w:cs="Times New Roman"/>
          <w:color w:val="000000" w:themeColor="text1"/>
          <w:sz w:val="22"/>
          <w:szCs w:val="22"/>
          <w:lang w:val="en-IE"/>
        </w:rPr>
        <w:t xml:space="preserve"> </w:t>
      </w:r>
      <w:r w:rsidR="0018034D" w:rsidRPr="0078109C">
        <w:rPr>
          <w:rFonts w:ascii="Palatino Linotype" w:eastAsia="Calibri" w:hAnsi="Palatino Linotype" w:cs="Times New Roman"/>
          <w:sz w:val="22"/>
          <w:szCs w:val="22"/>
          <w:lang w:val="en-IE"/>
        </w:rPr>
        <w:t xml:space="preserve">The Health (Preservation and Protection and other Emergency Measures in the Public Interest) Act 2020 and </w:t>
      </w:r>
      <w:r w:rsidR="00DA7B87" w:rsidRPr="0078109C">
        <w:rPr>
          <w:rFonts w:ascii="Palatino Linotype" w:eastAsia="Calibri" w:hAnsi="Palatino Linotype" w:cs="Times New Roman"/>
          <w:sz w:val="22"/>
          <w:szCs w:val="22"/>
          <w:lang w:val="en-IE"/>
        </w:rPr>
        <w:t>Emergency Measures in the Public Interest (Covid-19) Act 2020 (Emergency Measures Act)</w:t>
      </w:r>
      <w:r w:rsidR="0018034D" w:rsidRPr="0078109C">
        <w:rPr>
          <w:rFonts w:ascii="Palatino Linotype" w:eastAsia="Calibri" w:hAnsi="Palatino Linotype" w:cs="Times New Roman"/>
          <w:sz w:val="22"/>
          <w:szCs w:val="22"/>
          <w:lang w:val="en-IE"/>
        </w:rPr>
        <w:t xml:space="preserve">—the </w:t>
      </w:r>
      <w:r w:rsidR="0078109C" w:rsidRPr="0078109C">
        <w:rPr>
          <w:rFonts w:ascii="Palatino Linotype" w:eastAsia="Calibri" w:hAnsi="Palatino Linotype" w:cs="Times New Roman"/>
          <w:sz w:val="22"/>
          <w:szCs w:val="22"/>
          <w:lang w:val="en-IE"/>
        </w:rPr>
        <w:t xml:space="preserve">two </w:t>
      </w:r>
      <w:r w:rsidR="0018034D" w:rsidRPr="0078109C">
        <w:rPr>
          <w:rFonts w:ascii="Palatino Linotype" w:eastAsia="Calibri" w:hAnsi="Palatino Linotype" w:cs="Times New Roman"/>
          <w:sz w:val="22"/>
          <w:szCs w:val="22"/>
          <w:lang w:val="en-IE"/>
        </w:rPr>
        <w:t>main statutory planks of the State’s COVID-19 response—</w:t>
      </w:r>
      <w:r w:rsidR="00A445AD">
        <w:rPr>
          <w:rFonts w:ascii="Palatino Linotype" w:eastAsia="Calibri" w:hAnsi="Palatino Linotype" w:cs="Times New Roman"/>
          <w:sz w:val="22"/>
          <w:szCs w:val="22"/>
          <w:lang w:val="en-IE"/>
        </w:rPr>
        <w:t>delegated</w:t>
      </w:r>
      <w:r w:rsidR="0018034D" w:rsidRPr="0078109C">
        <w:rPr>
          <w:rFonts w:ascii="Palatino Linotype" w:eastAsia="Calibri" w:hAnsi="Palatino Linotype" w:cs="Times New Roman"/>
          <w:sz w:val="22"/>
          <w:szCs w:val="22"/>
          <w:lang w:val="en-IE"/>
        </w:rPr>
        <w:t xml:space="preserve"> broad powers to make regulations for </w:t>
      </w:r>
      <w:r w:rsidR="00DA7B87" w:rsidRPr="0078109C">
        <w:rPr>
          <w:rFonts w:ascii="Palatino Linotype" w:eastAsia="Calibri" w:hAnsi="Palatino Linotype" w:cs="Times New Roman"/>
          <w:sz w:val="22"/>
          <w:szCs w:val="22"/>
          <w:lang w:val="en-IE"/>
        </w:rPr>
        <w:t>‘</w:t>
      </w:r>
      <w:r w:rsidR="0018034D" w:rsidRPr="0078109C">
        <w:rPr>
          <w:rFonts w:ascii="Palatino Linotype" w:eastAsia="Calibri" w:hAnsi="Palatino Linotype" w:cs="Times New Roman"/>
          <w:sz w:val="22"/>
          <w:szCs w:val="22"/>
          <w:lang w:val="en-IE"/>
        </w:rPr>
        <w:t>preventing, limiting, minimising or slowing the spread of Covid-19’</w:t>
      </w:r>
      <w:r w:rsidR="00DA7B87" w:rsidRPr="0078109C">
        <w:rPr>
          <w:rFonts w:ascii="Palatino Linotype" w:eastAsia="Calibri" w:hAnsi="Palatino Linotype" w:cs="Times New Roman"/>
          <w:sz w:val="22"/>
          <w:szCs w:val="22"/>
          <w:lang w:val="en-IE"/>
        </w:rPr>
        <w:t xml:space="preserve"> and </w:t>
      </w:r>
      <w:r w:rsidR="00A445AD">
        <w:rPr>
          <w:rFonts w:ascii="Palatino Linotype" w:eastAsia="Calibri" w:hAnsi="Palatino Linotype" w:cs="Times New Roman"/>
          <w:sz w:val="22"/>
          <w:szCs w:val="22"/>
          <w:lang w:val="en-IE"/>
        </w:rPr>
        <w:t xml:space="preserve">to </w:t>
      </w:r>
      <w:r w:rsidR="00DA7B87" w:rsidRPr="0078109C">
        <w:rPr>
          <w:rFonts w:ascii="Palatino Linotype" w:eastAsia="Calibri" w:hAnsi="Palatino Linotype" w:cs="Times New Roman"/>
          <w:sz w:val="22"/>
          <w:szCs w:val="22"/>
          <w:lang w:val="en-IE"/>
        </w:rPr>
        <w:t>deal with the harsh economic and social effects of the pandemic</w:t>
      </w:r>
      <w:r w:rsidR="0092712C" w:rsidRPr="0078109C">
        <w:rPr>
          <w:rFonts w:ascii="Palatino Linotype" w:eastAsia="Calibri" w:hAnsi="Palatino Linotype" w:cs="Times New Roman"/>
          <w:sz w:val="22"/>
          <w:szCs w:val="22"/>
          <w:lang w:val="en-IE"/>
        </w:rPr>
        <w:t xml:space="preserve">. </w:t>
      </w:r>
    </w:p>
    <w:p w14:paraId="04BE62A7" w14:textId="47B2FAD9" w:rsidR="0018034D" w:rsidRPr="0078109C" w:rsidRDefault="0092712C" w:rsidP="001A35AC">
      <w:pPr>
        <w:spacing w:afterLines="120" w:after="288" w:line="360" w:lineRule="auto"/>
        <w:ind w:firstLine="720"/>
        <w:jc w:val="both"/>
        <w:rPr>
          <w:rFonts w:ascii="Palatino Linotype" w:eastAsia="Calibri" w:hAnsi="Palatino Linotype" w:cs="Times New Roman"/>
          <w:sz w:val="22"/>
          <w:szCs w:val="22"/>
          <w:lang w:val="en-IE"/>
        </w:rPr>
      </w:pPr>
      <w:r w:rsidRPr="0078109C">
        <w:rPr>
          <w:rFonts w:ascii="Palatino Linotype" w:eastAsia="Calibri" w:hAnsi="Palatino Linotype" w:cs="Times New Roman"/>
          <w:sz w:val="22"/>
          <w:szCs w:val="22"/>
          <w:lang w:val="en-IE"/>
        </w:rPr>
        <w:t xml:space="preserve">This authority was used to </w:t>
      </w:r>
      <w:r w:rsidR="00D74BC6">
        <w:rPr>
          <w:rFonts w:ascii="Palatino Linotype" w:eastAsia="Calibri" w:hAnsi="Palatino Linotype" w:cs="Times New Roman"/>
          <w:sz w:val="22"/>
          <w:szCs w:val="22"/>
          <w:lang w:val="en-IE"/>
        </w:rPr>
        <w:t>make</w:t>
      </w:r>
      <w:r w:rsidR="000C00A3" w:rsidRPr="0078109C">
        <w:rPr>
          <w:rFonts w:ascii="Palatino Linotype" w:eastAsia="Calibri" w:hAnsi="Palatino Linotype" w:cs="Times New Roman"/>
          <w:sz w:val="22"/>
          <w:szCs w:val="22"/>
          <w:lang w:val="en-IE"/>
        </w:rPr>
        <w:t xml:space="preserve"> ministerial</w:t>
      </w:r>
      <w:r w:rsidR="0018034D" w:rsidRPr="0078109C">
        <w:rPr>
          <w:rFonts w:ascii="Palatino Linotype" w:eastAsia="Calibri" w:hAnsi="Palatino Linotype" w:cs="Times New Roman"/>
          <w:sz w:val="22"/>
          <w:szCs w:val="22"/>
          <w:lang w:val="en-IE"/>
        </w:rPr>
        <w:t xml:space="preserve"> regulations </w:t>
      </w:r>
      <w:r w:rsidR="00D74BC6">
        <w:rPr>
          <w:rFonts w:ascii="Palatino Linotype" w:eastAsia="Calibri" w:hAnsi="Palatino Linotype" w:cs="Times New Roman"/>
          <w:sz w:val="22"/>
          <w:szCs w:val="22"/>
          <w:lang w:val="en-IE"/>
        </w:rPr>
        <w:t xml:space="preserve">that </w:t>
      </w:r>
      <w:r w:rsidR="0018034D" w:rsidRPr="0078109C">
        <w:rPr>
          <w:rFonts w:ascii="Palatino Linotype" w:eastAsia="Calibri" w:hAnsi="Palatino Linotype" w:cs="Times New Roman"/>
          <w:sz w:val="22"/>
          <w:szCs w:val="22"/>
          <w:lang w:val="en-IE"/>
        </w:rPr>
        <w:t>implement</w:t>
      </w:r>
      <w:r w:rsidR="00D74BC6">
        <w:rPr>
          <w:rFonts w:ascii="Palatino Linotype" w:eastAsia="Calibri" w:hAnsi="Palatino Linotype" w:cs="Times New Roman"/>
          <w:sz w:val="22"/>
          <w:szCs w:val="22"/>
          <w:lang w:val="en-IE"/>
        </w:rPr>
        <w:t>ed</w:t>
      </w:r>
      <w:r w:rsidR="0018034D" w:rsidRPr="0078109C">
        <w:rPr>
          <w:rFonts w:ascii="Palatino Linotype" w:eastAsia="Calibri" w:hAnsi="Palatino Linotype" w:cs="Times New Roman"/>
          <w:sz w:val="22"/>
          <w:szCs w:val="22"/>
          <w:lang w:val="en-IE"/>
        </w:rPr>
        <w:t xml:space="preserve"> “lockdowns” of varying stringency, similar to those in other states. This included shutting down non-essential business activity; mandating the wearing of masks on transport and business premises; restricting gatherings in private dwellings; limiting the number of people who could attend events; and </w:t>
      </w:r>
      <w:r w:rsidR="00A445AD">
        <w:rPr>
          <w:rFonts w:ascii="Palatino Linotype" w:eastAsia="Calibri" w:hAnsi="Palatino Linotype" w:cs="Times New Roman"/>
          <w:sz w:val="22"/>
          <w:szCs w:val="22"/>
          <w:lang w:val="en-IE"/>
        </w:rPr>
        <w:t xml:space="preserve">preventing you from leaving your home unless you had </w:t>
      </w:r>
      <w:r w:rsidR="0018034D" w:rsidRPr="0078109C">
        <w:rPr>
          <w:rFonts w:ascii="Palatino Linotype" w:eastAsia="Calibri" w:hAnsi="Palatino Linotype" w:cs="Times New Roman"/>
          <w:sz w:val="22"/>
          <w:szCs w:val="22"/>
          <w:lang w:val="en-IE"/>
        </w:rPr>
        <w:t xml:space="preserve">a “reasonable excuse”. These powers are </w:t>
      </w:r>
      <w:r w:rsidR="00D74BC6">
        <w:rPr>
          <w:rFonts w:ascii="Palatino Linotype" w:eastAsia="Calibri" w:hAnsi="Palatino Linotype" w:cs="Times New Roman"/>
          <w:sz w:val="22"/>
          <w:szCs w:val="22"/>
          <w:lang w:val="en-IE"/>
        </w:rPr>
        <w:t xml:space="preserve">perhaps </w:t>
      </w:r>
      <w:r w:rsidR="0018034D" w:rsidRPr="0078109C">
        <w:rPr>
          <w:rFonts w:ascii="Palatino Linotype" w:eastAsia="Calibri" w:hAnsi="Palatino Linotype" w:cs="Times New Roman"/>
          <w:sz w:val="22"/>
          <w:szCs w:val="22"/>
          <w:lang w:val="en-IE"/>
        </w:rPr>
        <w:t xml:space="preserve">the most extensive </w:t>
      </w:r>
      <w:r w:rsidR="00D74BC6">
        <w:rPr>
          <w:rFonts w:ascii="Palatino Linotype" w:eastAsia="Calibri" w:hAnsi="Palatino Linotype" w:cs="Times New Roman"/>
          <w:sz w:val="22"/>
          <w:szCs w:val="22"/>
          <w:lang w:val="en-IE"/>
        </w:rPr>
        <w:t xml:space="preserve">powers delegated to the </w:t>
      </w:r>
      <w:r w:rsidR="0018034D" w:rsidRPr="0078109C">
        <w:rPr>
          <w:rFonts w:ascii="Palatino Linotype" w:eastAsia="Calibri" w:hAnsi="Palatino Linotype" w:cs="Times New Roman"/>
          <w:sz w:val="22"/>
          <w:szCs w:val="22"/>
          <w:lang w:val="en-IE"/>
        </w:rPr>
        <w:t>executive in the history of the State.</w:t>
      </w:r>
      <w:r w:rsidRPr="0078109C">
        <w:rPr>
          <w:rFonts w:ascii="Palatino Linotype" w:eastAsia="Calibri" w:hAnsi="Palatino Linotype" w:cs="Times New Roman"/>
          <w:sz w:val="22"/>
          <w:szCs w:val="22"/>
          <w:lang w:val="en-IE"/>
        </w:rPr>
        <w:t xml:space="preserve"> </w:t>
      </w:r>
      <w:r w:rsidR="00EA2F24" w:rsidRPr="0078109C">
        <w:rPr>
          <w:rFonts w:ascii="Palatino Linotype" w:eastAsia="Calibri" w:hAnsi="Palatino Linotype" w:cs="Times New Roman"/>
          <w:sz w:val="22"/>
          <w:szCs w:val="22"/>
          <w:lang w:val="en-IE"/>
        </w:rPr>
        <w:t xml:space="preserve">To </w:t>
      </w:r>
      <w:r w:rsidRPr="0078109C">
        <w:rPr>
          <w:rFonts w:ascii="Palatino Linotype" w:eastAsia="Calibri" w:hAnsi="Palatino Linotype" w:cs="Times New Roman"/>
          <w:sz w:val="22"/>
          <w:szCs w:val="22"/>
          <w:lang w:val="en-IE"/>
        </w:rPr>
        <w:t xml:space="preserve">ameliorate  the  devasting  socio-economic effects  of  </w:t>
      </w:r>
      <w:r w:rsidRPr="0078109C">
        <w:rPr>
          <w:rFonts w:ascii="Palatino Linotype" w:eastAsia="Calibri" w:hAnsi="Palatino Linotype" w:cs="Times New Roman"/>
          <w:sz w:val="22"/>
          <w:szCs w:val="22"/>
          <w:lang w:val="en-IE"/>
        </w:rPr>
        <w:lastRenderedPageBreak/>
        <w:t>the</w:t>
      </w:r>
      <w:r w:rsidR="00D74BC6">
        <w:rPr>
          <w:rFonts w:ascii="Palatino Linotype" w:eastAsia="Calibri" w:hAnsi="Palatino Linotype" w:cs="Times New Roman"/>
          <w:sz w:val="22"/>
          <w:szCs w:val="22"/>
          <w:lang w:val="en-IE"/>
        </w:rPr>
        <w:t xml:space="preserve"> virus and these measures</w:t>
      </w:r>
      <w:r w:rsidRPr="0078109C">
        <w:rPr>
          <w:rFonts w:ascii="Palatino Linotype" w:eastAsia="Calibri" w:hAnsi="Palatino Linotype" w:cs="Times New Roman"/>
          <w:sz w:val="22"/>
          <w:szCs w:val="22"/>
          <w:lang w:val="en-IE"/>
        </w:rPr>
        <w:t xml:space="preserve">, </w:t>
      </w:r>
      <w:r w:rsidR="00EA2F24" w:rsidRPr="0078109C">
        <w:rPr>
          <w:rFonts w:ascii="Palatino Linotype" w:eastAsia="Calibri" w:hAnsi="Palatino Linotype" w:cs="Times New Roman"/>
          <w:sz w:val="22"/>
          <w:szCs w:val="22"/>
          <w:lang w:val="en-IE"/>
        </w:rPr>
        <w:t>the Government</w:t>
      </w:r>
      <w:r w:rsidR="00321FB8" w:rsidRPr="0078109C">
        <w:rPr>
          <w:rFonts w:ascii="Palatino Linotype" w:eastAsia="Calibri" w:hAnsi="Palatino Linotype" w:cs="Times New Roman"/>
          <w:sz w:val="22"/>
          <w:szCs w:val="22"/>
          <w:lang w:val="en-IE"/>
        </w:rPr>
        <w:t xml:space="preserve"> also</w:t>
      </w:r>
      <w:r w:rsidR="00EA2F24" w:rsidRPr="0078109C">
        <w:rPr>
          <w:rFonts w:ascii="Palatino Linotype" w:eastAsia="Calibri" w:hAnsi="Palatino Linotype" w:cs="Times New Roman"/>
          <w:sz w:val="22"/>
          <w:szCs w:val="22"/>
          <w:lang w:val="en-IE"/>
        </w:rPr>
        <w:t xml:space="preserve"> issued regulations introducing socio-economic supports </w:t>
      </w:r>
      <w:r w:rsidR="00D74BC6">
        <w:rPr>
          <w:rFonts w:ascii="Palatino Linotype" w:eastAsia="Calibri" w:hAnsi="Palatino Linotype" w:cs="Times New Roman"/>
          <w:sz w:val="22"/>
          <w:szCs w:val="22"/>
          <w:lang w:val="en-IE"/>
        </w:rPr>
        <w:t xml:space="preserve">such as </w:t>
      </w:r>
      <w:r w:rsidRPr="0078109C">
        <w:rPr>
          <w:rFonts w:ascii="Palatino Linotype" w:eastAsia="Calibri" w:hAnsi="Palatino Linotype" w:cs="Times New Roman"/>
          <w:sz w:val="22"/>
          <w:szCs w:val="22"/>
          <w:lang w:val="en-IE"/>
        </w:rPr>
        <w:t>rent</w:t>
      </w:r>
      <w:r w:rsidR="00D74BC6">
        <w:rPr>
          <w:rFonts w:ascii="Palatino Linotype" w:eastAsia="Calibri" w:hAnsi="Palatino Linotype" w:cs="Times New Roman"/>
          <w:sz w:val="22"/>
          <w:szCs w:val="22"/>
          <w:lang w:val="en-IE"/>
        </w:rPr>
        <w:t xml:space="preserve"> freezes</w:t>
      </w:r>
      <w:r w:rsidRPr="0078109C">
        <w:rPr>
          <w:rFonts w:ascii="Palatino Linotype" w:eastAsia="Calibri" w:hAnsi="Palatino Linotype" w:cs="Times New Roman"/>
          <w:sz w:val="22"/>
          <w:szCs w:val="22"/>
          <w:lang w:val="en-IE"/>
        </w:rPr>
        <w:t>,  eviction</w:t>
      </w:r>
      <w:r w:rsidR="00D74BC6">
        <w:rPr>
          <w:rFonts w:ascii="Palatino Linotype" w:eastAsia="Calibri" w:hAnsi="Palatino Linotype" w:cs="Times New Roman"/>
          <w:sz w:val="22"/>
          <w:szCs w:val="22"/>
          <w:lang w:val="en-IE"/>
        </w:rPr>
        <w:t xml:space="preserve"> bans</w:t>
      </w:r>
      <w:r w:rsidRPr="0078109C">
        <w:rPr>
          <w:rFonts w:ascii="Palatino Linotype" w:eastAsia="Calibri" w:hAnsi="Palatino Linotype" w:cs="Times New Roman"/>
          <w:sz w:val="22"/>
          <w:szCs w:val="22"/>
          <w:lang w:val="en-IE"/>
        </w:rPr>
        <w:t>,  business</w:t>
      </w:r>
      <w:r w:rsidR="00D74BC6">
        <w:rPr>
          <w:rFonts w:ascii="Palatino Linotype" w:eastAsia="Calibri" w:hAnsi="Palatino Linotype" w:cs="Times New Roman"/>
          <w:sz w:val="22"/>
          <w:szCs w:val="22"/>
          <w:lang w:val="en-IE"/>
        </w:rPr>
        <w:t xml:space="preserve"> subsidies</w:t>
      </w:r>
      <w:r w:rsidRPr="0078109C">
        <w:rPr>
          <w:rFonts w:ascii="Palatino Linotype" w:eastAsia="Calibri" w:hAnsi="Palatino Linotype" w:cs="Times New Roman"/>
          <w:sz w:val="22"/>
          <w:szCs w:val="22"/>
          <w:lang w:val="en-IE"/>
        </w:rPr>
        <w:t xml:space="preserve">,  and  </w:t>
      </w:r>
      <w:r w:rsidR="00D74BC6">
        <w:rPr>
          <w:rFonts w:ascii="Palatino Linotype" w:eastAsia="Calibri" w:hAnsi="Palatino Linotype" w:cs="Times New Roman"/>
          <w:sz w:val="22"/>
          <w:szCs w:val="22"/>
          <w:lang w:val="en-IE"/>
        </w:rPr>
        <w:t xml:space="preserve">emergency </w:t>
      </w:r>
      <w:r w:rsidRPr="0078109C">
        <w:rPr>
          <w:rFonts w:ascii="Palatino Linotype" w:eastAsia="Calibri" w:hAnsi="Palatino Linotype" w:cs="Times New Roman"/>
          <w:sz w:val="22"/>
          <w:szCs w:val="22"/>
          <w:lang w:val="en-IE"/>
        </w:rPr>
        <w:t>social  welfare</w:t>
      </w:r>
      <w:r w:rsidR="00D74BC6">
        <w:rPr>
          <w:rFonts w:ascii="Palatino Linotype" w:eastAsia="Calibri" w:hAnsi="Palatino Linotype" w:cs="Times New Roman"/>
          <w:sz w:val="22"/>
          <w:szCs w:val="22"/>
          <w:lang w:val="en-IE"/>
        </w:rPr>
        <w:t xml:space="preserve"> supports</w:t>
      </w:r>
      <w:r w:rsidR="00565805" w:rsidRPr="0078109C">
        <w:rPr>
          <w:rFonts w:ascii="Palatino Linotype" w:eastAsia="Calibri" w:hAnsi="Palatino Linotype" w:cs="Times New Roman"/>
          <w:sz w:val="22"/>
          <w:szCs w:val="22"/>
          <w:lang w:val="en-IE"/>
        </w:rPr>
        <w:t xml:space="preserve">. </w:t>
      </w:r>
      <w:r w:rsidR="00A445AD">
        <w:rPr>
          <w:rFonts w:ascii="Palatino Linotype" w:eastAsia="Calibri" w:hAnsi="Palatino Linotype" w:cs="Times New Roman"/>
          <w:sz w:val="22"/>
          <w:szCs w:val="22"/>
          <w:lang w:val="en-IE"/>
        </w:rPr>
        <w:t>S</w:t>
      </w:r>
      <w:r w:rsidR="0018034D" w:rsidRPr="0078109C">
        <w:rPr>
          <w:rFonts w:ascii="Palatino Linotype" w:eastAsia="Calibri" w:hAnsi="Palatino Linotype" w:cs="Times New Roman"/>
          <w:sz w:val="22"/>
          <w:szCs w:val="22"/>
          <w:lang w:val="en-IE"/>
        </w:rPr>
        <w:t>ome major measures—such as mandatory hotel quarantine</w:t>
      </w:r>
      <w:r w:rsidR="000473BA">
        <w:rPr>
          <w:rFonts w:ascii="Palatino Linotype" w:eastAsia="Calibri" w:hAnsi="Palatino Linotype" w:cs="Times New Roman"/>
          <w:sz w:val="22"/>
          <w:szCs w:val="22"/>
          <w:lang w:val="en-IE"/>
        </w:rPr>
        <w:t xml:space="preserve"> for certain incoming travellers</w:t>
      </w:r>
      <w:r w:rsidR="0018034D" w:rsidRPr="0078109C">
        <w:rPr>
          <w:rFonts w:ascii="Palatino Linotype" w:eastAsia="Calibri" w:hAnsi="Palatino Linotype" w:cs="Times New Roman"/>
          <w:sz w:val="22"/>
          <w:szCs w:val="22"/>
          <w:lang w:val="en-IE"/>
        </w:rPr>
        <w:t>—</w:t>
      </w:r>
      <w:r w:rsidR="000473BA">
        <w:rPr>
          <w:rFonts w:ascii="Palatino Linotype" w:eastAsia="Calibri" w:hAnsi="Palatino Linotype" w:cs="Times New Roman"/>
          <w:sz w:val="22"/>
          <w:szCs w:val="22"/>
          <w:lang w:val="en-IE"/>
        </w:rPr>
        <w:t xml:space="preserve">were </w:t>
      </w:r>
      <w:r w:rsidR="0018034D" w:rsidRPr="0078109C">
        <w:rPr>
          <w:rFonts w:ascii="Palatino Linotype" w:eastAsia="Calibri" w:hAnsi="Palatino Linotype" w:cs="Times New Roman"/>
          <w:sz w:val="22"/>
          <w:szCs w:val="22"/>
          <w:lang w:val="en-IE"/>
        </w:rPr>
        <w:t>put on a statutory footing</w:t>
      </w:r>
      <w:r w:rsidR="00A445AD">
        <w:rPr>
          <w:rFonts w:ascii="Palatino Linotype" w:eastAsia="Calibri" w:hAnsi="Palatino Linotype" w:cs="Times New Roman"/>
          <w:sz w:val="22"/>
          <w:szCs w:val="22"/>
          <w:lang w:val="en-IE"/>
        </w:rPr>
        <w:t xml:space="preserve">. But most restrictions on personal freedom were </w:t>
      </w:r>
      <w:r w:rsidR="0018034D" w:rsidRPr="0078109C">
        <w:rPr>
          <w:rFonts w:ascii="Palatino Linotype" w:eastAsia="Calibri" w:hAnsi="Palatino Linotype" w:cs="Times New Roman"/>
          <w:sz w:val="22"/>
          <w:szCs w:val="22"/>
          <w:lang w:val="en-IE"/>
        </w:rPr>
        <w:t>implemented by</w:t>
      </w:r>
      <w:r w:rsidR="00565805" w:rsidRPr="0078109C">
        <w:rPr>
          <w:rFonts w:ascii="Palatino Linotype" w:eastAsia="Calibri" w:hAnsi="Palatino Linotype" w:cs="Times New Roman"/>
          <w:sz w:val="22"/>
          <w:szCs w:val="22"/>
          <w:lang w:val="en-IE"/>
        </w:rPr>
        <w:t xml:space="preserve"> </w:t>
      </w:r>
      <w:r w:rsidR="00A445AD">
        <w:rPr>
          <w:rFonts w:ascii="Palatino Linotype" w:eastAsia="Calibri" w:hAnsi="Palatino Linotype" w:cs="Times New Roman"/>
          <w:sz w:val="22"/>
          <w:szCs w:val="22"/>
          <w:lang w:val="en-IE"/>
        </w:rPr>
        <w:t xml:space="preserve">the Minister for Health </w:t>
      </w:r>
      <w:r w:rsidR="001A35AC">
        <w:rPr>
          <w:rFonts w:ascii="Palatino Linotype" w:eastAsia="Calibri" w:hAnsi="Palatino Linotype" w:cs="Times New Roman"/>
          <w:sz w:val="22"/>
          <w:szCs w:val="22"/>
          <w:lang w:val="en-IE"/>
        </w:rPr>
        <w:t xml:space="preserve">making a regulation to prohibit an action, subject to a type of penalty specified by the Oireachtas. These penalties include the criminal sanctions of fines and imprisonment, supplemented by fixed penalty notices (colloquially referred to as “on-the-spot fines”) and an obligation to comply with directions issued by </w:t>
      </w:r>
      <w:proofErr w:type="spellStart"/>
      <w:r w:rsidR="001A35AC">
        <w:rPr>
          <w:rFonts w:ascii="Palatino Linotype" w:eastAsia="Calibri" w:hAnsi="Palatino Linotype" w:cs="Times New Roman"/>
          <w:sz w:val="22"/>
          <w:szCs w:val="22"/>
          <w:lang w:val="en-IE"/>
        </w:rPr>
        <w:t>gardaí</w:t>
      </w:r>
      <w:proofErr w:type="spellEnd"/>
      <w:r w:rsidR="001A35AC">
        <w:rPr>
          <w:rFonts w:ascii="Palatino Linotype" w:eastAsia="Calibri" w:hAnsi="Palatino Linotype" w:cs="Times New Roman"/>
          <w:sz w:val="22"/>
          <w:szCs w:val="22"/>
          <w:lang w:val="en-IE"/>
        </w:rPr>
        <w:t>.</w:t>
      </w:r>
    </w:p>
    <w:p w14:paraId="06D83F34" w14:textId="2E09C1AB" w:rsidR="0018034D" w:rsidRPr="0078109C" w:rsidRDefault="00753C23" w:rsidP="0078109C">
      <w:pPr>
        <w:spacing w:afterLines="120" w:after="288" w:line="360" w:lineRule="auto"/>
        <w:ind w:firstLine="360"/>
        <w:jc w:val="both"/>
        <w:rPr>
          <w:rFonts w:ascii="Palatino Linotype" w:eastAsia="Calibri" w:hAnsi="Palatino Linotype" w:cs="Times New Roman"/>
          <w:color w:val="000000" w:themeColor="text1"/>
          <w:sz w:val="22"/>
          <w:szCs w:val="22"/>
        </w:rPr>
      </w:pPr>
      <w:r>
        <w:rPr>
          <w:rFonts w:ascii="Palatino Linotype" w:eastAsia="Calibri" w:hAnsi="Palatino Linotype" w:cs="Times New Roman"/>
          <w:color w:val="000000" w:themeColor="text1"/>
          <w:sz w:val="22"/>
          <w:szCs w:val="22"/>
        </w:rPr>
        <w:t xml:space="preserve">The </w:t>
      </w:r>
      <w:r w:rsidR="0018034D" w:rsidRPr="0078109C">
        <w:rPr>
          <w:rFonts w:ascii="Palatino Linotype" w:eastAsia="Calibri" w:hAnsi="Palatino Linotype" w:cs="Times New Roman"/>
          <w:color w:val="000000" w:themeColor="text1"/>
          <w:sz w:val="22"/>
          <w:szCs w:val="22"/>
        </w:rPr>
        <w:t xml:space="preserve">Government </w:t>
      </w:r>
      <w:r>
        <w:rPr>
          <w:rFonts w:ascii="Palatino Linotype" w:eastAsia="Calibri" w:hAnsi="Palatino Linotype" w:cs="Times New Roman"/>
          <w:color w:val="000000" w:themeColor="text1"/>
          <w:sz w:val="22"/>
          <w:szCs w:val="22"/>
        </w:rPr>
        <w:t xml:space="preserve">also </w:t>
      </w:r>
      <w:r w:rsidR="0018034D" w:rsidRPr="0078109C">
        <w:rPr>
          <w:rFonts w:ascii="Palatino Linotype" w:eastAsia="Calibri" w:hAnsi="Palatino Linotype" w:cs="Times New Roman"/>
          <w:color w:val="000000" w:themeColor="text1"/>
          <w:sz w:val="22"/>
          <w:szCs w:val="22"/>
        </w:rPr>
        <w:t xml:space="preserve">relied on its own </w:t>
      </w:r>
      <w:r>
        <w:rPr>
          <w:rFonts w:ascii="Palatino Linotype" w:eastAsia="Calibri" w:hAnsi="Palatino Linotype" w:cs="Times New Roman"/>
          <w:color w:val="000000" w:themeColor="text1"/>
          <w:sz w:val="22"/>
          <w:szCs w:val="22"/>
        </w:rPr>
        <w:t xml:space="preserve">inherent </w:t>
      </w:r>
      <w:r w:rsidR="009B0C46" w:rsidRPr="0078109C">
        <w:rPr>
          <w:rFonts w:ascii="Palatino Linotype" w:eastAsia="Calibri" w:hAnsi="Palatino Linotype" w:cs="Times New Roman"/>
          <w:color w:val="000000" w:themeColor="text1"/>
          <w:sz w:val="22"/>
          <w:szCs w:val="22"/>
        </w:rPr>
        <w:t>constitutional</w:t>
      </w:r>
      <w:r w:rsidR="0018034D" w:rsidRPr="0078109C">
        <w:rPr>
          <w:rFonts w:ascii="Palatino Linotype" w:eastAsia="Calibri" w:hAnsi="Palatino Linotype" w:cs="Times New Roman"/>
          <w:color w:val="000000" w:themeColor="text1"/>
          <w:sz w:val="22"/>
          <w:szCs w:val="22"/>
        </w:rPr>
        <w:t xml:space="preserve"> executive powers</w:t>
      </w:r>
      <w:r w:rsidR="0018034D" w:rsidRPr="0078109C">
        <w:rPr>
          <w:rStyle w:val="FootnoteReference"/>
          <w:rFonts w:ascii="Palatino Linotype" w:eastAsia="Calibri" w:hAnsi="Palatino Linotype" w:cs="Times New Roman"/>
          <w:color w:val="000000" w:themeColor="text1"/>
          <w:sz w:val="22"/>
          <w:szCs w:val="22"/>
        </w:rPr>
        <w:footnoteReference w:id="3"/>
      </w:r>
      <w:r w:rsidR="0018034D" w:rsidRPr="0078109C">
        <w:rPr>
          <w:rFonts w:ascii="Palatino Linotype" w:eastAsia="Calibri" w:hAnsi="Palatino Linotype" w:cs="Times New Roman"/>
          <w:color w:val="000000" w:themeColor="text1"/>
          <w:sz w:val="22"/>
          <w:szCs w:val="22"/>
        </w:rPr>
        <w:t xml:space="preserve"> to issu</w:t>
      </w:r>
      <w:r w:rsidR="009234CC">
        <w:rPr>
          <w:rFonts w:ascii="Palatino Linotype" w:eastAsia="Calibri" w:hAnsi="Palatino Linotype" w:cs="Times New Roman"/>
          <w:color w:val="000000" w:themeColor="text1"/>
          <w:sz w:val="22"/>
          <w:szCs w:val="22"/>
        </w:rPr>
        <w:t>e</w:t>
      </w:r>
      <w:r w:rsidR="0018034D" w:rsidRPr="0078109C">
        <w:rPr>
          <w:rFonts w:ascii="Palatino Linotype" w:eastAsia="Calibri" w:hAnsi="Palatino Linotype" w:cs="Times New Roman"/>
          <w:color w:val="000000" w:themeColor="text1"/>
          <w:sz w:val="22"/>
          <w:szCs w:val="22"/>
        </w:rPr>
        <w:t xml:space="preserve"> public health advice</w:t>
      </w:r>
      <w:r w:rsidR="00705DCF">
        <w:rPr>
          <w:rFonts w:ascii="Palatino Linotype" w:eastAsia="Calibri" w:hAnsi="Palatino Linotype" w:cs="Times New Roman"/>
          <w:color w:val="000000" w:themeColor="text1"/>
          <w:sz w:val="22"/>
          <w:szCs w:val="22"/>
        </w:rPr>
        <w:t>;</w:t>
      </w:r>
      <w:r w:rsidR="0018034D" w:rsidRPr="0078109C">
        <w:rPr>
          <w:rStyle w:val="FootnoteReference"/>
          <w:rFonts w:ascii="Palatino Linotype" w:eastAsia="Calibri" w:hAnsi="Palatino Linotype" w:cs="Times New Roman"/>
          <w:color w:val="000000" w:themeColor="text1"/>
          <w:sz w:val="22"/>
          <w:szCs w:val="22"/>
        </w:rPr>
        <w:footnoteReference w:id="4"/>
      </w:r>
      <w:r w:rsidR="0018034D" w:rsidRPr="0078109C">
        <w:rPr>
          <w:rFonts w:ascii="Palatino Linotype" w:eastAsia="Calibri" w:hAnsi="Palatino Linotype" w:cs="Times New Roman"/>
          <w:color w:val="000000" w:themeColor="text1"/>
          <w:sz w:val="22"/>
          <w:szCs w:val="22"/>
        </w:rPr>
        <w:t xml:space="preserve"> unilaterally extend the immigration permissions of </w:t>
      </w:r>
      <w:r w:rsidR="009B0C46" w:rsidRPr="0078109C">
        <w:rPr>
          <w:rFonts w:ascii="Palatino Linotype" w:eastAsia="Calibri" w:hAnsi="Palatino Linotype" w:cs="Times New Roman"/>
          <w:color w:val="000000" w:themeColor="text1"/>
          <w:sz w:val="22"/>
          <w:szCs w:val="22"/>
        </w:rPr>
        <w:t>thousands of</w:t>
      </w:r>
      <w:r w:rsidR="0018034D" w:rsidRPr="0078109C">
        <w:rPr>
          <w:rFonts w:ascii="Palatino Linotype" w:eastAsia="Calibri" w:hAnsi="Palatino Linotype" w:cs="Times New Roman"/>
          <w:color w:val="000000" w:themeColor="text1"/>
          <w:sz w:val="22"/>
          <w:szCs w:val="22"/>
        </w:rPr>
        <w:t xml:space="preserve"> migrants in the State</w:t>
      </w:r>
      <w:r w:rsidR="00705DCF">
        <w:rPr>
          <w:rFonts w:ascii="Palatino Linotype" w:eastAsia="Calibri" w:hAnsi="Palatino Linotype" w:cs="Times New Roman"/>
          <w:color w:val="000000" w:themeColor="text1"/>
          <w:sz w:val="22"/>
          <w:szCs w:val="22"/>
        </w:rPr>
        <w:t>;</w:t>
      </w:r>
      <w:r w:rsidR="0018034D" w:rsidRPr="0078109C">
        <w:rPr>
          <w:rStyle w:val="FootnoteReference"/>
          <w:rFonts w:ascii="Palatino Linotype" w:eastAsia="Calibri" w:hAnsi="Palatino Linotype" w:cs="Times New Roman"/>
          <w:color w:val="000000" w:themeColor="text1"/>
          <w:sz w:val="22"/>
          <w:szCs w:val="22"/>
        </w:rPr>
        <w:footnoteReference w:id="5"/>
      </w:r>
      <w:r w:rsidR="00705DCF">
        <w:rPr>
          <w:rFonts w:ascii="Palatino Linotype" w:eastAsia="Calibri" w:hAnsi="Palatino Linotype" w:cs="Times New Roman"/>
          <w:color w:val="000000" w:themeColor="text1"/>
          <w:sz w:val="22"/>
          <w:szCs w:val="22"/>
        </w:rPr>
        <w:t xml:space="preserve"> and</w:t>
      </w:r>
      <w:r w:rsidR="0018034D" w:rsidRPr="0078109C">
        <w:rPr>
          <w:rFonts w:ascii="Palatino Linotype" w:eastAsia="Calibri" w:hAnsi="Palatino Linotype" w:cs="Times New Roman"/>
          <w:color w:val="000000" w:themeColor="text1"/>
          <w:sz w:val="22"/>
          <w:szCs w:val="22"/>
        </w:rPr>
        <w:t xml:space="preserve"> to compensate for the economic impact of lockdown measures.</w:t>
      </w:r>
      <w:r w:rsidR="0018034D" w:rsidRPr="0078109C">
        <w:rPr>
          <w:rStyle w:val="FootnoteReference"/>
          <w:rFonts w:ascii="Palatino Linotype" w:eastAsia="Calibri" w:hAnsi="Palatino Linotype" w:cs="Times New Roman"/>
          <w:color w:val="000000" w:themeColor="text1"/>
          <w:sz w:val="22"/>
          <w:szCs w:val="22"/>
        </w:rPr>
        <w:footnoteReference w:id="6"/>
      </w:r>
      <w:r w:rsidR="0018034D" w:rsidRPr="0078109C">
        <w:rPr>
          <w:rFonts w:ascii="Palatino Linotype" w:eastAsia="Calibri" w:hAnsi="Palatino Linotype" w:cs="Times New Roman"/>
          <w:color w:val="000000" w:themeColor="text1"/>
          <w:sz w:val="22"/>
          <w:szCs w:val="22"/>
        </w:rPr>
        <w:t xml:space="preserve"> The Government has</w:t>
      </w:r>
      <w:r w:rsidR="000C00A3" w:rsidRPr="0078109C">
        <w:rPr>
          <w:rFonts w:ascii="Palatino Linotype" w:eastAsia="Calibri" w:hAnsi="Palatino Linotype" w:cs="Times New Roman"/>
          <w:color w:val="000000" w:themeColor="text1"/>
          <w:sz w:val="22"/>
          <w:szCs w:val="22"/>
        </w:rPr>
        <w:t xml:space="preserve">, therefore, </w:t>
      </w:r>
      <w:r w:rsidR="0018034D" w:rsidRPr="0078109C">
        <w:rPr>
          <w:rFonts w:ascii="Palatino Linotype" w:eastAsia="Calibri" w:hAnsi="Palatino Linotype" w:cs="Times New Roman"/>
          <w:color w:val="000000" w:themeColor="text1"/>
          <w:sz w:val="22"/>
          <w:szCs w:val="22"/>
        </w:rPr>
        <w:t xml:space="preserve">drawn liberally upon the three different faces of State power, the </w:t>
      </w:r>
      <w:r w:rsidR="0018034D" w:rsidRPr="0078109C">
        <w:rPr>
          <w:rFonts w:ascii="Palatino Linotype" w:hAnsi="Palatino Linotype" w:cs="Times New Roman"/>
          <w:sz w:val="22"/>
          <w:szCs w:val="22"/>
        </w:rPr>
        <w:t>‘force of law (imperium), the force of money</w:t>
      </w:r>
      <w:r w:rsidR="0018034D" w:rsidRPr="0078109C">
        <w:rPr>
          <w:rFonts w:ascii="Palatino Linotype" w:eastAsia="Calibri" w:hAnsi="Palatino Linotype" w:cs="Times New Roman"/>
          <w:color w:val="000000" w:themeColor="text1"/>
          <w:sz w:val="22"/>
          <w:szCs w:val="22"/>
        </w:rPr>
        <w:t xml:space="preserve"> </w:t>
      </w:r>
      <w:r w:rsidR="0018034D" w:rsidRPr="0078109C">
        <w:rPr>
          <w:rFonts w:ascii="Palatino Linotype" w:hAnsi="Palatino Linotype" w:cs="Times New Roman"/>
          <w:sz w:val="22"/>
          <w:szCs w:val="22"/>
        </w:rPr>
        <w:t>(dominium) and the force of information (suasion) to respond to the COVID-19 pandemic.’</w:t>
      </w:r>
      <w:r w:rsidR="0018034D" w:rsidRPr="0078109C">
        <w:rPr>
          <w:rStyle w:val="FootnoteReference"/>
          <w:rFonts w:ascii="Palatino Linotype" w:hAnsi="Palatino Linotype" w:cs="Times New Roman"/>
          <w:sz w:val="22"/>
          <w:szCs w:val="22"/>
        </w:rPr>
        <w:footnoteReference w:id="7"/>
      </w:r>
    </w:p>
    <w:p w14:paraId="4A534C1B" w14:textId="300FE67F" w:rsidR="00C471C2" w:rsidRPr="0078109C" w:rsidRDefault="00C471C2" w:rsidP="0078109C">
      <w:pPr>
        <w:pStyle w:val="ListParagraph"/>
        <w:numPr>
          <w:ilvl w:val="0"/>
          <w:numId w:val="3"/>
        </w:numPr>
        <w:spacing w:afterLines="120" w:after="288" w:line="360" w:lineRule="auto"/>
        <w:jc w:val="both"/>
        <w:rPr>
          <w:rFonts w:ascii="Palatino Linotype" w:eastAsia="Calibri" w:hAnsi="Palatino Linotype"/>
          <w:b/>
          <w:bCs/>
          <w:sz w:val="22"/>
          <w:szCs w:val="22"/>
          <w:lang w:val="en-IE"/>
        </w:rPr>
      </w:pPr>
      <w:r w:rsidRPr="0078109C">
        <w:rPr>
          <w:rFonts w:ascii="Palatino Linotype" w:eastAsia="Calibri" w:hAnsi="Palatino Linotype"/>
          <w:b/>
          <w:bCs/>
          <w:sz w:val="22"/>
          <w:szCs w:val="22"/>
          <w:lang w:val="en-IE"/>
        </w:rPr>
        <w:t>Assessing</w:t>
      </w:r>
      <w:r w:rsidR="00CF1A5A" w:rsidRPr="0078109C">
        <w:rPr>
          <w:rFonts w:ascii="Palatino Linotype" w:eastAsia="Calibri" w:hAnsi="Palatino Linotype"/>
          <w:b/>
          <w:bCs/>
          <w:sz w:val="22"/>
          <w:szCs w:val="22"/>
          <w:lang w:val="en-IE"/>
        </w:rPr>
        <w:t xml:space="preserve"> the State</w:t>
      </w:r>
      <w:r w:rsidRPr="0078109C">
        <w:rPr>
          <w:rFonts w:ascii="Palatino Linotype" w:eastAsia="Calibri" w:hAnsi="Palatino Linotype"/>
          <w:b/>
          <w:bCs/>
          <w:sz w:val="22"/>
          <w:szCs w:val="22"/>
          <w:lang w:val="en-IE"/>
        </w:rPr>
        <w:t xml:space="preserve"> Covid-19 Response</w:t>
      </w:r>
      <w:r w:rsidR="0022661D" w:rsidRPr="0078109C">
        <w:rPr>
          <w:rFonts w:ascii="Palatino Linotype" w:eastAsia="Calibri" w:hAnsi="Palatino Linotype"/>
          <w:b/>
          <w:bCs/>
          <w:sz w:val="22"/>
          <w:szCs w:val="22"/>
          <w:lang w:val="en-IE"/>
        </w:rPr>
        <w:t>: Some Positives</w:t>
      </w:r>
    </w:p>
    <w:p w14:paraId="511D3417" w14:textId="249AF473" w:rsidR="0022661D" w:rsidRPr="0078109C" w:rsidRDefault="00C471C2" w:rsidP="0078109C">
      <w:pPr>
        <w:spacing w:afterLines="120" w:after="288" w:line="360" w:lineRule="auto"/>
        <w:jc w:val="both"/>
        <w:rPr>
          <w:rFonts w:ascii="Palatino Linotype" w:eastAsia="Times New Roman" w:hAnsi="Palatino Linotype" w:cs="Times New Roman"/>
          <w:color w:val="000000" w:themeColor="text1"/>
          <w:sz w:val="22"/>
          <w:szCs w:val="22"/>
          <w:lang w:eastAsia="en-GB"/>
        </w:rPr>
      </w:pPr>
      <w:r w:rsidRPr="0078109C">
        <w:rPr>
          <w:rFonts w:ascii="Palatino Linotype" w:eastAsia="Times New Roman" w:hAnsi="Palatino Linotype" w:cs="Times New Roman"/>
          <w:color w:val="000000" w:themeColor="text1"/>
          <w:sz w:val="22"/>
          <w:szCs w:val="22"/>
          <w:lang w:eastAsia="en-GB"/>
        </w:rPr>
        <w:t>Assessing whether the Government’s response to Covid-19 has been</w:t>
      </w:r>
      <w:r w:rsidR="009B0C46" w:rsidRPr="0078109C">
        <w:rPr>
          <w:rFonts w:ascii="Palatino Linotype" w:eastAsia="Times New Roman" w:hAnsi="Palatino Linotype" w:cs="Times New Roman"/>
          <w:color w:val="000000" w:themeColor="text1"/>
          <w:sz w:val="22"/>
          <w:szCs w:val="22"/>
          <w:lang w:eastAsia="en-GB"/>
        </w:rPr>
        <w:t xml:space="preserve">, all-things-considered, optimal or </w:t>
      </w:r>
      <w:r w:rsidRPr="0078109C">
        <w:rPr>
          <w:rFonts w:ascii="Palatino Linotype" w:eastAsia="Times New Roman" w:hAnsi="Palatino Linotype" w:cs="Times New Roman"/>
          <w:color w:val="000000" w:themeColor="text1"/>
          <w:sz w:val="22"/>
          <w:szCs w:val="22"/>
          <w:lang w:eastAsia="en-GB"/>
        </w:rPr>
        <w:t>reasonable</w:t>
      </w:r>
      <w:r w:rsidR="0022661D" w:rsidRPr="0078109C">
        <w:rPr>
          <w:rFonts w:ascii="Palatino Linotype" w:eastAsia="Times New Roman" w:hAnsi="Palatino Linotype" w:cs="Times New Roman"/>
          <w:color w:val="000000" w:themeColor="text1"/>
          <w:sz w:val="22"/>
          <w:szCs w:val="22"/>
          <w:lang w:eastAsia="en-GB"/>
        </w:rPr>
        <w:t>,</w:t>
      </w:r>
      <w:r w:rsidRPr="0078109C">
        <w:rPr>
          <w:rFonts w:ascii="Palatino Linotype" w:eastAsia="Times New Roman" w:hAnsi="Palatino Linotype" w:cs="Times New Roman"/>
          <w:color w:val="000000" w:themeColor="text1"/>
          <w:sz w:val="22"/>
          <w:szCs w:val="22"/>
          <w:lang w:eastAsia="en-GB"/>
        </w:rPr>
        <w:t xml:space="preserve"> is a deeply complex moral</w:t>
      </w:r>
      <w:r w:rsidR="009234CC">
        <w:rPr>
          <w:rFonts w:ascii="Palatino Linotype" w:eastAsia="Times New Roman" w:hAnsi="Palatino Linotype" w:cs="Times New Roman"/>
          <w:color w:val="000000" w:themeColor="text1"/>
          <w:sz w:val="22"/>
          <w:szCs w:val="22"/>
          <w:lang w:eastAsia="en-GB"/>
        </w:rPr>
        <w:t>,</w:t>
      </w:r>
      <w:r w:rsidR="00BA1651">
        <w:rPr>
          <w:rFonts w:ascii="Palatino Linotype" w:eastAsia="Times New Roman" w:hAnsi="Palatino Linotype" w:cs="Times New Roman"/>
          <w:color w:val="000000" w:themeColor="text1"/>
          <w:sz w:val="22"/>
          <w:szCs w:val="22"/>
          <w:lang w:eastAsia="en-GB"/>
        </w:rPr>
        <w:t xml:space="preserve"> political and public health </w:t>
      </w:r>
      <w:r w:rsidRPr="0078109C">
        <w:rPr>
          <w:rFonts w:ascii="Palatino Linotype" w:eastAsia="Times New Roman" w:hAnsi="Palatino Linotype" w:cs="Times New Roman"/>
          <w:color w:val="000000" w:themeColor="text1"/>
          <w:sz w:val="22"/>
          <w:szCs w:val="22"/>
          <w:lang w:eastAsia="en-GB"/>
        </w:rPr>
        <w:t>question</w:t>
      </w:r>
      <w:r w:rsidR="0022661D" w:rsidRPr="0078109C">
        <w:rPr>
          <w:rFonts w:ascii="Palatino Linotype" w:eastAsia="Times New Roman" w:hAnsi="Palatino Linotype" w:cs="Times New Roman"/>
          <w:color w:val="000000" w:themeColor="text1"/>
          <w:sz w:val="22"/>
          <w:szCs w:val="22"/>
          <w:lang w:eastAsia="en-GB"/>
        </w:rPr>
        <w:t>, one far</w:t>
      </w:r>
      <w:r w:rsidRPr="0078109C">
        <w:rPr>
          <w:rFonts w:ascii="Palatino Linotype" w:eastAsia="Times New Roman" w:hAnsi="Palatino Linotype" w:cs="Times New Roman"/>
          <w:color w:val="000000" w:themeColor="text1"/>
          <w:sz w:val="22"/>
          <w:szCs w:val="22"/>
          <w:lang w:eastAsia="en-GB"/>
        </w:rPr>
        <w:t xml:space="preserve"> beyond the scope</w:t>
      </w:r>
      <w:r w:rsidR="00BA1651">
        <w:rPr>
          <w:rFonts w:ascii="Palatino Linotype" w:eastAsia="Times New Roman" w:hAnsi="Palatino Linotype" w:cs="Times New Roman"/>
          <w:color w:val="000000" w:themeColor="text1"/>
          <w:sz w:val="22"/>
          <w:szCs w:val="22"/>
          <w:lang w:eastAsia="en-GB"/>
        </w:rPr>
        <w:t xml:space="preserve"> of this article</w:t>
      </w:r>
      <w:r w:rsidRPr="0078109C">
        <w:rPr>
          <w:rFonts w:ascii="Palatino Linotype" w:eastAsia="Times New Roman" w:hAnsi="Palatino Linotype" w:cs="Times New Roman"/>
          <w:color w:val="000000" w:themeColor="text1"/>
          <w:sz w:val="22"/>
          <w:szCs w:val="22"/>
          <w:lang w:eastAsia="en-GB"/>
        </w:rPr>
        <w:t>. But one</w:t>
      </w:r>
      <w:r w:rsidR="00CF1A5A" w:rsidRPr="0078109C">
        <w:rPr>
          <w:rFonts w:ascii="Palatino Linotype" w:eastAsia="Times New Roman" w:hAnsi="Palatino Linotype" w:cs="Times New Roman"/>
          <w:color w:val="000000" w:themeColor="text1"/>
          <w:sz w:val="22"/>
          <w:szCs w:val="22"/>
          <w:lang w:eastAsia="en-GB"/>
        </w:rPr>
        <w:t xml:space="preserve"> positive</w:t>
      </w:r>
      <w:r w:rsidRPr="0078109C">
        <w:rPr>
          <w:rFonts w:ascii="Palatino Linotype" w:eastAsia="Times New Roman" w:hAnsi="Palatino Linotype" w:cs="Times New Roman"/>
          <w:color w:val="000000" w:themeColor="text1"/>
          <w:sz w:val="22"/>
          <w:szCs w:val="22"/>
          <w:lang w:eastAsia="en-GB"/>
        </w:rPr>
        <w:t xml:space="preserve"> </w:t>
      </w:r>
      <w:r w:rsidR="009234CC">
        <w:rPr>
          <w:rFonts w:ascii="Palatino Linotype" w:eastAsia="Times New Roman" w:hAnsi="Palatino Linotype" w:cs="Times New Roman"/>
          <w:color w:val="000000" w:themeColor="text1"/>
          <w:sz w:val="22"/>
          <w:szCs w:val="22"/>
          <w:lang w:eastAsia="en-GB"/>
        </w:rPr>
        <w:t>was</w:t>
      </w:r>
      <w:r w:rsidR="00C63A2C">
        <w:rPr>
          <w:rFonts w:ascii="Palatino Linotype" w:eastAsia="Times New Roman" w:hAnsi="Palatino Linotype" w:cs="Times New Roman"/>
          <w:color w:val="000000" w:themeColor="text1"/>
          <w:sz w:val="22"/>
          <w:szCs w:val="22"/>
          <w:lang w:eastAsia="en-GB"/>
        </w:rPr>
        <w:t xml:space="preserve"> the fact the constitutional order’s </w:t>
      </w:r>
      <w:r w:rsidRPr="0078109C">
        <w:rPr>
          <w:rFonts w:ascii="Palatino Linotype" w:eastAsia="Times New Roman" w:hAnsi="Palatino Linotype" w:cs="Times New Roman"/>
          <w:color w:val="000000" w:themeColor="text1"/>
          <w:sz w:val="22"/>
          <w:szCs w:val="22"/>
          <w:lang w:eastAsia="en-GB"/>
        </w:rPr>
        <w:t xml:space="preserve">institutions </w:t>
      </w:r>
      <w:r w:rsidR="00A87C2A">
        <w:rPr>
          <w:rFonts w:ascii="Palatino Linotype" w:eastAsia="Times New Roman" w:hAnsi="Palatino Linotype" w:cs="Times New Roman"/>
          <w:color w:val="000000" w:themeColor="text1"/>
          <w:sz w:val="22"/>
          <w:szCs w:val="22"/>
          <w:lang w:eastAsia="en-GB"/>
        </w:rPr>
        <w:t xml:space="preserve">of government </w:t>
      </w:r>
      <w:r w:rsidR="00C63A2C">
        <w:rPr>
          <w:rFonts w:ascii="Palatino Linotype" w:eastAsia="Times New Roman" w:hAnsi="Palatino Linotype" w:cs="Times New Roman"/>
          <w:color w:val="000000" w:themeColor="text1"/>
          <w:sz w:val="22"/>
          <w:szCs w:val="22"/>
          <w:lang w:eastAsia="en-GB"/>
        </w:rPr>
        <w:t>had</w:t>
      </w:r>
      <w:r w:rsidR="00A87C2A">
        <w:rPr>
          <w:rFonts w:ascii="Palatino Linotype" w:eastAsia="Times New Roman" w:hAnsi="Palatino Linotype" w:cs="Times New Roman"/>
          <w:color w:val="000000" w:themeColor="text1"/>
          <w:sz w:val="22"/>
          <w:szCs w:val="22"/>
          <w:lang w:eastAsia="en-GB"/>
        </w:rPr>
        <w:t xml:space="preserve"> the </w:t>
      </w:r>
      <w:r w:rsidRPr="0078109C">
        <w:rPr>
          <w:rFonts w:ascii="Palatino Linotype" w:eastAsia="Times New Roman" w:hAnsi="Palatino Linotype" w:cs="Times New Roman"/>
          <w:color w:val="000000" w:themeColor="text1"/>
          <w:sz w:val="22"/>
          <w:szCs w:val="22"/>
          <w:lang w:eastAsia="en-GB"/>
        </w:rPr>
        <w:t>capacity to act</w:t>
      </w:r>
      <w:r w:rsidR="00C63A2C">
        <w:rPr>
          <w:rFonts w:ascii="Palatino Linotype" w:eastAsia="Times New Roman" w:hAnsi="Palatino Linotype" w:cs="Times New Roman"/>
          <w:color w:val="000000" w:themeColor="text1"/>
          <w:sz w:val="22"/>
          <w:szCs w:val="22"/>
          <w:lang w:eastAsia="en-GB"/>
        </w:rPr>
        <w:t xml:space="preserve"> robustly</w:t>
      </w:r>
      <w:r w:rsidRPr="0078109C">
        <w:rPr>
          <w:rFonts w:ascii="Palatino Linotype" w:eastAsia="Times New Roman" w:hAnsi="Palatino Linotype" w:cs="Times New Roman"/>
          <w:color w:val="000000" w:themeColor="text1"/>
          <w:sz w:val="22"/>
          <w:szCs w:val="22"/>
          <w:lang w:eastAsia="en-GB"/>
        </w:rPr>
        <w:t xml:space="preserve"> for the common good</w:t>
      </w:r>
      <w:r w:rsidR="0022661D" w:rsidRPr="0078109C">
        <w:rPr>
          <w:rFonts w:ascii="Palatino Linotype" w:eastAsia="Times New Roman" w:hAnsi="Palatino Linotype" w:cs="Times New Roman"/>
          <w:color w:val="000000" w:themeColor="text1"/>
          <w:sz w:val="22"/>
          <w:szCs w:val="22"/>
          <w:lang w:eastAsia="en-GB"/>
        </w:rPr>
        <w:t xml:space="preserve"> in the face of enormous challenges</w:t>
      </w:r>
      <w:r w:rsidRPr="0078109C">
        <w:rPr>
          <w:rFonts w:ascii="Palatino Linotype" w:eastAsia="Times New Roman" w:hAnsi="Palatino Linotype" w:cs="Times New Roman"/>
          <w:color w:val="000000" w:themeColor="text1"/>
          <w:sz w:val="22"/>
          <w:szCs w:val="22"/>
          <w:lang w:eastAsia="en-GB"/>
        </w:rPr>
        <w:t>.</w:t>
      </w:r>
      <w:bookmarkStart w:id="1" w:name="_Ref85103726"/>
      <w:r w:rsidR="00502E7C">
        <w:rPr>
          <w:rStyle w:val="FootnoteReference"/>
          <w:rFonts w:ascii="Palatino Linotype" w:eastAsia="Times New Roman" w:hAnsi="Palatino Linotype" w:cs="Times New Roman"/>
          <w:color w:val="000000" w:themeColor="text1"/>
          <w:sz w:val="22"/>
          <w:szCs w:val="22"/>
          <w:lang w:eastAsia="en-GB"/>
        </w:rPr>
        <w:footnoteReference w:id="8"/>
      </w:r>
      <w:bookmarkEnd w:id="1"/>
      <w:r w:rsidRPr="0078109C">
        <w:rPr>
          <w:rFonts w:ascii="Palatino Linotype" w:eastAsia="Times New Roman" w:hAnsi="Palatino Linotype" w:cs="Times New Roman"/>
          <w:color w:val="000000" w:themeColor="text1"/>
          <w:sz w:val="22"/>
          <w:szCs w:val="22"/>
          <w:lang w:eastAsia="en-GB"/>
        </w:rPr>
        <w:t xml:space="preserve"> When the virus reached Irish shores</w:t>
      </w:r>
      <w:r w:rsidR="0022661D" w:rsidRPr="0078109C">
        <w:rPr>
          <w:rFonts w:ascii="Palatino Linotype" w:eastAsia="Times New Roman" w:hAnsi="Palatino Linotype" w:cs="Times New Roman"/>
          <w:color w:val="000000" w:themeColor="text1"/>
          <w:sz w:val="22"/>
          <w:szCs w:val="22"/>
          <w:lang w:eastAsia="en-GB"/>
        </w:rPr>
        <w:t xml:space="preserve"> in March 202</w:t>
      </w:r>
      <w:r w:rsidR="00C63A2C">
        <w:rPr>
          <w:rFonts w:ascii="Palatino Linotype" w:eastAsia="Times New Roman" w:hAnsi="Palatino Linotype" w:cs="Times New Roman"/>
          <w:color w:val="000000" w:themeColor="text1"/>
          <w:sz w:val="22"/>
          <w:szCs w:val="22"/>
          <w:lang w:eastAsia="en-GB"/>
        </w:rPr>
        <w:t>0</w:t>
      </w:r>
      <w:r w:rsidR="0022661D" w:rsidRPr="0078109C">
        <w:rPr>
          <w:rFonts w:ascii="Palatino Linotype" w:eastAsia="Times New Roman" w:hAnsi="Palatino Linotype" w:cs="Times New Roman"/>
          <w:color w:val="000000" w:themeColor="text1"/>
          <w:sz w:val="22"/>
          <w:szCs w:val="22"/>
          <w:lang w:eastAsia="en-GB"/>
        </w:rPr>
        <w:t>,</w:t>
      </w:r>
      <w:r w:rsidRPr="0078109C">
        <w:rPr>
          <w:rFonts w:ascii="Palatino Linotype" w:eastAsia="Times New Roman" w:hAnsi="Palatino Linotype" w:cs="Times New Roman"/>
          <w:color w:val="000000" w:themeColor="text1"/>
          <w:sz w:val="22"/>
          <w:szCs w:val="22"/>
          <w:lang w:eastAsia="en-GB"/>
        </w:rPr>
        <w:t xml:space="preserve"> the Irish State </w:t>
      </w:r>
      <w:r w:rsidRPr="0078109C">
        <w:rPr>
          <w:rFonts w:ascii="Palatino Linotype" w:eastAsia="Times New Roman" w:hAnsi="Palatino Linotype" w:cs="Times New Roman"/>
          <w:color w:val="000000" w:themeColor="text1"/>
          <w:sz w:val="22"/>
          <w:szCs w:val="22"/>
          <w:lang w:eastAsia="en-GB"/>
        </w:rPr>
        <w:lastRenderedPageBreak/>
        <w:t>was</w:t>
      </w:r>
      <w:r w:rsidR="0022661D" w:rsidRPr="0078109C">
        <w:rPr>
          <w:rFonts w:ascii="Palatino Linotype" w:eastAsia="Times New Roman" w:hAnsi="Palatino Linotype" w:cs="Times New Roman"/>
          <w:color w:val="000000" w:themeColor="text1"/>
          <w:sz w:val="22"/>
          <w:szCs w:val="22"/>
          <w:lang w:eastAsia="en-GB"/>
        </w:rPr>
        <w:t xml:space="preserve"> swiftly</w:t>
      </w:r>
      <w:r w:rsidRPr="0078109C">
        <w:rPr>
          <w:rFonts w:ascii="Palatino Linotype" w:eastAsia="Times New Roman" w:hAnsi="Palatino Linotype" w:cs="Times New Roman"/>
          <w:color w:val="000000" w:themeColor="text1"/>
          <w:sz w:val="22"/>
          <w:szCs w:val="22"/>
          <w:lang w:eastAsia="en-GB"/>
        </w:rPr>
        <w:t xml:space="preserve"> able</w:t>
      </w:r>
      <w:r w:rsidR="00CF1A5A" w:rsidRPr="0078109C">
        <w:rPr>
          <w:rFonts w:ascii="Palatino Linotype" w:eastAsia="Times New Roman" w:hAnsi="Palatino Linotype" w:cs="Times New Roman"/>
          <w:color w:val="000000" w:themeColor="text1"/>
          <w:sz w:val="22"/>
          <w:szCs w:val="22"/>
          <w:lang w:eastAsia="en-GB"/>
        </w:rPr>
        <w:t xml:space="preserve"> to</w:t>
      </w:r>
      <w:r w:rsidRPr="0078109C">
        <w:rPr>
          <w:rFonts w:ascii="Palatino Linotype" w:eastAsia="Times New Roman" w:hAnsi="Palatino Linotype" w:cs="Times New Roman"/>
          <w:color w:val="000000" w:themeColor="text1"/>
          <w:sz w:val="22"/>
          <w:szCs w:val="22"/>
          <w:lang w:eastAsia="en-GB"/>
        </w:rPr>
        <w:t xml:space="preserve"> marry Hamiltonian qualities</w:t>
      </w:r>
      <w:r w:rsidR="009B0C46" w:rsidRPr="0078109C">
        <w:rPr>
          <w:rStyle w:val="FootnoteReference"/>
          <w:rFonts w:ascii="Palatino Linotype" w:eastAsia="Times New Roman" w:hAnsi="Palatino Linotype" w:cs="Times New Roman"/>
          <w:color w:val="000000" w:themeColor="text1"/>
          <w:sz w:val="22"/>
          <w:szCs w:val="22"/>
          <w:lang w:eastAsia="en-GB"/>
        </w:rPr>
        <w:footnoteReference w:id="9"/>
      </w:r>
      <w:r w:rsidRPr="0078109C">
        <w:rPr>
          <w:rFonts w:ascii="Palatino Linotype" w:eastAsia="Times New Roman" w:hAnsi="Palatino Linotype" w:cs="Times New Roman"/>
          <w:color w:val="000000" w:themeColor="text1"/>
          <w:sz w:val="22"/>
          <w:szCs w:val="22"/>
          <w:lang w:eastAsia="en-GB"/>
        </w:rPr>
        <w:t xml:space="preserve"> of dispatch, unity of purpose, and flexibility, with the </w:t>
      </w:r>
      <w:hyperlink r:id="rId8" w:history="1">
        <w:r w:rsidRPr="0078109C">
          <w:rPr>
            <w:rStyle w:val="Hyperlink"/>
            <w:rFonts w:ascii="Palatino Linotype" w:eastAsia="Times New Roman" w:hAnsi="Palatino Linotype" w:cs="Times New Roman"/>
            <w:color w:val="000000" w:themeColor="text1"/>
            <w:sz w:val="22"/>
            <w:szCs w:val="22"/>
            <w:u w:val="none"/>
            <w:lang w:eastAsia="en-GB"/>
          </w:rPr>
          <w:t>technocratic expertise</w:t>
        </w:r>
      </w:hyperlink>
      <w:r w:rsidRPr="0078109C">
        <w:rPr>
          <w:rFonts w:ascii="Palatino Linotype" w:eastAsia="Times New Roman" w:hAnsi="Palatino Linotype" w:cs="Times New Roman"/>
          <w:color w:val="000000" w:themeColor="text1"/>
          <w:sz w:val="22"/>
          <w:szCs w:val="22"/>
          <w:lang w:eastAsia="en-GB"/>
        </w:rPr>
        <w:t xml:space="preserve"> of its public health advisors</w:t>
      </w:r>
      <w:r w:rsidR="00E11CDC" w:rsidRPr="0078109C">
        <w:rPr>
          <w:rFonts w:ascii="Palatino Linotype" w:eastAsia="Times New Roman" w:hAnsi="Palatino Linotype" w:cs="Times New Roman"/>
          <w:color w:val="000000" w:themeColor="text1"/>
          <w:sz w:val="22"/>
          <w:szCs w:val="22"/>
          <w:lang w:eastAsia="en-GB"/>
        </w:rPr>
        <w:t xml:space="preserve"> and other civil servants</w:t>
      </w:r>
      <w:r w:rsidRPr="0078109C">
        <w:rPr>
          <w:rFonts w:ascii="Palatino Linotype" w:eastAsia="Times New Roman" w:hAnsi="Palatino Linotype" w:cs="Times New Roman"/>
          <w:color w:val="000000" w:themeColor="text1"/>
          <w:sz w:val="22"/>
          <w:szCs w:val="22"/>
          <w:lang w:eastAsia="en-GB"/>
        </w:rPr>
        <w:t xml:space="preserve"> to act to protect life, health, and socio-economic stability</w:t>
      </w:r>
      <w:r w:rsidR="00321FB8" w:rsidRPr="0078109C">
        <w:rPr>
          <w:rFonts w:ascii="Palatino Linotype" w:eastAsia="Times New Roman" w:hAnsi="Palatino Linotype" w:cs="Times New Roman"/>
          <w:color w:val="000000" w:themeColor="text1"/>
          <w:sz w:val="22"/>
          <w:szCs w:val="22"/>
          <w:lang w:eastAsia="en-GB"/>
        </w:rPr>
        <w:t xml:space="preserve">. </w:t>
      </w:r>
      <w:r w:rsidR="00A87C2A">
        <w:rPr>
          <w:rFonts w:ascii="Palatino Linotype" w:eastAsia="Times New Roman" w:hAnsi="Palatino Linotype" w:cs="Times New Roman"/>
          <w:color w:val="000000" w:themeColor="text1"/>
          <w:sz w:val="22"/>
          <w:szCs w:val="22"/>
          <w:lang w:eastAsia="en-GB"/>
        </w:rPr>
        <w:t>The legislature, despite not housing a government majority, passed robust emergency legislation quickly and with some scrutiny. The government utilised these powers decisively, and with consultation with relevant expert advisors. This is no small thing.</w:t>
      </w:r>
    </w:p>
    <w:p w14:paraId="271AEFF1" w14:textId="0110002C" w:rsidR="00CF1A5A" w:rsidRPr="0078109C" w:rsidRDefault="00A87C2A" w:rsidP="0078109C">
      <w:pPr>
        <w:spacing w:afterLines="120" w:after="288" w:line="360" w:lineRule="auto"/>
        <w:ind w:firstLine="720"/>
        <w:jc w:val="both"/>
        <w:rPr>
          <w:rFonts w:ascii="Palatino Linotype" w:eastAsia="Times New Roman" w:hAnsi="Palatino Linotype" w:cs="Times New Roman"/>
          <w:color w:val="000000" w:themeColor="text1"/>
          <w:sz w:val="22"/>
          <w:szCs w:val="22"/>
          <w:lang w:eastAsia="en-GB"/>
        </w:rPr>
      </w:pPr>
      <w:r>
        <w:rPr>
          <w:rFonts w:ascii="Palatino Linotype" w:eastAsia="Times New Roman" w:hAnsi="Palatino Linotype" w:cs="Times New Roman"/>
          <w:color w:val="000000" w:themeColor="text1"/>
          <w:sz w:val="22"/>
          <w:szCs w:val="22"/>
          <w:lang w:eastAsia="en-GB"/>
        </w:rPr>
        <w:t>We do not</w:t>
      </w:r>
      <w:r w:rsidR="009B0C46" w:rsidRPr="0078109C">
        <w:rPr>
          <w:rFonts w:ascii="Palatino Linotype" w:eastAsia="Times New Roman" w:hAnsi="Palatino Linotype" w:cs="Times New Roman"/>
          <w:color w:val="000000" w:themeColor="text1"/>
          <w:sz w:val="22"/>
          <w:szCs w:val="22"/>
          <w:lang w:eastAsia="en-GB"/>
        </w:rPr>
        <w:t>,</w:t>
      </w:r>
      <w:r>
        <w:rPr>
          <w:rFonts w:ascii="Palatino Linotype" w:eastAsia="Times New Roman" w:hAnsi="Palatino Linotype" w:cs="Times New Roman"/>
          <w:color w:val="000000" w:themeColor="text1"/>
          <w:sz w:val="22"/>
          <w:szCs w:val="22"/>
          <w:lang w:eastAsia="en-GB"/>
        </w:rPr>
        <w:t xml:space="preserve"> in making</w:t>
      </w:r>
      <w:r w:rsidR="009B0C46" w:rsidRPr="0078109C">
        <w:rPr>
          <w:rFonts w:ascii="Palatino Linotype" w:eastAsia="Times New Roman" w:hAnsi="Palatino Linotype" w:cs="Times New Roman"/>
          <w:color w:val="000000" w:themeColor="text1"/>
          <w:sz w:val="22"/>
          <w:szCs w:val="22"/>
          <w:lang w:eastAsia="en-GB"/>
        </w:rPr>
        <w:t xml:space="preserve"> t</w:t>
      </w:r>
      <w:r w:rsidR="00C471C2" w:rsidRPr="0078109C">
        <w:rPr>
          <w:rFonts w:ascii="Palatino Linotype" w:eastAsia="Times New Roman" w:hAnsi="Palatino Linotype" w:cs="Times New Roman"/>
          <w:color w:val="000000" w:themeColor="text1"/>
          <w:sz w:val="22"/>
          <w:szCs w:val="22"/>
          <w:lang w:eastAsia="en-GB"/>
        </w:rPr>
        <w:t>his</w:t>
      </w:r>
      <w:r w:rsidR="00321FB8" w:rsidRPr="0078109C">
        <w:rPr>
          <w:rFonts w:ascii="Palatino Linotype" w:eastAsia="Times New Roman" w:hAnsi="Palatino Linotype" w:cs="Times New Roman"/>
          <w:color w:val="000000" w:themeColor="text1"/>
          <w:sz w:val="22"/>
          <w:szCs w:val="22"/>
          <w:lang w:eastAsia="en-GB"/>
        </w:rPr>
        <w:t xml:space="preserve"> observation</w:t>
      </w:r>
      <w:r>
        <w:rPr>
          <w:rFonts w:ascii="Palatino Linotype" w:eastAsia="Times New Roman" w:hAnsi="Palatino Linotype" w:cs="Times New Roman"/>
          <w:color w:val="000000" w:themeColor="text1"/>
          <w:sz w:val="22"/>
          <w:szCs w:val="22"/>
          <w:lang w:eastAsia="en-GB"/>
        </w:rPr>
        <w:t>,</w:t>
      </w:r>
      <w:r w:rsidR="00C471C2" w:rsidRPr="0078109C">
        <w:rPr>
          <w:rFonts w:ascii="Palatino Linotype" w:eastAsia="Times New Roman" w:hAnsi="Palatino Linotype" w:cs="Times New Roman"/>
          <w:color w:val="000000" w:themeColor="text1"/>
          <w:sz w:val="22"/>
          <w:szCs w:val="22"/>
          <w:lang w:eastAsia="en-GB"/>
        </w:rPr>
        <w:t xml:space="preserve"> </w:t>
      </w:r>
      <w:r>
        <w:rPr>
          <w:rFonts w:ascii="Palatino Linotype" w:eastAsia="Times New Roman" w:hAnsi="Palatino Linotype" w:cs="Times New Roman"/>
          <w:color w:val="000000" w:themeColor="text1"/>
          <w:sz w:val="22"/>
          <w:szCs w:val="22"/>
          <w:lang w:eastAsia="en-GB"/>
        </w:rPr>
        <w:t xml:space="preserve">specifically </w:t>
      </w:r>
      <w:r w:rsidR="00C471C2" w:rsidRPr="0078109C">
        <w:rPr>
          <w:rFonts w:ascii="Palatino Linotype" w:eastAsia="Times New Roman" w:hAnsi="Palatino Linotype" w:cs="Times New Roman"/>
          <w:color w:val="000000" w:themeColor="text1"/>
          <w:sz w:val="22"/>
          <w:szCs w:val="22"/>
          <w:lang w:eastAsia="en-GB"/>
        </w:rPr>
        <w:t xml:space="preserve">endorse </w:t>
      </w:r>
      <w:r>
        <w:rPr>
          <w:rFonts w:ascii="Palatino Linotype" w:eastAsia="Times New Roman" w:hAnsi="Palatino Linotype" w:cs="Times New Roman"/>
          <w:color w:val="000000" w:themeColor="text1"/>
          <w:sz w:val="22"/>
          <w:szCs w:val="22"/>
          <w:lang w:eastAsia="en-GB"/>
        </w:rPr>
        <w:t xml:space="preserve">the </w:t>
      </w:r>
      <w:r w:rsidR="00321FB8" w:rsidRPr="0078109C">
        <w:rPr>
          <w:rFonts w:ascii="Palatino Linotype" w:eastAsia="Times New Roman" w:hAnsi="Palatino Linotype" w:cs="Times New Roman"/>
          <w:color w:val="000000" w:themeColor="text1"/>
          <w:sz w:val="22"/>
          <w:szCs w:val="22"/>
          <w:lang w:eastAsia="en-GB"/>
        </w:rPr>
        <w:t>choices</w:t>
      </w:r>
      <w:r w:rsidR="00C471C2" w:rsidRPr="0078109C">
        <w:rPr>
          <w:rFonts w:ascii="Palatino Linotype" w:eastAsia="Times New Roman" w:hAnsi="Palatino Linotype" w:cs="Times New Roman"/>
          <w:color w:val="000000" w:themeColor="text1"/>
          <w:sz w:val="22"/>
          <w:szCs w:val="22"/>
          <w:lang w:eastAsia="en-GB"/>
        </w:rPr>
        <w:t xml:space="preserve"> made by the State </w:t>
      </w:r>
      <w:r>
        <w:rPr>
          <w:rFonts w:ascii="Palatino Linotype" w:eastAsia="Times New Roman" w:hAnsi="Palatino Linotype" w:cs="Times New Roman"/>
          <w:color w:val="000000" w:themeColor="text1"/>
          <w:sz w:val="22"/>
          <w:szCs w:val="22"/>
          <w:lang w:eastAsia="en-GB"/>
        </w:rPr>
        <w:t>and/</w:t>
      </w:r>
      <w:r w:rsidR="00C471C2" w:rsidRPr="0078109C">
        <w:rPr>
          <w:rFonts w:ascii="Palatino Linotype" w:eastAsia="Times New Roman" w:hAnsi="Palatino Linotype" w:cs="Times New Roman"/>
          <w:color w:val="000000" w:themeColor="text1"/>
          <w:sz w:val="22"/>
          <w:szCs w:val="22"/>
          <w:lang w:eastAsia="en-GB"/>
        </w:rPr>
        <w:t xml:space="preserve">or its technocratic advisors as </w:t>
      </w:r>
      <w:r w:rsidR="009B0C46" w:rsidRPr="0078109C">
        <w:rPr>
          <w:rFonts w:ascii="Palatino Linotype" w:eastAsia="Times New Roman" w:hAnsi="Palatino Linotype" w:cs="Times New Roman"/>
          <w:color w:val="000000" w:themeColor="text1"/>
          <w:sz w:val="22"/>
          <w:szCs w:val="22"/>
          <w:lang w:eastAsia="en-GB"/>
        </w:rPr>
        <w:t>compared to</w:t>
      </w:r>
      <w:r w:rsidR="00321FB8" w:rsidRPr="0078109C">
        <w:rPr>
          <w:rFonts w:ascii="Palatino Linotype" w:eastAsia="Times New Roman" w:hAnsi="Palatino Linotype" w:cs="Times New Roman"/>
          <w:color w:val="000000" w:themeColor="text1"/>
          <w:sz w:val="22"/>
          <w:szCs w:val="22"/>
          <w:lang w:eastAsia="en-GB"/>
        </w:rPr>
        <w:t xml:space="preserve"> </w:t>
      </w:r>
      <w:r w:rsidR="00E11CDC" w:rsidRPr="0078109C">
        <w:rPr>
          <w:rFonts w:ascii="Palatino Linotype" w:eastAsia="Times New Roman" w:hAnsi="Palatino Linotype" w:cs="Times New Roman"/>
          <w:color w:val="000000" w:themeColor="text1"/>
          <w:sz w:val="22"/>
          <w:szCs w:val="22"/>
          <w:lang w:eastAsia="en-GB"/>
        </w:rPr>
        <w:t>possible</w:t>
      </w:r>
      <w:r w:rsidR="009B0C46" w:rsidRPr="0078109C">
        <w:rPr>
          <w:rFonts w:ascii="Palatino Linotype" w:eastAsia="Times New Roman" w:hAnsi="Palatino Linotype" w:cs="Times New Roman"/>
          <w:color w:val="000000" w:themeColor="text1"/>
          <w:sz w:val="22"/>
          <w:szCs w:val="22"/>
          <w:lang w:eastAsia="en-GB"/>
        </w:rPr>
        <w:t xml:space="preserve"> alternative</w:t>
      </w:r>
      <w:r>
        <w:rPr>
          <w:rFonts w:ascii="Palatino Linotype" w:eastAsia="Times New Roman" w:hAnsi="Palatino Linotype" w:cs="Times New Roman"/>
          <w:color w:val="000000" w:themeColor="text1"/>
          <w:sz w:val="22"/>
          <w:szCs w:val="22"/>
          <w:lang w:eastAsia="en-GB"/>
        </w:rPr>
        <w:t xml:space="preserve"> measures or strategies</w:t>
      </w:r>
      <w:r w:rsidR="00CF1A5A" w:rsidRPr="0078109C">
        <w:rPr>
          <w:rFonts w:ascii="Palatino Linotype" w:eastAsia="Times New Roman" w:hAnsi="Palatino Linotype" w:cs="Times New Roman"/>
          <w:color w:val="000000" w:themeColor="text1"/>
          <w:sz w:val="22"/>
          <w:szCs w:val="22"/>
          <w:lang w:eastAsia="en-GB"/>
        </w:rPr>
        <w:t xml:space="preserve">. </w:t>
      </w:r>
      <w:r>
        <w:rPr>
          <w:rFonts w:ascii="Palatino Linotype" w:eastAsia="Times New Roman" w:hAnsi="Palatino Linotype" w:cs="Times New Roman"/>
          <w:color w:val="000000" w:themeColor="text1"/>
          <w:sz w:val="22"/>
          <w:szCs w:val="22"/>
          <w:lang w:eastAsia="en-GB"/>
        </w:rPr>
        <w:t xml:space="preserve">Rather, </w:t>
      </w:r>
      <w:r w:rsidR="009B0C46" w:rsidRPr="0078109C">
        <w:rPr>
          <w:rFonts w:ascii="Palatino Linotype" w:eastAsia="Times New Roman" w:hAnsi="Palatino Linotype" w:cs="Times New Roman"/>
          <w:color w:val="000000" w:themeColor="text1"/>
          <w:sz w:val="22"/>
          <w:szCs w:val="22"/>
          <w:lang w:eastAsia="en-GB"/>
        </w:rPr>
        <w:t>the</w:t>
      </w:r>
      <w:r w:rsidR="00CF1A5A" w:rsidRPr="0078109C">
        <w:rPr>
          <w:rFonts w:ascii="Palatino Linotype" w:eastAsia="Times New Roman" w:hAnsi="Palatino Linotype" w:cs="Times New Roman"/>
          <w:color w:val="000000" w:themeColor="text1"/>
          <w:sz w:val="22"/>
          <w:szCs w:val="22"/>
          <w:lang w:eastAsia="en-GB"/>
        </w:rPr>
        <w:t xml:space="preserve"> readiness and willingness</w:t>
      </w:r>
      <w:r w:rsidR="001F3327" w:rsidRPr="0078109C">
        <w:rPr>
          <w:rFonts w:ascii="Palatino Linotype" w:eastAsia="Times New Roman" w:hAnsi="Palatino Linotype" w:cs="Times New Roman"/>
          <w:color w:val="000000" w:themeColor="text1"/>
          <w:sz w:val="22"/>
          <w:szCs w:val="22"/>
          <w:lang w:eastAsia="en-GB"/>
        </w:rPr>
        <w:t xml:space="preserve"> of the executive</w:t>
      </w:r>
      <w:r w:rsidR="009B0C46" w:rsidRPr="0078109C">
        <w:rPr>
          <w:rFonts w:ascii="Palatino Linotype" w:eastAsia="Times New Roman" w:hAnsi="Palatino Linotype" w:cs="Times New Roman"/>
          <w:color w:val="000000" w:themeColor="text1"/>
          <w:sz w:val="22"/>
          <w:szCs w:val="22"/>
          <w:lang w:eastAsia="en-GB"/>
        </w:rPr>
        <w:t xml:space="preserve"> branch</w:t>
      </w:r>
      <w:r w:rsidR="00CF1A5A" w:rsidRPr="0078109C">
        <w:rPr>
          <w:rFonts w:ascii="Palatino Linotype" w:eastAsia="Times New Roman" w:hAnsi="Palatino Linotype" w:cs="Times New Roman"/>
          <w:color w:val="000000" w:themeColor="text1"/>
          <w:sz w:val="22"/>
          <w:szCs w:val="22"/>
          <w:lang w:eastAsia="en-GB"/>
        </w:rPr>
        <w:t xml:space="preserve"> to</w:t>
      </w:r>
      <w:r w:rsidR="009B0C46" w:rsidRPr="0078109C">
        <w:rPr>
          <w:rFonts w:ascii="Palatino Linotype" w:eastAsia="Times New Roman" w:hAnsi="Palatino Linotype" w:cs="Times New Roman"/>
          <w:color w:val="000000" w:themeColor="text1"/>
          <w:sz w:val="22"/>
          <w:szCs w:val="22"/>
          <w:lang w:eastAsia="en-GB"/>
        </w:rPr>
        <w:t xml:space="preserve"> swiftly</w:t>
      </w:r>
      <w:r w:rsidR="00CF1A5A" w:rsidRPr="0078109C">
        <w:rPr>
          <w:rFonts w:ascii="Palatino Linotype" w:eastAsia="Times New Roman" w:hAnsi="Palatino Linotype" w:cs="Times New Roman"/>
          <w:color w:val="000000" w:themeColor="text1"/>
          <w:sz w:val="22"/>
          <w:szCs w:val="22"/>
          <w:lang w:eastAsia="en-GB"/>
        </w:rPr>
        <w:t xml:space="preserve"> act in good faith for the common good</w:t>
      </w:r>
      <w:r>
        <w:rPr>
          <w:rFonts w:ascii="Palatino Linotype" w:eastAsia="Times New Roman" w:hAnsi="Palatino Linotype" w:cs="Times New Roman"/>
          <w:color w:val="000000" w:themeColor="text1"/>
          <w:sz w:val="22"/>
          <w:szCs w:val="22"/>
          <w:lang w:eastAsia="en-GB"/>
        </w:rPr>
        <w:t>—</w:t>
      </w:r>
      <w:r w:rsidR="00CF1A5A" w:rsidRPr="0078109C">
        <w:rPr>
          <w:rFonts w:ascii="Palatino Linotype" w:eastAsia="Times New Roman" w:hAnsi="Palatino Linotype" w:cs="Times New Roman"/>
          <w:color w:val="000000" w:themeColor="text1"/>
          <w:sz w:val="22"/>
          <w:szCs w:val="22"/>
          <w:lang w:eastAsia="en-GB"/>
        </w:rPr>
        <w:t>with due regard for expert advice</w:t>
      </w:r>
      <w:r>
        <w:rPr>
          <w:rFonts w:ascii="Palatino Linotype" w:eastAsia="Times New Roman" w:hAnsi="Palatino Linotype" w:cs="Times New Roman"/>
          <w:color w:val="000000" w:themeColor="text1"/>
          <w:sz w:val="22"/>
          <w:szCs w:val="22"/>
          <w:lang w:eastAsia="en-GB"/>
        </w:rPr>
        <w:t>—</w:t>
      </w:r>
      <w:r w:rsidR="00C471C2" w:rsidRPr="0078109C">
        <w:rPr>
          <w:rFonts w:ascii="Palatino Linotype" w:eastAsia="Times New Roman" w:hAnsi="Palatino Linotype" w:cs="Times New Roman"/>
          <w:color w:val="000000" w:themeColor="text1"/>
          <w:sz w:val="22"/>
          <w:szCs w:val="22"/>
          <w:lang w:eastAsia="en-GB"/>
        </w:rPr>
        <w:t xml:space="preserve">is </w:t>
      </w:r>
      <w:r>
        <w:rPr>
          <w:rFonts w:ascii="Palatino Linotype" w:eastAsia="Times New Roman" w:hAnsi="Palatino Linotype" w:cs="Times New Roman"/>
          <w:color w:val="000000" w:themeColor="text1"/>
          <w:sz w:val="22"/>
          <w:szCs w:val="22"/>
          <w:lang w:eastAsia="en-GB"/>
        </w:rPr>
        <w:t>laudable compared with some of its comparators</w:t>
      </w:r>
      <w:r w:rsidR="00C471C2" w:rsidRPr="0078109C">
        <w:rPr>
          <w:rFonts w:ascii="Palatino Linotype" w:eastAsia="Times New Roman" w:hAnsi="Palatino Linotype" w:cs="Times New Roman"/>
          <w:color w:val="000000" w:themeColor="text1"/>
          <w:sz w:val="22"/>
          <w:szCs w:val="22"/>
          <w:lang w:eastAsia="en-GB"/>
        </w:rPr>
        <w:t xml:space="preserve">. </w:t>
      </w:r>
      <w:r w:rsidR="00C471C2" w:rsidRPr="0078109C">
        <w:rPr>
          <w:rFonts w:ascii="Palatino Linotype" w:hAnsi="Palatino Linotype" w:cs="Times New Roman"/>
          <w:color w:val="000000" w:themeColor="text1"/>
          <w:sz w:val="22"/>
          <w:szCs w:val="22"/>
        </w:rPr>
        <w:t>Some executives</w:t>
      </w:r>
      <w:r w:rsidR="00FC2DEE" w:rsidRPr="0078109C">
        <w:rPr>
          <w:rFonts w:ascii="Palatino Linotype" w:hAnsi="Palatino Linotype" w:cs="Times New Roman"/>
          <w:color w:val="000000" w:themeColor="text1"/>
          <w:sz w:val="22"/>
          <w:szCs w:val="22"/>
        </w:rPr>
        <w:t xml:space="preserve"> </w:t>
      </w:r>
      <w:r w:rsidR="00C471C2" w:rsidRPr="0078109C">
        <w:rPr>
          <w:rFonts w:ascii="Palatino Linotype" w:hAnsi="Palatino Linotype" w:cs="Times New Roman"/>
          <w:color w:val="000000" w:themeColor="text1"/>
          <w:sz w:val="22"/>
          <w:szCs w:val="22"/>
        </w:rPr>
        <w:t>took a distinctly hands-off</w:t>
      </w:r>
      <w:r w:rsidR="009B0C46" w:rsidRPr="0078109C">
        <w:rPr>
          <w:rFonts w:ascii="Palatino Linotype" w:hAnsi="Palatino Linotype" w:cs="Times New Roman"/>
          <w:color w:val="000000" w:themeColor="text1"/>
          <w:sz w:val="22"/>
          <w:szCs w:val="22"/>
        </w:rPr>
        <w:t xml:space="preserve"> and casual</w:t>
      </w:r>
      <w:r w:rsidR="00C471C2" w:rsidRPr="0078109C">
        <w:rPr>
          <w:rFonts w:ascii="Palatino Linotype" w:hAnsi="Palatino Linotype" w:cs="Times New Roman"/>
          <w:color w:val="000000" w:themeColor="text1"/>
          <w:sz w:val="22"/>
          <w:szCs w:val="22"/>
        </w:rPr>
        <w:t xml:space="preserve"> approach to tackling the virus and its fallout. Professor</w:t>
      </w:r>
      <w:r w:rsidR="009B0C46" w:rsidRPr="0078109C">
        <w:rPr>
          <w:rFonts w:ascii="Palatino Linotype" w:hAnsi="Palatino Linotype" w:cs="Times New Roman"/>
          <w:color w:val="000000" w:themeColor="text1"/>
          <w:sz w:val="22"/>
          <w:szCs w:val="22"/>
        </w:rPr>
        <w:t>s</w:t>
      </w:r>
      <w:r w:rsidR="00C471C2" w:rsidRPr="0078109C">
        <w:rPr>
          <w:rFonts w:ascii="Palatino Linotype" w:hAnsi="Palatino Linotype" w:cs="Times New Roman"/>
          <w:color w:val="000000" w:themeColor="text1"/>
          <w:sz w:val="22"/>
          <w:szCs w:val="22"/>
        </w:rPr>
        <w:t xml:space="preserve"> </w:t>
      </w:r>
      <w:proofErr w:type="spellStart"/>
      <w:r w:rsidR="00C471C2" w:rsidRPr="0078109C">
        <w:rPr>
          <w:rFonts w:ascii="Palatino Linotype" w:eastAsia="Times New Roman" w:hAnsi="Palatino Linotype" w:cs="Times New Roman"/>
          <w:color w:val="000000" w:themeColor="text1"/>
          <w:sz w:val="22"/>
          <w:szCs w:val="22"/>
          <w:lang w:eastAsia="en-GB"/>
        </w:rPr>
        <w:t>Pozen</w:t>
      </w:r>
      <w:proofErr w:type="spellEnd"/>
      <w:r w:rsidR="00C471C2" w:rsidRPr="0078109C">
        <w:rPr>
          <w:rFonts w:ascii="Palatino Linotype" w:eastAsia="Times New Roman" w:hAnsi="Palatino Linotype" w:cs="Times New Roman"/>
          <w:color w:val="000000" w:themeColor="text1"/>
          <w:sz w:val="22"/>
          <w:szCs w:val="22"/>
          <w:lang w:eastAsia="en-GB"/>
        </w:rPr>
        <w:t xml:space="preserve"> and Schepple have highlighted the dangers of </w:t>
      </w:r>
      <w:r w:rsidR="009B0C46" w:rsidRPr="0078109C">
        <w:rPr>
          <w:rFonts w:ascii="Palatino Linotype" w:eastAsia="Times New Roman" w:hAnsi="Palatino Linotype" w:cs="Times New Roman"/>
          <w:color w:val="000000" w:themeColor="text1"/>
          <w:sz w:val="22"/>
          <w:szCs w:val="22"/>
          <w:lang w:eastAsia="en-GB"/>
        </w:rPr>
        <w:t xml:space="preserve">what they call </w:t>
      </w:r>
      <w:r w:rsidR="00C471C2" w:rsidRPr="0078109C">
        <w:rPr>
          <w:rFonts w:ascii="Palatino Linotype" w:eastAsia="Times New Roman" w:hAnsi="Palatino Linotype" w:cs="Times New Roman"/>
          <w:color w:val="000000" w:themeColor="text1"/>
          <w:sz w:val="22"/>
          <w:szCs w:val="22"/>
          <w:lang w:eastAsia="en-GB"/>
        </w:rPr>
        <w:t>‘executive underreach’; “</w:t>
      </w:r>
      <w:r w:rsidR="00C471C2" w:rsidRPr="0078109C">
        <w:rPr>
          <w:rFonts w:ascii="Palatino Linotype" w:hAnsi="Palatino Linotype" w:cs="Times New Roman"/>
          <w:color w:val="000000" w:themeColor="text1"/>
          <w:sz w:val="22"/>
          <w:szCs w:val="22"/>
        </w:rPr>
        <w:t xml:space="preserve">a national executive branch’s </w:t>
      </w:r>
      <w:proofErr w:type="spellStart"/>
      <w:r w:rsidR="00C471C2" w:rsidRPr="0078109C">
        <w:rPr>
          <w:rFonts w:ascii="Palatino Linotype" w:hAnsi="Palatino Linotype" w:cs="Times New Roman"/>
          <w:color w:val="000000" w:themeColor="text1"/>
          <w:sz w:val="22"/>
          <w:szCs w:val="22"/>
        </w:rPr>
        <w:t>willful</w:t>
      </w:r>
      <w:proofErr w:type="spellEnd"/>
      <w:r w:rsidR="00C471C2" w:rsidRPr="0078109C">
        <w:rPr>
          <w:rFonts w:ascii="Palatino Linotype" w:hAnsi="Palatino Linotype" w:cs="Times New Roman"/>
          <w:color w:val="000000" w:themeColor="text1"/>
          <w:sz w:val="22"/>
          <w:szCs w:val="22"/>
        </w:rPr>
        <w:t xml:space="preserve"> failure to address a significant public problem that the executive is legally and functionally equipped (though not necessarily legally required) to address.”</w:t>
      </w:r>
      <w:r w:rsidR="00C471C2" w:rsidRPr="0078109C">
        <w:rPr>
          <w:rStyle w:val="FootnoteReference"/>
          <w:rFonts w:ascii="Palatino Linotype" w:hAnsi="Palatino Linotype" w:cs="Times New Roman"/>
          <w:color w:val="000000" w:themeColor="text1"/>
          <w:sz w:val="22"/>
          <w:szCs w:val="22"/>
        </w:rPr>
        <w:footnoteReference w:id="10"/>
      </w:r>
      <w:r w:rsidR="00CF1A5A" w:rsidRPr="0078109C">
        <w:rPr>
          <w:rFonts w:ascii="Palatino Linotype" w:hAnsi="Palatino Linotype" w:cs="Times New Roman"/>
          <w:color w:val="000000" w:themeColor="text1"/>
          <w:sz w:val="22"/>
          <w:szCs w:val="22"/>
        </w:rPr>
        <w:t xml:space="preserve"> This underreach</w:t>
      </w:r>
      <w:r>
        <w:rPr>
          <w:rFonts w:ascii="Palatino Linotype" w:hAnsi="Palatino Linotype" w:cs="Times New Roman"/>
          <w:color w:val="000000" w:themeColor="text1"/>
          <w:sz w:val="22"/>
          <w:szCs w:val="22"/>
        </w:rPr>
        <w:t xml:space="preserve"> </w:t>
      </w:r>
      <w:r w:rsidR="00E11CDC" w:rsidRPr="0078109C">
        <w:rPr>
          <w:rFonts w:ascii="Palatino Linotype" w:hAnsi="Palatino Linotype" w:cs="Times New Roman"/>
          <w:color w:val="000000" w:themeColor="text1"/>
          <w:sz w:val="22"/>
          <w:szCs w:val="22"/>
        </w:rPr>
        <w:t xml:space="preserve">often </w:t>
      </w:r>
      <w:r w:rsidR="00CF1A5A" w:rsidRPr="0078109C">
        <w:rPr>
          <w:rFonts w:ascii="Palatino Linotype" w:hAnsi="Palatino Linotype" w:cs="Times New Roman"/>
          <w:color w:val="000000" w:themeColor="text1"/>
          <w:sz w:val="22"/>
          <w:szCs w:val="22"/>
        </w:rPr>
        <w:t>came at a</w:t>
      </w:r>
      <w:r w:rsidR="009B0C46" w:rsidRPr="0078109C">
        <w:rPr>
          <w:rFonts w:ascii="Palatino Linotype" w:hAnsi="Palatino Linotype" w:cs="Times New Roman"/>
          <w:color w:val="000000" w:themeColor="text1"/>
          <w:sz w:val="22"/>
          <w:szCs w:val="22"/>
        </w:rPr>
        <w:t xml:space="preserve"> very</w:t>
      </w:r>
      <w:r w:rsidR="00CF1A5A" w:rsidRPr="0078109C">
        <w:rPr>
          <w:rFonts w:ascii="Palatino Linotype" w:hAnsi="Palatino Linotype" w:cs="Times New Roman"/>
          <w:color w:val="000000" w:themeColor="text1"/>
          <w:sz w:val="22"/>
          <w:szCs w:val="22"/>
        </w:rPr>
        <w:t xml:space="preserve"> </w:t>
      </w:r>
      <w:r w:rsidR="009B0C46" w:rsidRPr="0078109C">
        <w:rPr>
          <w:rFonts w:ascii="Palatino Linotype" w:hAnsi="Palatino Linotype" w:cs="Times New Roman"/>
          <w:color w:val="000000" w:themeColor="text1"/>
          <w:sz w:val="22"/>
          <w:szCs w:val="22"/>
        </w:rPr>
        <w:t>steep</w:t>
      </w:r>
      <w:r w:rsidR="00CF1A5A" w:rsidRPr="0078109C">
        <w:rPr>
          <w:rFonts w:ascii="Palatino Linotype" w:hAnsi="Palatino Linotype" w:cs="Times New Roman"/>
          <w:color w:val="000000" w:themeColor="text1"/>
          <w:sz w:val="22"/>
          <w:szCs w:val="22"/>
        </w:rPr>
        <w:t xml:space="preserve"> cost in terms of lives and public health. The</w:t>
      </w:r>
      <w:r w:rsidR="00BB1F38" w:rsidRPr="0078109C">
        <w:rPr>
          <w:rFonts w:ascii="Palatino Linotype" w:hAnsi="Palatino Linotype" w:cs="Times New Roman"/>
          <w:color w:val="000000" w:themeColor="text1"/>
          <w:sz w:val="22"/>
          <w:szCs w:val="22"/>
        </w:rPr>
        <w:t xml:space="preserve"> capacity </w:t>
      </w:r>
      <w:r w:rsidR="009234CC">
        <w:rPr>
          <w:rFonts w:ascii="Palatino Linotype" w:hAnsi="Palatino Linotype" w:cs="Times New Roman"/>
          <w:color w:val="000000" w:themeColor="text1"/>
          <w:sz w:val="22"/>
          <w:szCs w:val="22"/>
        </w:rPr>
        <w:t xml:space="preserve">and willingness </w:t>
      </w:r>
      <w:r w:rsidR="00CF1A5A" w:rsidRPr="0078109C">
        <w:rPr>
          <w:rFonts w:ascii="Palatino Linotype" w:hAnsi="Palatino Linotype" w:cs="Times New Roman"/>
          <w:color w:val="000000" w:themeColor="text1"/>
          <w:sz w:val="22"/>
          <w:szCs w:val="22"/>
        </w:rPr>
        <w:t>of our constitutional institutions to act is</w:t>
      </w:r>
      <w:r w:rsidR="00E11CDC" w:rsidRPr="0078109C">
        <w:rPr>
          <w:rFonts w:ascii="Palatino Linotype" w:hAnsi="Palatino Linotype" w:cs="Times New Roman"/>
          <w:color w:val="000000" w:themeColor="text1"/>
          <w:sz w:val="22"/>
          <w:szCs w:val="22"/>
        </w:rPr>
        <w:t xml:space="preserve"> therefore</w:t>
      </w:r>
      <w:r w:rsidR="00CF1A5A" w:rsidRPr="0078109C">
        <w:rPr>
          <w:rFonts w:ascii="Palatino Linotype" w:hAnsi="Palatino Linotype" w:cs="Times New Roman"/>
          <w:color w:val="000000" w:themeColor="text1"/>
          <w:sz w:val="22"/>
          <w:szCs w:val="22"/>
        </w:rPr>
        <w:t xml:space="preserve"> </w:t>
      </w:r>
      <w:r w:rsidR="00FC2DEE" w:rsidRPr="0078109C">
        <w:rPr>
          <w:rFonts w:ascii="Palatino Linotype" w:hAnsi="Palatino Linotype" w:cs="Times New Roman"/>
          <w:color w:val="000000" w:themeColor="text1"/>
          <w:sz w:val="22"/>
          <w:szCs w:val="22"/>
        </w:rPr>
        <w:t>worth</w:t>
      </w:r>
      <w:r w:rsidR="00CF1A5A" w:rsidRPr="0078109C">
        <w:rPr>
          <w:rFonts w:ascii="Palatino Linotype" w:hAnsi="Palatino Linotype" w:cs="Times New Roman"/>
          <w:color w:val="000000" w:themeColor="text1"/>
          <w:sz w:val="22"/>
          <w:szCs w:val="22"/>
        </w:rPr>
        <w:t xml:space="preserve"> </w:t>
      </w:r>
      <w:r w:rsidR="00FC2DEE" w:rsidRPr="0078109C">
        <w:rPr>
          <w:rFonts w:ascii="Palatino Linotype" w:hAnsi="Palatino Linotype" w:cs="Times New Roman"/>
          <w:color w:val="000000" w:themeColor="text1"/>
          <w:sz w:val="22"/>
          <w:szCs w:val="22"/>
        </w:rPr>
        <w:t>valuing</w:t>
      </w:r>
      <w:r w:rsidR="00CF1A5A" w:rsidRPr="0078109C">
        <w:rPr>
          <w:rFonts w:ascii="Palatino Linotype" w:hAnsi="Palatino Linotype" w:cs="Times New Roman"/>
          <w:color w:val="000000" w:themeColor="text1"/>
          <w:sz w:val="22"/>
          <w:szCs w:val="22"/>
        </w:rPr>
        <w:t xml:space="preserve">. </w:t>
      </w:r>
      <w:r w:rsidR="00E05C5D" w:rsidRPr="0078109C">
        <w:rPr>
          <w:rFonts w:ascii="Palatino Linotype" w:hAnsi="Palatino Linotype" w:cs="Times New Roman"/>
          <w:color w:val="000000" w:themeColor="text1"/>
          <w:sz w:val="22"/>
          <w:szCs w:val="22"/>
        </w:rPr>
        <w:t>Absent the</w:t>
      </w:r>
      <w:r w:rsidR="00CF1A5A" w:rsidRPr="0078109C">
        <w:rPr>
          <w:rFonts w:ascii="Palatino Linotype" w:hAnsi="Palatino Linotype" w:cs="Times New Roman"/>
          <w:color w:val="000000" w:themeColor="text1"/>
          <w:sz w:val="22"/>
          <w:szCs w:val="22"/>
        </w:rPr>
        <w:t xml:space="preserve"> </w:t>
      </w:r>
      <w:r w:rsidR="00E05C5D" w:rsidRPr="0078109C">
        <w:rPr>
          <w:rFonts w:ascii="Palatino Linotype" w:hAnsi="Palatino Linotype" w:cs="Times New Roman"/>
          <w:color w:val="000000" w:themeColor="text1"/>
          <w:sz w:val="22"/>
          <w:szCs w:val="22"/>
        </w:rPr>
        <w:t>Government’s spearheading and co-ordinating of the communit</w:t>
      </w:r>
      <w:r>
        <w:rPr>
          <w:rFonts w:ascii="Palatino Linotype" w:hAnsi="Palatino Linotype" w:cs="Times New Roman"/>
          <w:color w:val="000000" w:themeColor="text1"/>
          <w:sz w:val="22"/>
          <w:szCs w:val="22"/>
        </w:rPr>
        <w:t>y</w:t>
      </w:r>
      <w:r w:rsidR="00E05C5D" w:rsidRPr="0078109C">
        <w:rPr>
          <w:rFonts w:ascii="Palatino Linotype" w:hAnsi="Palatino Linotype" w:cs="Times New Roman"/>
          <w:color w:val="000000" w:themeColor="text1"/>
          <w:sz w:val="22"/>
          <w:szCs w:val="22"/>
        </w:rPr>
        <w:t>’</w:t>
      </w:r>
      <w:r>
        <w:rPr>
          <w:rFonts w:ascii="Palatino Linotype" w:hAnsi="Palatino Linotype" w:cs="Times New Roman"/>
          <w:color w:val="000000" w:themeColor="text1"/>
          <w:sz w:val="22"/>
          <w:szCs w:val="22"/>
        </w:rPr>
        <w:t>s</w:t>
      </w:r>
      <w:r w:rsidR="00CF1A5A" w:rsidRPr="0078109C">
        <w:rPr>
          <w:rFonts w:ascii="Palatino Linotype" w:hAnsi="Palatino Linotype" w:cs="Times New Roman"/>
          <w:color w:val="000000" w:themeColor="text1"/>
          <w:sz w:val="22"/>
          <w:szCs w:val="22"/>
        </w:rPr>
        <w:t xml:space="preserve"> response to the virus</w:t>
      </w:r>
      <w:r w:rsidR="00E05C5D" w:rsidRPr="0078109C">
        <w:rPr>
          <w:rFonts w:ascii="Palatino Linotype" w:hAnsi="Palatino Linotype" w:cs="Times New Roman"/>
          <w:color w:val="000000" w:themeColor="text1"/>
          <w:sz w:val="22"/>
          <w:szCs w:val="22"/>
        </w:rPr>
        <w:t xml:space="preserve"> (</w:t>
      </w:r>
      <w:r w:rsidR="009B0C46" w:rsidRPr="0078109C">
        <w:rPr>
          <w:rFonts w:ascii="Palatino Linotype" w:hAnsi="Palatino Linotype" w:cs="Times New Roman"/>
          <w:color w:val="000000" w:themeColor="text1"/>
          <w:sz w:val="22"/>
          <w:szCs w:val="22"/>
        </w:rPr>
        <w:t>whatever its flaws</w:t>
      </w:r>
      <w:r w:rsidR="00E05C5D" w:rsidRPr="0078109C">
        <w:rPr>
          <w:rFonts w:ascii="Palatino Linotype" w:hAnsi="Palatino Linotype" w:cs="Times New Roman"/>
          <w:color w:val="000000" w:themeColor="text1"/>
          <w:sz w:val="22"/>
          <w:szCs w:val="22"/>
        </w:rPr>
        <w:t>)</w:t>
      </w:r>
      <w:r>
        <w:rPr>
          <w:rFonts w:ascii="Palatino Linotype" w:hAnsi="Palatino Linotype" w:cs="Times New Roman"/>
          <w:color w:val="000000" w:themeColor="text1"/>
          <w:sz w:val="22"/>
          <w:szCs w:val="22"/>
        </w:rPr>
        <w:t>,</w:t>
      </w:r>
      <w:r w:rsidR="00CF1A5A" w:rsidRPr="0078109C">
        <w:rPr>
          <w:rFonts w:ascii="Palatino Linotype" w:hAnsi="Palatino Linotype" w:cs="Times New Roman"/>
          <w:color w:val="000000" w:themeColor="text1"/>
          <w:sz w:val="22"/>
          <w:szCs w:val="22"/>
        </w:rPr>
        <w:t xml:space="preserve"> the cost in lives and to </w:t>
      </w:r>
      <w:r w:rsidR="00BB1F38" w:rsidRPr="0078109C">
        <w:rPr>
          <w:rFonts w:ascii="Palatino Linotype" w:hAnsi="Palatino Linotype" w:cs="Times New Roman"/>
          <w:color w:val="000000" w:themeColor="text1"/>
          <w:sz w:val="22"/>
          <w:szCs w:val="22"/>
        </w:rPr>
        <w:t>social stability</w:t>
      </w:r>
      <w:r w:rsidR="00CF1A5A" w:rsidRPr="0078109C">
        <w:rPr>
          <w:rFonts w:ascii="Palatino Linotype" w:hAnsi="Palatino Linotype" w:cs="Times New Roman"/>
          <w:color w:val="000000" w:themeColor="text1"/>
          <w:sz w:val="22"/>
          <w:szCs w:val="22"/>
        </w:rPr>
        <w:t xml:space="preserve"> would likely have been </w:t>
      </w:r>
      <w:r w:rsidR="00BB1F38" w:rsidRPr="0078109C">
        <w:rPr>
          <w:rFonts w:ascii="Palatino Linotype" w:hAnsi="Palatino Linotype" w:cs="Times New Roman"/>
          <w:color w:val="000000" w:themeColor="text1"/>
          <w:sz w:val="22"/>
          <w:szCs w:val="22"/>
        </w:rPr>
        <w:t>far more</w:t>
      </w:r>
      <w:r w:rsidR="00CF1A5A" w:rsidRPr="0078109C">
        <w:rPr>
          <w:rFonts w:ascii="Palatino Linotype" w:hAnsi="Palatino Linotype" w:cs="Times New Roman"/>
          <w:color w:val="000000" w:themeColor="text1"/>
          <w:sz w:val="22"/>
          <w:szCs w:val="22"/>
        </w:rPr>
        <w:t xml:space="preserve"> serious.</w:t>
      </w:r>
      <w:r w:rsidR="009B0C46" w:rsidRPr="0078109C">
        <w:rPr>
          <w:rStyle w:val="FootnoteReference"/>
          <w:rFonts w:ascii="Palatino Linotype" w:hAnsi="Palatino Linotype" w:cs="Times New Roman"/>
          <w:color w:val="000000" w:themeColor="text1"/>
          <w:sz w:val="22"/>
          <w:szCs w:val="22"/>
        </w:rPr>
        <w:footnoteReference w:id="11"/>
      </w:r>
      <w:r w:rsidR="00CF1A5A" w:rsidRPr="0078109C">
        <w:rPr>
          <w:rFonts w:ascii="Palatino Linotype" w:hAnsi="Palatino Linotype" w:cs="Times New Roman"/>
          <w:color w:val="000000" w:themeColor="text1"/>
          <w:sz w:val="22"/>
          <w:szCs w:val="22"/>
        </w:rPr>
        <w:t xml:space="preserve"> </w:t>
      </w:r>
    </w:p>
    <w:p w14:paraId="622731CA" w14:textId="1F871245" w:rsidR="00B72322" w:rsidRPr="0078109C" w:rsidRDefault="00492FE8" w:rsidP="0078109C">
      <w:pPr>
        <w:shd w:val="clear" w:color="auto" w:fill="FFFFFF"/>
        <w:spacing w:line="360" w:lineRule="auto"/>
        <w:ind w:firstLine="720"/>
        <w:jc w:val="both"/>
        <w:rPr>
          <w:rFonts w:ascii="Palatino Linotype" w:eastAsia="Times New Roman" w:hAnsi="Palatino Linotype" w:cs="Times New Roman"/>
          <w:color w:val="000000" w:themeColor="text1"/>
          <w:sz w:val="22"/>
          <w:szCs w:val="22"/>
          <w:lang w:eastAsia="en-GB"/>
        </w:rPr>
      </w:pPr>
      <w:r>
        <w:rPr>
          <w:rFonts w:ascii="Palatino Linotype" w:eastAsia="Times New Roman" w:hAnsi="Palatino Linotype" w:cs="Times New Roman"/>
          <w:color w:val="000000" w:themeColor="text1"/>
          <w:sz w:val="22"/>
          <w:szCs w:val="22"/>
          <w:lang w:eastAsia="en-GB"/>
        </w:rPr>
        <w:t xml:space="preserve">Having said that, </w:t>
      </w:r>
      <w:r w:rsidR="00E11CDC" w:rsidRPr="0078109C">
        <w:rPr>
          <w:rFonts w:ascii="Palatino Linotype" w:eastAsia="Times New Roman" w:hAnsi="Palatino Linotype" w:cs="Times New Roman"/>
          <w:color w:val="000000" w:themeColor="text1"/>
          <w:sz w:val="22"/>
          <w:szCs w:val="22"/>
          <w:lang w:eastAsia="en-GB"/>
        </w:rPr>
        <w:t xml:space="preserve">the </w:t>
      </w:r>
      <w:r w:rsidR="00BB1F38" w:rsidRPr="0078109C">
        <w:rPr>
          <w:rFonts w:ascii="Palatino Linotype" w:eastAsia="Times New Roman" w:hAnsi="Palatino Linotype" w:cs="Times New Roman"/>
          <w:color w:val="000000" w:themeColor="text1"/>
          <w:sz w:val="22"/>
          <w:szCs w:val="22"/>
          <w:lang w:eastAsia="en-GB"/>
        </w:rPr>
        <w:t xml:space="preserve">pandemic </w:t>
      </w:r>
      <w:r>
        <w:rPr>
          <w:rFonts w:ascii="Palatino Linotype" w:eastAsia="Times New Roman" w:hAnsi="Palatino Linotype" w:cs="Times New Roman"/>
          <w:color w:val="000000" w:themeColor="text1"/>
          <w:sz w:val="22"/>
          <w:szCs w:val="22"/>
          <w:lang w:eastAsia="en-GB"/>
        </w:rPr>
        <w:t xml:space="preserve">response </w:t>
      </w:r>
      <w:r w:rsidR="00BB1F38" w:rsidRPr="0078109C">
        <w:rPr>
          <w:rFonts w:ascii="Palatino Linotype" w:eastAsia="Times New Roman" w:hAnsi="Palatino Linotype" w:cs="Times New Roman"/>
          <w:color w:val="000000" w:themeColor="text1"/>
          <w:sz w:val="22"/>
          <w:szCs w:val="22"/>
          <w:lang w:eastAsia="en-GB"/>
        </w:rPr>
        <w:t>has also highlighted the risks</w:t>
      </w:r>
      <w:r w:rsidR="00FC2DEE" w:rsidRPr="0078109C">
        <w:rPr>
          <w:rFonts w:ascii="Palatino Linotype" w:eastAsia="Times New Roman" w:hAnsi="Palatino Linotype" w:cs="Times New Roman"/>
          <w:color w:val="000000" w:themeColor="text1"/>
          <w:sz w:val="22"/>
          <w:szCs w:val="22"/>
          <w:lang w:eastAsia="en-GB"/>
        </w:rPr>
        <w:t xml:space="preserve"> </w:t>
      </w:r>
      <w:r>
        <w:rPr>
          <w:rFonts w:ascii="Palatino Linotype" w:eastAsia="Times New Roman" w:hAnsi="Palatino Linotype" w:cs="Times New Roman"/>
          <w:color w:val="000000" w:themeColor="text1"/>
          <w:sz w:val="22"/>
          <w:szCs w:val="22"/>
          <w:lang w:eastAsia="en-GB"/>
        </w:rPr>
        <w:t xml:space="preserve">that </w:t>
      </w:r>
      <w:r w:rsidR="00BB1F38" w:rsidRPr="0078109C">
        <w:rPr>
          <w:rFonts w:ascii="Palatino Linotype" w:eastAsia="Times New Roman" w:hAnsi="Palatino Linotype" w:cs="Times New Roman"/>
          <w:color w:val="000000" w:themeColor="text1"/>
          <w:sz w:val="22"/>
          <w:szCs w:val="22"/>
          <w:lang w:eastAsia="en-GB"/>
        </w:rPr>
        <w:t xml:space="preserve">expanded </w:t>
      </w:r>
      <w:r w:rsidR="00E11CDC" w:rsidRPr="0078109C">
        <w:rPr>
          <w:rFonts w:ascii="Palatino Linotype" w:eastAsia="Times New Roman" w:hAnsi="Palatino Linotype" w:cs="Times New Roman"/>
          <w:color w:val="000000" w:themeColor="text1"/>
          <w:sz w:val="22"/>
          <w:szCs w:val="22"/>
          <w:lang w:eastAsia="en-GB"/>
        </w:rPr>
        <w:t>Government</w:t>
      </w:r>
      <w:r w:rsidR="00BB1F38" w:rsidRPr="0078109C">
        <w:rPr>
          <w:rFonts w:ascii="Palatino Linotype" w:eastAsia="Times New Roman" w:hAnsi="Palatino Linotype" w:cs="Times New Roman"/>
          <w:color w:val="000000" w:themeColor="text1"/>
          <w:sz w:val="22"/>
          <w:szCs w:val="22"/>
          <w:lang w:eastAsia="en-GB"/>
        </w:rPr>
        <w:t xml:space="preserve"> discretion can have for other essential principles underpinning good government.</w:t>
      </w:r>
      <w:r w:rsidR="0090592E" w:rsidRPr="0078109C">
        <w:rPr>
          <w:rStyle w:val="FootnoteReference"/>
          <w:rFonts w:ascii="Palatino Linotype" w:eastAsia="Times New Roman" w:hAnsi="Palatino Linotype" w:cs="Times New Roman"/>
          <w:color w:val="000000" w:themeColor="text1"/>
          <w:sz w:val="22"/>
          <w:szCs w:val="22"/>
          <w:lang w:eastAsia="en-GB"/>
        </w:rPr>
        <w:footnoteReference w:id="12"/>
      </w:r>
      <w:r w:rsidR="00BB1F38" w:rsidRPr="0078109C">
        <w:rPr>
          <w:rFonts w:ascii="Palatino Linotype" w:eastAsia="Times New Roman" w:hAnsi="Palatino Linotype" w:cs="Times New Roman"/>
          <w:color w:val="000000" w:themeColor="text1"/>
          <w:sz w:val="22"/>
          <w:szCs w:val="22"/>
          <w:lang w:eastAsia="en-GB"/>
        </w:rPr>
        <w:t xml:space="preserve"> One of the most important</w:t>
      </w:r>
      <w:r>
        <w:rPr>
          <w:rFonts w:ascii="Palatino Linotype" w:eastAsia="Times New Roman" w:hAnsi="Palatino Linotype" w:cs="Times New Roman"/>
          <w:color w:val="000000" w:themeColor="text1"/>
          <w:sz w:val="22"/>
          <w:szCs w:val="22"/>
          <w:lang w:eastAsia="en-GB"/>
        </w:rPr>
        <w:t xml:space="preserve"> of these </w:t>
      </w:r>
      <w:r w:rsidR="00BB1F38" w:rsidRPr="0078109C">
        <w:rPr>
          <w:rFonts w:ascii="Palatino Linotype" w:eastAsia="Times New Roman" w:hAnsi="Palatino Linotype" w:cs="Times New Roman"/>
          <w:color w:val="000000" w:themeColor="text1"/>
          <w:sz w:val="22"/>
          <w:szCs w:val="22"/>
          <w:lang w:eastAsia="en-GB"/>
        </w:rPr>
        <w:t xml:space="preserve">is the rule of law. </w:t>
      </w:r>
    </w:p>
    <w:p w14:paraId="6CDD294A" w14:textId="77777777" w:rsidR="00E11CDC" w:rsidRPr="0078109C" w:rsidRDefault="00E11CDC" w:rsidP="0078109C">
      <w:pPr>
        <w:shd w:val="clear" w:color="auto" w:fill="FFFFFF"/>
        <w:spacing w:line="360" w:lineRule="auto"/>
        <w:ind w:firstLine="720"/>
        <w:jc w:val="both"/>
        <w:rPr>
          <w:rFonts w:ascii="Palatino Linotype" w:eastAsia="Times New Roman" w:hAnsi="Palatino Linotype" w:cs="Times New Roman"/>
          <w:color w:val="000000" w:themeColor="text1"/>
          <w:sz w:val="22"/>
          <w:szCs w:val="22"/>
          <w:lang w:eastAsia="en-GB"/>
        </w:rPr>
      </w:pPr>
    </w:p>
    <w:p w14:paraId="69174C95" w14:textId="2B540093" w:rsidR="001754A8" w:rsidRPr="0078109C" w:rsidRDefault="00BB1F38" w:rsidP="0078109C">
      <w:pPr>
        <w:spacing w:line="360" w:lineRule="auto"/>
        <w:jc w:val="both"/>
        <w:rPr>
          <w:rFonts w:ascii="Palatino Linotype" w:hAnsi="Palatino Linotype" w:cs="Times New Roman"/>
          <w:b/>
          <w:bCs/>
          <w:sz w:val="22"/>
          <w:szCs w:val="22"/>
        </w:rPr>
      </w:pPr>
      <w:r w:rsidRPr="0078109C">
        <w:rPr>
          <w:rFonts w:ascii="Palatino Linotype" w:hAnsi="Palatino Linotype" w:cs="Times New Roman"/>
          <w:color w:val="000000" w:themeColor="text1"/>
          <w:sz w:val="22"/>
          <w:szCs w:val="22"/>
        </w:rPr>
        <w:lastRenderedPageBreak/>
        <w:t>I</w:t>
      </w:r>
      <w:r w:rsidRPr="0078109C">
        <w:rPr>
          <w:rFonts w:ascii="Palatino Linotype" w:eastAsia="Calibri" w:hAnsi="Palatino Linotype" w:cs="Times New Roman"/>
          <w:b/>
          <w:bCs/>
          <w:sz w:val="22"/>
          <w:szCs w:val="22"/>
          <w:lang w:val="en-IE"/>
        </w:rPr>
        <w:t xml:space="preserve">II: </w:t>
      </w:r>
      <w:r w:rsidR="001754A8" w:rsidRPr="0078109C">
        <w:rPr>
          <w:rFonts w:ascii="Palatino Linotype" w:hAnsi="Palatino Linotype" w:cs="Times New Roman"/>
          <w:b/>
          <w:bCs/>
          <w:sz w:val="22"/>
          <w:szCs w:val="22"/>
        </w:rPr>
        <w:t xml:space="preserve">Rule of Law </w:t>
      </w:r>
      <w:r w:rsidR="001F7EEB" w:rsidRPr="0078109C">
        <w:rPr>
          <w:rFonts w:ascii="Palatino Linotype" w:hAnsi="Palatino Linotype" w:cs="Times New Roman"/>
          <w:b/>
          <w:bCs/>
          <w:sz w:val="22"/>
          <w:szCs w:val="22"/>
        </w:rPr>
        <w:t>Issues</w:t>
      </w:r>
    </w:p>
    <w:p w14:paraId="48C4AFFE" w14:textId="01A4B0C0" w:rsidR="0009565B" w:rsidRPr="00CE2DC1" w:rsidRDefault="00823000" w:rsidP="0078109C">
      <w:pPr>
        <w:spacing w:line="360" w:lineRule="auto"/>
        <w:jc w:val="both"/>
        <w:rPr>
          <w:rFonts w:ascii="Palatino Linotype" w:hAnsi="Palatino Linotype" w:cs="Times New Roman"/>
          <w:sz w:val="22"/>
          <w:szCs w:val="22"/>
          <w:u w:val="single"/>
        </w:rPr>
      </w:pPr>
      <w:r w:rsidRPr="0078109C">
        <w:rPr>
          <w:rFonts w:ascii="Palatino Linotype" w:hAnsi="Palatino Linotype" w:cs="Times New Roman"/>
          <w:sz w:val="22"/>
          <w:szCs w:val="22"/>
        </w:rPr>
        <w:t>The rule of law is a contested concept</w:t>
      </w:r>
      <w:r w:rsidR="00492FE8">
        <w:rPr>
          <w:rFonts w:ascii="Palatino Linotype" w:hAnsi="Palatino Linotype" w:cs="Times New Roman"/>
          <w:sz w:val="22"/>
          <w:szCs w:val="22"/>
        </w:rPr>
        <w:t xml:space="preserve">, with some </w:t>
      </w:r>
      <w:r w:rsidRPr="0078109C">
        <w:rPr>
          <w:rFonts w:ascii="Palatino Linotype" w:hAnsi="Palatino Linotype" w:cs="Times New Roman"/>
          <w:sz w:val="22"/>
          <w:szCs w:val="22"/>
        </w:rPr>
        <w:t>vehement</w:t>
      </w:r>
      <w:r w:rsidR="00492FE8">
        <w:rPr>
          <w:rFonts w:ascii="Palatino Linotype" w:hAnsi="Palatino Linotype" w:cs="Times New Roman"/>
          <w:sz w:val="22"/>
          <w:szCs w:val="22"/>
        </w:rPr>
        <w:t xml:space="preserve"> disagreement on its content and import</w:t>
      </w:r>
      <w:r w:rsidRPr="0078109C">
        <w:rPr>
          <w:rFonts w:ascii="Palatino Linotype" w:hAnsi="Palatino Linotype" w:cs="Times New Roman"/>
          <w:sz w:val="22"/>
          <w:szCs w:val="22"/>
        </w:rPr>
        <w:t>.</w:t>
      </w:r>
      <w:r w:rsidR="00B829B2" w:rsidRPr="0078109C">
        <w:rPr>
          <w:rStyle w:val="FootnoteReference"/>
          <w:rFonts w:ascii="Palatino Linotype" w:hAnsi="Palatino Linotype" w:cs="Times New Roman"/>
          <w:sz w:val="22"/>
          <w:szCs w:val="22"/>
        </w:rPr>
        <w:footnoteReference w:id="13"/>
      </w:r>
      <w:r w:rsidRPr="0078109C">
        <w:rPr>
          <w:rFonts w:ascii="Palatino Linotype" w:hAnsi="Palatino Linotype" w:cs="Times New Roman"/>
          <w:sz w:val="22"/>
          <w:szCs w:val="22"/>
        </w:rPr>
        <w:t xml:space="preserve"> For some, the rule of law is a shorthand for</w:t>
      </w:r>
      <w:r w:rsidR="0009565B" w:rsidRPr="0078109C">
        <w:rPr>
          <w:rFonts w:ascii="Palatino Linotype" w:hAnsi="Palatino Linotype" w:cs="Times New Roman"/>
          <w:sz w:val="22"/>
          <w:szCs w:val="22"/>
        </w:rPr>
        <w:t xml:space="preserve"> a legal system that </w:t>
      </w:r>
      <w:r w:rsidR="00CE2DC1">
        <w:rPr>
          <w:rFonts w:ascii="Palatino Linotype" w:hAnsi="Palatino Linotype" w:cs="Times New Roman"/>
          <w:sz w:val="22"/>
          <w:szCs w:val="22"/>
        </w:rPr>
        <w:t xml:space="preserve">respects </w:t>
      </w:r>
      <w:r w:rsidR="009234CC">
        <w:rPr>
          <w:rFonts w:ascii="Palatino Linotype" w:hAnsi="Palatino Linotype" w:cs="Times New Roman"/>
          <w:sz w:val="22"/>
          <w:szCs w:val="22"/>
        </w:rPr>
        <w:t xml:space="preserve">a range of </w:t>
      </w:r>
      <w:r w:rsidR="00CE2DC1">
        <w:rPr>
          <w:rFonts w:ascii="Palatino Linotype" w:hAnsi="Palatino Linotype" w:cs="Times New Roman"/>
          <w:sz w:val="22"/>
          <w:szCs w:val="22"/>
        </w:rPr>
        <w:t xml:space="preserve">moral </w:t>
      </w:r>
      <w:r w:rsidR="009234CC">
        <w:rPr>
          <w:rFonts w:ascii="Palatino Linotype" w:hAnsi="Palatino Linotype" w:cs="Times New Roman"/>
          <w:sz w:val="22"/>
          <w:szCs w:val="22"/>
        </w:rPr>
        <w:t>commitments</w:t>
      </w:r>
      <w:r w:rsidR="0009565B" w:rsidRPr="0078109C">
        <w:rPr>
          <w:rFonts w:ascii="Palatino Linotype" w:hAnsi="Palatino Linotype" w:cs="Times New Roman"/>
          <w:sz w:val="22"/>
          <w:szCs w:val="22"/>
        </w:rPr>
        <w:t xml:space="preserve">, </w:t>
      </w:r>
      <w:r w:rsidR="00CE2DC1">
        <w:rPr>
          <w:rFonts w:ascii="Palatino Linotype" w:hAnsi="Palatino Linotype" w:cs="Times New Roman"/>
          <w:sz w:val="22"/>
          <w:szCs w:val="22"/>
        </w:rPr>
        <w:t xml:space="preserve">such as </w:t>
      </w:r>
      <w:r w:rsidR="0009565B" w:rsidRPr="0078109C">
        <w:rPr>
          <w:rFonts w:ascii="Palatino Linotype" w:hAnsi="Palatino Linotype" w:cs="Times New Roman"/>
          <w:sz w:val="22"/>
          <w:szCs w:val="22"/>
        </w:rPr>
        <w:t>human rights, equality, democracy, and the separation of powers.</w:t>
      </w:r>
      <w:r w:rsidR="007C2D8F" w:rsidRPr="0078109C">
        <w:rPr>
          <w:rStyle w:val="FootnoteReference"/>
          <w:rFonts w:ascii="Palatino Linotype" w:hAnsi="Palatino Linotype" w:cs="Times New Roman"/>
          <w:sz w:val="22"/>
          <w:szCs w:val="22"/>
        </w:rPr>
        <w:footnoteReference w:id="14"/>
      </w:r>
      <w:r w:rsidR="0009565B" w:rsidRPr="0078109C">
        <w:rPr>
          <w:rFonts w:ascii="Palatino Linotype" w:hAnsi="Palatino Linotype" w:cs="Times New Roman"/>
          <w:sz w:val="22"/>
          <w:szCs w:val="22"/>
        </w:rPr>
        <w:t xml:space="preserve"> </w:t>
      </w:r>
      <w:r w:rsidRPr="0078109C">
        <w:rPr>
          <w:rFonts w:ascii="Palatino Linotype" w:hAnsi="Palatino Linotype" w:cs="Times New Roman"/>
          <w:sz w:val="22"/>
          <w:szCs w:val="22"/>
        </w:rPr>
        <w:t>For others, it is a</w:t>
      </w:r>
      <w:r w:rsidR="00FC2DEE" w:rsidRPr="0078109C">
        <w:rPr>
          <w:rFonts w:ascii="Palatino Linotype" w:hAnsi="Palatino Linotype" w:cs="Times New Roman"/>
          <w:sz w:val="22"/>
          <w:szCs w:val="22"/>
        </w:rPr>
        <w:t xml:space="preserve"> more</w:t>
      </w:r>
      <w:r w:rsidRPr="0078109C">
        <w:rPr>
          <w:rFonts w:ascii="Palatino Linotype" w:hAnsi="Palatino Linotype" w:cs="Times New Roman"/>
          <w:sz w:val="22"/>
          <w:szCs w:val="22"/>
        </w:rPr>
        <w:t xml:space="preserve"> ‘thin’ </w:t>
      </w:r>
      <w:r w:rsidR="0009565B" w:rsidRPr="0078109C">
        <w:rPr>
          <w:rFonts w:ascii="Palatino Linotype" w:hAnsi="Palatino Linotype" w:cs="Times New Roman"/>
          <w:sz w:val="22"/>
          <w:szCs w:val="22"/>
        </w:rPr>
        <w:t>concept</w:t>
      </w:r>
      <w:r w:rsidR="00CE2DC1">
        <w:rPr>
          <w:rFonts w:ascii="Palatino Linotype" w:hAnsi="Palatino Linotype" w:cs="Times New Roman"/>
          <w:sz w:val="22"/>
          <w:szCs w:val="22"/>
        </w:rPr>
        <w:t xml:space="preserve">, concerned not </w:t>
      </w:r>
      <w:r w:rsidR="00FC2DEE" w:rsidRPr="0078109C">
        <w:rPr>
          <w:rFonts w:ascii="Palatino Linotype" w:hAnsi="Palatino Linotype" w:cs="Times New Roman"/>
          <w:sz w:val="22"/>
          <w:szCs w:val="22"/>
        </w:rPr>
        <w:t xml:space="preserve">with democracy or human rights, but </w:t>
      </w:r>
      <w:r w:rsidRPr="0078109C">
        <w:rPr>
          <w:rFonts w:ascii="Palatino Linotype" w:hAnsi="Palatino Linotype" w:cs="Times New Roman"/>
          <w:sz w:val="22"/>
          <w:szCs w:val="22"/>
        </w:rPr>
        <w:t>with</w:t>
      </w:r>
      <w:r w:rsidR="0009565B" w:rsidRPr="0078109C">
        <w:rPr>
          <w:rFonts w:ascii="Palatino Linotype" w:hAnsi="Palatino Linotype" w:cs="Times New Roman"/>
          <w:sz w:val="22"/>
          <w:szCs w:val="22"/>
        </w:rPr>
        <w:t xml:space="preserve"> ensuring a political community is governed by accessible, stable, and understandable legal rules</w:t>
      </w:r>
      <w:r w:rsidR="00E465E4" w:rsidRPr="0078109C">
        <w:rPr>
          <w:rFonts w:ascii="Palatino Linotype" w:hAnsi="Palatino Linotype" w:cs="Times New Roman"/>
          <w:sz w:val="22"/>
          <w:szCs w:val="22"/>
        </w:rPr>
        <w:t>,</w:t>
      </w:r>
      <w:r w:rsidR="0009565B" w:rsidRPr="0078109C">
        <w:rPr>
          <w:rFonts w:ascii="Palatino Linotype" w:hAnsi="Palatino Linotype" w:cs="Times New Roman"/>
          <w:sz w:val="22"/>
          <w:szCs w:val="22"/>
        </w:rPr>
        <w:t xml:space="preserve"> </w:t>
      </w:r>
      <w:r w:rsidR="00CE2DC1">
        <w:rPr>
          <w:rFonts w:ascii="Palatino Linotype" w:hAnsi="Palatino Linotype" w:cs="Times New Roman"/>
          <w:sz w:val="22"/>
          <w:szCs w:val="22"/>
        </w:rPr>
        <w:t xml:space="preserve">rather than the </w:t>
      </w:r>
      <w:r w:rsidR="0009565B" w:rsidRPr="0078109C">
        <w:rPr>
          <w:rFonts w:ascii="Palatino Linotype" w:hAnsi="Palatino Linotype" w:cs="Times New Roman"/>
          <w:sz w:val="22"/>
          <w:szCs w:val="22"/>
        </w:rPr>
        <w:t xml:space="preserve">ad-hoc discretion </w:t>
      </w:r>
      <w:r w:rsidR="00CE2DC1">
        <w:rPr>
          <w:rFonts w:ascii="Palatino Linotype" w:hAnsi="Palatino Linotype" w:cs="Times New Roman"/>
          <w:sz w:val="22"/>
          <w:szCs w:val="22"/>
        </w:rPr>
        <w:t xml:space="preserve">or </w:t>
      </w:r>
      <w:r w:rsidR="00406EA9" w:rsidRPr="0078109C">
        <w:rPr>
          <w:rFonts w:ascii="Palatino Linotype" w:hAnsi="Palatino Linotype" w:cs="Times New Roman"/>
          <w:sz w:val="22"/>
          <w:szCs w:val="22"/>
        </w:rPr>
        <w:t>brute</w:t>
      </w:r>
      <w:r w:rsidR="0009565B" w:rsidRPr="0078109C">
        <w:rPr>
          <w:rFonts w:ascii="Palatino Linotype" w:hAnsi="Palatino Linotype" w:cs="Times New Roman"/>
          <w:sz w:val="22"/>
          <w:szCs w:val="22"/>
        </w:rPr>
        <w:t xml:space="preserve"> force of powerful individuals. The moral core of this</w:t>
      </w:r>
      <w:r w:rsidR="00E11CDC" w:rsidRPr="0078109C">
        <w:rPr>
          <w:rFonts w:ascii="Palatino Linotype" w:hAnsi="Palatino Linotype" w:cs="Times New Roman"/>
          <w:sz w:val="22"/>
          <w:szCs w:val="22"/>
        </w:rPr>
        <w:t xml:space="preserve"> thin</w:t>
      </w:r>
      <w:r w:rsidR="0009565B" w:rsidRPr="0078109C">
        <w:rPr>
          <w:rFonts w:ascii="Palatino Linotype" w:hAnsi="Palatino Linotype" w:cs="Times New Roman"/>
          <w:sz w:val="22"/>
          <w:szCs w:val="22"/>
        </w:rPr>
        <w:t xml:space="preserve"> concept</w:t>
      </w:r>
      <w:r w:rsidR="00406EA9" w:rsidRPr="0078109C">
        <w:rPr>
          <w:rFonts w:ascii="Palatino Linotype" w:hAnsi="Palatino Linotype" w:cs="Times New Roman"/>
          <w:sz w:val="22"/>
          <w:szCs w:val="22"/>
        </w:rPr>
        <w:t>ion</w:t>
      </w:r>
      <w:r w:rsidR="0009565B" w:rsidRPr="0078109C">
        <w:rPr>
          <w:rFonts w:ascii="Palatino Linotype" w:hAnsi="Palatino Linotype" w:cs="Times New Roman"/>
          <w:sz w:val="22"/>
          <w:szCs w:val="22"/>
        </w:rPr>
        <w:t xml:space="preserve"> of the rule of law is a concern for arbitrariness and individual dignity</w:t>
      </w:r>
      <w:r w:rsidR="00FC2DEE" w:rsidRPr="0078109C">
        <w:rPr>
          <w:rFonts w:ascii="Palatino Linotype" w:hAnsi="Palatino Linotype" w:cs="Times New Roman"/>
          <w:sz w:val="22"/>
          <w:szCs w:val="22"/>
        </w:rPr>
        <w:t>.</w:t>
      </w:r>
      <w:r w:rsidR="00406EA9" w:rsidRPr="0078109C">
        <w:rPr>
          <w:rStyle w:val="FootnoteReference"/>
          <w:rFonts w:ascii="Palatino Linotype" w:hAnsi="Palatino Linotype" w:cs="Times New Roman"/>
          <w:sz w:val="22"/>
          <w:szCs w:val="22"/>
        </w:rPr>
        <w:footnoteReference w:id="15"/>
      </w:r>
      <w:r w:rsidR="0009565B" w:rsidRPr="0078109C">
        <w:rPr>
          <w:rFonts w:ascii="Palatino Linotype" w:hAnsi="Palatino Linotype" w:cs="Times New Roman"/>
          <w:sz w:val="22"/>
          <w:szCs w:val="22"/>
        </w:rPr>
        <w:t xml:space="preserve"> </w:t>
      </w:r>
      <w:r w:rsidR="009234CC">
        <w:rPr>
          <w:rFonts w:ascii="Palatino Linotype" w:hAnsi="Palatino Linotype" w:cs="Times New Roman"/>
          <w:sz w:val="22"/>
          <w:szCs w:val="22"/>
        </w:rPr>
        <w:t>P</w:t>
      </w:r>
      <w:r w:rsidR="0009565B" w:rsidRPr="0078109C">
        <w:rPr>
          <w:rFonts w:ascii="Palatino Linotype" w:hAnsi="Palatino Linotype" w:cs="Times New Roman"/>
          <w:sz w:val="22"/>
          <w:szCs w:val="22"/>
        </w:rPr>
        <w:t xml:space="preserve">eople, as rational </w:t>
      </w:r>
      <w:r w:rsidR="00CE2DC1">
        <w:rPr>
          <w:rFonts w:ascii="Palatino Linotype" w:hAnsi="Palatino Linotype" w:cs="Times New Roman"/>
          <w:sz w:val="22"/>
          <w:szCs w:val="22"/>
        </w:rPr>
        <w:t>beings</w:t>
      </w:r>
      <w:r w:rsidR="0009565B" w:rsidRPr="0078109C">
        <w:rPr>
          <w:rFonts w:ascii="Palatino Linotype" w:hAnsi="Palatino Linotype" w:cs="Times New Roman"/>
          <w:sz w:val="22"/>
          <w:szCs w:val="22"/>
        </w:rPr>
        <w:t>, should be facilitated in planning their</w:t>
      </w:r>
      <w:r w:rsidR="00406EA9" w:rsidRPr="0078109C">
        <w:rPr>
          <w:rFonts w:ascii="Palatino Linotype" w:hAnsi="Palatino Linotype" w:cs="Times New Roman"/>
          <w:sz w:val="22"/>
          <w:szCs w:val="22"/>
        </w:rPr>
        <w:t xml:space="preserve"> conduct,</w:t>
      </w:r>
      <w:r w:rsidR="0009565B" w:rsidRPr="0078109C">
        <w:rPr>
          <w:rFonts w:ascii="Palatino Linotype" w:hAnsi="Palatino Linotype" w:cs="Times New Roman"/>
          <w:sz w:val="22"/>
          <w:szCs w:val="22"/>
        </w:rPr>
        <w:t xml:space="preserve"> lives</w:t>
      </w:r>
      <w:r w:rsidR="00406EA9" w:rsidRPr="0078109C">
        <w:rPr>
          <w:rFonts w:ascii="Palatino Linotype" w:hAnsi="Palatino Linotype" w:cs="Times New Roman"/>
          <w:sz w:val="22"/>
          <w:szCs w:val="22"/>
        </w:rPr>
        <w:t>,</w:t>
      </w:r>
      <w:r w:rsidR="0009565B" w:rsidRPr="0078109C">
        <w:rPr>
          <w:rFonts w:ascii="Palatino Linotype" w:hAnsi="Palatino Linotype" w:cs="Times New Roman"/>
          <w:sz w:val="22"/>
          <w:szCs w:val="22"/>
        </w:rPr>
        <w:t xml:space="preserve"> and relationships confidently within a</w:t>
      </w:r>
      <w:r w:rsidR="00E11CDC" w:rsidRPr="0078109C">
        <w:rPr>
          <w:rFonts w:ascii="Palatino Linotype" w:hAnsi="Palatino Linotype" w:cs="Times New Roman"/>
          <w:sz w:val="22"/>
          <w:szCs w:val="22"/>
        </w:rPr>
        <w:t xml:space="preserve">n ascertainable </w:t>
      </w:r>
      <w:r w:rsidR="0009565B" w:rsidRPr="0078109C">
        <w:rPr>
          <w:rFonts w:ascii="Palatino Linotype" w:hAnsi="Palatino Linotype" w:cs="Times New Roman"/>
          <w:sz w:val="22"/>
          <w:szCs w:val="22"/>
        </w:rPr>
        <w:t>framework of legal rules</w:t>
      </w:r>
      <w:r w:rsidR="00FC2DEE" w:rsidRPr="0078109C">
        <w:rPr>
          <w:rFonts w:ascii="Palatino Linotype" w:hAnsi="Palatino Linotype" w:cs="Times New Roman"/>
          <w:sz w:val="22"/>
          <w:szCs w:val="22"/>
        </w:rPr>
        <w:t xml:space="preserve">; </w:t>
      </w:r>
      <w:r w:rsidR="009234CC">
        <w:rPr>
          <w:rFonts w:ascii="Palatino Linotype" w:hAnsi="Palatino Linotype" w:cs="Times New Roman"/>
          <w:sz w:val="22"/>
          <w:szCs w:val="22"/>
        </w:rPr>
        <w:t xml:space="preserve">they </w:t>
      </w:r>
      <w:r w:rsidR="00FC2DEE" w:rsidRPr="0078109C">
        <w:rPr>
          <w:rFonts w:ascii="Palatino Linotype" w:hAnsi="Palatino Linotype" w:cs="Times New Roman"/>
          <w:sz w:val="22"/>
          <w:szCs w:val="22"/>
        </w:rPr>
        <w:t xml:space="preserve">should </w:t>
      </w:r>
      <w:r w:rsidR="0009565B" w:rsidRPr="0078109C">
        <w:rPr>
          <w:rFonts w:ascii="Palatino Linotype" w:hAnsi="Palatino Linotype" w:cs="Times New Roman"/>
          <w:sz w:val="22"/>
          <w:szCs w:val="22"/>
        </w:rPr>
        <w:t xml:space="preserve">not be left at the mercy and whim of the police </w:t>
      </w:r>
      <w:r w:rsidR="005D1145" w:rsidRPr="0078109C">
        <w:rPr>
          <w:rFonts w:ascii="Palatino Linotype" w:hAnsi="Palatino Linotype" w:cs="Times New Roman"/>
          <w:sz w:val="22"/>
          <w:szCs w:val="22"/>
        </w:rPr>
        <w:t>and</w:t>
      </w:r>
      <w:r w:rsidR="0009565B" w:rsidRPr="0078109C">
        <w:rPr>
          <w:rFonts w:ascii="Palatino Linotype" w:hAnsi="Palatino Linotype" w:cs="Times New Roman"/>
          <w:sz w:val="22"/>
          <w:szCs w:val="22"/>
        </w:rPr>
        <w:t xml:space="preserve"> other State officials</w:t>
      </w:r>
      <w:r w:rsidR="00406EA9" w:rsidRPr="0078109C">
        <w:rPr>
          <w:rFonts w:ascii="Palatino Linotype" w:hAnsi="Palatino Linotype" w:cs="Times New Roman"/>
          <w:sz w:val="22"/>
          <w:szCs w:val="22"/>
        </w:rPr>
        <w:t xml:space="preserve"> when going about their business</w:t>
      </w:r>
      <w:r w:rsidR="0009565B" w:rsidRPr="0078109C">
        <w:rPr>
          <w:rFonts w:ascii="Palatino Linotype" w:hAnsi="Palatino Linotype" w:cs="Times New Roman"/>
          <w:sz w:val="22"/>
          <w:szCs w:val="22"/>
        </w:rPr>
        <w:t xml:space="preserve">. </w:t>
      </w:r>
      <w:r w:rsidR="00A80C5D" w:rsidRPr="0078109C">
        <w:rPr>
          <w:rFonts w:ascii="Palatino Linotype" w:hAnsi="Palatino Linotype" w:cs="Times New Roman"/>
          <w:sz w:val="22"/>
          <w:szCs w:val="22"/>
        </w:rPr>
        <w:t xml:space="preserve">It is </w:t>
      </w:r>
      <w:r w:rsidR="009234CC">
        <w:rPr>
          <w:rFonts w:ascii="Palatino Linotype" w:hAnsi="Palatino Linotype" w:cs="Times New Roman"/>
          <w:sz w:val="22"/>
          <w:szCs w:val="22"/>
        </w:rPr>
        <w:t xml:space="preserve">against </w:t>
      </w:r>
      <w:r w:rsidR="00A80C5D" w:rsidRPr="0078109C">
        <w:rPr>
          <w:rFonts w:ascii="Palatino Linotype" w:hAnsi="Palatino Linotype" w:cs="Times New Roman"/>
          <w:sz w:val="22"/>
          <w:szCs w:val="22"/>
        </w:rPr>
        <w:t xml:space="preserve">this </w:t>
      </w:r>
      <w:r w:rsidR="00CE2DC1">
        <w:rPr>
          <w:rFonts w:ascii="Palatino Linotype" w:hAnsi="Palatino Linotype" w:cs="Times New Roman"/>
          <w:sz w:val="22"/>
          <w:szCs w:val="22"/>
        </w:rPr>
        <w:t xml:space="preserve">second, minimalist </w:t>
      </w:r>
      <w:r w:rsidR="00A80C5D" w:rsidRPr="0078109C">
        <w:rPr>
          <w:rFonts w:ascii="Palatino Linotype" w:hAnsi="Palatino Linotype" w:cs="Times New Roman"/>
          <w:sz w:val="22"/>
          <w:szCs w:val="22"/>
        </w:rPr>
        <w:t xml:space="preserve">account </w:t>
      </w:r>
      <w:r w:rsidR="00CE2DC1">
        <w:rPr>
          <w:rFonts w:ascii="Palatino Linotype" w:hAnsi="Palatino Linotype" w:cs="Times New Roman"/>
          <w:sz w:val="22"/>
          <w:szCs w:val="22"/>
        </w:rPr>
        <w:t xml:space="preserve">of the rule of law that </w:t>
      </w:r>
      <w:r w:rsidR="00A80C5D" w:rsidRPr="0078109C">
        <w:rPr>
          <w:rFonts w:ascii="Palatino Linotype" w:hAnsi="Palatino Linotype" w:cs="Times New Roman"/>
          <w:sz w:val="22"/>
          <w:szCs w:val="22"/>
        </w:rPr>
        <w:t xml:space="preserve">we will </w:t>
      </w:r>
      <w:r w:rsidR="009234CC">
        <w:rPr>
          <w:rFonts w:ascii="Palatino Linotype" w:hAnsi="Palatino Linotype" w:cs="Times New Roman"/>
          <w:sz w:val="22"/>
          <w:szCs w:val="22"/>
        </w:rPr>
        <w:t xml:space="preserve">assess Ireland’s response </w:t>
      </w:r>
      <w:r w:rsidR="00CE2DC1">
        <w:rPr>
          <w:rFonts w:ascii="Palatino Linotype" w:hAnsi="Palatino Linotype" w:cs="Times New Roman"/>
          <w:sz w:val="22"/>
          <w:szCs w:val="22"/>
        </w:rPr>
        <w:t>in this</w:t>
      </w:r>
      <w:r w:rsidR="00A80C5D" w:rsidRPr="0078109C">
        <w:rPr>
          <w:rFonts w:ascii="Palatino Linotype" w:hAnsi="Palatino Linotype" w:cs="Times New Roman"/>
          <w:sz w:val="22"/>
          <w:szCs w:val="22"/>
        </w:rPr>
        <w:t xml:space="preserve"> essay.</w:t>
      </w:r>
    </w:p>
    <w:p w14:paraId="71884EC0" w14:textId="7B6C7CDF" w:rsidR="0009565B" w:rsidRPr="0078109C" w:rsidRDefault="00A80C5D" w:rsidP="009234CC">
      <w:pPr>
        <w:spacing w:line="360" w:lineRule="auto"/>
        <w:ind w:firstLine="720"/>
        <w:jc w:val="both"/>
        <w:rPr>
          <w:rFonts w:ascii="Palatino Linotype" w:hAnsi="Palatino Linotype" w:cs="Times New Roman"/>
          <w:sz w:val="22"/>
          <w:szCs w:val="22"/>
        </w:rPr>
      </w:pPr>
      <w:r w:rsidRPr="0078109C">
        <w:rPr>
          <w:rFonts w:ascii="Palatino Linotype" w:hAnsi="Palatino Linotype" w:cs="Times New Roman"/>
          <w:sz w:val="22"/>
          <w:szCs w:val="22"/>
        </w:rPr>
        <w:t>Lon Fuller</w:t>
      </w:r>
      <w:r w:rsidR="00202AAC">
        <w:rPr>
          <w:rFonts w:ascii="Palatino Linotype" w:hAnsi="Palatino Linotype" w:cs="Times New Roman"/>
          <w:sz w:val="22"/>
          <w:szCs w:val="22"/>
        </w:rPr>
        <w:t xml:space="preserve"> set out eight features of an procedurally moral legal system.</w:t>
      </w:r>
      <w:bookmarkStart w:id="2" w:name="_Ref85379744"/>
      <w:r w:rsidR="008D5DD6" w:rsidRPr="0078109C">
        <w:rPr>
          <w:rStyle w:val="FootnoteReference"/>
          <w:rFonts w:ascii="Palatino Linotype" w:hAnsi="Palatino Linotype" w:cs="Times New Roman"/>
          <w:sz w:val="22"/>
          <w:szCs w:val="22"/>
        </w:rPr>
        <w:footnoteReference w:id="16"/>
      </w:r>
      <w:bookmarkEnd w:id="2"/>
      <w:r w:rsidR="008D5DD6" w:rsidRPr="0078109C">
        <w:rPr>
          <w:rFonts w:ascii="Palatino Linotype" w:hAnsi="Palatino Linotype" w:cs="Times New Roman"/>
          <w:sz w:val="22"/>
          <w:szCs w:val="22"/>
        </w:rPr>
        <w:t xml:space="preserve"> </w:t>
      </w:r>
      <w:r w:rsidRPr="0078109C">
        <w:rPr>
          <w:rFonts w:ascii="Palatino Linotype" w:hAnsi="Palatino Linotype" w:cs="Times New Roman"/>
          <w:sz w:val="22"/>
          <w:szCs w:val="22"/>
        </w:rPr>
        <w:t xml:space="preserve">(1) </w:t>
      </w:r>
      <w:r w:rsidR="00202AAC">
        <w:rPr>
          <w:rFonts w:ascii="Palatino Linotype" w:hAnsi="Palatino Linotype" w:cs="Times New Roman"/>
          <w:sz w:val="22"/>
          <w:szCs w:val="22"/>
        </w:rPr>
        <w:t xml:space="preserve">There </w:t>
      </w:r>
      <w:r w:rsidR="008D5DD6" w:rsidRPr="0078109C">
        <w:rPr>
          <w:rFonts w:ascii="Palatino Linotype" w:hAnsi="Palatino Linotype" w:cs="Times New Roman"/>
          <w:sz w:val="22"/>
          <w:szCs w:val="22"/>
        </w:rPr>
        <w:t>must be</w:t>
      </w:r>
      <w:r w:rsidR="00E11CDC" w:rsidRPr="0078109C">
        <w:rPr>
          <w:rFonts w:ascii="Palatino Linotype" w:hAnsi="Palatino Linotype" w:cs="Times New Roman"/>
          <w:sz w:val="22"/>
          <w:szCs w:val="22"/>
        </w:rPr>
        <w:t xml:space="preserve"> government through</w:t>
      </w:r>
      <w:r w:rsidR="008D5DD6" w:rsidRPr="0078109C">
        <w:rPr>
          <w:rFonts w:ascii="Palatino Linotype" w:hAnsi="Palatino Linotype" w:cs="Times New Roman"/>
          <w:sz w:val="22"/>
          <w:szCs w:val="22"/>
        </w:rPr>
        <w:t xml:space="preserve"> </w:t>
      </w:r>
      <w:r w:rsidRPr="0078109C">
        <w:rPr>
          <w:rFonts w:ascii="Palatino Linotype" w:hAnsi="Palatino Linotype" w:cs="Times New Roman"/>
          <w:sz w:val="22"/>
          <w:szCs w:val="22"/>
        </w:rPr>
        <w:t>general rules</w:t>
      </w:r>
      <w:r w:rsidR="008D5DD6" w:rsidRPr="0078109C">
        <w:rPr>
          <w:rFonts w:ascii="Palatino Linotype" w:hAnsi="Palatino Linotype" w:cs="Times New Roman"/>
          <w:sz w:val="22"/>
          <w:szCs w:val="22"/>
        </w:rPr>
        <w:t xml:space="preserve"> and not individual prescriptions</w:t>
      </w:r>
      <w:r w:rsidRPr="0078109C">
        <w:rPr>
          <w:rFonts w:ascii="Palatino Linotype" w:hAnsi="Palatino Linotype" w:cs="Times New Roman"/>
          <w:sz w:val="22"/>
          <w:szCs w:val="22"/>
        </w:rPr>
        <w:t>; (2) they must be promulgated</w:t>
      </w:r>
      <w:r w:rsidR="008D5DD6" w:rsidRPr="0078109C">
        <w:rPr>
          <w:rFonts w:ascii="Palatino Linotype" w:hAnsi="Palatino Linotype" w:cs="Times New Roman"/>
          <w:sz w:val="22"/>
          <w:szCs w:val="22"/>
        </w:rPr>
        <w:t xml:space="preserve"> and made know</w:t>
      </w:r>
      <w:r w:rsidRPr="0078109C">
        <w:rPr>
          <w:rFonts w:ascii="Palatino Linotype" w:hAnsi="Palatino Linotype" w:cs="Times New Roman"/>
          <w:sz w:val="22"/>
          <w:szCs w:val="22"/>
        </w:rPr>
        <w:t>; (3) they must not be retroactive</w:t>
      </w:r>
      <w:r w:rsidR="008D5DD6" w:rsidRPr="0078109C">
        <w:rPr>
          <w:rFonts w:ascii="Palatino Linotype" w:hAnsi="Palatino Linotype" w:cs="Times New Roman"/>
          <w:sz w:val="22"/>
          <w:szCs w:val="22"/>
        </w:rPr>
        <w:t xml:space="preserve"> but must be prospective</w:t>
      </w:r>
      <w:r w:rsidRPr="0078109C">
        <w:rPr>
          <w:rFonts w:ascii="Palatino Linotype" w:hAnsi="Palatino Linotype" w:cs="Times New Roman"/>
          <w:sz w:val="22"/>
          <w:szCs w:val="22"/>
        </w:rPr>
        <w:t>; (4) they must be clear</w:t>
      </w:r>
      <w:r w:rsidR="008D5DD6" w:rsidRPr="0078109C">
        <w:rPr>
          <w:rFonts w:ascii="Palatino Linotype" w:hAnsi="Palatino Linotype" w:cs="Times New Roman"/>
          <w:sz w:val="22"/>
          <w:szCs w:val="22"/>
        </w:rPr>
        <w:t xml:space="preserve"> and possible to be understood</w:t>
      </w:r>
      <w:r w:rsidRPr="0078109C">
        <w:rPr>
          <w:rFonts w:ascii="Palatino Linotype" w:hAnsi="Palatino Linotype" w:cs="Times New Roman"/>
          <w:sz w:val="22"/>
          <w:szCs w:val="22"/>
        </w:rPr>
        <w:t>; (5) they must not be contradictory; (6) they must not require the impossible</w:t>
      </w:r>
      <w:r w:rsidR="008D5DD6" w:rsidRPr="0078109C">
        <w:rPr>
          <w:rFonts w:ascii="Palatino Linotype" w:hAnsi="Palatino Linotype" w:cs="Times New Roman"/>
          <w:sz w:val="22"/>
          <w:szCs w:val="22"/>
        </w:rPr>
        <w:t xml:space="preserve"> but only acts capable of being performed</w:t>
      </w:r>
      <w:r w:rsidRPr="0078109C">
        <w:rPr>
          <w:rFonts w:ascii="Palatino Linotype" w:hAnsi="Palatino Linotype" w:cs="Times New Roman"/>
          <w:sz w:val="22"/>
          <w:szCs w:val="22"/>
        </w:rPr>
        <w:t>; (7) they must not be changed too frequently</w:t>
      </w:r>
      <w:r w:rsidR="008D5DD6" w:rsidRPr="0078109C">
        <w:rPr>
          <w:rFonts w:ascii="Palatino Linotype" w:hAnsi="Palatino Linotype" w:cs="Times New Roman"/>
          <w:sz w:val="22"/>
          <w:szCs w:val="22"/>
        </w:rPr>
        <w:t xml:space="preserve"> but stable enough to provide guidance</w:t>
      </w:r>
      <w:r w:rsidRPr="0078109C">
        <w:rPr>
          <w:rFonts w:ascii="Palatino Linotype" w:hAnsi="Palatino Linotype" w:cs="Times New Roman"/>
          <w:sz w:val="22"/>
          <w:szCs w:val="22"/>
        </w:rPr>
        <w:t>; (8) there must be congruence between the law as written and the law as applied</w:t>
      </w:r>
      <w:r w:rsidR="008D5DD6" w:rsidRPr="0078109C">
        <w:rPr>
          <w:rFonts w:ascii="Palatino Linotype" w:hAnsi="Palatino Linotype" w:cs="Times New Roman"/>
          <w:sz w:val="22"/>
          <w:szCs w:val="22"/>
        </w:rPr>
        <w:t xml:space="preserve"> by officials</w:t>
      </w:r>
      <w:r w:rsidRPr="0078109C">
        <w:rPr>
          <w:rFonts w:ascii="Palatino Linotype" w:hAnsi="Palatino Linotype" w:cs="Times New Roman"/>
          <w:sz w:val="22"/>
          <w:szCs w:val="22"/>
        </w:rPr>
        <w:t>.</w:t>
      </w:r>
      <w:r w:rsidRPr="0078109C">
        <w:rPr>
          <w:rStyle w:val="FootnoteReference"/>
          <w:rFonts w:ascii="Palatino Linotype" w:hAnsi="Palatino Linotype" w:cs="Times New Roman"/>
          <w:sz w:val="22"/>
          <w:szCs w:val="22"/>
        </w:rPr>
        <w:footnoteReference w:id="17"/>
      </w:r>
      <w:r w:rsidRPr="0078109C">
        <w:rPr>
          <w:rFonts w:ascii="Palatino Linotype" w:hAnsi="Palatino Linotype" w:cs="Times New Roman"/>
          <w:sz w:val="22"/>
          <w:szCs w:val="22"/>
        </w:rPr>
        <w:t xml:space="preserve"> </w:t>
      </w:r>
      <w:r w:rsidR="009234CC">
        <w:rPr>
          <w:rFonts w:ascii="Palatino Linotype" w:hAnsi="Palatino Linotype" w:cs="Times New Roman"/>
          <w:sz w:val="22"/>
          <w:szCs w:val="22"/>
        </w:rPr>
        <w:t xml:space="preserve">The first seven desiderata ensure that the law is capable of being obeyed; the eight desideratum requires officials to apply that law properly. </w:t>
      </w:r>
      <w:r w:rsidR="006226CD">
        <w:rPr>
          <w:rFonts w:ascii="Palatino Linotype" w:hAnsi="Palatino Linotype" w:cs="Times New Roman"/>
          <w:sz w:val="22"/>
          <w:szCs w:val="22"/>
        </w:rPr>
        <w:t>Widespread d</w:t>
      </w:r>
      <w:r w:rsidRPr="0078109C">
        <w:rPr>
          <w:rFonts w:ascii="Palatino Linotype" w:hAnsi="Palatino Linotype" w:cs="Times New Roman"/>
          <w:sz w:val="22"/>
          <w:szCs w:val="22"/>
        </w:rPr>
        <w:t>isrespect of these principles, Fuller</w:t>
      </w:r>
      <w:r w:rsidR="005D1145" w:rsidRPr="0078109C">
        <w:rPr>
          <w:rFonts w:ascii="Palatino Linotype" w:hAnsi="Palatino Linotype" w:cs="Times New Roman"/>
          <w:sz w:val="22"/>
          <w:szCs w:val="22"/>
        </w:rPr>
        <w:t xml:space="preserve"> argued</w:t>
      </w:r>
      <w:r w:rsidRPr="0078109C">
        <w:rPr>
          <w:rFonts w:ascii="Palatino Linotype" w:hAnsi="Palatino Linotype" w:cs="Times New Roman"/>
          <w:sz w:val="22"/>
          <w:szCs w:val="22"/>
        </w:rPr>
        <w:t xml:space="preserve">, would lead to a complete failure to maintain a legal system based on rules </w:t>
      </w:r>
      <w:r w:rsidR="00FC2DEE" w:rsidRPr="0078109C">
        <w:rPr>
          <w:rFonts w:ascii="Palatino Linotype" w:hAnsi="Palatino Linotype" w:cs="Times New Roman"/>
          <w:sz w:val="22"/>
          <w:szCs w:val="22"/>
        </w:rPr>
        <w:t>designed</w:t>
      </w:r>
      <w:r w:rsidRPr="0078109C">
        <w:rPr>
          <w:rFonts w:ascii="Palatino Linotype" w:hAnsi="Palatino Linotype" w:cs="Times New Roman"/>
          <w:sz w:val="22"/>
          <w:szCs w:val="22"/>
        </w:rPr>
        <w:t xml:space="preserve"> to co-ordinat</w:t>
      </w:r>
      <w:r w:rsidR="00FC2DEE" w:rsidRPr="0078109C">
        <w:rPr>
          <w:rFonts w:ascii="Palatino Linotype" w:hAnsi="Palatino Linotype" w:cs="Times New Roman"/>
          <w:sz w:val="22"/>
          <w:szCs w:val="22"/>
        </w:rPr>
        <w:t>e</w:t>
      </w:r>
      <w:r w:rsidRPr="0078109C">
        <w:rPr>
          <w:rFonts w:ascii="Palatino Linotype" w:hAnsi="Palatino Linotype" w:cs="Times New Roman"/>
          <w:sz w:val="22"/>
          <w:szCs w:val="22"/>
        </w:rPr>
        <w:t xml:space="preserve"> human action at all. Instead, it would be a regime based on</w:t>
      </w:r>
      <w:r w:rsidR="00E11CDC" w:rsidRPr="0078109C">
        <w:rPr>
          <w:rFonts w:ascii="Palatino Linotype" w:hAnsi="Palatino Linotype" w:cs="Times New Roman"/>
          <w:sz w:val="22"/>
          <w:szCs w:val="22"/>
        </w:rPr>
        <w:t xml:space="preserve"> the</w:t>
      </w:r>
      <w:r w:rsidRPr="0078109C">
        <w:rPr>
          <w:rFonts w:ascii="Palatino Linotype" w:hAnsi="Palatino Linotype" w:cs="Times New Roman"/>
          <w:sz w:val="22"/>
          <w:szCs w:val="22"/>
        </w:rPr>
        <w:t xml:space="preserve"> arbitrary ad-hoc commands</w:t>
      </w:r>
      <w:r w:rsidR="00E11CDC" w:rsidRPr="0078109C">
        <w:rPr>
          <w:rFonts w:ascii="Palatino Linotype" w:hAnsi="Palatino Linotype" w:cs="Times New Roman"/>
          <w:sz w:val="22"/>
          <w:szCs w:val="22"/>
        </w:rPr>
        <w:t xml:space="preserve"> </w:t>
      </w:r>
      <w:r w:rsidRPr="0078109C">
        <w:rPr>
          <w:rFonts w:ascii="Palatino Linotype" w:hAnsi="Palatino Linotype" w:cs="Times New Roman"/>
          <w:sz w:val="22"/>
          <w:szCs w:val="22"/>
        </w:rPr>
        <w:t>of the powerful</w:t>
      </w:r>
      <w:r w:rsidR="006226CD">
        <w:rPr>
          <w:rFonts w:ascii="Palatino Linotype" w:hAnsi="Palatino Linotype" w:cs="Times New Roman"/>
          <w:sz w:val="22"/>
          <w:szCs w:val="22"/>
        </w:rPr>
        <w:t>—a</w:t>
      </w:r>
      <w:r w:rsidR="005D1145" w:rsidRPr="0078109C">
        <w:rPr>
          <w:rFonts w:ascii="Palatino Linotype" w:hAnsi="Palatino Linotype" w:cs="Times New Roman"/>
          <w:sz w:val="22"/>
          <w:szCs w:val="22"/>
        </w:rPr>
        <w:t xml:space="preserve"> </w:t>
      </w:r>
      <w:r w:rsidR="006226CD">
        <w:rPr>
          <w:rFonts w:ascii="Palatino Linotype" w:hAnsi="Palatino Linotype" w:cs="Times New Roman"/>
          <w:sz w:val="22"/>
          <w:szCs w:val="22"/>
        </w:rPr>
        <w:t xml:space="preserve">government </w:t>
      </w:r>
      <w:r w:rsidR="005D1145" w:rsidRPr="0078109C">
        <w:rPr>
          <w:rFonts w:ascii="Palatino Linotype" w:hAnsi="Palatino Linotype" w:cs="Times New Roman"/>
          <w:sz w:val="22"/>
          <w:szCs w:val="22"/>
        </w:rPr>
        <w:t xml:space="preserve">of </w:t>
      </w:r>
      <w:r w:rsidR="006226CD" w:rsidRPr="006226CD">
        <w:rPr>
          <w:rFonts w:ascii="Palatino Linotype" w:hAnsi="Palatino Linotype" w:cs="Times New Roman"/>
          <w:i/>
          <w:iCs/>
          <w:sz w:val="22"/>
          <w:szCs w:val="22"/>
        </w:rPr>
        <w:t>people</w:t>
      </w:r>
      <w:r w:rsidR="005D1145" w:rsidRPr="0078109C">
        <w:rPr>
          <w:rFonts w:ascii="Palatino Linotype" w:hAnsi="Palatino Linotype" w:cs="Times New Roman"/>
          <w:sz w:val="22"/>
          <w:szCs w:val="22"/>
        </w:rPr>
        <w:t xml:space="preserve"> and not </w:t>
      </w:r>
      <w:r w:rsidR="006226CD">
        <w:rPr>
          <w:rFonts w:ascii="Palatino Linotype" w:hAnsi="Palatino Linotype" w:cs="Times New Roman"/>
          <w:sz w:val="22"/>
          <w:szCs w:val="22"/>
        </w:rPr>
        <w:t xml:space="preserve">of </w:t>
      </w:r>
      <w:r w:rsidR="005D1145" w:rsidRPr="0078109C">
        <w:rPr>
          <w:rFonts w:ascii="Palatino Linotype" w:hAnsi="Palatino Linotype" w:cs="Times New Roman"/>
          <w:sz w:val="22"/>
          <w:szCs w:val="22"/>
        </w:rPr>
        <w:t>law</w:t>
      </w:r>
      <w:r w:rsidR="006226CD">
        <w:rPr>
          <w:rFonts w:ascii="Palatino Linotype" w:hAnsi="Palatino Linotype" w:cs="Times New Roman"/>
          <w:sz w:val="22"/>
          <w:szCs w:val="22"/>
        </w:rPr>
        <w:t>s</w:t>
      </w:r>
      <w:r w:rsidR="005D1145" w:rsidRPr="0078109C">
        <w:rPr>
          <w:rFonts w:ascii="Palatino Linotype" w:hAnsi="Palatino Linotype" w:cs="Times New Roman"/>
          <w:sz w:val="22"/>
          <w:szCs w:val="22"/>
        </w:rPr>
        <w:t>.</w:t>
      </w:r>
      <w:r w:rsidR="006226CD">
        <w:rPr>
          <w:rStyle w:val="FootnoteReference"/>
          <w:rFonts w:ascii="Palatino Linotype" w:hAnsi="Palatino Linotype" w:cs="Times New Roman"/>
          <w:sz w:val="22"/>
          <w:szCs w:val="22"/>
        </w:rPr>
        <w:footnoteReference w:id="18"/>
      </w:r>
    </w:p>
    <w:p w14:paraId="7359CBD3" w14:textId="2224A980" w:rsidR="00A80C5D" w:rsidRPr="006226CD" w:rsidRDefault="006226CD" w:rsidP="006226CD">
      <w:pPr>
        <w:spacing w:line="360" w:lineRule="auto"/>
        <w:ind w:firstLine="720"/>
        <w:jc w:val="both"/>
        <w:rPr>
          <w:rFonts w:ascii="Palatino Linotype" w:hAnsi="Palatino Linotype" w:cs="Times New Roman"/>
          <w:b/>
          <w:bCs/>
          <w:sz w:val="22"/>
          <w:szCs w:val="22"/>
        </w:rPr>
      </w:pPr>
      <w:r>
        <w:rPr>
          <w:rFonts w:ascii="Palatino Linotype" w:hAnsi="Palatino Linotype" w:cs="Times New Roman"/>
          <w:sz w:val="22"/>
          <w:szCs w:val="22"/>
        </w:rPr>
        <w:lastRenderedPageBreak/>
        <w:t>D</w:t>
      </w:r>
      <w:r w:rsidR="00A80C5D" w:rsidRPr="0078109C">
        <w:rPr>
          <w:rFonts w:ascii="Palatino Linotype" w:hAnsi="Palatino Linotype" w:cs="Times New Roman"/>
          <w:sz w:val="22"/>
          <w:szCs w:val="22"/>
        </w:rPr>
        <w:t xml:space="preserve">isrespect for rule of law principles makes it unclear what obligations citizens </w:t>
      </w:r>
      <w:r w:rsidR="005D1145" w:rsidRPr="0078109C">
        <w:rPr>
          <w:rFonts w:ascii="Palatino Linotype" w:hAnsi="Palatino Linotype" w:cs="Times New Roman"/>
          <w:sz w:val="22"/>
          <w:szCs w:val="22"/>
        </w:rPr>
        <w:t>must</w:t>
      </w:r>
      <w:r w:rsidR="00A80C5D" w:rsidRPr="0078109C">
        <w:rPr>
          <w:rFonts w:ascii="Palatino Linotype" w:hAnsi="Palatino Linotype" w:cs="Times New Roman"/>
          <w:sz w:val="22"/>
          <w:szCs w:val="22"/>
        </w:rPr>
        <w:t xml:space="preserve"> follow, leaving them unsure of how to plan their behaviour to accord with </w:t>
      </w:r>
      <w:r w:rsidR="0075321F" w:rsidRPr="0078109C">
        <w:rPr>
          <w:rFonts w:ascii="Palatino Linotype" w:hAnsi="Palatino Linotype" w:cs="Times New Roman"/>
          <w:sz w:val="22"/>
          <w:szCs w:val="22"/>
        </w:rPr>
        <w:t>the law</w:t>
      </w:r>
      <w:r w:rsidR="00A80C5D" w:rsidRPr="0078109C">
        <w:rPr>
          <w:rFonts w:ascii="Palatino Linotype" w:hAnsi="Palatino Linotype" w:cs="Times New Roman"/>
          <w:sz w:val="22"/>
          <w:szCs w:val="22"/>
        </w:rPr>
        <w:t>. This, in turn, implicitly denotes a lack of ‘official recognition and respect for human dignity and individual autonomy’.</w:t>
      </w:r>
      <w:r w:rsidR="00A80C5D" w:rsidRPr="0078109C">
        <w:rPr>
          <w:rStyle w:val="FootnoteReference"/>
          <w:rFonts w:ascii="Palatino Linotype" w:hAnsi="Palatino Linotype" w:cs="Times New Roman"/>
          <w:sz w:val="22"/>
          <w:szCs w:val="22"/>
        </w:rPr>
        <w:footnoteReference w:id="19"/>
      </w:r>
      <w:r w:rsidR="00A80C5D" w:rsidRPr="0078109C">
        <w:rPr>
          <w:rFonts w:ascii="Palatino Linotype" w:hAnsi="Palatino Linotype" w:cs="Times New Roman"/>
          <w:sz w:val="22"/>
          <w:szCs w:val="22"/>
        </w:rPr>
        <w:t xml:space="preserve"> </w:t>
      </w:r>
      <w:r>
        <w:rPr>
          <w:rFonts w:ascii="Palatino Linotype" w:hAnsi="Palatino Linotype" w:cs="Times New Roman"/>
          <w:sz w:val="22"/>
          <w:szCs w:val="22"/>
        </w:rPr>
        <w:t xml:space="preserve">According to Fuller, severe </w:t>
      </w:r>
      <w:r w:rsidR="00A80C5D" w:rsidRPr="0078109C">
        <w:rPr>
          <w:rFonts w:ascii="Palatino Linotype" w:hAnsi="Palatino Linotype" w:cs="Times New Roman"/>
          <w:sz w:val="22"/>
          <w:szCs w:val="22"/>
        </w:rPr>
        <w:t xml:space="preserve">departure from </w:t>
      </w:r>
      <w:r>
        <w:rPr>
          <w:rFonts w:ascii="Palatino Linotype" w:hAnsi="Palatino Linotype" w:cs="Times New Roman"/>
          <w:sz w:val="22"/>
          <w:szCs w:val="22"/>
        </w:rPr>
        <w:t xml:space="preserve">the </w:t>
      </w:r>
      <w:r w:rsidR="00A80C5D" w:rsidRPr="0078109C">
        <w:rPr>
          <w:rFonts w:ascii="Palatino Linotype" w:hAnsi="Palatino Linotype" w:cs="Times New Roman"/>
          <w:sz w:val="22"/>
          <w:szCs w:val="22"/>
        </w:rPr>
        <w:t xml:space="preserve">rule of law represents an ‘affront to man’s dignity as a responsible agent’ </w:t>
      </w:r>
      <w:r>
        <w:rPr>
          <w:rFonts w:ascii="Palatino Linotype" w:hAnsi="Palatino Linotype" w:cs="Times New Roman"/>
          <w:sz w:val="22"/>
          <w:szCs w:val="22"/>
        </w:rPr>
        <w:t xml:space="preserve">, showing </w:t>
      </w:r>
      <w:r w:rsidR="00A80C5D" w:rsidRPr="0078109C">
        <w:rPr>
          <w:rFonts w:ascii="Palatino Linotype" w:hAnsi="Palatino Linotype" w:cs="Times New Roman"/>
          <w:sz w:val="22"/>
          <w:szCs w:val="22"/>
        </w:rPr>
        <w:t>‘indifference to his power of self-determination’ whatever collateral benefits it might have in securing public compliance with a desired policy.</w:t>
      </w:r>
      <w:r w:rsidR="00A80C5D" w:rsidRPr="0078109C">
        <w:rPr>
          <w:rStyle w:val="FootnoteReference"/>
          <w:rFonts w:ascii="Palatino Linotype" w:hAnsi="Palatino Linotype" w:cs="Times New Roman"/>
          <w:sz w:val="22"/>
          <w:szCs w:val="22"/>
        </w:rPr>
        <w:footnoteReference w:id="20"/>
      </w:r>
      <w:r w:rsidR="00A80C5D" w:rsidRPr="0078109C">
        <w:rPr>
          <w:rFonts w:ascii="Palatino Linotype" w:hAnsi="Palatino Linotype" w:cs="Times New Roman"/>
          <w:b/>
          <w:bCs/>
          <w:sz w:val="22"/>
          <w:szCs w:val="22"/>
        </w:rPr>
        <w:t xml:space="preserve"> </w:t>
      </w:r>
      <w:r w:rsidR="00FB3DA1" w:rsidRPr="0078109C">
        <w:rPr>
          <w:rFonts w:ascii="Palatino Linotype" w:hAnsi="Palatino Linotype" w:cs="Times New Roman"/>
          <w:sz w:val="22"/>
          <w:szCs w:val="22"/>
        </w:rPr>
        <w:t>Sunstein and Vermeule point out how</w:t>
      </w:r>
      <w:r w:rsidR="00A80C5D" w:rsidRPr="0078109C">
        <w:rPr>
          <w:rFonts w:ascii="Palatino Linotype" w:hAnsi="Palatino Linotype" w:cs="Times New Roman"/>
          <w:sz w:val="22"/>
          <w:szCs w:val="22"/>
        </w:rPr>
        <w:t xml:space="preserve"> </w:t>
      </w:r>
      <w:r w:rsidR="00CE2783">
        <w:rPr>
          <w:rFonts w:ascii="Palatino Linotype" w:hAnsi="Palatino Linotype" w:cs="Times New Roman"/>
          <w:sz w:val="22"/>
          <w:szCs w:val="22"/>
        </w:rPr>
        <w:t xml:space="preserve">even lesser </w:t>
      </w:r>
      <w:r w:rsidR="00A80C5D" w:rsidRPr="0078109C">
        <w:rPr>
          <w:rFonts w:ascii="Palatino Linotype" w:hAnsi="Palatino Linotype" w:cs="Times New Roman"/>
          <w:sz w:val="22"/>
          <w:szCs w:val="22"/>
        </w:rPr>
        <w:t xml:space="preserve">disrespect </w:t>
      </w:r>
      <w:r w:rsidR="00CE2783">
        <w:rPr>
          <w:rFonts w:ascii="Palatino Linotype" w:hAnsi="Palatino Linotype" w:cs="Times New Roman"/>
          <w:sz w:val="22"/>
          <w:szCs w:val="22"/>
        </w:rPr>
        <w:t xml:space="preserve">of </w:t>
      </w:r>
      <w:r w:rsidR="00A80C5D" w:rsidRPr="0078109C">
        <w:rPr>
          <w:rFonts w:ascii="Palatino Linotype" w:hAnsi="Palatino Linotype" w:cs="Times New Roman"/>
          <w:sz w:val="22"/>
          <w:szCs w:val="22"/>
        </w:rPr>
        <w:t>the</w:t>
      </w:r>
      <w:r w:rsidR="00CE2783">
        <w:rPr>
          <w:rFonts w:ascii="Palatino Linotype" w:hAnsi="Palatino Linotype" w:cs="Times New Roman"/>
          <w:sz w:val="22"/>
          <w:szCs w:val="22"/>
        </w:rPr>
        <w:t>se ideas</w:t>
      </w:r>
      <w:r w:rsidR="00A80C5D" w:rsidRPr="0078109C">
        <w:rPr>
          <w:rFonts w:ascii="Palatino Linotype" w:hAnsi="Palatino Linotype" w:cs="Times New Roman"/>
          <w:sz w:val="22"/>
          <w:szCs w:val="22"/>
        </w:rPr>
        <w:t xml:space="preserve"> can lead to ‘serious problems — from the standpoint of democratic accountability, liberty, and welfare’ which arise ‘if public officials have the discretion to do whatever they want, if citizens have to guess about what the law is, and if people are unable to plan their affairs.’</w:t>
      </w:r>
      <w:r w:rsidR="00A80C5D" w:rsidRPr="0078109C">
        <w:rPr>
          <w:rStyle w:val="FootnoteReference"/>
          <w:rFonts w:ascii="Palatino Linotype" w:hAnsi="Palatino Linotype" w:cs="Times New Roman"/>
          <w:sz w:val="22"/>
          <w:szCs w:val="22"/>
        </w:rPr>
        <w:footnoteReference w:id="21"/>
      </w:r>
      <w:r w:rsidR="00A80C5D" w:rsidRPr="0078109C">
        <w:rPr>
          <w:rFonts w:ascii="Palatino Linotype" w:hAnsi="Palatino Linotype" w:cs="Times New Roman"/>
          <w:sz w:val="22"/>
          <w:szCs w:val="22"/>
        </w:rPr>
        <w:t xml:space="preserve"> </w:t>
      </w:r>
    </w:p>
    <w:p w14:paraId="7CDD0910" w14:textId="61052F36" w:rsidR="00FC0DCE" w:rsidRPr="0078109C" w:rsidRDefault="00114637" w:rsidP="00114637">
      <w:pPr>
        <w:spacing w:line="360" w:lineRule="auto"/>
        <w:ind w:firstLine="720"/>
        <w:jc w:val="both"/>
        <w:rPr>
          <w:rFonts w:ascii="Palatino Linotype" w:hAnsi="Palatino Linotype" w:cs="Times New Roman"/>
          <w:sz w:val="22"/>
          <w:szCs w:val="22"/>
        </w:rPr>
      </w:pPr>
      <w:r>
        <w:rPr>
          <w:rFonts w:ascii="Palatino Linotype" w:hAnsi="Palatino Linotype" w:cs="Times New Roman"/>
          <w:sz w:val="22"/>
          <w:szCs w:val="22"/>
        </w:rPr>
        <w:t>The rule of law is not expressly</w:t>
      </w:r>
      <w:r w:rsidR="00A80C5D" w:rsidRPr="0078109C">
        <w:rPr>
          <w:rFonts w:ascii="Palatino Linotype" w:hAnsi="Palatino Linotype" w:cs="Times New Roman"/>
          <w:sz w:val="22"/>
          <w:szCs w:val="22"/>
        </w:rPr>
        <w:t xml:space="preserve"> mentioned in our Constitution</w:t>
      </w:r>
      <w:r>
        <w:rPr>
          <w:rFonts w:ascii="Palatino Linotype" w:hAnsi="Palatino Linotype" w:cs="Times New Roman"/>
          <w:sz w:val="22"/>
          <w:szCs w:val="22"/>
        </w:rPr>
        <w:t xml:space="preserve">, but it lives in and is instantiated by many of its provisions, and </w:t>
      </w:r>
      <w:r w:rsidR="0075321F" w:rsidRPr="0078109C">
        <w:rPr>
          <w:rFonts w:ascii="Palatino Linotype" w:hAnsi="Palatino Linotype" w:cs="Times New Roman"/>
          <w:sz w:val="22"/>
          <w:szCs w:val="22"/>
        </w:rPr>
        <w:t>is</w:t>
      </w:r>
      <w:r w:rsidR="000433A8" w:rsidRPr="0078109C">
        <w:rPr>
          <w:rFonts w:ascii="Palatino Linotype" w:hAnsi="Palatino Linotype" w:cs="Times New Roman"/>
          <w:sz w:val="22"/>
          <w:szCs w:val="22"/>
        </w:rPr>
        <w:t xml:space="preserve"> </w:t>
      </w:r>
      <w:r w:rsidR="00A80C5D" w:rsidRPr="0078109C">
        <w:rPr>
          <w:rFonts w:ascii="Palatino Linotype" w:hAnsi="Palatino Linotype" w:cs="Times New Roman"/>
          <w:sz w:val="22"/>
          <w:szCs w:val="22"/>
        </w:rPr>
        <w:t xml:space="preserve">regarded by our </w:t>
      </w:r>
      <w:r>
        <w:rPr>
          <w:rFonts w:ascii="Palatino Linotype" w:hAnsi="Palatino Linotype" w:cs="Times New Roman"/>
          <w:sz w:val="22"/>
          <w:szCs w:val="22"/>
        </w:rPr>
        <w:t>c</w:t>
      </w:r>
      <w:r w:rsidR="00A80C5D" w:rsidRPr="0078109C">
        <w:rPr>
          <w:rFonts w:ascii="Palatino Linotype" w:hAnsi="Palatino Linotype" w:cs="Times New Roman"/>
          <w:sz w:val="22"/>
          <w:szCs w:val="22"/>
        </w:rPr>
        <w:t xml:space="preserve">ourts </w:t>
      </w:r>
      <w:r w:rsidR="005D1145" w:rsidRPr="0078109C">
        <w:rPr>
          <w:rFonts w:ascii="Palatino Linotype" w:hAnsi="Palatino Linotype" w:cs="Times New Roman"/>
          <w:sz w:val="22"/>
          <w:szCs w:val="22"/>
        </w:rPr>
        <w:t>as an</w:t>
      </w:r>
      <w:r w:rsidR="0075321F" w:rsidRPr="0078109C">
        <w:rPr>
          <w:rFonts w:ascii="Palatino Linotype" w:hAnsi="Palatino Linotype" w:cs="Times New Roman"/>
          <w:sz w:val="22"/>
          <w:szCs w:val="22"/>
        </w:rPr>
        <w:t xml:space="preserve"> </w:t>
      </w:r>
      <w:r w:rsidR="00A80C5D" w:rsidRPr="0078109C">
        <w:rPr>
          <w:rFonts w:ascii="Palatino Linotype" w:hAnsi="Palatino Linotype" w:cs="Times New Roman"/>
          <w:sz w:val="22"/>
          <w:szCs w:val="22"/>
        </w:rPr>
        <w:t xml:space="preserve">important underlying commitment of </w:t>
      </w:r>
      <w:r w:rsidR="0075321F" w:rsidRPr="0078109C">
        <w:rPr>
          <w:rFonts w:ascii="Palatino Linotype" w:hAnsi="Palatino Linotype" w:cs="Times New Roman"/>
          <w:sz w:val="22"/>
          <w:szCs w:val="22"/>
        </w:rPr>
        <w:t>our legal system</w:t>
      </w:r>
      <w:r w:rsidR="00A80C5D" w:rsidRPr="0078109C">
        <w:rPr>
          <w:rFonts w:ascii="Palatino Linotype" w:hAnsi="Palatino Linotype" w:cs="Times New Roman"/>
          <w:sz w:val="22"/>
          <w:szCs w:val="22"/>
        </w:rPr>
        <w:t>.</w:t>
      </w:r>
      <w:r w:rsidR="00A80C5D" w:rsidRPr="0078109C">
        <w:rPr>
          <w:rStyle w:val="FootnoteReference"/>
          <w:rFonts w:ascii="Palatino Linotype" w:hAnsi="Palatino Linotype" w:cs="Times New Roman"/>
          <w:sz w:val="22"/>
          <w:szCs w:val="22"/>
        </w:rPr>
        <w:footnoteReference w:id="22"/>
      </w:r>
      <w:r w:rsidR="00A80C5D" w:rsidRPr="0078109C">
        <w:rPr>
          <w:rFonts w:ascii="Palatino Linotype" w:hAnsi="Palatino Linotype" w:cs="Times New Roman"/>
          <w:sz w:val="22"/>
          <w:szCs w:val="22"/>
        </w:rPr>
        <w:t xml:space="preserve">  </w:t>
      </w:r>
      <w:r w:rsidR="00321FB8" w:rsidRPr="0078109C">
        <w:rPr>
          <w:rFonts w:ascii="Palatino Linotype" w:hAnsi="Palatino Linotype" w:cs="Times New Roman"/>
          <w:sz w:val="22"/>
          <w:szCs w:val="22"/>
        </w:rPr>
        <w:t>They have</w:t>
      </w:r>
      <w:r w:rsidR="0036338B" w:rsidRPr="0078109C">
        <w:rPr>
          <w:rFonts w:ascii="Palatino Linotype" w:hAnsi="Palatino Linotype" w:cs="Times New Roman"/>
          <w:sz w:val="22"/>
          <w:szCs w:val="22"/>
        </w:rPr>
        <w:t>, for example,</w:t>
      </w:r>
      <w:r w:rsidR="00321FB8" w:rsidRPr="0078109C">
        <w:rPr>
          <w:rFonts w:ascii="Palatino Linotype" w:hAnsi="Palatino Linotype" w:cs="Times New Roman"/>
          <w:sz w:val="22"/>
          <w:szCs w:val="22"/>
        </w:rPr>
        <w:t xml:space="preserve"> drawn on such principles when holding that the Constitution requires that criminal offences cannot be overly vague, that </w:t>
      </w:r>
      <w:r w:rsidR="00A80C5D" w:rsidRPr="0078109C">
        <w:rPr>
          <w:rFonts w:ascii="Palatino Linotype" w:hAnsi="Palatino Linotype" w:cs="Times New Roman"/>
          <w:sz w:val="22"/>
          <w:szCs w:val="22"/>
        </w:rPr>
        <w:t>Government</w:t>
      </w:r>
      <w:r w:rsidR="00321FB8" w:rsidRPr="0078109C">
        <w:rPr>
          <w:rFonts w:ascii="Palatino Linotype" w:hAnsi="Palatino Linotype" w:cs="Times New Roman"/>
          <w:sz w:val="22"/>
          <w:szCs w:val="22"/>
        </w:rPr>
        <w:t xml:space="preserve"> cannot constitutionally be granted statutory power to act arbitrarily, and that restrictions on fundamental rights must be expressed in clear statutory language.</w:t>
      </w:r>
      <w:r w:rsidR="00321FB8" w:rsidRPr="0078109C">
        <w:rPr>
          <w:rStyle w:val="FootnoteReference"/>
          <w:rFonts w:ascii="Palatino Linotype" w:hAnsi="Palatino Linotype" w:cs="Times New Roman"/>
          <w:sz w:val="22"/>
          <w:szCs w:val="22"/>
        </w:rPr>
        <w:footnoteReference w:id="23"/>
      </w:r>
      <w:r w:rsidR="00321FB8" w:rsidRPr="0078109C">
        <w:rPr>
          <w:rFonts w:ascii="Palatino Linotype" w:hAnsi="Palatino Linotype" w:cs="Times New Roman"/>
          <w:sz w:val="22"/>
          <w:szCs w:val="22"/>
        </w:rPr>
        <w:t xml:space="preserve"> </w:t>
      </w:r>
      <w:r>
        <w:rPr>
          <w:rFonts w:ascii="Palatino Linotype" w:hAnsi="Palatino Linotype" w:cs="Times New Roman"/>
          <w:sz w:val="22"/>
          <w:szCs w:val="22"/>
        </w:rPr>
        <w:t xml:space="preserve">Given the importance of this principle to </w:t>
      </w:r>
      <w:r w:rsidR="00A80C5D" w:rsidRPr="0078109C">
        <w:rPr>
          <w:rFonts w:ascii="Palatino Linotype" w:hAnsi="Palatino Linotype" w:cs="Times New Roman"/>
          <w:sz w:val="22"/>
          <w:szCs w:val="22"/>
        </w:rPr>
        <w:t>our constitutional order</w:t>
      </w:r>
      <w:r>
        <w:rPr>
          <w:rFonts w:ascii="Palatino Linotype" w:hAnsi="Palatino Linotype" w:cs="Times New Roman"/>
          <w:sz w:val="22"/>
          <w:szCs w:val="22"/>
        </w:rPr>
        <w:t xml:space="preserve">, </w:t>
      </w:r>
      <w:r w:rsidR="0083283D" w:rsidRPr="0078109C">
        <w:rPr>
          <w:rFonts w:ascii="Palatino Linotype" w:hAnsi="Palatino Linotype" w:cs="Times New Roman"/>
          <w:sz w:val="22"/>
          <w:szCs w:val="22"/>
        </w:rPr>
        <w:t>the</w:t>
      </w:r>
      <w:r w:rsidR="00A80C5D" w:rsidRPr="0078109C">
        <w:rPr>
          <w:rFonts w:ascii="Palatino Linotype" w:hAnsi="Palatino Linotype" w:cs="Times New Roman"/>
          <w:sz w:val="22"/>
          <w:szCs w:val="22"/>
        </w:rPr>
        <w:t xml:space="preserve"> Irish State’s treatment of rule of law values</w:t>
      </w:r>
      <w:r w:rsidR="0075321F" w:rsidRPr="0078109C">
        <w:rPr>
          <w:rFonts w:ascii="Palatino Linotype" w:hAnsi="Palatino Linotype" w:cs="Times New Roman"/>
          <w:sz w:val="22"/>
          <w:szCs w:val="22"/>
        </w:rPr>
        <w:t xml:space="preserve"> during the pandemic</w:t>
      </w:r>
      <w:r w:rsidR="00A80C5D" w:rsidRPr="0078109C">
        <w:rPr>
          <w:rFonts w:ascii="Palatino Linotype" w:hAnsi="Palatino Linotype" w:cs="Times New Roman"/>
          <w:sz w:val="22"/>
          <w:szCs w:val="22"/>
        </w:rPr>
        <w:t xml:space="preserve"> </w:t>
      </w:r>
      <w:r>
        <w:rPr>
          <w:rFonts w:ascii="Palatino Linotype" w:hAnsi="Palatino Linotype" w:cs="Times New Roman"/>
          <w:sz w:val="22"/>
          <w:szCs w:val="22"/>
        </w:rPr>
        <w:t xml:space="preserve">is </w:t>
      </w:r>
      <w:r w:rsidR="0083283D" w:rsidRPr="0078109C">
        <w:rPr>
          <w:rFonts w:ascii="Palatino Linotype" w:hAnsi="Palatino Linotype" w:cs="Times New Roman"/>
          <w:sz w:val="22"/>
          <w:szCs w:val="22"/>
        </w:rPr>
        <w:t xml:space="preserve">a </w:t>
      </w:r>
      <w:r w:rsidR="00A80C5D" w:rsidRPr="0078109C">
        <w:rPr>
          <w:rFonts w:ascii="Palatino Linotype" w:hAnsi="Palatino Linotype" w:cs="Times New Roman"/>
          <w:sz w:val="22"/>
          <w:szCs w:val="22"/>
        </w:rPr>
        <w:t>cause for concern</w:t>
      </w:r>
      <w:r w:rsidR="0075321F" w:rsidRPr="0078109C">
        <w:rPr>
          <w:rFonts w:ascii="Palatino Linotype" w:hAnsi="Palatino Linotype" w:cs="Times New Roman"/>
          <w:sz w:val="22"/>
          <w:szCs w:val="22"/>
        </w:rPr>
        <w:t xml:space="preserve"> and </w:t>
      </w:r>
      <w:r>
        <w:rPr>
          <w:rFonts w:ascii="Palatino Linotype" w:hAnsi="Palatino Linotype" w:cs="Times New Roman"/>
          <w:sz w:val="22"/>
          <w:szCs w:val="22"/>
        </w:rPr>
        <w:t>for reflection</w:t>
      </w:r>
      <w:r w:rsidR="00A80C5D" w:rsidRPr="0078109C">
        <w:rPr>
          <w:rFonts w:ascii="Palatino Linotype" w:hAnsi="Palatino Linotype" w:cs="Times New Roman"/>
          <w:sz w:val="22"/>
          <w:szCs w:val="22"/>
        </w:rPr>
        <w:t xml:space="preserve">. </w:t>
      </w:r>
    </w:p>
    <w:p w14:paraId="5DB5186B" w14:textId="0C41015F" w:rsidR="0083283D" w:rsidRDefault="009F3418" w:rsidP="004E3D87">
      <w:pPr>
        <w:spacing w:afterLines="120" w:after="288" w:line="360" w:lineRule="auto"/>
        <w:ind w:firstLine="360"/>
        <w:jc w:val="both"/>
        <w:rPr>
          <w:rFonts w:ascii="Palatino Linotype" w:eastAsia="Calibri" w:hAnsi="Palatino Linotype" w:cs="Times New Roman"/>
          <w:sz w:val="22"/>
          <w:szCs w:val="22"/>
          <w:lang w:val="en-IE"/>
        </w:rPr>
      </w:pPr>
      <w:r w:rsidRPr="0078109C">
        <w:rPr>
          <w:rFonts w:ascii="Palatino Linotype" w:eastAsia="Calibri" w:hAnsi="Palatino Linotype" w:cs="Times New Roman"/>
          <w:sz w:val="22"/>
          <w:szCs w:val="22"/>
          <w:lang w:val="en-IE"/>
        </w:rPr>
        <w:t xml:space="preserve">We will examine </w:t>
      </w:r>
      <w:r w:rsidR="00174417">
        <w:rPr>
          <w:rFonts w:ascii="Palatino Linotype" w:eastAsia="Calibri" w:hAnsi="Palatino Linotype" w:cs="Times New Roman"/>
          <w:sz w:val="22"/>
          <w:szCs w:val="22"/>
          <w:lang w:val="en-IE"/>
        </w:rPr>
        <w:t xml:space="preserve">how </w:t>
      </w:r>
      <w:r w:rsidR="0033731C" w:rsidRPr="0078109C">
        <w:rPr>
          <w:rFonts w:ascii="Palatino Linotype" w:eastAsia="Calibri" w:hAnsi="Palatino Linotype" w:cs="Times New Roman"/>
          <w:sz w:val="22"/>
          <w:szCs w:val="22"/>
          <w:lang w:val="en-IE"/>
        </w:rPr>
        <w:t>two</w:t>
      </w:r>
      <w:r w:rsidRPr="0078109C">
        <w:rPr>
          <w:rFonts w:ascii="Palatino Linotype" w:eastAsia="Calibri" w:hAnsi="Palatino Linotype" w:cs="Times New Roman"/>
          <w:sz w:val="22"/>
          <w:szCs w:val="22"/>
          <w:lang w:val="en-IE"/>
        </w:rPr>
        <w:t xml:space="preserve"> trends related to the</w:t>
      </w:r>
      <w:r w:rsidR="00BA4A45" w:rsidRPr="0078109C">
        <w:rPr>
          <w:rFonts w:ascii="Palatino Linotype" w:eastAsia="Calibri" w:hAnsi="Palatino Linotype" w:cs="Times New Roman"/>
          <w:sz w:val="22"/>
          <w:szCs w:val="22"/>
          <w:lang w:val="en-IE"/>
        </w:rPr>
        <w:t xml:space="preserve"> presentation</w:t>
      </w:r>
      <w:r w:rsidR="0075321F" w:rsidRPr="0078109C">
        <w:rPr>
          <w:rFonts w:ascii="Palatino Linotype" w:eastAsia="Calibri" w:hAnsi="Palatino Linotype" w:cs="Times New Roman"/>
          <w:sz w:val="22"/>
          <w:szCs w:val="22"/>
          <w:lang w:val="en-IE"/>
        </w:rPr>
        <w:t xml:space="preserve"> and </w:t>
      </w:r>
      <w:r w:rsidR="00FC0DCE" w:rsidRPr="0078109C">
        <w:rPr>
          <w:rFonts w:ascii="Palatino Linotype" w:eastAsia="Calibri" w:hAnsi="Palatino Linotype" w:cs="Times New Roman"/>
          <w:sz w:val="22"/>
          <w:szCs w:val="22"/>
          <w:lang w:val="en-IE"/>
        </w:rPr>
        <w:t>enforcement</w:t>
      </w:r>
      <w:r w:rsidR="00BA4A45" w:rsidRPr="0078109C">
        <w:rPr>
          <w:rFonts w:ascii="Palatino Linotype" w:eastAsia="Calibri" w:hAnsi="Palatino Linotype" w:cs="Times New Roman"/>
          <w:sz w:val="22"/>
          <w:szCs w:val="22"/>
          <w:lang w:val="en-IE"/>
        </w:rPr>
        <w:t xml:space="preserve"> of Regulations</w:t>
      </w:r>
      <w:r w:rsidR="00174417">
        <w:rPr>
          <w:rFonts w:ascii="Palatino Linotype" w:eastAsia="Calibri" w:hAnsi="Palatino Linotype" w:cs="Times New Roman"/>
          <w:sz w:val="22"/>
          <w:szCs w:val="22"/>
          <w:lang w:val="en-IE"/>
        </w:rPr>
        <w:t xml:space="preserve"> implicate rule of law values</w:t>
      </w:r>
      <w:r w:rsidR="00BA4A45" w:rsidRPr="0078109C">
        <w:rPr>
          <w:rFonts w:ascii="Palatino Linotype" w:eastAsia="Calibri" w:hAnsi="Palatino Linotype" w:cs="Times New Roman"/>
          <w:sz w:val="22"/>
          <w:szCs w:val="22"/>
          <w:lang w:val="en-IE"/>
        </w:rPr>
        <w:t xml:space="preserve">. </w:t>
      </w:r>
      <w:r w:rsidR="0033731C" w:rsidRPr="0078109C">
        <w:rPr>
          <w:rFonts w:ascii="Palatino Linotype" w:eastAsia="Calibri" w:hAnsi="Palatino Linotype" w:cs="Times New Roman"/>
          <w:sz w:val="22"/>
          <w:szCs w:val="22"/>
          <w:lang w:val="en-IE"/>
        </w:rPr>
        <w:t>First,</w:t>
      </w:r>
      <w:r w:rsidRPr="0078109C">
        <w:rPr>
          <w:rFonts w:ascii="Palatino Linotype" w:eastAsia="Calibri" w:hAnsi="Palatino Linotype" w:cs="Times New Roman"/>
          <w:sz w:val="22"/>
          <w:szCs w:val="22"/>
          <w:lang w:val="en-IE"/>
        </w:rPr>
        <w:t xml:space="preserve"> </w:t>
      </w:r>
      <w:r w:rsidR="00BA4A45" w:rsidRPr="0078109C">
        <w:rPr>
          <w:rFonts w:ascii="Palatino Linotype" w:eastAsia="Calibri" w:hAnsi="Palatino Linotype" w:cs="Times New Roman"/>
          <w:sz w:val="22"/>
          <w:szCs w:val="22"/>
          <w:lang w:val="en-IE"/>
        </w:rPr>
        <w:t>official government statements have provided misleading accounts of what the law requires</w:t>
      </w:r>
      <w:r w:rsidRPr="0078109C">
        <w:rPr>
          <w:rFonts w:ascii="Palatino Linotype" w:eastAsia="Calibri" w:hAnsi="Palatino Linotype" w:cs="Times New Roman"/>
          <w:sz w:val="22"/>
          <w:szCs w:val="22"/>
          <w:lang w:val="en-IE"/>
        </w:rPr>
        <w:t xml:space="preserve"> and</w:t>
      </w:r>
      <w:r w:rsidR="004B7E39">
        <w:rPr>
          <w:rFonts w:ascii="Palatino Linotype" w:eastAsia="Calibri" w:hAnsi="Palatino Linotype" w:cs="Times New Roman"/>
          <w:sz w:val="22"/>
          <w:szCs w:val="22"/>
          <w:lang w:val="en-IE"/>
        </w:rPr>
        <w:t xml:space="preserve"> have</w:t>
      </w:r>
      <w:r w:rsidR="00BA4A45" w:rsidRPr="0078109C">
        <w:rPr>
          <w:rFonts w:ascii="Palatino Linotype" w:eastAsia="Calibri" w:hAnsi="Palatino Linotype" w:cs="Times New Roman"/>
          <w:sz w:val="22"/>
          <w:szCs w:val="22"/>
          <w:lang w:val="en-IE"/>
        </w:rPr>
        <w:t xml:space="preserve"> </w:t>
      </w:r>
      <w:r w:rsidR="004B7E39">
        <w:rPr>
          <w:rFonts w:ascii="Palatino Linotype" w:eastAsia="Calibri" w:hAnsi="Palatino Linotype" w:cs="Times New Roman"/>
          <w:sz w:val="22"/>
          <w:szCs w:val="22"/>
          <w:lang w:val="en-IE"/>
        </w:rPr>
        <w:t>regularly</w:t>
      </w:r>
      <w:r w:rsidR="00BA4A45" w:rsidRPr="0078109C">
        <w:rPr>
          <w:rFonts w:ascii="Palatino Linotype" w:eastAsia="Calibri" w:hAnsi="Palatino Linotype" w:cs="Times New Roman"/>
          <w:sz w:val="22"/>
          <w:szCs w:val="22"/>
          <w:lang w:val="en-IE"/>
        </w:rPr>
        <w:t xml:space="preserve"> blur</w:t>
      </w:r>
      <w:r w:rsidR="00174417">
        <w:rPr>
          <w:rFonts w:ascii="Palatino Linotype" w:eastAsia="Calibri" w:hAnsi="Palatino Linotype" w:cs="Times New Roman"/>
          <w:sz w:val="22"/>
          <w:szCs w:val="22"/>
          <w:lang w:val="en-IE"/>
        </w:rPr>
        <w:t>red</w:t>
      </w:r>
      <w:r w:rsidR="00BA4A45" w:rsidRPr="0078109C">
        <w:rPr>
          <w:rFonts w:ascii="Palatino Linotype" w:eastAsia="Calibri" w:hAnsi="Palatino Linotype" w:cs="Times New Roman"/>
          <w:sz w:val="22"/>
          <w:szCs w:val="22"/>
          <w:lang w:val="en-IE"/>
        </w:rPr>
        <w:t xml:space="preserve"> the distinction between the regulations and public health advice</w:t>
      </w:r>
      <w:r w:rsidR="004B7E39">
        <w:rPr>
          <w:rFonts w:ascii="Palatino Linotype" w:eastAsia="Calibri" w:hAnsi="Palatino Linotype" w:cs="Times New Roman"/>
          <w:sz w:val="22"/>
          <w:szCs w:val="22"/>
          <w:lang w:val="en-IE"/>
        </w:rPr>
        <w:t xml:space="preserve">. This made the actual </w:t>
      </w:r>
      <w:r w:rsidR="00BA4A45" w:rsidRPr="0078109C">
        <w:rPr>
          <w:rFonts w:ascii="Palatino Linotype" w:eastAsia="Calibri" w:hAnsi="Palatino Linotype" w:cs="Times New Roman"/>
          <w:sz w:val="22"/>
          <w:szCs w:val="22"/>
          <w:lang w:val="en-IE"/>
        </w:rPr>
        <w:t xml:space="preserve">content of the law unclear </w:t>
      </w:r>
      <w:r w:rsidR="004B7E39">
        <w:rPr>
          <w:rFonts w:ascii="Palatino Linotype" w:eastAsia="Calibri" w:hAnsi="Palatino Linotype" w:cs="Times New Roman"/>
          <w:sz w:val="22"/>
          <w:szCs w:val="22"/>
          <w:lang w:val="en-IE"/>
        </w:rPr>
        <w:t xml:space="preserve">to many </w:t>
      </w:r>
      <w:r w:rsidR="00BA4A45" w:rsidRPr="0078109C">
        <w:rPr>
          <w:rFonts w:ascii="Palatino Linotype" w:eastAsia="Calibri" w:hAnsi="Palatino Linotype" w:cs="Times New Roman"/>
          <w:sz w:val="22"/>
          <w:szCs w:val="22"/>
          <w:lang w:val="en-IE"/>
        </w:rPr>
        <w:t xml:space="preserve">people. </w:t>
      </w:r>
      <w:r w:rsidR="0033731C" w:rsidRPr="0078109C">
        <w:rPr>
          <w:rFonts w:ascii="Palatino Linotype" w:eastAsia="Calibri" w:hAnsi="Palatino Linotype" w:cs="Times New Roman"/>
          <w:sz w:val="22"/>
          <w:szCs w:val="22"/>
          <w:lang w:val="en-IE"/>
        </w:rPr>
        <w:t>Second</w:t>
      </w:r>
      <w:r w:rsidR="004E3D87">
        <w:rPr>
          <w:rFonts w:ascii="Palatino Linotype" w:eastAsia="Calibri" w:hAnsi="Palatino Linotype" w:cs="Times New Roman"/>
          <w:sz w:val="22"/>
          <w:szCs w:val="22"/>
          <w:lang w:val="en-IE"/>
        </w:rPr>
        <w:t>ly</w:t>
      </w:r>
      <w:r w:rsidRPr="0078109C">
        <w:rPr>
          <w:rFonts w:ascii="Palatino Linotype" w:eastAsia="Calibri" w:hAnsi="Palatino Linotype" w:cs="Times New Roman"/>
          <w:sz w:val="22"/>
          <w:szCs w:val="22"/>
          <w:lang w:val="en-IE"/>
        </w:rPr>
        <w:t xml:space="preserve">, </w:t>
      </w:r>
      <w:r w:rsidR="004E3D87">
        <w:rPr>
          <w:rFonts w:ascii="Palatino Linotype" w:eastAsia="Calibri" w:hAnsi="Palatino Linotype" w:cs="Times New Roman"/>
          <w:sz w:val="22"/>
          <w:szCs w:val="22"/>
          <w:lang w:val="en-IE"/>
        </w:rPr>
        <w:t>r</w:t>
      </w:r>
      <w:r w:rsidRPr="0078109C">
        <w:rPr>
          <w:rFonts w:ascii="Palatino Linotype" w:eastAsia="Calibri" w:hAnsi="Palatino Linotype" w:cs="Times New Roman"/>
          <w:sz w:val="22"/>
          <w:szCs w:val="22"/>
          <w:lang w:val="en-IE"/>
        </w:rPr>
        <w:t xml:space="preserve">egulations </w:t>
      </w:r>
      <w:r w:rsidR="004E3D87">
        <w:rPr>
          <w:rFonts w:ascii="Palatino Linotype" w:eastAsia="Calibri" w:hAnsi="Palatino Linotype" w:cs="Times New Roman"/>
          <w:sz w:val="22"/>
          <w:szCs w:val="22"/>
          <w:lang w:val="en-IE"/>
        </w:rPr>
        <w:t xml:space="preserve">have been </w:t>
      </w:r>
      <w:r w:rsidRPr="0078109C">
        <w:rPr>
          <w:rFonts w:ascii="Palatino Linotype" w:eastAsia="Calibri" w:hAnsi="Palatino Linotype" w:cs="Times New Roman"/>
          <w:sz w:val="22"/>
          <w:szCs w:val="22"/>
          <w:lang w:val="en-IE"/>
        </w:rPr>
        <w:t>drafted</w:t>
      </w:r>
      <w:r w:rsidR="004E3D87">
        <w:rPr>
          <w:rFonts w:ascii="Palatino Linotype" w:eastAsia="Calibri" w:hAnsi="Palatino Linotype" w:cs="Times New Roman"/>
          <w:sz w:val="22"/>
          <w:szCs w:val="22"/>
          <w:lang w:val="en-IE"/>
        </w:rPr>
        <w:t xml:space="preserve"> in a way—</w:t>
      </w:r>
      <w:r w:rsidR="005723AB">
        <w:rPr>
          <w:rFonts w:ascii="Palatino Linotype" w:eastAsia="Calibri" w:hAnsi="Palatino Linotype" w:cs="Times New Roman"/>
          <w:sz w:val="22"/>
          <w:szCs w:val="22"/>
          <w:lang w:val="en-IE"/>
        </w:rPr>
        <w:t xml:space="preserve">due to lack of clarity or </w:t>
      </w:r>
      <w:r w:rsidR="004E3D87">
        <w:rPr>
          <w:rFonts w:ascii="Palatino Linotype" w:eastAsia="Calibri" w:hAnsi="Palatino Linotype" w:cs="Times New Roman"/>
          <w:sz w:val="22"/>
          <w:szCs w:val="22"/>
          <w:lang w:val="en-IE"/>
        </w:rPr>
        <w:t>extensive reliance on the idea of a ‘reasonable excuse’—</w:t>
      </w:r>
      <w:r w:rsidRPr="0078109C">
        <w:rPr>
          <w:rFonts w:ascii="Palatino Linotype" w:eastAsia="Calibri" w:hAnsi="Palatino Linotype" w:cs="Times New Roman"/>
          <w:sz w:val="22"/>
          <w:szCs w:val="22"/>
          <w:lang w:val="en-IE"/>
        </w:rPr>
        <w:t xml:space="preserve">that </w:t>
      </w:r>
      <w:r w:rsidR="005D1145" w:rsidRPr="0078109C">
        <w:rPr>
          <w:rFonts w:ascii="Palatino Linotype" w:eastAsia="Calibri" w:hAnsi="Palatino Linotype" w:cs="Times New Roman"/>
          <w:sz w:val="22"/>
          <w:szCs w:val="22"/>
          <w:lang w:val="en-IE"/>
        </w:rPr>
        <w:t>makes</w:t>
      </w:r>
      <w:r w:rsidRPr="0078109C">
        <w:rPr>
          <w:rFonts w:ascii="Palatino Linotype" w:eastAsia="Calibri" w:hAnsi="Palatino Linotype" w:cs="Times New Roman"/>
          <w:sz w:val="22"/>
          <w:szCs w:val="22"/>
          <w:lang w:val="en-IE"/>
        </w:rPr>
        <w:t xml:space="preserve"> it hard</w:t>
      </w:r>
      <w:r w:rsidR="00FC0DCE" w:rsidRPr="0078109C">
        <w:rPr>
          <w:rFonts w:ascii="Palatino Linotype" w:eastAsia="Calibri" w:hAnsi="Palatino Linotype" w:cs="Times New Roman"/>
          <w:sz w:val="22"/>
          <w:szCs w:val="22"/>
          <w:lang w:val="en-IE"/>
        </w:rPr>
        <w:t xml:space="preserve"> for people subject to the law</w:t>
      </w:r>
      <w:r w:rsidRPr="0078109C">
        <w:rPr>
          <w:rFonts w:ascii="Palatino Linotype" w:eastAsia="Calibri" w:hAnsi="Palatino Linotype" w:cs="Times New Roman"/>
          <w:sz w:val="22"/>
          <w:szCs w:val="22"/>
          <w:lang w:val="en-IE"/>
        </w:rPr>
        <w:t xml:space="preserve"> to know whether conduct is permissible or not. </w:t>
      </w:r>
      <w:bookmarkStart w:id="3" w:name="_Toc56805685"/>
    </w:p>
    <w:p w14:paraId="34DE5DFF" w14:textId="77777777" w:rsidR="00530060" w:rsidRPr="0078109C" w:rsidRDefault="00530060" w:rsidP="004E3D87">
      <w:pPr>
        <w:spacing w:afterLines="120" w:after="288" w:line="360" w:lineRule="auto"/>
        <w:ind w:firstLine="360"/>
        <w:jc w:val="both"/>
        <w:rPr>
          <w:rFonts w:ascii="Palatino Linotype" w:eastAsia="Calibri" w:hAnsi="Palatino Linotype" w:cs="Times New Roman"/>
          <w:sz w:val="22"/>
          <w:szCs w:val="22"/>
          <w:lang w:val="en-IE"/>
        </w:rPr>
      </w:pPr>
    </w:p>
    <w:bookmarkEnd w:id="3"/>
    <w:p w14:paraId="70796E0C" w14:textId="0F754C20" w:rsidR="00BA4A45" w:rsidRPr="0078109C" w:rsidRDefault="000C6E05" w:rsidP="0078109C">
      <w:pPr>
        <w:pStyle w:val="Heading2"/>
        <w:numPr>
          <w:ilvl w:val="0"/>
          <w:numId w:val="4"/>
        </w:numPr>
        <w:rPr>
          <w:rFonts w:ascii="Palatino Linotype" w:hAnsi="Palatino Linotype" w:cs="Times New Roman"/>
          <w:i/>
          <w:iCs/>
          <w:sz w:val="22"/>
          <w:szCs w:val="22"/>
          <w:lang w:eastAsia="en-US"/>
        </w:rPr>
      </w:pPr>
      <w:r w:rsidRPr="0078109C">
        <w:rPr>
          <w:rFonts w:ascii="Palatino Linotype" w:hAnsi="Palatino Linotype" w:cs="Times New Roman"/>
          <w:i/>
          <w:iCs/>
          <w:sz w:val="22"/>
          <w:szCs w:val="22"/>
          <w:lang w:eastAsia="en-US"/>
        </w:rPr>
        <w:lastRenderedPageBreak/>
        <w:t xml:space="preserve">Conflation of </w:t>
      </w:r>
      <w:r w:rsidR="00EF5AF6" w:rsidRPr="0078109C">
        <w:rPr>
          <w:rFonts w:ascii="Palatino Linotype" w:hAnsi="Palatino Linotype" w:cs="Times New Roman"/>
          <w:i/>
          <w:iCs/>
          <w:sz w:val="22"/>
          <w:szCs w:val="22"/>
          <w:lang w:eastAsia="en-US"/>
        </w:rPr>
        <w:t>L</w:t>
      </w:r>
      <w:r w:rsidRPr="0078109C">
        <w:rPr>
          <w:rFonts w:ascii="Palatino Linotype" w:hAnsi="Palatino Linotype" w:cs="Times New Roman"/>
          <w:i/>
          <w:iCs/>
          <w:sz w:val="22"/>
          <w:szCs w:val="22"/>
          <w:lang w:eastAsia="en-US"/>
        </w:rPr>
        <w:t xml:space="preserve">aw and </w:t>
      </w:r>
      <w:r w:rsidR="00EF5AF6" w:rsidRPr="0078109C">
        <w:rPr>
          <w:rFonts w:ascii="Palatino Linotype" w:hAnsi="Palatino Linotype" w:cs="Times New Roman"/>
          <w:i/>
          <w:iCs/>
          <w:sz w:val="22"/>
          <w:szCs w:val="22"/>
          <w:lang w:eastAsia="en-US"/>
        </w:rPr>
        <w:t>A</w:t>
      </w:r>
      <w:r w:rsidRPr="0078109C">
        <w:rPr>
          <w:rFonts w:ascii="Palatino Linotype" w:hAnsi="Palatino Linotype" w:cs="Times New Roman"/>
          <w:i/>
          <w:iCs/>
          <w:sz w:val="22"/>
          <w:szCs w:val="22"/>
          <w:lang w:eastAsia="en-US"/>
        </w:rPr>
        <w:t>dvice</w:t>
      </w:r>
    </w:p>
    <w:p w14:paraId="0750AF24" w14:textId="6006A268" w:rsidR="00FC0DCE" w:rsidRPr="001B4FCD" w:rsidRDefault="00BA4A45" w:rsidP="001B4FCD">
      <w:pPr>
        <w:spacing w:afterLines="120" w:after="288" w:line="360" w:lineRule="auto"/>
        <w:jc w:val="both"/>
        <w:rPr>
          <w:rFonts w:ascii="Palatino Linotype" w:hAnsi="Palatino Linotype" w:cs="Times New Roman"/>
          <w:sz w:val="22"/>
          <w:szCs w:val="22"/>
        </w:rPr>
      </w:pPr>
      <w:r w:rsidRPr="0078109C">
        <w:rPr>
          <w:rFonts w:ascii="Palatino Linotype" w:eastAsia="Calibri" w:hAnsi="Palatino Linotype" w:cs="Times New Roman"/>
          <w:sz w:val="22"/>
          <w:szCs w:val="22"/>
        </w:rPr>
        <w:t>Regulations can be difficult to understand.</w:t>
      </w:r>
      <w:r w:rsidR="00D925E6" w:rsidRPr="0078109C">
        <w:rPr>
          <w:rFonts w:ascii="Palatino Linotype" w:eastAsia="Calibri" w:hAnsi="Palatino Linotype" w:cs="Times New Roman"/>
          <w:sz w:val="22"/>
          <w:szCs w:val="22"/>
        </w:rPr>
        <w:t xml:space="preserve"> </w:t>
      </w:r>
      <w:r w:rsidR="00EF5AF6" w:rsidRPr="0078109C">
        <w:rPr>
          <w:rFonts w:ascii="Palatino Linotype" w:eastAsia="Calibri" w:hAnsi="Palatino Linotype" w:cs="Times New Roman"/>
          <w:sz w:val="22"/>
          <w:szCs w:val="22"/>
        </w:rPr>
        <w:t xml:space="preserve">The </w:t>
      </w:r>
      <w:r w:rsidR="00D925E6" w:rsidRPr="0078109C">
        <w:rPr>
          <w:rFonts w:ascii="Palatino Linotype" w:eastAsia="Calibri" w:hAnsi="Palatino Linotype" w:cs="Times New Roman"/>
          <w:sz w:val="22"/>
          <w:szCs w:val="22"/>
        </w:rPr>
        <w:t xml:space="preserve">complex and technical </w:t>
      </w:r>
      <w:r w:rsidR="009D418B" w:rsidRPr="0078109C">
        <w:rPr>
          <w:rFonts w:ascii="Palatino Linotype" w:eastAsia="Calibri" w:hAnsi="Palatino Linotype" w:cs="Times New Roman"/>
          <w:sz w:val="22"/>
          <w:szCs w:val="22"/>
        </w:rPr>
        <w:t>language in which</w:t>
      </w:r>
      <w:r w:rsidR="00D925E6" w:rsidRPr="0078109C">
        <w:rPr>
          <w:rFonts w:ascii="Palatino Linotype" w:eastAsia="Calibri" w:hAnsi="Palatino Linotype" w:cs="Times New Roman"/>
          <w:sz w:val="22"/>
          <w:szCs w:val="22"/>
        </w:rPr>
        <w:t xml:space="preserve"> legal </w:t>
      </w:r>
      <w:r w:rsidR="009D418B" w:rsidRPr="0078109C">
        <w:rPr>
          <w:rFonts w:ascii="Palatino Linotype" w:eastAsia="Calibri" w:hAnsi="Palatino Linotype" w:cs="Times New Roman"/>
          <w:sz w:val="22"/>
          <w:szCs w:val="22"/>
        </w:rPr>
        <w:t>instruments</w:t>
      </w:r>
      <w:r w:rsidR="00D925E6" w:rsidRPr="0078109C">
        <w:rPr>
          <w:rFonts w:ascii="Palatino Linotype" w:eastAsia="Calibri" w:hAnsi="Palatino Linotype" w:cs="Times New Roman"/>
          <w:sz w:val="22"/>
          <w:szCs w:val="22"/>
        </w:rPr>
        <w:t xml:space="preserve"> </w:t>
      </w:r>
      <w:r w:rsidR="00EF5AF6" w:rsidRPr="0078109C">
        <w:rPr>
          <w:rFonts w:ascii="Palatino Linotype" w:eastAsia="Calibri" w:hAnsi="Palatino Linotype" w:cs="Times New Roman"/>
          <w:sz w:val="22"/>
          <w:szCs w:val="22"/>
        </w:rPr>
        <w:t>are often</w:t>
      </w:r>
      <w:r w:rsidR="00D925E6" w:rsidRPr="0078109C">
        <w:rPr>
          <w:rFonts w:ascii="Palatino Linotype" w:eastAsia="Calibri" w:hAnsi="Palatino Linotype" w:cs="Times New Roman"/>
          <w:sz w:val="22"/>
          <w:szCs w:val="22"/>
        </w:rPr>
        <w:t xml:space="preserve"> drafted </w:t>
      </w:r>
      <w:r w:rsidR="005D1145" w:rsidRPr="0078109C">
        <w:rPr>
          <w:rFonts w:ascii="Palatino Linotype" w:eastAsia="Calibri" w:hAnsi="Palatino Linotype" w:cs="Times New Roman"/>
          <w:sz w:val="22"/>
          <w:szCs w:val="22"/>
        </w:rPr>
        <w:t xml:space="preserve">can </w:t>
      </w:r>
      <w:r w:rsidR="009D418B" w:rsidRPr="0078109C">
        <w:rPr>
          <w:rFonts w:ascii="Palatino Linotype" w:eastAsia="Calibri" w:hAnsi="Palatino Linotype" w:cs="Times New Roman"/>
          <w:sz w:val="22"/>
          <w:szCs w:val="22"/>
        </w:rPr>
        <w:t>pose</w:t>
      </w:r>
      <w:r w:rsidR="00D925E6" w:rsidRPr="0078109C">
        <w:rPr>
          <w:rFonts w:ascii="Palatino Linotype" w:eastAsia="Calibri" w:hAnsi="Palatino Linotype" w:cs="Times New Roman"/>
          <w:sz w:val="22"/>
          <w:szCs w:val="22"/>
        </w:rPr>
        <w:t xml:space="preserve"> real </w:t>
      </w:r>
      <w:r w:rsidR="005D1145" w:rsidRPr="0078109C">
        <w:rPr>
          <w:rFonts w:ascii="Palatino Linotype" w:eastAsia="Calibri" w:hAnsi="Palatino Linotype" w:cs="Times New Roman"/>
          <w:sz w:val="22"/>
          <w:szCs w:val="22"/>
        </w:rPr>
        <w:t>headaches</w:t>
      </w:r>
      <w:r w:rsidR="009D418B" w:rsidRPr="0078109C">
        <w:rPr>
          <w:rFonts w:ascii="Palatino Linotype" w:eastAsia="Calibri" w:hAnsi="Palatino Linotype" w:cs="Times New Roman"/>
          <w:sz w:val="22"/>
          <w:szCs w:val="22"/>
        </w:rPr>
        <w:t xml:space="preserve"> for Government</w:t>
      </w:r>
      <w:r w:rsidR="00EF5AF6" w:rsidRPr="0078109C">
        <w:rPr>
          <w:rFonts w:ascii="Palatino Linotype" w:eastAsia="Calibri" w:hAnsi="Palatino Linotype" w:cs="Times New Roman"/>
          <w:sz w:val="22"/>
          <w:szCs w:val="22"/>
        </w:rPr>
        <w:t>s trying to secure high levels of public health compliance during a pandemic</w:t>
      </w:r>
      <w:r w:rsidR="00D925E6" w:rsidRPr="0078109C">
        <w:rPr>
          <w:rFonts w:ascii="Palatino Linotype" w:eastAsia="Calibri" w:hAnsi="Palatino Linotype" w:cs="Times New Roman"/>
          <w:sz w:val="22"/>
          <w:szCs w:val="22"/>
        </w:rPr>
        <w:t>.</w:t>
      </w:r>
      <w:r w:rsidR="009D418B" w:rsidRPr="0078109C">
        <w:rPr>
          <w:rFonts w:ascii="Palatino Linotype" w:eastAsia="Calibri" w:hAnsi="Palatino Linotype" w:cs="Times New Roman"/>
          <w:sz w:val="22"/>
          <w:szCs w:val="22"/>
        </w:rPr>
        <w:t xml:space="preserve"> It is thus unsurprising, and welcome, that </w:t>
      </w:r>
      <w:r w:rsidR="009D418B" w:rsidRPr="0078109C">
        <w:rPr>
          <w:rFonts w:ascii="Palatino Linotype" w:hAnsi="Palatino Linotype" w:cs="Times New Roman"/>
          <w:sz w:val="22"/>
          <w:szCs w:val="22"/>
        </w:rPr>
        <w:t>t</w:t>
      </w:r>
      <w:r w:rsidR="00D925E6" w:rsidRPr="0078109C">
        <w:rPr>
          <w:rFonts w:ascii="Palatino Linotype" w:hAnsi="Palatino Linotype" w:cs="Times New Roman"/>
          <w:sz w:val="22"/>
          <w:szCs w:val="22"/>
        </w:rPr>
        <w:t>he Government supplement</w:t>
      </w:r>
      <w:r w:rsidR="00EF5AF6" w:rsidRPr="0078109C">
        <w:rPr>
          <w:rFonts w:ascii="Palatino Linotype" w:hAnsi="Palatino Linotype" w:cs="Times New Roman"/>
          <w:sz w:val="22"/>
          <w:szCs w:val="22"/>
        </w:rPr>
        <w:t>s</w:t>
      </w:r>
      <w:r w:rsidR="00D925E6" w:rsidRPr="0078109C">
        <w:rPr>
          <w:rFonts w:ascii="Palatino Linotype" w:hAnsi="Palatino Linotype" w:cs="Times New Roman"/>
          <w:sz w:val="22"/>
          <w:szCs w:val="22"/>
        </w:rPr>
        <w:t xml:space="preserve"> </w:t>
      </w:r>
      <w:r w:rsidR="009D418B" w:rsidRPr="0078109C">
        <w:rPr>
          <w:rFonts w:ascii="Palatino Linotype" w:hAnsi="Palatino Linotype" w:cs="Times New Roman"/>
          <w:sz w:val="22"/>
          <w:szCs w:val="22"/>
        </w:rPr>
        <w:t>its binding regulations</w:t>
      </w:r>
      <w:r w:rsidR="00D925E6" w:rsidRPr="0078109C">
        <w:rPr>
          <w:rFonts w:ascii="Palatino Linotype" w:hAnsi="Palatino Linotype" w:cs="Times New Roman"/>
          <w:sz w:val="22"/>
          <w:szCs w:val="22"/>
        </w:rPr>
        <w:t xml:space="preserve"> </w:t>
      </w:r>
      <w:r w:rsidR="009D418B" w:rsidRPr="0078109C">
        <w:rPr>
          <w:rFonts w:ascii="Palatino Linotype" w:hAnsi="Palatino Linotype" w:cs="Times New Roman"/>
          <w:sz w:val="22"/>
          <w:szCs w:val="22"/>
        </w:rPr>
        <w:t xml:space="preserve">by </w:t>
      </w:r>
      <w:r w:rsidR="00EF5AF6" w:rsidRPr="0078109C">
        <w:rPr>
          <w:rFonts w:ascii="Palatino Linotype" w:hAnsi="Palatino Linotype" w:cs="Times New Roman"/>
          <w:sz w:val="22"/>
          <w:szCs w:val="22"/>
        </w:rPr>
        <w:t>publishing</w:t>
      </w:r>
      <w:r w:rsidR="009D418B" w:rsidRPr="0078109C">
        <w:rPr>
          <w:rFonts w:ascii="Palatino Linotype" w:hAnsi="Palatino Linotype" w:cs="Times New Roman"/>
          <w:sz w:val="22"/>
          <w:szCs w:val="22"/>
        </w:rPr>
        <w:t xml:space="preserve"> very extensive </w:t>
      </w:r>
      <w:r w:rsidR="00EF5AF6" w:rsidRPr="0078109C">
        <w:rPr>
          <w:rFonts w:ascii="Palatino Linotype" w:hAnsi="Palatino Linotype" w:cs="Times New Roman"/>
          <w:sz w:val="22"/>
          <w:szCs w:val="22"/>
        </w:rPr>
        <w:t>amounts</w:t>
      </w:r>
      <w:r w:rsidR="009D418B" w:rsidRPr="0078109C">
        <w:rPr>
          <w:rFonts w:ascii="Palatino Linotype" w:hAnsi="Palatino Linotype" w:cs="Times New Roman"/>
          <w:sz w:val="22"/>
          <w:szCs w:val="22"/>
        </w:rPr>
        <w:t xml:space="preserve"> of public health guidelines</w:t>
      </w:r>
      <w:r w:rsidR="005D1145" w:rsidRPr="0078109C">
        <w:rPr>
          <w:rFonts w:ascii="Palatino Linotype" w:hAnsi="Palatino Linotype" w:cs="Times New Roman"/>
          <w:sz w:val="22"/>
          <w:szCs w:val="22"/>
        </w:rPr>
        <w:t xml:space="preserve"> explaining the regulations</w:t>
      </w:r>
      <w:r w:rsidR="00EF5AF6" w:rsidRPr="0078109C">
        <w:rPr>
          <w:rFonts w:ascii="Palatino Linotype" w:hAnsi="Palatino Linotype" w:cs="Times New Roman"/>
          <w:sz w:val="22"/>
          <w:szCs w:val="22"/>
        </w:rPr>
        <w:t xml:space="preserve"> using non-technical language on its websites</w:t>
      </w:r>
      <w:r w:rsidR="00D925E6" w:rsidRPr="0078109C">
        <w:rPr>
          <w:rFonts w:ascii="Palatino Linotype" w:hAnsi="Palatino Linotype" w:cs="Times New Roman"/>
          <w:sz w:val="22"/>
          <w:szCs w:val="22"/>
        </w:rPr>
        <w:t xml:space="preserve">. </w:t>
      </w:r>
      <w:r w:rsidR="00EF5AF6" w:rsidRPr="0078109C">
        <w:rPr>
          <w:rFonts w:ascii="Palatino Linotype" w:hAnsi="Palatino Linotype" w:cs="Times New Roman"/>
          <w:sz w:val="22"/>
          <w:szCs w:val="22"/>
        </w:rPr>
        <w:t xml:space="preserve">The </w:t>
      </w:r>
      <w:r w:rsidR="009D418B" w:rsidRPr="0078109C">
        <w:rPr>
          <w:rFonts w:ascii="Palatino Linotype" w:hAnsi="Palatino Linotype" w:cs="Times New Roman"/>
          <w:sz w:val="22"/>
          <w:szCs w:val="22"/>
        </w:rPr>
        <w:t>Government also strove to explain and clarify the effect of its regulations through the speeches and press briefings given by the Taoiseach, Ministers, and</w:t>
      </w:r>
      <w:r w:rsidR="00EF5AF6" w:rsidRPr="0078109C">
        <w:rPr>
          <w:rFonts w:ascii="Palatino Linotype" w:hAnsi="Palatino Linotype" w:cs="Times New Roman"/>
          <w:sz w:val="22"/>
          <w:szCs w:val="22"/>
        </w:rPr>
        <w:t xml:space="preserve"> senior</w:t>
      </w:r>
      <w:r w:rsidR="009D418B" w:rsidRPr="0078109C">
        <w:rPr>
          <w:rFonts w:ascii="Palatino Linotype" w:hAnsi="Palatino Linotype" w:cs="Times New Roman"/>
          <w:sz w:val="22"/>
          <w:szCs w:val="22"/>
        </w:rPr>
        <w:t xml:space="preserve"> public health technocrats. While </w:t>
      </w:r>
      <w:r w:rsidR="00EF5AF6" w:rsidRPr="0078109C">
        <w:rPr>
          <w:rFonts w:ascii="Palatino Linotype" w:hAnsi="Palatino Linotype" w:cs="Times New Roman"/>
          <w:sz w:val="22"/>
          <w:szCs w:val="22"/>
        </w:rPr>
        <w:t>this concerted effort</w:t>
      </w:r>
      <w:r w:rsidR="009D418B" w:rsidRPr="0078109C">
        <w:rPr>
          <w:rFonts w:ascii="Palatino Linotype" w:hAnsi="Palatino Linotype" w:cs="Times New Roman"/>
          <w:sz w:val="22"/>
          <w:szCs w:val="22"/>
        </w:rPr>
        <w:t xml:space="preserve"> to clarify and explain</w:t>
      </w:r>
      <w:r w:rsidR="00EF5AF6" w:rsidRPr="0078109C">
        <w:rPr>
          <w:rFonts w:ascii="Palatino Linotype" w:hAnsi="Palatino Linotype" w:cs="Times New Roman"/>
          <w:sz w:val="22"/>
          <w:szCs w:val="22"/>
        </w:rPr>
        <w:t xml:space="preserve"> the effect of</w:t>
      </w:r>
      <w:r w:rsidR="009D418B" w:rsidRPr="0078109C">
        <w:rPr>
          <w:rFonts w:ascii="Palatino Linotype" w:hAnsi="Palatino Linotype" w:cs="Times New Roman"/>
          <w:sz w:val="22"/>
          <w:szCs w:val="22"/>
        </w:rPr>
        <w:t xml:space="preserve"> complex legal instruments is welcome, the way the Government has gone about this task has frequently </w:t>
      </w:r>
      <w:r w:rsidR="00BA1651">
        <w:rPr>
          <w:rFonts w:ascii="Palatino Linotype" w:hAnsi="Palatino Linotype" w:cs="Times New Roman"/>
          <w:sz w:val="22"/>
          <w:szCs w:val="22"/>
        </w:rPr>
        <w:t xml:space="preserve">created uncertainty as to what was law and what was non-legally-binding guidance. </w:t>
      </w:r>
      <w:r w:rsidR="00EF5AF6" w:rsidRPr="0078109C">
        <w:rPr>
          <w:rFonts w:ascii="Palatino Linotype" w:eastAsia="Calibri" w:hAnsi="Palatino Linotype" w:cs="Times New Roman"/>
          <w:sz w:val="22"/>
          <w:szCs w:val="22"/>
        </w:rPr>
        <w:t xml:space="preserve">This is </w:t>
      </w:r>
      <w:r w:rsidR="001B4FCD">
        <w:rPr>
          <w:rFonts w:ascii="Palatino Linotype" w:eastAsia="Calibri" w:hAnsi="Palatino Linotype" w:cs="Times New Roman"/>
          <w:sz w:val="22"/>
          <w:szCs w:val="22"/>
        </w:rPr>
        <w:t xml:space="preserve">very </w:t>
      </w:r>
      <w:r w:rsidR="00EF5AF6" w:rsidRPr="0078109C">
        <w:rPr>
          <w:rFonts w:ascii="Palatino Linotype" w:eastAsia="Calibri" w:hAnsi="Palatino Linotype" w:cs="Times New Roman"/>
          <w:sz w:val="22"/>
          <w:szCs w:val="22"/>
        </w:rPr>
        <w:t>concerning from a rule of law perspective.</w:t>
      </w:r>
      <w:r w:rsidR="00B45515">
        <w:rPr>
          <w:rStyle w:val="FootnoteReference"/>
          <w:rFonts w:ascii="Palatino Linotype" w:eastAsia="Calibri" w:hAnsi="Palatino Linotype" w:cs="Times New Roman"/>
          <w:sz w:val="22"/>
          <w:szCs w:val="22"/>
        </w:rPr>
        <w:footnoteReference w:id="24"/>
      </w:r>
      <w:r w:rsidR="00EF5AF6" w:rsidRPr="0078109C">
        <w:rPr>
          <w:rFonts w:ascii="Palatino Linotype" w:eastAsia="Calibri" w:hAnsi="Palatino Linotype" w:cs="Times New Roman"/>
          <w:sz w:val="22"/>
          <w:szCs w:val="22"/>
        </w:rPr>
        <w:t xml:space="preserve"> </w:t>
      </w:r>
    </w:p>
    <w:p w14:paraId="7386B66A" w14:textId="3DB6C033" w:rsidR="00E544F9" w:rsidRPr="0078109C" w:rsidRDefault="00E544F9" w:rsidP="0078109C">
      <w:pPr>
        <w:spacing w:afterLines="120" w:after="288" w:line="360" w:lineRule="auto"/>
        <w:jc w:val="both"/>
        <w:rPr>
          <w:rFonts w:ascii="Palatino Linotype" w:eastAsia="Calibri" w:hAnsi="Palatino Linotype" w:cs="Times New Roman"/>
          <w:i/>
          <w:iCs/>
          <w:sz w:val="22"/>
          <w:szCs w:val="22"/>
        </w:rPr>
      </w:pPr>
      <w:r w:rsidRPr="0078109C">
        <w:rPr>
          <w:rFonts w:ascii="Palatino Linotype" w:eastAsia="Calibri" w:hAnsi="Palatino Linotype" w:cs="Times New Roman"/>
          <w:i/>
          <w:iCs/>
          <w:sz w:val="22"/>
          <w:szCs w:val="22"/>
        </w:rPr>
        <w:t>Restricting Movement</w:t>
      </w:r>
    </w:p>
    <w:p w14:paraId="7D7FBB71" w14:textId="6235FF66" w:rsidR="00BA4A45" w:rsidRPr="0078109C" w:rsidRDefault="00BA4A45" w:rsidP="0078109C">
      <w:pPr>
        <w:spacing w:afterLines="120" w:after="288" w:line="360" w:lineRule="auto"/>
        <w:jc w:val="both"/>
        <w:rPr>
          <w:rFonts w:ascii="Palatino Linotype" w:eastAsia="Calibri" w:hAnsi="Palatino Linotype" w:cs="Times New Roman"/>
          <w:sz w:val="22"/>
          <w:szCs w:val="22"/>
        </w:rPr>
      </w:pPr>
      <w:r w:rsidRPr="0078109C">
        <w:rPr>
          <w:rFonts w:ascii="Palatino Linotype" w:eastAsia="Calibri" w:hAnsi="Palatino Linotype" w:cs="Times New Roman"/>
          <w:sz w:val="22"/>
          <w:szCs w:val="22"/>
        </w:rPr>
        <w:t>The Department of Health website sometimes carries a lay person’s description of what the Regulations do, but these can mis</w:t>
      </w:r>
      <w:r w:rsidR="00174417">
        <w:rPr>
          <w:rFonts w:ascii="Palatino Linotype" w:eastAsia="Calibri" w:hAnsi="Palatino Linotype" w:cs="Times New Roman"/>
          <w:sz w:val="22"/>
          <w:szCs w:val="22"/>
        </w:rPr>
        <w:t>lead people about the extent of their legal obligations</w:t>
      </w:r>
      <w:r w:rsidRPr="0078109C">
        <w:rPr>
          <w:rFonts w:ascii="Palatino Linotype" w:eastAsia="Calibri" w:hAnsi="Palatino Linotype" w:cs="Times New Roman"/>
          <w:sz w:val="22"/>
          <w:szCs w:val="22"/>
        </w:rPr>
        <w:t xml:space="preserve">. For example, at the start of </w:t>
      </w:r>
      <w:r w:rsidR="0033731C" w:rsidRPr="0078109C">
        <w:rPr>
          <w:rFonts w:ascii="Palatino Linotype" w:eastAsia="Calibri" w:hAnsi="Palatino Linotype" w:cs="Times New Roman"/>
          <w:sz w:val="22"/>
          <w:szCs w:val="22"/>
        </w:rPr>
        <w:t>June 2020</w:t>
      </w:r>
      <w:r w:rsidRPr="0078109C">
        <w:rPr>
          <w:rFonts w:ascii="Palatino Linotype" w:eastAsia="Calibri" w:hAnsi="Palatino Linotype" w:cs="Times New Roman"/>
          <w:sz w:val="22"/>
          <w:szCs w:val="22"/>
        </w:rPr>
        <w:t xml:space="preserve"> a new set of </w:t>
      </w:r>
      <w:r w:rsidR="0033731C" w:rsidRPr="0078109C">
        <w:rPr>
          <w:rFonts w:ascii="Palatino Linotype" w:eastAsia="Calibri" w:hAnsi="Palatino Linotype" w:cs="Times New Roman"/>
          <w:sz w:val="22"/>
          <w:szCs w:val="22"/>
        </w:rPr>
        <w:t xml:space="preserve">less intensive </w:t>
      </w:r>
      <w:r w:rsidRPr="0078109C">
        <w:rPr>
          <w:rFonts w:ascii="Palatino Linotype" w:eastAsia="Calibri" w:hAnsi="Palatino Linotype" w:cs="Times New Roman"/>
          <w:sz w:val="22"/>
          <w:szCs w:val="22"/>
        </w:rPr>
        <w:t>movement restrictions was introduced.</w:t>
      </w:r>
      <w:r w:rsidRPr="0078109C">
        <w:rPr>
          <w:rFonts w:ascii="Palatino Linotype" w:eastAsia="Calibri" w:hAnsi="Palatino Linotype" w:cs="Times New Roman"/>
          <w:sz w:val="22"/>
          <w:szCs w:val="22"/>
          <w:vertAlign w:val="superscript"/>
        </w:rPr>
        <w:footnoteReference w:id="25"/>
      </w:r>
      <w:r w:rsidRPr="0078109C">
        <w:rPr>
          <w:rFonts w:ascii="Palatino Linotype" w:eastAsia="Calibri" w:hAnsi="Palatino Linotype" w:cs="Times New Roman"/>
          <w:sz w:val="22"/>
          <w:szCs w:val="22"/>
        </w:rPr>
        <w:t xml:space="preserve"> The</w:t>
      </w:r>
      <w:r w:rsidR="0033731C" w:rsidRPr="0078109C">
        <w:rPr>
          <w:rFonts w:ascii="Palatino Linotype" w:eastAsia="Calibri" w:hAnsi="Palatino Linotype" w:cs="Times New Roman"/>
          <w:sz w:val="22"/>
          <w:szCs w:val="22"/>
        </w:rPr>
        <w:t xml:space="preserve"> relevant government</w:t>
      </w:r>
      <w:r w:rsidRPr="0078109C">
        <w:rPr>
          <w:rFonts w:ascii="Palatino Linotype" w:eastAsia="Calibri" w:hAnsi="Palatino Linotype" w:cs="Times New Roman"/>
          <w:sz w:val="22"/>
          <w:szCs w:val="22"/>
        </w:rPr>
        <w:t xml:space="preserve"> website stated:</w:t>
      </w:r>
    </w:p>
    <w:p w14:paraId="2846CC46" w14:textId="77777777" w:rsidR="00BA4A45" w:rsidRPr="0078109C" w:rsidRDefault="00BA4A45" w:rsidP="0078109C">
      <w:pPr>
        <w:spacing w:afterLines="120" w:after="288" w:line="360" w:lineRule="auto"/>
        <w:ind w:left="720"/>
        <w:jc w:val="both"/>
        <w:rPr>
          <w:rFonts w:ascii="Palatino Linotype" w:eastAsia="Calibri" w:hAnsi="Palatino Linotype" w:cs="Times New Roman"/>
          <w:sz w:val="22"/>
          <w:szCs w:val="22"/>
        </w:rPr>
      </w:pPr>
      <w:r w:rsidRPr="0078109C">
        <w:rPr>
          <w:rFonts w:ascii="Palatino Linotype" w:eastAsia="Calibri" w:hAnsi="Palatino Linotype" w:cs="Times New Roman"/>
          <w:sz w:val="22"/>
          <w:szCs w:val="22"/>
        </w:rPr>
        <w:t xml:space="preserve">We can travel within a </w:t>
      </w:r>
      <w:proofErr w:type="gramStart"/>
      <w:r w:rsidRPr="0078109C">
        <w:rPr>
          <w:rFonts w:ascii="Palatino Linotype" w:eastAsia="Calibri" w:hAnsi="Palatino Linotype" w:cs="Times New Roman"/>
          <w:sz w:val="22"/>
          <w:szCs w:val="22"/>
        </w:rPr>
        <w:t>20 kilometre</w:t>
      </w:r>
      <w:proofErr w:type="gramEnd"/>
      <w:r w:rsidRPr="0078109C">
        <w:rPr>
          <w:rFonts w:ascii="Palatino Linotype" w:eastAsia="Calibri" w:hAnsi="Palatino Linotype" w:cs="Times New Roman"/>
          <w:sz w:val="22"/>
          <w:szCs w:val="22"/>
        </w:rPr>
        <w:t xml:space="preserve"> radius of our homes or anywhere within our county for social and recreational purposes. This includes travel and leisure.</w:t>
      </w:r>
    </w:p>
    <w:p w14:paraId="3F175466" w14:textId="77777777" w:rsidR="00BA4A45" w:rsidRPr="0078109C" w:rsidRDefault="00BA4A45" w:rsidP="0078109C">
      <w:pPr>
        <w:spacing w:afterLines="120" w:after="288" w:line="360" w:lineRule="auto"/>
        <w:ind w:left="720"/>
        <w:jc w:val="both"/>
        <w:rPr>
          <w:rFonts w:ascii="Palatino Linotype" w:eastAsia="Calibri" w:hAnsi="Palatino Linotype" w:cs="Times New Roman"/>
          <w:sz w:val="22"/>
          <w:szCs w:val="22"/>
        </w:rPr>
      </w:pPr>
      <w:r w:rsidRPr="0078109C">
        <w:rPr>
          <w:rFonts w:ascii="Palatino Linotype" w:eastAsia="Calibri" w:hAnsi="Palatino Linotype" w:cs="Times New Roman"/>
          <w:sz w:val="22"/>
          <w:szCs w:val="22"/>
        </w:rPr>
        <w:t>We can gather for social or recreational purposes in other people’s homes, subject to a maximum of 6 people at such a gathering.</w:t>
      </w:r>
    </w:p>
    <w:p w14:paraId="7D0DA504" w14:textId="77777777" w:rsidR="00BA4A45" w:rsidRPr="0078109C" w:rsidRDefault="00BA4A45" w:rsidP="0078109C">
      <w:pPr>
        <w:spacing w:afterLines="120" w:after="288" w:line="360" w:lineRule="auto"/>
        <w:ind w:left="720"/>
        <w:jc w:val="both"/>
        <w:rPr>
          <w:rFonts w:ascii="Palatino Linotype" w:eastAsia="Calibri" w:hAnsi="Palatino Linotype" w:cs="Times New Roman"/>
          <w:sz w:val="22"/>
          <w:szCs w:val="22"/>
        </w:rPr>
      </w:pPr>
      <w:r w:rsidRPr="0078109C">
        <w:rPr>
          <w:rFonts w:ascii="Palatino Linotype" w:eastAsia="Calibri" w:hAnsi="Palatino Linotype" w:cs="Times New Roman"/>
          <w:sz w:val="22"/>
          <w:szCs w:val="22"/>
        </w:rPr>
        <w:t>We can exercise outdoors with others or gather outdoors with others for social and recreational purposes, subject to a maximum of 15 people.</w:t>
      </w:r>
    </w:p>
    <w:p w14:paraId="0F80941A" w14:textId="77777777" w:rsidR="00BA4A45" w:rsidRPr="0078109C" w:rsidRDefault="00BA4A45" w:rsidP="0078109C">
      <w:pPr>
        <w:spacing w:afterLines="120" w:after="288" w:line="360" w:lineRule="auto"/>
        <w:ind w:left="720"/>
        <w:jc w:val="both"/>
        <w:rPr>
          <w:rFonts w:ascii="Palatino Linotype" w:eastAsia="Calibri" w:hAnsi="Palatino Linotype" w:cs="Times New Roman"/>
          <w:sz w:val="22"/>
          <w:szCs w:val="22"/>
        </w:rPr>
      </w:pPr>
      <w:r w:rsidRPr="0078109C">
        <w:rPr>
          <w:rFonts w:ascii="Palatino Linotype" w:eastAsia="Calibri" w:hAnsi="Palatino Linotype" w:cs="Times New Roman"/>
          <w:sz w:val="22"/>
          <w:szCs w:val="22"/>
        </w:rPr>
        <w:lastRenderedPageBreak/>
        <w:t>People may travel outside of these geographical limits for visits to vulnerable persons.</w:t>
      </w:r>
      <w:r w:rsidRPr="0078109C">
        <w:rPr>
          <w:rFonts w:ascii="Palatino Linotype" w:eastAsia="Calibri" w:hAnsi="Palatino Linotype" w:cs="Times New Roman"/>
          <w:sz w:val="22"/>
          <w:szCs w:val="22"/>
          <w:vertAlign w:val="superscript"/>
        </w:rPr>
        <w:footnoteReference w:id="26"/>
      </w:r>
    </w:p>
    <w:p w14:paraId="3A3C61E3" w14:textId="37AF87E7" w:rsidR="00E544F9" w:rsidRPr="0078109C" w:rsidRDefault="00BA4A45" w:rsidP="0078109C">
      <w:pPr>
        <w:spacing w:afterLines="120" w:after="288" w:line="360" w:lineRule="auto"/>
        <w:jc w:val="both"/>
        <w:rPr>
          <w:rFonts w:ascii="Palatino Linotype" w:eastAsia="Calibri" w:hAnsi="Palatino Linotype" w:cs="Times New Roman"/>
          <w:sz w:val="22"/>
          <w:szCs w:val="22"/>
        </w:rPr>
      </w:pPr>
      <w:r w:rsidRPr="0078109C">
        <w:rPr>
          <w:rFonts w:ascii="Palatino Linotype" w:eastAsia="Calibri" w:hAnsi="Palatino Linotype" w:cs="Times New Roman"/>
          <w:sz w:val="22"/>
          <w:szCs w:val="22"/>
        </w:rPr>
        <w:t>A casual reader might have gleaned from this guide that the key movement restriction in the Regulations is the distance limit: you may travel 20km or within your own county if it is for social or recreational purposes, but further travel is permitted only to visit a vulnerable person. Such a reading would have been incorrect, however. The 20km limit only applied to movement for social or recreational purposes. If you were travelling for any other purposes—work, shopping, politics, religion, protest, educational, cultural, etc.—no distance limits applied</w:t>
      </w:r>
      <w:r w:rsidR="00F71DB9" w:rsidRPr="0078109C">
        <w:rPr>
          <w:rFonts w:ascii="Palatino Linotype" w:eastAsia="Calibri" w:hAnsi="Palatino Linotype" w:cs="Times New Roman"/>
          <w:sz w:val="22"/>
          <w:szCs w:val="22"/>
        </w:rPr>
        <w:t xml:space="preserve"> as a legal matter</w:t>
      </w:r>
      <w:r w:rsidRPr="0078109C">
        <w:rPr>
          <w:rFonts w:ascii="Palatino Linotype" w:eastAsia="Calibri" w:hAnsi="Palatino Linotype" w:cs="Times New Roman"/>
          <w:sz w:val="22"/>
          <w:szCs w:val="22"/>
        </w:rPr>
        <w:t>.</w:t>
      </w:r>
      <w:r w:rsidR="00F71DB9" w:rsidRPr="0078109C">
        <w:rPr>
          <w:rFonts w:ascii="Palatino Linotype" w:eastAsia="Calibri" w:hAnsi="Palatino Linotype" w:cs="Times New Roman"/>
          <w:sz w:val="22"/>
          <w:szCs w:val="22"/>
        </w:rPr>
        <w:t xml:space="preserve"> </w:t>
      </w:r>
      <w:r w:rsidRPr="0078109C">
        <w:rPr>
          <w:rFonts w:ascii="Palatino Linotype" w:eastAsia="Calibri" w:hAnsi="Palatino Linotype" w:cs="Times New Roman"/>
          <w:sz w:val="22"/>
          <w:szCs w:val="22"/>
        </w:rPr>
        <w:t xml:space="preserve"> </w:t>
      </w:r>
    </w:p>
    <w:p w14:paraId="1CE747B3" w14:textId="26F83A9F" w:rsidR="00E544F9" w:rsidRPr="0078109C" w:rsidRDefault="00E544F9" w:rsidP="0078109C">
      <w:pPr>
        <w:spacing w:afterLines="120" w:after="288" w:line="360" w:lineRule="auto"/>
        <w:jc w:val="both"/>
        <w:rPr>
          <w:rFonts w:ascii="Palatino Linotype" w:eastAsia="Calibri" w:hAnsi="Palatino Linotype" w:cs="Times New Roman"/>
          <w:i/>
          <w:iCs/>
          <w:sz w:val="22"/>
          <w:szCs w:val="22"/>
        </w:rPr>
      </w:pPr>
      <w:r w:rsidRPr="0078109C">
        <w:rPr>
          <w:rFonts w:ascii="Palatino Linotype" w:eastAsia="Calibri" w:hAnsi="Palatino Linotype" w:cs="Times New Roman"/>
          <w:i/>
          <w:iCs/>
          <w:sz w:val="22"/>
          <w:szCs w:val="22"/>
        </w:rPr>
        <w:t>Over 70’s Cocooning</w:t>
      </w:r>
    </w:p>
    <w:p w14:paraId="24E8A528" w14:textId="6148D83E" w:rsidR="00E544F9" w:rsidRPr="0078109C" w:rsidRDefault="00BA4A45" w:rsidP="0078109C">
      <w:pPr>
        <w:spacing w:afterLines="120" w:after="288" w:line="360" w:lineRule="auto"/>
        <w:jc w:val="both"/>
        <w:rPr>
          <w:rFonts w:ascii="Palatino Linotype" w:eastAsia="Calibri" w:hAnsi="Palatino Linotype" w:cs="Times New Roman"/>
          <w:sz w:val="22"/>
          <w:szCs w:val="22"/>
        </w:rPr>
      </w:pPr>
      <w:r w:rsidRPr="0078109C">
        <w:rPr>
          <w:rFonts w:ascii="Palatino Linotype" w:eastAsia="Calibri" w:hAnsi="Palatino Linotype" w:cs="Times New Roman"/>
          <w:sz w:val="22"/>
          <w:szCs w:val="22"/>
        </w:rPr>
        <w:t>During the most extreme phase of the lockdown, over-70s were advised to self-isolate but there was never any legal requirement to this effect. But official guidance used language to suggest that cocooning was mandatory: ‘you need to cocoon’,</w:t>
      </w:r>
      <w:r w:rsidRPr="0078109C">
        <w:rPr>
          <w:rFonts w:ascii="Palatino Linotype" w:eastAsia="Calibri" w:hAnsi="Palatino Linotype" w:cs="Times New Roman"/>
          <w:sz w:val="22"/>
          <w:szCs w:val="22"/>
          <w:vertAlign w:val="superscript"/>
        </w:rPr>
        <w:footnoteReference w:id="27"/>
      </w:r>
      <w:r w:rsidRPr="0078109C">
        <w:rPr>
          <w:rFonts w:ascii="Palatino Linotype" w:eastAsia="Calibri" w:hAnsi="Palatino Linotype" w:cs="Times New Roman"/>
          <w:sz w:val="22"/>
          <w:szCs w:val="22"/>
        </w:rPr>
        <w:t xml:space="preserve"> ‘you cannot have visitors to your home’.</w:t>
      </w:r>
      <w:r w:rsidRPr="0078109C">
        <w:rPr>
          <w:rFonts w:ascii="Palatino Linotype" w:eastAsia="Calibri" w:hAnsi="Palatino Linotype" w:cs="Times New Roman"/>
          <w:sz w:val="22"/>
          <w:szCs w:val="22"/>
          <w:vertAlign w:val="superscript"/>
        </w:rPr>
        <w:footnoteReference w:id="28"/>
      </w:r>
      <w:r w:rsidRPr="0078109C">
        <w:rPr>
          <w:rFonts w:ascii="Palatino Linotype" w:eastAsia="Calibri" w:hAnsi="Palatino Linotype" w:cs="Times New Roman"/>
          <w:sz w:val="22"/>
          <w:szCs w:val="22"/>
        </w:rPr>
        <w:t xml:space="preserve"> </w:t>
      </w:r>
      <w:r w:rsidR="00CF0DEC" w:rsidRPr="0078109C">
        <w:rPr>
          <w:rFonts w:ascii="Palatino Linotype" w:eastAsia="Calibri" w:hAnsi="Palatino Linotype" w:cs="Times New Roman"/>
          <w:sz w:val="22"/>
          <w:szCs w:val="22"/>
        </w:rPr>
        <w:t>It took several weeks before the Government confirmed that</w:t>
      </w:r>
      <w:r w:rsidR="000C5BFB" w:rsidRPr="0078109C">
        <w:rPr>
          <w:rFonts w:ascii="Palatino Linotype" w:eastAsia="Calibri" w:hAnsi="Palatino Linotype" w:cs="Times New Roman"/>
          <w:sz w:val="22"/>
          <w:szCs w:val="22"/>
        </w:rPr>
        <w:t xml:space="preserve"> this</w:t>
      </w:r>
      <w:r w:rsidR="00CF0DEC" w:rsidRPr="0078109C">
        <w:rPr>
          <w:rFonts w:ascii="Palatino Linotype" w:eastAsia="Calibri" w:hAnsi="Palatino Linotype" w:cs="Times New Roman"/>
          <w:sz w:val="22"/>
          <w:szCs w:val="22"/>
        </w:rPr>
        <w:t xml:space="preserve"> </w:t>
      </w:r>
      <w:r w:rsidR="000C5BFB" w:rsidRPr="0078109C">
        <w:rPr>
          <w:rFonts w:ascii="Palatino Linotype" w:eastAsia="Calibri" w:hAnsi="Palatino Linotype" w:cs="Times New Roman"/>
          <w:sz w:val="22"/>
          <w:szCs w:val="22"/>
        </w:rPr>
        <w:t>strict self-isolation was advisory and not mandatory.</w:t>
      </w:r>
      <w:r w:rsidR="000C5BFB" w:rsidRPr="0078109C">
        <w:rPr>
          <w:rStyle w:val="FootnoteReference"/>
          <w:rFonts w:ascii="Palatino Linotype" w:eastAsia="Calibri" w:hAnsi="Palatino Linotype" w:cs="Times New Roman"/>
          <w:sz w:val="22"/>
          <w:szCs w:val="22"/>
        </w:rPr>
        <w:footnoteReference w:id="29"/>
      </w:r>
      <w:r w:rsidR="00261F21" w:rsidRPr="0078109C">
        <w:rPr>
          <w:rFonts w:ascii="Palatino Linotype" w:eastAsia="Calibri" w:hAnsi="Palatino Linotype" w:cs="Times New Roman"/>
          <w:sz w:val="22"/>
          <w:szCs w:val="22"/>
        </w:rPr>
        <w:t xml:space="preserve"> </w:t>
      </w:r>
      <w:r w:rsidR="00D90691" w:rsidRPr="0078109C">
        <w:rPr>
          <w:rFonts w:ascii="Palatino Linotype" w:eastAsia="Calibri" w:hAnsi="Palatino Linotype" w:cs="Times New Roman"/>
          <w:sz w:val="22"/>
          <w:szCs w:val="22"/>
        </w:rPr>
        <w:t>This episode helps make concrete how failure to respect rule of law values can affect people’s lives in negative ways. Here</w:t>
      </w:r>
      <w:r w:rsidR="00261F21" w:rsidRPr="0078109C">
        <w:rPr>
          <w:rFonts w:ascii="Palatino Linotype" w:eastAsia="Calibri" w:hAnsi="Palatino Linotype" w:cs="Times New Roman"/>
          <w:sz w:val="22"/>
          <w:szCs w:val="22"/>
        </w:rPr>
        <w:t xml:space="preserve">, potentially </w:t>
      </w:r>
      <w:r w:rsidR="00D90691" w:rsidRPr="0078109C">
        <w:rPr>
          <w:rFonts w:ascii="Palatino Linotype" w:eastAsia="Calibri" w:hAnsi="Palatino Linotype" w:cs="Times New Roman"/>
          <w:sz w:val="22"/>
          <w:szCs w:val="22"/>
        </w:rPr>
        <w:t xml:space="preserve">vulnerable or ailing elderly people may have forgone having family or visitors over </w:t>
      </w:r>
      <w:r w:rsidR="00F71DB9" w:rsidRPr="0078109C">
        <w:rPr>
          <w:rFonts w:ascii="Palatino Linotype" w:eastAsia="Calibri" w:hAnsi="Palatino Linotype" w:cs="Times New Roman"/>
          <w:sz w:val="22"/>
          <w:szCs w:val="22"/>
        </w:rPr>
        <w:t>for</w:t>
      </w:r>
      <w:r w:rsidR="00D90691" w:rsidRPr="0078109C">
        <w:rPr>
          <w:rFonts w:ascii="Palatino Linotype" w:eastAsia="Calibri" w:hAnsi="Palatino Linotype" w:cs="Times New Roman"/>
          <w:sz w:val="22"/>
          <w:szCs w:val="22"/>
        </w:rPr>
        <w:t xml:space="preserve"> company </w:t>
      </w:r>
      <w:r w:rsidR="00F71DB9" w:rsidRPr="0078109C">
        <w:rPr>
          <w:rFonts w:ascii="Palatino Linotype" w:eastAsia="Calibri" w:hAnsi="Palatino Linotype" w:cs="Times New Roman"/>
          <w:sz w:val="22"/>
          <w:szCs w:val="22"/>
        </w:rPr>
        <w:t>or refrained from</w:t>
      </w:r>
      <w:r w:rsidR="00D90691" w:rsidRPr="0078109C">
        <w:rPr>
          <w:rFonts w:ascii="Palatino Linotype" w:eastAsia="Calibri" w:hAnsi="Palatino Linotype" w:cs="Times New Roman"/>
          <w:sz w:val="22"/>
          <w:szCs w:val="22"/>
        </w:rPr>
        <w:t xml:space="preserve"> engaging in important daily activity like exercise</w:t>
      </w:r>
      <w:r w:rsidR="00C64FC5">
        <w:rPr>
          <w:rFonts w:ascii="Palatino Linotype" w:eastAsia="Calibri" w:hAnsi="Palatino Linotype" w:cs="Times New Roman"/>
          <w:sz w:val="22"/>
          <w:szCs w:val="22"/>
        </w:rPr>
        <w:t>—</w:t>
      </w:r>
      <w:r w:rsidR="00D90691" w:rsidRPr="0078109C">
        <w:rPr>
          <w:rFonts w:ascii="Palatino Linotype" w:eastAsia="Calibri" w:hAnsi="Palatino Linotype" w:cs="Times New Roman"/>
          <w:sz w:val="22"/>
          <w:szCs w:val="22"/>
        </w:rPr>
        <w:t>perhaps at emotional or psychological cost</w:t>
      </w:r>
      <w:r w:rsidR="00CF0DEC" w:rsidRPr="0078109C">
        <w:rPr>
          <w:rStyle w:val="FootnoteReference"/>
          <w:rFonts w:ascii="Palatino Linotype" w:eastAsia="Calibri" w:hAnsi="Palatino Linotype" w:cs="Times New Roman"/>
          <w:sz w:val="22"/>
          <w:szCs w:val="22"/>
        </w:rPr>
        <w:footnoteReference w:id="30"/>
      </w:r>
      <w:r w:rsidR="00C64FC5">
        <w:rPr>
          <w:rFonts w:ascii="Palatino Linotype" w:eastAsia="Calibri" w:hAnsi="Palatino Linotype" w:cs="Times New Roman"/>
          <w:sz w:val="22"/>
          <w:szCs w:val="22"/>
        </w:rPr>
        <w:t xml:space="preserve">—from </w:t>
      </w:r>
      <w:r w:rsidR="00D90691" w:rsidRPr="0078109C">
        <w:rPr>
          <w:rFonts w:ascii="Palatino Linotype" w:eastAsia="Calibri" w:hAnsi="Palatino Linotype" w:cs="Times New Roman"/>
          <w:sz w:val="22"/>
          <w:szCs w:val="22"/>
        </w:rPr>
        <w:t>a desire to respect what they</w:t>
      </w:r>
      <w:r w:rsidR="00261F21" w:rsidRPr="0078109C">
        <w:rPr>
          <w:rFonts w:ascii="Palatino Linotype" w:eastAsia="Calibri" w:hAnsi="Palatino Linotype" w:cs="Times New Roman"/>
          <w:sz w:val="22"/>
          <w:szCs w:val="22"/>
        </w:rPr>
        <w:t xml:space="preserve"> were led to believe was </w:t>
      </w:r>
      <w:r w:rsidR="000C5BFB" w:rsidRPr="0078109C">
        <w:rPr>
          <w:rFonts w:ascii="Palatino Linotype" w:eastAsia="Calibri" w:hAnsi="Palatino Linotype" w:cs="Times New Roman"/>
          <w:sz w:val="22"/>
          <w:szCs w:val="22"/>
        </w:rPr>
        <w:t>the law.</w:t>
      </w:r>
      <w:r w:rsidR="00261F21" w:rsidRPr="0078109C">
        <w:rPr>
          <w:rFonts w:ascii="Palatino Linotype" w:eastAsia="Calibri" w:hAnsi="Palatino Linotype" w:cs="Times New Roman"/>
          <w:sz w:val="22"/>
          <w:szCs w:val="22"/>
        </w:rPr>
        <w:t xml:space="preserve"> </w:t>
      </w:r>
    </w:p>
    <w:p w14:paraId="65151F9A" w14:textId="4506E242" w:rsidR="00E544F9" w:rsidRPr="0078109C" w:rsidRDefault="00E544F9" w:rsidP="0078109C">
      <w:pPr>
        <w:spacing w:afterLines="120" w:after="288" w:line="360" w:lineRule="auto"/>
        <w:jc w:val="both"/>
        <w:rPr>
          <w:rFonts w:ascii="Palatino Linotype" w:eastAsia="Calibri" w:hAnsi="Palatino Linotype" w:cs="Times New Roman"/>
          <w:i/>
          <w:iCs/>
          <w:sz w:val="22"/>
          <w:szCs w:val="22"/>
        </w:rPr>
      </w:pPr>
      <w:r w:rsidRPr="0078109C">
        <w:rPr>
          <w:rFonts w:ascii="Palatino Linotype" w:eastAsia="Calibri" w:hAnsi="Palatino Linotype" w:cs="Times New Roman"/>
          <w:i/>
          <w:iCs/>
          <w:sz w:val="22"/>
          <w:szCs w:val="22"/>
        </w:rPr>
        <w:lastRenderedPageBreak/>
        <w:t>Travel Advice</w:t>
      </w:r>
    </w:p>
    <w:p w14:paraId="2C55781E" w14:textId="3760D439" w:rsidR="00BA4A45" w:rsidRPr="0078109C" w:rsidRDefault="00E544F9" w:rsidP="0078109C">
      <w:pPr>
        <w:spacing w:afterLines="120" w:after="288" w:line="360" w:lineRule="auto"/>
        <w:jc w:val="both"/>
        <w:rPr>
          <w:rFonts w:ascii="Palatino Linotype" w:eastAsia="Calibri" w:hAnsi="Palatino Linotype" w:cs="Times New Roman"/>
          <w:bCs/>
          <w:sz w:val="22"/>
          <w:szCs w:val="22"/>
        </w:rPr>
      </w:pPr>
      <w:r w:rsidRPr="0078109C">
        <w:rPr>
          <w:rFonts w:ascii="Palatino Linotype" w:eastAsia="Calibri" w:hAnsi="Palatino Linotype" w:cs="Times New Roman"/>
          <w:sz w:val="22"/>
          <w:szCs w:val="22"/>
        </w:rPr>
        <w:t xml:space="preserve">Until </w:t>
      </w:r>
      <w:r w:rsidR="00174417">
        <w:rPr>
          <w:rFonts w:ascii="Palatino Linotype" w:eastAsia="Calibri" w:hAnsi="Palatino Linotype" w:cs="Times New Roman"/>
          <w:sz w:val="22"/>
          <w:szCs w:val="22"/>
        </w:rPr>
        <w:t>January 2021</w:t>
      </w:r>
      <w:r w:rsidRPr="0078109C">
        <w:rPr>
          <w:rFonts w:ascii="Palatino Linotype" w:eastAsia="Calibri" w:hAnsi="Palatino Linotype" w:cs="Times New Roman"/>
          <w:sz w:val="22"/>
          <w:szCs w:val="22"/>
        </w:rPr>
        <w:t>, the</w:t>
      </w:r>
      <w:r w:rsidR="00BA4A45" w:rsidRPr="0078109C">
        <w:rPr>
          <w:rFonts w:ascii="Palatino Linotype" w:eastAsia="Calibri" w:hAnsi="Palatino Linotype" w:cs="Times New Roman"/>
          <w:sz w:val="22"/>
          <w:szCs w:val="22"/>
        </w:rPr>
        <w:t xml:space="preserve"> only legal obligation on international passengers </w:t>
      </w:r>
      <w:r w:rsidRPr="0078109C">
        <w:rPr>
          <w:rFonts w:ascii="Palatino Linotype" w:eastAsia="Calibri" w:hAnsi="Palatino Linotype" w:cs="Times New Roman"/>
          <w:sz w:val="22"/>
          <w:szCs w:val="22"/>
        </w:rPr>
        <w:t>was</w:t>
      </w:r>
      <w:r w:rsidR="00BA4A45" w:rsidRPr="0078109C">
        <w:rPr>
          <w:rFonts w:ascii="Palatino Linotype" w:eastAsia="Calibri" w:hAnsi="Palatino Linotype" w:cs="Times New Roman"/>
          <w:sz w:val="22"/>
          <w:szCs w:val="22"/>
        </w:rPr>
        <w:t xml:space="preserve"> to provide, confirm, and update information about where they</w:t>
      </w:r>
      <w:r w:rsidR="00174417">
        <w:rPr>
          <w:rFonts w:ascii="Palatino Linotype" w:eastAsia="Calibri" w:hAnsi="Palatino Linotype" w:cs="Times New Roman"/>
          <w:sz w:val="22"/>
          <w:szCs w:val="22"/>
        </w:rPr>
        <w:t xml:space="preserve"> would be</w:t>
      </w:r>
      <w:r w:rsidR="00BA4A45" w:rsidRPr="0078109C">
        <w:rPr>
          <w:rFonts w:ascii="Palatino Linotype" w:eastAsia="Calibri" w:hAnsi="Palatino Linotype" w:cs="Times New Roman"/>
          <w:sz w:val="22"/>
          <w:szCs w:val="22"/>
        </w:rPr>
        <w:t xml:space="preserve"> residing. </w:t>
      </w:r>
      <w:r w:rsidRPr="0078109C">
        <w:rPr>
          <w:rFonts w:ascii="Palatino Linotype" w:eastAsia="Calibri" w:hAnsi="Palatino Linotype" w:cs="Times New Roman"/>
          <w:sz w:val="22"/>
          <w:szCs w:val="22"/>
        </w:rPr>
        <w:t>Before this, t</w:t>
      </w:r>
      <w:r w:rsidR="00BA4A45" w:rsidRPr="0078109C">
        <w:rPr>
          <w:rFonts w:ascii="Palatino Linotype" w:eastAsia="Calibri" w:hAnsi="Palatino Linotype" w:cs="Times New Roman"/>
          <w:sz w:val="22"/>
          <w:szCs w:val="22"/>
        </w:rPr>
        <w:t xml:space="preserve">here </w:t>
      </w:r>
      <w:r w:rsidRPr="0078109C">
        <w:rPr>
          <w:rFonts w:ascii="Palatino Linotype" w:eastAsia="Calibri" w:hAnsi="Palatino Linotype" w:cs="Times New Roman"/>
          <w:sz w:val="22"/>
          <w:szCs w:val="22"/>
        </w:rPr>
        <w:t>was</w:t>
      </w:r>
      <w:r w:rsidR="00BA4A45" w:rsidRPr="0078109C">
        <w:rPr>
          <w:rFonts w:ascii="Palatino Linotype" w:eastAsia="Calibri" w:hAnsi="Palatino Linotype" w:cs="Times New Roman"/>
          <w:sz w:val="22"/>
          <w:szCs w:val="22"/>
        </w:rPr>
        <w:t xml:space="preserve"> never </w:t>
      </w:r>
      <w:r w:rsidR="00BA4A45" w:rsidRPr="0078109C">
        <w:rPr>
          <w:rFonts w:ascii="Palatino Linotype" w:eastAsia="Calibri" w:hAnsi="Palatino Linotype" w:cs="Times New Roman"/>
          <w:i/>
          <w:iCs/>
          <w:sz w:val="22"/>
          <w:szCs w:val="22"/>
        </w:rPr>
        <w:t>any</w:t>
      </w:r>
      <w:r w:rsidR="00BA4A45" w:rsidRPr="0078109C">
        <w:rPr>
          <w:rFonts w:ascii="Palatino Linotype" w:eastAsia="Calibri" w:hAnsi="Palatino Linotype" w:cs="Times New Roman"/>
          <w:sz w:val="22"/>
          <w:szCs w:val="22"/>
        </w:rPr>
        <w:t xml:space="preserve"> legal obligation to restrict movements. The government’s own website correctly reflected this</w:t>
      </w:r>
      <w:r w:rsidRPr="0078109C">
        <w:rPr>
          <w:rFonts w:ascii="Palatino Linotype" w:eastAsia="Calibri" w:hAnsi="Palatino Linotype" w:cs="Times New Roman"/>
          <w:sz w:val="22"/>
          <w:szCs w:val="22"/>
        </w:rPr>
        <w:t xml:space="preserve"> status</w:t>
      </w:r>
      <w:r w:rsidR="00BA4A45" w:rsidRPr="0078109C">
        <w:rPr>
          <w:rFonts w:ascii="Palatino Linotype" w:eastAsia="Calibri" w:hAnsi="Palatino Linotype" w:cs="Times New Roman"/>
          <w:sz w:val="22"/>
          <w:szCs w:val="22"/>
        </w:rPr>
        <w:t>, stating that passengers were ‘asked to restrict their movements for 14 days’.</w:t>
      </w:r>
      <w:r w:rsidR="00BA4A45" w:rsidRPr="0078109C">
        <w:rPr>
          <w:rFonts w:ascii="Palatino Linotype" w:eastAsia="Calibri" w:hAnsi="Palatino Linotype" w:cs="Times New Roman"/>
          <w:sz w:val="22"/>
          <w:szCs w:val="22"/>
          <w:vertAlign w:val="superscript"/>
        </w:rPr>
        <w:footnoteReference w:id="31"/>
      </w:r>
      <w:r w:rsidR="00BA4A45" w:rsidRPr="0078109C">
        <w:rPr>
          <w:rFonts w:ascii="Palatino Linotype" w:eastAsia="Calibri" w:hAnsi="Palatino Linotype" w:cs="Times New Roman"/>
          <w:sz w:val="22"/>
          <w:szCs w:val="22"/>
        </w:rPr>
        <w:t xml:space="preserve"> The Department of Foreign Affairs website, however, stated ‘the Irish authorities require anyone coming into Ireland … to restrict their movement for 14 days.’</w:t>
      </w:r>
      <w:r w:rsidR="00BA4A45" w:rsidRPr="0078109C">
        <w:rPr>
          <w:rFonts w:ascii="Palatino Linotype" w:eastAsia="Calibri" w:hAnsi="Palatino Linotype" w:cs="Times New Roman"/>
          <w:sz w:val="22"/>
          <w:szCs w:val="22"/>
          <w:vertAlign w:val="superscript"/>
        </w:rPr>
        <w:footnoteReference w:id="32"/>
      </w:r>
      <w:r w:rsidR="00BA4A45" w:rsidRPr="0078109C">
        <w:rPr>
          <w:rFonts w:ascii="Palatino Linotype" w:eastAsia="Calibri" w:hAnsi="Palatino Linotype" w:cs="Times New Roman"/>
          <w:sz w:val="22"/>
          <w:szCs w:val="22"/>
        </w:rPr>
        <w:t xml:space="preserve"> </w:t>
      </w:r>
      <w:r w:rsidR="00BA4A45" w:rsidRPr="0078109C">
        <w:rPr>
          <w:rFonts w:ascii="Palatino Linotype" w:eastAsia="Calibri" w:hAnsi="Palatino Linotype" w:cs="Times New Roman"/>
          <w:bCs/>
          <w:sz w:val="22"/>
          <w:szCs w:val="22"/>
        </w:rPr>
        <w:t xml:space="preserve">In </w:t>
      </w:r>
      <w:r w:rsidR="00BA4A45" w:rsidRPr="0078109C">
        <w:rPr>
          <w:rFonts w:ascii="Palatino Linotype" w:eastAsia="Calibri" w:hAnsi="Palatino Linotype" w:cs="Times New Roman"/>
          <w:bCs/>
          <w:i/>
          <w:iCs/>
          <w:sz w:val="22"/>
          <w:szCs w:val="22"/>
        </w:rPr>
        <w:t>Ryanair v An Taoiseach</w:t>
      </w:r>
      <w:r w:rsidR="00BA4A45" w:rsidRPr="0078109C">
        <w:rPr>
          <w:rFonts w:ascii="Palatino Linotype" w:eastAsia="Calibri" w:hAnsi="Palatino Linotype" w:cs="Times New Roman"/>
          <w:bCs/>
          <w:sz w:val="22"/>
          <w:szCs w:val="22"/>
        </w:rPr>
        <w:t xml:space="preserve">, the High Court rejected a challenge by Ryanair to the Government’s travel advice, partly on the basis that the DFA website, which was changed from that just quoted after Ryanair instituted proceedings, clearly presented the Government position as non-mandatory. Nevertheless, </w:t>
      </w:r>
      <w:r w:rsidR="00174417">
        <w:rPr>
          <w:rFonts w:ascii="Palatino Linotype" w:eastAsia="Calibri" w:hAnsi="Palatino Linotype" w:cs="Times New Roman"/>
          <w:bCs/>
          <w:sz w:val="22"/>
          <w:szCs w:val="22"/>
        </w:rPr>
        <w:t xml:space="preserve">Mr Justice </w:t>
      </w:r>
      <w:r w:rsidR="00BA4A45" w:rsidRPr="0078109C">
        <w:rPr>
          <w:rFonts w:ascii="Palatino Linotype" w:eastAsia="Calibri" w:hAnsi="Palatino Linotype" w:cs="Times New Roman"/>
          <w:bCs/>
          <w:sz w:val="22"/>
          <w:szCs w:val="22"/>
        </w:rPr>
        <w:t>Simons accepted that problems could arise if advice were presented in mandatory terms:</w:t>
      </w:r>
    </w:p>
    <w:p w14:paraId="65EDE905" w14:textId="77777777" w:rsidR="00BA4A45" w:rsidRPr="0078109C" w:rsidRDefault="00BA4A45" w:rsidP="0078109C">
      <w:pPr>
        <w:spacing w:afterLines="120" w:after="288" w:line="360" w:lineRule="auto"/>
        <w:ind w:left="720"/>
        <w:jc w:val="both"/>
        <w:rPr>
          <w:rFonts w:ascii="Palatino Linotype" w:eastAsia="Calibri" w:hAnsi="Palatino Linotype" w:cs="Times New Roman"/>
          <w:bCs/>
          <w:sz w:val="22"/>
          <w:szCs w:val="22"/>
        </w:rPr>
      </w:pPr>
      <w:r w:rsidRPr="0078109C">
        <w:rPr>
          <w:rFonts w:ascii="Palatino Linotype" w:eastAsia="Calibri" w:hAnsi="Palatino Linotype" w:cs="Times New Roman"/>
          <w:bCs/>
          <w:sz w:val="22"/>
          <w:szCs w:val="22"/>
        </w:rPr>
        <w:t xml:space="preserve">It would seem to be a logical extension of this case law to say that the courts should also intervene where a government has, by way of unequivocal statements, created the false impression that there is legislation in force which regulates certain activities when, in truth, there is no such legislation. Were this to happen, then the executive branch would be able to achieve a result which is similar in effect to legislation, </w:t>
      </w:r>
      <w:proofErr w:type="gramStart"/>
      <w:r w:rsidRPr="0078109C">
        <w:rPr>
          <w:rFonts w:ascii="Palatino Linotype" w:eastAsia="Calibri" w:hAnsi="Palatino Linotype" w:cs="Times New Roman"/>
          <w:bCs/>
          <w:sz w:val="22"/>
          <w:szCs w:val="22"/>
        </w:rPr>
        <w:t>i.e.</w:t>
      </w:r>
      <w:proofErr w:type="gramEnd"/>
      <w:r w:rsidRPr="0078109C">
        <w:rPr>
          <w:rFonts w:ascii="Palatino Linotype" w:eastAsia="Calibri" w:hAnsi="Palatino Linotype" w:cs="Times New Roman"/>
          <w:bCs/>
          <w:sz w:val="22"/>
          <w:szCs w:val="22"/>
        </w:rPr>
        <w:t xml:space="preserve"> members of the public might well be coerced into complying with the government’s guidance in the mistaken belief that it is legally enforceable. This is especially so in the context of the coronavirus pandemic. The very fact that the government’s guidance-to use a neutral term-on the measures to be taken to restrict the spread of coronavirus is, of necessity, constantly changing means that members of the public will rely heavily on official sources, such as government websites, to obtain information on what are the current requirements. It is unrealistic to expect that a member of the public will wade through reams of statutory instruments in order to determine what the precise legal requirements are at any given moment.</w:t>
      </w:r>
      <w:r w:rsidRPr="0078109C">
        <w:rPr>
          <w:rStyle w:val="FootnoteReference"/>
          <w:rFonts w:ascii="Palatino Linotype" w:eastAsia="Calibri" w:hAnsi="Palatino Linotype" w:cs="Times New Roman"/>
          <w:bCs/>
          <w:sz w:val="22"/>
          <w:szCs w:val="22"/>
        </w:rPr>
        <w:footnoteReference w:id="33"/>
      </w:r>
    </w:p>
    <w:p w14:paraId="73ABF9E3" w14:textId="1DCC8B3A" w:rsidR="00BA4A45" w:rsidRPr="0078109C" w:rsidRDefault="00D90691" w:rsidP="0078109C">
      <w:pPr>
        <w:spacing w:line="360" w:lineRule="auto"/>
        <w:jc w:val="both"/>
        <w:rPr>
          <w:rFonts w:ascii="Palatino Linotype" w:hAnsi="Palatino Linotype" w:cs="Times New Roman"/>
          <w:sz w:val="22"/>
          <w:szCs w:val="22"/>
        </w:rPr>
      </w:pPr>
      <w:r w:rsidRPr="0078109C">
        <w:rPr>
          <w:rFonts w:ascii="Palatino Linotype" w:hAnsi="Palatino Linotype" w:cs="Times New Roman"/>
          <w:sz w:val="22"/>
          <w:szCs w:val="22"/>
        </w:rPr>
        <w:lastRenderedPageBreak/>
        <w:t xml:space="preserve">Again, it is worth </w:t>
      </w:r>
      <w:r w:rsidR="00375F20" w:rsidRPr="0078109C">
        <w:rPr>
          <w:rFonts w:ascii="Palatino Linotype" w:hAnsi="Palatino Linotype" w:cs="Times New Roman"/>
          <w:sz w:val="22"/>
          <w:szCs w:val="22"/>
        </w:rPr>
        <w:t>considering</w:t>
      </w:r>
      <w:r w:rsidRPr="0078109C">
        <w:rPr>
          <w:rFonts w:ascii="Palatino Linotype" w:hAnsi="Palatino Linotype" w:cs="Times New Roman"/>
          <w:sz w:val="22"/>
          <w:szCs w:val="22"/>
        </w:rPr>
        <w:t xml:space="preserve"> the concrete consequences this kind of confusion </w:t>
      </w:r>
      <w:r w:rsidR="00541318" w:rsidRPr="0078109C">
        <w:rPr>
          <w:rFonts w:ascii="Palatino Linotype" w:hAnsi="Palatino Linotype" w:cs="Times New Roman"/>
          <w:sz w:val="22"/>
          <w:szCs w:val="22"/>
        </w:rPr>
        <w:t xml:space="preserve">might </w:t>
      </w:r>
      <w:r w:rsidR="006A7EA2" w:rsidRPr="0078109C">
        <w:rPr>
          <w:rFonts w:ascii="Palatino Linotype" w:hAnsi="Palatino Linotype" w:cs="Times New Roman"/>
          <w:sz w:val="22"/>
          <w:szCs w:val="22"/>
        </w:rPr>
        <w:t>have</w:t>
      </w:r>
      <w:r w:rsidRPr="0078109C">
        <w:rPr>
          <w:rFonts w:ascii="Palatino Linotype" w:hAnsi="Palatino Linotype" w:cs="Times New Roman"/>
          <w:sz w:val="22"/>
          <w:szCs w:val="22"/>
        </w:rPr>
        <w:t xml:space="preserve"> on individuals and their families. Many </w:t>
      </w:r>
      <w:r w:rsidR="00541318" w:rsidRPr="0078109C">
        <w:rPr>
          <w:rFonts w:ascii="Palatino Linotype" w:hAnsi="Palatino Linotype" w:cs="Times New Roman"/>
          <w:sz w:val="22"/>
          <w:szCs w:val="22"/>
        </w:rPr>
        <w:t>people</w:t>
      </w:r>
      <w:r w:rsidRPr="0078109C">
        <w:rPr>
          <w:rFonts w:ascii="Palatino Linotype" w:hAnsi="Palatino Linotype" w:cs="Times New Roman"/>
          <w:sz w:val="22"/>
          <w:szCs w:val="22"/>
        </w:rPr>
        <w:t xml:space="preserve"> who m</w:t>
      </w:r>
      <w:r w:rsidR="00174417">
        <w:rPr>
          <w:rFonts w:ascii="Palatino Linotype" w:hAnsi="Palatino Linotype" w:cs="Times New Roman"/>
          <w:sz w:val="22"/>
          <w:szCs w:val="22"/>
        </w:rPr>
        <w:t>ight otherwise</w:t>
      </w:r>
      <w:r w:rsidRPr="0078109C">
        <w:rPr>
          <w:rFonts w:ascii="Palatino Linotype" w:hAnsi="Palatino Linotype" w:cs="Times New Roman"/>
          <w:sz w:val="22"/>
          <w:szCs w:val="22"/>
        </w:rPr>
        <w:t xml:space="preserve"> have </w:t>
      </w:r>
      <w:r w:rsidR="00541318" w:rsidRPr="0078109C">
        <w:rPr>
          <w:rFonts w:ascii="Palatino Linotype" w:hAnsi="Palatino Linotype" w:cs="Times New Roman"/>
          <w:sz w:val="22"/>
          <w:szCs w:val="22"/>
        </w:rPr>
        <w:t>travelled to</w:t>
      </w:r>
      <w:r w:rsidRPr="0078109C">
        <w:rPr>
          <w:rFonts w:ascii="Palatino Linotype" w:hAnsi="Palatino Linotype" w:cs="Times New Roman"/>
          <w:sz w:val="22"/>
          <w:szCs w:val="22"/>
        </w:rPr>
        <w:t xml:space="preserve"> visit family or friends</w:t>
      </w:r>
      <w:r w:rsidR="006A7EA2" w:rsidRPr="0078109C">
        <w:rPr>
          <w:rFonts w:ascii="Palatino Linotype" w:hAnsi="Palatino Linotype" w:cs="Times New Roman"/>
          <w:sz w:val="22"/>
          <w:szCs w:val="22"/>
        </w:rPr>
        <w:t xml:space="preserve">, </w:t>
      </w:r>
      <w:r w:rsidR="00174417">
        <w:rPr>
          <w:rFonts w:ascii="Palatino Linotype" w:hAnsi="Palatino Linotype" w:cs="Times New Roman"/>
          <w:sz w:val="22"/>
          <w:szCs w:val="22"/>
        </w:rPr>
        <w:t xml:space="preserve">could </w:t>
      </w:r>
      <w:r w:rsidRPr="0078109C">
        <w:rPr>
          <w:rFonts w:ascii="Palatino Linotype" w:hAnsi="Palatino Linotype" w:cs="Times New Roman"/>
          <w:sz w:val="22"/>
          <w:szCs w:val="22"/>
        </w:rPr>
        <w:t>have refrained from doing so due to the</w:t>
      </w:r>
      <w:r w:rsidR="00541318" w:rsidRPr="0078109C">
        <w:rPr>
          <w:rFonts w:ascii="Palatino Linotype" w:hAnsi="Palatino Linotype" w:cs="Times New Roman"/>
          <w:sz w:val="22"/>
          <w:szCs w:val="22"/>
        </w:rPr>
        <w:t xml:space="preserve"> good faith</w:t>
      </w:r>
      <w:r w:rsidRPr="0078109C">
        <w:rPr>
          <w:rFonts w:ascii="Palatino Linotype" w:hAnsi="Palatino Linotype" w:cs="Times New Roman"/>
          <w:sz w:val="22"/>
          <w:szCs w:val="22"/>
        </w:rPr>
        <w:t xml:space="preserve"> misconception they </w:t>
      </w:r>
      <w:r w:rsidR="00174417">
        <w:rPr>
          <w:rFonts w:ascii="Palatino Linotype" w:hAnsi="Palatino Linotype" w:cs="Times New Roman"/>
          <w:sz w:val="22"/>
          <w:szCs w:val="22"/>
        </w:rPr>
        <w:t xml:space="preserve">legally </w:t>
      </w:r>
      <w:r w:rsidRPr="0078109C">
        <w:rPr>
          <w:rFonts w:ascii="Palatino Linotype" w:hAnsi="Palatino Linotype" w:cs="Times New Roman"/>
          <w:sz w:val="22"/>
          <w:szCs w:val="22"/>
        </w:rPr>
        <w:t>had to</w:t>
      </w:r>
      <w:r w:rsidR="006A7EA2" w:rsidRPr="0078109C">
        <w:rPr>
          <w:rFonts w:ascii="Palatino Linotype" w:hAnsi="Palatino Linotype" w:cs="Times New Roman"/>
          <w:sz w:val="22"/>
          <w:szCs w:val="22"/>
        </w:rPr>
        <w:t xml:space="preserve"> </w:t>
      </w:r>
      <w:r w:rsidRPr="0078109C">
        <w:rPr>
          <w:rFonts w:ascii="Palatino Linotype" w:hAnsi="Palatino Linotype" w:cs="Times New Roman"/>
          <w:sz w:val="22"/>
          <w:szCs w:val="22"/>
        </w:rPr>
        <w:t>restrict movement for 14 days</w:t>
      </w:r>
      <w:r w:rsidR="006A7EA2" w:rsidRPr="0078109C">
        <w:rPr>
          <w:rFonts w:ascii="Palatino Linotype" w:hAnsi="Palatino Linotype" w:cs="Times New Roman"/>
          <w:sz w:val="22"/>
          <w:szCs w:val="22"/>
        </w:rPr>
        <w:t>.</w:t>
      </w:r>
      <w:r w:rsidRPr="0078109C">
        <w:rPr>
          <w:rFonts w:ascii="Palatino Linotype" w:hAnsi="Palatino Linotype" w:cs="Times New Roman"/>
          <w:sz w:val="22"/>
          <w:szCs w:val="22"/>
        </w:rPr>
        <w:t xml:space="preserve"> </w:t>
      </w:r>
      <w:r w:rsidR="00375F20" w:rsidRPr="0078109C">
        <w:rPr>
          <w:rFonts w:ascii="Palatino Linotype" w:hAnsi="Palatino Linotype" w:cs="Times New Roman"/>
          <w:sz w:val="22"/>
          <w:szCs w:val="22"/>
        </w:rPr>
        <w:t>A</w:t>
      </w:r>
      <w:r w:rsidR="0094052A" w:rsidRPr="0078109C">
        <w:rPr>
          <w:rFonts w:ascii="Palatino Linotype" w:hAnsi="Palatino Linotype" w:cs="Times New Roman"/>
          <w:sz w:val="22"/>
          <w:szCs w:val="22"/>
        </w:rPr>
        <w:t>mbiguity</w:t>
      </w:r>
      <w:r w:rsidRPr="0078109C">
        <w:rPr>
          <w:rFonts w:ascii="Palatino Linotype" w:hAnsi="Palatino Linotype" w:cs="Times New Roman"/>
          <w:sz w:val="22"/>
          <w:szCs w:val="22"/>
        </w:rPr>
        <w:t xml:space="preserve"> over the</w:t>
      </w:r>
      <w:r w:rsidR="0094052A" w:rsidRPr="0078109C">
        <w:rPr>
          <w:rFonts w:ascii="Palatino Linotype" w:hAnsi="Palatino Linotype" w:cs="Times New Roman"/>
          <w:sz w:val="22"/>
          <w:szCs w:val="22"/>
        </w:rPr>
        <w:t xml:space="preserve"> diving line between advice and</w:t>
      </w:r>
      <w:r w:rsidRPr="0078109C">
        <w:rPr>
          <w:rFonts w:ascii="Palatino Linotype" w:hAnsi="Palatino Linotype" w:cs="Times New Roman"/>
          <w:sz w:val="22"/>
          <w:szCs w:val="22"/>
        </w:rPr>
        <w:t xml:space="preserve"> law will</w:t>
      </w:r>
      <w:r w:rsidR="00684273" w:rsidRPr="0078109C">
        <w:rPr>
          <w:rFonts w:ascii="Palatino Linotype" w:hAnsi="Palatino Linotype" w:cs="Times New Roman"/>
          <w:sz w:val="22"/>
          <w:szCs w:val="22"/>
        </w:rPr>
        <w:t xml:space="preserve"> no doubt</w:t>
      </w:r>
      <w:r w:rsidRPr="0078109C">
        <w:rPr>
          <w:rFonts w:ascii="Palatino Linotype" w:hAnsi="Palatino Linotype" w:cs="Times New Roman"/>
          <w:sz w:val="22"/>
          <w:szCs w:val="22"/>
        </w:rPr>
        <w:t xml:space="preserve"> have disrupted the normal ebb and flow of </w:t>
      </w:r>
      <w:r w:rsidR="00541318" w:rsidRPr="0078109C">
        <w:rPr>
          <w:rFonts w:ascii="Palatino Linotype" w:hAnsi="Palatino Linotype" w:cs="Times New Roman"/>
          <w:sz w:val="22"/>
          <w:szCs w:val="22"/>
        </w:rPr>
        <w:t xml:space="preserve">family and social </w:t>
      </w:r>
      <w:r w:rsidRPr="0078109C">
        <w:rPr>
          <w:rFonts w:ascii="Palatino Linotype" w:hAnsi="Palatino Linotype" w:cs="Times New Roman"/>
          <w:sz w:val="22"/>
          <w:szCs w:val="22"/>
        </w:rPr>
        <w:t xml:space="preserve">life for many. </w:t>
      </w:r>
    </w:p>
    <w:p w14:paraId="5C7AA612" w14:textId="77777777" w:rsidR="00E544F9" w:rsidRPr="0078109C" w:rsidRDefault="00E544F9" w:rsidP="0078109C">
      <w:pPr>
        <w:spacing w:line="360" w:lineRule="auto"/>
        <w:jc w:val="both"/>
        <w:rPr>
          <w:rFonts w:ascii="Palatino Linotype" w:hAnsi="Palatino Linotype" w:cs="Times New Roman"/>
          <w:b/>
          <w:bCs/>
          <w:i/>
          <w:iCs/>
          <w:sz w:val="22"/>
          <w:szCs w:val="22"/>
        </w:rPr>
      </w:pPr>
    </w:p>
    <w:p w14:paraId="670AE2C1" w14:textId="10BE036D" w:rsidR="00F26D77" w:rsidRPr="0078109C" w:rsidRDefault="00F26D77" w:rsidP="0078109C">
      <w:pPr>
        <w:spacing w:line="360" w:lineRule="auto"/>
        <w:jc w:val="both"/>
        <w:rPr>
          <w:rFonts w:ascii="Palatino Linotype" w:hAnsi="Palatino Linotype" w:cs="Times New Roman"/>
          <w:b/>
          <w:bCs/>
          <w:i/>
          <w:iCs/>
          <w:sz w:val="22"/>
          <w:szCs w:val="22"/>
        </w:rPr>
      </w:pPr>
      <w:r w:rsidRPr="0078109C">
        <w:rPr>
          <w:rFonts w:ascii="Palatino Linotype" w:hAnsi="Palatino Linotype" w:cs="Times New Roman"/>
          <w:b/>
          <w:bCs/>
          <w:i/>
          <w:iCs/>
          <w:sz w:val="22"/>
          <w:szCs w:val="22"/>
        </w:rPr>
        <w:t xml:space="preserve">B. </w:t>
      </w:r>
      <w:r w:rsidR="00BA4A45" w:rsidRPr="0078109C">
        <w:rPr>
          <w:rFonts w:ascii="Palatino Linotype" w:hAnsi="Palatino Linotype" w:cs="Times New Roman"/>
          <w:b/>
          <w:bCs/>
          <w:i/>
          <w:iCs/>
          <w:sz w:val="22"/>
          <w:szCs w:val="22"/>
        </w:rPr>
        <w:t>Vagueness of Regulations</w:t>
      </w:r>
    </w:p>
    <w:p w14:paraId="27A9EF04" w14:textId="77777777" w:rsidR="00F26D77" w:rsidRPr="0078109C" w:rsidRDefault="00F26D77" w:rsidP="0078109C">
      <w:pPr>
        <w:spacing w:line="360" w:lineRule="auto"/>
        <w:jc w:val="both"/>
        <w:rPr>
          <w:rFonts w:ascii="Palatino Linotype" w:hAnsi="Palatino Linotype" w:cs="Times New Roman"/>
          <w:i/>
          <w:iCs/>
          <w:sz w:val="22"/>
          <w:szCs w:val="22"/>
        </w:rPr>
      </w:pPr>
      <w:r w:rsidRPr="0078109C">
        <w:rPr>
          <w:rFonts w:ascii="Palatino Linotype" w:hAnsi="Palatino Linotype" w:cs="Times New Roman"/>
          <w:i/>
          <w:iCs/>
          <w:sz w:val="22"/>
          <w:szCs w:val="22"/>
        </w:rPr>
        <w:t>Attending Religious Services in Person</w:t>
      </w:r>
    </w:p>
    <w:p w14:paraId="3D432B52" w14:textId="11FB44E2" w:rsidR="00F26D77" w:rsidRPr="0078109C" w:rsidRDefault="00F26D77" w:rsidP="0078109C">
      <w:pPr>
        <w:spacing w:line="360" w:lineRule="auto"/>
        <w:jc w:val="both"/>
        <w:rPr>
          <w:rFonts w:ascii="Palatino Linotype" w:hAnsi="Palatino Linotype" w:cs="Times New Roman"/>
          <w:color w:val="000000" w:themeColor="text1"/>
          <w:sz w:val="22"/>
          <w:szCs w:val="22"/>
        </w:rPr>
      </w:pPr>
      <w:r w:rsidRPr="0078109C">
        <w:rPr>
          <w:rFonts w:ascii="Palatino Linotype" w:hAnsi="Palatino Linotype" w:cs="Times New Roman"/>
          <w:color w:val="000000" w:themeColor="text1"/>
          <w:sz w:val="22"/>
          <w:szCs w:val="22"/>
        </w:rPr>
        <w:t>For most of the pandemic, Government regulations did not place explicit legal restrictions on religious services.</w:t>
      </w:r>
      <w:bookmarkStart w:id="4" w:name="_Ref85379528"/>
      <w:r w:rsidRPr="0078109C">
        <w:rPr>
          <w:rStyle w:val="FootnoteReference"/>
          <w:rFonts w:ascii="Palatino Linotype" w:hAnsi="Palatino Linotype" w:cs="Times New Roman"/>
          <w:color w:val="000000" w:themeColor="text1"/>
          <w:sz w:val="22"/>
          <w:szCs w:val="22"/>
        </w:rPr>
        <w:footnoteReference w:id="34"/>
      </w:r>
      <w:bookmarkEnd w:id="4"/>
      <w:r w:rsidRPr="0078109C">
        <w:rPr>
          <w:rFonts w:ascii="Palatino Linotype" w:hAnsi="Palatino Linotype" w:cs="Times New Roman"/>
          <w:color w:val="000000" w:themeColor="text1"/>
          <w:sz w:val="22"/>
          <w:szCs w:val="22"/>
        </w:rPr>
        <w:t xml:space="preserve"> Public health advice strongly urged people </w:t>
      </w:r>
      <w:r w:rsidR="002F2A57">
        <w:rPr>
          <w:rFonts w:ascii="Palatino Linotype" w:hAnsi="Palatino Linotype" w:cs="Times New Roman"/>
          <w:color w:val="000000" w:themeColor="text1"/>
          <w:sz w:val="22"/>
          <w:szCs w:val="22"/>
        </w:rPr>
        <w:t>not</w:t>
      </w:r>
      <w:r w:rsidRPr="0078109C">
        <w:rPr>
          <w:rFonts w:ascii="Palatino Linotype" w:hAnsi="Palatino Linotype" w:cs="Times New Roman"/>
          <w:color w:val="000000" w:themeColor="text1"/>
          <w:sz w:val="22"/>
          <w:szCs w:val="22"/>
        </w:rPr>
        <w:t xml:space="preserve"> to attend religious services </w:t>
      </w:r>
      <w:r w:rsidR="002F2A57">
        <w:rPr>
          <w:rFonts w:ascii="Palatino Linotype" w:hAnsi="Palatino Linotype" w:cs="Times New Roman"/>
          <w:color w:val="000000" w:themeColor="text1"/>
          <w:sz w:val="22"/>
          <w:szCs w:val="22"/>
        </w:rPr>
        <w:t xml:space="preserve">in person, and most religious congregations provided services </w:t>
      </w:r>
      <w:r w:rsidRPr="0078109C">
        <w:rPr>
          <w:rFonts w:ascii="Palatino Linotype" w:hAnsi="Palatino Linotype" w:cs="Times New Roman"/>
          <w:color w:val="000000" w:themeColor="text1"/>
          <w:sz w:val="22"/>
          <w:szCs w:val="22"/>
        </w:rPr>
        <w:t xml:space="preserve">remotely. But because of serious ambiguities in wording of the regulations giving legal effect to lockdown restrictions, confusion arose about whether in-person religious services – such as the celebration of Mass – were not merely advised against, but </w:t>
      </w:r>
      <w:r w:rsidRPr="0078109C">
        <w:rPr>
          <w:rFonts w:ascii="Palatino Linotype" w:hAnsi="Palatino Linotype" w:cs="Times New Roman"/>
          <w:i/>
          <w:iCs/>
          <w:color w:val="000000" w:themeColor="text1"/>
          <w:sz w:val="22"/>
          <w:szCs w:val="22"/>
        </w:rPr>
        <w:t>legally prohibited</w:t>
      </w:r>
      <w:r w:rsidRPr="0078109C">
        <w:rPr>
          <w:rFonts w:ascii="Palatino Linotype" w:hAnsi="Palatino Linotype" w:cs="Times New Roman"/>
          <w:color w:val="000000" w:themeColor="text1"/>
          <w:sz w:val="22"/>
          <w:szCs w:val="22"/>
        </w:rPr>
        <w:t xml:space="preserve">. </w:t>
      </w:r>
    </w:p>
    <w:p w14:paraId="67E86A11" w14:textId="2E825A6E" w:rsidR="00F26D77" w:rsidRPr="0078109C" w:rsidRDefault="00F26D77" w:rsidP="00174417">
      <w:pPr>
        <w:spacing w:line="360" w:lineRule="auto"/>
        <w:ind w:firstLine="720"/>
        <w:jc w:val="both"/>
        <w:rPr>
          <w:rFonts w:ascii="Palatino Linotype" w:hAnsi="Palatino Linotype" w:cs="Times New Roman"/>
          <w:color w:val="000000" w:themeColor="text1"/>
          <w:sz w:val="22"/>
          <w:szCs w:val="22"/>
        </w:rPr>
      </w:pPr>
      <w:r w:rsidRPr="0078109C">
        <w:rPr>
          <w:rFonts w:ascii="Palatino Linotype" w:hAnsi="Palatino Linotype" w:cs="Times New Roman"/>
          <w:color w:val="000000" w:themeColor="text1"/>
          <w:sz w:val="22"/>
          <w:szCs w:val="22"/>
        </w:rPr>
        <w:t xml:space="preserve">Ambiguity was heightened due to conflicting messaging emanating from different actors in the executive branch. The Department of Health expressed the view that while people were advised not to attend services in-person, the regulations did not </w:t>
      </w:r>
      <w:r w:rsidR="002F2A57">
        <w:rPr>
          <w:rFonts w:ascii="Palatino Linotype" w:hAnsi="Palatino Linotype" w:cs="Times New Roman"/>
          <w:color w:val="000000" w:themeColor="text1"/>
          <w:sz w:val="22"/>
          <w:szCs w:val="22"/>
        </w:rPr>
        <w:t xml:space="preserve">prohibit people from </w:t>
      </w:r>
      <w:r w:rsidRPr="0078109C">
        <w:rPr>
          <w:rFonts w:ascii="Palatino Linotype" w:hAnsi="Palatino Linotype" w:cs="Times New Roman"/>
          <w:color w:val="000000" w:themeColor="text1"/>
          <w:sz w:val="22"/>
          <w:szCs w:val="22"/>
        </w:rPr>
        <w:t>organising and attending such services</w:t>
      </w:r>
      <w:r w:rsidR="002F2A57">
        <w:rPr>
          <w:rFonts w:ascii="Palatino Linotype" w:hAnsi="Palatino Linotype" w:cs="Times New Roman"/>
          <w:color w:val="000000" w:themeColor="text1"/>
          <w:sz w:val="22"/>
          <w:szCs w:val="22"/>
        </w:rPr>
        <w:t>. This</w:t>
      </w:r>
      <w:r w:rsidRPr="0078109C">
        <w:rPr>
          <w:rFonts w:ascii="Palatino Linotype" w:hAnsi="Palatino Linotype" w:cs="Times New Roman"/>
          <w:color w:val="000000" w:themeColor="text1"/>
          <w:sz w:val="22"/>
          <w:szCs w:val="22"/>
        </w:rPr>
        <w:t xml:space="preserve"> meant that priests could not be sanctioned for saying Mass nor parishioners for attending.</w:t>
      </w:r>
      <w:r w:rsidRPr="0078109C">
        <w:rPr>
          <w:rStyle w:val="FootnoteReference"/>
          <w:rFonts w:ascii="Palatino Linotype" w:hAnsi="Palatino Linotype" w:cs="Times New Roman"/>
          <w:color w:val="000000" w:themeColor="text1"/>
          <w:sz w:val="22"/>
          <w:szCs w:val="22"/>
        </w:rPr>
        <w:footnoteReference w:id="35"/>
      </w:r>
      <w:r w:rsidRPr="0078109C">
        <w:rPr>
          <w:rFonts w:ascii="Palatino Linotype" w:hAnsi="Palatino Linotype" w:cs="Times New Roman"/>
          <w:color w:val="000000" w:themeColor="text1"/>
          <w:sz w:val="22"/>
          <w:szCs w:val="22"/>
        </w:rPr>
        <w:t xml:space="preserve"> However, despite this reassurance the Gardaí fined priests for ostensible breaches of the very same regulations the Department of Health said did not criminalise religious services.</w:t>
      </w:r>
      <w:r w:rsidRPr="0078109C">
        <w:rPr>
          <w:rStyle w:val="FootnoteReference"/>
          <w:rFonts w:ascii="Palatino Linotype" w:hAnsi="Palatino Linotype" w:cs="Times New Roman"/>
          <w:color w:val="000000" w:themeColor="text1"/>
          <w:sz w:val="22"/>
          <w:szCs w:val="22"/>
        </w:rPr>
        <w:footnoteReference w:id="36"/>
      </w:r>
    </w:p>
    <w:p w14:paraId="7E6F061E" w14:textId="1B2FED4D" w:rsidR="00F26D77" w:rsidRPr="0078109C" w:rsidRDefault="00F26D77" w:rsidP="002F2A57">
      <w:pPr>
        <w:spacing w:line="360" w:lineRule="auto"/>
        <w:ind w:firstLine="720"/>
        <w:jc w:val="both"/>
        <w:rPr>
          <w:rFonts w:ascii="Palatino Linotype" w:hAnsi="Palatino Linotype" w:cs="Times New Roman"/>
          <w:color w:val="000000" w:themeColor="text1"/>
          <w:sz w:val="22"/>
          <w:szCs w:val="22"/>
        </w:rPr>
      </w:pPr>
      <w:r w:rsidRPr="0078109C">
        <w:rPr>
          <w:rFonts w:ascii="Palatino Linotype" w:hAnsi="Palatino Linotype" w:cs="Times New Roman"/>
          <w:color w:val="000000" w:themeColor="text1"/>
          <w:sz w:val="22"/>
          <w:szCs w:val="22"/>
        </w:rPr>
        <w:t>We previously argued</w:t>
      </w:r>
      <w:r w:rsidR="00896D59" w:rsidRPr="0078109C">
        <w:rPr>
          <w:rFonts w:ascii="Palatino Linotype" w:hAnsi="Palatino Linotype" w:cs="Times New Roman"/>
          <w:color w:val="000000" w:themeColor="text1"/>
          <w:sz w:val="22"/>
          <w:szCs w:val="22"/>
        </w:rPr>
        <w:t xml:space="preserve"> in a report commissioned by the </w:t>
      </w:r>
      <w:r w:rsidR="00896D59" w:rsidRPr="0078109C">
        <w:rPr>
          <w:rFonts w:ascii="Palatino Linotype" w:hAnsi="Palatino Linotype" w:cs="Times New Roman"/>
          <w:i/>
          <w:iCs/>
          <w:color w:val="000000" w:themeColor="text1"/>
          <w:sz w:val="22"/>
          <w:szCs w:val="22"/>
        </w:rPr>
        <w:t>Irish Human Rights &amp; Equality Commission</w:t>
      </w:r>
      <w:r w:rsidR="00896D59" w:rsidRPr="0078109C">
        <w:rPr>
          <w:rStyle w:val="FootnoteReference"/>
          <w:rFonts w:ascii="Palatino Linotype" w:hAnsi="Palatino Linotype" w:cs="Times New Roman"/>
          <w:color w:val="000000" w:themeColor="text1"/>
          <w:sz w:val="22"/>
          <w:szCs w:val="22"/>
        </w:rPr>
        <w:footnoteReference w:id="37"/>
      </w:r>
      <w:r w:rsidR="00896D59" w:rsidRPr="0078109C">
        <w:rPr>
          <w:rFonts w:ascii="Palatino Linotype" w:hAnsi="Palatino Linotype" w:cs="Times New Roman"/>
          <w:color w:val="000000" w:themeColor="text1"/>
          <w:sz w:val="22"/>
          <w:szCs w:val="22"/>
        </w:rPr>
        <w:t xml:space="preserve"> –</w:t>
      </w:r>
      <w:r w:rsidRPr="0078109C">
        <w:rPr>
          <w:rFonts w:ascii="Palatino Linotype" w:hAnsi="Palatino Linotype" w:cs="Times New Roman"/>
          <w:color w:val="000000" w:themeColor="text1"/>
          <w:sz w:val="22"/>
          <w:szCs w:val="22"/>
        </w:rPr>
        <w:t xml:space="preserve"> that any reasonable reading of the relevant lockdown regulations would lead one to conclude that religious services were not legally prohibited.</w:t>
      </w:r>
      <w:r w:rsidRPr="0078109C">
        <w:rPr>
          <w:rStyle w:val="FootnoteReference"/>
          <w:rFonts w:ascii="Palatino Linotype" w:hAnsi="Palatino Linotype" w:cs="Times New Roman"/>
          <w:color w:val="000000" w:themeColor="text1"/>
          <w:sz w:val="22"/>
          <w:szCs w:val="22"/>
        </w:rPr>
        <w:footnoteReference w:id="38"/>
      </w:r>
      <w:r w:rsidRPr="0078109C">
        <w:rPr>
          <w:rFonts w:ascii="Palatino Linotype" w:hAnsi="Palatino Linotype" w:cs="Times New Roman"/>
          <w:color w:val="000000" w:themeColor="text1"/>
          <w:sz w:val="22"/>
          <w:szCs w:val="22"/>
        </w:rPr>
        <w:t xml:space="preserve"> </w:t>
      </w:r>
      <w:r w:rsidR="00DF2EE1">
        <w:rPr>
          <w:rFonts w:ascii="Palatino Linotype" w:hAnsi="Palatino Linotype" w:cs="Times New Roman"/>
          <w:color w:val="000000" w:themeColor="text1"/>
          <w:sz w:val="22"/>
          <w:szCs w:val="22"/>
        </w:rPr>
        <w:t xml:space="preserve">As </w:t>
      </w:r>
      <w:r w:rsidRPr="0078109C">
        <w:rPr>
          <w:rFonts w:ascii="Palatino Linotype" w:hAnsi="Palatino Linotype" w:cs="Times New Roman"/>
          <w:color w:val="000000" w:themeColor="text1"/>
          <w:sz w:val="22"/>
          <w:szCs w:val="22"/>
        </w:rPr>
        <w:t>Doyle</w:t>
      </w:r>
      <w:r w:rsidR="002F2A57">
        <w:rPr>
          <w:rFonts w:ascii="Palatino Linotype" w:hAnsi="Palatino Linotype" w:cs="Times New Roman"/>
          <w:color w:val="000000" w:themeColor="text1"/>
          <w:sz w:val="22"/>
          <w:szCs w:val="22"/>
        </w:rPr>
        <w:t xml:space="preserve"> subsequently</w:t>
      </w:r>
      <w:r w:rsidR="00DF2EE1">
        <w:rPr>
          <w:rFonts w:ascii="Palatino Linotype" w:hAnsi="Palatino Linotype" w:cs="Times New Roman"/>
          <w:color w:val="000000" w:themeColor="text1"/>
          <w:sz w:val="22"/>
          <w:szCs w:val="22"/>
        </w:rPr>
        <w:t xml:space="preserve"> </w:t>
      </w:r>
      <w:r w:rsidR="00DF2EE1">
        <w:rPr>
          <w:rFonts w:ascii="Palatino Linotype" w:hAnsi="Palatino Linotype" w:cs="Times New Roman"/>
          <w:color w:val="000000" w:themeColor="text1"/>
          <w:sz w:val="22"/>
          <w:szCs w:val="22"/>
        </w:rPr>
        <w:lastRenderedPageBreak/>
        <w:t>put it,</w:t>
      </w:r>
      <w:r w:rsidRPr="0078109C">
        <w:rPr>
          <w:rFonts w:ascii="Palatino Linotype" w:hAnsi="Palatino Linotype" w:cs="Times New Roman"/>
          <w:color w:val="000000" w:themeColor="text1"/>
          <w:sz w:val="22"/>
          <w:szCs w:val="22"/>
        </w:rPr>
        <w:t xml:space="preserve"> the Government appeared to be adopting a strategy of setting legal restrictions at a certain level, but implying a ‘higher level of restriction through misleading public pronouncements’, and then allowing ‘legally ungrounded threats of prosecution to bring people in line with that higher level of restriction.’</w:t>
      </w:r>
      <w:r w:rsidRPr="0078109C">
        <w:rPr>
          <w:rStyle w:val="FootnoteReference"/>
          <w:rFonts w:ascii="Palatino Linotype" w:hAnsi="Palatino Linotype" w:cs="Times New Roman"/>
          <w:color w:val="000000" w:themeColor="text1"/>
          <w:sz w:val="22"/>
          <w:szCs w:val="22"/>
        </w:rPr>
        <w:footnoteReference w:id="39"/>
      </w:r>
      <w:r w:rsidRPr="0078109C">
        <w:rPr>
          <w:rFonts w:ascii="Palatino Linotype" w:hAnsi="Palatino Linotype" w:cs="Times New Roman"/>
          <w:color w:val="000000" w:themeColor="text1"/>
          <w:sz w:val="22"/>
          <w:szCs w:val="22"/>
        </w:rPr>
        <w:t xml:space="preserve"> </w:t>
      </w:r>
      <w:r w:rsidR="00896D59" w:rsidRPr="0078109C">
        <w:rPr>
          <w:rFonts w:ascii="Palatino Linotype" w:hAnsi="Palatino Linotype" w:cs="Times New Roman"/>
          <w:color w:val="000000" w:themeColor="text1"/>
          <w:sz w:val="22"/>
          <w:szCs w:val="22"/>
        </w:rPr>
        <w:t xml:space="preserve">We </w:t>
      </w:r>
      <w:r w:rsidRPr="0078109C">
        <w:rPr>
          <w:rFonts w:ascii="Palatino Linotype" w:hAnsi="Palatino Linotype" w:cs="Times New Roman"/>
          <w:color w:val="000000" w:themeColor="text1"/>
          <w:sz w:val="22"/>
          <w:szCs w:val="22"/>
        </w:rPr>
        <w:t>severely criticised this approach and said the Government should ‘not present public health advice as if it were criminally enforceable’.</w:t>
      </w:r>
      <w:r w:rsidRPr="0078109C">
        <w:rPr>
          <w:rStyle w:val="FootnoteReference"/>
          <w:rFonts w:ascii="Palatino Linotype" w:hAnsi="Palatino Linotype" w:cs="Times New Roman"/>
          <w:color w:val="000000" w:themeColor="text1"/>
          <w:sz w:val="22"/>
          <w:szCs w:val="22"/>
        </w:rPr>
        <w:footnoteReference w:id="40"/>
      </w:r>
    </w:p>
    <w:p w14:paraId="3D9AEA51" w14:textId="5A32C4A7" w:rsidR="00F26D77" w:rsidRPr="0078109C" w:rsidRDefault="00F26D77" w:rsidP="002F2A57">
      <w:pPr>
        <w:spacing w:line="360" w:lineRule="auto"/>
        <w:ind w:firstLine="720"/>
        <w:jc w:val="both"/>
        <w:rPr>
          <w:rFonts w:ascii="Palatino Linotype" w:hAnsi="Palatino Linotype" w:cs="Times New Roman"/>
          <w:color w:val="000000" w:themeColor="text1"/>
          <w:sz w:val="22"/>
          <w:szCs w:val="22"/>
        </w:rPr>
      </w:pPr>
      <w:r w:rsidRPr="0078109C">
        <w:rPr>
          <w:rFonts w:ascii="Palatino Linotype" w:hAnsi="Palatino Linotype" w:cs="Times New Roman"/>
          <w:color w:val="000000" w:themeColor="text1"/>
          <w:sz w:val="22"/>
          <w:szCs w:val="22"/>
        </w:rPr>
        <w:t>Uncertainty over whether legal restrictions were in place prompted the prominent Catholic businessman Declan Ganley to initiate legal proceedings in</w:t>
      </w:r>
      <w:r w:rsidR="00DF2EE1">
        <w:rPr>
          <w:rFonts w:ascii="Palatino Linotype" w:hAnsi="Palatino Linotype" w:cs="Times New Roman"/>
          <w:color w:val="000000" w:themeColor="text1"/>
          <w:sz w:val="22"/>
          <w:szCs w:val="22"/>
        </w:rPr>
        <w:t xml:space="preserve"> the High Court in</w:t>
      </w:r>
      <w:r w:rsidRPr="0078109C">
        <w:rPr>
          <w:rFonts w:ascii="Palatino Linotype" w:hAnsi="Palatino Linotype" w:cs="Times New Roman"/>
          <w:color w:val="000000" w:themeColor="text1"/>
          <w:sz w:val="22"/>
          <w:szCs w:val="22"/>
        </w:rPr>
        <w:t xml:space="preserve"> November 2020. Ganley sought a declaration there were no legal restriction in place on religious worship or, if there were, that they were unconstitutional. Proceedings rumbled on for several months and, at times, the State’s legal team appeared unsure about what the Government’s precise position on the existence of legal restrictions was.</w:t>
      </w:r>
      <w:r w:rsidRPr="0078109C">
        <w:rPr>
          <w:rStyle w:val="FootnoteReference"/>
          <w:rFonts w:ascii="Palatino Linotype" w:hAnsi="Palatino Linotype" w:cs="Times New Roman"/>
          <w:color w:val="000000" w:themeColor="text1"/>
          <w:sz w:val="22"/>
          <w:szCs w:val="22"/>
        </w:rPr>
        <w:footnoteReference w:id="41"/>
      </w:r>
      <w:r w:rsidRPr="0078109C">
        <w:rPr>
          <w:rFonts w:ascii="Palatino Linotype" w:hAnsi="Palatino Linotype" w:cs="Times New Roman"/>
          <w:color w:val="000000" w:themeColor="text1"/>
          <w:sz w:val="22"/>
          <w:szCs w:val="22"/>
        </w:rPr>
        <w:t xml:space="preserve"> Eventually, and despite previous emphatic statements from the </w:t>
      </w:r>
      <w:r w:rsidR="002F2A57">
        <w:rPr>
          <w:rFonts w:ascii="Palatino Linotype" w:hAnsi="Palatino Linotype" w:cs="Times New Roman"/>
          <w:color w:val="000000" w:themeColor="text1"/>
          <w:sz w:val="22"/>
          <w:szCs w:val="22"/>
        </w:rPr>
        <w:t xml:space="preserve">Department of Health </w:t>
      </w:r>
      <w:r w:rsidRPr="0078109C">
        <w:rPr>
          <w:rFonts w:ascii="Palatino Linotype" w:hAnsi="Palatino Linotype" w:cs="Times New Roman"/>
          <w:color w:val="000000" w:themeColor="text1"/>
          <w:sz w:val="22"/>
          <w:szCs w:val="22"/>
        </w:rPr>
        <w:t xml:space="preserve">that religious services were not legally prohibited, in March 2021 the Government performed a </w:t>
      </w:r>
      <w:r w:rsidRPr="00DF2EE1">
        <w:rPr>
          <w:rFonts w:ascii="Palatino Linotype" w:hAnsi="Palatino Linotype" w:cs="Times New Roman"/>
          <w:i/>
          <w:iCs/>
          <w:color w:val="000000" w:themeColor="text1"/>
          <w:sz w:val="22"/>
          <w:szCs w:val="22"/>
        </w:rPr>
        <w:t>volte face</w:t>
      </w:r>
      <w:r w:rsidRPr="0078109C">
        <w:rPr>
          <w:rFonts w:ascii="Palatino Linotype" w:hAnsi="Palatino Linotype" w:cs="Times New Roman"/>
          <w:color w:val="000000" w:themeColor="text1"/>
          <w:sz w:val="22"/>
          <w:szCs w:val="22"/>
        </w:rPr>
        <w:t xml:space="preserve"> and confirmed through its legal team that its settled position was now that a prohibition did in fact exist.</w:t>
      </w:r>
      <w:r w:rsidRPr="0078109C">
        <w:rPr>
          <w:rStyle w:val="FootnoteReference"/>
          <w:rFonts w:ascii="Palatino Linotype" w:hAnsi="Palatino Linotype" w:cs="Times New Roman"/>
          <w:color w:val="000000" w:themeColor="text1"/>
          <w:sz w:val="22"/>
          <w:szCs w:val="22"/>
        </w:rPr>
        <w:footnoteReference w:id="42"/>
      </w:r>
      <w:r w:rsidRPr="0078109C">
        <w:rPr>
          <w:rFonts w:ascii="Palatino Linotype" w:hAnsi="Palatino Linotype" w:cs="Times New Roman"/>
          <w:color w:val="000000" w:themeColor="text1"/>
          <w:sz w:val="22"/>
          <w:szCs w:val="22"/>
        </w:rPr>
        <w:t xml:space="preserve"> </w:t>
      </w:r>
    </w:p>
    <w:p w14:paraId="7B1BFA3E" w14:textId="1BAAD408" w:rsidR="00F26D77" w:rsidRPr="0078109C" w:rsidRDefault="00F26D77" w:rsidP="0078109C">
      <w:pPr>
        <w:spacing w:line="360" w:lineRule="auto"/>
        <w:ind w:firstLine="720"/>
        <w:jc w:val="both"/>
        <w:rPr>
          <w:rFonts w:ascii="Palatino Linotype" w:hAnsi="Palatino Linotype" w:cs="Times New Roman"/>
          <w:color w:val="000000" w:themeColor="text1"/>
          <w:sz w:val="22"/>
          <w:szCs w:val="22"/>
          <w:lang w:val="en-US"/>
        </w:rPr>
      </w:pPr>
      <w:r w:rsidRPr="0078109C">
        <w:rPr>
          <w:rFonts w:ascii="Palatino Linotype" w:hAnsi="Palatino Linotype" w:cs="Times New Roman"/>
          <w:color w:val="000000" w:themeColor="text1"/>
          <w:sz w:val="22"/>
          <w:szCs w:val="22"/>
        </w:rPr>
        <w:t xml:space="preserve">Shortly after this confirmation, in April 2021 the Government introduced new regulations which made it explicit that religious services were legally prohibited. This move drew criticism, and it was highlighted new regulations should not have been unnecessary at all if, as the State claimed before the High Court, restrictions had always been in place. Doyle suggested the most likely explanation for this shift is that </w:t>
      </w:r>
      <w:r w:rsidRPr="0078109C">
        <w:rPr>
          <w:rFonts w:ascii="Palatino Linotype" w:hAnsi="Palatino Linotype" w:cs="Times New Roman"/>
          <w:color w:val="000000" w:themeColor="text1"/>
          <w:sz w:val="22"/>
          <w:szCs w:val="22"/>
          <w:lang w:val="en-US"/>
        </w:rPr>
        <w:t>the Government had known all along religious services were not criminally prohibited, and that the litigation caused an ‘accountability moment where the Government either had to create a legal basis for maintaining in court that religious services were criminally prohibited or accept that religious services had not been criminally prohibited. The Government chose the former option.’</w:t>
      </w:r>
      <w:r w:rsidRPr="0078109C">
        <w:rPr>
          <w:rStyle w:val="FootnoteReference"/>
          <w:rFonts w:ascii="Palatino Linotype" w:hAnsi="Palatino Linotype" w:cs="Times New Roman"/>
          <w:color w:val="000000" w:themeColor="text1"/>
          <w:sz w:val="22"/>
          <w:szCs w:val="22"/>
          <w:lang w:val="en-US"/>
        </w:rPr>
        <w:footnoteReference w:id="43"/>
      </w:r>
      <w:r w:rsidRPr="0078109C">
        <w:rPr>
          <w:rFonts w:ascii="Palatino Linotype" w:hAnsi="Palatino Linotype" w:cs="Times New Roman"/>
          <w:color w:val="000000" w:themeColor="text1"/>
          <w:sz w:val="22"/>
          <w:szCs w:val="22"/>
          <w:lang w:val="en-US"/>
        </w:rPr>
        <w:t xml:space="preserve"> </w:t>
      </w:r>
    </w:p>
    <w:p w14:paraId="7B5C0E09" w14:textId="77777777" w:rsidR="00F26D77" w:rsidRPr="0078109C" w:rsidRDefault="00F26D77" w:rsidP="0078109C">
      <w:pPr>
        <w:spacing w:line="360" w:lineRule="auto"/>
        <w:jc w:val="both"/>
        <w:rPr>
          <w:rFonts w:ascii="Palatino Linotype" w:hAnsi="Palatino Linotype" w:cs="Times New Roman"/>
          <w:color w:val="000000" w:themeColor="text1"/>
          <w:sz w:val="22"/>
          <w:szCs w:val="22"/>
          <w:lang w:val="en-US"/>
        </w:rPr>
      </w:pPr>
    </w:p>
    <w:p w14:paraId="16237105" w14:textId="2709EE69" w:rsidR="000C6E05" w:rsidRPr="004C55DC" w:rsidRDefault="00F26D77" w:rsidP="004C55DC">
      <w:pPr>
        <w:spacing w:line="360" w:lineRule="auto"/>
        <w:ind w:firstLine="720"/>
        <w:jc w:val="both"/>
        <w:rPr>
          <w:rFonts w:ascii="Palatino Linotype" w:hAnsi="Palatino Linotype" w:cs="Times New Roman"/>
          <w:color w:val="000000" w:themeColor="text1"/>
          <w:sz w:val="22"/>
          <w:szCs w:val="22"/>
          <w:lang w:val="en-US"/>
        </w:rPr>
      </w:pPr>
      <w:r w:rsidRPr="0078109C">
        <w:rPr>
          <w:rFonts w:ascii="Palatino Linotype" w:hAnsi="Palatino Linotype" w:cs="Times New Roman"/>
          <w:color w:val="000000" w:themeColor="text1"/>
          <w:sz w:val="22"/>
          <w:szCs w:val="22"/>
          <w:lang w:val="en-US"/>
        </w:rPr>
        <w:t xml:space="preserve">While the new-found clarity was welcome </w:t>
      </w:r>
      <w:r w:rsidR="00DF2EE1">
        <w:rPr>
          <w:rFonts w:ascii="Palatino Linotype" w:hAnsi="Palatino Linotype" w:cs="Times New Roman"/>
          <w:color w:val="000000" w:themeColor="text1"/>
          <w:sz w:val="22"/>
          <w:szCs w:val="22"/>
          <w:lang w:val="en-US"/>
        </w:rPr>
        <w:t xml:space="preserve">on one level </w:t>
      </w:r>
      <w:r w:rsidRPr="0078109C">
        <w:rPr>
          <w:rFonts w:ascii="Palatino Linotype" w:hAnsi="Palatino Linotype" w:cs="Times New Roman"/>
          <w:color w:val="000000" w:themeColor="text1"/>
          <w:sz w:val="22"/>
          <w:szCs w:val="22"/>
          <w:lang w:val="en-US"/>
        </w:rPr>
        <w:t xml:space="preserve">from a </w:t>
      </w:r>
      <w:r w:rsidR="00DF2EE1">
        <w:rPr>
          <w:rFonts w:ascii="Palatino Linotype" w:hAnsi="Palatino Linotype" w:cs="Times New Roman"/>
          <w:color w:val="000000" w:themeColor="text1"/>
          <w:sz w:val="22"/>
          <w:szCs w:val="22"/>
          <w:lang w:val="en-US"/>
        </w:rPr>
        <w:t>‘</w:t>
      </w:r>
      <w:r w:rsidRPr="0078109C">
        <w:rPr>
          <w:rFonts w:ascii="Palatino Linotype" w:hAnsi="Palatino Linotype" w:cs="Times New Roman"/>
          <w:color w:val="000000" w:themeColor="text1"/>
          <w:sz w:val="22"/>
          <w:szCs w:val="22"/>
          <w:lang w:val="en-US"/>
        </w:rPr>
        <w:t xml:space="preserve">rule of law perspective and allows an informed debate on whether the law’ is a proportionate and coherent response to the pandemic, the Government’s obfuscation </w:t>
      </w:r>
      <w:r w:rsidR="00896D59" w:rsidRPr="0078109C">
        <w:rPr>
          <w:rFonts w:ascii="Palatino Linotype" w:hAnsi="Palatino Linotype" w:cs="Times New Roman"/>
          <w:color w:val="000000" w:themeColor="text1"/>
          <w:sz w:val="22"/>
          <w:szCs w:val="22"/>
          <w:lang w:val="en-US"/>
        </w:rPr>
        <w:t xml:space="preserve">was </w:t>
      </w:r>
      <w:r w:rsidRPr="0078109C">
        <w:rPr>
          <w:rFonts w:ascii="Palatino Linotype" w:hAnsi="Palatino Linotype" w:cs="Times New Roman"/>
          <w:color w:val="000000" w:themeColor="text1"/>
          <w:sz w:val="22"/>
          <w:szCs w:val="22"/>
          <w:lang w:val="en-US"/>
        </w:rPr>
        <w:t>a</w:t>
      </w:r>
      <w:r w:rsidR="003A3708">
        <w:rPr>
          <w:rFonts w:ascii="Palatino Linotype" w:hAnsi="Palatino Linotype" w:cs="Times New Roman"/>
          <w:color w:val="000000" w:themeColor="text1"/>
          <w:sz w:val="22"/>
          <w:szCs w:val="22"/>
          <w:lang w:val="en-US"/>
        </w:rPr>
        <w:t xml:space="preserve">n </w:t>
      </w:r>
      <w:r w:rsidRPr="0078109C">
        <w:rPr>
          <w:rFonts w:ascii="Palatino Linotype" w:hAnsi="Palatino Linotype" w:cs="Times New Roman"/>
          <w:color w:val="000000" w:themeColor="text1"/>
          <w:sz w:val="22"/>
          <w:szCs w:val="22"/>
          <w:lang w:val="en-US"/>
        </w:rPr>
        <w:t>indictment of its willingness to lead citizens through the pandemic in a way that respects citizens</w:t>
      </w:r>
      <w:r w:rsidR="003A3708">
        <w:rPr>
          <w:rFonts w:ascii="Palatino Linotype" w:hAnsi="Palatino Linotype" w:cs="Times New Roman"/>
          <w:color w:val="000000" w:themeColor="text1"/>
          <w:sz w:val="22"/>
          <w:szCs w:val="22"/>
          <w:lang w:val="en-US"/>
        </w:rPr>
        <w:t>’</w:t>
      </w:r>
      <w:r w:rsidRPr="0078109C">
        <w:rPr>
          <w:rFonts w:ascii="Palatino Linotype" w:hAnsi="Palatino Linotype" w:cs="Times New Roman"/>
          <w:color w:val="000000" w:themeColor="text1"/>
          <w:sz w:val="22"/>
          <w:szCs w:val="22"/>
          <w:lang w:val="en-US"/>
        </w:rPr>
        <w:t xml:space="preserve"> autonomy and </w:t>
      </w:r>
      <w:r w:rsidR="00896D59" w:rsidRPr="0078109C">
        <w:rPr>
          <w:rFonts w:ascii="Palatino Linotype" w:hAnsi="Palatino Linotype" w:cs="Times New Roman"/>
          <w:color w:val="000000" w:themeColor="text1"/>
          <w:sz w:val="22"/>
          <w:szCs w:val="22"/>
          <w:lang w:val="en-US"/>
        </w:rPr>
        <w:t>dignity</w:t>
      </w:r>
      <w:r w:rsidRPr="0078109C">
        <w:rPr>
          <w:rFonts w:ascii="Palatino Linotype" w:hAnsi="Palatino Linotype" w:cs="Times New Roman"/>
          <w:color w:val="000000" w:themeColor="text1"/>
          <w:sz w:val="22"/>
          <w:szCs w:val="22"/>
          <w:lang w:val="en-US"/>
        </w:rPr>
        <w:t>.</w:t>
      </w:r>
      <w:r w:rsidRPr="0078109C">
        <w:rPr>
          <w:rStyle w:val="FootnoteReference"/>
          <w:rFonts w:ascii="Palatino Linotype" w:hAnsi="Palatino Linotype" w:cs="Times New Roman"/>
          <w:color w:val="000000" w:themeColor="text1"/>
          <w:sz w:val="22"/>
          <w:szCs w:val="22"/>
          <w:lang w:val="en-US"/>
        </w:rPr>
        <w:footnoteReference w:id="44"/>
      </w:r>
      <w:r w:rsidRPr="0078109C">
        <w:rPr>
          <w:rFonts w:ascii="Palatino Linotype" w:hAnsi="Palatino Linotype" w:cs="Times New Roman"/>
          <w:color w:val="000000" w:themeColor="text1"/>
          <w:sz w:val="22"/>
          <w:szCs w:val="22"/>
          <w:lang w:val="en-US"/>
        </w:rPr>
        <w:t xml:space="preserve"> It is hard to overstate the importance of attending religious services for many</w:t>
      </w:r>
      <w:r w:rsidR="00B4320C" w:rsidRPr="0078109C">
        <w:rPr>
          <w:rFonts w:ascii="Palatino Linotype" w:hAnsi="Palatino Linotype" w:cs="Times New Roman"/>
          <w:color w:val="000000" w:themeColor="text1"/>
          <w:sz w:val="22"/>
          <w:szCs w:val="22"/>
          <w:lang w:val="en-US"/>
        </w:rPr>
        <w:t xml:space="preserve"> people</w:t>
      </w:r>
      <w:r w:rsidRPr="0078109C">
        <w:rPr>
          <w:rFonts w:ascii="Palatino Linotype" w:hAnsi="Palatino Linotype" w:cs="Times New Roman"/>
          <w:color w:val="000000" w:themeColor="text1"/>
          <w:sz w:val="22"/>
          <w:szCs w:val="22"/>
          <w:lang w:val="en-US"/>
        </w:rPr>
        <w:t xml:space="preserve">. That such a central aspect of </w:t>
      </w:r>
      <w:r w:rsidR="00B4320C" w:rsidRPr="0078109C">
        <w:rPr>
          <w:rFonts w:ascii="Palatino Linotype" w:hAnsi="Palatino Linotype" w:cs="Times New Roman"/>
          <w:color w:val="000000" w:themeColor="text1"/>
          <w:sz w:val="22"/>
          <w:szCs w:val="22"/>
          <w:lang w:val="en-US"/>
        </w:rPr>
        <w:t>the</w:t>
      </w:r>
      <w:r w:rsidRPr="0078109C">
        <w:rPr>
          <w:rFonts w:ascii="Palatino Linotype" w:hAnsi="Palatino Linotype" w:cs="Times New Roman"/>
          <w:color w:val="000000" w:themeColor="text1"/>
          <w:sz w:val="22"/>
          <w:szCs w:val="22"/>
          <w:lang w:val="en-US"/>
        </w:rPr>
        <w:t xml:space="preserve"> lives</w:t>
      </w:r>
      <w:r w:rsidR="00B4320C" w:rsidRPr="0078109C">
        <w:rPr>
          <w:rFonts w:ascii="Palatino Linotype" w:hAnsi="Palatino Linotype" w:cs="Times New Roman"/>
          <w:color w:val="000000" w:themeColor="text1"/>
          <w:sz w:val="22"/>
          <w:szCs w:val="22"/>
          <w:lang w:val="en-US"/>
        </w:rPr>
        <w:t xml:space="preserve"> of many</w:t>
      </w:r>
      <w:r w:rsidRPr="0078109C">
        <w:rPr>
          <w:rFonts w:ascii="Palatino Linotype" w:hAnsi="Palatino Linotype" w:cs="Times New Roman"/>
          <w:color w:val="000000" w:themeColor="text1"/>
          <w:sz w:val="22"/>
          <w:szCs w:val="22"/>
          <w:lang w:val="en-US"/>
        </w:rPr>
        <w:t xml:space="preserve"> – and a constitutional right</w:t>
      </w:r>
      <w:r w:rsidR="00B4320C" w:rsidRPr="0078109C">
        <w:rPr>
          <w:rFonts w:ascii="Palatino Linotype" w:hAnsi="Palatino Linotype" w:cs="Times New Roman"/>
          <w:color w:val="000000" w:themeColor="text1"/>
          <w:sz w:val="22"/>
          <w:szCs w:val="22"/>
          <w:lang w:val="en-US"/>
        </w:rPr>
        <w:t xml:space="preserve"> </w:t>
      </w:r>
      <w:r w:rsidR="00DF2EE1">
        <w:rPr>
          <w:rFonts w:ascii="Palatino Linotype" w:hAnsi="Palatino Linotype" w:cs="Times New Roman"/>
          <w:color w:val="000000" w:themeColor="text1"/>
          <w:sz w:val="22"/>
          <w:szCs w:val="22"/>
          <w:lang w:val="en-US"/>
        </w:rPr>
        <w:t xml:space="preserve">to free practice of religion </w:t>
      </w:r>
      <w:r w:rsidRPr="0078109C">
        <w:rPr>
          <w:rFonts w:ascii="Palatino Linotype" w:hAnsi="Palatino Linotype" w:cs="Times New Roman"/>
          <w:color w:val="000000" w:themeColor="text1"/>
          <w:sz w:val="22"/>
          <w:szCs w:val="22"/>
          <w:lang w:val="en-US"/>
        </w:rPr>
        <w:t>– was regulated</w:t>
      </w:r>
      <w:r w:rsidR="00B4320C" w:rsidRPr="0078109C">
        <w:rPr>
          <w:rFonts w:ascii="Palatino Linotype" w:hAnsi="Palatino Linotype" w:cs="Times New Roman"/>
          <w:color w:val="000000" w:themeColor="text1"/>
          <w:sz w:val="22"/>
          <w:szCs w:val="22"/>
          <w:lang w:val="en-US"/>
        </w:rPr>
        <w:t xml:space="preserve"> for several months</w:t>
      </w:r>
      <w:r w:rsidRPr="0078109C">
        <w:rPr>
          <w:rFonts w:ascii="Palatino Linotype" w:hAnsi="Palatino Linotype" w:cs="Times New Roman"/>
          <w:color w:val="000000" w:themeColor="text1"/>
          <w:sz w:val="22"/>
          <w:szCs w:val="22"/>
          <w:lang w:val="en-US"/>
        </w:rPr>
        <w:t xml:space="preserve"> by a combination of Governmental indifference and arbitrary policing, was undoubtedly a low-point in the State’s response to the pandemic. </w:t>
      </w:r>
    </w:p>
    <w:p w14:paraId="256FB806" w14:textId="77777777" w:rsidR="00B4320C" w:rsidRPr="0078109C" w:rsidRDefault="00B4320C" w:rsidP="0078109C">
      <w:pPr>
        <w:spacing w:line="360" w:lineRule="auto"/>
        <w:jc w:val="both"/>
        <w:rPr>
          <w:rFonts w:ascii="Palatino Linotype" w:hAnsi="Palatino Linotype" w:cs="Times New Roman"/>
          <w:b/>
          <w:bCs/>
          <w:sz w:val="22"/>
          <w:szCs w:val="22"/>
        </w:rPr>
      </w:pPr>
    </w:p>
    <w:p w14:paraId="584A502E" w14:textId="4BB44B5A" w:rsidR="00EF5AF6" w:rsidRPr="0078109C" w:rsidRDefault="000C6E05" w:rsidP="0078109C">
      <w:pPr>
        <w:pStyle w:val="ListParagraph"/>
        <w:numPr>
          <w:ilvl w:val="0"/>
          <w:numId w:val="3"/>
        </w:numPr>
        <w:spacing w:line="360" w:lineRule="auto"/>
        <w:jc w:val="both"/>
        <w:rPr>
          <w:rFonts w:ascii="Palatino Linotype" w:hAnsi="Palatino Linotype"/>
          <w:b/>
          <w:bCs/>
          <w:sz w:val="22"/>
          <w:szCs w:val="22"/>
        </w:rPr>
      </w:pPr>
      <w:r w:rsidRPr="0078109C">
        <w:rPr>
          <w:rFonts w:ascii="Palatino Linotype" w:hAnsi="Palatino Linotype"/>
          <w:b/>
          <w:bCs/>
          <w:sz w:val="22"/>
          <w:szCs w:val="22"/>
        </w:rPr>
        <w:t>Conclusion</w:t>
      </w:r>
    </w:p>
    <w:p w14:paraId="485478F9" w14:textId="0E21AF24" w:rsidR="00EF5AF6" w:rsidRPr="0078109C" w:rsidRDefault="00EF5AF6" w:rsidP="0078109C">
      <w:pPr>
        <w:spacing w:line="360" w:lineRule="auto"/>
        <w:jc w:val="both"/>
        <w:rPr>
          <w:rFonts w:ascii="Palatino Linotype" w:hAnsi="Palatino Linotype" w:cs="Times New Roman"/>
          <w:sz w:val="22"/>
          <w:szCs w:val="22"/>
        </w:rPr>
      </w:pPr>
      <w:r w:rsidRPr="0078109C">
        <w:rPr>
          <w:rFonts w:ascii="Palatino Linotype" w:hAnsi="Palatino Linotype" w:cs="Times New Roman"/>
          <w:sz w:val="22"/>
          <w:szCs w:val="22"/>
        </w:rPr>
        <w:t xml:space="preserve">These examples show a </w:t>
      </w:r>
      <w:r w:rsidR="00DF2EE1">
        <w:rPr>
          <w:rFonts w:ascii="Palatino Linotype" w:hAnsi="Palatino Linotype" w:cs="Times New Roman"/>
          <w:sz w:val="22"/>
          <w:szCs w:val="22"/>
        </w:rPr>
        <w:t xml:space="preserve">disturbing </w:t>
      </w:r>
      <w:r w:rsidRPr="0078109C">
        <w:rPr>
          <w:rFonts w:ascii="Palatino Linotype" w:hAnsi="Palatino Linotype" w:cs="Times New Roman"/>
          <w:sz w:val="22"/>
          <w:szCs w:val="22"/>
        </w:rPr>
        <w:t xml:space="preserve">trend: that the Government </w:t>
      </w:r>
      <w:r w:rsidR="00DF2EE1">
        <w:rPr>
          <w:rFonts w:ascii="Palatino Linotype" w:hAnsi="Palatino Linotype" w:cs="Times New Roman"/>
          <w:sz w:val="22"/>
          <w:szCs w:val="22"/>
        </w:rPr>
        <w:t xml:space="preserve">was </w:t>
      </w:r>
      <w:r w:rsidRPr="0078109C">
        <w:rPr>
          <w:rFonts w:ascii="Palatino Linotype" w:hAnsi="Palatino Linotype" w:cs="Times New Roman"/>
          <w:sz w:val="22"/>
          <w:szCs w:val="22"/>
        </w:rPr>
        <w:t xml:space="preserve">prepared to allow ordinary people believe they </w:t>
      </w:r>
      <w:r w:rsidR="003A3708">
        <w:rPr>
          <w:rFonts w:ascii="Palatino Linotype" w:hAnsi="Palatino Linotype" w:cs="Times New Roman"/>
          <w:sz w:val="22"/>
          <w:szCs w:val="22"/>
        </w:rPr>
        <w:t>we</w:t>
      </w:r>
      <w:r w:rsidRPr="0078109C">
        <w:rPr>
          <w:rFonts w:ascii="Palatino Linotype" w:hAnsi="Palatino Linotype" w:cs="Times New Roman"/>
          <w:sz w:val="22"/>
          <w:szCs w:val="22"/>
        </w:rPr>
        <w:t xml:space="preserve">re subject to much greater legal restrictions than </w:t>
      </w:r>
      <w:r w:rsidR="003A3708">
        <w:rPr>
          <w:rFonts w:ascii="Palatino Linotype" w:hAnsi="Palatino Linotype" w:cs="Times New Roman"/>
          <w:sz w:val="22"/>
          <w:szCs w:val="22"/>
        </w:rPr>
        <w:t>wa</w:t>
      </w:r>
      <w:r w:rsidRPr="0078109C">
        <w:rPr>
          <w:rFonts w:ascii="Palatino Linotype" w:hAnsi="Palatino Linotype" w:cs="Times New Roman"/>
          <w:sz w:val="22"/>
          <w:szCs w:val="22"/>
        </w:rPr>
        <w:t xml:space="preserve">s in fact the case. </w:t>
      </w:r>
      <w:r w:rsidR="00F26D77" w:rsidRPr="0078109C">
        <w:rPr>
          <w:rFonts w:ascii="Palatino Linotype" w:hAnsi="Palatino Linotype" w:cs="Times New Roman"/>
          <w:sz w:val="22"/>
          <w:szCs w:val="22"/>
        </w:rPr>
        <w:t>W</w:t>
      </w:r>
      <w:r w:rsidRPr="0078109C">
        <w:rPr>
          <w:rFonts w:ascii="Palatino Linotype" w:hAnsi="Palatino Linotype" w:cs="Times New Roman"/>
          <w:sz w:val="22"/>
          <w:szCs w:val="22"/>
        </w:rPr>
        <w:t>e have written elsewhere</w:t>
      </w:r>
      <w:r w:rsidR="00F26D77" w:rsidRPr="0078109C">
        <w:rPr>
          <w:rFonts w:ascii="Palatino Linotype" w:hAnsi="Palatino Linotype" w:cs="Times New Roman"/>
          <w:sz w:val="22"/>
          <w:szCs w:val="22"/>
        </w:rPr>
        <w:t xml:space="preserve"> that</w:t>
      </w:r>
      <w:r w:rsidRPr="0078109C">
        <w:rPr>
          <w:rFonts w:ascii="Palatino Linotype" w:hAnsi="Palatino Linotype" w:cs="Times New Roman"/>
          <w:sz w:val="22"/>
          <w:szCs w:val="22"/>
        </w:rPr>
        <w:t xml:space="preserve">: </w:t>
      </w:r>
    </w:p>
    <w:p w14:paraId="0E665EC2" w14:textId="77777777" w:rsidR="00F26D77" w:rsidRPr="0078109C" w:rsidRDefault="00F26D77" w:rsidP="0078109C">
      <w:pPr>
        <w:spacing w:line="360" w:lineRule="auto"/>
        <w:jc w:val="both"/>
        <w:rPr>
          <w:rFonts w:ascii="Palatino Linotype" w:hAnsi="Palatino Linotype" w:cs="Times New Roman"/>
          <w:sz w:val="22"/>
          <w:szCs w:val="22"/>
        </w:rPr>
      </w:pPr>
    </w:p>
    <w:p w14:paraId="06C20EB4" w14:textId="38A07540" w:rsidR="00EF5AF6" w:rsidRPr="0078109C" w:rsidRDefault="00EF5AF6" w:rsidP="0078109C">
      <w:pPr>
        <w:spacing w:line="360" w:lineRule="auto"/>
        <w:ind w:left="720"/>
        <w:jc w:val="both"/>
        <w:rPr>
          <w:rFonts w:ascii="Palatino Linotype" w:hAnsi="Palatino Linotype" w:cs="Times New Roman"/>
          <w:sz w:val="22"/>
          <w:szCs w:val="22"/>
        </w:rPr>
      </w:pPr>
      <w:r w:rsidRPr="0078109C">
        <w:rPr>
          <w:rFonts w:ascii="Palatino Linotype" w:hAnsi="Palatino Linotype" w:cs="Times New Roman"/>
          <w:sz w:val="22"/>
          <w:szCs w:val="22"/>
        </w:rPr>
        <w:t>The more charitable interpretation is that the Government has been wilfully indifferent to whether it is possible for citizens and law enforcement authorities to understand their legal obligations. The less charitable interpretation is that the Government has deliberately encouraged citizens to misunderstand the extent of their legal obligations in order to allow the Government to achieve policy goals that might not achieve political support in the Oireachtas or that could be vulnerable to legal challenge.</w:t>
      </w:r>
      <w:r w:rsidR="00DF2EE1">
        <w:rPr>
          <w:rStyle w:val="FootnoteReference"/>
          <w:rFonts w:ascii="Palatino Linotype" w:hAnsi="Palatino Linotype" w:cs="Times New Roman"/>
          <w:sz w:val="22"/>
          <w:szCs w:val="22"/>
        </w:rPr>
        <w:footnoteReference w:id="45"/>
      </w:r>
    </w:p>
    <w:p w14:paraId="0994B0EA" w14:textId="77777777" w:rsidR="00EF5AF6" w:rsidRPr="0078109C" w:rsidRDefault="00EF5AF6" w:rsidP="0078109C">
      <w:pPr>
        <w:spacing w:line="360" w:lineRule="auto"/>
        <w:jc w:val="both"/>
        <w:rPr>
          <w:rFonts w:ascii="Palatino Linotype" w:hAnsi="Palatino Linotype" w:cs="Times New Roman"/>
          <w:sz w:val="22"/>
          <w:szCs w:val="22"/>
        </w:rPr>
      </w:pPr>
    </w:p>
    <w:p w14:paraId="1FF696AF" w14:textId="41629759" w:rsidR="00B4320C" w:rsidRPr="0078109C" w:rsidRDefault="007A0471" w:rsidP="0078109C">
      <w:pPr>
        <w:spacing w:line="360" w:lineRule="auto"/>
        <w:jc w:val="both"/>
        <w:rPr>
          <w:rFonts w:ascii="Palatino Linotype" w:hAnsi="Palatino Linotype" w:cs="Times New Roman"/>
          <w:sz w:val="22"/>
          <w:szCs w:val="22"/>
        </w:rPr>
      </w:pPr>
      <w:r>
        <w:rPr>
          <w:rFonts w:ascii="Palatino Linotype" w:hAnsi="Palatino Linotype" w:cs="Times New Roman"/>
          <w:sz w:val="22"/>
          <w:szCs w:val="22"/>
        </w:rPr>
        <w:t>In</w:t>
      </w:r>
      <w:r w:rsidR="00FF0D98" w:rsidRPr="0078109C">
        <w:rPr>
          <w:rFonts w:ascii="Palatino Linotype" w:hAnsi="Palatino Linotype" w:cs="Times New Roman"/>
          <w:sz w:val="22"/>
          <w:szCs w:val="22"/>
        </w:rPr>
        <w:t xml:space="preserve"> this</w:t>
      </w:r>
      <w:r w:rsidR="008502B6" w:rsidRPr="0078109C">
        <w:rPr>
          <w:rFonts w:ascii="Palatino Linotype" w:hAnsi="Palatino Linotype" w:cs="Times New Roman"/>
          <w:sz w:val="22"/>
          <w:szCs w:val="22"/>
        </w:rPr>
        <w:t xml:space="preserve"> essay </w:t>
      </w:r>
      <w:r w:rsidR="00FF0D98" w:rsidRPr="0078109C">
        <w:rPr>
          <w:rFonts w:ascii="Palatino Linotype" w:hAnsi="Palatino Linotype" w:cs="Times New Roman"/>
          <w:sz w:val="22"/>
          <w:szCs w:val="22"/>
        </w:rPr>
        <w:t xml:space="preserve">we have tried to show why </w:t>
      </w:r>
      <w:r w:rsidR="00EF5AF6" w:rsidRPr="0078109C">
        <w:rPr>
          <w:rFonts w:ascii="Palatino Linotype" w:hAnsi="Palatino Linotype" w:cs="Times New Roman"/>
          <w:sz w:val="22"/>
          <w:szCs w:val="22"/>
        </w:rPr>
        <w:t xml:space="preserve">neither of these </w:t>
      </w:r>
      <w:r w:rsidR="008502B6" w:rsidRPr="0078109C">
        <w:rPr>
          <w:rFonts w:ascii="Palatino Linotype" w:hAnsi="Palatino Linotype" w:cs="Times New Roman"/>
          <w:sz w:val="22"/>
          <w:szCs w:val="22"/>
        </w:rPr>
        <w:t>alternatives is acceptable</w:t>
      </w:r>
      <w:r>
        <w:rPr>
          <w:rFonts w:ascii="Palatino Linotype" w:hAnsi="Palatino Linotype" w:cs="Times New Roman"/>
          <w:sz w:val="22"/>
          <w:szCs w:val="22"/>
        </w:rPr>
        <w:t>,</w:t>
      </w:r>
      <w:r w:rsidR="00EF5AF6" w:rsidRPr="0078109C">
        <w:rPr>
          <w:rFonts w:ascii="Palatino Linotype" w:hAnsi="Palatino Linotype" w:cs="Times New Roman"/>
          <w:sz w:val="22"/>
          <w:szCs w:val="22"/>
        </w:rPr>
        <w:t xml:space="preserve"> and why </w:t>
      </w:r>
      <w:r w:rsidR="00793885" w:rsidRPr="0078109C">
        <w:rPr>
          <w:rFonts w:ascii="Palatino Linotype" w:hAnsi="Palatino Linotype" w:cs="Times New Roman"/>
          <w:sz w:val="22"/>
          <w:szCs w:val="22"/>
        </w:rPr>
        <w:t>the rule of law is important to guiding the actions of the State and its officials</w:t>
      </w:r>
      <w:r w:rsidR="00EF5AF6" w:rsidRPr="0078109C">
        <w:rPr>
          <w:rFonts w:ascii="Palatino Linotype" w:hAnsi="Palatino Linotype" w:cs="Times New Roman"/>
          <w:sz w:val="22"/>
          <w:szCs w:val="22"/>
        </w:rPr>
        <w:t>. The rule of law</w:t>
      </w:r>
      <w:r w:rsidR="005169F2" w:rsidRPr="0078109C">
        <w:rPr>
          <w:rFonts w:ascii="Palatino Linotype" w:hAnsi="Palatino Linotype" w:cs="Times New Roman"/>
          <w:sz w:val="22"/>
          <w:szCs w:val="22"/>
        </w:rPr>
        <w:t xml:space="preserve"> </w:t>
      </w:r>
      <w:r w:rsidR="00793885" w:rsidRPr="0078109C">
        <w:rPr>
          <w:rFonts w:ascii="Palatino Linotype" w:hAnsi="Palatino Linotype" w:cs="Times New Roman"/>
          <w:sz w:val="22"/>
          <w:szCs w:val="22"/>
        </w:rPr>
        <w:t xml:space="preserve">is </w:t>
      </w:r>
      <w:r w:rsidR="00896D59" w:rsidRPr="0078109C">
        <w:rPr>
          <w:rFonts w:ascii="Palatino Linotype" w:hAnsi="Palatino Linotype" w:cs="Times New Roman"/>
          <w:sz w:val="22"/>
          <w:szCs w:val="22"/>
        </w:rPr>
        <w:t>more than a</w:t>
      </w:r>
      <w:r w:rsidR="00793885" w:rsidRPr="0078109C">
        <w:rPr>
          <w:rFonts w:ascii="Palatino Linotype" w:hAnsi="Palatino Linotype" w:cs="Times New Roman"/>
          <w:sz w:val="22"/>
          <w:szCs w:val="22"/>
        </w:rPr>
        <w:t xml:space="preserve"> high-minded concept</w:t>
      </w:r>
      <w:r>
        <w:rPr>
          <w:rFonts w:ascii="Palatino Linotype" w:hAnsi="Palatino Linotype" w:cs="Times New Roman"/>
          <w:sz w:val="22"/>
          <w:szCs w:val="22"/>
        </w:rPr>
        <w:t xml:space="preserve"> or lofty ideal; it is </w:t>
      </w:r>
      <w:r w:rsidR="00793885" w:rsidRPr="0078109C">
        <w:rPr>
          <w:rFonts w:ascii="Palatino Linotype" w:hAnsi="Palatino Linotype" w:cs="Times New Roman"/>
          <w:sz w:val="22"/>
          <w:szCs w:val="22"/>
        </w:rPr>
        <w:t xml:space="preserve">a </w:t>
      </w:r>
      <w:r w:rsidR="005169F2" w:rsidRPr="0078109C">
        <w:rPr>
          <w:rFonts w:ascii="Palatino Linotype" w:hAnsi="Palatino Linotype" w:cs="Times New Roman"/>
          <w:sz w:val="22"/>
          <w:szCs w:val="22"/>
        </w:rPr>
        <w:t>set</w:t>
      </w:r>
      <w:r w:rsidR="00793885" w:rsidRPr="0078109C">
        <w:rPr>
          <w:rFonts w:ascii="Palatino Linotype" w:hAnsi="Palatino Linotype" w:cs="Times New Roman"/>
          <w:sz w:val="22"/>
          <w:szCs w:val="22"/>
        </w:rPr>
        <w:t xml:space="preserve"> of</w:t>
      </w:r>
      <w:r w:rsidR="00B72322" w:rsidRPr="0078109C">
        <w:rPr>
          <w:rFonts w:ascii="Palatino Linotype" w:hAnsi="Palatino Linotype" w:cs="Times New Roman"/>
          <w:sz w:val="22"/>
          <w:szCs w:val="22"/>
        </w:rPr>
        <w:t xml:space="preserve"> </w:t>
      </w:r>
      <w:r>
        <w:rPr>
          <w:rFonts w:ascii="Palatino Linotype" w:hAnsi="Palatino Linotype" w:cs="Times New Roman"/>
          <w:sz w:val="22"/>
          <w:szCs w:val="22"/>
        </w:rPr>
        <w:t xml:space="preserve">genuinely </w:t>
      </w:r>
      <w:r w:rsidR="00B72322" w:rsidRPr="0078109C">
        <w:rPr>
          <w:rFonts w:ascii="Palatino Linotype" w:hAnsi="Palatino Linotype" w:cs="Times New Roman"/>
          <w:sz w:val="22"/>
          <w:szCs w:val="22"/>
        </w:rPr>
        <w:t>important</w:t>
      </w:r>
      <w:r w:rsidR="00793885" w:rsidRPr="0078109C">
        <w:rPr>
          <w:rFonts w:ascii="Palatino Linotype" w:hAnsi="Palatino Linotype" w:cs="Times New Roman"/>
          <w:sz w:val="22"/>
          <w:szCs w:val="22"/>
        </w:rPr>
        <w:t xml:space="preserve"> principles which</w:t>
      </w:r>
      <w:r>
        <w:rPr>
          <w:rFonts w:ascii="Palatino Linotype" w:hAnsi="Palatino Linotype" w:cs="Times New Roman"/>
          <w:sz w:val="22"/>
          <w:szCs w:val="22"/>
        </w:rPr>
        <w:t xml:space="preserve">, if abided, significantly </w:t>
      </w:r>
      <w:r w:rsidR="00793885" w:rsidRPr="0078109C">
        <w:rPr>
          <w:rFonts w:ascii="Palatino Linotype" w:hAnsi="Palatino Linotype" w:cs="Times New Roman"/>
          <w:sz w:val="22"/>
          <w:szCs w:val="22"/>
        </w:rPr>
        <w:t>reduce the risk citizens will be treated arbitrarily</w:t>
      </w:r>
      <w:r>
        <w:rPr>
          <w:rFonts w:ascii="Palatino Linotype" w:hAnsi="Palatino Linotype" w:cs="Times New Roman"/>
          <w:sz w:val="22"/>
          <w:szCs w:val="22"/>
        </w:rPr>
        <w:t xml:space="preserve"> by the State</w:t>
      </w:r>
      <w:r w:rsidR="005169F2" w:rsidRPr="0078109C">
        <w:rPr>
          <w:rFonts w:ascii="Palatino Linotype" w:hAnsi="Palatino Linotype" w:cs="Times New Roman"/>
          <w:sz w:val="22"/>
          <w:szCs w:val="22"/>
        </w:rPr>
        <w:t>. Respect for the rule of law</w:t>
      </w:r>
      <w:r w:rsidR="00793885" w:rsidRPr="0078109C">
        <w:rPr>
          <w:rFonts w:ascii="Palatino Linotype" w:hAnsi="Palatino Linotype" w:cs="Times New Roman"/>
          <w:sz w:val="22"/>
          <w:szCs w:val="22"/>
        </w:rPr>
        <w:t xml:space="preserve"> help</w:t>
      </w:r>
      <w:r w:rsidR="005169F2" w:rsidRPr="0078109C">
        <w:rPr>
          <w:rFonts w:ascii="Palatino Linotype" w:hAnsi="Palatino Linotype" w:cs="Times New Roman"/>
          <w:sz w:val="22"/>
          <w:szCs w:val="22"/>
        </w:rPr>
        <w:t>s</w:t>
      </w:r>
      <w:r w:rsidR="00793885" w:rsidRPr="0078109C">
        <w:rPr>
          <w:rFonts w:ascii="Palatino Linotype" w:hAnsi="Palatino Linotype" w:cs="Times New Roman"/>
          <w:sz w:val="22"/>
          <w:szCs w:val="22"/>
        </w:rPr>
        <w:t xml:space="preserve"> us plan our </w:t>
      </w:r>
      <w:r w:rsidR="00B72322" w:rsidRPr="0078109C">
        <w:rPr>
          <w:rFonts w:ascii="Palatino Linotype" w:hAnsi="Palatino Linotype" w:cs="Times New Roman"/>
          <w:sz w:val="22"/>
          <w:szCs w:val="22"/>
        </w:rPr>
        <w:t>lives</w:t>
      </w:r>
      <w:r w:rsidR="005169F2" w:rsidRPr="0078109C">
        <w:rPr>
          <w:rFonts w:ascii="Palatino Linotype" w:hAnsi="Palatino Linotype" w:cs="Times New Roman"/>
          <w:sz w:val="22"/>
          <w:szCs w:val="22"/>
        </w:rPr>
        <w:t xml:space="preserve"> and interactions with others</w:t>
      </w:r>
      <w:r w:rsidR="00B72322" w:rsidRPr="0078109C">
        <w:rPr>
          <w:rFonts w:ascii="Palatino Linotype" w:hAnsi="Palatino Linotype" w:cs="Times New Roman"/>
          <w:sz w:val="22"/>
          <w:szCs w:val="22"/>
        </w:rPr>
        <w:t xml:space="preserve"> with </w:t>
      </w:r>
      <w:r w:rsidR="00793885" w:rsidRPr="0078109C">
        <w:rPr>
          <w:rFonts w:ascii="Palatino Linotype" w:hAnsi="Palatino Linotype" w:cs="Times New Roman"/>
          <w:sz w:val="22"/>
          <w:szCs w:val="22"/>
        </w:rPr>
        <w:t>confiden</w:t>
      </w:r>
      <w:r w:rsidR="00B72322" w:rsidRPr="0078109C">
        <w:rPr>
          <w:rFonts w:ascii="Palatino Linotype" w:hAnsi="Palatino Linotype" w:cs="Times New Roman"/>
          <w:sz w:val="22"/>
          <w:szCs w:val="22"/>
        </w:rPr>
        <w:t>ce</w:t>
      </w:r>
      <w:r w:rsidR="005169F2" w:rsidRPr="0078109C">
        <w:rPr>
          <w:rFonts w:ascii="Palatino Linotype" w:hAnsi="Palatino Linotype" w:cs="Times New Roman"/>
          <w:sz w:val="22"/>
          <w:szCs w:val="22"/>
        </w:rPr>
        <w:t xml:space="preserve"> that </w:t>
      </w:r>
      <w:r>
        <w:rPr>
          <w:rFonts w:ascii="Palatino Linotype" w:hAnsi="Palatino Linotype" w:cs="Times New Roman"/>
          <w:sz w:val="22"/>
          <w:szCs w:val="22"/>
        </w:rPr>
        <w:t xml:space="preserve">we act </w:t>
      </w:r>
      <w:r w:rsidR="005169F2" w:rsidRPr="0078109C">
        <w:rPr>
          <w:rFonts w:ascii="Palatino Linotype" w:hAnsi="Palatino Linotype" w:cs="Times New Roman"/>
          <w:sz w:val="22"/>
          <w:szCs w:val="22"/>
        </w:rPr>
        <w:t>within the bounds of the law, and will not be subject to the force of the State at the whim of its officials</w:t>
      </w:r>
      <w:r w:rsidR="00793885" w:rsidRPr="0078109C">
        <w:rPr>
          <w:rFonts w:ascii="Palatino Linotype" w:hAnsi="Palatino Linotype" w:cs="Times New Roman"/>
          <w:sz w:val="22"/>
          <w:szCs w:val="22"/>
        </w:rPr>
        <w:t xml:space="preserve">. Disrespect for these principles is not </w:t>
      </w:r>
      <w:r>
        <w:rPr>
          <w:rFonts w:ascii="Palatino Linotype" w:hAnsi="Palatino Linotype" w:cs="Times New Roman"/>
          <w:sz w:val="22"/>
          <w:szCs w:val="22"/>
        </w:rPr>
        <w:t>without cost and harm</w:t>
      </w:r>
      <w:r w:rsidR="004C55DC">
        <w:rPr>
          <w:rFonts w:ascii="Palatino Linotype" w:hAnsi="Palatino Linotype" w:cs="Times New Roman"/>
          <w:sz w:val="22"/>
          <w:szCs w:val="22"/>
        </w:rPr>
        <w:t xml:space="preserve">. It creates </w:t>
      </w:r>
      <w:r w:rsidR="004C55DC">
        <w:rPr>
          <w:rFonts w:ascii="Palatino Linotype" w:hAnsi="Palatino Linotype" w:cs="Times New Roman"/>
          <w:sz w:val="22"/>
          <w:szCs w:val="22"/>
        </w:rPr>
        <w:lastRenderedPageBreak/>
        <w:t xml:space="preserve">uncertainty and insecurity about whether one is behaving lawfully. It increases the ability of law enforcement officials to act arbitrarily. Those from disadvantaged backgrounds, perhaps with a history of poor relationships with the </w:t>
      </w:r>
      <w:proofErr w:type="spellStart"/>
      <w:r w:rsidR="004C55DC">
        <w:rPr>
          <w:rFonts w:ascii="Palatino Linotype" w:hAnsi="Palatino Linotype" w:cs="Times New Roman"/>
          <w:sz w:val="22"/>
          <w:szCs w:val="22"/>
        </w:rPr>
        <w:t>gardaí</w:t>
      </w:r>
      <w:proofErr w:type="spellEnd"/>
      <w:r w:rsidR="004C55DC">
        <w:rPr>
          <w:rFonts w:ascii="Palatino Linotype" w:hAnsi="Palatino Linotype" w:cs="Times New Roman"/>
          <w:sz w:val="22"/>
          <w:szCs w:val="22"/>
        </w:rPr>
        <w:t>, are most insecure and stand to lose the most from arbitrary power.</w:t>
      </w:r>
    </w:p>
    <w:p w14:paraId="4D176E05" w14:textId="13E3D909" w:rsidR="000C6E05" w:rsidRPr="0078109C" w:rsidRDefault="007A0471" w:rsidP="0078109C">
      <w:pPr>
        <w:spacing w:line="360" w:lineRule="auto"/>
        <w:ind w:firstLine="720"/>
        <w:jc w:val="both"/>
        <w:rPr>
          <w:rFonts w:ascii="Palatino Linotype" w:hAnsi="Palatino Linotype" w:cs="Times New Roman"/>
          <w:sz w:val="22"/>
          <w:szCs w:val="22"/>
        </w:rPr>
      </w:pPr>
      <w:r>
        <w:rPr>
          <w:rFonts w:ascii="Palatino Linotype" w:hAnsi="Palatino Linotype" w:cs="Times New Roman"/>
          <w:sz w:val="22"/>
          <w:szCs w:val="22"/>
        </w:rPr>
        <w:t>B</w:t>
      </w:r>
      <w:r w:rsidR="000C6E05" w:rsidRPr="0078109C">
        <w:rPr>
          <w:rFonts w:ascii="Palatino Linotype" w:hAnsi="Palatino Linotype" w:cs="Times New Roman"/>
          <w:sz w:val="22"/>
          <w:szCs w:val="22"/>
        </w:rPr>
        <w:t xml:space="preserve">reaches of </w:t>
      </w:r>
      <w:r>
        <w:rPr>
          <w:rFonts w:ascii="Palatino Linotype" w:hAnsi="Palatino Linotype" w:cs="Times New Roman"/>
          <w:sz w:val="22"/>
          <w:szCs w:val="22"/>
        </w:rPr>
        <w:t xml:space="preserve">rule of law </w:t>
      </w:r>
      <w:r w:rsidR="000C6E05" w:rsidRPr="0078109C">
        <w:rPr>
          <w:rFonts w:ascii="Palatino Linotype" w:hAnsi="Palatino Linotype" w:cs="Times New Roman"/>
          <w:sz w:val="22"/>
          <w:szCs w:val="22"/>
        </w:rPr>
        <w:t xml:space="preserve">principles might also risk undermining the </w:t>
      </w:r>
      <w:r w:rsidR="000C6E05" w:rsidRPr="0078109C">
        <w:rPr>
          <w:rFonts w:ascii="Palatino Linotype" w:hAnsi="Palatino Linotype" w:cs="Times New Roman"/>
          <w:i/>
          <w:iCs/>
          <w:sz w:val="22"/>
          <w:szCs w:val="22"/>
        </w:rPr>
        <w:t>efficacy</w:t>
      </w:r>
      <w:r w:rsidR="000C6E05" w:rsidRPr="0078109C">
        <w:rPr>
          <w:rFonts w:ascii="Palatino Linotype" w:hAnsi="Palatino Linotype" w:cs="Times New Roman"/>
          <w:sz w:val="22"/>
          <w:szCs w:val="22"/>
        </w:rPr>
        <w:t xml:space="preserve"> of the State’s response to COVID by distorting the clarity and certainty of the rules or generating resentment or frustration at the conflation of advice and legal obligation. Over time, the presentation of public health advice as mandatory makes it difficult to maintain a coherent account of what is expected of citizens, because this presentation cannot withstand detailed scrutiny in contested cases. Failing to make </w:t>
      </w:r>
      <w:r w:rsidR="00F61637">
        <w:rPr>
          <w:rFonts w:ascii="Palatino Linotype" w:hAnsi="Palatino Linotype" w:cs="Times New Roman"/>
          <w:sz w:val="22"/>
          <w:szCs w:val="22"/>
        </w:rPr>
        <w:t xml:space="preserve">clear </w:t>
      </w:r>
      <w:r w:rsidR="000C6E05" w:rsidRPr="0078109C">
        <w:rPr>
          <w:rFonts w:ascii="Palatino Linotype" w:hAnsi="Palatino Linotype" w:cs="Times New Roman"/>
          <w:sz w:val="22"/>
          <w:szCs w:val="22"/>
        </w:rPr>
        <w:t>what obligations citizens have</w:t>
      </w:r>
      <w:r w:rsidR="00F61637">
        <w:rPr>
          <w:rFonts w:ascii="Palatino Linotype" w:hAnsi="Palatino Linotype" w:cs="Times New Roman"/>
          <w:sz w:val="22"/>
          <w:szCs w:val="22"/>
        </w:rPr>
        <w:t xml:space="preserve"> by </w:t>
      </w:r>
      <w:r w:rsidR="000C6E05" w:rsidRPr="0078109C">
        <w:rPr>
          <w:rFonts w:ascii="Palatino Linotype" w:hAnsi="Palatino Linotype" w:cs="Times New Roman"/>
          <w:sz w:val="22"/>
          <w:szCs w:val="22"/>
        </w:rPr>
        <w:t>eliding the distinction between advice and legal obligation might</w:t>
      </w:r>
      <w:r w:rsidR="00B72322" w:rsidRPr="0078109C">
        <w:rPr>
          <w:rFonts w:ascii="Palatino Linotype" w:hAnsi="Palatino Linotype" w:cs="Times New Roman"/>
          <w:sz w:val="22"/>
          <w:szCs w:val="22"/>
        </w:rPr>
        <w:t xml:space="preserve"> </w:t>
      </w:r>
      <w:r w:rsidR="00F61637">
        <w:rPr>
          <w:rFonts w:ascii="Palatino Linotype" w:hAnsi="Palatino Linotype" w:cs="Times New Roman"/>
          <w:sz w:val="22"/>
          <w:szCs w:val="22"/>
        </w:rPr>
        <w:t xml:space="preserve">sew </w:t>
      </w:r>
      <w:r w:rsidR="000C6E05" w:rsidRPr="0078109C">
        <w:rPr>
          <w:rFonts w:ascii="Palatino Linotype" w:hAnsi="Palatino Linotype" w:cs="Times New Roman"/>
          <w:sz w:val="22"/>
          <w:szCs w:val="22"/>
        </w:rPr>
        <w:t xml:space="preserve">confusion and </w:t>
      </w:r>
      <w:r w:rsidR="00F61637">
        <w:rPr>
          <w:rFonts w:ascii="Palatino Linotype" w:hAnsi="Palatino Linotype" w:cs="Times New Roman"/>
          <w:sz w:val="22"/>
          <w:szCs w:val="22"/>
        </w:rPr>
        <w:t xml:space="preserve">ultimately </w:t>
      </w:r>
      <w:r w:rsidR="000C6E05" w:rsidRPr="0078109C">
        <w:rPr>
          <w:rFonts w:ascii="Palatino Linotype" w:hAnsi="Palatino Linotype" w:cs="Times New Roman"/>
          <w:sz w:val="22"/>
          <w:szCs w:val="22"/>
        </w:rPr>
        <w:t>diminish public trust.</w:t>
      </w:r>
      <w:r w:rsidR="000C6E05" w:rsidRPr="0078109C">
        <w:rPr>
          <w:rStyle w:val="FootnoteReference"/>
          <w:rFonts w:ascii="Palatino Linotype" w:hAnsi="Palatino Linotype" w:cs="Times New Roman"/>
          <w:sz w:val="22"/>
          <w:szCs w:val="22"/>
        </w:rPr>
        <w:footnoteReference w:id="46"/>
      </w:r>
      <w:r w:rsidR="000C6E05" w:rsidRPr="0078109C">
        <w:rPr>
          <w:rFonts w:ascii="Palatino Linotype" w:hAnsi="Palatino Linotype" w:cs="Times New Roman"/>
          <w:sz w:val="22"/>
          <w:szCs w:val="22"/>
        </w:rPr>
        <w:t xml:space="preserve">  Far from being a hinderance to law</w:t>
      </w:r>
      <w:r w:rsidR="004C55DC">
        <w:rPr>
          <w:rFonts w:ascii="Palatino Linotype" w:hAnsi="Palatino Linotype" w:cs="Times New Roman"/>
          <w:sz w:val="22"/>
          <w:szCs w:val="22"/>
        </w:rPr>
        <w:t>’</w:t>
      </w:r>
      <w:r w:rsidR="000C6E05" w:rsidRPr="0078109C">
        <w:rPr>
          <w:rFonts w:ascii="Palatino Linotype" w:hAnsi="Palatino Linotype" w:cs="Times New Roman"/>
          <w:sz w:val="22"/>
          <w:szCs w:val="22"/>
        </w:rPr>
        <w:t>s efficacy, compliance with the rule of law enhance</w:t>
      </w:r>
      <w:r w:rsidR="00F61637">
        <w:rPr>
          <w:rFonts w:ascii="Palatino Linotype" w:hAnsi="Palatino Linotype" w:cs="Times New Roman"/>
          <w:sz w:val="22"/>
          <w:szCs w:val="22"/>
        </w:rPr>
        <w:t>s</w:t>
      </w:r>
      <w:r w:rsidR="000C6E05" w:rsidRPr="0078109C">
        <w:rPr>
          <w:rFonts w:ascii="Palatino Linotype" w:hAnsi="Palatino Linotype" w:cs="Times New Roman"/>
          <w:sz w:val="22"/>
          <w:szCs w:val="22"/>
        </w:rPr>
        <w:t xml:space="preserve"> it: trust and clarity assist voluntary public buy-in to </w:t>
      </w:r>
      <w:r w:rsidR="00F61637">
        <w:rPr>
          <w:rFonts w:ascii="Palatino Linotype" w:hAnsi="Palatino Linotype" w:cs="Times New Roman"/>
          <w:sz w:val="22"/>
          <w:szCs w:val="22"/>
        </w:rPr>
        <w:t xml:space="preserve">non-binding </w:t>
      </w:r>
      <w:r w:rsidR="000C6E05" w:rsidRPr="0078109C">
        <w:rPr>
          <w:rFonts w:ascii="Palatino Linotype" w:hAnsi="Palatino Linotype" w:cs="Times New Roman"/>
          <w:sz w:val="22"/>
          <w:szCs w:val="22"/>
        </w:rPr>
        <w:t xml:space="preserve">public health </w:t>
      </w:r>
      <w:r w:rsidR="00F61637">
        <w:rPr>
          <w:rFonts w:ascii="Palatino Linotype" w:hAnsi="Palatino Linotype" w:cs="Times New Roman"/>
          <w:sz w:val="22"/>
          <w:szCs w:val="22"/>
        </w:rPr>
        <w:t>advice</w:t>
      </w:r>
      <w:r w:rsidR="000C6E05" w:rsidRPr="0078109C">
        <w:rPr>
          <w:rFonts w:ascii="Palatino Linotype" w:hAnsi="Palatino Linotype" w:cs="Times New Roman"/>
          <w:sz w:val="22"/>
          <w:szCs w:val="22"/>
        </w:rPr>
        <w:t>.</w:t>
      </w:r>
      <w:r w:rsidR="00B72322" w:rsidRPr="0078109C">
        <w:rPr>
          <w:rFonts w:ascii="Palatino Linotype" w:hAnsi="Palatino Linotype" w:cs="Times New Roman"/>
          <w:sz w:val="22"/>
          <w:szCs w:val="22"/>
        </w:rPr>
        <w:t xml:space="preserve"> The importance of rule of law </w:t>
      </w:r>
      <w:r w:rsidR="005169F2" w:rsidRPr="0078109C">
        <w:rPr>
          <w:rFonts w:ascii="Palatino Linotype" w:hAnsi="Palatino Linotype" w:cs="Times New Roman"/>
          <w:sz w:val="22"/>
          <w:szCs w:val="22"/>
        </w:rPr>
        <w:t>values is</w:t>
      </w:r>
      <w:r w:rsidR="00B72322" w:rsidRPr="0078109C">
        <w:rPr>
          <w:rFonts w:ascii="Palatino Linotype" w:hAnsi="Palatino Linotype" w:cs="Times New Roman"/>
          <w:sz w:val="22"/>
          <w:szCs w:val="22"/>
        </w:rPr>
        <w:t xml:space="preserve">, we suggest, an imperative lesson to </w:t>
      </w:r>
      <w:r w:rsidR="005169F2" w:rsidRPr="0078109C">
        <w:rPr>
          <w:rFonts w:ascii="Palatino Linotype" w:hAnsi="Palatino Linotype" w:cs="Times New Roman"/>
          <w:sz w:val="22"/>
          <w:szCs w:val="22"/>
        </w:rPr>
        <w:t>take</w:t>
      </w:r>
      <w:r w:rsidR="00B72322" w:rsidRPr="0078109C">
        <w:rPr>
          <w:rFonts w:ascii="Palatino Linotype" w:hAnsi="Palatino Linotype" w:cs="Times New Roman"/>
          <w:sz w:val="22"/>
          <w:szCs w:val="22"/>
        </w:rPr>
        <w:t xml:space="preserve"> from this very challenging time. </w:t>
      </w:r>
    </w:p>
    <w:p w14:paraId="3FFFA2DA" w14:textId="77777777" w:rsidR="000C6E05" w:rsidRPr="0078109C" w:rsidRDefault="000C6E05" w:rsidP="0078109C">
      <w:pPr>
        <w:spacing w:line="360" w:lineRule="auto"/>
        <w:jc w:val="both"/>
        <w:rPr>
          <w:rFonts w:ascii="Palatino Linotype" w:hAnsi="Palatino Linotype" w:cs="Times New Roman"/>
          <w:b/>
          <w:bCs/>
          <w:sz w:val="22"/>
          <w:szCs w:val="22"/>
        </w:rPr>
      </w:pPr>
    </w:p>
    <w:sectPr w:rsidR="000C6E05" w:rsidRPr="0078109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8B69" w14:textId="77777777" w:rsidR="004B54A1" w:rsidRDefault="004B54A1" w:rsidP="001754A8">
      <w:r>
        <w:separator/>
      </w:r>
    </w:p>
  </w:endnote>
  <w:endnote w:type="continuationSeparator" w:id="0">
    <w:p w14:paraId="7D288983" w14:textId="77777777" w:rsidR="004B54A1" w:rsidRDefault="004B54A1" w:rsidP="0017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 Vu Serif">
    <w:altName w:val="Deja Vu Serif"/>
    <w:panose1 w:val="020B06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066273"/>
      <w:docPartObj>
        <w:docPartGallery w:val="Page Numbers (Bottom of Page)"/>
        <w:docPartUnique/>
      </w:docPartObj>
    </w:sdtPr>
    <w:sdtEndPr>
      <w:rPr>
        <w:rStyle w:val="PageNumber"/>
      </w:rPr>
    </w:sdtEndPr>
    <w:sdtContent>
      <w:p w14:paraId="2310AE5E" w14:textId="18BA497F" w:rsidR="0078109C" w:rsidRDefault="0078109C" w:rsidP="006E1F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7B3E45" w14:textId="77777777" w:rsidR="0078109C" w:rsidRDefault="0078109C" w:rsidP="00781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8667102"/>
      <w:docPartObj>
        <w:docPartGallery w:val="Page Numbers (Bottom of Page)"/>
        <w:docPartUnique/>
      </w:docPartObj>
    </w:sdtPr>
    <w:sdtEndPr>
      <w:rPr>
        <w:rStyle w:val="PageNumber"/>
      </w:rPr>
    </w:sdtEndPr>
    <w:sdtContent>
      <w:p w14:paraId="11C5C535" w14:textId="76FC30F4" w:rsidR="0078109C" w:rsidRDefault="0078109C" w:rsidP="006E1F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5BD34B" w14:textId="77777777" w:rsidR="0078109C" w:rsidRDefault="0078109C" w:rsidP="007810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9718" w14:textId="77777777" w:rsidR="004B54A1" w:rsidRDefault="004B54A1" w:rsidP="001754A8">
      <w:r>
        <w:separator/>
      </w:r>
    </w:p>
  </w:footnote>
  <w:footnote w:type="continuationSeparator" w:id="0">
    <w:p w14:paraId="542EABB0" w14:textId="77777777" w:rsidR="004B54A1" w:rsidRDefault="004B54A1" w:rsidP="001754A8">
      <w:r>
        <w:continuationSeparator/>
      </w:r>
    </w:p>
  </w:footnote>
  <w:footnote w:id="1">
    <w:p w14:paraId="27DEDB11" w14:textId="24A10CF7" w:rsidR="00DE79D2" w:rsidRPr="00B45515" w:rsidRDefault="00DE79D2" w:rsidP="006226CD">
      <w:pPr>
        <w:pStyle w:val="FootnoteText"/>
        <w:jc w:val="both"/>
        <w:rPr>
          <w:rFonts w:ascii="Palatino Linotype" w:hAnsi="Palatino Linotype" w:cs="Times New Roman"/>
          <w:color w:val="000000" w:themeColor="text1"/>
          <w:sz w:val="18"/>
          <w:szCs w:val="18"/>
          <w:lang w:val="en-GB"/>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w:t>
      </w:r>
      <w:r w:rsidRPr="00B45515">
        <w:rPr>
          <w:rFonts w:ascii="Palatino Linotype" w:hAnsi="Palatino Linotype" w:cs="Times New Roman"/>
          <w:color w:val="000000" w:themeColor="text1"/>
          <w:sz w:val="18"/>
          <w:szCs w:val="18"/>
          <w:lang w:val="en-GB"/>
        </w:rPr>
        <w:t xml:space="preserve">For a detailed examination of some of these issues with a focus on human rights and equality concerns, see </w:t>
      </w:r>
      <w:r w:rsidR="00C1020F" w:rsidRPr="00B45515">
        <w:rPr>
          <w:rFonts w:ascii="Palatino Linotype" w:hAnsi="Palatino Linotype" w:cs="Times New Roman"/>
          <w:color w:val="000000" w:themeColor="text1"/>
          <w:sz w:val="18"/>
          <w:szCs w:val="18"/>
          <w:lang w:val="en-GB"/>
        </w:rPr>
        <w:t xml:space="preserve">Conor Casey, Oran Doyle, David Kenny and Donna Lyons, </w:t>
      </w:r>
      <w:r w:rsidR="00ED04B8" w:rsidRPr="00B45515">
        <w:rPr>
          <w:rFonts w:ascii="Palatino Linotype" w:hAnsi="Palatino Linotype" w:cs="Times New Roman"/>
          <w:i/>
          <w:iCs/>
          <w:color w:val="000000" w:themeColor="text1"/>
          <w:sz w:val="18"/>
          <w:szCs w:val="18"/>
          <w:lang w:val="en-GB"/>
        </w:rPr>
        <w:t xml:space="preserve">Ireland’s Emergency Powers During the Covid-19 Pandemic </w:t>
      </w:r>
      <w:r w:rsidR="00ED04B8" w:rsidRPr="00B45515">
        <w:rPr>
          <w:rFonts w:ascii="Palatino Linotype" w:hAnsi="Palatino Linotype" w:cs="Times New Roman"/>
          <w:color w:val="000000" w:themeColor="text1"/>
          <w:sz w:val="18"/>
          <w:szCs w:val="18"/>
          <w:lang w:val="en-GB"/>
        </w:rPr>
        <w:t>(</w:t>
      </w:r>
      <w:r w:rsidR="00C1020F" w:rsidRPr="00B45515">
        <w:rPr>
          <w:rFonts w:ascii="Palatino Linotype" w:hAnsi="Palatino Linotype" w:cs="Times New Roman"/>
          <w:color w:val="000000" w:themeColor="text1"/>
          <w:sz w:val="18"/>
          <w:szCs w:val="18"/>
          <w:lang w:val="en-GB"/>
        </w:rPr>
        <w:t xml:space="preserve">Irish Human Rights &amp; Equality Commission, </w:t>
      </w:r>
      <w:r w:rsidR="00ED04B8" w:rsidRPr="00B45515">
        <w:rPr>
          <w:rFonts w:ascii="Palatino Linotype" w:hAnsi="Palatino Linotype" w:cs="Times New Roman"/>
          <w:color w:val="000000" w:themeColor="text1"/>
          <w:sz w:val="18"/>
          <w:szCs w:val="18"/>
          <w:lang w:val="en-GB"/>
        </w:rPr>
        <w:t>February 2021).</w:t>
      </w:r>
    </w:p>
  </w:footnote>
  <w:footnote w:id="2">
    <w:p w14:paraId="2BC7D465" w14:textId="77777777" w:rsidR="0018034D" w:rsidRPr="00B45515" w:rsidRDefault="0018034D" w:rsidP="006226CD">
      <w:pPr>
        <w:pStyle w:val="Heading1"/>
        <w:shd w:val="clear" w:color="auto" w:fill="FFFFFF"/>
        <w:spacing w:before="0"/>
        <w:jc w:val="both"/>
        <w:rPr>
          <w:rFonts w:ascii="Palatino Linotype" w:hAnsi="Palatino Linotype" w:cs="Times New Roman"/>
          <w:color w:val="000000" w:themeColor="text1"/>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Oran Doyle, ‘Pandemic Response as Accentuation of Existing Characteristics: Vague Requirements and Executive Dominance in Ireland’ </w:t>
      </w:r>
      <w:proofErr w:type="spellStart"/>
      <w:r w:rsidRPr="00B45515">
        <w:rPr>
          <w:rFonts w:ascii="Palatino Linotype" w:hAnsi="Palatino Linotype" w:cs="Times New Roman"/>
          <w:i/>
          <w:iCs/>
          <w:color w:val="000000" w:themeColor="text1"/>
          <w:sz w:val="18"/>
          <w:szCs w:val="18"/>
        </w:rPr>
        <w:t>Verfassungsblog</w:t>
      </w:r>
      <w:proofErr w:type="spellEnd"/>
      <w:r w:rsidRPr="00B45515">
        <w:rPr>
          <w:rFonts w:ascii="Palatino Linotype" w:hAnsi="Palatino Linotype" w:cs="Times New Roman"/>
          <w:i/>
          <w:iCs/>
          <w:color w:val="000000" w:themeColor="text1"/>
          <w:sz w:val="18"/>
          <w:szCs w:val="18"/>
        </w:rPr>
        <w:t xml:space="preserve"> </w:t>
      </w:r>
      <w:r w:rsidRPr="00B45515">
        <w:rPr>
          <w:rFonts w:ascii="Palatino Linotype" w:hAnsi="Palatino Linotype" w:cs="Times New Roman"/>
          <w:color w:val="000000" w:themeColor="text1"/>
          <w:sz w:val="18"/>
          <w:szCs w:val="18"/>
        </w:rPr>
        <w:t xml:space="preserve">(17 March 2021) available at: </w:t>
      </w:r>
      <w:hyperlink r:id="rId1" w:history="1">
        <w:r w:rsidRPr="00B45515">
          <w:rPr>
            <w:rStyle w:val="Hyperlink"/>
            <w:rFonts w:ascii="Palatino Linotype" w:hAnsi="Palatino Linotype" w:cs="Times New Roman"/>
            <w:color w:val="000000" w:themeColor="text1"/>
            <w:sz w:val="18"/>
            <w:szCs w:val="18"/>
          </w:rPr>
          <w:t>https://verfassungsblog.de/pandemic-response-as-accentuation-of-existing-characteristics-vague-requirements-and-executive-dominance-in-ireland/</w:t>
        </w:r>
      </w:hyperlink>
      <w:r w:rsidRPr="00B45515">
        <w:rPr>
          <w:rFonts w:ascii="Palatino Linotype" w:hAnsi="Palatino Linotype" w:cs="Times New Roman"/>
          <w:color w:val="000000" w:themeColor="text1"/>
          <w:sz w:val="18"/>
          <w:szCs w:val="18"/>
        </w:rPr>
        <w:t xml:space="preserve">.  </w:t>
      </w:r>
    </w:p>
  </w:footnote>
  <w:footnote w:id="3">
    <w:p w14:paraId="30FD7320" w14:textId="77777777" w:rsidR="0018034D" w:rsidRPr="00B45515" w:rsidRDefault="0018034D" w:rsidP="006226CD">
      <w:pPr>
        <w:pStyle w:val="FootnoteText"/>
        <w:jc w:val="both"/>
        <w:rPr>
          <w:rFonts w:ascii="Palatino Linotype" w:hAnsi="Palatino Linotype" w:cs="Times New Roman"/>
          <w:color w:val="000000" w:themeColor="text1"/>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For an overview of the scope of such powers see Conor Casey, ‘Underexplored Corners: Inherent Executive Power in the Irish Constitutional Order’ (2017) 40 Dublin University Law Journal 1.</w:t>
      </w:r>
    </w:p>
  </w:footnote>
  <w:footnote w:id="4">
    <w:p w14:paraId="0636662D" w14:textId="77777777" w:rsidR="0018034D" w:rsidRPr="00B45515" w:rsidRDefault="0018034D" w:rsidP="006226CD">
      <w:pPr>
        <w:pStyle w:val="FootnoteText"/>
        <w:jc w:val="both"/>
        <w:rPr>
          <w:rFonts w:ascii="Palatino Linotype" w:hAnsi="Palatino Linotype" w:cs="Times New Roman"/>
          <w:color w:val="000000" w:themeColor="text1"/>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Regularly updated on the Government’s own website: </w:t>
      </w:r>
      <w:hyperlink r:id="rId2" w:history="1">
        <w:r w:rsidRPr="00B45515">
          <w:rPr>
            <w:rStyle w:val="Hyperlink"/>
            <w:rFonts w:ascii="Palatino Linotype" w:hAnsi="Palatino Linotype" w:cs="Times New Roman"/>
            <w:color w:val="000000" w:themeColor="text1"/>
            <w:sz w:val="18"/>
            <w:szCs w:val="18"/>
          </w:rPr>
          <w:t>https://www.gov.ie/en/press-release/0bd80-new-public-health-measures-announced-the-path-ahead/</w:t>
        </w:r>
      </w:hyperlink>
      <w:r w:rsidRPr="00B45515">
        <w:rPr>
          <w:rFonts w:ascii="Palatino Linotype" w:hAnsi="Palatino Linotype" w:cs="Times New Roman"/>
          <w:color w:val="000000" w:themeColor="text1"/>
          <w:sz w:val="18"/>
          <w:szCs w:val="18"/>
        </w:rPr>
        <w:t xml:space="preserve">. </w:t>
      </w:r>
    </w:p>
  </w:footnote>
  <w:footnote w:id="5">
    <w:p w14:paraId="6FFA6DC3" w14:textId="77777777" w:rsidR="0018034D" w:rsidRPr="00B45515" w:rsidRDefault="0018034D" w:rsidP="006226CD">
      <w:pPr>
        <w:pStyle w:val="FootnoteText"/>
        <w:jc w:val="both"/>
        <w:rPr>
          <w:rFonts w:ascii="Palatino Linotype" w:hAnsi="Palatino Linotype" w:cs="Times New Roman"/>
          <w:color w:val="000000" w:themeColor="text1"/>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w:t>
      </w:r>
      <w:hyperlink r:id="rId3" w:history="1">
        <w:r w:rsidRPr="00B45515">
          <w:rPr>
            <w:rStyle w:val="Hyperlink"/>
            <w:rFonts w:ascii="Palatino Linotype" w:hAnsi="Palatino Linotype" w:cs="Times New Roman"/>
            <w:color w:val="000000" w:themeColor="text1"/>
            <w:sz w:val="18"/>
            <w:szCs w:val="18"/>
          </w:rPr>
          <w:t>http://www.justice.ie/en/JELR/Pages/PR21000065</w:t>
        </w:r>
      </w:hyperlink>
      <w:r w:rsidRPr="00B45515">
        <w:rPr>
          <w:rFonts w:ascii="Palatino Linotype" w:hAnsi="Palatino Linotype" w:cs="Times New Roman"/>
          <w:color w:val="000000" w:themeColor="text1"/>
          <w:sz w:val="18"/>
          <w:szCs w:val="18"/>
        </w:rPr>
        <w:t xml:space="preserve">. </w:t>
      </w:r>
    </w:p>
  </w:footnote>
  <w:footnote w:id="6">
    <w:p w14:paraId="7551D27D" w14:textId="77777777" w:rsidR="0018034D" w:rsidRPr="00B45515" w:rsidRDefault="0018034D" w:rsidP="006226CD">
      <w:pPr>
        <w:pStyle w:val="FootnoteText"/>
        <w:jc w:val="both"/>
        <w:rPr>
          <w:rFonts w:ascii="Palatino Linotype" w:hAnsi="Palatino Linotype" w:cs="Times New Roman"/>
          <w:color w:val="000000" w:themeColor="text1"/>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w:t>
      </w:r>
      <w:hyperlink r:id="rId4" w:history="1">
        <w:r w:rsidRPr="00B45515">
          <w:rPr>
            <w:rStyle w:val="Hyperlink"/>
            <w:rFonts w:ascii="Palatino Linotype" w:hAnsi="Palatino Linotype" w:cs="Times New Roman"/>
            <w:color w:val="000000" w:themeColor="text1"/>
            <w:sz w:val="18"/>
            <w:szCs w:val="18"/>
          </w:rPr>
          <w:t>https://www.gov.ie/en/collection/339eb-ministers-speeches/</w:t>
        </w:r>
      </w:hyperlink>
      <w:r w:rsidRPr="00B45515">
        <w:rPr>
          <w:rFonts w:ascii="Palatino Linotype" w:hAnsi="Palatino Linotype" w:cs="Times New Roman"/>
          <w:color w:val="000000" w:themeColor="text1"/>
          <w:sz w:val="18"/>
          <w:szCs w:val="18"/>
        </w:rPr>
        <w:t xml:space="preserve">. </w:t>
      </w:r>
    </w:p>
  </w:footnote>
  <w:footnote w:id="7">
    <w:p w14:paraId="5F0500F7" w14:textId="77777777" w:rsidR="0018034D" w:rsidRPr="00B45515" w:rsidRDefault="0018034D" w:rsidP="006226CD">
      <w:pPr>
        <w:pStyle w:val="FootnoteText"/>
        <w:jc w:val="both"/>
        <w:rPr>
          <w:rFonts w:ascii="Palatino Linotype" w:hAnsi="Palatino Linotype" w:cs="Times New Roman"/>
          <w:color w:val="000000" w:themeColor="text1"/>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Paul Daly, ‘Governmental Power and COVID-19: The Limits of Judicial Review Forthcoming’ in Flood et al eds., </w:t>
      </w:r>
      <w:r w:rsidRPr="00B45515">
        <w:rPr>
          <w:rFonts w:ascii="Palatino Linotype" w:hAnsi="Palatino Linotype" w:cs="Times New Roman"/>
          <w:i/>
          <w:iCs/>
          <w:color w:val="000000" w:themeColor="text1"/>
          <w:sz w:val="18"/>
          <w:szCs w:val="18"/>
        </w:rPr>
        <w:t>The Law, Policy and Ethics of COVID-19</w:t>
      </w:r>
      <w:r w:rsidRPr="00B45515">
        <w:rPr>
          <w:rFonts w:ascii="Palatino Linotype" w:hAnsi="Palatino Linotype" w:cs="Times New Roman"/>
          <w:color w:val="000000" w:themeColor="text1"/>
          <w:sz w:val="18"/>
          <w:szCs w:val="18"/>
        </w:rPr>
        <w:t xml:space="preserve"> (University of Ottawa Press, 2020).</w:t>
      </w:r>
    </w:p>
  </w:footnote>
  <w:footnote w:id="8">
    <w:p w14:paraId="2EB83F35" w14:textId="244DB4B6" w:rsidR="00502E7C" w:rsidRPr="00B45515" w:rsidRDefault="00502E7C" w:rsidP="00502E7C">
      <w:pPr>
        <w:pStyle w:val="FootnoteText"/>
        <w:rPr>
          <w:rFonts w:ascii="Palatino Linotype" w:hAnsi="Palatino Linotype"/>
          <w:sz w:val="18"/>
          <w:szCs w:val="18"/>
          <w:lang w:val="en-GB"/>
        </w:rPr>
      </w:pPr>
      <w:r w:rsidRPr="00B45515">
        <w:rPr>
          <w:rStyle w:val="FootnoteReference"/>
          <w:rFonts w:ascii="Palatino Linotype" w:hAnsi="Palatino Linotype"/>
          <w:sz w:val="18"/>
          <w:szCs w:val="18"/>
        </w:rPr>
        <w:footnoteRef/>
      </w:r>
      <w:r w:rsidRPr="00B45515">
        <w:rPr>
          <w:rFonts w:ascii="Palatino Linotype" w:hAnsi="Palatino Linotype"/>
          <w:sz w:val="18"/>
          <w:szCs w:val="18"/>
        </w:rPr>
        <w:t xml:space="preserve"> </w:t>
      </w:r>
      <w:r w:rsidRPr="00B45515">
        <w:rPr>
          <w:rFonts w:ascii="Palatino Linotype" w:hAnsi="Palatino Linotype"/>
          <w:sz w:val="18"/>
          <w:szCs w:val="18"/>
          <w:lang w:val="en-GB"/>
        </w:rPr>
        <w:t>See Oran Doyle and David Kenny, ‘Submission to the Oireachtas Special Committee on Covid-19 Response’ 1</w:t>
      </w:r>
      <w:r w:rsidRPr="00B45515">
        <w:rPr>
          <w:rFonts w:ascii="Palatino Linotype" w:hAnsi="Palatino Linotype"/>
          <w:sz w:val="18"/>
          <w:szCs w:val="18"/>
          <w:vertAlign w:val="superscript"/>
          <w:lang w:val="en-GB"/>
        </w:rPr>
        <w:t>st</w:t>
      </w:r>
      <w:r w:rsidRPr="00B45515">
        <w:rPr>
          <w:rFonts w:ascii="Palatino Linotype" w:hAnsi="Palatino Linotype"/>
          <w:sz w:val="18"/>
          <w:szCs w:val="18"/>
          <w:lang w:val="en-GB"/>
        </w:rPr>
        <w:t xml:space="preserve"> September 2020, available at &lt;https://www.tcd.ie/law/2020.21/Observatory%20submission%20to%20Oireachtas%20COVID-19%20Response%20Committee.pdf.</w:t>
      </w:r>
      <w:r w:rsidR="00EE78F3">
        <w:rPr>
          <w:rFonts w:ascii="Palatino Linotype" w:hAnsi="Palatino Linotype"/>
          <w:sz w:val="18"/>
          <w:szCs w:val="18"/>
          <w:lang w:val="en-GB"/>
        </w:rPr>
        <w:t xml:space="preserve"> </w:t>
      </w:r>
    </w:p>
  </w:footnote>
  <w:footnote w:id="9">
    <w:p w14:paraId="7056DC9E" w14:textId="35DC9A4F" w:rsidR="009B0C46" w:rsidRPr="00B45515" w:rsidRDefault="009B0C46" w:rsidP="006226CD">
      <w:pPr>
        <w:pStyle w:val="FootnoteText"/>
        <w:jc w:val="both"/>
        <w:rPr>
          <w:rFonts w:ascii="Palatino Linotype" w:hAnsi="Palatino Linotype" w:cs="Times New Roman"/>
          <w:sz w:val="18"/>
          <w:szCs w:val="18"/>
          <w:lang w:val="en-GB"/>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w:t>
      </w:r>
      <w:proofErr w:type="gramStart"/>
      <w:r w:rsidR="00FC2DEE" w:rsidRPr="00B45515">
        <w:rPr>
          <w:rFonts w:ascii="Palatino Linotype" w:hAnsi="Palatino Linotype" w:cs="Times New Roman"/>
          <w:sz w:val="18"/>
          <w:szCs w:val="18"/>
        </w:rPr>
        <w:t>Alexander  Hamilton’s</w:t>
      </w:r>
      <w:proofErr w:type="gramEnd"/>
      <w:r w:rsidR="00FC2DEE" w:rsidRPr="00B45515">
        <w:rPr>
          <w:rFonts w:ascii="Palatino Linotype" w:hAnsi="Palatino Linotype" w:cs="Times New Roman"/>
          <w:sz w:val="18"/>
          <w:szCs w:val="18"/>
        </w:rPr>
        <w:t xml:space="preserve">  political  writings</w:t>
      </w:r>
      <w:r w:rsidR="0059176A">
        <w:rPr>
          <w:rFonts w:ascii="Palatino Linotype" w:hAnsi="Palatino Linotype" w:cs="Times New Roman"/>
          <w:sz w:val="18"/>
          <w:szCs w:val="18"/>
        </w:rPr>
        <w:t xml:space="preserve"> on the US </w:t>
      </w:r>
      <w:r w:rsidR="003562A1">
        <w:rPr>
          <w:rFonts w:ascii="Palatino Linotype" w:hAnsi="Palatino Linotype" w:cs="Times New Roman"/>
          <w:sz w:val="18"/>
          <w:szCs w:val="18"/>
        </w:rPr>
        <w:t>C</w:t>
      </w:r>
      <w:r w:rsidR="0059176A">
        <w:rPr>
          <w:rFonts w:ascii="Palatino Linotype" w:hAnsi="Palatino Linotype" w:cs="Times New Roman"/>
          <w:sz w:val="18"/>
          <w:szCs w:val="18"/>
        </w:rPr>
        <w:t xml:space="preserve">onstitution included a </w:t>
      </w:r>
      <w:r w:rsidR="00FC2DEE" w:rsidRPr="00B45515">
        <w:rPr>
          <w:rFonts w:ascii="Palatino Linotype" w:hAnsi="Palatino Linotype" w:cs="Times New Roman"/>
          <w:sz w:val="18"/>
          <w:szCs w:val="18"/>
        </w:rPr>
        <w:t xml:space="preserve">contention  that  public welfare required  an  efficacious  government,  one  with  leadership  provided  by  an  accountable  executive dedicated  to  pursuing  policies  for  the  common  good  with  ‘decision’,  ‘dispatch’  and  ‘energy’. </w:t>
      </w:r>
      <w:r w:rsidRPr="00B45515">
        <w:rPr>
          <w:rFonts w:ascii="Palatino Linotype" w:hAnsi="Palatino Linotype" w:cs="Times New Roman"/>
          <w:i/>
          <w:iCs/>
          <w:sz w:val="18"/>
          <w:szCs w:val="18"/>
          <w:lang w:val="en-GB"/>
        </w:rPr>
        <w:t>The Federalist Papers</w:t>
      </w:r>
      <w:r w:rsidRPr="00B45515">
        <w:rPr>
          <w:rFonts w:ascii="Palatino Linotype" w:hAnsi="Palatino Linotype" w:cs="Times New Roman"/>
          <w:sz w:val="18"/>
          <w:szCs w:val="18"/>
          <w:lang w:val="en-GB"/>
        </w:rPr>
        <w:t xml:space="preserve"> (No. 70). </w:t>
      </w:r>
    </w:p>
  </w:footnote>
  <w:footnote w:id="10">
    <w:p w14:paraId="4D0F33A0" w14:textId="51D64624" w:rsidR="00C471C2" w:rsidRPr="00B45515" w:rsidRDefault="00C471C2" w:rsidP="006226CD">
      <w:pPr>
        <w:rPr>
          <w:rFonts w:ascii="Palatino Linotype" w:eastAsia="Times New Roman" w:hAnsi="Palatino Linotype" w:cs="Times New Roman"/>
          <w:sz w:val="18"/>
          <w:szCs w:val="18"/>
          <w:lang w:eastAsia="en-GB"/>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w:t>
      </w:r>
      <w:r w:rsidR="001D5DE2" w:rsidRPr="00B45515">
        <w:rPr>
          <w:rFonts w:ascii="Palatino Linotype" w:hAnsi="Palatino Linotype" w:cs="Times New Roman"/>
          <w:color w:val="000000" w:themeColor="text1"/>
          <w:sz w:val="18"/>
          <w:szCs w:val="18"/>
        </w:rPr>
        <w:t xml:space="preserve">David </w:t>
      </w:r>
      <w:proofErr w:type="spellStart"/>
      <w:r w:rsidR="001D5DE2" w:rsidRPr="00B45515">
        <w:rPr>
          <w:rFonts w:ascii="Palatino Linotype" w:hAnsi="Palatino Linotype" w:cs="Times New Roman"/>
          <w:color w:val="000000" w:themeColor="text1"/>
          <w:sz w:val="18"/>
          <w:szCs w:val="18"/>
        </w:rPr>
        <w:t>Pozen</w:t>
      </w:r>
      <w:proofErr w:type="spellEnd"/>
      <w:r w:rsidR="001D5DE2" w:rsidRPr="00B45515">
        <w:rPr>
          <w:rFonts w:ascii="Palatino Linotype" w:hAnsi="Palatino Linotype" w:cs="Times New Roman"/>
          <w:color w:val="000000" w:themeColor="text1"/>
          <w:sz w:val="18"/>
          <w:szCs w:val="18"/>
        </w:rPr>
        <w:t xml:space="preserve"> and Kim Lane Schepple, ‘Executive Underreach</w:t>
      </w:r>
      <w:r w:rsidR="000645C3" w:rsidRPr="00B45515">
        <w:rPr>
          <w:rFonts w:ascii="Palatino Linotype" w:hAnsi="Palatino Linotype" w:cs="Times New Roman"/>
          <w:color w:val="000000" w:themeColor="text1"/>
          <w:sz w:val="18"/>
          <w:szCs w:val="18"/>
        </w:rPr>
        <w:t>,</w:t>
      </w:r>
      <w:r w:rsidR="001D5DE2" w:rsidRPr="00B45515">
        <w:rPr>
          <w:rFonts w:ascii="Palatino Linotype" w:hAnsi="Palatino Linotype" w:cs="Times New Roman"/>
          <w:color w:val="000000" w:themeColor="text1"/>
          <w:sz w:val="18"/>
          <w:szCs w:val="18"/>
        </w:rPr>
        <w:t xml:space="preserve"> </w:t>
      </w:r>
      <w:r w:rsidR="001D5DE2" w:rsidRPr="00B45515">
        <w:rPr>
          <w:rFonts w:ascii="Palatino Linotype" w:eastAsia="Times New Roman" w:hAnsi="Palatino Linotype" w:cs="Times New Roman"/>
          <w:color w:val="000000"/>
          <w:sz w:val="18"/>
          <w:szCs w:val="18"/>
          <w:bdr w:val="none" w:sz="0" w:space="0" w:color="auto" w:frame="1"/>
          <w:shd w:val="clear" w:color="auto" w:fill="FFFFFF"/>
          <w:lang w:eastAsia="en-GB"/>
        </w:rPr>
        <w:t>in Pandemics and Otherwise</w:t>
      </w:r>
      <w:r w:rsidR="001D5DE2" w:rsidRPr="00B45515">
        <w:rPr>
          <w:rFonts w:ascii="Palatino Linotype" w:eastAsia="Times New Roman" w:hAnsi="Palatino Linotype" w:cs="Times New Roman"/>
          <w:color w:val="000000"/>
          <w:sz w:val="18"/>
          <w:szCs w:val="18"/>
          <w:shd w:val="clear" w:color="auto" w:fill="FFFFFF"/>
          <w:lang w:eastAsia="en-GB"/>
        </w:rPr>
        <w:t>’, 114(4) </w:t>
      </w:r>
      <w:r w:rsidR="00EE78F3">
        <w:rPr>
          <w:rFonts w:ascii="Palatino Linotype" w:eastAsia="Times New Roman" w:hAnsi="Palatino Linotype" w:cs="Times New Roman"/>
          <w:smallCaps/>
          <w:color w:val="000000"/>
          <w:sz w:val="18"/>
          <w:szCs w:val="18"/>
          <w:bdr w:val="none" w:sz="0" w:space="0" w:color="auto" w:frame="1"/>
          <w:shd w:val="clear" w:color="auto" w:fill="FFFFFF"/>
          <w:lang w:eastAsia="en-GB"/>
        </w:rPr>
        <w:t>American journal of international law</w:t>
      </w:r>
      <w:r w:rsidR="001D5DE2" w:rsidRPr="00B45515">
        <w:rPr>
          <w:rFonts w:ascii="Palatino Linotype" w:eastAsia="Times New Roman" w:hAnsi="Palatino Linotype" w:cs="Times New Roman"/>
          <w:smallCaps/>
          <w:color w:val="000000"/>
          <w:sz w:val="18"/>
          <w:szCs w:val="18"/>
          <w:bdr w:val="none" w:sz="0" w:space="0" w:color="auto" w:frame="1"/>
          <w:shd w:val="clear" w:color="auto" w:fill="FFFFFF"/>
          <w:lang w:eastAsia="en-GB"/>
        </w:rPr>
        <w:t> </w:t>
      </w:r>
      <w:r w:rsidR="001D5DE2" w:rsidRPr="00B45515">
        <w:rPr>
          <w:rFonts w:ascii="Palatino Linotype" w:eastAsia="Times New Roman" w:hAnsi="Palatino Linotype" w:cs="Times New Roman"/>
          <w:color w:val="000000"/>
          <w:sz w:val="18"/>
          <w:szCs w:val="18"/>
          <w:shd w:val="clear" w:color="auto" w:fill="FFFFFF"/>
          <w:lang w:eastAsia="en-GB"/>
        </w:rPr>
        <w:t>608 (2020).</w:t>
      </w:r>
    </w:p>
  </w:footnote>
  <w:footnote w:id="11">
    <w:p w14:paraId="33B655B7" w14:textId="0C69F5FE" w:rsidR="009B0C46" w:rsidRPr="00B45515" w:rsidRDefault="009B0C46" w:rsidP="006226CD">
      <w:pPr>
        <w:pStyle w:val="Heading1"/>
        <w:spacing w:before="0"/>
        <w:jc w:val="both"/>
        <w:rPr>
          <w:rFonts w:ascii="Palatino Linotype" w:hAnsi="Palatino Linotype" w:cs="Times New Roman"/>
          <w:color w:val="000000" w:themeColor="text1"/>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See generally Brendan Kennelly et al, ‘</w:t>
      </w:r>
      <w:r w:rsidRPr="00B45515">
        <w:rPr>
          <w:rStyle w:val="title-text"/>
          <w:rFonts w:ascii="Palatino Linotype" w:hAnsi="Palatino Linotype" w:cs="Times New Roman"/>
          <w:color w:val="000000" w:themeColor="text1"/>
          <w:sz w:val="18"/>
          <w:szCs w:val="18"/>
        </w:rPr>
        <w:t>The COVID-19 pandemic in Ireland: An overview of the health service and economic policy response’ (2020) 9 Health Policy and Technology 419-429.</w:t>
      </w:r>
    </w:p>
  </w:footnote>
  <w:footnote w:id="12">
    <w:p w14:paraId="75BBC2E1" w14:textId="556F160C" w:rsidR="0090592E" w:rsidRPr="00B45515" w:rsidRDefault="0090592E" w:rsidP="006226CD">
      <w:pPr>
        <w:pStyle w:val="FootnoteText"/>
        <w:jc w:val="both"/>
        <w:rPr>
          <w:rFonts w:ascii="Palatino Linotype" w:hAnsi="Palatino Linotype" w:cs="Times New Roman"/>
          <w:sz w:val="18"/>
          <w:szCs w:val="18"/>
          <w:lang w:val="en-GB"/>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w:t>
      </w:r>
      <w:r w:rsidRPr="00B45515">
        <w:rPr>
          <w:rFonts w:ascii="Palatino Linotype" w:hAnsi="Palatino Linotype" w:cs="Times New Roman"/>
          <w:sz w:val="18"/>
          <w:szCs w:val="18"/>
          <w:lang w:val="en-GB"/>
        </w:rPr>
        <w:t>While we focus on the rule of law, two other constitutional problems that have been highlighted include the rather marginal role the Oireachtas has played in feeding into the pandemic response</w:t>
      </w:r>
      <w:r w:rsidR="00E11CDC" w:rsidRPr="00B45515">
        <w:rPr>
          <w:rFonts w:ascii="Palatino Linotype" w:hAnsi="Palatino Linotype" w:cs="Times New Roman"/>
          <w:sz w:val="18"/>
          <w:szCs w:val="18"/>
          <w:lang w:val="en-GB"/>
        </w:rPr>
        <w:t>,</w:t>
      </w:r>
      <w:r w:rsidRPr="00B45515">
        <w:rPr>
          <w:rFonts w:ascii="Palatino Linotype" w:hAnsi="Palatino Linotype" w:cs="Times New Roman"/>
          <w:sz w:val="18"/>
          <w:szCs w:val="18"/>
          <w:lang w:val="en-GB"/>
        </w:rPr>
        <w:t xml:space="preserve"> and ambiguity over the influence of public health technocrats on the ultimate decisions made by Government.  </w:t>
      </w:r>
      <w:r w:rsidR="00502E7C" w:rsidRPr="00B45515">
        <w:rPr>
          <w:rFonts w:ascii="Palatino Linotype" w:hAnsi="Palatino Linotype" w:cs="Times New Roman"/>
          <w:sz w:val="18"/>
          <w:szCs w:val="18"/>
          <w:lang w:val="en-GB"/>
        </w:rPr>
        <w:t xml:space="preserve">See Doyle and Kenny (n </w:t>
      </w:r>
      <w:r w:rsidR="00502E7C" w:rsidRPr="00B45515">
        <w:rPr>
          <w:rFonts w:ascii="Palatino Linotype" w:hAnsi="Palatino Linotype" w:cs="Times New Roman"/>
          <w:sz w:val="18"/>
          <w:szCs w:val="18"/>
          <w:lang w:val="en-GB"/>
        </w:rPr>
        <w:fldChar w:fldCharType="begin"/>
      </w:r>
      <w:r w:rsidR="00502E7C" w:rsidRPr="00B45515">
        <w:rPr>
          <w:rFonts w:ascii="Palatino Linotype" w:hAnsi="Palatino Linotype" w:cs="Times New Roman"/>
          <w:sz w:val="18"/>
          <w:szCs w:val="18"/>
          <w:lang w:val="en-GB"/>
        </w:rPr>
        <w:instrText xml:space="preserve"> NOTEREF _Ref85103726 \h </w:instrText>
      </w:r>
      <w:r w:rsidR="00B45515" w:rsidRPr="00B45515">
        <w:rPr>
          <w:rFonts w:ascii="Palatino Linotype" w:hAnsi="Palatino Linotype" w:cs="Times New Roman"/>
          <w:sz w:val="18"/>
          <w:szCs w:val="18"/>
          <w:lang w:val="en-GB"/>
        </w:rPr>
        <w:instrText xml:space="preserve"> \* MERGEFORMAT </w:instrText>
      </w:r>
      <w:r w:rsidR="00502E7C" w:rsidRPr="00B45515">
        <w:rPr>
          <w:rFonts w:ascii="Palatino Linotype" w:hAnsi="Palatino Linotype" w:cs="Times New Roman"/>
          <w:sz w:val="18"/>
          <w:szCs w:val="18"/>
          <w:lang w:val="en-GB"/>
        </w:rPr>
      </w:r>
      <w:r w:rsidR="00502E7C" w:rsidRPr="00B45515">
        <w:rPr>
          <w:rFonts w:ascii="Palatino Linotype" w:hAnsi="Palatino Linotype" w:cs="Times New Roman"/>
          <w:sz w:val="18"/>
          <w:szCs w:val="18"/>
          <w:lang w:val="en-GB"/>
        </w:rPr>
        <w:fldChar w:fldCharType="separate"/>
      </w:r>
      <w:r w:rsidR="00502E7C" w:rsidRPr="00B45515">
        <w:rPr>
          <w:rFonts w:ascii="Palatino Linotype" w:hAnsi="Palatino Linotype" w:cs="Times New Roman"/>
          <w:sz w:val="18"/>
          <w:szCs w:val="18"/>
          <w:lang w:val="en-GB"/>
        </w:rPr>
        <w:t>8</w:t>
      </w:r>
      <w:r w:rsidR="00502E7C" w:rsidRPr="00B45515">
        <w:rPr>
          <w:rFonts w:ascii="Palatino Linotype" w:hAnsi="Palatino Linotype" w:cs="Times New Roman"/>
          <w:sz w:val="18"/>
          <w:szCs w:val="18"/>
          <w:lang w:val="en-GB"/>
        </w:rPr>
        <w:fldChar w:fldCharType="end"/>
      </w:r>
      <w:r w:rsidR="00502E7C" w:rsidRPr="00B45515">
        <w:rPr>
          <w:rFonts w:ascii="Palatino Linotype" w:hAnsi="Palatino Linotype" w:cs="Times New Roman"/>
          <w:sz w:val="18"/>
          <w:szCs w:val="18"/>
          <w:lang w:val="en-GB"/>
        </w:rPr>
        <w:t>).</w:t>
      </w:r>
    </w:p>
  </w:footnote>
  <w:footnote w:id="13">
    <w:p w14:paraId="797F7A99" w14:textId="34F3D725" w:rsidR="00B829B2" w:rsidRPr="00B45515" w:rsidRDefault="00B829B2" w:rsidP="006226CD">
      <w:pPr>
        <w:pStyle w:val="FootnoteText"/>
        <w:jc w:val="both"/>
        <w:rPr>
          <w:rFonts w:ascii="Palatino Linotype" w:hAnsi="Palatino Linotype" w:cs="Times New Roman"/>
          <w:sz w:val="18"/>
          <w:szCs w:val="18"/>
          <w:lang w:val="en-GB"/>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w:t>
      </w:r>
      <w:r w:rsidRPr="00B45515">
        <w:rPr>
          <w:rFonts w:ascii="Palatino Linotype" w:hAnsi="Palatino Linotype" w:cs="Times New Roman"/>
          <w:sz w:val="18"/>
          <w:szCs w:val="18"/>
          <w:lang w:val="en-GB"/>
        </w:rPr>
        <w:t xml:space="preserve">John </w:t>
      </w:r>
      <w:proofErr w:type="spellStart"/>
      <w:r w:rsidRPr="00B45515">
        <w:rPr>
          <w:rFonts w:ascii="Palatino Linotype" w:hAnsi="Palatino Linotype" w:cs="Times New Roman"/>
          <w:sz w:val="18"/>
          <w:szCs w:val="18"/>
          <w:lang w:val="en-GB"/>
        </w:rPr>
        <w:t>Tasioulas</w:t>
      </w:r>
      <w:proofErr w:type="spellEnd"/>
      <w:r w:rsidRPr="00B45515">
        <w:rPr>
          <w:rFonts w:ascii="Palatino Linotype" w:hAnsi="Palatino Linotype" w:cs="Times New Roman"/>
          <w:sz w:val="18"/>
          <w:szCs w:val="18"/>
          <w:lang w:val="en-GB"/>
        </w:rPr>
        <w:t xml:space="preserve">, ‘The Rule of Law’ (ed.) John </w:t>
      </w:r>
      <w:proofErr w:type="spellStart"/>
      <w:r w:rsidRPr="00B45515">
        <w:rPr>
          <w:rFonts w:ascii="Palatino Linotype" w:hAnsi="Palatino Linotype" w:cs="Times New Roman"/>
          <w:sz w:val="18"/>
          <w:szCs w:val="18"/>
          <w:lang w:val="en-GB"/>
        </w:rPr>
        <w:t>Tasioulas</w:t>
      </w:r>
      <w:proofErr w:type="spellEnd"/>
      <w:r w:rsidRPr="00B45515">
        <w:rPr>
          <w:rFonts w:ascii="Palatino Linotype" w:hAnsi="Palatino Linotype" w:cs="Times New Roman"/>
          <w:sz w:val="18"/>
          <w:szCs w:val="18"/>
          <w:lang w:val="en-GB"/>
        </w:rPr>
        <w:t xml:space="preserve">, </w:t>
      </w:r>
      <w:r w:rsidRPr="00B45515">
        <w:rPr>
          <w:rFonts w:ascii="Palatino Linotype" w:hAnsi="Palatino Linotype" w:cs="Times New Roman"/>
          <w:i/>
          <w:iCs/>
          <w:sz w:val="18"/>
          <w:szCs w:val="18"/>
          <w:lang w:val="en-GB"/>
        </w:rPr>
        <w:t xml:space="preserve">The Cambridge Companion to The Philosophy of Law </w:t>
      </w:r>
      <w:r w:rsidRPr="00B45515">
        <w:rPr>
          <w:rFonts w:ascii="Palatino Linotype" w:hAnsi="Palatino Linotype" w:cs="Times New Roman"/>
          <w:sz w:val="18"/>
          <w:szCs w:val="18"/>
          <w:lang w:val="en-GB"/>
        </w:rPr>
        <w:t>(Cambridge University Press 2020) 117.</w:t>
      </w:r>
    </w:p>
  </w:footnote>
  <w:footnote w:id="14">
    <w:p w14:paraId="12ED85CF" w14:textId="4DFC7C46" w:rsidR="007C2D8F" w:rsidRPr="00B45515" w:rsidRDefault="007C2D8F" w:rsidP="006226CD">
      <w:pPr>
        <w:pStyle w:val="FootnoteText"/>
        <w:jc w:val="both"/>
        <w:rPr>
          <w:rFonts w:ascii="Palatino Linotype" w:hAnsi="Palatino Linotype" w:cs="Times New Roman"/>
          <w:sz w:val="18"/>
          <w:szCs w:val="18"/>
          <w:lang w:val="en-GB"/>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w:t>
      </w:r>
      <w:r w:rsidRPr="00B45515">
        <w:rPr>
          <w:rFonts w:ascii="Palatino Linotype" w:hAnsi="Palatino Linotype" w:cs="Times New Roman"/>
          <w:sz w:val="18"/>
          <w:szCs w:val="18"/>
          <w:lang w:val="en-GB"/>
        </w:rPr>
        <w:t>Id. 117-118.</w:t>
      </w:r>
    </w:p>
  </w:footnote>
  <w:footnote w:id="15">
    <w:p w14:paraId="17A34124" w14:textId="4FAD2C35" w:rsidR="00406EA9" w:rsidRPr="00B45515" w:rsidRDefault="00406EA9" w:rsidP="006226CD">
      <w:pPr>
        <w:pStyle w:val="FootnoteText"/>
        <w:jc w:val="both"/>
        <w:rPr>
          <w:rFonts w:ascii="Palatino Linotype" w:hAnsi="Palatino Linotype" w:cs="Times New Roman"/>
          <w:sz w:val="18"/>
          <w:szCs w:val="18"/>
          <w:lang w:val="en-GB"/>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w:t>
      </w:r>
      <w:r w:rsidRPr="00B45515">
        <w:rPr>
          <w:rFonts w:ascii="Palatino Linotype" w:hAnsi="Palatino Linotype" w:cs="Times New Roman"/>
          <w:sz w:val="18"/>
          <w:szCs w:val="18"/>
          <w:lang w:val="en-GB"/>
        </w:rPr>
        <w:t>Id. 125.</w:t>
      </w:r>
    </w:p>
  </w:footnote>
  <w:footnote w:id="16">
    <w:p w14:paraId="1254CE09" w14:textId="4E2A45D8" w:rsidR="008D5DD6" w:rsidRPr="00B45515" w:rsidRDefault="008D5DD6" w:rsidP="006226CD">
      <w:pPr>
        <w:pStyle w:val="FootnoteText"/>
        <w:jc w:val="both"/>
        <w:rPr>
          <w:rFonts w:ascii="Palatino Linotype" w:hAnsi="Palatino Linotype" w:cs="Times New Roman"/>
          <w:sz w:val="18"/>
          <w:szCs w:val="18"/>
          <w:lang w:val="en-GB"/>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w:t>
      </w:r>
      <w:r w:rsidR="00FC2DEE" w:rsidRPr="00B45515">
        <w:rPr>
          <w:rFonts w:ascii="Palatino Linotype" w:hAnsi="Palatino Linotype" w:cs="Times New Roman"/>
          <w:sz w:val="18"/>
          <w:szCs w:val="18"/>
        </w:rPr>
        <w:t xml:space="preserve">See </w:t>
      </w:r>
      <w:r w:rsidR="00B829B2" w:rsidRPr="00B45515">
        <w:rPr>
          <w:rFonts w:ascii="Palatino Linotype" w:hAnsi="Palatino Linotype" w:cs="Times New Roman"/>
          <w:sz w:val="18"/>
          <w:szCs w:val="18"/>
        </w:rPr>
        <w:t xml:space="preserve">Lon </w:t>
      </w:r>
      <w:r w:rsidR="00B829B2" w:rsidRPr="00B45515">
        <w:rPr>
          <w:rFonts w:ascii="Palatino Linotype" w:hAnsi="Palatino Linotype" w:cs="Times New Roman"/>
          <w:sz w:val="18"/>
          <w:szCs w:val="18"/>
          <w:lang w:val="en-GB"/>
        </w:rPr>
        <w:t xml:space="preserve">Fuller, </w:t>
      </w:r>
      <w:r w:rsidR="00B829B2" w:rsidRPr="00B45515">
        <w:rPr>
          <w:rFonts w:ascii="Palatino Linotype" w:hAnsi="Palatino Linotype" w:cs="Times New Roman"/>
          <w:i/>
          <w:iCs/>
          <w:sz w:val="18"/>
          <w:szCs w:val="18"/>
          <w:lang w:val="en-GB"/>
        </w:rPr>
        <w:t>The Morality of Law</w:t>
      </w:r>
      <w:r w:rsidR="00B829B2" w:rsidRPr="00B45515">
        <w:rPr>
          <w:rFonts w:ascii="Palatino Linotype" w:hAnsi="Palatino Linotype" w:cs="Times New Roman"/>
          <w:sz w:val="18"/>
          <w:szCs w:val="18"/>
          <w:lang w:val="en-GB"/>
        </w:rPr>
        <w:t xml:space="preserve"> (</w:t>
      </w:r>
      <w:proofErr w:type="spellStart"/>
      <w:r w:rsidR="00B829B2" w:rsidRPr="00B45515">
        <w:rPr>
          <w:rFonts w:ascii="Palatino Linotype" w:hAnsi="Palatino Linotype" w:cs="Times New Roman"/>
          <w:sz w:val="18"/>
          <w:szCs w:val="18"/>
          <w:lang w:val="en-GB"/>
        </w:rPr>
        <w:t>revd</w:t>
      </w:r>
      <w:proofErr w:type="spellEnd"/>
      <w:r w:rsidR="00B829B2" w:rsidRPr="00B45515">
        <w:rPr>
          <w:rFonts w:ascii="Palatino Linotype" w:hAnsi="Palatino Linotype" w:cs="Times New Roman"/>
          <w:sz w:val="18"/>
          <w:szCs w:val="18"/>
          <w:lang w:val="en-GB"/>
        </w:rPr>
        <w:t xml:space="preserve"> ed. Yale University Press 1969).</w:t>
      </w:r>
    </w:p>
  </w:footnote>
  <w:footnote w:id="17">
    <w:p w14:paraId="5B5353F0" w14:textId="64793691" w:rsidR="00A80C5D" w:rsidRPr="00B45515" w:rsidRDefault="00A80C5D" w:rsidP="006226CD">
      <w:pPr>
        <w:pStyle w:val="FootnoteText"/>
        <w:jc w:val="both"/>
        <w:rPr>
          <w:rFonts w:ascii="Palatino Linotype" w:hAnsi="Palatino Linotype" w:cs="Times New Roman"/>
          <w:sz w:val="18"/>
          <w:szCs w:val="18"/>
          <w:lang w:val="en-GB"/>
        </w:rPr>
      </w:pPr>
      <w:r w:rsidRPr="00B45515">
        <w:rPr>
          <w:rStyle w:val="FootnoteReference"/>
          <w:rFonts w:ascii="Palatino Linotype" w:hAnsi="Palatino Linotype" w:cs="Times New Roman"/>
          <w:sz w:val="18"/>
          <w:szCs w:val="18"/>
        </w:rPr>
        <w:footnoteRef/>
      </w:r>
      <w:r w:rsidR="00E11CDC" w:rsidRPr="00B45515">
        <w:rPr>
          <w:rFonts w:ascii="Palatino Linotype" w:hAnsi="Palatino Linotype" w:cs="Times New Roman"/>
          <w:sz w:val="18"/>
          <w:szCs w:val="18"/>
        </w:rPr>
        <w:t>Id.,</w:t>
      </w:r>
      <w:r w:rsidRPr="00B45515">
        <w:rPr>
          <w:rFonts w:ascii="Palatino Linotype" w:hAnsi="Palatino Linotype" w:cs="Times New Roman"/>
          <w:sz w:val="18"/>
          <w:szCs w:val="18"/>
          <w:lang w:val="en-GB"/>
        </w:rPr>
        <w:t xml:space="preserve"> 38-39;</w:t>
      </w:r>
      <w:r w:rsidR="008D5DD6" w:rsidRPr="00B45515">
        <w:rPr>
          <w:rFonts w:ascii="Palatino Linotype" w:hAnsi="Palatino Linotype" w:cs="Times New Roman"/>
          <w:sz w:val="18"/>
          <w:szCs w:val="18"/>
          <w:lang w:val="en-GB"/>
        </w:rPr>
        <w:t xml:space="preserve"> Adrian Vermeule and Cass Sunstein, </w:t>
      </w:r>
      <w:r w:rsidR="008D5DD6" w:rsidRPr="00B45515">
        <w:rPr>
          <w:rFonts w:ascii="Palatino Linotype" w:hAnsi="Palatino Linotype" w:cs="Times New Roman"/>
          <w:i/>
          <w:iCs/>
          <w:sz w:val="18"/>
          <w:szCs w:val="18"/>
          <w:lang w:val="en-GB"/>
        </w:rPr>
        <w:t xml:space="preserve">Law and Leviathan: Redeeming the Administrative State </w:t>
      </w:r>
      <w:r w:rsidR="008D5DD6" w:rsidRPr="00B45515">
        <w:rPr>
          <w:rFonts w:ascii="Palatino Linotype" w:hAnsi="Palatino Linotype" w:cs="Times New Roman"/>
          <w:sz w:val="18"/>
          <w:szCs w:val="18"/>
          <w:lang w:val="en-GB"/>
        </w:rPr>
        <w:t xml:space="preserve">(Harvard University Press 2020); Grégoire Webber, Paul </w:t>
      </w:r>
      <w:proofErr w:type="spellStart"/>
      <w:r w:rsidR="008D5DD6" w:rsidRPr="00B45515">
        <w:rPr>
          <w:rFonts w:ascii="Palatino Linotype" w:hAnsi="Palatino Linotype" w:cs="Times New Roman"/>
          <w:sz w:val="18"/>
          <w:szCs w:val="18"/>
          <w:lang w:val="en-GB"/>
        </w:rPr>
        <w:t>Yowell</w:t>
      </w:r>
      <w:proofErr w:type="spellEnd"/>
      <w:r w:rsidR="008D5DD6" w:rsidRPr="00B45515">
        <w:rPr>
          <w:rFonts w:ascii="Palatino Linotype" w:hAnsi="Palatino Linotype" w:cs="Times New Roman"/>
          <w:sz w:val="18"/>
          <w:szCs w:val="18"/>
          <w:lang w:val="en-GB"/>
        </w:rPr>
        <w:t xml:space="preserve">, Richard Ekins, Maris </w:t>
      </w:r>
      <w:proofErr w:type="spellStart"/>
      <w:r w:rsidR="008D5DD6" w:rsidRPr="00B45515">
        <w:rPr>
          <w:rFonts w:ascii="Palatino Linotype" w:hAnsi="Palatino Linotype" w:cs="Times New Roman"/>
          <w:sz w:val="18"/>
          <w:szCs w:val="18"/>
          <w:lang w:val="en-GB"/>
        </w:rPr>
        <w:t>Köpcke</w:t>
      </w:r>
      <w:proofErr w:type="spellEnd"/>
      <w:r w:rsidR="008D5DD6" w:rsidRPr="00B45515">
        <w:rPr>
          <w:rFonts w:ascii="Palatino Linotype" w:hAnsi="Palatino Linotype" w:cs="Times New Roman"/>
          <w:sz w:val="18"/>
          <w:szCs w:val="18"/>
          <w:lang w:val="en-GB"/>
        </w:rPr>
        <w:t xml:space="preserve">, Bradley Miller and Francisco Urbina, </w:t>
      </w:r>
      <w:r w:rsidR="008D5DD6" w:rsidRPr="00B45515">
        <w:rPr>
          <w:rFonts w:ascii="Palatino Linotype" w:hAnsi="Palatino Linotype" w:cs="Times New Roman"/>
          <w:i/>
          <w:iCs/>
          <w:sz w:val="18"/>
          <w:szCs w:val="18"/>
          <w:lang w:val="en-GB"/>
        </w:rPr>
        <w:t xml:space="preserve">Legislated Rights: Securing Human Rights Through Legislation </w:t>
      </w:r>
      <w:r w:rsidR="008D5DD6" w:rsidRPr="00B45515">
        <w:rPr>
          <w:rFonts w:ascii="Palatino Linotype" w:hAnsi="Palatino Linotype" w:cs="Times New Roman"/>
          <w:sz w:val="18"/>
          <w:szCs w:val="18"/>
          <w:lang w:val="en-GB"/>
        </w:rPr>
        <w:t>(Cambridge University Press 2019) 166.</w:t>
      </w:r>
    </w:p>
  </w:footnote>
  <w:footnote w:id="18">
    <w:p w14:paraId="1C5DB734" w14:textId="48407461" w:rsidR="006226CD" w:rsidRPr="00B45515" w:rsidRDefault="006226CD" w:rsidP="006226CD">
      <w:pPr>
        <w:pStyle w:val="FootnoteText"/>
        <w:rPr>
          <w:rFonts w:ascii="Palatino Linotype" w:hAnsi="Palatino Linotype"/>
          <w:sz w:val="18"/>
          <w:szCs w:val="18"/>
          <w:lang w:val="en-GB"/>
        </w:rPr>
      </w:pPr>
      <w:r w:rsidRPr="00B45515">
        <w:rPr>
          <w:rStyle w:val="FootnoteReference"/>
          <w:rFonts w:ascii="Palatino Linotype" w:hAnsi="Palatino Linotype"/>
          <w:sz w:val="18"/>
          <w:szCs w:val="18"/>
        </w:rPr>
        <w:footnoteRef/>
      </w:r>
      <w:r w:rsidRPr="00B45515">
        <w:rPr>
          <w:rFonts w:ascii="Palatino Linotype" w:hAnsi="Palatino Linotype"/>
          <w:sz w:val="18"/>
          <w:szCs w:val="18"/>
        </w:rPr>
        <w:t xml:space="preserve"> </w:t>
      </w:r>
      <w:r w:rsidRPr="00B45515">
        <w:rPr>
          <w:rFonts w:ascii="Palatino Linotype" w:hAnsi="Palatino Linotype"/>
          <w:sz w:val="18"/>
          <w:szCs w:val="18"/>
          <w:lang w:val="en-GB"/>
        </w:rPr>
        <w:t>This is paraphrased from the Constitution of the Commonwealth of Massachusetts 1780.</w:t>
      </w:r>
    </w:p>
  </w:footnote>
  <w:footnote w:id="19">
    <w:p w14:paraId="3BCA8E3A" w14:textId="77777777" w:rsidR="00A80C5D" w:rsidRPr="00B45515" w:rsidRDefault="00A80C5D" w:rsidP="006226CD">
      <w:pPr>
        <w:jc w:val="both"/>
        <w:rPr>
          <w:rFonts w:ascii="Palatino Linotype" w:hAnsi="Palatino Linotype" w:cs="Times New Roman"/>
          <w:color w:val="000000" w:themeColor="text1"/>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TRS Allan, </w:t>
      </w:r>
      <w:r w:rsidRPr="00B45515">
        <w:rPr>
          <w:rFonts w:ascii="Palatino Linotype" w:hAnsi="Palatino Linotype" w:cs="Times New Roman"/>
          <w:i/>
          <w:iCs/>
          <w:color w:val="000000" w:themeColor="text1"/>
          <w:sz w:val="18"/>
          <w:szCs w:val="18"/>
          <w:shd w:val="clear" w:color="auto" w:fill="FFFFFF"/>
        </w:rPr>
        <w:t>The Sovereignty of Law: Freedom, Constitution, and Common Law</w:t>
      </w:r>
      <w:r w:rsidRPr="00B45515">
        <w:rPr>
          <w:rFonts w:ascii="Palatino Linotype" w:hAnsi="Palatino Linotype" w:cs="Times New Roman"/>
          <w:color w:val="000000" w:themeColor="text1"/>
          <w:sz w:val="18"/>
          <w:szCs w:val="18"/>
          <w:shd w:val="clear" w:color="auto" w:fill="FFFFFF"/>
        </w:rPr>
        <w:t xml:space="preserve"> (Oxford University Press, 2013) </w:t>
      </w:r>
      <w:r w:rsidRPr="00B45515">
        <w:rPr>
          <w:rFonts w:ascii="Palatino Linotype" w:hAnsi="Palatino Linotype" w:cs="Times New Roman"/>
          <w:color w:val="000000" w:themeColor="text1"/>
          <w:sz w:val="18"/>
          <w:szCs w:val="18"/>
        </w:rPr>
        <w:t>110.</w:t>
      </w:r>
    </w:p>
  </w:footnote>
  <w:footnote w:id="20">
    <w:p w14:paraId="64BF2B8C" w14:textId="1FF245A6" w:rsidR="00A80C5D" w:rsidRPr="00B45515" w:rsidRDefault="00A80C5D" w:rsidP="006226CD">
      <w:pPr>
        <w:pStyle w:val="FootnoteText"/>
        <w:jc w:val="both"/>
        <w:rPr>
          <w:rFonts w:ascii="Palatino Linotype" w:hAnsi="Palatino Linotype" w:cs="Times New Roman"/>
          <w:color w:val="000000" w:themeColor="text1"/>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Fuller, </w:t>
      </w:r>
      <w:r w:rsidRPr="00B45515">
        <w:rPr>
          <w:rFonts w:ascii="Palatino Linotype" w:hAnsi="Palatino Linotype" w:cs="Times New Roman"/>
          <w:i/>
          <w:iCs/>
          <w:color w:val="000000" w:themeColor="text1"/>
          <w:sz w:val="18"/>
          <w:szCs w:val="18"/>
        </w:rPr>
        <w:t>Morality of Law</w:t>
      </w:r>
      <w:r w:rsidR="0051534B" w:rsidRPr="00B45515">
        <w:rPr>
          <w:rFonts w:ascii="Palatino Linotype" w:hAnsi="Palatino Linotype" w:cs="Times New Roman"/>
          <w:i/>
          <w:iCs/>
          <w:color w:val="000000" w:themeColor="text1"/>
          <w:sz w:val="18"/>
          <w:szCs w:val="18"/>
        </w:rPr>
        <w:t xml:space="preserve">, </w:t>
      </w:r>
      <w:r w:rsidR="00EE78F3">
        <w:rPr>
          <w:rFonts w:ascii="Palatino Linotype" w:hAnsi="Palatino Linotype" w:cs="Times New Roman"/>
          <w:color w:val="000000" w:themeColor="text1"/>
          <w:sz w:val="18"/>
          <w:szCs w:val="18"/>
        </w:rPr>
        <w:t>(n</w:t>
      </w:r>
      <w:r w:rsidR="00EE78F3">
        <w:rPr>
          <w:rFonts w:ascii="Palatino Linotype" w:hAnsi="Palatino Linotype" w:cs="Times New Roman"/>
          <w:color w:val="000000" w:themeColor="text1"/>
          <w:sz w:val="18"/>
          <w:szCs w:val="18"/>
        </w:rPr>
        <w:fldChar w:fldCharType="begin"/>
      </w:r>
      <w:r w:rsidR="00EE78F3">
        <w:rPr>
          <w:rFonts w:ascii="Palatino Linotype" w:hAnsi="Palatino Linotype" w:cs="Times New Roman"/>
          <w:color w:val="000000" w:themeColor="text1"/>
          <w:sz w:val="18"/>
          <w:szCs w:val="18"/>
        </w:rPr>
        <w:instrText xml:space="preserve"> NOTEREF _Ref85379744 \h </w:instrText>
      </w:r>
      <w:r w:rsidR="00EE78F3">
        <w:rPr>
          <w:rFonts w:ascii="Palatino Linotype" w:hAnsi="Palatino Linotype" w:cs="Times New Roman"/>
          <w:color w:val="000000" w:themeColor="text1"/>
          <w:sz w:val="18"/>
          <w:szCs w:val="18"/>
        </w:rPr>
      </w:r>
      <w:r w:rsidR="00EE78F3">
        <w:rPr>
          <w:rFonts w:ascii="Palatino Linotype" w:hAnsi="Palatino Linotype" w:cs="Times New Roman"/>
          <w:color w:val="000000" w:themeColor="text1"/>
          <w:sz w:val="18"/>
          <w:szCs w:val="18"/>
        </w:rPr>
        <w:fldChar w:fldCharType="separate"/>
      </w:r>
      <w:r w:rsidR="00EE78F3">
        <w:rPr>
          <w:rFonts w:ascii="Palatino Linotype" w:hAnsi="Palatino Linotype" w:cs="Times New Roman"/>
          <w:color w:val="000000" w:themeColor="text1"/>
          <w:sz w:val="18"/>
          <w:szCs w:val="18"/>
        </w:rPr>
        <w:t>16</w:t>
      </w:r>
      <w:r w:rsidR="00EE78F3">
        <w:rPr>
          <w:rFonts w:ascii="Palatino Linotype" w:hAnsi="Palatino Linotype" w:cs="Times New Roman"/>
          <w:color w:val="000000" w:themeColor="text1"/>
          <w:sz w:val="18"/>
          <w:szCs w:val="18"/>
        </w:rPr>
        <w:fldChar w:fldCharType="end"/>
      </w:r>
      <w:r w:rsidR="00EE78F3">
        <w:rPr>
          <w:rFonts w:ascii="Palatino Linotype" w:hAnsi="Palatino Linotype" w:cs="Times New Roman"/>
          <w:color w:val="000000" w:themeColor="text1"/>
          <w:sz w:val="18"/>
          <w:szCs w:val="18"/>
        </w:rPr>
        <w:t>)</w:t>
      </w:r>
      <w:r w:rsidR="0051534B" w:rsidRPr="00B45515">
        <w:rPr>
          <w:rFonts w:ascii="Palatino Linotype" w:hAnsi="Palatino Linotype" w:cs="Times New Roman"/>
          <w:color w:val="000000" w:themeColor="text1"/>
          <w:sz w:val="18"/>
          <w:szCs w:val="18"/>
        </w:rPr>
        <w:t xml:space="preserve"> </w:t>
      </w:r>
      <w:r w:rsidRPr="00B45515">
        <w:rPr>
          <w:rFonts w:ascii="Palatino Linotype" w:hAnsi="Palatino Linotype" w:cs="Times New Roman"/>
          <w:color w:val="000000" w:themeColor="text1"/>
          <w:sz w:val="18"/>
          <w:szCs w:val="18"/>
        </w:rPr>
        <w:t>162.</w:t>
      </w:r>
    </w:p>
  </w:footnote>
  <w:footnote w:id="21">
    <w:p w14:paraId="14F689F4" w14:textId="12F9AC73" w:rsidR="00A80C5D" w:rsidRPr="00B45515" w:rsidRDefault="00A80C5D" w:rsidP="006226CD">
      <w:pPr>
        <w:pStyle w:val="FootnoteText"/>
        <w:jc w:val="both"/>
        <w:rPr>
          <w:rFonts w:ascii="Palatino Linotype" w:hAnsi="Palatino Linotype" w:cs="Times New Roman"/>
          <w:sz w:val="18"/>
          <w:szCs w:val="18"/>
          <w:lang w:val="en-GB"/>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Adrian Vermeule</w:t>
      </w:r>
      <w:r w:rsidR="00F30C5A" w:rsidRPr="00B45515">
        <w:rPr>
          <w:rFonts w:ascii="Palatino Linotype" w:hAnsi="Palatino Linotype" w:cs="Times New Roman"/>
          <w:sz w:val="18"/>
          <w:szCs w:val="18"/>
        </w:rPr>
        <w:t xml:space="preserve"> and Cass Sunstein, </w:t>
      </w:r>
      <w:r w:rsidR="00F30C5A" w:rsidRPr="00B45515">
        <w:rPr>
          <w:rFonts w:ascii="Palatino Linotype" w:hAnsi="Palatino Linotype" w:cs="Times New Roman"/>
          <w:i/>
          <w:iCs/>
          <w:sz w:val="18"/>
          <w:szCs w:val="18"/>
        </w:rPr>
        <w:t xml:space="preserve">Law and Leviathan </w:t>
      </w:r>
      <w:r w:rsidR="00F30C5A" w:rsidRPr="00B45515">
        <w:rPr>
          <w:rFonts w:ascii="Palatino Linotype" w:hAnsi="Palatino Linotype" w:cs="Times New Roman"/>
          <w:sz w:val="18"/>
          <w:szCs w:val="18"/>
        </w:rPr>
        <w:t>(Harvard University Press 2020) 88-89.</w:t>
      </w:r>
    </w:p>
  </w:footnote>
  <w:footnote w:id="22">
    <w:p w14:paraId="5B551112" w14:textId="77777777" w:rsidR="00A80C5D" w:rsidRPr="00B45515" w:rsidRDefault="00A80C5D" w:rsidP="006226CD">
      <w:pPr>
        <w:autoSpaceDE w:val="0"/>
        <w:autoSpaceDN w:val="0"/>
        <w:adjustRightInd w:val="0"/>
        <w:jc w:val="both"/>
        <w:rPr>
          <w:rFonts w:ascii="Palatino Linotype" w:hAnsi="Palatino Linotype" w:cs="Times New Roman"/>
          <w:color w:val="000000" w:themeColor="text1"/>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Oran Doyle, ‘Administrative Action, the Rule of Law and Unconstitutional Vagueness’ in Laura Cahillane, James Gallen and Tom Hickey (eds.), </w:t>
      </w:r>
      <w:r w:rsidRPr="00B45515">
        <w:rPr>
          <w:rFonts w:ascii="Palatino Linotype" w:hAnsi="Palatino Linotype" w:cs="Times New Roman"/>
          <w:i/>
          <w:iCs/>
          <w:color w:val="000000" w:themeColor="text1"/>
          <w:sz w:val="18"/>
          <w:szCs w:val="18"/>
        </w:rPr>
        <w:t>Judges, Politics and the Irish Constitution</w:t>
      </w:r>
      <w:r w:rsidRPr="00B45515">
        <w:rPr>
          <w:rFonts w:ascii="Palatino Linotype" w:hAnsi="Palatino Linotype" w:cs="Times New Roman"/>
          <w:color w:val="000000" w:themeColor="text1"/>
          <w:sz w:val="18"/>
          <w:szCs w:val="18"/>
        </w:rPr>
        <w:t xml:space="preserve"> (MUP, 2016)</w:t>
      </w:r>
    </w:p>
  </w:footnote>
  <w:footnote w:id="23">
    <w:p w14:paraId="3CF86EF3" w14:textId="43DAA115" w:rsidR="00321FB8" w:rsidRPr="00B45515" w:rsidRDefault="00321FB8" w:rsidP="006226CD">
      <w:pPr>
        <w:pStyle w:val="FootnoteText"/>
        <w:jc w:val="both"/>
        <w:rPr>
          <w:rFonts w:ascii="Palatino Linotype" w:hAnsi="Palatino Linotype" w:cs="Times New Roman"/>
          <w:color w:val="000000" w:themeColor="text1"/>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w:t>
      </w:r>
      <w:r w:rsidR="00E02359" w:rsidRPr="00B45515">
        <w:rPr>
          <w:rFonts w:ascii="Palatino Linotype" w:hAnsi="Palatino Linotype" w:cs="Times New Roman"/>
          <w:color w:val="000000" w:themeColor="text1"/>
          <w:sz w:val="18"/>
          <w:szCs w:val="18"/>
        </w:rPr>
        <w:t xml:space="preserve">Kenny, </w:t>
      </w:r>
      <w:r w:rsidRPr="00B45515">
        <w:rPr>
          <w:rFonts w:ascii="Palatino Linotype" w:hAnsi="Palatino Linotype" w:cs="Times New Roman"/>
          <w:color w:val="000000" w:themeColor="text1"/>
          <w:sz w:val="18"/>
          <w:szCs w:val="18"/>
        </w:rPr>
        <w:t>Hogan</w:t>
      </w:r>
      <w:r w:rsidR="00E02359" w:rsidRPr="00B45515">
        <w:rPr>
          <w:rFonts w:ascii="Palatino Linotype" w:hAnsi="Palatino Linotype" w:cs="Times New Roman"/>
          <w:color w:val="000000" w:themeColor="text1"/>
          <w:sz w:val="18"/>
          <w:szCs w:val="18"/>
        </w:rPr>
        <w:t xml:space="preserve">, Walsh and Whyte, </w:t>
      </w:r>
      <w:r w:rsidR="00E02359" w:rsidRPr="00B45515">
        <w:rPr>
          <w:rFonts w:ascii="Palatino Linotype" w:hAnsi="Palatino Linotype" w:cs="Times New Roman"/>
          <w:i/>
          <w:iCs/>
          <w:color w:val="000000" w:themeColor="text1"/>
          <w:sz w:val="18"/>
          <w:szCs w:val="18"/>
        </w:rPr>
        <w:t xml:space="preserve">Kelly: </w:t>
      </w:r>
      <w:proofErr w:type="gramStart"/>
      <w:r w:rsidR="00E02359" w:rsidRPr="00B45515">
        <w:rPr>
          <w:rFonts w:ascii="Palatino Linotype" w:hAnsi="Palatino Linotype" w:cs="Times New Roman"/>
          <w:i/>
          <w:iCs/>
          <w:color w:val="000000" w:themeColor="text1"/>
          <w:sz w:val="18"/>
          <w:szCs w:val="18"/>
        </w:rPr>
        <w:t>the</w:t>
      </w:r>
      <w:proofErr w:type="gramEnd"/>
      <w:r w:rsidR="00E02359" w:rsidRPr="00B45515">
        <w:rPr>
          <w:rFonts w:ascii="Palatino Linotype" w:hAnsi="Palatino Linotype" w:cs="Times New Roman"/>
          <w:i/>
          <w:iCs/>
          <w:color w:val="000000" w:themeColor="text1"/>
          <w:sz w:val="18"/>
          <w:szCs w:val="18"/>
        </w:rPr>
        <w:t xml:space="preserve"> Irish Constitution </w:t>
      </w:r>
      <w:r w:rsidR="00E02359" w:rsidRPr="00B45515">
        <w:rPr>
          <w:rFonts w:ascii="Palatino Linotype" w:hAnsi="Palatino Linotype" w:cs="Times New Roman"/>
          <w:color w:val="000000" w:themeColor="text1"/>
          <w:sz w:val="18"/>
          <w:szCs w:val="18"/>
        </w:rPr>
        <w:t>(5</w:t>
      </w:r>
      <w:r w:rsidR="00E02359" w:rsidRPr="00B45515">
        <w:rPr>
          <w:rFonts w:ascii="Palatino Linotype" w:hAnsi="Palatino Linotype" w:cs="Times New Roman"/>
          <w:color w:val="000000" w:themeColor="text1"/>
          <w:sz w:val="18"/>
          <w:szCs w:val="18"/>
          <w:vertAlign w:val="superscript"/>
        </w:rPr>
        <w:t>th</w:t>
      </w:r>
      <w:r w:rsidR="00E02359" w:rsidRPr="00B45515">
        <w:rPr>
          <w:rFonts w:ascii="Palatino Linotype" w:hAnsi="Palatino Linotype" w:cs="Times New Roman"/>
          <w:color w:val="000000" w:themeColor="text1"/>
          <w:sz w:val="18"/>
          <w:szCs w:val="18"/>
        </w:rPr>
        <w:t xml:space="preserve"> ed. Bloomsbury 2018)</w:t>
      </w:r>
      <w:r w:rsidRPr="00B45515">
        <w:rPr>
          <w:rFonts w:ascii="Palatino Linotype" w:hAnsi="Palatino Linotype" w:cs="Times New Roman"/>
          <w:color w:val="000000" w:themeColor="text1"/>
          <w:sz w:val="18"/>
          <w:szCs w:val="18"/>
        </w:rPr>
        <w:t xml:space="preserve"> 1337.</w:t>
      </w:r>
    </w:p>
  </w:footnote>
  <w:footnote w:id="24">
    <w:p w14:paraId="50EA3E18" w14:textId="60996851" w:rsidR="00B45515" w:rsidRPr="00B45515" w:rsidRDefault="00B45515">
      <w:pPr>
        <w:pStyle w:val="FootnoteText"/>
        <w:rPr>
          <w:rFonts w:ascii="Palatino Linotype" w:hAnsi="Palatino Linotype"/>
          <w:sz w:val="18"/>
          <w:szCs w:val="18"/>
          <w:lang w:val="en-GB"/>
        </w:rPr>
      </w:pPr>
      <w:r w:rsidRPr="00B45515">
        <w:rPr>
          <w:rStyle w:val="FootnoteReference"/>
          <w:rFonts w:ascii="Palatino Linotype" w:hAnsi="Palatino Linotype"/>
          <w:sz w:val="18"/>
          <w:szCs w:val="18"/>
        </w:rPr>
        <w:footnoteRef/>
      </w:r>
      <w:r w:rsidRPr="00B45515">
        <w:rPr>
          <w:rFonts w:ascii="Palatino Linotype" w:hAnsi="Palatino Linotype"/>
          <w:sz w:val="18"/>
          <w:szCs w:val="18"/>
        </w:rPr>
        <w:t xml:space="preserve"> </w:t>
      </w:r>
      <w:r w:rsidRPr="00B45515">
        <w:rPr>
          <w:rFonts w:ascii="Palatino Linotype" w:hAnsi="Palatino Linotype"/>
          <w:sz w:val="18"/>
          <w:szCs w:val="18"/>
          <w:lang w:val="en-GB"/>
        </w:rPr>
        <w:t>We have made this point in several other fora</w:t>
      </w:r>
      <w:r>
        <w:rPr>
          <w:rFonts w:ascii="Palatino Linotype" w:hAnsi="Palatino Linotype"/>
          <w:sz w:val="18"/>
          <w:szCs w:val="18"/>
          <w:lang w:val="en-GB"/>
        </w:rPr>
        <w:t xml:space="preserve"> at various points throughout the pandemic</w:t>
      </w:r>
      <w:r w:rsidRPr="00B45515">
        <w:rPr>
          <w:rFonts w:ascii="Palatino Linotype" w:hAnsi="Palatino Linotype"/>
          <w:sz w:val="18"/>
          <w:szCs w:val="18"/>
          <w:lang w:val="en-GB"/>
        </w:rPr>
        <w:t xml:space="preserve">; see Doyle and Kenny (n </w:t>
      </w:r>
      <w:r w:rsidRPr="00B45515">
        <w:rPr>
          <w:rFonts w:ascii="Palatino Linotype" w:hAnsi="Palatino Linotype"/>
          <w:sz w:val="18"/>
          <w:szCs w:val="18"/>
          <w:lang w:val="en-GB"/>
        </w:rPr>
        <w:fldChar w:fldCharType="begin"/>
      </w:r>
      <w:r w:rsidRPr="00B45515">
        <w:rPr>
          <w:rFonts w:ascii="Palatino Linotype" w:hAnsi="Palatino Linotype"/>
          <w:sz w:val="18"/>
          <w:szCs w:val="18"/>
          <w:lang w:val="en-GB"/>
        </w:rPr>
        <w:instrText xml:space="preserve"> NOTEREF _Ref85103726 \h  \* MERGEFORMAT </w:instrText>
      </w:r>
      <w:r w:rsidRPr="00B45515">
        <w:rPr>
          <w:rFonts w:ascii="Palatino Linotype" w:hAnsi="Palatino Linotype"/>
          <w:sz w:val="18"/>
          <w:szCs w:val="18"/>
          <w:lang w:val="en-GB"/>
        </w:rPr>
      </w:r>
      <w:r w:rsidRPr="00B45515">
        <w:rPr>
          <w:rFonts w:ascii="Palatino Linotype" w:hAnsi="Palatino Linotype"/>
          <w:sz w:val="18"/>
          <w:szCs w:val="18"/>
          <w:lang w:val="en-GB"/>
        </w:rPr>
        <w:fldChar w:fldCharType="separate"/>
      </w:r>
      <w:r w:rsidRPr="00B45515">
        <w:rPr>
          <w:rFonts w:ascii="Palatino Linotype" w:hAnsi="Palatino Linotype"/>
          <w:sz w:val="18"/>
          <w:szCs w:val="18"/>
          <w:lang w:val="en-GB"/>
        </w:rPr>
        <w:t>8</w:t>
      </w:r>
      <w:r w:rsidRPr="00B45515">
        <w:rPr>
          <w:rFonts w:ascii="Palatino Linotype" w:hAnsi="Palatino Linotype"/>
          <w:sz w:val="18"/>
          <w:szCs w:val="18"/>
          <w:lang w:val="en-GB"/>
        </w:rPr>
        <w:fldChar w:fldCharType="end"/>
      </w:r>
      <w:r w:rsidRPr="00B45515">
        <w:rPr>
          <w:rFonts w:ascii="Palatino Linotype" w:hAnsi="Palatino Linotype"/>
          <w:sz w:val="18"/>
          <w:szCs w:val="18"/>
          <w:lang w:val="en-GB"/>
        </w:rPr>
        <w:t xml:space="preserve">); Casey et al (n </w:t>
      </w:r>
      <w:r w:rsidRPr="00B45515">
        <w:rPr>
          <w:rFonts w:ascii="Palatino Linotype" w:hAnsi="Palatino Linotype"/>
          <w:sz w:val="18"/>
          <w:szCs w:val="18"/>
          <w:lang w:val="en-GB"/>
        </w:rPr>
        <w:fldChar w:fldCharType="begin"/>
      </w:r>
      <w:r w:rsidRPr="00B45515">
        <w:rPr>
          <w:rFonts w:ascii="Palatino Linotype" w:hAnsi="Palatino Linotype"/>
          <w:sz w:val="18"/>
          <w:szCs w:val="18"/>
          <w:lang w:val="en-GB"/>
        </w:rPr>
        <w:instrText xml:space="preserve"> NOTEREF _Ref85103793 \h  \* MERGEFORMAT </w:instrText>
      </w:r>
      <w:r w:rsidRPr="00B45515">
        <w:rPr>
          <w:rFonts w:ascii="Palatino Linotype" w:hAnsi="Palatino Linotype"/>
          <w:sz w:val="18"/>
          <w:szCs w:val="18"/>
          <w:lang w:val="en-GB"/>
        </w:rPr>
      </w:r>
      <w:r w:rsidRPr="00B45515">
        <w:rPr>
          <w:rFonts w:ascii="Palatino Linotype" w:hAnsi="Palatino Linotype"/>
          <w:sz w:val="18"/>
          <w:szCs w:val="18"/>
          <w:lang w:val="en-GB"/>
        </w:rPr>
        <w:fldChar w:fldCharType="separate"/>
      </w:r>
      <w:r w:rsidRPr="00B45515">
        <w:rPr>
          <w:rFonts w:ascii="Palatino Linotype" w:hAnsi="Palatino Linotype"/>
          <w:sz w:val="18"/>
          <w:szCs w:val="18"/>
          <w:lang w:val="en-GB"/>
        </w:rPr>
        <w:t>1</w:t>
      </w:r>
      <w:r w:rsidRPr="00B45515">
        <w:rPr>
          <w:rFonts w:ascii="Palatino Linotype" w:hAnsi="Palatino Linotype"/>
          <w:sz w:val="18"/>
          <w:szCs w:val="18"/>
          <w:lang w:val="en-GB"/>
        </w:rPr>
        <w:fldChar w:fldCharType="end"/>
      </w:r>
      <w:r w:rsidRPr="00B45515">
        <w:rPr>
          <w:rFonts w:ascii="Palatino Linotype" w:hAnsi="Palatino Linotype"/>
          <w:sz w:val="18"/>
          <w:szCs w:val="18"/>
          <w:lang w:val="en-GB"/>
        </w:rPr>
        <w:t>)</w:t>
      </w:r>
      <w:r w:rsidR="0097005B">
        <w:rPr>
          <w:rFonts w:ascii="Palatino Linotype" w:hAnsi="Palatino Linotype"/>
          <w:sz w:val="18"/>
          <w:szCs w:val="18"/>
          <w:lang w:val="en-GB"/>
        </w:rPr>
        <w:t>.</w:t>
      </w:r>
    </w:p>
  </w:footnote>
  <w:footnote w:id="25">
    <w:p w14:paraId="504F6844" w14:textId="11610124" w:rsidR="00BA4A45" w:rsidRPr="00B45515" w:rsidRDefault="00BA4A45" w:rsidP="006226CD">
      <w:pPr>
        <w:pStyle w:val="FootnoteText"/>
        <w:jc w:val="both"/>
        <w:rPr>
          <w:rFonts w:ascii="Palatino Linotype" w:hAnsi="Palatino Linotype" w:cs="Times New Roman"/>
          <w:sz w:val="18"/>
          <w:szCs w:val="18"/>
          <w:lang w:val="en-IE"/>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Health Act 1947 (Section 31A - Temporary Restrictions) (Covid-19) (No. 2) Regulations 2020, </w:t>
      </w:r>
      <w:hyperlink r:id="rId5" w:history="1">
        <w:r w:rsidRPr="00B45515">
          <w:rPr>
            <w:rStyle w:val="Hyperlink"/>
            <w:rFonts w:ascii="Palatino Linotype" w:hAnsi="Palatino Linotype" w:cs="Times New Roman"/>
            <w:sz w:val="18"/>
            <w:szCs w:val="18"/>
            <w:lang w:val="en-IE"/>
          </w:rPr>
          <w:t>SI 206/2020</w:t>
        </w:r>
      </w:hyperlink>
      <w:r w:rsidRPr="00B45515">
        <w:rPr>
          <w:rFonts w:ascii="Palatino Linotype" w:hAnsi="Palatino Linotype" w:cs="Times New Roman"/>
          <w:sz w:val="18"/>
          <w:szCs w:val="18"/>
          <w:lang w:val="en-IE"/>
        </w:rPr>
        <w:t xml:space="preserve">, reg 5. </w:t>
      </w:r>
    </w:p>
  </w:footnote>
  <w:footnote w:id="26">
    <w:p w14:paraId="115FD518" w14:textId="77777777" w:rsidR="00BA4A45" w:rsidRPr="00B45515" w:rsidRDefault="00BA4A45" w:rsidP="006226CD">
      <w:pPr>
        <w:pStyle w:val="FootnoteText"/>
        <w:jc w:val="both"/>
        <w:rPr>
          <w:rFonts w:ascii="Palatino Linotype" w:hAnsi="Palatino Linotype" w:cs="Times New Roman"/>
          <w:sz w:val="18"/>
          <w:szCs w:val="18"/>
          <w:lang w:val="en-IE"/>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Department of Health, </w:t>
      </w:r>
      <w:hyperlink r:id="rId6" w:history="1">
        <w:r w:rsidRPr="00B45515">
          <w:rPr>
            <w:rStyle w:val="Hyperlink"/>
            <w:rFonts w:ascii="Palatino Linotype" w:hAnsi="Palatino Linotype" w:cs="Times New Roman"/>
            <w:sz w:val="18"/>
            <w:szCs w:val="18"/>
          </w:rPr>
          <w:t>‘Statutory Instruments related to the COVID-19 pandemic’</w:t>
        </w:r>
      </w:hyperlink>
      <w:r w:rsidRPr="00B45515">
        <w:rPr>
          <w:rFonts w:ascii="Palatino Linotype" w:hAnsi="Palatino Linotype" w:cs="Times New Roman"/>
          <w:sz w:val="18"/>
          <w:szCs w:val="18"/>
        </w:rPr>
        <w:t xml:space="preserve">. </w:t>
      </w:r>
    </w:p>
  </w:footnote>
  <w:footnote w:id="27">
    <w:p w14:paraId="247EABC6" w14:textId="342D6598" w:rsidR="00BA4A45" w:rsidRPr="00B45515" w:rsidRDefault="00BA4A45" w:rsidP="006226CD">
      <w:pPr>
        <w:pStyle w:val="FootnoteText"/>
        <w:jc w:val="both"/>
        <w:rPr>
          <w:rFonts w:ascii="Palatino Linotype" w:hAnsi="Palatino Linotype" w:cs="Times New Roman"/>
          <w:sz w:val="18"/>
          <w:szCs w:val="18"/>
          <w:lang w:val="en-IE"/>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HSE, ‘Cocooning’ (18 May 2020). This was removed from the HSE website but the Observatory retains a PDF of the webpage as of 2 June 20</w:t>
      </w:r>
      <w:r w:rsidR="00DB536D" w:rsidRPr="00B45515">
        <w:rPr>
          <w:rFonts w:ascii="Palatino Linotype" w:hAnsi="Palatino Linotype" w:cs="Times New Roman"/>
          <w:sz w:val="18"/>
          <w:szCs w:val="18"/>
        </w:rPr>
        <w:t>20</w:t>
      </w:r>
      <w:r w:rsidRPr="00B45515">
        <w:rPr>
          <w:rFonts w:ascii="Palatino Linotype" w:hAnsi="Palatino Linotype" w:cs="Times New Roman"/>
          <w:sz w:val="18"/>
          <w:szCs w:val="18"/>
        </w:rPr>
        <w:t>.</w:t>
      </w:r>
    </w:p>
  </w:footnote>
  <w:footnote w:id="28">
    <w:p w14:paraId="2A908B4B" w14:textId="77777777" w:rsidR="00BA4A45" w:rsidRPr="00B45515" w:rsidRDefault="00BA4A45" w:rsidP="006226CD">
      <w:pPr>
        <w:pStyle w:val="FootnoteText"/>
        <w:jc w:val="both"/>
        <w:rPr>
          <w:rFonts w:ascii="Palatino Linotype" w:hAnsi="Palatino Linotype" w:cs="Times New Roman"/>
          <w:sz w:val="18"/>
          <w:szCs w:val="18"/>
          <w:lang w:val="en-IE"/>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HSE, ‘COVID-19 Cocooning Public Health Advice’ </w:t>
      </w:r>
      <w:hyperlink r:id="rId7" w:history="1">
        <w:r w:rsidRPr="00B45515">
          <w:rPr>
            <w:rStyle w:val="Hyperlink"/>
            <w:rFonts w:ascii="Palatino Linotype" w:hAnsi="Palatino Linotype" w:cs="Times New Roman"/>
            <w:sz w:val="18"/>
            <w:szCs w:val="18"/>
          </w:rPr>
          <w:t>https://www.hse.ie/eng/services/news/newsfeatures/covid19-updates/partner-resources/a-guide-to-cocooning-easy-read-.pdf</w:t>
        </w:r>
      </w:hyperlink>
      <w:r w:rsidRPr="00B45515">
        <w:rPr>
          <w:rFonts w:ascii="Palatino Linotype" w:hAnsi="Palatino Linotype" w:cs="Times New Roman"/>
          <w:sz w:val="18"/>
          <w:szCs w:val="18"/>
        </w:rPr>
        <w:t xml:space="preserve"> accessed 18 November 2020. </w:t>
      </w:r>
    </w:p>
  </w:footnote>
  <w:footnote w:id="29">
    <w:p w14:paraId="5702FD1F" w14:textId="320574F2" w:rsidR="000C5BFB" w:rsidRPr="00B45515" w:rsidRDefault="000C5BFB" w:rsidP="006226CD">
      <w:pPr>
        <w:pStyle w:val="FootnoteText"/>
        <w:jc w:val="both"/>
        <w:rPr>
          <w:rFonts w:ascii="Palatino Linotype" w:hAnsi="Palatino Linotype" w:cs="Times New Roman"/>
          <w:sz w:val="18"/>
          <w:szCs w:val="18"/>
          <w:lang w:val="en-GB"/>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The Irish Times (2020), Cocooning is advisory, not mandatory, Government confirms, 15 April 2020, available at:  </w:t>
      </w:r>
      <w:hyperlink r:id="rId8" w:history="1">
        <w:r w:rsidRPr="00B45515">
          <w:rPr>
            <w:rStyle w:val="Hyperlink"/>
            <w:rFonts w:ascii="Palatino Linotype" w:hAnsi="Palatino Linotype" w:cs="Times New Roman"/>
            <w:sz w:val="18"/>
            <w:szCs w:val="18"/>
          </w:rPr>
          <w:t>https://www.irishtimes.com/news/ireland/irish-news/cocooning-is-advisory-not-mandatory-government-confirms-1.4229569</w:t>
        </w:r>
      </w:hyperlink>
      <w:r w:rsidRPr="00B45515">
        <w:rPr>
          <w:rFonts w:ascii="Palatino Linotype" w:hAnsi="Palatino Linotype" w:cs="Times New Roman"/>
          <w:sz w:val="18"/>
          <w:szCs w:val="18"/>
        </w:rPr>
        <w:t xml:space="preserve">. </w:t>
      </w:r>
    </w:p>
  </w:footnote>
  <w:footnote w:id="30">
    <w:p w14:paraId="1200D878" w14:textId="2DABA6CB" w:rsidR="00CF0DEC" w:rsidRPr="00B45515" w:rsidRDefault="00CF0DEC" w:rsidP="006226CD">
      <w:pPr>
        <w:pStyle w:val="FootnoteText"/>
        <w:jc w:val="both"/>
        <w:rPr>
          <w:rFonts w:ascii="Palatino Linotype" w:hAnsi="Palatino Linotype" w:cs="Times New Roman"/>
          <w:sz w:val="18"/>
          <w:szCs w:val="18"/>
          <w:lang w:val="en-GB"/>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The Irish Times (2020), Blanket cocooning for over-70s has done more harm than good, 21 May 2020, available at:  </w:t>
      </w:r>
      <w:hyperlink r:id="rId9" w:history="1">
        <w:r w:rsidRPr="00B45515">
          <w:rPr>
            <w:rStyle w:val="Hyperlink"/>
            <w:rFonts w:ascii="Palatino Linotype" w:hAnsi="Palatino Linotype" w:cs="Times New Roman"/>
            <w:sz w:val="18"/>
            <w:szCs w:val="18"/>
          </w:rPr>
          <w:t>https://www.irishtimes.com/news/science/blanket-cocooning-for-over-70s-has-done-more-harm-than-good-1.4254477</w:t>
        </w:r>
      </w:hyperlink>
      <w:r w:rsidRPr="00B45515">
        <w:rPr>
          <w:rFonts w:ascii="Palatino Linotype" w:hAnsi="Palatino Linotype" w:cs="Times New Roman"/>
          <w:sz w:val="18"/>
          <w:szCs w:val="18"/>
        </w:rPr>
        <w:t xml:space="preserve">. </w:t>
      </w:r>
    </w:p>
  </w:footnote>
  <w:footnote w:id="31">
    <w:p w14:paraId="5D81B9B9" w14:textId="77777777" w:rsidR="00BA4A45" w:rsidRPr="00B45515" w:rsidRDefault="00BA4A45" w:rsidP="006226CD">
      <w:pPr>
        <w:pStyle w:val="FootnoteText"/>
        <w:jc w:val="both"/>
        <w:rPr>
          <w:rFonts w:ascii="Palatino Linotype" w:hAnsi="Palatino Linotype" w:cs="Times New Roman"/>
          <w:sz w:val="18"/>
          <w:szCs w:val="18"/>
          <w:lang w:val="en-IE"/>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w:t>
      </w:r>
      <w:r w:rsidRPr="00B45515">
        <w:rPr>
          <w:rFonts w:ascii="Palatino Linotype" w:hAnsi="Palatino Linotype" w:cs="Times New Roman"/>
          <w:sz w:val="18"/>
          <w:szCs w:val="18"/>
          <w:lang w:val="en-IE"/>
        </w:rPr>
        <w:t xml:space="preserve">Department of the Taoiseach, ‘COVID-19 Passenger Locator Form’ (31 August 2020) </w:t>
      </w:r>
      <w:hyperlink r:id="rId10" w:history="1">
        <w:r w:rsidRPr="00B45515">
          <w:rPr>
            <w:rStyle w:val="Hyperlink"/>
            <w:rFonts w:ascii="Palatino Linotype" w:hAnsi="Palatino Linotype" w:cs="Times New Roman"/>
            <w:sz w:val="18"/>
            <w:szCs w:val="18"/>
            <w:lang w:val="en-IE"/>
          </w:rPr>
          <w:t>https://www.gov.ie/en/publication/ab900-covid-19-passenger-locator-form/</w:t>
        </w:r>
      </w:hyperlink>
      <w:r w:rsidRPr="00B45515">
        <w:rPr>
          <w:rFonts w:ascii="Palatino Linotype" w:hAnsi="Palatino Linotype" w:cs="Times New Roman"/>
          <w:sz w:val="18"/>
          <w:szCs w:val="18"/>
          <w:lang w:val="en-IE"/>
        </w:rPr>
        <w:t xml:space="preserve"> accessed 18 November 2020. </w:t>
      </w:r>
    </w:p>
  </w:footnote>
  <w:footnote w:id="32">
    <w:p w14:paraId="54BED682" w14:textId="77777777" w:rsidR="00BA4A45" w:rsidRPr="00B45515" w:rsidRDefault="00BA4A45" w:rsidP="006226CD">
      <w:pPr>
        <w:pStyle w:val="FootnoteText"/>
        <w:jc w:val="both"/>
        <w:rPr>
          <w:rFonts w:ascii="Palatino Linotype" w:hAnsi="Palatino Linotype" w:cs="Times New Roman"/>
          <w:sz w:val="18"/>
          <w:szCs w:val="18"/>
          <w:lang w:val="en-IE"/>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w:t>
      </w:r>
      <w:r w:rsidRPr="00B45515">
        <w:rPr>
          <w:rFonts w:ascii="Palatino Linotype" w:hAnsi="Palatino Linotype" w:cs="Times New Roman"/>
          <w:sz w:val="18"/>
          <w:szCs w:val="18"/>
          <w:lang w:val="en-IE"/>
        </w:rPr>
        <w:t xml:space="preserve">The Department of Foreign Affairs later removed this from its website, but the Observatory retains a screenshot of the webpage from 27 July 2020. </w:t>
      </w:r>
    </w:p>
  </w:footnote>
  <w:footnote w:id="33">
    <w:p w14:paraId="38380D12" w14:textId="69657647" w:rsidR="00BA4A45" w:rsidRPr="00B45515" w:rsidRDefault="00BA4A45" w:rsidP="006226CD">
      <w:pPr>
        <w:pStyle w:val="FootnoteText"/>
        <w:jc w:val="both"/>
        <w:rPr>
          <w:rFonts w:ascii="Palatino Linotype" w:hAnsi="Palatino Linotype" w:cs="Times New Roman"/>
          <w:sz w:val="18"/>
          <w:szCs w:val="18"/>
          <w:lang w:val="en-IE"/>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w:t>
      </w:r>
      <w:hyperlink r:id="rId11" w:anchor="PROPER" w:history="1">
        <w:r w:rsidRPr="00B45515">
          <w:rPr>
            <w:rStyle w:val="Hyperlink"/>
            <w:rFonts w:ascii="Palatino Linotype" w:hAnsi="Palatino Linotype" w:cs="Times New Roman"/>
            <w:sz w:val="18"/>
            <w:szCs w:val="18"/>
            <w:lang w:val="en-IE"/>
          </w:rPr>
          <w:t>[2020] IESC 461</w:t>
        </w:r>
      </w:hyperlink>
      <w:r w:rsidRPr="00B45515">
        <w:rPr>
          <w:rFonts w:ascii="Palatino Linotype" w:hAnsi="Palatino Linotype" w:cs="Times New Roman"/>
          <w:sz w:val="18"/>
          <w:szCs w:val="18"/>
          <w:lang w:val="en-IE"/>
        </w:rPr>
        <w:t xml:space="preserve"> </w:t>
      </w:r>
      <w:r w:rsidR="007C23C0">
        <w:rPr>
          <w:rFonts w:ascii="Palatino Linotype" w:hAnsi="Palatino Linotype" w:cs="Times New Roman"/>
          <w:sz w:val="18"/>
          <w:szCs w:val="18"/>
          <w:lang w:val="en-IE"/>
        </w:rPr>
        <w:t xml:space="preserve">at para </w:t>
      </w:r>
      <w:r w:rsidRPr="00B45515">
        <w:rPr>
          <w:rFonts w:ascii="Palatino Linotype" w:hAnsi="Palatino Linotype" w:cs="Times New Roman"/>
          <w:sz w:val="18"/>
          <w:szCs w:val="18"/>
          <w:lang w:val="en-IE"/>
        </w:rPr>
        <w:t>38.</w:t>
      </w:r>
    </w:p>
  </w:footnote>
  <w:footnote w:id="34">
    <w:p w14:paraId="0294FD42" w14:textId="7692941D" w:rsidR="00F26D77" w:rsidRPr="00174417" w:rsidRDefault="00F26D77" w:rsidP="006226CD">
      <w:pPr>
        <w:pStyle w:val="FootnoteText"/>
        <w:rPr>
          <w:rFonts w:ascii="Palatino Linotype" w:hAnsi="Palatino Linotype"/>
          <w:sz w:val="18"/>
          <w:szCs w:val="18"/>
          <w:lang w:val="en-IE"/>
        </w:rPr>
      </w:pPr>
      <w:r w:rsidRPr="00B45515">
        <w:rPr>
          <w:rStyle w:val="FootnoteReference"/>
          <w:rFonts w:ascii="Palatino Linotype" w:hAnsi="Palatino Linotype"/>
          <w:sz w:val="18"/>
          <w:szCs w:val="18"/>
        </w:rPr>
        <w:footnoteRef/>
      </w:r>
      <w:r w:rsidRPr="00B45515">
        <w:rPr>
          <w:rFonts w:ascii="Palatino Linotype" w:hAnsi="Palatino Linotype"/>
          <w:sz w:val="18"/>
          <w:szCs w:val="18"/>
        </w:rPr>
        <w:t xml:space="preserve"> </w:t>
      </w:r>
      <w:r w:rsidR="00174417" w:rsidRPr="00174417">
        <w:rPr>
          <w:rFonts w:ascii="Palatino Linotype" w:hAnsi="Palatino Linotype"/>
          <w:sz w:val="18"/>
          <w:szCs w:val="18"/>
          <w:lang w:val="en-GB"/>
        </w:rPr>
        <w:t>Oran Doyle, ‘Religious Services and the Rule of Law: Authority and Coercion’ (9 March 2021) </w:t>
      </w:r>
      <w:hyperlink r:id="rId12" w:history="1">
        <w:r w:rsidR="006A0402" w:rsidRPr="000100E9">
          <w:rPr>
            <w:rStyle w:val="Hyperlink"/>
            <w:rFonts w:ascii="Palatino Linotype" w:hAnsi="Palatino Linotype"/>
            <w:sz w:val="18"/>
            <w:szCs w:val="18"/>
            <w:lang w:val="en-IE"/>
          </w:rPr>
          <w:t>https://tcdlaw.blogspot.com/2021/03/religious-services-and-rule-of-law.html</w:t>
        </w:r>
      </w:hyperlink>
      <w:r w:rsidR="00174417">
        <w:rPr>
          <w:rFonts w:ascii="Palatino Linotype" w:hAnsi="Palatino Linotype"/>
          <w:sz w:val="18"/>
          <w:szCs w:val="18"/>
          <w:lang w:val="en-IE"/>
        </w:rPr>
        <w:t>.</w:t>
      </w:r>
      <w:r w:rsidR="006A0402">
        <w:rPr>
          <w:rFonts w:ascii="Palatino Linotype" w:hAnsi="Palatino Linotype"/>
          <w:sz w:val="18"/>
          <w:szCs w:val="18"/>
          <w:lang w:val="en-IE"/>
        </w:rPr>
        <w:t xml:space="preserve"> </w:t>
      </w:r>
    </w:p>
  </w:footnote>
  <w:footnote w:id="35">
    <w:p w14:paraId="28C46E52" w14:textId="47026355" w:rsidR="00F26D77" w:rsidRPr="00B45515" w:rsidRDefault="00F26D77" w:rsidP="006226CD">
      <w:pPr>
        <w:pStyle w:val="FootnoteText"/>
        <w:rPr>
          <w:rFonts w:ascii="Palatino Linotype" w:hAnsi="Palatino Linotype" w:cs="Times New Roman"/>
          <w:sz w:val="18"/>
          <w:szCs w:val="18"/>
          <w:lang w:val="en-GB"/>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w:t>
      </w:r>
      <w:proofErr w:type="spellStart"/>
      <w:r w:rsidRPr="00B45515">
        <w:rPr>
          <w:rFonts w:ascii="Palatino Linotype" w:hAnsi="Palatino Linotype" w:cs="Times New Roman"/>
          <w:sz w:val="18"/>
          <w:szCs w:val="18"/>
        </w:rPr>
        <w:t>Ceimin</w:t>
      </w:r>
      <w:proofErr w:type="spellEnd"/>
      <w:r w:rsidRPr="00B45515">
        <w:rPr>
          <w:rFonts w:ascii="Palatino Linotype" w:hAnsi="Palatino Linotype" w:cs="Times New Roman"/>
          <w:sz w:val="18"/>
          <w:szCs w:val="18"/>
        </w:rPr>
        <w:t xml:space="preserve"> Burke, ‘Department of Health says priests can’t be jailed for holding mass during coronavirus restrictions’,  thejournal.ie,  (6 November 2020)</w:t>
      </w:r>
      <w:r w:rsidR="006A0402">
        <w:rPr>
          <w:rFonts w:ascii="Palatino Linotype" w:hAnsi="Palatino Linotype" w:cs="Times New Roman"/>
          <w:sz w:val="18"/>
          <w:szCs w:val="18"/>
        </w:rPr>
        <w:t xml:space="preserve"> </w:t>
      </w:r>
      <w:hyperlink r:id="rId13" w:history="1">
        <w:r w:rsidR="006A0402" w:rsidRPr="000100E9">
          <w:rPr>
            <w:rStyle w:val="Hyperlink"/>
            <w:rFonts w:ascii="Palatino Linotype" w:hAnsi="Palatino Linotype" w:cs="Times New Roman"/>
            <w:sz w:val="18"/>
            <w:szCs w:val="18"/>
          </w:rPr>
          <w:t>https://www.thejournal.ie/priests-cant-be-arrested-mass-ireland-coronavirus-5254820-Nov2020/</w:t>
        </w:r>
      </w:hyperlink>
      <w:r w:rsidR="006A0402">
        <w:rPr>
          <w:rFonts w:ascii="Palatino Linotype" w:hAnsi="Palatino Linotype" w:cs="Times New Roman"/>
          <w:sz w:val="18"/>
          <w:szCs w:val="18"/>
        </w:rPr>
        <w:t xml:space="preserve">. </w:t>
      </w:r>
    </w:p>
  </w:footnote>
  <w:footnote w:id="36">
    <w:p w14:paraId="12C9131D" w14:textId="541D4D84" w:rsidR="00F26D77" w:rsidRPr="00B45515" w:rsidRDefault="00F26D77" w:rsidP="006226CD">
      <w:pPr>
        <w:pStyle w:val="FootnoteText"/>
        <w:rPr>
          <w:rFonts w:ascii="Palatino Linotype" w:hAnsi="Palatino Linotype" w:cs="Times New Roman"/>
          <w:sz w:val="18"/>
          <w:szCs w:val="18"/>
          <w:lang w:val="en-GB"/>
        </w:rPr>
      </w:pPr>
      <w:r w:rsidRPr="00B45515">
        <w:rPr>
          <w:rStyle w:val="FootnoteReference"/>
          <w:rFonts w:ascii="Palatino Linotype" w:hAnsi="Palatino Linotype" w:cs="Times New Roman"/>
          <w:sz w:val="18"/>
          <w:szCs w:val="18"/>
        </w:rPr>
        <w:footnoteRef/>
      </w:r>
      <w:r w:rsidRPr="00B45515">
        <w:rPr>
          <w:rFonts w:ascii="Palatino Linotype" w:hAnsi="Palatino Linotype" w:cs="Times New Roman"/>
          <w:sz w:val="18"/>
          <w:szCs w:val="18"/>
        </w:rPr>
        <w:t xml:space="preserve"> </w:t>
      </w:r>
      <w:proofErr w:type="spellStart"/>
      <w:r w:rsidRPr="00B45515">
        <w:rPr>
          <w:rFonts w:ascii="Palatino Linotype" w:hAnsi="Palatino Linotype" w:cs="Times New Roman"/>
          <w:sz w:val="18"/>
          <w:szCs w:val="18"/>
        </w:rPr>
        <w:t>Marese</w:t>
      </w:r>
      <w:proofErr w:type="spellEnd"/>
      <w:r w:rsidRPr="00B45515">
        <w:rPr>
          <w:rFonts w:ascii="Palatino Linotype" w:hAnsi="Palatino Linotype" w:cs="Times New Roman"/>
          <w:sz w:val="18"/>
          <w:szCs w:val="18"/>
        </w:rPr>
        <w:t xml:space="preserve"> McDonagh, ‘Gardaí give “last warning” to parish priest over “open door” Mass’, The Irish Times (19 November 2020)</w:t>
      </w:r>
      <w:r w:rsidR="006A0402">
        <w:rPr>
          <w:rFonts w:ascii="Palatino Linotype" w:hAnsi="Palatino Linotype" w:cs="Times New Roman"/>
          <w:sz w:val="18"/>
          <w:szCs w:val="18"/>
        </w:rPr>
        <w:t xml:space="preserve"> </w:t>
      </w:r>
      <w:hyperlink r:id="rId14" w:history="1">
        <w:r w:rsidR="006A0402" w:rsidRPr="000100E9">
          <w:rPr>
            <w:rStyle w:val="Hyperlink"/>
            <w:rFonts w:ascii="Palatino Linotype" w:hAnsi="Palatino Linotype" w:cs="Times New Roman"/>
            <w:sz w:val="18"/>
            <w:szCs w:val="18"/>
          </w:rPr>
          <w:t>https://www.irishtimes.com/news/social-affairs/garda%C3%AD-give-last-warning-to-parish-priest-over-open-door-mass-1.4414096</w:t>
        </w:r>
      </w:hyperlink>
      <w:r w:rsidR="006A0402">
        <w:rPr>
          <w:rFonts w:ascii="Palatino Linotype" w:hAnsi="Palatino Linotype" w:cs="Times New Roman"/>
          <w:sz w:val="18"/>
          <w:szCs w:val="18"/>
        </w:rPr>
        <w:t xml:space="preserve">. </w:t>
      </w:r>
    </w:p>
  </w:footnote>
  <w:footnote w:id="37">
    <w:p w14:paraId="141FCA65" w14:textId="77777777" w:rsidR="00896D59" w:rsidRPr="00B45515" w:rsidRDefault="00896D59" w:rsidP="006226CD">
      <w:pPr>
        <w:pStyle w:val="FootnoteText"/>
        <w:jc w:val="both"/>
        <w:rPr>
          <w:rFonts w:ascii="Palatino Linotype" w:hAnsi="Palatino Linotype" w:cs="Times New Roman"/>
          <w:color w:val="000000" w:themeColor="text1"/>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The current authors were co-authors of the report, along with Dr. Donna Lyons.</w:t>
      </w:r>
    </w:p>
  </w:footnote>
  <w:footnote w:id="38">
    <w:p w14:paraId="46EF096A" w14:textId="47AAFC98" w:rsidR="00F26D77" w:rsidRPr="00B45515" w:rsidRDefault="00F26D77" w:rsidP="006226CD">
      <w:pPr>
        <w:pStyle w:val="FootnoteText"/>
        <w:rPr>
          <w:rFonts w:ascii="Palatino Linotype" w:hAnsi="Palatino Linotype"/>
          <w:sz w:val="18"/>
          <w:szCs w:val="18"/>
          <w:lang w:val="en-GB"/>
        </w:rPr>
      </w:pPr>
      <w:r w:rsidRPr="00B45515">
        <w:rPr>
          <w:rStyle w:val="FootnoteReference"/>
          <w:rFonts w:ascii="Palatino Linotype" w:hAnsi="Palatino Linotype"/>
          <w:sz w:val="18"/>
          <w:szCs w:val="18"/>
        </w:rPr>
        <w:footnoteRef/>
      </w:r>
      <w:r w:rsidRPr="00B45515">
        <w:rPr>
          <w:rFonts w:ascii="Palatino Linotype" w:hAnsi="Palatino Linotype"/>
          <w:sz w:val="18"/>
          <w:szCs w:val="18"/>
        </w:rPr>
        <w:t xml:space="preserve"> </w:t>
      </w:r>
      <w:r w:rsidRPr="00B45515">
        <w:rPr>
          <w:rFonts w:ascii="Palatino Linotype" w:hAnsi="Palatino Linotype"/>
          <w:sz w:val="18"/>
          <w:szCs w:val="18"/>
          <w:lang w:val="en-GB"/>
        </w:rPr>
        <w:t xml:space="preserve">Casey et al </w:t>
      </w:r>
      <w:r w:rsidR="004F364C">
        <w:rPr>
          <w:rFonts w:ascii="Palatino Linotype" w:hAnsi="Palatino Linotype"/>
          <w:sz w:val="18"/>
          <w:szCs w:val="18"/>
          <w:lang w:val="en-GB"/>
        </w:rPr>
        <w:t>(</w:t>
      </w:r>
      <w:r w:rsidRPr="00B45515">
        <w:rPr>
          <w:rFonts w:ascii="Palatino Linotype" w:hAnsi="Palatino Linotype"/>
          <w:sz w:val="18"/>
          <w:szCs w:val="18"/>
          <w:lang w:val="en-GB"/>
        </w:rPr>
        <w:t>n</w:t>
      </w:r>
      <w:r w:rsidR="004F364C">
        <w:rPr>
          <w:rFonts w:ascii="Palatino Linotype" w:hAnsi="Palatino Linotype"/>
          <w:sz w:val="18"/>
          <w:szCs w:val="18"/>
          <w:lang w:val="en-GB"/>
        </w:rPr>
        <w:t xml:space="preserve"> </w:t>
      </w:r>
      <w:r w:rsidR="004F364C">
        <w:rPr>
          <w:rFonts w:ascii="Palatino Linotype" w:hAnsi="Palatino Linotype"/>
          <w:sz w:val="18"/>
          <w:szCs w:val="18"/>
          <w:lang w:val="en-GB"/>
        </w:rPr>
        <w:fldChar w:fldCharType="begin"/>
      </w:r>
      <w:r w:rsidR="004F364C">
        <w:rPr>
          <w:rFonts w:ascii="Palatino Linotype" w:hAnsi="Palatino Linotype"/>
          <w:sz w:val="18"/>
          <w:szCs w:val="18"/>
          <w:lang w:val="en-GB"/>
        </w:rPr>
        <w:instrText xml:space="preserve"> NOTEREF _Ref85103793 \h </w:instrText>
      </w:r>
      <w:r w:rsidR="004F364C">
        <w:rPr>
          <w:rFonts w:ascii="Palatino Linotype" w:hAnsi="Palatino Linotype"/>
          <w:sz w:val="18"/>
          <w:szCs w:val="18"/>
          <w:lang w:val="en-GB"/>
        </w:rPr>
      </w:r>
      <w:r w:rsidR="004F364C">
        <w:rPr>
          <w:rFonts w:ascii="Palatino Linotype" w:hAnsi="Palatino Linotype"/>
          <w:sz w:val="18"/>
          <w:szCs w:val="18"/>
          <w:lang w:val="en-GB"/>
        </w:rPr>
        <w:fldChar w:fldCharType="separate"/>
      </w:r>
      <w:r w:rsidR="004F364C">
        <w:rPr>
          <w:rFonts w:ascii="Palatino Linotype" w:hAnsi="Palatino Linotype"/>
          <w:sz w:val="18"/>
          <w:szCs w:val="18"/>
          <w:lang w:val="en-GB"/>
        </w:rPr>
        <w:t>1</w:t>
      </w:r>
      <w:r w:rsidR="004F364C">
        <w:rPr>
          <w:rFonts w:ascii="Palatino Linotype" w:hAnsi="Palatino Linotype"/>
          <w:sz w:val="18"/>
          <w:szCs w:val="18"/>
          <w:lang w:val="en-GB"/>
        </w:rPr>
        <w:fldChar w:fldCharType="end"/>
      </w:r>
      <w:r w:rsidR="004F364C">
        <w:rPr>
          <w:rFonts w:ascii="Palatino Linotype" w:hAnsi="Palatino Linotype"/>
          <w:sz w:val="18"/>
          <w:szCs w:val="18"/>
          <w:lang w:val="en-GB"/>
        </w:rPr>
        <w:t>)</w:t>
      </w:r>
      <w:r w:rsidRPr="00B45515">
        <w:rPr>
          <w:rFonts w:ascii="Palatino Linotype" w:hAnsi="Palatino Linotype"/>
          <w:sz w:val="18"/>
          <w:szCs w:val="18"/>
          <w:lang w:val="en-GB"/>
        </w:rPr>
        <w:t xml:space="preserve"> at 35. </w:t>
      </w:r>
    </w:p>
  </w:footnote>
  <w:footnote w:id="39">
    <w:p w14:paraId="5B490518" w14:textId="73F09D61" w:rsidR="00F26D77" w:rsidRPr="00B45515" w:rsidRDefault="00F26D77" w:rsidP="006226CD">
      <w:pPr>
        <w:jc w:val="both"/>
        <w:rPr>
          <w:rFonts w:ascii="Palatino Linotype" w:hAnsi="Palatino Linotype" w:cs="Times New Roman"/>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w:t>
      </w:r>
      <w:r w:rsidRPr="00B45515">
        <w:rPr>
          <w:rFonts w:ascii="Palatino Linotype" w:hAnsi="Palatino Linotype" w:cs="Times New Roman"/>
          <w:color w:val="222222"/>
          <w:sz w:val="18"/>
          <w:szCs w:val="18"/>
          <w:shd w:val="clear" w:color="auto" w:fill="FFFFFF"/>
        </w:rPr>
        <w:t>Doyle, ‘Religious Services and the Rule of Law</w:t>
      </w:r>
      <w:r w:rsidR="006A0402">
        <w:rPr>
          <w:rFonts w:ascii="Palatino Linotype" w:hAnsi="Palatino Linotype" w:cs="Times New Roman"/>
          <w:color w:val="222222"/>
          <w:sz w:val="18"/>
          <w:szCs w:val="18"/>
          <w:shd w:val="clear" w:color="auto" w:fill="FFFFFF"/>
        </w:rPr>
        <w:t>’ (n</w:t>
      </w:r>
      <w:r w:rsidR="006A0402">
        <w:rPr>
          <w:rFonts w:ascii="Palatino Linotype" w:hAnsi="Palatino Linotype" w:cs="Times New Roman"/>
          <w:color w:val="222222"/>
          <w:sz w:val="18"/>
          <w:szCs w:val="18"/>
          <w:shd w:val="clear" w:color="auto" w:fill="FFFFFF"/>
        </w:rPr>
        <w:fldChar w:fldCharType="begin"/>
      </w:r>
      <w:r w:rsidR="006A0402">
        <w:rPr>
          <w:rFonts w:ascii="Palatino Linotype" w:hAnsi="Palatino Linotype" w:cs="Times New Roman"/>
          <w:color w:val="222222"/>
          <w:sz w:val="18"/>
          <w:szCs w:val="18"/>
          <w:shd w:val="clear" w:color="auto" w:fill="FFFFFF"/>
        </w:rPr>
        <w:instrText xml:space="preserve"> NOTEREF _Ref85379528 \h </w:instrText>
      </w:r>
      <w:r w:rsidR="006A0402">
        <w:rPr>
          <w:rFonts w:ascii="Palatino Linotype" w:hAnsi="Palatino Linotype" w:cs="Times New Roman"/>
          <w:color w:val="222222"/>
          <w:sz w:val="18"/>
          <w:szCs w:val="18"/>
          <w:shd w:val="clear" w:color="auto" w:fill="FFFFFF"/>
        </w:rPr>
      </w:r>
      <w:r w:rsidR="006A0402">
        <w:rPr>
          <w:rFonts w:ascii="Palatino Linotype" w:hAnsi="Palatino Linotype" w:cs="Times New Roman"/>
          <w:color w:val="222222"/>
          <w:sz w:val="18"/>
          <w:szCs w:val="18"/>
          <w:shd w:val="clear" w:color="auto" w:fill="FFFFFF"/>
        </w:rPr>
        <w:fldChar w:fldCharType="separate"/>
      </w:r>
      <w:r w:rsidR="006A0402">
        <w:rPr>
          <w:rFonts w:ascii="Palatino Linotype" w:hAnsi="Palatino Linotype" w:cs="Times New Roman"/>
          <w:color w:val="222222"/>
          <w:sz w:val="18"/>
          <w:szCs w:val="18"/>
          <w:shd w:val="clear" w:color="auto" w:fill="FFFFFF"/>
        </w:rPr>
        <w:t>34</w:t>
      </w:r>
      <w:r w:rsidR="006A0402">
        <w:rPr>
          <w:rFonts w:ascii="Palatino Linotype" w:hAnsi="Palatino Linotype" w:cs="Times New Roman"/>
          <w:color w:val="222222"/>
          <w:sz w:val="18"/>
          <w:szCs w:val="18"/>
          <w:shd w:val="clear" w:color="auto" w:fill="FFFFFF"/>
        </w:rPr>
        <w:fldChar w:fldCharType="end"/>
      </w:r>
      <w:r w:rsidR="006A0402">
        <w:rPr>
          <w:rFonts w:ascii="Palatino Linotype" w:hAnsi="Palatino Linotype" w:cs="Times New Roman"/>
          <w:color w:val="222222"/>
          <w:sz w:val="18"/>
          <w:szCs w:val="18"/>
          <w:shd w:val="clear" w:color="auto" w:fill="FFFFFF"/>
        </w:rPr>
        <w:t>).</w:t>
      </w:r>
    </w:p>
  </w:footnote>
  <w:footnote w:id="40">
    <w:p w14:paraId="304CFF4A" w14:textId="00C9526C" w:rsidR="00F26D77" w:rsidRPr="00B45515" w:rsidRDefault="00F26D77" w:rsidP="006226CD">
      <w:pPr>
        <w:pStyle w:val="FootnoteText"/>
        <w:jc w:val="both"/>
        <w:rPr>
          <w:rFonts w:ascii="Palatino Linotype" w:hAnsi="Palatino Linotype" w:cs="Times New Roman"/>
          <w:color w:val="000000" w:themeColor="text1"/>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Casey et al </w:t>
      </w:r>
      <w:r w:rsidR="004F364C">
        <w:rPr>
          <w:rFonts w:ascii="Palatino Linotype" w:hAnsi="Palatino Linotype" w:cs="Times New Roman"/>
          <w:color w:val="000000" w:themeColor="text1"/>
          <w:sz w:val="18"/>
          <w:szCs w:val="18"/>
        </w:rPr>
        <w:t>(</w:t>
      </w:r>
      <w:r w:rsidRPr="00B45515">
        <w:rPr>
          <w:rFonts w:ascii="Palatino Linotype" w:hAnsi="Palatino Linotype" w:cs="Times New Roman"/>
          <w:color w:val="000000" w:themeColor="text1"/>
          <w:sz w:val="18"/>
          <w:szCs w:val="18"/>
        </w:rPr>
        <w:t>n</w:t>
      </w:r>
      <w:r w:rsidR="004F364C">
        <w:rPr>
          <w:rFonts w:ascii="Palatino Linotype" w:hAnsi="Palatino Linotype" w:cs="Times New Roman"/>
          <w:color w:val="000000" w:themeColor="text1"/>
          <w:sz w:val="18"/>
          <w:szCs w:val="18"/>
        </w:rPr>
        <w:fldChar w:fldCharType="begin"/>
      </w:r>
      <w:r w:rsidR="004F364C">
        <w:rPr>
          <w:rFonts w:ascii="Palatino Linotype" w:hAnsi="Palatino Linotype" w:cs="Times New Roman"/>
          <w:color w:val="000000" w:themeColor="text1"/>
          <w:sz w:val="18"/>
          <w:szCs w:val="18"/>
        </w:rPr>
        <w:instrText xml:space="preserve"> NOTEREF _Ref85103793 \h </w:instrText>
      </w:r>
      <w:r w:rsidR="004F364C">
        <w:rPr>
          <w:rFonts w:ascii="Palatino Linotype" w:hAnsi="Palatino Linotype" w:cs="Times New Roman"/>
          <w:color w:val="000000" w:themeColor="text1"/>
          <w:sz w:val="18"/>
          <w:szCs w:val="18"/>
        </w:rPr>
      </w:r>
      <w:r w:rsidR="004F364C">
        <w:rPr>
          <w:rFonts w:ascii="Palatino Linotype" w:hAnsi="Palatino Linotype" w:cs="Times New Roman"/>
          <w:color w:val="000000" w:themeColor="text1"/>
          <w:sz w:val="18"/>
          <w:szCs w:val="18"/>
        </w:rPr>
        <w:fldChar w:fldCharType="separate"/>
      </w:r>
      <w:r w:rsidR="004F364C">
        <w:rPr>
          <w:rFonts w:ascii="Palatino Linotype" w:hAnsi="Palatino Linotype" w:cs="Times New Roman"/>
          <w:color w:val="000000" w:themeColor="text1"/>
          <w:sz w:val="18"/>
          <w:szCs w:val="18"/>
        </w:rPr>
        <w:t>1</w:t>
      </w:r>
      <w:r w:rsidR="004F364C">
        <w:rPr>
          <w:rFonts w:ascii="Palatino Linotype" w:hAnsi="Palatino Linotype" w:cs="Times New Roman"/>
          <w:color w:val="000000" w:themeColor="text1"/>
          <w:sz w:val="18"/>
          <w:szCs w:val="18"/>
        </w:rPr>
        <w:fldChar w:fldCharType="end"/>
      </w:r>
      <w:r w:rsidR="004F364C">
        <w:rPr>
          <w:rFonts w:ascii="Palatino Linotype" w:hAnsi="Palatino Linotype" w:cs="Times New Roman"/>
          <w:color w:val="000000" w:themeColor="text1"/>
          <w:sz w:val="18"/>
          <w:szCs w:val="18"/>
        </w:rPr>
        <w:t>)</w:t>
      </w:r>
      <w:r w:rsidRPr="00B45515">
        <w:rPr>
          <w:rFonts w:ascii="Palatino Linotype" w:hAnsi="Palatino Linotype" w:cs="Times New Roman"/>
          <w:color w:val="000000" w:themeColor="text1"/>
          <w:sz w:val="18"/>
          <w:szCs w:val="18"/>
        </w:rPr>
        <w:t>.</w:t>
      </w:r>
    </w:p>
  </w:footnote>
  <w:footnote w:id="41">
    <w:p w14:paraId="14EA747B" w14:textId="77777777" w:rsidR="00F26D77" w:rsidRPr="00B45515" w:rsidRDefault="00F26D77" w:rsidP="006226CD">
      <w:pPr>
        <w:pStyle w:val="FootnoteText"/>
        <w:jc w:val="both"/>
        <w:rPr>
          <w:rFonts w:ascii="Palatino Linotype" w:hAnsi="Palatino Linotype" w:cs="Times New Roman"/>
          <w:color w:val="000000" w:themeColor="text1"/>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w:t>
      </w:r>
      <w:hyperlink r:id="rId15" w:history="1">
        <w:r w:rsidRPr="00B45515">
          <w:rPr>
            <w:rStyle w:val="Hyperlink"/>
            <w:rFonts w:ascii="Palatino Linotype" w:hAnsi="Palatino Linotype" w:cs="Times New Roman"/>
            <w:color w:val="000000" w:themeColor="text1"/>
            <w:sz w:val="18"/>
            <w:szCs w:val="18"/>
          </w:rPr>
          <w:t>https://www.irishtimes.com/news/crime-and-law/courts/high-court/state-asked-to-clarify-basis-for-covid-19-restrictions-on-attending-mass-1.4518152</w:t>
        </w:r>
      </w:hyperlink>
      <w:r w:rsidRPr="00B45515">
        <w:rPr>
          <w:rFonts w:ascii="Palatino Linotype" w:hAnsi="Palatino Linotype" w:cs="Times New Roman"/>
          <w:color w:val="000000" w:themeColor="text1"/>
          <w:sz w:val="18"/>
          <w:szCs w:val="18"/>
        </w:rPr>
        <w:t xml:space="preserve">. </w:t>
      </w:r>
    </w:p>
  </w:footnote>
  <w:footnote w:id="42">
    <w:p w14:paraId="018347D0" w14:textId="77777777" w:rsidR="00F26D77" w:rsidRPr="00B45515" w:rsidRDefault="00F26D77" w:rsidP="006226CD">
      <w:pPr>
        <w:pStyle w:val="Heading1"/>
        <w:shd w:val="clear" w:color="auto" w:fill="FFFFFF"/>
        <w:spacing w:before="75" w:after="225"/>
        <w:jc w:val="both"/>
        <w:textAlignment w:val="baseline"/>
        <w:rPr>
          <w:rFonts w:ascii="Palatino Linotype" w:hAnsi="Palatino Linotype" w:cs="Times New Roman"/>
          <w:color w:val="000000" w:themeColor="text1"/>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Oran Doyle and David Kenny, Opinion: 'In legal terms, there is no prohibition on attending or organising religious services' Journal.ie (1 April 2021),  </w:t>
      </w:r>
      <w:hyperlink r:id="rId16" w:history="1">
        <w:r w:rsidRPr="00B45515">
          <w:rPr>
            <w:rStyle w:val="Hyperlink"/>
            <w:rFonts w:ascii="Palatino Linotype" w:hAnsi="Palatino Linotype" w:cs="Times New Roman"/>
            <w:color w:val="000000" w:themeColor="text1"/>
            <w:sz w:val="18"/>
            <w:szCs w:val="18"/>
          </w:rPr>
          <w:t>https://www.thejournal.ie/readme/level-5-religious-services-5397140-Apr2021/</w:t>
        </w:r>
      </w:hyperlink>
      <w:r w:rsidRPr="00B45515">
        <w:rPr>
          <w:rFonts w:ascii="Palatino Linotype" w:hAnsi="Palatino Linotype" w:cs="Times New Roman"/>
          <w:color w:val="000000" w:themeColor="text1"/>
          <w:sz w:val="18"/>
          <w:szCs w:val="18"/>
        </w:rPr>
        <w:t xml:space="preserve">. </w:t>
      </w:r>
    </w:p>
  </w:footnote>
  <w:footnote w:id="43">
    <w:p w14:paraId="2466A1B9" w14:textId="3283AFA2" w:rsidR="00F26D77" w:rsidRPr="00B45515" w:rsidRDefault="00F26D77" w:rsidP="006226CD">
      <w:pPr>
        <w:jc w:val="both"/>
        <w:rPr>
          <w:rFonts w:ascii="Palatino Linotype" w:hAnsi="Palatino Linotype" w:cs="Times New Roman"/>
          <w:color w:val="000000" w:themeColor="text1"/>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w:t>
      </w:r>
      <w:r w:rsidRPr="00B45515">
        <w:rPr>
          <w:rFonts w:ascii="Palatino Linotype" w:hAnsi="Palatino Linotype" w:cs="Times New Roman"/>
          <w:color w:val="000000" w:themeColor="text1"/>
          <w:sz w:val="18"/>
          <w:szCs w:val="18"/>
          <w:shd w:val="clear" w:color="auto" w:fill="FFFFFF"/>
        </w:rPr>
        <w:t>Oran Doyle, ‘The evolution of legal prohibitions on religious services’ COVID-19 Law and Human Rights Observatory (21 April 2021) </w:t>
      </w:r>
      <w:hyperlink r:id="rId17" w:history="1">
        <w:r w:rsidRPr="00B45515">
          <w:rPr>
            <w:rStyle w:val="Hyperlink"/>
            <w:rFonts w:ascii="Palatino Linotype" w:hAnsi="Palatino Linotype" w:cs="Times New Roman"/>
            <w:color w:val="000000" w:themeColor="text1"/>
            <w:sz w:val="18"/>
            <w:szCs w:val="18"/>
            <w:shd w:val="clear" w:color="auto" w:fill="FFFFFF"/>
          </w:rPr>
          <w:t>https://tcdlaw.blogspot.com/2021/04/the-evolution-of-legal-prohibitions-on.html</w:t>
        </w:r>
      </w:hyperlink>
      <w:r w:rsidR="006A0402">
        <w:rPr>
          <w:rFonts w:ascii="Palatino Linotype" w:hAnsi="Palatino Linotype" w:cs="Times New Roman"/>
          <w:color w:val="000000" w:themeColor="text1"/>
          <w:sz w:val="18"/>
          <w:szCs w:val="18"/>
          <w:shd w:val="clear" w:color="auto" w:fill="FFFFFF"/>
        </w:rPr>
        <w:t xml:space="preserve">. </w:t>
      </w:r>
    </w:p>
  </w:footnote>
  <w:footnote w:id="44">
    <w:p w14:paraId="105701AA" w14:textId="77777777" w:rsidR="00F26D77" w:rsidRPr="00B45515" w:rsidRDefault="00F26D77" w:rsidP="006226CD">
      <w:pPr>
        <w:jc w:val="both"/>
        <w:rPr>
          <w:rFonts w:ascii="Palatino Linotype" w:hAnsi="Palatino Linotype" w:cs="Times New Roman"/>
          <w:sz w:val="18"/>
          <w:szCs w:val="18"/>
        </w:rPr>
      </w:pPr>
      <w:r w:rsidRPr="00B45515">
        <w:rPr>
          <w:rStyle w:val="FootnoteReference"/>
          <w:rFonts w:ascii="Palatino Linotype" w:hAnsi="Palatino Linotype" w:cs="Times New Roman"/>
          <w:color w:val="000000" w:themeColor="text1"/>
          <w:sz w:val="18"/>
          <w:szCs w:val="18"/>
        </w:rPr>
        <w:footnoteRef/>
      </w:r>
      <w:r w:rsidRPr="00B45515">
        <w:rPr>
          <w:rFonts w:ascii="Palatino Linotype" w:hAnsi="Palatino Linotype" w:cs="Times New Roman"/>
          <w:color w:val="000000" w:themeColor="text1"/>
          <w:sz w:val="18"/>
          <w:szCs w:val="18"/>
        </w:rPr>
        <w:t xml:space="preserve"> Id. See also </w:t>
      </w:r>
      <w:r w:rsidRPr="00B45515">
        <w:rPr>
          <w:rFonts w:ascii="Palatino Linotype" w:hAnsi="Palatino Linotype" w:cs="Times New Roman"/>
          <w:color w:val="000000" w:themeColor="text1"/>
          <w:sz w:val="18"/>
          <w:szCs w:val="18"/>
          <w:shd w:val="clear" w:color="auto" w:fill="FFFFFF"/>
        </w:rPr>
        <w:t xml:space="preserve">Conor Casey and David Kenny, ‘Ireland-COVID-19 response raises some rule of law concerns’, (2021) </w:t>
      </w:r>
      <w:r w:rsidRPr="00B45515">
        <w:rPr>
          <w:rFonts w:ascii="Palatino Linotype" w:hAnsi="Palatino Linotype" w:cs="Times New Roman"/>
          <w:i/>
          <w:iCs/>
          <w:color w:val="000000" w:themeColor="text1"/>
          <w:sz w:val="18"/>
          <w:szCs w:val="18"/>
          <w:shd w:val="clear" w:color="auto" w:fill="FFFFFF"/>
        </w:rPr>
        <w:t>Public Law</w:t>
      </w:r>
      <w:r w:rsidRPr="00B45515">
        <w:rPr>
          <w:rFonts w:ascii="Palatino Linotype" w:hAnsi="Palatino Linotype" w:cs="Times New Roman"/>
          <w:color w:val="000000" w:themeColor="text1"/>
          <w:sz w:val="18"/>
          <w:szCs w:val="18"/>
          <w:shd w:val="clear" w:color="auto" w:fill="FFFFFF"/>
        </w:rPr>
        <w:t xml:space="preserve"> 480-483. </w:t>
      </w:r>
    </w:p>
  </w:footnote>
  <w:footnote w:id="45">
    <w:p w14:paraId="7EBEEE1D" w14:textId="42C6A903" w:rsidR="00DF2EE1" w:rsidRPr="00B45515" w:rsidRDefault="00DF2EE1">
      <w:pPr>
        <w:pStyle w:val="FootnoteText"/>
        <w:rPr>
          <w:rFonts w:ascii="Palatino Linotype" w:hAnsi="Palatino Linotype"/>
          <w:sz w:val="18"/>
          <w:szCs w:val="18"/>
          <w:lang w:val="en-GB"/>
        </w:rPr>
      </w:pPr>
      <w:r w:rsidRPr="00B45515">
        <w:rPr>
          <w:rStyle w:val="FootnoteReference"/>
          <w:rFonts w:ascii="Palatino Linotype" w:hAnsi="Palatino Linotype"/>
          <w:sz w:val="18"/>
          <w:szCs w:val="18"/>
        </w:rPr>
        <w:footnoteRef/>
      </w:r>
      <w:r w:rsidRPr="00B45515">
        <w:rPr>
          <w:rFonts w:ascii="Palatino Linotype" w:hAnsi="Palatino Linotype"/>
          <w:sz w:val="18"/>
          <w:szCs w:val="18"/>
        </w:rPr>
        <w:t xml:space="preserve"> </w:t>
      </w:r>
      <w:r w:rsidR="004F364C">
        <w:rPr>
          <w:rFonts w:ascii="Palatino Linotype" w:hAnsi="Palatino Linotype"/>
          <w:sz w:val="18"/>
          <w:szCs w:val="18"/>
        </w:rPr>
        <w:t>Casey et al (n</w:t>
      </w:r>
      <w:r w:rsidR="004F364C">
        <w:rPr>
          <w:rFonts w:ascii="Palatino Linotype" w:hAnsi="Palatino Linotype"/>
          <w:sz w:val="18"/>
          <w:szCs w:val="18"/>
        </w:rPr>
        <w:fldChar w:fldCharType="begin"/>
      </w:r>
      <w:r w:rsidR="004F364C">
        <w:rPr>
          <w:rFonts w:ascii="Palatino Linotype" w:hAnsi="Palatino Linotype"/>
          <w:sz w:val="18"/>
          <w:szCs w:val="18"/>
        </w:rPr>
        <w:instrText xml:space="preserve"> NOTEREF _Ref85103793 \h </w:instrText>
      </w:r>
      <w:r w:rsidR="004F364C">
        <w:rPr>
          <w:rFonts w:ascii="Palatino Linotype" w:hAnsi="Palatino Linotype"/>
          <w:sz w:val="18"/>
          <w:szCs w:val="18"/>
        </w:rPr>
      </w:r>
      <w:r w:rsidR="004F364C">
        <w:rPr>
          <w:rFonts w:ascii="Palatino Linotype" w:hAnsi="Palatino Linotype"/>
          <w:sz w:val="18"/>
          <w:szCs w:val="18"/>
        </w:rPr>
        <w:fldChar w:fldCharType="separate"/>
      </w:r>
      <w:r w:rsidR="004F364C">
        <w:rPr>
          <w:rFonts w:ascii="Palatino Linotype" w:hAnsi="Palatino Linotype"/>
          <w:sz w:val="18"/>
          <w:szCs w:val="18"/>
        </w:rPr>
        <w:t>1</w:t>
      </w:r>
      <w:r w:rsidR="004F364C">
        <w:rPr>
          <w:rFonts w:ascii="Palatino Linotype" w:hAnsi="Palatino Linotype"/>
          <w:sz w:val="18"/>
          <w:szCs w:val="18"/>
        </w:rPr>
        <w:fldChar w:fldCharType="end"/>
      </w:r>
      <w:r w:rsidR="004F364C">
        <w:rPr>
          <w:rFonts w:ascii="Palatino Linotype" w:hAnsi="Palatino Linotype"/>
          <w:sz w:val="18"/>
          <w:szCs w:val="18"/>
        </w:rPr>
        <w:t>)</w:t>
      </w:r>
      <w:r w:rsidRPr="00B45515">
        <w:rPr>
          <w:rFonts w:ascii="Palatino Linotype" w:hAnsi="Palatino Linotype"/>
          <w:sz w:val="18"/>
          <w:szCs w:val="18"/>
        </w:rPr>
        <w:t xml:space="preserve"> 66</w:t>
      </w:r>
    </w:p>
  </w:footnote>
  <w:footnote w:id="46">
    <w:p w14:paraId="5A118A12" w14:textId="5FDB8689" w:rsidR="000C6E05" w:rsidRPr="006A0402" w:rsidRDefault="000C6E05" w:rsidP="006A0402">
      <w:pPr>
        <w:pStyle w:val="Heading3"/>
        <w:shd w:val="clear" w:color="auto" w:fill="FFFFFF"/>
        <w:spacing w:before="180"/>
        <w:jc w:val="both"/>
        <w:rPr>
          <w:rFonts w:ascii="Palatino Linotype" w:hAnsi="Palatino Linotype" w:cs="Arial"/>
          <w:color w:val="222222"/>
          <w:sz w:val="20"/>
          <w:szCs w:val="20"/>
        </w:rPr>
      </w:pPr>
      <w:r w:rsidRPr="006A0402">
        <w:rPr>
          <w:rStyle w:val="FootnoteReference"/>
          <w:rFonts w:ascii="Palatino Linotype" w:hAnsi="Palatino Linotype" w:cs="Times New Roman"/>
          <w:color w:val="000000" w:themeColor="text1"/>
          <w:sz w:val="20"/>
          <w:szCs w:val="20"/>
        </w:rPr>
        <w:footnoteRef/>
      </w:r>
      <w:r w:rsidR="006A0402" w:rsidRPr="006A0402">
        <w:rPr>
          <w:rFonts w:ascii="Palatino Linotype" w:hAnsi="Palatino Linotype" w:cs="Arial"/>
          <w:color w:val="000000" w:themeColor="text1"/>
          <w:sz w:val="20"/>
          <w:szCs w:val="20"/>
        </w:rPr>
        <w:t xml:space="preserve"> Oran Doyle, ‘Quarantine after international travel: legal obligations, public health advice, pervasive confusion’ </w:t>
      </w:r>
      <w:r w:rsidR="006A0402" w:rsidRPr="006A0402">
        <w:rPr>
          <w:rFonts w:ascii="Palatino Linotype" w:hAnsi="Palatino Linotype" w:cs="Times New Roman"/>
          <w:color w:val="000000" w:themeColor="text1"/>
          <w:sz w:val="20"/>
          <w:szCs w:val="20"/>
          <w:shd w:val="clear" w:color="auto" w:fill="FFFFFF"/>
        </w:rPr>
        <w:t>COVID-19 Law and Human Rights Observatory (27 July 2020)</w:t>
      </w:r>
      <w:r w:rsidRPr="006A0402">
        <w:rPr>
          <w:rFonts w:ascii="Palatino Linotype" w:hAnsi="Palatino Linotype" w:cs="Times New Roman"/>
          <w:color w:val="000000" w:themeColor="text1"/>
          <w:sz w:val="20"/>
          <w:szCs w:val="20"/>
        </w:rPr>
        <w:t xml:space="preserve"> </w:t>
      </w:r>
      <w:hyperlink r:id="rId18" w:history="1">
        <w:r w:rsidR="00E11CDC" w:rsidRPr="006A0402">
          <w:rPr>
            <w:rStyle w:val="Hyperlink"/>
            <w:rFonts w:ascii="Palatino Linotype" w:hAnsi="Palatino Linotype" w:cs="Times New Roman"/>
            <w:color w:val="000000" w:themeColor="text1"/>
            <w:sz w:val="20"/>
            <w:szCs w:val="20"/>
          </w:rPr>
          <w:t>https://tcdlaw.blogspot.com/2020/07/quarantine-after-international-travel.html</w:t>
        </w:r>
      </w:hyperlink>
      <w:r w:rsidR="00E11CDC" w:rsidRPr="006A0402">
        <w:rPr>
          <w:rFonts w:ascii="Palatino Linotype" w:hAnsi="Palatino Linotype" w:cs="Times New Roman"/>
          <w:color w:val="000000" w:themeColor="text1"/>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5778B"/>
    <w:multiLevelType w:val="hybridMultilevel"/>
    <w:tmpl w:val="96B2B2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C31DD0"/>
    <w:multiLevelType w:val="hybridMultilevel"/>
    <w:tmpl w:val="0F4C4AB8"/>
    <w:lvl w:ilvl="0" w:tplc="F564C3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496BCF"/>
    <w:multiLevelType w:val="hybridMultilevel"/>
    <w:tmpl w:val="7E42296C"/>
    <w:lvl w:ilvl="0" w:tplc="6E5403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152EB0"/>
    <w:multiLevelType w:val="hybridMultilevel"/>
    <w:tmpl w:val="94FC1FB6"/>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FA"/>
    <w:rsid w:val="000001E7"/>
    <w:rsid w:val="0000327B"/>
    <w:rsid w:val="00032338"/>
    <w:rsid w:val="000433A8"/>
    <w:rsid w:val="00044767"/>
    <w:rsid w:val="00046B7A"/>
    <w:rsid w:val="00046BFC"/>
    <w:rsid w:val="000473BA"/>
    <w:rsid w:val="000645C3"/>
    <w:rsid w:val="0009565B"/>
    <w:rsid w:val="000B59C3"/>
    <w:rsid w:val="000C00A3"/>
    <w:rsid w:val="000C5BFB"/>
    <w:rsid w:val="000C6E05"/>
    <w:rsid w:val="000D3774"/>
    <w:rsid w:val="000D7D01"/>
    <w:rsid w:val="000E3759"/>
    <w:rsid w:val="000F2D72"/>
    <w:rsid w:val="000F382F"/>
    <w:rsid w:val="0010246F"/>
    <w:rsid w:val="00111EE7"/>
    <w:rsid w:val="00114637"/>
    <w:rsid w:val="0013024A"/>
    <w:rsid w:val="00162542"/>
    <w:rsid w:val="00174417"/>
    <w:rsid w:val="001754A8"/>
    <w:rsid w:val="0018034D"/>
    <w:rsid w:val="001A039D"/>
    <w:rsid w:val="001A35AC"/>
    <w:rsid w:val="001A5053"/>
    <w:rsid w:val="001B41B8"/>
    <w:rsid w:val="001B4FCD"/>
    <w:rsid w:val="001D4A66"/>
    <w:rsid w:val="001D4D09"/>
    <w:rsid w:val="001D5DE2"/>
    <w:rsid w:val="001F10CF"/>
    <w:rsid w:val="001F3327"/>
    <w:rsid w:val="001F53B5"/>
    <w:rsid w:val="001F6D7B"/>
    <w:rsid w:val="001F7EEB"/>
    <w:rsid w:val="002011D3"/>
    <w:rsid w:val="00202AAC"/>
    <w:rsid w:val="00204F25"/>
    <w:rsid w:val="0021508F"/>
    <w:rsid w:val="0022661D"/>
    <w:rsid w:val="002421B4"/>
    <w:rsid w:val="00254E3F"/>
    <w:rsid w:val="00257810"/>
    <w:rsid w:val="00261F21"/>
    <w:rsid w:val="00262C48"/>
    <w:rsid w:val="00293DAA"/>
    <w:rsid w:val="002B20B3"/>
    <w:rsid w:val="002C1CCB"/>
    <w:rsid w:val="002F05DC"/>
    <w:rsid w:val="002F2A57"/>
    <w:rsid w:val="002F46DD"/>
    <w:rsid w:val="00321FB8"/>
    <w:rsid w:val="0033731C"/>
    <w:rsid w:val="0035303F"/>
    <w:rsid w:val="003562A1"/>
    <w:rsid w:val="0036338B"/>
    <w:rsid w:val="00370B98"/>
    <w:rsid w:val="003715AB"/>
    <w:rsid w:val="00375F20"/>
    <w:rsid w:val="00387CC4"/>
    <w:rsid w:val="003A08D0"/>
    <w:rsid w:val="003A3708"/>
    <w:rsid w:val="003F40EA"/>
    <w:rsid w:val="00406EA9"/>
    <w:rsid w:val="00410709"/>
    <w:rsid w:val="004226F0"/>
    <w:rsid w:val="00432456"/>
    <w:rsid w:val="00471265"/>
    <w:rsid w:val="00480F35"/>
    <w:rsid w:val="00492FE8"/>
    <w:rsid w:val="004968DE"/>
    <w:rsid w:val="004B2864"/>
    <w:rsid w:val="004B54A1"/>
    <w:rsid w:val="004B7E39"/>
    <w:rsid w:val="004C1F47"/>
    <w:rsid w:val="004C55DC"/>
    <w:rsid w:val="004D35BA"/>
    <w:rsid w:val="004E2551"/>
    <w:rsid w:val="004E3D87"/>
    <w:rsid w:val="004F364C"/>
    <w:rsid w:val="00502E7C"/>
    <w:rsid w:val="005034DB"/>
    <w:rsid w:val="005136B2"/>
    <w:rsid w:val="0051534B"/>
    <w:rsid w:val="005169F2"/>
    <w:rsid w:val="00530060"/>
    <w:rsid w:val="00530A60"/>
    <w:rsid w:val="00541318"/>
    <w:rsid w:val="00556BC2"/>
    <w:rsid w:val="00565805"/>
    <w:rsid w:val="0057036B"/>
    <w:rsid w:val="005723AB"/>
    <w:rsid w:val="0058538A"/>
    <w:rsid w:val="0059176A"/>
    <w:rsid w:val="00597C79"/>
    <w:rsid w:val="005B3570"/>
    <w:rsid w:val="005B4756"/>
    <w:rsid w:val="005D1145"/>
    <w:rsid w:val="00614C1C"/>
    <w:rsid w:val="006226CD"/>
    <w:rsid w:val="0067303C"/>
    <w:rsid w:val="00681670"/>
    <w:rsid w:val="00684273"/>
    <w:rsid w:val="00690921"/>
    <w:rsid w:val="006A0402"/>
    <w:rsid w:val="006A7EA2"/>
    <w:rsid w:val="006B08F1"/>
    <w:rsid w:val="006D6F02"/>
    <w:rsid w:val="006F096A"/>
    <w:rsid w:val="00705DCF"/>
    <w:rsid w:val="00723487"/>
    <w:rsid w:val="00742E9B"/>
    <w:rsid w:val="0075321F"/>
    <w:rsid w:val="00753C23"/>
    <w:rsid w:val="00767F39"/>
    <w:rsid w:val="00773626"/>
    <w:rsid w:val="007766C1"/>
    <w:rsid w:val="0078109C"/>
    <w:rsid w:val="007810F4"/>
    <w:rsid w:val="00790E9D"/>
    <w:rsid w:val="00793885"/>
    <w:rsid w:val="007A0471"/>
    <w:rsid w:val="007A0A6E"/>
    <w:rsid w:val="007A79A8"/>
    <w:rsid w:val="007C0B55"/>
    <w:rsid w:val="007C23C0"/>
    <w:rsid w:val="007C2D8F"/>
    <w:rsid w:val="00800C82"/>
    <w:rsid w:val="00811BB8"/>
    <w:rsid w:val="00815C3A"/>
    <w:rsid w:val="00823000"/>
    <w:rsid w:val="008314CE"/>
    <w:rsid w:val="0083283D"/>
    <w:rsid w:val="008502B6"/>
    <w:rsid w:val="00853C81"/>
    <w:rsid w:val="008626AF"/>
    <w:rsid w:val="00880F4E"/>
    <w:rsid w:val="00896D59"/>
    <w:rsid w:val="008B1820"/>
    <w:rsid w:val="008B1881"/>
    <w:rsid w:val="008D5DD6"/>
    <w:rsid w:val="0090592E"/>
    <w:rsid w:val="00912BD3"/>
    <w:rsid w:val="009165F8"/>
    <w:rsid w:val="009234CC"/>
    <w:rsid w:val="0092712C"/>
    <w:rsid w:val="0094052A"/>
    <w:rsid w:val="00945FEB"/>
    <w:rsid w:val="0097005B"/>
    <w:rsid w:val="009854DA"/>
    <w:rsid w:val="009B0C46"/>
    <w:rsid w:val="009B29EF"/>
    <w:rsid w:val="009C6769"/>
    <w:rsid w:val="009C79C7"/>
    <w:rsid w:val="009D4022"/>
    <w:rsid w:val="009D418B"/>
    <w:rsid w:val="009E09D9"/>
    <w:rsid w:val="009E3152"/>
    <w:rsid w:val="009F3418"/>
    <w:rsid w:val="00A057E2"/>
    <w:rsid w:val="00A20B3D"/>
    <w:rsid w:val="00A41E21"/>
    <w:rsid w:val="00A445AD"/>
    <w:rsid w:val="00A5004C"/>
    <w:rsid w:val="00A5162F"/>
    <w:rsid w:val="00A51719"/>
    <w:rsid w:val="00A80AF4"/>
    <w:rsid w:val="00A80C5D"/>
    <w:rsid w:val="00A86841"/>
    <w:rsid w:val="00A87C2A"/>
    <w:rsid w:val="00AA130F"/>
    <w:rsid w:val="00AC0241"/>
    <w:rsid w:val="00AD055B"/>
    <w:rsid w:val="00AF44EA"/>
    <w:rsid w:val="00AF4B2F"/>
    <w:rsid w:val="00B02605"/>
    <w:rsid w:val="00B073BA"/>
    <w:rsid w:val="00B07479"/>
    <w:rsid w:val="00B1218C"/>
    <w:rsid w:val="00B2274E"/>
    <w:rsid w:val="00B31B50"/>
    <w:rsid w:val="00B416CE"/>
    <w:rsid w:val="00B4320C"/>
    <w:rsid w:val="00B43E53"/>
    <w:rsid w:val="00B45515"/>
    <w:rsid w:val="00B72322"/>
    <w:rsid w:val="00B829B2"/>
    <w:rsid w:val="00BA1651"/>
    <w:rsid w:val="00BA4A45"/>
    <w:rsid w:val="00BB1F38"/>
    <w:rsid w:val="00BD211B"/>
    <w:rsid w:val="00BD6EE4"/>
    <w:rsid w:val="00BE5720"/>
    <w:rsid w:val="00BF5DB9"/>
    <w:rsid w:val="00BF725F"/>
    <w:rsid w:val="00BF7B5A"/>
    <w:rsid w:val="00C1020F"/>
    <w:rsid w:val="00C351CB"/>
    <w:rsid w:val="00C471C2"/>
    <w:rsid w:val="00C63A2C"/>
    <w:rsid w:val="00C64FC5"/>
    <w:rsid w:val="00C827C5"/>
    <w:rsid w:val="00CC01A4"/>
    <w:rsid w:val="00CC1DB7"/>
    <w:rsid w:val="00CD25D4"/>
    <w:rsid w:val="00CD5BDC"/>
    <w:rsid w:val="00CE2783"/>
    <w:rsid w:val="00CE2DC1"/>
    <w:rsid w:val="00CF0DEC"/>
    <w:rsid w:val="00CF1A5A"/>
    <w:rsid w:val="00D16F26"/>
    <w:rsid w:val="00D4323E"/>
    <w:rsid w:val="00D53A26"/>
    <w:rsid w:val="00D74BC6"/>
    <w:rsid w:val="00D76529"/>
    <w:rsid w:val="00D90691"/>
    <w:rsid w:val="00D925E6"/>
    <w:rsid w:val="00DA7B87"/>
    <w:rsid w:val="00DB536D"/>
    <w:rsid w:val="00DD026F"/>
    <w:rsid w:val="00DD39ED"/>
    <w:rsid w:val="00DD402D"/>
    <w:rsid w:val="00DE0AE2"/>
    <w:rsid w:val="00DE4376"/>
    <w:rsid w:val="00DE79D2"/>
    <w:rsid w:val="00DF2EE1"/>
    <w:rsid w:val="00E02359"/>
    <w:rsid w:val="00E05C5D"/>
    <w:rsid w:val="00E11CDC"/>
    <w:rsid w:val="00E26B15"/>
    <w:rsid w:val="00E415C3"/>
    <w:rsid w:val="00E465E4"/>
    <w:rsid w:val="00E53D5F"/>
    <w:rsid w:val="00E544F9"/>
    <w:rsid w:val="00E97ACF"/>
    <w:rsid w:val="00EA08FA"/>
    <w:rsid w:val="00EA2F24"/>
    <w:rsid w:val="00ED04B8"/>
    <w:rsid w:val="00EE78F3"/>
    <w:rsid w:val="00EF43C0"/>
    <w:rsid w:val="00EF5AF6"/>
    <w:rsid w:val="00F06690"/>
    <w:rsid w:val="00F22E98"/>
    <w:rsid w:val="00F26087"/>
    <w:rsid w:val="00F26D77"/>
    <w:rsid w:val="00F30C5A"/>
    <w:rsid w:val="00F434EA"/>
    <w:rsid w:val="00F47566"/>
    <w:rsid w:val="00F61637"/>
    <w:rsid w:val="00F675DB"/>
    <w:rsid w:val="00F702C8"/>
    <w:rsid w:val="00F71DB9"/>
    <w:rsid w:val="00F87DFF"/>
    <w:rsid w:val="00F95BB2"/>
    <w:rsid w:val="00FA1699"/>
    <w:rsid w:val="00FB3DA1"/>
    <w:rsid w:val="00FB52D0"/>
    <w:rsid w:val="00FB6FEA"/>
    <w:rsid w:val="00FC0DCE"/>
    <w:rsid w:val="00FC2DEE"/>
    <w:rsid w:val="00FD098D"/>
    <w:rsid w:val="00FF0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7953E3"/>
  <w15:chartTrackingRefBased/>
  <w15:docId w15:val="{A6D60FA9-EC6C-E74F-9EC8-FD88C896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4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54A8"/>
    <w:pPr>
      <w:spacing w:afterLines="120" w:after="288" w:line="360" w:lineRule="auto"/>
      <w:jc w:val="both"/>
      <w:outlineLvl w:val="1"/>
    </w:pPr>
    <w:rPr>
      <w:rFonts w:ascii="Calibri" w:eastAsia="Times New Roman" w:hAnsi="Calibri" w:cs="Calibri"/>
      <w:b/>
      <w:bCs/>
      <w:color w:val="000000" w:themeColor="text1"/>
      <w:lang w:eastAsia="en-GB"/>
    </w:rPr>
  </w:style>
  <w:style w:type="paragraph" w:styleId="Heading3">
    <w:name w:val="heading 3"/>
    <w:basedOn w:val="Normal"/>
    <w:next w:val="Normal"/>
    <w:link w:val="Heading3Char"/>
    <w:uiPriority w:val="9"/>
    <w:unhideWhenUsed/>
    <w:qFormat/>
    <w:rsid w:val="006A04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54A8"/>
    <w:rPr>
      <w:rFonts w:ascii="Calibri" w:eastAsia="Times New Roman" w:hAnsi="Calibri" w:cs="Calibri"/>
      <w:b/>
      <w:bCs/>
      <w:color w:val="000000" w:themeColor="text1"/>
      <w:lang w:eastAsia="en-GB"/>
    </w:rPr>
  </w:style>
  <w:style w:type="paragraph" w:styleId="FootnoteText">
    <w:name w:val="footnote text"/>
    <w:aliases w:val="Footnote Text Char2 Char,Footnote Text Char Char Char,Footnote Text Char1 Char Char Char,Footnote Text Char Char Char Char Char,Footnote Text Char1 Char Char Char Char Char,Footnote Text Char1 Char Char Char1,Ca,FA Fu,FA Fu?notentext,fn,C"/>
    <w:link w:val="FootnoteTextChar"/>
    <w:uiPriority w:val="99"/>
    <w:qFormat/>
    <w:rsid w:val="001754A8"/>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FootnoteTextChar">
    <w:name w:val="Footnote Text Char"/>
    <w:aliases w:val="Footnote Text Char2 Char Char,Footnote Text Char Char Char Char,Footnote Text Char1 Char Char Char Char,Footnote Text Char Char Char Char Char Char,Footnote Text Char1 Char Char Char Char Char Char,Ca Char,FA Fu Char,fn Char,C Char"/>
    <w:basedOn w:val="DefaultParagraphFont"/>
    <w:link w:val="FootnoteText"/>
    <w:uiPriority w:val="99"/>
    <w:rsid w:val="001754A8"/>
    <w:rPr>
      <w:rFonts w:ascii="Calibri" w:eastAsia="Calibri" w:hAnsi="Calibri" w:cs="Calibri"/>
      <w:color w:val="000000"/>
      <w:u w:color="000000"/>
      <w:bdr w:val="nil"/>
      <w:lang w:val="en-US"/>
    </w:rPr>
  </w:style>
  <w:style w:type="character" w:styleId="FootnoteReference">
    <w:name w:val="footnote reference"/>
    <w:aliases w:val="16 Point,4_G,Appel note de bas de page,BVI fnr,Footnote Reference Char Char Char,Footnote Reference Char1 Char,Footnote Reference Char3,Footnote number,Footnotes refss,Superscript 6 Point,Texto de nota al pie,f,referencia nota al pie"/>
    <w:basedOn w:val="DefaultParagraphFont"/>
    <w:uiPriority w:val="99"/>
    <w:unhideWhenUsed/>
    <w:rsid w:val="001754A8"/>
    <w:rPr>
      <w:vertAlign w:val="superscript"/>
    </w:rPr>
  </w:style>
  <w:style w:type="character" w:styleId="Hyperlink">
    <w:name w:val="Hyperlink"/>
    <w:basedOn w:val="DefaultParagraphFont"/>
    <w:uiPriority w:val="99"/>
    <w:unhideWhenUsed/>
    <w:rsid w:val="001754A8"/>
    <w:rPr>
      <w:color w:val="0000FF"/>
      <w:u w:val="single"/>
    </w:rPr>
  </w:style>
  <w:style w:type="paragraph" w:styleId="ListParagraph">
    <w:name w:val="List Paragraph"/>
    <w:basedOn w:val="Normal"/>
    <w:uiPriority w:val="34"/>
    <w:qFormat/>
    <w:rsid w:val="001754A8"/>
    <w:pPr>
      <w:ind w:left="720"/>
      <w:contextualSpacing/>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ED04B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F4B2F"/>
    <w:rPr>
      <w:color w:val="605E5C"/>
      <w:shd w:val="clear" w:color="auto" w:fill="E1DFDD"/>
    </w:rPr>
  </w:style>
  <w:style w:type="character" w:customStyle="1" w:styleId="title-text">
    <w:name w:val="title-text"/>
    <w:basedOn w:val="DefaultParagraphFont"/>
    <w:rsid w:val="009B0C46"/>
  </w:style>
  <w:style w:type="paragraph" w:customStyle="1" w:styleId="Default">
    <w:name w:val="Default"/>
    <w:rsid w:val="00D925E6"/>
    <w:pPr>
      <w:autoSpaceDE w:val="0"/>
      <w:autoSpaceDN w:val="0"/>
      <w:adjustRightInd w:val="0"/>
    </w:pPr>
    <w:rPr>
      <w:rFonts w:ascii="Deja Vu Serif" w:hAnsi="Deja Vu Serif" w:cs="Deja Vu Serif"/>
      <w:color w:val="000000"/>
    </w:rPr>
  </w:style>
  <w:style w:type="character" w:styleId="FollowedHyperlink">
    <w:name w:val="FollowedHyperlink"/>
    <w:basedOn w:val="DefaultParagraphFont"/>
    <w:uiPriority w:val="99"/>
    <w:semiHidden/>
    <w:unhideWhenUsed/>
    <w:rsid w:val="00DB536D"/>
    <w:rPr>
      <w:color w:val="954F72" w:themeColor="followedHyperlink"/>
      <w:u w:val="single"/>
    </w:rPr>
  </w:style>
  <w:style w:type="character" w:styleId="Emphasis">
    <w:name w:val="Emphasis"/>
    <w:basedOn w:val="DefaultParagraphFont"/>
    <w:uiPriority w:val="20"/>
    <w:qFormat/>
    <w:rsid w:val="001D5DE2"/>
    <w:rPr>
      <w:i/>
      <w:iCs/>
    </w:rPr>
  </w:style>
  <w:style w:type="character" w:customStyle="1" w:styleId="smallcaps">
    <w:name w:val="smallcaps"/>
    <w:basedOn w:val="DefaultParagraphFont"/>
    <w:rsid w:val="001D5DE2"/>
  </w:style>
  <w:style w:type="paragraph" w:styleId="Header">
    <w:name w:val="header"/>
    <w:basedOn w:val="Normal"/>
    <w:link w:val="HeaderChar"/>
    <w:uiPriority w:val="99"/>
    <w:unhideWhenUsed/>
    <w:rsid w:val="00C351CB"/>
    <w:pPr>
      <w:tabs>
        <w:tab w:val="center" w:pos="4513"/>
        <w:tab w:val="right" w:pos="9026"/>
      </w:tabs>
    </w:pPr>
  </w:style>
  <w:style w:type="character" w:customStyle="1" w:styleId="HeaderChar">
    <w:name w:val="Header Char"/>
    <w:basedOn w:val="DefaultParagraphFont"/>
    <w:link w:val="Header"/>
    <w:uiPriority w:val="99"/>
    <w:rsid w:val="00C351CB"/>
  </w:style>
  <w:style w:type="paragraph" w:styleId="Footer">
    <w:name w:val="footer"/>
    <w:basedOn w:val="Normal"/>
    <w:link w:val="FooterChar"/>
    <w:uiPriority w:val="99"/>
    <w:unhideWhenUsed/>
    <w:rsid w:val="00C351CB"/>
    <w:pPr>
      <w:tabs>
        <w:tab w:val="center" w:pos="4513"/>
        <w:tab w:val="right" w:pos="9026"/>
      </w:tabs>
    </w:pPr>
  </w:style>
  <w:style w:type="character" w:customStyle="1" w:styleId="FooterChar">
    <w:name w:val="Footer Char"/>
    <w:basedOn w:val="DefaultParagraphFont"/>
    <w:link w:val="Footer"/>
    <w:uiPriority w:val="99"/>
    <w:rsid w:val="00C351CB"/>
  </w:style>
  <w:style w:type="character" w:styleId="PageNumber">
    <w:name w:val="page number"/>
    <w:basedOn w:val="DefaultParagraphFont"/>
    <w:uiPriority w:val="99"/>
    <w:semiHidden/>
    <w:unhideWhenUsed/>
    <w:rsid w:val="0078109C"/>
  </w:style>
  <w:style w:type="character" w:customStyle="1" w:styleId="Heading3Char">
    <w:name w:val="Heading 3 Char"/>
    <w:basedOn w:val="DefaultParagraphFont"/>
    <w:link w:val="Heading3"/>
    <w:uiPriority w:val="9"/>
    <w:rsid w:val="006A040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4228">
      <w:bodyDiv w:val="1"/>
      <w:marLeft w:val="0"/>
      <w:marRight w:val="0"/>
      <w:marTop w:val="0"/>
      <w:marBottom w:val="0"/>
      <w:divBdr>
        <w:top w:val="none" w:sz="0" w:space="0" w:color="auto"/>
        <w:left w:val="none" w:sz="0" w:space="0" w:color="auto"/>
        <w:bottom w:val="none" w:sz="0" w:space="0" w:color="auto"/>
        <w:right w:val="none" w:sz="0" w:space="0" w:color="auto"/>
      </w:divBdr>
    </w:div>
    <w:div w:id="431242258">
      <w:bodyDiv w:val="1"/>
      <w:marLeft w:val="0"/>
      <w:marRight w:val="0"/>
      <w:marTop w:val="0"/>
      <w:marBottom w:val="0"/>
      <w:divBdr>
        <w:top w:val="none" w:sz="0" w:space="0" w:color="auto"/>
        <w:left w:val="none" w:sz="0" w:space="0" w:color="auto"/>
        <w:bottom w:val="none" w:sz="0" w:space="0" w:color="auto"/>
        <w:right w:val="none" w:sz="0" w:space="0" w:color="auto"/>
      </w:divBdr>
    </w:div>
    <w:div w:id="525018464">
      <w:bodyDiv w:val="1"/>
      <w:marLeft w:val="0"/>
      <w:marRight w:val="0"/>
      <w:marTop w:val="0"/>
      <w:marBottom w:val="0"/>
      <w:divBdr>
        <w:top w:val="none" w:sz="0" w:space="0" w:color="auto"/>
        <w:left w:val="none" w:sz="0" w:space="0" w:color="auto"/>
        <w:bottom w:val="none" w:sz="0" w:space="0" w:color="auto"/>
        <w:right w:val="none" w:sz="0" w:space="0" w:color="auto"/>
      </w:divBdr>
    </w:div>
    <w:div w:id="987325673">
      <w:bodyDiv w:val="1"/>
      <w:marLeft w:val="0"/>
      <w:marRight w:val="0"/>
      <w:marTop w:val="0"/>
      <w:marBottom w:val="0"/>
      <w:divBdr>
        <w:top w:val="none" w:sz="0" w:space="0" w:color="auto"/>
        <w:left w:val="none" w:sz="0" w:space="0" w:color="auto"/>
        <w:bottom w:val="none" w:sz="0" w:space="0" w:color="auto"/>
        <w:right w:val="none" w:sz="0" w:space="0" w:color="auto"/>
      </w:divBdr>
    </w:div>
    <w:div w:id="1044478688">
      <w:bodyDiv w:val="1"/>
      <w:marLeft w:val="0"/>
      <w:marRight w:val="0"/>
      <w:marTop w:val="0"/>
      <w:marBottom w:val="0"/>
      <w:divBdr>
        <w:top w:val="none" w:sz="0" w:space="0" w:color="auto"/>
        <w:left w:val="none" w:sz="0" w:space="0" w:color="auto"/>
        <w:bottom w:val="none" w:sz="0" w:space="0" w:color="auto"/>
        <w:right w:val="none" w:sz="0" w:space="0" w:color="auto"/>
      </w:divBdr>
    </w:div>
    <w:div w:id="1392462325">
      <w:bodyDiv w:val="1"/>
      <w:marLeft w:val="0"/>
      <w:marRight w:val="0"/>
      <w:marTop w:val="0"/>
      <w:marBottom w:val="0"/>
      <w:divBdr>
        <w:top w:val="none" w:sz="0" w:space="0" w:color="auto"/>
        <w:left w:val="none" w:sz="0" w:space="0" w:color="auto"/>
        <w:bottom w:val="none" w:sz="0" w:space="0" w:color="auto"/>
        <w:right w:val="none" w:sz="0" w:space="0" w:color="auto"/>
      </w:divBdr>
    </w:div>
    <w:div w:id="1397509212">
      <w:bodyDiv w:val="1"/>
      <w:marLeft w:val="0"/>
      <w:marRight w:val="0"/>
      <w:marTop w:val="0"/>
      <w:marBottom w:val="0"/>
      <w:divBdr>
        <w:top w:val="none" w:sz="0" w:space="0" w:color="auto"/>
        <w:left w:val="none" w:sz="0" w:space="0" w:color="auto"/>
        <w:bottom w:val="none" w:sz="0" w:space="0" w:color="auto"/>
        <w:right w:val="none" w:sz="0" w:space="0" w:color="auto"/>
      </w:divBdr>
    </w:div>
    <w:div w:id="1697654867">
      <w:bodyDiv w:val="1"/>
      <w:marLeft w:val="0"/>
      <w:marRight w:val="0"/>
      <w:marTop w:val="0"/>
      <w:marBottom w:val="0"/>
      <w:divBdr>
        <w:top w:val="none" w:sz="0" w:space="0" w:color="auto"/>
        <w:left w:val="none" w:sz="0" w:space="0" w:color="auto"/>
        <w:bottom w:val="none" w:sz="0" w:space="0" w:color="auto"/>
        <w:right w:val="none" w:sz="0" w:space="0" w:color="auto"/>
      </w:divBdr>
    </w:div>
    <w:div w:id="192795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ip.law.upenn.edu/penn_law_review/vol164/iss7/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rishtimes.com/news/ireland/irish-news/cocooning-is-advisory-not-mandatory-government-confirms-1.4229569" TargetMode="External"/><Relationship Id="rId13" Type="http://schemas.openxmlformats.org/officeDocument/2006/relationships/hyperlink" Target="https://www.thejournal.ie/priests-cant-be-arrested-mass-ireland-coronavirus-5254820-Nov2020/" TargetMode="External"/><Relationship Id="rId18" Type="http://schemas.openxmlformats.org/officeDocument/2006/relationships/hyperlink" Target="https://tcdlaw.blogspot.com/2020/07/quarantine-after-international-travel.html" TargetMode="External"/><Relationship Id="rId3" Type="http://schemas.openxmlformats.org/officeDocument/2006/relationships/hyperlink" Target="http://www.justice.ie/en/JELR/Pages/PR21000065" TargetMode="External"/><Relationship Id="rId7" Type="http://schemas.openxmlformats.org/officeDocument/2006/relationships/hyperlink" Target="https://www.hse.ie/eng/services/news/newsfeatures/covid19-updates/partner-resources/a-guide-to-cocooning-easy-read-.pdf" TargetMode="External"/><Relationship Id="rId12" Type="http://schemas.openxmlformats.org/officeDocument/2006/relationships/hyperlink" Target="https://tcdlaw.blogspot.com/2021/03/religious-services-and-rule-of-law.html" TargetMode="External"/><Relationship Id="rId17" Type="http://schemas.openxmlformats.org/officeDocument/2006/relationships/hyperlink" Target="https://tcdlaw.blogspot.com/2021/04/the-evolution-of-legal-prohibitions-on.html" TargetMode="External"/><Relationship Id="rId2" Type="http://schemas.openxmlformats.org/officeDocument/2006/relationships/hyperlink" Target="https://www.gov.ie/en/press-release/0bd80-new-public-health-measures-announced-the-path-ahead/" TargetMode="External"/><Relationship Id="rId16" Type="http://schemas.openxmlformats.org/officeDocument/2006/relationships/hyperlink" Target="https://www.thejournal.ie/readme/level-5-religious-services-5397140-Apr2021/" TargetMode="External"/><Relationship Id="rId1" Type="http://schemas.openxmlformats.org/officeDocument/2006/relationships/hyperlink" Target="https://verfassungsblog.de/pandemic-response-as-accentuation-of-existing-characteristics-vague-requirements-and-executive-dominance-in-ireland/" TargetMode="External"/><Relationship Id="rId6" Type="http://schemas.openxmlformats.org/officeDocument/2006/relationships/hyperlink" Target="https://www.gov.ie/en/collection/1f150-view-statutory-instruments-related-to-the-covid-19-pandemic/" TargetMode="External"/><Relationship Id="rId11" Type="http://schemas.openxmlformats.org/officeDocument/2006/relationships/hyperlink" Target="https://www.bailii.org/ie/cases/IEHC/2020/2020IEHC461.html" TargetMode="External"/><Relationship Id="rId5" Type="http://schemas.openxmlformats.org/officeDocument/2006/relationships/hyperlink" Target="http://www.irishstatutebook.ie/eli/2020/si/206/made/en/print?q=health+act+1947&amp;years=2020" TargetMode="External"/><Relationship Id="rId15" Type="http://schemas.openxmlformats.org/officeDocument/2006/relationships/hyperlink" Target="https://www.irishtimes.com/news/crime-and-law/courts/high-court/state-asked-to-clarify-basis-for-covid-19-restrictions-on-attending-mass-1.4518152" TargetMode="External"/><Relationship Id="rId10" Type="http://schemas.openxmlformats.org/officeDocument/2006/relationships/hyperlink" Target="https://www.gov.ie/en/publication/ab900-covid-19-passenger-locator-form/" TargetMode="External"/><Relationship Id="rId4" Type="http://schemas.openxmlformats.org/officeDocument/2006/relationships/hyperlink" Target="https://www.gov.ie/en/collection/339eb-ministers-speeches/" TargetMode="External"/><Relationship Id="rId9" Type="http://schemas.openxmlformats.org/officeDocument/2006/relationships/hyperlink" Target="https://www.irishtimes.com/news/science/blanket-cocooning-for-over-70s-has-done-more-harm-than-good-1.4254477" TargetMode="External"/><Relationship Id="rId14" Type="http://schemas.openxmlformats.org/officeDocument/2006/relationships/hyperlink" Target="https://www.irishtimes.com/news/social-affairs/garda%C3%AD-give-last-warning-to-parish-priest-over-open-door-mass-1.4414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AA10F-25A1-AD47-9990-B48123AF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3398</Words>
  <Characters>19439</Characters>
  <Application>Microsoft Office Word</Application>
  <DocSecurity>0</DocSecurity>
  <Lines>347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Casey</dc:creator>
  <cp:keywords/>
  <dc:description/>
  <cp:lastModifiedBy>Casey, Conor</cp:lastModifiedBy>
  <cp:revision>3</cp:revision>
  <dcterms:created xsi:type="dcterms:W3CDTF">2021-10-17T15:17:00Z</dcterms:created>
  <dcterms:modified xsi:type="dcterms:W3CDTF">2022-02-08T14:50:00Z</dcterms:modified>
</cp:coreProperties>
</file>