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14B1" w14:textId="60FF6952" w:rsidR="00C922D6" w:rsidRPr="0013360C" w:rsidRDefault="00D5578A" w:rsidP="00B72556">
      <w:pPr>
        <w:spacing w:line="360" w:lineRule="auto"/>
        <w:jc w:val="both"/>
        <w:rPr>
          <w:rFonts w:ascii="Century" w:eastAsia="Times New Roman" w:hAnsi="Century" w:cs="Times New Roman"/>
          <w:b/>
          <w:bCs/>
          <w:color w:val="000000" w:themeColor="text1"/>
          <w:lang w:val="en-GB" w:eastAsia="en-GB"/>
        </w:rPr>
      </w:pPr>
      <w:r w:rsidRPr="0013360C">
        <w:rPr>
          <w:rFonts w:ascii="Century" w:hAnsi="Century" w:cs="Times New Roman"/>
          <w:b/>
          <w:bCs/>
          <w:color w:val="000000" w:themeColor="text1"/>
        </w:rPr>
        <w:t>The Supreme Court</w:t>
      </w:r>
      <w:r w:rsidR="008A2CFD" w:rsidRPr="0013360C">
        <w:rPr>
          <w:rFonts w:ascii="Century" w:hAnsi="Century" w:cs="Times New Roman"/>
          <w:b/>
          <w:bCs/>
          <w:color w:val="000000" w:themeColor="text1"/>
        </w:rPr>
        <w:t xml:space="preserve"> and the</w:t>
      </w:r>
      <w:r w:rsidR="003F6FC3">
        <w:rPr>
          <w:rFonts w:ascii="Century" w:hAnsi="Century" w:cs="Times New Roman"/>
          <w:b/>
          <w:bCs/>
          <w:color w:val="000000" w:themeColor="text1"/>
        </w:rPr>
        <w:t xml:space="preserve"> Reformation of the</w:t>
      </w:r>
      <w:r w:rsidR="008A2CFD" w:rsidRPr="0013360C">
        <w:rPr>
          <w:rFonts w:ascii="Century" w:hAnsi="Century" w:cs="Times New Roman"/>
          <w:b/>
          <w:bCs/>
          <w:color w:val="000000" w:themeColor="text1"/>
        </w:rPr>
        <w:t xml:space="preserve"> Non-Delegation Doctrine</w:t>
      </w:r>
      <w:r w:rsidR="003F6FC3">
        <w:rPr>
          <w:rFonts w:ascii="Century" w:hAnsi="Century" w:cs="Times New Roman"/>
          <w:b/>
          <w:bCs/>
          <w:color w:val="000000" w:themeColor="text1"/>
        </w:rPr>
        <w:t xml:space="preserve">: </w:t>
      </w:r>
      <w:proofErr w:type="spellStart"/>
      <w:r w:rsidR="0013360C" w:rsidRPr="0013360C">
        <w:rPr>
          <w:rFonts w:ascii="Century" w:eastAsia="Times New Roman" w:hAnsi="Century" w:cs="Open Sans"/>
          <w:b/>
          <w:bCs/>
          <w:i/>
          <w:iCs/>
          <w:color w:val="000000" w:themeColor="text1"/>
          <w:shd w:val="clear" w:color="auto" w:fill="FFFFFF"/>
          <w:lang w:val="en-GB" w:eastAsia="en-GB"/>
        </w:rPr>
        <w:t>Náisiunta</w:t>
      </w:r>
      <w:proofErr w:type="spellEnd"/>
      <w:r w:rsidR="0013360C" w:rsidRPr="0013360C">
        <w:rPr>
          <w:rFonts w:ascii="Century" w:eastAsia="Times New Roman" w:hAnsi="Century" w:cs="Open Sans"/>
          <w:b/>
          <w:bCs/>
          <w:i/>
          <w:iCs/>
          <w:color w:val="000000" w:themeColor="text1"/>
          <w:shd w:val="clear" w:color="auto" w:fill="FFFFFF"/>
          <w:lang w:val="en-GB" w:eastAsia="en-GB"/>
        </w:rPr>
        <w:t xml:space="preserve"> </w:t>
      </w:r>
      <w:proofErr w:type="spellStart"/>
      <w:r w:rsidR="0013360C" w:rsidRPr="0013360C">
        <w:rPr>
          <w:rFonts w:ascii="Century" w:eastAsia="Times New Roman" w:hAnsi="Century" w:cs="Open Sans"/>
          <w:b/>
          <w:bCs/>
          <w:i/>
          <w:iCs/>
          <w:color w:val="000000" w:themeColor="text1"/>
          <w:shd w:val="clear" w:color="auto" w:fill="FFFFFF"/>
          <w:lang w:val="en-GB" w:eastAsia="en-GB"/>
        </w:rPr>
        <w:t>Leictreacht</w:t>
      </w:r>
      <w:proofErr w:type="spellEnd"/>
      <w:r w:rsidR="0013360C" w:rsidRPr="0013360C">
        <w:rPr>
          <w:rFonts w:ascii="Century" w:eastAsia="Times New Roman" w:hAnsi="Century" w:cs="Open Sans"/>
          <w:b/>
          <w:bCs/>
          <w:color w:val="000000" w:themeColor="text1"/>
          <w:shd w:val="clear" w:color="auto" w:fill="FFFFFF"/>
          <w:lang w:val="en-GB" w:eastAsia="en-GB"/>
        </w:rPr>
        <w:t> </w:t>
      </w:r>
      <w:r w:rsidR="008A2CFD" w:rsidRPr="0013360C">
        <w:rPr>
          <w:rFonts w:ascii="Century" w:hAnsi="Century" w:cs="Times New Roman"/>
          <w:b/>
          <w:bCs/>
          <w:i/>
          <w:iCs/>
          <w:color w:val="000000" w:themeColor="text1"/>
        </w:rPr>
        <w:t xml:space="preserve">v </w:t>
      </w:r>
      <w:r w:rsidR="003F6FC3">
        <w:rPr>
          <w:rFonts w:ascii="Century" w:hAnsi="Century" w:cs="Times New Roman"/>
          <w:b/>
          <w:bCs/>
          <w:i/>
          <w:iCs/>
          <w:color w:val="000000" w:themeColor="text1"/>
        </w:rPr>
        <w:t xml:space="preserve">The </w:t>
      </w:r>
      <w:proofErr w:type="spellStart"/>
      <w:r w:rsidR="008A2CFD" w:rsidRPr="0013360C">
        <w:rPr>
          <w:rFonts w:ascii="Century" w:hAnsi="Century" w:cs="Times New Roman"/>
          <w:b/>
          <w:bCs/>
          <w:i/>
          <w:iCs/>
          <w:color w:val="000000" w:themeColor="text1"/>
        </w:rPr>
        <w:t>Labour</w:t>
      </w:r>
      <w:proofErr w:type="spellEnd"/>
      <w:r w:rsidR="008A2CFD" w:rsidRPr="0013360C">
        <w:rPr>
          <w:rFonts w:ascii="Century" w:hAnsi="Century" w:cs="Times New Roman"/>
          <w:b/>
          <w:bCs/>
          <w:i/>
          <w:iCs/>
          <w:color w:val="000000" w:themeColor="text1"/>
        </w:rPr>
        <w:t xml:space="preserve"> Court, Minister for Business Enterprise, and Ireland</w:t>
      </w:r>
      <w:r w:rsidR="0080546A" w:rsidRPr="0013360C">
        <w:rPr>
          <w:rFonts w:ascii="Century" w:hAnsi="Century" w:cs="Times New Roman"/>
          <w:b/>
          <w:bCs/>
          <w:i/>
          <w:iCs/>
          <w:color w:val="000000" w:themeColor="text1"/>
        </w:rPr>
        <w:t xml:space="preserve"> </w:t>
      </w:r>
      <w:r w:rsidR="0080546A" w:rsidRPr="0013360C">
        <w:rPr>
          <w:rFonts w:ascii="Century" w:hAnsi="Century" w:cs="Times New Roman"/>
          <w:b/>
          <w:bCs/>
          <w:color w:val="000000" w:themeColor="text1"/>
        </w:rPr>
        <w:t>[2021] IESC 36</w:t>
      </w:r>
      <w:r w:rsidR="00EC4318" w:rsidRPr="0013360C">
        <w:rPr>
          <w:rFonts w:ascii="Century" w:hAnsi="Century" w:cs="Times New Roman"/>
          <w:b/>
          <w:bCs/>
          <w:color w:val="000000" w:themeColor="text1"/>
        </w:rPr>
        <w:t>.</w:t>
      </w:r>
    </w:p>
    <w:p w14:paraId="009C3C35" w14:textId="04BE7142" w:rsidR="00D5578A" w:rsidRPr="00B96ED6" w:rsidRDefault="00D5578A" w:rsidP="007600CC">
      <w:pPr>
        <w:spacing w:line="360" w:lineRule="auto"/>
        <w:jc w:val="both"/>
        <w:rPr>
          <w:rFonts w:ascii="Century" w:hAnsi="Century" w:cs="Times New Roman"/>
        </w:rPr>
      </w:pPr>
    </w:p>
    <w:p w14:paraId="552C4683" w14:textId="16D32F9E" w:rsidR="006B3C43" w:rsidRPr="00411404" w:rsidRDefault="006B3C43" w:rsidP="007600CC">
      <w:pPr>
        <w:spacing w:line="360" w:lineRule="auto"/>
        <w:jc w:val="both"/>
        <w:rPr>
          <w:rFonts w:ascii="Century" w:hAnsi="Century" w:cs="Times New Roman"/>
        </w:rPr>
      </w:pPr>
      <w:r w:rsidRPr="00411404">
        <w:rPr>
          <w:rFonts w:ascii="Century" w:hAnsi="Century" w:cs="Times New Roman"/>
        </w:rPr>
        <w:t>Conor Casey</w:t>
      </w:r>
      <w:r w:rsidR="003B3EF1" w:rsidRPr="00411404">
        <w:rPr>
          <w:rStyle w:val="FootnoteReference"/>
          <w:rFonts w:ascii="Century" w:hAnsi="Century" w:cs="Times New Roman"/>
        </w:rPr>
        <w:footnoteReference w:id="1"/>
      </w:r>
    </w:p>
    <w:p w14:paraId="0837AD0D" w14:textId="1587620C" w:rsidR="007600CC" w:rsidRPr="00B96ED6" w:rsidRDefault="007600CC" w:rsidP="007600CC">
      <w:pPr>
        <w:spacing w:line="360" w:lineRule="auto"/>
        <w:jc w:val="both"/>
        <w:rPr>
          <w:rFonts w:ascii="Century" w:hAnsi="Century" w:cs="Times New Roman"/>
        </w:rPr>
      </w:pPr>
    </w:p>
    <w:p w14:paraId="5F05FA23" w14:textId="5E5563BB" w:rsidR="003E5F73" w:rsidRPr="00B96ED6" w:rsidRDefault="007600CC" w:rsidP="007600CC">
      <w:pPr>
        <w:spacing w:line="360" w:lineRule="auto"/>
        <w:jc w:val="both"/>
        <w:rPr>
          <w:rFonts w:ascii="Century" w:hAnsi="Century" w:cs="Times New Roman"/>
          <w:b/>
          <w:bCs/>
        </w:rPr>
      </w:pPr>
      <w:r w:rsidRPr="00B96ED6">
        <w:rPr>
          <w:rFonts w:ascii="Century" w:hAnsi="Century" w:cs="Times New Roman"/>
          <w:b/>
          <w:bCs/>
        </w:rPr>
        <w:t>Introduction</w:t>
      </w:r>
    </w:p>
    <w:p w14:paraId="37F141EF" w14:textId="247F50CB" w:rsidR="00862831" w:rsidRDefault="00826E56" w:rsidP="00E81877">
      <w:pPr>
        <w:spacing w:line="480" w:lineRule="auto"/>
        <w:jc w:val="both"/>
        <w:rPr>
          <w:rFonts w:ascii="Century" w:hAnsi="Century"/>
          <w:color w:val="000000"/>
          <w:shd w:val="clear" w:color="auto" w:fill="FFFFFF"/>
        </w:rPr>
      </w:pPr>
      <w:r>
        <w:rPr>
          <w:rFonts w:ascii="Century" w:hAnsi="Century"/>
          <w:color w:val="000000"/>
          <w:shd w:val="clear" w:color="auto" w:fill="FFFFFF"/>
        </w:rPr>
        <w:t>The vesting of broad</w:t>
      </w:r>
      <w:r w:rsidR="003E5F73" w:rsidRPr="00B96ED6">
        <w:rPr>
          <w:rFonts w:ascii="Century" w:hAnsi="Century"/>
          <w:color w:val="000000"/>
          <w:shd w:val="clear" w:color="auto" w:fill="FFFFFF"/>
        </w:rPr>
        <w:t xml:space="preserve"> rulemaking authority</w:t>
      </w:r>
      <w:r w:rsidR="00DE21BC" w:rsidRPr="00B96ED6">
        <w:rPr>
          <w:rFonts w:ascii="Century" w:hAnsi="Century"/>
          <w:color w:val="000000"/>
          <w:shd w:val="clear" w:color="auto" w:fill="FFFFFF"/>
        </w:rPr>
        <w:t xml:space="preserve"> </w:t>
      </w:r>
      <w:r>
        <w:rPr>
          <w:rFonts w:ascii="Century" w:hAnsi="Century"/>
          <w:color w:val="000000"/>
          <w:shd w:val="clear" w:color="auto" w:fill="FFFFFF"/>
        </w:rPr>
        <w:t>in</w:t>
      </w:r>
      <w:r w:rsidR="00DE21BC" w:rsidRPr="00B96ED6">
        <w:rPr>
          <w:rFonts w:ascii="Century" w:hAnsi="Century"/>
          <w:color w:val="000000"/>
          <w:shd w:val="clear" w:color="auto" w:fill="FFFFFF"/>
        </w:rPr>
        <w:t xml:space="preserve"> the </w:t>
      </w:r>
      <w:r w:rsidR="001156E1">
        <w:rPr>
          <w:rFonts w:ascii="Century" w:hAnsi="Century"/>
          <w:color w:val="000000"/>
          <w:shd w:val="clear" w:color="auto" w:fill="FFFFFF"/>
        </w:rPr>
        <w:t>Government</w:t>
      </w:r>
      <w:r w:rsidR="00DE21BC" w:rsidRPr="00B96ED6">
        <w:rPr>
          <w:rFonts w:ascii="Century" w:hAnsi="Century"/>
          <w:color w:val="000000"/>
          <w:shd w:val="clear" w:color="auto" w:fill="FFFFFF"/>
        </w:rPr>
        <w:t xml:space="preserve"> and administrative bodies</w:t>
      </w:r>
      <w:r>
        <w:rPr>
          <w:rFonts w:ascii="Century" w:hAnsi="Century"/>
          <w:color w:val="000000"/>
          <w:shd w:val="clear" w:color="auto" w:fill="FFFFFF"/>
        </w:rPr>
        <w:t xml:space="preserve"> by the Oireachtas</w:t>
      </w:r>
      <w:r w:rsidR="003E5F73" w:rsidRPr="00B96ED6">
        <w:rPr>
          <w:rFonts w:ascii="Century" w:hAnsi="Century"/>
          <w:color w:val="000000"/>
          <w:shd w:val="clear" w:color="auto" w:fill="FFFFFF"/>
        </w:rPr>
        <w:t xml:space="preserve"> has been a staple of our constitutional order for over 80 years.</w:t>
      </w:r>
      <w:bookmarkStart w:id="0" w:name="_Ref85194880"/>
      <w:r w:rsidR="003B5932" w:rsidRPr="00B96ED6">
        <w:rPr>
          <w:rStyle w:val="FootnoteReference"/>
          <w:rFonts w:ascii="Century" w:hAnsi="Century"/>
          <w:color w:val="000000"/>
          <w:shd w:val="clear" w:color="auto" w:fill="FFFFFF"/>
        </w:rPr>
        <w:footnoteReference w:id="2"/>
      </w:r>
      <w:bookmarkEnd w:id="0"/>
      <w:r w:rsidR="003E5F73" w:rsidRPr="00B96ED6">
        <w:rPr>
          <w:rFonts w:ascii="Century" w:hAnsi="Century"/>
          <w:color w:val="000000"/>
          <w:shd w:val="clear" w:color="auto" w:fill="FFFFFF"/>
        </w:rPr>
        <w:t xml:space="preserve"> </w:t>
      </w:r>
      <w:r>
        <w:rPr>
          <w:rFonts w:ascii="Century" w:hAnsi="Century"/>
          <w:color w:val="000000"/>
          <w:shd w:val="clear" w:color="auto" w:fill="FFFFFF"/>
        </w:rPr>
        <w:t>D</w:t>
      </w:r>
      <w:r w:rsidR="003E5F73" w:rsidRPr="00B96ED6">
        <w:rPr>
          <w:rFonts w:ascii="Century" w:hAnsi="Century"/>
          <w:color w:val="000000"/>
          <w:shd w:val="clear" w:color="auto" w:fill="FFFFFF"/>
        </w:rPr>
        <w:t>espite being</w:t>
      </w:r>
      <w:r w:rsidR="00687B32">
        <w:rPr>
          <w:rFonts w:ascii="Century" w:hAnsi="Century"/>
          <w:color w:val="000000"/>
          <w:shd w:val="clear" w:color="auto" w:fill="FFFFFF"/>
        </w:rPr>
        <w:t xml:space="preserve"> such a</w:t>
      </w:r>
      <w:r w:rsidR="003E5F73" w:rsidRPr="00B96ED6">
        <w:rPr>
          <w:rFonts w:ascii="Century" w:hAnsi="Century"/>
          <w:color w:val="000000"/>
          <w:shd w:val="clear" w:color="auto" w:fill="FFFFFF"/>
        </w:rPr>
        <w:t xml:space="preserve"> deeply entrenched</w:t>
      </w:r>
      <w:r w:rsidR="00687B32">
        <w:rPr>
          <w:rFonts w:ascii="Century" w:hAnsi="Century"/>
          <w:color w:val="000000"/>
          <w:shd w:val="clear" w:color="auto" w:fill="FFFFFF"/>
        </w:rPr>
        <w:t xml:space="preserve"> practice</w:t>
      </w:r>
      <w:r w:rsidR="003E5F73" w:rsidRPr="00B96ED6">
        <w:rPr>
          <w:rFonts w:ascii="Century" w:hAnsi="Century"/>
          <w:color w:val="000000"/>
          <w:shd w:val="clear" w:color="auto" w:fill="FFFFFF"/>
        </w:rPr>
        <w:t>, it has sat in a position of ambivalence, even tension, with judicial interpretation of Article 15.</w:t>
      </w:r>
      <w:r w:rsidR="00D51C20">
        <w:rPr>
          <w:rFonts w:ascii="Century" w:hAnsi="Century"/>
          <w:color w:val="000000"/>
          <w:shd w:val="clear" w:color="auto" w:fill="FFFFFF"/>
        </w:rPr>
        <w:t>2.1.</w:t>
      </w:r>
      <w:r w:rsidR="003E5F73" w:rsidRPr="00B96ED6">
        <w:rPr>
          <w:rFonts w:ascii="Century" w:hAnsi="Century"/>
          <w:color w:val="000000"/>
          <w:shd w:val="clear" w:color="auto" w:fill="FFFFFF"/>
        </w:rPr>
        <w:t xml:space="preserve"> </w:t>
      </w:r>
      <w:r w:rsidR="005D54D2" w:rsidRPr="00B96ED6">
        <w:rPr>
          <w:rFonts w:ascii="Century" w:hAnsi="Century"/>
          <w:color w:val="000000"/>
          <w:shd w:val="clear" w:color="auto" w:fill="FFFFFF"/>
        </w:rPr>
        <w:t>Article 15 jurisprudence has struggled to reconcile competing principles</w:t>
      </w:r>
      <w:r>
        <w:rPr>
          <w:rFonts w:ascii="Century" w:hAnsi="Century"/>
          <w:color w:val="000000"/>
          <w:shd w:val="clear" w:color="auto" w:fill="FFFFFF"/>
        </w:rPr>
        <w:t xml:space="preserve"> and considerations</w:t>
      </w:r>
      <w:r w:rsidR="005D54D2" w:rsidRPr="00B96ED6">
        <w:rPr>
          <w:rFonts w:ascii="Century" w:hAnsi="Century"/>
          <w:color w:val="000000"/>
          <w:shd w:val="clear" w:color="auto" w:fill="FFFFFF"/>
        </w:rPr>
        <w:t>. Namely,</w:t>
      </w:r>
      <w:r w:rsidR="00F4401D">
        <w:rPr>
          <w:rFonts w:ascii="Century" w:hAnsi="Century"/>
          <w:color w:val="000000"/>
          <w:shd w:val="clear" w:color="auto" w:fill="FFFFFF"/>
        </w:rPr>
        <w:t xml:space="preserve"> the</w:t>
      </w:r>
      <w:r w:rsidR="005D54D2" w:rsidRPr="00B96ED6">
        <w:rPr>
          <w:rFonts w:ascii="Century" w:hAnsi="Century"/>
          <w:color w:val="000000"/>
          <w:shd w:val="clear" w:color="auto" w:fill="FFFFFF"/>
        </w:rPr>
        <w:t xml:space="preserve"> paramountcy of parliamentary law-making on the one hand, and accommodating vast swathes of</w:t>
      </w:r>
      <w:r w:rsidR="00F4401D">
        <w:rPr>
          <w:rFonts w:ascii="Century" w:hAnsi="Century"/>
          <w:color w:val="000000"/>
          <w:shd w:val="clear" w:color="auto" w:fill="FFFFFF"/>
        </w:rPr>
        <w:t xml:space="preserve"> </w:t>
      </w:r>
      <w:r w:rsidR="00E87AA7">
        <w:rPr>
          <w:rFonts w:ascii="Century" w:hAnsi="Century"/>
          <w:color w:val="000000"/>
          <w:shd w:val="clear" w:color="auto" w:fill="FFFFFF"/>
        </w:rPr>
        <w:t>s</w:t>
      </w:r>
      <w:r w:rsidR="00F4401D">
        <w:rPr>
          <w:rFonts w:ascii="Century" w:hAnsi="Century"/>
          <w:color w:val="000000"/>
          <w:shd w:val="clear" w:color="auto" w:fill="FFFFFF"/>
        </w:rPr>
        <w:t>tate</w:t>
      </w:r>
      <w:r w:rsidR="005D54D2" w:rsidRPr="00B96ED6">
        <w:rPr>
          <w:rFonts w:ascii="Century" w:hAnsi="Century"/>
          <w:color w:val="000000"/>
          <w:shd w:val="clear" w:color="auto" w:fill="FFFFFF"/>
        </w:rPr>
        <w:t xml:space="preserve"> </w:t>
      </w:r>
      <w:r w:rsidR="00F4401D">
        <w:rPr>
          <w:rFonts w:ascii="Century" w:hAnsi="Century"/>
          <w:color w:val="000000"/>
          <w:shd w:val="clear" w:color="auto" w:fill="FFFFFF"/>
        </w:rPr>
        <w:t>regulatory</w:t>
      </w:r>
      <w:r w:rsidR="005D54D2" w:rsidRPr="00B96ED6">
        <w:rPr>
          <w:rFonts w:ascii="Century" w:hAnsi="Century"/>
          <w:color w:val="000000"/>
          <w:shd w:val="clear" w:color="auto" w:fill="FFFFFF"/>
        </w:rPr>
        <w:t xml:space="preserve"> activity in soci</w:t>
      </w:r>
      <w:r w:rsidR="00B62178">
        <w:rPr>
          <w:rFonts w:ascii="Century" w:hAnsi="Century"/>
          <w:color w:val="000000"/>
          <w:shd w:val="clear" w:color="auto" w:fill="FFFFFF"/>
        </w:rPr>
        <w:t>o-</w:t>
      </w:r>
      <w:r w:rsidR="005D54D2" w:rsidRPr="00B96ED6">
        <w:rPr>
          <w:rFonts w:ascii="Century" w:hAnsi="Century"/>
          <w:color w:val="000000"/>
          <w:shd w:val="clear" w:color="auto" w:fill="FFFFFF"/>
        </w:rPr>
        <w:t>economic life</w:t>
      </w:r>
      <w:r w:rsidR="007B27CF" w:rsidRPr="00B96ED6">
        <w:rPr>
          <w:rFonts w:ascii="Century" w:hAnsi="Century"/>
          <w:color w:val="000000"/>
          <w:shd w:val="clear" w:color="auto" w:fill="FFFFFF"/>
        </w:rPr>
        <w:t xml:space="preserve"> for the common good</w:t>
      </w:r>
      <w:r w:rsidR="005D54D2" w:rsidRPr="00B96ED6">
        <w:rPr>
          <w:rFonts w:ascii="Century" w:hAnsi="Century"/>
          <w:color w:val="000000"/>
          <w:shd w:val="clear" w:color="auto" w:fill="FFFFFF"/>
        </w:rPr>
        <w:t xml:space="preserve"> on the other. </w:t>
      </w:r>
    </w:p>
    <w:p w14:paraId="3DEEF121" w14:textId="77777777" w:rsidR="00862831" w:rsidRDefault="00862831" w:rsidP="00E81877">
      <w:pPr>
        <w:spacing w:line="480" w:lineRule="auto"/>
        <w:jc w:val="both"/>
        <w:rPr>
          <w:rFonts w:ascii="Century" w:hAnsi="Century"/>
          <w:color w:val="000000"/>
          <w:shd w:val="clear" w:color="auto" w:fill="FFFFFF"/>
        </w:rPr>
      </w:pPr>
    </w:p>
    <w:p w14:paraId="66567C85" w14:textId="3908B0BB" w:rsidR="005D54D2" w:rsidRPr="00B96ED6" w:rsidRDefault="000036DD" w:rsidP="00E81877">
      <w:pPr>
        <w:spacing w:line="480" w:lineRule="auto"/>
        <w:jc w:val="both"/>
        <w:rPr>
          <w:rFonts w:ascii="Century" w:hAnsi="Century"/>
          <w:color w:val="000000"/>
          <w:shd w:val="clear" w:color="auto" w:fill="FFFFFF"/>
        </w:rPr>
      </w:pPr>
      <w:r w:rsidRPr="001223DA">
        <w:rPr>
          <w:rFonts w:ascii="Century" w:hAnsi="Century"/>
          <w:color w:val="000000"/>
          <w:shd w:val="clear" w:color="auto" w:fill="FFFFFF"/>
        </w:rPr>
        <w:t>This t</w:t>
      </w:r>
      <w:r w:rsidR="005D54D2" w:rsidRPr="001223DA">
        <w:rPr>
          <w:rFonts w:ascii="Century" w:hAnsi="Century"/>
          <w:color w:val="000000"/>
          <w:shd w:val="clear" w:color="auto" w:fill="FFFFFF"/>
        </w:rPr>
        <w:t>ension</w:t>
      </w:r>
      <w:r w:rsidRPr="001223DA">
        <w:rPr>
          <w:rFonts w:ascii="Century" w:hAnsi="Century"/>
          <w:color w:val="000000"/>
          <w:shd w:val="clear" w:color="auto" w:fill="FFFFFF"/>
        </w:rPr>
        <w:t xml:space="preserve"> has long</w:t>
      </w:r>
      <w:r w:rsidR="005D54D2" w:rsidRPr="001223DA">
        <w:rPr>
          <w:rFonts w:ascii="Century" w:hAnsi="Century"/>
          <w:color w:val="000000"/>
          <w:shd w:val="clear" w:color="auto" w:fill="FFFFFF"/>
        </w:rPr>
        <w:t xml:space="preserve"> ben</w:t>
      </w:r>
      <w:r w:rsidRPr="001223DA">
        <w:rPr>
          <w:rFonts w:ascii="Century" w:hAnsi="Century"/>
          <w:color w:val="000000"/>
          <w:shd w:val="clear" w:color="auto" w:fill="FFFFFF"/>
        </w:rPr>
        <w:t xml:space="preserve">t, </w:t>
      </w:r>
      <w:r w:rsidR="003B5932" w:rsidRPr="001223DA">
        <w:rPr>
          <w:rFonts w:ascii="Century" w:hAnsi="Century"/>
          <w:color w:val="000000"/>
          <w:shd w:val="clear" w:color="auto" w:fill="FFFFFF"/>
        </w:rPr>
        <w:t>as a matter of</w:t>
      </w:r>
      <w:r w:rsidRPr="001223DA">
        <w:rPr>
          <w:rFonts w:ascii="Century" w:hAnsi="Century"/>
          <w:color w:val="000000"/>
          <w:shd w:val="clear" w:color="auto" w:fill="FFFFFF"/>
        </w:rPr>
        <w:t xml:space="preserve"> strict legal principle, </w:t>
      </w:r>
      <w:r w:rsidR="003B5932" w:rsidRPr="001223DA">
        <w:rPr>
          <w:rFonts w:ascii="Century" w:hAnsi="Century"/>
          <w:color w:val="000000"/>
          <w:shd w:val="clear" w:color="auto" w:fill="FFFFFF"/>
        </w:rPr>
        <w:t>toward</w:t>
      </w:r>
      <w:r w:rsidRPr="001223DA">
        <w:rPr>
          <w:rFonts w:ascii="Century" w:hAnsi="Century"/>
          <w:color w:val="000000"/>
          <w:shd w:val="clear" w:color="auto" w:fill="FFFFFF"/>
        </w:rPr>
        <w:t xml:space="preserve"> </w:t>
      </w:r>
      <w:r w:rsidR="007B27CF" w:rsidRPr="001223DA">
        <w:rPr>
          <w:rFonts w:ascii="Century" w:hAnsi="Century"/>
          <w:color w:val="000000"/>
          <w:shd w:val="clear" w:color="auto" w:fill="FFFFFF"/>
        </w:rPr>
        <w:t>prioritizing</w:t>
      </w:r>
      <w:r w:rsidRPr="001223DA">
        <w:rPr>
          <w:rFonts w:ascii="Century" w:hAnsi="Century"/>
          <w:color w:val="000000"/>
          <w:shd w:val="clear" w:color="auto" w:fill="FFFFFF"/>
        </w:rPr>
        <w:t xml:space="preserve"> the former;</w:t>
      </w:r>
      <w:r w:rsidR="00DE21BC" w:rsidRPr="001223DA">
        <w:rPr>
          <w:rFonts w:ascii="Century" w:hAnsi="Century"/>
          <w:color w:val="000000"/>
          <w:shd w:val="clear" w:color="auto" w:fill="FFFFFF"/>
        </w:rPr>
        <w:t xml:space="preserve"> with the canonical</w:t>
      </w:r>
      <w:r w:rsidR="001223DA" w:rsidRPr="001223DA">
        <w:rPr>
          <w:rStyle w:val="FootnoteReference"/>
          <w:rFonts w:ascii="Century" w:hAnsi="Century"/>
          <w:color w:val="000000"/>
          <w:shd w:val="clear" w:color="auto" w:fill="FFFFFF"/>
        </w:rPr>
        <w:footnoteReference w:id="3"/>
      </w:r>
      <w:r w:rsidR="00DE21BC" w:rsidRPr="001223DA">
        <w:rPr>
          <w:rFonts w:ascii="Century" w:hAnsi="Century"/>
          <w:color w:val="000000"/>
          <w:shd w:val="clear" w:color="auto" w:fill="FFFFFF"/>
        </w:rPr>
        <w:t xml:space="preserve"> </w:t>
      </w:r>
      <w:r w:rsidR="00DE21BC" w:rsidRPr="001223DA">
        <w:rPr>
          <w:rFonts w:ascii="Century" w:hAnsi="Century"/>
          <w:i/>
          <w:iCs/>
          <w:color w:val="000000"/>
          <w:shd w:val="clear" w:color="auto" w:fill="FFFFFF"/>
        </w:rPr>
        <w:t>Cityview Press</w:t>
      </w:r>
      <w:r w:rsidR="001223DA" w:rsidRPr="001223DA">
        <w:rPr>
          <w:rFonts w:ascii="Century" w:hAnsi="Century"/>
          <w:i/>
          <w:iCs/>
          <w:color w:val="000000"/>
          <w:shd w:val="clear" w:color="auto" w:fill="FFFFFF"/>
        </w:rPr>
        <w:t xml:space="preserve"> v </w:t>
      </w:r>
      <w:proofErr w:type="spellStart"/>
      <w:r w:rsidR="001223DA" w:rsidRPr="001223DA">
        <w:rPr>
          <w:rFonts w:ascii="Century" w:hAnsi="Century"/>
          <w:i/>
          <w:iCs/>
          <w:color w:val="000000"/>
          <w:shd w:val="clear" w:color="auto" w:fill="FFFFFF"/>
        </w:rPr>
        <w:t>Anco</w:t>
      </w:r>
      <w:bookmarkStart w:id="1" w:name="_Ref85194041"/>
      <w:proofErr w:type="spellEnd"/>
      <w:r w:rsidR="005B787A" w:rsidRPr="005B787A">
        <w:rPr>
          <w:rStyle w:val="FootnoteReference"/>
          <w:rFonts w:ascii="Century" w:hAnsi="Century"/>
          <w:color w:val="000000"/>
          <w:shd w:val="clear" w:color="auto" w:fill="FFFFFF"/>
        </w:rPr>
        <w:footnoteReference w:id="4"/>
      </w:r>
      <w:bookmarkEnd w:id="1"/>
      <w:r w:rsidR="001223DA" w:rsidRPr="001223DA">
        <w:rPr>
          <w:rFonts w:ascii="Century" w:hAnsi="Century"/>
          <w:i/>
          <w:iCs/>
          <w:color w:val="000000"/>
          <w:shd w:val="clear" w:color="auto" w:fill="FFFFFF"/>
        </w:rPr>
        <w:t xml:space="preserve"> </w:t>
      </w:r>
      <w:r w:rsidR="00DE21BC" w:rsidRPr="001223DA">
        <w:rPr>
          <w:rFonts w:ascii="Century" w:hAnsi="Century"/>
          <w:color w:val="000000"/>
          <w:shd w:val="clear" w:color="auto" w:fill="FFFFFF"/>
        </w:rPr>
        <w:t>test striving to</w:t>
      </w:r>
      <w:r w:rsidRPr="001223DA">
        <w:rPr>
          <w:rFonts w:ascii="Century" w:hAnsi="Century"/>
          <w:color w:val="000000"/>
          <w:shd w:val="clear" w:color="auto" w:fill="FFFFFF"/>
        </w:rPr>
        <w:t xml:space="preserve"> uphold legislative primacy by insisting executive rulemaking </w:t>
      </w:r>
      <w:r w:rsidR="00F4401D" w:rsidRPr="001223DA">
        <w:rPr>
          <w:rFonts w:ascii="Century" w:hAnsi="Century"/>
          <w:color w:val="000000"/>
          <w:shd w:val="clear" w:color="auto" w:fill="FFFFFF"/>
        </w:rPr>
        <w:t>be</w:t>
      </w:r>
      <w:r w:rsidRPr="001223DA">
        <w:rPr>
          <w:rFonts w:ascii="Century" w:hAnsi="Century"/>
          <w:color w:val="000000"/>
          <w:shd w:val="clear" w:color="auto" w:fill="FFFFFF"/>
        </w:rPr>
        <w:t xml:space="preserve"> strictly cabined by statutes where </w:t>
      </w:r>
      <w:r w:rsidRPr="001223DA">
        <w:rPr>
          <w:rFonts w:ascii="Century" w:hAnsi="Century"/>
          <w:i/>
          <w:iCs/>
          <w:color w:val="000000"/>
          <w:shd w:val="clear" w:color="auto" w:fill="FFFFFF"/>
        </w:rPr>
        <w:t>all</w:t>
      </w:r>
      <w:r w:rsidRPr="001223DA">
        <w:rPr>
          <w:rFonts w:ascii="Century" w:hAnsi="Century"/>
          <w:color w:val="000000"/>
          <w:shd w:val="clear" w:color="auto" w:fill="FFFFFF"/>
        </w:rPr>
        <w:t xml:space="preserve"> principles and policies </w:t>
      </w:r>
      <w:r w:rsidR="00B62178">
        <w:rPr>
          <w:rFonts w:ascii="Century" w:hAnsi="Century"/>
          <w:color w:val="000000"/>
          <w:shd w:val="clear" w:color="auto" w:fill="FFFFFF"/>
        </w:rPr>
        <w:t>are</w:t>
      </w:r>
      <w:r w:rsidR="00B62178" w:rsidRPr="001223DA">
        <w:rPr>
          <w:rFonts w:ascii="Century" w:hAnsi="Century"/>
          <w:color w:val="000000"/>
          <w:shd w:val="clear" w:color="auto" w:fill="FFFFFF"/>
        </w:rPr>
        <w:t xml:space="preserve"> </w:t>
      </w:r>
      <w:r w:rsidRPr="001223DA">
        <w:rPr>
          <w:rFonts w:ascii="Century" w:hAnsi="Century"/>
          <w:color w:val="000000"/>
          <w:shd w:val="clear" w:color="auto" w:fill="FFFFFF"/>
        </w:rPr>
        <w:t>enumerated by the</w:t>
      </w:r>
      <w:r w:rsidRPr="00B96ED6">
        <w:rPr>
          <w:rFonts w:ascii="Century" w:hAnsi="Century"/>
          <w:color w:val="000000"/>
          <w:shd w:val="clear" w:color="auto" w:fill="FFFFFF"/>
        </w:rPr>
        <w:t xml:space="preserve"> legislature. </w:t>
      </w:r>
      <w:r w:rsidR="00F4401D">
        <w:rPr>
          <w:rFonts w:ascii="Century" w:hAnsi="Century"/>
          <w:color w:val="000000"/>
          <w:shd w:val="clear" w:color="auto" w:fill="FFFFFF"/>
        </w:rPr>
        <w:t>I</w:t>
      </w:r>
      <w:r w:rsidRPr="00B96ED6">
        <w:rPr>
          <w:rFonts w:ascii="Century" w:hAnsi="Century"/>
          <w:color w:val="000000"/>
          <w:shd w:val="clear" w:color="auto" w:fill="FFFFFF"/>
        </w:rPr>
        <w:t>n practice,</w:t>
      </w:r>
      <w:r w:rsidR="00F4401D">
        <w:rPr>
          <w:rFonts w:ascii="Century" w:hAnsi="Century"/>
          <w:color w:val="000000"/>
          <w:shd w:val="clear" w:color="auto" w:fill="FFFFFF"/>
        </w:rPr>
        <w:t xml:space="preserve"> however, every law student soon learns that</w:t>
      </w:r>
      <w:r w:rsidRPr="00B96ED6">
        <w:rPr>
          <w:rFonts w:ascii="Century" w:hAnsi="Century"/>
          <w:color w:val="000000"/>
          <w:shd w:val="clear" w:color="auto" w:fill="FFFFFF"/>
        </w:rPr>
        <w:t xml:space="preserve"> judicial application of its own doctrine has </w:t>
      </w:r>
      <w:r w:rsidR="003B5932" w:rsidRPr="00B96ED6">
        <w:rPr>
          <w:rFonts w:ascii="Century" w:hAnsi="Century"/>
          <w:color w:val="000000"/>
          <w:shd w:val="clear" w:color="auto" w:fill="FFFFFF"/>
        </w:rPr>
        <w:t>ben</w:t>
      </w:r>
      <w:r w:rsidR="00F4401D">
        <w:rPr>
          <w:rFonts w:ascii="Century" w:hAnsi="Century"/>
          <w:color w:val="000000"/>
          <w:shd w:val="clear" w:color="auto" w:fill="FFFFFF"/>
        </w:rPr>
        <w:t>t</w:t>
      </w:r>
      <w:r w:rsidR="003B5932" w:rsidRPr="00B96ED6">
        <w:rPr>
          <w:rFonts w:ascii="Century" w:hAnsi="Century"/>
          <w:color w:val="000000"/>
          <w:shd w:val="clear" w:color="auto" w:fill="FFFFFF"/>
        </w:rPr>
        <w:t xml:space="preserve"> over backwards</w:t>
      </w:r>
      <w:r w:rsidR="00F4401D">
        <w:rPr>
          <w:rFonts w:ascii="Century" w:hAnsi="Century"/>
          <w:color w:val="000000"/>
          <w:shd w:val="clear" w:color="auto" w:fill="FFFFFF"/>
        </w:rPr>
        <w:t xml:space="preserve"> to</w:t>
      </w:r>
      <w:r w:rsidR="005D54D2" w:rsidRPr="00B96ED6">
        <w:rPr>
          <w:rFonts w:ascii="Century" w:hAnsi="Century"/>
          <w:color w:val="000000"/>
          <w:shd w:val="clear" w:color="auto" w:fill="FFFFFF"/>
        </w:rPr>
        <w:t xml:space="preserve"> facilitat</w:t>
      </w:r>
      <w:r w:rsidRPr="00B96ED6">
        <w:rPr>
          <w:rFonts w:ascii="Century" w:hAnsi="Century"/>
          <w:color w:val="000000"/>
          <w:shd w:val="clear" w:color="auto" w:fill="FFFFFF"/>
        </w:rPr>
        <w:t>e</w:t>
      </w:r>
      <w:r w:rsidR="005D54D2" w:rsidRPr="00B96ED6">
        <w:rPr>
          <w:rFonts w:ascii="Century" w:hAnsi="Century"/>
          <w:color w:val="000000"/>
          <w:shd w:val="clear" w:color="auto" w:fill="FFFFFF"/>
        </w:rPr>
        <w:t xml:space="preserve"> the</w:t>
      </w:r>
      <w:r w:rsidR="00F4401D">
        <w:rPr>
          <w:rFonts w:ascii="Century" w:hAnsi="Century"/>
          <w:color w:val="000000"/>
          <w:shd w:val="clear" w:color="auto" w:fill="FFFFFF"/>
        </w:rPr>
        <w:t xml:space="preserve"> rulemaking</w:t>
      </w:r>
      <w:r w:rsidR="007B27CF" w:rsidRPr="00B96ED6">
        <w:rPr>
          <w:rFonts w:ascii="Century" w:hAnsi="Century"/>
          <w:color w:val="000000"/>
          <w:shd w:val="clear" w:color="auto" w:fill="FFFFFF"/>
        </w:rPr>
        <w:t xml:space="preserve"> activity of the</w:t>
      </w:r>
      <w:r w:rsidR="005D54D2" w:rsidRPr="00B96ED6">
        <w:rPr>
          <w:rFonts w:ascii="Century" w:hAnsi="Century"/>
          <w:color w:val="000000"/>
          <w:shd w:val="clear" w:color="auto" w:fill="FFFFFF"/>
        </w:rPr>
        <w:t xml:space="preserve"> </w:t>
      </w:r>
      <w:r w:rsidRPr="00B96ED6">
        <w:rPr>
          <w:rFonts w:ascii="Century" w:hAnsi="Century"/>
          <w:color w:val="000000"/>
          <w:shd w:val="clear" w:color="auto" w:fill="FFFFFF"/>
        </w:rPr>
        <w:lastRenderedPageBreak/>
        <w:t>executive-led administrative</w:t>
      </w:r>
      <w:r w:rsidR="007B27CF" w:rsidRPr="00B96ED6">
        <w:rPr>
          <w:rFonts w:ascii="Century" w:hAnsi="Century"/>
          <w:color w:val="000000"/>
          <w:shd w:val="clear" w:color="auto" w:fill="FFFFFF"/>
        </w:rPr>
        <w:t xml:space="preserve"> state.</w:t>
      </w:r>
      <w:bookmarkStart w:id="2" w:name="_Ref85375735"/>
      <w:r w:rsidR="0009248F">
        <w:rPr>
          <w:rStyle w:val="FootnoteReference"/>
          <w:rFonts w:ascii="Century" w:hAnsi="Century"/>
          <w:color w:val="000000"/>
          <w:shd w:val="clear" w:color="auto" w:fill="FFFFFF"/>
        </w:rPr>
        <w:footnoteReference w:id="5"/>
      </w:r>
      <w:bookmarkEnd w:id="2"/>
      <w:r w:rsidR="00687B32">
        <w:rPr>
          <w:rFonts w:ascii="Century" w:hAnsi="Century"/>
          <w:color w:val="000000"/>
          <w:shd w:val="clear" w:color="auto" w:fill="FFFFFF"/>
        </w:rPr>
        <w:t xml:space="preserve"> </w:t>
      </w:r>
      <w:r w:rsidR="00826E56">
        <w:rPr>
          <w:rFonts w:ascii="Century" w:hAnsi="Century"/>
          <w:color w:val="000000"/>
          <w:shd w:val="clear" w:color="auto" w:fill="FFFFFF"/>
        </w:rPr>
        <w:t>S</w:t>
      </w:r>
      <w:r w:rsidR="00687B32">
        <w:rPr>
          <w:rFonts w:ascii="Century" w:hAnsi="Century"/>
          <w:color w:val="000000"/>
          <w:shd w:val="clear" w:color="auto" w:fill="FFFFFF"/>
        </w:rPr>
        <w:t xml:space="preserve">ince </w:t>
      </w:r>
      <w:r w:rsidR="00687B32">
        <w:rPr>
          <w:rFonts w:ascii="Century" w:hAnsi="Century"/>
          <w:i/>
          <w:iCs/>
          <w:color w:val="000000"/>
          <w:shd w:val="clear" w:color="auto" w:fill="FFFFFF"/>
        </w:rPr>
        <w:t xml:space="preserve">Cityview </w:t>
      </w:r>
      <w:r w:rsidR="00826E56">
        <w:rPr>
          <w:rFonts w:ascii="Century" w:hAnsi="Century"/>
          <w:color w:val="000000"/>
          <w:shd w:val="clear" w:color="auto" w:fill="FFFFFF"/>
        </w:rPr>
        <w:t>was decided</w:t>
      </w:r>
      <w:r w:rsidR="00687B32">
        <w:rPr>
          <w:rFonts w:ascii="Century" w:hAnsi="Century"/>
          <w:color w:val="000000"/>
          <w:shd w:val="clear" w:color="auto" w:fill="FFFFFF"/>
        </w:rPr>
        <w:t>,</w:t>
      </w:r>
      <w:r w:rsidRPr="00B96ED6">
        <w:rPr>
          <w:rFonts w:ascii="Century" w:hAnsi="Century"/>
          <w:color w:val="000000"/>
          <w:shd w:val="clear" w:color="auto" w:fill="FFFFFF"/>
        </w:rPr>
        <w:t xml:space="preserve"> judges</w:t>
      </w:r>
      <w:r w:rsidR="007B27CF" w:rsidRPr="00B96ED6">
        <w:rPr>
          <w:rFonts w:ascii="Century" w:hAnsi="Century"/>
          <w:color w:val="000000"/>
          <w:shd w:val="clear" w:color="auto" w:fill="FFFFFF"/>
        </w:rPr>
        <w:t xml:space="preserve"> have</w:t>
      </w:r>
      <w:r w:rsidRPr="00B96ED6">
        <w:rPr>
          <w:rFonts w:ascii="Century" w:hAnsi="Century"/>
          <w:color w:val="000000"/>
          <w:shd w:val="clear" w:color="auto" w:fill="FFFFFF"/>
        </w:rPr>
        <w:t xml:space="preserve"> only invalidate</w:t>
      </w:r>
      <w:r w:rsidR="007B27CF" w:rsidRPr="00B96ED6">
        <w:rPr>
          <w:rFonts w:ascii="Century" w:hAnsi="Century"/>
          <w:color w:val="000000"/>
          <w:shd w:val="clear" w:color="auto" w:fill="FFFFFF"/>
        </w:rPr>
        <w:t>d</w:t>
      </w:r>
      <w:r w:rsidR="005D54D2" w:rsidRPr="00B96ED6">
        <w:rPr>
          <w:rFonts w:ascii="Century" w:hAnsi="Century"/>
          <w:color w:val="000000"/>
          <w:shd w:val="clear" w:color="auto" w:fill="FFFFFF"/>
        </w:rPr>
        <w:t xml:space="preserve"> </w:t>
      </w:r>
      <w:r w:rsidR="00826E56">
        <w:rPr>
          <w:rFonts w:ascii="Century" w:hAnsi="Century"/>
          <w:color w:val="000000"/>
          <w:shd w:val="clear" w:color="auto" w:fill="FFFFFF"/>
        </w:rPr>
        <w:t>grants</w:t>
      </w:r>
      <w:r w:rsidR="005D54D2" w:rsidRPr="00B96ED6">
        <w:rPr>
          <w:rFonts w:ascii="Century" w:hAnsi="Century"/>
          <w:color w:val="000000"/>
          <w:shd w:val="clear" w:color="auto" w:fill="FFFFFF"/>
        </w:rPr>
        <w:t xml:space="preserve"> of r</w:t>
      </w:r>
      <w:r w:rsidR="00687B32">
        <w:rPr>
          <w:rFonts w:ascii="Century" w:hAnsi="Century"/>
          <w:color w:val="000000"/>
          <w:shd w:val="clear" w:color="auto" w:fill="FFFFFF"/>
        </w:rPr>
        <w:t>ulemaking</w:t>
      </w:r>
      <w:r w:rsidR="005D54D2" w:rsidRPr="00B96ED6">
        <w:rPr>
          <w:rFonts w:ascii="Century" w:hAnsi="Century"/>
          <w:color w:val="000000"/>
          <w:shd w:val="clear" w:color="auto" w:fill="FFFFFF"/>
        </w:rPr>
        <w:t xml:space="preserve"> authority </w:t>
      </w:r>
      <w:r w:rsidR="00BA06C6">
        <w:rPr>
          <w:rFonts w:ascii="Century" w:hAnsi="Century"/>
          <w:color w:val="000000"/>
          <w:shd w:val="clear" w:color="auto" w:fill="FFFFFF"/>
        </w:rPr>
        <w:t>effectively lacking</w:t>
      </w:r>
      <w:r w:rsidR="00F35549" w:rsidRPr="00B96ED6">
        <w:rPr>
          <w:rFonts w:ascii="Century" w:hAnsi="Century"/>
          <w:color w:val="000000"/>
          <w:shd w:val="clear" w:color="auto" w:fill="FFFFFF"/>
        </w:rPr>
        <w:t xml:space="preserve"> </w:t>
      </w:r>
      <w:r w:rsidR="00F35549" w:rsidRPr="0070092A">
        <w:rPr>
          <w:rFonts w:ascii="Century" w:hAnsi="Century"/>
          <w:i/>
          <w:iCs/>
          <w:color w:val="000000"/>
          <w:shd w:val="clear" w:color="auto" w:fill="FFFFFF"/>
        </w:rPr>
        <w:t>any</w:t>
      </w:r>
      <w:r w:rsidR="005D54D2" w:rsidRPr="00B96ED6">
        <w:rPr>
          <w:rFonts w:ascii="Century" w:hAnsi="Century"/>
          <w:color w:val="000000"/>
          <w:shd w:val="clear" w:color="auto" w:fill="FFFFFF"/>
        </w:rPr>
        <w:t xml:space="preserve"> statutory guidance by the Oireachtas.</w:t>
      </w:r>
      <w:bookmarkStart w:id="3" w:name="_Ref85106953"/>
      <w:r w:rsidR="003B5932" w:rsidRPr="00B96ED6">
        <w:rPr>
          <w:rStyle w:val="FootnoteReference"/>
          <w:rFonts w:ascii="Century" w:hAnsi="Century"/>
          <w:color w:val="000000"/>
          <w:shd w:val="clear" w:color="auto" w:fill="FFFFFF"/>
        </w:rPr>
        <w:footnoteReference w:id="6"/>
      </w:r>
      <w:bookmarkEnd w:id="3"/>
      <w:r w:rsidR="005D54D2" w:rsidRPr="00B96ED6">
        <w:rPr>
          <w:rFonts w:ascii="Century" w:hAnsi="Century"/>
          <w:color w:val="000000"/>
          <w:shd w:val="clear" w:color="auto" w:fill="FFFFFF"/>
        </w:rPr>
        <w:t xml:space="preserve"> </w:t>
      </w:r>
    </w:p>
    <w:p w14:paraId="6BA731FA" w14:textId="2C613DD0" w:rsidR="00DE21BC" w:rsidRPr="00B96ED6" w:rsidRDefault="00DE21BC" w:rsidP="00E81877">
      <w:pPr>
        <w:spacing w:line="480" w:lineRule="auto"/>
        <w:jc w:val="both"/>
        <w:rPr>
          <w:rFonts w:ascii="Century" w:hAnsi="Century"/>
          <w:color w:val="000000"/>
          <w:shd w:val="clear" w:color="auto" w:fill="FFFFFF"/>
        </w:rPr>
      </w:pPr>
    </w:p>
    <w:p w14:paraId="298D130E" w14:textId="3B5BD96B" w:rsidR="00DE21BC" w:rsidRPr="00B96ED6" w:rsidRDefault="00F35549" w:rsidP="00E81877">
      <w:pPr>
        <w:spacing w:line="480" w:lineRule="auto"/>
        <w:jc w:val="both"/>
        <w:rPr>
          <w:rFonts w:ascii="Century" w:hAnsi="Century"/>
          <w:color w:val="000000"/>
          <w:shd w:val="clear" w:color="auto" w:fill="FFFFFF"/>
        </w:rPr>
      </w:pPr>
      <w:r w:rsidRPr="00B96ED6">
        <w:rPr>
          <w:rFonts w:ascii="Century" w:hAnsi="Century"/>
          <w:color w:val="000000"/>
          <w:shd w:val="clear" w:color="auto" w:fill="FFFFFF"/>
        </w:rPr>
        <w:t xml:space="preserve">To </w:t>
      </w:r>
      <w:r w:rsidR="00F4401D">
        <w:rPr>
          <w:rFonts w:ascii="Century" w:hAnsi="Century"/>
          <w:color w:val="000000"/>
          <w:shd w:val="clear" w:color="auto" w:fill="FFFFFF"/>
        </w:rPr>
        <w:t>further muddy the jurisprudential waters,</w:t>
      </w:r>
      <w:r w:rsidR="00F41C33">
        <w:rPr>
          <w:rFonts w:ascii="Century" w:hAnsi="Century"/>
          <w:color w:val="000000"/>
          <w:shd w:val="clear" w:color="auto" w:fill="FFFFFF"/>
        </w:rPr>
        <w:t xml:space="preserve"> in recent years</w:t>
      </w:r>
      <w:r w:rsidRPr="00B96ED6">
        <w:rPr>
          <w:rFonts w:ascii="Century" w:hAnsi="Century"/>
          <w:color w:val="000000"/>
          <w:shd w:val="clear" w:color="auto" w:fill="FFFFFF"/>
        </w:rPr>
        <w:t xml:space="preserve"> </w:t>
      </w:r>
      <w:r w:rsidR="00826E56">
        <w:rPr>
          <w:rFonts w:ascii="Century" w:hAnsi="Century"/>
          <w:color w:val="000000"/>
          <w:shd w:val="clear" w:color="auto" w:fill="FFFFFF"/>
        </w:rPr>
        <w:t xml:space="preserve">the </w:t>
      </w:r>
      <w:r w:rsidRPr="00B96ED6">
        <w:rPr>
          <w:rFonts w:ascii="Century" w:hAnsi="Century"/>
          <w:color w:val="000000"/>
          <w:shd w:val="clear" w:color="auto" w:fill="FFFFFF"/>
        </w:rPr>
        <w:t>Supreme Court</w:t>
      </w:r>
      <w:r w:rsidR="00A21E94">
        <w:rPr>
          <w:rFonts w:ascii="Century" w:hAnsi="Century"/>
          <w:color w:val="000000"/>
          <w:shd w:val="clear" w:color="auto" w:fill="FFFFFF"/>
        </w:rPr>
        <w:t xml:space="preserve"> </w:t>
      </w:r>
      <w:r w:rsidR="00826E56">
        <w:rPr>
          <w:rFonts w:ascii="Century" w:hAnsi="Century"/>
          <w:color w:val="000000"/>
          <w:shd w:val="clear" w:color="auto" w:fill="FFFFFF"/>
        </w:rPr>
        <w:t>–</w:t>
      </w:r>
      <w:r w:rsidR="003B5932" w:rsidRPr="00B96ED6">
        <w:rPr>
          <w:rFonts w:ascii="Century" w:hAnsi="Century"/>
          <w:color w:val="000000"/>
          <w:shd w:val="clear" w:color="auto" w:fill="FFFFFF"/>
        </w:rPr>
        <w:t xml:space="preserve"> </w:t>
      </w:r>
      <w:r w:rsidR="00826E56">
        <w:rPr>
          <w:rFonts w:ascii="Century" w:hAnsi="Century"/>
          <w:color w:val="000000"/>
          <w:shd w:val="clear" w:color="auto" w:fill="FFFFFF"/>
        </w:rPr>
        <w:t xml:space="preserve">in </w:t>
      </w:r>
      <w:r w:rsidR="00510549" w:rsidRPr="00B96ED6">
        <w:rPr>
          <w:rFonts w:ascii="Century" w:hAnsi="Century"/>
          <w:i/>
          <w:iCs/>
        </w:rPr>
        <w:t>Bederev v Ireland</w:t>
      </w:r>
      <w:bookmarkStart w:id="4" w:name="_Ref85194256"/>
      <w:r w:rsidR="00473D09" w:rsidRPr="00A8538B">
        <w:rPr>
          <w:rStyle w:val="FootnoteReference"/>
          <w:rFonts w:ascii="Century" w:hAnsi="Century"/>
        </w:rPr>
        <w:footnoteReference w:id="7"/>
      </w:r>
      <w:bookmarkEnd w:id="4"/>
      <w:r w:rsidR="00510549" w:rsidRPr="00A8538B">
        <w:rPr>
          <w:rFonts w:ascii="Century" w:hAnsi="Century"/>
        </w:rPr>
        <w:t xml:space="preserve"> </w:t>
      </w:r>
      <w:r w:rsidR="00510549" w:rsidRPr="00B96ED6">
        <w:rPr>
          <w:rFonts w:ascii="Century" w:hAnsi="Century"/>
        </w:rPr>
        <w:t xml:space="preserve">and </w:t>
      </w:r>
      <w:r w:rsidR="00510549" w:rsidRPr="00B96ED6">
        <w:rPr>
          <w:rFonts w:ascii="Century" w:hAnsi="Century"/>
          <w:i/>
          <w:iCs/>
        </w:rPr>
        <w:t>O’Sullivan v Sea Fisheries Protection Authority</w:t>
      </w:r>
      <w:bookmarkStart w:id="5" w:name="_Ref85194270"/>
      <w:r w:rsidR="00473D09" w:rsidRPr="00A8538B">
        <w:rPr>
          <w:rStyle w:val="FootnoteReference"/>
          <w:rFonts w:ascii="Century" w:hAnsi="Century"/>
        </w:rPr>
        <w:footnoteReference w:id="8"/>
      </w:r>
      <w:bookmarkEnd w:id="5"/>
      <w:r w:rsidR="00510549" w:rsidRPr="00B96ED6">
        <w:rPr>
          <w:rFonts w:ascii="Century" w:hAnsi="Century"/>
        </w:rPr>
        <w:t xml:space="preserve"> </w:t>
      </w:r>
      <w:r w:rsidR="003B5932" w:rsidRPr="00B96ED6">
        <w:rPr>
          <w:rFonts w:ascii="Century" w:hAnsi="Century"/>
          <w:color w:val="000000"/>
          <w:shd w:val="clear" w:color="auto" w:fill="FFFFFF"/>
        </w:rPr>
        <w:t>-</w:t>
      </w:r>
      <w:r w:rsidR="00DE21BC" w:rsidRPr="00B96ED6">
        <w:rPr>
          <w:rFonts w:ascii="Century" w:hAnsi="Century"/>
          <w:i/>
          <w:iCs/>
          <w:color w:val="000000"/>
          <w:shd w:val="clear" w:color="auto" w:fill="FFFFFF"/>
        </w:rPr>
        <w:t xml:space="preserve"> </w:t>
      </w:r>
      <w:r w:rsidR="00DE21BC" w:rsidRPr="00B96ED6">
        <w:rPr>
          <w:rFonts w:ascii="Century" w:hAnsi="Century"/>
          <w:color w:val="000000"/>
          <w:shd w:val="clear" w:color="auto" w:fill="FFFFFF"/>
        </w:rPr>
        <w:t>appeared to</w:t>
      </w:r>
      <w:r w:rsidRPr="00B96ED6">
        <w:rPr>
          <w:rFonts w:ascii="Century" w:hAnsi="Century"/>
          <w:color w:val="000000"/>
          <w:shd w:val="clear" w:color="auto" w:fill="FFFFFF"/>
        </w:rPr>
        <w:t xml:space="preserve"> </w:t>
      </w:r>
      <w:r w:rsidR="00DE21BC" w:rsidRPr="00B96ED6">
        <w:rPr>
          <w:rFonts w:ascii="Century" w:hAnsi="Century"/>
          <w:color w:val="000000"/>
          <w:shd w:val="clear" w:color="auto" w:fill="FFFFFF"/>
        </w:rPr>
        <w:t>recast</w:t>
      </w:r>
      <w:r w:rsidRPr="00B96ED6">
        <w:rPr>
          <w:rFonts w:ascii="Century" w:hAnsi="Century"/>
          <w:color w:val="000000"/>
          <w:shd w:val="clear" w:color="auto" w:fill="FFFFFF"/>
        </w:rPr>
        <w:t xml:space="preserve"> the</w:t>
      </w:r>
      <w:r w:rsidR="00DE21BC" w:rsidRPr="00B96ED6">
        <w:rPr>
          <w:rFonts w:ascii="Century" w:hAnsi="Century"/>
          <w:color w:val="000000"/>
          <w:shd w:val="clear" w:color="auto" w:fill="FFFFFF"/>
        </w:rPr>
        <w:t xml:space="preserve"> </w:t>
      </w:r>
      <w:r w:rsidR="00DE21BC" w:rsidRPr="00B96ED6">
        <w:rPr>
          <w:rFonts w:ascii="Century" w:hAnsi="Century"/>
          <w:i/>
          <w:iCs/>
          <w:color w:val="000000"/>
          <w:shd w:val="clear" w:color="auto" w:fill="FFFFFF"/>
        </w:rPr>
        <w:t xml:space="preserve">Cityview </w:t>
      </w:r>
      <w:r w:rsidR="00DE21BC" w:rsidRPr="00B96ED6">
        <w:rPr>
          <w:rFonts w:ascii="Century" w:hAnsi="Century"/>
          <w:color w:val="000000"/>
          <w:shd w:val="clear" w:color="auto" w:fill="FFFFFF"/>
        </w:rPr>
        <w:t>test</w:t>
      </w:r>
      <w:r w:rsidR="00F7353C">
        <w:rPr>
          <w:rStyle w:val="FootnoteReference"/>
          <w:rFonts w:ascii="Century" w:hAnsi="Century"/>
          <w:color w:val="000000"/>
          <w:shd w:val="clear" w:color="auto" w:fill="FFFFFF"/>
        </w:rPr>
        <w:footnoteReference w:id="9"/>
      </w:r>
      <w:r w:rsidR="00F4401D">
        <w:rPr>
          <w:rFonts w:ascii="Century" w:hAnsi="Century"/>
          <w:color w:val="000000"/>
          <w:shd w:val="clear" w:color="auto" w:fill="FFFFFF"/>
        </w:rPr>
        <w:t xml:space="preserve"> </w:t>
      </w:r>
      <w:r w:rsidR="00826E56">
        <w:rPr>
          <w:rFonts w:ascii="Century" w:hAnsi="Century"/>
          <w:color w:val="000000"/>
          <w:shd w:val="clear" w:color="auto" w:fill="FFFFFF"/>
        </w:rPr>
        <w:t>through several doctrinal innovations. The</w:t>
      </w:r>
      <w:r w:rsidR="00844C6C">
        <w:rPr>
          <w:rFonts w:ascii="Century" w:hAnsi="Century"/>
          <w:color w:val="000000"/>
          <w:shd w:val="clear" w:color="auto" w:fill="FFFFFF"/>
        </w:rPr>
        <w:t>se cases</w:t>
      </w:r>
      <w:r w:rsidR="00F4401D">
        <w:rPr>
          <w:rFonts w:ascii="Century" w:hAnsi="Century"/>
          <w:color w:val="000000"/>
          <w:shd w:val="clear" w:color="auto" w:fill="FFFFFF"/>
        </w:rPr>
        <w:t xml:space="preserve"> </w:t>
      </w:r>
      <w:r w:rsidR="00413AE1">
        <w:rPr>
          <w:rFonts w:ascii="Century" w:hAnsi="Century"/>
          <w:color w:val="000000"/>
          <w:shd w:val="clear" w:color="auto" w:fill="FFFFFF"/>
        </w:rPr>
        <w:t>tapered</w:t>
      </w:r>
      <w:r w:rsidR="00DE21BC" w:rsidRPr="00B96ED6">
        <w:rPr>
          <w:rFonts w:ascii="Century" w:hAnsi="Century"/>
          <w:color w:val="000000"/>
          <w:shd w:val="clear" w:color="auto" w:fill="FFFFFF"/>
        </w:rPr>
        <w:t xml:space="preserve"> down the centrality of</w:t>
      </w:r>
      <w:r w:rsidR="00F4401D">
        <w:rPr>
          <w:rFonts w:ascii="Century" w:hAnsi="Century"/>
          <w:color w:val="000000"/>
          <w:shd w:val="clear" w:color="auto" w:fill="FFFFFF"/>
        </w:rPr>
        <w:t xml:space="preserve"> </w:t>
      </w:r>
      <w:r w:rsidR="00A033E9">
        <w:rPr>
          <w:rFonts w:ascii="Century" w:hAnsi="Century"/>
          <w:color w:val="000000"/>
          <w:shd w:val="clear" w:color="auto" w:fill="FFFFFF"/>
        </w:rPr>
        <w:t>ensuring a</w:t>
      </w:r>
      <w:r w:rsidR="000F3226">
        <w:rPr>
          <w:rFonts w:ascii="Century" w:hAnsi="Century"/>
          <w:color w:val="000000"/>
          <w:shd w:val="clear" w:color="auto" w:fill="FFFFFF"/>
        </w:rPr>
        <w:t xml:space="preserve"> delegating</w:t>
      </w:r>
      <w:r w:rsidR="00F4401D">
        <w:rPr>
          <w:rFonts w:ascii="Century" w:hAnsi="Century"/>
          <w:color w:val="000000"/>
          <w:shd w:val="clear" w:color="auto" w:fill="FFFFFF"/>
        </w:rPr>
        <w:t xml:space="preserve"> statute contai</w:t>
      </w:r>
      <w:r w:rsidR="00A033E9">
        <w:rPr>
          <w:rFonts w:ascii="Century" w:hAnsi="Century"/>
          <w:color w:val="000000"/>
          <w:shd w:val="clear" w:color="auto" w:fill="FFFFFF"/>
        </w:rPr>
        <w:t>n</w:t>
      </w:r>
      <w:r w:rsidR="00B4478B">
        <w:rPr>
          <w:rFonts w:ascii="Century" w:hAnsi="Century"/>
          <w:color w:val="000000"/>
          <w:shd w:val="clear" w:color="auto" w:fill="FFFFFF"/>
        </w:rPr>
        <w:t>ed</w:t>
      </w:r>
      <w:r w:rsidR="00F4401D">
        <w:rPr>
          <w:rFonts w:ascii="Century" w:hAnsi="Century"/>
          <w:color w:val="000000"/>
          <w:shd w:val="clear" w:color="auto" w:fill="FFFFFF"/>
        </w:rPr>
        <w:t xml:space="preserve"> all possible</w:t>
      </w:r>
      <w:r w:rsidR="00DE21BC" w:rsidRPr="00B96ED6">
        <w:rPr>
          <w:rFonts w:ascii="Century" w:hAnsi="Century"/>
          <w:color w:val="000000"/>
          <w:shd w:val="clear" w:color="auto" w:fill="FFFFFF"/>
        </w:rPr>
        <w:t xml:space="preserve"> principles and policies</w:t>
      </w:r>
      <w:r w:rsidR="00A033E9">
        <w:rPr>
          <w:rFonts w:ascii="Century" w:hAnsi="Century"/>
          <w:color w:val="000000"/>
          <w:shd w:val="clear" w:color="auto" w:fill="FFFFFF"/>
        </w:rPr>
        <w:t xml:space="preserve"> to be Article 15 compliant</w:t>
      </w:r>
      <w:r w:rsidR="000F3226">
        <w:rPr>
          <w:rFonts w:ascii="Century" w:hAnsi="Century"/>
          <w:color w:val="000000"/>
          <w:shd w:val="clear" w:color="auto" w:fill="FFFFFF"/>
        </w:rPr>
        <w:t xml:space="preserve">, </w:t>
      </w:r>
      <w:r w:rsidRPr="00B96ED6">
        <w:rPr>
          <w:rFonts w:ascii="Century" w:hAnsi="Century"/>
          <w:color w:val="000000"/>
          <w:shd w:val="clear" w:color="auto" w:fill="FFFFFF"/>
        </w:rPr>
        <w:t>emphasiz</w:t>
      </w:r>
      <w:r w:rsidR="00F4401D">
        <w:rPr>
          <w:rFonts w:ascii="Century" w:hAnsi="Century"/>
          <w:color w:val="000000"/>
          <w:shd w:val="clear" w:color="auto" w:fill="FFFFFF"/>
        </w:rPr>
        <w:t>ed</w:t>
      </w:r>
      <w:r w:rsidRPr="00B96ED6">
        <w:rPr>
          <w:rFonts w:ascii="Century" w:hAnsi="Century"/>
          <w:color w:val="000000"/>
          <w:shd w:val="clear" w:color="auto" w:fill="FFFFFF"/>
        </w:rPr>
        <w:t xml:space="preserve"> the importance of statutory safeguards</w:t>
      </w:r>
      <w:r w:rsidR="00F4401D">
        <w:rPr>
          <w:rFonts w:ascii="Century" w:hAnsi="Century"/>
          <w:color w:val="000000"/>
          <w:shd w:val="clear" w:color="auto" w:fill="FFFFFF"/>
        </w:rPr>
        <w:t xml:space="preserve"> and ongoing Oireachtas oversight</w:t>
      </w:r>
      <w:r w:rsidRPr="00B96ED6">
        <w:rPr>
          <w:rFonts w:ascii="Century" w:hAnsi="Century"/>
          <w:color w:val="000000"/>
          <w:shd w:val="clear" w:color="auto" w:fill="FFFFFF"/>
        </w:rPr>
        <w:t>,</w:t>
      </w:r>
      <w:bookmarkStart w:id="6" w:name="_Ref85468508"/>
      <w:r w:rsidR="007F241B">
        <w:rPr>
          <w:rStyle w:val="FootnoteReference"/>
          <w:rFonts w:ascii="Century" w:hAnsi="Century"/>
          <w:color w:val="000000"/>
          <w:shd w:val="clear" w:color="auto" w:fill="FFFFFF"/>
        </w:rPr>
        <w:footnoteReference w:id="10"/>
      </w:r>
      <w:bookmarkEnd w:id="6"/>
      <w:r w:rsidR="00DE21BC" w:rsidRPr="00B96ED6">
        <w:rPr>
          <w:rFonts w:ascii="Century" w:hAnsi="Century"/>
          <w:color w:val="000000"/>
          <w:shd w:val="clear" w:color="auto" w:fill="FFFFFF"/>
        </w:rPr>
        <w:t xml:space="preserve"> and</w:t>
      </w:r>
      <w:r w:rsidR="00F4401D">
        <w:rPr>
          <w:rFonts w:ascii="Century" w:hAnsi="Century"/>
          <w:color w:val="000000"/>
          <w:shd w:val="clear" w:color="auto" w:fill="FFFFFF"/>
        </w:rPr>
        <w:t xml:space="preserve"> overall</w:t>
      </w:r>
      <w:r w:rsidR="00DE21BC" w:rsidRPr="00B96ED6">
        <w:rPr>
          <w:rFonts w:ascii="Century" w:hAnsi="Century"/>
          <w:color w:val="000000"/>
          <w:shd w:val="clear" w:color="auto" w:fill="FFFFFF"/>
        </w:rPr>
        <w:t xml:space="preserve"> </w:t>
      </w:r>
      <w:r w:rsidR="00F4401D">
        <w:rPr>
          <w:rFonts w:ascii="Century" w:hAnsi="Century"/>
          <w:color w:val="000000"/>
          <w:shd w:val="clear" w:color="auto" w:fill="FFFFFF"/>
        </w:rPr>
        <w:t>took</w:t>
      </w:r>
      <w:r w:rsidR="00DE21BC" w:rsidRPr="00B96ED6">
        <w:rPr>
          <w:rFonts w:ascii="Century" w:hAnsi="Century"/>
          <w:color w:val="000000"/>
          <w:shd w:val="clear" w:color="auto" w:fill="FFFFFF"/>
        </w:rPr>
        <w:t xml:space="preserve"> a distinctly more negative and looser approach to </w:t>
      </w:r>
      <w:r w:rsidR="00F4401D">
        <w:rPr>
          <w:rFonts w:ascii="Century" w:hAnsi="Century"/>
          <w:color w:val="000000"/>
          <w:shd w:val="clear" w:color="auto" w:fill="FFFFFF"/>
        </w:rPr>
        <w:t>the permissible bounds of delegating rulemaking power</w:t>
      </w:r>
      <w:r w:rsidR="003B5932" w:rsidRPr="00B96ED6">
        <w:rPr>
          <w:rFonts w:ascii="Century" w:hAnsi="Century"/>
          <w:color w:val="000000"/>
          <w:shd w:val="clear" w:color="auto" w:fill="FFFFFF"/>
        </w:rPr>
        <w:t xml:space="preserve">. In </w:t>
      </w:r>
      <w:r w:rsidR="00B4478B">
        <w:rPr>
          <w:rFonts w:ascii="Century" w:hAnsi="Century"/>
          <w:color w:val="000000"/>
          <w:shd w:val="clear" w:color="auto" w:fill="FFFFFF"/>
        </w:rPr>
        <w:t>some respects</w:t>
      </w:r>
      <w:r w:rsidR="003B5932" w:rsidRPr="00B96ED6">
        <w:rPr>
          <w:rFonts w:ascii="Century" w:hAnsi="Century"/>
          <w:color w:val="000000"/>
          <w:shd w:val="clear" w:color="auto" w:fill="FFFFFF"/>
        </w:rPr>
        <w:t>,</w:t>
      </w:r>
      <w:r w:rsidR="00F4401D">
        <w:rPr>
          <w:rFonts w:ascii="Century" w:hAnsi="Century"/>
          <w:color w:val="000000"/>
          <w:shd w:val="clear" w:color="auto" w:fill="FFFFFF"/>
        </w:rPr>
        <w:t xml:space="preserve"> it looked like</w:t>
      </w:r>
      <w:r w:rsidR="003B5932" w:rsidRPr="00B96ED6">
        <w:rPr>
          <w:rFonts w:ascii="Century" w:hAnsi="Century"/>
          <w:color w:val="000000"/>
          <w:shd w:val="clear" w:color="auto" w:fill="FFFFFF"/>
        </w:rPr>
        <w:t xml:space="preserve"> an</w:t>
      </w:r>
      <w:r w:rsidRPr="00B96ED6">
        <w:rPr>
          <w:rFonts w:ascii="Century" w:hAnsi="Century"/>
          <w:color w:val="000000"/>
          <w:shd w:val="clear" w:color="auto" w:fill="FFFFFF"/>
        </w:rPr>
        <w:t xml:space="preserve"> </w:t>
      </w:r>
      <w:r w:rsidR="00DE21BC" w:rsidRPr="00B96ED6">
        <w:rPr>
          <w:rFonts w:ascii="Century" w:hAnsi="Century"/>
          <w:color w:val="000000"/>
          <w:shd w:val="clear" w:color="auto" w:fill="FFFFFF"/>
        </w:rPr>
        <w:t>attempt to finally align constitutional principle and widespread constitutional practice</w:t>
      </w:r>
      <w:r w:rsidR="00F4401D">
        <w:rPr>
          <w:rFonts w:ascii="Century" w:hAnsi="Century"/>
          <w:color w:val="000000"/>
          <w:shd w:val="clear" w:color="auto" w:fill="FFFFFF"/>
        </w:rPr>
        <w:t>,</w:t>
      </w:r>
      <w:r w:rsidR="003B5932" w:rsidRPr="00B96ED6">
        <w:rPr>
          <w:rFonts w:ascii="Century" w:hAnsi="Century"/>
          <w:color w:val="000000"/>
          <w:shd w:val="clear" w:color="auto" w:fill="FFFFFF"/>
        </w:rPr>
        <w:t xml:space="preserve"> but without officially overruling </w:t>
      </w:r>
      <w:r w:rsidR="003B5932" w:rsidRPr="00B96ED6">
        <w:rPr>
          <w:rFonts w:ascii="Century" w:hAnsi="Century"/>
          <w:i/>
          <w:iCs/>
          <w:color w:val="000000"/>
          <w:shd w:val="clear" w:color="auto" w:fill="FFFFFF"/>
        </w:rPr>
        <w:t>Cityview</w:t>
      </w:r>
      <w:r w:rsidR="00DE21BC" w:rsidRPr="00B96ED6">
        <w:rPr>
          <w:rFonts w:ascii="Century" w:hAnsi="Century"/>
          <w:color w:val="000000"/>
          <w:shd w:val="clear" w:color="auto" w:fill="FFFFFF"/>
        </w:rPr>
        <w:t xml:space="preserve">. These judgments raised considerable commentary and speculation: </w:t>
      </w:r>
      <w:r w:rsidR="00FB5B9B">
        <w:rPr>
          <w:rFonts w:ascii="Century" w:hAnsi="Century"/>
          <w:color w:val="000000"/>
          <w:shd w:val="clear" w:color="auto" w:fill="FFFFFF"/>
        </w:rPr>
        <w:t>Was</w:t>
      </w:r>
      <w:r w:rsidR="00F4401D">
        <w:rPr>
          <w:rFonts w:ascii="Century" w:hAnsi="Century"/>
          <w:color w:val="000000"/>
          <w:shd w:val="clear" w:color="auto" w:fill="FFFFFF"/>
        </w:rPr>
        <w:t xml:space="preserve"> </w:t>
      </w:r>
      <w:r w:rsidRPr="00B96ED6">
        <w:rPr>
          <w:rFonts w:ascii="Century" w:hAnsi="Century"/>
          <w:color w:val="000000"/>
          <w:shd w:val="clear" w:color="auto" w:fill="FFFFFF"/>
        </w:rPr>
        <w:t xml:space="preserve">the </w:t>
      </w:r>
      <w:r w:rsidRPr="00B96ED6">
        <w:rPr>
          <w:rFonts w:ascii="Century" w:hAnsi="Century"/>
          <w:i/>
          <w:iCs/>
          <w:color w:val="000000"/>
          <w:shd w:val="clear" w:color="auto" w:fill="FFFFFF"/>
        </w:rPr>
        <w:t xml:space="preserve">Cityview </w:t>
      </w:r>
      <w:r w:rsidRPr="00B96ED6">
        <w:rPr>
          <w:rFonts w:ascii="Century" w:hAnsi="Century"/>
          <w:color w:val="000000"/>
          <w:shd w:val="clear" w:color="auto" w:fill="FFFFFF"/>
        </w:rPr>
        <w:t xml:space="preserve">test </w:t>
      </w:r>
      <w:r w:rsidR="00F4401D">
        <w:rPr>
          <w:rFonts w:ascii="Century" w:hAnsi="Century"/>
          <w:color w:val="000000"/>
          <w:shd w:val="clear" w:color="auto" w:fill="FFFFFF"/>
        </w:rPr>
        <w:t>now</w:t>
      </w:r>
      <w:r w:rsidR="003B5932" w:rsidRPr="00B96ED6">
        <w:rPr>
          <w:rFonts w:ascii="Century" w:hAnsi="Century"/>
          <w:color w:val="000000"/>
          <w:shd w:val="clear" w:color="auto" w:fill="FFFFFF"/>
        </w:rPr>
        <w:t xml:space="preserve"> </w:t>
      </w:r>
      <w:r w:rsidRPr="00B96ED6">
        <w:rPr>
          <w:rFonts w:ascii="Century" w:hAnsi="Century"/>
          <w:color w:val="000000"/>
          <w:shd w:val="clear" w:color="auto" w:fill="FFFFFF"/>
        </w:rPr>
        <w:t>defunct?</w:t>
      </w:r>
      <w:r w:rsidR="00F4401D">
        <w:rPr>
          <w:rFonts w:ascii="Century" w:hAnsi="Century"/>
          <w:color w:val="000000"/>
          <w:shd w:val="clear" w:color="auto" w:fill="FFFFFF"/>
        </w:rPr>
        <w:t xml:space="preserve"> </w:t>
      </w:r>
      <w:r w:rsidR="00FB5B9B">
        <w:rPr>
          <w:rFonts w:ascii="Century" w:hAnsi="Century"/>
          <w:color w:val="000000"/>
          <w:shd w:val="clear" w:color="auto" w:fill="FFFFFF"/>
        </w:rPr>
        <w:t>W</w:t>
      </w:r>
      <w:r w:rsidR="00F4401D">
        <w:rPr>
          <w:rFonts w:ascii="Century" w:hAnsi="Century"/>
          <w:color w:val="000000"/>
          <w:shd w:val="clear" w:color="auto" w:fill="FFFFFF"/>
        </w:rPr>
        <w:t xml:space="preserve">hat is the purpose of searching for ‘principles and policies? </w:t>
      </w:r>
      <w:r w:rsidR="00FB5B9B">
        <w:rPr>
          <w:rFonts w:ascii="Century" w:hAnsi="Century"/>
          <w:color w:val="000000"/>
          <w:shd w:val="clear" w:color="auto" w:fill="FFFFFF"/>
        </w:rPr>
        <w:t xml:space="preserve">And </w:t>
      </w:r>
      <w:r w:rsidRPr="00B96ED6">
        <w:rPr>
          <w:rFonts w:ascii="Century" w:hAnsi="Century"/>
          <w:color w:val="000000"/>
          <w:shd w:val="clear" w:color="auto" w:fill="FFFFFF"/>
        </w:rPr>
        <w:t>are statutory safeguards provid</w:t>
      </w:r>
      <w:r w:rsidR="00F4401D">
        <w:rPr>
          <w:rFonts w:ascii="Century" w:hAnsi="Century"/>
          <w:color w:val="000000"/>
          <w:shd w:val="clear" w:color="auto" w:fill="FFFFFF"/>
        </w:rPr>
        <w:t>ing</w:t>
      </w:r>
      <w:r w:rsidRPr="00B96ED6">
        <w:rPr>
          <w:rFonts w:ascii="Century" w:hAnsi="Century"/>
          <w:color w:val="000000"/>
          <w:shd w:val="clear" w:color="auto" w:fill="FFFFFF"/>
        </w:rPr>
        <w:t xml:space="preserve"> for</w:t>
      </w:r>
      <w:r w:rsidR="00F4401D">
        <w:rPr>
          <w:rFonts w:ascii="Century" w:hAnsi="Century"/>
          <w:color w:val="000000"/>
          <w:shd w:val="clear" w:color="auto" w:fill="FFFFFF"/>
        </w:rPr>
        <w:t xml:space="preserve"> the</w:t>
      </w:r>
      <w:r w:rsidRPr="00B96ED6">
        <w:rPr>
          <w:rFonts w:ascii="Century" w:hAnsi="Century"/>
          <w:color w:val="000000"/>
          <w:shd w:val="clear" w:color="auto" w:fill="FFFFFF"/>
        </w:rPr>
        <w:t xml:space="preserve"> review of regulations by the</w:t>
      </w:r>
      <w:r w:rsidR="00413AE1">
        <w:rPr>
          <w:rFonts w:ascii="Century" w:hAnsi="Century"/>
          <w:color w:val="000000"/>
          <w:shd w:val="clear" w:color="auto" w:fill="FFFFFF"/>
        </w:rPr>
        <w:t xml:space="preserve"> Houses of the</w:t>
      </w:r>
      <w:r w:rsidRPr="00B96ED6">
        <w:rPr>
          <w:rFonts w:ascii="Century" w:hAnsi="Century"/>
          <w:color w:val="000000"/>
          <w:shd w:val="clear" w:color="auto" w:fill="FFFFFF"/>
        </w:rPr>
        <w:t xml:space="preserve"> Oireachtas of any significant constitutional weight</w:t>
      </w:r>
      <w:r w:rsidR="00B62178">
        <w:rPr>
          <w:rFonts w:ascii="Century" w:hAnsi="Century"/>
          <w:color w:val="000000"/>
          <w:shd w:val="clear" w:color="auto" w:fill="FFFFFF"/>
        </w:rPr>
        <w:t xml:space="preserve"> for the purposes of Article 15</w:t>
      </w:r>
      <w:r w:rsidRPr="00B96ED6">
        <w:rPr>
          <w:rFonts w:ascii="Century" w:hAnsi="Century"/>
          <w:color w:val="000000"/>
          <w:shd w:val="clear" w:color="auto" w:fill="FFFFFF"/>
        </w:rPr>
        <w:t xml:space="preserve">? </w:t>
      </w:r>
    </w:p>
    <w:p w14:paraId="6215DDE0" w14:textId="7BEDCDD6" w:rsidR="004D14D0" w:rsidRPr="00B96ED6" w:rsidRDefault="004D14D0" w:rsidP="00E81877">
      <w:pPr>
        <w:spacing w:line="480" w:lineRule="auto"/>
        <w:jc w:val="both"/>
        <w:rPr>
          <w:rFonts w:ascii="Century" w:hAnsi="Century"/>
          <w:color w:val="000000"/>
          <w:shd w:val="clear" w:color="auto" w:fill="FFFFFF"/>
        </w:rPr>
      </w:pPr>
    </w:p>
    <w:p w14:paraId="26CFCB82" w14:textId="4DB0BB02" w:rsidR="00DE21BC" w:rsidRPr="0013360C" w:rsidRDefault="004D14D0" w:rsidP="0013360C">
      <w:pPr>
        <w:spacing w:line="480" w:lineRule="auto"/>
        <w:ind w:firstLine="720"/>
        <w:jc w:val="both"/>
        <w:rPr>
          <w:rFonts w:ascii="Century" w:hAnsi="Century"/>
          <w:color w:val="000000"/>
          <w:shd w:val="clear" w:color="auto" w:fill="FFFFFF"/>
        </w:rPr>
      </w:pPr>
      <w:r w:rsidRPr="00B96ED6">
        <w:rPr>
          <w:rFonts w:ascii="Century" w:hAnsi="Century"/>
          <w:color w:val="000000"/>
          <w:shd w:val="clear" w:color="auto" w:fill="FFFFFF"/>
        </w:rPr>
        <w:t>Th</w:t>
      </w:r>
      <w:r w:rsidR="00F4401D">
        <w:rPr>
          <w:rFonts w:ascii="Century" w:hAnsi="Century"/>
          <w:color w:val="000000"/>
          <w:shd w:val="clear" w:color="auto" w:fill="FFFFFF"/>
        </w:rPr>
        <w:t>ese questions and this</w:t>
      </w:r>
      <w:r w:rsidRPr="00B96ED6">
        <w:rPr>
          <w:rFonts w:ascii="Century" w:hAnsi="Century"/>
          <w:color w:val="000000"/>
          <w:shd w:val="clear" w:color="auto" w:fill="FFFFFF"/>
        </w:rPr>
        <w:t xml:space="preserve"> state of legal limbo and ambiguity ha</w:t>
      </w:r>
      <w:r w:rsidR="008A02A7">
        <w:rPr>
          <w:rFonts w:ascii="Century" w:hAnsi="Century"/>
          <w:color w:val="000000"/>
          <w:shd w:val="clear" w:color="auto" w:fill="FFFFFF"/>
        </w:rPr>
        <w:t>ve</w:t>
      </w:r>
      <w:r w:rsidRPr="00B96ED6">
        <w:rPr>
          <w:rFonts w:ascii="Century" w:hAnsi="Century"/>
          <w:color w:val="000000"/>
          <w:shd w:val="clear" w:color="auto" w:fill="FFFFFF"/>
        </w:rPr>
        <w:t xml:space="preserve"> been, I will </w:t>
      </w:r>
      <w:r w:rsidR="00F4401D">
        <w:rPr>
          <w:rFonts w:ascii="Century" w:hAnsi="Century"/>
          <w:color w:val="000000"/>
          <w:shd w:val="clear" w:color="auto" w:fill="FFFFFF"/>
        </w:rPr>
        <w:t>argue</w:t>
      </w:r>
      <w:r w:rsidRPr="00B96ED6">
        <w:rPr>
          <w:rFonts w:ascii="Century" w:hAnsi="Century"/>
          <w:color w:val="000000"/>
          <w:shd w:val="clear" w:color="auto" w:fill="FFFFFF"/>
        </w:rPr>
        <w:t xml:space="preserve">, definitively </w:t>
      </w:r>
      <w:r w:rsidR="00161D7B">
        <w:rPr>
          <w:rFonts w:ascii="Century" w:hAnsi="Century"/>
          <w:color w:val="000000"/>
          <w:shd w:val="clear" w:color="auto" w:fill="FFFFFF"/>
        </w:rPr>
        <w:t>settled</w:t>
      </w:r>
      <w:r w:rsidRPr="00B96ED6">
        <w:rPr>
          <w:rFonts w:ascii="Century" w:hAnsi="Century"/>
          <w:color w:val="000000"/>
          <w:shd w:val="clear" w:color="auto" w:fill="FFFFFF"/>
        </w:rPr>
        <w:t xml:space="preserve"> by the Supreme Court in </w:t>
      </w:r>
      <w:proofErr w:type="spellStart"/>
      <w:r w:rsidR="0013360C" w:rsidRPr="0013360C">
        <w:rPr>
          <w:rFonts w:ascii="Century" w:eastAsia="Times New Roman" w:hAnsi="Century" w:cs="Open Sans"/>
          <w:i/>
          <w:iCs/>
          <w:color w:val="000000" w:themeColor="text1"/>
          <w:shd w:val="clear" w:color="auto" w:fill="FFFFFF"/>
          <w:lang w:val="en-GB" w:eastAsia="en-GB"/>
        </w:rPr>
        <w:t>Náisiunta</w:t>
      </w:r>
      <w:proofErr w:type="spellEnd"/>
      <w:r w:rsidR="0013360C" w:rsidRPr="0013360C">
        <w:rPr>
          <w:rFonts w:ascii="Century" w:eastAsia="Times New Roman" w:hAnsi="Century" w:cs="Open Sans"/>
          <w:i/>
          <w:iCs/>
          <w:color w:val="000000" w:themeColor="text1"/>
          <w:shd w:val="clear" w:color="auto" w:fill="FFFFFF"/>
          <w:lang w:val="en-GB" w:eastAsia="en-GB"/>
        </w:rPr>
        <w:t xml:space="preserve"> </w:t>
      </w:r>
      <w:proofErr w:type="spellStart"/>
      <w:r w:rsidR="0013360C" w:rsidRPr="0013360C">
        <w:rPr>
          <w:rFonts w:ascii="Century" w:eastAsia="Times New Roman" w:hAnsi="Century" w:cs="Open Sans"/>
          <w:i/>
          <w:iCs/>
          <w:color w:val="000000" w:themeColor="text1"/>
          <w:shd w:val="clear" w:color="auto" w:fill="FFFFFF"/>
          <w:lang w:val="en-GB" w:eastAsia="en-GB"/>
        </w:rPr>
        <w:t>Leictreacht</w:t>
      </w:r>
      <w:proofErr w:type="spellEnd"/>
      <w:r w:rsidR="0013360C" w:rsidRPr="0013360C">
        <w:rPr>
          <w:rFonts w:ascii="Century" w:eastAsia="Times New Roman" w:hAnsi="Century" w:cs="Open Sans"/>
          <w:i/>
          <w:iCs/>
          <w:color w:val="000000" w:themeColor="text1"/>
          <w:shd w:val="clear" w:color="auto" w:fill="FFFFFF"/>
          <w:lang w:val="en-GB" w:eastAsia="en-GB"/>
        </w:rPr>
        <w:t> </w:t>
      </w:r>
      <w:r w:rsidR="00F4401D" w:rsidRPr="00F4401D">
        <w:rPr>
          <w:rFonts w:ascii="Century" w:hAnsi="Century"/>
          <w:i/>
          <w:iCs/>
          <w:color w:val="000000"/>
          <w:shd w:val="clear" w:color="auto" w:fill="FFFFFF"/>
        </w:rPr>
        <w:t xml:space="preserve">v </w:t>
      </w:r>
      <w:proofErr w:type="spellStart"/>
      <w:r w:rsidR="00F4401D" w:rsidRPr="00F4401D">
        <w:rPr>
          <w:rFonts w:ascii="Century" w:hAnsi="Century"/>
          <w:i/>
          <w:iCs/>
          <w:color w:val="000000"/>
          <w:shd w:val="clear" w:color="auto" w:fill="FFFFFF"/>
        </w:rPr>
        <w:t>Labour</w:t>
      </w:r>
      <w:proofErr w:type="spellEnd"/>
      <w:r w:rsidR="00F4401D" w:rsidRPr="00F4401D">
        <w:rPr>
          <w:rFonts w:ascii="Century" w:hAnsi="Century"/>
          <w:i/>
          <w:iCs/>
          <w:color w:val="000000"/>
          <w:shd w:val="clear" w:color="auto" w:fill="FFFFFF"/>
        </w:rPr>
        <w:t xml:space="preserve"> </w:t>
      </w:r>
      <w:r w:rsidR="00F4401D" w:rsidRPr="003F441F">
        <w:rPr>
          <w:rFonts w:ascii="Century" w:hAnsi="Century"/>
          <w:i/>
          <w:iCs/>
          <w:color w:val="000000"/>
          <w:shd w:val="clear" w:color="auto" w:fill="FFFFFF"/>
        </w:rPr>
        <w:t>Court</w:t>
      </w:r>
      <w:r w:rsidR="003F441F" w:rsidRPr="003F441F">
        <w:rPr>
          <w:rFonts w:ascii="Century" w:hAnsi="Century"/>
          <w:color w:val="000000"/>
          <w:shd w:val="clear" w:color="auto" w:fill="FFFFFF"/>
        </w:rPr>
        <w:t xml:space="preserve"> </w:t>
      </w:r>
      <w:r w:rsidR="0013360C">
        <w:rPr>
          <w:rFonts w:ascii="Century" w:hAnsi="Century" w:cs="Times New Roman"/>
        </w:rPr>
        <w:t>(</w:t>
      </w:r>
      <w:r w:rsidR="00BC7DFD">
        <w:rPr>
          <w:rFonts w:ascii="Century" w:hAnsi="Century" w:cs="Times New Roman"/>
        </w:rPr>
        <w:t>‘</w:t>
      </w:r>
      <w:r w:rsidR="0013360C">
        <w:rPr>
          <w:rFonts w:ascii="Century" w:hAnsi="Century" w:cs="Times New Roman"/>
        </w:rPr>
        <w:t>NECI</w:t>
      </w:r>
      <w:r w:rsidR="00BC7DFD">
        <w:rPr>
          <w:rFonts w:ascii="Century" w:hAnsi="Century" w:cs="Times New Roman"/>
        </w:rPr>
        <w:t>’</w:t>
      </w:r>
      <w:r w:rsidR="0013360C">
        <w:rPr>
          <w:rFonts w:ascii="Century" w:hAnsi="Century" w:cs="Times New Roman"/>
        </w:rPr>
        <w:t>)</w:t>
      </w:r>
      <w:r w:rsidR="003F441F">
        <w:rPr>
          <w:rFonts w:ascii="Century" w:hAnsi="Century"/>
          <w:color w:val="000000"/>
          <w:shd w:val="clear" w:color="auto" w:fill="FFFFFF"/>
        </w:rPr>
        <w:t>.</w:t>
      </w:r>
      <w:bookmarkStart w:id="7" w:name="_Ref85194969"/>
      <w:r w:rsidR="004476C6">
        <w:rPr>
          <w:rStyle w:val="FootnoteReference"/>
          <w:rFonts w:ascii="Century" w:hAnsi="Century"/>
          <w:color w:val="000000"/>
          <w:shd w:val="clear" w:color="auto" w:fill="FFFFFF"/>
        </w:rPr>
        <w:footnoteReference w:id="11"/>
      </w:r>
      <w:bookmarkEnd w:id="7"/>
      <w:r w:rsidR="003F441F">
        <w:rPr>
          <w:rFonts w:ascii="Century" w:hAnsi="Century"/>
          <w:color w:val="000000"/>
          <w:shd w:val="clear" w:color="auto" w:fill="FFFFFF"/>
        </w:rPr>
        <w:t xml:space="preserve"> </w:t>
      </w:r>
      <w:r w:rsidRPr="00B96ED6">
        <w:rPr>
          <w:rFonts w:ascii="Century" w:hAnsi="Century"/>
          <w:color w:val="000000"/>
          <w:shd w:val="clear" w:color="auto" w:fill="FFFFFF"/>
        </w:rPr>
        <w:t>The case represents the most significant treatment of Article 15</w:t>
      </w:r>
      <w:r w:rsidR="00716481">
        <w:rPr>
          <w:rFonts w:ascii="Century" w:hAnsi="Century"/>
          <w:color w:val="000000"/>
          <w:shd w:val="clear" w:color="auto" w:fill="FFFFFF"/>
        </w:rPr>
        <w:t>.2.1</w:t>
      </w:r>
      <w:r w:rsidRPr="00B96ED6">
        <w:rPr>
          <w:rFonts w:ascii="Century" w:hAnsi="Century"/>
          <w:color w:val="000000"/>
          <w:shd w:val="clear" w:color="auto" w:fill="FFFFFF"/>
        </w:rPr>
        <w:t xml:space="preserve"> since </w:t>
      </w:r>
      <w:r w:rsidRPr="00B96ED6">
        <w:rPr>
          <w:rFonts w:ascii="Century" w:hAnsi="Century"/>
          <w:i/>
          <w:iCs/>
          <w:color w:val="000000"/>
          <w:shd w:val="clear" w:color="auto" w:fill="FFFFFF"/>
        </w:rPr>
        <w:t xml:space="preserve">Cityview </w:t>
      </w:r>
      <w:r w:rsidR="003B5932" w:rsidRPr="00B96ED6">
        <w:rPr>
          <w:rFonts w:ascii="Century" w:hAnsi="Century"/>
          <w:color w:val="000000"/>
          <w:shd w:val="clear" w:color="auto" w:fill="FFFFFF"/>
        </w:rPr>
        <w:t>and</w:t>
      </w:r>
      <w:r w:rsidRPr="00B96ED6">
        <w:rPr>
          <w:rFonts w:ascii="Century" w:hAnsi="Century"/>
          <w:color w:val="000000"/>
          <w:shd w:val="clear" w:color="auto" w:fill="FFFFFF"/>
        </w:rPr>
        <w:t xml:space="preserve"> </w:t>
      </w:r>
      <w:r w:rsidR="0095039A">
        <w:rPr>
          <w:rFonts w:ascii="Century" w:hAnsi="Century"/>
          <w:color w:val="000000"/>
          <w:shd w:val="clear" w:color="auto" w:fill="FFFFFF"/>
        </w:rPr>
        <w:t>offer</w:t>
      </w:r>
      <w:r w:rsidR="00C8100E">
        <w:rPr>
          <w:rFonts w:ascii="Century" w:hAnsi="Century"/>
          <w:color w:val="000000"/>
          <w:shd w:val="clear" w:color="auto" w:fill="FFFFFF"/>
        </w:rPr>
        <w:t>s</w:t>
      </w:r>
      <w:r w:rsidR="0095039A">
        <w:rPr>
          <w:rFonts w:ascii="Century" w:hAnsi="Century"/>
          <w:color w:val="000000"/>
          <w:shd w:val="clear" w:color="auto" w:fill="FFFFFF"/>
        </w:rPr>
        <w:t xml:space="preserve"> a</w:t>
      </w:r>
      <w:r w:rsidRPr="00B96ED6">
        <w:rPr>
          <w:rFonts w:ascii="Century" w:hAnsi="Century"/>
          <w:color w:val="000000"/>
          <w:shd w:val="clear" w:color="auto" w:fill="FFFFFF"/>
        </w:rPr>
        <w:t xml:space="preserve"> definitive recasting of the doctrinal test for assessing the constitutionality of delegated rulemaking authority.</w:t>
      </w:r>
      <w:bookmarkStart w:id="8" w:name="_Ref85718089"/>
      <w:r w:rsidR="00083C0C">
        <w:rPr>
          <w:rStyle w:val="FootnoteReference"/>
          <w:rFonts w:ascii="Century" w:hAnsi="Century"/>
          <w:color w:val="000000"/>
          <w:shd w:val="clear" w:color="auto" w:fill="FFFFFF"/>
        </w:rPr>
        <w:footnoteReference w:id="12"/>
      </w:r>
      <w:bookmarkEnd w:id="8"/>
      <w:r w:rsidRPr="00B96ED6">
        <w:rPr>
          <w:rFonts w:ascii="Century" w:hAnsi="Century"/>
          <w:color w:val="000000"/>
          <w:shd w:val="clear" w:color="auto" w:fill="FFFFFF"/>
        </w:rPr>
        <w:t xml:space="preserve"> The </w:t>
      </w:r>
      <w:r w:rsidRPr="00B96ED6">
        <w:rPr>
          <w:rFonts w:ascii="Century" w:hAnsi="Century"/>
          <w:i/>
          <w:iCs/>
          <w:color w:val="000000"/>
          <w:shd w:val="clear" w:color="auto" w:fill="FFFFFF"/>
        </w:rPr>
        <w:t>Cityview</w:t>
      </w:r>
      <w:r w:rsidR="0095039A">
        <w:rPr>
          <w:rFonts w:ascii="Century" w:hAnsi="Century"/>
          <w:i/>
          <w:iCs/>
          <w:color w:val="000000"/>
          <w:shd w:val="clear" w:color="auto" w:fill="FFFFFF"/>
        </w:rPr>
        <w:t xml:space="preserve"> </w:t>
      </w:r>
      <w:r w:rsidR="0095039A">
        <w:rPr>
          <w:rFonts w:ascii="Century" w:hAnsi="Century"/>
          <w:color w:val="000000"/>
          <w:shd w:val="clear" w:color="auto" w:fill="FFFFFF"/>
        </w:rPr>
        <w:t>test</w:t>
      </w:r>
      <w:r w:rsidRPr="00B96ED6">
        <w:rPr>
          <w:rFonts w:ascii="Century" w:hAnsi="Century"/>
          <w:color w:val="000000"/>
          <w:shd w:val="clear" w:color="auto" w:fill="FFFFFF"/>
        </w:rPr>
        <w:t xml:space="preserve">, </w:t>
      </w:r>
      <w:r w:rsidR="00893E21">
        <w:rPr>
          <w:rFonts w:ascii="Century" w:hAnsi="Century"/>
          <w:color w:val="000000"/>
          <w:shd w:val="clear" w:color="auto" w:fill="FFFFFF"/>
        </w:rPr>
        <w:t>at least as</w:t>
      </w:r>
      <w:r w:rsidR="00F4401D">
        <w:rPr>
          <w:rFonts w:ascii="Century" w:hAnsi="Century"/>
          <w:color w:val="000000"/>
          <w:shd w:val="clear" w:color="auto" w:fill="FFFFFF"/>
        </w:rPr>
        <w:t xml:space="preserve"> formally</w:t>
      </w:r>
      <w:r w:rsidRPr="00B96ED6">
        <w:rPr>
          <w:rFonts w:ascii="Century" w:hAnsi="Century"/>
          <w:color w:val="000000"/>
          <w:shd w:val="clear" w:color="auto" w:fill="FFFFFF"/>
        </w:rPr>
        <w:t xml:space="preserve"> articulated in </w:t>
      </w:r>
      <w:r w:rsidR="00F4401D">
        <w:rPr>
          <w:rFonts w:ascii="Century" w:hAnsi="Century"/>
          <w:color w:val="000000"/>
          <w:shd w:val="clear" w:color="auto" w:fill="FFFFFF"/>
        </w:rPr>
        <w:t xml:space="preserve">judicial </w:t>
      </w:r>
      <w:r w:rsidRPr="00B96ED6">
        <w:rPr>
          <w:rFonts w:ascii="Century" w:hAnsi="Century"/>
          <w:color w:val="000000"/>
          <w:shd w:val="clear" w:color="auto" w:fill="FFFFFF"/>
        </w:rPr>
        <w:t xml:space="preserve">doctrine and understood by legal scholars, is definitively dead and buried. </w:t>
      </w:r>
      <w:r w:rsidR="003B5932" w:rsidRPr="00B96ED6">
        <w:rPr>
          <w:rFonts w:ascii="Century" w:hAnsi="Century"/>
          <w:color w:val="000000"/>
          <w:shd w:val="clear" w:color="auto" w:fill="FFFFFF"/>
        </w:rPr>
        <w:t xml:space="preserve">In this </w:t>
      </w:r>
      <w:r w:rsidR="00B62178">
        <w:rPr>
          <w:rFonts w:ascii="Century" w:hAnsi="Century"/>
          <w:color w:val="000000"/>
          <w:shd w:val="clear" w:color="auto" w:fill="FFFFFF"/>
        </w:rPr>
        <w:t>article</w:t>
      </w:r>
      <w:r w:rsidR="003B5932" w:rsidRPr="00B96ED6">
        <w:rPr>
          <w:rFonts w:ascii="Century" w:hAnsi="Century"/>
          <w:color w:val="000000"/>
          <w:shd w:val="clear" w:color="auto" w:fill="FFFFFF"/>
        </w:rPr>
        <w:t xml:space="preserve">, I will give an account of what has replaced it and whether it is for better or worse. </w:t>
      </w:r>
    </w:p>
    <w:p w14:paraId="3D91982A" w14:textId="77777777" w:rsidR="007600CC" w:rsidRPr="00B96ED6" w:rsidRDefault="007600CC" w:rsidP="0013360C">
      <w:pPr>
        <w:spacing w:line="480" w:lineRule="auto"/>
        <w:jc w:val="both"/>
        <w:rPr>
          <w:rFonts w:ascii="Century" w:hAnsi="Century" w:cs="Times New Roman"/>
        </w:rPr>
      </w:pPr>
    </w:p>
    <w:p w14:paraId="45D5BC9D" w14:textId="2EA317C2" w:rsidR="006D4CDA" w:rsidRPr="00B96ED6" w:rsidRDefault="00B82F96" w:rsidP="0013360C">
      <w:pPr>
        <w:spacing w:line="480" w:lineRule="auto"/>
        <w:jc w:val="both"/>
        <w:rPr>
          <w:rFonts w:ascii="Century" w:hAnsi="Century" w:cs="Times New Roman"/>
        </w:rPr>
      </w:pPr>
      <w:r w:rsidRPr="00B96ED6">
        <w:rPr>
          <w:rFonts w:ascii="Century" w:hAnsi="Century" w:cs="Times New Roman"/>
        </w:rPr>
        <w:t xml:space="preserve">Part I introduces </w:t>
      </w:r>
      <w:r w:rsidRPr="00D5469A">
        <w:rPr>
          <w:rFonts w:ascii="Century" w:hAnsi="Century" w:cs="Times New Roman"/>
          <w:i/>
          <w:iCs/>
        </w:rPr>
        <w:t>NECI</w:t>
      </w:r>
      <w:r w:rsidRPr="00B96ED6">
        <w:rPr>
          <w:rFonts w:ascii="Century" w:hAnsi="Century" w:cs="Times New Roman"/>
        </w:rPr>
        <w:t xml:space="preserve"> and gives an account of the</w:t>
      </w:r>
      <w:r w:rsidR="003A6613" w:rsidRPr="00B96ED6">
        <w:rPr>
          <w:rFonts w:ascii="Century" w:hAnsi="Century" w:cs="Times New Roman"/>
        </w:rPr>
        <w:t xml:space="preserve"> Supreme</w:t>
      </w:r>
      <w:r w:rsidRPr="00B96ED6">
        <w:rPr>
          <w:rFonts w:ascii="Century" w:hAnsi="Century" w:cs="Times New Roman"/>
        </w:rPr>
        <w:t xml:space="preserve"> Court</w:t>
      </w:r>
      <w:r w:rsidR="00F4401D">
        <w:rPr>
          <w:rFonts w:ascii="Century" w:hAnsi="Century" w:cs="Times New Roman"/>
        </w:rPr>
        <w:t xml:space="preserve"> </w:t>
      </w:r>
      <w:r w:rsidRPr="00B96ED6">
        <w:rPr>
          <w:rFonts w:ascii="Century" w:hAnsi="Century" w:cs="Times New Roman"/>
        </w:rPr>
        <w:t>judgment</w:t>
      </w:r>
      <w:r w:rsidR="00F4401D">
        <w:rPr>
          <w:rFonts w:ascii="Century" w:hAnsi="Century" w:cs="Times New Roman"/>
        </w:rPr>
        <w:t xml:space="preserve">s of MacMenamin and </w:t>
      </w:r>
      <w:proofErr w:type="spellStart"/>
      <w:r w:rsidR="00F4401D">
        <w:rPr>
          <w:rFonts w:ascii="Century" w:hAnsi="Century" w:cs="Times New Roman"/>
        </w:rPr>
        <w:t>Charelton</w:t>
      </w:r>
      <w:proofErr w:type="spellEnd"/>
      <w:r w:rsidR="00F4401D">
        <w:rPr>
          <w:rFonts w:ascii="Century" w:hAnsi="Century" w:cs="Times New Roman"/>
        </w:rPr>
        <w:t xml:space="preserve"> JJ.</w:t>
      </w:r>
      <w:r w:rsidRPr="00B96ED6">
        <w:rPr>
          <w:rFonts w:ascii="Century" w:hAnsi="Century" w:cs="Times New Roman"/>
        </w:rPr>
        <w:t xml:space="preserve"> Part II</w:t>
      </w:r>
      <w:r w:rsidR="003A6613" w:rsidRPr="00B96ED6">
        <w:rPr>
          <w:rFonts w:ascii="Century" w:hAnsi="Century" w:cs="Times New Roman"/>
        </w:rPr>
        <w:t xml:space="preserve"> </w:t>
      </w:r>
      <w:r w:rsidR="00F4401D">
        <w:rPr>
          <w:rFonts w:ascii="Century" w:hAnsi="Century" w:cs="Times New Roman"/>
        </w:rPr>
        <w:t xml:space="preserve">outlines </w:t>
      </w:r>
      <w:r w:rsidR="00413AE1">
        <w:rPr>
          <w:rFonts w:ascii="Century" w:hAnsi="Century" w:cs="Times New Roman"/>
        </w:rPr>
        <w:t>its</w:t>
      </w:r>
      <w:r w:rsidR="00F4401D">
        <w:rPr>
          <w:rFonts w:ascii="Century" w:hAnsi="Century" w:cs="Times New Roman"/>
        </w:rPr>
        <w:t xml:space="preserve"> doctrinal significance. </w:t>
      </w:r>
      <w:r w:rsidR="003A6613" w:rsidRPr="00B96ED6">
        <w:rPr>
          <w:rFonts w:ascii="Century" w:hAnsi="Century" w:cs="Times New Roman"/>
        </w:rPr>
        <w:t>Part III</w:t>
      </w:r>
      <w:r w:rsidRPr="00B96ED6">
        <w:rPr>
          <w:rFonts w:ascii="Century" w:hAnsi="Century" w:cs="Times New Roman"/>
        </w:rPr>
        <w:t xml:space="preserve"> defend</w:t>
      </w:r>
      <w:r w:rsidR="00D5469A">
        <w:rPr>
          <w:rFonts w:ascii="Century" w:hAnsi="Century" w:cs="Times New Roman"/>
        </w:rPr>
        <w:t>s</w:t>
      </w:r>
      <w:r w:rsidRPr="00B96ED6">
        <w:rPr>
          <w:rFonts w:ascii="Century" w:hAnsi="Century" w:cs="Times New Roman"/>
        </w:rPr>
        <w:t xml:space="preserve"> the judgment from </w:t>
      </w:r>
      <w:r w:rsidR="00F4401D">
        <w:rPr>
          <w:rFonts w:ascii="Century" w:hAnsi="Century" w:cs="Times New Roman"/>
        </w:rPr>
        <w:t>two</w:t>
      </w:r>
      <w:r w:rsidR="00D07C2A">
        <w:rPr>
          <w:rFonts w:ascii="Century" w:hAnsi="Century" w:cs="Times New Roman"/>
        </w:rPr>
        <w:t xml:space="preserve"> anticipated</w:t>
      </w:r>
      <w:r w:rsidRPr="00B96ED6">
        <w:rPr>
          <w:rFonts w:ascii="Century" w:hAnsi="Century" w:cs="Times New Roman"/>
        </w:rPr>
        <w:t xml:space="preserve"> lines of critique</w:t>
      </w:r>
      <w:r w:rsidR="00F4401D">
        <w:rPr>
          <w:rFonts w:ascii="Century" w:hAnsi="Century" w:cs="Times New Roman"/>
        </w:rPr>
        <w:t>. Namely,</w:t>
      </w:r>
      <w:r w:rsidRPr="00B96ED6">
        <w:rPr>
          <w:rFonts w:ascii="Century" w:hAnsi="Century" w:cs="Times New Roman"/>
        </w:rPr>
        <w:t xml:space="preserve"> that </w:t>
      </w:r>
      <w:r w:rsidR="00BE3032" w:rsidRPr="00B96ED6">
        <w:rPr>
          <w:rFonts w:ascii="Century" w:hAnsi="Century" w:cs="Times New Roman"/>
        </w:rPr>
        <w:t>the judgment</w:t>
      </w:r>
      <w:r w:rsidRPr="00B96ED6">
        <w:rPr>
          <w:rFonts w:ascii="Century" w:hAnsi="Century" w:cs="Times New Roman"/>
        </w:rPr>
        <w:t xml:space="preserve"> is </w:t>
      </w:r>
      <w:r w:rsidR="00BE3032" w:rsidRPr="00B96ED6">
        <w:rPr>
          <w:rFonts w:ascii="Century" w:hAnsi="Century" w:cs="Times New Roman"/>
        </w:rPr>
        <w:t>in tension with</w:t>
      </w:r>
      <w:r w:rsidRPr="00B96ED6">
        <w:rPr>
          <w:rFonts w:ascii="Century" w:hAnsi="Century" w:cs="Times New Roman"/>
        </w:rPr>
        <w:t xml:space="preserve"> </w:t>
      </w:r>
      <w:r w:rsidR="00BE3032" w:rsidRPr="00B96ED6">
        <w:rPr>
          <w:rFonts w:ascii="Century" w:hAnsi="Century" w:cs="Times New Roman"/>
        </w:rPr>
        <w:t>o</w:t>
      </w:r>
      <w:r w:rsidRPr="00B96ED6">
        <w:rPr>
          <w:rFonts w:ascii="Century" w:hAnsi="Century" w:cs="Times New Roman"/>
        </w:rPr>
        <w:t>ur scheme of separation of powers,</w:t>
      </w:r>
      <w:r w:rsidR="00F4401D">
        <w:rPr>
          <w:rFonts w:ascii="Century" w:hAnsi="Century" w:cs="Times New Roman"/>
        </w:rPr>
        <w:t xml:space="preserve"> or that it</w:t>
      </w:r>
      <w:r w:rsidRPr="00B96ED6">
        <w:rPr>
          <w:rFonts w:ascii="Century" w:hAnsi="Century" w:cs="Times New Roman"/>
        </w:rPr>
        <w:t xml:space="preserve"> raises democratic concerns</w:t>
      </w:r>
      <w:r w:rsidR="00F4401D">
        <w:rPr>
          <w:rFonts w:ascii="Century" w:hAnsi="Century" w:cs="Times New Roman"/>
        </w:rPr>
        <w:t>.</w:t>
      </w:r>
    </w:p>
    <w:p w14:paraId="1613B4B6" w14:textId="3000B216" w:rsidR="007600CC" w:rsidRDefault="007600CC" w:rsidP="00E81877">
      <w:pPr>
        <w:spacing w:line="480" w:lineRule="auto"/>
        <w:jc w:val="both"/>
        <w:rPr>
          <w:rFonts w:ascii="Century" w:hAnsi="Century" w:cs="Times New Roman"/>
        </w:rPr>
      </w:pPr>
    </w:p>
    <w:p w14:paraId="25BCB289" w14:textId="531A029E" w:rsidR="00E04F37" w:rsidRDefault="00E04F37" w:rsidP="00E81877">
      <w:pPr>
        <w:spacing w:line="480" w:lineRule="auto"/>
        <w:jc w:val="both"/>
        <w:rPr>
          <w:rFonts w:ascii="Century" w:hAnsi="Century" w:cs="Times New Roman"/>
        </w:rPr>
      </w:pPr>
    </w:p>
    <w:p w14:paraId="27E340DD" w14:textId="543C337A" w:rsidR="00E04F37" w:rsidRDefault="00E04F37" w:rsidP="00E81877">
      <w:pPr>
        <w:spacing w:line="480" w:lineRule="auto"/>
        <w:jc w:val="both"/>
        <w:rPr>
          <w:rFonts w:ascii="Century" w:hAnsi="Century" w:cs="Times New Roman"/>
        </w:rPr>
      </w:pPr>
    </w:p>
    <w:p w14:paraId="248FBD51" w14:textId="395E98C7" w:rsidR="00E04F37" w:rsidRDefault="00E04F37" w:rsidP="00E81877">
      <w:pPr>
        <w:spacing w:line="480" w:lineRule="auto"/>
        <w:jc w:val="both"/>
        <w:rPr>
          <w:rFonts w:ascii="Century" w:hAnsi="Century" w:cs="Times New Roman"/>
        </w:rPr>
      </w:pPr>
    </w:p>
    <w:p w14:paraId="7D17E7A6" w14:textId="191ED7F3" w:rsidR="00E04F37" w:rsidRDefault="00E04F37" w:rsidP="00E81877">
      <w:pPr>
        <w:spacing w:line="480" w:lineRule="auto"/>
        <w:jc w:val="both"/>
        <w:rPr>
          <w:rFonts w:ascii="Century" w:hAnsi="Century" w:cs="Times New Roman"/>
        </w:rPr>
      </w:pPr>
    </w:p>
    <w:p w14:paraId="48AD30B0" w14:textId="77777777" w:rsidR="00E04F37" w:rsidRPr="00B96ED6" w:rsidRDefault="00E04F37" w:rsidP="00E81877">
      <w:pPr>
        <w:spacing w:line="480" w:lineRule="auto"/>
        <w:jc w:val="both"/>
        <w:rPr>
          <w:rFonts w:ascii="Century" w:hAnsi="Century" w:cs="Times New Roman"/>
        </w:rPr>
      </w:pPr>
    </w:p>
    <w:p w14:paraId="4E1A7B3E" w14:textId="77ADD788" w:rsidR="00940D6D" w:rsidRPr="00B96ED6" w:rsidRDefault="00D52E8C" w:rsidP="00E81877">
      <w:pPr>
        <w:spacing w:line="480" w:lineRule="auto"/>
        <w:jc w:val="both"/>
        <w:rPr>
          <w:rFonts w:ascii="Century" w:hAnsi="Century" w:cs="Times New Roman"/>
          <w:b/>
          <w:bCs/>
        </w:rPr>
      </w:pPr>
      <w:r w:rsidRPr="00B96ED6">
        <w:rPr>
          <w:rFonts w:ascii="Century" w:hAnsi="Century" w:cs="Times New Roman"/>
          <w:b/>
          <w:bCs/>
        </w:rPr>
        <w:t>Part I</w:t>
      </w:r>
      <w:r w:rsidR="0019463D" w:rsidRPr="00B96ED6">
        <w:rPr>
          <w:rFonts w:ascii="Century" w:hAnsi="Century" w:cs="Times New Roman"/>
          <w:b/>
          <w:bCs/>
        </w:rPr>
        <w:t xml:space="preserve"> </w:t>
      </w:r>
      <w:r w:rsidR="00163EAD">
        <w:rPr>
          <w:rFonts w:ascii="Century" w:hAnsi="Century" w:cs="Times New Roman"/>
          <w:b/>
          <w:bCs/>
        </w:rPr>
        <w:t>–</w:t>
      </w:r>
      <w:r w:rsidR="0019463D" w:rsidRPr="00B96ED6">
        <w:rPr>
          <w:rFonts w:ascii="Century" w:hAnsi="Century" w:cs="Times New Roman"/>
          <w:b/>
          <w:bCs/>
        </w:rPr>
        <w:t xml:space="preserve"> </w:t>
      </w:r>
      <w:r w:rsidR="0019463D" w:rsidRPr="006D2B93">
        <w:rPr>
          <w:rFonts w:ascii="Century" w:hAnsi="Century" w:cs="Times New Roman"/>
          <w:b/>
          <w:bCs/>
          <w:i/>
          <w:iCs/>
        </w:rPr>
        <w:t>NECI</w:t>
      </w:r>
      <w:r w:rsidR="00163EAD" w:rsidRPr="006D2B93">
        <w:rPr>
          <w:rFonts w:ascii="Century" w:hAnsi="Century" w:cs="Times New Roman"/>
          <w:b/>
          <w:bCs/>
          <w:i/>
          <w:iCs/>
        </w:rPr>
        <w:t xml:space="preserve"> v </w:t>
      </w:r>
      <w:proofErr w:type="spellStart"/>
      <w:r w:rsidR="00163EAD" w:rsidRPr="006D2B93">
        <w:rPr>
          <w:rFonts w:ascii="Century" w:hAnsi="Century" w:cs="Times New Roman"/>
          <w:b/>
          <w:bCs/>
          <w:i/>
          <w:iCs/>
        </w:rPr>
        <w:t>Labour</w:t>
      </w:r>
      <w:proofErr w:type="spellEnd"/>
      <w:r w:rsidR="00163EAD" w:rsidRPr="006D2B93">
        <w:rPr>
          <w:rFonts w:ascii="Century" w:hAnsi="Century" w:cs="Times New Roman"/>
          <w:b/>
          <w:bCs/>
          <w:i/>
          <w:iCs/>
        </w:rPr>
        <w:t xml:space="preserve"> Court and Ireland</w:t>
      </w:r>
      <w:r w:rsidR="00C77DF0">
        <w:rPr>
          <w:rFonts w:ascii="Century" w:hAnsi="Century" w:cs="Times New Roman"/>
          <w:b/>
          <w:bCs/>
        </w:rPr>
        <w:t xml:space="preserve"> [2021] IESC </w:t>
      </w:r>
      <w:r w:rsidR="0080546A">
        <w:rPr>
          <w:rFonts w:ascii="Century" w:hAnsi="Century" w:cs="Times New Roman"/>
          <w:b/>
          <w:bCs/>
        </w:rPr>
        <w:t>36</w:t>
      </w:r>
    </w:p>
    <w:p w14:paraId="3831273C" w14:textId="3E5421F1" w:rsidR="00866FC3" w:rsidRPr="00B96ED6" w:rsidRDefault="00940D6D" w:rsidP="00E81877">
      <w:pPr>
        <w:spacing w:line="480" w:lineRule="auto"/>
        <w:jc w:val="both"/>
        <w:rPr>
          <w:rFonts w:ascii="Century" w:hAnsi="Century" w:cs="Times New Roman"/>
          <w:b/>
          <w:bCs/>
        </w:rPr>
      </w:pPr>
      <w:r w:rsidRPr="00B96ED6">
        <w:rPr>
          <w:rFonts w:ascii="Century" w:hAnsi="Century" w:cs="Times New Roman"/>
          <w:b/>
          <w:bCs/>
        </w:rPr>
        <w:lastRenderedPageBreak/>
        <w:t>Facts</w:t>
      </w:r>
    </w:p>
    <w:p w14:paraId="618AEFF8" w14:textId="10030D1A" w:rsidR="00BB15C8" w:rsidRDefault="00A84ED0" w:rsidP="00E81877">
      <w:pPr>
        <w:spacing w:line="480" w:lineRule="auto"/>
        <w:jc w:val="both"/>
        <w:rPr>
          <w:rFonts w:ascii="Century" w:hAnsi="Century" w:cs="Times New Roman"/>
        </w:rPr>
      </w:pPr>
      <w:r>
        <w:rPr>
          <w:rFonts w:ascii="Century" w:hAnsi="Century" w:cs="Times New Roman"/>
        </w:rPr>
        <w:t xml:space="preserve">A core </w:t>
      </w:r>
      <w:r w:rsidR="00940D6D" w:rsidRPr="00B96ED6">
        <w:rPr>
          <w:rFonts w:ascii="Century" w:hAnsi="Century" w:cs="Times New Roman"/>
        </w:rPr>
        <w:t>aspect of</w:t>
      </w:r>
      <w:r>
        <w:rPr>
          <w:rFonts w:ascii="Century" w:hAnsi="Century" w:cs="Times New Roman"/>
        </w:rPr>
        <w:t xml:space="preserve"> Ireland’s</w:t>
      </w:r>
      <w:r w:rsidR="00940D6D" w:rsidRPr="00B96ED6">
        <w:rPr>
          <w:rFonts w:ascii="Century" w:hAnsi="Century" w:cs="Times New Roman"/>
        </w:rPr>
        <w:t xml:space="preserve"> industrial relations </w:t>
      </w:r>
      <w:r>
        <w:rPr>
          <w:rFonts w:ascii="Century" w:hAnsi="Century" w:cs="Times New Roman"/>
        </w:rPr>
        <w:t>legislative framework</w:t>
      </w:r>
      <w:r w:rsidR="00940D6D" w:rsidRPr="00B96ED6">
        <w:rPr>
          <w:rFonts w:ascii="Century" w:hAnsi="Century" w:cs="Times New Roman"/>
        </w:rPr>
        <w:t xml:space="preserve"> is Chapter </w:t>
      </w:r>
      <w:r w:rsidR="007D0369" w:rsidRPr="00B96ED6">
        <w:rPr>
          <w:rFonts w:ascii="Century" w:hAnsi="Century" w:cs="Times New Roman"/>
        </w:rPr>
        <w:t>III</w:t>
      </w:r>
      <w:r w:rsidR="00940D6D" w:rsidRPr="00B96ED6">
        <w:rPr>
          <w:rFonts w:ascii="Century" w:hAnsi="Century" w:cs="Times New Roman"/>
        </w:rPr>
        <w:t xml:space="preserve"> of the Industrial Relations (Amendment) Act 2015</w:t>
      </w:r>
      <w:r w:rsidR="0095039A">
        <w:rPr>
          <w:rFonts w:ascii="Century" w:hAnsi="Century" w:cs="Times New Roman"/>
        </w:rPr>
        <w:t xml:space="preserve"> (</w:t>
      </w:r>
      <w:r w:rsidR="00BC7DFD">
        <w:rPr>
          <w:rFonts w:ascii="Century" w:hAnsi="Century" w:cs="Times New Roman"/>
        </w:rPr>
        <w:t>‘</w:t>
      </w:r>
      <w:r w:rsidR="0095039A">
        <w:rPr>
          <w:rFonts w:ascii="Century" w:hAnsi="Century" w:cs="Times New Roman"/>
        </w:rPr>
        <w:t>2015 Act</w:t>
      </w:r>
      <w:r w:rsidR="00BC7DFD">
        <w:rPr>
          <w:rFonts w:ascii="Century" w:hAnsi="Century" w:cs="Times New Roman"/>
        </w:rPr>
        <w:t>’</w:t>
      </w:r>
      <w:r w:rsidR="0095039A">
        <w:rPr>
          <w:rFonts w:ascii="Century" w:hAnsi="Century" w:cs="Times New Roman"/>
        </w:rPr>
        <w:t>)</w:t>
      </w:r>
      <w:r w:rsidR="00940D6D" w:rsidRPr="00B96ED6">
        <w:rPr>
          <w:rFonts w:ascii="Century" w:hAnsi="Century" w:cs="Times New Roman"/>
        </w:rPr>
        <w:t>.</w:t>
      </w:r>
      <w:r w:rsidR="00644609">
        <w:rPr>
          <w:rFonts w:ascii="Century" w:hAnsi="Century" w:cs="Times New Roman"/>
        </w:rPr>
        <w:t xml:space="preserve"> </w:t>
      </w:r>
      <w:r>
        <w:rPr>
          <w:rFonts w:ascii="Century" w:hAnsi="Century" w:cs="Times New Roman"/>
        </w:rPr>
        <w:t>The provisions of Chapter III</w:t>
      </w:r>
      <w:r w:rsidR="00940D6D" w:rsidRPr="00B96ED6">
        <w:rPr>
          <w:rFonts w:ascii="Century" w:hAnsi="Century" w:cs="Times New Roman"/>
        </w:rPr>
        <w:t xml:space="preserve"> </w:t>
      </w:r>
      <w:r w:rsidR="00644609">
        <w:rPr>
          <w:rFonts w:ascii="Century" w:hAnsi="Century" w:cs="Times New Roman"/>
        </w:rPr>
        <w:t>provide the</w:t>
      </w:r>
      <w:r w:rsidR="00940D6D" w:rsidRPr="00B96ED6">
        <w:rPr>
          <w:rFonts w:ascii="Century" w:hAnsi="Century" w:cs="Times New Roman"/>
        </w:rPr>
        <w:t xml:space="preserve"> </w:t>
      </w:r>
      <w:proofErr w:type="spellStart"/>
      <w:r w:rsidR="00940D6D" w:rsidRPr="00B96ED6">
        <w:rPr>
          <w:rFonts w:ascii="Century" w:hAnsi="Century" w:cs="Times New Roman"/>
        </w:rPr>
        <w:t>Labour</w:t>
      </w:r>
      <w:proofErr w:type="spellEnd"/>
      <w:r w:rsidR="00940D6D" w:rsidRPr="00B96ED6">
        <w:rPr>
          <w:rFonts w:ascii="Century" w:hAnsi="Century" w:cs="Times New Roman"/>
        </w:rPr>
        <w:t xml:space="preserve"> Court</w:t>
      </w:r>
      <w:r w:rsidR="00BB15C8">
        <w:rPr>
          <w:rStyle w:val="FootnoteReference"/>
          <w:rFonts w:ascii="Century" w:hAnsi="Century" w:cs="Times New Roman"/>
        </w:rPr>
        <w:footnoteReference w:id="13"/>
      </w:r>
      <w:r w:rsidR="00644609">
        <w:rPr>
          <w:rFonts w:ascii="Century" w:hAnsi="Century" w:cs="Times New Roman"/>
        </w:rPr>
        <w:t xml:space="preserve"> statutory authority </w:t>
      </w:r>
      <w:r w:rsidR="00940D6D" w:rsidRPr="00B96ED6">
        <w:rPr>
          <w:rFonts w:ascii="Century" w:hAnsi="Century" w:cs="Times New Roman"/>
        </w:rPr>
        <w:t xml:space="preserve">to </w:t>
      </w:r>
      <w:r w:rsidR="00282F5B">
        <w:rPr>
          <w:rFonts w:ascii="Century" w:hAnsi="Century" w:cs="Times New Roman"/>
        </w:rPr>
        <w:t>issue</w:t>
      </w:r>
      <w:r w:rsidR="00940D6D" w:rsidRPr="00B96ED6">
        <w:rPr>
          <w:rFonts w:ascii="Century" w:hAnsi="Century" w:cs="Times New Roman"/>
        </w:rPr>
        <w:t xml:space="preserve"> a </w:t>
      </w:r>
      <w:r w:rsidR="00BC7DFD">
        <w:rPr>
          <w:rFonts w:ascii="Century" w:hAnsi="Century" w:cs="Times New Roman"/>
        </w:rPr>
        <w:t>‘</w:t>
      </w:r>
      <w:r w:rsidR="00940D6D" w:rsidRPr="00B96ED6">
        <w:rPr>
          <w:rFonts w:ascii="Century" w:hAnsi="Century" w:cs="Times New Roman"/>
        </w:rPr>
        <w:t>Sectoral Employment Order</w:t>
      </w:r>
      <w:r w:rsidR="00BC7DFD">
        <w:rPr>
          <w:rFonts w:ascii="Century" w:hAnsi="Century" w:cs="Times New Roman"/>
        </w:rPr>
        <w:t>’</w:t>
      </w:r>
      <w:r w:rsidR="0069326C" w:rsidRPr="00B96ED6">
        <w:rPr>
          <w:rFonts w:ascii="Century" w:hAnsi="Century" w:cs="Times New Roman"/>
        </w:rPr>
        <w:t xml:space="preserve"> (</w:t>
      </w:r>
      <w:r w:rsidR="00BC7DFD">
        <w:rPr>
          <w:rFonts w:ascii="Century" w:hAnsi="Century" w:cs="Times New Roman"/>
        </w:rPr>
        <w:t>‘</w:t>
      </w:r>
      <w:r w:rsidR="0069326C" w:rsidRPr="00B96ED6">
        <w:rPr>
          <w:rFonts w:ascii="Century" w:hAnsi="Century" w:cs="Times New Roman"/>
        </w:rPr>
        <w:t>SEO</w:t>
      </w:r>
      <w:r w:rsidR="00BC7DFD">
        <w:rPr>
          <w:rFonts w:ascii="Century" w:hAnsi="Century" w:cs="Times New Roman"/>
        </w:rPr>
        <w:t>’</w:t>
      </w:r>
      <w:r w:rsidR="0069326C" w:rsidRPr="00B96ED6">
        <w:rPr>
          <w:rFonts w:ascii="Century" w:hAnsi="Century" w:cs="Times New Roman"/>
        </w:rPr>
        <w:t>)</w:t>
      </w:r>
      <w:r w:rsidR="00940D6D" w:rsidRPr="00B96ED6">
        <w:rPr>
          <w:rFonts w:ascii="Century" w:hAnsi="Century" w:cs="Times New Roman"/>
        </w:rPr>
        <w:t xml:space="preserve"> setting minimum terms and conditions across </w:t>
      </w:r>
      <w:r w:rsidR="002931B2" w:rsidRPr="00B96ED6">
        <w:rPr>
          <w:rFonts w:ascii="Century" w:hAnsi="Century" w:cs="Times New Roman"/>
        </w:rPr>
        <w:t>sector-wide</w:t>
      </w:r>
      <w:r w:rsidR="00940D6D" w:rsidRPr="00B96ED6">
        <w:rPr>
          <w:rFonts w:ascii="Century" w:hAnsi="Century" w:cs="Times New Roman"/>
        </w:rPr>
        <w:t xml:space="preserve"> area</w:t>
      </w:r>
      <w:r w:rsidR="0069326C" w:rsidRPr="00B96ED6">
        <w:rPr>
          <w:rFonts w:ascii="Century" w:hAnsi="Century" w:cs="Times New Roman"/>
        </w:rPr>
        <w:t>s</w:t>
      </w:r>
      <w:r w:rsidR="002931B2" w:rsidRPr="00B96ED6">
        <w:rPr>
          <w:rFonts w:ascii="Century" w:hAnsi="Century" w:cs="Times New Roman"/>
        </w:rPr>
        <w:t xml:space="preserve"> of the economy. The </w:t>
      </w:r>
      <w:proofErr w:type="spellStart"/>
      <w:r w:rsidR="002931B2" w:rsidRPr="00B96ED6">
        <w:rPr>
          <w:rFonts w:ascii="Century" w:hAnsi="Century" w:cs="Times New Roman"/>
        </w:rPr>
        <w:t>Labour</w:t>
      </w:r>
      <w:proofErr w:type="spellEnd"/>
      <w:r w:rsidR="002931B2" w:rsidRPr="00B96ED6">
        <w:rPr>
          <w:rFonts w:ascii="Century" w:hAnsi="Century" w:cs="Times New Roman"/>
        </w:rPr>
        <w:t xml:space="preserve"> Court can issue an </w:t>
      </w:r>
      <w:r w:rsidR="0069326C" w:rsidRPr="00B96ED6">
        <w:rPr>
          <w:rFonts w:ascii="Century" w:hAnsi="Century" w:cs="Times New Roman"/>
        </w:rPr>
        <w:t>SEO</w:t>
      </w:r>
      <w:r w:rsidR="00940D6D" w:rsidRPr="00B96ED6">
        <w:rPr>
          <w:rFonts w:ascii="Century" w:hAnsi="Century" w:cs="Times New Roman"/>
        </w:rPr>
        <w:t xml:space="preserve"> upon application </w:t>
      </w:r>
      <w:r w:rsidR="002931B2" w:rsidRPr="00B96ED6">
        <w:rPr>
          <w:rFonts w:ascii="Century" w:hAnsi="Century" w:cs="Times New Roman"/>
        </w:rPr>
        <w:t xml:space="preserve">by </w:t>
      </w:r>
      <w:r w:rsidR="003F1B85" w:rsidRPr="00B96ED6">
        <w:rPr>
          <w:rFonts w:ascii="Century" w:hAnsi="Century" w:cs="Times New Roman"/>
        </w:rPr>
        <w:t xml:space="preserve">a trade union of workers, or </w:t>
      </w:r>
      <w:r w:rsidR="00C8100E" w:rsidRPr="00B96ED6">
        <w:rPr>
          <w:rFonts w:ascii="Century" w:hAnsi="Century" w:cs="Times New Roman"/>
        </w:rPr>
        <w:t>employers’</w:t>
      </w:r>
      <w:r w:rsidR="003F1B85" w:rsidRPr="00B96ED6">
        <w:rPr>
          <w:rFonts w:ascii="Century" w:hAnsi="Century" w:cs="Times New Roman"/>
        </w:rPr>
        <w:t xml:space="preserve"> organisation,</w:t>
      </w:r>
      <w:r w:rsidR="000A5875">
        <w:rPr>
          <w:rFonts w:ascii="Century" w:hAnsi="Century" w:cs="Times New Roman"/>
        </w:rPr>
        <w:t xml:space="preserve"> or a combination of both</w:t>
      </w:r>
      <w:r w:rsidR="00515B5B">
        <w:rPr>
          <w:rFonts w:ascii="Century" w:hAnsi="Century" w:cs="Times New Roman"/>
        </w:rPr>
        <w:t>, asking it</w:t>
      </w:r>
      <w:r w:rsidR="003F1B85" w:rsidRPr="00B96ED6">
        <w:rPr>
          <w:rFonts w:ascii="Century" w:hAnsi="Century" w:cs="Times New Roman"/>
        </w:rPr>
        <w:t xml:space="preserve"> to examine the terms and conditions of workers of a </w:t>
      </w:r>
      <w:r w:rsidR="008E539F">
        <w:rPr>
          <w:rFonts w:ascii="Century" w:hAnsi="Century" w:cs="Times New Roman"/>
        </w:rPr>
        <w:t>‘</w:t>
      </w:r>
      <w:r w:rsidR="003F1B85" w:rsidRPr="00B96ED6">
        <w:rPr>
          <w:rFonts w:ascii="Century" w:hAnsi="Century" w:cs="Times New Roman"/>
        </w:rPr>
        <w:t>particular class, type, or group</w:t>
      </w:r>
      <w:r w:rsidR="008E539F">
        <w:rPr>
          <w:rFonts w:ascii="Century" w:hAnsi="Century" w:cs="Times New Roman"/>
        </w:rPr>
        <w:t>’</w:t>
      </w:r>
      <w:r w:rsidR="003F1B85" w:rsidRPr="00B96ED6">
        <w:rPr>
          <w:rStyle w:val="FootnoteReference"/>
          <w:rFonts w:ascii="Century" w:hAnsi="Century" w:cs="Times New Roman"/>
        </w:rPr>
        <w:footnoteReference w:id="14"/>
      </w:r>
      <w:r w:rsidR="003F1B85" w:rsidRPr="00B96ED6">
        <w:rPr>
          <w:rFonts w:ascii="Century" w:hAnsi="Century" w:cs="Times New Roman"/>
        </w:rPr>
        <w:t xml:space="preserve"> where </w:t>
      </w:r>
      <w:r w:rsidR="00B62178">
        <w:rPr>
          <w:rFonts w:ascii="Century" w:hAnsi="Century" w:cs="Times New Roman"/>
        </w:rPr>
        <w:t>said</w:t>
      </w:r>
      <w:r w:rsidR="00B62178" w:rsidRPr="00B96ED6">
        <w:rPr>
          <w:rFonts w:ascii="Century" w:hAnsi="Century" w:cs="Times New Roman"/>
        </w:rPr>
        <w:t xml:space="preserve"> </w:t>
      </w:r>
      <w:r w:rsidR="003F1B85" w:rsidRPr="00B96ED6">
        <w:rPr>
          <w:rFonts w:ascii="Century" w:hAnsi="Century" w:cs="Times New Roman"/>
        </w:rPr>
        <w:t xml:space="preserve">applicant group is </w:t>
      </w:r>
      <w:r w:rsidR="008E539F">
        <w:rPr>
          <w:rFonts w:ascii="Century" w:hAnsi="Century" w:cs="Times New Roman"/>
        </w:rPr>
        <w:t>‘</w:t>
      </w:r>
      <w:r w:rsidR="003F1B85" w:rsidRPr="00B96ED6">
        <w:rPr>
          <w:rFonts w:ascii="Century" w:hAnsi="Century" w:cs="Times New Roman"/>
        </w:rPr>
        <w:t>substantially representative</w:t>
      </w:r>
      <w:r w:rsidR="008E539F">
        <w:rPr>
          <w:rFonts w:ascii="Century" w:hAnsi="Century" w:cs="Times New Roman"/>
        </w:rPr>
        <w:t>’</w:t>
      </w:r>
      <w:r w:rsidR="008F459A" w:rsidRPr="00B96ED6">
        <w:rPr>
          <w:rStyle w:val="FootnoteReference"/>
          <w:rFonts w:ascii="Century" w:hAnsi="Century" w:cs="Times New Roman"/>
        </w:rPr>
        <w:footnoteReference w:id="15"/>
      </w:r>
      <w:r w:rsidR="003F1B85" w:rsidRPr="00B96ED6">
        <w:rPr>
          <w:rFonts w:ascii="Century" w:hAnsi="Century" w:cs="Times New Roman"/>
        </w:rPr>
        <w:t xml:space="preserve"> of their </w:t>
      </w:r>
      <w:r w:rsidR="008E539F">
        <w:rPr>
          <w:rFonts w:ascii="Century" w:hAnsi="Century" w:cs="Times New Roman"/>
        </w:rPr>
        <w:t>‘</w:t>
      </w:r>
      <w:r w:rsidR="00866FC3" w:rsidRPr="00B96ED6">
        <w:rPr>
          <w:rFonts w:ascii="Century" w:hAnsi="Century" w:cs="Times New Roman"/>
        </w:rPr>
        <w:t>economic sector</w:t>
      </w:r>
      <w:r w:rsidR="008E539F">
        <w:rPr>
          <w:rFonts w:ascii="Century" w:hAnsi="Century" w:cs="Times New Roman"/>
        </w:rPr>
        <w:t>’</w:t>
      </w:r>
      <w:r w:rsidR="008F459A" w:rsidRPr="00B96ED6">
        <w:rPr>
          <w:rStyle w:val="FootnoteReference"/>
          <w:rFonts w:ascii="Century" w:hAnsi="Century" w:cs="Times New Roman"/>
        </w:rPr>
        <w:footnoteReference w:id="16"/>
      </w:r>
      <w:r w:rsidR="003F1B85" w:rsidRPr="00B96ED6">
        <w:rPr>
          <w:rFonts w:ascii="Century" w:hAnsi="Century" w:cs="Times New Roman"/>
        </w:rPr>
        <w:t>.</w:t>
      </w:r>
      <w:r w:rsidR="00866FC3" w:rsidRPr="00B96ED6">
        <w:rPr>
          <w:rFonts w:ascii="Century" w:hAnsi="Century" w:cs="Times New Roman"/>
        </w:rPr>
        <w:t xml:space="preserve"> </w:t>
      </w:r>
      <w:r w:rsidR="0069326C" w:rsidRPr="00B96ED6">
        <w:rPr>
          <w:rFonts w:ascii="Century" w:hAnsi="Century" w:cs="Times New Roman"/>
        </w:rPr>
        <w:t xml:space="preserve">The phrase </w:t>
      </w:r>
      <w:r w:rsidR="008E539F">
        <w:rPr>
          <w:rFonts w:ascii="Century" w:hAnsi="Century" w:cs="Times New Roman"/>
        </w:rPr>
        <w:t>‘</w:t>
      </w:r>
      <w:r w:rsidR="0069326C" w:rsidRPr="00B96ED6">
        <w:rPr>
          <w:rFonts w:ascii="Century" w:hAnsi="Century" w:cs="Times New Roman"/>
        </w:rPr>
        <w:t>e</w:t>
      </w:r>
      <w:r w:rsidR="00866FC3" w:rsidRPr="00B96ED6">
        <w:rPr>
          <w:rFonts w:ascii="Century" w:hAnsi="Century" w:cs="Times New Roman"/>
        </w:rPr>
        <w:t>conomic sector</w:t>
      </w:r>
      <w:r w:rsidR="008E539F">
        <w:rPr>
          <w:rFonts w:ascii="Century" w:hAnsi="Century" w:cs="Times New Roman"/>
        </w:rPr>
        <w:t>’</w:t>
      </w:r>
      <w:r w:rsidR="00866FC3" w:rsidRPr="00B96ED6">
        <w:rPr>
          <w:rFonts w:ascii="Century" w:hAnsi="Century" w:cs="Times New Roman"/>
        </w:rPr>
        <w:t xml:space="preserve"> is </w:t>
      </w:r>
      <w:r w:rsidR="0069326C" w:rsidRPr="00B96ED6">
        <w:rPr>
          <w:rFonts w:ascii="Century" w:hAnsi="Century" w:cs="Times New Roman"/>
        </w:rPr>
        <w:t>defined as</w:t>
      </w:r>
      <w:r w:rsidR="00866FC3" w:rsidRPr="00B96ED6">
        <w:rPr>
          <w:rFonts w:ascii="Century" w:hAnsi="Century" w:cs="Times New Roman"/>
        </w:rPr>
        <w:t xml:space="preserve"> one concerned with a specific economic activity requiring specific qualifications, skills</w:t>
      </w:r>
      <w:r w:rsidR="00515B5B">
        <w:rPr>
          <w:rFonts w:ascii="Century" w:hAnsi="Century" w:cs="Times New Roman"/>
        </w:rPr>
        <w:t>,</w:t>
      </w:r>
      <w:r w:rsidR="00866FC3" w:rsidRPr="00B96ED6">
        <w:rPr>
          <w:rFonts w:ascii="Century" w:hAnsi="Century" w:cs="Times New Roman"/>
        </w:rPr>
        <w:t xml:space="preserve"> or knowledge.</w:t>
      </w:r>
      <w:r w:rsidR="003F1B85" w:rsidRPr="00B96ED6">
        <w:rPr>
          <w:rFonts w:ascii="Century" w:hAnsi="Century" w:cs="Times New Roman"/>
        </w:rPr>
        <w:t xml:space="preserve"> </w:t>
      </w:r>
    </w:p>
    <w:p w14:paraId="631CB792" w14:textId="77777777" w:rsidR="00BB15C8" w:rsidRDefault="00BB15C8" w:rsidP="00E81877">
      <w:pPr>
        <w:spacing w:line="480" w:lineRule="auto"/>
        <w:jc w:val="both"/>
        <w:rPr>
          <w:rFonts w:ascii="Century" w:hAnsi="Century" w:cs="Times New Roman"/>
        </w:rPr>
      </w:pPr>
    </w:p>
    <w:p w14:paraId="363197CB" w14:textId="10998B15" w:rsidR="008C1C92" w:rsidRPr="00B96ED6" w:rsidRDefault="0069326C" w:rsidP="00E81877">
      <w:pPr>
        <w:spacing w:line="480" w:lineRule="auto"/>
        <w:jc w:val="both"/>
        <w:rPr>
          <w:rFonts w:ascii="Century" w:hAnsi="Century" w:cs="Times New Roman"/>
        </w:rPr>
      </w:pPr>
      <w:r w:rsidRPr="00B96ED6">
        <w:rPr>
          <w:rFonts w:ascii="Century" w:hAnsi="Century" w:cs="Times New Roman"/>
        </w:rPr>
        <w:t>Before examining whether an SEO should be made, the</w:t>
      </w:r>
      <w:r w:rsidR="002F2352" w:rsidRPr="00B96ED6">
        <w:rPr>
          <w:rFonts w:ascii="Century" w:hAnsi="Century" w:cs="Times New Roman"/>
        </w:rPr>
        <w:t xml:space="preserve"> </w:t>
      </w:r>
      <w:proofErr w:type="spellStart"/>
      <w:r w:rsidRPr="00B96ED6">
        <w:rPr>
          <w:rFonts w:ascii="Century" w:hAnsi="Century" w:cs="Times New Roman"/>
        </w:rPr>
        <w:t>Labour</w:t>
      </w:r>
      <w:proofErr w:type="spellEnd"/>
      <w:r w:rsidRPr="00B96ED6">
        <w:rPr>
          <w:rFonts w:ascii="Century" w:hAnsi="Century" w:cs="Times New Roman"/>
        </w:rPr>
        <w:t xml:space="preserve"> </w:t>
      </w:r>
      <w:r w:rsidR="002F2352" w:rsidRPr="00B96ED6">
        <w:rPr>
          <w:rFonts w:ascii="Century" w:hAnsi="Century" w:cs="Times New Roman"/>
        </w:rPr>
        <w:t xml:space="preserve">Court must consider if it is </w:t>
      </w:r>
      <w:r w:rsidR="008E539F">
        <w:rPr>
          <w:rFonts w:ascii="Century" w:hAnsi="Century" w:cs="Times New Roman"/>
        </w:rPr>
        <w:t>‘</w:t>
      </w:r>
      <w:r w:rsidR="002F2352" w:rsidRPr="00B96ED6">
        <w:rPr>
          <w:rFonts w:ascii="Century" w:hAnsi="Century" w:cs="Times New Roman"/>
        </w:rPr>
        <w:t>normal and desirable practice</w:t>
      </w:r>
      <w:r w:rsidR="008E539F">
        <w:rPr>
          <w:rFonts w:ascii="Century" w:hAnsi="Century" w:cs="Times New Roman"/>
        </w:rPr>
        <w:t>’</w:t>
      </w:r>
      <w:r w:rsidR="008F459A" w:rsidRPr="00B96ED6">
        <w:rPr>
          <w:rStyle w:val="FootnoteReference"/>
          <w:rFonts w:ascii="Century" w:hAnsi="Century" w:cs="Times New Roman"/>
        </w:rPr>
        <w:footnoteReference w:id="17"/>
      </w:r>
      <w:r w:rsidR="002F2352" w:rsidRPr="00B96ED6">
        <w:rPr>
          <w:rFonts w:ascii="Century" w:hAnsi="Century" w:cs="Times New Roman"/>
        </w:rPr>
        <w:t xml:space="preserve"> to have separate terms and conditions relating to pay, sick pay</w:t>
      </w:r>
      <w:r w:rsidR="00A8538B">
        <w:rPr>
          <w:rFonts w:ascii="Century" w:hAnsi="Century" w:cs="Times New Roman"/>
        </w:rPr>
        <w:t>,</w:t>
      </w:r>
      <w:r w:rsidR="002F2352" w:rsidRPr="00B96ED6">
        <w:rPr>
          <w:rFonts w:ascii="Century" w:hAnsi="Century" w:cs="Times New Roman"/>
        </w:rPr>
        <w:t xml:space="preserve"> or pension schemes in respect of the workers in the economic sector </w:t>
      </w:r>
      <w:r w:rsidRPr="00B96ED6">
        <w:rPr>
          <w:rFonts w:ascii="Century" w:hAnsi="Century" w:cs="Times New Roman"/>
        </w:rPr>
        <w:t>to</w:t>
      </w:r>
      <w:r w:rsidR="002F2352" w:rsidRPr="00B96ED6">
        <w:rPr>
          <w:rFonts w:ascii="Century" w:hAnsi="Century" w:cs="Times New Roman"/>
        </w:rPr>
        <w:t xml:space="preserve"> which the request applies. It must also consider whether any</w:t>
      </w:r>
      <w:r w:rsidRPr="00B96ED6">
        <w:rPr>
          <w:rFonts w:ascii="Century" w:hAnsi="Century" w:cs="Times New Roman"/>
        </w:rPr>
        <w:t xml:space="preserve"> ultimate</w:t>
      </w:r>
      <w:r w:rsidR="002F2352" w:rsidRPr="00B96ED6">
        <w:rPr>
          <w:rFonts w:ascii="Century" w:hAnsi="Century" w:cs="Times New Roman"/>
        </w:rPr>
        <w:t xml:space="preserve"> recommendation is likely to </w:t>
      </w:r>
      <w:r w:rsidR="008F459A" w:rsidRPr="00B96ED6">
        <w:rPr>
          <w:rFonts w:ascii="Century" w:hAnsi="Century" w:cs="Times New Roman"/>
        </w:rPr>
        <w:t>“</w:t>
      </w:r>
      <w:r w:rsidR="002F2352" w:rsidRPr="00B96ED6">
        <w:rPr>
          <w:rFonts w:ascii="Century" w:hAnsi="Century" w:cs="Times New Roman"/>
        </w:rPr>
        <w:t>promote harmonious relations</w:t>
      </w:r>
      <w:r w:rsidR="008F459A" w:rsidRPr="00B96ED6">
        <w:rPr>
          <w:rFonts w:ascii="Century" w:hAnsi="Century" w:cs="Times New Roman"/>
        </w:rPr>
        <w:t>”</w:t>
      </w:r>
      <w:r w:rsidR="002F2352" w:rsidRPr="00B96ED6">
        <w:rPr>
          <w:rFonts w:ascii="Century" w:hAnsi="Century" w:cs="Times New Roman"/>
        </w:rPr>
        <w:t xml:space="preserve"> between workers and their employers in the economic sector the request </w:t>
      </w:r>
      <w:r w:rsidR="00C2759E" w:rsidRPr="00B96ED6">
        <w:rPr>
          <w:rFonts w:ascii="Century" w:hAnsi="Century" w:cs="Times New Roman"/>
        </w:rPr>
        <w:t>concerns</w:t>
      </w:r>
      <w:r w:rsidR="002F2352" w:rsidRPr="00B96ED6">
        <w:rPr>
          <w:rFonts w:ascii="Century" w:hAnsi="Century" w:cs="Times New Roman"/>
        </w:rPr>
        <w:t>.</w:t>
      </w:r>
      <w:r w:rsidR="002F2352" w:rsidRPr="00B96ED6">
        <w:rPr>
          <w:rStyle w:val="FootnoteReference"/>
          <w:rFonts w:ascii="Century" w:hAnsi="Century" w:cs="Times New Roman"/>
        </w:rPr>
        <w:footnoteReference w:id="18"/>
      </w:r>
      <w:r w:rsidR="00CA3972" w:rsidRPr="00B96ED6">
        <w:rPr>
          <w:rFonts w:ascii="Century" w:hAnsi="Century" w:cs="Times New Roman"/>
        </w:rPr>
        <w:t xml:space="preserve"> </w:t>
      </w:r>
      <w:r w:rsidR="003F1B85" w:rsidRPr="00B96ED6">
        <w:rPr>
          <w:rFonts w:ascii="Century" w:hAnsi="Century" w:cs="Times New Roman"/>
        </w:rPr>
        <w:t xml:space="preserve">Before </w:t>
      </w:r>
      <w:r w:rsidR="003F1B85" w:rsidRPr="00B96ED6">
        <w:rPr>
          <w:rFonts w:ascii="Century" w:hAnsi="Century" w:cs="Times New Roman"/>
        </w:rPr>
        <w:lastRenderedPageBreak/>
        <w:t xml:space="preserve">an </w:t>
      </w:r>
      <w:r w:rsidR="00CA3972" w:rsidRPr="00B96ED6">
        <w:rPr>
          <w:rFonts w:ascii="Century" w:hAnsi="Century" w:cs="Times New Roman"/>
        </w:rPr>
        <w:t>SEO</w:t>
      </w:r>
      <w:r w:rsidR="003F1B85" w:rsidRPr="00B96ED6">
        <w:rPr>
          <w:rFonts w:ascii="Century" w:hAnsi="Century" w:cs="Times New Roman"/>
        </w:rPr>
        <w:t xml:space="preserve"> can be issued, </w:t>
      </w:r>
      <w:r w:rsidR="002F2352" w:rsidRPr="00B96ED6">
        <w:rPr>
          <w:rFonts w:ascii="Century" w:hAnsi="Century" w:cs="Times New Roman"/>
        </w:rPr>
        <w:t xml:space="preserve">the </w:t>
      </w:r>
      <w:proofErr w:type="spellStart"/>
      <w:r w:rsidR="002F2352" w:rsidRPr="00B96ED6">
        <w:rPr>
          <w:rFonts w:ascii="Century" w:hAnsi="Century" w:cs="Times New Roman"/>
        </w:rPr>
        <w:t>Labour</w:t>
      </w:r>
      <w:proofErr w:type="spellEnd"/>
      <w:r w:rsidR="002F2352" w:rsidRPr="00B96ED6">
        <w:rPr>
          <w:rFonts w:ascii="Century" w:hAnsi="Century" w:cs="Times New Roman"/>
        </w:rPr>
        <w:t xml:space="preserve"> Court must publish a notice of intent to examine the request and open it to public representations.</w:t>
      </w:r>
      <w:r w:rsidR="008F459A" w:rsidRPr="00B96ED6">
        <w:rPr>
          <w:rStyle w:val="FootnoteReference"/>
          <w:rFonts w:ascii="Century" w:hAnsi="Century" w:cs="Times New Roman"/>
        </w:rPr>
        <w:footnoteReference w:id="19"/>
      </w:r>
      <w:r w:rsidR="002F2352" w:rsidRPr="00B96ED6">
        <w:rPr>
          <w:rFonts w:ascii="Century" w:hAnsi="Century" w:cs="Times New Roman"/>
        </w:rPr>
        <w:t xml:space="preserve"> </w:t>
      </w:r>
    </w:p>
    <w:p w14:paraId="3922050D" w14:textId="77777777" w:rsidR="008C1C92" w:rsidRPr="00B96ED6" w:rsidRDefault="008C1C92" w:rsidP="00E81877">
      <w:pPr>
        <w:spacing w:line="480" w:lineRule="auto"/>
        <w:jc w:val="both"/>
        <w:rPr>
          <w:rFonts w:ascii="Century" w:hAnsi="Century" w:cs="Times New Roman"/>
        </w:rPr>
      </w:pPr>
    </w:p>
    <w:p w14:paraId="5AFF6F1D" w14:textId="601A5BF6" w:rsidR="00866FC3" w:rsidRPr="00B96ED6" w:rsidRDefault="00866FC3" w:rsidP="00E81877">
      <w:pPr>
        <w:spacing w:line="480" w:lineRule="auto"/>
        <w:jc w:val="both"/>
        <w:rPr>
          <w:rFonts w:ascii="Century" w:hAnsi="Century" w:cs="Times New Roman"/>
        </w:rPr>
      </w:pPr>
      <w:r w:rsidRPr="00B96ED6">
        <w:rPr>
          <w:rFonts w:ascii="Century" w:hAnsi="Century" w:cs="Times New Roman"/>
        </w:rPr>
        <w:t>After its examination</w:t>
      </w:r>
      <w:r w:rsidR="00CA3972" w:rsidRPr="00B96ED6">
        <w:rPr>
          <w:rFonts w:ascii="Century" w:hAnsi="Century" w:cs="Times New Roman"/>
        </w:rPr>
        <w:t xml:space="preserve"> of a request for an SEO</w:t>
      </w:r>
      <w:r w:rsidRPr="00B96ED6">
        <w:rPr>
          <w:rFonts w:ascii="Century" w:hAnsi="Century" w:cs="Times New Roman"/>
        </w:rPr>
        <w:t xml:space="preserve"> and hearing</w:t>
      </w:r>
      <w:r w:rsidR="00CA3972" w:rsidRPr="00B96ED6">
        <w:rPr>
          <w:rFonts w:ascii="Century" w:hAnsi="Century" w:cs="Times New Roman"/>
        </w:rPr>
        <w:t xml:space="preserve"> public</w:t>
      </w:r>
      <w:r w:rsidRPr="00B96ED6">
        <w:rPr>
          <w:rFonts w:ascii="Century" w:hAnsi="Century" w:cs="Times New Roman"/>
        </w:rPr>
        <w:t xml:space="preserve"> representations</w:t>
      </w:r>
      <w:r w:rsidR="00CA3972" w:rsidRPr="00B96ED6">
        <w:rPr>
          <w:rFonts w:ascii="Century" w:hAnsi="Century" w:cs="Times New Roman"/>
        </w:rPr>
        <w:t>,</w:t>
      </w:r>
      <w:r w:rsidRPr="00B96ED6">
        <w:rPr>
          <w:rFonts w:ascii="Century" w:hAnsi="Century" w:cs="Times New Roman"/>
        </w:rPr>
        <w:t xml:space="preserve"> the</w:t>
      </w:r>
      <w:r w:rsidR="002F2352" w:rsidRPr="00B96ED6">
        <w:rPr>
          <w:rFonts w:ascii="Century" w:hAnsi="Century" w:cs="Times New Roman"/>
        </w:rPr>
        <w:t xml:space="preserve"> </w:t>
      </w:r>
      <w:proofErr w:type="spellStart"/>
      <w:r w:rsidR="002F2352" w:rsidRPr="00B96ED6">
        <w:rPr>
          <w:rFonts w:ascii="Century" w:hAnsi="Century" w:cs="Times New Roman"/>
        </w:rPr>
        <w:t>Labour</w:t>
      </w:r>
      <w:proofErr w:type="spellEnd"/>
      <w:r w:rsidR="002F2352" w:rsidRPr="00B96ED6">
        <w:rPr>
          <w:rFonts w:ascii="Century" w:hAnsi="Century" w:cs="Times New Roman"/>
        </w:rPr>
        <w:t xml:space="preserve"> Court </w:t>
      </w:r>
      <w:r w:rsidR="008C1C92" w:rsidRPr="00B96ED6">
        <w:rPr>
          <w:rFonts w:ascii="Century" w:hAnsi="Century" w:cs="Times New Roman"/>
        </w:rPr>
        <w:t>may</w:t>
      </w:r>
      <w:r w:rsidR="003450E4" w:rsidRPr="00B96ED6">
        <w:rPr>
          <w:rFonts w:ascii="Century" w:hAnsi="Century" w:cs="Times New Roman"/>
        </w:rPr>
        <w:t>, if it thinks appropriate,</w:t>
      </w:r>
      <w:r w:rsidR="002F2352" w:rsidRPr="00B96ED6">
        <w:rPr>
          <w:rFonts w:ascii="Century" w:hAnsi="Century" w:cs="Times New Roman"/>
        </w:rPr>
        <w:t xml:space="preserve"> make a recommendation to the Minister for Business Enterprise</w:t>
      </w:r>
      <w:r w:rsidR="008C1C92" w:rsidRPr="00B96ED6">
        <w:rPr>
          <w:rFonts w:ascii="Century" w:hAnsi="Century" w:cs="Times New Roman"/>
        </w:rPr>
        <w:t xml:space="preserve"> an </w:t>
      </w:r>
      <w:r w:rsidR="00CA3972" w:rsidRPr="00B96ED6">
        <w:rPr>
          <w:rFonts w:ascii="Century" w:hAnsi="Century" w:cs="Times New Roman"/>
        </w:rPr>
        <w:t>SEO</w:t>
      </w:r>
      <w:r w:rsidR="008C1C92" w:rsidRPr="00B96ED6">
        <w:rPr>
          <w:rFonts w:ascii="Century" w:hAnsi="Century" w:cs="Times New Roman"/>
        </w:rPr>
        <w:t xml:space="preserve"> be adopted</w:t>
      </w:r>
      <w:r w:rsidRPr="00B96ED6">
        <w:rPr>
          <w:rFonts w:ascii="Century" w:hAnsi="Century" w:cs="Times New Roman"/>
        </w:rPr>
        <w:t xml:space="preserve"> </w:t>
      </w:r>
      <w:r w:rsidR="008C1C92" w:rsidRPr="00B96ED6">
        <w:rPr>
          <w:rFonts w:ascii="Century" w:hAnsi="Century" w:cs="Times New Roman"/>
        </w:rPr>
        <w:t>following</w:t>
      </w:r>
      <w:r w:rsidR="00515B5B">
        <w:rPr>
          <w:rFonts w:ascii="Century" w:hAnsi="Century" w:cs="Times New Roman"/>
        </w:rPr>
        <w:t xml:space="preserve"> consideration of</w:t>
      </w:r>
      <w:r w:rsidR="008C1C92" w:rsidRPr="00B96ED6">
        <w:rPr>
          <w:rFonts w:ascii="Century" w:hAnsi="Century" w:cs="Times New Roman"/>
        </w:rPr>
        <w:t xml:space="preserve"> </w:t>
      </w:r>
      <w:r w:rsidR="00B62178">
        <w:rPr>
          <w:rFonts w:ascii="Century" w:hAnsi="Century" w:cs="Times New Roman"/>
        </w:rPr>
        <w:t xml:space="preserve">several </w:t>
      </w:r>
      <w:r w:rsidR="008C1C92" w:rsidRPr="00B96ED6">
        <w:rPr>
          <w:rFonts w:ascii="Century" w:hAnsi="Century" w:cs="Times New Roman"/>
        </w:rPr>
        <w:t>additional</w:t>
      </w:r>
      <w:r w:rsidR="009C420D" w:rsidRPr="00B96ED6">
        <w:rPr>
          <w:rFonts w:ascii="Century" w:hAnsi="Century" w:cs="Times New Roman"/>
        </w:rPr>
        <w:t xml:space="preserve"> statutory</w:t>
      </w:r>
      <w:r w:rsidR="008C1C92" w:rsidRPr="00B96ED6">
        <w:rPr>
          <w:rFonts w:ascii="Century" w:hAnsi="Century" w:cs="Times New Roman"/>
        </w:rPr>
        <w:t xml:space="preserve"> criteria</w:t>
      </w:r>
      <w:r w:rsidRPr="00B96ED6">
        <w:rPr>
          <w:rFonts w:ascii="Century" w:hAnsi="Century" w:cs="Times New Roman"/>
        </w:rPr>
        <w:t>:</w:t>
      </w:r>
      <w:r w:rsidR="003450E4" w:rsidRPr="00B96ED6">
        <w:rPr>
          <w:rStyle w:val="FootnoteReference"/>
          <w:rFonts w:ascii="Century" w:hAnsi="Century" w:cs="Times New Roman"/>
        </w:rPr>
        <w:footnoteReference w:id="20"/>
      </w:r>
      <w:r w:rsidRPr="00B96ED6">
        <w:rPr>
          <w:rFonts w:ascii="Century" w:hAnsi="Century" w:cs="Times New Roman"/>
        </w:rPr>
        <w:t xml:space="preserve"> (a) the  potential  impact  on  levels  of  employment  and  unemployment  in  the  identified economic  sector  concerned; (b) the  terms  of  any  relevant  national  agreement  relating  to  pay  and  conditions  for the  time  being  in  existence; (c) the  potential  impact  on  competitiveness  in  the  economic  sector  concerned; (d) the  general  level  of  remuneration  in  other  economic  sectors  in  which  workers  of the  same  class,  type  or  group  are  employed; (e) that  the  sectoral  employment  order  shall  be  binding  on  all  workers  and  employers in  the  economic  sector  concerned. Any </w:t>
      </w:r>
      <w:r w:rsidR="00B62178">
        <w:rPr>
          <w:rFonts w:ascii="Century" w:hAnsi="Century" w:cs="Times New Roman"/>
        </w:rPr>
        <w:t xml:space="preserve">recommendation issued to the Minister </w:t>
      </w:r>
      <w:r w:rsidRPr="00B96ED6">
        <w:rPr>
          <w:rFonts w:ascii="Century" w:hAnsi="Century" w:cs="Times New Roman"/>
        </w:rPr>
        <w:t>must be accompanied by a report confirming these conditions were considered.</w:t>
      </w:r>
      <w:r w:rsidR="003450E4" w:rsidRPr="00B96ED6">
        <w:rPr>
          <w:rStyle w:val="FootnoteReference"/>
          <w:rFonts w:ascii="Century" w:hAnsi="Century" w:cs="Times New Roman"/>
        </w:rPr>
        <w:footnoteReference w:id="21"/>
      </w:r>
      <w:r w:rsidRPr="00B96ED6">
        <w:rPr>
          <w:rFonts w:ascii="Century" w:hAnsi="Century" w:cs="Times New Roman"/>
        </w:rPr>
        <w:t xml:space="preserve"> </w:t>
      </w:r>
    </w:p>
    <w:p w14:paraId="47FE23DE" w14:textId="1C27347B" w:rsidR="003450E4" w:rsidRPr="00B96ED6" w:rsidRDefault="003450E4" w:rsidP="00E81877">
      <w:pPr>
        <w:spacing w:line="480" w:lineRule="auto"/>
        <w:jc w:val="both"/>
        <w:rPr>
          <w:rFonts w:ascii="Century" w:hAnsi="Century" w:cs="Times New Roman"/>
        </w:rPr>
      </w:pPr>
    </w:p>
    <w:p w14:paraId="05EC9760" w14:textId="6E46CB13" w:rsidR="003450E4" w:rsidRPr="00B96ED6" w:rsidRDefault="003450E4" w:rsidP="00E81877">
      <w:pPr>
        <w:spacing w:line="480" w:lineRule="auto"/>
        <w:jc w:val="both"/>
        <w:rPr>
          <w:rFonts w:ascii="Century" w:hAnsi="Century" w:cs="Times New Roman"/>
        </w:rPr>
      </w:pPr>
      <w:r w:rsidRPr="00B96ED6">
        <w:rPr>
          <w:rFonts w:ascii="Century" w:hAnsi="Century" w:cs="Times New Roman"/>
        </w:rPr>
        <w:t>A</w:t>
      </w:r>
      <w:r w:rsidR="00644609">
        <w:rPr>
          <w:rFonts w:ascii="Century" w:hAnsi="Century" w:cs="Times New Roman"/>
        </w:rPr>
        <w:t xml:space="preserve"> mandatory statutory </w:t>
      </w:r>
      <w:r w:rsidR="003B1342">
        <w:rPr>
          <w:rFonts w:ascii="Century" w:hAnsi="Century" w:cs="Times New Roman"/>
        </w:rPr>
        <w:t>precondition</w:t>
      </w:r>
      <w:r w:rsidR="003B1342">
        <w:rPr>
          <w:rFonts w:ascii="Century" w:hAnsi="Century" w:cs="Times New Roman"/>
        </w:rPr>
        <w:t xml:space="preserve"> </w:t>
      </w:r>
      <w:r w:rsidR="00644609">
        <w:rPr>
          <w:rFonts w:ascii="Century" w:hAnsi="Century" w:cs="Times New Roman"/>
        </w:rPr>
        <w:t xml:space="preserve">on the </w:t>
      </w:r>
      <w:proofErr w:type="spellStart"/>
      <w:r w:rsidR="00644609">
        <w:rPr>
          <w:rFonts w:ascii="Century" w:hAnsi="Century" w:cs="Times New Roman"/>
        </w:rPr>
        <w:t>Labour</w:t>
      </w:r>
      <w:proofErr w:type="spellEnd"/>
      <w:r w:rsidR="00644609">
        <w:rPr>
          <w:rFonts w:ascii="Century" w:hAnsi="Century" w:cs="Times New Roman"/>
        </w:rPr>
        <w:t xml:space="preserve"> Court’s power to make a</w:t>
      </w:r>
      <w:r w:rsidRPr="00B96ED6">
        <w:rPr>
          <w:rFonts w:ascii="Century" w:hAnsi="Century" w:cs="Times New Roman"/>
        </w:rPr>
        <w:t xml:space="preserve"> recommendation </w:t>
      </w:r>
      <w:r w:rsidR="00644609">
        <w:rPr>
          <w:rFonts w:ascii="Century" w:hAnsi="Century" w:cs="Times New Roman"/>
        </w:rPr>
        <w:t xml:space="preserve">is that </w:t>
      </w:r>
      <w:r w:rsidR="00A8538B">
        <w:rPr>
          <w:rFonts w:ascii="Century" w:hAnsi="Century" w:cs="Times New Roman"/>
        </w:rPr>
        <w:t>one cannot be</w:t>
      </w:r>
      <w:r w:rsidR="004742E1">
        <w:rPr>
          <w:rFonts w:ascii="Century" w:hAnsi="Century" w:cs="Times New Roman"/>
        </w:rPr>
        <w:t xml:space="preserve"> issue</w:t>
      </w:r>
      <w:r w:rsidR="00A8538B">
        <w:rPr>
          <w:rFonts w:ascii="Century" w:hAnsi="Century" w:cs="Times New Roman"/>
        </w:rPr>
        <w:t>d</w:t>
      </w:r>
      <w:r w:rsidR="004742E1">
        <w:rPr>
          <w:rFonts w:ascii="Century" w:hAnsi="Century" w:cs="Times New Roman"/>
        </w:rPr>
        <w:t xml:space="preserve"> </w:t>
      </w:r>
      <w:r w:rsidRPr="00B96ED6">
        <w:rPr>
          <w:rFonts w:ascii="Century" w:hAnsi="Century" w:cs="Times New Roman"/>
        </w:rPr>
        <w:t xml:space="preserve">unless </w:t>
      </w:r>
      <w:r w:rsidR="00644609">
        <w:rPr>
          <w:rFonts w:ascii="Century" w:hAnsi="Century" w:cs="Times New Roman"/>
        </w:rPr>
        <w:t>it</w:t>
      </w:r>
      <w:r w:rsidRPr="00B96ED6">
        <w:rPr>
          <w:rFonts w:ascii="Century" w:hAnsi="Century" w:cs="Times New Roman"/>
        </w:rPr>
        <w:t xml:space="preserve"> is satisfied </w:t>
      </w:r>
      <w:r w:rsidR="00F361D9" w:rsidRPr="00B96ED6">
        <w:rPr>
          <w:rFonts w:ascii="Century" w:hAnsi="Century" w:cs="Times New Roman"/>
        </w:rPr>
        <w:t>a proposed SEO</w:t>
      </w:r>
      <w:r w:rsidRPr="00B96ED6">
        <w:rPr>
          <w:rFonts w:ascii="Century" w:hAnsi="Century" w:cs="Times New Roman"/>
        </w:rPr>
        <w:t xml:space="preserve"> </w:t>
      </w:r>
      <w:r w:rsidR="002263E2">
        <w:rPr>
          <w:rFonts w:ascii="Century" w:hAnsi="Century" w:cs="Times New Roman"/>
        </w:rPr>
        <w:t>‘</w:t>
      </w:r>
      <w:r w:rsidRPr="00B96ED6">
        <w:rPr>
          <w:rFonts w:ascii="Century" w:hAnsi="Century" w:cs="Times New Roman"/>
        </w:rPr>
        <w:t>would promote harmonious  relations  between  workers  and  employers  and  assist in  the  avoidance  of  industrial  unrest  in  the  economic  sector  concerned</w:t>
      </w:r>
      <w:r w:rsidR="002263E2">
        <w:rPr>
          <w:rFonts w:ascii="Century" w:hAnsi="Century" w:cs="Times New Roman"/>
        </w:rPr>
        <w:t>’</w:t>
      </w:r>
      <w:r w:rsidRPr="00B96ED6">
        <w:rPr>
          <w:rFonts w:ascii="Century" w:hAnsi="Century" w:cs="Times New Roman"/>
        </w:rPr>
        <w:t xml:space="preserve"> and is reasonably necessary to </w:t>
      </w:r>
      <w:r w:rsidR="002263E2">
        <w:rPr>
          <w:rFonts w:ascii="Century" w:hAnsi="Century" w:cs="Times New Roman"/>
        </w:rPr>
        <w:t>‘</w:t>
      </w:r>
      <w:r w:rsidRPr="00B96ED6">
        <w:rPr>
          <w:rFonts w:ascii="Century" w:hAnsi="Century" w:cs="Times New Roman"/>
        </w:rPr>
        <w:t xml:space="preserve">promote  and  preserve  high  standards  of  training  </w:t>
      </w:r>
      <w:r w:rsidRPr="00B96ED6">
        <w:rPr>
          <w:rFonts w:ascii="Century" w:hAnsi="Century" w:cs="Times New Roman"/>
        </w:rPr>
        <w:lastRenderedPageBreak/>
        <w:t>and  qualification</w:t>
      </w:r>
      <w:r w:rsidR="002263E2">
        <w:rPr>
          <w:rFonts w:ascii="Century" w:hAnsi="Century" w:cs="Times New Roman"/>
        </w:rPr>
        <w:t>’</w:t>
      </w:r>
      <w:r w:rsidRPr="00B96ED6">
        <w:rPr>
          <w:rFonts w:ascii="Century" w:hAnsi="Century" w:cs="Times New Roman"/>
        </w:rPr>
        <w:t xml:space="preserve"> and </w:t>
      </w:r>
      <w:r w:rsidR="002263E2">
        <w:rPr>
          <w:rFonts w:ascii="Century" w:hAnsi="Century" w:cs="Times New Roman"/>
        </w:rPr>
        <w:t>‘</w:t>
      </w:r>
      <w:r w:rsidRPr="00B96ED6">
        <w:rPr>
          <w:rFonts w:ascii="Century" w:hAnsi="Century" w:cs="Times New Roman"/>
        </w:rPr>
        <w:t>ensure  fair  and  sustainable  rates  of  remuneration, in  the  economic  sector  concerned.</w:t>
      </w:r>
      <w:r w:rsidR="002263E2">
        <w:rPr>
          <w:rFonts w:ascii="Century" w:hAnsi="Century" w:cs="Times New Roman"/>
        </w:rPr>
        <w:t>’</w:t>
      </w:r>
      <w:r w:rsidRPr="00B96ED6">
        <w:rPr>
          <w:rStyle w:val="FootnoteReference"/>
          <w:rFonts w:ascii="Century" w:hAnsi="Century" w:cs="Times New Roman"/>
        </w:rPr>
        <w:footnoteReference w:id="22"/>
      </w:r>
    </w:p>
    <w:p w14:paraId="4D0B9426" w14:textId="77777777" w:rsidR="002F2352" w:rsidRPr="00B96ED6" w:rsidRDefault="002F2352" w:rsidP="00E81877">
      <w:pPr>
        <w:spacing w:line="480" w:lineRule="auto"/>
        <w:jc w:val="both"/>
        <w:rPr>
          <w:rFonts w:ascii="Century" w:hAnsi="Century" w:cs="Times New Roman"/>
        </w:rPr>
      </w:pPr>
    </w:p>
    <w:p w14:paraId="4EA67408" w14:textId="16273075" w:rsidR="00940D6D" w:rsidRPr="00B96ED6" w:rsidRDefault="004742E1" w:rsidP="00E81877">
      <w:pPr>
        <w:spacing w:line="480" w:lineRule="auto"/>
        <w:jc w:val="both"/>
        <w:rPr>
          <w:rFonts w:ascii="Century" w:hAnsi="Century" w:cs="Times New Roman"/>
        </w:rPr>
      </w:pPr>
      <w:r>
        <w:rPr>
          <w:rFonts w:ascii="Century" w:hAnsi="Century" w:cs="Times New Roman"/>
        </w:rPr>
        <w:t>If</w:t>
      </w:r>
      <w:r w:rsidR="002F2352" w:rsidRPr="00B96ED6">
        <w:rPr>
          <w:rFonts w:ascii="Century" w:hAnsi="Century" w:cs="Times New Roman"/>
        </w:rPr>
        <w:t xml:space="preserve"> the Minister</w:t>
      </w:r>
      <w:r w:rsidR="00BB15C8">
        <w:rPr>
          <w:rFonts w:ascii="Century" w:hAnsi="Century" w:cs="Times New Roman"/>
        </w:rPr>
        <w:t xml:space="preserve"> considering the recommendation</w:t>
      </w:r>
      <w:r w:rsidR="002F2352" w:rsidRPr="00B96ED6">
        <w:rPr>
          <w:rFonts w:ascii="Century" w:hAnsi="Century" w:cs="Times New Roman"/>
        </w:rPr>
        <w:t xml:space="preserve"> is satisfied the </w:t>
      </w:r>
      <w:proofErr w:type="spellStart"/>
      <w:r w:rsidR="002F2352" w:rsidRPr="00B96ED6">
        <w:rPr>
          <w:rFonts w:ascii="Century" w:hAnsi="Century" w:cs="Times New Roman"/>
        </w:rPr>
        <w:t>Labour</w:t>
      </w:r>
      <w:proofErr w:type="spellEnd"/>
      <w:r w:rsidR="002F2352" w:rsidRPr="00B96ED6">
        <w:rPr>
          <w:rFonts w:ascii="Century" w:hAnsi="Century" w:cs="Times New Roman"/>
        </w:rPr>
        <w:t xml:space="preserve"> Court has complied with </w:t>
      </w:r>
      <w:r w:rsidR="00BB15C8">
        <w:rPr>
          <w:rFonts w:ascii="Century" w:hAnsi="Century" w:cs="Times New Roman"/>
        </w:rPr>
        <w:t>the requisite</w:t>
      </w:r>
      <w:r w:rsidR="002F2352" w:rsidRPr="00B96ED6">
        <w:rPr>
          <w:rFonts w:ascii="Century" w:hAnsi="Century" w:cs="Times New Roman"/>
        </w:rPr>
        <w:t xml:space="preserve"> statutory conditions, she</w:t>
      </w:r>
      <w:r w:rsidR="00C113F9">
        <w:rPr>
          <w:rFonts w:ascii="Century" w:hAnsi="Century" w:cs="Times New Roman"/>
        </w:rPr>
        <w:t xml:space="preserve"> is obliged to</w:t>
      </w:r>
      <w:r w:rsidR="002F2352" w:rsidRPr="00B96ED6">
        <w:rPr>
          <w:rFonts w:ascii="Century" w:hAnsi="Century" w:cs="Times New Roman"/>
        </w:rPr>
        <w:t xml:space="preserve"> lay the</w:t>
      </w:r>
      <w:r w:rsidR="000A5875">
        <w:rPr>
          <w:rFonts w:ascii="Century" w:hAnsi="Century" w:cs="Times New Roman"/>
        </w:rPr>
        <w:t xml:space="preserve"> recommendation before the</w:t>
      </w:r>
      <w:r w:rsidR="002F2352" w:rsidRPr="00B96ED6">
        <w:rPr>
          <w:rFonts w:ascii="Century" w:hAnsi="Century" w:cs="Times New Roman"/>
        </w:rPr>
        <w:t xml:space="preserve"> Houses of the Oireachtas</w:t>
      </w:r>
      <w:r w:rsidR="000A5875">
        <w:rPr>
          <w:rFonts w:ascii="Century" w:hAnsi="Century" w:cs="Times New Roman"/>
        </w:rPr>
        <w:t xml:space="preserve"> in the form of a statutory order</w:t>
      </w:r>
      <w:r w:rsidR="002F2352" w:rsidRPr="00B96ED6">
        <w:rPr>
          <w:rFonts w:ascii="Century" w:hAnsi="Century" w:cs="Times New Roman"/>
        </w:rPr>
        <w:t>.</w:t>
      </w:r>
      <w:r w:rsidR="00CF2CAE" w:rsidRPr="00B96ED6">
        <w:rPr>
          <w:rStyle w:val="FootnoteReference"/>
          <w:rFonts w:ascii="Century" w:hAnsi="Century" w:cs="Times New Roman"/>
        </w:rPr>
        <w:footnoteReference w:id="23"/>
      </w:r>
      <w:r w:rsidR="002F2352" w:rsidRPr="00B96ED6">
        <w:rPr>
          <w:rFonts w:ascii="Century" w:hAnsi="Century" w:cs="Times New Roman"/>
        </w:rPr>
        <w:t xml:space="preserve"> </w:t>
      </w:r>
      <w:r w:rsidR="00866FC3" w:rsidRPr="00B96ED6">
        <w:rPr>
          <w:rFonts w:ascii="Century" w:hAnsi="Century" w:cs="Times New Roman"/>
        </w:rPr>
        <w:t xml:space="preserve">If </w:t>
      </w:r>
      <w:r w:rsidR="000A5875">
        <w:rPr>
          <w:rFonts w:ascii="Century" w:hAnsi="Century" w:cs="Times New Roman"/>
        </w:rPr>
        <w:t>this</w:t>
      </w:r>
      <w:r w:rsidR="00866FC3" w:rsidRPr="00B96ED6">
        <w:rPr>
          <w:rFonts w:ascii="Century" w:hAnsi="Century" w:cs="Times New Roman"/>
        </w:rPr>
        <w:t xml:space="preserve"> is</w:t>
      </w:r>
      <w:r>
        <w:rPr>
          <w:rFonts w:ascii="Century" w:hAnsi="Century" w:cs="Times New Roman"/>
        </w:rPr>
        <w:t xml:space="preserve"> subsequently</w:t>
      </w:r>
      <w:r w:rsidR="002F2352" w:rsidRPr="00B96ED6">
        <w:rPr>
          <w:rFonts w:ascii="Century" w:hAnsi="Century" w:cs="Times New Roman"/>
        </w:rPr>
        <w:t xml:space="preserve"> approved by each House, the order is promulgated as a statutory instrument and gains binding force of law.</w:t>
      </w:r>
      <w:r w:rsidR="00CF2CAE" w:rsidRPr="00B96ED6">
        <w:rPr>
          <w:rStyle w:val="FootnoteReference"/>
          <w:rFonts w:ascii="Century" w:hAnsi="Century" w:cs="Times New Roman"/>
        </w:rPr>
        <w:footnoteReference w:id="24"/>
      </w:r>
      <w:r w:rsidR="002F2352" w:rsidRPr="00B96ED6">
        <w:rPr>
          <w:rFonts w:ascii="Century" w:hAnsi="Century" w:cs="Times New Roman"/>
        </w:rPr>
        <w:t xml:space="preserve"> </w:t>
      </w:r>
      <w:r>
        <w:rPr>
          <w:rFonts w:ascii="Century" w:hAnsi="Century" w:cs="Times New Roman"/>
        </w:rPr>
        <w:t>Once promulgated, an</w:t>
      </w:r>
      <w:r w:rsidR="00866FC3" w:rsidRPr="00B96ED6">
        <w:rPr>
          <w:rFonts w:ascii="Century" w:hAnsi="Century" w:cs="Times New Roman"/>
        </w:rPr>
        <w:t xml:space="preserve"> SEO </w:t>
      </w:r>
      <w:r>
        <w:rPr>
          <w:rFonts w:ascii="Century" w:hAnsi="Century" w:cs="Times New Roman"/>
        </w:rPr>
        <w:t>applies</w:t>
      </w:r>
      <w:r w:rsidR="00866FC3" w:rsidRPr="00B96ED6">
        <w:rPr>
          <w:rFonts w:ascii="Century" w:hAnsi="Century" w:cs="Times New Roman"/>
        </w:rPr>
        <w:t xml:space="preserve"> to every worker of the class or type in the economic sector it is expressed to apply, notwithstanding the fact a worker or employer may not have been a party to the request.</w:t>
      </w:r>
      <w:r w:rsidR="00655143" w:rsidRPr="00B96ED6">
        <w:rPr>
          <w:rStyle w:val="FootnoteReference"/>
          <w:rFonts w:ascii="Century" w:hAnsi="Century" w:cs="Times New Roman"/>
        </w:rPr>
        <w:footnoteReference w:id="25"/>
      </w:r>
    </w:p>
    <w:p w14:paraId="35EDBAB9" w14:textId="68F6C68C" w:rsidR="00940D6D" w:rsidRPr="00B96ED6" w:rsidRDefault="00940D6D" w:rsidP="00E81877">
      <w:pPr>
        <w:spacing w:line="480" w:lineRule="auto"/>
        <w:jc w:val="both"/>
        <w:rPr>
          <w:rFonts w:ascii="Century" w:hAnsi="Century" w:cs="Times New Roman"/>
        </w:rPr>
      </w:pPr>
    </w:p>
    <w:p w14:paraId="5E2BDE92" w14:textId="012E9897" w:rsidR="00940D6D" w:rsidRPr="00B96ED6" w:rsidRDefault="00BB15C8" w:rsidP="00E81877">
      <w:pPr>
        <w:spacing w:line="480" w:lineRule="auto"/>
        <w:jc w:val="both"/>
        <w:rPr>
          <w:rFonts w:ascii="Century" w:hAnsi="Century" w:cs="Times New Roman"/>
        </w:rPr>
      </w:pPr>
      <w:r>
        <w:rPr>
          <w:rFonts w:ascii="Century" w:hAnsi="Century" w:cs="Times New Roman"/>
        </w:rPr>
        <w:t>Some years earlier,</w:t>
      </w:r>
      <w:r w:rsidR="00F22101">
        <w:rPr>
          <w:rFonts w:ascii="Century" w:hAnsi="Century" w:cs="Times New Roman"/>
        </w:rPr>
        <w:t xml:space="preserve"> the Supreme Court in </w:t>
      </w:r>
      <w:r w:rsidR="00F22101">
        <w:rPr>
          <w:rFonts w:ascii="Century" w:hAnsi="Century" w:cs="Times New Roman"/>
          <w:i/>
          <w:iCs/>
        </w:rPr>
        <w:t>McGowan</w:t>
      </w:r>
      <w:r>
        <w:rPr>
          <w:rFonts w:ascii="Century" w:hAnsi="Century" w:cs="Times New Roman"/>
          <w:i/>
          <w:iCs/>
        </w:rPr>
        <w:t xml:space="preserve"> v </w:t>
      </w:r>
      <w:proofErr w:type="spellStart"/>
      <w:r>
        <w:rPr>
          <w:rFonts w:ascii="Century" w:hAnsi="Century" w:cs="Times New Roman"/>
          <w:i/>
          <w:iCs/>
        </w:rPr>
        <w:t>Labour</w:t>
      </w:r>
      <w:proofErr w:type="spellEnd"/>
      <w:r>
        <w:rPr>
          <w:rFonts w:ascii="Century" w:hAnsi="Century" w:cs="Times New Roman"/>
          <w:i/>
          <w:iCs/>
        </w:rPr>
        <w:t xml:space="preserve"> Court</w:t>
      </w:r>
      <w:bookmarkStart w:id="9" w:name="_Ref85194406"/>
      <w:r w:rsidR="00FC29D1" w:rsidRPr="004742E1">
        <w:rPr>
          <w:rStyle w:val="FootnoteReference"/>
          <w:rFonts w:ascii="Century" w:hAnsi="Century" w:cs="Times New Roman"/>
        </w:rPr>
        <w:footnoteReference w:id="26"/>
      </w:r>
      <w:bookmarkEnd w:id="9"/>
      <w:r w:rsidR="00106356" w:rsidRPr="004742E1">
        <w:rPr>
          <w:rFonts w:ascii="Century" w:hAnsi="Century" w:cs="Times New Roman"/>
        </w:rPr>
        <w:t xml:space="preserve"> </w:t>
      </w:r>
      <w:r w:rsidR="00F22101">
        <w:rPr>
          <w:rFonts w:ascii="Century" w:hAnsi="Century" w:cs="Times New Roman"/>
        </w:rPr>
        <w:t>declared</w:t>
      </w:r>
      <w:r w:rsidR="00106356" w:rsidRPr="00B96ED6">
        <w:rPr>
          <w:rFonts w:ascii="Century" w:hAnsi="Century" w:cs="Times New Roman"/>
        </w:rPr>
        <w:t xml:space="preserve"> </w:t>
      </w:r>
      <w:r w:rsidR="00C113F9">
        <w:rPr>
          <w:rFonts w:ascii="Century" w:hAnsi="Century" w:cs="Times New Roman"/>
        </w:rPr>
        <w:t xml:space="preserve">s 27(3) of </w:t>
      </w:r>
      <w:r w:rsidR="00106356" w:rsidRPr="00B96ED6">
        <w:rPr>
          <w:rFonts w:ascii="Century" w:hAnsi="Century" w:cs="Times New Roman"/>
        </w:rPr>
        <w:t>the Industrial Relations Act 1946</w:t>
      </w:r>
      <w:r w:rsidR="00C113F9">
        <w:rPr>
          <w:rFonts w:ascii="Century" w:hAnsi="Century" w:cs="Times New Roman"/>
        </w:rPr>
        <w:t xml:space="preserve"> </w:t>
      </w:r>
      <w:r w:rsidR="00F22101">
        <w:rPr>
          <w:rFonts w:ascii="Century" w:hAnsi="Century" w:cs="Times New Roman"/>
        </w:rPr>
        <w:t>– effectively the</w:t>
      </w:r>
      <w:r w:rsidR="000A5875">
        <w:rPr>
          <w:rFonts w:ascii="Century" w:hAnsi="Century" w:cs="Times New Roman"/>
        </w:rPr>
        <w:t xml:space="preserve"> statutory</w:t>
      </w:r>
      <w:r w:rsidR="00F22101">
        <w:rPr>
          <w:rFonts w:ascii="Century" w:hAnsi="Century" w:cs="Times New Roman"/>
        </w:rPr>
        <w:t xml:space="preserve"> precursor to Chapter III -</w:t>
      </w:r>
      <w:r w:rsidR="00106356" w:rsidRPr="00B96ED6">
        <w:rPr>
          <w:rFonts w:ascii="Century" w:hAnsi="Century" w:cs="Times New Roman"/>
        </w:rPr>
        <w:t xml:space="preserve"> unconstitutional.</w:t>
      </w:r>
      <w:r w:rsidR="00083C0C">
        <w:rPr>
          <w:rStyle w:val="FootnoteReference"/>
          <w:rFonts w:ascii="Century" w:hAnsi="Century" w:cs="Times New Roman"/>
        </w:rPr>
        <w:footnoteReference w:id="27"/>
      </w:r>
      <w:r w:rsidR="00106356" w:rsidRPr="00B96ED6">
        <w:rPr>
          <w:rFonts w:ascii="Century" w:hAnsi="Century" w:cs="Times New Roman"/>
        </w:rPr>
        <w:t xml:space="preserve"> </w:t>
      </w:r>
      <w:r w:rsidR="008C1C92" w:rsidRPr="00B96ED6">
        <w:rPr>
          <w:rFonts w:ascii="Century" w:hAnsi="Century" w:cs="Times New Roman"/>
        </w:rPr>
        <w:t>The</w:t>
      </w:r>
      <w:r w:rsidR="00BD3684" w:rsidRPr="00B96ED6">
        <w:rPr>
          <w:rFonts w:ascii="Century" w:hAnsi="Century" w:cs="Times New Roman"/>
        </w:rPr>
        <w:t xml:space="preserve"> Supreme</w:t>
      </w:r>
      <w:r w:rsidR="008C1C92" w:rsidRPr="00B96ED6">
        <w:rPr>
          <w:rFonts w:ascii="Century" w:hAnsi="Century" w:cs="Times New Roman"/>
        </w:rPr>
        <w:t xml:space="preserve"> </w:t>
      </w:r>
      <w:r w:rsidR="00106356" w:rsidRPr="00B96ED6">
        <w:rPr>
          <w:rFonts w:ascii="Century" w:hAnsi="Century" w:cs="Times New Roman"/>
        </w:rPr>
        <w:t>Court</w:t>
      </w:r>
      <w:r w:rsidR="00BD3684" w:rsidRPr="00B96ED6">
        <w:rPr>
          <w:rFonts w:ascii="Century" w:hAnsi="Century" w:cs="Times New Roman"/>
        </w:rPr>
        <w:t xml:space="preserve"> </w:t>
      </w:r>
      <w:r w:rsidR="00C113F9">
        <w:rPr>
          <w:rFonts w:ascii="Century" w:hAnsi="Century" w:cs="Times New Roman"/>
        </w:rPr>
        <w:t>found</w:t>
      </w:r>
      <w:r w:rsidR="00C113F9" w:rsidRPr="00B96ED6">
        <w:rPr>
          <w:rFonts w:ascii="Century" w:hAnsi="Century" w:cs="Times New Roman"/>
        </w:rPr>
        <w:t xml:space="preserve"> </w:t>
      </w:r>
      <w:r w:rsidR="00BD3684" w:rsidRPr="00B96ED6">
        <w:rPr>
          <w:rFonts w:ascii="Century" w:hAnsi="Century" w:cs="Times New Roman"/>
        </w:rPr>
        <w:t>the impugned parts of the</w:t>
      </w:r>
      <w:r w:rsidR="00DD1A1E">
        <w:rPr>
          <w:rFonts w:ascii="Century" w:hAnsi="Century" w:cs="Times New Roman"/>
        </w:rPr>
        <w:t xml:space="preserve"> 1946</w:t>
      </w:r>
      <w:r w:rsidR="00BD3684" w:rsidRPr="00B96ED6">
        <w:rPr>
          <w:rFonts w:ascii="Century" w:hAnsi="Century" w:cs="Times New Roman"/>
        </w:rPr>
        <w:t xml:space="preserve"> Act</w:t>
      </w:r>
      <w:r w:rsidR="00106356" w:rsidRPr="00B96ED6">
        <w:rPr>
          <w:rFonts w:ascii="Century" w:hAnsi="Century" w:cs="Times New Roman"/>
        </w:rPr>
        <w:t xml:space="preserve"> allowed parties entering into a</w:t>
      </w:r>
      <w:r w:rsidR="00BD3684" w:rsidRPr="00B96ED6">
        <w:rPr>
          <w:rFonts w:ascii="Century" w:hAnsi="Century" w:cs="Times New Roman"/>
        </w:rPr>
        <w:t xml:space="preserve"> sector wide</w:t>
      </w:r>
      <w:r w:rsidR="00106356" w:rsidRPr="00B96ED6">
        <w:rPr>
          <w:rFonts w:ascii="Century" w:hAnsi="Century" w:cs="Times New Roman"/>
        </w:rPr>
        <w:t xml:space="preserve"> employment agreement to set any terms of employment they wanted</w:t>
      </w:r>
      <w:r w:rsidR="00BD3684" w:rsidRPr="00B96ED6">
        <w:rPr>
          <w:rFonts w:ascii="Century" w:hAnsi="Century" w:cs="Times New Roman"/>
        </w:rPr>
        <w:t>,</w:t>
      </w:r>
      <w:r w:rsidR="00106356" w:rsidRPr="00B96ED6">
        <w:rPr>
          <w:rFonts w:ascii="Century" w:hAnsi="Century" w:cs="Times New Roman"/>
        </w:rPr>
        <w:t xml:space="preserve"> subject</w:t>
      </w:r>
      <w:r w:rsidR="00BD3684" w:rsidRPr="00B96ED6">
        <w:rPr>
          <w:rFonts w:ascii="Century" w:hAnsi="Century" w:cs="Times New Roman"/>
        </w:rPr>
        <w:t xml:space="preserve"> only</w:t>
      </w:r>
      <w:r w:rsidR="00106356" w:rsidRPr="00B96ED6">
        <w:rPr>
          <w:rFonts w:ascii="Century" w:hAnsi="Century" w:cs="Times New Roman"/>
        </w:rPr>
        <w:t xml:space="preserve"> to the </w:t>
      </w:r>
      <w:proofErr w:type="spellStart"/>
      <w:r w:rsidR="00106356" w:rsidRPr="00B96ED6">
        <w:rPr>
          <w:rFonts w:ascii="Century" w:hAnsi="Century" w:cs="Times New Roman"/>
        </w:rPr>
        <w:t>Labour</w:t>
      </w:r>
      <w:proofErr w:type="spellEnd"/>
      <w:r w:rsidR="00106356" w:rsidRPr="00B96ED6">
        <w:rPr>
          <w:rFonts w:ascii="Century" w:hAnsi="Century" w:cs="Times New Roman"/>
        </w:rPr>
        <w:t xml:space="preserve"> Court finding </w:t>
      </w:r>
      <w:r w:rsidR="00BD3684" w:rsidRPr="00B96ED6">
        <w:rPr>
          <w:rFonts w:ascii="Century" w:hAnsi="Century" w:cs="Times New Roman"/>
        </w:rPr>
        <w:t>those proposing the agreement</w:t>
      </w:r>
      <w:r w:rsidR="00106356" w:rsidRPr="00B96ED6">
        <w:rPr>
          <w:rFonts w:ascii="Century" w:hAnsi="Century" w:cs="Times New Roman"/>
        </w:rPr>
        <w:t xml:space="preserve"> </w:t>
      </w:r>
      <w:r w:rsidR="00BD3684" w:rsidRPr="00B96ED6">
        <w:rPr>
          <w:rFonts w:ascii="Century" w:hAnsi="Century" w:cs="Times New Roman"/>
        </w:rPr>
        <w:t>were</w:t>
      </w:r>
      <w:r w:rsidR="00106356" w:rsidRPr="00B96ED6">
        <w:rPr>
          <w:rFonts w:ascii="Century" w:hAnsi="Century" w:cs="Times New Roman"/>
        </w:rPr>
        <w:t xml:space="preserve"> </w:t>
      </w:r>
      <w:r w:rsidR="000A361D">
        <w:rPr>
          <w:rFonts w:ascii="Century" w:hAnsi="Century" w:cs="Times New Roman"/>
        </w:rPr>
        <w:t>‘</w:t>
      </w:r>
      <w:r w:rsidR="00106356" w:rsidRPr="00B96ED6">
        <w:rPr>
          <w:rFonts w:ascii="Century" w:hAnsi="Century" w:cs="Times New Roman"/>
        </w:rPr>
        <w:t>substantially representative of the sector</w:t>
      </w:r>
      <w:r w:rsidR="000A361D">
        <w:rPr>
          <w:rFonts w:ascii="Century" w:hAnsi="Century" w:cs="Times New Roman"/>
        </w:rPr>
        <w:t>’</w:t>
      </w:r>
      <w:r w:rsidR="00106356" w:rsidRPr="00B96ED6">
        <w:rPr>
          <w:rFonts w:ascii="Century" w:hAnsi="Century" w:cs="Times New Roman"/>
        </w:rPr>
        <w:t>.</w:t>
      </w:r>
      <w:r w:rsidR="007D0369" w:rsidRPr="00B96ED6">
        <w:rPr>
          <w:rFonts w:ascii="Century" w:hAnsi="Century" w:cs="Times New Roman"/>
        </w:rPr>
        <w:t xml:space="preserve"> Due to the absence of any other statutory guidance, limits,</w:t>
      </w:r>
      <w:r w:rsidR="00BD3684" w:rsidRPr="00B96ED6">
        <w:rPr>
          <w:rFonts w:ascii="Century" w:hAnsi="Century" w:cs="Times New Roman"/>
        </w:rPr>
        <w:t xml:space="preserve"> or</w:t>
      </w:r>
      <w:r w:rsidR="007D0369" w:rsidRPr="00B96ED6">
        <w:rPr>
          <w:rFonts w:ascii="Century" w:hAnsi="Century" w:cs="Times New Roman"/>
        </w:rPr>
        <w:t xml:space="preserve"> direction</w:t>
      </w:r>
      <w:r w:rsidR="00BD3684" w:rsidRPr="00B96ED6">
        <w:rPr>
          <w:rFonts w:ascii="Century" w:hAnsi="Century" w:cs="Times New Roman"/>
        </w:rPr>
        <w:t>,</w:t>
      </w:r>
      <w:r w:rsidR="007D0369" w:rsidRPr="00B96ED6">
        <w:rPr>
          <w:rFonts w:ascii="Century" w:hAnsi="Century" w:cs="Times New Roman"/>
        </w:rPr>
        <w:t xml:space="preserve"> and a lack of any ministerial or legislative ability to consider or veto any </w:t>
      </w:r>
      <w:r w:rsidR="007D0369" w:rsidRPr="00B96ED6">
        <w:rPr>
          <w:rFonts w:ascii="Century" w:hAnsi="Century" w:cs="Times New Roman"/>
        </w:rPr>
        <w:lastRenderedPageBreak/>
        <w:t>agreement reached</w:t>
      </w:r>
      <w:r w:rsidR="00BD3684" w:rsidRPr="00B96ED6">
        <w:rPr>
          <w:rFonts w:ascii="Century" w:hAnsi="Century" w:cs="Times New Roman"/>
        </w:rPr>
        <w:t xml:space="preserve"> before it gained the force of law</w:t>
      </w:r>
      <w:r w:rsidR="007D0369" w:rsidRPr="00B96ED6">
        <w:rPr>
          <w:rFonts w:ascii="Century" w:hAnsi="Century" w:cs="Times New Roman"/>
        </w:rPr>
        <w:t>, the</w:t>
      </w:r>
      <w:r w:rsidR="00BD3684" w:rsidRPr="00B96ED6">
        <w:rPr>
          <w:rFonts w:ascii="Century" w:hAnsi="Century" w:cs="Times New Roman"/>
        </w:rPr>
        <w:t xml:space="preserve"> Supreme</w:t>
      </w:r>
      <w:r w:rsidR="007D0369" w:rsidRPr="00B96ED6">
        <w:rPr>
          <w:rFonts w:ascii="Century" w:hAnsi="Century" w:cs="Times New Roman"/>
        </w:rPr>
        <w:t xml:space="preserve"> Court found the provision</w:t>
      </w:r>
      <w:r w:rsidR="00C113F9">
        <w:rPr>
          <w:rFonts w:ascii="Century" w:hAnsi="Century" w:cs="Times New Roman"/>
        </w:rPr>
        <w:t xml:space="preserve"> substantively</w:t>
      </w:r>
      <w:r w:rsidR="007D0369" w:rsidRPr="00B96ED6">
        <w:rPr>
          <w:rFonts w:ascii="Century" w:hAnsi="Century" w:cs="Times New Roman"/>
        </w:rPr>
        <w:t xml:space="preserve"> </w:t>
      </w:r>
      <w:r w:rsidR="00BD3684" w:rsidRPr="00B96ED6">
        <w:rPr>
          <w:rFonts w:ascii="Century" w:hAnsi="Century" w:cs="Times New Roman"/>
        </w:rPr>
        <w:t>amounted</w:t>
      </w:r>
      <w:r w:rsidR="00515B5B">
        <w:rPr>
          <w:rFonts w:ascii="Century" w:hAnsi="Century" w:cs="Times New Roman"/>
        </w:rPr>
        <w:t xml:space="preserve"> </w:t>
      </w:r>
      <w:r w:rsidR="00BD3684" w:rsidRPr="00B96ED6">
        <w:rPr>
          <w:rFonts w:ascii="Century" w:hAnsi="Century" w:cs="Times New Roman"/>
        </w:rPr>
        <w:t>to a sweeping</w:t>
      </w:r>
      <w:r w:rsidR="00106356" w:rsidRPr="00B96ED6">
        <w:rPr>
          <w:rFonts w:ascii="Century" w:hAnsi="Century" w:cs="Times New Roman"/>
        </w:rPr>
        <w:t xml:space="preserve"> </w:t>
      </w:r>
      <w:r w:rsidR="000A5875">
        <w:rPr>
          <w:rFonts w:ascii="Century" w:hAnsi="Century" w:cs="Times New Roman"/>
        </w:rPr>
        <w:t>abnegation</w:t>
      </w:r>
      <w:r w:rsidR="00106356" w:rsidRPr="00B96ED6">
        <w:rPr>
          <w:rFonts w:ascii="Century" w:hAnsi="Century" w:cs="Times New Roman"/>
        </w:rPr>
        <w:t xml:space="preserve"> of legislative authority to</w:t>
      </w:r>
      <w:r w:rsidR="00F22101">
        <w:rPr>
          <w:rFonts w:ascii="Century" w:hAnsi="Century" w:cs="Times New Roman"/>
        </w:rPr>
        <w:t xml:space="preserve"> unaccountable</w:t>
      </w:r>
      <w:r w:rsidR="00106356" w:rsidRPr="00B96ED6">
        <w:rPr>
          <w:rFonts w:ascii="Century" w:hAnsi="Century" w:cs="Times New Roman"/>
        </w:rPr>
        <w:t xml:space="preserve"> private parties to create law in a</w:t>
      </w:r>
      <w:r w:rsidR="00BD3684" w:rsidRPr="00B96ED6">
        <w:rPr>
          <w:rFonts w:ascii="Century" w:hAnsi="Century" w:cs="Times New Roman"/>
        </w:rPr>
        <w:t xml:space="preserve"> very</w:t>
      </w:r>
      <w:r w:rsidR="00106356" w:rsidRPr="00B96ED6">
        <w:rPr>
          <w:rFonts w:ascii="Century" w:hAnsi="Century" w:cs="Times New Roman"/>
        </w:rPr>
        <w:t xml:space="preserve"> important</w:t>
      </w:r>
      <w:r w:rsidR="00BD3684" w:rsidRPr="00B96ED6">
        <w:rPr>
          <w:rFonts w:ascii="Century" w:hAnsi="Century" w:cs="Times New Roman"/>
        </w:rPr>
        <w:t xml:space="preserve"> are</w:t>
      </w:r>
      <w:r w:rsidR="00F22101">
        <w:rPr>
          <w:rFonts w:ascii="Century" w:hAnsi="Century" w:cs="Times New Roman"/>
        </w:rPr>
        <w:t>a</w:t>
      </w:r>
      <w:r w:rsidR="00BD3684" w:rsidRPr="00B96ED6">
        <w:rPr>
          <w:rFonts w:ascii="Century" w:hAnsi="Century" w:cs="Times New Roman"/>
        </w:rPr>
        <w:t xml:space="preserve"> of socio-economic</w:t>
      </w:r>
      <w:r w:rsidR="00106356" w:rsidRPr="00B96ED6">
        <w:rPr>
          <w:rFonts w:ascii="Century" w:hAnsi="Century" w:cs="Times New Roman"/>
        </w:rPr>
        <w:t xml:space="preserve"> policy.</w:t>
      </w:r>
      <w:r w:rsidR="00106356" w:rsidRPr="00B96ED6">
        <w:rPr>
          <w:rStyle w:val="FootnoteReference"/>
          <w:rFonts w:ascii="Century" w:hAnsi="Century" w:cs="Times New Roman"/>
        </w:rPr>
        <w:footnoteReference w:id="28"/>
      </w:r>
      <w:r w:rsidR="00DD1A1E">
        <w:rPr>
          <w:rFonts w:ascii="Century" w:hAnsi="Century" w:cs="Times New Roman"/>
        </w:rPr>
        <w:t xml:space="preserve"> These </w:t>
      </w:r>
      <w:r w:rsidR="00F22101">
        <w:rPr>
          <w:rFonts w:ascii="Century" w:hAnsi="Century" w:cs="Times New Roman"/>
        </w:rPr>
        <w:t xml:space="preserve">private </w:t>
      </w:r>
      <w:r w:rsidR="00DD1A1E">
        <w:rPr>
          <w:rFonts w:ascii="Century" w:hAnsi="Century" w:cs="Times New Roman"/>
        </w:rPr>
        <w:t>parties</w:t>
      </w:r>
      <w:r w:rsidR="00F22101">
        <w:rPr>
          <w:rFonts w:ascii="Century" w:hAnsi="Century" w:cs="Times New Roman"/>
        </w:rPr>
        <w:t xml:space="preserve"> could</w:t>
      </w:r>
      <w:r w:rsidR="00DD1A1E">
        <w:rPr>
          <w:rFonts w:ascii="Century" w:hAnsi="Century" w:cs="Times New Roman"/>
        </w:rPr>
        <w:t>, with minimal statutory guidance or direction, set working conditions and renumeration for every employee and employer in a particular sector, with</w:t>
      </w:r>
      <w:r w:rsidR="00515B5B">
        <w:rPr>
          <w:rFonts w:ascii="Century" w:hAnsi="Century" w:cs="Times New Roman"/>
        </w:rPr>
        <w:t xml:space="preserve"> potential</w:t>
      </w:r>
      <w:r w:rsidR="00DD1A1E">
        <w:rPr>
          <w:rFonts w:ascii="Century" w:hAnsi="Century" w:cs="Times New Roman"/>
        </w:rPr>
        <w:t xml:space="preserve"> attendant knock-on effects for the wider economy.</w:t>
      </w:r>
      <w:r w:rsidR="00956ADC">
        <w:rPr>
          <w:rStyle w:val="FootnoteReference"/>
          <w:rFonts w:ascii="Century" w:hAnsi="Century" w:cs="Times New Roman"/>
        </w:rPr>
        <w:footnoteReference w:id="29"/>
      </w:r>
      <w:r w:rsidR="007D0369" w:rsidRPr="00B96ED6">
        <w:rPr>
          <w:rFonts w:ascii="Century" w:hAnsi="Century" w:cs="Times New Roman"/>
        </w:rPr>
        <w:t xml:space="preserve"> </w:t>
      </w:r>
    </w:p>
    <w:p w14:paraId="13422284" w14:textId="77777777" w:rsidR="007D0369" w:rsidRPr="00B96ED6" w:rsidRDefault="007D0369" w:rsidP="00E81877">
      <w:pPr>
        <w:spacing w:line="480" w:lineRule="auto"/>
        <w:jc w:val="both"/>
        <w:rPr>
          <w:rFonts w:ascii="Century" w:hAnsi="Century" w:cs="Times New Roman"/>
        </w:rPr>
      </w:pPr>
    </w:p>
    <w:p w14:paraId="2F0B37B8" w14:textId="71B5C4BB" w:rsidR="00C2509B" w:rsidRDefault="00866FC3" w:rsidP="00E81877">
      <w:pPr>
        <w:spacing w:line="480" w:lineRule="auto"/>
        <w:jc w:val="both"/>
        <w:rPr>
          <w:rFonts w:ascii="Century" w:hAnsi="Century" w:cs="Times New Roman"/>
        </w:rPr>
      </w:pPr>
      <w:r w:rsidRPr="00B96ED6">
        <w:rPr>
          <w:rFonts w:ascii="Century" w:hAnsi="Century" w:cs="Times New Roman"/>
        </w:rPr>
        <w:t>The contrast between the</w:t>
      </w:r>
      <w:r w:rsidR="00F22101">
        <w:rPr>
          <w:rFonts w:ascii="Century" w:hAnsi="Century" w:cs="Times New Roman"/>
        </w:rPr>
        <w:t xml:space="preserve"> statutory schemes in the</w:t>
      </w:r>
      <w:r w:rsidRPr="00B96ED6">
        <w:rPr>
          <w:rFonts w:ascii="Century" w:hAnsi="Century" w:cs="Times New Roman"/>
        </w:rPr>
        <w:t xml:space="preserve"> </w:t>
      </w:r>
      <w:r w:rsidR="00F22101">
        <w:rPr>
          <w:rFonts w:ascii="Century" w:hAnsi="Century" w:cs="Times New Roman"/>
        </w:rPr>
        <w:t>1946 and 2015 Acts</w:t>
      </w:r>
      <w:r w:rsidR="00BD3684" w:rsidRPr="00B96ED6">
        <w:rPr>
          <w:rFonts w:ascii="Century" w:hAnsi="Century" w:cs="Times New Roman"/>
        </w:rPr>
        <w:t xml:space="preserve"> </w:t>
      </w:r>
      <w:r w:rsidRPr="00B96ED6">
        <w:rPr>
          <w:rFonts w:ascii="Century" w:hAnsi="Century" w:cs="Times New Roman"/>
        </w:rPr>
        <w:t>is</w:t>
      </w:r>
      <w:r w:rsidR="00B72556">
        <w:rPr>
          <w:rFonts w:ascii="Century" w:hAnsi="Century" w:cs="Times New Roman"/>
        </w:rPr>
        <w:t xml:space="preserve"> quite</w:t>
      </w:r>
      <w:r w:rsidRPr="00B96ED6">
        <w:rPr>
          <w:rFonts w:ascii="Century" w:hAnsi="Century" w:cs="Times New Roman"/>
        </w:rPr>
        <w:t xml:space="preserve"> stark. The 1946 Act </w:t>
      </w:r>
      <w:r w:rsidR="00BD3684" w:rsidRPr="00B96ED6">
        <w:rPr>
          <w:rFonts w:ascii="Century" w:hAnsi="Century" w:cs="Times New Roman"/>
        </w:rPr>
        <w:t>effectively</w:t>
      </w:r>
      <w:r w:rsidRPr="00B96ED6">
        <w:rPr>
          <w:rFonts w:ascii="Century" w:hAnsi="Century" w:cs="Times New Roman"/>
        </w:rPr>
        <w:t xml:space="preserve"> </w:t>
      </w:r>
      <w:r w:rsidR="00C77DF0">
        <w:rPr>
          <w:rFonts w:ascii="Century" w:hAnsi="Century" w:cs="Times New Roman"/>
        </w:rPr>
        <w:t>provided no</w:t>
      </w:r>
      <w:r w:rsidR="00BD3684" w:rsidRPr="00B96ED6">
        <w:rPr>
          <w:rFonts w:ascii="Century" w:hAnsi="Century" w:cs="Times New Roman"/>
        </w:rPr>
        <w:t xml:space="preserve"> statutory</w:t>
      </w:r>
      <w:r w:rsidRPr="00B96ED6">
        <w:rPr>
          <w:rFonts w:ascii="Century" w:hAnsi="Century" w:cs="Times New Roman"/>
        </w:rPr>
        <w:t xml:space="preserve"> guidance </w:t>
      </w:r>
      <w:r w:rsidR="00BD3684" w:rsidRPr="00B96ED6">
        <w:rPr>
          <w:rFonts w:ascii="Century" w:hAnsi="Century" w:cs="Times New Roman"/>
        </w:rPr>
        <w:t xml:space="preserve">in terms of what social, economic, moral criteria the </w:t>
      </w:r>
      <w:proofErr w:type="spellStart"/>
      <w:r w:rsidR="00BD3684" w:rsidRPr="00B96ED6">
        <w:rPr>
          <w:rFonts w:ascii="Century" w:hAnsi="Century" w:cs="Times New Roman"/>
        </w:rPr>
        <w:t>Labour</w:t>
      </w:r>
      <w:proofErr w:type="spellEnd"/>
      <w:r w:rsidR="00BD3684" w:rsidRPr="00B96ED6">
        <w:rPr>
          <w:rFonts w:ascii="Century" w:hAnsi="Century" w:cs="Times New Roman"/>
        </w:rPr>
        <w:t xml:space="preserve"> Court </w:t>
      </w:r>
      <w:r w:rsidR="00C16B74">
        <w:rPr>
          <w:rFonts w:ascii="Century" w:hAnsi="Century" w:cs="Times New Roman"/>
        </w:rPr>
        <w:t>had to</w:t>
      </w:r>
      <w:r w:rsidR="00BD3684" w:rsidRPr="00B96ED6">
        <w:rPr>
          <w:rFonts w:ascii="Century" w:hAnsi="Century" w:cs="Times New Roman"/>
        </w:rPr>
        <w:t xml:space="preserve"> consider</w:t>
      </w:r>
      <w:r w:rsidR="00C77DF0">
        <w:rPr>
          <w:rFonts w:ascii="Century" w:hAnsi="Century" w:cs="Times New Roman"/>
        </w:rPr>
        <w:t>, or what outcomes it should strive for,</w:t>
      </w:r>
      <w:r w:rsidR="00BD3684" w:rsidRPr="00B96ED6">
        <w:rPr>
          <w:rFonts w:ascii="Century" w:hAnsi="Century" w:cs="Times New Roman"/>
        </w:rPr>
        <w:t xml:space="preserve"> before making consequential statutory orders that would have considerable impact for those subject to it, and</w:t>
      </w:r>
      <w:r w:rsidR="00515B5B">
        <w:rPr>
          <w:rFonts w:ascii="Century" w:hAnsi="Century" w:cs="Times New Roman"/>
        </w:rPr>
        <w:t xml:space="preserve"> perhaps</w:t>
      </w:r>
      <w:r w:rsidR="00BD3684" w:rsidRPr="00B96ED6">
        <w:rPr>
          <w:rFonts w:ascii="Century" w:hAnsi="Century" w:cs="Times New Roman"/>
        </w:rPr>
        <w:t xml:space="preserve"> society more generally</w:t>
      </w:r>
      <w:r w:rsidRPr="00B96ED6">
        <w:rPr>
          <w:rFonts w:ascii="Century" w:hAnsi="Century" w:cs="Times New Roman"/>
        </w:rPr>
        <w:t xml:space="preserve">. It also </w:t>
      </w:r>
      <w:r w:rsidR="00C77DF0">
        <w:rPr>
          <w:rFonts w:ascii="Century" w:hAnsi="Century" w:cs="Times New Roman"/>
        </w:rPr>
        <w:t>had</w:t>
      </w:r>
      <w:r w:rsidRPr="00B96ED6">
        <w:rPr>
          <w:rFonts w:ascii="Century" w:hAnsi="Century" w:cs="Times New Roman"/>
        </w:rPr>
        <w:t xml:space="preserve"> no role for </w:t>
      </w:r>
      <w:r w:rsidR="00C16B74">
        <w:rPr>
          <w:rFonts w:ascii="Century" w:hAnsi="Century" w:cs="Times New Roman"/>
        </w:rPr>
        <w:t>a</w:t>
      </w:r>
      <w:r w:rsidRPr="00B96ED6">
        <w:rPr>
          <w:rFonts w:ascii="Century" w:hAnsi="Century" w:cs="Times New Roman"/>
        </w:rPr>
        <w:t xml:space="preserve"> </w:t>
      </w:r>
      <w:r w:rsidR="000B2F10">
        <w:rPr>
          <w:rFonts w:ascii="Century" w:hAnsi="Century" w:cs="Times New Roman"/>
        </w:rPr>
        <w:t>government minister</w:t>
      </w:r>
      <w:r w:rsidRPr="00B96ED6">
        <w:rPr>
          <w:rFonts w:ascii="Century" w:hAnsi="Century" w:cs="Times New Roman"/>
        </w:rPr>
        <w:t xml:space="preserve"> or the </w:t>
      </w:r>
      <w:r w:rsidR="00DD1A1E">
        <w:rPr>
          <w:rFonts w:ascii="Century" w:hAnsi="Century" w:cs="Times New Roman"/>
        </w:rPr>
        <w:t xml:space="preserve">Houses of the </w:t>
      </w:r>
      <w:r w:rsidRPr="00B96ED6">
        <w:rPr>
          <w:rFonts w:ascii="Century" w:hAnsi="Century" w:cs="Times New Roman"/>
        </w:rPr>
        <w:t>Oireachtas</w:t>
      </w:r>
      <w:r w:rsidR="00DD1A1E">
        <w:rPr>
          <w:rFonts w:ascii="Century" w:hAnsi="Century" w:cs="Times New Roman"/>
        </w:rPr>
        <w:t xml:space="preserve"> </w:t>
      </w:r>
      <w:r w:rsidR="00C113F9">
        <w:rPr>
          <w:rFonts w:ascii="Century" w:hAnsi="Century" w:cs="Times New Roman"/>
        </w:rPr>
        <w:t>to</w:t>
      </w:r>
      <w:r w:rsidR="00C113F9">
        <w:rPr>
          <w:rFonts w:ascii="Century" w:hAnsi="Century" w:cs="Times New Roman"/>
        </w:rPr>
        <w:t xml:space="preserve"> </w:t>
      </w:r>
      <w:r w:rsidR="00DD1A1E">
        <w:rPr>
          <w:rFonts w:ascii="Century" w:hAnsi="Century" w:cs="Times New Roman"/>
        </w:rPr>
        <w:t>review a proposed order</w:t>
      </w:r>
      <w:r w:rsidR="00C77DF0">
        <w:rPr>
          <w:rFonts w:ascii="Century" w:hAnsi="Century" w:cs="Times New Roman"/>
        </w:rPr>
        <w:t xml:space="preserve"> before it gained the force of law</w:t>
      </w:r>
      <w:r w:rsidRPr="00B96ED6">
        <w:rPr>
          <w:rFonts w:ascii="Century" w:hAnsi="Century" w:cs="Times New Roman"/>
        </w:rPr>
        <w:t>. Chapter III</w:t>
      </w:r>
      <w:r w:rsidR="000B2F10">
        <w:rPr>
          <w:rFonts w:ascii="Century" w:hAnsi="Century" w:cs="Times New Roman"/>
        </w:rPr>
        <w:t xml:space="preserve"> </w:t>
      </w:r>
      <w:r w:rsidRPr="00B96ED6">
        <w:rPr>
          <w:rFonts w:ascii="Century" w:hAnsi="Century" w:cs="Times New Roman"/>
        </w:rPr>
        <w:t>clearly attempt</w:t>
      </w:r>
      <w:r w:rsidR="006A04A5">
        <w:rPr>
          <w:rFonts w:ascii="Century" w:hAnsi="Century" w:cs="Times New Roman"/>
        </w:rPr>
        <w:t>ed</w:t>
      </w:r>
      <w:r w:rsidRPr="00B96ED6">
        <w:rPr>
          <w:rFonts w:ascii="Century" w:hAnsi="Century" w:cs="Times New Roman"/>
        </w:rPr>
        <w:t xml:space="preserve"> to address, in a laborious</w:t>
      </w:r>
      <w:r w:rsidR="00BD3684" w:rsidRPr="00B96ED6">
        <w:rPr>
          <w:rFonts w:ascii="Century" w:hAnsi="Century" w:cs="Times New Roman"/>
        </w:rPr>
        <w:t xml:space="preserve">ly deliberate </w:t>
      </w:r>
      <w:r w:rsidRPr="00B96ED6">
        <w:rPr>
          <w:rFonts w:ascii="Century" w:hAnsi="Century" w:cs="Times New Roman"/>
        </w:rPr>
        <w:t xml:space="preserve">way, the various concerns raised </w:t>
      </w:r>
      <w:r w:rsidR="00DD1A1E">
        <w:rPr>
          <w:rFonts w:ascii="Century" w:hAnsi="Century" w:cs="Times New Roman"/>
        </w:rPr>
        <w:t>by the Supreme Court</w:t>
      </w:r>
      <w:r w:rsidR="006A04A5">
        <w:rPr>
          <w:rFonts w:ascii="Century" w:hAnsi="Century" w:cs="Times New Roman"/>
        </w:rPr>
        <w:t xml:space="preserve"> in </w:t>
      </w:r>
      <w:r w:rsidR="006A04A5">
        <w:rPr>
          <w:rFonts w:ascii="Century" w:hAnsi="Century" w:cs="Times New Roman"/>
          <w:i/>
          <w:iCs/>
        </w:rPr>
        <w:t>McGowan</w:t>
      </w:r>
      <w:r w:rsidR="00DD1A1E">
        <w:rPr>
          <w:rFonts w:ascii="Century" w:hAnsi="Century" w:cs="Times New Roman"/>
        </w:rPr>
        <w:t>.</w:t>
      </w:r>
    </w:p>
    <w:p w14:paraId="5CC7AC54" w14:textId="77777777" w:rsidR="00DD1A1E" w:rsidRPr="00B96ED6" w:rsidRDefault="00DD1A1E" w:rsidP="00E81877">
      <w:pPr>
        <w:spacing w:line="480" w:lineRule="auto"/>
        <w:jc w:val="both"/>
        <w:rPr>
          <w:rFonts w:ascii="Century" w:hAnsi="Century" w:cs="Times New Roman"/>
        </w:rPr>
      </w:pPr>
    </w:p>
    <w:p w14:paraId="352E4573" w14:textId="353B81B6" w:rsidR="00C2509B" w:rsidRPr="00B96ED6" w:rsidRDefault="00C77DF0" w:rsidP="00E81877">
      <w:pPr>
        <w:autoSpaceDE w:val="0"/>
        <w:autoSpaceDN w:val="0"/>
        <w:adjustRightInd w:val="0"/>
        <w:spacing w:line="480" w:lineRule="auto"/>
        <w:jc w:val="both"/>
        <w:rPr>
          <w:rFonts w:ascii="Century" w:hAnsi="Century" w:cs="ñÁ÷'EF˛"/>
          <w:lang w:val="en-GB"/>
        </w:rPr>
      </w:pPr>
      <w:r>
        <w:rPr>
          <w:rFonts w:ascii="Century" w:hAnsi="Century" w:cs="ñÁ÷'EF˛"/>
          <w:lang w:val="en-GB"/>
        </w:rPr>
        <w:t xml:space="preserve">Notwithstanding these statutory alterations, the plaintiffs in </w:t>
      </w:r>
      <w:r w:rsidRPr="007F656D">
        <w:rPr>
          <w:rFonts w:ascii="Century" w:hAnsi="Century" w:cs="ñÁ÷'EF˛"/>
          <w:i/>
          <w:iCs/>
          <w:lang w:val="en-GB"/>
        </w:rPr>
        <w:t>NECI</w:t>
      </w:r>
      <w:r>
        <w:rPr>
          <w:rFonts w:ascii="Century" w:hAnsi="Century" w:cs="ñÁ÷'EF˛"/>
          <w:lang w:val="en-GB"/>
        </w:rPr>
        <w:t xml:space="preserve"> </w:t>
      </w:r>
      <w:r w:rsidR="000B2F10">
        <w:rPr>
          <w:rFonts w:ascii="Century" w:hAnsi="Century" w:cs="ñÁ÷'EF˛"/>
          <w:lang w:val="en-GB"/>
        </w:rPr>
        <w:t xml:space="preserve">opted to </w:t>
      </w:r>
      <w:r>
        <w:rPr>
          <w:rFonts w:ascii="Century" w:hAnsi="Century" w:cs="ñÁ÷'EF˛"/>
          <w:lang w:val="en-GB"/>
        </w:rPr>
        <w:t>mount a full-scale</w:t>
      </w:r>
      <w:r w:rsidR="007F656D">
        <w:rPr>
          <w:rFonts w:ascii="Century" w:hAnsi="Century" w:cs="ñÁ÷'EF˛"/>
          <w:lang w:val="en-GB"/>
        </w:rPr>
        <w:t xml:space="preserve"> </w:t>
      </w:r>
      <w:r>
        <w:rPr>
          <w:rFonts w:ascii="Century" w:hAnsi="Century" w:cs="ñÁ÷'EF˛"/>
          <w:lang w:val="en-GB"/>
        </w:rPr>
        <w:t xml:space="preserve">constitutional challenge to Chapter III on </w:t>
      </w:r>
      <w:r w:rsidR="000B2F10">
        <w:rPr>
          <w:rFonts w:ascii="Century" w:hAnsi="Century" w:cs="ñÁ÷'EF˛"/>
          <w:lang w:val="en-GB"/>
        </w:rPr>
        <w:t xml:space="preserve">similar </w:t>
      </w:r>
      <w:r>
        <w:rPr>
          <w:rFonts w:ascii="Century" w:hAnsi="Century" w:cs="ñÁ÷'EF˛"/>
          <w:lang w:val="en-GB"/>
        </w:rPr>
        <w:t>Article 15 grounds</w:t>
      </w:r>
      <w:r w:rsidR="006A04A5">
        <w:rPr>
          <w:rFonts w:ascii="Century" w:hAnsi="Century" w:cs="ñÁ÷'EF˛"/>
          <w:lang w:val="en-GB"/>
        </w:rPr>
        <w:t xml:space="preserve"> as in </w:t>
      </w:r>
      <w:r w:rsidR="006A04A5">
        <w:rPr>
          <w:rFonts w:ascii="Century" w:hAnsi="Century" w:cs="ñÁ÷'EF˛"/>
          <w:i/>
          <w:iCs/>
          <w:lang w:val="en-GB"/>
        </w:rPr>
        <w:t>McGowan</w:t>
      </w:r>
      <w:r>
        <w:rPr>
          <w:rFonts w:ascii="Century" w:hAnsi="Century" w:cs="ñÁ÷'EF˛"/>
          <w:lang w:val="en-GB"/>
        </w:rPr>
        <w:t xml:space="preserve">. </w:t>
      </w:r>
      <w:r w:rsidR="007F656D">
        <w:rPr>
          <w:rFonts w:ascii="Century" w:hAnsi="Century" w:cs="ñÁ÷'EF˛"/>
          <w:lang w:val="en-GB"/>
        </w:rPr>
        <w:t>The</w:t>
      </w:r>
      <w:r w:rsidR="00C2509B" w:rsidRPr="00B96ED6">
        <w:rPr>
          <w:rFonts w:ascii="Century" w:hAnsi="Century" w:cs="ñÁ÷'EF˛"/>
          <w:lang w:val="en-GB"/>
        </w:rPr>
        <w:t xml:space="preserve"> </w:t>
      </w:r>
      <w:r w:rsidR="007F656D">
        <w:rPr>
          <w:rFonts w:ascii="Century" w:hAnsi="Century" w:cs="ñÁ÷'EF˛"/>
          <w:lang w:val="en-GB"/>
        </w:rPr>
        <w:t>plaintiff (</w:t>
      </w:r>
      <w:r w:rsidR="000B2F10">
        <w:rPr>
          <w:rFonts w:ascii="Century" w:hAnsi="Century" w:cs="ñÁ÷'EF˛"/>
          <w:lang w:val="en-GB"/>
        </w:rPr>
        <w:t xml:space="preserve">the </w:t>
      </w:r>
      <w:r w:rsidR="007F656D">
        <w:rPr>
          <w:rFonts w:ascii="Century" w:hAnsi="Century" w:cs="ñÁ÷'EF˛"/>
          <w:lang w:val="en-GB"/>
        </w:rPr>
        <w:t>respondent in the Supreme Court)</w:t>
      </w:r>
      <w:r w:rsidR="00C2509B" w:rsidRPr="00B96ED6">
        <w:rPr>
          <w:rFonts w:ascii="Century" w:hAnsi="Century" w:cs="ñÁ÷'EF˛"/>
          <w:lang w:val="en-GB"/>
        </w:rPr>
        <w:t xml:space="preserve">, a company limited by guarantee representing small and medium sized electrical </w:t>
      </w:r>
      <w:r w:rsidR="00C2509B" w:rsidRPr="00B96ED6">
        <w:rPr>
          <w:rFonts w:ascii="Century" w:hAnsi="Century" w:cs="ñÁ÷'EF˛"/>
          <w:lang w:val="en-GB"/>
        </w:rPr>
        <w:lastRenderedPageBreak/>
        <w:t xml:space="preserve">contractors, applied for a judicial review of </w:t>
      </w:r>
      <w:r w:rsidR="00B96ED6">
        <w:rPr>
          <w:rFonts w:ascii="Century" w:hAnsi="Century" w:cs="ñÁ÷'EF˛"/>
          <w:lang w:val="en-GB"/>
        </w:rPr>
        <w:t>an SEO</w:t>
      </w:r>
      <w:r w:rsidR="00C2509B" w:rsidRPr="00B96ED6">
        <w:rPr>
          <w:rFonts w:ascii="Century" w:hAnsi="Century" w:cs="ñÁ÷'EF˛"/>
          <w:lang w:val="en-GB"/>
        </w:rPr>
        <w:t>, the subject of a recommendation by the Labour Court, under</w:t>
      </w:r>
      <w:r w:rsidR="00B96ED6">
        <w:rPr>
          <w:rFonts w:ascii="Century" w:hAnsi="Century" w:cs="ñÁ÷'EF˛"/>
          <w:lang w:val="en-GB"/>
        </w:rPr>
        <w:t xml:space="preserve"> the</w:t>
      </w:r>
      <w:r w:rsidR="00C2509B" w:rsidRPr="00B96ED6">
        <w:rPr>
          <w:rFonts w:ascii="Century" w:hAnsi="Century" w:cs="ñÁ÷'EF˛"/>
          <w:lang w:val="en-GB"/>
        </w:rPr>
        <w:t xml:space="preserve"> procedures laid down in Chapter </w:t>
      </w:r>
      <w:r w:rsidR="0052766B">
        <w:rPr>
          <w:rFonts w:ascii="Century" w:hAnsi="Century" w:cs="ñÁ÷'EF˛"/>
          <w:lang w:val="en-GB"/>
        </w:rPr>
        <w:t>III</w:t>
      </w:r>
      <w:r w:rsidR="00C2509B" w:rsidRPr="00B96ED6">
        <w:rPr>
          <w:rFonts w:ascii="Century" w:hAnsi="Century" w:cs="ñÁ÷'EF˛"/>
          <w:lang w:val="en-GB"/>
        </w:rPr>
        <w:t>, and subsequently embodied in a statutory instrument, SI</w:t>
      </w:r>
      <w:r w:rsidR="00327562">
        <w:rPr>
          <w:rFonts w:ascii="Century" w:hAnsi="Century" w:cs="ñÁ÷'EF˛"/>
          <w:lang w:val="en-GB"/>
        </w:rPr>
        <w:t xml:space="preserve"> </w:t>
      </w:r>
      <w:r w:rsidR="00C2509B" w:rsidRPr="00B96ED6">
        <w:rPr>
          <w:rFonts w:ascii="Century" w:hAnsi="Century" w:cs="ñÁ÷'EF˛"/>
          <w:lang w:val="en-GB"/>
        </w:rPr>
        <w:t>251/2019.</w:t>
      </w:r>
    </w:p>
    <w:p w14:paraId="070DFBF4" w14:textId="3E877391" w:rsidR="00C2509B" w:rsidRPr="00B96ED6" w:rsidRDefault="00C2509B" w:rsidP="00E81877">
      <w:pPr>
        <w:autoSpaceDE w:val="0"/>
        <w:autoSpaceDN w:val="0"/>
        <w:adjustRightInd w:val="0"/>
        <w:spacing w:line="480" w:lineRule="auto"/>
        <w:jc w:val="both"/>
        <w:rPr>
          <w:rFonts w:ascii="Century" w:hAnsi="Century" w:cs="ñÁ÷'EF˛"/>
          <w:lang w:val="en-GB"/>
        </w:rPr>
      </w:pPr>
    </w:p>
    <w:p w14:paraId="6D6956CB" w14:textId="34374DF1" w:rsidR="00C2509B" w:rsidRPr="00B96ED6" w:rsidRDefault="00C2509B" w:rsidP="00E81877">
      <w:pPr>
        <w:autoSpaceDE w:val="0"/>
        <w:autoSpaceDN w:val="0"/>
        <w:adjustRightInd w:val="0"/>
        <w:spacing w:line="480" w:lineRule="auto"/>
        <w:jc w:val="both"/>
        <w:rPr>
          <w:rFonts w:ascii="Century" w:hAnsi="Century" w:cs="Times New Roman"/>
          <w:lang w:val="en-GB"/>
        </w:rPr>
      </w:pPr>
      <w:r w:rsidRPr="00B96ED6">
        <w:rPr>
          <w:rFonts w:ascii="Century" w:hAnsi="Century" w:cs="Times New Roman"/>
          <w:lang w:val="en-GB"/>
        </w:rPr>
        <w:t xml:space="preserve">The effect of this Order was to set terms and conditions for workers across the entire electrical contracting area in the </w:t>
      </w:r>
      <w:r w:rsidR="006D1DC3">
        <w:rPr>
          <w:rFonts w:ascii="Century" w:hAnsi="Century" w:cs="Times New Roman"/>
          <w:lang w:val="en-GB"/>
        </w:rPr>
        <w:t>s</w:t>
      </w:r>
      <w:r w:rsidRPr="00B96ED6">
        <w:rPr>
          <w:rFonts w:ascii="Century" w:hAnsi="Century" w:cs="Times New Roman"/>
          <w:lang w:val="en-GB"/>
        </w:rPr>
        <w:t xml:space="preserve">tate. The recommendation was made in response to applications to the Labour Court from </w:t>
      </w:r>
      <w:r w:rsidRPr="00B96ED6">
        <w:rPr>
          <w:rFonts w:ascii="Century" w:hAnsi="Century" w:cs="ñÁ÷'EF˛"/>
          <w:lang w:val="en-GB"/>
        </w:rPr>
        <w:t>Connect trade union, and two employers’ groups, namely, the Electrical Contractors’</w:t>
      </w:r>
      <w:r w:rsidRPr="00B96ED6">
        <w:rPr>
          <w:rFonts w:ascii="Century" w:hAnsi="Century" w:cs="Times New Roman"/>
          <w:lang w:val="en-GB"/>
        </w:rPr>
        <w:t xml:space="preserve"> </w:t>
      </w:r>
      <w:r w:rsidRPr="00B96ED6">
        <w:rPr>
          <w:rFonts w:ascii="Century" w:hAnsi="Century" w:cs="ñÁ÷'EF˛"/>
          <w:lang w:val="en-GB"/>
        </w:rPr>
        <w:t>Association, and the Association of Electrical Contractors of Ireland</w:t>
      </w:r>
      <w:r w:rsidR="006A04A5">
        <w:rPr>
          <w:rFonts w:ascii="Century" w:hAnsi="Century" w:cs="ñÁ÷'EF˛"/>
          <w:lang w:val="en-GB"/>
        </w:rPr>
        <w:t xml:space="preserve">, </w:t>
      </w:r>
      <w:r w:rsidRPr="00B96ED6">
        <w:rPr>
          <w:rFonts w:ascii="Century" w:hAnsi="Century" w:cs="Times New Roman"/>
          <w:lang w:val="en-GB"/>
        </w:rPr>
        <w:t>which were treated as a joint applicant by the Labour Court.</w:t>
      </w:r>
      <w:r w:rsidR="00DA2DD5">
        <w:rPr>
          <w:rStyle w:val="FootnoteReference"/>
          <w:rFonts w:ascii="Century" w:hAnsi="Century" w:cs="Times New Roman"/>
          <w:lang w:val="en-GB"/>
        </w:rPr>
        <w:footnoteReference w:id="30"/>
      </w:r>
    </w:p>
    <w:p w14:paraId="62346F49" w14:textId="77777777" w:rsidR="0052766B" w:rsidRPr="00B96ED6" w:rsidRDefault="0052766B" w:rsidP="00E81877">
      <w:pPr>
        <w:spacing w:line="480" w:lineRule="auto"/>
        <w:jc w:val="both"/>
        <w:rPr>
          <w:rFonts w:ascii="Century" w:hAnsi="Century" w:cs="Times New Roman"/>
        </w:rPr>
      </w:pPr>
    </w:p>
    <w:p w14:paraId="388338F0" w14:textId="5066267B" w:rsidR="00B96ED6" w:rsidRPr="00484272" w:rsidRDefault="00C2509B" w:rsidP="00E81877">
      <w:pPr>
        <w:spacing w:line="480" w:lineRule="auto"/>
        <w:jc w:val="both"/>
        <w:rPr>
          <w:rFonts w:ascii="Century" w:hAnsi="Century" w:cs="Times New Roman"/>
          <w:b/>
          <w:bCs/>
        </w:rPr>
      </w:pPr>
      <w:r w:rsidRPr="00B96ED6">
        <w:rPr>
          <w:rFonts w:ascii="Century" w:hAnsi="Century" w:cs="Times New Roman"/>
          <w:b/>
          <w:bCs/>
        </w:rPr>
        <w:t xml:space="preserve">High Court </w:t>
      </w:r>
      <w:r w:rsidR="00340B16">
        <w:rPr>
          <w:rFonts w:ascii="Century" w:hAnsi="Century" w:cs="Times New Roman"/>
          <w:b/>
          <w:bCs/>
        </w:rPr>
        <w:t>j</w:t>
      </w:r>
      <w:r w:rsidRPr="00B96ED6">
        <w:rPr>
          <w:rFonts w:ascii="Century" w:hAnsi="Century" w:cs="Times New Roman"/>
          <w:b/>
          <w:bCs/>
        </w:rPr>
        <w:t>udgment</w:t>
      </w:r>
    </w:p>
    <w:p w14:paraId="256BCB55" w14:textId="6549254E" w:rsidR="00484272" w:rsidRPr="00484272" w:rsidRDefault="000B2F10" w:rsidP="00E81877">
      <w:pPr>
        <w:autoSpaceDE w:val="0"/>
        <w:autoSpaceDN w:val="0"/>
        <w:adjustRightInd w:val="0"/>
        <w:spacing w:line="480" w:lineRule="auto"/>
        <w:jc w:val="both"/>
        <w:rPr>
          <w:rFonts w:ascii="Century" w:hAnsi="Century" w:cs="Times New Roman"/>
          <w:lang w:val="en-GB"/>
        </w:rPr>
      </w:pPr>
      <w:r>
        <w:rPr>
          <w:rFonts w:ascii="Century" w:hAnsi="Century" w:cs="Times New Roman"/>
          <w:lang w:val="en-GB"/>
        </w:rPr>
        <w:t xml:space="preserve">In the High Court, </w:t>
      </w:r>
      <w:r w:rsidR="00484272" w:rsidRPr="00484272">
        <w:rPr>
          <w:rFonts w:ascii="Century" w:hAnsi="Century" w:cs="Times New Roman"/>
          <w:lang w:val="en-GB"/>
        </w:rPr>
        <w:t>Simons J held</w:t>
      </w:r>
      <w:r w:rsidR="00C065E6">
        <w:rPr>
          <w:rFonts w:ascii="Century" w:hAnsi="Century" w:cs="Times New Roman"/>
          <w:lang w:val="en-GB"/>
        </w:rPr>
        <w:t xml:space="preserve"> the decision to issue the SEO was unlawful as insufficient reasons had been given by the Labour Court to ensure </w:t>
      </w:r>
      <w:r w:rsidR="00C26AE4">
        <w:rPr>
          <w:rFonts w:ascii="Century" w:hAnsi="Century" w:cs="Times New Roman"/>
          <w:lang w:val="en-GB"/>
        </w:rPr>
        <w:t xml:space="preserve">statutory </w:t>
      </w:r>
      <w:r w:rsidR="00C065E6">
        <w:rPr>
          <w:rFonts w:ascii="Century" w:hAnsi="Century" w:cs="Times New Roman"/>
          <w:lang w:val="en-GB"/>
        </w:rPr>
        <w:t>compliance with the terms of Chapter III. More significantly, however, Simons J went on to hold that</w:t>
      </w:r>
      <w:r w:rsidR="00484272" w:rsidRPr="00484272">
        <w:rPr>
          <w:rFonts w:ascii="Century" w:hAnsi="Century" w:cs="Times New Roman"/>
          <w:lang w:val="en-GB"/>
        </w:rPr>
        <w:t xml:space="preserve"> Chapter </w:t>
      </w:r>
      <w:r w:rsidR="00515B5B">
        <w:rPr>
          <w:rFonts w:ascii="Century" w:hAnsi="Century" w:cs="Times New Roman"/>
          <w:lang w:val="en-GB"/>
        </w:rPr>
        <w:t>III</w:t>
      </w:r>
      <w:r w:rsidR="00484272" w:rsidRPr="00484272">
        <w:rPr>
          <w:rFonts w:ascii="Century" w:hAnsi="Century" w:cs="Times New Roman"/>
          <w:lang w:val="en-GB"/>
        </w:rPr>
        <w:t xml:space="preserve"> of the 2015 Act</w:t>
      </w:r>
      <w:r w:rsidR="00C065E6">
        <w:rPr>
          <w:rFonts w:ascii="Century" w:hAnsi="Century" w:cs="Times New Roman"/>
          <w:lang w:val="en-GB"/>
        </w:rPr>
        <w:t xml:space="preserve"> itself</w:t>
      </w:r>
      <w:r w:rsidR="005F29EB">
        <w:rPr>
          <w:rFonts w:ascii="Century" w:hAnsi="Century" w:cs="Times New Roman"/>
          <w:lang w:val="en-GB"/>
        </w:rPr>
        <w:t xml:space="preserve"> constituted</w:t>
      </w:r>
      <w:r w:rsidR="00484272" w:rsidRPr="00484272">
        <w:rPr>
          <w:rFonts w:ascii="Century" w:hAnsi="Century" w:cs="Times New Roman"/>
          <w:lang w:val="en-GB"/>
        </w:rPr>
        <w:t xml:space="preserve"> </w:t>
      </w:r>
      <w:r w:rsidR="005F29EB">
        <w:rPr>
          <w:rFonts w:ascii="Century" w:hAnsi="Century" w:cs="Times New Roman"/>
          <w:lang w:val="en-GB"/>
        </w:rPr>
        <w:t xml:space="preserve">an </w:t>
      </w:r>
      <w:r w:rsidR="00C065E6">
        <w:rPr>
          <w:rFonts w:ascii="Century" w:hAnsi="Century" w:cs="Times New Roman"/>
          <w:lang w:val="en-GB"/>
        </w:rPr>
        <w:t xml:space="preserve">unlawful </w:t>
      </w:r>
      <w:r w:rsidR="005F29EB">
        <w:rPr>
          <w:rFonts w:ascii="Century" w:hAnsi="Century" w:cs="Times New Roman"/>
          <w:lang w:val="en-GB"/>
        </w:rPr>
        <w:t>alienation by the</w:t>
      </w:r>
      <w:r w:rsidR="00484272" w:rsidRPr="00484272">
        <w:rPr>
          <w:rFonts w:ascii="Century" w:hAnsi="Century" w:cs="Times New Roman"/>
          <w:lang w:val="en-GB"/>
        </w:rPr>
        <w:t xml:space="preserve"> Oireachtas </w:t>
      </w:r>
      <w:r w:rsidR="005F29EB">
        <w:rPr>
          <w:rFonts w:ascii="Century" w:hAnsi="Century" w:cs="Times New Roman"/>
          <w:lang w:val="en-GB"/>
        </w:rPr>
        <w:t>of its</w:t>
      </w:r>
      <w:r w:rsidR="00484272" w:rsidRPr="00484272">
        <w:rPr>
          <w:rFonts w:ascii="Century" w:hAnsi="Century" w:cs="Times New Roman"/>
          <w:lang w:val="en-GB"/>
        </w:rPr>
        <w:t xml:space="preserve"> constitutional role as the sole legislator for the </w:t>
      </w:r>
      <w:r w:rsidR="006D1DC3">
        <w:rPr>
          <w:rFonts w:ascii="Century" w:hAnsi="Century" w:cs="Times New Roman"/>
          <w:lang w:val="en-GB"/>
        </w:rPr>
        <w:t>s</w:t>
      </w:r>
      <w:r w:rsidR="00484272" w:rsidRPr="00484272">
        <w:rPr>
          <w:rFonts w:ascii="Century" w:hAnsi="Century" w:cs="Times New Roman"/>
          <w:lang w:val="en-GB"/>
        </w:rPr>
        <w:t>tate.</w:t>
      </w:r>
      <w:r w:rsidR="005F29EB">
        <w:rPr>
          <w:rFonts w:ascii="Century" w:hAnsi="Century" w:cs="Times New Roman"/>
          <w:lang w:val="en-GB"/>
        </w:rPr>
        <w:t xml:space="preserve"> Applying the </w:t>
      </w:r>
      <w:r w:rsidR="005F29EB">
        <w:rPr>
          <w:rFonts w:ascii="Century" w:hAnsi="Century" w:cs="Times New Roman"/>
          <w:i/>
          <w:iCs/>
          <w:lang w:val="en-GB"/>
        </w:rPr>
        <w:t xml:space="preserve">Cityview </w:t>
      </w:r>
      <w:r w:rsidR="005F29EB">
        <w:rPr>
          <w:rFonts w:ascii="Century" w:hAnsi="Century" w:cs="Times New Roman"/>
          <w:lang w:val="en-GB"/>
        </w:rPr>
        <w:t>test,</w:t>
      </w:r>
      <w:r w:rsidR="00674354">
        <w:rPr>
          <w:rFonts w:ascii="Century" w:hAnsi="Century" w:cs="Times New Roman"/>
          <w:lang w:val="en-GB"/>
        </w:rPr>
        <w:t xml:space="preserve"> </w:t>
      </w:r>
      <w:r w:rsidR="00484272" w:rsidRPr="00484272">
        <w:rPr>
          <w:rFonts w:ascii="Century" w:hAnsi="Century" w:cs="Times New Roman"/>
          <w:lang w:val="en-GB"/>
        </w:rPr>
        <w:t xml:space="preserve">Simons J concluded </w:t>
      </w:r>
      <w:r w:rsidR="00C26AE4">
        <w:rPr>
          <w:rFonts w:ascii="Century" w:hAnsi="Century" w:cs="Times New Roman"/>
          <w:lang w:val="en-GB"/>
        </w:rPr>
        <w:t xml:space="preserve">that </w:t>
      </w:r>
      <w:r w:rsidR="00515B5B">
        <w:rPr>
          <w:rFonts w:ascii="Century" w:hAnsi="Century" w:cs="Times New Roman"/>
          <w:lang w:val="en-GB"/>
        </w:rPr>
        <w:t>the</w:t>
      </w:r>
      <w:r w:rsidR="00484272" w:rsidRPr="00484272">
        <w:rPr>
          <w:rFonts w:ascii="Century" w:hAnsi="Century" w:cs="Times New Roman"/>
          <w:lang w:val="en-GB"/>
        </w:rPr>
        <w:t xml:space="preserve"> terms in Chapter </w:t>
      </w:r>
      <w:r w:rsidR="00910F44">
        <w:rPr>
          <w:rFonts w:ascii="Century" w:hAnsi="Century" w:cs="Times New Roman"/>
          <w:lang w:val="en-GB"/>
        </w:rPr>
        <w:t>III</w:t>
      </w:r>
      <w:r w:rsidR="00484272" w:rsidRPr="00484272">
        <w:rPr>
          <w:rFonts w:ascii="Century" w:hAnsi="Century" w:cs="Times New Roman"/>
          <w:lang w:val="en-GB"/>
        </w:rPr>
        <w:t xml:space="preserve"> </w:t>
      </w:r>
      <w:r w:rsidR="00BF6ACB">
        <w:rPr>
          <w:rFonts w:ascii="Century" w:hAnsi="Century" w:cs="Times New Roman"/>
          <w:lang w:val="en-GB"/>
        </w:rPr>
        <w:t>did not</w:t>
      </w:r>
      <w:r w:rsidR="00484272">
        <w:rPr>
          <w:rFonts w:ascii="Century" w:hAnsi="Century" w:cs="Times New Roman"/>
          <w:lang w:val="en-GB"/>
        </w:rPr>
        <w:t xml:space="preserve"> </w:t>
      </w:r>
      <w:r w:rsidR="00484272" w:rsidRPr="00484272">
        <w:rPr>
          <w:rFonts w:ascii="Century" w:hAnsi="Century" w:cs="Times New Roman"/>
          <w:lang w:val="en-GB"/>
        </w:rPr>
        <w:t>provide sufficient</w:t>
      </w:r>
      <w:r w:rsidR="005F29EB">
        <w:rPr>
          <w:rFonts w:ascii="Century" w:hAnsi="Century" w:cs="Times New Roman"/>
          <w:lang w:val="en-GB"/>
        </w:rPr>
        <w:t xml:space="preserve"> principles and policies to guide the</w:t>
      </w:r>
      <w:r w:rsidR="00484272" w:rsidRPr="00484272">
        <w:rPr>
          <w:rFonts w:ascii="Century" w:hAnsi="Century" w:cs="Times New Roman"/>
          <w:lang w:val="en-GB"/>
        </w:rPr>
        <w:t xml:space="preserve"> power of the Labour Court.</w:t>
      </w:r>
      <w:r w:rsidR="00AF43D6">
        <w:rPr>
          <w:rStyle w:val="FootnoteReference"/>
          <w:rFonts w:ascii="Century" w:hAnsi="Century" w:cs="Times New Roman"/>
          <w:lang w:val="en-GB"/>
        </w:rPr>
        <w:footnoteReference w:id="31"/>
      </w:r>
      <w:r w:rsidR="00484272" w:rsidRPr="00484272">
        <w:rPr>
          <w:rFonts w:ascii="Century" w:hAnsi="Century" w:cs="Times New Roman"/>
          <w:lang w:val="en-GB"/>
        </w:rPr>
        <w:t xml:space="preserve"> </w:t>
      </w:r>
      <w:r w:rsidR="005F29EB">
        <w:rPr>
          <w:rFonts w:ascii="Century" w:hAnsi="Century" w:cs="Times New Roman"/>
          <w:lang w:val="en-GB"/>
        </w:rPr>
        <w:t>Simons J</w:t>
      </w:r>
      <w:r w:rsidR="00484272" w:rsidRPr="00484272">
        <w:rPr>
          <w:rFonts w:ascii="Century" w:hAnsi="Century" w:cs="Times New Roman"/>
          <w:lang w:val="en-GB"/>
        </w:rPr>
        <w:t xml:space="preserve"> observed</w:t>
      </w:r>
      <w:r w:rsidR="00484272">
        <w:rPr>
          <w:rFonts w:ascii="Century" w:hAnsi="Century" w:cs="Times New Roman"/>
          <w:lang w:val="en-GB"/>
        </w:rPr>
        <w:t xml:space="preserve"> </w:t>
      </w:r>
      <w:r w:rsidR="00484272" w:rsidRPr="00484272">
        <w:rPr>
          <w:rFonts w:ascii="Century" w:hAnsi="Century" w:cs="Times New Roman"/>
          <w:lang w:val="en-GB"/>
        </w:rPr>
        <w:t>that making an SEO involved significant policy choices</w:t>
      </w:r>
      <w:r w:rsidR="005F29EB">
        <w:rPr>
          <w:rFonts w:ascii="Century" w:hAnsi="Century" w:cs="Times New Roman"/>
          <w:lang w:val="en-GB"/>
        </w:rPr>
        <w:t xml:space="preserve"> </w:t>
      </w:r>
      <w:r w:rsidR="00484272" w:rsidRPr="00484272">
        <w:rPr>
          <w:rFonts w:ascii="Century" w:hAnsi="Century" w:cs="Times New Roman"/>
          <w:lang w:val="en-GB"/>
        </w:rPr>
        <w:t xml:space="preserve">with far-reaching effects, </w:t>
      </w:r>
      <w:r w:rsidR="00BF6ACB">
        <w:rPr>
          <w:rFonts w:ascii="Century" w:hAnsi="Century" w:cs="Times New Roman"/>
          <w:lang w:val="en-GB"/>
        </w:rPr>
        <w:t>going</w:t>
      </w:r>
      <w:r w:rsidR="005F29EB">
        <w:rPr>
          <w:rFonts w:ascii="Century" w:hAnsi="Century" w:cs="Times New Roman"/>
          <w:lang w:val="en-GB"/>
        </w:rPr>
        <w:t xml:space="preserve"> far beyond</w:t>
      </w:r>
      <w:r w:rsidR="00216FC2">
        <w:rPr>
          <w:rFonts w:ascii="Century" w:hAnsi="Century" w:cs="Times New Roman"/>
          <w:lang w:val="en-GB"/>
        </w:rPr>
        <w:t xml:space="preserve"> merely</w:t>
      </w:r>
      <w:r w:rsidR="005F29EB">
        <w:rPr>
          <w:rFonts w:ascii="Century" w:hAnsi="Century" w:cs="Times New Roman"/>
          <w:lang w:val="en-GB"/>
        </w:rPr>
        <w:t xml:space="preserve"> filling in the details of goals set by the legislature</w:t>
      </w:r>
      <w:r w:rsidR="00484272" w:rsidRPr="00484272">
        <w:rPr>
          <w:rFonts w:ascii="Century" w:hAnsi="Century" w:cs="Times New Roman"/>
          <w:lang w:val="en-GB"/>
        </w:rPr>
        <w:t xml:space="preserve">. </w:t>
      </w:r>
      <w:r w:rsidR="005F29EB">
        <w:rPr>
          <w:rFonts w:ascii="Century" w:hAnsi="Century" w:cs="Times New Roman"/>
          <w:lang w:val="en-GB"/>
        </w:rPr>
        <w:t xml:space="preserve">This judgment was appealed directly to the Supreme </w:t>
      </w:r>
      <w:r w:rsidR="005F29EB">
        <w:rPr>
          <w:rFonts w:ascii="Century" w:hAnsi="Century" w:cs="Times New Roman"/>
          <w:lang w:val="en-GB"/>
        </w:rPr>
        <w:lastRenderedPageBreak/>
        <w:t>Court due to its public importance.</w:t>
      </w:r>
      <w:r w:rsidR="00C065E6">
        <w:rPr>
          <w:rFonts w:ascii="Century" w:hAnsi="Century" w:cs="Times New Roman"/>
          <w:lang w:val="en-GB"/>
        </w:rPr>
        <w:t xml:space="preserve"> The Supreme Court upheld the High Court’s finding there had been a failure to follow the provisions of Chapter III, but vigorously rejected the finding Chapter III was itself unconstitutional. </w:t>
      </w:r>
    </w:p>
    <w:p w14:paraId="4178639B" w14:textId="77777777" w:rsidR="00515B5B" w:rsidRPr="00B96ED6" w:rsidRDefault="00515B5B" w:rsidP="00E81877">
      <w:pPr>
        <w:spacing w:line="480" w:lineRule="auto"/>
        <w:jc w:val="both"/>
        <w:rPr>
          <w:rFonts w:ascii="Century" w:hAnsi="Century" w:cs="Times New Roman"/>
          <w:b/>
          <w:bCs/>
        </w:rPr>
      </w:pPr>
    </w:p>
    <w:p w14:paraId="70E6E180" w14:textId="7ED398D2" w:rsidR="00510549" w:rsidRPr="0056316E" w:rsidRDefault="00C2509B" w:rsidP="00E81877">
      <w:pPr>
        <w:spacing w:line="480" w:lineRule="auto"/>
        <w:jc w:val="both"/>
        <w:rPr>
          <w:rFonts w:ascii="Century" w:hAnsi="Century" w:cs="Times New Roman"/>
          <w:b/>
          <w:bCs/>
        </w:rPr>
      </w:pPr>
      <w:r w:rsidRPr="00B96ED6">
        <w:rPr>
          <w:rFonts w:ascii="Century" w:hAnsi="Century" w:cs="Times New Roman"/>
          <w:b/>
          <w:bCs/>
        </w:rPr>
        <w:t xml:space="preserve">Supreme Court </w:t>
      </w:r>
      <w:r w:rsidR="00340B16">
        <w:rPr>
          <w:rFonts w:ascii="Century" w:hAnsi="Century" w:cs="Times New Roman"/>
          <w:b/>
          <w:bCs/>
        </w:rPr>
        <w:t>j</w:t>
      </w:r>
      <w:r w:rsidRPr="00B96ED6">
        <w:rPr>
          <w:rFonts w:ascii="Century" w:hAnsi="Century" w:cs="Times New Roman"/>
          <w:b/>
          <w:bCs/>
        </w:rPr>
        <w:t>udgment</w:t>
      </w:r>
    </w:p>
    <w:p w14:paraId="1376E8DF" w14:textId="1E322B68" w:rsidR="000D441C" w:rsidRPr="00B96ED6" w:rsidRDefault="002F35C9" w:rsidP="00E81877">
      <w:pPr>
        <w:spacing w:line="480" w:lineRule="auto"/>
        <w:jc w:val="both"/>
        <w:rPr>
          <w:rFonts w:ascii="Century" w:hAnsi="Century"/>
          <w:b/>
          <w:bCs/>
        </w:rPr>
      </w:pPr>
      <w:r>
        <w:rPr>
          <w:rFonts w:ascii="Century" w:hAnsi="Century"/>
          <w:b/>
          <w:bCs/>
        </w:rPr>
        <w:t xml:space="preserve">Judgment of </w:t>
      </w:r>
      <w:r w:rsidR="0066492C">
        <w:rPr>
          <w:rFonts w:ascii="Century" w:hAnsi="Century"/>
          <w:b/>
          <w:bCs/>
        </w:rPr>
        <w:t>the Court</w:t>
      </w:r>
      <w:r w:rsidR="00510549">
        <w:rPr>
          <w:rFonts w:ascii="Century" w:hAnsi="Century"/>
          <w:b/>
          <w:bCs/>
        </w:rPr>
        <w:t xml:space="preserve"> – MacMenamin J</w:t>
      </w:r>
    </w:p>
    <w:p w14:paraId="4C6FAFDA" w14:textId="370FAC63" w:rsidR="00510549" w:rsidRDefault="00DD1A1E" w:rsidP="00E81877">
      <w:pPr>
        <w:spacing w:line="480" w:lineRule="auto"/>
        <w:jc w:val="both"/>
        <w:rPr>
          <w:rFonts w:ascii="Century" w:hAnsi="Century"/>
        </w:rPr>
      </w:pPr>
      <w:r>
        <w:rPr>
          <w:rFonts w:ascii="Century" w:hAnsi="Century"/>
        </w:rPr>
        <w:t>The bulk of the Supreme Court’s judgment</w:t>
      </w:r>
      <w:r w:rsidR="002F50C5">
        <w:rPr>
          <w:rFonts w:ascii="Century" w:hAnsi="Century"/>
        </w:rPr>
        <w:t xml:space="preserve"> in </w:t>
      </w:r>
      <w:r w:rsidR="002F50C5">
        <w:rPr>
          <w:rFonts w:ascii="Century" w:hAnsi="Century"/>
          <w:i/>
          <w:iCs/>
        </w:rPr>
        <w:t>NECI</w:t>
      </w:r>
      <w:r>
        <w:rPr>
          <w:rFonts w:ascii="Century" w:hAnsi="Century"/>
        </w:rPr>
        <w:t xml:space="preserve"> </w:t>
      </w:r>
      <w:r w:rsidR="00216FC2">
        <w:rPr>
          <w:rFonts w:ascii="Century" w:hAnsi="Century"/>
        </w:rPr>
        <w:t>was</w:t>
      </w:r>
      <w:r>
        <w:rPr>
          <w:rFonts w:ascii="Century" w:hAnsi="Century"/>
        </w:rPr>
        <w:t xml:space="preserve"> dedicated to </w:t>
      </w:r>
      <w:r w:rsidR="0052766B">
        <w:rPr>
          <w:rFonts w:ascii="Century" w:hAnsi="Century"/>
        </w:rPr>
        <w:t>offering a</w:t>
      </w:r>
      <w:r>
        <w:rPr>
          <w:rFonts w:ascii="Century" w:hAnsi="Century"/>
        </w:rPr>
        <w:t xml:space="preserve"> definitive </w:t>
      </w:r>
      <w:r w:rsidR="00510549">
        <w:rPr>
          <w:rFonts w:ascii="Century" w:hAnsi="Century"/>
        </w:rPr>
        <w:t>statement</w:t>
      </w:r>
      <w:r>
        <w:rPr>
          <w:rFonts w:ascii="Century" w:hAnsi="Century"/>
        </w:rPr>
        <w:t xml:space="preserve"> o</w:t>
      </w:r>
      <w:r w:rsidR="00510549">
        <w:rPr>
          <w:rFonts w:ascii="Century" w:hAnsi="Century"/>
        </w:rPr>
        <w:t>n the proper interpretation</w:t>
      </w:r>
      <w:r>
        <w:rPr>
          <w:rFonts w:ascii="Century" w:hAnsi="Century"/>
        </w:rPr>
        <w:t xml:space="preserve"> Article 15</w:t>
      </w:r>
      <w:r w:rsidR="00C26AE4">
        <w:rPr>
          <w:rFonts w:ascii="Century" w:hAnsi="Century"/>
        </w:rPr>
        <w:t>.2.1</w:t>
      </w:r>
      <w:r>
        <w:rPr>
          <w:rFonts w:ascii="Century" w:hAnsi="Century"/>
        </w:rPr>
        <w:t xml:space="preserve"> and the permissible bounds of delegated rulemaking authority. </w:t>
      </w:r>
      <w:r w:rsidR="001432F2">
        <w:rPr>
          <w:rFonts w:ascii="Century" w:hAnsi="Century"/>
        </w:rPr>
        <w:t xml:space="preserve">The starting point for </w:t>
      </w:r>
      <w:r w:rsidR="000D441C" w:rsidRPr="00B96ED6">
        <w:rPr>
          <w:rFonts w:ascii="Century" w:hAnsi="Century"/>
        </w:rPr>
        <w:t>MacMenamin J</w:t>
      </w:r>
      <w:r w:rsidR="001432F2">
        <w:rPr>
          <w:rFonts w:ascii="Century" w:hAnsi="Century"/>
        </w:rPr>
        <w:t xml:space="preserve">’s discussion of the appropriate doctrinal test was to cite </w:t>
      </w:r>
      <w:r w:rsidR="001432F2" w:rsidRPr="00B96ED6">
        <w:rPr>
          <w:rFonts w:ascii="Century" w:hAnsi="Century"/>
          <w:i/>
          <w:iCs/>
        </w:rPr>
        <w:t xml:space="preserve">Bederev </w:t>
      </w:r>
      <w:r w:rsidR="001432F2" w:rsidRPr="00B96ED6">
        <w:rPr>
          <w:rFonts w:ascii="Century" w:hAnsi="Century"/>
        </w:rPr>
        <w:t xml:space="preserve">and </w:t>
      </w:r>
      <w:r w:rsidR="001432F2" w:rsidRPr="00B96ED6">
        <w:rPr>
          <w:rFonts w:ascii="Century" w:hAnsi="Century"/>
          <w:i/>
          <w:iCs/>
        </w:rPr>
        <w:t>O’Sullivan</w:t>
      </w:r>
      <w:r w:rsidR="001432F2">
        <w:rPr>
          <w:rFonts w:ascii="Century" w:hAnsi="Century"/>
        </w:rPr>
        <w:t xml:space="preserve">, which </w:t>
      </w:r>
      <w:r w:rsidR="00123AE3">
        <w:rPr>
          <w:rFonts w:ascii="Century" w:hAnsi="Century"/>
        </w:rPr>
        <w:t>he</w:t>
      </w:r>
      <w:r w:rsidR="001432F2">
        <w:rPr>
          <w:rFonts w:ascii="Century" w:hAnsi="Century"/>
        </w:rPr>
        <w:t xml:space="preserve"> said </w:t>
      </w:r>
      <w:r w:rsidR="002F0329">
        <w:rPr>
          <w:rFonts w:ascii="Century" w:hAnsi="Century"/>
        </w:rPr>
        <w:t>‘</w:t>
      </w:r>
      <w:r w:rsidR="001432F2">
        <w:rPr>
          <w:rFonts w:ascii="Century" w:hAnsi="Century"/>
        </w:rPr>
        <w:t>recently explained</w:t>
      </w:r>
      <w:r w:rsidR="002F0329">
        <w:rPr>
          <w:rFonts w:ascii="Century" w:hAnsi="Century"/>
        </w:rPr>
        <w:t>’</w:t>
      </w:r>
      <w:r w:rsidR="001432F2">
        <w:rPr>
          <w:rFonts w:ascii="Century" w:hAnsi="Century"/>
        </w:rPr>
        <w:t xml:space="preserve"> how the </w:t>
      </w:r>
      <w:r w:rsidR="001432F2">
        <w:rPr>
          <w:rFonts w:ascii="Century" w:hAnsi="Century"/>
          <w:i/>
          <w:iCs/>
        </w:rPr>
        <w:t xml:space="preserve">Cityview </w:t>
      </w:r>
      <w:r w:rsidR="001432F2">
        <w:rPr>
          <w:rFonts w:ascii="Century" w:hAnsi="Century"/>
        </w:rPr>
        <w:t>test should be</w:t>
      </w:r>
      <w:r w:rsidR="00EE1982">
        <w:rPr>
          <w:rFonts w:ascii="Century" w:hAnsi="Century"/>
        </w:rPr>
        <w:t xml:space="preserve"> correctly</w:t>
      </w:r>
      <w:r w:rsidR="001432F2">
        <w:rPr>
          <w:rFonts w:ascii="Century" w:hAnsi="Century"/>
        </w:rPr>
        <w:t xml:space="preserve"> applied.</w:t>
      </w:r>
      <w:r w:rsidR="00AF43D6">
        <w:rPr>
          <w:rStyle w:val="FootnoteReference"/>
          <w:rFonts w:ascii="Century" w:hAnsi="Century"/>
        </w:rPr>
        <w:footnoteReference w:id="32"/>
      </w:r>
      <w:r w:rsidR="00AF43D6">
        <w:rPr>
          <w:rFonts w:ascii="Century" w:hAnsi="Century"/>
        </w:rPr>
        <w:t xml:space="preserve"> As alluded to in the introduction, </w:t>
      </w:r>
      <w:r w:rsidR="002F0329">
        <w:rPr>
          <w:rFonts w:ascii="Century" w:hAnsi="Century"/>
        </w:rPr>
        <w:t>‘</w:t>
      </w:r>
      <w:r w:rsidR="00AF43D6">
        <w:rPr>
          <w:rFonts w:ascii="Century" w:hAnsi="Century"/>
        </w:rPr>
        <w:t>recently recast</w:t>
      </w:r>
      <w:r w:rsidR="002F0329">
        <w:rPr>
          <w:rFonts w:ascii="Century" w:hAnsi="Century"/>
        </w:rPr>
        <w:t>’</w:t>
      </w:r>
      <w:r w:rsidR="00AF43D6">
        <w:rPr>
          <w:rFonts w:ascii="Century" w:hAnsi="Century"/>
        </w:rPr>
        <w:t xml:space="preserve"> may have been a more apt description of the impact of </w:t>
      </w:r>
      <w:r w:rsidR="00AF43D6">
        <w:rPr>
          <w:rFonts w:ascii="Century" w:hAnsi="Century"/>
          <w:i/>
          <w:iCs/>
        </w:rPr>
        <w:t xml:space="preserve">Bederev </w:t>
      </w:r>
      <w:r w:rsidR="00AF43D6">
        <w:rPr>
          <w:rFonts w:ascii="Century" w:hAnsi="Century"/>
        </w:rPr>
        <w:t xml:space="preserve">and </w:t>
      </w:r>
      <w:r w:rsidR="00AF43D6">
        <w:rPr>
          <w:rFonts w:ascii="Century" w:hAnsi="Century"/>
          <w:i/>
          <w:iCs/>
        </w:rPr>
        <w:t xml:space="preserve">O’Sullivan </w:t>
      </w:r>
      <w:r w:rsidR="00AF43D6">
        <w:rPr>
          <w:rFonts w:ascii="Century" w:hAnsi="Century"/>
        </w:rPr>
        <w:t xml:space="preserve">on </w:t>
      </w:r>
      <w:r w:rsidR="00AF43D6">
        <w:rPr>
          <w:rFonts w:ascii="Century" w:hAnsi="Century"/>
          <w:i/>
          <w:iCs/>
        </w:rPr>
        <w:t>Cityview</w:t>
      </w:r>
      <w:r w:rsidR="00AF43D6">
        <w:rPr>
          <w:rFonts w:ascii="Century" w:hAnsi="Century"/>
        </w:rPr>
        <w:t xml:space="preserve">. But </w:t>
      </w:r>
      <w:r w:rsidR="00216FC2">
        <w:rPr>
          <w:rFonts w:ascii="Century" w:hAnsi="Century"/>
        </w:rPr>
        <w:t>whichever way</w:t>
      </w:r>
      <w:r w:rsidR="00AF43D6">
        <w:rPr>
          <w:rFonts w:ascii="Century" w:hAnsi="Century"/>
        </w:rPr>
        <w:t xml:space="preserve"> one wants to describe the impact of these cases, </w:t>
      </w:r>
      <w:r w:rsidR="008A449D">
        <w:rPr>
          <w:rFonts w:ascii="Century" w:hAnsi="Century"/>
        </w:rPr>
        <w:t>it is clear</w:t>
      </w:r>
      <w:r w:rsidR="00AF43D6">
        <w:rPr>
          <w:rFonts w:ascii="Century" w:hAnsi="Century"/>
        </w:rPr>
        <w:t xml:space="preserve"> the Supreme </w:t>
      </w:r>
      <w:r w:rsidR="0060131F">
        <w:rPr>
          <w:rFonts w:ascii="Century" w:hAnsi="Century"/>
        </w:rPr>
        <w:t>Court</w:t>
      </w:r>
      <w:r w:rsidR="00AF43D6">
        <w:rPr>
          <w:rFonts w:ascii="Century" w:hAnsi="Century"/>
        </w:rPr>
        <w:t xml:space="preserve"> in </w:t>
      </w:r>
      <w:r w:rsidR="00AF43D6">
        <w:rPr>
          <w:rFonts w:ascii="Century" w:hAnsi="Century"/>
          <w:i/>
          <w:iCs/>
        </w:rPr>
        <w:t>NECI</w:t>
      </w:r>
      <w:r w:rsidR="00510549">
        <w:rPr>
          <w:rFonts w:ascii="Century" w:hAnsi="Century"/>
        </w:rPr>
        <w:t xml:space="preserve"> </w:t>
      </w:r>
      <w:r w:rsidR="0060131F">
        <w:rPr>
          <w:rFonts w:ascii="Century" w:hAnsi="Century"/>
        </w:rPr>
        <w:t>emphatically double</w:t>
      </w:r>
      <w:r w:rsidR="00AF43D6">
        <w:rPr>
          <w:rFonts w:ascii="Century" w:hAnsi="Century"/>
        </w:rPr>
        <w:t>d</w:t>
      </w:r>
      <w:r w:rsidR="0060131F">
        <w:rPr>
          <w:rFonts w:ascii="Century" w:hAnsi="Century"/>
        </w:rPr>
        <w:t xml:space="preserve"> down on their move away from a rigorous application of the principles and policies test outlined in </w:t>
      </w:r>
      <w:r w:rsidR="0060131F">
        <w:rPr>
          <w:rFonts w:ascii="Century" w:hAnsi="Century"/>
          <w:i/>
          <w:iCs/>
        </w:rPr>
        <w:t>Cityview</w:t>
      </w:r>
      <w:r w:rsidR="0060131F">
        <w:rPr>
          <w:rFonts w:ascii="Century" w:hAnsi="Century"/>
        </w:rPr>
        <w:t xml:space="preserve">. </w:t>
      </w:r>
    </w:p>
    <w:p w14:paraId="48B6DAB9" w14:textId="77777777" w:rsidR="00510549" w:rsidRDefault="00510549" w:rsidP="00E81877">
      <w:pPr>
        <w:spacing w:line="480" w:lineRule="auto"/>
        <w:jc w:val="both"/>
        <w:rPr>
          <w:rFonts w:ascii="Century" w:hAnsi="Century"/>
        </w:rPr>
      </w:pPr>
    </w:p>
    <w:p w14:paraId="01682100" w14:textId="02597CD4" w:rsidR="00F751E6" w:rsidRDefault="0060131F" w:rsidP="00E81877">
      <w:pPr>
        <w:spacing w:line="480" w:lineRule="auto"/>
        <w:jc w:val="both"/>
        <w:rPr>
          <w:rFonts w:ascii="Century" w:hAnsi="Century"/>
        </w:rPr>
      </w:pPr>
      <w:r>
        <w:rPr>
          <w:rFonts w:ascii="Century" w:hAnsi="Century"/>
        </w:rPr>
        <w:t xml:space="preserve">Famously, this test required </w:t>
      </w:r>
      <w:r w:rsidR="00EE1982">
        <w:rPr>
          <w:rFonts w:ascii="Century" w:hAnsi="Century"/>
        </w:rPr>
        <w:t>a delegation of rulemaking authority</w:t>
      </w:r>
      <w:r w:rsidR="00C26AE4">
        <w:rPr>
          <w:rFonts w:ascii="Century" w:hAnsi="Century"/>
        </w:rPr>
        <w:t xml:space="preserve"> by the Oireachtas</w:t>
      </w:r>
      <w:r w:rsidR="00EE1982">
        <w:rPr>
          <w:rFonts w:ascii="Century" w:hAnsi="Century"/>
        </w:rPr>
        <w:t xml:space="preserve"> to be accompanied by </w:t>
      </w:r>
      <w:r>
        <w:rPr>
          <w:rFonts w:ascii="Century" w:hAnsi="Century"/>
        </w:rPr>
        <w:t>the articulation of all principles and policies and confinement of the delegate to the role of filling in the details</w:t>
      </w:r>
      <w:r w:rsidR="003D14CE">
        <w:rPr>
          <w:rFonts w:ascii="Century" w:hAnsi="Century"/>
        </w:rPr>
        <w:t xml:space="preserve"> to give life to </w:t>
      </w:r>
      <w:r w:rsidR="00FD58CC">
        <w:rPr>
          <w:rFonts w:ascii="Century" w:hAnsi="Century"/>
        </w:rPr>
        <w:t>legislative</w:t>
      </w:r>
      <w:r w:rsidR="003D14CE">
        <w:rPr>
          <w:rFonts w:ascii="Century" w:hAnsi="Century"/>
        </w:rPr>
        <w:t xml:space="preserve"> directives</w:t>
      </w:r>
      <w:r>
        <w:rPr>
          <w:rFonts w:ascii="Century" w:hAnsi="Century"/>
        </w:rPr>
        <w:t>. In stark contrast,</w:t>
      </w:r>
      <w:r w:rsidR="00F751E6">
        <w:rPr>
          <w:rFonts w:ascii="Century" w:hAnsi="Century"/>
        </w:rPr>
        <w:t xml:space="preserve"> here the Supreme Court</w:t>
      </w:r>
      <w:r>
        <w:rPr>
          <w:rFonts w:ascii="Century" w:hAnsi="Century"/>
        </w:rPr>
        <w:t xml:space="preserve"> state</w:t>
      </w:r>
      <w:r w:rsidR="00F751E6">
        <w:rPr>
          <w:rFonts w:ascii="Century" w:hAnsi="Century"/>
        </w:rPr>
        <w:t>d</w:t>
      </w:r>
      <w:r>
        <w:rPr>
          <w:rFonts w:ascii="Century" w:hAnsi="Century"/>
        </w:rPr>
        <w:t xml:space="preserve"> that </w:t>
      </w:r>
      <w:r w:rsidR="00F751E6">
        <w:rPr>
          <w:rFonts w:ascii="Century" w:hAnsi="Century"/>
        </w:rPr>
        <w:t xml:space="preserve">dwelling on </w:t>
      </w:r>
      <w:r>
        <w:rPr>
          <w:rFonts w:ascii="Century" w:hAnsi="Century"/>
        </w:rPr>
        <w:t>t</w:t>
      </w:r>
      <w:r w:rsidR="000D441C" w:rsidRPr="00B96ED6">
        <w:rPr>
          <w:rFonts w:ascii="Century" w:hAnsi="Century"/>
        </w:rPr>
        <w:t>he presence or absence of</w:t>
      </w:r>
      <w:r w:rsidR="00F751E6">
        <w:rPr>
          <w:rFonts w:ascii="Century" w:hAnsi="Century"/>
        </w:rPr>
        <w:t xml:space="preserve"> all</w:t>
      </w:r>
      <w:r w:rsidR="000D441C" w:rsidRPr="00B96ED6">
        <w:rPr>
          <w:rFonts w:ascii="Century" w:hAnsi="Century"/>
        </w:rPr>
        <w:t xml:space="preserve"> principles and policies is not the</w:t>
      </w:r>
      <w:r>
        <w:rPr>
          <w:rFonts w:ascii="Century" w:hAnsi="Century"/>
        </w:rPr>
        <w:t xml:space="preserve"> </w:t>
      </w:r>
      <w:r w:rsidR="00B44A5D">
        <w:rPr>
          <w:rFonts w:ascii="Century" w:hAnsi="Century"/>
        </w:rPr>
        <w:t>right</w:t>
      </w:r>
      <w:r>
        <w:rPr>
          <w:rFonts w:ascii="Century" w:hAnsi="Century"/>
        </w:rPr>
        <w:t xml:space="preserve"> </w:t>
      </w:r>
      <w:r>
        <w:rPr>
          <w:rFonts w:ascii="Century" w:hAnsi="Century"/>
        </w:rPr>
        <w:lastRenderedPageBreak/>
        <w:t>doctrinal</w:t>
      </w:r>
      <w:r w:rsidR="000D441C" w:rsidRPr="00B96ED6">
        <w:rPr>
          <w:rFonts w:ascii="Century" w:hAnsi="Century"/>
        </w:rPr>
        <w:t xml:space="preserve"> test,</w:t>
      </w:r>
      <w:r>
        <w:rPr>
          <w:rFonts w:ascii="Century" w:hAnsi="Century"/>
        </w:rPr>
        <w:t xml:space="preserve"> but</w:t>
      </w:r>
      <w:r w:rsidR="000D441C" w:rsidRPr="00B96ED6">
        <w:rPr>
          <w:rFonts w:ascii="Century" w:hAnsi="Century"/>
        </w:rPr>
        <w:t xml:space="preserve"> </w:t>
      </w:r>
      <w:r>
        <w:rPr>
          <w:rFonts w:ascii="Century" w:hAnsi="Century"/>
        </w:rPr>
        <w:t>rather a</w:t>
      </w:r>
      <w:r w:rsidR="000D441C" w:rsidRPr="00B96ED6">
        <w:rPr>
          <w:rFonts w:ascii="Century" w:hAnsi="Century"/>
        </w:rPr>
        <w:t xml:space="preserve"> series of </w:t>
      </w:r>
      <w:r w:rsidR="0006084A">
        <w:rPr>
          <w:rFonts w:ascii="Century" w:hAnsi="Century"/>
        </w:rPr>
        <w:t>‘</w:t>
      </w:r>
      <w:r w:rsidR="000D441C" w:rsidRPr="00B96ED6">
        <w:rPr>
          <w:rFonts w:ascii="Century" w:hAnsi="Century"/>
        </w:rPr>
        <w:t>indicators or pointers</w:t>
      </w:r>
      <w:r w:rsidR="0006084A">
        <w:rPr>
          <w:rFonts w:ascii="Century" w:hAnsi="Century"/>
        </w:rPr>
        <w:t>’</w:t>
      </w:r>
      <w:r w:rsidR="000D441C" w:rsidRPr="00B96ED6">
        <w:rPr>
          <w:rStyle w:val="FootnoteReference"/>
          <w:rFonts w:ascii="Century" w:hAnsi="Century"/>
        </w:rPr>
        <w:footnoteReference w:id="33"/>
      </w:r>
      <w:r w:rsidR="000D441C" w:rsidRPr="00B96ED6">
        <w:rPr>
          <w:rFonts w:ascii="Century" w:hAnsi="Century"/>
        </w:rPr>
        <w:t xml:space="preserve"> and </w:t>
      </w:r>
      <w:r w:rsidR="0006084A">
        <w:rPr>
          <w:rFonts w:ascii="Century" w:hAnsi="Century"/>
        </w:rPr>
        <w:t>‘</w:t>
      </w:r>
      <w:r w:rsidR="000D441C" w:rsidRPr="00B96ED6">
        <w:rPr>
          <w:rFonts w:ascii="Century" w:hAnsi="Century"/>
        </w:rPr>
        <w:t>indispensable foundation stone</w:t>
      </w:r>
      <w:r w:rsidR="0006084A">
        <w:rPr>
          <w:rFonts w:ascii="Century" w:hAnsi="Century"/>
        </w:rPr>
        <w:t>’</w:t>
      </w:r>
      <w:r w:rsidR="000D441C" w:rsidRPr="00B96ED6">
        <w:rPr>
          <w:rFonts w:ascii="Century" w:hAnsi="Century"/>
        </w:rPr>
        <w:t xml:space="preserve"> to assist courts determine </w:t>
      </w:r>
      <w:r w:rsidR="0006084A">
        <w:rPr>
          <w:rFonts w:ascii="Century" w:hAnsi="Century"/>
        </w:rPr>
        <w:t>‘</w:t>
      </w:r>
      <w:r w:rsidR="000D441C" w:rsidRPr="00B96ED6">
        <w:rPr>
          <w:rFonts w:ascii="Century" w:hAnsi="Century"/>
        </w:rPr>
        <w:t>the ultimate issue</w:t>
      </w:r>
      <w:r w:rsidR="0006084A">
        <w:rPr>
          <w:rFonts w:ascii="Century" w:hAnsi="Century"/>
        </w:rPr>
        <w:t>’</w:t>
      </w:r>
      <w:r w:rsidR="00F751E6">
        <w:rPr>
          <w:rFonts w:ascii="Century" w:hAnsi="Century"/>
        </w:rPr>
        <w:t>.</w:t>
      </w:r>
      <w:r w:rsidR="00956ADC">
        <w:rPr>
          <w:rStyle w:val="FootnoteReference"/>
          <w:rFonts w:ascii="Century" w:hAnsi="Century"/>
        </w:rPr>
        <w:footnoteReference w:id="34"/>
      </w:r>
      <w:r w:rsidR="00F751E6">
        <w:rPr>
          <w:rFonts w:ascii="Century" w:hAnsi="Century"/>
        </w:rPr>
        <w:t xml:space="preserve"> </w:t>
      </w:r>
      <w:r w:rsidR="003D14CE">
        <w:rPr>
          <w:rFonts w:ascii="Century" w:hAnsi="Century"/>
        </w:rPr>
        <w:t>Namely:</w:t>
      </w:r>
      <w:r w:rsidR="000D441C" w:rsidRPr="00B96ED6">
        <w:rPr>
          <w:rFonts w:ascii="Century" w:hAnsi="Century"/>
        </w:rPr>
        <w:t xml:space="preserve"> </w:t>
      </w:r>
      <w:r w:rsidR="0006084A">
        <w:rPr>
          <w:rFonts w:ascii="Century" w:hAnsi="Century"/>
        </w:rPr>
        <w:t>‘</w:t>
      </w:r>
      <w:r w:rsidR="000D441C" w:rsidRPr="00B96ED6">
        <w:rPr>
          <w:rFonts w:ascii="Century" w:hAnsi="Century"/>
        </w:rPr>
        <w:t xml:space="preserve">whether or not the </w:t>
      </w:r>
      <w:r w:rsidR="005F0C22" w:rsidRPr="00B96ED6">
        <w:rPr>
          <w:rFonts w:ascii="Century" w:hAnsi="Century"/>
        </w:rPr>
        <w:t>Oireachtas</w:t>
      </w:r>
      <w:r w:rsidR="000D441C" w:rsidRPr="00B96ED6">
        <w:rPr>
          <w:rFonts w:ascii="Century" w:hAnsi="Century"/>
        </w:rPr>
        <w:t xml:space="preserve"> has acted as sole </w:t>
      </w:r>
      <w:r w:rsidR="000D441C" w:rsidRPr="00B96ED6">
        <w:rPr>
          <w:rFonts w:ascii="Century" w:hAnsi="Century"/>
          <w:i/>
          <w:iCs/>
        </w:rPr>
        <w:t xml:space="preserve">legislator, </w:t>
      </w:r>
      <w:r w:rsidR="000D441C" w:rsidRPr="00B96ED6">
        <w:rPr>
          <w:rFonts w:ascii="Century" w:hAnsi="Century"/>
        </w:rPr>
        <w:t>or has impermissibly delegated legislative power</w:t>
      </w:r>
      <w:r w:rsidR="0006084A">
        <w:rPr>
          <w:rFonts w:ascii="Century" w:hAnsi="Century"/>
        </w:rPr>
        <w:t>’</w:t>
      </w:r>
      <w:r w:rsidR="000D441C" w:rsidRPr="00B96ED6">
        <w:rPr>
          <w:rFonts w:ascii="Century" w:hAnsi="Century"/>
        </w:rPr>
        <w:t>.</w:t>
      </w:r>
      <w:r w:rsidR="00F751E6">
        <w:rPr>
          <w:rStyle w:val="FootnoteReference"/>
          <w:rFonts w:ascii="Century" w:hAnsi="Century"/>
        </w:rPr>
        <w:footnoteReference w:id="35"/>
      </w:r>
      <w:r w:rsidR="000D441C" w:rsidRPr="00B96ED6">
        <w:rPr>
          <w:rFonts w:ascii="Century" w:hAnsi="Century"/>
        </w:rPr>
        <w:t xml:space="preserve"> </w:t>
      </w:r>
      <w:r w:rsidR="00F751E6">
        <w:rPr>
          <w:rFonts w:ascii="Century" w:hAnsi="Century"/>
        </w:rPr>
        <w:t>The Supreme Court suggested</w:t>
      </w:r>
      <w:r w:rsidR="000D441C" w:rsidRPr="00B96ED6">
        <w:rPr>
          <w:rFonts w:ascii="Century" w:hAnsi="Century"/>
        </w:rPr>
        <w:t xml:space="preserve"> that probing whether a statute</w:t>
      </w:r>
      <w:r>
        <w:rPr>
          <w:rFonts w:ascii="Century" w:hAnsi="Century"/>
        </w:rPr>
        <w:t xml:space="preserve"> delegating rulemaking authority</w:t>
      </w:r>
      <w:r w:rsidR="000D441C" w:rsidRPr="00B96ED6">
        <w:rPr>
          <w:rFonts w:ascii="Century" w:hAnsi="Century"/>
        </w:rPr>
        <w:t xml:space="preserve"> contains </w:t>
      </w:r>
      <w:r w:rsidR="000D441C" w:rsidRPr="00B96ED6">
        <w:rPr>
          <w:rFonts w:ascii="Century" w:hAnsi="Century"/>
          <w:i/>
          <w:iCs/>
        </w:rPr>
        <w:t xml:space="preserve">all </w:t>
      </w:r>
      <w:r w:rsidR="000D441C" w:rsidRPr="00B96ED6">
        <w:rPr>
          <w:rFonts w:ascii="Century" w:hAnsi="Century"/>
        </w:rPr>
        <w:t>relevant principles and policies</w:t>
      </w:r>
      <w:r>
        <w:rPr>
          <w:rFonts w:ascii="Century" w:hAnsi="Century"/>
        </w:rPr>
        <w:t xml:space="preserve">, </w:t>
      </w:r>
      <w:r w:rsidR="003D14CE">
        <w:rPr>
          <w:rFonts w:ascii="Century" w:hAnsi="Century"/>
        </w:rPr>
        <w:t>risked</w:t>
      </w:r>
      <w:r w:rsidR="000D441C" w:rsidRPr="00B96ED6">
        <w:rPr>
          <w:rFonts w:ascii="Century" w:hAnsi="Century"/>
        </w:rPr>
        <w:t xml:space="preserve"> distract</w:t>
      </w:r>
      <w:r w:rsidR="003D14CE">
        <w:rPr>
          <w:rFonts w:ascii="Century" w:hAnsi="Century"/>
        </w:rPr>
        <w:t>ing</w:t>
      </w:r>
      <w:r w:rsidR="000D441C" w:rsidRPr="00B96ED6">
        <w:rPr>
          <w:rFonts w:ascii="Century" w:hAnsi="Century"/>
        </w:rPr>
        <w:t xml:space="preserve"> from the text and structure of the Constitution and </w:t>
      </w:r>
      <w:r w:rsidR="00F751E6">
        <w:rPr>
          <w:rFonts w:ascii="Century" w:hAnsi="Century"/>
        </w:rPr>
        <w:t>the</w:t>
      </w:r>
      <w:r w:rsidR="000D441C" w:rsidRPr="00B96ED6">
        <w:rPr>
          <w:rFonts w:ascii="Century" w:hAnsi="Century"/>
        </w:rPr>
        <w:t xml:space="preserve"> essential question of whether </w:t>
      </w:r>
      <w:r>
        <w:rPr>
          <w:rFonts w:ascii="Century" w:hAnsi="Century"/>
        </w:rPr>
        <w:t>the Oireachtas</w:t>
      </w:r>
      <w:r w:rsidR="00E87AA7">
        <w:rPr>
          <w:rFonts w:ascii="Century" w:hAnsi="Century"/>
        </w:rPr>
        <w:t>’</w:t>
      </w:r>
      <w:r w:rsidR="000D441C" w:rsidRPr="00B96ED6">
        <w:rPr>
          <w:rFonts w:ascii="Century" w:hAnsi="Century"/>
        </w:rPr>
        <w:t xml:space="preserve"> </w:t>
      </w:r>
      <w:r w:rsidR="0006084A">
        <w:rPr>
          <w:rFonts w:ascii="Century" w:hAnsi="Century"/>
        </w:rPr>
        <w:t>‘</w:t>
      </w:r>
      <w:r w:rsidR="000D441C" w:rsidRPr="00B96ED6">
        <w:rPr>
          <w:rFonts w:ascii="Century" w:hAnsi="Century"/>
        </w:rPr>
        <w:t>constitutional duty as sole legislator</w:t>
      </w:r>
      <w:r w:rsidR="0006084A">
        <w:rPr>
          <w:rFonts w:ascii="Century" w:hAnsi="Century"/>
        </w:rPr>
        <w:t>’</w:t>
      </w:r>
      <w:r>
        <w:rPr>
          <w:rFonts w:ascii="Century" w:hAnsi="Century"/>
        </w:rPr>
        <w:t xml:space="preserve"> ha</w:t>
      </w:r>
      <w:r w:rsidR="00F751E6">
        <w:rPr>
          <w:rFonts w:ascii="Century" w:hAnsi="Century"/>
        </w:rPr>
        <w:t>d</w:t>
      </w:r>
      <w:r>
        <w:rPr>
          <w:rFonts w:ascii="Century" w:hAnsi="Century"/>
        </w:rPr>
        <w:t xml:space="preserve"> been abdicated</w:t>
      </w:r>
      <w:r w:rsidR="000D441C" w:rsidRPr="00B96ED6">
        <w:rPr>
          <w:rFonts w:ascii="Century" w:hAnsi="Century"/>
        </w:rPr>
        <w:t>.</w:t>
      </w:r>
      <w:r w:rsidR="000D441C" w:rsidRPr="00B96ED6">
        <w:rPr>
          <w:rStyle w:val="FootnoteReference"/>
          <w:rFonts w:ascii="Century" w:hAnsi="Century"/>
        </w:rPr>
        <w:footnoteReference w:id="36"/>
      </w:r>
      <w:r w:rsidR="000D441C" w:rsidRPr="00B96ED6">
        <w:rPr>
          <w:rFonts w:ascii="Century" w:hAnsi="Century"/>
        </w:rPr>
        <w:t xml:space="preserve"> </w:t>
      </w:r>
    </w:p>
    <w:p w14:paraId="581117CF" w14:textId="22CB4D86" w:rsidR="0056316E" w:rsidRDefault="0056316E" w:rsidP="00E81877">
      <w:pPr>
        <w:spacing w:line="480" w:lineRule="auto"/>
        <w:jc w:val="both"/>
        <w:rPr>
          <w:rFonts w:ascii="Century" w:hAnsi="Century"/>
        </w:rPr>
      </w:pPr>
    </w:p>
    <w:p w14:paraId="36AE396A" w14:textId="1D95274B" w:rsidR="00E94917" w:rsidRDefault="001B30A2" w:rsidP="00E81877">
      <w:pPr>
        <w:spacing w:line="480" w:lineRule="auto"/>
        <w:jc w:val="both"/>
        <w:rPr>
          <w:rFonts w:ascii="Century" w:hAnsi="Century"/>
        </w:rPr>
      </w:pPr>
      <w:r>
        <w:rPr>
          <w:rFonts w:ascii="Century" w:hAnsi="Century"/>
        </w:rPr>
        <w:t>These passages clearly build on</w:t>
      </w:r>
      <w:r w:rsidR="0056316E" w:rsidRPr="00B96ED6">
        <w:rPr>
          <w:rFonts w:ascii="Century" w:hAnsi="Century"/>
        </w:rPr>
        <w:t xml:space="preserve"> </w:t>
      </w:r>
      <w:r w:rsidR="0056316E" w:rsidRPr="00B96ED6">
        <w:rPr>
          <w:rFonts w:ascii="Century" w:hAnsi="Century"/>
          <w:i/>
          <w:iCs/>
        </w:rPr>
        <w:t xml:space="preserve">O’Sullivan </w:t>
      </w:r>
      <w:r w:rsidR="0056316E">
        <w:rPr>
          <w:rFonts w:ascii="Century" w:hAnsi="Century"/>
        </w:rPr>
        <w:t>and</w:t>
      </w:r>
      <w:r w:rsidR="0056316E" w:rsidRPr="00B96ED6">
        <w:rPr>
          <w:rFonts w:ascii="Century" w:hAnsi="Century"/>
        </w:rPr>
        <w:t xml:space="preserve"> </w:t>
      </w:r>
      <w:proofErr w:type="spellStart"/>
      <w:r w:rsidR="0056316E" w:rsidRPr="00B96ED6">
        <w:rPr>
          <w:rFonts w:ascii="Century" w:hAnsi="Century"/>
          <w:i/>
          <w:iCs/>
        </w:rPr>
        <w:t>Bederev’s</w:t>
      </w:r>
      <w:proofErr w:type="spellEnd"/>
      <w:r w:rsidR="0056316E" w:rsidRPr="00B96ED6">
        <w:rPr>
          <w:rFonts w:ascii="Century" w:hAnsi="Century"/>
        </w:rPr>
        <w:t xml:space="preserve"> </w:t>
      </w:r>
      <w:r>
        <w:rPr>
          <w:rFonts w:ascii="Century" w:hAnsi="Century"/>
        </w:rPr>
        <w:t>negative recasting of the</w:t>
      </w:r>
      <w:r w:rsidR="0056316E">
        <w:rPr>
          <w:rFonts w:ascii="Century" w:hAnsi="Century"/>
        </w:rPr>
        <w:t xml:space="preserve"> delegation doctrine</w:t>
      </w:r>
      <w:r w:rsidR="0056316E" w:rsidRPr="00B96ED6">
        <w:rPr>
          <w:rFonts w:ascii="Century" w:hAnsi="Century"/>
          <w:i/>
          <w:iCs/>
        </w:rPr>
        <w:t xml:space="preserve">. </w:t>
      </w:r>
      <w:r w:rsidR="0056316E" w:rsidRPr="00B96ED6">
        <w:rPr>
          <w:rFonts w:ascii="Century" w:hAnsi="Century"/>
        </w:rPr>
        <w:t xml:space="preserve">In </w:t>
      </w:r>
      <w:r w:rsidR="0056316E" w:rsidRPr="00B96ED6">
        <w:rPr>
          <w:rFonts w:ascii="Century" w:hAnsi="Century"/>
          <w:i/>
          <w:iCs/>
        </w:rPr>
        <w:t>O’Sullivan</w:t>
      </w:r>
      <w:r w:rsidR="0056316E" w:rsidRPr="00B96ED6">
        <w:rPr>
          <w:rFonts w:ascii="Century" w:hAnsi="Century"/>
        </w:rPr>
        <w:t>,</w:t>
      </w:r>
      <w:r w:rsidR="003D14CE">
        <w:rPr>
          <w:rFonts w:ascii="Century" w:hAnsi="Century"/>
        </w:rPr>
        <w:t xml:space="preserve"> for example,</w:t>
      </w:r>
      <w:r w:rsidR="0056316E" w:rsidRPr="00B96ED6">
        <w:rPr>
          <w:rFonts w:ascii="Century" w:hAnsi="Century"/>
        </w:rPr>
        <w:t xml:space="preserve"> O’Donnell J acknowledged the possibility of the Oireachtas providing a wide range of freedom for </w:t>
      </w:r>
      <w:r w:rsidR="0056316E">
        <w:rPr>
          <w:rFonts w:ascii="Century" w:hAnsi="Century"/>
        </w:rPr>
        <w:t>a</w:t>
      </w:r>
      <w:r w:rsidR="0056316E" w:rsidRPr="00B96ED6">
        <w:rPr>
          <w:rFonts w:ascii="Century" w:hAnsi="Century"/>
        </w:rPr>
        <w:t xml:space="preserve"> delegate </w:t>
      </w:r>
      <w:r w:rsidR="00C77C54">
        <w:rPr>
          <w:rFonts w:ascii="Century" w:hAnsi="Century"/>
        </w:rPr>
        <w:t xml:space="preserve">to </w:t>
      </w:r>
      <w:r w:rsidR="0056316E" w:rsidRPr="00B96ED6">
        <w:rPr>
          <w:rFonts w:ascii="Century" w:hAnsi="Century"/>
        </w:rPr>
        <w:t>exercis</w:t>
      </w:r>
      <w:r w:rsidR="00C77C54">
        <w:rPr>
          <w:rFonts w:ascii="Century" w:hAnsi="Century"/>
        </w:rPr>
        <w:t>e</w:t>
      </w:r>
      <w:r w:rsidR="0056316E" w:rsidRPr="00B96ED6">
        <w:rPr>
          <w:rFonts w:ascii="Century" w:hAnsi="Century"/>
        </w:rPr>
        <w:t xml:space="preserve"> rulemak</w:t>
      </w:r>
      <w:r w:rsidR="00C77C54">
        <w:rPr>
          <w:rFonts w:ascii="Century" w:hAnsi="Century"/>
        </w:rPr>
        <w:t>ing</w:t>
      </w:r>
      <w:r w:rsidR="0056316E" w:rsidRPr="00B96ED6">
        <w:rPr>
          <w:rFonts w:ascii="Century" w:hAnsi="Century"/>
        </w:rPr>
        <w:t xml:space="preserve"> authority and stressed the importance of focusing on the </w:t>
      </w:r>
      <w:r w:rsidR="00C77C54">
        <w:rPr>
          <w:rFonts w:ascii="Century" w:hAnsi="Century"/>
        </w:rPr>
        <w:t xml:space="preserve">overall </w:t>
      </w:r>
      <w:r w:rsidR="0056316E" w:rsidRPr="00B96ED6">
        <w:rPr>
          <w:rFonts w:ascii="Century" w:hAnsi="Century"/>
        </w:rPr>
        <w:t>question</w:t>
      </w:r>
      <w:r w:rsidR="00E87AA7">
        <w:rPr>
          <w:rFonts w:ascii="Century" w:hAnsi="Century"/>
        </w:rPr>
        <w:t xml:space="preserve"> of</w:t>
      </w:r>
      <w:r w:rsidR="004E63E1">
        <w:rPr>
          <w:rFonts w:ascii="Century" w:hAnsi="Century"/>
        </w:rPr>
        <w:t xml:space="preserve"> </w:t>
      </w:r>
      <w:r w:rsidR="0056316E" w:rsidRPr="00B96ED6">
        <w:rPr>
          <w:rFonts w:ascii="Century" w:hAnsi="Century"/>
        </w:rPr>
        <w:t xml:space="preserve">whether the area of rule-making authority is so </w:t>
      </w:r>
      <w:r w:rsidR="004E63E1">
        <w:rPr>
          <w:rFonts w:ascii="Century" w:hAnsi="Century"/>
        </w:rPr>
        <w:t>‘</w:t>
      </w:r>
      <w:r w:rsidR="0056316E" w:rsidRPr="00B96ED6">
        <w:rPr>
          <w:rFonts w:ascii="Century" w:hAnsi="Century"/>
        </w:rPr>
        <w:t>broad as to constitute a trespass by the delegate, or subordinate, on an area reserved to the Oireachtas</w:t>
      </w:r>
      <w:r w:rsidR="004E63E1">
        <w:rPr>
          <w:rFonts w:ascii="Century" w:hAnsi="Century"/>
        </w:rPr>
        <w:t>’.</w:t>
      </w:r>
      <w:r w:rsidR="0056316E" w:rsidRPr="00B96ED6">
        <w:rPr>
          <w:rStyle w:val="FootnoteReference"/>
          <w:rFonts w:ascii="Century" w:hAnsi="Century"/>
        </w:rPr>
        <w:footnoteReference w:id="37"/>
      </w:r>
      <w:r w:rsidR="0056316E" w:rsidRPr="00B96ED6">
        <w:rPr>
          <w:rFonts w:ascii="Century" w:hAnsi="Century"/>
        </w:rPr>
        <w:t xml:space="preserve"> </w:t>
      </w:r>
      <w:r w:rsidR="00C77C54">
        <w:rPr>
          <w:rFonts w:ascii="Century" w:hAnsi="Century"/>
        </w:rPr>
        <w:t>In other words, the presence or absence of all possible principles and policies is not the ultimate test. To be sure, t</w:t>
      </w:r>
      <w:proofErr w:type="gramStart"/>
      <w:r w:rsidR="00F751E6">
        <w:rPr>
          <w:rFonts w:ascii="Century" w:hAnsi="Century"/>
        </w:rPr>
        <w:t>he</w:t>
      </w:r>
      <w:proofErr w:type="gramEnd"/>
      <w:r w:rsidR="00F751E6">
        <w:rPr>
          <w:rFonts w:ascii="Century" w:hAnsi="Century"/>
        </w:rPr>
        <w:t xml:space="preserve"> Supreme Court did not totally jettison the </w:t>
      </w:r>
      <w:r w:rsidR="003D14CE">
        <w:rPr>
          <w:rFonts w:ascii="Century" w:hAnsi="Century"/>
        </w:rPr>
        <w:t>relevance of searching</w:t>
      </w:r>
      <w:r w:rsidR="00F751E6">
        <w:rPr>
          <w:rFonts w:ascii="Century" w:hAnsi="Century"/>
        </w:rPr>
        <w:t xml:space="preserve"> for principles and policies</w:t>
      </w:r>
      <w:r w:rsidR="003D14CE">
        <w:rPr>
          <w:rFonts w:ascii="Century" w:hAnsi="Century"/>
        </w:rPr>
        <w:t xml:space="preserve"> in a </w:t>
      </w:r>
      <w:r w:rsidR="00E9521A">
        <w:rPr>
          <w:rFonts w:ascii="Century" w:hAnsi="Century"/>
        </w:rPr>
        <w:t>statute but</w:t>
      </w:r>
      <w:r w:rsidR="007B5F23">
        <w:rPr>
          <w:rFonts w:ascii="Century" w:hAnsi="Century"/>
        </w:rPr>
        <w:t>,</w:t>
      </w:r>
      <w:r>
        <w:rPr>
          <w:rFonts w:ascii="Century" w:hAnsi="Century"/>
        </w:rPr>
        <w:t xml:space="preserve"> </w:t>
      </w:r>
      <w:r w:rsidR="007B5F23">
        <w:rPr>
          <w:rFonts w:ascii="Century" w:hAnsi="Century"/>
        </w:rPr>
        <w:t>as</w:t>
      </w:r>
      <w:r w:rsidR="003D14CE">
        <w:rPr>
          <w:rFonts w:ascii="Century" w:hAnsi="Century"/>
        </w:rPr>
        <w:t xml:space="preserve"> in</w:t>
      </w:r>
      <w:r>
        <w:rPr>
          <w:rFonts w:ascii="Century" w:hAnsi="Century"/>
        </w:rPr>
        <w:t xml:space="preserve"> </w:t>
      </w:r>
      <w:r>
        <w:rPr>
          <w:rFonts w:ascii="Century" w:hAnsi="Century"/>
          <w:i/>
          <w:iCs/>
        </w:rPr>
        <w:t>O’Sullivan</w:t>
      </w:r>
      <w:r w:rsidR="007B5F23">
        <w:rPr>
          <w:rFonts w:ascii="Century" w:hAnsi="Century"/>
          <w:i/>
          <w:iCs/>
        </w:rPr>
        <w:t>,</w:t>
      </w:r>
      <w:r w:rsidR="00F751E6">
        <w:rPr>
          <w:rFonts w:ascii="Century" w:hAnsi="Century"/>
        </w:rPr>
        <w:t xml:space="preserve"> noted </w:t>
      </w:r>
      <w:r w:rsidR="00FD58CC">
        <w:rPr>
          <w:rFonts w:ascii="Century" w:hAnsi="Century"/>
        </w:rPr>
        <w:t>the exercise was a</w:t>
      </w:r>
      <w:r w:rsidR="00E94917">
        <w:rPr>
          <w:rFonts w:ascii="Century" w:hAnsi="Century"/>
        </w:rPr>
        <w:t xml:space="preserve"> useful</w:t>
      </w:r>
      <w:r w:rsidR="0060131F">
        <w:rPr>
          <w:rFonts w:ascii="Century" w:hAnsi="Century"/>
        </w:rPr>
        <w:t xml:space="preserve"> conceptual tool </w:t>
      </w:r>
      <w:r w:rsidR="00F751E6">
        <w:rPr>
          <w:rFonts w:ascii="Century" w:hAnsi="Century"/>
        </w:rPr>
        <w:t>for</w:t>
      </w:r>
      <w:r w:rsidR="000D441C" w:rsidRPr="00B96ED6">
        <w:rPr>
          <w:rFonts w:ascii="Century" w:hAnsi="Century"/>
        </w:rPr>
        <w:t xml:space="preserve"> discerning </w:t>
      </w:r>
      <w:r w:rsidR="000D441C" w:rsidRPr="00B96ED6">
        <w:rPr>
          <w:rFonts w:ascii="Century" w:hAnsi="Century"/>
        </w:rPr>
        <w:lastRenderedPageBreak/>
        <w:t xml:space="preserve">whether there has been a </w:t>
      </w:r>
      <w:r w:rsidR="00775C9D">
        <w:rPr>
          <w:rFonts w:ascii="Century" w:hAnsi="Century"/>
        </w:rPr>
        <w:t>‘</w:t>
      </w:r>
      <w:r w:rsidR="000D441C" w:rsidRPr="00B96ED6">
        <w:rPr>
          <w:rFonts w:ascii="Century" w:hAnsi="Century"/>
        </w:rPr>
        <w:t>limited or unlimited delegation of power</w:t>
      </w:r>
      <w:r w:rsidR="00775C9D">
        <w:rPr>
          <w:rFonts w:ascii="Century" w:hAnsi="Century"/>
        </w:rPr>
        <w:t>’</w:t>
      </w:r>
      <w:r w:rsidR="000D441C" w:rsidRPr="00B96ED6">
        <w:rPr>
          <w:rStyle w:val="FootnoteReference"/>
          <w:rFonts w:ascii="Century" w:hAnsi="Century"/>
        </w:rPr>
        <w:footnoteReference w:id="38"/>
      </w:r>
      <w:r w:rsidR="000D441C" w:rsidRPr="00B96ED6">
        <w:rPr>
          <w:rFonts w:ascii="Century" w:hAnsi="Century"/>
        </w:rPr>
        <w:t xml:space="preserve"> </w:t>
      </w:r>
      <w:r w:rsidR="00F751E6">
        <w:rPr>
          <w:rFonts w:ascii="Century" w:hAnsi="Century"/>
        </w:rPr>
        <w:t>and an impermissible</w:t>
      </w:r>
      <w:r w:rsidR="000D441C" w:rsidRPr="00B96ED6">
        <w:rPr>
          <w:rFonts w:ascii="Century" w:hAnsi="Century"/>
        </w:rPr>
        <w:t xml:space="preserve"> </w:t>
      </w:r>
      <w:r w:rsidR="00775C9D">
        <w:rPr>
          <w:rFonts w:ascii="Century" w:hAnsi="Century"/>
        </w:rPr>
        <w:t>‘</w:t>
      </w:r>
      <w:r w:rsidR="000D441C" w:rsidRPr="00B96ED6">
        <w:rPr>
          <w:rFonts w:ascii="Century" w:hAnsi="Century"/>
        </w:rPr>
        <w:t>usurpation, arrogation, or trespass</w:t>
      </w:r>
      <w:r w:rsidR="00775C9D">
        <w:rPr>
          <w:rFonts w:ascii="Century" w:hAnsi="Century"/>
        </w:rPr>
        <w:t>’</w:t>
      </w:r>
      <w:r w:rsidR="000D441C" w:rsidRPr="00B96ED6">
        <w:rPr>
          <w:rFonts w:ascii="Century" w:hAnsi="Century"/>
        </w:rPr>
        <w:t xml:space="preserve"> on legislative power.</w:t>
      </w:r>
      <w:r w:rsidR="000D441C" w:rsidRPr="00B96ED6">
        <w:rPr>
          <w:rStyle w:val="FootnoteReference"/>
          <w:rFonts w:ascii="Century" w:hAnsi="Century"/>
        </w:rPr>
        <w:footnoteReference w:id="39"/>
      </w:r>
      <w:r w:rsidR="0056316E">
        <w:rPr>
          <w:rFonts w:ascii="Century" w:hAnsi="Century"/>
        </w:rPr>
        <w:t xml:space="preserve"> </w:t>
      </w:r>
    </w:p>
    <w:p w14:paraId="4B91F4B0" w14:textId="77777777" w:rsidR="00E94917" w:rsidRDefault="00E94917" w:rsidP="00E81877">
      <w:pPr>
        <w:spacing w:line="480" w:lineRule="auto"/>
        <w:jc w:val="both"/>
        <w:rPr>
          <w:rFonts w:ascii="Century" w:hAnsi="Century"/>
        </w:rPr>
      </w:pPr>
    </w:p>
    <w:p w14:paraId="126F4ED2" w14:textId="7E112F33" w:rsidR="000D441C" w:rsidRPr="00B96ED6" w:rsidRDefault="008A626A" w:rsidP="00E81877">
      <w:pPr>
        <w:spacing w:line="480" w:lineRule="auto"/>
        <w:jc w:val="both"/>
        <w:rPr>
          <w:rFonts w:ascii="Century" w:hAnsi="Century"/>
        </w:rPr>
      </w:pPr>
      <w:r>
        <w:rPr>
          <w:rFonts w:ascii="Century" w:hAnsi="Century"/>
        </w:rPr>
        <w:t xml:space="preserve">After putting the principles and policies test in its proper place, </w:t>
      </w:r>
      <w:r w:rsidR="000D441C" w:rsidRPr="00B96ED6">
        <w:rPr>
          <w:rFonts w:ascii="Century" w:hAnsi="Century"/>
        </w:rPr>
        <w:t xml:space="preserve">MacMenamin J </w:t>
      </w:r>
      <w:r>
        <w:rPr>
          <w:rFonts w:ascii="Century" w:hAnsi="Century"/>
        </w:rPr>
        <w:t>proceeded to sketch</w:t>
      </w:r>
      <w:r w:rsidR="001B30A2">
        <w:rPr>
          <w:rFonts w:ascii="Century" w:hAnsi="Century"/>
        </w:rPr>
        <w:t xml:space="preserve"> the</w:t>
      </w:r>
      <w:r>
        <w:rPr>
          <w:rFonts w:ascii="Century" w:hAnsi="Century"/>
        </w:rPr>
        <w:t xml:space="preserve"> broader set of questions a Court </w:t>
      </w:r>
      <w:r w:rsidR="001B30A2">
        <w:rPr>
          <w:rFonts w:ascii="Century" w:hAnsi="Century"/>
        </w:rPr>
        <w:t>grappling with</w:t>
      </w:r>
      <w:r>
        <w:rPr>
          <w:rFonts w:ascii="Century" w:hAnsi="Century"/>
        </w:rPr>
        <w:t xml:space="preserve"> the ultimate</w:t>
      </w:r>
      <w:r w:rsidR="00E94917">
        <w:rPr>
          <w:rFonts w:ascii="Century" w:hAnsi="Century"/>
        </w:rPr>
        <w:t xml:space="preserve"> constitutional</w:t>
      </w:r>
      <w:r>
        <w:rPr>
          <w:rFonts w:ascii="Century" w:hAnsi="Century"/>
        </w:rPr>
        <w:t xml:space="preserve"> question of alienation</w:t>
      </w:r>
      <w:r w:rsidR="00EF48A1">
        <w:rPr>
          <w:rFonts w:ascii="Century" w:hAnsi="Century"/>
        </w:rPr>
        <w:t xml:space="preserve"> must answer</w:t>
      </w:r>
      <w:r>
        <w:rPr>
          <w:rFonts w:ascii="Century" w:hAnsi="Century"/>
        </w:rPr>
        <w:t>.</w:t>
      </w:r>
      <w:r w:rsidR="000D441C" w:rsidRPr="00B96ED6">
        <w:rPr>
          <w:rStyle w:val="FootnoteReference"/>
          <w:rFonts w:ascii="Century" w:hAnsi="Century"/>
        </w:rPr>
        <w:footnoteReference w:id="40"/>
      </w:r>
      <w:r w:rsidR="0060131F">
        <w:rPr>
          <w:rFonts w:ascii="Century" w:hAnsi="Century"/>
        </w:rPr>
        <w:t xml:space="preserve"> </w:t>
      </w:r>
      <w:r>
        <w:rPr>
          <w:rFonts w:ascii="Century" w:hAnsi="Century"/>
        </w:rPr>
        <w:t>For the Supreme Court, these k</w:t>
      </w:r>
      <w:r w:rsidR="0060131F">
        <w:rPr>
          <w:rFonts w:ascii="Century" w:hAnsi="Century"/>
        </w:rPr>
        <w:t xml:space="preserve">ey questions </w:t>
      </w:r>
      <w:r w:rsidR="000D441C" w:rsidRPr="00B96ED6">
        <w:rPr>
          <w:rFonts w:ascii="Century" w:hAnsi="Century"/>
        </w:rPr>
        <w:t>include: whether principles and policies</w:t>
      </w:r>
      <w:r w:rsidR="00171C93">
        <w:rPr>
          <w:rFonts w:ascii="Century" w:hAnsi="Century"/>
        </w:rPr>
        <w:t xml:space="preserve"> discernible in a statute</w:t>
      </w:r>
      <w:r w:rsidR="000D441C" w:rsidRPr="00B96ED6">
        <w:rPr>
          <w:rFonts w:ascii="Century" w:hAnsi="Century"/>
        </w:rPr>
        <w:t xml:space="preserve"> indicate the presence of boundaries, guidelines, or rules of conduct</w:t>
      </w:r>
      <w:r w:rsidR="00C6735E">
        <w:rPr>
          <w:rFonts w:ascii="Century" w:hAnsi="Century"/>
        </w:rPr>
        <w:t xml:space="preserve"> laid down by the Oireachtas</w:t>
      </w:r>
      <w:r w:rsidR="00171C93">
        <w:rPr>
          <w:rFonts w:ascii="Century" w:hAnsi="Century"/>
        </w:rPr>
        <w:t xml:space="preserve"> to guide the delegate</w:t>
      </w:r>
      <w:r w:rsidR="000D441C" w:rsidRPr="00B96ED6">
        <w:rPr>
          <w:rFonts w:ascii="Century" w:hAnsi="Century"/>
        </w:rPr>
        <w:t>; whether the delegated rulemaking authority concerns a defined subject matter</w:t>
      </w:r>
      <w:r w:rsidR="00C6735E">
        <w:rPr>
          <w:rFonts w:ascii="Century" w:hAnsi="Century"/>
        </w:rPr>
        <w:t xml:space="preserve"> or not</w:t>
      </w:r>
      <w:r w:rsidR="000D441C" w:rsidRPr="00B96ED6">
        <w:rPr>
          <w:rFonts w:ascii="Century" w:hAnsi="Century"/>
        </w:rPr>
        <w:t>; whether the legislation indicates discernible objectives the Oireachtas wants</w:t>
      </w:r>
      <w:r w:rsidR="002E3E96">
        <w:rPr>
          <w:rFonts w:ascii="Century" w:hAnsi="Century"/>
        </w:rPr>
        <w:t xml:space="preserve"> the delegate to</w:t>
      </w:r>
      <w:r w:rsidR="000D441C" w:rsidRPr="00B96ED6">
        <w:rPr>
          <w:rFonts w:ascii="Century" w:hAnsi="Century"/>
        </w:rPr>
        <w:t xml:space="preserve"> achieve; whether the power delegated is delimited</w:t>
      </w:r>
      <w:r w:rsidR="002E3E96">
        <w:rPr>
          <w:rFonts w:ascii="Century" w:hAnsi="Century"/>
        </w:rPr>
        <w:t xml:space="preserve"> or wholly open-ended</w:t>
      </w:r>
      <w:r w:rsidR="000D441C" w:rsidRPr="00B96ED6">
        <w:rPr>
          <w:rFonts w:ascii="Century" w:hAnsi="Century"/>
        </w:rPr>
        <w:t xml:space="preserve">; </w:t>
      </w:r>
      <w:r w:rsidR="00171C93">
        <w:rPr>
          <w:rFonts w:ascii="Century" w:hAnsi="Century"/>
        </w:rPr>
        <w:t xml:space="preserve">and </w:t>
      </w:r>
      <w:r w:rsidR="000D441C" w:rsidRPr="00B96ED6">
        <w:rPr>
          <w:rFonts w:ascii="Century" w:hAnsi="Century"/>
        </w:rPr>
        <w:t>whether the power delegated has safeguards</w:t>
      </w:r>
      <w:r w:rsidR="00171C93">
        <w:rPr>
          <w:rFonts w:ascii="Century" w:hAnsi="Century"/>
        </w:rPr>
        <w:t xml:space="preserve"> in the form of being </w:t>
      </w:r>
      <w:r w:rsidR="002E3E96">
        <w:rPr>
          <w:rFonts w:ascii="Century" w:hAnsi="Century"/>
        </w:rPr>
        <w:t>subject</w:t>
      </w:r>
      <w:r w:rsidR="00171C93">
        <w:rPr>
          <w:rFonts w:ascii="Century" w:hAnsi="Century"/>
        </w:rPr>
        <w:t xml:space="preserve"> to review by a Minister or</w:t>
      </w:r>
      <w:r w:rsidR="002E3E96">
        <w:rPr>
          <w:rFonts w:ascii="Century" w:hAnsi="Century"/>
        </w:rPr>
        <w:t xml:space="preserve"> the</w:t>
      </w:r>
      <w:r w:rsidR="00171C93">
        <w:rPr>
          <w:rFonts w:ascii="Century" w:hAnsi="Century"/>
        </w:rPr>
        <w:t xml:space="preserve"> Houses of the Oireachtas</w:t>
      </w:r>
      <w:r w:rsidR="000D441C" w:rsidRPr="00B96ED6">
        <w:rPr>
          <w:rFonts w:ascii="Century" w:hAnsi="Century"/>
        </w:rPr>
        <w:t xml:space="preserve">. </w:t>
      </w:r>
      <w:r w:rsidR="00A675C1">
        <w:rPr>
          <w:rFonts w:ascii="Century" w:hAnsi="Century"/>
        </w:rPr>
        <w:t xml:space="preserve">For </w:t>
      </w:r>
      <w:r w:rsidR="0092785F">
        <w:rPr>
          <w:rFonts w:ascii="Century" w:hAnsi="Century"/>
        </w:rPr>
        <w:t>the Supreme Court</w:t>
      </w:r>
      <w:r w:rsidR="00B94710">
        <w:rPr>
          <w:rFonts w:ascii="Century" w:hAnsi="Century"/>
        </w:rPr>
        <w:t>,</w:t>
      </w:r>
      <w:r w:rsidR="00A675C1">
        <w:rPr>
          <w:rFonts w:ascii="Century" w:hAnsi="Century"/>
        </w:rPr>
        <w:t xml:space="preserve"> t</w:t>
      </w:r>
      <w:r w:rsidR="000D441C" w:rsidRPr="00B96ED6">
        <w:rPr>
          <w:rFonts w:ascii="Century" w:hAnsi="Century"/>
        </w:rPr>
        <w:t xml:space="preserve">hese questions </w:t>
      </w:r>
      <w:r w:rsidR="00B94710">
        <w:rPr>
          <w:rFonts w:ascii="Century" w:hAnsi="Century"/>
        </w:rPr>
        <w:t>offer</w:t>
      </w:r>
      <w:r w:rsidR="006F6C18">
        <w:rPr>
          <w:rFonts w:ascii="Century" w:hAnsi="Century"/>
        </w:rPr>
        <w:t xml:space="preserve"> a</w:t>
      </w:r>
      <w:r w:rsidR="000D441C" w:rsidRPr="00B96ED6">
        <w:rPr>
          <w:rFonts w:ascii="Century" w:hAnsi="Century"/>
        </w:rPr>
        <w:t xml:space="preserve"> </w:t>
      </w:r>
      <w:r w:rsidR="00A675C1">
        <w:rPr>
          <w:rFonts w:ascii="Century" w:hAnsi="Century"/>
        </w:rPr>
        <w:t xml:space="preserve">useful, more </w:t>
      </w:r>
      <w:r w:rsidR="000D441C" w:rsidRPr="00B96ED6">
        <w:rPr>
          <w:rFonts w:ascii="Century" w:hAnsi="Century"/>
        </w:rPr>
        <w:t>granular</w:t>
      </w:r>
      <w:r w:rsidR="00A675C1">
        <w:rPr>
          <w:rFonts w:ascii="Century" w:hAnsi="Century"/>
        </w:rPr>
        <w:t>,</w:t>
      </w:r>
      <w:r w:rsidR="000D441C" w:rsidRPr="00B96ED6">
        <w:rPr>
          <w:rFonts w:ascii="Century" w:hAnsi="Century"/>
        </w:rPr>
        <w:t xml:space="preserve"> </w:t>
      </w:r>
      <w:r w:rsidR="006F6C18">
        <w:rPr>
          <w:rFonts w:ascii="Century" w:hAnsi="Century"/>
        </w:rPr>
        <w:t>means</w:t>
      </w:r>
      <w:r w:rsidR="000D441C" w:rsidRPr="00B96ED6">
        <w:rPr>
          <w:rFonts w:ascii="Century" w:hAnsi="Century"/>
        </w:rPr>
        <w:t xml:space="preserve"> of probing the</w:t>
      </w:r>
      <w:r w:rsidR="006F6C18">
        <w:rPr>
          <w:rFonts w:ascii="Century" w:hAnsi="Century"/>
        </w:rPr>
        <w:t xml:space="preserve"> ultimate</w:t>
      </w:r>
      <w:r w:rsidR="00A675C1">
        <w:rPr>
          <w:rFonts w:ascii="Century" w:hAnsi="Century"/>
        </w:rPr>
        <w:t xml:space="preserve"> </w:t>
      </w:r>
      <w:r w:rsidR="000D441C" w:rsidRPr="00B96ED6">
        <w:rPr>
          <w:rFonts w:ascii="Century" w:hAnsi="Century"/>
        </w:rPr>
        <w:t>question of whether there has been a</w:t>
      </w:r>
      <w:r w:rsidR="00C77C54">
        <w:rPr>
          <w:rFonts w:ascii="Century" w:hAnsi="Century"/>
        </w:rPr>
        <w:t xml:space="preserve"> structural</w:t>
      </w:r>
      <w:r w:rsidR="000D441C" w:rsidRPr="00B96ED6">
        <w:rPr>
          <w:rFonts w:ascii="Century" w:hAnsi="Century"/>
        </w:rPr>
        <w:t xml:space="preserve"> abdication of the Oireachtas’ constitutional role</w:t>
      </w:r>
      <w:r w:rsidR="00B94710">
        <w:rPr>
          <w:rFonts w:ascii="Century" w:hAnsi="Century"/>
        </w:rPr>
        <w:t xml:space="preserve"> than the classic </w:t>
      </w:r>
      <w:r w:rsidR="00B94710">
        <w:rPr>
          <w:rFonts w:ascii="Century" w:hAnsi="Century"/>
          <w:i/>
          <w:iCs/>
        </w:rPr>
        <w:t xml:space="preserve">Cityview </w:t>
      </w:r>
      <w:r w:rsidR="00B94710">
        <w:rPr>
          <w:rFonts w:ascii="Century" w:hAnsi="Century"/>
        </w:rPr>
        <w:t>approach</w:t>
      </w:r>
      <w:r w:rsidR="000D441C" w:rsidRPr="00B96ED6">
        <w:rPr>
          <w:rFonts w:ascii="Century" w:hAnsi="Century"/>
        </w:rPr>
        <w:t>.</w:t>
      </w:r>
      <w:r w:rsidR="000D441C" w:rsidRPr="00B96ED6">
        <w:rPr>
          <w:rStyle w:val="FootnoteReference"/>
          <w:rFonts w:ascii="Century" w:hAnsi="Century"/>
        </w:rPr>
        <w:footnoteReference w:id="41"/>
      </w:r>
      <w:r w:rsidR="000D441C" w:rsidRPr="00B96ED6">
        <w:rPr>
          <w:rFonts w:ascii="Century" w:hAnsi="Century"/>
        </w:rPr>
        <w:t xml:space="preserve"> </w:t>
      </w:r>
    </w:p>
    <w:p w14:paraId="2CEA5BD1" w14:textId="77777777" w:rsidR="00C2509B" w:rsidRPr="00B96ED6" w:rsidRDefault="00C2509B" w:rsidP="00E81877">
      <w:pPr>
        <w:spacing w:line="480" w:lineRule="auto"/>
        <w:jc w:val="both"/>
        <w:rPr>
          <w:rFonts w:ascii="Century" w:hAnsi="Century"/>
        </w:rPr>
      </w:pPr>
    </w:p>
    <w:p w14:paraId="34489CB7" w14:textId="009A2E44" w:rsidR="000D441C" w:rsidRPr="00B96ED6" w:rsidRDefault="00E55AC6" w:rsidP="00E81877">
      <w:pPr>
        <w:spacing w:line="480" w:lineRule="auto"/>
        <w:jc w:val="both"/>
        <w:rPr>
          <w:rFonts w:ascii="Century" w:hAnsi="Century"/>
        </w:rPr>
      </w:pPr>
      <w:r>
        <w:rPr>
          <w:rFonts w:ascii="Century" w:hAnsi="Century"/>
        </w:rPr>
        <w:t>When conducting this</w:t>
      </w:r>
      <w:r w:rsidR="000D441C" w:rsidRPr="00B96ED6">
        <w:rPr>
          <w:rFonts w:ascii="Century" w:hAnsi="Century"/>
        </w:rPr>
        <w:t xml:space="preserve"> assessment, MacMenamin J added</w:t>
      </w:r>
      <w:r>
        <w:rPr>
          <w:rFonts w:ascii="Century" w:hAnsi="Century"/>
        </w:rPr>
        <w:t xml:space="preserve"> a Court</w:t>
      </w:r>
      <w:r w:rsidR="000D441C" w:rsidRPr="00B96ED6">
        <w:rPr>
          <w:rFonts w:ascii="Century" w:hAnsi="Century"/>
        </w:rPr>
        <w:t xml:space="preserve"> must bear in mind the Constitution is a </w:t>
      </w:r>
      <w:r w:rsidR="00775C9D">
        <w:rPr>
          <w:rFonts w:ascii="Century" w:hAnsi="Century"/>
        </w:rPr>
        <w:t>‘</w:t>
      </w:r>
      <w:r w:rsidR="000D441C" w:rsidRPr="00B96ED6">
        <w:rPr>
          <w:rFonts w:ascii="Century" w:hAnsi="Century"/>
        </w:rPr>
        <w:t>continuously operative charter of government</w:t>
      </w:r>
      <w:r w:rsidR="00775C9D">
        <w:rPr>
          <w:rFonts w:ascii="Century" w:hAnsi="Century"/>
        </w:rPr>
        <w:t>’</w:t>
      </w:r>
      <w:r w:rsidR="000D441C" w:rsidRPr="00B96ED6">
        <w:rPr>
          <w:rFonts w:ascii="Century" w:hAnsi="Century"/>
        </w:rPr>
        <w:t xml:space="preserve"> which </w:t>
      </w:r>
      <w:r w:rsidR="00775C9D">
        <w:rPr>
          <w:rFonts w:ascii="Century" w:hAnsi="Century"/>
        </w:rPr>
        <w:t>‘</w:t>
      </w:r>
      <w:r w:rsidR="000D441C" w:rsidRPr="00B96ED6">
        <w:rPr>
          <w:rFonts w:ascii="Century" w:hAnsi="Century"/>
        </w:rPr>
        <w:t>does not</w:t>
      </w:r>
      <w:r w:rsidR="00775C9D">
        <w:rPr>
          <w:rFonts w:ascii="Century" w:hAnsi="Century"/>
        </w:rPr>
        <w:t>’</w:t>
      </w:r>
      <w:r w:rsidR="000D441C" w:rsidRPr="00B96ED6">
        <w:rPr>
          <w:rFonts w:ascii="Century" w:hAnsi="Century"/>
        </w:rPr>
        <w:t xml:space="preserve"> and </w:t>
      </w:r>
      <w:r w:rsidR="00775C9D">
        <w:rPr>
          <w:rFonts w:ascii="Century" w:hAnsi="Century"/>
        </w:rPr>
        <w:t>‘c</w:t>
      </w:r>
      <w:r w:rsidR="000D441C" w:rsidRPr="00B96ED6">
        <w:rPr>
          <w:rFonts w:ascii="Century" w:hAnsi="Century"/>
        </w:rPr>
        <w:t>annot</w:t>
      </w:r>
      <w:r w:rsidR="00775C9D">
        <w:rPr>
          <w:rFonts w:ascii="Century" w:hAnsi="Century"/>
        </w:rPr>
        <w:t>’</w:t>
      </w:r>
      <w:r w:rsidR="000D441C" w:rsidRPr="00B96ED6">
        <w:rPr>
          <w:rFonts w:ascii="Century" w:hAnsi="Century"/>
        </w:rPr>
        <w:t xml:space="preserve"> require the </w:t>
      </w:r>
      <w:proofErr w:type="spellStart"/>
      <w:r w:rsidR="000D441C" w:rsidRPr="00B96ED6">
        <w:rPr>
          <w:rFonts w:ascii="Century" w:hAnsi="Century"/>
        </w:rPr>
        <w:t>Oireahtas</w:t>
      </w:r>
      <w:proofErr w:type="spellEnd"/>
      <w:r w:rsidR="000D441C" w:rsidRPr="00B96ED6">
        <w:rPr>
          <w:rFonts w:ascii="Century" w:hAnsi="Century"/>
        </w:rPr>
        <w:t xml:space="preserve"> to </w:t>
      </w:r>
      <w:r w:rsidR="00775C9D">
        <w:rPr>
          <w:rFonts w:ascii="Century" w:hAnsi="Century"/>
        </w:rPr>
        <w:t>‘</w:t>
      </w:r>
      <w:r w:rsidR="000D441C" w:rsidRPr="00B96ED6">
        <w:rPr>
          <w:rFonts w:ascii="Century" w:hAnsi="Century"/>
        </w:rPr>
        <w:t>predetermine every choice made by a subordinate</w:t>
      </w:r>
      <w:r w:rsidR="00775C9D">
        <w:rPr>
          <w:rFonts w:ascii="Century" w:hAnsi="Century"/>
        </w:rPr>
        <w:t>’</w:t>
      </w:r>
      <w:r w:rsidR="000D441C" w:rsidRPr="00B96ED6">
        <w:rPr>
          <w:rFonts w:ascii="Century" w:hAnsi="Century"/>
        </w:rPr>
        <w:t xml:space="preserve"> through exhaustive enumeration of all possible principles and </w:t>
      </w:r>
      <w:r w:rsidR="000D441C" w:rsidRPr="00B96ED6">
        <w:rPr>
          <w:rFonts w:ascii="Century" w:hAnsi="Century"/>
        </w:rPr>
        <w:lastRenderedPageBreak/>
        <w:t>policies. Instead,</w:t>
      </w:r>
      <w:r w:rsidR="00A628C0">
        <w:rPr>
          <w:rFonts w:ascii="Century" w:hAnsi="Century"/>
        </w:rPr>
        <w:t xml:space="preserve"> it is</w:t>
      </w:r>
      <w:r w:rsidR="000D441C" w:rsidRPr="00B96ED6">
        <w:rPr>
          <w:rFonts w:ascii="Century" w:hAnsi="Century"/>
        </w:rPr>
        <w:t xml:space="preserve"> </w:t>
      </w:r>
      <w:r w:rsidR="00E916E9">
        <w:rPr>
          <w:rFonts w:ascii="Century" w:hAnsi="Century"/>
        </w:rPr>
        <w:t>‘</w:t>
      </w:r>
      <w:r w:rsidR="000D441C" w:rsidRPr="00B96ED6">
        <w:rPr>
          <w:rFonts w:ascii="Century" w:hAnsi="Century"/>
        </w:rPr>
        <w:t>basic, discernible rules of conduct or guidelines which the subordinate must observe</w:t>
      </w:r>
      <w:r w:rsidR="00E916E9">
        <w:rPr>
          <w:rFonts w:ascii="Century" w:hAnsi="Century"/>
        </w:rPr>
        <w:t>’</w:t>
      </w:r>
      <w:r w:rsidR="000D441C" w:rsidRPr="00B96ED6">
        <w:rPr>
          <w:rFonts w:ascii="Century" w:hAnsi="Century"/>
        </w:rPr>
        <w:t xml:space="preserve"> are required</w:t>
      </w:r>
      <w:r w:rsidR="00A628C0">
        <w:rPr>
          <w:rFonts w:ascii="Century" w:hAnsi="Century"/>
        </w:rPr>
        <w:t xml:space="preserve"> to ensure there has been no alienation of </w:t>
      </w:r>
      <w:r w:rsidR="00E94917">
        <w:rPr>
          <w:rFonts w:ascii="Century" w:hAnsi="Century"/>
        </w:rPr>
        <w:t>Article 15 power</w:t>
      </w:r>
      <w:r w:rsidR="000D441C" w:rsidRPr="00B96ED6">
        <w:rPr>
          <w:rFonts w:ascii="Century" w:hAnsi="Century"/>
        </w:rPr>
        <w:t xml:space="preserve">. </w:t>
      </w:r>
    </w:p>
    <w:p w14:paraId="60B0DE03" w14:textId="77777777" w:rsidR="000D441C" w:rsidRPr="00B96ED6" w:rsidRDefault="000D441C" w:rsidP="00E81877">
      <w:pPr>
        <w:spacing w:line="480" w:lineRule="auto"/>
        <w:jc w:val="both"/>
        <w:rPr>
          <w:rFonts w:ascii="Century" w:hAnsi="Century"/>
        </w:rPr>
      </w:pPr>
    </w:p>
    <w:p w14:paraId="7C420881" w14:textId="744CB840" w:rsidR="000D441C" w:rsidRDefault="00A628C0" w:rsidP="00E81877">
      <w:pPr>
        <w:spacing w:line="480" w:lineRule="auto"/>
        <w:jc w:val="both"/>
        <w:rPr>
          <w:rFonts w:ascii="Century" w:hAnsi="Century"/>
        </w:rPr>
      </w:pPr>
      <w:r>
        <w:rPr>
          <w:rFonts w:ascii="Century" w:hAnsi="Century"/>
        </w:rPr>
        <w:t>The Supreme Court</w:t>
      </w:r>
      <w:r w:rsidR="00FD58CC">
        <w:rPr>
          <w:rFonts w:ascii="Century" w:hAnsi="Century"/>
        </w:rPr>
        <w:t xml:space="preserve"> then</w:t>
      </w:r>
      <w:r>
        <w:rPr>
          <w:rFonts w:ascii="Century" w:hAnsi="Century"/>
        </w:rPr>
        <w:t xml:space="preserve"> outlined</w:t>
      </w:r>
      <w:r w:rsidR="000D441C" w:rsidRPr="00B96ED6">
        <w:rPr>
          <w:rFonts w:ascii="Century" w:hAnsi="Century"/>
        </w:rPr>
        <w:t xml:space="preserve"> </w:t>
      </w:r>
      <w:r>
        <w:rPr>
          <w:rFonts w:ascii="Century" w:hAnsi="Century"/>
        </w:rPr>
        <w:t>some</w:t>
      </w:r>
      <w:r w:rsidR="000D441C" w:rsidRPr="00B96ED6">
        <w:rPr>
          <w:rFonts w:ascii="Century" w:hAnsi="Century"/>
        </w:rPr>
        <w:t xml:space="preserve"> normative argument</w:t>
      </w:r>
      <w:r>
        <w:rPr>
          <w:rFonts w:ascii="Century" w:hAnsi="Century"/>
        </w:rPr>
        <w:t>s for</w:t>
      </w:r>
      <w:r w:rsidR="000D441C" w:rsidRPr="00B96ED6">
        <w:rPr>
          <w:rFonts w:ascii="Century" w:hAnsi="Century"/>
        </w:rPr>
        <w:t xml:space="preserve"> why a strong-form principles and policies test would</w:t>
      </w:r>
      <w:r w:rsidR="00C76D8F">
        <w:rPr>
          <w:rFonts w:ascii="Century" w:hAnsi="Century"/>
        </w:rPr>
        <w:t>, in fact,</w:t>
      </w:r>
      <w:r>
        <w:rPr>
          <w:rFonts w:ascii="Century" w:hAnsi="Century"/>
        </w:rPr>
        <w:t xml:space="preserve"> </w:t>
      </w:r>
      <w:r w:rsidR="00C76D8F">
        <w:rPr>
          <w:rFonts w:ascii="Century" w:hAnsi="Century"/>
        </w:rPr>
        <w:t>be</w:t>
      </w:r>
      <w:r w:rsidR="000D441C" w:rsidRPr="00B96ED6">
        <w:rPr>
          <w:rFonts w:ascii="Century" w:hAnsi="Century"/>
        </w:rPr>
        <w:t xml:space="preserve"> counter-productive for </w:t>
      </w:r>
      <w:r>
        <w:rPr>
          <w:rFonts w:ascii="Century" w:hAnsi="Century"/>
        </w:rPr>
        <w:t>safeguarding</w:t>
      </w:r>
      <w:r w:rsidR="000D441C" w:rsidRPr="00B96ED6">
        <w:rPr>
          <w:rFonts w:ascii="Century" w:hAnsi="Century"/>
        </w:rPr>
        <w:t xml:space="preserve"> the Oireachtas</w:t>
      </w:r>
      <w:r>
        <w:rPr>
          <w:rFonts w:ascii="Century" w:hAnsi="Century"/>
        </w:rPr>
        <w:t>’ constitutional role as lawmaker</w:t>
      </w:r>
      <w:r w:rsidR="000D441C" w:rsidRPr="00B96ED6">
        <w:rPr>
          <w:rFonts w:ascii="Century" w:hAnsi="Century"/>
        </w:rPr>
        <w:t xml:space="preserve">. For a start, </w:t>
      </w:r>
      <w:r>
        <w:rPr>
          <w:rFonts w:ascii="Century" w:hAnsi="Century"/>
        </w:rPr>
        <w:t>MacMenamin J</w:t>
      </w:r>
      <w:r w:rsidR="00E916E9">
        <w:rPr>
          <w:rFonts w:ascii="Century" w:hAnsi="Century"/>
        </w:rPr>
        <w:t xml:space="preserve"> </w:t>
      </w:r>
      <w:r>
        <w:rPr>
          <w:rFonts w:ascii="Century" w:hAnsi="Century"/>
        </w:rPr>
        <w:t xml:space="preserve">noted that </w:t>
      </w:r>
      <w:r w:rsidR="000D441C" w:rsidRPr="00B96ED6">
        <w:rPr>
          <w:rFonts w:ascii="Century" w:hAnsi="Century"/>
        </w:rPr>
        <w:t>some areas of policy</w:t>
      </w:r>
      <w:r w:rsidR="003C334A">
        <w:rPr>
          <w:rFonts w:ascii="Century" w:hAnsi="Century"/>
        </w:rPr>
        <w:t xml:space="preserve"> that lawmakers engage with</w:t>
      </w:r>
      <w:r w:rsidR="000D441C" w:rsidRPr="00B96ED6">
        <w:rPr>
          <w:rFonts w:ascii="Century" w:hAnsi="Century"/>
        </w:rPr>
        <w:t xml:space="preserve"> require scientific or technocratic expertise the Oireachtas</w:t>
      </w:r>
      <w:r w:rsidR="003C334A">
        <w:rPr>
          <w:rFonts w:ascii="Century" w:hAnsi="Century"/>
        </w:rPr>
        <w:t>, as a body of generalists,</w:t>
      </w:r>
      <w:r w:rsidR="000D441C" w:rsidRPr="00B96ED6">
        <w:rPr>
          <w:rFonts w:ascii="Century" w:hAnsi="Century"/>
        </w:rPr>
        <w:t xml:space="preserve"> simply does not possess</w:t>
      </w:r>
      <w:r w:rsidR="00B531BE">
        <w:rPr>
          <w:rFonts w:ascii="Century" w:hAnsi="Century"/>
        </w:rPr>
        <w:t xml:space="preserve">, meaning they </w:t>
      </w:r>
      <w:r w:rsidR="000D441C" w:rsidRPr="00B96ED6">
        <w:rPr>
          <w:rFonts w:ascii="Century" w:hAnsi="Century"/>
        </w:rPr>
        <w:t>would be unable to address</w:t>
      </w:r>
      <w:r w:rsidR="00B531BE">
        <w:rPr>
          <w:rFonts w:ascii="Century" w:hAnsi="Century"/>
        </w:rPr>
        <w:t xml:space="preserve"> them</w:t>
      </w:r>
      <w:r w:rsidR="000D441C" w:rsidRPr="00B96ED6">
        <w:rPr>
          <w:rFonts w:ascii="Century" w:hAnsi="Century"/>
        </w:rPr>
        <w:t xml:space="preserve"> without </w:t>
      </w:r>
      <w:r w:rsidR="00FD58CC">
        <w:rPr>
          <w:rFonts w:ascii="Century" w:hAnsi="Century"/>
        </w:rPr>
        <w:t>vesting rulemaking</w:t>
      </w:r>
      <w:r w:rsidR="000D441C" w:rsidRPr="00B96ED6">
        <w:rPr>
          <w:rFonts w:ascii="Century" w:hAnsi="Century"/>
        </w:rPr>
        <w:t xml:space="preserve"> authority </w:t>
      </w:r>
      <w:r w:rsidR="004E63E1">
        <w:rPr>
          <w:rFonts w:ascii="Century" w:hAnsi="Century"/>
        </w:rPr>
        <w:t>in</w:t>
      </w:r>
      <w:r w:rsidR="004E63E1" w:rsidRPr="00B96ED6">
        <w:rPr>
          <w:rFonts w:ascii="Century" w:hAnsi="Century"/>
        </w:rPr>
        <w:t xml:space="preserve"> </w:t>
      </w:r>
      <w:r w:rsidR="000D441C" w:rsidRPr="00B96ED6">
        <w:rPr>
          <w:rFonts w:ascii="Century" w:hAnsi="Century"/>
        </w:rPr>
        <w:t>a body with the requisite knowledge.</w:t>
      </w:r>
      <w:r w:rsidR="00B531BE">
        <w:rPr>
          <w:rFonts w:ascii="Century" w:hAnsi="Century"/>
        </w:rPr>
        <w:t xml:space="preserve"> </w:t>
      </w:r>
      <w:r w:rsidR="009514AF">
        <w:rPr>
          <w:rFonts w:ascii="Century" w:hAnsi="Century"/>
        </w:rPr>
        <w:t>More broadly</w:t>
      </w:r>
      <w:r w:rsidR="00B531BE">
        <w:rPr>
          <w:rFonts w:ascii="Century" w:hAnsi="Century"/>
        </w:rPr>
        <w:t>,</w:t>
      </w:r>
      <w:r w:rsidR="000D441C" w:rsidRPr="00B96ED6">
        <w:rPr>
          <w:rFonts w:ascii="Century" w:hAnsi="Century"/>
        </w:rPr>
        <w:t xml:space="preserve"> </w:t>
      </w:r>
      <w:r w:rsidR="00B531BE">
        <w:rPr>
          <w:rFonts w:ascii="Century" w:hAnsi="Century"/>
        </w:rPr>
        <w:t xml:space="preserve">the Court </w:t>
      </w:r>
      <w:r w:rsidR="009514AF">
        <w:rPr>
          <w:rFonts w:ascii="Century" w:hAnsi="Century"/>
        </w:rPr>
        <w:t>was concerned that</w:t>
      </w:r>
      <w:r w:rsidR="00B531BE">
        <w:rPr>
          <w:rFonts w:ascii="Century" w:hAnsi="Century"/>
        </w:rPr>
        <w:t xml:space="preserve"> if the </w:t>
      </w:r>
      <w:r w:rsidR="000D441C" w:rsidRPr="00B96ED6">
        <w:rPr>
          <w:rFonts w:ascii="Century" w:hAnsi="Century"/>
        </w:rPr>
        <w:t>Oireachtas</w:t>
      </w:r>
      <w:r w:rsidR="00B531BE">
        <w:rPr>
          <w:rFonts w:ascii="Century" w:hAnsi="Century"/>
        </w:rPr>
        <w:t xml:space="preserve"> </w:t>
      </w:r>
      <w:r w:rsidR="00A17748">
        <w:rPr>
          <w:rFonts w:ascii="Century" w:hAnsi="Century"/>
        </w:rPr>
        <w:t>lacked flexibility to</w:t>
      </w:r>
      <w:r w:rsidR="000D441C" w:rsidRPr="00B96ED6">
        <w:rPr>
          <w:rFonts w:ascii="Century" w:hAnsi="Century"/>
        </w:rPr>
        <w:t xml:space="preserve"> delegate </w:t>
      </w:r>
      <w:r w:rsidR="00A17748">
        <w:rPr>
          <w:rFonts w:ascii="Century" w:hAnsi="Century"/>
        </w:rPr>
        <w:t xml:space="preserve">broad </w:t>
      </w:r>
      <w:r w:rsidR="000D441C" w:rsidRPr="00B96ED6">
        <w:rPr>
          <w:rFonts w:ascii="Century" w:hAnsi="Century"/>
        </w:rPr>
        <w:t xml:space="preserve">rulemaking authority </w:t>
      </w:r>
      <w:r w:rsidR="005E7AFD">
        <w:rPr>
          <w:rFonts w:ascii="Century" w:hAnsi="Century"/>
        </w:rPr>
        <w:t>it</w:t>
      </w:r>
      <w:r w:rsidR="000D441C" w:rsidRPr="00B96ED6">
        <w:rPr>
          <w:rFonts w:ascii="Century" w:hAnsi="Century"/>
        </w:rPr>
        <w:t xml:space="preserve"> would substantively deny it </w:t>
      </w:r>
      <w:r w:rsidR="00E916E9">
        <w:rPr>
          <w:rFonts w:ascii="Century" w:hAnsi="Century"/>
        </w:rPr>
        <w:t>‘</w:t>
      </w:r>
      <w:r w:rsidR="000D441C" w:rsidRPr="00B96ED6">
        <w:rPr>
          <w:rFonts w:ascii="Century" w:hAnsi="Century"/>
        </w:rPr>
        <w:t>the necessary attributes of a legislature in a democratic society</w:t>
      </w:r>
      <w:r w:rsidR="00E916E9">
        <w:rPr>
          <w:rFonts w:ascii="Century" w:hAnsi="Century"/>
        </w:rPr>
        <w:t>’</w:t>
      </w:r>
      <w:r w:rsidR="003C334A">
        <w:rPr>
          <w:rFonts w:ascii="Century" w:hAnsi="Century"/>
        </w:rPr>
        <w:t>, like being</w:t>
      </w:r>
      <w:r w:rsidR="000D441C" w:rsidRPr="00B96ED6">
        <w:rPr>
          <w:rFonts w:ascii="Century" w:hAnsi="Century"/>
        </w:rPr>
        <w:t xml:space="preserve"> able to respond decisively to complex policy questions</w:t>
      </w:r>
      <w:r w:rsidR="005E7AFD">
        <w:rPr>
          <w:rFonts w:ascii="Century" w:hAnsi="Century"/>
        </w:rPr>
        <w:t xml:space="preserve"> on behalf of the electorate</w:t>
      </w:r>
      <w:r w:rsidR="003C334A">
        <w:rPr>
          <w:rFonts w:ascii="Century" w:hAnsi="Century"/>
        </w:rPr>
        <w:t xml:space="preserve"> for the common good</w:t>
      </w:r>
      <w:r w:rsidR="000D441C" w:rsidRPr="00B96ED6">
        <w:rPr>
          <w:rFonts w:ascii="Century" w:hAnsi="Century"/>
        </w:rPr>
        <w:t>.</w:t>
      </w:r>
      <w:r w:rsidR="005E7AFD">
        <w:rPr>
          <w:rStyle w:val="FootnoteReference"/>
          <w:rFonts w:ascii="Century" w:hAnsi="Century"/>
        </w:rPr>
        <w:footnoteReference w:id="42"/>
      </w:r>
      <w:r w:rsidR="000D441C" w:rsidRPr="00B96ED6">
        <w:rPr>
          <w:rFonts w:ascii="Century" w:hAnsi="Century"/>
        </w:rPr>
        <w:t xml:space="preserve"> </w:t>
      </w:r>
    </w:p>
    <w:p w14:paraId="4AA7953D" w14:textId="1A152AD7" w:rsidR="00837E10" w:rsidRDefault="00837E10" w:rsidP="00E81877">
      <w:pPr>
        <w:spacing w:line="480" w:lineRule="auto"/>
        <w:jc w:val="both"/>
        <w:rPr>
          <w:rFonts w:ascii="Century" w:hAnsi="Century"/>
        </w:rPr>
      </w:pPr>
    </w:p>
    <w:p w14:paraId="0ABF2068" w14:textId="7107793E" w:rsidR="000D441C" w:rsidRPr="00B96ED6" w:rsidRDefault="00837E10" w:rsidP="00E81877">
      <w:pPr>
        <w:spacing w:line="480" w:lineRule="auto"/>
        <w:jc w:val="both"/>
        <w:rPr>
          <w:rFonts w:ascii="Century" w:hAnsi="Century"/>
        </w:rPr>
      </w:pPr>
      <w:r>
        <w:rPr>
          <w:rFonts w:ascii="Century" w:hAnsi="Century"/>
        </w:rPr>
        <w:t xml:space="preserve">Having outlined the </w:t>
      </w:r>
      <w:r w:rsidR="00B44A5D">
        <w:rPr>
          <w:rFonts w:ascii="Century" w:hAnsi="Century"/>
        </w:rPr>
        <w:t>appropriate</w:t>
      </w:r>
      <w:r>
        <w:rPr>
          <w:rFonts w:ascii="Century" w:hAnsi="Century"/>
        </w:rPr>
        <w:t xml:space="preserve"> doctrinal test for Article 15 questions</w:t>
      </w:r>
      <w:r w:rsidR="00A17748">
        <w:rPr>
          <w:rFonts w:ascii="Century" w:hAnsi="Century"/>
        </w:rPr>
        <w:t xml:space="preserve"> and </w:t>
      </w:r>
      <w:r w:rsidR="00BA4F8F">
        <w:rPr>
          <w:rFonts w:ascii="Century" w:hAnsi="Century"/>
        </w:rPr>
        <w:t>the</w:t>
      </w:r>
      <w:r w:rsidR="00A17748">
        <w:rPr>
          <w:rFonts w:ascii="Century" w:hAnsi="Century"/>
        </w:rPr>
        <w:t xml:space="preserve"> background normative considerations that should orient application of the test</w:t>
      </w:r>
      <w:r>
        <w:rPr>
          <w:rFonts w:ascii="Century" w:hAnsi="Century"/>
        </w:rPr>
        <w:t xml:space="preserve">, the Court proceeded to apply it to the provisions of Chapter III. </w:t>
      </w:r>
      <w:r w:rsidR="00B30563">
        <w:rPr>
          <w:rFonts w:ascii="Century" w:hAnsi="Century"/>
        </w:rPr>
        <w:t>The Supreme Court did</w:t>
      </w:r>
      <w:r w:rsidR="000D441C" w:rsidRPr="00B96ED6">
        <w:rPr>
          <w:rFonts w:ascii="Century" w:hAnsi="Century"/>
        </w:rPr>
        <w:t xml:space="preserve"> not attempt to disguise</w:t>
      </w:r>
      <w:r w:rsidR="00F13011">
        <w:rPr>
          <w:rFonts w:ascii="Century" w:hAnsi="Century"/>
        </w:rPr>
        <w:t>,</w:t>
      </w:r>
      <w:r>
        <w:rPr>
          <w:rFonts w:ascii="Century" w:hAnsi="Century"/>
        </w:rPr>
        <w:t xml:space="preserve"> or playdown</w:t>
      </w:r>
      <w:r w:rsidR="00F13011">
        <w:rPr>
          <w:rFonts w:ascii="Century" w:hAnsi="Century"/>
        </w:rPr>
        <w:t>, the fact</w:t>
      </w:r>
      <w:r w:rsidR="000D441C" w:rsidRPr="00B96ED6">
        <w:rPr>
          <w:rFonts w:ascii="Century" w:hAnsi="Century"/>
        </w:rPr>
        <w:t xml:space="preserve"> </w:t>
      </w:r>
      <w:r>
        <w:rPr>
          <w:rFonts w:ascii="Century" w:hAnsi="Century"/>
        </w:rPr>
        <w:t>Chapter III</w:t>
      </w:r>
      <w:r w:rsidR="000D441C" w:rsidRPr="00B96ED6">
        <w:rPr>
          <w:rFonts w:ascii="Century" w:hAnsi="Century"/>
        </w:rPr>
        <w:t xml:space="preserve"> </w:t>
      </w:r>
      <w:r>
        <w:rPr>
          <w:rFonts w:ascii="Century" w:hAnsi="Century"/>
        </w:rPr>
        <w:t>gave the</w:t>
      </w:r>
      <w:r w:rsidR="000D441C" w:rsidRPr="00B96ED6">
        <w:rPr>
          <w:rFonts w:ascii="Century" w:hAnsi="Century"/>
        </w:rPr>
        <w:t xml:space="preserve"> </w:t>
      </w:r>
      <w:proofErr w:type="spellStart"/>
      <w:r w:rsidR="000D441C" w:rsidRPr="00B96ED6">
        <w:rPr>
          <w:rFonts w:ascii="Century" w:hAnsi="Century"/>
        </w:rPr>
        <w:t>Labour</w:t>
      </w:r>
      <w:proofErr w:type="spellEnd"/>
      <w:r w:rsidR="000D441C" w:rsidRPr="00B96ED6">
        <w:rPr>
          <w:rFonts w:ascii="Century" w:hAnsi="Century"/>
        </w:rPr>
        <w:t xml:space="preserve"> Court considerable </w:t>
      </w:r>
      <w:r w:rsidR="006F3422">
        <w:rPr>
          <w:rFonts w:ascii="Century" w:hAnsi="Century"/>
        </w:rPr>
        <w:t>statutory</w:t>
      </w:r>
      <w:r w:rsidR="006F3422" w:rsidRPr="00B96ED6">
        <w:rPr>
          <w:rFonts w:ascii="Century" w:hAnsi="Century"/>
        </w:rPr>
        <w:t xml:space="preserve"> </w:t>
      </w:r>
      <w:r w:rsidR="000D441C" w:rsidRPr="00B96ED6">
        <w:rPr>
          <w:rFonts w:ascii="Century" w:hAnsi="Century"/>
        </w:rPr>
        <w:t>discretion over entire economic sectors</w:t>
      </w:r>
      <w:r w:rsidR="00BA4F8F">
        <w:rPr>
          <w:rFonts w:ascii="Century" w:hAnsi="Century"/>
        </w:rPr>
        <w:t>,</w:t>
      </w:r>
      <w:r w:rsidR="000D441C" w:rsidRPr="00B96ED6">
        <w:rPr>
          <w:rFonts w:ascii="Century" w:hAnsi="Century"/>
        </w:rPr>
        <w:t xml:space="preserve"> and consequential and important socio-economic activity. The</w:t>
      </w:r>
      <w:r w:rsidR="00B30563">
        <w:rPr>
          <w:rFonts w:ascii="Century" w:hAnsi="Century"/>
        </w:rPr>
        <w:t xml:space="preserve"> Court was</w:t>
      </w:r>
      <w:r w:rsidR="00F13011">
        <w:rPr>
          <w:rFonts w:ascii="Century" w:hAnsi="Century"/>
        </w:rPr>
        <w:t xml:space="preserve"> very</w:t>
      </w:r>
      <w:r w:rsidR="00B30563">
        <w:rPr>
          <w:rFonts w:ascii="Century" w:hAnsi="Century"/>
        </w:rPr>
        <w:t xml:space="preserve"> </w:t>
      </w:r>
      <w:r w:rsidR="00B30563">
        <w:rPr>
          <w:rFonts w:ascii="Century" w:hAnsi="Century"/>
        </w:rPr>
        <w:lastRenderedPageBreak/>
        <w:t>cognizant the</w:t>
      </w:r>
      <w:r w:rsidR="000D441C" w:rsidRPr="00B96ED6">
        <w:rPr>
          <w:rFonts w:ascii="Century" w:hAnsi="Century"/>
        </w:rPr>
        <w:t xml:space="preserve"> </w:t>
      </w:r>
      <w:r w:rsidR="00BA4F8F">
        <w:rPr>
          <w:rFonts w:ascii="Century" w:hAnsi="Century"/>
        </w:rPr>
        <w:t xml:space="preserve">discretionary power of the </w:t>
      </w:r>
      <w:proofErr w:type="spellStart"/>
      <w:r w:rsidR="00BA4F8F">
        <w:rPr>
          <w:rFonts w:ascii="Century" w:hAnsi="Century"/>
        </w:rPr>
        <w:t>Labour</w:t>
      </w:r>
      <w:proofErr w:type="spellEnd"/>
      <w:r w:rsidR="00BA4F8F">
        <w:rPr>
          <w:rFonts w:ascii="Century" w:hAnsi="Century"/>
        </w:rPr>
        <w:t xml:space="preserve"> Court</w:t>
      </w:r>
      <w:r w:rsidR="000D441C" w:rsidRPr="00B96ED6">
        <w:rPr>
          <w:rFonts w:ascii="Century" w:hAnsi="Century"/>
        </w:rPr>
        <w:t xml:space="preserve"> c</w:t>
      </w:r>
      <w:r w:rsidR="00B30563">
        <w:rPr>
          <w:rFonts w:ascii="Century" w:hAnsi="Century"/>
        </w:rPr>
        <w:t>ould</w:t>
      </w:r>
      <w:r w:rsidR="000D441C" w:rsidRPr="00B96ED6">
        <w:rPr>
          <w:rFonts w:ascii="Century" w:hAnsi="Century"/>
        </w:rPr>
        <w:t xml:space="preserve"> have very considerable impact on the lives of those subject to </w:t>
      </w:r>
      <w:r w:rsidR="008F027B">
        <w:rPr>
          <w:rFonts w:ascii="Century" w:hAnsi="Century"/>
        </w:rPr>
        <w:t>it</w:t>
      </w:r>
      <w:r w:rsidR="000D441C" w:rsidRPr="00B96ED6">
        <w:rPr>
          <w:rFonts w:ascii="Century" w:hAnsi="Century"/>
        </w:rPr>
        <w:t>, and wider social and economic ripple-effects.</w:t>
      </w:r>
      <w:r w:rsidR="00BF7AE9">
        <w:rPr>
          <w:rStyle w:val="FootnoteReference"/>
          <w:rFonts w:ascii="Century" w:hAnsi="Century"/>
        </w:rPr>
        <w:footnoteReference w:id="43"/>
      </w:r>
      <w:r w:rsidR="000D441C" w:rsidRPr="00B96ED6">
        <w:rPr>
          <w:rFonts w:ascii="Century" w:hAnsi="Century"/>
        </w:rPr>
        <w:t xml:space="preserve"> </w:t>
      </w:r>
    </w:p>
    <w:p w14:paraId="614AE463" w14:textId="77777777" w:rsidR="000D441C" w:rsidRPr="00B96ED6" w:rsidRDefault="000D441C" w:rsidP="00E81877">
      <w:pPr>
        <w:spacing w:line="480" w:lineRule="auto"/>
        <w:jc w:val="both"/>
        <w:rPr>
          <w:rFonts w:ascii="Century" w:hAnsi="Century"/>
        </w:rPr>
      </w:pPr>
    </w:p>
    <w:p w14:paraId="700A9AA4" w14:textId="2E5286C4" w:rsidR="00A17748" w:rsidRDefault="000D441C" w:rsidP="00A17748">
      <w:pPr>
        <w:spacing w:line="480" w:lineRule="auto"/>
        <w:jc w:val="both"/>
        <w:rPr>
          <w:rFonts w:ascii="Century" w:hAnsi="Century"/>
        </w:rPr>
      </w:pPr>
      <w:r w:rsidRPr="00B96ED6">
        <w:rPr>
          <w:rFonts w:ascii="Century" w:hAnsi="Century"/>
        </w:rPr>
        <w:t>But th</w:t>
      </w:r>
      <w:r w:rsidR="00B30563">
        <w:rPr>
          <w:rFonts w:ascii="Century" w:hAnsi="Century"/>
        </w:rPr>
        <w:t>e Supreme Court was emphatic this</w:t>
      </w:r>
      <w:r w:rsidR="00A17748">
        <w:rPr>
          <w:rFonts w:ascii="Century" w:hAnsi="Century"/>
        </w:rPr>
        <w:t xml:space="preserve"> fact</w:t>
      </w:r>
      <w:r w:rsidR="00837E10">
        <w:rPr>
          <w:rFonts w:ascii="Century" w:hAnsi="Century"/>
        </w:rPr>
        <w:t xml:space="preserve"> alone</w:t>
      </w:r>
      <w:r w:rsidRPr="00B96ED6">
        <w:rPr>
          <w:rFonts w:ascii="Century" w:hAnsi="Century"/>
        </w:rPr>
        <w:t xml:space="preserve"> did not</w:t>
      </w:r>
      <w:r w:rsidR="00A17748">
        <w:rPr>
          <w:rFonts w:ascii="Century" w:hAnsi="Century"/>
        </w:rPr>
        <w:t xml:space="preserve"> serve to</w:t>
      </w:r>
      <w:r w:rsidRPr="00B96ED6">
        <w:rPr>
          <w:rFonts w:ascii="Century" w:hAnsi="Century"/>
        </w:rPr>
        <w:t xml:space="preserve"> make</w:t>
      </w:r>
      <w:r w:rsidR="00F13011">
        <w:rPr>
          <w:rFonts w:ascii="Century" w:hAnsi="Century"/>
        </w:rPr>
        <w:t xml:space="preserve"> authority to make</w:t>
      </w:r>
      <w:r w:rsidRPr="00B96ED6">
        <w:rPr>
          <w:rFonts w:ascii="Century" w:hAnsi="Century"/>
        </w:rPr>
        <w:t xml:space="preserve"> these choices</w:t>
      </w:r>
      <w:r w:rsidR="007A557E">
        <w:rPr>
          <w:rFonts w:ascii="Century" w:hAnsi="Century"/>
        </w:rPr>
        <w:t xml:space="preserve"> an usurpation of</w:t>
      </w:r>
      <w:r w:rsidRPr="00B96ED6">
        <w:rPr>
          <w:rFonts w:ascii="Century" w:hAnsi="Century"/>
        </w:rPr>
        <w:t xml:space="preserve"> legislative </w:t>
      </w:r>
      <w:r w:rsidR="007A557E">
        <w:rPr>
          <w:rFonts w:ascii="Century" w:hAnsi="Century"/>
        </w:rPr>
        <w:t>power</w:t>
      </w:r>
      <w:r w:rsidRPr="00B96ED6">
        <w:rPr>
          <w:rFonts w:ascii="Century" w:hAnsi="Century"/>
        </w:rPr>
        <w:t xml:space="preserve">, as opposed to </w:t>
      </w:r>
      <w:r w:rsidR="008536CA">
        <w:rPr>
          <w:rFonts w:ascii="Century" w:hAnsi="Century"/>
        </w:rPr>
        <w:t>‘</w:t>
      </w:r>
      <w:r w:rsidRPr="00B96ED6">
        <w:rPr>
          <w:rFonts w:ascii="Century" w:hAnsi="Century"/>
        </w:rPr>
        <w:t>engaging in the decision-making power which the Oireachtas actually vested in it by law</w:t>
      </w:r>
      <w:r w:rsidR="008536CA">
        <w:rPr>
          <w:rFonts w:ascii="Century" w:hAnsi="Century"/>
        </w:rPr>
        <w:t>’</w:t>
      </w:r>
      <w:r w:rsidRPr="00B96ED6">
        <w:rPr>
          <w:rFonts w:ascii="Century" w:hAnsi="Century"/>
        </w:rPr>
        <w:t xml:space="preserve"> by the broad statutory framework of s</w:t>
      </w:r>
      <w:r w:rsidR="008536CA">
        <w:rPr>
          <w:rFonts w:ascii="Century" w:hAnsi="Century"/>
        </w:rPr>
        <w:t xml:space="preserve"> </w:t>
      </w:r>
      <w:r w:rsidRPr="00B96ED6">
        <w:rPr>
          <w:rFonts w:ascii="Century" w:hAnsi="Century"/>
        </w:rPr>
        <w:t>15 and s</w:t>
      </w:r>
      <w:r w:rsidR="008536CA">
        <w:rPr>
          <w:rFonts w:ascii="Century" w:hAnsi="Century"/>
        </w:rPr>
        <w:t xml:space="preserve"> </w:t>
      </w:r>
      <w:r w:rsidRPr="00B96ED6">
        <w:rPr>
          <w:rFonts w:ascii="Century" w:hAnsi="Century"/>
        </w:rPr>
        <w:t>16 and subject to safeguards in s</w:t>
      </w:r>
      <w:r w:rsidR="008536CA">
        <w:rPr>
          <w:rFonts w:ascii="Century" w:hAnsi="Century"/>
        </w:rPr>
        <w:t xml:space="preserve"> </w:t>
      </w:r>
      <w:r w:rsidRPr="00B96ED6">
        <w:rPr>
          <w:rFonts w:ascii="Century" w:hAnsi="Century"/>
        </w:rPr>
        <w:t>17.</w:t>
      </w:r>
      <w:r w:rsidR="00832FB2">
        <w:rPr>
          <w:rStyle w:val="FootnoteReference"/>
          <w:rFonts w:ascii="Century" w:hAnsi="Century"/>
        </w:rPr>
        <w:footnoteReference w:id="44"/>
      </w:r>
      <w:r w:rsidR="00B30563">
        <w:rPr>
          <w:rFonts w:ascii="Century" w:hAnsi="Century"/>
        </w:rPr>
        <w:t xml:space="preserve"> </w:t>
      </w:r>
      <w:r w:rsidR="00A17748">
        <w:rPr>
          <w:rFonts w:ascii="Century" w:hAnsi="Century"/>
        </w:rPr>
        <w:t>Overturning the conclusion of the High Court</w:t>
      </w:r>
      <w:r w:rsidR="00F13011">
        <w:rPr>
          <w:rFonts w:ascii="Century" w:hAnsi="Century"/>
        </w:rPr>
        <w:t xml:space="preserve"> on this point</w:t>
      </w:r>
      <w:r w:rsidR="00A17748">
        <w:rPr>
          <w:rFonts w:ascii="Century" w:hAnsi="Century"/>
        </w:rPr>
        <w:t xml:space="preserve">, </w:t>
      </w:r>
      <w:r w:rsidRPr="00B96ED6">
        <w:rPr>
          <w:rFonts w:ascii="Century" w:hAnsi="Century"/>
        </w:rPr>
        <w:t xml:space="preserve">MacMenamin J </w:t>
      </w:r>
      <w:r w:rsidR="00355C36">
        <w:rPr>
          <w:rFonts w:ascii="Century" w:hAnsi="Century"/>
        </w:rPr>
        <w:t>found that</w:t>
      </w:r>
      <w:r w:rsidRPr="00B96ED6">
        <w:rPr>
          <w:rFonts w:ascii="Century" w:hAnsi="Century"/>
        </w:rPr>
        <w:t xml:space="preserve"> </w:t>
      </w:r>
      <w:r w:rsidR="00B30563">
        <w:rPr>
          <w:rFonts w:ascii="Century" w:hAnsi="Century"/>
        </w:rPr>
        <w:t xml:space="preserve">Chapter III </w:t>
      </w:r>
      <w:r w:rsidRPr="00B96ED6">
        <w:rPr>
          <w:rFonts w:ascii="Century" w:hAnsi="Century"/>
        </w:rPr>
        <w:t xml:space="preserve">provided a constitutionally appropriate level of guidance and direction to the </w:t>
      </w:r>
      <w:proofErr w:type="spellStart"/>
      <w:r w:rsidRPr="00B96ED6">
        <w:rPr>
          <w:rFonts w:ascii="Century" w:hAnsi="Century"/>
        </w:rPr>
        <w:t>Labour</w:t>
      </w:r>
      <w:proofErr w:type="spellEnd"/>
      <w:r w:rsidRPr="00B96ED6">
        <w:rPr>
          <w:rFonts w:ascii="Century" w:hAnsi="Century"/>
        </w:rPr>
        <w:t xml:space="preserve"> Court</w:t>
      </w:r>
      <w:r w:rsidR="00837E10">
        <w:rPr>
          <w:rFonts w:ascii="Century" w:hAnsi="Century"/>
        </w:rPr>
        <w:t xml:space="preserve">. </w:t>
      </w:r>
      <w:r w:rsidRPr="00B96ED6">
        <w:rPr>
          <w:rFonts w:ascii="Century" w:hAnsi="Century"/>
        </w:rPr>
        <w:t xml:space="preserve">MacMenamin J rejected the High Court’s determination that mandatory considerations like ensuring a proposed </w:t>
      </w:r>
      <w:r w:rsidR="00355C36">
        <w:rPr>
          <w:rFonts w:ascii="Century" w:hAnsi="Century"/>
        </w:rPr>
        <w:t>SEO</w:t>
      </w:r>
      <w:r w:rsidRPr="00B96ED6">
        <w:rPr>
          <w:rFonts w:ascii="Century" w:hAnsi="Century"/>
        </w:rPr>
        <w:t xml:space="preserve"> is </w:t>
      </w:r>
      <w:r w:rsidR="008536CA">
        <w:rPr>
          <w:rFonts w:ascii="Century" w:hAnsi="Century"/>
        </w:rPr>
        <w:t>‘</w:t>
      </w:r>
      <w:r w:rsidRPr="00B96ED6">
        <w:rPr>
          <w:rFonts w:ascii="Century" w:hAnsi="Century"/>
        </w:rPr>
        <w:t>substantially representative</w:t>
      </w:r>
      <w:r w:rsidR="008536CA">
        <w:rPr>
          <w:rFonts w:ascii="Century" w:hAnsi="Century"/>
        </w:rPr>
        <w:t>’</w:t>
      </w:r>
      <w:r w:rsidRPr="00B96ED6">
        <w:rPr>
          <w:rFonts w:ascii="Century" w:hAnsi="Century"/>
        </w:rPr>
        <w:t xml:space="preserve"> of an </w:t>
      </w:r>
      <w:r w:rsidR="008536CA">
        <w:rPr>
          <w:rFonts w:ascii="Century" w:hAnsi="Century"/>
        </w:rPr>
        <w:t>‘</w:t>
      </w:r>
      <w:r w:rsidRPr="00B96ED6">
        <w:rPr>
          <w:rFonts w:ascii="Century" w:hAnsi="Century"/>
        </w:rPr>
        <w:t>economic sector</w:t>
      </w:r>
      <w:r w:rsidR="008536CA">
        <w:rPr>
          <w:rFonts w:ascii="Century" w:hAnsi="Century"/>
        </w:rPr>
        <w:t>’</w:t>
      </w:r>
      <w:r w:rsidRPr="00B96ED6">
        <w:rPr>
          <w:rFonts w:ascii="Century" w:hAnsi="Century"/>
        </w:rPr>
        <w:t xml:space="preserve"> and would be </w:t>
      </w:r>
      <w:r w:rsidR="008536CA">
        <w:rPr>
          <w:rFonts w:ascii="Century" w:hAnsi="Century"/>
        </w:rPr>
        <w:t>‘</w:t>
      </w:r>
      <w:r w:rsidRPr="00B96ED6">
        <w:rPr>
          <w:rFonts w:ascii="Century" w:hAnsi="Century"/>
        </w:rPr>
        <w:t>normal and desirable</w:t>
      </w:r>
      <w:r w:rsidR="008536CA">
        <w:rPr>
          <w:rFonts w:ascii="Century" w:hAnsi="Century"/>
        </w:rPr>
        <w:t>’</w:t>
      </w:r>
      <w:r w:rsidRPr="00B96ED6">
        <w:rPr>
          <w:rFonts w:ascii="Century" w:hAnsi="Century"/>
        </w:rPr>
        <w:t xml:space="preserve"> or </w:t>
      </w:r>
      <w:r w:rsidR="008536CA">
        <w:rPr>
          <w:rFonts w:ascii="Century" w:hAnsi="Century"/>
        </w:rPr>
        <w:t>‘</w:t>
      </w:r>
      <w:r w:rsidRPr="00B96ED6">
        <w:rPr>
          <w:rFonts w:ascii="Century" w:hAnsi="Century"/>
        </w:rPr>
        <w:t>expedient</w:t>
      </w:r>
      <w:r w:rsidR="008536CA">
        <w:rPr>
          <w:rFonts w:ascii="Century" w:hAnsi="Century"/>
        </w:rPr>
        <w:t>’</w:t>
      </w:r>
      <w:r w:rsidRPr="00B96ED6">
        <w:rPr>
          <w:rFonts w:ascii="Century" w:hAnsi="Century"/>
        </w:rPr>
        <w:t xml:space="preserve"> to adopt </w:t>
      </w:r>
      <w:r w:rsidR="00355C36">
        <w:rPr>
          <w:rFonts w:ascii="Century" w:hAnsi="Century"/>
        </w:rPr>
        <w:t xml:space="preserve">its terms concerning renumeration and working conditions, </w:t>
      </w:r>
      <w:r w:rsidRPr="00B96ED6">
        <w:rPr>
          <w:rFonts w:ascii="Century" w:hAnsi="Century"/>
        </w:rPr>
        <w:t>provided too little direction</w:t>
      </w:r>
      <w:r w:rsidR="00F13011">
        <w:rPr>
          <w:rFonts w:ascii="Century" w:hAnsi="Century"/>
        </w:rPr>
        <w:t xml:space="preserve"> to be Article 15 compliant</w:t>
      </w:r>
      <w:r w:rsidRPr="00B96ED6">
        <w:rPr>
          <w:rFonts w:ascii="Century" w:hAnsi="Century"/>
        </w:rPr>
        <w:t xml:space="preserve">. </w:t>
      </w:r>
    </w:p>
    <w:p w14:paraId="3B29F81D" w14:textId="77777777" w:rsidR="00A17748" w:rsidRDefault="00A17748" w:rsidP="00A17748">
      <w:pPr>
        <w:spacing w:line="480" w:lineRule="auto"/>
        <w:jc w:val="both"/>
        <w:rPr>
          <w:rFonts w:ascii="Century" w:hAnsi="Century"/>
        </w:rPr>
      </w:pPr>
    </w:p>
    <w:p w14:paraId="45E4FCB6" w14:textId="49BE87C5" w:rsidR="000D441C" w:rsidRPr="00B30563" w:rsidRDefault="000D441C" w:rsidP="00A17748">
      <w:pPr>
        <w:spacing w:line="480" w:lineRule="auto"/>
        <w:jc w:val="both"/>
        <w:rPr>
          <w:rFonts w:ascii="Century" w:hAnsi="Century"/>
        </w:rPr>
      </w:pPr>
      <w:r w:rsidRPr="00B96ED6">
        <w:rPr>
          <w:rFonts w:ascii="Century" w:hAnsi="Century"/>
        </w:rPr>
        <w:t xml:space="preserve">While agreeing </w:t>
      </w:r>
      <w:r w:rsidR="00FD58CC">
        <w:rPr>
          <w:rFonts w:ascii="Century" w:hAnsi="Century"/>
        </w:rPr>
        <w:t xml:space="preserve">Chapter III contained </w:t>
      </w:r>
      <w:r w:rsidRPr="00B96ED6">
        <w:rPr>
          <w:rFonts w:ascii="Century" w:hAnsi="Century"/>
        </w:rPr>
        <w:t>broad and capacious</w:t>
      </w:r>
      <w:r w:rsidR="00355C36">
        <w:rPr>
          <w:rFonts w:ascii="Century" w:hAnsi="Century"/>
        </w:rPr>
        <w:t xml:space="preserve"> statutory</w:t>
      </w:r>
      <w:r w:rsidRPr="00B96ED6">
        <w:rPr>
          <w:rFonts w:ascii="Century" w:hAnsi="Century"/>
        </w:rPr>
        <w:t xml:space="preserve"> terms that </w:t>
      </w:r>
      <w:r w:rsidR="00FD58CC">
        <w:rPr>
          <w:rFonts w:ascii="Century" w:hAnsi="Century"/>
        </w:rPr>
        <w:t>could be</w:t>
      </w:r>
      <w:r w:rsidRPr="00B96ED6">
        <w:rPr>
          <w:rFonts w:ascii="Century" w:hAnsi="Century"/>
        </w:rPr>
        <w:t xml:space="preserve"> </w:t>
      </w:r>
      <w:r w:rsidR="008536CA">
        <w:rPr>
          <w:rFonts w:ascii="Century" w:hAnsi="Century"/>
        </w:rPr>
        <w:t>‘</w:t>
      </w:r>
      <w:r w:rsidRPr="00B96ED6">
        <w:rPr>
          <w:rFonts w:ascii="Century" w:hAnsi="Century"/>
        </w:rPr>
        <w:t>far-reaching</w:t>
      </w:r>
      <w:r w:rsidR="008536CA">
        <w:rPr>
          <w:rFonts w:ascii="Century" w:hAnsi="Century"/>
        </w:rPr>
        <w:t>’</w:t>
      </w:r>
      <w:r w:rsidRPr="00B96ED6">
        <w:rPr>
          <w:rStyle w:val="FootnoteReference"/>
          <w:rFonts w:ascii="Century" w:hAnsi="Century"/>
        </w:rPr>
        <w:footnoteReference w:id="45"/>
      </w:r>
      <w:r w:rsidR="00355C36">
        <w:rPr>
          <w:rFonts w:ascii="Century" w:hAnsi="Century"/>
        </w:rPr>
        <w:t xml:space="preserve"> in their consequences</w:t>
      </w:r>
      <w:r w:rsidRPr="00B96ED6">
        <w:rPr>
          <w:rFonts w:ascii="Century" w:hAnsi="Century"/>
        </w:rPr>
        <w:t xml:space="preserve">, MacMenamin J </w:t>
      </w:r>
      <w:r w:rsidR="00355C36">
        <w:rPr>
          <w:rFonts w:ascii="Century" w:hAnsi="Century"/>
        </w:rPr>
        <w:t>held</w:t>
      </w:r>
      <w:r w:rsidRPr="00B96ED6">
        <w:rPr>
          <w:rFonts w:ascii="Century" w:hAnsi="Century"/>
        </w:rPr>
        <w:t xml:space="preserve"> it </w:t>
      </w:r>
      <w:r w:rsidR="00355C36">
        <w:rPr>
          <w:rFonts w:ascii="Century" w:hAnsi="Century"/>
        </w:rPr>
        <w:t>was</w:t>
      </w:r>
      <w:r w:rsidRPr="00B96ED6">
        <w:rPr>
          <w:rFonts w:ascii="Century" w:hAnsi="Century"/>
        </w:rPr>
        <w:t xml:space="preserve"> within the Oireachtas’ authority and prerogative to delegate broad</w:t>
      </w:r>
      <w:r w:rsidR="00355C36">
        <w:rPr>
          <w:rFonts w:ascii="Century" w:hAnsi="Century"/>
        </w:rPr>
        <w:t xml:space="preserve"> normative</w:t>
      </w:r>
      <w:r w:rsidRPr="00B96ED6">
        <w:rPr>
          <w:rFonts w:ascii="Century" w:hAnsi="Century"/>
        </w:rPr>
        <w:t xml:space="preserve"> discretion</w:t>
      </w:r>
      <w:r w:rsidR="00FD58CC">
        <w:rPr>
          <w:rFonts w:ascii="Century" w:hAnsi="Century"/>
        </w:rPr>
        <w:t>,</w:t>
      </w:r>
      <w:r w:rsidR="00355C36">
        <w:rPr>
          <w:rFonts w:ascii="Century" w:hAnsi="Century"/>
        </w:rPr>
        <w:t xml:space="preserve"> provide</w:t>
      </w:r>
      <w:r w:rsidR="00A17748">
        <w:rPr>
          <w:rFonts w:ascii="Century" w:hAnsi="Century"/>
        </w:rPr>
        <w:t>d</w:t>
      </w:r>
      <w:r w:rsidR="00355C36">
        <w:rPr>
          <w:rFonts w:ascii="Century" w:hAnsi="Century"/>
        </w:rPr>
        <w:t xml:space="preserve"> it did not substantially represent an alienation.</w:t>
      </w:r>
      <w:r w:rsidRPr="00B96ED6">
        <w:rPr>
          <w:rFonts w:ascii="Century" w:hAnsi="Century"/>
        </w:rPr>
        <w:t xml:space="preserve"> </w:t>
      </w:r>
      <w:r w:rsidR="00B773F6">
        <w:rPr>
          <w:rFonts w:ascii="Century" w:hAnsi="Century"/>
        </w:rPr>
        <w:t>MacMenamin J bolstered his</w:t>
      </w:r>
      <w:r w:rsidRPr="00B96ED6">
        <w:rPr>
          <w:rFonts w:ascii="Century" w:hAnsi="Century"/>
        </w:rPr>
        <w:t xml:space="preserve"> conclusion </w:t>
      </w:r>
      <w:r w:rsidR="00B773F6">
        <w:rPr>
          <w:rFonts w:ascii="Century" w:hAnsi="Century"/>
        </w:rPr>
        <w:t>on Chapter III’s constitutionality by observing</w:t>
      </w:r>
      <w:r w:rsidRPr="00B96ED6">
        <w:rPr>
          <w:rFonts w:ascii="Century" w:hAnsi="Century"/>
        </w:rPr>
        <w:t xml:space="preserve"> that the </w:t>
      </w:r>
      <w:proofErr w:type="spellStart"/>
      <w:r w:rsidRPr="00B96ED6">
        <w:rPr>
          <w:rFonts w:ascii="Century" w:hAnsi="Century"/>
        </w:rPr>
        <w:t>Labour</w:t>
      </w:r>
      <w:proofErr w:type="spellEnd"/>
      <w:r w:rsidRPr="00B96ED6">
        <w:rPr>
          <w:rFonts w:ascii="Century" w:hAnsi="Century"/>
        </w:rPr>
        <w:t xml:space="preserve"> Court was constrained by a need to be satisfied </w:t>
      </w:r>
      <w:r w:rsidR="00355C36">
        <w:rPr>
          <w:rFonts w:ascii="Century" w:hAnsi="Century"/>
        </w:rPr>
        <w:t>an SEO</w:t>
      </w:r>
      <w:r w:rsidRPr="00B96ED6">
        <w:rPr>
          <w:rFonts w:ascii="Century" w:hAnsi="Century"/>
        </w:rPr>
        <w:t xml:space="preserve"> will satisfy</w:t>
      </w:r>
      <w:r w:rsidR="00355C36">
        <w:rPr>
          <w:rFonts w:ascii="Century" w:hAnsi="Century"/>
        </w:rPr>
        <w:t xml:space="preserve"> </w:t>
      </w:r>
      <w:r w:rsidR="00F13011">
        <w:rPr>
          <w:rFonts w:ascii="Century" w:hAnsi="Century"/>
        </w:rPr>
        <w:t>several</w:t>
      </w:r>
      <w:r w:rsidR="00F13011" w:rsidRPr="00B96ED6">
        <w:rPr>
          <w:rFonts w:ascii="Century" w:hAnsi="Century"/>
        </w:rPr>
        <w:t xml:space="preserve"> </w:t>
      </w:r>
      <w:r w:rsidR="008536CA">
        <w:rPr>
          <w:rFonts w:ascii="Century" w:hAnsi="Century"/>
        </w:rPr>
        <w:lastRenderedPageBreak/>
        <w:t>‘</w:t>
      </w:r>
      <w:r w:rsidRPr="00B96ED6">
        <w:rPr>
          <w:rFonts w:ascii="Century" w:hAnsi="Century"/>
        </w:rPr>
        <w:t>legislative goals</w:t>
      </w:r>
      <w:r w:rsidR="008536CA">
        <w:rPr>
          <w:rFonts w:ascii="Century" w:hAnsi="Century"/>
        </w:rPr>
        <w:t>’</w:t>
      </w:r>
      <w:r w:rsidRPr="00B96ED6">
        <w:rPr>
          <w:rStyle w:val="FootnoteReference"/>
          <w:rFonts w:ascii="Century" w:hAnsi="Century"/>
        </w:rPr>
        <w:footnoteReference w:id="46"/>
      </w:r>
      <w:r w:rsidRPr="00B96ED6">
        <w:rPr>
          <w:rFonts w:ascii="Century" w:hAnsi="Century"/>
        </w:rPr>
        <w:t xml:space="preserve"> set by the Oireachtas</w:t>
      </w:r>
      <w:r w:rsidR="00F13011">
        <w:rPr>
          <w:rFonts w:ascii="Century" w:hAnsi="Century"/>
        </w:rPr>
        <w:t xml:space="preserve"> in the delegating statute</w:t>
      </w:r>
      <w:r w:rsidR="00355C36">
        <w:rPr>
          <w:rFonts w:ascii="Century" w:hAnsi="Century"/>
        </w:rPr>
        <w:t>,</w:t>
      </w:r>
      <w:r w:rsidR="00FD58CC">
        <w:rPr>
          <w:rFonts w:ascii="Century" w:hAnsi="Century"/>
        </w:rPr>
        <w:t xml:space="preserve"> namely</w:t>
      </w:r>
      <w:r w:rsidR="00355C36">
        <w:rPr>
          <w:rFonts w:ascii="Century" w:hAnsi="Century"/>
        </w:rPr>
        <w:t xml:space="preserve"> that it will</w:t>
      </w:r>
      <w:r w:rsidRPr="00B96ED6">
        <w:rPr>
          <w:rFonts w:ascii="Century" w:hAnsi="Century"/>
        </w:rPr>
        <w:t xml:space="preserve"> </w:t>
      </w:r>
      <w:r w:rsidR="008536CA">
        <w:rPr>
          <w:rFonts w:ascii="Century" w:hAnsi="Century"/>
        </w:rPr>
        <w:t>‘</w:t>
      </w:r>
      <w:r w:rsidRPr="00B96ED6">
        <w:rPr>
          <w:rFonts w:ascii="Century" w:hAnsi="Century" w:cs="Times New Roman"/>
        </w:rPr>
        <w:t>promote harmonious  relations  between  workers  and  employers  and  assist in  the  avoidance  of  industrial  unrest  in  the  economic  sector  concerned</w:t>
      </w:r>
      <w:r w:rsidR="008536CA">
        <w:rPr>
          <w:rFonts w:ascii="Century" w:hAnsi="Century" w:cs="Times New Roman"/>
        </w:rPr>
        <w:t>’</w:t>
      </w:r>
      <w:r w:rsidRPr="00B96ED6">
        <w:rPr>
          <w:rFonts w:ascii="Century" w:hAnsi="Century" w:cs="Times New Roman"/>
        </w:rPr>
        <w:t xml:space="preserve"> and is reasonably necessary to </w:t>
      </w:r>
      <w:r w:rsidR="008536CA">
        <w:rPr>
          <w:rFonts w:ascii="Century" w:hAnsi="Century" w:cs="Times New Roman"/>
        </w:rPr>
        <w:t>‘</w:t>
      </w:r>
      <w:r w:rsidRPr="00B96ED6">
        <w:rPr>
          <w:rFonts w:ascii="Century" w:hAnsi="Century" w:cs="Times New Roman"/>
        </w:rPr>
        <w:t>promote  and  preserve  high  standards  of  training  and  qualification</w:t>
      </w:r>
      <w:r w:rsidR="008536CA">
        <w:rPr>
          <w:rFonts w:ascii="Century" w:hAnsi="Century" w:cs="Times New Roman"/>
        </w:rPr>
        <w:t>’</w:t>
      </w:r>
      <w:r w:rsidRPr="00B96ED6">
        <w:rPr>
          <w:rFonts w:ascii="Century" w:hAnsi="Century" w:cs="Times New Roman"/>
        </w:rPr>
        <w:t xml:space="preserve">  and </w:t>
      </w:r>
      <w:r w:rsidR="008536CA">
        <w:rPr>
          <w:rFonts w:ascii="Century" w:hAnsi="Century" w:cs="Times New Roman"/>
        </w:rPr>
        <w:t>‘</w:t>
      </w:r>
      <w:r w:rsidRPr="00B96ED6">
        <w:rPr>
          <w:rFonts w:ascii="Century" w:hAnsi="Century" w:cs="Times New Roman"/>
        </w:rPr>
        <w:t>ensure  fair  and  sustainable  rates  of  remuneration, in  the  economic  sector  concerned.</w:t>
      </w:r>
      <w:r w:rsidR="008536CA">
        <w:rPr>
          <w:rFonts w:ascii="Century" w:hAnsi="Century" w:cs="Times New Roman"/>
        </w:rPr>
        <w:t>’</w:t>
      </w:r>
      <w:r w:rsidRPr="00B96ED6">
        <w:rPr>
          <w:rStyle w:val="FootnoteReference"/>
          <w:rFonts w:ascii="Century" w:hAnsi="Century" w:cs="Times New Roman"/>
        </w:rPr>
        <w:footnoteReference w:id="47"/>
      </w:r>
      <w:r w:rsidRPr="00B96ED6">
        <w:rPr>
          <w:rFonts w:ascii="Century" w:hAnsi="Century" w:cs="Times New Roman"/>
        </w:rPr>
        <w:t xml:space="preserve"> Aside from these </w:t>
      </w:r>
      <w:r w:rsidR="008536CA">
        <w:rPr>
          <w:rFonts w:ascii="Century" w:hAnsi="Century" w:cs="Times New Roman"/>
        </w:rPr>
        <w:t>‘</w:t>
      </w:r>
      <w:r w:rsidRPr="00B96ED6">
        <w:rPr>
          <w:rFonts w:ascii="Century" w:hAnsi="Century" w:cs="Times New Roman"/>
        </w:rPr>
        <w:t>outcome</w:t>
      </w:r>
      <w:r w:rsidR="008536CA">
        <w:rPr>
          <w:rFonts w:ascii="Century" w:hAnsi="Century" w:cs="Times New Roman"/>
        </w:rPr>
        <w:t>’</w:t>
      </w:r>
      <w:r w:rsidRPr="00B96ED6">
        <w:rPr>
          <w:rFonts w:ascii="Century" w:hAnsi="Century" w:cs="Times New Roman"/>
        </w:rPr>
        <w:t xml:space="preserve"> related criteria, MacMenamin J notes the Oireachtas</w:t>
      </w:r>
      <w:r w:rsidR="00F13011">
        <w:rPr>
          <w:rFonts w:ascii="Century" w:hAnsi="Century" w:cs="Times New Roman"/>
        </w:rPr>
        <w:t xml:space="preserve"> also</w:t>
      </w:r>
      <w:r w:rsidRPr="00B96ED6">
        <w:rPr>
          <w:rFonts w:ascii="Century" w:hAnsi="Century" w:cs="Times New Roman"/>
        </w:rPr>
        <w:t xml:space="preserve"> provided guidance by mandating the </w:t>
      </w:r>
      <w:proofErr w:type="spellStart"/>
      <w:r w:rsidRPr="00B96ED6">
        <w:rPr>
          <w:rFonts w:ascii="Century" w:hAnsi="Century" w:cs="Times New Roman"/>
        </w:rPr>
        <w:t>Labour</w:t>
      </w:r>
      <w:proofErr w:type="spellEnd"/>
      <w:r w:rsidRPr="00B96ED6">
        <w:rPr>
          <w:rFonts w:ascii="Century" w:hAnsi="Century" w:cs="Times New Roman"/>
        </w:rPr>
        <w:t xml:space="preserve"> Court have regard to several policy/moral considerations</w:t>
      </w:r>
      <w:r w:rsidR="00355C36">
        <w:rPr>
          <w:rFonts w:ascii="Century" w:hAnsi="Century" w:cs="Times New Roman"/>
        </w:rPr>
        <w:t xml:space="preserve"> in s</w:t>
      </w:r>
      <w:r w:rsidR="008536CA">
        <w:rPr>
          <w:rFonts w:ascii="Century" w:hAnsi="Century" w:cs="Times New Roman"/>
        </w:rPr>
        <w:t xml:space="preserve"> </w:t>
      </w:r>
      <w:r w:rsidR="00355C36">
        <w:rPr>
          <w:rFonts w:ascii="Century" w:hAnsi="Century" w:cs="Times New Roman"/>
        </w:rPr>
        <w:t>16 before issuing an SEO recommendation</w:t>
      </w:r>
      <w:r w:rsidRPr="00B96ED6">
        <w:rPr>
          <w:rFonts w:ascii="Century" w:hAnsi="Century" w:cs="Times New Roman"/>
        </w:rPr>
        <w:t>.</w:t>
      </w:r>
      <w:r w:rsidR="00355C36">
        <w:rPr>
          <w:rStyle w:val="FootnoteReference"/>
          <w:rFonts w:ascii="Century" w:hAnsi="Century" w:cs="Times New Roman"/>
        </w:rPr>
        <w:footnoteReference w:id="48"/>
      </w:r>
      <w:r w:rsidRPr="00B96ED6">
        <w:rPr>
          <w:rFonts w:ascii="Century" w:hAnsi="Century" w:cs="Times New Roman"/>
        </w:rPr>
        <w:t xml:space="preserve"> </w:t>
      </w:r>
    </w:p>
    <w:p w14:paraId="7CBF9C98" w14:textId="77777777" w:rsidR="000D441C" w:rsidRPr="00B96ED6" w:rsidRDefault="000D441C" w:rsidP="00E81877">
      <w:pPr>
        <w:spacing w:line="480" w:lineRule="auto"/>
        <w:jc w:val="both"/>
        <w:rPr>
          <w:rFonts w:ascii="Century" w:hAnsi="Century" w:cs="Times New Roman"/>
        </w:rPr>
      </w:pPr>
    </w:p>
    <w:p w14:paraId="1718A5B1" w14:textId="2D6B726D" w:rsidR="000D441C" w:rsidRPr="008B332A" w:rsidRDefault="00355C36" w:rsidP="00E81877">
      <w:pPr>
        <w:spacing w:line="480" w:lineRule="auto"/>
        <w:jc w:val="both"/>
        <w:rPr>
          <w:rFonts w:ascii="Century" w:hAnsi="Century" w:cs="Times New Roman"/>
        </w:rPr>
      </w:pPr>
      <w:r>
        <w:rPr>
          <w:rFonts w:ascii="Century" w:hAnsi="Century" w:cs="Times New Roman"/>
        </w:rPr>
        <w:t>Thus, while the Supreme Court accepted Chapter III effected a</w:t>
      </w:r>
      <w:r w:rsidR="000D441C" w:rsidRPr="00B96ED6">
        <w:rPr>
          <w:rFonts w:ascii="Century" w:hAnsi="Century" w:cs="Times New Roman"/>
        </w:rPr>
        <w:t xml:space="preserve"> broad delegation </w:t>
      </w:r>
      <w:r w:rsidR="00FD58CC">
        <w:rPr>
          <w:rFonts w:ascii="Century" w:hAnsi="Century" w:cs="Times New Roman"/>
        </w:rPr>
        <w:t>of</w:t>
      </w:r>
      <w:r w:rsidR="000D441C" w:rsidRPr="00B96ED6">
        <w:rPr>
          <w:rFonts w:ascii="Century" w:hAnsi="Century" w:cs="Times New Roman"/>
        </w:rPr>
        <w:t xml:space="preserve"> </w:t>
      </w:r>
      <w:r w:rsidRPr="00B96ED6">
        <w:rPr>
          <w:rFonts w:ascii="Century" w:hAnsi="Century" w:cs="Times New Roman"/>
        </w:rPr>
        <w:t>authority,</w:t>
      </w:r>
      <w:r w:rsidR="000D441C" w:rsidRPr="00B96ED6">
        <w:rPr>
          <w:rFonts w:ascii="Century" w:hAnsi="Century" w:cs="Times New Roman"/>
        </w:rPr>
        <w:t xml:space="preserve"> </w:t>
      </w:r>
      <w:r>
        <w:rPr>
          <w:rFonts w:ascii="Century" w:hAnsi="Century" w:cs="Times New Roman"/>
        </w:rPr>
        <w:t>they found that</w:t>
      </w:r>
      <w:r w:rsidR="000D441C" w:rsidRPr="00B96ED6">
        <w:rPr>
          <w:rFonts w:ascii="Century" w:hAnsi="Century" w:cs="Times New Roman"/>
        </w:rPr>
        <w:t xml:space="preserve"> when one assessed the </w:t>
      </w:r>
      <w:r w:rsidR="008536CA">
        <w:rPr>
          <w:rFonts w:ascii="Century" w:hAnsi="Century" w:cs="Times New Roman"/>
        </w:rPr>
        <w:t>‘</w:t>
      </w:r>
      <w:r w:rsidR="000D441C" w:rsidRPr="00B96ED6">
        <w:rPr>
          <w:rFonts w:ascii="Century" w:hAnsi="Century" w:cs="Times New Roman"/>
        </w:rPr>
        <w:t>overall and cumulative effect</w:t>
      </w:r>
      <w:r w:rsidR="008536CA">
        <w:rPr>
          <w:rFonts w:ascii="Century" w:hAnsi="Century" w:cs="Times New Roman"/>
        </w:rPr>
        <w:t>’</w:t>
      </w:r>
      <w:r w:rsidR="000D441C" w:rsidRPr="00B96ED6">
        <w:rPr>
          <w:rStyle w:val="FootnoteReference"/>
          <w:rFonts w:ascii="Century" w:hAnsi="Century" w:cs="Times New Roman"/>
        </w:rPr>
        <w:footnoteReference w:id="49"/>
      </w:r>
      <w:r w:rsidR="000D441C" w:rsidRPr="00B96ED6">
        <w:rPr>
          <w:rFonts w:ascii="Century" w:hAnsi="Century" w:cs="Times New Roman"/>
        </w:rPr>
        <w:t xml:space="preserve"> of the statutory provisions in question the</w:t>
      </w:r>
      <w:r w:rsidR="00FD58CC">
        <w:rPr>
          <w:rFonts w:ascii="Century" w:hAnsi="Century" w:cs="Times New Roman"/>
        </w:rPr>
        <w:t>y</w:t>
      </w:r>
      <w:r w:rsidR="000D441C" w:rsidRPr="00B96ED6">
        <w:rPr>
          <w:rFonts w:ascii="Century" w:hAnsi="Century" w:cs="Times New Roman"/>
        </w:rPr>
        <w:t xml:space="preserve"> were not </w:t>
      </w:r>
      <w:r w:rsidR="008536CA">
        <w:rPr>
          <w:rFonts w:ascii="Century" w:hAnsi="Century" w:cs="Times New Roman"/>
        </w:rPr>
        <w:t>‘</w:t>
      </w:r>
      <w:r w:rsidR="000D441C" w:rsidRPr="00B96ED6">
        <w:rPr>
          <w:rFonts w:ascii="Century" w:hAnsi="Century" w:cs="Times New Roman"/>
        </w:rPr>
        <w:t>too imprecise to provide any meaningful</w:t>
      </w:r>
      <w:r w:rsidR="008536CA">
        <w:rPr>
          <w:rFonts w:ascii="Century" w:hAnsi="Century" w:cs="Times New Roman"/>
        </w:rPr>
        <w:t>’</w:t>
      </w:r>
      <w:r w:rsidR="000D441C" w:rsidRPr="00B96ED6">
        <w:rPr>
          <w:rFonts w:ascii="Century" w:hAnsi="Century" w:cs="Times New Roman"/>
        </w:rPr>
        <w:t xml:space="preserve"> guidance that would make a broad </w:t>
      </w:r>
      <w:r w:rsidR="00FD58CC">
        <w:rPr>
          <w:rFonts w:ascii="Century" w:hAnsi="Century" w:cs="Times New Roman"/>
        </w:rPr>
        <w:t>vesting of rulemaking</w:t>
      </w:r>
      <w:r w:rsidR="006F3422">
        <w:rPr>
          <w:rFonts w:ascii="Century" w:hAnsi="Century" w:cs="Times New Roman"/>
        </w:rPr>
        <w:t xml:space="preserve"> discretion</w:t>
      </w:r>
      <w:r w:rsidR="00FD58CC">
        <w:rPr>
          <w:rFonts w:ascii="Century" w:hAnsi="Century" w:cs="Times New Roman"/>
        </w:rPr>
        <w:t xml:space="preserve"> </w:t>
      </w:r>
      <w:r w:rsidR="000D441C" w:rsidRPr="00B96ED6">
        <w:rPr>
          <w:rFonts w:ascii="Century" w:hAnsi="Century" w:cs="Times New Roman"/>
        </w:rPr>
        <w:t>elide into an alienation of</w:t>
      </w:r>
      <w:r w:rsidR="00FD58CC">
        <w:rPr>
          <w:rFonts w:ascii="Century" w:hAnsi="Century" w:cs="Times New Roman"/>
        </w:rPr>
        <w:t xml:space="preserve"> Article</w:t>
      </w:r>
      <w:r w:rsidR="00076D76">
        <w:rPr>
          <w:rFonts w:ascii="Century" w:hAnsi="Century" w:cs="Times New Roman"/>
        </w:rPr>
        <w:t xml:space="preserve"> 15 </w:t>
      </w:r>
      <w:r w:rsidR="000D441C" w:rsidRPr="00B96ED6">
        <w:rPr>
          <w:rFonts w:ascii="Century" w:hAnsi="Century" w:cs="Times New Roman"/>
        </w:rPr>
        <w:t>authority</w:t>
      </w:r>
      <w:r w:rsidR="00FD58CC">
        <w:rPr>
          <w:rFonts w:ascii="Century" w:hAnsi="Century" w:cs="Times New Roman"/>
        </w:rPr>
        <w:t xml:space="preserve"> to make laws</w:t>
      </w:r>
      <w:r w:rsidR="000D441C" w:rsidRPr="00B96ED6">
        <w:rPr>
          <w:rFonts w:ascii="Century" w:hAnsi="Century" w:cs="Times New Roman"/>
        </w:rPr>
        <w:t xml:space="preserve">. The fact the choices left to the </w:t>
      </w:r>
      <w:proofErr w:type="spellStart"/>
      <w:r w:rsidR="000D441C" w:rsidRPr="00B96ED6">
        <w:rPr>
          <w:rFonts w:ascii="Century" w:hAnsi="Century" w:cs="Times New Roman"/>
        </w:rPr>
        <w:t>Labour</w:t>
      </w:r>
      <w:proofErr w:type="spellEnd"/>
      <w:r w:rsidR="000D441C" w:rsidRPr="00B96ED6">
        <w:rPr>
          <w:rFonts w:ascii="Century" w:hAnsi="Century" w:cs="Times New Roman"/>
        </w:rPr>
        <w:t xml:space="preserve"> Court were broad and inevitably</w:t>
      </w:r>
      <w:r w:rsidR="002B6774">
        <w:rPr>
          <w:rFonts w:ascii="Century" w:hAnsi="Century" w:cs="Times New Roman"/>
        </w:rPr>
        <w:t xml:space="preserve"> involved</w:t>
      </w:r>
      <w:r w:rsidR="000D441C" w:rsidRPr="00B96ED6">
        <w:rPr>
          <w:rFonts w:ascii="Century" w:hAnsi="Century" w:cs="Times New Roman"/>
        </w:rPr>
        <w:t xml:space="preserve"> policy </w:t>
      </w:r>
      <w:r w:rsidR="002B6774">
        <w:rPr>
          <w:rFonts w:ascii="Century" w:hAnsi="Century" w:cs="Times New Roman"/>
        </w:rPr>
        <w:t>choices</w:t>
      </w:r>
      <w:r w:rsidR="000D441C" w:rsidRPr="00B96ED6">
        <w:rPr>
          <w:rFonts w:ascii="Century" w:hAnsi="Century" w:cs="Times New Roman"/>
        </w:rPr>
        <w:t xml:space="preserve"> – for example decisions that might affect different stakeholders in a</w:t>
      </w:r>
      <w:r>
        <w:rPr>
          <w:rFonts w:ascii="Century" w:hAnsi="Century" w:cs="Times New Roman"/>
        </w:rPr>
        <w:t>n economic</w:t>
      </w:r>
      <w:r w:rsidR="000D441C" w:rsidRPr="00B96ED6">
        <w:rPr>
          <w:rFonts w:ascii="Century" w:hAnsi="Century" w:cs="Times New Roman"/>
        </w:rPr>
        <w:t xml:space="preserve"> sector in very divergent ways </w:t>
      </w:r>
      <w:r>
        <w:rPr>
          <w:rFonts w:ascii="Century" w:hAnsi="Century" w:cs="Times New Roman"/>
        </w:rPr>
        <w:t>–</w:t>
      </w:r>
      <w:r w:rsidR="000D441C" w:rsidRPr="00B96ED6">
        <w:rPr>
          <w:rFonts w:ascii="Century" w:hAnsi="Century" w:cs="Times New Roman"/>
        </w:rPr>
        <w:t xml:space="preserve"> </w:t>
      </w:r>
      <w:r>
        <w:rPr>
          <w:rFonts w:ascii="Century" w:hAnsi="Century" w:cs="Times New Roman"/>
        </w:rPr>
        <w:t>did not</w:t>
      </w:r>
      <w:r w:rsidR="00F13011">
        <w:rPr>
          <w:rFonts w:ascii="Century" w:hAnsi="Century" w:cs="Times New Roman"/>
        </w:rPr>
        <w:t xml:space="preserve">, </w:t>
      </w:r>
      <w:r w:rsidR="00382F52">
        <w:rPr>
          <w:rFonts w:ascii="Century" w:hAnsi="Century" w:cs="Times New Roman"/>
        </w:rPr>
        <w:t>of itself</w:t>
      </w:r>
      <w:r w:rsidR="00F13011">
        <w:rPr>
          <w:rFonts w:ascii="Century" w:hAnsi="Century" w:cs="Times New Roman"/>
        </w:rPr>
        <w:t>,</w:t>
      </w:r>
      <w:r>
        <w:rPr>
          <w:rFonts w:ascii="Century" w:hAnsi="Century" w:cs="Times New Roman"/>
        </w:rPr>
        <w:t xml:space="preserve"> </w:t>
      </w:r>
      <w:r w:rsidR="002B6774">
        <w:rPr>
          <w:rFonts w:ascii="Century" w:hAnsi="Century" w:cs="Times New Roman"/>
        </w:rPr>
        <w:t>make</w:t>
      </w:r>
      <w:r>
        <w:rPr>
          <w:rFonts w:ascii="Century" w:hAnsi="Century" w:cs="Times New Roman"/>
        </w:rPr>
        <w:t xml:space="preserve"> Chapter III</w:t>
      </w:r>
      <w:r w:rsidR="000D441C" w:rsidRPr="00B96ED6">
        <w:rPr>
          <w:rFonts w:ascii="Century" w:hAnsi="Century" w:cs="Times New Roman"/>
        </w:rPr>
        <w:t xml:space="preserve"> an alienation of legislative power</w:t>
      </w:r>
      <w:r w:rsidR="002B6774">
        <w:rPr>
          <w:rFonts w:ascii="Century" w:hAnsi="Century" w:cs="Times New Roman"/>
        </w:rPr>
        <w:t xml:space="preserve">. Instead, the </w:t>
      </w:r>
      <w:proofErr w:type="spellStart"/>
      <w:r w:rsidR="002B6774">
        <w:rPr>
          <w:rFonts w:ascii="Century" w:hAnsi="Century" w:cs="Times New Roman"/>
        </w:rPr>
        <w:t>Labour</w:t>
      </w:r>
      <w:proofErr w:type="spellEnd"/>
      <w:r w:rsidR="002B6774">
        <w:rPr>
          <w:rFonts w:ascii="Century" w:hAnsi="Century" w:cs="Times New Roman"/>
        </w:rPr>
        <w:t xml:space="preserve"> Court’s wide decision-making powers were a </w:t>
      </w:r>
      <w:r w:rsidR="000D441C" w:rsidRPr="00B96ED6">
        <w:rPr>
          <w:rFonts w:ascii="Century" w:hAnsi="Century" w:cs="Times New Roman"/>
        </w:rPr>
        <w:t xml:space="preserve">consequence of </w:t>
      </w:r>
      <w:r w:rsidR="00FD58CC">
        <w:rPr>
          <w:rFonts w:ascii="Century" w:hAnsi="Century" w:cs="Times New Roman"/>
        </w:rPr>
        <w:t>a deliberate</w:t>
      </w:r>
      <w:r w:rsidR="000D441C" w:rsidRPr="00B96ED6">
        <w:rPr>
          <w:rFonts w:ascii="Century" w:hAnsi="Century" w:cs="Times New Roman"/>
        </w:rPr>
        <w:t xml:space="preserve"> legislative choice of the Oireachtas to set </w:t>
      </w:r>
      <w:r w:rsidR="002B6774">
        <w:rPr>
          <w:rFonts w:ascii="Century" w:hAnsi="Century" w:cs="Times New Roman"/>
        </w:rPr>
        <w:t>capacious statutory</w:t>
      </w:r>
      <w:r w:rsidR="000D441C" w:rsidRPr="00B96ED6">
        <w:rPr>
          <w:rFonts w:ascii="Century" w:hAnsi="Century" w:cs="Times New Roman"/>
        </w:rPr>
        <w:t xml:space="preserve"> parameters</w:t>
      </w:r>
      <w:r w:rsidR="002B6774">
        <w:rPr>
          <w:rFonts w:ascii="Century" w:hAnsi="Century" w:cs="Times New Roman"/>
        </w:rPr>
        <w:t xml:space="preserve"> and broad legislative goals</w:t>
      </w:r>
      <w:r w:rsidR="000D441C" w:rsidRPr="00B96ED6">
        <w:rPr>
          <w:rFonts w:ascii="Century" w:hAnsi="Century" w:cs="Times New Roman"/>
        </w:rPr>
        <w:t xml:space="preserve"> </w:t>
      </w:r>
      <w:r w:rsidR="006F3422">
        <w:rPr>
          <w:rFonts w:ascii="Century" w:hAnsi="Century" w:cs="Times New Roman"/>
        </w:rPr>
        <w:t xml:space="preserve">in a complex and </w:t>
      </w:r>
      <w:r w:rsidR="006F3422">
        <w:rPr>
          <w:rFonts w:ascii="Century" w:hAnsi="Century" w:cs="Times New Roman"/>
        </w:rPr>
        <w:lastRenderedPageBreak/>
        <w:t xml:space="preserve">sensitive policy area </w:t>
      </w:r>
      <w:r w:rsidR="000D441C" w:rsidRPr="00B96ED6">
        <w:rPr>
          <w:rFonts w:ascii="Century" w:hAnsi="Century" w:cs="Times New Roman"/>
        </w:rPr>
        <w:t>for its delegate to operate within.</w:t>
      </w:r>
      <w:r w:rsidR="000D441C" w:rsidRPr="00B96ED6">
        <w:rPr>
          <w:rStyle w:val="FootnoteReference"/>
          <w:rFonts w:ascii="Century" w:hAnsi="Century" w:cs="Times New Roman"/>
        </w:rPr>
        <w:footnoteReference w:id="50"/>
      </w:r>
      <w:r w:rsidR="00F6037E">
        <w:rPr>
          <w:rFonts w:ascii="Century" w:hAnsi="Century" w:cs="Times New Roman"/>
        </w:rPr>
        <w:t>As a</w:t>
      </w:r>
      <w:r w:rsidR="008B7DA8">
        <w:rPr>
          <w:rFonts w:ascii="Century" w:hAnsi="Century" w:cs="Times New Roman"/>
        </w:rPr>
        <w:t xml:space="preserve"> contrasting</w:t>
      </w:r>
      <w:r w:rsidR="00F6037E">
        <w:rPr>
          <w:rFonts w:ascii="Century" w:hAnsi="Century" w:cs="Times New Roman"/>
        </w:rPr>
        <w:t xml:space="preserve"> example</w:t>
      </w:r>
      <w:r w:rsidR="000D441C" w:rsidRPr="00B96ED6">
        <w:rPr>
          <w:rFonts w:ascii="Century" w:hAnsi="Century" w:cs="Times New Roman"/>
        </w:rPr>
        <w:t xml:space="preserve"> of what might be an </w:t>
      </w:r>
      <w:r w:rsidR="008536CA">
        <w:rPr>
          <w:rFonts w:ascii="Century" w:hAnsi="Century" w:cs="Times New Roman"/>
        </w:rPr>
        <w:t>‘</w:t>
      </w:r>
      <w:r w:rsidR="000D441C" w:rsidRPr="00B96ED6">
        <w:rPr>
          <w:rFonts w:ascii="Century" w:hAnsi="Century" w:cs="Times New Roman"/>
        </w:rPr>
        <w:t>inordinately broad</w:t>
      </w:r>
      <w:r w:rsidR="008536CA">
        <w:rPr>
          <w:rFonts w:ascii="Century" w:hAnsi="Century" w:cs="Times New Roman"/>
        </w:rPr>
        <w:t>’</w:t>
      </w:r>
      <w:r w:rsidR="000D441C" w:rsidRPr="00B96ED6">
        <w:rPr>
          <w:rFonts w:ascii="Century" w:hAnsi="Century" w:cs="Times New Roman"/>
        </w:rPr>
        <w:t xml:space="preserve"> delegation of statutory</w:t>
      </w:r>
      <w:r w:rsidR="008B7DA8">
        <w:rPr>
          <w:rFonts w:ascii="Century" w:hAnsi="Century" w:cs="Times New Roman"/>
        </w:rPr>
        <w:t xml:space="preserve"> rulemaking</w:t>
      </w:r>
      <w:r w:rsidR="000D441C" w:rsidRPr="00B96ED6">
        <w:rPr>
          <w:rFonts w:ascii="Century" w:hAnsi="Century" w:cs="Times New Roman"/>
        </w:rPr>
        <w:t xml:space="preserve"> authority</w:t>
      </w:r>
      <w:r w:rsidR="008B7DA8">
        <w:rPr>
          <w:rFonts w:ascii="Century" w:hAnsi="Century" w:cs="Times New Roman"/>
        </w:rPr>
        <w:t xml:space="preserve"> to a delegate</w:t>
      </w:r>
      <w:r w:rsidR="000D441C" w:rsidRPr="00B96ED6">
        <w:rPr>
          <w:rFonts w:ascii="Century" w:hAnsi="Century" w:cs="Times New Roman"/>
        </w:rPr>
        <w:t xml:space="preserve">, MacMenamin J highlighted </w:t>
      </w:r>
      <w:r w:rsidR="00A17748">
        <w:rPr>
          <w:rFonts w:ascii="Century" w:hAnsi="Century" w:cs="Times New Roman"/>
        </w:rPr>
        <w:t>a statute like that</w:t>
      </w:r>
      <w:r w:rsidR="00A758D4">
        <w:rPr>
          <w:rFonts w:ascii="Century" w:hAnsi="Century" w:cs="Times New Roman"/>
        </w:rPr>
        <w:t xml:space="preserve"> invalidated</w:t>
      </w:r>
      <w:r w:rsidR="00A17748">
        <w:rPr>
          <w:rFonts w:ascii="Century" w:hAnsi="Century" w:cs="Times New Roman"/>
        </w:rPr>
        <w:t xml:space="preserve"> in</w:t>
      </w:r>
      <w:r w:rsidR="000D441C" w:rsidRPr="00B96ED6">
        <w:rPr>
          <w:rFonts w:ascii="Century" w:hAnsi="Century" w:cs="Times New Roman"/>
        </w:rPr>
        <w:t xml:space="preserve"> </w:t>
      </w:r>
      <w:r w:rsidR="000D441C" w:rsidRPr="00B96ED6">
        <w:rPr>
          <w:rFonts w:ascii="Century" w:hAnsi="Century" w:cs="Times New Roman"/>
          <w:i/>
          <w:iCs/>
        </w:rPr>
        <w:t xml:space="preserve">McDaid v Sheehy </w:t>
      </w:r>
      <w:r w:rsidR="000D441C" w:rsidRPr="00B96ED6">
        <w:rPr>
          <w:rFonts w:ascii="Century" w:hAnsi="Century" w:cs="Times New Roman"/>
        </w:rPr>
        <w:t>[1991] IR</w:t>
      </w:r>
      <w:r w:rsidR="008536CA">
        <w:rPr>
          <w:rFonts w:ascii="Century" w:hAnsi="Century" w:cs="Times New Roman"/>
        </w:rPr>
        <w:t xml:space="preserve"> </w:t>
      </w:r>
      <w:r w:rsidR="000D441C" w:rsidRPr="00B96ED6">
        <w:rPr>
          <w:rFonts w:ascii="Century" w:hAnsi="Century" w:cs="Times New Roman"/>
        </w:rPr>
        <w:t>1</w:t>
      </w:r>
      <w:r w:rsidR="00A758D4">
        <w:rPr>
          <w:rFonts w:ascii="Century" w:hAnsi="Century" w:cs="Times New Roman"/>
        </w:rPr>
        <w:t>,</w:t>
      </w:r>
      <w:r w:rsidR="000D441C" w:rsidRPr="00B96ED6">
        <w:rPr>
          <w:rFonts w:ascii="Century" w:hAnsi="Century" w:cs="Times New Roman"/>
        </w:rPr>
        <w:t xml:space="preserve"> where the Oireachtas gave the Government unconstrained authority to set taxes on import</w:t>
      </w:r>
      <w:r w:rsidR="00A17748">
        <w:rPr>
          <w:rFonts w:ascii="Century" w:hAnsi="Century" w:cs="Times New Roman"/>
        </w:rPr>
        <w:t>s</w:t>
      </w:r>
      <w:r w:rsidR="000D441C" w:rsidRPr="00B96ED6">
        <w:rPr>
          <w:rFonts w:ascii="Century" w:hAnsi="Century" w:cs="Times New Roman"/>
        </w:rPr>
        <w:t xml:space="preserve"> </w:t>
      </w:r>
      <w:r w:rsidR="008536CA">
        <w:rPr>
          <w:rFonts w:ascii="Century" w:hAnsi="Century" w:cs="Times New Roman"/>
        </w:rPr>
        <w:t>‘</w:t>
      </w:r>
      <w:r w:rsidR="000D441C" w:rsidRPr="00B96ED6">
        <w:rPr>
          <w:rFonts w:ascii="Century" w:hAnsi="Century" w:cs="Times New Roman"/>
        </w:rPr>
        <w:t>by order</w:t>
      </w:r>
      <w:r w:rsidR="008536CA">
        <w:rPr>
          <w:rFonts w:ascii="Century" w:hAnsi="Century" w:cs="Times New Roman"/>
        </w:rPr>
        <w:t>’</w:t>
      </w:r>
      <w:r w:rsidR="000D441C" w:rsidRPr="00B96ED6">
        <w:rPr>
          <w:rFonts w:ascii="Century" w:hAnsi="Century" w:cs="Times New Roman"/>
        </w:rPr>
        <w:t>, with no other guidance</w:t>
      </w:r>
      <w:r w:rsidR="00F13011">
        <w:rPr>
          <w:rFonts w:ascii="Century" w:hAnsi="Century" w:cs="Times New Roman"/>
        </w:rPr>
        <w:t xml:space="preserve"> as to the policy goals to be achieved or the criteria to shape their pursuit</w:t>
      </w:r>
      <w:r w:rsidR="000D441C" w:rsidRPr="00B96ED6">
        <w:rPr>
          <w:rFonts w:ascii="Century" w:hAnsi="Century" w:cs="Times New Roman"/>
        </w:rPr>
        <w:t>.</w:t>
      </w:r>
      <w:r w:rsidR="000D441C" w:rsidRPr="00B96ED6">
        <w:rPr>
          <w:rStyle w:val="FootnoteReference"/>
          <w:rFonts w:ascii="Century" w:hAnsi="Century" w:cs="Times New Roman"/>
        </w:rPr>
        <w:footnoteReference w:id="51"/>
      </w:r>
    </w:p>
    <w:p w14:paraId="279937F7" w14:textId="77777777" w:rsidR="000D441C" w:rsidRPr="00B96ED6" w:rsidRDefault="000D441C" w:rsidP="00E81877">
      <w:pPr>
        <w:spacing w:line="480" w:lineRule="auto"/>
        <w:jc w:val="both"/>
        <w:rPr>
          <w:rFonts w:ascii="Century" w:hAnsi="Century"/>
        </w:rPr>
      </w:pPr>
    </w:p>
    <w:p w14:paraId="3C04CF34" w14:textId="4FC022D5" w:rsidR="000D441C" w:rsidRPr="00B96ED6" w:rsidRDefault="000D441C" w:rsidP="00E81877">
      <w:pPr>
        <w:spacing w:line="480" w:lineRule="auto"/>
        <w:jc w:val="both"/>
        <w:rPr>
          <w:rFonts w:ascii="Century" w:hAnsi="Century"/>
        </w:rPr>
      </w:pPr>
      <w:r w:rsidRPr="00B96ED6">
        <w:rPr>
          <w:rFonts w:ascii="Century" w:hAnsi="Century"/>
        </w:rPr>
        <w:t xml:space="preserve">Curiously, after stressing that the availability of significant scope for choice for the </w:t>
      </w:r>
      <w:proofErr w:type="spellStart"/>
      <w:r w:rsidRPr="00B96ED6">
        <w:rPr>
          <w:rFonts w:ascii="Century" w:hAnsi="Century"/>
        </w:rPr>
        <w:t>Labour</w:t>
      </w:r>
      <w:proofErr w:type="spellEnd"/>
      <w:r w:rsidRPr="00B96ED6">
        <w:rPr>
          <w:rFonts w:ascii="Century" w:hAnsi="Century"/>
        </w:rPr>
        <w:t xml:space="preserve"> Court in making SEO’s was not an alienation of legislative power, MacMenamin J proceeded to </w:t>
      </w:r>
      <w:r w:rsidR="008536CA">
        <w:rPr>
          <w:rFonts w:ascii="Century" w:hAnsi="Century"/>
        </w:rPr>
        <w:t>‘</w:t>
      </w:r>
      <w:r w:rsidRPr="00B96ED6">
        <w:rPr>
          <w:rFonts w:ascii="Century" w:hAnsi="Century"/>
        </w:rPr>
        <w:t>disagree</w:t>
      </w:r>
      <w:r w:rsidR="008536CA">
        <w:rPr>
          <w:rFonts w:ascii="Century" w:hAnsi="Century"/>
        </w:rPr>
        <w:t>’</w:t>
      </w:r>
      <w:r w:rsidRPr="00B96ED6">
        <w:rPr>
          <w:rFonts w:ascii="Century" w:hAnsi="Century"/>
        </w:rPr>
        <w:t xml:space="preserve"> that such choices could be construed as </w:t>
      </w:r>
      <w:r w:rsidR="008536CA">
        <w:rPr>
          <w:rFonts w:ascii="Century" w:hAnsi="Century"/>
        </w:rPr>
        <w:t>‘</w:t>
      </w:r>
      <w:r w:rsidRPr="00B96ED6">
        <w:rPr>
          <w:rFonts w:ascii="Century" w:hAnsi="Century"/>
        </w:rPr>
        <w:t>policy choices</w:t>
      </w:r>
      <w:r w:rsidR="008536CA">
        <w:rPr>
          <w:rFonts w:ascii="Century" w:hAnsi="Century"/>
        </w:rPr>
        <w:t>’</w:t>
      </w:r>
      <w:r w:rsidRPr="00B96ED6">
        <w:rPr>
          <w:rFonts w:ascii="Century" w:hAnsi="Century"/>
        </w:rPr>
        <w:t>.</w:t>
      </w:r>
      <w:r w:rsidRPr="00B96ED6">
        <w:rPr>
          <w:rStyle w:val="FootnoteReference"/>
          <w:rFonts w:ascii="Century" w:hAnsi="Century"/>
        </w:rPr>
        <w:footnoteReference w:id="52"/>
      </w:r>
      <w:r w:rsidRPr="00B96ED6">
        <w:rPr>
          <w:rFonts w:ascii="Century" w:hAnsi="Century"/>
        </w:rPr>
        <w:t xml:space="preserve"> MacMenamin J’s attempt</w:t>
      </w:r>
      <w:r w:rsidR="001B388A">
        <w:rPr>
          <w:rFonts w:ascii="Century" w:hAnsi="Century"/>
        </w:rPr>
        <w:t>ed</w:t>
      </w:r>
      <w:r w:rsidRPr="00B96ED6">
        <w:rPr>
          <w:rFonts w:ascii="Century" w:hAnsi="Century"/>
        </w:rPr>
        <w:t xml:space="preserve"> to distinguish</w:t>
      </w:r>
      <w:r w:rsidR="001B388A">
        <w:rPr>
          <w:rFonts w:ascii="Century" w:hAnsi="Century"/>
        </w:rPr>
        <w:t xml:space="preserve"> a delegate</w:t>
      </w:r>
      <w:r w:rsidRPr="00B96ED6">
        <w:rPr>
          <w:rFonts w:ascii="Century" w:hAnsi="Century"/>
        </w:rPr>
        <w:t xml:space="preserve"> makin</w:t>
      </w:r>
      <w:r w:rsidR="001B388A">
        <w:rPr>
          <w:rFonts w:ascii="Century" w:hAnsi="Century"/>
        </w:rPr>
        <w:t>g</w:t>
      </w:r>
      <w:r w:rsidRPr="00B96ED6">
        <w:rPr>
          <w:rFonts w:ascii="Century" w:hAnsi="Century"/>
        </w:rPr>
        <w:t xml:space="preserve"> policy choices</w:t>
      </w:r>
      <w:r w:rsidR="00A17748">
        <w:rPr>
          <w:rFonts w:ascii="Century" w:hAnsi="Century"/>
        </w:rPr>
        <w:t xml:space="preserve"> on the one hand</w:t>
      </w:r>
      <w:r w:rsidRPr="00B96ED6">
        <w:rPr>
          <w:rFonts w:ascii="Century" w:hAnsi="Century"/>
        </w:rPr>
        <w:t xml:space="preserve"> from</w:t>
      </w:r>
      <w:r w:rsidR="001B388A">
        <w:rPr>
          <w:rFonts w:ascii="Century" w:hAnsi="Century"/>
        </w:rPr>
        <w:t xml:space="preserve"> a delegate making</w:t>
      </w:r>
      <w:r w:rsidRPr="00B96ED6">
        <w:rPr>
          <w:rFonts w:ascii="Century" w:hAnsi="Century"/>
        </w:rPr>
        <w:t xml:space="preserve"> </w:t>
      </w:r>
      <w:r w:rsidR="008536CA">
        <w:rPr>
          <w:rFonts w:ascii="Century" w:hAnsi="Century"/>
        </w:rPr>
        <w:t>‘</w:t>
      </w:r>
      <w:r w:rsidRPr="00B96ED6">
        <w:rPr>
          <w:rFonts w:ascii="Century" w:hAnsi="Century"/>
        </w:rPr>
        <w:t>decisions</w:t>
      </w:r>
      <w:r w:rsidR="001B388A">
        <w:rPr>
          <w:rFonts w:ascii="Century" w:hAnsi="Century"/>
        </w:rPr>
        <w:t>…</w:t>
      </w:r>
      <w:r w:rsidRPr="00B96ED6">
        <w:rPr>
          <w:rFonts w:ascii="Century" w:hAnsi="Century"/>
        </w:rPr>
        <w:t>within a given set of parameters</w:t>
      </w:r>
      <w:r w:rsidR="008536CA">
        <w:rPr>
          <w:rFonts w:ascii="Century" w:hAnsi="Century"/>
        </w:rPr>
        <w:t>’</w:t>
      </w:r>
      <w:r w:rsidRPr="00B96ED6">
        <w:rPr>
          <w:rFonts w:ascii="Century" w:hAnsi="Century"/>
        </w:rPr>
        <w:t xml:space="preserve"> to </w:t>
      </w:r>
      <w:r w:rsidR="008536CA">
        <w:rPr>
          <w:rFonts w:ascii="Century" w:hAnsi="Century"/>
        </w:rPr>
        <w:t>‘</w:t>
      </w:r>
      <w:r w:rsidRPr="00B96ED6">
        <w:rPr>
          <w:rFonts w:ascii="Century" w:hAnsi="Century"/>
        </w:rPr>
        <w:t>achieve outcomes with particular effects, or consequences</w:t>
      </w:r>
      <w:r w:rsidR="008536CA">
        <w:rPr>
          <w:rFonts w:ascii="Century" w:hAnsi="Century"/>
        </w:rPr>
        <w:t>’</w:t>
      </w:r>
      <w:r w:rsidRPr="00B96ED6">
        <w:rPr>
          <w:rStyle w:val="FootnoteReference"/>
          <w:rFonts w:ascii="Century" w:hAnsi="Century"/>
        </w:rPr>
        <w:footnoteReference w:id="53"/>
      </w:r>
      <w:r w:rsidR="00A17748">
        <w:rPr>
          <w:rFonts w:ascii="Century" w:hAnsi="Century"/>
        </w:rPr>
        <w:t xml:space="preserve"> on the other</w:t>
      </w:r>
      <w:r w:rsidRPr="00B96ED6">
        <w:rPr>
          <w:rFonts w:ascii="Century" w:hAnsi="Century"/>
        </w:rPr>
        <w:t xml:space="preserve">. </w:t>
      </w:r>
      <w:r w:rsidR="00A17748">
        <w:rPr>
          <w:rFonts w:ascii="Century" w:hAnsi="Century"/>
        </w:rPr>
        <w:t>This</w:t>
      </w:r>
      <w:r w:rsidRPr="00B96ED6">
        <w:rPr>
          <w:rFonts w:ascii="Century" w:hAnsi="Century"/>
        </w:rPr>
        <w:t xml:space="preserve"> distinction is facially unconvincing given that the normative choices the </w:t>
      </w:r>
      <w:proofErr w:type="spellStart"/>
      <w:r w:rsidRPr="00B96ED6">
        <w:rPr>
          <w:rFonts w:ascii="Century" w:hAnsi="Century"/>
        </w:rPr>
        <w:t>Labour</w:t>
      </w:r>
      <w:proofErr w:type="spellEnd"/>
      <w:r w:rsidRPr="00B96ED6">
        <w:rPr>
          <w:rFonts w:ascii="Century" w:hAnsi="Century"/>
        </w:rPr>
        <w:t xml:space="preserve"> Court makes</w:t>
      </w:r>
      <w:r w:rsidR="006F3422">
        <w:rPr>
          <w:rFonts w:ascii="Century" w:hAnsi="Century"/>
        </w:rPr>
        <w:t xml:space="preserve"> in assessing and weigh up different statutory criteria</w:t>
      </w:r>
      <w:r w:rsidRPr="00B96ED6">
        <w:rPr>
          <w:rFonts w:ascii="Century" w:hAnsi="Century"/>
        </w:rPr>
        <w:t xml:space="preserve"> are</w:t>
      </w:r>
      <w:r w:rsidR="004963D4">
        <w:rPr>
          <w:rFonts w:ascii="Century" w:hAnsi="Century"/>
        </w:rPr>
        <w:t xml:space="preserve"> </w:t>
      </w:r>
      <w:r w:rsidRPr="00B96ED6">
        <w:rPr>
          <w:rFonts w:ascii="Century" w:hAnsi="Century"/>
        </w:rPr>
        <w:t>obviously</w:t>
      </w:r>
      <w:r w:rsidR="004963D4">
        <w:rPr>
          <w:rFonts w:ascii="Century" w:hAnsi="Century"/>
        </w:rPr>
        <w:t>, inescapably,</w:t>
      </w:r>
      <w:r w:rsidRPr="00B96ED6">
        <w:rPr>
          <w:rFonts w:ascii="Century" w:hAnsi="Century"/>
        </w:rPr>
        <w:t xml:space="preserve"> policy </w:t>
      </w:r>
      <w:r w:rsidR="001B388A">
        <w:rPr>
          <w:rFonts w:ascii="Century" w:hAnsi="Century"/>
        </w:rPr>
        <w:t>decisions</w:t>
      </w:r>
      <w:r w:rsidR="00390195">
        <w:rPr>
          <w:rFonts w:ascii="Century" w:hAnsi="Century"/>
        </w:rPr>
        <w:t>.</w:t>
      </w:r>
      <w:r w:rsidR="00A17748">
        <w:rPr>
          <w:rFonts w:ascii="Century" w:hAnsi="Century"/>
        </w:rPr>
        <w:t xml:space="preserve"> </w:t>
      </w:r>
      <w:r w:rsidR="00390195">
        <w:rPr>
          <w:rFonts w:ascii="Century" w:hAnsi="Century"/>
        </w:rPr>
        <w:t>B</w:t>
      </w:r>
      <w:r w:rsidR="00A17748">
        <w:rPr>
          <w:rFonts w:ascii="Century" w:hAnsi="Century"/>
        </w:rPr>
        <w:t>ut</w:t>
      </w:r>
      <w:r w:rsidR="00390195">
        <w:rPr>
          <w:rFonts w:ascii="Century" w:hAnsi="Century"/>
        </w:rPr>
        <w:t xml:space="preserve"> convincing or not,</w:t>
      </w:r>
      <w:r w:rsidRPr="00B96ED6">
        <w:rPr>
          <w:rFonts w:ascii="Century" w:hAnsi="Century"/>
        </w:rPr>
        <w:t xml:space="preserve"> </w:t>
      </w:r>
      <w:r w:rsidR="004963D4">
        <w:rPr>
          <w:rFonts w:ascii="Century" w:hAnsi="Century"/>
        </w:rPr>
        <w:t>MacMenamin J’s attempted distinction</w:t>
      </w:r>
      <w:r w:rsidR="004963D4" w:rsidRPr="00B96ED6">
        <w:rPr>
          <w:rFonts w:ascii="Century" w:hAnsi="Century"/>
        </w:rPr>
        <w:t xml:space="preserve"> </w:t>
      </w:r>
      <w:r w:rsidRPr="00B96ED6">
        <w:rPr>
          <w:rFonts w:ascii="Century" w:hAnsi="Century"/>
        </w:rPr>
        <w:t>does little to detract from the clear thrust of the judgment in rejecting the High Court’s approach to the appropriate doctrinal test</w:t>
      </w:r>
      <w:r w:rsidR="001B388A">
        <w:rPr>
          <w:rFonts w:ascii="Century" w:hAnsi="Century"/>
        </w:rPr>
        <w:t xml:space="preserve"> for Article 15</w:t>
      </w:r>
      <w:r w:rsidRPr="00B96ED6">
        <w:rPr>
          <w:rFonts w:ascii="Century" w:hAnsi="Century"/>
        </w:rPr>
        <w:t xml:space="preserve">. This, MacMenamin J surmised, was an approach to principles and policies </w:t>
      </w:r>
      <w:r w:rsidR="008536CA">
        <w:rPr>
          <w:rFonts w:ascii="Century" w:hAnsi="Century"/>
        </w:rPr>
        <w:t>‘</w:t>
      </w:r>
      <w:r w:rsidRPr="00B96ED6">
        <w:rPr>
          <w:rFonts w:ascii="Century" w:hAnsi="Century"/>
        </w:rPr>
        <w:t xml:space="preserve">no longer </w:t>
      </w:r>
      <w:proofErr w:type="spellStart"/>
      <w:r w:rsidRPr="00B96ED6">
        <w:rPr>
          <w:rFonts w:ascii="Century" w:hAnsi="Century"/>
        </w:rPr>
        <w:t>favoured</w:t>
      </w:r>
      <w:proofErr w:type="spellEnd"/>
      <w:r w:rsidR="008536CA">
        <w:rPr>
          <w:rFonts w:ascii="Century" w:hAnsi="Century"/>
        </w:rPr>
        <w:t>’</w:t>
      </w:r>
      <w:r w:rsidRPr="00B96ED6">
        <w:rPr>
          <w:rFonts w:ascii="Century" w:hAnsi="Century"/>
        </w:rPr>
        <w:t xml:space="preserve"> post </w:t>
      </w:r>
      <w:r w:rsidRPr="005939E8">
        <w:rPr>
          <w:rFonts w:ascii="Century" w:hAnsi="Century"/>
          <w:i/>
          <w:iCs/>
        </w:rPr>
        <w:t xml:space="preserve">Bederev </w:t>
      </w:r>
      <w:r w:rsidRPr="00B96ED6">
        <w:rPr>
          <w:rFonts w:ascii="Century" w:hAnsi="Century"/>
        </w:rPr>
        <w:t xml:space="preserve">and </w:t>
      </w:r>
      <w:r w:rsidRPr="005939E8">
        <w:rPr>
          <w:rFonts w:ascii="Century" w:hAnsi="Century"/>
          <w:i/>
          <w:iCs/>
        </w:rPr>
        <w:t>O’Sullivan</w:t>
      </w:r>
      <w:r w:rsidRPr="00B96ED6">
        <w:rPr>
          <w:rFonts w:ascii="Century" w:hAnsi="Century"/>
        </w:rPr>
        <w:t>.</w:t>
      </w:r>
      <w:r w:rsidRPr="00B96ED6">
        <w:rPr>
          <w:rStyle w:val="FootnoteReference"/>
          <w:rFonts w:ascii="Century" w:hAnsi="Century"/>
        </w:rPr>
        <w:footnoteReference w:id="54"/>
      </w:r>
      <w:r w:rsidRPr="00B96ED6">
        <w:rPr>
          <w:rFonts w:ascii="Century" w:hAnsi="Century"/>
        </w:rPr>
        <w:t xml:space="preserve"> </w:t>
      </w:r>
    </w:p>
    <w:p w14:paraId="1F8DDAE1" w14:textId="77777777" w:rsidR="000D441C" w:rsidRPr="00B96ED6" w:rsidRDefault="000D441C" w:rsidP="00E81877">
      <w:pPr>
        <w:spacing w:line="480" w:lineRule="auto"/>
        <w:rPr>
          <w:rFonts w:ascii="Century" w:hAnsi="Century"/>
        </w:rPr>
      </w:pPr>
    </w:p>
    <w:p w14:paraId="3AFAFB32" w14:textId="73100A15" w:rsidR="000D441C" w:rsidRPr="00B96ED6" w:rsidRDefault="000D441C" w:rsidP="00E81877">
      <w:pPr>
        <w:spacing w:line="480" w:lineRule="auto"/>
        <w:jc w:val="both"/>
        <w:rPr>
          <w:rFonts w:ascii="Century" w:hAnsi="Century"/>
        </w:rPr>
      </w:pPr>
      <w:r w:rsidRPr="00B96ED6">
        <w:rPr>
          <w:rFonts w:ascii="Century" w:hAnsi="Century"/>
        </w:rPr>
        <w:lastRenderedPageBreak/>
        <w:t>The second substantive part of MacMenamin J’s judgment concerned the relevance</w:t>
      </w:r>
      <w:r w:rsidR="002B40FC">
        <w:rPr>
          <w:rFonts w:ascii="Century" w:hAnsi="Century"/>
        </w:rPr>
        <w:t xml:space="preserve"> and weight</w:t>
      </w:r>
      <w:r w:rsidRPr="00B96ED6">
        <w:rPr>
          <w:rFonts w:ascii="Century" w:hAnsi="Century"/>
        </w:rPr>
        <w:t xml:space="preserve"> of political-democratic control mechanisms </w:t>
      </w:r>
      <w:r w:rsidR="002B40FC">
        <w:rPr>
          <w:rFonts w:ascii="Century" w:hAnsi="Century"/>
        </w:rPr>
        <w:t>in the assessment of</w:t>
      </w:r>
      <w:r w:rsidRPr="00B96ED6">
        <w:rPr>
          <w:rFonts w:ascii="Century" w:hAnsi="Century"/>
        </w:rPr>
        <w:t xml:space="preserve"> </w:t>
      </w:r>
      <w:r w:rsidR="002B40FC">
        <w:rPr>
          <w:rFonts w:ascii="Century" w:hAnsi="Century"/>
        </w:rPr>
        <w:t>whether</w:t>
      </w:r>
      <w:r w:rsidR="002B40FC" w:rsidRPr="00B96ED6">
        <w:rPr>
          <w:rFonts w:ascii="Century" w:hAnsi="Century"/>
        </w:rPr>
        <w:t xml:space="preserve"> </w:t>
      </w:r>
      <w:r w:rsidRPr="00B96ED6">
        <w:rPr>
          <w:rFonts w:ascii="Century" w:hAnsi="Century"/>
        </w:rPr>
        <w:t>a delegation represents an alienation of legislative power. MacMenamin J ma</w:t>
      </w:r>
      <w:r w:rsidR="00A17748">
        <w:rPr>
          <w:rFonts w:ascii="Century" w:hAnsi="Century"/>
        </w:rPr>
        <w:t>de</w:t>
      </w:r>
      <w:r w:rsidRPr="00B96ED6">
        <w:rPr>
          <w:rFonts w:ascii="Century" w:hAnsi="Century"/>
        </w:rPr>
        <w:t xml:space="preserve"> it clear that the fact the </w:t>
      </w:r>
      <w:proofErr w:type="spellStart"/>
      <w:r w:rsidRPr="00B96ED6">
        <w:rPr>
          <w:rFonts w:ascii="Century" w:hAnsi="Century"/>
        </w:rPr>
        <w:t>Labour</w:t>
      </w:r>
      <w:proofErr w:type="spellEnd"/>
      <w:r w:rsidRPr="00B96ED6">
        <w:rPr>
          <w:rFonts w:ascii="Century" w:hAnsi="Century"/>
        </w:rPr>
        <w:t xml:space="preserve"> Court’s broad decision-making authority is subject to two-levels of political review – ministerial and legislative – were very consequential considerations</w:t>
      </w:r>
      <w:r w:rsidR="00A17748">
        <w:rPr>
          <w:rFonts w:ascii="Century" w:hAnsi="Century"/>
        </w:rPr>
        <w:t xml:space="preserve"> indeed</w:t>
      </w:r>
      <w:r w:rsidRPr="00B96ED6">
        <w:rPr>
          <w:rFonts w:ascii="Century" w:hAnsi="Century"/>
        </w:rPr>
        <w:t>.</w:t>
      </w:r>
      <w:r w:rsidRPr="00B96ED6">
        <w:rPr>
          <w:rStyle w:val="FootnoteReference"/>
          <w:rFonts w:ascii="Century" w:hAnsi="Century"/>
        </w:rPr>
        <w:footnoteReference w:id="55"/>
      </w:r>
      <w:r w:rsidRPr="00B96ED6">
        <w:rPr>
          <w:rFonts w:ascii="Century" w:hAnsi="Century"/>
        </w:rPr>
        <w:t xml:space="preserve"> Ministerial review involved a genuine check for whether the </w:t>
      </w:r>
      <w:proofErr w:type="spellStart"/>
      <w:r w:rsidRPr="00B96ED6">
        <w:rPr>
          <w:rFonts w:ascii="Century" w:hAnsi="Century"/>
        </w:rPr>
        <w:t>Labour</w:t>
      </w:r>
      <w:proofErr w:type="spellEnd"/>
      <w:r w:rsidRPr="00B96ED6">
        <w:rPr>
          <w:rFonts w:ascii="Century" w:hAnsi="Century"/>
        </w:rPr>
        <w:t xml:space="preserve"> Court has complied with its statutory obligations; allowing for the possibility </w:t>
      </w:r>
      <w:r w:rsidR="00A17748">
        <w:rPr>
          <w:rFonts w:ascii="Century" w:hAnsi="Century"/>
        </w:rPr>
        <w:t xml:space="preserve">a </w:t>
      </w:r>
      <w:r w:rsidRPr="00B96ED6">
        <w:rPr>
          <w:rFonts w:ascii="Century" w:hAnsi="Century"/>
        </w:rPr>
        <w:t xml:space="preserve">Minister </w:t>
      </w:r>
      <w:r w:rsidR="00A17748">
        <w:rPr>
          <w:rFonts w:ascii="Century" w:hAnsi="Century"/>
        </w:rPr>
        <w:t xml:space="preserve">would </w:t>
      </w:r>
      <w:r w:rsidRPr="00B96ED6">
        <w:rPr>
          <w:rFonts w:ascii="Century" w:hAnsi="Century"/>
        </w:rPr>
        <w:t>refus</w:t>
      </w:r>
      <w:r w:rsidR="00A17748">
        <w:rPr>
          <w:rFonts w:ascii="Century" w:hAnsi="Century"/>
        </w:rPr>
        <w:t>e</w:t>
      </w:r>
      <w:r w:rsidRPr="00B96ED6">
        <w:rPr>
          <w:rFonts w:ascii="Century" w:hAnsi="Century"/>
        </w:rPr>
        <w:t xml:space="preserve"> to accept a recommendation</w:t>
      </w:r>
      <w:r w:rsidR="00A17748">
        <w:rPr>
          <w:rFonts w:ascii="Century" w:hAnsi="Century"/>
        </w:rPr>
        <w:t xml:space="preserve"> if it felt the conditions set by the Oireachtas were ignored</w:t>
      </w:r>
      <w:r w:rsidRPr="00B96ED6">
        <w:rPr>
          <w:rFonts w:ascii="Century" w:hAnsi="Century"/>
        </w:rPr>
        <w:t>.</w:t>
      </w:r>
      <w:r w:rsidRPr="00B96ED6">
        <w:rPr>
          <w:rStyle w:val="FootnoteReference"/>
          <w:rFonts w:ascii="Century" w:hAnsi="Century"/>
        </w:rPr>
        <w:footnoteReference w:id="56"/>
      </w:r>
      <w:r w:rsidR="0066492C">
        <w:rPr>
          <w:rFonts w:ascii="Century" w:hAnsi="Century"/>
        </w:rPr>
        <w:t xml:space="preserve"> </w:t>
      </w:r>
      <w:r w:rsidRPr="00B96ED6">
        <w:rPr>
          <w:rFonts w:ascii="Century" w:hAnsi="Century"/>
        </w:rPr>
        <w:t xml:space="preserve">MacMenamin J </w:t>
      </w:r>
      <w:r w:rsidR="00F11BAD">
        <w:rPr>
          <w:rFonts w:ascii="Century" w:hAnsi="Century"/>
        </w:rPr>
        <w:t>was</w:t>
      </w:r>
      <w:r w:rsidR="00A17748">
        <w:rPr>
          <w:rFonts w:ascii="Century" w:hAnsi="Century"/>
        </w:rPr>
        <w:t xml:space="preserve"> also</w:t>
      </w:r>
      <w:r w:rsidR="00F11BAD">
        <w:rPr>
          <w:rFonts w:ascii="Century" w:hAnsi="Century"/>
        </w:rPr>
        <w:t xml:space="preserve"> of the view</w:t>
      </w:r>
      <w:r w:rsidRPr="00B96ED6">
        <w:rPr>
          <w:rFonts w:ascii="Century" w:hAnsi="Century"/>
        </w:rPr>
        <w:t xml:space="preserve"> that the High Court gave insufficient weight to the statutory safeguards</w:t>
      </w:r>
      <w:r w:rsidR="00A17748">
        <w:rPr>
          <w:rFonts w:ascii="Century" w:hAnsi="Century"/>
        </w:rPr>
        <w:t xml:space="preserve"> in Chapter III</w:t>
      </w:r>
      <w:r w:rsidRPr="00B96ED6">
        <w:rPr>
          <w:rFonts w:ascii="Century" w:hAnsi="Century"/>
        </w:rPr>
        <w:t xml:space="preserve"> providing for review by the Houses of the Oireachtas.</w:t>
      </w:r>
      <w:r w:rsidRPr="00B96ED6">
        <w:rPr>
          <w:rStyle w:val="FootnoteReference"/>
          <w:rFonts w:ascii="Century" w:hAnsi="Century"/>
        </w:rPr>
        <w:footnoteReference w:id="57"/>
      </w:r>
      <w:r w:rsidRPr="00B96ED6">
        <w:rPr>
          <w:rFonts w:ascii="Century" w:hAnsi="Century"/>
        </w:rPr>
        <w:t xml:space="preserve"> The fact the statutory provisions here required a positive resolution of each </w:t>
      </w:r>
      <w:r w:rsidR="00390195">
        <w:rPr>
          <w:rFonts w:ascii="Century" w:hAnsi="Century"/>
        </w:rPr>
        <w:t>H</w:t>
      </w:r>
      <w:r w:rsidRPr="00B96ED6">
        <w:rPr>
          <w:rFonts w:ascii="Century" w:hAnsi="Century"/>
        </w:rPr>
        <w:t xml:space="preserve">ouse ensured it was more than a ‘relevant consideration’ for whether there had been an alienation; it was a </w:t>
      </w:r>
      <w:r w:rsidR="009A25D7">
        <w:rPr>
          <w:rFonts w:ascii="Century" w:hAnsi="Century"/>
        </w:rPr>
        <w:t>‘</w:t>
      </w:r>
      <w:r w:rsidRPr="00B96ED6">
        <w:rPr>
          <w:rFonts w:ascii="Century" w:hAnsi="Century"/>
        </w:rPr>
        <w:t>very weighty consideration</w:t>
      </w:r>
      <w:r w:rsidR="009A25D7">
        <w:rPr>
          <w:rFonts w:ascii="Century" w:hAnsi="Century"/>
        </w:rPr>
        <w:t>’</w:t>
      </w:r>
      <w:r w:rsidRPr="00B96ED6">
        <w:rPr>
          <w:rFonts w:ascii="Century" w:hAnsi="Century"/>
        </w:rPr>
        <w:t>.</w:t>
      </w:r>
      <w:r w:rsidRPr="00B96ED6">
        <w:rPr>
          <w:rStyle w:val="FootnoteReference"/>
          <w:rFonts w:ascii="Century" w:hAnsi="Century"/>
        </w:rPr>
        <w:footnoteReference w:id="58"/>
      </w:r>
      <w:r w:rsidRPr="00B96ED6">
        <w:rPr>
          <w:rFonts w:ascii="Century" w:hAnsi="Century"/>
        </w:rPr>
        <w:t xml:space="preserve"> </w:t>
      </w:r>
    </w:p>
    <w:p w14:paraId="49838FFF" w14:textId="77777777" w:rsidR="000D441C" w:rsidRPr="00B96ED6" w:rsidRDefault="000D441C" w:rsidP="00E81877">
      <w:pPr>
        <w:spacing w:line="480" w:lineRule="auto"/>
        <w:jc w:val="both"/>
        <w:rPr>
          <w:rFonts w:ascii="Century" w:hAnsi="Century"/>
        </w:rPr>
      </w:pPr>
    </w:p>
    <w:p w14:paraId="5737F384" w14:textId="7B793D00" w:rsidR="000D441C" w:rsidRPr="00B96ED6" w:rsidRDefault="000D441C" w:rsidP="00E81877">
      <w:pPr>
        <w:spacing w:line="480" w:lineRule="auto"/>
        <w:jc w:val="both"/>
        <w:rPr>
          <w:rFonts w:ascii="Century" w:hAnsi="Century"/>
        </w:rPr>
      </w:pPr>
      <w:r w:rsidRPr="00B96ED6">
        <w:rPr>
          <w:rFonts w:ascii="Century" w:hAnsi="Century"/>
        </w:rPr>
        <w:t xml:space="preserve">MacMenamin J concluded </w:t>
      </w:r>
      <w:r w:rsidR="00A17748">
        <w:rPr>
          <w:rFonts w:ascii="Century" w:hAnsi="Century"/>
        </w:rPr>
        <w:t xml:space="preserve">the judgment </w:t>
      </w:r>
      <w:r w:rsidRPr="00B96ED6">
        <w:rPr>
          <w:rFonts w:ascii="Century" w:hAnsi="Century"/>
        </w:rPr>
        <w:t xml:space="preserve">by </w:t>
      </w:r>
      <w:r w:rsidR="002B40FC">
        <w:rPr>
          <w:rFonts w:ascii="Century" w:hAnsi="Century"/>
        </w:rPr>
        <w:t>finding</w:t>
      </w:r>
      <w:r w:rsidR="002B40FC" w:rsidRPr="00B96ED6">
        <w:rPr>
          <w:rFonts w:ascii="Century" w:hAnsi="Century"/>
        </w:rPr>
        <w:t xml:space="preserve"> </w:t>
      </w:r>
      <w:r w:rsidRPr="00B96ED6">
        <w:rPr>
          <w:rFonts w:ascii="Century" w:hAnsi="Century"/>
        </w:rPr>
        <w:t>there was no impermissible delegation</w:t>
      </w:r>
      <w:r w:rsidR="0066492C">
        <w:rPr>
          <w:rFonts w:ascii="Century" w:hAnsi="Century"/>
        </w:rPr>
        <w:t xml:space="preserve"> of legislative authority</w:t>
      </w:r>
      <w:r w:rsidRPr="00B96ED6">
        <w:rPr>
          <w:rFonts w:ascii="Century" w:hAnsi="Century"/>
        </w:rPr>
        <w:t xml:space="preserve"> and no trespass on the function of the legislature</w:t>
      </w:r>
      <w:r w:rsidR="002B40FC">
        <w:rPr>
          <w:rFonts w:ascii="Century" w:hAnsi="Century"/>
        </w:rPr>
        <w:t xml:space="preserve"> by the provisions of Chapter III</w:t>
      </w:r>
      <w:r w:rsidRPr="00B96ED6">
        <w:rPr>
          <w:rFonts w:ascii="Century" w:hAnsi="Century"/>
        </w:rPr>
        <w:t>.</w:t>
      </w:r>
      <w:r w:rsidRPr="00B96ED6">
        <w:rPr>
          <w:rStyle w:val="FootnoteReference"/>
          <w:rFonts w:ascii="Century" w:hAnsi="Century"/>
        </w:rPr>
        <w:footnoteReference w:id="59"/>
      </w:r>
      <w:r w:rsidRPr="00B96ED6">
        <w:rPr>
          <w:rFonts w:ascii="Century" w:hAnsi="Century"/>
        </w:rPr>
        <w:t xml:space="preserve"> While the delegation of rulemaking authority was significant, the statute set out discernible and intelligible goals to guide the delegate and cabin its discretion; and a robust review procedure where </w:t>
      </w:r>
      <w:r w:rsidRPr="00B96ED6">
        <w:rPr>
          <w:rFonts w:ascii="Century" w:hAnsi="Century"/>
        </w:rPr>
        <w:lastRenderedPageBreak/>
        <w:t xml:space="preserve">the </w:t>
      </w:r>
      <w:r w:rsidR="0066492C" w:rsidRPr="00B96ED6">
        <w:rPr>
          <w:rFonts w:ascii="Century" w:hAnsi="Century"/>
        </w:rPr>
        <w:t>Minister</w:t>
      </w:r>
      <w:r w:rsidRPr="00B96ED6">
        <w:rPr>
          <w:rFonts w:ascii="Century" w:hAnsi="Century"/>
        </w:rPr>
        <w:t xml:space="preserve"> and Houses of the Oireachtas must review (with the possibility of vetoing) a proposed order before it gains the force of law.</w:t>
      </w:r>
    </w:p>
    <w:p w14:paraId="3032D54F" w14:textId="77777777" w:rsidR="00A17748" w:rsidRPr="00B96ED6" w:rsidRDefault="00A17748" w:rsidP="00E81877">
      <w:pPr>
        <w:spacing w:line="480" w:lineRule="auto"/>
        <w:jc w:val="both"/>
        <w:rPr>
          <w:rFonts w:ascii="Century" w:hAnsi="Century"/>
        </w:rPr>
      </w:pPr>
    </w:p>
    <w:p w14:paraId="240BE1CC" w14:textId="169AA2A2" w:rsidR="000D441C" w:rsidRPr="00411404" w:rsidRDefault="002F35C9" w:rsidP="00E81877">
      <w:pPr>
        <w:spacing w:line="480" w:lineRule="auto"/>
        <w:jc w:val="both"/>
        <w:rPr>
          <w:rFonts w:ascii="Century" w:hAnsi="Century"/>
          <w:b/>
          <w:bCs/>
        </w:rPr>
      </w:pPr>
      <w:r w:rsidRPr="00411404">
        <w:rPr>
          <w:rFonts w:ascii="Century" w:hAnsi="Century"/>
          <w:b/>
          <w:bCs/>
        </w:rPr>
        <w:t xml:space="preserve">Concurring </w:t>
      </w:r>
      <w:r w:rsidR="00340B16">
        <w:rPr>
          <w:rFonts w:ascii="Century" w:hAnsi="Century"/>
          <w:b/>
          <w:bCs/>
        </w:rPr>
        <w:t>j</w:t>
      </w:r>
      <w:r w:rsidRPr="00411404">
        <w:rPr>
          <w:rFonts w:ascii="Century" w:hAnsi="Century"/>
          <w:b/>
          <w:bCs/>
        </w:rPr>
        <w:t xml:space="preserve">udgment of </w:t>
      </w:r>
      <w:r w:rsidR="000D441C" w:rsidRPr="00411404">
        <w:rPr>
          <w:rFonts w:ascii="Century" w:hAnsi="Century"/>
          <w:b/>
          <w:bCs/>
        </w:rPr>
        <w:t>Charleton J</w:t>
      </w:r>
    </w:p>
    <w:p w14:paraId="1D931BAA" w14:textId="232DF0B6" w:rsidR="000D441C" w:rsidRPr="00B96ED6" w:rsidRDefault="0052766B" w:rsidP="00E81877">
      <w:pPr>
        <w:spacing w:line="480" w:lineRule="auto"/>
        <w:jc w:val="both"/>
        <w:rPr>
          <w:rFonts w:ascii="Century" w:hAnsi="Century"/>
        </w:rPr>
      </w:pPr>
      <w:r>
        <w:rPr>
          <w:rFonts w:ascii="Century" w:hAnsi="Century"/>
        </w:rPr>
        <w:t>In his short concurring judgment</w:t>
      </w:r>
      <w:r w:rsidR="00370DD8">
        <w:rPr>
          <w:rFonts w:ascii="Century" w:hAnsi="Century"/>
        </w:rPr>
        <w:t>,</w:t>
      </w:r>
      <w:r>
        <w:rPr>
          <w:rFonts w:ascii="Century" w:hAnsi="Century"/>
        </w:rPr>
        <w:t xml:space="preserve"> Charleton J emphasised that the</w:t>
      </w:r>
      <w:r w:rsidR="000D441C" w:rsidRPr="00B96ED6">
        <w:rPr>
          <w:rFonts w:ascii="Century" w:hAnsi="Century"/>
        </w:rPr>
        <w:t xml:space="preserve"> </w:t>
      </w:r>
      <w:r w:rsidR="009A25D7">
        <w:rPr>
          <w:rFonts w:ascii="Century" w:hAnsi="Century"/>
        </w:rPr>
        <w:t>‘</w:t>
      </w:r>
      <w:r w:rsidR="000D441C" w:rsidRPr="00B96ED6">
        <w:rPr>
          <w:rFonts w:ascii="Century" w:hAnsi="Century"/>
        </w:rPr>
        <w:t>fundamental rule</w:t>
      </w:r>
      <w:r w:rsidR="00DA72E9">
        <w:rPr>
          <w:rFonts w:ascii="Century" w:hAnsi="Century"/>
        </w:rPr>
        <w:t>’</w:t>
      </w:r>
      <w:r>
        <w:rPr>
          <w:rFonts w:ascii="Century" w:hAnsi="Century"/>
        </w:rPr>
        <w:t xml:space="preserve"> underpinning Article 15 is that</w:t>
      </w:r>
      <w:r w:rsidR="000D441C" w:rsidRPr="00B96ED6">
        <w:rPr>
          <w:rFonts w:ascii="Century" w:hAnsi="Century"/>
        </w:rPr>
        <w:t xml:space="preserve"> enough guidance must be given to a subordinate </w:t>
      </w:r>
      <w:proofErr w:type="spellStart"/>
      <w:r w:rsidR="000D441C" w:rsidRPr="00B96ED6">
        <w:rPr>
          <w:rFonts w:ascii="Century" w:hAnsi="Century"/>
        </w:rPr>
        <w:t>rulemaker</w:t>
      </w:r>
      <w:proofErr w:type="spellEnd"/>
      <w:r w:rsidR="000D441C" w:rsidRPr="00B96ED6">
        <w:rPr>
          <w:rFonts w:ascii="Century" w:hAnsi="Century"/>
        </w:rPr>
        <w:t xml:space="preserve"> so </w:t>
      </w:r>
      <w:r w:rsidR="00057AF2">
        <w:rPr>
          <w:rFonts w:ascii="Century" w:hAnsi="Century"/>
        </w:rPr>
        <w:t>‘</w:t>
      </w:r>
      <w:r w:rsidR="000D441C" w:rsidRPr="00B96ED6">
        <w:rPr>
          <w:rFonts w:ascii="Century" w:hAnsi="Century"/>
        </w:rPr>
        <w:t>that control by the Oireachtas as to the outcome might still be maintained</w:t>
      </w:r>
      <w:r w:rsidR="00057AF2">
        <w:rPr>
          <w:rFonts w:ascii="Century" w:hAnsi="Century"/>
        </w:rPr>
        <w:t>’</w:t>
      </w:r>
      <w:r w:rsidR="000D441C" w:rsidRPr="00B96ED6">
        <w:rPr>
          <w:rFonts w:ascii="Century" w:hAnsi="Century"/>
        </w:rPr>
        <w:t>.</w:t>
      </w:r>
      <w:r w:rsidR="00DE1F4F">
        <w:rPr>
          <w:rStyle w:val="FootnoteReference"/>
          <w:rFonts w:ascii="Century" w:hAnsi="Century"/>
        </w:rPr>
        <w:footnoteReference w:id="60"/>
      </w:r>
      <w:r w:rsidR="00DE1F4F">
        <w:rPr>
          <w:rFonts w:ascii="Century" w:hAnsi="Century"/>
        </w:rPr>
        <w:t xml:space="preserve"> </w:t>
      </w:r>
      <w:r w:rsidR="000D441C" w:rsidRPr="00B96ED6">
        <w:rPr>
          <w:rFonts w:ascii="Century" w:hAnsi="Century"/>
        </w:rPr>
        <w:t xml:space="preserve">What </w:t>
      </w:r>
      <w:r w:rsidR="00BD1AE9">
        <w:rPr>
          <w:rFonts w:ascii="Century" w:hAnsi="Century"/>
        </w:rPr>
        <w:t>Article 15 does</w:t>
      </w:r>
      <w:r w:rsidR="000D441C" w:rsidRPr="00B96ED6">
        <w:rPr>
          <w:rFonts w:ascii="Century" w:hAnsi="Century"/>
        </w:rPr>
        <w:t xml:space="preserve"> not permit is </w:t>
      </w:r>
      <w:r w:rsidR="00057AF2">
        <w:rPr>
          <w:rFonts w:ascii="Century" w:hAnsi="Century"/>
        </w:rPr>
        <w:t>‘</w:t>
      </w:r>
      <w:r w:rsidR="000D441C" w:rsidRPr="00B96ED6">
        <w:rPr>
          <w:rFonts w:ascii="Century" w:hAnsi="Century"/>
        </w:rPr>
        <w:t>delegation so broad as to constitute a trespass by the delegate or subordinate on an area reserved to the Oireachtas</w:t>
      </w:r>
      <w:r w:rsidR="00057AF2">
        <w:rPr>
          <w:rFonts w:ascii="Century" w:hAnsi="Century"/>
        </w:rPr>
        <w:t>’</w:t>
      </w:r>
      <w:r w:rsidR="00DE1F4F">
        <w:rPr>
          <w:rFonts w:ascii="Century" w:hAnsi="Century"/>
        </w:rPr>
        <w:t>.</w:t>
      </w:r>
      <w:r w:rsidR="00DE1F4F">
        <w:rPr>
          <w:rStyle w:val="FootnoteReference"/>
          <w:rFonts w:ascii="Century" w:hAnsi="Century"/>
        </w:rPr>
        <w:footnoteReference w:id="61"/>
      </w:r>
      <w:r w:rsidR="00DF0343">
        <w:rPr>
          <w:rFonts w:ascii="Century" w:hAnsi="Century"/>
        </w:rPr>
        <w:t xml:space="preserve"> Charleton J stressed that references to</w:t>
      </w:r>
      <w:r w:rsidR="00DD3C3C">
        <w:rPr>
          <w:rFonts w:ascii="Century" w:hAnsi="Century"/>
        </w:rPr>
        <w:t xml:space="preserve"> the</w:t>
      </w:r>
      <w:r w:rsidR="000D441C" w:rsidRPr="00B96ED6">
        <w:rPr>
          <w:rFonts w:ascii="Century" w:hAnsi="Century"/>
        </w:rPr>
        <w:t xml:space="preserve"> principles and policies test</w:t>
      </w:r>
      <w:r w:rsidR="00DF0343">
        <w:rPr>
          <w:rFonts w:ascii="Century" w:hAnsi="Century"/>
        </w:rPr>
        <w:t xml:space="preserve"> in constitutional discourse</w:t>
      </w:r>
      <w:r w:rsidR="00390195">
        <w:rPr>
          <w:rFonts w:ascii="Century" w:hAnsi="Century"/>
        </w:rPr>
        <w:t>,</w:t>
      </w:r>
      <w:r w:rsidR="000D441C" w:rsidRPr="00B96ED6">
        <w:rPr>
          <w:rFonts w:ascii="Century" w:hAnsi="Century"/>
        </w:rPr>
        <w:t xml:space="preserve"> although </w:t>
      </w:r>
      <w:r w:rsidR="007F53A2">
        <w:rPr>
          <w:rFonts w:ascii="Century" w:hAnsi="Century"/>
        </w:rPr>
        <w:t>‘</w:t>
      </w:r>
      <w:r w:rsidR="000D441C" w:rsidRPr="00B96ED6">
        <w:rPr>
          <w:rFonts w:ascii="Century" w:hAnsi="Century"/>
        </w:rPr>
        <w:t>often repeated</w:t>
      </w:r>
      <w:r w:rsidR="007F53A2">
        <w:rPr>
          <w:rFonts w:ascii="Century" w:hAnsi="Century"/>
        </w:rPr>
        <w:t>’</w:t>
      </w:r>
      <w:r w:rsidR="00390195">
        <w:rPr>
          <w:rFonts w:ascii="Century" w:hAnsi="Century"/>
        </w:rPr>
        <w:t>,</w:t>
      </w:r>
      <w:r w:rsidR="000D441C" w:rsidRPr="00B96ED6">
        <w:rPr>
          <w:rFonts w:ascii="Century" w:hAnsi="Century"/>
        </w:rPr>
        <w:t xml:space="preserve"> </w:t>
      </w:r>
      <w:r w:rsidR="00DF0343">
        <w:rPr>
          <w:rFonts w:ascii="Century" w:hAnsi="Century"/>
        </w:rPr>
        <w:t>did not make it an</w:t>
      </w:r>
      <w:r w:rsidR="000D441C" w:rsidRPr="00B96ED6">
        <w:rPr>
          <w:rFonts w:ascii="Century" w:hAnsi="Century"/>
        </w:rPr>
        <w:t xml:space="preserve"> </w:t>
      </w:r>
      <w:r w:rsidR="007F53A2">
        <w:rPr>
          <w:rFonts w:ascii="Century" w:hAnsi="Century"/>
        </w:rPr>
        <w:t>‘</w:t>
      </w:r>
      <w:r w:rsidR="000D441C" w:rsidRPr="00B96ED6">
        <w:rPr>
          <w:rFonts w:ascii="Century" w:hAnsi="Century"/>
        </w:rPr>
        <w:t>an imperative in the Constitution</w:t>
      </w:r>
      <w:r w:rsidR="007F53A2">
        <w:rPr>
          <w:rFonts w:ascii="Century" w:hAnsi="Century"/>
        </w:rPr>
        <w:t>’</w:t>
      </w:r>
      <w:r w:rsidR="000D441C" w:rsidRPr="00B96ED6">
        <w:rPr>
          <w:rFonts w:ascii="Century" w:hAnsi="Century"/>
        </w:rPr>
        <w:t>.</w:t>
      </w:r>
      <w:r w:rsidR="00DE1F4F">
        <w:rPr>
          <w:rStyle w:val="FootnoteReference"/>
          <w:rFonts w:ascii="Century" w:hAnsi="Century"/>
        </w:rPr>
        <w:footnoteReference w:id="62"/>
      </w:r>
    </w:p>
    <w:p w14:paraId="2F991B1B" w14:textId="77777777" w:rsidR="000D441C" w:rsidRPr="00B96ED6" w:rsidRDefault="000D441C" w:rsidP="00E81877">
      <w:pPr>
        <w:spacing w:line="480" w:lineRule="auto"/>
        <w:jc w:val="both"/>
        <w:rPr>
          <w:rFonts w:ascii="Century" w:hAnsi="Century"/>
        </w:rPr>
      </w:pPr>
    </w:p>
    <w:p w14:paraId="4D7E1C50" w14:textId="4FF914A0" w:rsidR="000D441C" w:rsidRPr="00B96ED6" w:rsidRDefault="008D43B3" w:rsidP="00E81877">
      <w:pPr>
        <w:spacing w:line="480" w:lineRule="auto"/>
        <w:jc w:val="both"/>
        <w:rPr>
          <w:rFonts w:ascii="Century" w:hAnsi="Century"/>
        </w:rPr>
      </w:pPr>
      <w:r>
        <w:rPr>
          <w:rFonts w:ascii="Century" w:hAnsi="Century"/>
        </w:rPr>
        <w:t xml:space="preserve">Assessing whether a statute </w:t>
      </w:r>
      <w:r w:rsidR="00390195">
        <w:rPr>
          <w:rFonts w:ascii="Century" w:hAnsi="Century"/>
        </w:rPr>
        <w:t>vesting</w:t>
      </w:r>
      <w:r>
        <w:rPr>
          <w:rFonts w:ascii="Century" w:hAnsi="Century"/>
        </w:rPr>
        <w:t xml:space="preserve"> rulemaking authority contains p</w:t>
      </w:r>
      <w:r w:rsidR="000D441C" w:rsidRPr="00B96ED6">
        <w:rPr>
          <w:rFonts w:ascii="Century" w:hAnsi="Century"/>
        </w:rPr>
        <w:t xml:space="preserve">rinciples and policies </w:t>
      </w:r>
      <w:r>
        <w:rPr>
          <w:rFonts w:ascii="Century" w:hAnsi="Century"/>
        </w:rPr>
        <w:t>is,</w:t>
      </w:r>
      <w:r w:rsidR="000D441C" w:rsidRPr="00B96ED6">
        <w:rPr>
          <w:rFonts w:ascii="Century" w:hAnsi="Century"/>
        </w:rPr>
        <w:t xml:space="preserve"> for Cha</w:t>
      </w:r>
      <w:r w:rsidR="002D469F">
        <w:rPr>
          <w:rFonts w:ascii="Century" w:hAnsi="Century"/>
        </w:rPr>
        <w:t>rle</w:t>
      </w:r>
      <w:r w:rsidR="000D441C" w:rsidRPr="00B96ED6">
        <w:rPr>
          <w:rFonts w:ascii="Century" w:hAnsi="Century"/>
        </w:rPr>
        <w:t>ton J</w:t>
      </w:r>
      <w:r>
        <w:rPr>
          <w:rFonts w:ascii="Century" w:hAnsi="Century"/>
        </w:rPr>
        <w:t>,</w:t>
      </w:r>
      <w:r w:rsidR="000D441C" w:rsidRPr="00B96ED6">
        <w:rPr>
          <w:rFonts w:ascii="Century" w:hAnsi="Century"/>
        </w:rPr>
        <w:t xml:space="preserve"> better viewed as an analytical tool, a heuristic, a way of gauging the existence of </w:t>
      </w:r>
      <w:r w:rsidR="00390195">
        <w:rPr>
          <w:rFonts w:ascii="Century" w:hAnsi="Century"/>
        </w:rPr>
        <w:t>the</w:t>
      </w:r>
      <w:r w:rsidR="000D441C" w:rsidRPr="00B96ED6">
        <w:rPr>
          <w:rFonts w:ascii="Century" w:hAnsi="Century"/>
        </w:rPr>
        <w:t xml:space="preserve"> </w:t>
      </w:r>
      <w:r w:rsidR="007F53A2">
        <w:rPr>
          <w:rFonts w:ascii="Century" w:hAnsi="Century"/>
        </w:rPr>
        <w:t>‘</w:t>
      </w:r>
      <w:r w:rsidR="000D441C" w:rsidRPr="00B96ED6">
        <w:rPr>
          <w:rFonts w:ascii="Century" w:hAnsi="Century"/>
        </w:rPr>
        <w:t>continued guiding hand within discernible boundaries</w:t>
      </w:r>
      <w:r w:rsidR="007F53A2">
        <w:rPr>
          <w:rFonts w:ascii="Century" w:hAnsi="Century"/>
        </w:rPr>
        <w:t>’</w:t>
      </w:r>
      <w:r w:rsidR="000D441C" w:rsidRPr="00B96ED6">
        <w:rPr>
          <w:rFonts w:ascii="Century" w:hAnsi="Century"/>
        </w:rPr>
        <w:t xml:space="preserve"> </w:t>
      </w:r>
      <w:r w:rsidR="00390195">
        <w:rPr>
          <w:rFonts w:ascii="Century" w:hAnsi="Century"/>
        </w:rPr>
        <w:t xml:space="preserve">of </w:t>
      </w:r>
      <w:r w:rsidR="000D441C" w:rsidRPr="00B96ED6">
        <w:rPr>
          <w:rFonts w:ascii="Century" w:hAnsi="Century"/>
        </w:rPr>
        <w:t>the Oireachtas.</w:t>
      </w:r>
      <w:r w:rsidR="00DE1F4F">
        <w:rPr>
          <w:rStyle w:val="FootnoteReference"/>
          <w:rFonts w:ascii="Century" w:hAnsi="Century"/>
        </w:rPr>
        <w:footnoteReference w:id="63"/>
      </w:r>
      <w:r>
        <w:rPr>
          <w:rFonts w:ascii="Century" w:hAnsi="Century"/>
        </w:rPr>
        <w:t xml:space="preserve"> </w:t>
      </w:r>
      <w:r w:rsidR="002C7838">
        <w:rPr>
          <w:rFonts w:ascii="Century" w:hAnsi="Century"/>
        </w:rPr>
        <w:t xml:space="preserve">As in his judgment in </w:t>
      </w:r>
      <w:r w:rsidR="002C7838">
        <w:rPr>
          <w:rFonts w:ascii="Century" w:hAnsi="Century"/>
          <w:i/>
          <w:iCs/>
        </w:rPr>
        <w:t xml:space="preserve">Bederev, </w:t>
      </w:r>
      <w:r>
        <w:rPr>
          <w:rFonts w:ascii="Century" w:hAnsi="Century"/>
        </w:rPr>
        <w:t xml:space="preserve">Charleton J </w:t>
      </w:r>
      <w:r w:rsidR="002C7838">
        <w:rPr>
          <w:rFonts w:ascii="Century" w:hAnsi="Century"/>
        </w:rPr>
        <w:t>once again</w:t>
      </w:r>
      <w:r>
        <w:rPr>
          <w:rFonts w:ascii="Century" w:hAnsi="Century"/>
        </w:rPr>
        <w:t xml:space="preserve"> put serious emphasis on the importance of ongoing scrutiny or oversight of the Houses of the </w:t>
      </w:r>
      <w:r w:rsidR="00390195">
        <w:rPr>
          <w:rFonts w:ascii="Century" w:hAnsi="Century"/>
        </w:rPr>
        <w:t>Oireachtas</w:t>
      </w:r>
      <w:r>
        <w:rPr>
          <w:rFonts w:ascii="Century" w:hAnsi="Century"/>
        </w:rPr>
        <w:t xml:space="preserve"> for assessing if there has been a</w:t>
      </w:r>
      <w:r w:rsidR="00390195">
        <w:rPr>
          <w:rFonts w:ascii="Century" w:hAnsi="Century"/>
        </w:rPr>
        <w:t>n unconstitutional</w:t>
      </w:r>
      <w:r>
        <w:rPr>
          <w:rFonts w:ascii="Century" w:hAnsi="Century"/>
        </w:rPr>
        <w:t xml:space="preserve"> alienation. </w:t>
      </w:r>
      <w:r w:rsidR="002C7838">
        <w:rPr>
          <w:rFonts w:ascii="Century" w:hAnsi="Century"/>
        </w:rPr>
        <w:t>For Charleton J</w:t>
      </w:r>
      <w:r>
        <w:rPr>
          <w:rFonts w:ascii="Century" w:hAnsi="Century"/>
        </w:rPr>
        <w:t>, the</w:t>
      </w:r>
      <w:r w:rsidR="000D441C" w:rsidRPr="00B96ED6">
        <w:rPr>
          <w:rFonts w:ascii="Century" w:hAnsi="Century"/>
        </w:rPr>
        <w:t xml:space="preserve"> return of regulations to the Oireachtas for negative or positive approval </w:t>
      </w:r>
      <w:r w:rsidR="007F53A2">
        <w:rPr>
          <w:rFonts w:ascii="Century" w:hAnsi="Century"/>
        </w:rPr>
        <w:t>‘</w:t>
      </w:r>
      <w:r w:rsidR="000D441C" w:rsidRPr="00B96ED6">
        <w:rPr>
          <w:rFonts w:ascii="Century" w:hAnsi="Century"/>
        </w:rPr>
        <w:t>may be a key factor</w:t>
      </w:r>
      <w:r w:rsidR="007F53A2">
        <w:rPr>
          <w:rFonts w:ascii="Century" w:hAnsi="Century"/>
        </w:rPr>
        <w:t>’</w:t>
      </w:r>
      <w:r>
        <w:rPr>
          <w:rFonts w:ascii="Century" w:hAnsi="Century"/>
        </w:rPr>
        <w:t xml:space="preserve"> in assessing</w:t>
      </w:r>
      <w:r w:rsidR="00390195">
        <w:rPr>
          <w:rFonts w:ascii="Century" w:hAnsi="Century"/>
        </w:rPr>
        <w:t xml:space="preserve"> a statute’s</w:t>
      </w:r>
      <w:r>
        <w:rPr>
          <w:rFonts w:ascii="Century" w:hAnsi="Century"/>
        </w:rPr>
        <w:t xml:space="preserve"> compliance with Article 15. </w:t>
      </w:r>
    </w:p>
    <w:p w14:paraId="7A10FBB5" w14:textId="77777777" w:rsidR="000D441C" w:rsidRPr="00B96ED6" w:rsidRDefault="000D441C" w:rsidP="00E81877">
      <w:pPr>
        <w:spacing w:line="480" w:lineRule="auto"/>
        <w:jc w:val="both"/>
        <w:rPr>
          <w:rFonts w:ascii="Century" w:hAnsi="Century"/>
        </w:rPr>
      </w:pPr>
    </w:p>
    <w:p w14:paraId="78953601" w14:textId="1597AFCE" w:rsidR="000D441C" w:rsidRPr="00B96ED6" w:rsidRDefault="000D441C" w:rsidP="00E81877">
      <w:pPr>
        <w:spacing w:line="480" w:lineRule="auto"/>
        <w:jc w:val="both"/>
        <w:rPr>
          <w:rFonts w:ascii="Century" w:hAnsi="Century"/>
        </w:rPr>
      </w:pPr>
      <w:r w:rsidRPr="00B96ED6">
        <w:rPr>
          <w:rFonts w:ascii="Century" w:hAnsi="Century"/>
        </w:rPr>
        <w:t xml:space="preserve">Charleton J surmises the </w:t>
      </w:r>
      <w:r w:rsidR="007F53A2">
        <w:rPr>
          <w:rFonts w:ascii="Century" w:hAnsi="Century"/>
        </w:rPr>
        <w:t>‘</w:t>
      </w:r>
      <w:r w:rsidRPr="00B96ED6">
        <w:rPr>
          <w:rFonts w:ascii="Century" w:hAnsi="Century"/>
        </w:rPr>
        <w:t>overall package</w:t>
      </w:r>
      <w:r w:rsidR="007F53A2">
        <w:rPr>
          <w:rFonts w:ascii="Century" w:hAnsi="Century"/>
        </w:rPr>
        <w:t>’</w:t>
      </w:r>
      <w:r w:rsidRPr="00B96ED6">
        <w:rPr>
          <w:rFonts w:ascii="Century" w:hAnsi="Century"/>
        </w:rPr>
        <w:t xml:space="preserve"> of factors the Court must consider</w:t>
      </w:r>
      <w:r w:rsidR="008D43B3">
        <w:rPr>
          <w:rFonts w:ascii="Century" w:hAnsi="Century"/>
        </w:rPr>
        <w:t xml:space="preserve"> in assessing an Article 15 challenge</w:t>
      </w:r>
      <w:r w:rsidRPr="00B96ED6">
        <w:rPr>
          <w:rFonts w:ascii="Century" w:hAnsi="Century"/>
        </w:rPr>
        <w:t xml:space="preserve"> as encompassing the degree of power delegated, the extent of aims and boundaries guiding the </w:t>
      </w:r>
      <w:r w:rsidR="001E1780" w:rsidRPr="00B96ED6">
        <w:rPr>
          <w:rFonts w:ascii="Century" w:hAnsi="Century"/>
        </w:rPr>
        <w:t>rule maker</w:t>
      </w:r>
      <w:r w:rsidRPr="00B96ED6">
        <w:rPr>
          <w:rFonts w:ascii="Century" w:hAnsi="Century"/>
        </w:rPr>
        <w:t xml:space="preserve"> discernible from the parent legislation</w:t>
      </w:r>
      <w:r w:rsidR="002C7838">
        <w:rPr>
          <w:rFonts w:ascii="Century" w:hAnsi="Century"/>
        </w:rPr>
        <w:t>,</w:t>
      </w:r>
      <w:r w:rsidRPr="00B96ED6">
        <w:rPr>
          <w:rFonts w:ascii="Century" w:hAnsi="Century"/>
        </w:rPr>
        <w:t xml:space="preserve"> and the type of</w:t>
      </w:r>
      <w:r w:rsidR="00DD3C3C">
        <w:rPr>
          <w:rFonts w:ascii="Century" w:hAnsi="Century"/>
        </w:rPr>
        <w:t xml:space="preserve"> Oireachtas</w:t>
      </w:r>
      <w:r w:rsidRPr="00B96ED6">
        <w:rPr>
          <w:rFonts w:ascii="Century" w:hAnsi="Century"/>
        </w:rPr>
        <w:t xml:space="preserve"> scrutiny </w:t>
      </w:r>
      <w:r w:rsidR="00DD3C3C">
        <w:rPr>
          <w:rFonts w:ascii="Century" w:hAnsi="Century"/>
        </w:rPr>
        <w:t>provided for</w:t>
      </w:r>
      <w:r w:rsidRPr="00B96ED6">
        <w:rPr>
          <w:rFonts w:ascii="Century" w:hAnsi="Century"/>
        </w:rPr>
        <w:t>.</w:t>
      </w:r>
      <w:r w:rsidR="001E1780">
        <w:rPr>
          <w:rStyle w:val="FootnoteReference"/>
          <w:rFonts w:ascii="Century" w:hAnsi="Century"/>
        </w:rPr>
        <w:footnoteReference w:id="64"/>
      </w:r>
      <w:r w:rsidRPr="00B96ED6">
        <w:rPr>
          <w:rFonts w:ascii="Century" w:hAnsi="Century"/>
        </w:rPr>
        <w:t xml:space="preserve"> </w:t>
      </w:r>
      <w:r w:rsidR="002C7838">
        <w:rPr>
          <w:rFonts w:ascii="Century" w:hAnsi="Century"/>
        </w:rPr>
        <w:t>L</w:t>
      </w:r>
      <w:r w:rsidRPr="00B96ED6">
        <w:rPr>
          <w:rFonts w:ascii="Century" w:hAnsi="Century"/>
        </w:rPr>
        <w:t>ater</w:t>
      </w:r>
      <w:r w:rsidR="002C7838">
        <w:rPr>
          <w:rFonts w:ascii="Century" w:hAnsi="Century"/>
        </w:rPr>
        <w:t xml:space="preserve"> in his judgment,</w:t>
      </w:r>
      <w:r w:rsidRPr="00B96ED6">
        <w:rPr>
          <w:rFonts w:ascii="Century" w:hAnsi="Century"/>
        </w:rPr>
        <w:t xml:space="preserve"> Charleton J repeat</w:t>
      </w:r>
      <w:r w:rsidR="002C7838">
        <w:rPr>
          <w:rFonts w:ascii="Century" w:hAnsi="Century"/>
        </w:rPr>
        <w:t xml:space="preserve">ed </w:t>
      </w:r>
      <w:r w:rsidRPr="00B96ED6">
        <w:rPr>
          <w:rFonts w:ascii="Century" w:hAnsi="Century"/>
        </w:rPr>
        <w:t>th</w:t>
      </w:r>
      <w:r w:rsidR="002C7838">
        <w:rPr>
          <w:rFonts w:ascii="Century" w:hAnsi="Century"/>
        </w:rPr>
        <w:t>ese criteria</w:t>
      </w:r>
      <w:r w:rsidRPr="00B96ED6">
        <w:rPr>
          <w:rFonts w:ascii="Century" w:hAnsi="Century"/>
        </w:rPr>
        <w:t xml:space="preserve"> in a pithier form when he sa</w:t>
      </w:r>
      <w:r w:rsidR="002C7838">
        <w:rPr>
          <w:rFonts w:ascii="Century" w:hAnsi="Century"/>
        </w:rPr>
        <w:t>id</w:t>
      </w:r>
      <w:r w:rsidRPr="00B96ED6">
        <w:rPr>
          <w:rFonts w:ascii="Century" w:hAnsi="Century"/>
        </w:rPr>
        <w:t xml:space="preserve"> the </w:t>
      </w:r>
      <w:r w:rsidR="00422040">
        <w:rPr>
          <w:rFonts w:ascii="Century" w:hAnsi="Century"/>
        </w:rPr>
        <w:t>‘</w:t>
      </w:r>
      <w:r w:rsidRPr="00B96ED6">
        <w:rPr>
          <w:rFonts w:ascii="Century" w:hAnsi="Century"/>
        </w:rPr>
        <w:t>test applicable</w:t>
      </w:r>
      <w:r w:rsidR="00422040">
        <w:rPr>
          <w:rFonts w:ascii="Century" w:hAnsi="Century"/>
        </w:rPr>
        <w:t>’</w:t>
      </w:r>
      <w:r w:rsidRPr="00B96ED6">
        <w:rPr>
          <w:rFonts w:ascii="Century" w:hAnsi="Century"/>
        </w:rPr>
        <w:t xml:space="preserve"> is </w:t>
      </w:r>
      <w:r w:rsidR="00422040">
        <w:rPr>
          <w:rFonts w:ascii="Century" w:hAnsi="Century"/>
        </w:rPr>
        <w:t>‘</w:t>
      </w:r>
      <w:r w:rsidRPr="00B96ED6">
        <w:rPr>
          <w:rFonts w:ascii="Century" w:hAnsi="Century"/>
        </w:rPr>
        <w:t>what guidance is given, what limits are set and the degree of democratic involvement subsequent to rule making</w:t>
      </w:r>
      <w:r w:rsidR="00422040">
        <w:rPr>
          <w:rFonts w:ascii="Century" w:hAnsi="Century"/>
        </w:rPr>
        <w:t>’</w:t>
      </w:r>
      <w:r w:rsidRPr="00B96ED6">
        <w:rPr>
          <w:rFonts w:ascii="Century" w:hAnsi="Century"/>
        </w:rPr>
        <w:t>.</w:t>
      </w:r>
      <w:r w:rsidR="00DE1F4F">
        <w:rPr>
          <w:rStyle w:val="FootnoteReference"/>
          <w:rFonts w:ascii="Century" w:hAnsi="Century"/>
        </w:rPr>
        <w:footnoteReference w:id="65"/>
      </w:r>
    </w:p>
    <w:p w14:paraId="6F49E5A0" w14:textId="77777777" w:rsidR="00CB660B" w:rsidRPr="00B96ED6" w:rsidRDefault="00CB660B" w:rsidP="00E81877">
      <w:pPr>
        <w:spacing w:line="480" w:lineRule="auto"/>
        <w:jc w:val="both"/>
        <w:rPr>
          <w:rFonts w:ascii="Century" w:hAnsi="Century" w:cs="Times New Roman"/>
        </w:rPr>
      </w:pPr>
    </w:p>
    <w:p w14:paraId="4083B7A2" w14:textId="455DDB85" w:rsidR="00CD0D0C" w:rsidRPr="00B96ED6" w:rsidRDefault="00D52E8C" w:rsidP="00E81877">
      <w:pPr>
        <w:spacing w:line="480" w:lineRule="auto"/>
        <w:jc w:val="both"/>
        <w:rPr>
          <w:rFonts w:ascii="Century" w:hAnsi="Century" w:cs="Times New Roman"/>
          <w:b/>
          <w:bCs/>
          <w:i/>
          <w:iCs/>
        </w:rPr>
      </w:pPr>
      <w:r w:rsidRPr="00B96ED6">
        <w:rPr>
          <w:rFonts w:ascii="Century" w:hAnsi="Century" w:cs="Times New Roman"/>
          <w:b/>
          <w:bCs/>
        </w:rPr>
        <w:t xml:space="preserve">Part II </w:t>
      </w:r>
      <w:r w:rsidR="0019463D" w:rsidRPr="00B96ED6">
        <w:rPr>
          <w:rFonts w:ascii="Century" w:hAnsi="Century" w:cs="Times New Roman"/>
          <w:b/>
          <w:bCs/>
        </w:rPr>
        <w:t xml:space="preserve">– </w:t>
      </w:r>
      <w:r w:rsidR="00B96ED6">
        <w:rPr>
          <w:rFonts w:ascii="Century" w:hAnsi="Century" w:cs="Times New Roman"/>
          <w:b/>
          <w:bCs/>
        </w:rPr>
        <w:t xml:space="preserve">The </w:t>
      </w:r>
      <w:r w:rsidR="00340B16">
        <w:rPr>
          <w:rFonts w:ascii="Century" w:hAnsi="Century" w:cs="Times New Roman"/>
          <w:b/>
          <w:bCs/>
        </w:rPr>
        <w:t>e</w:t>
      </w:r>
      <w:r w:rsidR="0019463D" w:rsidRPr="00B96ED6">
        <w:rPr>
          <w:rFonts w:ascii="Century" w:hAnsi="Century" w:cs="Times New Roman"/>
          <w:b/>
          <w:bCs/>
        </w:rPr>
        <w:t xml:space="preserve">nd of </w:t>
      </w:r>
      <w:r w:rsidR="0019463D" w:rsidRPr="00B96ED6">
        <w:rPr>
          <w:rFonts w:ascii="Century" w:hAnsi="Century" w:cs="Times New Roman"/>
          <w:b/>
          <w:bCs/>
          <w:i/>
          <w:iCs/>
        </w:rPr>
        <w:t>Cityview</w:t>
      </w:r>
      <w:r w:rsidR="00B96ED6">
        <w:rPr>
          <w:rFonts w:ascii="Century" w:hAnsi="Century" w:cs="Times New Roman"/>
          <w:b/>
          <w:bCs/>
          <w:i/>
          <w:iCs/>
        </w:rPr>
        <w:t xml:space="preserve"> Press</w:t>
      </w:r>
    </w:p>
    <w:p w14:paraId="1828A489" w14:textId="1096C36B" w:rsidR="00CD0D0C" w:rsidRPr="00B96ED6" w:rsidRDefault="00CD0D0C" w:rsidP="00E81877">
      <w:pPr>
        <w:pStyle w:val="p1"/>
        <w:spacing w:line="480" w:lineRule="auto"/>
        <w:jc w:val="both"/>
        <w:rPr>
          <w:rFonts w:ascii="Century" w:hAnsi="Century"/>
          <w:sz w:val="24"/>
          <w:szCs w:val="24"/>
        </w:rPr>
      </w:pPr>
      <w:r w:rsidRPr="00B96ED6">
        <w:rPr>
          <w:rFonts w:ascii="Century" w:hAnsi="Century"/>
          <w:sz w:val="24"/>
          <w:szCs w:val="24"/>
        </w:rPr>
        <w:t xml:space="preserve">The </w:t>
      </w:r>
      <w:r w:rsidR="00B96ED6">
        <w:rPr>
          <w:rFonts w:ascii="Century" w:hAnsi="Century"/>
          <w:sz w:val="24"/>
          <w:szCs w:val="24"/>
        </w:rPr>
        <w:t>Court’s</w:t>
      </w:r>
      <w:r w:rsidRPr="00B96ED6">
        <w:rPr>
          <w:rFonts w:ascii="Century" w:hAnsi="Century"/>
          <w:sz w:val="24"/>
          <w:szCs w:val="24"/>
        </w:rPr>
        <w:t xml:space="preserve"> constitutional </w:t>
      </w:r>
      <w:r w:rsidR="00B96ED6">
        <w:rPr>
          <w:rFonts w:ascii="Century" w:hAnsi="Century"/>
          <w:sz w:val="24"/>
          <w:szCs w:val="24"/>
        </w:rPr>
        <w:t>rationale</w:t>
      </w:r>
      <w:r w:rsidRPr="00B96ED6">
        <w:rPr>
          <w:rFonts w:ascii="Century" w:hAnsi="Century"/>
          <w:sz w:val="24"/>
          <w:szCs w:val="24"/>
        </w:rPr>
        <w:t xml:space="preserve"> for limiting </w:t>
      </w:r>
      <w:r w:rsidR="00913CE0">
        <w:rPr>
          <w:rFonts w:ascii="Century" w:hAnsi="Century"/>
          <w:sz w:val="24"/>
          <w:szCs w:val="24"/>
        </w:rPr>
        <w:t>the amount of</w:t>
      </w:r>
      <w:r w:rsidRPr="00B96ED6">
        <w:rPr>
          <w:rFonts w:ascii="Century" w:hAnsi="Century"/>
          <w:sz w:val="24"/>
          <w:szCs w:val="24"/>
        </w:rPr>
        <w:t xml:space="preserve"> </w:t>
      </w:r>
      <w:r w:rsidR="00913CE0">
        <w:rPr>
          <w:rFonts w:ascii="Century" w:hAnsi="Century"/>
          <w:sz w:val="24"/>
          <w:szCs w:val="24"/>
        </w:rPr>
        <w:t>rulemaking</w:t>
      </w:r>
      <w:r w:rsidRPr="00B96ED6">
        <w:rPr>
          <w:rFonts w:ascii="Century" w:hAnsi="Century"/>
          <w:sz w:val="24"/>
          <w:szCs w:val="24"/>
        </w:rPr>
        <w:t xml:space="preserve"> power </w:t>
      </w:r>
      <w:r w:rsidR="00913CE0">
        <w:rPr>
          <w:rFonts w:ascii="Century" w:hAnsi="Century"/>
          <w:sz w:val="24"/>
          <w:szCs w:val="24"/>
        </w:rPr>
        <w:t xml:space="preserve">the Oireachtas can vest in a delegate, </w:t>
      </w:r>
      <w:r w:rsidRPr="00B96ED6">
        <w:rPr>
          <w:rFonts w:ascii="Century" w:hAnsi="Century"/>
          <w:sz w:val="24"/>
          <w:szCs w:val="24"/>
        </w:rPr>
        <w:t>stems from</w:t>
      </w:r>
      <w:r w:rsidR="00995884">
        <w:rPr>
          <w:rFonts w:ascii="Century" w:hAnsi="Century"/>
          <w:sz w:val="24"/>
          <w:szCs w:val="24"/>
        </w:rPr>
        <w:t xml:space="preserve"> the structural</w:t>
      </w:r>
      <w:r w:rsidRPr="00B96ED6">
        <w:rPr>
          <w:rFonts w:ascii="Century" w:hAnsi="Century"/>
          <w:sz w:val="24"/>
          <w:szCs w:val="24"/>
        </w:rPr>
        <w:t xml:space="preserve"> </w:t>
      </w:r>
      <w:r w:rsidR="00995884">
        <w:rPr>
          <w:rFonts w:ascii="Century" w:hAnsi="Century"/>
          <w:sz w:val="24"/>
          <w:szCs w:val="24"/>
        </w:rPr>
        <w:t>imperative</w:t>
      </w:r>
      <w:r w:rsidRPr="00B96ED6">
        <w:rPr>
          <w:rFonts w:ascii="Century" w:hAnsi="Century"/>
          <w:sz w:val="24"/>
          <w:szCs w:val="24"/>
        </w:rPr>
        <w:t xml:space="preserve"> </w:t>
      </w:r>
      <w:r w:rsidR="00995884">
        <w:rPr>
          <w:rFonts w:ascii="Century" w:hAnsi="Century"/>
          <w:sz w:val="24"/>
          <w:szCs w:val="24"/>
        </w:rPr>
        <w:t>of preventing</w:t>
      </w:r>
      <w:r w:rsidR="00913CE0">
        <w:rPr>
          <w:rFonts w:ascii="Century" w:hAnsi="Century"/>
          <w:sz w:val="24"/>
          <w:szCs w:val="24"/>
        </w:rPr>
        <w:t xml:space="preserve"> its</w:t>
      </w:r>
      <w:r w:rsidRPr="00B96ED6">
        <w:rPr>
          <w:rFonts w:ascii="Century" w:hAnsi="Century"/>
          <w:sz w:val="24"/>
          <w:szCs w:val="24"/>
        </w:rPr>
        <w:t xml:space="preserve"> law-making power </w:t>
      </w:r>
      <w:r w:rsidR="00995884">
        <w:rPr>
          <w:rFonts w:ascii="Century" w:hAnsi="Century"/>
          <w:sz w:val="24"/>
          <w:szCs w:val="24"/>
        </w:rPr>
        <w:t>from being</w:t>
      </w:r>
      <w:r w:rsidRPr="00B96ED6">
        <w:rPr>
          <w:rFonts w:ascii="Century" w:hAnsi="Century"/>
          <w:sz w:val="24"/>
          <w:szCs w:val="24"/>
        </w:rPr>
        <w:t xml:space="preserve"> ‘abnegated’ or ‘alienated’.</w:t>
      </w:r>
      <w:bookmarkStart w:id="10" w:name="_Ref85194610"/>
      <w:r w:rsidRPr="00B96ED6">
        <w:rPr>
          <w:rStyle w:val="FootnoteReference"/>
          <w:rFonts w:ascii="Century" w:hAnsi="Century"/>
          <w:sz w:val="24"/>
          <w:szCs w:val="24"/>
        </w:rPr>
        <w:footnoteReference w:id="66"/>
      </w:r>
      <w:bookmarkEnd w:id="10"/>
      <w:r w:rsidRPr="00B96ED6">
        <w:rPr>
          <w:rFonts w:ascii="Century" w:hAnsi="Century"/>
          <w:sz w:val="24"/>
          <w:szCs w:val="24"/>
        </w:rPr>
        <w:t xml:space="preserve"> This has been attributed to judicial attempts to </w:t>
      </w:r>
      <w:r w:rsidR="000E0821">
        <w:rPr>
          <w:rFonts w:ascii="Century" w:hAnsi="Century"/>
          <w:sz w:val="24"/>
          <w:szCs w:val="24"/>
        </w:rPr>
        <w:t xml:space="preserve">uphold our Constitution’s separation of powers and </w:t>
      </w:r>
      <w:r w:rsidRPr="00B96ED6">
        <w:rPr>
          <w:rFonts w:ascii="Century" w:hAnsi="Century"/>
          <w:sz w:val="24"/>
          <w:szCs w:val="24"/>
        </w:rPr>
        <w:t>democratic principles</w:t>
      </w:r>
      <w:r w:rsidR="00005089" w:rsidRPr="00B96ED6">
        <w:rPr>
          <w:rStyle w:val="FootnoteReference"/>
          <w:rFonts w:ascii="Century" w:hAnsi="Century"/>
          <w:sz w:val="24"/>
          <w:szCs w:val="24"/>
        </w:rPr>
        <w:footnoteReference w:id="67"/>
      </w:r>
      <w:r w:rsidRPr="00B96ED6">
        <w:rPr>
          <w:rFonts w:ascii="Century" w:hAnsi="Century"/>
          <w:sz w:val="24"/>
          <w:szCs w:val="24"/>
        </w:rPr>
        <w:t xml:space="preserve"> articulated in Articles 5 and 15.</w:t>
      </w:r>
      <w:bookmarkStart w:id="11" w:name="_Ref36124920"/>
      <w:r w:rsidRPr="00B96ED6">
        <w:rPr>
          <w:rStyle w:val="FootnoteReference"/>
          <w:rFonts w:ascii="Century" w:hAnsi="Century"/>
          <w:sz w:val="24"/>
          <w:szCs w:val="24"/>
        </w:rPr>
        <w:footnoteReference w:id="68"/>
      </w:r>
      <w:bookmarkStart w:id="12" w:name="_Ref85194754"/>
      <w:bookmarkEnd w:id="11"/>
      <w:r w:rsidR="00DD3C3C">
        <w:rPr>
          <w:rFonts w:ascii="Century" w:hAnsi="Century"/>
          <w:sz w:val="24"/>
          <w:szCs w:val="24"/>
        </w:rPr>
        <w:t xml:space="preserve"> </w:t>
      </w:r>
      <w:bookmarkEnd w:id="12"/>
    </w:p>
    <w:p w14:paraId="6A3CD7B6" w14:textId="77777777" w:rsidR="00CD0D0C" w:rsidRPr="00B96ED6" w:rsidRDefault="00CD0D0C" w:rsidP="00E81877">
      <w:pPr>
        <w:pStyle w:val="p1"/>
        <w:spacing w:line="480" w:lineRule="auto"/>
        <w:jc w:val="both"/>
        <w:rPr>
          <w:rFonts w:ascii="Century" w:hAnsi="Century"/>
          <w:sz w:val="24"/>
          <w:szCs w:val="24"/>
        </w:rPr>
      </w:pPr>
    </w:p>
    <w:p w14:paraId="0F699370" w14:textId="53A2E617" w:rsidR="0066409C" w:rsidRPr="00A809FB" w:rsidRDefault="006F6C18" w:rsidP="00E81877">
      <w:pPr>
        <w:pStyle w:val="p1"/>
        <w:spacing w:line="480" w:lineRule="auto"/>
        <w:jc w:val="both"/>
        <w:rPr>
          <w:rFonts w:ascii="Century" w:hAnsi="Century"/>
          <w:color w:val="000000"/>
          <w:sz w:val="24"/>
          <w:szCs w:val="24"/>
          <w:shd w:val="clear" w:color="auto" w:fill="FFFFFF"/>
        </w:rPr>
      </w:pPr>
      <w:r>
        <w:rPr>
          <w:rFonts w:ascii="Century" w:hAnsi="Century"/>
          <w:sz w:val="24"/>
          <w:szCs w:val="24"/>
        </w:rPr>
        <w:t>The</w:t>
      </w:r>
      <w:r w:rsidR="002D0009" w:rsidRPr="00B96ED6">
        <w:rPr>
          <w:rFonts w:ascii="Century" w:hAnsi="Century"/>
          <w:sz w:val="24"/>
          <w:szCs w:val="24"/>
        </w:rPr>
        <w:t xml:space="preserve"> </w:t>
      </w:r>
      <w:r w:rsidR="00CD0D0C" w:rsidRPr="00B96ED6">
        <w:rPr>
          <w:rFonts w:ascii="Century" w:hAnsi="Century"/>
          <w:i/>
          <w:sz w:val="24"/>
          <w:szCs w:val="24"/>
        </w:rPr>
        <w:t xml:space="preserve">Cityview </w:t>
      </w:r>
      <w:r w:rsidR="00CD0D0C" w:rsidRPr="00B96ED6">
        <w:rPr>
          <w:rFonts w:ascii="Century" w:hAnsi="Century"/>
          <w:sz w:val="24"/>
          <w:szCs w:val="24"/>
        </w:rPr>
        <w:t xml:space="preserve">test the </w:t>
      </w:r>
      <w:r>
        <w:rPr>
          <w:rFonts w:ascii="Century" w:hAnsi="Century"/>
          <w:sz w:val="24"/>
          <w:szCs w:val="24"/>
        </w:rPr>
        <w:t>Supreme C</w:t>
      </w:r>
      <w:r w:rsidR="00CD0D0C" w:rsidRPr="00B96ED6">
        <w:rPr>
          <w:rFonts w:ascii="Century" w:hAnsi="Century"/>
          <w:sz w:val="24"/>
          <w:szCs w:val="24"/>
        </w:rPr>
        <w:t>ourt articulated to vindicate these principles require</w:t>
      </w:r>
      <w:r w:rsidR="00E77A43" w:rsidRPr="00B96ED6">
        <w:rPr>
          <w:rFonts w:ascii="Century" w:hAnsi="Century"/>
          <w:sz w:val="24"/>
          <w:szCs w:val="24"/>
        </w:rPr>
        <w:t>d</w:t>
      </w:r>
      <w:r w:rsidR="00CD0D0C" w:rsidRPr="00B96ED6">
        <w:rPr>
          <w:rFonts w:ascii="Century" w:hAnsi="Century"/>
          <w:sz w:val="24"/>
          <w:szCs w:val="24"/>
        </w:rPr>
        <w:t xml:space="preserve"> that</w:t>
      </w:r>
      <w:r w:rsidR="00597DE6">
        <w:rPr>
          <w:rFonts w:ascii="Century" w:hAnsi="Century"/>
          <w:sz w:val="24"/>
          <w:szCs w:val="24"/>
        </w:rPr>
        <w:t xml:space="preserve"> statutory</w:t>
      </w:r>
      <w:r w:rsidR="00CD0D0C" w:rsidRPr="00B96ED6">
        <w:rPr>
          <w:rFonts w:ascii="Century" w:hAnsi="Century"/>
          <w:sz w:val="24"/>
          <w:szCs w:val="24"/>
        </w:rPr>
        <w:t xml:space="preserve"> </w:t>
      </w:r>
      <w:r w:rsidR="00597DE6">
        <w:rPr>
          <w:rFonts w:ascii="Century" w:hAnsi="Century"/>
          <w:sz w:val="24"/>
          <w:szCs w:val="24"/>
        </w:rPr>
        <w:t xml:space="preserve">grants of rulemaking </w:t>
      </w:r>
      <w:r w:rsidR="00CD0D0C" w:rsidRPr="00B96ED6">
        <w:rPr>
          <w:rFonts w:ascii="Century" w:hAnsi="Century"/>
          <w:sz w:val="24"/>
          <w:szCs w:val="24"/>
        </w:rPr>
        <w:t xml:space="preserve">power must not go beyond giving </w:t>
      </w:r>
      <w:r w:rsidR="00E77A43" w:rsidRPr="00B96ED6">
        <w:rPr>
          <w:rFonts w:ascii="Century" w:hAnsi="Century"/>
          <w:sz w:val="24"/>
          <w:szCs w:val="24"/>
        </w:rPr>
        <w:t>authority</w:t>
      </w:r>
      <w:r w:rsidR="00CD0D0C" w:rsidRPr="00B96ED6">
        <w:rPr>
          <w:rFonts w:ascii="Century" w:hAnsi="Century"/>
          <w:sz w:val="24"/>
          <w:szCs w:val="24"/>
        </w:rPr>
        <w:t xml:space="preserve"> to</w:t>
      </w:r>
      <w:r w:rsidR="00E77A43" w:rsidRPr="00B96ED6">
        <w:rPr>
          <w:rFonts w:ascii="Century" w:hAnsi="Century"/>
          <w:sz w:val="24"/>
          <w:szCs w:val="24"/>
        </w:rPr>
        <w:t xml:space="preserve"> implement all the</w:t>
      </w:r>
      <w:r w:rsidR="00CD0D0C" w:rsidRPr="00B96ED6">
        <w:rPr>
          <w:rFonts w:ascii="Century" w:hAnsi="Century"/>
          <w:sz w:val="24"/>
          <w:szCs w:val="24"/>
        </w:rPr>
        <w:t xml:space="preserve"> ‘principles and policies’ contained in the </w:t>
      </w:r>
      <w:r w:rsidR="00CD0D0C" w:rsidRPr="006F6C18">
        <w:rPr>
          <w:rFonts w:ascii="Century" w:hAnsi="Century"/>
          <w:sz w:val="24"/>
          <w:szCs w:val="24"/>
        </w:rPr>
        <w:lastRenderedPageBreak/>
        <w:t>authorizing legislation.</w:t>
      </w:r>
      <w:r w:rsidR="00CD0D0C" w:rsidRPr="006F6C18">
        <w:rPr>
          <w:rStyle w:val="FootnoteReference"/>
          <w:rFonts w:ascii="Century" w:hAnsi="Century"/>
          <w:sz w:val="24"/>
          <w:szCs w:val="24"/>
        </w:rPr>
        <w:footnoteReference w:id="69"/>
      </w:r>
      <w:r w:rsidR="00CD0D0C" w:rsidRPr="006F6C18">
        <w:rPr>
          <w:rFonts w:ascii="Century" w:hAnsi="Century"/>
          <w:sz w:val="24"/>
          <w:szCs w:val="24"/>
        </w:rPr>
        <w:t xml:space="preserve"> If </w:t>
      </w:r>
      <w:r w:rsidR="001223DA">
        <w:rPr>
          <w:rFonts w:ascii="Century" w:hAnsi="Century"/>
          <w:sz w:val="24"/>
          <w:szCs w:val="24"/>
        </w:rPr>
        <w:t xml:space="preserve">a statute goes </w:t>
      </w:r>
      <w:r w:rsidR="00CD0D0C" w:rsidRPr="006F6C18">
        <w:rPr>
          <w:rFonts w:ascii="Century" w:hAnsi="Century"/>
          <w:sz w:val="24"/>
          <w:szCs w:val="24"/>
        </w:rPr>
        <w:t xml:space="preserve">beyond this, </w:t>
      </w:r>
      <w:r w:rsidR="002D0009" w:rsidRPr="006F6C18">
        <w:rPr>
          <w:rFonts w:ascii="Century" w:hAnsi="Century"/>
          <w:sz w:val="24"/>
          <w:szCs w:val="24"/>
        </w:rPr>
        <w:t>rulemaking authority</w:t>
      </w:r>
      <w:r w:rsidR="00CD0D0C" w:rsidRPr="006F6C18">
        <w:rPr>
          <w:rFonts w:ascii="Century" w:hAnsi="Century"/>
          <w:sz w:val="24"/>
          <w:szCs w:val="24"/>
        </w:rPr>
        <w:t xml:space="preserve"> strays from permissible subordinate regulatory power to</w:t>
      </w:r>
      <w:r w:rsidR="00597DE6">
        <w:rPr>
          <w:rFonts w:ascii="Century" w:hAnsi="Century"/>
          <w:sz w:val="24"/>
          <w:szCs w:val="24"/>
        </w:rPr>
        <w:t xml:space="preserve"> an</w:t>
      </w:r>
      <w:r w:rsidR="00CD0D0C" w:rsidRPr="006F6C18">
        <w:rPr>
          <w:rFonts w:ascii="Century" w:hAnsi="Century"/>
          <w:sz w:val="24"/>
          <w:szCs w:val="24"/>
        </w:rPr>
        <w:t xml:space="preserve"> unconstitutional delegation of legislative power.</w:t>
      </w:r>
      <w:r w:rsidR="00CD0D0C" w:rsidRPr="006F6C18">
        <w:rPr>
          <w:rStyle w:val="FootnoteReference"/>
          <w:rFonts w:ascii="Century" w:hAnsi="Century"/>
          <w:sz w:val="24"/>
          <w:szCs w:val="24"/>
        </w:rPr>
        <w:footnoteReference w:id="70"/>
      </w:r>
      <w:r w:rsidR="00422040">
        <w:rPr>
          <w:rFonts w:ascii="Century" w:hAnsi="Century"/>
          <w:sz w:val="24"/>
          <w:szCs w:val="24"/>
        </w:rPr>
        <w:t xml:space="preserve"> </w:t>
      </w:r>
      <w:r w:rsidR="00864DBA" w:rsidRPr="006F6C18">
        <w:rPr>
          <w:rFonts w:ascii="Century" w:hAnsi="Century"/>
          <w:color w:val="000000"/>
          <w:sz w:val="24"/>
          <w:szCs w:val="24"/>
          <w:shd w:val="clear" w:color="auto" w:fill="FFFFFF"/>
        </w:rPr>
        <w:t xml:space="preserve">But </w:t>
      </w:r>
      <w:r w:rsidR="004D378A">
        <w:rPr>
          <w:rFonts w:ascii="Century" w:hAnsi="Century"/>
          <w:color w:val="000000"/>
          <w:sz w:val="24"/>
          <w:szCs w:val="24"/>
          <w:shd w:val="clear" w:color="auto" w:fill="FFFFFF"/>
        </w:rPr>
        <w:t>as</w:t>
      </w:r>
      <w:r w:rsidR="00EA5AD9">
        <w:rPr>
          <w:rFonts w:ascii="Century" w:hAnsi="Century"/>
          <w:color w:val="000000"/>
          <w:sz w:val="24"/>
          <w:szCs w:val="24"/>
          <w:shd w:val="clear" w:color="auto" w:fill="FFFFFF"/>
        </w:rPr>
        <w:t xml:space="preserve"> noted in my introductory passage,</w:t>
      </w:r>
      <w:r w:rsidR="00864DBA" w:rsidRPr="006F6C18">
        <w:rPr>
          <w:rFonts w:ascii="Century" w:hAnsi="Century"/>
          <w:color w:val="000000"/>
          <w:sz w:val="24"/>
          <w:szCs w:val="24"/>
          <w:shd w:val="clear" w:color="auto" w:fill="FFFFFF"/>
        </w:rPr>
        <w:t xml:space="preserve"> every </w:t>
      </w:r>
      <w:r w:rsidR="00F9154B" w:rsidRPr="006F6C18">
        <w:rPr>
          <w:rFonts w:ascii="Century" w:hAnsi="Century"/>
          <w:color w:val="000000"/>
          <w:sz w:val="24"/>
          <w:szCs w:val="24"/>
          <w:shd w:val="clear" w:color="auto" w:fill="FFFFFF"/>
        </w:rPr>
        <w:t xml:space="preserve">Irish </w:t>
      </w:r>
      <w:r w:rsidR="00864DBA" w:rsidRPr="006F6C18">
        <w:rPr>
          <w:rFonts w:ascii="Century" w:hAnsi="Century"/>
          <w:color w:val="000000"/>
          <w:sz w:val="24"/>
          <w:szCs w:val="24"/>
          <w:shd w:val="clear" w:color="auto" w:fill="FFFFFF"/>
        </w:rPr>
        <w:t>lawyer knows</w:t>
      </w:r>
      <w:r w:rsidR="00EA5AD9">
        <w:rPr>
          <w:rFonts w:ascii="Century" w:hAnsi="Century"/>
          <w:color w:val="000000"/>
          <w:sz w:val="24"/>
          <w:szCs w:val="24"/>
          <w:shd w:val="clear" w:color="auto" w:fill="FFFFFF"/>
        </w:rPr>
        <w:t xml:space="preserve"> </w:t>
      </w:r>
      <w:r w:rsidR="0066492C" w:rsidRPr="006F6C18">
        <w:rPr>
          <w:rFonts w:ascii="Century" w:hAnsi="Century"/>
          <w:color w:val="000000"/>
          <w:sz w:val="24"/>
          <w:szCs w:val="24"/>
          <w:shd w:val="clear" w:color="auto" w:fill="FFFFFF"/>
        </w:rPr>
        <w:t>the test was</w:t>
      </w:r>
      <w:r w:rsidR="004D378A">
        <w:rPr>
          <w:rFonts w:ascii="Century" w:hAnsi="Century"/>
          <w:color w:val="000000"/>
          <w:sz w:val="24"/>
          <w:szCs w:val="24"/>
          <w:shd w:val="clear" w:color="auto" w:fill="FFFFFF"/>
        </w:rPr>
        <w:t xml:space="preserve"> simply</w:t>
      </w:r>
      <w:r w:rsidR="0066492C" w:rsidRPr="006F6C18">
        <w:rPr>
          <w:rFonts w:ascii="Century" w:hAnsi="Century"/>
          <w:color w:val="000000"/>
          <w:sz w:val="24"/>
          <w:szCs w:val="24"/>
          <w:shd w:val="clear" w:color="auto" w:fill="FFFFFF"/>
        </w:rPr>
        <w:t xml:space="preserve"> never applied as cited.</w:t>
      </w:r>
      <w:r w:rsidR="00251447">
        <w:rPr>
          <w:rStyle w:val="FootnoteReference"/>
          <w:rFonts w:ascii="Century" w:hAnsi="Century"/>
          <w:color w:val="000000"/>
          <w:sz w:val="24"/>
          <w:szCs w:val="24"/>
          <w:shd w:val="clear" w:color="auto" w:fill="FFFFFF"/>
        </w:rPr>
        <w:footnoteReference w:id="71"/>
      </w:r>
      <w:r w:rsidR="0066492C" w:rsidRPr="006F6C18">
        <w:rPr>
          <w:rFonts w:ascii="Century" w:hAnsi="Century"/>
          <w:color w:val="000000"/>
          <w:sz w:val="24"/>
          <w:szCs w:val="24"/>
          <w:shd w:val="clear" w:color="auto" w:fill="FFFFFF"/>
        </w:rPr>
        <w:t xml:space="preserve"> W</w:t>
      </w:r>
      <w:r w:rsidR="002D0009" w:rsidRPr="006F6C18">
        <w:rPr>
          <w:rFonts w:ascii="Century" w:hAnsi="Century"/>
          <w:color w:val="000000"/>
          <w:sz w:val="24"/>
          <w:szCs w:val="24"/>
          <w:shd w:val="clear" w:color="auto" w:fill="FFFFFF"/>
        </w:rPr>
        <w:t xml:space="preserve">hen it came to applying the test, </w:t>
      </w:r>
      <w:r w:rsidR="00CD0D0C" w:rsidRPr="006F6C18">
        <w:rPr>
          <w:rFonts w:ascii="Century" w:hAnsi="Century"/>
          <w:color w:val="000000"/>
          <w:sz w:val="24"/>
          <w:szCs w:val="24"/>
          <w:shd w:val="clear" w:color="auto" w:fill="FFFFFF"/>
        </w:rPr>
        <w:t xml:space="preserve">the Court’s awareness of the need for capacious delegation in a political </w:t>
      </w:r>
      <w:r w:rsidR="00CD0D0C" w:rsidRPr="00A809FB">
        <w:rPr>
          <w:rFonts w:ascii="Century" w:hAnsi="Century"/>
          <w:color w:val="000000"/>
          <w:sz w:val="24"/>
          <w:szCs w:val="24"/>
          <w:shd w:val="clear" w:color="auto" w:fill="FFFFFF"/>
        </w:rPr>
        <w:t xml:space="preserve">community with </w:t>
      </w:r>
      <w:r w:rsidR="002D0009" w:rsidRPr="00A809FB">
        <w:rPr>
          <w:rFonts w:ascii="Century" w:hAnsi="Century"/>
          <w:color w:val="000000"/>
          <w:sz w:val="24"/>
          <w:szCs w:val="24"/>
          <w:shd w:val="clear" w:color="auto" w:fill="FFFFFF"/>
        </w:rPr>
        <w:t>executive-centred government, seemed to</w:t>
      </w:r>
      <w:r w:rsidR="0066492C" w:rsidRPr="00A809FB">
        <w:rPr>
          <w:rFonts w:ascii="Century" w:hAnsi="Century"/>
          <w:color w:val="000000"/>
          <w:sz w:val="24"/>
          <w:szCs w:val="24"/>
          <w:shd w:val="clear" w:color="auto" w:fill="FFFFFF"/>
        </w:rPr>
        <w:t xml:space="preserve"> consistently</w:t>
      </w:r>
      <w:r w:rsidR="00CD0D0C" w:rsidRPr="00A809FB">
        <w:rPr>
          <w:rFonts w:ascii="Century" w:hAnsi="Century"/>
          <w:color w:val="000000"/>
          <w:sz w:val="24"/>
          <w:szCs w:val="24"/>
          <w:shd w:val="clear" w:color="auto" w:fill="FFFFFF"/>
        </w:rPr>
        <w:t xml:space="preserve"> trump </w:t>
      </w:r>
      <w:r w:rsidR="002D0009" w:rsidRPr="00A809FB">
        <w:rPr>
          <w:rFonts w:ascii="Century" w:hAnsi="Century"/>
          <w:color w:val="000000"/>
          <w:sz w:val="24"/>
          <w:szCs w:val="24"/>
          <w:shd w:val="clear" w:color="auto" w:fill="FFFFFF"/>
        </w:rPr>
        <w:t>any</w:t>
      </w:r>
      <w:r w:rsidR="00CD0D0C" w:rsidRPr="00A809FB">
        <w:rPr>
          <w:rFonts w:ascii="Century" w:hAnsi="Century"/>
          <w:color w:val="000000"/>
          <w:sz w:val="24"/>
          <w:szCs w:val="24"/>
          <w:shd w:val="clear" w:color="auto" w:fill="FFFFFF"/>
        </w:rPr>
        <w:t xml:space="preserve"> concern</w:t>
      </w:r>
      <w:r w:rsidR="00864DBA" w:rsidRPr="00A809FB">
        <w:rPr>
          <w:rFonts w:ascii="Century" w:hAnsi="Century"/>
          <w:color w:val="000000"/>
          <w:sz w:val="24"/>
          <w:szCs w:val="24"/>
          <w:shd w:val="clear" w:color="auto" w:fill="FFFFFF"/>
        </w:rPr>
        <w:t xml:space="preserve"> it had</w:t>
      </w:r>
      <w:r w:rsidR="00CD0D0C" w:rsidRPr="00A809FB">
        <w:rPr>
          <w:rFonts w:ascii="Century" w:hAnsi="Century"/>
          <w:color w:val="000000"/>
          <w:sz w:val="24"/>
          <w:szCs w:val="24"/>
          <w:shd w:val="clear" w:color="auto" w:fill="FFFFFF"/>
        </w:rPr>
        <w:t xml:space="preserve"> over</w:t>
      </w:r>
      <w:r w:rsidR="00E77A43" w:rsidRPr="00A809FB">
        <w:rPr>
          <w:rFonts w:ascii="Century" w:hAnsi="Century"/>
          <w:color w:val="000000"/>
          <w:sz w:val="24"/>
          <w:szCs w:val="24"/>
          <w:shd w:val="clear" w:color="auto" w:fill="FFFFFF"/>
        </w:rPr>
        <w:t xml:space="preserve"> </w:t>
      </w:r>
      <w:r w:rsidR="007D4865">
        <w:rPr>
          <w:rFonts w:ascii="Century" w:hAnsi="Century"/>
          <w:color w:val="000000"/>
          <w:sz w:val="24"/>
          <w:szCs w:val="24"/>
          <w:shd w:val="clear" w:color="auto" w:fill="FFFFFF"/>
        </w:rPr>
        <w:t xml:space="preserve">ensuring rulemaking was strictly cabined by </w:t>
      </w:r>
      <w:r w:rsidR="0066409C" w:rsidRPr="00A809FB">
        <w:rPr>
          <w:rFonts w:ascii="Century" w:hAnsi="Century"/>
          <w:color w:val="000000"/>
          <w:sz w:val="24"/>
          <w:szCs w:val="24"/>
          <w:shd w:val="clear" w:color="auto" w:fill="FFFFFF"/>
        </w:rPr>
        <w:t xml:space="preserve">legislative </w:t>
      </w:r>
      <w:r w:rsidR="007D4865">
        <w:rPr>
          <w:rFonts w:ascii="Century" w:hAnsi="Century"/>
          <w:color w:val="000000"/>
          <w:sz w:val="24"/>
          <w:szCs w:val="24"/>
          <w:shd w:val="clear" w:color="auto" w:fill="FFFFFF"/>
        </w:rPr>
        <w:t>direction</w:t>
      </w:r>
      <w:r w:rsidR="00CD0D0C" w:rsidRPr="00A809FB">
        <w:rPr>
          <w:rFonts w:ascii="Century" w:hAnsi="Century"/>
          <w:color w:val="000000"/>
          <w:sz w:val="24"/>
          <w:szCs w:val="24"/>
          <w:shd w:val="clear" w:color="auto" w:fill="FFFFFF"/>
        </w:rPr>
        <w:t>.</w:t>
      </w:r>
      <w:bookmarkStart w:id="13" w:name="_Ref36124881"/>
      <w:r w:rsidR="00CD0D0C" w:rsidRPr="00A809FB">
        <w:rPr>
          <w:rStyle w:val="FootnoteReference"/>
          <w:rFonts w:ascii="Century" w:hAnsi="Century"/>
          <w:color w:val="000000"/>
          <w:sz w:val="24"/>
          <w:szCs w:val="24"/>
          <w:shd w:val="clear" w:color="auto" w:fill="FFFFFF"/>
        </w:rPr>
        <w:footnoteReference w:id="72"/>
      </w:r>
      <w:bookmarkEnd w:id="13"/>
      <w:r w:rsidR="00CD0D0C" w:rsidRPr="00A809FB">
        <w:rPr>
          <w:rFonts w:ascii="Century" w:hAnsi="Century"/>
          <w:color w:val="000000"/>
          <w:sz w:val="24"/>
          <w:szCs w:val="24"/>
          <w:shd w:val="clear" w:color="auto" w:fill="FFFFFF"/>
        </w:rPr>
        <w:t xml:space="preserve"> </w:t>
      </w:r>
    </w:p>
    <w:p w14:paraId="0DB672C5" w14:textId="77777777" w:rsidR="0066409C" w:rsidRPr="00A809FB" w:rsidRDefault="0066409C" w:rsidP="00E81877">
      <w:pPr>
        <w:pStyle w:val="p1"/>
        <w:spacing w:line="480" w:lineRule="auto"/>
        <w:jc w:val="both"/>
        <w:rPr>
          <w:rFonts w:ascii="Century" w:hAnsi="Century"/>
          <w:color w:val="000000"/>
          <w:sz w:val="24"/>
          <w:szCs w:val="24"/>
          <w:shd w:val="clear" w:color="auto" w:fill="FFFFFF"/>
        </w:rPr>
      </w:pPr>
    </w:p>
    <w:p w14:paraId="46AB00F1" w14:textId="2B61D09B" w:rsidR="002D0009" w:rsidRPr="00A809FB" w:rsidRDefault="00326FF0" w:rsidP="00E81877">
      <w:pPr>
        <w:pStyle w:val="p1"/>
        <w:spacing w:line="480" w:lineRule="auto"/>
        <w:jc w:val="both"/>
        <w:rPr>
          <w:rFonts w:ascii="Century" w:hAnsi="Century"/>
          <w:sz w:val="24"/>
          <w:szCs w:val="24"/>
        </w:rPr>
      </w:pPr>
      <w:r>
        <w:rPr>
          <w:rFonts w:ascii="Century" w:hAnsi="Century"/>
          <w:color w:val="000000"/>
          <w:sz w:val="24"/>
          <w:szCs w:val="24"/>
          <w:shd w:val="clear" w:color="auto" w:fill="FFFFFF"/>
        </w:rPr>
        <w:t>Judicial</w:t>
      </w:r>
      <w:r w:rsidR="00CD0D0C" w:rsidRPr="00A809FB">
        <w:rPr>
          <w:rFonts w:ascii="Century" w:hAnsi="Century"/>
          <w:color w:val="000000"/>
          <w:sz w:val="24"/>
          <w:szCs w:val="24"/>
          <w:shd w:val="clear" w:color="auto" w:fill="FFFFFF"/>
        </w:rPr>
        <w:t xml:space="preserve"> </w:t>
      </w:r>
      <w:r w:rsidR="00A809FB" w:rsidRPr="00A809FB">
        <w:rPr>
          <w:rFonts w:ascii="Century" w:hAnsi="Century"/>
          <w:color w:val="000000"/>
          <w:sz w:val="24"/>
          <w:szCs w:val="24"/>
          <w:shd w:val="clear" w:color="auto" w:fill="FFFFFF"/>
        </w:rPr>
        <w:t xml:space="preserve">application of the </w:t>
      </w:r>
      <w:r w:rsidRPr="00326FF0">
        <w:rPr>
          <w:rFonts w:ascii="Century" w:hAnsi="Century"/>
          <w:i/>
          <w:iCs/>
          <w:color w:val="000000"/>
          <w:sz w:val="24"/>
          <w:szCs w:val="24"/>
          <w:shd w:val="clear" w:color="auto" w:fill="FFFFFF"/>
        </w:rPr>
        <w:t>Cityview</w:t>
      </w:r>
      <w:r w:rsidR="00A809FB" w:rsidRPr="00A809FB">
        <w:rPr>
          <w:rFonts w:ascii="Century" w:hAnsi="Century"/>
          <w:color w:val="000000"/>
          <w:sz w:val="24"/>
          <w:szCs w:val="24"/>
          <w:shd w:val="clear" w:color="auto" w:fill="FFFFFF"/>
        </w:rPr>
        <w:t xml:space="preserve"> test has always</w:t>
      </w:r>
      <w:r w:rsidR="00CD0D0C" w:rsidRPr="00A809FB">
        <w:rPr>
          <w:rFonts w:ascii="Century" w:hAnsi="Century"/>
          <w:color w:val="000000"/>
          <w:sz w:val="24"/>
          <w:szCs w:val="24"/>
          <w:shd w:val="clear" w:color="auto" w:fill="FFFFFF"/>
        </w:rPr>
        <w:t xml:space="preserve"> implicitly recognised that tightly circumscribing the power of the Oireachtas to delegate statutory power may simply undermine its</w:t>
      </w:r>
      <w:r w:rsidR="004963D4">
        <w:rPr>
          <w:rFonts w:ascii="Century" w:hAnsi="Century"/>
          <w:color w:val="000000"/>
          <w:sz w:val="24"/>
          <w:szCs w:val="24"/>
          <w:shd w:val="clear" w:color="auto" w:fill="FFFFFF"/>
        </w:rPr>
        <w:t xml:space="preserve"> substantive</w:t>
      </w:r>
      <w:r w:rsidR="00CD0D0C" w:rsidRPr="00A809FB">
        <w:rPr>
          <w:rFonts w:ascii="Century" w:hAnsi="Century"/>
          <w:color w:val="000000"/>
          <w:sz w:val="24"/>
          <w:szCs w:val="24"/>
          <w:shd w:val="clear" w:color="auto" w:fill="FFFFFF"/>
        </w:rPr>
        <w:t xml:space="preserve"> institutional power, by frustrating its ability to</w:t>
      </w:r>
      <w:r w:rsidR="004963D4">
        <w:rPr>
          <w:rFonts w:ascii="Century" w:hAnsi="Century"/>
          <w:color w:val="000000"/>
          <w:sz w:val="24"/>
          <w:szCs w:val="24"/>
          <w:shd w:val="clear" w:color="auto" w:fill="FFFFFF"/>
        </w:rPr>
        <w:t xml:space="preserve"> efficaciously</w:t>
      </w:r>
      <w:r w:rsidR="00CD0D0C" w:rsidRPr="00A809FB">
        <w:rPr>
          <w:rFonts w:ascii="Century" w:hAnsi="Century"/>
          <w:color w:val="000000"/>
          <w:sz w:val="24"/>
          <w:szCs w:val="24"/>
          <w:shd w:val="clear" w:color="auto" w:fill="FFFFFF"/>
        </w:rPr>
        <w:t xml:space="preserve"> </w:t>
      </w:r>
      <w:r w:rsidR="00A34342">
        <w:rPr>
          <w:rFonts w:ascii="Century" w:hAnsi="Century"/>
          <w:color w:val="000000"/>
          <w:sz w:val="24"/>
          <w:szCs w:val="24"/>
          <w:shd w:val="clear" w:color="auto" w:fill="FFFFFF"/>
        </w:rPr>
        <w:t>pursue</w:t>
      </w:r>
      <w:r w:rsidR="00CD0D0C" w:rsidRPr="00A809FB">
        <w:rPr>
          <w:rFonts w:ascii="Century" w:hAnsi="Century"/>
          <w:color w:val="000000"/>
          <w:sz w:val="24"/>
          <w:szCs w:val="24"/>
          <w:shd w:val="clear" w:color="auto" w:fill="FFFFFF"/>
        </w:rPr>
        <w:t xml:space="preserve"> </w:t>
      </w:r>
      <w:r w:rsidR="00A34342">
        <w:rPr>
          <w:rFonts w:ascii="Century" w:hAnsi="Century"/>
          <w:color w:val="000000"/>
          <w:sz w:val="24"/>
          <w:szCs w:val="24"/>
          <w:shd w:val="clear" w:color="auto" w:fill="FFFFFF"/>
        </w:rPr>
        <w:t>legislative</w:t>
      </w:r>
      <w:r w:rsidR="00CD0D0C" w:rsidRPr="00A809FB">
        <w:rPr>
          <w:rFonts w:ascii="Century" w:hAnsi="Century"/>
          <w:color w:val="000000"/>
          <w:sz w:val="24"/>
          <w:szCs w:val="24"/>
          <w:shd w:val="clear" w:color="auto" w:fill="FFFFFF"/>
        </w:rPr>
        <w:t xml:space="preserve"> objectives.</w:t>
      </w:r>
      <w:r w:rsidR="00CD0D0C" w:rsidRPr="00A809FB">
        <w:rPr>
          <w:rStyle w:val="FootnoteReference"/>
          <w:rFonts w:ascii="Century" w:hAnsi="Century"/>
          <w:color w:val="000000"/>
          <w:sz w:val="24"/>
          <w:szCs w:val="24"/>
          <w:shd w:val="clear" w:color="auto" w:fill="FFFFFF"/>
        </w:rPr>
        <w:footnoteReference w:id="73"/>
      </w:r>
      <w:r w:rsidR="00CD0D0C" w:rsidRPr="00A809FB">
        <w:rPr>
          <w:rFonts w:ascii="Century" w:hAnsi="Century"/>
          <w:color w:val="000000"/>
          <w:sz w:val="24"/>
          <w:szCs w:val="24"/>
          <w:shd w:val="clear" w:color="auto" w:fill="FFFFFF"/>
        </w:rPr>
        <w:t xml:space="preserve"> The existence of the administrative state in Ireland, and </w:t>
      </w:r>
      <w:r w:rsidR="00446B73">
        <w:rPr>
          <w:rFonts w:ascii="Century" w:hAnsi="Century"/>
          <w:color w:val="000000"/>
          <w:sz w:val="24"/>
          <w:szCs w:val="24"/>
          <w:shd w:val="clear" w:color="auto" w:fill="FFFFFF"/>
        </w:rPr>
        <w:t>the necessity of</w:t>
      </w:r>
      <w:r w:rsidR="00CD0D0C" w:rsidRPr="00A809FB">
        <w:rPr>
          <w:rFonts w:ascii="Century" w:hAnsi="Century"/>
          <w:color w:val="000000"/>
          <w:sz w:val="24"/>
          <w:szCs w:val="24"/>
          <w:shd w:val="clear" w:color="auto" w:fill="FFFFFF"/>
        </w:rPr>
        <w:t xml:space="preserve"> delegated statutory power</w:t>
      </w:r>
      <w:r w:rsidR="00446B73">
        <w:rPr>
          <w:rFonts w:ascii="Century" w:hAnsi="Century"/>
          <w:color w:val="000000"/>
          <w:sz w:val="24"/>
          <w:szCs w:val="24"/>
          <w:shd w:val="clear" w:color="auto" w:fill="FFFFFF"/>
        </w:rPr>
        <w:t xml:space="preserve"> to its maintenance and efficacy</w:t>
      </w:r>
      <w:r w:rsidR="00CD0D0C" w:rsidRPr="00A809FB">
        <w:rPr>
          <w:rFonts w:ascii="Century" w:hAnsi="Century"/>
          <w:color w:val="000000"/>
          <w:sz w:val="24"/>
          <w:szCs w:val="24"/>
          <w:shd w:val="clear" w:color="auto" w:fill="FFFFFF"/>
        </w:rPr>
        <w:t xml:space="preserve">, has been acknowledged by </w:t>
      </w:r>
      <w:r w:rsidR="00597DE6">
        <w:rPr>
          <w:rFonts w:ascii="Century" w:hAnsi="Century"/>
          <w:color w:val="000000"/>
          <w:sz w:val="24"/>
          <w:szCs w:val="24"/>
          <w:shd w:val="clear" w:color="auto" w:fill="FFFFFF"/>
        </w:rPr>
        <w:t>the</w:t>
      </w:r>
      <w:r w:rsidR="00CD0D0C" w:rsidRPr="00A809FB">
        <w:rPr>
          <w:rFonts w:ascii="Century" w:hAnsi="Century"/>
          <w:color w:val="000000"/>
          <w:sz w:val="24"/>
          <w:szCs w:val="24"/>
          <w:shd w:val="clear" w:color="auto" w:fill="FFFFFF"/>
        </w:rPr>
        <w:t xml:space="preserve"> judiciary</w:t>
      </w:r>
      <w:r w:rsidR="004963D4">
        <w:rPr>
          <w:rFonts w:ascii="Century" w:hAnsi="Century"/>
          <w:color w:val="000000"/>
          <w:sz w:val="24"/>
          <w:szCs w:val="24"/>
          <w:shd w:val="clear" w:color="auto" w:fill="FFFFFF"/>
        </w:rPr>
        <w:t xml:space="preserve"> itself</w:t>
      </w:r>
      <w:r w:rsidR="00CD0D0C" w:rsidRPr="00A809FB">
        <w:rPr>
          <w:rFonts w:ascii="Century" w:hAnsi="Century"/>
          <w:color w:val="000000"/>
          <w:sz w:val="24"/>
          <w:szCs w:val="24"/>
          <w:shd w:val="clear" w:color="auto" w:fill="FFFFFF"/>
        </w:rPr>
        <w:t xml:space="preserve"> </w:t>
      </w:r>
      <w:r w:rsidR="00597DE6">
        <w:rPr>
          <w:rFonts w:ascii="Century" w:hAnsi="Century"/>
          <w:color w:val="000000"/>
          <w:sz w:val="24"/>
          <w:szCs w:val="24"/>
          <w:shd w:val="clear" w:color="auto" w:fill="FFFFFF"/>
        </w:rPr>
        <w:t>from</w:t>
      </w:r>
      <w:r w:rsidR="00CD0D0C" w:rsidRPr="00A809FB">
        <w:rPr>
          <w:rFonts w:ascii="Century" w:hAnsi="Century"/>
          <w:color w:val="000000"/>
          <w:sz w:val="24"/>
          <w:szCs w:val="24"/>
          <w:shd w:val="clear" w:color="auto" w:fill="FFFFFF"/>
        </w:rPr>
        <w:t xml:space="preserve"> the earliest days of </w:t>
      </w:r>
      <w:r w:rsidR="00844C6C">
        <w:rPr>
          <w:rFonts w:ascii="Century" w:hAnsi="Century"/>
          <w:color w:val="000000"/>
          <w:sz w:val="24"/>
          <w:szCs w:val="24"/>
          <w:shd w:val="clear" w:color="auto" w:fill="FFFFFF"/>
        </w:rPr>
        <w:t>our</w:t>
      </w:r>
      <w:r w:rsidR="00CD0D0C" w:rsidRPr="00A809FB">
        <w:rPr>
          <w:rFonts w:ascii="Century" w:hAnsi="Century"/>
          <w:color w:val="000000"/>
          <w:sz w:val="24"/>
          <w:szCs w:val="24"/>
          <w:shd w:val="clear" w:color="auto" w:fill="FFFFFF"/>
        </w:rPr>
        <w:t xml:space="preserve"> constitutional order.</w:t>
      </w:r>
      <w:r w:rsidR="00CD0D0C" w:rsidRPr="00A809FB">
        <w:rPr>
          <w:rStyle w:val="FootnoteReference"/>
          <w:rFonts w:ascii="Century" w:hAnsi="Century"/>
          <w:iCs/>
          <w:color w:val="000000"/>
          <w:sz w:val="24"/>
          <w:szCs w:val="24"/>
          <w:shd w:val="clear" w:color="auto" w:fill="FFFFFF"/>
        </w:rPr>
        <w:footnoteReference w:id="74"/>
      </w:r>
      <w:r w:rsidR="00CD0D0C" w:rsidRPr="00A809FB">
        <w:rPr>
          <w:rFonts w:ascii="Century" w:hAnsi="Century"/>
          <w:iCs/>
          <w:color w:val="000000"/>
          <w:sz w:val="24"/>
          <w:szCs w:val="24"/>
          <w:shd w:val="clear" w:color="auto" w:fill="FFFFFF"/>
        </w:rPr>
        <w:t xml:space="preserve"> </w:t>
      </w:r>
      <w:r w:rsidR="00CD0D0C" w:rsidRPr="00A809FB">
        <w:rPr>
          <w:rFonts w:ascii="Century" w:hAnsi="Century"/>
          <w:color w:val="000000"/>
          <w:sz w:val="24"/>
          <w:szCs w:val="24"/>
          <w:shd w:val="clear" w:color="auto" w:fill="FFFFFF"/>
        </w:rPr>
        <w:t xml:space="preserve">The Court’s understanding of </w:t>
      </w:r>
      <w:r w:rsidR="00446B73">
        <w:rPr>
          <w:rFonts w:ascii="Century" w:hAnsi="Century"/>
          <w:color w:val="000000"/>
          <w:sz w:val="24"/>
          <w:szCs w:val="24"/>
          <w:shd w:val="clear" w:color="auto" w:fill="FFFFFF"/>
        </w:rPr>
        <w:t xml:space="preserve">the </w:t>
      </w:r>
      <w:r w:rsidR="00CD0D0C" w:rsidRPr="00A809FB">
        <w:rPr>
          <w:rFonts w:ascii="Century" w:hAnsi="Century"/>
          <w:color w:val="000000"/>
          <w:sz w:val="24"/>
          <w:szCs w:val="24"/>
          <w:shd w:val="clear" w:color="auto" w:fill="FFFFFF"/>
        </w:rPr>
        <w:t>necessity</w:t>
      </w:r>
      <w:r w:rsidR="00446B73">
        <w:rPr>
          <w:rFonts w:ascii="Century" w:hAnsi="Century"/>
          <w:color w:val="000000"/>
          <w:sz w:val="24"/>
          <w:szCs w:val="24"/>
          <w:shd w:val="clear" w:color="auto" w:fill="FFFFFF"/>
        </w:rPr>
        <w:t xml:space="preserve"> of delegated rulemaking authority</w:t>
      </w:r>
      <w:r w:rsidR="00CD0D0C" w:rsidRPr="00A809FB">
        <w:rPr>
          <w:rFonts w:ascii="Century" w:hAnsi="Century"/>
          <w:color w:val="000000"/>
          <w:sz w:val="24"/>
          <w:szCs w:val="24"/>
          <w:shd w:val="clear" w:color="auto" w:fill="FFFFFF"/>
        </w:rPr>
        <w:t xml:space="preserve"> in this context has two </w:t>
      </w:r>
      <w:r w:rsidR="002D0009" w:rsidRPr="00A809FB">
        <w:rPr>
          <w:rFonts w:ascii="Century" w:hAnsi="Century"/>
          <w:color w:val="000000"/>
          <w:sz w:val="24"/>
          <w:szCs w:val="24"/>
          <w:shd w:val="clear" w:color="auto" w:fill="FFFFFF"/>
        </w:rPr>
        <w:t>inter</w:t>
      </w:r>
      <w:r w:rsidR="00CD0D0C" w:rsidRPr="00A809FB">
        <w:rPr>
          <w:rFonts w:ascii="Century" w:hAnsi="Century"/>
          <w:color w:val="000000"/>
          <w:sz w:val="24"/>
          <w:szCs w:val="24"/>
          <w:shd w:val="clear" w:color="auto" w:fill="FFFFFF"/>
        </w:rPr>
        <w:t xml:space="preserve">related </w:t>
      </w:r>
      <w:r w:rsidR="00DA4D4B">
        <w:rPr>
          <w:rFonts w:ascii="Century" w:hAnsi="Century"/>
          <w:color w:val="000000"/>
          <w:sz w:val="24"/>
          <w:szCs w:val="24"/>
          <w:shd w:val="clear" w:color="auto" w:fill="FFFFFF"/>
        </w:rPr>
        <w:t>consideration</w:t>
      </w:r>
      <w:r w:rsidR="00CD0D0C" w:rsidRPr="00A809FB">
        <w:rPr>
          <w:rFonts w:ascii="Century" w:hAnsi="Century"/>
          <w:color w:val="000000"/>
          <w:sz w:val="24"/>
          <w:szCs w:val="24"/>
          <w:shd w:val="clear" w:color="auto" w:fill="FFFFFF"/>
        </w:rPr>
        <w:t xml:space="preserve">. One stems from </w:t>
      </w:r>
      <w:r w:rsidR="00446B73">
        <w:rPr>
          <w:rFonts w:ascii="Century" w:hAnsi="Century"/>
          <w:color w:val="000000"/>
          <w:sz w:val="24"/>
          <w:szCs w:val="24"/>
          <w:shd w:val="clear" w:color="auto" w:fill="FFFFFF"/>
        </w:rPr>
        <w:t>an awareness of the</w:t>
      </w:r>
      <w:r w:rsidR="00CD0D0C" w:rsidRPr="00A809FB">
        <w:rPr>
          <w:rFonts w:ascii="Century" w:hAnsi="Century"/>
          <w:color w:val="000000"/>
          <w:sz w:val="24"/>
          <w:szCs w:val="24"/>
          <w:shd w:val="clear" w:color="auto" w:fill="FFFFFF"/>
        </w:rPr>
        <w:t xml:space="preserve"> complexity of</w:t>
      </w:r>
      <w:r w:rsidR="00446B73">
        <w:rPr>
          <w:rFonts w:ascii="Century" w:hAnsi="Century"/>
          <w:color w:val="000000"/>
          <w:sz w:val="24"/>
          <w:szCs w:val="24"/>
          <w:shd w:val="clear" w:color="auto" w:fill="FFFFFF"/>
        </w:rPr>
        <w:t xml:space="preserve"> the</w:t>
      </w:r>
      <w:r w:rsidR="00CD0D0C" w:rsidRPr="00A809FB">
        <w:rPr>
          <w:rFonts w:ascii="Century" w:hAnsi="Century"/>
          <w:color w:val="000000"/>
          <w:sz w:val="24"/>
          <w:szCs w:val="24"/>
          <w:shd w:val="clear" w:color="auto" w:fill="FFFFFF"/>
        </w:rPr>
        <w:t xml:space="preserve"> social and economic </w:t>
      </w:r>
      <w:r w:rsidR="00446B73">
        <w:rPr>
          <w:rFonts w:ascii="Century" w:hAnsi="Century"/>
          <w:color w:val="000000"/>
          <w:sz w:val="24"/>
          <w:szCs w:val="24"/>
          <w:shd w:val="clear" w:color="auto" w:fill="FFFFFF"/>
        </w:rPr>
        <w:t>issues</w:t>
      </w:r>
      <w:r w:rsidR="00CD0D0C" w:rsidRPr="00A809FB">
        <w:rPr>
          <w:rFonts w:ascii="Century" w:hAnsi="Century"/>
          <w:color w:val="000000"/>
          <w:sz w:val="24"/>
          <w:szCs w:val="24"/>
          <w:shd w:val="clear" w:color="auto" w:fill="FFFFFF"/>
        </w:rPr>
        <w:t xml:space="preserve"> the Oireachtas seeks to regulate, which</w:t>
      </w:r>
      <w:r w:rsidR="00EA5AD9">
        <w:rPr>
          <w:rFonts w:ascii="Century" w:hAnsi="Century"/>
          <w:color w:val="000000"/>
          <w:sz w:val="24"/>
          <w:szCs w:val="24"/>
          <w:shd w:val="clear" w:color="auto" w:fill="FFFFFF"/>
        </w:rPr>
        <w:t xml:space="preserve"> can</w:t>
      </w:r>
      <w:r w:rsidR="00CD0D0C" w:rsidRPr="00A809FB">
        <w:rPr>
          <w:rFonts w:ascii="Century" w:hAnsi="Century"/>
          <w:color w:val="000000"/>
          <w:sz w:val="24"/>
          <w:szCs w:val="24"/>
          <w:shd w:val="clear" w:color="auto" w:fill="FFFFFF"/>
        </w:rPr>
        <w:t xml:space="preserve"> require a level of </w:t>
      </w:r>
      <w:r w:rsidR="00CD0D0C" w:rsidRPr="00A809FB">
        <w:rPr>
          <w:rFonts w:ascii="Century" w:hAnsi="Century"/>
          <w:color w:val="000000"/>
          <w:sz w:val="24"/>
          <w:szCs w:val="24"/>
          <w:shd w:val="clear" w:color="auto" w:fill="FFFFFF"/>
        </w:rPr>
        <w:lastRenderedPageBreak/>
        <w:t>expertise, information, and technocratic skill the legislature may not possess as a body of generalists.</w:t>
      </w:r>
      <w:r w:rsidR="00CD0D0C" w:rsidRPr="00A809FB">
        <w:rPr>
          <w:rStyle w:val="FootnoteReference"/>
          <w:rFonts w:ascii="Century" w:hAnsi="Century"/>
          <w:color w:val="000000"/>
          <w:sz w:val="24"/>
          <w:szCs w:val="24"/>
          <w:shd w:val="clear" w:color="auto" w:fill="FFFFFF"/>
        </w:rPr>
        <w:footnoteReference w:id="75"/>
      </w:r>
      <w:r w:rsidR="00CD0D0C" w:rsidRPr="00A809FB">
        <w:rPr>
          <w:rFonts w:ascii="Century" w:hAnsi="Century"/>
          <w:color w:val="000000"/>
          <w:sz w:val="24"/>
          <w:szCs w:val="24"/>
          <w:shd w:val="clear" w:color="auto" w:fill="FFFFFF"/>
        </w:rPr>
        <w:t xml:space="preserve"> The second</w:t>
      </w:r>
      <w:r w:rsidR="00DA4D4B">
        <w:rPr>
          <w:rFonts w:ascii="Century" w:hAnsi="Century"/>
          <w:color w:val="000000"/>
          <w:sz w:val="24"/>
          <w:szCs w:val="24"/>
          <w:shd w:val="clear" w:color="auto" w:fill="FFFFFF"/>
        </w:rPr>
        <w:t xml:space="preserve"> consideration</w:t>
      </w:r>
      <w:r w:rsidR="00CD0D0C" w:rsidRPr="00A809FB">
        <w:rPr>
          <w:rFonts w:ascii="Century" w:hAnsi="Century"/>
          <w:color w:val="000000"/>
          <w:sz w:val="24"/>
          <w:szCs w:val="24"/>
          <w:shd w:val="clear" w:color="auto" w:fill="FFFFFF"/>
        </w:rPr>
        <w:t xml:space="preserve"> stems from the fact that the</w:t>
      </w:r>
      <w:r w:rsidR="00597DE6">
        <w:rPr>
          <w:rFonts w:ascii="Century" w:hAnsi="Century"/>
          <w:color w:val="000000"/>
          <w:sz w:val="24"/>
          <w:szCs w:val="24"/>
          <w:shd w:val="clear" w:color="auto" w:fill="FFFFFF"/>
        </w:rPr>
        <w:t xml:space="preserve"> socio-economic</w:t>
      </w:r>
      <w:r w:rsidR="00CD0D0C" w:rsidRPr="00A809FB">
        <w:rPr>
          <w:rFonts w:ascii="Century" w:hAnsi="Century"/>
          <w:color w:val="000000"/>
          <w:sz w:val="24"/>
          <w:szCs w:val="24"/>
          <w:shd w:val="clear" w:color="auto" w:fill="FFFFFF"/>
        </w:rPr>
        <w:t xml:space="preserve"> conditions </w:t>
      </w:r>
      <w:r w:rsidR="00597DE6">
        <w:rPr>
          <w:rFonts w:ascii="Century" w:hAnsi="Century"/>
          <w:color w:val="000000"/>
          <w:sz w:val="24"/>
          <w:szCs w:val="24"/>
          <w:shd w:val="clear" w:color="auto" w:fill="FFFFFF"/>
        </w:rPr>
        <w:t>the Oireachtas seeks to</w:t>
      </w:r>
      <w:r w:rsidR="00CD0D0C" w:rsidRPr="00A809FB">
        <w:rPr>
          <w:rFonts w:ascii="Century" w:hAnsi="Century"/>
          <w:color w:val="000000"/>
          <w:sz w:val="24"/>
          <w:szCs w:val="24"/>
          <w:shd w:val="clear" w:color="auto" w:fill="FFFFFF"/>
        </w:rPr>
        <w:t xml:space="preserve"> regulat</w:t>
      </w:r>
      <w:r w:rsidR="00597DE6">
        <w:rPr>
          <w:rFonts w:ascii="Century" w:hAnsi="Century"/>
          <w:color w:val="000000"/>
          <w:sz w:val="24"/>
          <w:szCs w:val="24"/>
          <w:shd w:val="clear" w:color="auto" w:fill="FFFFFF"/>
        </w:rPr>
        <w:t>e</w:t>
      </w:r>
      <w:r w:rsidR="00CD0D0C" w:rsidRPr="00A809FB">
        <w:rPr>
          <w:rFonts w:ascii="Century" w:hAnsi="Century"/>
          <w:color w:val="000000"/>
          <w:sz w:val="24"/>
          <w:szCs w:val="24"/>
          <w:shd w:val="clear" w:color="auto" w:fill="FFFFFF"/>
        </w:rPr>
        <w:t xml:space="preserve"> change rapidly and demand a level of policy-adjustment </w:t>
      </w:r>
      <w:r w:rsidR="00DA4D4B">
        <w:rPr>
          <w:rFonts w:ascii="Century" w:hAnsi="Century"/>
          <w:color w:val="000000"/>
          <w:sz w:val="24"/>
          <w:szCs w:val="24"/>
          <w:shd w:val="clear" w:color="auto" w:fill="FFFFFF"/>
        </w:rPr>
        <w:t>legislatures</w:t>
      </w:r>
      <w:r w:rsidR="00CD0D0C" w:rsidRPr="00A809FB">
        <w:rPr>
          <w:rFonts w:ascii="Century" w:hAnsi="Century"/>
          <w:color w:val="000000"/>
          <w:sz w:val="24"/>
          <w:szCs w:val="24"/>
          <w:shd w:val="clear" w:color="auto" w:fill="FFFFFF"/>
        </w:rPr>
        <w:t xml:space="preserve"> </w:t>
      </w:r>
      <w:r w:rsidR="00DA4D4B">
        <w:rPr>
          <w:rFonts w:ascii="Century" w:hAnsi="Century"/>
          <w:color w:val="000000"/>
          <w:sz w:val="24"/>
          <w:szCs w:val="24"/>
          <w:shd w:val="clear" w:color="auto" w:fill="FFFFFF"/>
        </w:rPr>
        <w:t>are</w:t>
      </w:r>
      <w:r w:rsidR="00CD0D0C" w:rsidRPr="00A809FB">
        <w:rPr>
          <w:rFonts w:ascii="Century" w:hAnsi="Century"/>
          <w:color w:val="000000"/>
          <w:sz w:val="24"/>
          <w:szCs w:val="24"/>
          <w:shd w:val="clear" w:color="auto" w:fill="FFFFFF"/>
        </w:rPr>
        <w:t xml:space="preserve"> institutionally ill-equipped to provide</w:t>
      </w:r>
      <w:r w:rsidR="00E77A43" w:rsidRPr="00A809FB">
        <w:rPr>
          <w:rFonts w:ascii="Century" w:hAnsi="Century"/>
          <w:color w:val="000000"/>
          <w:sz w:val="24"/>
          <w:szCs w:val="24"/>
          <w:shd w:val="clear" w:color="auto" w:fill="FFFFFF"/>
        </w:rPr>
        <w:t xml:space="preserve"> in</w:t>
      </w:r>
      <w:r w:rsidR="00597DE6">
        <w:rPr>
          <w:rFonts w:ascii="Century" w:hAnsi="Century"/>
          <w:color w:val="000000"/>
          <w:sz w:val="24"/>
          <w:szCs w:val="24"/>
          <w:shd w:val="clear" w:color="auto" w:fill="FFFFFF"/>
        </w:rPr>
        <w:t xml:space="preserve"> detailed</w:t>
      </w:r>
      <w:r w:rsidR="00E77A43" w:rsidRPr="00A809FB">
        <w:rPr>
          <w:rFonts w:ascii="Century" w:hAnsi="Century"/>
          <w:color w:val="000000"/>
          <w:sz w:val="24"/>
          <w:szCs w:val="24"/>
          <w:shd w:val="clear" w:color="auto" w:fill="FFFFFF"/>
        </w:rPr>
        <w:t xml:space="preserve"> primary statutes</w:t>
      </w:r>
      <w:r w:rsidR="00CD0D0C" w:rsidRPr="00A809FB">
        <w:rPr>
          <w:rFonts w:ascii="Century" w:hAnsi="Century"/>
          <w:color w:val="000000"/>
          <w:sz w:val="24"/>
          <w:szCs w:val="24"/>
          <w:shd w:val="clear" w:color="auto" w:fill="FFFFFF"/>
        </w:rPr>
        <w:t xml:space="preserve"> due to time and informational constraints.</w:t>
      </w:r>
      <w:r w:rsidR="00CD0D0C" w:rsidRPr="00A809FB">
        <w:rPr>
          <w:rStyle w:val="FootnoteReference"/>
          <w:rFonts w:ascii="Century" w:hAnsi="Century"/>
          <w:color w:val="000000"/>
          <w:sz w:val="24"/>
          <w:szCs w:val="24"/>
          <w:shd w:val="clear" w:color="auto" w:fill="FFFFFF"/>
        </w:rPr>
        <w:footnoteReference w:id="76"/>
      </w:r>
      <w:r w:rsidR="00CD0D0C" w:rsidRPr="00A809FB">
        <w:rPr>
          <w:rFonts w:ascii="Century" w:hAnsi="Century"/>
          <w:color w:val="000000"/>
          <w:sz w:val="24"/>
          <w:szCs w:val="24"/>
          <w:shd w:val="clear" w:color="auto" w:fill="FFFFFF"/>
        </w:rPr>
        <w:t xml:space="preserve"> </w:t>
      </w:r>
    </w:p>
    <w:p w14:paraId="7B488F34" w14:textId="77777777" w:rsidR="002D0009" w:rsidRPr="00A809FB" w:rsidRDefault="002D0009" w:rsidP="00E81877">
      <w:pPr>
        <w:spacing w:line="480" w:lineRule="auto"/>
        <w:jc w:val="both"/>
        <w:rPr>
          <w:rFonts w:ascii="Century" w:hAnsi="Century"/>
          <w:color w:val="000000"/>
          <w:shd w:val="clear" w:color="auto" w:fill="FFFFFF"/>
        </w:rPr>
      </w:pPr>
    </w:p>
    <w:p w14:paraId="30CF9EC2" w14:textId="45D8D620" w:rsidR="00CD0D0C" w:rsidRPr="00A809FB" w:rsidRDefault="0056563B" w:rsidP="00E81877">
      <w:pPr>
        <w:spacing w:line="480" w:lineRule="auto"/>
        <w:jc w:val="both"/>
        <w:rPr>
          <w:rFonts w:ascii="Century" w:hAnsi="Century"/>
        </w:rPr>
      </w:pPr>
      <w:r>
        <w:rPr>
          <w:rFonts w:ascii="Century" w:hAnsi="Century"/>
          <w:color w:val="000000"/>
          <w:shd w:val="clear" w:color="auto" w:fill="FFFFFF"/>
        </w:rPr>
        <w:t>A</w:t>
      </w:r>
      <w:r w:rsidR="0066492C" w:rsidRPr="00A809FB">
        <w:rPr>
          <w:rFonts w:ascii="Century" w:hAnsi="Century"/>
          <w:color w:val="000000"/>
          <w:shd w:val="clear" w:color="auto" w:fill="FFFFFF"/>
        </w:rPr>
        <w:t xml:space="preserve"> strong undercurrent of Article 15</w:t>
      </w:r>
      <w:r w:rsidR="00EA5AD9">
        <w:rPr>
          <w:rFonts w:ascii="Century" w:hAnsi="Century"/>
          <w:color w:val="000000"/>
          <w:shd w:val="clear" w:color="auto" w:fill="FFFFFF"/>
        </w:rPr>
        <w:t>.2.1</w:t>
      </w:r>
      <w:r w:rsidR="0066492C" w:rsidRPr="00A809FB">
        <w:rPr>
          <w:rFonts w:ascii="Century" w:hAnsi="Century"/>
          <w:color w:val="000000"/>
          <w:shd w:val="clear" w:color="auto" w:fill="FFFFFF"/>
        </w:rPr>
        <w:t xml:space="preserve"> case law has</w:t>
      </w:r>
      <w:r>
        <w:rPr>
          <w:rFonts w:ascii="Century" w:hAnsi="Century"/>
          <w:color w:val="000000"/>
          <w:shd w:val="clear" w:color="auto" w:fill="FFFFFF"/>
        </w:rPr>
        <w:t xml:space="preserve"> therefore</w:t>
      </w:r>
      <w:r w:rsidR="0066492C" w:rsidRPr="00A809FB">
        <w:rPr>
          <w:rFonts w:ascii="Century" w:hAnsi="Century"/>
          <w:color w:val="000000"/>
          <w:shd w:val="clear" w:color="auto" w:fill="FFFFFF"/>
        </w:rPr>
        <w:t xml:space="preserve"> been</w:t>
      </w:r>
      <w:r w:rsidR="00CD0D0C" w:rsidRPr="00A809FB">
        <w:rPr>
          <w:rFonts w:ascii="Century" w:hAnsi="Century"/>
          <w:color w:val="000000"/>
          <w:shd w:val="clear" w:color="auto" w:fill="FFFFFF"/>
        </w:rPr>
        <w:t xml:space="preserve"> judicial recognition </w:t>
      </w:r>
      <w:r w:rsidR="0066492C" w:rsidRPr="00A809FB">
        <w:rPr>
          <w:rFonts w:ascii="Century" w:hAnsi="Century"/>
          <w:color w:val="000000"/>
          <w:shd w:val="clear" w:color="auto" w:fill="FFFFFF"/>
        </w:rPr>
        <w:t>that broad delegation of rulemaking authority</w:t>
      </w:r>
      <w:r w:rsidR="00CD0D0C" w:rsidRPr="00A809FB">
        <w:rPr>
          <w:rFonts w:ascii="Century" w:hAnsi="Century"/>
          <w:color w:val="000000"/>
          <w:shd w:val="clear" w:color="auto" w:fill="FFFFFF"/>
        </w:rPr>
        <w:t xml:space="preserve"> carries ‘obvious attractions’ and is ‘indispensable’ to the ‘functioning of the modern state’ due to the ‘complex, intricate and ever-changing situations’ confronting the political branches.</w:t>
      </w:r>
      <w:r w:rsidR="00CD0D0C" w:rsidRPr="00A809FB">
        <w:rPr>
          <w:rStyle w:val="FootnoteReference"/>
          <w:rFonts w:ascii="Century" w:hAnsi="Century"/>
          <w:color w:val="000000"/>
          <w:shd w:val="clear" w:color="auto" w:fill="FFFFFF"/>
        </w:rPr>
        <w:footnoteReference w:id="77"/>
      </w:r>
      <w:r w:rsidR="00CD0D0C" w:rsidRPr="00A809FB">
        <w:rPr>
          <w:rFonts w:ascii="Century" w:hAnsi="Century"/>
          <w:color w:val="000000"/>
          <w:shd w:val="clear" w:color="auto" w:fill="FFFFFF"/>
        </w:rPr>
        <w:t xml:space="preserve"> </w:t>
      </w:r>
      <w:r w:rsidR="00A34342">
        <w:rPr>
          <w:rFonts w:ascii="Century" w:hAnsi="Century"/>
          <w:color w:val="000000"/>
          <w:shd w:val="clear" w:color="auto" w:fill="FFFFFF"/>
        </w:rPr>
        <w:t xml:space="preserve">Our </w:t>
      </w:r>
      <w:r w:rsidR="0066492C" w:rsidRPr="00A809FB">
        <w:rPr>
          <w:rFonts w:ascii="Century" w:hAnsi="Century"/>
          <w:color w:val="000000"/>
          <w:shd w:val="clear" w:color="auto" w:fill="FFFFFF"/>
        </w:rPr>
        <w:t>C</w:t>
      </w:r>
      <w:r w:rsidR="00CD0D0C" w:rsidRPr="00A809FB">
        <w:rPr>
          <w:rFonts w:ascii="Century" w:hAnsi="Century"/>
          <w:color w:val="000000"/>
          <w:shd w:val="clear" w:color="auto" w:fill="FFFFFF"/>
        </w:rPr>
        <w:t>ourts</w:t>
      </w:r>
      <w:r w:rsidR="00A34342">
        <w:rPr>
          <w:rFonts w:ascii="Century" w:hAnsi="Century"/>
          <w:color w:val="000000"/>
          <w:shd w:val="clear" w:color="auto" w:fill="FFFFFF"/>
        </w:rPr>
        <w:t xml:space="preserve"> have always</w:t>
      </w:r>
      <w:r w:rsidR="00DA4D4B">
        <w:rPr>
          <w:rFonts w:ascii="Century" w:hAnsi="Century"/>
          <w:color w:val="000000"/>
          <w:shd w:val="clear" w:color="auto" w:fill="FFFFFF"/>
        </w:rPr>
        <w:t xml:space="preserve"> sensibly</w:t>
      </w:r>
      <w:r w:rsidR="00CD0D0C" w:rsidRPr="00A809FB">
        <w:rPr>
          <w:rFonts w:ascii="Century" w:hAnsi="Century"/>
          <w:color w:val="000000"/>
          <w:shd w:val="clear" w:color="auto" w:fill="FFFFFF"/>
        </w:rPr>
        <w:t xml:space="preserve"> appreciate</w:t>
      </w:r>
      <w:r w:rsidR="00A34342">
        <w:rPr>
          <w:rFonts w:ascii="Century" w:hAnsi="Century"/>
          <w:color w:val="000000"/>
          <w:shd w:val="clear" w:color="auto" w:fill="FFFFFF"/>
        </w:rPr>
        <w:t>d</w:t>
      </w:r>
      <w:r w:rsidR="00CD0D0C" w:rsidRPr="00A809FB">
        <w:rPr>
          <w:rFonts w:ascii="Century" w:hAnsi="Century"/>
          <w:color w:val="000000"/>
          <w:shd w:val="clear" w:color="auto" w:fill="FFFFFF"/>
        </w:rPr>
        <w:t xml:space="preserve"> that if broad delegation</w:t>
      </w:r>
      <w:r w:rsidR="00DA4D4B">
        <w:rPr>
          <w:rFonts w:ascii="Century" w:hAnsi="Century"/>
          <w:color w:val="000000"/>
          <w:shd w:val="clear" w:color="auto" w:fill="FFFFFF"/>
        </w:rPr>
        <w:t xml:space="preserve"> of rulemaking authority</w:t>
      </w:r>
      <w:r w:rsidR="00CD0D0C" w:rsidRPr="00A809FB">
        <w:rPr>
          <w:rFonts w:ascii="Century" w:hAnsi="Century"/>
          <w:color w:val="000000"/>
          <w:shd w:val="clear" w:color="auto" w:fill="FFFFFF"/>
        </w:rPr>
        <w:t xml:space="preserve"> was impermissible, it would hamstring the </w:t>
      </w:r>
      <w:r w:rsidR="004963D4" w:rsidRPr="004963D4">
        <w:rPr>
          <w:rFonts w:ascii="Century" w:hAnsi="Century"/>
          <w:color w:val="000000"/>
          <w:shd w:val="clear" w:color="auto" w:fill="FFFFFF"/>
        </w:rPr>
        <w:t>practical</w:t>
      </w:r>
      <w:r w:rsidR="004963D4" w:rsidRPr="00A809FB">
        <w:rPr>
          <w:rFonts w:ascii="Century" w:hAnsi="Century"/>
          <w:color w:val="000000"/>
          <w:shd w:val="clear" w:color="auto" w:fill="FFFFFF"/>
        </w:rPr>
        <w:t xml:space="preserve"> </w:t>
      </w:r>
      <w:r w:rsidR="00CD0D0C" w:rsidRPr="00A809FB">
        <w:rPr>
          <w:rFonts w:ascii="Century" w:hAnsi="Century"/>
          <w:color w:val="000000"/>
          <w:shd w:val="clear" w:color="auto" w:fill="FFFFFF"/>
        </w:rPr>
        <w:t>capacity and power of the Oireachtas</w:t>
      </w:r>
      <w:r w:rsidR="00A23D94" w:rsidRPr="00A809FB">
        <w:rPr>
          <w:rFonts w:ascii="Century" w:hAnsi="Century"/>
          <w:color w:val="000000"/>
          <w:shd w:val="clear" w:color="auto" w:fill="FFFFFF"/>
        </w:rPr>
        <w:t xml:space="preserve"> to act</w:t>
      </w:r>
      <w:r w:rsidR="00CD0D0C" w:rsidRPr="00A809FB">
        <w:rPr>
          <w:rFonts w:ascii="Century" w:hAnsi="Century"/>
          <w:color w:val="000000"/>
          <w:shd w:val="clear" w:color="auto" w:fill="FFFFFF"/>
        </w:rPr>
        <w:t xml:space="preserve">, all in the name of safeguarding its </w:t>
      </w:r>
      <w:r w:rsidR="00CD0D0C" w:rsidRPr="0070092A">
        <w:rPr>
          <w:rFonts w:ascii="Century" w:hAnsi="Century"/>
          <w:i/>
          <w:iCs/>
          <w:color w:val="000000"/>
          <w:shd w:val="clear" w:color="auto" w:fill="FFFFFF"/>
        </w:rPr>
        <w:t>formal</w:t>
      </w:r>
      <w:r w:rsidR="00CD0D0C" w:rsidRPr="00A809FB">
        <w:rPr>
          <w:rFonts w:ascii="Century" w:hAnsi="Century"/>
          <w:color w:val="000000"/>
          <w:shd w:val="clear" w:color="auto" w:fill="FFFFFF"/>
        </w:rPr>
        <w:t xml:space="preserve"> prerogatives.</w:t>
      </w:r>
      <w:r w:rsidR="00CD0D0C" w:rsidRPr="00A809FB">
        <w:rPr>
          <w:rStyle w:val="FootnoteReference"/>
          <w:rFonts w:ascii="Century" w:hAnsi="Century"/>
          <w:color w:val="000000"/>
          <w:shd w:val="clear" w:color="auto" w:fill="FFFFFF"/>
        </w:rPr>
        <w:footnoteReference w:id="78"/>
      </w:r>
      <w:r w:rsidR="00CD0D0C" w:rsidRPr="00A809FB">
        <w:rPr>
          <w:rFonts w:ascii="Century" w:hAnsi="Century"/>
          <w:color w:val="000000"/>
          <w:shd w:val="clear" w:color="auto" w:fill="FFFFFF"/>
        </w:rPr>
        <w:t xml:space="preserve"> </w:t>
      </w:r>
      <w:r w:rsidR="00597DE6">
        <w:rPr>
          <w:rFonts w:ascii="Century" w:hAnsi="Century"/>
          <w:color w:val="000000"/>
          <w:shd w:val="clear" w:color="auto" w:fill="FFFFFF"/>
        </w:rPr>
        <w:t>The</w:t>
      </w:r>
      <w:r w:rsidR="00DA4D4B">
        <w:rPr>
          <w:rFonts w:ascii="Century" w:hAnsi="Century"/>
          <w:color w:val="000000"/>
          <w:shd w:val="clear" w:color="auto" w:fill="FFFFFF"/>
        </w:rPr>
        <w:t xml:space="preserve"> stark fact</w:t>
      </w:r>
      <w:r w:rsidR="00597DE6">
        <w:rPr>
          <w:rFonts w:ascii="Century" w:hAnsi="Century"/>
          <w:color w:val="000000"/>
          <w:shd w:val="clear" w:color="auto" w:fill="FFFFFF"/>
        </w:rPr>
        <w:t xml:space="preserve"> is</w:t>
      </w:r>
      <w:r w:rsidR="00CD0D0C" w:rsidRPr="00A809FB">
        <w:rPr>
          <w:rFonts w:ascii="Century" w:hAnsi="Century"/>
          <w:color w:val="000000"/>
          <w:shd w:val="clear" w:color="auto" w:fill="FFFFFF"/>
        </w:rPr>
        <w:t xml:space="preserve"> the Oireachtas may need to delegate broad statutory authority</w:t>
      </w:r>
      <w:r w:rsidR="00DA4D4B">
        <w:rPr>
          <w:rFonts w:ascii="Century" w:hAnsi="Century"/>
          <w:color w:val="000000"/>
          <w:shd w:val="clear" w:color="auto" w:fill="FFFFFF"/>
        </w:rPr>
        <w:t xml:space="preserve"> to the executive and administrative bodies</w:t>
      </w:r>
      <w:r w:rsidR="00CD0D0C" w:rsidRPr="00A809FB">
        <w:rPr>
          <w:rFonts w:ascii="Century" w:hAnsi="Century"/>
          <w:color w:val="000000"/>
          <w:shd w:val="clear" w:color="auto" w:fill="FFFFFF"/>
        </w:rPr>
        <w:t xml:space="preserve"> if it wants to achieve valuable and complex policy objectives, precisely because it might lack</w:t>
      </w:r>
      <w:r w:rsidR="00EA5AD9">
        <w:rPr>
          <w:rFonts w:ascii="Century" w:hAnsi="Century"/>
          <w:color w:val="000000"/>
          <w:shd w:val="clear" w:color="auto" w:fill="FFFFFF"/>
        </w:rPr>
        <w:t xml:space="preserve"> institutional</w:t>
      </w:r>
      <w:r w:rsidR="00CD0D0C" w:rsidRPr="00A809FB">
        <w:rPr>
          <w:rFonts w:ascii="Century" w:hAnsi="Century"/>
          <w:color w:val="000000"/>
          <w:shd w:val="clear" w:color="auto" w:fill="FFFFFF"/>
        </w:rPr>
        <w:t xml:space="preserve"> capacity, time, and expertise to</w:t>
      </w:r>
      <w:r w:rsidR="00A23D94" w:rsidRPr="00A809FB">
        <w:rPr>
          <w:rFonts w:ascii="Century" w:hAnsi="Century"/>
          <w:color w:val="000000"/>
          <w:shd w:val="clear" w:color="auto" w:fill="FFFFFF"/>
        </w:rPr>
        <w:t xml:space="preserve"> exhaustively</w:t>
      </w:r>
      <w:r w:rsidR="00CD0D0C" w:rsidRPr="00A809FB">
        <w:rPr>
          <w:rFonts w:ascii="Century" w:hAnsi="Century"/>
          <w:color w:val="000000"/>
          <w:shd w:val="clear" w:color="auto" w:fill="FFFFFF"/>
        </w:rPr>
        <w:t xml:space="preserve"> specify in primary legislation how it intends to address a given issue.</w:t>
      </w:r>
      <w:r w:rsidR="00CD0D0C" w:rsidRPr="00A809FB">
        <w:rPr>
          <w:rStyle w:val="FootnoteReference"/>
          <w:rFonts w:ascii="Century" w:hAnsi="Century"/>
          <w:color w:val="000000"/>
          <w:shd w:val="clear" w:color="auto" w:fill="FFFFFF"/>
        </w:rPr>
        <w:footnoteReference w:id="79"/>
      </w:r>
      <w:r w:rsidR="00CD0D0C" w:rsidRPr="00A809FB">
        <w:rPr>
          <w:rFonts w:ascii="Century" w:hAnsi="Century"/>
          <w:color w:val="000000"/>
          <w:shd w:val="clear" w:color="auto" w:fill="FFFFFF"/>
        </w:rPr>
        <w:t xml:space="preserve"> </w:t>
      </w:r>
    </w:p>
    <w:p w14:paraId="7C0EB232" w14:textId="77777777" w:rsidR="00CD0D0C" w:rsidRPr="00B96ED6" w:rsidRDefault="00CD0D0C" w:rsidP="00E81877">
      <w:pPr>
        <w:pStyle w:val="p1"/>
        <w:spacing w:line="480" w:lineRule="auto"/>
        <w:jc w:val="both"/>
        <w:rPr>
          <w:rFonts w:ascii="Century" w:hAnsi="Century"/>
          <w:sz w:val="24"/>
          <w:szCs w:val="24"/>
        </w:rPr>
      </w:pPr>
    </w:p>
    <w:p w14:paraId="45AEFDEC" w14:textId="2A9B74A0" w:rsidR="00CD0D0C" w:rsidRPr="00B96ED6" w:rsidRDefault="000E27BE" w:rsidP="00E81877">
      <w:pPr>
        <w:pStyle w:val="p1"/>
        <w:spacing w:line="480" w:lineRule="auto"/>
        <w:jc w:val="both"/>
        <w:rPr>
          <w:rFonts w:ascii="Century" w:hAnsi="Century"/>
          <w:sz w:val="24"/>
          <w:szCs w:val="24"/>
        </w:rPr>
      </w:pPr>
      <w:r>
        <w:rPr>
          <w:rFonts w:ascii="Century" w:hAnsi="Century"/>
          <w:sz w:val="24"/>
          <w:szCs w:val="24"/>
        </w:rPr>
        <w:lastRenderedPageBreak/>
        <w:t>This clear judicial</w:t>
      </w:r>
      <w:r w:rsidR="00862831">
        <w:rPr>
          <w:rFonts w:ascii="Century" w:hAnsi="Century"/>
          <w:sz w:val="24"/>
          <w:szCs w:val="24"/>
        </w:rPr>
        <w:t xml:space="preserve"> appreciation of the need to vest broad regulatory authority in the administrative state means its</w:t>
      </w:r>
      <w:r w:rsidR="0066492C">
        <w:rPr>
          <w:rFonts w:ascii="Century" w:hAnsi="Century"/>
          <w:sz w:val="24"/>
          <w:szCs w:val="24"/>
        </w:rPr>
        <w:t xml:space="preserve"> consistent</w:t>
      </w:r>
      <w:r w:rsidR="00CD0D0C" w:rsidRPr="00B96ED6">
        <w:rPr>
          <w:rFonts w:ascii="Century" w:hAnsi="Century"/>
          <w:sz w:val="24"/>
          <w:szCs w:val="24"/>
        </w:rPr>
        <w:t xml:space="preserve"> failure to apply </w:t>
      </w:r>
      <w:r w:rsidR="00A55AB7" w:rsidRPr="00B96ED6">
        <w:rPr>
          <w:rFonts w:ascii="Century" w:hAnsi="Century"/>
          <w:sz w:val="24"/>
          <w:szCs w:val="24"/>
        </w:rPr>
        <w:t>its own</w:t>
      </w:r>
      <w:r w:rsidR="00CD0D0C" w:rsidRPr="00B96ED6">
        <w:rPr>
          <w:rFonts w:ascii="Century" w:hAnsi="Century"/>
          <w:sz w:val="24"/>
          <w:szCs w:val="24"/>
        </w:rPr>
        <w:t xml:space="preserve"> test was</w:t>
      </w:r>
      <w:r>
        <w:rPr>
          <w:rFonts w:ascii="Century" w:hAnsi="Century"/>
          <w:sz w:val="24"/>
          <w:szCs w:val="24"/>
        </w:rPr>
        <w:t>, with respect,</w:t>
      </w:r>
      <w:r w:rsidR="00A55AB7" w:rsidRPr="00B96ED6">
        <w:rPr>
          <w:rFonts w:ascii="Century" w:hAnsi="Century"/>
          <w:sz w:val="24"/>
          <w:szCs w:val="24"/>
        </w:rPr>
        <w:t xml:space="preserve"> </w:t>
      </w:r>
      <w:r>
        <w:rPr>
          <w:rFonts w:ascii="Century" w:hAnsi="Century"/>
          <w:sz w:val="24"/>
          <w:szCs w:val="24"/>
        </w:rPr>
        <w:t>a problem entirely of its own making</w:t>
      </w:r>
      <w:r w:rsidR="00CD0D0C" w:rsidRPr="00B96ED6">
        <w:rPr>
          <w:rFonts w:ascii="Century" w:hAnsi="Century"/>
          <w:sz w:val="24"/>
          <w:szCs w:val="24"/>
        </w:rPr>
        <w:t xml:space="preserve">. </w:t>
      </w:r>
      <w:r w:rsidR="00A34342">
        <w:rPr>
          <w:rFonts w:ascii="Century" w:hAnsi="Century"/>
          <w:sz w:val="24"/>
          <w:szCs w:val="24"/>
        </w:rPr>
        <w:t>The</w:t>
      </w:r>
      <w:r w:rsidR="00CD0D0C" w:rsidRPr="00B96ED6">
        <w:rPr>
          <w:rFonts w:ascii="Century" w:hAnsi="Century"/>
          <w:sz w:val="24"/>
          <w:szCs w:val="24"/>
        </w:rPr>
        <w:t xml:space="preserve"> Court’s formal articulation of the principles and policies test proceeded</w:t>
      </w:r>
      <w:r w:rsidR="00E61055">
        <w:rPr>
          <w:rFonts w:ascii="Century" w:hAnsi="Century"/>
          <w:sz w:val="24"/>
          <w:szCs w:val="24"/>
        </w:rPr>
        <w:t xml:space="preserve"> </w:t>
      </w:r>
      <w:r w:rsidR="00DB3572">
        <w:rPr>
          <w:rFonts w:ascii="Century" w:hAnsi="Century"/>
          <w:sz w:val="24"/>
          <w:szCs w:val="24"/>
        </w:rPr>
        <w:t>from a</w:t>
      </w:r>
      <w:r w:rsidR="00A55AB7" w:rsidRPr="00B96ED6">
        <w:rPr>
          <w:rFonts w:ascii="Century" w:hAnsi="Century"/>
          <w:sz w:val="24"/>
          <w:szCs w:val="24"/>
        </w:rPr>
        <w:t xml:space="preserve"> conception of executive-legislative relations</w:t>
      </w:r>
      <w:r w:rsidR="00CD0D0C" w:rsidRPr="00B96ED6">
        <w:rPr>
          <w:rFonts w:ascii="Century" w:hAnsi="Century"/>
          <w:sz w:val="24"/>
          <w:szCs w:val="24"/>
        </w:rPr>
        <w:t xml:space="preserve"> that reduce</w:t>
      </w:r>
      <w:r w:rsidR="00EA5AD9">
        <w:rPr>
          <w:rFonts w:ascii="Century" w:hAnsi="Century"/>
          <w:sz w:val="24"/>
          <w:szCs w:val="24"/>
        </w:rPr>
        <w:t>d</w:t>
      </w:r>
      <w:r w:rsidR="00CD0D0C" w:rsidRPr="00B96ED6">
        <w:rPr>
          <w:rFonts w:ascii="Century" w:hAnsi="Century"/>
          <w:sz w:val="24"/>
          <w:szCs w:val="24"/>
        </w:rPr>
        <w:t xml:space="preserve"> wielders of delegated</w:t>
      </w:r>
      <w:r w:rsidR="00EA5AD9">
        <w:rPr>
          <w:rFonts w:ascii="Century" w:hAnsi="Century"/>
          <w:sz w:val="24"/>
          <w:szCs w:val="24"/>
        </w:rPr>
        <w:t xml:space="preserve"> statutory</w:t>
      </w:r>
      <w:r w:rsidR="00CD0D0C" w:rsidRPr="00B96ED6">
        <w:rPr>
          <w:rFonts w:ascii="Century" w:hAnsi="Century"/>
          <w:sz w:val="24"/>
          <w:szCs w:val="24"/>
        </w:rPr>
        <w:t xml:space="preserve"> power to diligently sketching the details of normative choices and objectives definitively decided upon</w:t>
      </w:r>
      <w:r w:rsidR="00FB7941">
        <w:rPr>
          <w:rFonts w:ascii="Century" w:hAnsi="Century"/>
          <w:sz w:val="24"/>
          <w:szCs w:val="24"/>
        </w:rPr>
        <w:t xml:space="preserve"> and passed on</w:t>
      </w:r>
      <w:r w:rsidR="00CD0D0C" w:rsidRPr="00B96ED6">
        <w:rPr>
          <w:rFonts w:ascii="Century" w:hAnsi="Century"/>
          <w:sz w:val="24"/>
          <w:szCs w:val="24"/>
        </w:rPr>
        <w:t xml:space="preserve"> by </w:t>
      </w:r>
      <w:r w:rsidR="00FB7941">
        <w:rPr>
          <w:rFonts w:ascii="Century" w:hAnsi="Century"/>
          <w:sz w:val="24"/>
          <w:szCs w:val="24"/>
        </w:rPr>
        <w:t>the legislature</w:t>
      </w:r>
      <w:r w:rsidR="00CD0D0C" w:rsidRPr="00B96ED6">
        <w:rPr>
          <w:rFonts w:ascii="Century" w:hAnsi="Century"/>
          <w:sz w:val="24"/>
          <w:szCs w:val="24"/>
        </w:rPr>
        <w:t>.</w:t>
      </w:r>
      <w:r w:rsidR="00CD0D0C" w:rsidRPr="00B96ED6">
        <w:rPr>
          <w:rStyle w:val="FootnoteReference"/>
          <w:rFonts w:ascii="Century" w:hAnsi="Century"/>
          <w:sz w:val="24"/>
          <w:szCs w:val="24"/>
        </w:rPr>
        <w:footnoteReference w:id="80"/>
      </w:r>
    </w:p>
    <w:p w14:paraId="4DBF3BEB" w14:textId="77777777" w:rsidR="00CD0D0C" w:rsidRPr="00B96ED6" w:rsidRDefault="00CD0D0C" w:rsidP="00E81877">
      <w:pPr>
        <w:pStyle w:val="p1"/>
        <w:spacing w:line="480" w:lineRule="auto"/>
        <w:jc w:val="both"/>
        <w:rPr>
          <w:rFonts w:ascii="Century" w:hAnsi="Century"/>
          <w:sz w:val="24"/>
          <w:szCs w:val="24"/>
        </w:rPr>
      </w:pPr>
    </w:p>
    <w:p w14:paraId="1900EFBE" w14:textId="1343E35C" w:rsidR="00A55AB7" w:rsidRPr="00331E01" w:rsidRDefault="00597DE6" w:rsidP="00E81877">
      <w:pPr>
        <w:pStyle w:val="p1"/>
        <w:spacing w:line="480" w:lineRule="auto"/>
        <w:jc w:val="both"/>
        <w:rPr>
          <w:rFonts w:ascii="Century" w:hAnsi="Century" w:cs="Calibri"/>
          <w:color w:val="000000" w:themeColor="text1"/>
          <w:sz w:val="24"/>
          <w:szCs w:val="24"/>
        </w:rPr>
      </w:pPr>
      <w:r>
        <w:rPr>
          <w:rFonts w:ascii="Century" w:hAnsi="Century"/>
          <w:sz w:val="24"/>
          <w:szCs w:val="24"/>
        </w:rPr>
        <w:t>But g</w:t>
      </w:r>
      <w:r w:rsidR="006022BE">
        <w:rPr>
          <w:rFonts w:ascii="Century" w:hAnsi="Century"/>
          <w:sz w:val="24"/>
          <w:szCs w:val="24"/>
        </w:rPr>
        <w:t>iven their keen awareness of the need for broad and deep executive discretion, the Superior Courts</w:t>
      </w:r>
      <w:r w:rsidR="006022BE">
        <w:rPr>
          <w:rFonts w:ascii="Century" w:hAnsi="Century"/>
          <w:i/>
          <w:iCs/>
          <w:sz w:val="24"/>
          <w:szCs w:val="24"/>
        </w:rPr>
        <w:t xml:space="preserve"> </w:t>
      </w:r>
      <w:r w:rsidR="006022BE">
        <w:rPr>
          <w:rFonts w:ascii="Century" w:hAnsi="Century"/>
          <w:sz w:val="24"/>
          <w:szCs w:val="24"/>
        </w:rPr>
        <w:t xml:space="preserve">ought to have known </w:t>
      </w:r>
      <w:r w:rsidR="00FB7941">
        <w:rPr>
          <w:rFonts w:ascii="Century" w:hAnsi="Century"/>
          <w:sz w:val="24"/>
          <w:szCs w:val="24"/>
        </w:rPr>
        <w:t>this kind of</w:t>
      </w:r>
      <w:r w:rsidR="001F427A">
        <w:rPr>
          <w:rFonts w:ascii="Century" w:hAnsi="Century"/>
          <w:sz w:val="24"/>
          <w:szCs w:val="24"/>
        </w:rPr>
        <w:t xml:space="preserve"> classical liberal,</w:t>
      </w:r>
      <w:r w:rsidR="001F427A" w:rsidRPr="00B96ED6">
        <w:rPr>
          <w:rFonts w:ascii="Century" w:hAnsi="Century"/>
          <w:sz w:val="24"/>
          <w:szCs w:val="24"/>
        </w:rPr>
        <w:t xml:space="preserve"> simple principal-agent conception</w:t>
      </w:r>
      <w:r w:rsidR="001F427A">
        <w:rPr>
          <w:rFonts w:ascii="Century" w:hAnsi="Century"/>
          <w:sz w:val="24"/>
          <w:szCs w:val="24"/>
        </w:rPr>
        <w:t xml:space="preserve"> of executive-legislative relations</w:t>
      </w:r>
      <w:r>
        <w:rPr>
          <w:rFonts w:ascii="Century" w:hAnsi="Century"/>
          <w:sz w:val="24"/>
          <w:szCs w:val="24"/>
        </w:rPr>
        <w:t>,</w:t>
      </w:r>
      <w:r w:rsidR="00CD0D0C" w:rsidRPr="00B96ED6">
        <w:rPr>
          <w:rFonts w:ascii="Century" w:hAnsi="Century"/>
          <w:sz w:val="24"/>
          <w:szCs w:val="24"/>
        </w:rPr>
        <w:t xml:space="preserve"> </w:t>
      </w:r>
      <w:r w:rsidR="00A34342">
        <w:rPr>
          <w:rFonts w:ascii="Century" w:hAnsi="Century"/>
          <w:sz w:val="24"/>
          <w:szCs w:val="24"/>
        </w:rPr>
        <w:t>would be</w:t>
      </w:r>
      <w:r w:rsidR="006022BE">
        <w:rPr>
          <w:rFonts w:ascii="Century" w:hAnsi="Century"/>
          <w:sz w:val="24"/>
          <w:szCs w:val="24"/>
        </w:rPr>
        <w:t xml:space="preserve"> </w:t>
      </w:r>
      <w:r w:rsidR="00DB3572">
        <w:rPr>
          <w:rFonts w:ascii="Century" w:hAnsi="Century"/>
          <w:sz w:val="24"/>
          <w:szCs w:val="24"/>
        </w:rPr>
        <w:t xml:space="preserve">impossible </w:t>
      </w:r>
      <w:r w:rsidR="00CD0D0C" w:rsidRPr="00B96ED6">
        <w:rPr>
          <w:rFonts w:ascii="Century" w:hAnsi="Century"/>
          <w:sz w:val="24"/>
          <w:szCs w:val="24"/>
        </w:rPr>
        <w:t>to square with</w:t>
      </w:r>
      <w:r w:rsidR="00102BAD" w:rsidRPr="00B96ED6">
        <w:rPr>
          <w:rFonts w:ascii="Century" w:hAnsi="Century"/>
          <w:sz w:val="24"/>
          <w:szCs w:val="24"/>
        </w:rPr>
        <w:t xml:space="preserve"> the </w:t>
      </w:r>
      <w:r w:rsidR="00EA5AD9">
        <w:rPr>
          <w:rFonts w:ascii="Century" w:hAnsi="Century"/>
          <w:sz w:val="24"/>
          <w:szCs w:val="24"/>
        </w:rPr>
        <w:t>fact</w:t>
      </w:r>
      <w:r w:rsidR="004963D4" w:rsidRPr="00B96ED6">
        <w:rPr>
          <w:rFonts w:ascii="Century" w:hAnsi="Century"/>
          <w:sz w:val="24"/>
          <w:szCs w:val="24"/>
        </w:rPr>
        <w:t xml:space="preserve"> </w:t>
      </w:r>
      <w:r w:rsidR="00102BAD" w:rsidRPr="00B96ED6">
        <w:rPr>
          <w:rFonts w:ascii="Century" w:hAnsi="Century"/>
          <w:sz w:val="24"/>
          <w:szCs w:val="24"/>
        </w:rPr>
        <w:t xml:space="preserve">executive-centred government has been </w:t>
      </w:r>
      <w:r w:rsidR="00EA5AD9">
        <w:rPr>
          <w:rFonts w:ascii="Century" w:hAnsi="Century"/>
          <w:sz w:val="24"/>
          <w:szCs w:val="24"/>
        </w:rPr>
        <w:t>the structural spine</w:t>
      </w:r>
      <w:r w:rsidR="00EA5AD9" w:rsidRPr="00B96ED6">
        <w:rPr>
          <w:rFonts w:ascii="Century" w:hAnsi="Century"/>
          <w:sz w:val="24"/>
          <w:szCs w:val="24"/>
        </w:rPr>
        <w:t xml:space="preserve"> </w:t>
      </w:r>
      <w:r w:rsidR="00102BAD" w:rsidRPr="00B96ED6">
        <w:rPr>
          <w:rFonts w:ascii="Century" w:hAnsi="Century"/>
          <w:sz w:val="24"/>
          <w:szCs w:val="24"/>
        </w:rPr>
        <w:t>of our constitutional order since its inception.</w:t>
      </w:r>
      <w:r w:rsidR="00D47BA7">
        <w:rPr>
          <w:rFonts w:ascii="Century" w:hAnsi="Century" w:cs="Calibri"/>
          <w:color w:val="000000" w:themeColor="text1"/>
          <w:sz w:val="24"/>
          <w:szCs w:val="24"/>
        </w:rPr>
        <w:t xml:space="preserve"> </w:t>
      </w:r>
      <w:r w:rsidR="00331E01">
        <w:rPr>
          <w:rFonts w:ascii="Century" w:hAnsi="Century" w:cs="Calibri"/>
          <w:color w:val="000000" w:themeColor="text1"/>
          <w:sz w:val="24"/>
          <w:szCs w:val="24"/>
        </w:rPr>
        <w:t xml:space="preserve">The </w:t>
      </w:r>
      <w:r w:rsidR="00331E01">
        <w:rPr>
          <w:rFonts w:ascii="Century" w:hAnsi="Century" w:cs="Calibri"/>
          <w:i/>
          <w:iCs/>
          <w:color w:val="000000" w:themeColor="text1"/>
          <w:sz w:val="24"/>
          <w:szCs w:val="24"/>
        </w:rPr>
        <w:t xml:space="preserve">Cityview </w:t>
      </w:r>
      <w:r w:rsidR="00331E01">
        <w:rPr>
          <w:rFonts w:ascii="Century" w:hAnsi="Century" w:cs="Calibri"/>
          <w:color w:val="000000" w:themeColor="text1"/>
          <w:sz w:val="24"/>
          <w:szCs w:val="24"/>
        </w:rPr>
        <w:t>test, in its formal articulation, sits in irreconcilable tension with this core of our</w:t>
      </w:r>
      <w:r w:rsidR="0094736D">
        <w:rPr>
          <w:rFonts w:ascii="Century" w:hAnsi="Century" w:cs="Calibri"/>
          <w:color w:val="000000" w:themeColor="text1"/>
          <w:sz w:val="24"/>
          <w:szCs w:val="24"/>
        </w:rPr>
        <w:t xml:space="preserve"> small-c</w:t>
      </w:r>
      <w:r w:rsidR="00331E01">
        <w:rPr>
          <w:rFonts w:ascii="Century" w:hAnsi="Century" w:cs="Calibri"/>
          <w:color w:val="000000" w:themeColor="text1"/>
          <w:sz w:val="24"/>
          <w:szCs w:val="24"/>
        </w:rPr>
        <w:t xml:space="preserve"> Constitution</w:t>
      </w:r>
      <w:r w:rsidR="00B64342">
        <w:rPr>
          <w:rStyle w:val="FootnoteReference"/>
          <w:rFonts w:ascii="Century" w:hAnsi="Century" w:cs="Calibri"/>
          <w:color w:val="000000" w:themeColor="text1"/>
          <w:sz w:val="24"/>
          <w:szCs w:val="24"/>
        </w:rPr>
        <w:footnoteReference w:id="81"/>
      </w:r>
      <w:r w:rsidR="006022BE">
        <w:rPr>
          <w:rFonts w:ascii="Century" w:hAnsi="Century" w:cs="Calibri"/>
          <w:color w:val="000000" w:themeColor="text1"/>
          <w:sz w:val="24"/>
          <w:szCs w:val="24"/>
        </w:rPr>
        <w:t xml:space="preserve"> and </w:t>
      </w:r>
      <w:proofErr w:type="gramStart"/>
      <w:r w:rsidR="006022BE">
        <w:rPr>
          <w:rFonts w:ascii="Century" w:hAnsi="Century" w:cs="Calibri"/>
          <w:color w:val="000000" w:themeColor="text1"/>
          <w:sz w:val="24"/>
          <w:szCs w:val="24"/>
        </w:rPr>
        <w:t>this is why</w:t>
      </w:r>
      <w:proofErr w:type="gramEnd"/>
      <w:r w:rsidR="006022BE">
        <w:rPr>
          <w:rFonts w:ascii="Century" w:hAnsi="Century" w:cs="Calibri"/>
          <w:color w:val="000000" w:themeColor="text1"/>
          <w:sz w:val="24"/>
          <w:szCs w:val="24"/>
        </w:rPr>
        <w:t xml:space="preserve"> the Court</w:t>
      </w:r>
      <w:r w:rsidR="006B6A52">
        <w:rPr>
          <w:rFonts w:ascii="Century" w:hAnsi="Century" w:cs="Calibri"/>
          <w:color w:val="000000" w:themeColor="text1"/>
          <w:sz w:val="24"/>
          <w:szCs w:val="24"/>
        </w:rPr>
        <w:t>’</w:t>
      </w:r>
      <w:r w:rsidR="006022BE">
        <w:rPr>
          <w:rFonts w:ascii="Century" w:hAnsi="Century" w:cs="Calibri"/>
          <w:color w:val="000000" w:themeColor="text1"/>
          <w:sz w:val="24"/>
          <w:szCs w:val="24"/>
        </w:rPr>
        <w:t xml:space="preserve">s practical application of the test has </w:t>
      </w:r>
      <w:r w:rsidR="0094736D">
        <w:rPr>
          <w:rFonts w:ascii="Century" w:hAnsi="Century" w:cs="Calibri"/>
          <w:color w:val="000000" w:themeColor="text1"/>
          <w:sz w:val="24"/>
          <w:szCs w:val="24"/>
        </w:rPr>
        <w:t>always diverged</w:t>
      </w:r>
      <w:r w:rsidR="00331E01">
        <w:rPr>
          <w:rFonts w:ascii="Century" w:hAnsi="Century" w:cs="Calibri"/>
          <w:color w:val="000000" w:themeColor="text1"/>
          <w:sz w:val="24"/>
          <w:szCs w:val="24"/>
        </w:rPr>
        <w:t>.</w:t>
      </w:r>
      <w:r w:rsidR="00CD0D0C" w:rsidRPr="00B96ED6">
        <w:rPr>
          <w:rStyle w:val="FootnoteReference"/>
          <w:rFonts w:ascii="Century" w:hAnsi="Century"/>
          <w:sz w:val="24"/>
          <w:szCs w:val="24"/>
        </w:rPr>
        <w:footnoteReference w:id="82"/>
      </w:r>
      <w:r w:rsidR="00CD0D0C" w:rsidRPr="00B96ED6">
        <w:rPr>
          <w:rFonts w:ascii="Century" w:hAnsi="Century"/>
          <w:sz w:val="24"/>
          <w:szCs w:val="24"/>
        </w:rPr>
        <w:t xml:space="preserve"> </w:t>
      </w:r>
    </w:p>
    <w:p w14:paraId="4A0CE52B" w14:textId="77777777" w:rsidR="00C64E6C" w:rsidRPr="00B96ED6" w:rsidRDefault="00C64E6C" w:rsidP="00E81877">
      <w:pPr>
        <w:pStyle w:val="p1"/>
        <w:spacing w:line="480" w:lineRule="auto"/>
        <w:jc w:val="both"/>
        <w:rPr>
          <w:rFonts w:ascii="Century" w:hAnsi="Century"/>
          <w:sz w:val="24"/>
          <w:szCs w:val="24"/>
        </w:rPr>
      </w:pPr>
    </w:p>
    <w:p w14:paraId="4A1A3189" w14:textId="0C79BC62" w:rsidR="002F35C9" w:rsidRDefault="00CD0D0C" w:rsidP="00E81877">
      <w:pPr>
        <w:pStyle w:val="p1"/>
        <w:spacing w:line="480" w:lineRule="auto"/>
        <w:jc w:val="both"/>
        <w:rPr>
          <w:rFonts w:ascii="Century" w:hAnsi="Century"/>
          <w:sz w:val="24"/>
          <w:szCs w:val="24"/>
        </w:rPr>
      </w:pPr>
      <w:r w:rsidRPr="00B96ED6">
        <w:rPr>
          <w:rFonts w:ascii="Century" w:hAnsi="Century"/>
          <w:i/>
          <w:iCs/>
          <w:sz w:val="24"/>
          <w:szCs w:val="24"/>
        </w:rPr>
        <w:t>Bederev</w:t>
      </w:r>
      <w:r w:rsidRPr="00B96ED6">
        <w:rPr>
          <w:rStyle w:val="FootnoteReference"/>
          <w:rFonts w:ascii="Century" w:hAnsi="Century"/>
          <w:sz w:val="24"/>
          <w:szCs w:val="24"/>
        </w:rPr>
        <w:footnoteReference w:id="83"/>
      </w:r>
      <w:r w:rsidRPr="00B96ED6">
        <w:rPr>
          <w:rFonts w:ascii="Century" w:hAnsi="Century"/>
          <w:sz w:val="24"/>
          <w:szCs w:val="24"/>
        </w:rPr>
        <w:t xml:space="preserve"> and </w:t>
      </w:r>
      <w:r w:rsidRPr="00B96ED6">
        <w:rPr>
          <w:rFonts w:ascii="Century" w:hAnsi="Century"/>
          <w:i/>
          <w:iCs/>
          <w:sz w:val="24"/>
          <w:szCs w:val="24"/>
        </w:rPr>
        <w:t>O’Sullivan</w:t>
      </w:r>
      <w:r w:rsidRPr="00B96ED6">
        <w:rPr>
          <w:rStyle w:val="FootnoteReference"/>
          <w:rFonts w:ascii="Century" w:hAnsi="Century"/>
          <w:sz w:val="24"/>
          <w:szCs w:val="24"/>
        </w:rPr>
        <w:footnoteReference w:id="84"/>
      </w:r>
      <w:r w:rsidRPr="00B96ED6">
        <w:rPr>
          <w:rFonts w:ascii="Century" w:hAnsi="Century"/>
          <w:i/>
          <w:iCs/>
          <w:sz w:val="24"/>
          <w:szCs w:val="24"/>
        </w:rPr>
        <w:t xml:space="preserve"> </w:t>
      </w:r>
      <w:r w:rsidR="002F35C9">
        <w:rPr>
          <w:rFonts w:ascii="Century" w:hAnsi="Century"/>
          <w:sz w:val="24"/>
          <w:szCs w:val="24"/>
        </w:rPr>
        <w:t xml:space="preserve">were the first </w:t>
      </w:r>
      <w:r w:rsidR="005D4E93">
        <w:rPr>
          <w:rFonts w:ascii="Century" w:hAnsi="Century"/>
          <w:sz w:val="24"/>
          <w:szCs w:val="24"/>
        </w:rPr>
        <w:t>clear</w:t>
      </w:r>
      <w:r w:rsidR="002F35C9">
        <w:rPr>
          <w:rFonts w:ascii="Century" w:hAnsi="Century"/>
          <w:sz w:val="24"/>
          <w:szCs w:val="24"/>
        </w:rPr>
        <w:t xml:space="preserve"> signs the Supreme Court was clearly uncomfortable with the gap between the delegation doctrine’s formulation </w:t>
      </w:r>
      <w:r w:rsidR="002F35C9">
        <w:rPr>
          <w:rFonts w:ascii="Century" w:hAnsi="Century"/>
          <w:sz w:val="24"/>
          <w:szCs w:val="24"/>
        </w:rPr>
        <w:lastRenderedPageBreak/>
        <w:t>and application</w:t>
      </w:r>
      <w:r w:rsidRPr="00B96ED6">
        <w:rPr>
          <w:rFonts w:ascii="Century" w:hAnsi="Century"/>
          <w:sz w:val="24"/>
          <w:szCs w:val="24"/>
        </w:rPr>
        <w:t xml:space="preserve">. As opposed to assessing whether </w:t>
      </w:r>
      <w:r w:rsidRPr="00B96ED6">
        <w:rPr>
          <w:rFonts w:ascii="Century" w:hAnsi="Century"/>
          <w:i/>
          <w:sz w:val="24"/>
          <w:szCs w:val="24"/>
        </w:rPr>
        <w:t>all</w:t>
      </w:r>
      <w:r w:rsidRPr="00B96ED6">
        <w:rPr>
          <w:rFonts w:ascii="Century" w:hAnsi="Century"/>
          <w:sz w:val="24"/>
          <w:szCs w:val="24"/>
        </w:rPr>
        <w:t xml:space="preserve"> relevant principles and policies </w:t>
      </w:r>
      <w:r w:rsidR="008308FC">
        <w:rPr>
          <w:rFonts w:ascii="Century" w:hAnsi="Century"/>
          <w:sz w:val="24"/>
          <w:szCs w:val="24"/>
        </w:rPr>
        <w:t xml:space="preserve">are </w:t>
      </w:r>
      <w:r w:rsidRPr="00B96ED6">
        <w:rPr>
          <w:rFonts w:ascii="Century" w:hAnsi="Century"/>
          <w:sz w:val="24"/>
          <w:szCs w:val="24"/>
        </w:rPr>
        <w:t>contained in a parent statute</w:t>
      </w:r>
      <w:r w:rsidR="008308FC">
        <w:rPr>
          <w:rFonts w:ascii="Century" w:hAnsi="Century"/>
          <w:sz w:val="24"/>
          <w:szCs w:val="24"/>
        </w:rPr>
        <w:t xml:space="preserve"> </w:t>
      </w:r>
      <w:r w:rsidR="00B75EE7">
        <w:rPr>
          <w:rFonts w:ascii="Century" w:hAnsi="Century"/>
          <w:sz w:val="24"/>
          <w:szCs w:val="24"/>
        </w:rPr>
        <w:t>vesting</w:t>
      </w:r>
      <w:r w:rsidR="008308FC">
        <w:rPr>
          <w:rFonts w:ascii="Century" w:hAnsi="Century"/>
          <w:sz w:val="24"/>
          <w:szCs w:val="24"/>
        </w:rPr>
        <w:t xml:space="preserve"> rulemaking authority</w:t>
      </w:r>
      <w:r w:rsidR="002F35C9">
        <w:rPr>
          <w:rFonts w:ascii="Century" w:hAnsi="Century"/>
          <w:sz w:val="24"/>
          <w:szCs w:val="24"/>
        </w:rPr>
        <w:t>,</w:t>
      </w:r>
      <w:r w:rsidRPr="00B96ED6">
        <w:rPr>
          <w:rStyle w:val="FootnoteReference"/>
          <w:rFonts w:ascii="Century" w:hAnsi="Century"/>
          <w:sz w:val="24"/>
          <w:szCs w:val="24"/>
        </w:rPr>
        <w:footnoteReference w:id="85"/>
      </w:r>
      <w:r w:rsidR="002F35C9">
        <w:rPr>
          <w:rFonts w:ascii="Century" w:hAnsi="Century"/>
          <w:sz w:val="24"/>
          <w:szCs w:val="24"/>
        </w:rPr>
        <w:t xml:space="preserve"> </w:t>
      </w:r>
      <w:r w:rsidR="008726AF">
        <w:rPr>
          <w:rFonts w:ascii="Century" w:hAnsi="Century"/>
          <w:sz w:val="24"/>
          <w:szCs w:val="24"/>
        </w:rPr>
        <w:t xml:space="preserve">in these cases </w:t>
      </w:r>
      <w:r w:rsidR="002F35C9">
        <w:rPr>
          <w:rFonts w:ascii="Century" w:hAnsi="Century"/>
          <w:sz w:val="24"/>
          <w:szCs w:val="24"/>
        </w:rPr>
        <w:t xml:space="preserve">the Court substantially recast the focus of </w:t>
      </w:r>
      <w:r w:rsidR="008726AF">
        <w:rPr>
          <w:rFonts w:ascii="Century" w:hAnsi="Century"/>
          <w:sz w:val="24"/>
          <w:szCs w:val="24"/>
        </w:rPr>
        <w:t>the delegation doctrine</w:t>
      </w:r>
      <w:r w:rsidR="002F35C9">
        <w:rPr>
          <w:rFonts w:ascii="Century" w:hAnsi="Century"/>
          <w:sz w:val="24"/>
          <w:szCs w:val="24"/>
        </w:rPr>
        <w:t xml:space="preserve"> to turn on the negative, looser, question of whether there</w:t>
      </w:r>
      <w:r w:rsidR="002F35C9" w:rsidRPr="00B96ED6">
        <w:rPr>
          <w:rFonts w:ascii="Century" w:hAnsi="Century"/>
          <w:sz w:val="24"/>
          <w:szCs w:val="24"/>
        </w:rPr>
        <w:t xml:space="preserve"> </w:t>
      </w:r>
      <w:r w:rsidR="002F35C9">
        <w:rPr>
          <w:rFonts w:ascii="Century" w:hAnsi="Century"/>
          <w:sz w:val="24"/>
          <w:szCs w:val="24"/>
        </w:rPr>
        <w:t>has been a</w:t>
      </w:r>
      <w:r w:rsidR="00EA5AD9">
        <w:rPr>
          <w:rFonts w:ascii="Century" w:hAnsi="Century"/>
          <w:sz w:val="24"/>
          <w:szCs w:val="24"/>
        </w:rPr>
        <w:t xml:space="preserve"> wholesale</w:t>
      </w:r>
      <w:r w:rsidR="002F35C9">
        <w:rPr>
          <w:rFonts w:ascii="Century" w:hAnsi="Century"/>
          <w:sz w:val="24"/>
          <w:szCs w:val="24"/>
        </w:rPr>
        <w:t xml:space="preserve"> </w:t>
      </w:r>
      <w:r w:rsidR="002F35C9" w:rsidRPr="00B96ED6">
        <w:rPr>
          <w:rFonts w:ascii="Century" w:hAnsi="Century"/>
          <w:sz w:val="24"/>
          <w:szCs w:val="24"/>
        </w:rPr>
        <w:t>trespass on the power of the Oireachtas</w:t>
      </w:r>
      <w:r w:rsidR="002F35C9">
        <w:rPr>
          <w:rFonts w:ascii="Century" w:hAnsi="Century"/>
          <w:sz w:val="24"/>
          <w:szCs w:val="24"/>
        </w:rPr>
        <w:t xml:space="preserve"> – to be assessed through</w:t>
      </w:r>
      <w:r w:rsidR="003C45CA">
        <w:rPr>
          <w:rFonts w:ascii="Century" w:hAnsi="Century"/>
          <w:sz w:val="24"/>
          <w:szCs w:val="24"/>
        </w:rPr>
        <w:t xml:space="preserve"> a combination of</w:t>
      </w:r>
      <w:r w:rsidR="002F35C9">
        <w:rPr>
          <w:rFonts w:ascii="Century" w:hAnsi="Century"/>
          <w:sz w:val="24"/>
          <w:szCs w:val="24"/>
        </w:rPr>
        <w:t xml:space="preserve"> the presence or absence of statutory guidance and ongoing oversight by the Houses.</w:t>
      </w:r>
    </w:p>
    <w:p w14:paraId="14283FCD" w14:textId="77777777" w:rsidR="002F35C9" w:rsidRPr="00B96ED6" w:rsidRDefault="002F35C9" w:rsidP="00E81877">
      <w:pPr>
        <w:pStyle w:val="p1"/>
        <w:spacing w:line="480" w:lineRule="auto"/>
        <w:jc w:val="both"/>
        <w:rPr>
          <w:rFonts w:ascii="Century" w:hAnsi="Century"/>
          <w:sz w:val="24"/>
          <w:szCs w:val="24"/>
        </w:rPr>
      </w:pPr>
    </w:p>
    <w:p w14:paraId="0E6C4E3B" w14:textId="1C8B4C48" w:rsidR="005E78B9" w:rsidRPr="005E78B9" w:rsidRDefault="00B96ED6" w:rsidP="005E78B9">
      <w:pPr>
        <w:spacing w:line="480" w:lineRule="auto"/>
        <w:ind w:firstLine="720"/>
        <w:jc w:val="both"/>
        <w:rPr>
          <w:rFonts w:ascii="Century" w:hAnsi="Century" w:cs="Times New Roman"/>
          <w:lang w:val="en-GB"/>
        </w:rPr>
      </w:pPr>
      <w:r w:rsidRPr="00B96ED6">
        <w:rPr>
          <w:rFonts w:ascii="Century" w:hAnsi="Century"/>
        </w:rPr>
        <w:t xml:space="preserve">With </w:t>
      </w:r>
      <w:r w:rsidRPr="008D43B3">
        <w:rPr>
          <w:rFonts w:ascii="Century" w:hAnsi="Century"/>
          <w:i/>
          <w:iCs/>
        </w:rPr>
        <w:t>NECI</w:t>
      </w:r>
      <w:r w:rsidRPr="00B96ED6">
        <w:rPr>
          <w:rFonts w:ascii="Century" w:hAnsi="Century"/>
        </w:rPr>
        <w:t xml:space="preserve">, </w:t>
      </w:r>
      <w:r w:rsidR="00B75EE7">
        <w:rPr>
          <w:rFonts w:ascii="Century" w:hAnsi="Century"/>
        </w:rPr>
        <w:t xml:space="preserve">the </w:t>
      </w:r>
      <w:r w:rsidR="00B75EE7">
        <w:rPr>
          <w:rFonts w:ascii="Century" w:hAnsi="Century"/>
          <w:i/>
          <w:iCs/>
        </w:rPr>
        <w:t>Cityview</w:t>
      </w:r>
      <w:r w:rsidRPr="00B96ED6">
        <w:rPr>
          <w:rFonts w:ascii="Century" w:hAnsi="Century"/>
        </w:rPr>
        <w:t xml:space="preserve"> interpretation </w:t>
      </w:r>
      <w:r w:rsidR="00120620">
        <w:rPr>
          <w:rFonts w:ascii="Century" w:hAnsi="Century"/>
        </w:rPr>
        <w:t>of Article 15.2.1</w:t>
      </w:r>
      <w:r w:rsidRPr="00B96ED6">
        <w:rPr>
          <w:rFonts w:ascii="Century" w:hAnsi="Century"/>
        </w:rPr>
        <w:t xml:space="preserve"> </w:t>
      </w:r>
      <w:r w:rsidR="00880643">
        <w:rPr>
          <w:rFonts w:ascii="Century" w:hAnsi="Century"/>
        </w:rPr>
        <w:t>which neuters the normative discretion of those wielding rulemaking authority</w:t>
      </w:r>
      <w:r w:rsidR="007F621D">
        <w:rPr>
          <w:rFonts w:ascii="Century" w:hAnsi="Century"/>
        </w:rPr>
        <w:t xml:space="preserve">, </w:t>
      </w:r>
      <w:r w:rsidRPr="00B96ED6">
        <w:rPr>
          <w:rFonts w:ascii="Century" w:hAnsi="Century"/>
        </w:rPr>
        <w:t>has been definitively displaced</w:t>
      </w:r>
      <w:r w:rsidR="002F35C9">
        <w:rPr>
          <w:rFonts w:ascii="Century" w:hAnsi="Century"/>
        </w:rPr>
        <w:t xml:space="preserve"> and replaced with the negative more capacious test sketched in </w:t>
      </w:r>
      <w:r w:rsidR="002F35C9">
        <w:rPr>
          <w:rFonts w:ascii="Century" w:hAnsi="Century"/>
          <w:i/>
          <w:iCs/>
        </w:rPr>
        <w:t xml:space="preserve">Bederev </w:t>
      </w:r>
      <w:r w:rsidR="002F35C9">
        <w:rPr>
          <w:rFonts w:ascii="Century" w:hAnsi="Century"/>
        </w:rPr>
        <w:t xml:space="preserve">and </w:t>
      </w:r>
      <w:r w:rsidR="003C45CA">
        <w:rPr>
          <w:rFonts w:ascii="Century" w:hAnsi="Century"/>
          <w:i/>
          <w:iCs/>
        </w:rPr>
        <w:t>O’</w:t>
      </w:r>
      <w:r w:rsidR="002F35C9">
        <w:rPr>
          <w:rFonts w:ascii="Century" w:hAnsi="Century"/>
          <w:i/>
          <w:iCs/>
        </w:rPr>
        <w:t>Sullivan</w:t>
      </w:r>
      <w:r w:rsidRPr="00B96ED6">
        <w:rPr>
          <w:rFonts w:ascii="Century" w:hAnsi="Century"/>
        </w:rPr>
        <w:t>.</w:t>
      </w:r>
      <w:r w:rsidR="00CD64D4">
        <w:rPr>
          <w:rStyle w:val="FootnoteReference"/>
          <w:rFonts w:ascii="Century" w:hAnsi="Century"/>
        </w:rPr>
        <w:footnoteReference w:id="86"/>
      </w:r>
      <w:r w:rsidRPr="00B96ED6">
        <w:rPr>
          <w:rFonts w:ascii="Century" w:hAnsi="Century"/>
        </w:rPr>
        <w:t xml:space="preserve"> </w:t>
      </w:r>
      <w:r w:rsidR="004B1BD9" w:rsidRPr="00B96ED6">
        <w:rPr>
          <w:rFonts w:ascii="Century" w:hAnsi="Century"/>
        </w:rPr>
        <w:t xml:space="preserve">What is </w:t>
      </w:r>
      <w:r w:rsidR="00674354">
        <w:rPr>
          <w:rFonts w:ascii="Century" w:hAnsi="Century"/>
        </w:rPr>
        <w:t>to be avoided now</w:t>
      </w:r>
      <w:r w:rsidR="00120620">
        <w:rPr>
          <w:rFonts w:ascii="Century" w:hAnsi="Century"/>
        </w:rPr>
        <w:t>,</w:t>
      </w:r>
      <w:r w:rsidR="007F621D">
        <w:rPr>
          <w:rFonts w:ascii="Century" w:hAnsi="Century"/>
        </w:rPr>
        <w:t xml:space="preserve"> says the Supreme Court,</w:t>
      </w:r>
      <w:r w:rsidR="00674354">
        <w:rPr>
          <w:rFonts w:ascii="Century" w:hAnsi="Century"/>
        </w:rPr>
        <w:t xml:space="preserve"> is</w:t>
      </w:r>
      <w:r w:rsidR="004B1BD9" w:rsidRPr="00B96ED6">
        <w:rPr>
          <w:rFonts w:ascii="Century" w:hAnsi="Century"/>
        </w:rPr>
        <w:t xml:space="preserve"> </w:t>
      </w:r>
      <w:r w:rsidR="00016ADD">
        <w:rPr>
          <w:rFonts w:ascii="Century" w:hAnsi="Century"/>
        </w:rPr>
        <w:t xml:space="preserve">a </w:t>
      </w:r>
      <w:r w:rsidR="00085C63">
        <w:rPr>
          <w:rFonts w:ascii="Century" w:hAnsi="Century"/>
        </w:rPr>
        <w:t>level and type</w:t>
      </w:r>
      <w:r w:rsidR="00016ADD">
        <w:rPr>
          <w:rFonts w:ascii="Century" w:hAnsi="Century"/>
        </w:rPr>
        <w:t xml:space="preserve"> </w:t>
      </w:r>
      <w:r w:rsidR="00794930">
        <w:rPr>
          <w:rFonts w:ascii="Century" w:hAnsi="Century"/>
        </w:rPr>
        <w:t>of delegat</w:t>
      </w:r>
      <w:r w:rsidR="0094736D">
        <w:rPr>
          <w:rFonts w:ascii="Century" w:hAnsi="Century"/>
        </w:rPr>
        <w:t>ed</w:t>
      </w:r>
      <w:r w:rsidR="00794930">
        <w:rPr>
          <w:rFonts w:ascii="Century" w:hAnsi="Century"/>
        </w:rPr>
        <w:t xml:space="preserve"> rulemaking authority which</w:t>
      </w:r>
      <w:r w:rsidR="00EA5AD9">
        <w:rPr>
          <w:rFonts w:ascii="Century" w:hAnsi="Century"/>
        </w:rPr>
        <w:t xml:space="preserve"> in substance</w:t>
      </w:r>
      <w:r w:rsidR="00794930">
        <w:rPr>
          <w:rFonts w:ascii="Century" w:hAnsi="Century"/>
        </w:rPr>
        <w:t xml:space="preserve"> represents a</w:t>
      </w:r>
      <w:r w:rsidR="004B1BD9" w:rsidRPr="00B96ED6">
        <w:rPr>
          <w:rFonts w:ascii="Century" w:hAnsi="Century"/>
        </w:rPr>
        <w:t xml:space="preserve"> </w:t>
      </w:r>
      <w:r w:rsidR="00674354">
        <w:rPr>
          <w:rFonts w:ascii="Century" w:hAnsi="Century"/>
        </w:rPr>
        <w:t xml:space="preserve">de facto </w:t>
      </w:r>
      <w:r w:rsidR="004B1BD9" w:rsidRPr="00B96ED6">
        <w:rPr>
          <w:rFonts w:ascii="Century" w:hAnsi="Century"/>
        </w:rPr>
        <w:t>shutting</w:t>
      </w:r>
      <w:r w:rsidR="0094736D">
        <w:rPr>
          <w:rFonts w:ascii="Century" w:hAnsi="Century"/>
        </w:rPr>
        <w:t>-</w:t>
      </w:r>
      <w:r w:rsidR="004B1BD9" w:rsidRPr="00B96ED6">
        <w:rPr>
          <w:rFonts w:ascii="Century" w:hAnsi="Century"/>
        </w:rPr>
        <w:t>up shop over a particular policy are</w:t>
      </w:r>
      <w:r w:rsidR="00EA5AD9">
        <w:rPr>
          <w:rFonts w:ascii="Century" w:hAnsi="Century"/>
        </w:rPr>
        <w:t>a.</w:t>
      </w:r>
      <w:r w:rsidR="004B1BD9" w:rsidRPr="00B96ED6">
        <w:rPr>
          <w:rFonts w:ascii="Century" w:hAnsi="Century"/>
        </w:rPr>
        <w:t xml:space="preserve"> </w:t>
      </w:r>
      <w:r w:rsidR="00EA5AD9">
        <w:rPr>
          <w:rFonts w:ascii="Century" w:hAnsi="Century"/>
        </w:rPr>
        <w:t>That is, a situation w</w:t>
      </w:r>
      <w:r w:rsidR="004B1BD9" w:rsidRPr="00B96ED6">
        <w:rPr>
          <w:rFonts w:ascii="Century" w:hAnsi="Century"/>
        </w:rPr>
        <w:t>here</w:t>
      </w:r>
      <w:r w:rsidR="00EA5AD9">
        <w:rPr>
          <w:rFonts w:ascii="Century" w:hAnsi="Century"/>
        </w:rPr>
        <w:t xml:space="preserve"> a delegating statute couples</w:t>
      </w:r>
      <w:r w:rsidR="00016ADD">
        <w:rPr>
          <w:rFonts w:ascii="Century" w:hAnsi="Century"/>
        </w:rPr>
        <w:t xml:space="preserve"> very broad rulemaking discretion </w:t>
      </w:r>
      <w:r w:rsidR="00EA5AD9">
        <w:rPr>
          <w:rFonts w:ascii="Century" w:hAnsi="Century"/>
        </w:rPr>
        <w:t>with</w:t>
      </w:r>
      <w:r w:rsidR="004B1BD9" w:rsidRPr="00B96ED6">
        <w:rPr>
          <w:rFonts w:ascii="Century" w:hAnsi="Century"/>
        </w:rPr>
        <w:t xml:space="preserve"> no guidance</w:t>
      </w:r>
      <w:r w:rsidR="00EA5AD9">
        <w:rPr>
          <w:rFonts w:ascii="Century" w:hAnsi="Century"/>
        </w:rPr>
        <w:t xml:space="preserve"> from the Oireachtas</w:t>
      </w:r>
      <w:r w:rsidR="004B1BD9" w:rsidRPr="00B96ED6">
        <w:rPr>
          <w:rFonts w:ascii="Century" w:hAnsi="Century"/>
        </w:rPr>
        <w:t xml:space="preserve"> to </w:t>
      </w:r>
      <w:r w:rsidR="00EA5AD9">
        <w:rPr>
          <w:rFonts w:ascii="Century" w:hAnsi="Century"/>
        </w:rPr>
        <w:t>the</w:t>
      </w:r>
      <w:r w:rsidR="004B1BD9" w:rsidRPr="00B96ED6">
        <w:rPr>
          <w:rFonts w:ascii="Century" w:hAnsi="Century"/>
        </w:rPr>
        <w:t xml:space="preserve"> delegat</w:t>
      </w:r>
      <w:r w:rsidR="004963D4">
        <w:rPr>
          <w:rFonts w:ascii="Century" w:hAnsi="Century"/>
        </w:rPr>
        <w:t>e</w:t>
      </w:r>
      <w:r w:rsidR="00EA5AD9">
        <w:rPr>
          <w:rFonts w:ascii="Century" w:hAnsi="Century"/>
        </w:rPr>
        <w:t xml:space="preserve"> as to the</w:t>
      </w:r>
      <w:r w:rsidR="004B1BD9" w:rsidRPr="00B96ED6">
        <w:rPr>
          <w:rFonts w:ascii="Century" w:hAnsi="Century"/>
        </w:rPr>
        <w:t xml:space="preserve"> </w:t>
      </w:r>
      <w:r w:rsidR="00EA5AD9">
        <w:rPr>
          <w:rFonts w:ascii="Century" w:hAnsi="Century"/>
        </w:rPr>
        <w:t xml:space="preserve">desired </w:t>
      </w:r>
      <w:r w:rsidR="004B1BD9" w:rsidRPr="00B96ED6">
        <w:rPr>
          <w:rFonts w:ascii="Century" w:hAnsi="Century"/>
        </w:rPr>
        <w:t xml:space="preserve">direction of </w:t>
      </w:r>
      <w:r w:rsidR="00EA5AD9">
        <w:rPr>
          <w:rFonts w:ascii="Century" w:hAnsi="Century"/>
        </w:rPr>
        <w:t xml:space="preserve">their </w:t>
      </w:r>
      <w:r w:rsidR="004B1BD9" w:rsidRPr="00B96ED6">
        <w:rPr>
          <w:rFonts w:ascii="Century" w:hAnsi="Century"/>
        </w:rPr>
        <w:t>regulatory choices</w:t>
      </w:r>
      <w:r w:rsidR="00EA5AD9">
        <w:rPr>
          <w:rFonts w:ascii="Century" w:hAnsi="Century"/>
        </w:rPr>
        <w:t>,</w:t>
      </w:r>
      <w:r w:rsidR="004963D4">
        <w:rPr>
          <w:rFonts w:ascii="Century" w:hAnsi="Century"/>
        </w:rPr>
        <w:t xml:space="preserve"> or</w:t>
      </w:r>
      <w:r w:rsidR="00EA5AD9">
        <w:rPr>
          <w:rFonts w:ascii="Century" w:hAnsi="Century"/>
        </w:rPr>
        <w:t xml:space="preserve"> the</w:t>
      </w:r>
      <w:r w:rsidR="004963D4">
        <w:rPr>
          <w:rFonts w:ascii="Century" w:hAnsi="Century"/>
        </w:rPr>
        <w:t xml:space="preserve"> criteria </w:t>
      </w:r>
      <w:r w:rsidR="00EA5AD9">
        <w:rPr>
          <w:rFonts w:ascii="Century" w:hAnsi="Century"/>
        </w:rPr>
        <w:t>that should inform them</w:t>
      </w:r>
      <w:r w:rsidR="004B1BD9" w:rsidRPr="00B96ED6">
        <w:rPr>
          <w:rFonts w:ascii="Century" w:hAnsi="Century"/>
        </w:rPr>
        <w:t xml:space="preserve">. </w:t>
      </w:r>
      <w:r w:rsidR="009E7C9C" w:rsidRPr="00F11BAD">
        <w:rPr>
          <w:rFonts w:ascii="Century" w:hAnsi="Century"/>
          <w:i/>
          <w:iCs/>
        </w:rPr>
        <w:t xml:space="preserve">NECI </w:t>
      </w:r>
      <w:r w:rsidR="009E7C9C" w:rsidRPr="00F11BAD">
        <w:rPr>
          <w:rFonts w:ascii="Century" w:hAnsi="Century"/>
        </w:rPr>
        <w:t xml:space="preserve">also </w:t>
      </w:r>
      <w:r w:rsidR="009E7C9C">
        <w:rPr>
          <w:rFonts w:ascii="Century" w:hAnsi="Century"/>
        </w:rPr>
        <w:t>solidified</w:t>
      </w:r>
      <w:r w:rsidR="009E7C9C" w:rsidRPr="00F11BAD">
        <w:rPr>
          <w:rFonts w:ascii="Century" w:hAnsi="Century"/>
        </w:rPr>
        <w:t xml:space="preserve"> </w:t>
      </w:r>
      <w:proofErr w:type="spellStart"/>
      <w:r w:rsidR="009E7C9C" w:rsidRPr="00F11BAD">
        <w:rPr>
          <w:rFonts w:ascii="Century" w:hAnsi="Century"/>
          <w:i/>
          <w:iCs/>
        </w:rPr>
        <w:t>Bederev’s</w:t>
      </w:r>
      <w:proofErr w:type="spellEnd"/>
      <w:r w:rsidR="009E7C9C" w:rsidRPr="00F11BAD">
        <w:rPr>
          <w:rFonts w:ascii="Century" w:hAnsi="Century"/>
          <w:i/>
          <w:iCs/>
        </w:rPr>
        <w:t xml:space="preserve"> </w:t>
      </w:r>
      <w:r w:rsidR="009E7C9C" w:rsidRPr="00F11BAD">
        <w:rPr>
          <w:rFonts w:ascii="Century" w:hAnsi="Century"/>
        </w:rPr>
        <w:t>decision to ramp up the importance</w:t>
      </w:r>
      <w:r w:rsidR="009E7C9C">
        <w:rPr>
          <w:rFonts w:ascii="Century" w:hAnsi="Century"/>
        </w:rPr>
        <w:t xml:space="preserve"> to</w:t>
      </w:r>
      <w:r w:rsidR="00120620">
        <w:rPr>
          <w:rFonts w:ascii="Century" w:hAnsi="Century"/>
        </w:rPr>
        <w:t xml:space="preserve"> assessing</w:t>
      </w:r>
      <w:r w:rsidR="009E7C9C">
        <w:rPr>
          <w:rFonts w:ascii="Century" w:hAnsi="Century"/>
        </w:rPr>
        <w:t xml:space="preserve"> Article 15 compliance</w:t>
      </w:r>
      <w:r w:rsidR="009E7C9C" w:rsidRPr="00F11BAD">
        <w:rPr>
          <w:rFonts w:ascii="Century" w:hAnsi="Century"/>
        </w:rPr>
        <w:t xml:space="preserve"> of </w:t>
      </w:r>
      <w:r w:rsidR="009E7C9C">
        <w:rPr>
          <w:rFonts w:ascii="Century" w:hAnsi="Century"/>
        </w:rPr>
        <w:t>providing</w:t>
      </w:r>
      <w:r w:rsidR="009E7C9C" w:rsidRPr="00F11BAD">
        <w:rPr>
          <w:rFonts w:ascii="Century" w:hAnsi="Century"/>
        </w:rPr>
        <w:t xml:space="preserve"> for ongoing </w:t>
      </w:r>
      <w:r w:rsidR="009E7C9C" w:rsidRPr="00F11BAD">
        <w:rPr>
          <w:rFonts w:ascii="Century" w:hAnsi="Century" w:cs="Times New Roman"/>
          <w:lang w:val="en-GB"/>
        </w:rPr>
        <w:t>supervision and annulment of regulations by the Houses</w:t>
      </w:r>
      <w:r w:rsidR="009E7C9C">
        <w:rPr>
          <w:rFonts w:ascii="Century" w:hAnsi="Century" w:cs="Times New Roman"/>
          <w:lang w:val="en-GB"/>
        </w:rPr>
        <w:t>, which was never</w:t>
      </w:r>
      <w:r w:rsidR="004C6516">
        <w:rPr>
          <w:rFonts w:ascii="Century" w:hAnsi="Century" w:cs="Times New Roman"/>
          <w:lang w:val="en-GB"/>
        </w:rPr>
        <w:t xml:space="preserve"> previously</w:t>
      </w:r>
      <w:r w:rsidR="009E7C9C">
        <w:rPr>
          <w:rFonts w:ascii="Century" w:hAnsi="Century" w:cs="Times New Roman"/>
          <w:lang w:val="en-GB"/>
        </w:rPr>
        <w:t xml:space="preserve"> considered a </w:t>
      </w:r>
      <w:r w:rsidR="004C6516">
        <w:rPr>
          <w:rFonts w:ascii="Century" w:hAnsi="Century" w:cs="Times New Roman"/>
          <w:lang w:val="en-GB"/>
        </w:rPr>
        <w:t>fundamental</w:t>
      </w:r>
      <w:r w:rsidR="009E7C9C">
        <w:rPr>
          <w:rFonts w:ascii="Century" w:hAnsi="Century" w:cs="Times New Roman"/>
          <w:lang w:val="en-GB"/>
        </w:rPr>
        <w:t xml:space="preserve"> part of the </w:t>
      </w:r>
      <w:r w:rsidR="009E7C9C">
        <w:rPr>
          <w:rFonts w:ascii="Century" w:hAnsi="Century" w:cs="Times New Roman"/>
          <w:i/>
          <w:iCs/>
          <w:lang w:val="en-GB"/>
        </w:rPr>
        <w:t xml:space="preserve">Cityview </w:t>
      </w:r>
      <w:r w:rsidR="009E7C9C">
        <w:rPr>
          <w:rFonts w:ascii="Century" w:hAnsi="Century" w:cs="Times New Roman"/>
          <w:lang w:val="en-GB"/>
        </w:rPr>
        <w:t>test.</w:t>
      </w:r>
      <w:r w:rsidR="00FE05E9">
        <w:rPr>
          <w:rStyle w:val="FootnoteReference"/>
          <w:rFonts w:ascii="Century" w:hAnsi="Century" w:cs="Times New Roman"/>
          <w:lang w:val="en-GB"/>
        </w:rPr>
        <w:footnoteReference w:id="87"/>
      </w:r>
      <w:r w:rsidR="005E78B9">
        <w:rPr>
          <w:rFonts w:ascii="Century" w:hAnsi="Century" w:cs="Times New Roman"/>
          <w:lang w:val="en-GB"/>
        </w:rPr>
        <w:t xml:space="preserve"> For while </w:t>
      </w:r>
      <w:r w:rsidR="005E78B9">
        <w:rPr>
          <w:rFonts w:ascii="Century" w:hAnsi="Century" w:cs="Times New Roman"/>
          <w:lang w:val="en-GB"/>
        </w:rPr>
        <w:lastRenderedPageBreak/>
        <w:t xml:space="preserve">O’Higgins CJ in </w:t>
      </w:r>
      <w:r w:rsidR="005E78B9">
        <w:rPr>
          <w:rFonts w:ascii="Century" w:hAnsi="Century" w:cs="Times New Roman"/>
          <w:i/>
          <w:iCs/>
          <w:lang w:val="en-GB"/>
        </w:rPr>
        <w:t xml:space="preserve">Cityview </w:t>
      </w:r>
      <w:r w:rsidR="005E78B9">
        <w:rPr>
          <w:rFonts w:ascii="Century" w:hAnsi="Century" w:cs="Times New Roman"/>
          <w:lang w:val="en-GB"/>
        </w:rPr>
        <w:t>did refer to ongoing supervision by the Houses of delegated rulemaking authority as a ‘safeguard’, he also said that regardless of such safeguards the Court nevertheless had to apply the principles and policies test as the true marker for whether there had been a delegation of statutory power ‘neither contemplated nor permitted by the Constitution’.</w:t>
      </w:r>
      <w:r w:rsidR="005E78B9">
        <w:rPr>
          <w:rStyle w:val="FootnoteReference"/>
          <w:rFonts w:ascii="Century" w:hAnsi="Century" w:cs="Times New Roman"/>
          <w:lang w:val="en-GB"/>
        </w:rPr>
        <w:footnoteReference w:id="88"/>
      </w:r>
    </w:p>
    <w:p w14:paraId="5D50AF41" w14:textId="7B602BF3" w:rsidR="00D3299B" w:rsidRDefault="00D3299B" w:rsidP="005E78B9">
      <w:pPr>
        <w:spacing w:line="480" w:lineRule="auto"/>
        <w:jc w:val="both"/>
        <w:rPr>
          <w:rFonts w:ascii="Century" w:hAnsi="Century"/>
        </w:rPr>
      </w:pPr>
    </w:p>
    <w:p w14:paraId="41B9CBEA" w14:textId="26FA2C24" w:rsidR="00D3299B" w:rsidRPr="008308FC" w:rsidRDefault="00794930" w:rsidP="00E81877">
      <w:pPr>
        <w:spacing w:line="480" w:lineRule="auto"/>
        <w:jc w:val="both"/>
        <w:rPr>
          <w:rFonts w:ascii="Century" w:hAnsi="Century"/>
        </w:rPr>
      </w:pPr>
      <w:r>
        <w:rPr>
          <w:rFonts w:ascii="Century" w:hAnsi="Century"/>
        </w:rPr>
        <w:t>At one point</w:t>
      </w:r>
      <w:r w:rsidR="0094736D">
        <w:rPr>
          <w:rFonts w:ascii="Century" w:hAnsi="Century"/>
        </w:rPr>
        <w:t xml:space="preserve"> in the judgment,</w:t>
      </w:r>
      <w:r>
        <w:rPr>
          <w:rFonts w:ascii="Century" w:hAnsi="Century"/>
        </w:rPr>
        <w:t xml:space="preserve"> the Court </w:t>
      </w:r>
      <w:r w:rsidR="004304D3">
        <w:rPr>
          <w:rFonts w:ascii="Century" w:hAnsi="Century"/>
        </w:rPr>
        <w:t>invoked</w:t>
      </w:r>
      <w:r w:rsidR="00D3299B" w:rsidRPr="00B96ED6">
        <w:rPr>
          <w:rFonts w:ascii="Century" w:hAnsi="Century"/>
        </w:rPr>
        <w:t xml:space="preserve"> the </w:t>
      </w:r>
      <w:r w:rsidR="00D3299B">
        <w:rPr>
          <w:rFonts w:ascii="Century" w:hAnsi="Century"/>
        </w:rPr>
        <w:t>dicta</w:t>
      </w:r>
      <w:r w:rsidR="00D3299B" w:rsidRPr="00B96ED6">
        <w:rPr>
          <w:rFonts w:ascii="Century" w:hAnsi="Century"/>
        </w:rPr>
        <w:t xml:space="preserve"> of</w:t>
      </w:r>
      <w:r w:rsidR="0098008C">
        <w:rPr>
          <w:rFonts w:ascii="Century" w:hAnsi="Century"/>
        </w:rPr>
        <w:t xml:space="preserve"> the</w:t>
      </w:r>
      <w:r w:rsidR="00D3299B" w:rsidRPr="00B96ED6">
        <w:rPr>
          <w:rFonts w:ascii="Century" w:hAnsi="Century"/>
        </w:rPr>
        <w:t xml:space="preserve"> </w:t>
      </w:r>
      <w:r w:rsidR="00D3299B" w:rsidRPr="007040DF">
        <w:rPr>
          <w:rFonts w:ascii="Century" w:hAnsi="Century"/>
          <w:i/>
          <w:iCs/>
        </w:rPr>
        <w:t xml:space="preserve">Cityview </w:t>
      </w:r>
      <w:r w:rsidR="00D3299B" w:rsidRPr="00B96ED6">
        <w:rPr>
          <w:rFonts w:ascii="Century" w:hAnsi="Century"/>
        </w:rPr>
        <w:t>test and appeal</w:t>
      </w:r>
      <w:r>
        <w:rPr>
          <w:rFonts w:ascii="Century" w:hAnsi="Century"/>
        </w:rPr>
        <w:t>ed</w:t>
      </w:r>
      <w:r w:rsidR="00D3299B" w:rsidRPr="00B96ED6">
        <w:rPr>
          <w:rFonts w:ascii="Century" w:hAnsi="Century"/>
        </w:rPr>
        <w:t xml:space="preserve"> to doctrinal continuity by concluding the</w:t>
      </w:r>
      <w:r w:rsidR="00D3299B">
        <w:rPr>
          <w:rFonts w:ascii="Century" w:hAnsi="Century"/>
        </w:rPr>
        <w:t xml:space="preserve"> </w:t>
      </w:r>
      <w:r w:rsidR="00D3299B" w:rsidRPr="007040DF">
        <w:rPr>
          <w:rFonts w:ascii="Century" w:hAnsi="Century"/>
          <w:i/>
          <w:iCs/>
        </w:rPr>
        <w:t>NECI</w:t>
      </w:r>
      <w:r w:rsidR="00D3299B" w:rsidRPr="00B96ED6">
        <w:rPr>
          <w:rFonts w:ascii="Century" w:hAnsi="Century"/>
        </w:rPr>
        <w:t xml:space="preserve"> test remains whether a delegation of rulemaking authority is </w:t>
      </w:r>
      <w:r w:rsidR="002153FF">
        <w:rPr>
          <w:rFonts w:ascii="Century" w:hAnsi="Century"/>
        </w:rPr>
        <w:t>‘</w:t>
      </w:r>
      <w:r w:rsidR="00D3299B" w:rsidRPr="00B96ED6">
        <w:rPr>
          <w:rFonts w:ascii="Century" w:hAnsi="Century"/>
        </w:rPr>
        <w:t>more than a mere giving effect to principles and policies which are contained in the statute itself</w:t>
      </w:r>
      <w:r w:rsidR="002153FF">
        <w:rPr>
          <w:rFonts w:ascii="Century" w:hAnsi="Century"/>
        </w:rPr>
        <w:t>’</w:t>
      </w:r>
      <w:r w:rsidR="00D3299B" w:rsidRPr="00B96ED6">
        <w:rPr>
          <w:rFonts w:ascii="Century" w:hAnsi="Century"/>
        </w:rPr>
        <w:t>.</w:t>
      </w:r>
      <w:r w:rsidR="00D3299B" w:rsidRPr="00B96ED6">
        <w:rPr>
          <w:rStyle w:val="FootnoteReference"/>
          <w:rFonts w:ascii="Century" w:hAnsi="Century"/>
        </w:rPr>
        <w:footnoteReference w:id="89"/>
      </w:r>
      <w:r w:rsidR="00D3299B" w:rsidRPr="00B96ED6">
        <w:rPr>
          <w:rFonts w:ascii="Century" w:hAnsi="Century"/>
        </w:rPr>
        <w:t xml:space="preserve"> But any</w:t>
      </w:r>
      <w:r w:rsidR="00D3299B">
        <w:rPr>
          <w:rFonts w:ascii="Century" w:hAnsi="Century"/>
        </w:rPr>
        <w:t xml:space="preserve"> doctrinal</w:t>
      </w:r>
      <w:r w:rsidR="00D3299B" w:rsidRPr="00B96ED6">
        <w:rPr>
          <w:rFonts w:ascii="Century" w:hAnsi="Century"/>
        </w:rPr>
        <w:t xml:space="preserve"> continuity</w:t>
      </w:r>
      <w:r w:rsidR="00D3299B">
        <w:rPr>
          <w:rFonts w:ascii="Century" w:hAnsi="Century"/>
        </w:rPr>
        <w:t xml:space="preserve"> </w:t>
      </w:r>
      <w:r w:rsidR="00D3299B" w:rsidRPr="002F48A3">
        <w:rPr>
          <w:rFonts w:ascii="Century" w:hAnsi="Century"/>
          <w:i/>
          <w:iCs/>
        </w:rPr>
        <w:t>NECI</w:t>
      </w:r>
      <w:r w:rsidR="00D3299B">
        <w:rPr>
          <w:rFonts w:ascii="Century" w:hAnsi="Century"/>
        </w:rPr>
        <w:t xml:space="preserve"> </w:t>
      </w:r>
      <w:r>
        <w:rPr>
          <w:rFonts w:ascii="Century" w:hAnsi="Century"/>
        </w:rPr>
        <w:t xml:space="preserve"> </w:t>
      </w:r>
      <w:r w:rsidR="00D3299B">
        <w:rPr>
          <w:rFonts w:ascii="Century" w:hAnsi="Century"/>
        </w:rPr>
        <w:t>offers</w:t>
      </w:r>
      <w:r w:rsidR="00D3299B" w:rsidRPr="00B96ED6">
        <w:rPr>
          <w:rFonts w:ascii="Century" w:hAnsi="Century"/>
        </w:rPr>
        <w:t xml:space="preserve"> is artificial, as the </w:t>
      </w:r>
      <w:r w:rsidR="004304D3">
        <w:rPr>
          <w:rFonts w:ascii="Century" w:hAnsi="Century"/>
        </w:rPr>
        <w:t>interpretive gloss</w:t>
      </w:r>
      <w:r w:rsidR="00D3299B" w:rsidRPr="00B96ED6">
        <w:rPr>
          <w:rFonts w:ascii="Century" w:hAnsi="Century"/>
        </w:rPr>
        <w:t xml:space="preserve"> MacMenamin J ascribes to this </w:t>
      </w:r>
      <w:r>
        <w:rPr>
          <w:rFonts w:ascii="Century" w:hAnsi="Century"/>
          <w:i/>
          <w:iCs/>
        </w:rPr>
        <w:t>Cityview</w:t>
      </w:r>
      <w:r w:rsidR="00D3299B" w:rsidRPr="00B96ED6">
        <w:rPr>
          <w:rFonts w:ascii="Century" w:hAnsi="Century"/>
        </w:rPr>
        <w:t xml:space="preserve"> </w:t>
      </w:r>
      <w:r w:rsidR="00793E75">
        <w:rPr>
          <w:rFonts w:ascii="Century" w:hAnsi="Century"/>
        </w:rPr>
        <w:t xml:space="preserve">dicta </w:t>
      </w:r>
      <w:r w:rsidR="00D3299B" w:rsidRPr="00B96ED6">
        <w:rPr>
          <w:rFonts w:ascii="Century" w:hAnsi="Century"/>
        </w:rPr>
        <w:t xml:space="preserve">is considerably different from how previous cases and scholarly consensus understood it. </w:t>
      </w:r>
      <w:r w:rsidR="00D3299B" w:rsidRPr="002F48A3">
        <w:rPr>
          <w:rFonts w:ascii="Century" w:hAnsi="Century"/>
          <w:i/>
          <w:iCs/>
        </w:rPr>
        <w:t>NECI</w:t>
      </w:r>
      <w:r w:rsidR="00D3299B">
        <w:rPr>
          <w:rFonts w:ascii="Century" w:hAnsi="Century"/>
        </w:rPr>
        <w:t xml:space="preserve"> </w:t>
      </w:r>
      <w:r w:rsidR="00D3299B" w:rsidRPr="00B96ED6">
        <w:rPr>
          <w:rFonts w:ascii="Century" w:hAnsi="Century"/>
        </w:rPr>
        <w:t>asks whether the rulemaking authority</w:t>
      </w:r>
      <w:r w:rsidR="00D3299B">
        <w:rPr>
          <w:rFonts w:ascii="Century" w:hAnsi="Century"/>
        </w:rPr>
        <w:t xml:space="preserve"> delegated</w:t>
      </w:r>
      <w:r w:rsidR="00D3299B" w:rsidRPr="00B96ED6">
        <w:rPr>
          <w:rFonts w:ascii="Century" w:hAnsi="Century"/>
        </w:rPr>
        <w:t xml:space="preserve"> is guided by the Oireachtas</w:t>
      </w:r>
      <w:r w:rsidR="009E7C9C">
        <w:rPr>
          <w:rFonts w:ascii="Century" w:hAnsi="Century"/>
        </w:rPr>
        <w:t xml:space="preserve"> or subject to its ongoing oversight and review</w:t>
      </w:r>
      <w:r w:rsidR="00D3299B" w:rsidRPr="00B96ED6">
        <w:rPr>
          <w:rFonts w:ascii="Century" w:hAnsi="Century"/>
        </w:rPr>
        <w:t xml:space="preserve"> </w:t>
      </w:r>
      <w:r w:rsidR="004963D4">
        <w:rPr>
          <w:rFonts w:ascii="Century" w:hAnsi="Century"/>
        </w:rPr>
        <w:t>such that it</w:t>
      </w:r>
      <w:r w:rsidR="004963D4" w:rsidRPr="00B96ED6">
        <w:rPr>
          <w:rFonts w:ascii="Century" w:hAnsi="Century"/>
        </w:rPr>
        <w:t xml:space="preserve"> </w:t>
      </w:r>
      <w:r w:rsidR="00D3299B" w:rsidRPr="00B96ED6">
        <w:rPr>
          <w:rFonts w:ascii="Century" w:hAnsi="Century"/>
        </w:rPr>
        <w:t>does not slough off legislat</w:t>
      </w:r>
      <w:r w:rsidR="009E7C9C">
        <w:rPr>
          <w:rFonts w:ascii="Century" w:hAnsi="Century"/>
        </w:rPr>
        <w:t>ive</w:t>
      </w:r>
      <w:r w:rsidR="00D3299B" w:rsidRPr="00B96ED6">
        <w:rPr>
          <w:rFonts w:ascii="Century" w:hAnsi="Century"/>
        </w:rPr>
        <w:t xml:space="preserve"> </w:t>
      </w:r>
      <w:r w:rsidR="00D3299B" w:rsidRPr="00F11BAD">
        <w:rPr>
          <w:rFonts w:ascii="Century" w:hAnsi="Century"/>
        </w:rPr>
        <w:t>direction entirely</w:t>
      </w:r>
      <w:r w:rsidR="009E7C9C">
        <w:rPr>
          <w:rFonts w:ascii="Century" w:hAnsi="Century"/>
        </w:rPr>
        <w:t>.</w:t>
      </w:r>
      <w:r w:rsidR="00D3299B" w:rsidRPr="00F11BAD">
        <w:rPr>
          <w:rFonts w:ascii="Century" w:hAnsi="Century"/>
        </w:rPr>
        <w:t xml:space="preserve"> </w:t>
      </w:r>
      <w:r w:rsidR="009E7C9C">
        <w:rPr>
          <w:rFonts w:ascii="Century" w:hAnsi="Century"/>
        </w:rPr>
        <w:t xml:space="preserve">This </w:t>
      </w:r>
      <w:r w:rsidR="00D3299B" w:rsidRPr="00F11BAD">
        <w:rPr>
          <w:rFonts w:ascii="Century" w:hAnsi="Century"/>
        </w:rPr>
        <w:t>is</w:t>
      </w:r>
      <w:r w:rsidR="009E7C9C">
        <w:rPr>
          <w:rFonts w:ascii="Century" w:hAnsi="Century"/>
        </w:rPr>
        <w:t xml:space="preserve">, </w:t>
      </w:r>
      <w:r w:rsidR="00D3299B" w:rsidRPr="00F11BAD">
        <w:rPr>
          <w:rFonts w:ascii="Century" w:hAnsi="Century"/>
        </w:rPr>
        <w:t>on any plausible reading</w:t>
      </w:r>
      <w:r w:rsidR="009E7C9C">
        <w:rPr>
          <w:rFonts w:ascii="Century" w:hAnsi="Century"/>
        </w:rPr>
        <w:t>,</w:t>
      </w:r>
      <w:r w:rsidR="00D3299B" w:rsidRPr="00F11BAD">
        <w:rPr>
          <w:rFonts w:ascii="Century" w:hAnsi="Century"/>
        </w:rPr>
        <w:t xml:space="preserve"> </w:t>
      </w:r>
      <w:r w:rsidR="008308FC" w:rsidRPr="00F11BAD">
        <w:rPr>
          <w:rFonts w:ascii="Century" w:hAnsi="Century"/>
        </w:rPr>
        <w:t>very</w:t>
      </w:r>
      <w:r w:rsidR="00D3299B" w:rsidRPr="00F11BAD">
        <w:rPr>
          <w:rFonts w:ascii="Century" w:hAnsi="Century"/>
        </w:rPr>
        <w:t xml:space="preserve"> different from asking whether the rulemaking power merely puts flesh on the bones of a detailed set of normative goals the Oireachtas has decided upon.</w:t>
      </w:r>
      <w:r w:rsidR="00223A59">
        <w:rPr>
          <w:rStyle w:val="FootnoteReference"/>
          <w:rFonts w:ascii="Century" w:hAnsi="Century"/>
        </w:rPr>
        <w:footnoteReference w:id="90"/>
      </w:r>
      <w:r w:rsidR="00F11BAD" w:rsidRPr="00F11BAD">
        <w:rPr>
          <w:rFonts w:ascii="Century" w:hAnsi="Century"/>
        </w:rPr>
        <w:t xml:space="preserve"> </w:t>
      </w:r>
      <w:r w:rsidR="00F11BAD">
        <w:rPr>
          <w:rFonts w:ascii="Century" w:hAnsi="Century"/>
        </w:rPr>
        <w:t xml:space="preserve">There is simply no denying </w:t>
      </w:r>
      <w:r w:rsidR="0011298A">
        <w:rPr>
          <w:rFonts w:ascii="Century" w:hAnsi="Century"/>
        </w:rPr>
        <w:t>the</w:t>
      </w:r>
      <w:r w:rsidR="00016ADD">
        <w:rPr>
          <w:rFonts w:ascii="Century" w:hAnsi="Century"/>
        </w:rPr>
        <w:t xml:space="preserve"> stark</w:t>
      </w:r>
      <w:r w:rsidR="008308FC">
        <w:rPr>
          <w:rFonts w:ascii="Century" w:hAnsi="Century"/>
        </w:rPr>
        <w:t xml:space="preserve"> distinction between the test outlined by the Supreme Court </w:t>
      </w:r>
      <w:r w:rsidR="00016ADD">
        <w:rPr>
          <w:rFonts w:ascii="Century" w:hAnsi="Century"/>
        </w:rPr>
        <w:t xml:space="preserve">in </w:t>
      </w:r>
      <w:r w:rsidR="00016ADD">
        <w:rPr>
          <w:rFonts w:ascii="Century" w:hAnsi="Century"/>
          <w:i/>
          <w:iCs/>
        </w:rPr>
        <w:t>NECI</w:t>
      </w:r>
      <w:r w:rsidR="0011298A">
        <w:rPr>
          <w:rFonts w:ascii="Century" w:hAnsi="Century"/>
          <w:i/>
          <w:iCs/>
        </w:rPr>
        <w:t>,</w:t>
      </w:r>
      <w:r w:rsidR="00016ADD">
        <w:rPr>
          <w:rFonts w:ascii="Century" w:hAnsi="Century"/>
          <w:i/>
          <w:iCs/>
        </w:rPr>
        <w:t xml:space="preserve"> </w:t>
      </w:r>
      <w:r w:rsidR="00016ADD">
        <w:rPr>
          <w:rFonts w:ascii="Century" w:hAnsi="Century"/>
        </w:rPr>
        <w:t>and the</w:t>
      </w:r>
      <w:r w:rsidR="008308FC">
        <w:rPr>
          <w:rFonts w:ascii="Century" w:hAnsi="Century"/>
        </w:rPr>
        <w:t xml:space="preserve"> rigorous </w:t>
      </w:r>
      <w:r w:rsidR="008308FC">
        <w:rPr>
          <w:rFonts w:ascii="Century" w:hAnsi="Century"/>
        </w:rPr>
        <w:lastRenderedPageBreak/>
        <w:t xml:space="preserve">application of </w:t>
      </w:r>
      <w:r w:rsidR="008308FC" w:rsidRPr="008308FC">
        <w:rPr>
          <w:rFonts w:ascii="Century" w:hAnsi="Century"/>
          <w:i/>
          <w:iCs/>
        </w:rPr>
        <w:t xml:space="preserve">Cityview </w:t>
      </w:r>
      <w:r w:rsidR="00016ADD">
        <w:rPr>
          <w:rFonts w:ascii="Century" w:hAnsi="Century"/>
        </w:rPr>
        <w:t>undertaken by</w:t>
      </w:r>
      <w:r w:rsidR="008308FC">
        <w:rPr>
          <w:rFonts w:ascii="Century" w:hAnsi="Century"/>
        </w:rPr>
        <w:t xml:space="preserve"> Hogan J in the Court of Appeal in </w:t>
      </w:r>
      <w:r w:rsidR="008308FC">
        <w:rPr>
          <w:rFonts w:ascii="Century" w:hAnsi="Century"/>
          <w:i/>
          <w:iCs/>
        </w:rPr>
        <w:t>Bederev</w:t>
      </w:r>
      <w:bookmarkStart w:id="14" w:name="_Ref89693684"/>
      <w:r w:rsidRPr="00E97E7A">
        <w:rPr>
          <w:rStyle w:val="FootnoteReference"/>
          <w:rFonts w:ascii="Century" w:hAnsi="Century"/>
        </w:rPr>
        <w:footnoteReference w:id="91"/>
      </w:r>
      <w:bookmarkEnd w:id="14"/>
      <w:r w:rsidR="008308FC">
        <w:rPr>
          <w:rFonts w:ascii="Century" w:hAnsi="Century"/>
          <w:i/>
          <w:iCs/>
        </w:rPr>
        <w:t xml:space="preserve"> </w:t>
      </w:r>
      <w:r w:rsidR="008308FC">
        <w:rPr>
          <w:rFonts w:ascii="Century" w:hAnsi="Century"/>
        </w:rPr>
        <w:t xml:space="preserve">and Simons J in the </w:t>
      </w:r>
      <w:r w:rsidR="008308FC" w:rsidRPr="008308FC">
        <w:rPr>
          <w:rFonts w:ascii="Century" w:hAnsi="Century"/>
          <w:i/>
          <w:iCs/>
        </w:rPr>
        <w:t>NECI</w:t>
      </w:r>
      <w:r w:rsidR="008308FC">
        <w:rPr>
          <w:rFonts w:ascii="Century" w:hAnsi="Century"/>
        </w:rPr>
        <w:t xml:space="preserve"> High Court judgment. </w:t>
      </w:r>
    </w:p>
    <w:p w14:paraId="2F4BE2AA" w14:textId="1E3AD2C2" w:rsidR="002F35C9" w:rsidRDefault="002F35C9" w:rsidP="00E81877">
      <w:pPr>
        <w:spacing w:line="480" w:lineRule="auto"/>
        <w:jc w:val="both"/>
        <w:rPr>
          <w:rFonts w:ascii="Century" w:hAnsi="Century"/>
        </w:rPr>
      </w:pPr>
    </w:p>
    <w:p w14:paraId="1F6C49EA" w14:textId="643DADD8" w:rsidR="00D47BA7" w:rsidRDefault="00016ADD" w:rsidP="00E81877">
      <w:pPr>
        <w:spacing w:line="480" w:lineRule="auto"/>
        <w:jc w:val="both"/>
        <w:rPr>
          <w:rFonts w:ascii="Century" w:hAnsi="Century"/>
        </w:rPr>
      </w:pPr>
      <w:r>
        <w:rPr>
          <w:rFonts w:ascii="Century" w:hAnsi="Century"/>
        </w:rPr>
        <w:t>Now that everything has changed utterly, what will the future hold for Article 15 jurisprudence? I suggest that p</w:t>
      </w:r>
      <w:r w:rsidR="004B1BD9">
        <w:rPr>
          <w:rFonts w:ascii="Century" w:hAnsi="Century"/>
        </w:rPr>
        <w:t>ost-</w:t>
      </w:r>
      <w:r w:rsidR="004B1BD9" w:rsidRPr="008308FC">
        <w:rPr>
          <w:rFonts w:ascii="Century" w:hAnsi="Century"/>
          <w:i/>
          <w:iCs/>
        </w:rPr>
        <w:t>NECI</w:t>
      </w:r>
      <w:r w:rsidR="008308FC">
        <w:rPr>
          <w:rFonts w:ascii="Century" w:hAnsi="Century"/>
          <w:i/>
          <w:iCs/>
        </w:rPr>
        <w:t>,</w:t>
      </w:r>
      <w:r w:rsidR="002F35C9">
        <w:rPr>
          <w:rFonts w:ascii="Century" w:hAnsi="Century"/>
        </w:rPr>
        <w:t xml:space="preserve"> </w:t>
      </w:r>
      <w:r w:rsidR="004B1BD9">
        <w:rPr>
          <w:rFonts w:ascii="Century" w:hAnsi="Century"/>
        </w:rPr>
        <w:t>Courts are likely to be</w:t>
      </w:r>
      <w:r w:rsidR="00B96ED6" w:rsidRPr="00B96ED6">
        <w:rPr>
          <w:rFonts w:ascii="Century" w:hAnsi="Century"/>
        </w:rPr>
        <w:t xml:space="preserve"> much more sanguine</w:t>
      </w:r>
      <w:r w:rsidR="004B1BD9">
        <w:rPr>
          <w:rFonts w:ascii="Century" w:hAnsi="Century"/>
        </w:rPr>
        <w:t xml:space="preserve"> as a matter of constitutional principle</w:t>
      </w:r>
      <w:r w:rsidR="008308FC">
        <w:rPr>
          <w:rFonts w:ascii="Century" w:hAnsi="Century"/>
        </w:rPr>
        <w:t xml:space="preserve"> and practice</w:t>
      </w:r>
      <w:r w:rsidR="004B1BD9">
        <w:rPr>
          <w:rFonts w:ascii="Century" w:hAnsi="Century"/>
        </w:rPr>
        <w:t>,</w:t>
      </w:r>
      <w:r w:rsidR="00B96ED6" w:rsidRPr="00B96ED6">
        <w:rPr>
          <w:rFonts w:ascii="Century" w:hAnsi="Century"/>
        </w:rPr>
        <w:t xml:space="preserve"> about normative choices and substantive policy issues being decided upon by</w:t>
      </w:r>
      <w:r w:rsidR="00794930">
        <w:rPr>
          <w:rFonts w:ascii="Century" w:hAnsi="Century"/>
        </w:rPr>
        <w:t xml:space="preserve"> a statutory delegate </w:t>
      </w:r>
      <w:r w:rsidR="004C6516">
        <w:rPr>
          <w:rFonts w:ascii="Century" w:hAnsi="Century"/>
        </w:rPr>
        <w:t>–</w:t>
      </w:r>
      <w:r w:rsidR="00794930">
        <w:rPr>
          <w:rFonts w:ascii="Century" w:hAnsi="Century"/>
        </w:rPr>
        <w:t xml:space="preserve"> </w:t>
      </w:r>
      <w:r w:rsidR="004C6516">
        <w:rPr>
          <w:rFonts w:ascii="Century" w:hAnsi="Century"/>
        </w:rPr>
        <w:t>typically a member of the Government</w:t>
      </w:r>
      <w:r w:rsidR="00A04DDC">
        <w:rPr>
          <w:rFonts w:ascii="Century" w:hAnsi="Century"/>
        </w:rPr>
        <w:t>. P</w:t>
      </w:r>
      <w:r w:rsidR="00B96ED6" w:rsidRPr="00B96ED6">
        <w:rPr>
          <w:rFonts w:ascii="Century" w:hAnsi="Century"/>
        </w:rPr>
        <w:t>rovided the guiding hand of the Oireachtas is present</w:t>
      </w:r>
      <w:r w:rsidR="00A04DDC">
        <w:rPr>
          <w:rFonts w:ascii="Century" w:hAnsi="Century"/>
        </w:rPr>
        <w:t xml:space="preserve"> in a delegating statute</w:t>
      </w:r>
      <w:r w:rsidR="00B96ED6" w:rsidRPr="00B96ED6">
        <w:rPr>
          <w:rFonts w:ascii="Century" w:hAnsi="Century"/>
        </w:rPr>
        <w:t xml:space="preserve"> through discernible</w:t>
      </w:r>
      <w:r w:rsidR="00A04DDC">
        <w:rPr>
          <w:rFonts w:ascii="Century" w:hAnsi="Century"/>
        </w:rPr>
        <w:t xml:space="preserve"> statutory</w:t>
      </w:r>
      <w:r w:rsidR="00B96ED6" w:rsidRPr="00B96ED6">
        <w:rPr>
          <w:rFonts w:ascii="Century" w:hAnsi="Century"/>
        </w:rPr>
        <w:t xml:space="preserve"> bounds </w:t>
      </w:r>
      <w:r w:rsidR="004963D4">
        <w:rPr>
          <w:rFonts w:ascii="Century" w:hAnsi="Century"/>
        </w:rPr>
        <w:t>directing the delegated</w:t>
      </w:r>
      <w:r w:rsidR="00B96ED6" w:rsidRPr="00B96ED6">
        <w:rPr>
          <w:rFonts w:ascii="Century" w:hAnsi="Century"/>
        </w:rPr>
        <w:t xml:space="preserve"> </w:t>
      </w:r>
      <w:r w:rsidR="000905D6">
        <w:rPr>
          <w:rFonts w:ascii="Century" w:hAnsi="Century"/>
        </w:rPr>
        <w:t xml:space="preserve">rulemaking </w:t>
      </w:r>
      <w:r w:rsidR="00B96ED6" w:rsidRPr="00B96ED6">
        <w:rPr>
          <w:rFonts w:ascii="Century" w:hAnsi="Century"/>
        </w:rPr>
        <w:t>power and</w:t>
      </w:r>
      <w:r w:rsidR="00794930">
        <w:rPr>
          <w:rFonts w:ascii="Century" w:hAnsi="Century"/>
        </w:rPr>
        <w:t>/or</w:t>
      </w:r>
      <w:r w:rsidR="00B96ED6" w:rsidRPr="00B96ED6">
        <w:rPr>
          <w:rFonts w:ascii="Century" w:hAnsi="Century"/>
        </w:rPr>
        <w:t xml:space="preserve"> the retention of a </w:t>
      </w:r>
      <w:r w:rsidR="004B1BD9">
        <w:rPr>
          <w:rFonts w:ascii="Century" w:hAnsi="Century"/>
        </w:rPr>
        <w:t xml:space="preserve">scrutiny or </w:t>
      </w:r>
      <w:r w:rsidR="00B96ED6" w:rsidRPr="00B96ED6">
        <w:rPr>
          <w:rFonts w:ascii="Century" w:hAnsi="Century"/>
        </w:rPr>
        <w:t>veto power</w:t>
      </w:r>
      <w:r w:rsidR="00A04DDC">
        <w:rPr>
          <w:rFonts w:ascii="Century" w:hAnsi="Century"/>
        </w:rPr>
        <w:t>, Courts are</w:t>
      </w:r>
      <w:r>
        <w:rPr>
          <w:rFonts w:ascii="Century" w:hAnsi="Century"/>
        </w:rPr>
        <w:t xml:space="preserve"> very</w:t>
      </w:r>
      <w:r w:rsidR="00A04DDC">
        <w:rPr>
          <w:rFonts w:ascii="Century" w:hAnsi="Century"/>
        </w:rPr>
        <w:t xml:space="preserve"> likely to stay their hand</w:t>
      </w:r>
      <w:r w:rsidR="00B96ED6" w:rsidRPr="00B96ED6">
        <w:rPr>
          <w:rFonts w:ascii="Century" w:hAnsi="Century"/>
        </w:rPr>
        <w:t xml:space="preserve">. </w:t>
      </w:r>
    </w:p>
    <w:p w14:paraId="2C02579A" w14:textId="77777777" w:rsidR="00D47BA7" w:rsidRDefault="00D47BA7" w:rsidP="00E81877">
      <w:pPr>
        <w:spacing w:line="480" w:lineRule="auto"/>
        <w:jc w:val="both"/>
        <w:rPr>
          <w:rFonts w:ascii="Century" w:hAnsi="Century"/>
        </w:rPr>
      </w:pPr>
    </w:p>
    <w:p w14:paraId="270E5999" w14:textId="749F2B8E" w:rsidR="00597DE6" w:rsidRDefault="00507360" w:rsidP="00E81877">
      <w:pPr>
        <w:spacing w:line="480" w:lineRule="auto"/>
        <w:jc w:val="both"/>
        <w:rPr>
          <w:rFonts w:ascii="Century" w:hAnsi="Century"/>
        </w:rPr>
      </w:pPr>
      <w:r>
        <w:rPr>
          <w:rFonts w:ascii="Century" w:hAnsi="Century"/>
        </w:rPr>
        <w:t xml:space="preserve">Going forward, it is likely </w:t>
      </w:r>
      <w:r w:rsidR="00313621">
        <w:rPr>
          <w:rFonts w:ascii="Century" w:hAnsi="Century"/>
        </w:rPr>
        <w:t>only statutes</w:t>
      </w:r>
      <w:r w:rsidR="00E65D76">
        <w:rPr>
          <w:rFonts w:ascii="Century" w:hAnsi="Century"/>
        </w:rPr>
        <w:t xml:space="preserve"> utterly</w:t>
      </w:r>
      <w:r w:rsidR="00313621">
        <w:rPr>
          <w:rFonts w:ascii="Century" w:hAnsi="Century"/>
        </w:rPr>
        <w:t xml:space="preserve"> devoid of</w:t>
      </w:r>
      <w:r w:rsidR="00276403">
        <w:rPr>
          <w:rFonts w:ascii="Century" w:hAnsi="Century"/>
        </w:rPr>
        <w:t xml:space="preserve"> any</w:t>
      </w:r>
      <w:r w:rsidR="00313621">
        <w:rPr>
          <w:rFonts w:ascii="Century" w:hAnsi="Century"/>
        </w:rPr>
        <w:t xml:space="preserve"> statutory guidelines</w:t>
      </w:r>
      <w:r w:rsidR="00276403">
        <w:rPr>
          <w:rFonts w:ascii="Century" w:hAnsi="Century"/>
        </w:rPr>
        <w:t xml:space="preserve"> or oversight</w:t>
      </w:r>
      <w:r w:rsidR="00313621">
        <w:rPr>
          <w:rFonts w:ascii="Century" w:hAnsi="Century"/>
        </w:rPr>
        <w:t xml:space="preserve"> like</w:t>
      </w:r>
      <w:r w:rsidR="0008503B">
        <w:rPr>
          <w:rFonts w:ascii="Century" w:hAnsi="Century"/>
        </w:rPr>
        <w:t xml:space="preserve"> those in</w:t>
      </w:r>
      <w:r w:rsidR="00313621">
        <w:rPr>
          <w:rFonts w:ascii="Century" w:hAnsi="Century"/>
        </w:rPr>
        <w:t xml:space="preserve"> </w:t>
      </w:r>
      <w:r w:rsidR="00313621">
        <w:rPr>
          <w:rFonts w:ascii="Century" w:hAnsi="Century"/>
          <w:i/>
          <w:iCs/>
        </w:rPr>
        <w:t>McDaid, Laurentiu</w:t>
      </w:r>
      <w:r w:rsidR="00276403">
        <w:rPr>
          <w:rFonts w:ascii="Century" w:hAnsi="Century"/>
          <w:i/>
          <w:iCs/>
        </w:rPr>
        <w:t>,</w:t>
      </w:r>
      <w:r w:rsidR="00313621">
        <w:rPr>
          <w:rFonts w:ascii="Century" w:hAnsi="Century"/>
          <w:i/>
          <w:iCs/>
        </w:rPr>
        <w:t xml:space="preserve"> </w:t>
      </w:r>
      <w:r w:rsidR="00313621">
        <w:rPr>
          <w:rFonts w:ascii="Century" w:hAnsi="Century"/>
        </w:rPr>
        <w:t xml:space="preserve">and </w:t>
      </w:r>
      <w:r w:rsidR="00313621">
        <w:rPr>
          <w:rFonts w:ascii="Century" w:hAnsi="Century"/>
          <w:i/>
          <w:iCs/>
        </w:rPr>
        <w:t xml:space="preserve">McGowan </w:t>
      </w:r>
      <w:r w:rsidR="000905D6">
        <w:rPr>
          <w:rFonts w:ascii="Century" w:hAnsi="Century"/>
        </w:rPr>
        <w:t>that will</w:t>
      </w:r>
      <w:r w:rsidR="00313621">
        <w:rPr>
          <w:rFonts w:ascii="Century" w:hAnsi="Century"/>
        </w:rPr>
        <w:t xml:space="preserve"> fall foul of </w:t>
      </w:r>
      <w:r w:rsidR="00313621" w:rsidRPr="00276403">
        <w:rPr>
          <w:rFonts w:ascii="Century" w:hAnsi="Century"/>
          <w:i/>
          <w:iCs/>
        </w:rPr>
        <w:t>NECI</w:t>
      </w:r>
      <w:r w:rsidR="0008503B">
        <w:rPr>
          <w:rFonts w:ascii="Century" w:hAnsi="Century"/>
        </w:rPr>
        <w:t xml:space="preserve"> - </w:t>
      </w:r>
      <w:r w:rsidR="0093693B">
        <w:rPr>
          <w:rFonts w:ascii="Century" w:hAnsi="Century"/>
        </w:rPr>
        <w:t>statutes whose</w:t>
      </w:r>
      <w:r w:rsidR="0008503B">
        <w:rPr>
          <w:rFonts w:ascii="Century" w:hAnsi="Century"/>
        </w:rPr>
        <w:t xml:space="preserve"> only</w:t>
      </w:r>
      <w:r w:rsidR="0093693B">
        <w:rPr>
          <w:rFonts w:ascii="Century" w:hAnsi="Century"/>
        </w:rPr>
        <w:t xml:space="preserve"> policy seemed to be to </w:t>
      </w:r>
      <w:r w:rsidR="000D4F51">
        <w:rPr>
          <w:rFonts w:ascii="Century" w:hAnsi="Century"/>
        </w:rPr>
        <w:t>‘</w:t>
      </w:r>
      <w:r w:rsidR="0093693B">
        <w:rPr>
          <w:rFonts w:ascii="Century" w:hAnsi="Century"/>
        </w:rPr>
        <w:t>permit the executive to be at large</w:t>
      </w:r>
      <w:r w:rsidR="000D4F51">
        <w:rPr>
          <w:rFonts w:ascii="Century" w:hAnsi="Century"/>
        </w:rPr>
        <w:t>’</w:t>
      </w:r>
      <w:r w:rsidR="0008503B">
        <w:rPr>
          <w:rFonts w:ascii="Century" w:hAnsi="Century"/>
        </w:rPr>
        <w:t xml:space="preserve"> over a given policy area</w:t>
      </w:r>
      <w:r w:rsidR="0093693B">
        <w:rPr>
          <w:rFonts w:ascii="Century" w:hAnsi="Century"/>
        </w:rPr>
        <w:t>.</w:t>
      </w:r>
      <w:r w:rsidR="0093693B">
        <w:rPr>
          <w:rStyle w:val="FootnoteReference"/>
          <w:rFonts w:ascii="Century" w:hAnsi="Century"/>
        </w:rPr>
        <w:footnoteReference w:id="92"/>
      </w:r>
      <w:r w:rsidR="0011298A">
        <w:rPr>
          <w:rFonts w:ascii="Century" w:hAnsi="Century"/>
        </w:rPr>
        <w:t xml:space="preserve"> </w:t>
      </w:r>
    </w:p>
    <w:p w14:paraId="21F03AB7" w14:textId="77777777" w:rsidR="00D47BA7" w:rsidRPr="00D47BA7" w:rsidRDefault="00D47BA7" w:rsidP="00E81877">
      <w:pPr>
        <w:spacing w:line="480" w:lineRule="auto"/>
        <w:jc w:val="both"/>
        <w:rPr>
          <w:rFonts w:ascii="Century" w:hAnsi="Century"/>
        </w:rPr>
      </w:pPr>
    </w:p>
    <w:p w14:paraId="6933EF99" w14:textId="3CBB5FC6" w:rsidR="00416B32" w:rsidRPr="00D3299B" w:rsidRDefault="006C6C01" w:rsidP="00E81877">
      <w:pPr>
        <w:spacing w:line="480" w:lineRule="auto"/>
        <w:jc w:val="both"/>
        <w:rPr>
          <w:rFonts w:ascii="Century" w:hAnsi="Century" w:cs="Times New Roman"/>
          <w:b/>
          <w:bCs/>
        </w:rPr>
      </w:pPr>
      <w:r w:rsidRPr="00B96ED6">
        <w:rPr>
          <w:rFonts w:ascii="Century" w:hAnsi="Century" w:cs="Times New Roman"/>
          <w:b/>
          <w:bCs/>
        </w:rPr>
        <w:t>Part I</w:t>
      </w:r>
      <w:r w:rsidR="00616754" w:rsidRPr="00B96ED6">
        <w:rPr>
          <w:rFonts w:ascii="Century" w:hAnsi="Century" w:cs="Times New Roman"/>
          <w:b/>
          <w:bCs/>
        </w:rPr>
        <w:t>II</w:t>
      </w:r>
      <w:r w:rsidRPr="00B96ED6">
        <w:rPr>
          <w:rFonts w:ascii="Century" w:hAnsi="Century" w:cs="Times New Roman"/>
          <w:b/>
          <w:bCs/>
        </w:rPr>
        <w:t xml:space="preserve"> - </w:t>
      </w:r>
      <w:r w:rsidR="008A2CFD" w:rsidRPr="00B96ED6">
        <w:rPr>
          <w:rFonts w:ascii="Century" w:hAnsi="Century" w:cs="Times New Roman"/>
          <w:b/>
          <w:bCs/>
        </w:rPr>
        <w:t xml:space="preserve">Defence of </w:t>
      </w:r>
      <w:r w:rsidR="00340B16">
        <w:rPr>
          <w:rFonts w:ascii="Century" w:hAnsi="Century" w:cs="Times New Roman"/>
          <w:b/>
          <w:bCs/>
        </w:rPr>
        <w:t>j</w:t>
      </w:r>
      <w:r w:rsidR="008A2CFD" w:rsidRPr="00B96ED6">
        <w:rPr>
          <w:rFonts w:ascii="Century" w:hAnsi="Century" w:cs="Times New Roman"/>
          <w:b/>
          <w:bCs/>
        </w:rPr>
        <w:t>udgment</w:t>
      </w:r>
    </w:p>
    <w:p w14:paraId="4B55A40B" w14:textId="067F35E0" w:rsidR="008D3D3B" w:rsidRDefault="00416B32" w:rsidP="00E81877">
      <w:pPr>
        <w:spacing w:line="480" w:lineRule="auto"/>
        <w:ind w:firstLine="720"/>
        <w:jc w:val="both"/>
        <w:rPr>
          <w:rFonts w:ascii="Century" w:hAnsi="Century" w:cs="Times New Roman"/>
        </w:rPr>
      </w:pPr>
      <w:r>
        <w:rPr>
          <w:rFonts w:ascii="Century" w:hAnsi="Century" w:cs="Times New Roman"/>
        </w:rPr>
        <w:t xml:space="preserve">In this part I offer a defence of the judgment in NECI from </w:t>
      </w:r>
      <w:r w:rsidR="00060E86">
        <w:rPr>
          <w:rFonts w:ascii="Century" w:hAnsi="Century" w:cs="Times New Roman"/>
        </w:rPr>
        <w:t xml:space="preserve">two possible objections. </w:t>
      </w:r>
      <w:r w:rsidR="00C63585">
        <w:rPr>
          <w:rFonts w:ascii="Century" w:hAnsi="Century" w:cs="Times New Roman"/>
        </w:rPr>
        <w:t>These are that</w:t>
      </w:r>
      <w:r w:rsidR="00060E86">
        <w:rPr>
          <w:rFonts w:ascii="Century" w:hAnsi="Century" w:cs="Times New Roman"/>
        </w:rPr>
        <w:t xml:space="preserve"> </w:t>
      </w:r>
      <w:r w:rsidR="00060E86" w:rsidRPr="00C63585">
        <w:rPr>
          <w:rFonts w:ascii="Century" w:hAnsi="Century" w:cs="Times New Roman"/>
          <w:i/>
          <w:iCs/>
        </w:rPr>
        <w:t>NECI</w:t>
      </w:r>
      <w:r w:rsidR="00060E86" w:rsidRPr="00B96ED6">
        <w:rPr>
          <w:rFonts w:ascii="Century" w:hAnsi="Century" w:cs="Times New Roman"/>
        </w:rPr>
        <w:t xml:space="preserve"> is in tension with our scheme of separation of powers</w:t>
      </w:r>
      <w:r w:rsidR="00C63585">
        <w:rPr>
          <w:rFonts w:ascii="Century" w:hAnsi="Century" w:cs="Times New Roman"/>
        </w:rPr>
        <w:t xml:space="preserve"> and </w:t>
      </w:r>
      <w:r w:rsidR="00060E86">
        <w:rPr>
          <w:rFonts w:ascii="Century" w:hAnsi="Century" w:cs="Times New Roman"/>
        </w:rPr>
        <w:t>that it</w:t>
      </w:r>
      <w:r w:rsidR="00060E86" w:rsidRPr="00B96ED6">
        <w:rPr>
          <w:rFonts w:ascii="Century" w:hAnsi="Century" w:cs="Times New Roman"/>
        </w:rPr>
        <w:t xml:space="preserve"> raises democratic concerns</w:t>
      </w:r>
      <w:r w:rsidR="00060E86">
        <w:rPr>
          <w:rFonts w:ascii="Century" w:hAnsi="Century" w:cs="Times New Roman"/>
        </w:rPr>
        <w:t xml:space="preserve">. </w:t>
      </w:r>
      <w:r w:rsidR="006C3BC2" w:rsidRPr="00B96ED6">
        <w:rPr>
          <w:rFonts w:ascii="Century" w:hAnsi="Century" w:cs="Times New Roman"/>
        </w:rPr>
        <w:t xml:space="preserve">I </w:t>
      </w:r>
      <w:r w:rsidR="00EA7327">
        <w:rPr>
          <w:rFonts w:ascii="Century" w:hAnsi="Century" w:cs="Times New Roman"/>
        </w:rPr>
        <w:t>suggest</w:t>
      </w:r>
      <w:r w:rsidR="006C3BC2" w:rsidRPr="00B96ED6">
        <w:rPr>
          <w:rFonts w:ascii="Century" w:hAnsi="Century" w:cs="Times New Roman"/>
        </w:rPr>
        <w:t xml:space="preserve"> that underpinning these types of objections is often unarticulated and taken for granted normative </w:t>
      </w:r>
      <w:r w:rsidR="006C3BC2" w:rsidRPr="00B96ED6">
        <w:rPr>
          <w:rFonts w:ascii="Century" w:hAnsi="Century" w:cs="Times New Roman"/>
        </w:rPr>
        <w:lastRenderedPageBreak/>
        <w:t>assumptions about the proper interpretation of, and interaction between, Article</w:t>
      </w:r>
      <w:r w:rsidR="00C70F39">
        <w:rPr>
          <w:rFonts w:ascii="Century" w:hAnsi="Century" w:cs="Times New Roman"/>
        </w:rPr>
        <w:t>s 5,</w:t>
      </w:r>
      <w:r w:rsidR="006C3BC2" w:rsidRPr="00B96ED6">
        <w:rPr>
          <w:rFonts w:ascii="Century" w:hAnsi="Century" w:cs="Times New Roman"/>
        </w:rPr>
        <w:t xml:space="preserve"> 15 and 28. These assumptions relate to the purpose and meaning of highly abstract and deeply contestable constitutional and juridical concepts like ‘the separation of powers’, ‘checks and balances’, ‘legislative power’, ‘executive power’</w:t>
      </w:r>
      <w:r w:rsidR="00060E86">
        <w:rPr>
          <w:rFonts w:ascii="Century" w:hAnsi="Century" w:cs="Times New Roman"/>
        </w:rPr>
        <w:t xml:space="preserve"> and</w:t>
      </w:r>
      <w:r w:rsidR="006C3BC2" w:rsidRPr="00B96ED6">
        <w:rPr>
          <w:rFonts w:ascii="Century" w:hAnsi="Century" w:cs="Times New Roman"/>
        </w:rPr>
        <w:t xml:space="preserve"> ‘democracy’</w:t>
      </w:r>
      <w:r w:rsidR="00060E86">
        <w:rPr>
          <w:rFonts w:ascii="Century" w:hAnsi="Century" w:cs="Times New Roman"/>
        </w:rPr>
        <w:t>. Once the normative values informing different possible interpretations of Article</w:t>
      </w:r>
      <w:r w:rsidR="00C70F39">
        <w:rPr>
          <w:rFonts w:ascii="Century" w:hAnsi="Century" w:cs="Times New Roman"/>
        </w:rPr>
        <w:t>s 5,</w:t>
      </w:r>
      <w:r w:rsidR="00060E86">
        <w:rPr>
          <w:rFonts w:ascii="Century" w:hAnsi="Century" w:cs="Times New Roman"/>
        </w:rPr>
        <w:t xml:space="preserve"> 15 and 28 are brought to the surface, I argue the Supreme Court’s judgment is a sensible and justifiable determination</w:t>
      </w:r>
      <w:r w:rsidR="00EA7327">
        <w:rPr>
          <w:rFonts w:ascii="Century" w:hAnsi="Century" w:cs="Times New Roman"/>
        </w:rPr>
        <w:t xml:space="preserve">, and </w:t>
      </w:r>
      <w:r w:rsidR="008B586E">
        <w:rPr>
          <w:rFonts w:ascii="Century" w:hAnsi="Century" w:cs="Times New Roman"/>
        </w:rPr>
        <w:t xml:space="preserve">normatively </w:t>
      </w:r>
      <w:r w:rsidR="00EA5AD9">
        <w:rPr>
          <w:rFonts w:ascii="Century" w:hAnsi="Century" w:cs="Times New Roman"/>
        </w:rPr>
        <w:t>more compelling</w:t>
      </w:r>
      <w:r w:rsidR="00EA5AD9">
        <w:rPr>
          <w:rFonts w:ascii="Century" w:hAnsi="Century" w:cs="Times New Roman"/>
        </w:rPr>
        <w:t xml:space="preserve"> </w:t>
      </w:r>
      <w:r w:rsidR="00EA7327">
        <w:rPr>
          <w:rFonts w:ascii="Century" w:hAnsi="Century" w:cs="Times New Roman"/>
        </w:rPr>
        <w:t>tha</w:t>
      </w:r>
      <w:r w:rsidR="008B586E">
        <w:rPr>
          <w:rFonts w:ascii="Century" w:hAnsi="Century" w:cs="Times New Roman"/>
        </w:rPr>
        <w:t>n</w:t>
      </w:r>
      <w:r w:rsidR="00EA7327">
        <w:rPr>
          <w:rFonts w:ascii="Century" w:hAnsi="Century" w:cs="Times New Roman"/>
        </w:rPr>
        <w:t xml:space="preserve"> the </w:t>
      </w:r>
      <w:r w:rsidR="00EA7327">
        <w:rPr>
          <w:rFonts w:ascii="Century" w:hAnsi="Century" w:cs="Times New Roman"/>
          <w:i/>
          <w:iCs/>
        </w:rPr>
        <w:t xml:space="preserve">Cityview </w:t>
      </w:r>
      <w:r w:rsidR="00EA7327">
        <w:rPr>
          <w:rFonts w:ascii="Century" w:hAnsi="Century" w:cs="Times New Roman"/>
        </w:rPr>
        <w:t>test</w:t>
      </w:r>
      <w:r w:rsidR="00060E86">
        <w:rPr>
          <w:rFonts w:ascii="Century" w:hAnsi="Century" w:cs="Times New Roman"/>
        </w:rPr>
        <w:t xml:space="preserve">. </w:t>
      </w:r>
    </w:p>
    <w:p w14:paraId="35712024" w14:textId="77777777" w:rsidR="00060E86" w:rsidRDefault="00060E86" w:rsidP="00E81877">
      <w:pPr>
        <w:spacing w:line="480" w:lineRule="auto"/>
        <w:jc w:val="both"/>
        <w:rPr>
          <w:rFonts w:ascii="Century" w:hAnsi="Century" w:cs="Times New Roman"/>
        </w:rPr>
      </w:pPr>
    </w:p>
    <w:p w14:paraId="697C5238" w14:textId="7B55FC54" w:rsidR="00C915E0" w:rsidRPr="005948B9" w:rsidRDefault="0065791C" w:rsidP="00E81877">
      <w:pPr>
        <w:pStyle w:val="ListParagraph"/>
        <w:numPr>
          <w:ilvl w:val="0"/>
          <w:numId w:val="4"/>
        </w:numPr>
        <w:spacing w:line="480" w:lineRule="auto"/>
        <w:jc w:val="both"/>
        <w:rPr>
          <w:rFonts w:ascii="Century" w:hAnsi="Century" w:cs="Times New Roman"/>
          <w:b/>
          <w:bCs/>
        </w:rPr>
      </w:pPr>
      <w:r w:rsidRPr="005948B9">
        <w:rPr>
          <w:rFonts w:ascii="Century" w:hAnsi="Century" w:cs="Times New Roman"/>
          <w:b/>
          <w:bCs/>
        </w:rPr>
        <w:t xml:space="preserve">Separation of </w:t>
      </w:r>
      <w:r w:rsidR="00340B16">
        <w:rPr>
          <w:rFonts w:ascii="Century" w:hAnsi="Century" w:cs="Times New Roman"/>
          <w:b/>
          <w:bCs/>
        </w:rPr>
        <w:t>p</w:t>
      </w:r>
      <w:r w:rsidRPr="005948B9">
        <w:rPr>
          <w:rFonts w:ascii="Century" w:hAnsi="Century" w:cs="Times New Roman"/>
          <w:b/>
          <w:bCs/>
        </w:rPr>
        <w:t>owers</w:t>
      </w:r>
    </w:p>
    <w:p w14:paraId="3FA899AD" w14:textId="6ECD7323" w:rsidR="008A111F" w:rsidRDefault="00C915E0" w:rsidP="00E81877">
      <w:pPr>
        <w:spacing w:line="480" w:lineRule="auto"/>
        <w:jc w:val="both"/>
        <w:rPr>
          <w:rFonts w:ascii="Century" w:hAnsi="Century" w:cs="Times New Roman"/>
        </w:rPr>
      </w:pPr>
      <w:r>
        <w:rPr>
          <w:rFonts w:ascii="Century" w:hAnsi="Century" w:cs="Times New Roman"/>
        </w:rPr>
        <w:t xml:space="preserve">Article 15 and Article 28 do not, </w:t>
      </w:r>
      <w:r w:rsidR="00331E01">
        <w:rPr>
          <w:rFonts w:ascii="Century" w:hAnsi="Century" w:cs="Times New Roman"/>
        </w:rPr>
        <w:t xml:space="preserve">taken </w:t>
      </w:r>
      <w:r>
        <w:rPr>
          <w:rFonts w:ascii="Century" w:hAnsi="Century" w:cs="Times New Roman"/>
        </w:rPr>
        <w:t>by themselves, provide a comprehensive sketch of the appropriate relationship between the legislature and executive</w:t>
      </w:r>
      <w:r w:rsidR="00277DC6">
        <w:rPr>
          <w:rFonts w:ascii="Century" w:hAnsi="Century" w:cs="Times New Roman"/>
        </w:rPr>
        <w:t xml:space="preserve"> on a plethora of issues</w:t>
      </w:r>
      <w:r w:rsidR="00331E01">
        <w:rPr>
          <w:rFonts w:ascii="Century" w:hAnsi="Century" w:cs="Times New Roman"/>
        </w:rPr>
        <w:t xml:space="preserve">; </w:t>
      </w:r>
      <w:r w:rsidR="00277DC6">
        <w:rPr>
          <w:rFonts w:ascii="Century" w:hAnsi="Century" w:cs="Times New Roman"/>
        </w:rPr>
        <w:t>includ</w:t>
      </w:r>
      <w:r w:rsidR="00331E01">
        <w:rPr>
          <w:rFonts w:ascii="Century" w:hAnsi="Century" w:cs="Times New Roman"/>
        </w:rPr>
        <w:t>ing</w:t>
      </w:r>
      <w:r>
        <w:rPr>
          <w:rFonts w:ascii="Century" w:hAnsi="Century" w:cs="Times New Roman"/>
        </w:rPr>
        <w:t xml:space="preserve"> </w:t>
      </w:r>
      <w:r w:rsidR="00277DC6">
        <w:rPr>
          <w:rFonts w:ascii="Century" w:hAnsi="Century" w:cs="Times New Roman"/>
        </w:rPr>
        <w:t>the permissible bounds of</w:t>
      </w:r>
      <w:r>
        <w:rPr>
          <w:rFonts w:ascii="Century" w:hAnsi="Century" w:cs="Times New Roman"/>
        </w:rPr>
        <w:t xml:space="preserve"> </w:t>
      </w:r>
      <w:r w:rsidR="00277DC6">
        <w:rPr>
          <w:rFonts w:ascii="Century" w:hAnsi="Century" w:cs="Times New Roman"/>
        </w:rPr>
        <w:t>rulemaking</w:t>
      </w:r>
      <w:r>
        <w:rPr>
          <w:rFonts w:ascii="Century" w:hAnsi="Century" w:cs="Times New Roman"/>
        </w:rPr>
        <w:t xml:space="preserve"> authority</w:t>
      </w:r>
      <w:r w:rsidR="00277DC6">
        <w:rPr>
          <w:rFonts w:ascii="Century" w:hAnsi="Century" w:cs="Times New Roman"/>
        </w:rPr>
        <w:t xml:space="preserve"> the Oireachtas can vest in a delegate</w:t>
      </w:r>
      <w:r>
        <w:rPr>
          <w:rFonts w:ascii="Century" w:hAnsi="Century" w:cs="Times New Roman"/>
        </w:rPr>
        <w:t xml:space="preserve">. </w:t>
      </w:r>
      <w:r w:rsidR="0083146E">
        <w:rPr>
          <w:rFonts w:ascii="Century" w:hAnsi="Century" w:cs="Times New Roman"/>
        </w:rPr>
        <w:t>Posited t</w:t>
      </w:r>
      <w:r>
        <w:rPr>
          <w:rFonts w:ascii="Century" w:hAnsi="Century" w:cs="Times New Roman"/>
        </w:rPr>
        <w:t>ext and structure</w:t>
      </w:r>
      <w:r w:rsidR="00277DC6">
        <w:rPr>
          <w:rFonts w:ascii="Century" w:hAnsi="Century" w:cs="Times New Roman"/>
        </w:rPr>
        <w:t xml:space="preserve"> </w:t>
      </w:r>
      <w:r>
        <w:rPr>
          <w:rFonts w:ascii="Century" w:hAnsi="Century" w:cs="Times New Roman"/>
        </w:rPr>
        <w:t>provide</w:t>
      </w:r>
      <w:r w:rsidR="00277DC6">
        <w:rPr>
          <w:rFonts w:ascii="Century" w:hAnsi="Century" w:cs="Times New Roman"/>
        </w:rPr>
        <w:t xml:space="preserve"> the</w:t>
      </w:r>
      <w:r>
        <w:rPr>
          <w:rFonts w:ascii="Century" w:hAnsi="Century" w:cs="Times New Roman"/>
        </w:rPr>
        <w:t xml:space="preserve"> broad parameters for</w:t>
      </w:r>
      <w:r w:rsidR="00277DC6">
        <w:rPr>
          <w:rFonts w:ascii="Century" w:hAnsi="Century" w:cs="Times New Roman"/>
        </w:rPr>
        <w:t xml:space="preserve"> answering</w:t>
      </w:r>
      <w:r>
        <w:rPr>
          <w:rFonts w:ascii="Century" w:hAnsi="Century" w:cs="Times New Roman"/>
        </w:rPr>
        <w:t xml:space="preserve"> such questions, but interpretation</w:t>
      </w:r>
      <w:r w:rsidR="00A46EFA">
        <w:rPr>
          <w:rFonts w:ascii="Century" w:hAnsi="Century" w:cs="Times New Roman"/>
        </w:rPr>
        <w:t xml:space="preserve"> dealing with more retail questions about their relationship</w:t>
      </w:r>
      <w:r>
        <w:rPr>
          <w:rFonts w:ascii="Century" w:hAnsi="Century" w:cs="Times New Roman"/>
        </w:rPr>
        <w:t xml:space="preserve"> in this context will inevitably, inescapably, </w:t>
      </w:r>
      <w:r w:rsidR="00277DC6">
        <w:rPr>
          <w:rFonts w:ascii="Century" w:hAnsi="Century" w:cs="Times New Roman"/>
        </w:rPr>
        <w:t>involve</w:t>
      </w:r>
      <w:r>
        <w:rPr>
          <w:rFonts w:ascii="Century" w:hAnsi="Century" w:cs="Times New Roman"/>
        </w:rPr>
        <w:t xml:space="preserve"> recourse to principles of political morality and normative theories about the purpose of </w:t>
      </w:r>
      <w:r w:rsidRPr="00187268">
        <w:rPr>
          <w:rFonts w:ascii="Century" w:hAnsi="Century" w:cs="Times New Roman"/>
        </w:rPr>
        <w:t>Government and separation of powers.</w:t>
      </w:r>
      <w:bookmarkStart w:id="15" w:name="_Ref85207411"/>
      <w:r w:rsidR="00FA5FE5">
        <w:rPr>
          <w:rStyle w:val="FootnoteReference"/>
          <w:rFonts w:ascii="Century" w:hAnsi="Century" w:cs="Times New Roman"/>
        </w:rPr>
        <w:footnoteReference w:id="93"/>
      </w:r>
      <w:bookmarkEnd w:id="15"/>
      <w:r w:rsidRPr="00187268">
        <w:rPr>
          <w:rFonts w:ascii="Century" w:hAnsi="Century" w:cs="Times New Roman"/>
        </w:rPr>
        <w:t xml:space="preserve"> </w:t>
      </w:r>
      <w:r w:rsidR="008A111F" w:rsidRPr="00187268">
        <w:rPr>
          <w:rFonts w:ascii="Century" w:hAnsi="Century" w:cs="Times New Roman"/>
        </w:rPr>
        <w:t>It is no solution to</w:t>
      </w:r>
      <w:r w:rsidR="00060E86">
        <w:rPr>
          <w:rFonts w:ascii="Century" w:hAnsi="Century" w:cs="Times New Roman"/>
        </w:rPr>
        <w:t xml:space="preserve"> this</w:t>
      </w:r>
      <w:r w:rsidR="00331E01">
        <w:rPr>
          <w:rFonts w:ascii="Century" w:hAnsi="Century" w:cs="Times New Roman"/>
        </w:rPr>
        <w:t xml:space="preserve"> under determinacy to </w:t>
      </w:r>
      <w:r w:rsidR="008A111F" w:rsidRPr="00187268">
        <w:rPr>
          <w:rFonts w:ascii="Century" w:hAnsi="Century" w:cs="Times New Roman"/>
        </w:rPr>
        <w:t xml:space="preserve">stipulate that the separation of powers </w:t>
      </w:r>
      <w:r w:rsidR="00277DC6" w:rsidRPr="00187268">
        <w:rPr>
          <w:rFonts w:ascii="Century" w:hAnsi="Century" w:cs="Times New Roman"/>
        </w:rPr>
        <w:t xml:space="preserve">simply </w:t>
      </w:r>
      <w:r w:rsidR="008A111F" w:rsidRPr="00C70F39">
        <w:rPr>
          <w:rFonts w:ascii="Century" w:hAnsi="Century" w:cs="Times New Roman"/>
          <w:i/>
          <w:iCs/>
        </w:rPr>
        <w:t>demands</w:t>
      </w:r>
      <w:r w:rsidR="008A111F" w:rsidRPr="00187268">
        <w:rPr>
          <w:rFonts w:ascii="Century" w:hAnsi="Century" w:cs="Times New Roman"/>
        </w:rPr>
        <w:t xml:space="preserve"> a </w:t>
      </w:r>
      <w:r w:rsidR="00187247" w:rsidRPr="00187268">
        <w:rPr>
          <w:rFonts w:ascii="Century" w:hAnsi="Century" w:cs="Times New Roman"/>
        </w:rPr>
        <w:t>specific</w:t>
      </w:r>
      <w:r w:rsidR="008A111F" w:rsidRPr="00187268">
        <w:rPr>
          <w:rFonts w:ascii="Century" w:hAnsi="Century" w:cs="Times New Roman"/>
        </w:rPr>
        <w:t xml:space="preserve"> </w:t>
      </w:r>
      <w:r w:rsidR="00187247" w:rsidRPr="00187268">
        <w:rPr>
          <w:rFonts w:ascii="Century" w:hAnsi="Century" w:cs="Times New Roman"/>
        </w:rPr>
        <w:t>approach</w:t>
      </w:r>
      <w:r w:rsidR="008A111F" w:rsidRPr="00187268">
        <w:rPr>
          <w:rFonts w:ascii="Century" w:hAnsi="Century" w:cs="Times New Roman"/>
        </w:rPr>
        <w:t xml:space="preserve"> to the delegation of rulemaking authority</w:t>
      </w:r>
      <w:r w:rsidR="00331E01">
        <w:rPr>
          <w:rFonts w:ascii="Century" w:hAnsi="Century" w:cs="Times New Roman"/>
        </w:rPr>
        <w:t>. A</w:t>
      </w:r>
      <w:r w:rsidR="008A111F" w:rsidRPr="00187268">
        <w:rPr>
          <w:rFonts w:ascii="Century" w:hAnsi="Century" w:cs="Times New Roman"/>
        </w:rPr>
        <w:t>ny determination of such issues must</w:t>
      </w:r>
      <w:r w:rsidR="00187247" w:rsidRPr="00187268">
        <w:rPr>
          <w:rFonts w:ascii="Century" w:hAnsi="Century" w:cs="Times New Roman"/>
        </w:rPr>
        <w:t xml:space="preserve"> instead</w:t>
      </w:r>
      <w:r w:rsidR="008A111F" w:rsidRPr="00187268">
        <w:rPr>
          <w:rFonts w:ascii="Century" w:hAnsi="Century" w:cs="Times New Roman"/>
        </w:rPr>
        <w:t xml:space="preserve"> justify its </w:t>
      </w:r>
      <w:r w:rsidR="00331E01" w:rsidRPr="00187268">
        <w:rPr>
          <w:rFonts w:ascii="Century" w:hAnsi="Century" w:cs="Times New Roman"/>
        </w:rPr>
        <w:t>conception</w:t>
      </w:r>
      <w:r w:rsidR="008A111F" w:rsidRPr="00187268">
        <w:rPr>
          <w:rFonts w:ascii="Century" w:hAnsi="Century" w:cs="Times New Roman"/>
        </w:rPr>
        <w:t xml:space="preserve"> of the separation of powers and its</w:t>
      </w:r>
      <w:r w:rsidR="00331E01">
        <w:rPr>
          <w:rFonts w:ascii="Century" w:hAnsi="Century" w:cs="Times New Roman"/>
        </w:rPr>
        <w:t xml:space="preserve"> underlying</w:t>
      </w:r>
      <w:r w:rsidR="008A111F" w:rsidRPr="00187268">
        <w:rPr>
          <w:rFonts w:ascii="Century" w:hAnsi="Century" w:cs="Times New Roman"/>
        </w:rPr>
        <w:t xml:space="preserve"> purpose</w:t>
      </w:r>
      <w:r w:rsidR="00060E86">
        <w:rPr>
          <w:rFonts w:ascii="Century" w:hAnsi="Century" w:cs="Times New Roman"/>
        </w:rPr>
        <w:t>s</w:t>
      </w:r>
      <w:r w:rsidR="008A111F" w:rsidRPr="00187268">
        <w:rPr>
          <w:rFonts w:ascii="Century" w:hAnsi="Century" w:cs="Times New Roman"/>
        </w:rPr>
        <w:t>.</w:t>
      </w:r>
    </w:p>
    <w:p w14:paraId="00601DAE" w14:textId="025F3DC9" w:rsidR="00044DD3" w:rsidRDefault="00044DD3" w:rsidP="00E81877">
      <w:pPr>
        <w:spacing w:line="480" w:lineRule="auto"/>
        <w:jc w:val="both"/>
        <w:rPr>
          <w:rFonts w:ascii="Century" w:hAnsi="Century" w:cs="Times New Roman"/>
        </w:rPr>
      </w:pPr>
    </w:p>
    <w:p w14:paraId="01DD8FEF" w14:textId="21EC8461" w:rsidR="0066344A" w:rsidRPr="00044DD3" w:rsidRDefault="00044DD3" w:rsidP="00E81877">
      <w:pPr>
        <w:spacing w:line="480" w:lineRule="auto"/>
        <w:ind w:firstLine="720"/>
        <w:jc w:val="both"/>
        <w:rPr>
          <w:rFonts w:ascii="Century" w:hAnsi="Century" w:cs="Times New Roman"/>
        </w:rPr>
      </w:pPr>
      <w:r w:rsidRPr="00187268">
        <w:rPr>
          <w:rFonts w:ascii="Century" w:hAnsi="Century" w:cs="Times New Roman"/>
          <w:lang w:val="en-GB"/>
        </w:rPr>
        <w:lastRenderedPageBreak/>
        <w:t xml:space="preserve">Article </w:t>
      </w:r>
      <w:r>
        <w:rPr>
          <w:rFonts w:ascii="Century" w:hAnsi="Century" w:cs="Times New Roman"/>
          <w:lang w:val="en-GB"/>
        </w:rPr>
        <w:t>15</w:t>
      </w:r>
      <w:r w:rsidR="008C635C">
        <w:rPr>
          <w:rFonts w:ascii="Century" w:hAnsi="Century" w:cs="Times New Roman"/>
          <w:lang w:val="en-GB"/>
        </w:rPr>
        <w:t>.2.1</w:t>
      </w:r>
      <w:r>
        <w:rPr>
          <w:rFonts w:ascii="Century" w:hAnsi="Century" w:cs="Times New Roman"/>
          <w:lang w:val="en-GB"/>
        </w:rPr>
        <w:t>, on any reasonable reading,</w:t>
      </w:r>
      <w:r w:rsidRPr="00187268">
        <w:rPr>
          <w:rFonts w:ascii="Century" w:hAnsi="Century" w:cs="Times New Roman"/>
          <w:lang w:val="en-GB"/>
        </w:rPr>
        <w:t xml:space="preserve"> prohibit</w:t>
      </w:r>
      <w:r>
        <w:rPr>
          <w:rFonts w:ascii="Century" w:hAnsi="Century" w:cs="Times New Roman"/>
          <w:lang w:val="en-GB"/>
        </w:rPr>
        <w:t>s</w:t>
      </w:r>
      <w:r w:rsidRPr="00187268">
        <w:rPr>
          <w:rFonts w:ascii="Century" w:hAnsi="Century" w:cs="Times New Roman"/>
          <w:lang w:val="en-GB"/>
        </w:rPr>
        <w:t xml:space="preserve"> the </w:t>
      </w:r>
      <w:r>
        <w:rPr>
          <w:rFonts w:ascii="Century" w:hAnsi="Century" w:cs="Times New Roman"/>
          <w:lang w:val="en-GB"/>
        </w:rPr>
        <w:t>alienation</w:t>
      </w:r>
      <w:r w:rsidRPr="00187268">
        <w:rPr>
          <w:rFonts w:ascii="Century" w:hAnsi="Century" w:cs="Times New Roman"/>
          <w:lang w:val="en-GB"/>
        </w:rPr>
        <w:t xml:space="preserve"> of </w:t>
      </w:r>
      <w:r>
        <w:rPr>
          <w:rFonts w:ascii="Century" w:hAnsi="Century" w:cs="Times New Roman"/>
          <w:lang w:val="en-GB"/>
        </w:rPr>
        <w:t>the</w:t>
      </w:r>
      <w:r w:rsidR="00FA5FE5">
        <w:rPr>
          <w:rFonts w:ascii="Century" w:hAnsi="Century" w:cs="Times New Roman"/>
          <w:lang w:val="en-GB"/>
        </w:rPr>
        <w:t xml:space="preserve"> Oireachtas’</w:t>
      </w:r>
      <w:r>
        <w:rPr>
          <w:rFonts w:ascii="Century" w:hAnsi="Century" w:cs="Times New Roman"/>
          <w:lang w:val="en-GB"/>
        </w:rPr>
        <w:t xml:space="preserve"> power of making laws for the </w:t>
      </w:r>
      <w:r w:rsidR="006D1DC3">
        <w:rPr>
          <w:rFonts w:ascii="Century" w:hAnsi="Century" w:cs="Times New Roman"/>
          <w:lang w:val="en-GB"/>
        </w:rPr>
        <w:t>s</w:t>
      </w:r>
      <w:r>
        <w:rPr>
          <w:rFonts w:ascii="Century" w:hAnsi="Century" w:cs="Times New Roman"/>
          <w:lang w:val="en-GB"/>
        </w:rPr>
        <w:t>tate</w:t>
      </w:r>
      <w:r w:rsidR="00331E01">
        <w:rPr>
          <w:rFonts w:ascii="Century" w:hAnsi="Century" w:cs="Times New Roman"/>
          <w:lang w:val="en-GB"/>
        </w:rPr>
        <w:t>, whether to other branches or to external political actors</w:t>
      </w:r>
      <w:r>
        <w:rPr>
          <w:rFonts w:ascii="Century" w:hAnsi="Century" w:cs="Times New Roman"/>
          <w:lang w:val="en-GB"/>
        </w:rPr>
        <w:t>.</w:t>
      </w:r>
      <w:r w:rsidR="00484272">
        <w:rPr>
          <w:rFonts w:ascii="Century" w:hAnsi="Century" w:cs="Times New Roman"/>
          <w:lang w:val="en-GB"/>
        </w:rPr>
        <w:t xml:space="preserve"> This </w:t>
      </w:r>
      <w:r w:rsidR="00B83F5E">
        <w:rPr>
          <w:rFonts w:ascii="Century" w:hAnsi="Century" w:cs="Times New Roman"/>
          <w:lang w:val="en-GB"/>
        </w:rPr>
        <w:t>is why</w:t>
      </w:r>
      <w:r w:rsidR="00E83F5C">
        <w:rPr>
          <w:rFonts w:ascii="Century" w:hAnsi="Century" w:cs="Times New Roman"/>
          <w:lang w:val="en-GB"/>
        </w:rPr>
        <w:t>, for example,</w:t>
      </w:r>
      <w:r w:rsidR="00484272">
        <w:rPr>
          <w:rFonts w:ascii="Century" w:hAnsi="Century" w:cs="Times New Roman"/>
          <w:lang w:val="en-GB"/>
        </w:rPr>
        <w:t xml:space="preserve"> ‘the executive power’</w:t>
      </w:r>
      <w:r w:rsidR="00E83F5C">
        <w:rPr>
          <w:rFonts w:ascii="Century" w:hAnsi="Century" w:cs="Times New Roman"/>
          <w:lang w:val="en-GB"/>
        </w:rPr>
        <w:t xml:space="preserve"> of the </w:t>
      </w:r>
      <w:r w:rsidR="006D1DC3">
        <w:rPr>
          <w:rFonts w:ascii="Century" w:hAnsi="Century" w:cs="Times New Roman"/>
          <w:lang w:val="en-GB"/>
        </w:rPr>
        <w:t>s</w:t>
      </w:r>
      <w:r w:rsidR="00E83F5C">
        <w:rPr>
          <w:rFonts w:ascii="Century" w:hAnsi="Century" w:cs="Times New Roman"/>
          <w:lang w:val="en-GB"/>
        </w:rPr>
        <w:t>tate</w:t>
      </w:r>
      <w:r w:rsidR="00484272">
        <w:rPr>
          <w:rFonts w:ascii="Century" w:hAnsi="Century" w:cs="Times New Roman"/>
          <w:lang w:val="en-GB"/>
        </w:rPr>
        <w:t xml:space="preserve"> given to the Government by Article 28 cannot plausibly be interpreted as allowing it to enact a statute.</w:t>
      </w:r>
      <w:r w:rsidR="00484272">
        <w:rPr>
          <w:rStyle w:val="FootnoteReference"/>
          <w:rFonts w:ascii="Century" w:hAnsi="Century" w:cs="Times New Roman"/>
          <w:lang w:val="en-GB"/>
        </w:rPr>
        <w:footnoteReference w:id="94"/>
      </w:r>
      <w:r>
        <w:rPr>
          <w:rFonts w:ascii="Century" w:hAnsi="Century" w:cs="Times New Roman"/>
          <w:lang w:val="en-GB"/>
        </w:rPr>
        <w:t xml:space="preserve"> </w:t>
      </w:r>
      <w:r w:rsidR="00331E01">
        <w:rPr>
          <w:rFonts w:ascii="Century" w:hAnsi="Century" w:cs="Times New Roman"/>
          <w:lang w:val="en-GB"/>
        </w:rPr>
        <w:t>But serious d</w:t>
      </w:r>
      <w:r w:rsidRPr="00187268">
        <w:rPr>
          <w:rFonts w:ascii="Century" w:hAnsi="Century" w:cs="Times New Roman"/>
          <w:lang w:val="en-GB"/>
        </w:rPr>
        <w:t>isagree</w:t>
      </w:r>
      <w:r>
        <w:rPr>
          <w:rFonts w:ascii="Century" w:hAnsi="Century" w:cs="Times New Roman"/>
          <w:lang w:val="en-GB"/>
        </w:rPr>
        <w:t>ment</w:t>
      </w:r>
      <w:r w:rsidR="00060E86">
        <w:rPr>
          <w:rFonts w:ascii="Century" w:hAnsi="Century" w:cs="Times New Roman"/>
          <w:lang w:val="en-GB"/>
        </w:rPr>
        <w:t xml:space="preserve"> </w:t>
      </w:r>
      <w:r w:rsidR="008B586E">
        <w:rPr>
          <w:rFonts w:ascii="Century" w:hAnsi="Century" w:cs="Times New Roman"/>
          <w:lang w:val="en-GB"/>
        </w:rPr>
        <w:t>should</w:t>
      </w:r>
      <w:r w:rsidR="009B6CD7">
        <w:rPr>
          <w:rFonts w:ascii="Century" w:hAnsi="Century" w:cs="Times New Roman"/>
          <w:lang w:val="en-GB"/>
        </w:rPr>
        <w:t xml:space="preserve"> </w:t>
      </w:r>
      <w:r w:rsidR="00060E86">
        <w:rPr>
          <w:rFonts w:ascii="Century" w:hAnsi="Century" w:cs="Times New Roman"/>
          <w:lang w:val="en-GB"/>
        </w:rPr>
        <w:t>immediately</w:t>
      </w:r>
      <w:r w:rsidR="00331E01">
        <w:rPr>
          <w:rFonts w:ascii="Century" w:hAnsi="Century" w:cs="Times New Roman"/>
          <w:lang w:val="en-GB"/>
        </w:rPr>
        <w:t xml:space="preserve"> break out</w:t>
      </w:r>
      <w:r w:rsidR="00FA5FE5">
        <w:rPr>
          <w:rFonts w:ascii="Century" w:hAnsi="Century" w:cs="Times New Roman"/>
          <w:lang w:val="en-GB"/>
        </w:rPr>
        <w:t xml:space="preserve"> </w:t>
      </w:r>
      <w:r w:rsidR="00331E01">
        <w:rPr>
          <w:rFonts w:ascii="Century" w:hAnsi="Century" w:cs="Times New Roman"/>
          <w:lang w:val="en-GB"/>
        </w:rPr>
        <w:t>when one</w:t>
      </w:r>
      <w:r w:rsidR="009B6CD7">
        <w:rPr>
          <w:rFonts w:ascii="Century" w:hAnsi="Century" w:cs="Times New Roman"/>
          <w:lang w:val="en-GB"/>
        </w:rPr>
        <w:t xml:space="preserve"> asks</w:t>
      </w:r>
      <w:r w:rsidRPr="00187268">
        <w:rPr>
          <w:rFonts w:ascii="Century" w:hAnsi="Century" w:cs="Times New Roman"/>
          <w:lang w:val="en-GB"/>
        </w:rPr>
        <w:t xml:space="preserve"> wh</w:t>
      </w:r>
      <w:r>
        <w:rPr>
          <w:rFonts w:ascii="Century" w:hAnsi="Century" w:cs="Times New Roman"/>
          <w:lang w:val="en-GB"/>
        </w:rPr>
        <w:t>at</w:t>
      </w:r>
      <w:r w:rsidR="00E83F5C">
        <w:rPr>
          <w:rFonts w:ascii="Century" w:hAnsi="Century" w:cs="Times New Roman"/>
          <w:lang w:val="en-GB"/>
        </w:rPr>
        <w:t xml:space="preserve"> exactly</w:t>
      </w:r>
      <w:r>
        <w:rPr>
          <w:rFonts w:ascii="Century" w:hAnsi="Century" w:cs="Times New Roman"/>
          <w:lang w:val="en-GB"/>
        </w:rPr>
        <w:t xml:space="preserve"> </w:t>
      </w:r>
      <w:r w:rsidR="009B6CD7">
        <w:rPr>
          <w:rFonts w:ascii="Century" w:hAnsi="Century" w:cs="Times New Roman"/>
          <w:lang w:val="en-GB"/>
        </w:rPr>
        <w:t xml:space="preserve">constitutes an </w:t>
      </w:r>
      <w:r>
        <w:rPr>
          <w:rFonts w:ascii="Century" w:hAnsi="Century" w:cs="Times New Roman"/>
          <w:lang w:val="en-GB"/>
        </w:rPr>
        <w:t>alienation</w:t>
      </w:r>
      <w:r w:rsidR="009B6CD7">
        <w:rPr>
          <w:rFonts w:ascii="Century" w:hAnsi="Century" w:cs="Times New Roman"/>
          <w:lang w:val="en-GB"/>
        </w:rPr>
        <w:t xml:space="preserve"> of Article 15</w:t>
      </w:r>
      <w:r w:rsidR="008C635C">
        <w:rPr>
          <w:rFonts w:ascii="Century" w:hAnsi="Century" w:cs="Times New Roman"/>
          <w:lang w:val="en-GB"/>
        </w:rPr>
        <w:t>.2.1</w:t>
      </w:r>
      <w:r w:rsidR="009B6CD7">
        <w:rPr>
          <w:rFonts w:ascii="Century" w:hAnsi="Century" w:cs="Times New Roman"/>
          <w:lang w:val="en-GB"/>
        </w:rPr>
        <w:t xml:space="preserve"> authority.</w:t>
      </w:r>
      <w:r>
        <w:rPr>
          <w:rFonts w:ascii="Century" w:hAnsi="Century" w:cs="Times New Roman"/>
          <w:lang w:val="en-GB"/>
        </w:rPr>
        <w:t xml:space="preserve"> </w:t>
      </w:r>
      <w:r w:rsidR="00B83F5E">
        <w:rPr>
          <w:rFonts w:ascii="Century" w:hAnsi="Century" w:cs="Times New Roman"/>
          <w:lang w:val="en-GB"/>
        </w:rPr>
        <w:t>As just noted, d</w:t>
      </w:r>
      <w:r>
        <w:rPr>
          <w:rFonts w:ascii="Century" w:hAnsi="Century" w:cs="Times New Roman"/>
          <w:lang w:val="en-GB"/>
        </w:rPr>
        <w:t xml:space="preserve">isagreement </w:t>
      </w:r>
      <w:r w:rsidR="00331E01">
        <w:rPr>
          <w:rFonts w:ascii="Century" w:hAnsi="Century" w:cs="Times New Roman"/>
          <w:lang w:val="en-GB"/>
        </w:rPr>
        <w:t>on th</w:t>
      </w:r>
      <w:r w:rsidR="00060E86">
        <w:rPr>
          <w:rFonts w:ascii="Century" w:hAnsi="Century" w:cs="Times New Roman"/>
          <w:lang w:val="en-GB"/>
        </w:rPr>
        <w:t>e</w:t>
      </w:r>
      <w:r w:rsidR="00331E01">
        <w:rPr>
          <w:rFonts w:ascii="Century" w:hAnsi="Century" w:cs="Times New Roman"/>
          <w:lang w:val="en-GB"/>
        </w:rPr>
        <w:t xml:space="preserve"> question</w:t>
      </w:r>
      <w:r w:rsidR="00060E86">
        <w:rPr>
          <w:rFonts w:ascii="Century" w:hAnsi="Century" w:cs="Times New Roman"/>
          <w:lang w:val="en-GB"/>
        </w:rPr>
        <w:t xml:space="preserve"> of what constitutes alienation</w:t>
      </w:r>
      <w:r w:rsidR="009B6CD7">
        <w:rPr>
          <w:rFonts w:ascii="Century" w:hAnsi="Century" w:cs="Times New Roman"/>
          <w:lang w:val="en-GB"/>
        </w:rPr>
        <w:t xml:space="preserve"> when it comes to delegated rulemaking authority</w:t>
      </w:r>
      <w:r w:rsidR="004F6842">
        <w:rPr>
          <w:rFonts w:ascii="Century" w:hAnsi="Century" w:cs="Times New Roman"/>
          <w:lang w:val="en-GB"/>
        </w:rPr>
        <w:t xml:space="preserve"> cannot be resolved by stipulative definitions of </w:t>
      </w:r>
      <w:r w:rsidR="000D4F51">
        <w:rPr>
          <w:rFonts w:ascii="Century" w:hAnsi="Century" w:cs="Times New Roman"/>
          <w:lang w:val="en-GB"/>
        </w:rPr>
        <w:t>‘</w:t>
      </w:r>
      <w:r w:rsidR="004F6842">
        <w:rPr>
          <w:rFonts w:ascii="Century" w:hAnsi="Century" w:cs="Times New Roman"/>
          <w:lang w:val="en-GB"/>
        </w:rPr>
        <w:t>legislative power</w:t>
      </w:r>
      <w:r w:rsidR="000D4F51">
        <w:rPr>
          <w:rFonts w:ascii="Century" w:hAnsi="Century" w:cs="Times New Roman"/>
          <w:lang w:val="en-GB"/>
        </w:rPr>
        <w:t>’</w:t>
      </w:r>
      <w:r w:rsidR="004F6842">
        <w:rPr>
          <w:rFonts w:ascii="Century" w:hAnsi="Century" w:cs="Times New Roman"/>
          <w:lang w:val="en-GB"/>
        </w:rPr>
        <w:t xml:space="preserve"> or </w:t>
      </w:r>
      <w:r w:rsidR="000D4F51">
        <w:rPr>
          <w:rFonts w:ascii="Century" w:hAnsi="Century" w:cs="Times New Roman"/>
          <w:lang w:val="en-GB"/>
        </w:rPr>
        <w:t>‘</w:t>
      </w:r>
      <w:r w:rsidR="004F6842">
        <w:rPr>
          <w:rFonts w:ascii="Century" w:hAnsi="Century" w:cs="Times New Roman"/>
          <w:lang w:val="en-GB"/>
        </w:rPr>
        <w:t>separation of powers</w:t>
      </w:r>
      <w:r w:rsidR="000D4F51">
        <w:rPr>
          <w:rFonts w:ascii="Century" w:hAnsi="Century" w:cs="Times New Roman"/>
          <w:lang w:val="en-GB"/>
        </w:rPr>
        <w:t>’</w:t>
      </w:r>
      <w:r w:rsidR="004F6842">
        <w:rPr>
          <w:rFonts w:ascii="Century" w:hAnsi="Century" w:cs="Times New Roman"/>
          <w:lang w:val="en-GB"/>
        </w:rPr>
        <w:t xml:space="preserve"> but</w:t>
      </w:r>
      <w:r w:rsidR="00331E01">
        <w:rPr>
          <w:rFonts w:ascii="Century" w:hAnsi="Century" w:cs="Times New Roman"/>
          <w:lang w:val="en-GB"/>
        </w:rPr>
        <w:t xml:space="preserve"> </w:t>
      </w:r>
      <w:r w:rsidR="004F6842">
        <w:rPr>
          <w:rFonts w:ascii="Century" w:hAnsi="Century" w:cs="Times New Roman"/>
          <w:lang w:val="en-GB"/>
        </w:rPr>
        <w:t>will be</w:t>
      </w:r>
      <w:r>
        <w:rPr>
          <w:rFonts w:ascii="Century" w:hAnsi="Century" w:cs="Times New Roman"/>
          <w:lang w:val="en-GB"/>
        </w:rPr>
        <w:t xml:space="preserve"> anchored on</w:t>
      </w:r>
      <w:r w:rsidR="00060E86">
        <w:rPr>
          <w:rFonts w:ascii="Century" w:hAnsi="Century" w:cs="Times New Roman"/>
          <w:lang w:val="en-GB"/>
        </w:rPr>
        <w:t xml:space="preserve"> </w:t>
      </w:r>
      <w:r w:rsidR="00E83F5C">
        <w:rPr>
          <w:rFonts w:ascii="Century" w:hAnsi="Century" w:cs="Times New Roman"/>
          <w:lang w:val="en-GB"/>
        </w:rPr>
        <w:t xml:space="preserve">the </w:t>
      </w:r>
      <w:r w:rsidR="00060E86">
        <w:rPr>
          <w:rFonts w:ascii="Century" w:hAnsi="Century" w:cs="Times New Roman"/>
          <w:lang w:val="en-GB"/>
        </w:rPr>
        <w:t>conflicting</w:t>
      </w:r>
      <w:r>
        <w:rPr>
          <w:rFonts w:ascii="Century" w:hAnsi="Century" w:cs="Times New Roman"/>
          <w:lang w:val="en-GB"/>
        </w:rPr>
        <w:t xml:space="preserve"> </w:t>
      </w:r>
      <w:r w:rsidR="0066344A" w:rsidRPr="00187268">
        <w:rPr>
          <w:rFonts w:ascii="Century" w:hAnsi="Century" w:cs="Times New Roman"/>
          <w:lang w:val="en-GB"/>
        </w:rPr>
        <w:t xml:space="preserve">values </w:t>
      </w:r>
      <w:r>
        <w:rPr>
          <w:rFonts w:ascii="Century" w:hAnsi="Century" w:cs="Times New Roman"/>
          <w:lang w:val="en-GB"/>
        </w:rPr>
        <w:t xml:space="preserve">and </w:t>
      </w:r>
      <w:r w:rsidR="0066344A" w:rsidRPr="00187268">
        <w:rPr>
          <w:rFonts w:ascii="Century" w:hAnsi="Century" w:cs="Times New Roman"/>
          <w:lang w:val="en-GB"/>
        </w:rPr>
        <w:t xml:space="preserve">ends </w:t>
      </w:r>
      <w:r>
        <w:rPr>
          <w:rFonts w:ascii="Century" w:hAnsi="Century" w:cs="Times New Roman"/>
          <w:lang w:val="en-GB"/>
        </w:rPr>
        <w:t>jurists</w:t>
      </w:r>
      <w:r w:rsidR="0066344A" w:rsidRPr="00187268">
        <w:rPr>
          <w:rFonts w:ascii="Century" w:hAnsi="Century" w:cs="Times New Roman"/>
          <w:lang w:val="en-GB"/>
        </w:rPr>
        <w:t xml:space="preserve"> envision </w:t>
      </w:r>
      <w:r w:rsidR="004F6842">
        <w:rPr>
          <w:rFonts w:ascii="Century" w:hAnsi="Century" w:cs="Times New Roman"/>
          <w:lang w:val="en-GB"/>
        </w:rPr>
        <w:t>these concepts</w:t>
      </w:r>
      <w:r w:rsidR="0066344A" w:rsidRPr="00187268">
        <w:rPr>
          <w:rFonts w:ascii="Century" w:hAnsi="Century" w:cs="Times New Roman"/>
          <w:lang w:val="en-GB"/>
        </w:rPr>
        <w:t xml:space="preserve"> </w:t>
      </w:r>
      <w:r w:rsidR="004F4569">
        <w:rPr>
          <w:rFonts w:ascii="Century" w:hAnsi="Century" w:cs="Times New Roman"/>
          <w:lang w:val="en-GB"/>
        </w:rPr>
        <w:t>pursuing</w:t>
      </w:r>
      <w:r w:rsidR="008D3D3B">
        <w:rPr>
          <w:rFonts w:ascii="Century" w:hAnsi="Century" w:cs="Times New Roman"/>
          <w:lang w:val="en-GB"/>
        </w:rPr>
        <w:t xml:space="preserve"> and upholding</w:t>
      </w:r>
      <w:r>
        <w:rPr>
          <w:rFonts w:ascii="Century" w:hAnsi="Century" w:cs="Times New Roman"/>
          <w:lang w:val="en-GB"/>
        </w:rPr>
        <w:t>.</w:t>
      </w:r>
      <w:r w:rsidR="009C0661">
        <w:rPr>
          <w:rStyle w:val="FootnoteReference"/>
          <w:rFonts w:ascii="Century" w:hAnsi="Century" w:cs="Times New Roman"/>
          <w:lang w:val="en-GB"/>
        </w:rPr>
        <w:footnoteReference w:id="95"/>
      </w:r>
      <w:r>
        <w:rPr>
          <w:rFonts w:ascii="Century" w:hAnsi="Century" w:cs="Times New Roman"/>
          <w:lang w:val="en-GB"/>
        </w:rPr>
        <w:t xml:space="preserve"> These</w:t>
      </w:r>
      <w:r w:rsidR="00331E01">
        <w:rPr>
          <w:rFonts w:ascii="Century" w:hAnsi="Century" w:cs="Times New Roman"/>
          <w:lang w:val="en-GB"/>
        </w:rPr>
        <w:t xml:space="preserve"> different</w:t>
      </w:r>
      <w:r>
        <w:rPr>
          <w:rFonts w:ascii="Century" w:hAnsi="Century" w:cs="Times New Roman"/>
          <w:lang w:val="en-GB"/>
        </w:rPr>
        <w:t xml:space="preserve"> normative understandings will</w:t>
      </w:r>
      <w:r w:rsidR="00E83F5C">
        <w:rPr>
          <w:rFonts w:ascii="Century" w:hAnsi="Century" w:cs="Times New Roman"/>
          <w:lang w:val="en-GB"/>
        </w:rPr>
        <w:t xml:space="preserve"> in turn help</w:t>
      </w:r>
      <w:r>
        <w:rPr>
          <w:rFonts w:ascii="Century" w:hAnsi="Century" w:cs="Times New Roman"/>
          <w:lang w:val="en-GB"/>
        </w:rPr>
        <w:t xml:space="preserve"> </w:t>
      </w:r>
      <w:r w:rsidR="0066344A" w:rsidRPr="00187268">
        <w:rPr>
          <w:rFonts w:ascii="Century" w:hAnsi="Century" w:cs="Times New Roman"/>
          <w:lang w:val="en-GB"/>
        </w:rPr>
        <w:t xml:space="preserve">determine its </w:t>
      </w:r>
      <w:r w:rsidR="008B586E">
        <w:rPr>
          <w:rFonts w:ascii="Century" w:hAnsi="Century" w:cs="Times New Roman"/>
          <w:lang w:val="en-GB"/>
        </w:rPr>
        <w:t>‘</w:t>
      </w:r>
      <w:r w:rsidR="0066344A" w:rsidRPr="00187268">
        <w:rPr>
          <w:rFonts w:ascii="Century" w:hAnsi="Century" w:cs="Times New Roman"/>
          <w:lang w:val="en-GB"/>
        </w:rPr>
        <w:t>prescriptions and influence the</w:t>
      </w:r>
      <w:r w:rsidR="00187268">
        <w:rPr>
          <w:rFonts w:ascii="Century" w:hAnsi="Century" w:cs="Times New Roman"/>
          <w:lang w:val="en-GB"/>
        </w:rPr>
        <w:t xml:space="preserve"> </w:t>
      </w:r>
      <w:r w:rsidR="0066344A" w:rsidRPr="00187268">
        <w:rPr>
          <w:rFonts w:ascii="Century" w:hAnsi="Century" w:cs="Times New Roman"/>
          <w:lang w:val="en-GB"/>
        </w:rPr>
        <w:t>understandings it develops</w:t>
      </w:r>
      <w:r w:rsidR="008B586E">
        <w:rPr>
          <w:rFonts w:ascii="Century" w:hAnsi="Century" w:cs="Times New Roman"/>
          <w:lang w:val="en-GB"/>
        </w:rPr>
        <w:t>’</w:t>
      </w:r>
      <w:r w:rsidR="0066344A" w:rsidRPr="00187268">
        <w:rPr>
          <w:rStyle w:val="FootnoteReference"/>
          <w:rFonts w:ascii="Century" w:hAnsi="Century" w:cs="Times New Roman"/>
          <w:lang w:val="en-GB"/>
        </w:rPr>
        <w:footnoteReference w:id="96"/>
      </w:r>
      <w:r w:rsidR="008D3D3B">
        <w:rPr>
          <w:rFonts w:ascii="Century" w:hAnsi="Century" w:cs="Times New Roman"/>
          <w:lang w:val="en-GB"/>
        </w:rPr>
        <w:t xml:space="preserve"> of </w:t>
      </w:r>
      <w:r w:rsidR="008B586E">
        <w:rPr>
          <w:rFonts w:ascii="Century" w:hAnsi="Century" w:cs="Times New Roman"/>
          <w:lang w:val="en-GB"/>
        </w:rPr>
        <w:t>legislative</w:t>
      </w:r>
      <w:r w:rsidR="008D3D3B">
        <w:rPr>
          <w:rFonts w:ascii="Century" w:hAnsi="Century" w:cs="Times New Roman"/>
          <w:lang w:val="en-GB"/>
        </w:rPr>
        <w:t>-</w:t>
      </w:r>
      <w:r w:rsidR="008B586E">
        <w:rPr>
          <w:rFonts w:ascii="Century" w:hAnsi="Century" w:cs="Times New Roman"/>
          <w:lang w:val="en-GB"/>
        </w:rPr>
        <w:t>executive</w:t>
      </w:r>
      <w:r w:rsidR="008D3D3B">
        <w:rPr>
          <w:rFonts w:ascii="Century" w:hAnsi="Century" w:cs="Times New Roman"/>
          <w:lang w:val="en-GB"/>
        </w:rPr>
        <w:t xml:space="preserve"> relations.</w:t>
      </w:r>
    </w:p>
    <w:p w14:paraId="0AA31A01" w14:textId="77777777" w:rsidR="00187247" w:rsidRPr="00187268" w:rsidRDefault="00187247" w:rsidP="00E81877">
      <w:pPr>
        <w:spacing w:line="480" w:lineRule="auto"/>
        <w:jc w:val="both"/>
        <w:rPr>
          <w:rFonts w:ascii="Century" w:hAnsi="Century" w:cs="Times New Roman"/>
        </w:rPr>
      </w:pPr>
    </w:p>
    <w:p w14:paraId="49BD25E6" w14:textId="30D6A175" w:rsidR="008D3D3B" w:rsidRDefault="00060E86" w:rsidP="00E81877">
      <w:pPr>
        <w:spacing w:line="480" w:lineRule="auto"/>
        <w:jc w:val="both"/>
        <w:rPr>
          <w:rFonts w:ascii="Century" w:hAnsi="Century" w:cs="Times New Roman"/>
        </w:rPr>
      </w:pPr>
      <w:r>
        <w:rPr>
          <w:rFonts w:ascii="Century" w:hAnsi="Century" w:cs="Times New Roman"/>
        </w:rPr>
        <w:t>S</w:t>
      </w:r>
      <w:r w:rsidR="003206C5" w:rsidRPr="00187268">
        <w:rPr>
          <w:rFonts w:ascii="Century" w:hAnsi="Century" w:cs="Times New Roman"/>
        </w:rPr>
        <w:t xml:space="preserve">ome </w:t>
      </w:r>
      <w:r w:rsidR="009447EA" w:rsidRPr="00187268">
        <w:rPr>
          <w:rFonts w:ascii="Century" w:hAnsi="Century" w:cs="Times New Roman"/>
        </w:rPr>
        <w:t>reactions</w:t>
      </w:r>
      <w:r w:rsidR="009447EA">
        <w:rPr>
          <w:rFonts w:ascii="Century" w:hAnsi="Century" w:cs="Times New Roman"/>
        </w:rPr>
        <w:t xml:space="preserve"> to </w:t>
      </w:r>
      <w:r w:rsidR="009447EA" w:rsidRPr="00A81700">
        <w:rPr>
          <w:rFonts w:ascii="Century" w:hAnsi="Century" w:cs="Times New Roman"/>
          <w:i/>
          <w:iCs/>
        </w:rPr>
        <w:t>NECI</w:t>
      </w:r>
      <w:r w:rsidR="009447EA">
        <w:rPr>
          <w:rFonts w:ascii="Century" w:hAnsi="Century" w:cs="Times New Roman"/>
        </w:rPr>
        <w:t xml:space="preserve"> will </w:t>
      </w:r>
      <w:r w:rsidR="00721945">
        <w:rPr>
          <w:rFonts w:ascii="Century" w:hAnsi="Century" w:cs="Times New Roman"/>
        </w:rPr>
        <w:t xml:space="preserve">likely </w:t>
      </w:r>
      <w:r w:rsidR="009447EA">
        <w:rPr>
          <w:rFonts w:ascii="Century" w:hAnsi="Century" w:cs="Times New Roman"/>
        </w:rPr>
        <w:t>lament it as a blow to the separation of powers, as disrespect</w:t>
      </w:r>
      <w:r w:rsidR="008D3D3B">
        <w:rPr>
          <w:rFonts w:ascii="Century" w:hAnsi="Century" w:cs="Times New Roman"/>
        </w:rPr>
        <w:t>ful to</w:t>
      </w:r>
      <w:r w:rsidR="009447EA">
        <w:rPr>
          <w:rFonts w:ascii="Century" w:hAnsi="Century" w:cs="Times New Roman"/>
        </w:rPr>
        <w:t xml:space="preserve"> the integrity of legislative </w:t>
      </w:r>
      <w:r w:rsidR="00862831">
        <w:rPr>
          <w:rFonts w:ascii="Century" w:hAnsi="Century" w:cs="Times New Roman"/>
        </w:rPr>
        <w:t>power</w:t>
      </w:r>
      <w:r w:rsidR="009447EA">
        <w:rPr>
          <w:rFonts w:ascii="Century" w:hAnsi="Century" w:cs="Times New Roman"/>
        </w:rPr>
        <w:t>.</w:t>
      </w:r>
      <w:r w:rsidR="0093693B">
        <w:rPr>
          <w:rStyle w:val="FootnoteReference"/>
          <w:rFonts w:ascii="Century" w:hAnsi="Century" w:cs="Times New Roman"/>
        </w:rPr>
        <w:footnoteReference w:id="97"/>
      </w:r>
      <w:r w:rsidR="009447EA">
        <w:rPr>
          <w:rFonts w:ascii="Century" w:hAnsi="Century" w:cs="Times New Roman"/>
        </w:rPr>
        <w:t xml:space="preserve"> Some, indeed,</w:t>
      </w:r>
      <w:r w:rsidR="00721945">
        <w:rPr>
          <w:rFonts w:ascii="Century" w:hAnsi="Century" w:cs="Times New Roman"/>
        </w:rPr>
        <w:t xml:space="preserve"> will</w:t>
      </w:r>
      <w:r w:rsidR="009447EA">
        <w:rPr>
          <w:rFonts w:ascii="Century" w:hAnsi="Century" w:cs="Times New Roman"/>
        </w:rPr>
        <w:t xml:space="preserve"> likely wish the Supreme Court doubled down on the</w:t>
      </w:r>
      <w:r w:rsidR="00721945">
        <w:rPr>
          <w:rFonts w:ascii="Century" w:hAnsi="Century" w:cs="Times New Roman"/>
        </w:rPr>
        <w:t xml:space="preserve"> </w:t>
      </w:r>
      <w:r w:rsidR="00721945">
        <w:rPr>
          <w:rFonts w:ascii="Century" w:hAnsi="Century" w:cs="Times New Roman"/>
          <w:i/>
          <w:iCs/>
        </w:rPr>
        <w:t>Cityview</w:t>
      </w:r>
      <w:r w:rsidR="009447EA">
        <w:rPr>
          <w:rFonts w:ascii="Century" w:hAnsi="Century" w:cs="Times New Roman"/>
        </w:rPr>
        <w:t xml:space="preserve"> principles and policies test, </w:t>
      </w:r>
      <w:r w:rsidR="009447EA">
        <w:rPr>
          <w:rFonts w:ascii="Century" w:hAnsi="Century" w:cs="Times New Roman"/>
        </w:rPr>
        <w:lastRenderedPageBreak/>
        <w:t xml:space="preserve">instead of </w:t>
      </w:r>
      <w:r w:rsidR="00721945">
        <w:rPr>
          <w:rFonts w:ascii="Century" w:hAnsi="Century" w:cs="Times New Roman"/>
        </w:rPr>
        <w:t>recasting</w:t>
      </w:r>
      <w:r w:rsidR="008317B9">
        <w:rPr>
          <w:rFonts w:ascii="Century" w:hAnsi="Century" w:cs="Times New Roman"/>
        </w:rPr>
        <w:t xml:space="preserve"> it</w:t>
      </w:r>
      <w:r w:rsidR="00721945">
        <w:rPr>
          <w:rFonts w:ascii="Century" w:hAnsi="Century" w:cs="Times New Roman"/>
        </w:rPr>
        <w:t xml:space="preserve"> in </w:t>
      </w:r>
      <w:r w:rsidR="009447EA">
        <w:rPr>
          <w:rFonts w:ascii="Century" w:hAnsi="Century" w:cs="Times New Roman"/>
        </w:rPr>
        <w:t xml:space="preserve">looser </w:t>
      </w:r>
      <w:r w:rsidR="00721945">
        <w:rPr>
          <w:rFonts w:ascii="Century" w:hAnsi="Century" w:cs="Times New Roman"/>
        </w:rPr>
        <w:t>form</w:t>
      </w:r>
      <w:r w:rsidR="009447EA">
        <w:rPr>
          <w:rFonts w:ascii="Century" w:hAnsi="Century" w:cs="Times New Roman"/>
        </w:rPr>
        <w:t xml:space="preserve">. </w:t>
      </w:r>
      <w:r>
        <w:rPr>
          <w:rFonts w:ascii="Century" w:hAnsi="Century" w:cs="Times New Roman"/>
        </w:rPr>
        <w:t>W</w:t>
      </w:r>
      <w:r w:rsidR="009447EA">
        <w:rPr>
          <w:rFonts w:ascii="Century" w:hAnsi="Century" w:cs="Times New Roman"/>
        </w:rPr>
        <w:t>hat kind of vision of the separation of powers</w:t>
      </w:r>
      <w:r w:rsidR="00331E01">
        <w:rPr>
          <w:rFonts w:ascii="Century" w:hAnsi="Century" w:cs="Times New Roman"/>
        </w:rPr>
        <w:t xml:space="preserve">, implicitly or explicitly, </w:t>
      </w:r>
      <w:r w:rsidR="008B586E">
        <w:rPr>
          <w:rFonts w:ascii="Century" w:hAnsi="Century" w:cs="Times New Roman"/>
        </w:rPr>
        <w:t xml:space="preserve">can we </w:t>
      </w:r>
      <w:r w:rsidR="008317B9">
        <w:rPr>
          <w:rFonts w:ascii="Century" w:hAnsi="Century" w:cs="Times New Roman"/>
        </w:rPr>
        <w:t>say</w:t>
      </w:r>
      <w:r w:rsidR="008B586E">
        <w:rPr>
          <w:rFonts w:ascii="Century" w:hAnsi="Century" w:cs="Times New Roman"/>
        </w:rPr>
        <w:t xml:space="preserve"> will</w:t>
      </w:r>
      <w:r>
        <w:rPr>
          <w:rFonts w:ascii="Century" w:hAnsi="Century" w:cs="Times New Roman"/>
        </w:rPr>
        <w:t xml:space="preserve"> </w:t>
      </w:r>
      <w:r w:rsidR="009447EA">
        <w:rPr>
          <w:rFonts w:ascii="Century" w:hAnsi="Century" w:cs="Times New Roman"/>
        </w:rPr>
        <w:t>animate this kind of critique?</w:t>
      </w:r>
      <w:r w:rsidR="00331E01">
        <w:rPr>
          <w:rFonts w:ascii="Century" w:hAnsi="Century" w:cs="Times New Roman"/>
        </w:rPr>
        <w:t xml:space="preserve"> </w:t>
      </w:r>
    </w:p>
    <w:p w14:paraId="36AF5F08" w14:textId="77777777" w:rsidR="008D3D3B" w:rsidRDefault="008D3D3B" w:rsidP="00E81877">
      <w:pPr>
        <w:spacing w:line="480" w:lineRule="auto"/>
        <w:jc w:val="both"/>
        <w:rPr>
          <w:rFonts w:ascii="Century" w:hAnsi="Century" w:cs="Times New Roman"/>
        </w:rPr>
      </w:pPr>
    </w:p>
    <w:p w14:paraId="2D28D641" w14:textId="52076F1E" w:rsidR="00317371" w:rsidRDefault="00A46EFA" w:rsidP="00E81877">
      <w:pPr>
        <w:spacing w:line="480" w:lineRule="auto"/>
        <w:jc w:val="both"/>
        <w:rPr>
          <w:rFonts w:ascii="Century" w:hAnsi="Century" w:cs="Times New Roman"/>
        </w:rPr>
      </w:pPr>
      <w:r>
        <w:rPr>
          <w:rFonts w:ascii="Century" w:hAnsi="Century" w:cs="Times New Roman"/>
        </w:rPr>
        <w:t xml:space="preserve">Professor </w:t>
      </w:r>
      <w:r w:rsidR="008D3D3B">
        <w:rPr>
          <w:rFonts w:ascii="Century" w:hAnsi="Century" w:cs="Times New Roman"/>
        </w:rPr>
        <w:t>Carolan argues, I think persuasively, that the</w:t>
      </w:r>
      <w:r w:rsidR="00331E01">
        <w:rPr>
          <w:rFonts w:ascii="Century" w:hAnsi="Century" w:cs="Times New Roman"/>
        </w:rPr>
        <w:t xml:space="preserve"> normative</w:t>
      </w:r>
      <w:r w:rsidR="009447EA">
        <w:rPr>
          <w:rFonts w:ascii="Century" w:hAnsi="Century" w:cs="Times New Roman"/>
        </w:rPr>
        <w:t xml:space="preserve"> vision</w:t>
      </w:r>
      <w:r w:rsidR="00516D04">
        <w:rPr>
          <w:rFonts w:ascii="Century" w:hAnsi="Century" w:cs="Times New Roman"/>
        </w:rPr>
        <w:t xml:space="preserve"> of the separation of powers</w:t>
      </w:r>
      <w:r w:rsidR="00331E01">
        <w:rPr>
          <w:rFonts w:ascii="Century" w:hAnsi="Century" w:cs="Times New Roman"/>
        </w:rPr>
        <w:t xml:space="preserve"> underlying a strong-form approach to the </w:t>
      </w:r>
      <w:r w:rsidR="00331E01" w:rsidRPr="00331E01">
        <w:rPr>
          <w:rFonts w:ascii="Century" w:hAnsi="Century" w:cs="Times New Roman"/>
          <w:i/>
          <w:iCs/>
        </w:rPr>
        <w:t xml:space="preserve">Cityview </w:t>
      </w:r>
      <w:r w:rsidR="00331E01">
        <w:rPr>
          <w:rFonts w:ascii="Century" w:hAnsi="Century" w:cs="Times New Roman"/>
        </w:rPr>
        <w:t>test</w:t>
      </w:r>
      <w:r w:rsidR="009447EA">
        <w:rPr>
          <w:rFonts w:ascii="Century" w:hAnsi="Century" w:cs="Times New Roman"/>
        </w:rPr>
        <w:t xml:space="preserve"> </w:t>
      </w:r>
      <w:r w:rsidR="00331E01">
        <w:rPr>
          <w:rFonts w:ascii="Century" w:hAnsi="Century" w:cs="Times New Roman"/>
        </w:rPr>
        <w:t>has conceptual roots in</w:t>
      </w:r>
      <w:r w:rsidR="001C4403">
        <w:rPr>
          <w:rFonts w:ascii="Century" w:hAnsi="Century" w:cs="Times New Roman"/>
        </w:rPr>
        <w:t xml:space="preserve"> strands of</w:t>
      </w:r>
      <w:r w:rsidR="009447EA">
        <w:rPr>
          <w:rFonts w:ascii="Century" w:hAnsi="Century" w:cs="Times New Roman"/>
        </w:rPr>
        <w:t xml:space="preserve"> classical liberal and </w:t>
      </w:r>
      <w:r w:rsidR="00717F34">
        <w:rPr>
          <w:rFonts w:ascii="Century" w:hAnsi="Century" w:cs="Times New Roman"/>
        </w:rPr>
        <w:t>Anglo-American</w:t>
      </w:r>
      <w:r w:rsidR="009447EA">
        <w:rPr>
          <w:rFonts w:ascii="Century" w:hAnsi="Century" w:cs="Times New Roman"/>
        </w:rPr>
        <w:t xml:space="preserve"> constitutional</w:t>
      </w:r>
      <w:r w:rsidR="00717F34">
        <w:rPr>
          <w:rFonts w:ascii="Century" w:hAnsi="Century" w:cs="Times New Roman"/>
        </w:rPr>
        <w:t xml:space="preserve"> thought</w:t>
      </w:r>
      <w:r w:rsidR="009447EA">
        <w:rPr>
          <w:rFonts w:ascii="Century" w:hAnsi="Century" w:cs="Times New Roman"/>
        </w:rPr>
        <w:t>.</w:t>
      </w:r>
      <w:bookmarkStart w:id="16" w:name="_Ref85376510"/>
      <w:r w:rsidR="008D3D3B">
        <w:rPr>
          <w:rStyle w:val="FootnoteReference"/>
          <w:rFonts w:ascii="Century" w:hAnsi="Century" w:cs="Times New Roman"/>
        </w:rPr>
        <w:footnoteReference w:id="98"/>
      </w:r>
      <w:bookmarkEnd w:id="16"/>
      <w:r w:rsidR="009447EA">
        <w:rPr>
          <w:rFonts w:ascii="Century" w:hAnsi="Century" w:cs="Times New Roman"/>
        </w:rPr>
        <w:t xml:space="preserve"> </w:t>
      </w:r>
      <w:r w:rsidR="00C45F29">
        <w:rPr>
          <w:rFonts w:ascii="Century" w:hAnsi="Century" w:cs="Times New Roman"/>
        </w:rPr>
        <w:t xml:space="preserve">These traditions often adopt the </w:t>
      </w:r>
      <w:r w:rsidR="004E189A">
        <w:rPr>
          <w:rFonts w:ascii="Century" w:hAnsi="Century" w:cs="Times New Roman"/>
        </w:rPr>
        <w:t>position</w:t>
      </w:r>
      <w:r w:rsidR="009447EA">
        <w:rPr>
          <w:rFonts w:ascii="Century" w:hAnsi="Century" w:cs="Times New Roman"/>
        </w:rPr>
        <w:t xml:space="preserve"> that generally applicable rules of binding conduct and</w:t>
      </w:r>
      <w:r w:rsidR="00601EE9">
        <w:rPr>
          <w:rFonts w:ascii="Century" w:hAnsi="Century" w:cs="Times New Roman"/>
        </w:rPr>
        <w:t xml:space="preserve"> political</w:t>
      </w:r>
      <w:r w:rsidR="009447EA">
        <w:rPr>
          <w:rFonts w:ascii="Century" w:hAnsi="Century" w:cs="Times New Roman"/>
        </w:rPr>
        <w:t xml:space="preserve"> decisions concerning the most sensitive and pressing socio-economic issues, </w:t>
      </w:r>
      <w:r w:rsidR="00516D04">
        <w:rPr>
          <w:rFonts w:ascii="Century" w:hAnsi="Century" w:cs="Times New Roman"/>
        </w:rPr>
        <w:t>are the</w:t>
      </w:r>
      <w:r w:rsidR="00E83F5C">
        <w:rPr>
          <w:rFonts w:ascii="Century" w:hAnsi="Century" w:cs="Times New Roman"/>
        </w:rPr>
        <w:t xml:space="preserve"> unique</w:t>
      </w:r>
      <w:r w:rsidR="00516D04">
        <w:rPr>
          <w:rFonts w:ascii="Century" w:hAnsi="Century" w:cs="Times New Roman"/>
        </w:rPr>
        <w:t xml:space="preserve"> preserve of</w:t>
      </w:r>
      <w:r w:rsidR="009447EA">
        <w:rPr>
          <w:rFonts w:ascii="Century" w:hAnsi="Century" w:cs="Times New Roman"/>
        </w:rPr>
        <w:t xml:space="preserve"> the</w:t>
      </w:r>
      <w:r w:rsidR="008D3D3B">
        <w:rPr>
          <w:rFonts w:ascii="Century" w:hAnsi="Century" w:cs="Times New Roman"/>
        </w:rPr>
        <w:t xml:space="preserve"> directly elected</w:t>
      </w:r>
      <w:r w:rsidR="009447EA">
        <w:rPr>
          <w:rFonts w:ascii="Century" w:hAnsi="Century" w:cs="Times New Roman"/>
        </w:rPr>
        <w:t xml:space="preserve"> </w:t>
      </w:r>
      <w:r w:rsidR="00E83F5C">
        <w:rPr>
          <w:rFonts w:ascii="Century" w:hAnsi="Century" w:cs="Times New Roman"/>
        </w:rPr>
        <w:t>legislature</w:t>
      </w:r>
      <w:r w:rsidR="009447EA">
        <w:rPr>
          <w:rFonts w:ascii="Century" w:hAnsi="Century" w:cs="Times New Roman"/>
        </w:rPr>
        <w:t>. On this view,</w:t>
      </w:r>
      <w:r w:rsidR="004E189A">
        <w:rPr>
          <w:rFonts w:ascii="Century" w:hAnsi="Century" w:cs="Times New Roman"/>
        </w:rPr>
        <w:t xml:space="preserve"> power to set</w:t>
      </w:r>
      <w:r w:rsidR="009447EA">
        <w:rPr>
          <w:rFonts w:ascii="Century" w:hAnsi="Century" w:cs="Times New Roman"/>
        </w:rPr>
        <w:t xml:space="preserve"> generally applicable rules of binding conduct over important policy issues </w:t>
      </w:r>
      <w:r w:rsidR="00516D04">
        <w:rPr>
          <w:rFonts w:ascii="Century" w:hAnsi="Century" w:cs="Times New Roman"/>
        </w:rPr>
        <w:t>are</w:t>
      </w:r>
      <w:r w:rsidR="00601EE9">
        <w:rPr>
          <w:rFonts w:ascii="Century" w:hAnsi="Century" w:cs="Times New Roman"/>
        </w:rPr>
        <w:t xml:space="preserve"> the</w:t>
      </w:r>
      <w:r w:rsidR="009447EA">
        <w:rPr>
          <w:rFonts w:ascii="Century" w:hAnsi="Century" w:cs="Times New Roman"/>
        </w:rPr>
        <w:t xml:space="preserve"> heart of </w:t>
      </w:r>
      <w:r w:rsidR="00121E14">
        <w:rPr>
          <w:rFonts w:ascii="Century" w:hAnsi="Century" w:cs="Times New Roman"/>
        </w:rPr>
        <w:t>‘</w:t>
      </w:r>
      <w:r w:rsidR="009447EA">
        <w:rPr>
          <w:rFonts w:ascii="Century" w:hAnsi="Century" w:cs="Times New Roman"/>
        </w:rPr>
        <w:t>legislative power</w:t>
      </w:r>
      <w:r w:rsidR="00121E14">
        <w:rPr>
          <w:rFonts w:ascii="Century" w:hAnsi="Century" w:cs="Times New Roman"/>
        </w:rPr>
        <w:t>’</w:t>
      </w:r>
      <w:r w:rsidR="009447EA">
        <w:rPr>
          <w:rFonts w:ascii="Century" w:hAnsi="Century" w:cs="Times New Roman"/>
        </w:rPr>
        <w:t xml:space="preserve">. </w:t>
      </w:r>
      <w:r w:rsidR="00AD5BBF">
        <w:rPr>
          <w:rFonts w:ascii="Century" w:hAnsi="Century" w:cs="Times New Roman"/>
        </w:rPr>
        <w:t>The executive is</w:t>
      </w:r>
      <w:r w:rsidR="00E83F5C">
        <w:rPr>
          <w:rFonts w:ascii="Century" w:hAnsi="Century" w:cs="Times New Roman"/>
        </w:rPr>
        <w:t>,</w:t>
      </w:r>
      <w:r w:rsidR="00C45F29">
        <w:rPr>
          <w:rFonts w:ascii="Century" w:hAnsi="Century" w:cs="Times New Roman"/>
        </w:rPr>
        <w:t xml:space="preserve"> in turn</w:t>
      </w:r>
      <w:r w:rsidR="00E83F5C">
        <w:rPr>
          <w:rFonts w:ascii="Century" w:hAnsi="Century" w:cs="Times New Roman"/>
        </w:rPr>
        <w:t>,</w:t>
      </w:r>
      <w:r w:rsidR="00AD5BBF">
        <w:rPr>
          <w:rFonts w:ascii="Century" w:hAnsi="Century" w:cs="Times New Roman"/>
        </w:rPr>
        <w:t xml:space="preserve"> viewed as a </w:t>
      </w:r>
      <w:r w:rsidR="00601EE9">
        <w:rPr>
          <w:rFonts w:ascii="Century" w:hAnsi="Century" w:cs="Times New Roman"/>
        </w:rPr>
        <w:t xml:space="preserve">faithful </w:t>
      </w:r>
      <w:r w:rsidR="00AD5BBF">
        <w:rPr>
          <w:rFonts w:ascii="Century" w:hAnsi="Century" w:cs="Times New Roman"/>
        </w:rPr>
        <w:t xml:space="preserve">subordinate </w:t>
      </w:r>
      <w:r w:rsidR="00601EE9">
        <w:rPr>
          <w:rFonts w:ascii="Century" w:hAnsi="Century" w:cs="Times New Roman"/>
        </w:rPr>
        <w:t>executioner</w:t>
      </w:r>
      <w:r w:rsidR="00516D04">
        <w:rPr>
          <w:rFonts w:ascii="Century" w:hAnsi="Century" w:cs="Times New Roman"/>
        </w:rPr>
        <w:t xml:space="preserve"> </w:t>
      </w:r>
      <w:r w:rsidR="008D3D3B">
        <w:rPr>
          <w:rFonts w:ascii="Century" w:hAnsi="Century" w:cs="Times New Roman"/>
        </w:rPr>
        <w:t>who</w:t>
      </w:r>
      <w:r w:rsidR="00601EE9">
        <w:rPr>
          <w:rFonts w:ascii="Century" w:hAnsi="Century" w:cs="Times New Roman"/>
        </w:rPr>
        <w:t xml:space="preserve"> diligently implement</w:t>
      </w:r>
      <w:r w:rsidR="00516D04">
        <w:rPr>
          <w:rFonts w:ascii="Century" w:hAnsi="Century" w:cs="Times New Roman"/>
        </w:rPr>
        <w:t>s</w:t>
      </w:r>
      <w:r w:rsidR="00601EE9">
        <w:rPr>
          <w:rFonts w:ascii="Century" w:hAnsi="Century" w:cs="Times New Roman"/>
        </w:rPr>
        <w:t xml:space="preserve"> legislative directives, using its discretion to apply law to particular facts</w:t>
      </w:r>
      <w:r w:rsidR="008D3D3B">
        <w:rPr>
          <w:rFonts w:ascii="Century" w:hAnsi="Century" w:cs="Times New Roman"/>
        </w:rPr>
        <w:t>,</w:t>
      </w:r>
      <w:r w:rsidR="00601EE9">
        <w:rPr>
          <w:rFonts w:ascii="Century" w:hAnsi="Century" w:cs="Times New Roman"/>
        </w:rPr>
        <w:t xml:space="preserve"> or make technical decisions that fill-in-the-details of the legislature’s goals.</w:t>
      </w:r>
      <w:r w:rsidR="00EA7327">
        <w:rPr>
          <w:rStyle w:val="FootnoteReference"/>
          <w:rFonts w:ascii="Century" w:hAnsi="Century" w:cs="Times New Roman"/>
        </w:rPr>
        <w:footnoteReference w:id="99"/>
      </w:r>
      <w:r w:rsidR="00116E93">
        <w:rPr>
          <w:rFonts w:ascii="Century" w:hAnsi="Century" w:cs="Times New Roman"/>
        </w:rPr>
        <w:t xml:space="preserve"> </w:t>
      </w:r>
      <w:r w:rsidR="002C7EF8">
        <w:rPr>
          <w:rFonts w:ascii="Century" w:hAnsi="Century" w:cs="Times New Roman"/>
        </w:rPr>
        <w:t>In other words, what</w:t>
      </w:r>
      <w:r w:rsidR="00F40AB5">
        <w:rPr>
          <w:rFonts w:ascii="Century" w:hAnsi="Century" w:cs="Times New Roman"/>
        </w:rPr>
        <w:t xml:space="preserve"> is impermissible is </w:t>
      </w:r>
      <w:r w:rsidR="002C3C24">
        <w:rPr>
          <w:rFonts w:ascii="Century" w:hAnsi="Century" w:cs="Times New Roman"/>
        </w:rPr>
        <w:t>when the</w:t>
      </w:r>
      <w:r w:rsidR="00F40AB5">
        <w:rPr>
          <w:rFonts w:ascii="Century" w:hAnsi="Century" w:cs="Times New Roman"/>
        </w:rPr>
        <w:t xml:space="preserve"> executive or administrative body </w:t>
      </w:r>
      <w:r w:rsidR="002C3C24">
        <w:rPr>
          <w:rFonts w:ascii="Century" w:hAnsi="Century" w:cs="Times New Roman"/>
        </w:rPr>
        <w:t>is given authority</w:t>
      </w:r>
      <w:r w:rsidR="00F40AB5">
        <w:rPr>
          <w:rFonts w:ascii="Century" w:hAnsi="Century" w:cs="Times New Roman"/>
        </w:rPr>
        <w:t xml:space="preserve"> to make rules involving </w:t>
      </w:r>
      <w:r w:rsidR="007B65F7">
        <w:rPr>
          <w:rFonts w:ascii="Century" w:hAnsi="Century" w:cs="Times New Roman"/>
        </w:rPr>
        <w:t>‘</w:t>
      </w:r>
      <w:r w:rsidR="00F40AB5">
        <w:rPr>
          <w:rFonts w:ascii="Century" w:hAnsi="Century" w:cs="Times New Roman"/>
        </w:rPr>
        <w:t>more than a mere giving effect to principles and policies</w:t>
      </w:r>
      <w:r w:rsidR="007B65F7">
        <w:rPr>
          <w:rFonts w:ascii="Century" w:hAnsi="Century" w:cs="Times New Roman"/>
        </w:rPr>
        <w:t>’</w:t>
      </w:r>
      <w:r w:rsidR="00F40AB5">
        <w:rPr>
          <w:rFonts w:ascii="Century" w:hAnsi="Century" w:cs="Times New Roman"/>
        </w:rPr>
        <w:t xml:space="preserve"> </w:t>
      </w:r>
      <w:r w:rsidR="00E83F5C">
        <w:rPr>
          <w:rFonts w:ascii="Century" w:hAnsi="Century" w:cs="Times New Roman"/>
        </w:rPr>
        <w:t xml:space="preserve">already </w:t>
      </w:r>
      <w:r w:rsidR="002C7EF8">
        <w:rPr>
          <w:rFonts w:ascii="Century" w:hAnsi="Century" w:cs="Times New Roman"/>
        </w:rPr>
        <w:t>set out by the legislature</w:t>
      </w:r>
      <w:r w:rsidR="00F40AB5">
        <w:rPr>
          <w:rFonts w:ascii="Century" w:hAnsi="Century" w:cs="Times New Roman"/>
        </w:rPr>
        <w:t>.</w:t>
      </w:r>
      <w:r w:rsidR="00F40AB5">
        <w:rPr>
          <w:rStyle w:val="FootnoteReference"/>
          <w:rFonts w:ascii="Century" w:hAnsi="Century" w:cs="Times New Roman"/>
        </w:rPr>
        <w:footnoteReference w:id="100"/>
      </w:r>
      <w:r w:rsidR="00F40AB5">
        <w:rPr>
          <w:rFonts w:ascii="Century" w:hAnsi="Century" w:cs="Times New Roman"/>
        </w:rPr>
        <w:t xml:space="preserve"> </w:t>
      </w:r>
    </w:p>
    <w:p w14:paraId="0A58587A" w14:textId="77777777" w:rsidR="00116E93" w:rsidRDefault="00116E93" w:rsidP="00E81877">
      <w:pPr>
        <w:spacing w:line="480" w:lineRule="auto"/>
        <w:jc w:val="both"/>
        <w:rPr>
          <w:rFonts w:ascii="Century" w:hAnsi="Century" w:cs="Times New Roman"/>
        </w:rPr>
      </w:pPr>
    </w:p>
    <w:p w14:paraId="789E0925" w14:textId="59428F37" w:rsidR="00D33F20" w:rsidRDefault="00317371" w:rsidP="00E81877">
      <w:pPr>
        <w:spacing w:line="480" w:lineRule="auto"/>
        <w:ind w:firstLine="720"/>
        <w:jc w:val="both"/>
        <w:rPr>
          <w:rFonts w:ascii="Century" w:hAnsi="Century"/>
        </w:rPr>
      </w:pPr>
      <w:r>
        <w:rPr>
          <w:rFonts w:ascii="Century" w:hAnsi="Century" w:cs="Times New Roman"/>
        </w:rPr>
        <w:t>This interpretation of the separation of powers</w:t>
      </w:r>
      <w:r w:rsidR="001C4403">
        <w:rPr>
          <w:rFonts w:ascii="Century" w:hAnsi="Century" w:cs="Times New Roman"/>
        </w:rPr>
        <w:t xml:space="preserve"> and </w:t>
      </w:r>
      <w:r w:rsidR="002659F9">
        <w:rPr>
          <w:rFonts w:ascii="Century" w:hAnsi="Century" w:cs="Times New Roman"/>
        </w:rPr>
        <w:t>executive</w:t>
      </w:r>
      <w:r w:rsidR="00657DC0">
        <w:rPr>
          <w:rFonts w:ascii="Century" w:hAnsi="Century" w:cs="Times New Roman"/>
        </w:rPr>
        <w:t>-</w:t>
      </w:r>
      <w:r w:rsidR="002659F9">
        <w:rPr>
          <w:rFonts w:ascii="Century" w:hAnsi="Century" w:cs="Times New Roman"/>
        </w:rPr>
        <w:t>legislative</w:t>
      </w:r>
      <w:r w:rsidR="00657DC0">
        <w:rPr>
          <w:rFonts w:ascii="Century" w:hAnsi="Century" w:cs="Times New Roman"/>
        </w:rPr>
        <w:t xml:space="preserve"> relations</w:t>
      </w:r>
      <w:r>
        <w:rPr>
          <w:rFonts w:ascii="Century" w:hAnsi="Century" w:cs="Times New Roman"/>
        </w:rPr>
        <w:t xml:space="preserve"> has </w:t>
      </w:r>
      <w:r w:rsidR="00D32F51">
        <w:rPr>
          <w:rFonts w:ascii="Century" w:hAnsi="Century" w:cs="Times New Roman"/>
        </w:rPr>
        <w:t xml:space="preserve">found </w:t>
      </w:r>
      <w:r w:rsidR="00516D04">
        <w:rPr>
          <w:rFonts w:ascii="Century" w:hAnsi="Century" w:cs="Times New Roman"/>
        </w:rPr>
        <w:t>considerable</w:t>
      </w:r>
      <w:r w:rsidR="001C4403">
        <w:rPr>
          <w:rFonts w:ascii="Century" w:hAnsi="Century" w:cs="Times New Roman"/>
        </w:rPr>
        <w:t xml:space="preserve"> support</w:t>
      </w:r>
      <w:r>
        <w:rPr>
          <w:rFonts w:ascii="Century" w:hAnsi="Century" w:cs="Times New Roman"/>
        </w:rPr>
        <w:t xml:space="preserve"> in other common law constitutional systems</w:t>
      </w:r>
      <w:r w:rsidR="001C4403">
        <w:rPr>
          <w:rFonts w:ascii="Century" w:hAnsi="Century" w:cs="Times New Roman"/>
        </w:rPr>
        <w:t>,</w:t>
      </w:r>
      <w:r>
        <w:rPr>
          <w:rFonts w:ascii="Century" w:hAnsi="Century" w:cs="Times New Roman"/>
        </w:rPr>
        <w:t xml:space="preserve"> </w:t>
      </w:r>
      <w:r w:rsidR="001C4403">
        <w:rPr>
          <w:rFonts w:ascii="Century" w:hAnsi="Century" w:cs="Times New Roman"/>
        </w:rPr>
        <w:t>m</w:t>
      </w:r>
      <w:r>
        <w:rPr>
          <w:rFonts w:ascii="Century" w:hAnsi="Century" w:cs="Times New Roman"/>
        </w:rPr>
        <w:t xml:space="preserve">ost </w:t>
      </w:r>
      <w:r w:rsidR="00B83F5E">
        <w:rPr>
          <w:rFonts w:ascii="Century" w:hAnsi="Century" w:cs="Times New Roman"/>
        </w:rPr>
        <w:t>notably</w:t>
      </w:r>
      <w:r w:rsidR="001C4403">
        <w:rPr>
          <w:rFonts w:ascii="Century" w:hAnsi="Century" w:cs="Times New Roman"/>
        </w:rPr>
        <w:t xml:space="preserve"> in</w:t>
      </w:r>
      <w:r w:rsidR="00516D04">
        <w:rPr>
          <w:rFonts w:ascii="Century" w:hAnsi="Century" w:cs="Times New Roman"/>
        </w:rPr>
        <w:t xml:space="preserve"> the</w:t>
      </w:r>
      <w:r>
        <w:rPr>
          <w:rFonts w:ascii="Century" w:hAnsi="Century" w:cs="Times New Roman"/>
        </w:rPr>
        <w:t xml:space="preserve"> United States. </w:t>
      </w:r>
      <w:r w:rsidR="00516D04">
        <w:rPr>
          <w:rFonts w:ascii="Century" w:hAnsi="Century"/>
        </w:rPr>
        <w:t>A</w:t>
      </w:r>
      <w:r w:rsidRPr="00B96ED6">
        <w:rPr>
          <w:rFonts w:ascii="Century" w:hAnsi="Century"/>
        </w:rPr>
        <w:t xml:space="preserve">rguments </w:t>
      </w:r>
      <w:r>
        <w:rPr>
          <w:rFonts w:ascii="Century" w:hAnsi="Century"/>
        </w:rPr>
        <w:t xml:space="preserve">in favour of robust </w:t>
      </w:r>
      <w:r>
        <w:rPr>
          <w:rFonts w:ascii="Century" w:hAnsi="Century"/>
        </w:rPr>
        <w:lastRenderedPageBreak/>
        <w:t>application of the</w:t>
      </w:r>
      <w:r w:rsidRPr="00B96ED6">
        <w:rPr>
          <w:rFonts w:ascii="Century" w:hAnsi="Century"/>
        </w:rPr>
        <w:t xml:space="preserve"> delegation doctrine</w:t>
      </w:r>
      <w:r>
        <w:rPr>
          <w:rFonts w:ascii="Century" w:hAnsi="Century"/>
        </w:rPr>
        <w:t xml:space="preserve"> in that system</w:t>
      </w:r>
      <w:r w:rsidRPr="00B96ED6">
        <w:rPr>
          <w:rFonts w:ascii="Century" w:hAnsi="Century"/>
        </w:rPr>
        <w:t xml:space="preserve"> stem from </w:t>
      </w:r>
      <w:r w:rsidR="00516D04">
        <w:rPr>
          <w:rFonts w:ascii="Century" w:hAnsi="Century"/>
        </w:rPr>
        <w:t xml:space="preserve">a </w:t>
      </w:r>
      <w:r w:rsidRPr="00B96ED6">
        <w:rPr>
          <w:rFonts w:ascii="Century" w:hAnsi="Century"/>
        </w:rPr>
        <w:t>vision of</w:t>
      </w:r>
      <w:r w:rsidR="00D32F51">
        <w:rPr>
          <w:rFonts w:ascii="Century" w:hAnsi="Century"/>
        </w:rPr>
        <w:t xml:space="preserve"> constitutional</w:t>
      </w:r>
      <w:r w:rsidRPr="00B96ED6">
        <w:rPr>
          <w:rFonts w:ascii="Century" w:hAnsi="Century"/>
        </w:rPr>
        <w:t xml:space="preserve"> government</w:t>
      </w:r>
      <w:r>
        <w:rPr>
          <w:rFonts w:ascii="Century" w:hAnsi="Century"/>
        </w:rPr>
        <w:t xml:space="preserve"> that puts the legislative branch at the heart of </w:t>
      </w:r>
      <w:r w:rsidR="00CC75EA">
        <w:rPr>
          <w:rFonts w:ascii="Century" w:hAnsi="Century"/>
        </w:rPr>
        <w:t>policymaking</w:t>
      </w:r>
      <w:r w:rsidR="00C92469">
        <w:rPr>
          <w:rFonts w:ascii="Century" w:hAnsi="Century"/>
        </w:rPr>
        <w:t>,</w:t>
      </w:r>
      <w:r w:rsidR="00CC75EA">
        <w:rPr>
          <w:rFonts w:ascii="Century" w:hAnsi="Century"/>
        </w:rPr>
        <w:t xml:space="preserve"> and</w:t>
      </w:r>
      <w:r w:rsidR="00C92469">
        <w:rPr>
          <w:rFonts w:ascii="Century" w:hAnsi="Century"/>
        </w:rPr>
        <w:t xml:space="preserve"> which</w:t>
      </w:r>
      <w:r>
        <w:rPr>
          <w:rFonts w:ascii="Century" w:hAnsi="Century"/>
        </w:rPr>
        <w:t xml:space="preserve"> is</w:t>
      </w:r>
      <w:r w:rsidRPr="00B96ED6">
        <w:rPr>
          <w:rFonts w:ascii="Century" w:hAnsi="Century"/>
        </w:rPr>
        <w:t xml:space="preserve"> hostile to </w:t>
      </w:r>
      <w:r w:rsidR="00CC45F0">
        <w:rPr>
          <w:rFonts w:ascii="Century" w:hAnsi="Century"/>
        </w:rPr>
        <w:t>a highly</w:t>
      </w:r>
      <w:r w:rsidRPr="00B96ED6">
        <w:rPr>
          <w:rFonts w:ascii="Century" w:hAnsi="Century"/>
        </w:rPr>
        <w:t xml:space="preserve"> active</w:t>
      </w:r>
      <w:r w:rsidR="00516D04">
        <w:rPr>
          <w:rFonts w:ascii="Century" w:hAnsi="Century"/>
        </w:rPr>
        <w:t xml:space="preserve"> executive-led administrative</w:t>
      </w:r>
      <w:r w:rsidRPr="00B96ED6">
        <w:rPr>
          <w:rFonts w:ascii="Century" w:hAnsi="Century"/>
        </w:rPr>
        <w:t xml:space="preserve"> state.</w:t>
      </w:r>
      <w:r w:rsidR="007B0661">
        <w:rPr>
          <w:rStyle w:val="FootnoteReference"/>
          <w:rFonts w:ascii="Century" w:hAnsi="Century"/>
        </w:rPr>
        <w:footnoteReference w:id="101"/>
      </w:r>
      <w:r w:rsidRPr="00B96ED6">
        <w:rPr>
          <w:rFonts w:ascii="Century" w:hAnsi="Century"/>
        </w:rPr>
        <w:t xml:space="preserve"> It is no coincidence that the</w:t>
      </w:r>
      <w:r>
        <w:rPr>
          <w:rFonts w:ascii="Century" w:hAnsi="Century"/>
        </w:rPr>
        <w:t xml:space="preserve"> most famous invocation of the</w:t>
      </w:r>
      <w:r w:rsidRPr="00B96ED6">
        <w:rPr>
          <w:rFonts w:ascii="Century" w:hAnsi="Century"/>
        </w:rPr>
        <w:t xml:space="preserve"> doctrine</w:t>
      </w:r>
      <w:r>
        <w:rPr>
          <w:rFonts w:ascii="Century" w:hAnsi="Century"/>
        </w:rPr>
        <w:t xml:space="preserve"> in </w:t>
      </w:r>
      <w:r w:rsidR="00E70861">
        <w:rPr>
          <w:rFonts w:ascii="Century" w:hAnsi="Century"/>
        </w:rPr>
        <w:t>the US</w:t>
      </w:r>
      <w:r>
        <w:rPr>
          <w:rFonts w:ascii="Century" w:hAnsi="Century"/>
        </w:rPr>
        <w:t xml:space="preserve"> came during the stand-off between</w:t>
      </w:r>
      <w:r w:rsidR="000735AD">
        <w:rPr>
          <w:rFonts w:ascii="Century" w:hAnsi="Century"/>
        </w:rPr>
        <w:t xml:space="preserve"> </w:t>
      </w:r>
      <w:r w:rsidR="000735AD" w:rsidRPr="00B96ED6">
        <w:rPr>
          <w:rFonts w:ascii="Century" w:hAnsi="Century"/>
        </w:rPr>
        <w:t>President Roosevelt</w:t>
      </w:r>
      <w:r>
        <w:rPr>
          <w:rFonts w:ascii="Century" w:hAnsi="Century"/>
        </w:rPr>
        <w:t xml:space="preserve"> a</w:t>
      </w:r>
      <w:r w:rsidR="000735AD">
        <w:rPr>
          <w:rFonts w:ascii="Century" w:hAnsi="Century"/>
        </w:rPr>
        <w:t>nd a</w:t>
      </w:r>
      <w:r w:rsidRPr="00B96ED6">
        <w:rPr>
          <w:rFonts w:ascii="Century" w:hAnsi="Century"/>
        </w:rPr>
        <w:t xml:space="preserve"> classic</w:t>
      </w:r>
      <w:r>
        <w:rPr>
          <w:rFonts w:ascii="Century" w:hAnsi="Century"/>
        </w:rPr>
        <w:t>al</w:t>
      </w:r>
      <w:r w:rsidRPr="00B96ED6">
        <w:rPr>
          <w:rFonts w:ascii="Century" w:hAnsi="Century"/>
        </w:rPr>
        <w:t xml:space="preserve"> liberal and laissez faire sympathetic</w:t>
      </w:r>
      <w:r>
        <w:rPr>
          <w:rFonts w:ascii="Century" w:hAnsi="Century"/>
        </w:rPr>
        <w:t xml:space="preserve"> US</w:t>
      </w:r>
      <w:r w:rsidRPr="00B96ED6">
        <w:rPr>
          <w:rFonts w:ascii="Century" w:hAnsi="Century"/>
        </w:rPr>
        <w:t xml:space="preserve"> Supreme Court </w:t>
      </w:r>
      <w:r>
        <w:rPr>
          <w:rFonts w:ascii="Century" w:hAnsi="Century"/>
        </w:rPr>
        <w:t>over his</w:t>
      </w:r>
      <w:r w:rsidRPr="00B96ED6">
        <w:rPr>
          <w:rFonts w:ascii="Century" w:hAnsi="Century"/>
        </w:rPr>
        <w:t xml:space="preserve"> ambitious New Deal programme</w:t>
      </w:r>
      <w:r w:rsidR="00CC45F0">
        <w:rPr>
          <w:rFonts w:ascii="Century" w:hAnsi="Century"/>
        </w:rPr>
        <w:t>.</w:t>
      </w:r>
      <w:r w:rsidR="00652CA8">
        <w:rPr>
          <w:rFonts w:ascii="Century" w:hAnsi="Century"/>
        </w:rPr>
        <w:t xml:space="preserve"> </w:t>
      </w:r>
      <w:r w:rsidR="00516D04">
        <w:rPr>
          <w:rFonts w:ascii="Century" w:hAnsi="Century"/>
        </w:rPr>
        <w:t>While the US has had an administrative state since its foundation, t</w:t>
      </w:r>
      <w:r w:rsidR="00CC45F0">
        <w:rPr>
          <w:rFonts w:ascii="Century" w:hAnsi="Century"/>
        </w:rPr>
        <w:t>his period</w:t>
      </w:r>
      <w:r w:rsidR="00516D04">
        <w:rPr>
          <w:rFonts w:ascii="Century" w:hAnsi="Century"/>
        </w:rPr>
        <w:t xml:space="preserve"> </w:t>
      </w:r>
      <w:r w:rsidR="00BC4B90">
        <w:rPr>
          <w:rFonts w:ascii="Century" w:hAnsi="Century"/>
        </w:rPr>
        <w:t>in particular saw</w:t>
      </w:r>
      <w:r>
        <w:rPr>
          <w:rFonts w:ascii="Century" w:hAnsi="Century"/>
        </w:rPr>
        <w:t xml:space="preserve"> a</w:t>
      </w:r>
      <w:r w:rsidR="008B3CC8">
        <w:rPr>
          <w:rFonts w:ascii="Century" w:hAnsi="Century"/>
        </w:rPr>
        <w:t>n</w:t>
      </w:r>
      <w:r w:rsidR="00516D04">
        <w:rPr>
          <w:rFonts w:ascii="Century" w:hAnsi="Century"/>
        </w:rPr>
        <w:t xml:space="preserve"> </w:t>
      </w:r>
      <w:r w:rsidR="008B3CC8">
        <w:rPr>
          <w:rFonts w:ascii="Century" w:hAnsi="Century"/>
        </w:rPr>
        <w:t xml:space="preserve">enormous </w:t>
      </w:r>
      <w:r>
        <w:rPr>
          <w:rFonts w:ascii="Century" w:hAnsi="Century"/>
        </w:rPr>
        <w:t>delegation of statutory power</w:t>
      </w:r>
      <w:r w:rsidR="00CC45F0">
        <w:rPr>
          <w:rFonts w:ascii="Century" w:hAnsi="Century"/>
        </w:rPr>
        <w:t xml:space="preserve"> by Congress</w:t>
      </w:r>
      <w:r>
        <w:rPr>
          <w:rFonts w:ascii="Century" w:hAnsi="Century"/>
        </w:rPr>
        <w:t xml:space="preserve"> to the executive and administrative agencies</w:t>
      </w:r>
      <w:r w:rsidR="00516D04">
        <w:rPr>
          <w:rFonts w:ascii="Century" w:hAnsi="Century"/>
        </w:rPr>
        <w:t>.</w:t>
      </w:r>
      <w:r w:rsidR="00070834">
        <w:rPr>
          <w:rStyle w:val="FootnoteReference"/>
          <w:rFonts w:ascii="Century" w:hAnsi="Century"/>
        </w:rPr>
        <w:footnoteReference w:id="102"/>
      </w:r>
      <w:r w:rsidR="00516D04">
        <w:rPr>
          <w:rFonts w:ascii="Century" w:hAnsi="Century"/>
        </w:rPr>
        <w:t xml:space="preserve"> Capacious rulemaking power was provided to allow the executive to marry</w:t>
      </w:r>
      <w:r w:rsidR="000735AD">
        <w:rPr>
          <w:rFonts w:ascii="Century" w:hAnsi="Century"/>
        </w:rPr>
        <w:t xml:space="preserve"> institutional</w:t>
      </w:r>
      <w:r w:rsidR="00516D04">
        <w:rPr>
          <w:rFonts w:ascii="Century" w:hAnsi="Century"/>
        </w:rPr>
        <w:t xml:space="preserve"> energy</w:t>
      </w:r>
      <w:r w:rsidR="000735AD">
        <w:rPr>
          <w:rFonts w:ascii="Century" w:hAnsi="Century"/>
        </w:rPr>
        <w:t xml:space="preserve"> and flexibility</w:t>
      </w:r>
      <w:r w:rsidR="0069252A">
        <w:rPr>
          <w:rFonts w:ascii="Century" w:hAnsi="Century"/>
        </w:rPr>
        <w:t>,</w:t>
      </w:r>
      <w:r w:rsidR="000735AD">
        <w:rPr>
          <w:rFonts w:ascii="Century" w:hAnsi="Century"/>
        </w:rPr>
        <w:t xml:space="preserve"> with</w:t>
      </w:r>
      <w:r w:rsidR="00516D04">
        <w:rPr>
          <w:rFonts w:ascii="Century" w:hAnsi="Century"/>
        </w:rPr>
        <w:t xml:space="preserve"> technocratic expertise</w:t>
      </w:r>
      <w:r w:rsidR="0069252A">
        <w:rPr>
          <w:rFonts w:ascii="Century" w:hAnsi="Century"/>
        </w:rPr>
        <w:t>,</w:t>
      </w:r>
      <w:r>
        <w:rPr>
          <w:rFonts w:ascii="Century" w:hAnsi="Century"/>
        </w:rPr>
        <w:t xml:space="preserve"> to engage in large-scale socio-economic regulation and redistribution</w:t>
      </w:r>
      <w:r w:rsidR="00CC45F0">
        <w:rPr>
          <w:rFonts w:ascii="Century" w:hAnsi="Century"/>
        </w:rPr>
        <w:t xml:space="preserve"> </w:t>
      </w:r>
      <w:r w:rsidR="00516D04">
        <w:rPr>
          <w:rFonts w:ascii="Century" w:hAnsi="Century"/>
        </w:rPr>
        <w:t>to</w:t>
      </w:r>
      <w:r w:rsidR="00CC45F0">
        <w:rPr>
          <w:rFonts w:ascii="Century" w:hAnsi="Century"/>
        </w:rPr>
        <w:t xml:space="preserve"> tackle the deep political</w:t>
      </w:r>
      <w:r w:rsidR="00516D04">
        <w:rPr>
          <w:rFonts w:ascii="Century" w:hAnsi="Century"/>
        </w:rPr>
        <w:t xml:space="preserve"> and economic</w:t>
      </w:r>
      <w:r w:rsidR="00CC45F0">
        <w:rPr>
          <w:rFonts w:ascii="Century" w:hAnsi="Century"/>
        </w:rPr>
        <w:t xml:space="preserve"> problems the US </w:t>
      </w:r>
      <w:r w:rsidR="002033AC">
        <w:rPr>
          <w:rFonts w:ascii="Century" w:hAnsi="Century"/>
        </w:rPr>
        <w:t>faced</w:t>
      </w:r>
      <w:r w:rsidR="00CC45F0">
        <w:rPr>
          <w:rFonts w:ascii="Century" w:hAnsi="Century"/>
        </w:rPr>
        <w:t xml:space="preserve"> </w:t>
      </w:r>
      <w:r w:rsidR="00516D04">
        <w:rPr>
          <w:rFonts w:ascii="Century" w:hAnsi="Century"/>
        </w:rPr>
        <w:t>following the Great Depression</w:t>
      </w:r>
      <w:r>
        <w:rPr>
          <w:rFonts w:ascii="Century" w:hAnsi="Century"/>
        </w:rPr>
        <w:t>.</w:t>
      </w:r>
      <w:r w:rsidRPr="00B96ED6">
        <w:rPr>
          <w:rStyle w:val="FootnoteReference"/>
          <w:rFonts w:ascii="Century" w:hAnsi="Century"/>
        </w:rPr>
        <w:footnoteReference w:id="103"/>
      </w:r>
      <w:r>
        <w:rPr>
          <w:rFonts w:ascii="Century" w:hAnsi="Century"/>
        </w:rPr>
        <w:t xml:space="preserve"> </w:t>
      </w:r>
      <w:r w:rsidR="00A46EFA">
        <w:rPr>
          <w:rFonts w:ascii="Century" w:hAnsi="Century"/>
        </w:rPr>
        <w:t>Unimpressed by some of these constitutional developments, t</w:t>
      </w:r>
      <w:r w:rsidR="001943DF">
        <w:rPr>
          <w:rFonts w:ascii="Century" w:hAnsi="Century"/>
        </w:rPr>
        <w:t>he Supreme Court</w:t>
      </w:r>
      <w:r w:rsidR="000735AD">
        <w:rPr>
          <w:rFonts w:ascii="Century" w:hAnsi="Century"/>
        </w:rPr>
        <w:t xml:space="preserve"> invalidat</w:t>
      </w:r>
      <w:r w:rsidR="001943DF">
        <w:rPr>
          <w:rFonts w:ascii="Century" w:hAnsi="Century"/>
        </w:rPr>
        <w:t>ed</w:t>
      </w:r>
      <w:r w:rsidR="000735AD">
        <w:rPr>
          <w:rFonts w:ascii="Century" w:hAnsi="Century"/>
        </w:rPr>
        <w:t xml:space="preserve"> two</w:t>
      </w:r>
      <w:r w:rsidR="001943DF">
        <w:rPr>
          <w:rFonts w:ascii="Century" w:hAnsi="Century"/>
        </w:rPr>
        <w:t xml:space="preserve"> significant</w:t>
      </w:r>
      <w:r w:rsidR="000735AD">
        <w:rPr>
          <w:rFonts w:ascii="Century" w:hAnsi="Century"/>
        </w:rPr>
        <w:t xml:space="preserve"> statutes</w:t>
      </w:r>
      <w:r w:rsidR="00FE6A67">
        <w:rPr>
          <w:rStyle w:val="FootnoteReference"/>
          <w:rFonts w:ascii="Century" w:hAnsi="Century"/>
        </w:rPr>
        <w:footnoteReference w:id="104"/>
      </w:r>
      <w:r w:rsidR="000735AD">
        <w:rPr>
          <w:rFonts w:ascii="Century" w:hAnsi="Century"/>
        </w:rPr>
        <w:t xml:space="preserve"> </w:t>
      </w:r>
      <w:r w:rsidR="00227443">
        <w:rPr>
          <w:rFonts w:ascii="Century" w:hAnsi="Century"/>
        </w:rPr>
        <w:t>in 1935</w:t>
      </w:r>
      <w:r w:rsidR="001943DF">
        <w:rPr>
          <w:rFonts w:ascii="Century" w:hAnsi="Century"/>
        </w:rPr>
        <w:t xml:space="preserve"> after</w:t>
      </w:r>
      <w:r w:rsidR="00227443">
        <w:rPr>
          <w:rFonts w:ascii="Century" w:hAnsi="Century"/>
        </w:rPr>
        <w:t xml:space="preserve"> </w:t>
      </w:r>
      <w:r w:rsidR="002033AC">
        <w:rPr>
          <w:rFonts w:ascii="Century" w:hAnsi="Century"/>
        </w:rPr>
        <w:t>deploying</w:t>
      </w:r>
      <w:r w:rsidR="00227443">
        <w:rPr>
          <w:rFonts w:ascii="Century" w:hAnsi="Century"/>
        </w:rPr>
        <w:t xml:space="preserve"> a</w:t>
      </w:r>
      <w:r w:rsidR="000735AD">
        <w:rPr>
          <w:rFonts w:ascii="Century" w:hAnsi="Century"/>
        </w:rPr>
        <w:t xml:space="preserve"> strong-form </w:t>
      </w:r>
      <w:r w:rsidR="000735AD" w:rsidRPr="000A2C6E">
        <w:rPr>
          <w:rFonts w:ascii="Century" w:hAnsi="Century"/>
        </w:rPr>
        <w:t>delegation doctrine</w:t>
      </w:r>
      <w:r w:rsidR="000A2C6E" w:rsidRPr="000A2C6E">
        <w:rPr>
          <w:rFonts w:ascii="Century" w:hAnsi="Century"/>
        </w:rPr>
        <w:t xml:space="preserve"> that required Congress to lay down</w:t>
      </w:r>
      <w:r w:rsidR="00AD5FC0">
        <w:rPr>
          <w:rFonts w:ascii="Century" w:hAnsi="Century"/>
        </w:rPr>
        <w:t xml:space="preserve"> all relevant</w:t>
      </w:r>
      <w:r w:rsidR="000A2C6E" w:rsidRPr="000A2C6E">
        <w:rPr>
          <w:rFonts w:ascii="Century" w:hAnsi="Century"/>
        </w:rPr>
        <w:t xml:space="preserve"> </w:t>
      </w:r>
      <w:r w:rsidR="00F06CCC">
        <w:rPr>
          <w:rFonts w:ascii="Century" w:hAnsi="Century"/>
        </w:rPr>
        <w:t>‘</w:t>
      </w:r>
      <w:r w:rsidR="000A2C6E" w:rsidRPr="000A2C6E">
        <w:rPr>
          <w:rFonts w:ascii="Century" w:eastAsia="Times New Roman" w:hAnsi="Century" w:cs="Open Sans"/>
          <w:color w:val="000000"/>
          <w:shd w:val="clear" w:color="auto" w:fill="FFFFFF"/>
          <w:lang w:val="en-GB" w:eastAsia="en-GB"/>
        </w:rPr>
        <w:t>policies and establishing standards</w:t>
      </w:r>
      <w:r w:rsidR="00F06CCC">
        <w:rPr>
          <w:rFonts w:ascii="Century" w:eastAsia="Times New Roman" w:hAnsi="Century" w:cs="Open Sans"/>
          <w:color w:val="000000"/>
          <w:shd w:val="clear" w:color="auto" w:fill="FFFFFF"/>
          <w:lang w:val="en-GB" w:eastAsia="en-GB"/>
        </w:rPr>
        <w:t>’</w:t>
      </w:r>
      <w:r w:rsidR="000A2C6E" w:rsidRPr="000A2C6E">
        <w:rPr>
          <w:rFonts w:ascii="Century" w:eastAsia="Times New Roman" w:hAnsi="Century" w:cs="Open Sans"/>
          <w:color w:val="000000"/>
          <w:shd w:val="clear" w:color="auto" w:fill="FFFFFF"/>
          <w:lang w:val="en-GB" w:eastAsia="en-GB"/>
        </w:rPr>
        <w:t xml:space="preserve"> while leaving to </w:t>
      </w:r>
      <w:r w:rsidR="00F06CCC">
        <w:rPr>
          <w:rFonts w:ascii="Century" w:eastAsia="Times New Roman" w:hAnsi="Century" w:cs="Open Sans"/>
          <w:color w:val="000000"/>
          <w:shd w:val="clear" w:color="auto" w:fill="FFFFFF"/>
          <w:lang w:val="en-GB" w:eastAsia="en-GB"/>
        </w:rPr>
        <w:t>‘</w:t>
      </w:r>
      <w:r w:rsidR="000A2C6E" w:rsidRPr="000A2C6E">
        <w:rPr>
          <w:rFonts w:ascii="Century" w:eastAsia="Times New Roman" w:hAnsi="Century" w:cs="Open Sans"/>
          <w:color w:val="000000"/>
          <w:shd w:val="clear" w:color="auto" w:fill="FFFFFF"/>
          <w:lang w:val="en-GB" w:eastAsia="en-GB"/>
        </w:rPr>
        <w:t>selected instrumentalities the making of subordinate rules within prescribed limits, and the determination of facts to which the policy, as declared by the legislature, is to apply.</w:t>
      </w:r>
      <w:r w:rsidR="00F06CCC">
        <w:rPr>
          <w:rFonts w:ascii="Century" w:eastAsia="Times New Roman" w:hAnsi="Century" w:cs="Open Sans"/>
          <w:color w:val="000000"/>
          <w:shd w:val="clear" w:color="auto" w:fill="FFFFFF"/>
          <w:lang w:val="en-GB" w:eastAsia="en-GB"/>
        </w:rPr>
        <w:t>’</w:t>
      </w:r>
      <w:r w:rsidR="000A2C6E" w:rsidRPr="000A2C6E">
        <w:rPr>
          <w:rStyle w:val="FootnoteReference"/>
          <w:rFonts w:ascii="Century" w:eastAsia="Times New Roman" w:hAnsi="Century" w:cs="Open Sans"/>
          <w:color w:val="000000"/>
          <w:shd w:val="clear" w:color="auto" w:fill="FFFFFF"/>
          <w:lang w:val="en-GB" w:eastAsia="en-GB"/>
        </w:rPr>
        <w:footnoteReference w:id="105"/>
      </w:r>
      <w:r w:rsidR="000735AD" w:rsidRPr="000A2C6E">
        <w:rPr>
          <w:rFonts w:ascii="Century" w:hAnsi="Century"/>
        </w:rPr>
        <w:t xml:space="preserve"> </w:t>
      </w:r>
    </w:p>
    <w:p w14:paraId="49AA7F50" w14:textId="77777777" w:rsidR="00652CA8" w:rsidRDefault="00652CA8" w:rsidP="00E81877">
      <w:pPr>
        <w:spacing w:line="480" w:lineRule="auto"/>
        <w:ind w:firstLine="720"/>
        <w:jc w:val="both"/>
        <w:rPr>
          <w:rFonts w:ascii="Century" w:hAnsi="Century"/>
        </w:rPr>
      </w:pPr>
    </w:p>
    <w:p w14:paraId="160DF658" w14:textId="59785CE4" w:rsidR="00865D9B" w:rsidRPr="00657DC0" w:rsidRDefault="001943DF" w:rsidP="00E81877">
      <w:pPr>
        <w:spacing w:line="480" w:lineRule="auto"/>
        <w:ind w:firstLine="720"/>
        <w:jc w:val="both"/>
        <w:rPr>
          <w:rFonts w:ascii="Century" w:eastAsia="Times New Roman" w:hAnsi="Century" w:cs="Open Sans"/>
          <w:color w:val="000000"/>
          <w:shd w:val="clear" w:color="auto" w:fill="FFFFFF"/>
          <w:lang w:val="en-GB" w:eastAsia="en-GB"/>
        </w:rPr>
      </w:pPr>
      <w:r>
        <w:rPr>
          <w:rFonts w:ascii="Century" w:hAnsi="Century"/>
        </w:rPr>
        <w:t>But soon thereafter</w:t>
      </w:r>
      <w:r w:rsidR="0069252A">
        <w:rPr>
          <w:rFonts w:ascii="Century" w:hAnsi="Century"/>
        </w:rPr>
        <w:t>,</w:t>
      </w:r>
      <w:r>
        <w:rPr>
          <w:rFonts w:ascii="Century" w:hAnsi="Century"/>
        </w:rPr>
        <w:t xml:space="preserve"> the</w:t>
      </w:r>
      <w:r w:rsidR="000735AD" w:rsidRPr="000A2C6E">
        <w:rPr>
          <w:rFonts w:ascii="Century" w:hAnsi="Century"/>
        </w:rPr>
        <w:t xml:space="preserve"> Supreme Court </w:t>
      </w:r>
      <w:r w:rsidR="00D66FE4">
        <w:rPr>
          <w:rFonts w:ascii="Century" w:hAnsi="Century"/>
        </w:rPr>
        <w:t>backed down and opted</w:t>
      </w:r>
      <w:r w:rsidR="000735AD" w:rsidRPr="000A2C6E">
        <w:rPr>
          <w:rFonts w:ascii="Century" w:hAnsi="Century"/>
        </w:rPr>
        <w:t xml:space="preserve"> for a far loose</w:t>
      </w:r>
      <w:r w:rsidR="00924E3B" w:rsidRPr="000A2C6E">
        <w:rPr>
          <w:rFonts w:ascii="Century" w:hAnsi="Century"/>
        </w:rPr>
        <w:t>r and open-ended</w:t>
      </w:r>
      <w:r w:rsidR="000735AD" w:rsidRPr="000A2C6E">
        <w:rPr>
          <w:rFonts w:ascii="Century" w:hAnsi="Century"/>
        </w:rPr>
        <w:t xml:space="preserve"> version</w:t>
      </w:r>
      <w:r w:rsidR="00D66FE4">
        <w:rPr>
          <w:rFonts w:ascii="Century" w:hAnsi="Century"/>
        </w:rPr>
        <w:t xml:space="preserve"> of the delegation test</w:t>
      </w:r>
      <w:r w:rsidR="000735AD" w:rsidRPr="000A2C6E">
        <w:rPr>
          <w:rFonts w:ascii="Century" w:hAnsi="Century"/>
        </w:rPr>
        <w:t xml:space="preserve"> that has</w:t>
      </w:r>
      <w:r>
        <w:rPr>
          <w:rFonts w:ascii="Century" w:hAnsi="Century"/>
        </w:rPr>
        <w:t xml:space="preserve"> since</w:t>
      </w:r>
      <w:r w:rsidR="000735AD" w:rsidRPr="000A2C6E">
        <w:rPr>
          <w:rFonts w:ascii="Century" w:hAnsi="Century"/>
        </w:rPr>
        <w:t xml:space="preserve"> never been deployed</w:t>
      </w:r>
      <w:r w:rsidR="00D66FE4">
        <w:rPr>
          <w:rFonts w:ascii="Century" w:hAnsi="Century"/>
        </w:rPr>
        <w:t xml:space="preserve"> to invalidate a statute</w:t>
      </w:r>
      <w:r w:rsidR="000735AD" w:rsidRPr="000A2C6E">
        <w:rPr>
          <w:rFonts w:ascii="Century" w:hAnsi="Century"/>
        </w:rPr>
        <w:t>.</w:t>
      </w:r>
      <w:r w:rsidR="000735AD" w:rsidRPr="000A2C6E">
        <w:rPr>
          <w:rStyle w:val="FootnoteReference"/>
          <w:rFonts w:ascii="Century" w:hAnsi="Century"/>
        </w:rPr>
        <w:footnoteReference w:id="106"/>
      </w:r>
      <w:r w:rsidR="00924E3B" w:rsidRPr="000A2C6E">
        <w:rPr>
          <w:rFonts w:ascii="Century" w:hAnsi="Century"/>
        </w:rPr>
        <w:t xml:space="preserve"> All Congress needs to provide</w:t>
      </w:r>
      <w:r w:rsidR="007E76C9" w:rsidRPr="000A2C6E">
        <w:rPr>
          <w:rFonts w:ascii="Century" w:hAnsi="Century"/>
        </w:rPr>
        <w:t xml:space="preserve"> when delegating rulemaking authority </w:t>
      </w:r>
      <w:r w:rsidR="00924E3B" w:rsidRPr="000A2C6E">
        <w:rPr>
          <w:rFonts w:ascii="Century" w:hAnsi="Century"/>
        </w:rPr>
        <w:t>is a</w:t>
      </w:r>
      <w:r w:rsidR="009E712D" w:rsidRPr="000A2C6E">
        <w:rPr>
          <w:rFonts w:ascii="Century" w:hAnsi="Century"/>
        </w:rPr>
        <w:t xml:space="preserve"> basic</w:t>
      </w:r>
      <w:r w:rsidR="00924E3B" w:rsidRPr="000A2C6E">
        <w:rPr>
          <w:rFonts w:ascii="Century" w:hAnsi="Century"/>
        </w:rPr>
        <w:t xml:space="preserve"> intelligible principle to guide </w:t>
      </w:r>
      <w:r w:rsidR="009E712D" w:rsidRPr="000A2C6E">
        <w:rPr>
          <w:rFonts w:ascii="Century" w:hAnsi="Century"/>
        </w:rPr>
        <w:t>the</w:t>
      </w:r>
      <w:r w:rsidR="007E76C9" w:rsidRPr="000A2C6E">
        <w:rPr>
          <w:rFonts w:ascii="Century" w:hAnsi="Century"/>
        </w:rPr>
        <w:t xml:space="preserve"> delegate</w:t>
      </w:r>
      <w:r w:rsidR="009E712D" w:rsidRPr="000A2C6E">
        <w:rPr>
          <w:rFonts w:ascii="Century" w:hAnsi="Century"/>
        </w:rPr>
        <w:t>’</w:t>
      </w:r>
      <w:r w:rsidR="007E76C9" w:rsidRPr="000A2C6E">
        <w:rPr>
          <w:rFonts w:ascii="Century" w:hAnsi="Century"/>
        </w:rPr>
        <w:t>s statutory discretion</w:t>
      </w:r>
      <w:r w:rsidR="00924E3B" w:rsidRPr="000A2C6E">
        <w:rPr>
          <w:rFonts w:ascii="Century" w:hAnsi="Century"/>
        </w:rPr>
        <w:t xml:space="preserve"> </w:t>
      </w:r>
      <w:r w:rsidR="00227443" w:rsidRPr="000A2C6E">
        <w:rPr>
          <w:rFonts w:ascii="Century" w:hAnsi="Century"/>
        </w:rPr>
        <w:t xml:space="preserve">and the </w:t>
      </w:r>
      <w:r w:rsidR="007E76C9" w:rsidRPr="000A2C6E">
        <w:rPr>
          <w:rFonts w:ascii="Century" w:hAnsi="Century"/>
        </w:rPr>
        <w:t>Federal</w:t>
      </w:r>
      <w:r w:rsidR="00227443" w:rsidRPr="000A2C6E">
        <w:rPr>
          <w:rFonts w:ascii="Century" w:hAnsi="Century"/>
        </w:rPr>
        <w:t xml:space="preserve"> Court</w:t>
      </w:r>
      <w:r w:rsidR="007E76C9" w:rsidRPr="000A2C6E">
        <w:rPr>
          <w:rFonts w:ascii="Century" w:hAnsi="Century"/>
        </w:rPr>
        <w:t>s</w:t>
      </w:r>
      <w:r w:rsidR="00227443" w:rsidRPr="000A2C6E">
        <w:rPr>
          <w:rFonts w:ascii="Century" w:hAnsi="Century"/>
        </w:rPr>
        <w:t xml:space="preserve"> will uphold it as permissible</w:t>
      </w:r>
      <w:r w:rsidR="00924E3B" w:rsidRPr="000A2C6E">
        <w:rPr>
          <w:rFonts w:ascii="Century" w:hAnsi="Century"/>
        </w:rPr>
        <w:t>.</w:t>
      </w:r>
      <w:r w:rsidR="00924E3B" w:rsidRPr="000A2C6E">
        <w:rPr>
          <w:rStyle w:val="FootnoteReference"/>
          <w:rFonts w:ascii="Century" w:hAnsi="Century"/>
        </w:rPr>
        <w:footnoteReference w:id="107"/>
      </w:r>
      <w:r w:rsidR="000735AD" w:rsidRPr="000A2C6E">
        <w:rPr>
          <w:rFonts w:ascii="Century" w:hAnsi="Century"/>
        </w:rPr>
        <w:t xml:space="preserve"> </w:t>
      </w:r>
      <w:r w:rsidR="00865D9B" w:rsidRPr="000A2C6E">
        <w:rPr>
          <w:rFonts w:ascii="Century" w:hAnsi="Century"/>
        </w:rPr>
        <w:t>If the Supreme Court</w:t>
      </w:r>
      <w:r w:rsidR="00516D04" w:rsidRPr="000A2C6E">
        <w:rPr>
          <w:rFonts w:ascii="Century" w:hAnsi="Century"/>
        </w:rPr>
        <w:t>’s classical liberal and small-government vision of the separation of powers</w:t>
      </w:r>
      <w:r w:rsidR="00865D9B" w:rsidRPr="000A2C6E">
        <w:rPr>
          <w:rFonts w:ascii="Century" w:hAnsi="Century"/>
        </w:rPr>
        <w:t xml:space="preserve"> had prevailed,</w:t>
      </w:r>
      <w:r w:rsidR="0062756F">
        <w:rPr>
          <w:rFonts w:ascii="Century" w:hAnsi="Century"/>
        </w:rPr>
        <w:t xml:space="preserve"> it is fair to say</w:t>
      </w:r>
      <w:r w:rsidR="00865D9B" w:rsidRPr="000A2C6E">
        <w:rPr>
          <w:rFonts w:ascii="Century" w:hAnsi="Century"/>
        </w:rPr>
        <w:t xml:space="preserve"> </w:t>
      </w:r>
      <w:r w:rsidR="00516D04" w:rsidRPr="000A2C6E">
        <w:rPr>
          <w:rFonts w:ascii="Century" w:hAnsi="Century"/>
        </w:rPr>
        <w:t xml:space="preserve">the US system of </w:t>
      </w:r>
      <w:r w:rsidR="003B6184" w:rsidRPr="000A2C6E">
        <w:rPr>
          <w:rFonts w:ascii="Century" w:hAnsi="Century"/>
        </w:rPr>
        <w:t xml:space="preserve">executive-centred </w:t>
      </w:r>
      <w:r w:rsidR="00516D04" w:rsidRPr="000A2C6E">
        <w:rPr>
          <w:rFonts w:ascii="Century" w:hAnsi="Century"/>
        </w:rPr>
        <w:t xml:space="preserve">government would look </w:t>
      </w:r>
      <w:r w:rsidR="00AD5FC0">
        <w:rPr>
          <w:rFonts w:ascii="Century" w:hAnsi="Century"/>
        </w:rPr>
        <w:t>very</w:t>
      </w:r>
      <w:r w:rsidR="00516D04" w:rsidRPr="000A2C6E">
        <w:rPr>
          <w:rFonts w:ascii="Century" w:hAnsi="Century"/>
        </w:rPr>
        <w:t xml:space="preserve"> different today.</w:t>
      </w:r>
    </w:p>
    <w:p w14:paraId="76EDAB83" w14:textId="77777777" w:rsidR="00865D9B" w:rsidRDefault="00865D9B" w:rsidP="00E81877">
      <w:pPr>
        <w:spacing w:line="480" w:lineRule="auto"/>
        <w:ind w:firstLine="720"/>
        <w:jc w:val="both"/>
        <w:rPr>
          <w:rFonts w:ascii="Century" w:hAnsi="Century"/>
        </w:rPr>
      </w:pPr>
    </w:p>
    <w:p w14:paraId="5599C63A" w14:textId="79908DA9" w:rsidR="0062756F" w:rsidRDefault="00317371" w:rsidP="00E81877">
      <w:pPr>
        <w:spacing w:line="480" w:lineRule="auto"/>
        <w:ind w:firstLine="720"/>
        <w:jc w:val="both"/>
        <w:rPr>
          <w:rFonts w:ascii="Century" w:hAnsi="Century"/>
        </w:rPr>
      </w:pPr>
      <w:r>
        <w:rPr>
          <w:rFonts w:ascii="Century" w:hAnsi="Century"/>
        </w:rPr>
        <w:t>It is also no coincidence those</w:t>
      </w:r>
      <w:r w:rsidR="00FE47D3">
        <w:rPr>
          <w:rFonts w:ascii="Century" w:hAnsi="Century"/>
        </w:rPr>
        <w:t xml:space="preserve"> </w:t>
      </w:r>
      <w:r>
        <w:rPr>
          <w:rFonts w:ascii="Century" w:hAnsi="Century"/>
        </w:rPr>
        <w:t>calling</w:t>
      </w:r>
      <w:r w:rsidR="00DE49F5">
        <w:rPr>
          <w:rFonts w:ascii="Century" w:hAnsi="Century"/>
        </w:rPr>
        <w:t xml:space="preserve"> </w:t>
      </w:r>
      <w:r>
        <w:rPr>
          <w:rFonts w:ascii="Century" w:hAnsi="Century"/>
        </w:rPr>
        <w:t xml:space="preserve">most </w:t>
      </w:r>
      <w:r w:rsidR="00FE47D3">
        <w:rPr>
          <w:rFonts w:ascii="Century" w:hAnsi="Century"/>
        </w:rPr>
        <w:t>vocally</w:t>
      </w:r>
      <w:r w:rsidR="00DE49F5">
        <w:rPr>
          <w:rFonts w:ascii="Century" w:hAnsi="Century"/>
        </w:rPr>
        <w:t xml:space="preserve"> today</w:t>
      </w:r>
      <w:r>
        <w:rPr>
          <w:rFonts w:ascii="Century" w:hAnsi="Century"/>
        </w:rPr>
        <w:t xml:space="preserve"> for a reinvigoration of </w:t>
      </w:r>
      <w:r w:rsidR="000735AD">
        <w:rPr>
          <w:rFonts w:ascii="Century" w:hAnsi="Century"/>
        </w:rPr>
        <w:t>a strong form</w:t>
      </w:r>
      <w:r w:rsidR="002024B2">
        <w:rPr>
          <w:rFonts w:ascii="Century" w:hAnsi="Century"/>
        </w:rPr>
        <w:t xml:space="preserve"> of the delegation</w:t>
      </w:r>
      <w:r>
        <w:rPr>
          <w:rFonts w:ascii="Century" w:hAnsi="Century"/>
        </w:rPr>
        <w:t xml:space="preserve"> doctrine</w:t>
      </w:r>
      <w:r w:rsidR="0069252A">
        <w:rPr>
          <w:rFonts w:ascii="Century" w:hAnsi="Century"/>
        </w:rPr>
        <w:t>,</w:t>
      </w:r>
      <w:r>
        <w:rPr>
          <w:rFonts w:ascii="Century" w:hAnsi="Century"/>
        </w:rPr>
        <w:t xml:space="preserve"> are</w:t>
      </w:r>
      <w:r w:rsidR="0062756F">
        <w:rPr>
          <w:rFonts w:ascii="Century" w:hAnsi="Century"/>
        </w:rPr>
        <w:t xml:space="preserve"> jurists of a</w:t>
      </w:r>
      <w:r w:rsidRPr="00B96ED6">
        <w:rPr>
          <w:rFonts w:ascii="Century" w:hAnsi="Century"/>
        </w:rPr>
        <w:t xml:space="preserve"> </w:t>
      </w:r>
      <w:r w:rsidR="0062756F">
        <w:rPr>
          <w:rFonts w:ascii="Century" w:hAnsi="Century"/>
        </w:rPr>
        <w:t xml:space="preserve">classical liberal or </w:t>
      </w:r>
      <w:r w:rsidRPr="00B96ED6">
        <w:rPr>
          <w:rFonts w:ascii="Century" w:hAnsi="Century"/>
        </w:rPr>
        <w:t>libertarian</w:t>
      </w:r>
      <w:r w:rsidR="0062756F">
        <w:rPr>
          <w:rFonts w:ascii="Century" w:hAnsi="Century"/>
        </w:rPr>
        <w:t xml:space="preserve"> </w:t>
      </w:r>
      <w:r w:rsidR="001B4528">
        <w:rPr>
          <w:rFonts w:ascii="Century" w:hAnsi="Century"/>
        </w:rPr>
        <w:t>bent</w:t>
      </w:r>
      <w:r>
        <w:rPr>
          <w:rFonts w:ascii="Century" w:hAnsi="Century"/>
        </w:rPr>
        <w:t xml:space="preserve"> critical of the</w:t>
      </w:r>
      <w:r w:rsidR="00CC45F0">
        <w:rPr>
          <w:rFonts w:ascii="Century" w:hAnsi="Century"/>
        </w:rPr>
        <w:t xml:space="preserve"> post-New Deal</w:t>
      </w:r>
      <w:r>
        <w:rPr>
          <w:rFonts w:ascii="Century" w:hAnsi="Century"/>
        </w:rPr>
        <w:t xml:space="preserve"> </w:t>
      </w:r>
      <w:r w:rsidRPr="00B96ED6">
        <w:rPr>
          <w:rFonts w:ascii="Century" w:hAnsi="Century"/>
        </w:rPr>
        <w:t>administrative state</w:t>
      </w:r>
      <w:r>
        <w:rPr>
          <w:rFonts w:ascii="Century" w:hAnsi="Century"/>
        </w:rPr>
        <w:t xml:space="preserve"> and extensive government involvement in socio-economic life</w:t>
      </w:r>
      <w:r w:rsidR="00516D04">
        <w:rPr>
          <w:rFonts w:ascii="Century" w:hAnsi="Century"/>
        </w:rPr>
        <w:t>.</w:t>
      </w:r>
      <w:r w:rsidR="002024B2">
        <w:rPr>
          <w:rStyle w:val="FootnoteReference"/>
          <w:rFonts w:ascii="Century" w:hAnsi="Century"/>
        </w:rPr>
        <w:footnoteReference w:id="108"/>
      </w:r>
      <w:r w:rsidR="00516D04">
        <w:rPr>
          <w:rFonts w:ascii="Century" w:hAnsi="Century"/>
        </w:rPr>
        <w:t xml:space="preserve"> Jurists supportive of </w:t>
      </w:r>
      <w:r w:rsidR="008C6EF8">
        <w:rPr>
          <w:rFonts w:ascii="Century" w:hAnsi="Century"/>
        </w:rPr>
        <w:t>a revived</w:t>
      </w:r>
      <w:r w:rsidR="00516D04">
        <w:rPr>
          <w:rFonts w:ascii="Century" w:hAnsi="Century"/>
        </w:rPr>
        <w:t xml:space="preserve"> strong delegation doctrine</w:t>
      </w:r>
      <w:r w:rsidR="008C6EF8">
        <w:rPr>
          <w:rStyle w:val="FootnoteReference"/>
          <w:rFonts w:ascii="Century" w:hAnsi="Century"/>
        </w:rPr>
        <w:footnoteReference w:id="109"/>
      </w:r>
      <w:r w:rsidR="00516D04">
        <w:rPr>
          <w:rFonts w:ascii="Century" w:hAnsi="Century"/>
        </w:rPr>
        <w:t xml:space="preserve"> tend</w:t>
      </w:r>
      <w:r w:rsidR="005A68CA">
        <w:rPr>
          <w:rFonts w:ascii="Century" w:hAnsi="Century"/>
        </w:rPr>
        <w:t xml:space="preserve"> </w:t>
      </w:r>
      <w:r w:rsidR="00516D04">
        <w:rPr>
          <w:rFonts w:ascii="Century" w:hAnsi="Century"/>
        </w:rPr>
        <w:t xml:space="preserve">to </w:t>
      </w:r>
      <w:r w:rsidR="00290C5F">
        <w:rPr>
          <w:rFonts w:ascii="Century" w:hAnsi="Century"/>
        </w:rPr>
        <w:t>view</w:t>
      </w:r>
      <w:r w:rsidR="00C4696B">
        <w:rPr>
          <w:rFonts w:ascii="Century" w:hAnsi="Century"/>
        </w:rPr>
        <w:t xml:space="preserve"> the administrative state and the broad </w:t>
      </w:r>
      <w:r w:rsidR="00C4696B">
        <w:rPr>
          <w:rFonts w:ascii="Century" w:hAnsi="Century"/>
        </w:rPr>
        <w:lastRenderedPageBreak/>
        <w:t>rulemaking authority it enjoys</w:t>
      </w:r>
      <w:r w:rsidR="00FE47D3">
        <w:rPr>
          <w:rFonts w:ascii="Century" w:hAnsi="Century"/>
        </w:rPr>
        <w:t>,</w:t>
      </w:r>
      <w:r w:rsidR="005A68CA">
        <w:rPr>
          <w:rFonts w:ascii="Century" w:hAnsi="Century"/>
        </w:rPr>
        <w:t xml:space="preserve"> </w:t>
      </w:r>
      <w:r w:rsidR="00290C5F">
        <w:rPr>
          <w:rFonts w:ascii="Century" w:hAnsi="Century"/>
        </w:rPr>
        <w:t>as an erosion of democra</w:t>
      </w:r>
      <w:r w:rsidR="00AD5FC0">
        <w:rPr>
          <w:rFonts w:ascii="Century" w:hAnsi="Century"/>
        </w:rPr>
        <w:t>tic government</w:t>
      </w:r>
      <w:r w:rsidR="00290C5F">
        <w:rPr>
          <w:rFonts w:ascii="Century" w:hAnsi="Century"/>
        </w:rPr>
        <w:t xml:space="preserve"> and</w:t>
      </w:r>
      <w:r w:rsidR="0062756F">
        <w:rPr>
          <w:rFonts w:ascii="Century" w:hAnsi="Century"/>
        </w:rPr>
        <w:t xml:space="preserve"> dedication</w:t>
      </w:r>
      <w:r w:rsidR="008B586E">
        <w:rPr>
          <w:rFonts w:ascii="Century" w:hAnsi="Century"/>
        </w:rPr>
        <w:t xml:space="preserve"> to</w:t>
      </w:r>
      <w:r w:rsidR="00290C5F">
        <w:rPr>
          <w:rFonts w:ascii="Century" w:hAnsi="Century"/>
        </w:rPr>
        <w:t xml:space="preserve"> individual liberty</w:t>
      </w:r>
      <w:r w:rsidR="00191C52">
        <w:rPr>
          <w:rFonts w:ascii="Century" w:hAnsi="Century"/>
        </w:rPr>
        <w:t xml:space="preserve"> they regard as the heart of the separation of powers</w:t>
      </w:r>
      <w:r>
        <w:rPr>
          <w:rFonts w:ascii="Century" w:hAnsi="Century"/>
        </w:rPr>
        <w:t>.</w:t>
      </w:r>
      <w:r w:rsidR="00290C5F">
        <w:rPr>
          <w:rStyle w:val="FootnoteReference"/>
          <w:rFonts w:ascii="Century" w:hAnsi="Century"/>
        </w:rPr>
        <w:footnoteReference w:id="110"/>
      </w:r>
      <w:r w:rsidRPr="00B96ED6">
        <w:rPr>
          <w:rFonts w:ascii="Century" w:hAnsi="Century"/>
        </w:rPr>
        <w:t xml:space="preserve"> </w:t>
      </w:r>
    </w:p>
    <w:p w14:paraId="1E7CF0E2" w14:textId="77777777" w:rsidR="0062756F" w:rsidRDefault="0062756F" w:rsidP="00E81877">
      <w:pPr>
        <w:spacing w:line="480" w:lineRule="auto"/>
        <w:ind w:firstLine="720"/>
        <w:jc w:val="both"/>
        <w:rPr>
          <w:rFonts w:ascii="Century" w:hAnsi="Century"/>
        </w:rPr>
      </w:pPr>
    </w:p>
    <w:p w14:paraId="1F9ED4ED" w14:textId="697D1DB3" w:rsidR="00DD2EFF" w:rsidRPr="00FE47D3" w:rsidRDefault="00191C52" w:rsidP="0062756F">
      <w:pPr>
        <w:spacing w:line="480" w:lineRule="auto"/>
        <w:ind w:firstLine="720"/>
        <w:jc w:val="both"/>
        <w:rPr>
          <w:rFonts w:ascii="Century" w:hAnsi="Century"/>
        </w:rPr>
      </w:pPr>
      <w:r>
        <w:rPr>
          <w:rFonts w:ascii="Century" w:hAnsi="Century"/>
        </w:rPr>
        <w:t>It is easy to see why a</w:t>
      </w:r>
      <w:r w:rsidR="00317371">
        <w:rPr>
          <w:rFonts w:ascii="Century" w:hAnsi="Century"/>
        </w:rPr>
        <w:t>ggressive application of the</w:t>
      </w:r>
      <w:r w:rsidR="00CC45F0">
        <w:rPr>
          <w:rFonts w:ascii="Century" w:hAnsi="Century"/>
        </w:rPr>
        <w:t xml:space="preserve"> delegation</w:t>
      </w:r>
      <w:r w:rsidR="00317371">
        <w:rPr>
          <w:rFonts w:ascii="Century" w:hAnsi="Century"/>
        </w:rPr>
        <w:t xml:space="preserve"> doctrine</w:t>
      </w:r>
      <w:r>
        <w:rPr>
          <w:rFonts w:ascii="Century" w:hAnsi="Century"/>
        </w:rPr>
        <w:t>,</w:t>
      </w:r>
      <w:r w:rsidR="00CC45F0">
        <w:rPr>
          <w:rFonts w:ascii="Century" w:hAnsi="Century"/>
        </w:rPr>
        <w:t xml:space="preserve"> </w:t>
      </w:r>
      <w:r w:rsidR="00E32466">
        <w:rPr>
          <w:rFonts w:ascii="Century" w:hAnsi="Century"/>
        </w:rPr>
        <w:t>one which</w:t>
      </w:r>
      <w:r w:rsidR="00CC45F0">
        <w:rPr>
          <w:rFonts w:ascii="Century" w:hAnsi="Century"/>
        </w:rPr>
        <w:t xml:space="preserve"> demands the legislature decides </w:t>
      </w:r>
      <w:r>
        <w:rPr>
          <w:rFonts w:ascii="Century" w:hAnsi="Century"/>
        </w:rPr>
        <w:t xml:space="preserve">all </w:t>
      </w:r>
      <w:r w:rsidR="00CC45F0">
        <w:rPr>
          <w:rFonts w:ascii="Century" w:hAnsi="Century"/>
        </w:rPr>
        <w:t>questions of principle and policy</w:t>
      </w:r>
      <w:r>
        <w:rPr>
          <w:rFonts w:ascii="Century" w:hAnsi="Century"/>
        </w:rPr>
        <w:t>,</w:t>
      </w:r>
      <w:r w:rsidR="00317371">
        <w:rPr>
          <w:rFonts w:ascii="Century" w:hAnsi="Century"/>
        </w:rPr>
        <w:t xml:space="preserve"> would be</w:t>
      </w:r>
      <w:r w:rsidR="00FE47D3">
        <w:rPr>
          <w:rFonts w:ascii="Century" w:hAnsi="Century"/>
        </w:rPr>
        <w:t xml:space="preserve"> an attractive interpretation of legislative power for those hoping to corrode the</w:t>
      </w:r>
      <w:r w:rsidR="00317371">
        <w:rPr>
          <w:rFonts w:ascii="Century" w:hAnsi="Century"/>
        </w:rPr>
        <w:t xml:space="preserve"> working of a vigorous executive-led administrative state. This is partly because</w:t>
      </w:r>
      <w:r>
        <w:rPr>
          <w:rFonts w:ascii="Century" w:hAnsi="Century"/>
        </w:rPr>
        <w:t xml:space="preserve">, as </w:t>
      </w:r>
      <w:r w:rsidR="00482B92">
        <w:rPr>
          <w:rFonts w:ascii="Century" w:hAnsi="Century"/>
        </w:rPr>
        <w:t xml:space="preserve">Professor </w:t>
      </w:r>
      <w:r>
        <w:rPr>
          <w:rFonts w:ascii="Century" w:hAnsi="Century"/>
        </w:rPr>
        <w:t>Stewart points out,</w:t>
      </w:r>
      <w:r w:rsidR="00317371">
        <w:rPr>
          <w:rFonts w:ascii="Century" w:hAnsi="Century"/>
        </w:rPr>
        <w:t xml:space="preserve"> the </w:t>
      </w:r>
      <w:r w:rsidR="00BC23E6">
        <w:rPr>
          <w:rFonts w:ascii="Century" w:hAnsi="Century"/>
        </w:rPr>
        <w:t>‘</w:t>
      </w:r>
      <w:r w:rsidR="00317371">
        <w:rPr>
          <w:rFonts w:ascii="Century" w:hAnsi="Century"/>
        </w:rPr>
        <w:t>[d]</w:t>
      </w:r>
      <w:proofErr w:type="spellStart"/>
      <w:r w:rsidR="00317371" w:rsidRPr="008D43B3">
        <w:rPr>
          <w:rFonts w:ascii="Century" w:hAnsi="Century"/>
        </w:rPr>
        <w:t>etailed</w:t>
      </w:r>
      <w:proofErr w:type="spellEnd"/>
      <w:r w:rsidR="00317371" w:rsidRPr="008D43B3">
        <w:rPr>
          <w:rFonts w:ascii="Century" w:hAnsi="Century"/>
        </w:rPr>
        <w:t xml:space="preserve"> legislative specification of policy would require intensive and continuous investigation, decision, and revision of specialized and complex issues</w:t>
      </w:r>
      <w:r w:rsidR="00BC23E6">
        <w:rPr>
          <w:rFonts w:ascii="Century" w:hAnsi="Century"/>
        </w:rPr>
        <w:t>’</w:t>
      </w:r>
      <w:r w:rsidR="00317371" w:rsidRPr="008D43B3">
        <w:rPr>
          <w:rFonts w:ascii="Century" w:hAnsi="Century"/>
        </w:rPr>
        <w:t xml:space="preserve"> which a multimember legislative body is deeply structurally incapable of doing at any level of scale</w:t>
      </w:r>
      <w:r w:rsidR="00317371">
        <w:rPr>
          <w:rFonts w:ascii="Century" w:hAnsi="Century"/>
        </w:rPr>
        <w:t>;</w:t>
      </w:r>
      <w:r w:rsidR="00317371" w:rsidRPr="008D43B3">
        <w:rPr>
          <w:rStyle w:val="FootnoteReference"/>
          <w:rFonts w:ascii="Century" w:hAnsi="Century"/>
        </w:rPr>
        <w:footnoteReference w:id="111"/>
      </w:r>
      <w:r w:rsidR="00317371">
        <w:rPr>
          <w:rFonts w:ascii="Century" w:hAnsi="Century"/>
        </w:rPr>
        <w:t xml:space="preserve"> leading to a dent in the capacity of government to wield public power effectively</w:t>
      </w:r>
      <w:r w:rsidR="001B4528">
        <w:rPr>
          <w:rFonts w:ascii="Century" w:hAnsi="Century"/>
        </w:rPr>
        <w:t xml:space="preserve"> or flexibly</w:t>
      </w:r>
      <w:r w:rsidR="00317371">
        <w:rPr>
          <w:rFonts w:ascii="Century" w:hAnsi="Century"/>
        </w:rPr>
        <w:t xml:space="preserve">. </w:t>
      </w:r>
      <w:r w:rsidR="00093ABA">
        <w:rPr>
          <w:rFonts w:ascii="Century" w:hAnsi="Century"/>
        </w:rPr>
        <w:t xml:space="preserve">Moreover, application of strong forms of the delegation doctrine </w:t>
      </w:r>
      <w:r w:rsidR="00E32466">
        <w:rPr>
          <w:rFonts w:ascii="Century" w:hAnsi="Century"/>
        </w:rPr>
        <w:t>–</w:t>
      </w:r>
      <w:r w:rsidR="00093ABA">
        <w:rPr>
          <w:rFonts w:ascii="Century" w:hAnsi="Century"/>
        </w:rPr>
        <w:t xml:space="preserve"> </w:t>
      </w:r>
      <w:r w:rsidR="00E32466">
        <w:rPr>
          <w:rFonts w:ascii="Century" w:hAnsi="Century"/>
        </w:rPr>
        <w:t>scouring a statute for the</w:t>
      </w:r>
      <w:r w:rsidR="00093ABA">
        <w:rPr>
          <w:rFonts w:ascii="Century" w:hAnsi="Century"/>
        </w:rPr>
        <w:t xml:space="preserve"> enunciation of all </w:t>
      </w:r>
      <w:r w:rsidR="00FA2B34">
        <w:rPr>
          <w:rFonts w:ascii="Century" w:hAnsi="Century"/>
        </w:rPr>
        <w:t xml:space="preserve">possible </w:t>
      </w:r>
      <w:r w:rsidR="00093ABA">
        <w:rPr>
          <w:rFonts w:ascii="Century" w:hAnsi="Century"/>
        </w:rPr>
        <w:t xml:space="preserve">principles and policies </w:t>
      </w:r>
      <w:r w:rsidR="00482B92">
        <w:rPr>
          <w:rFonts w:ascii="Century" w:hAnsi="Century"/>
        </w:rPr>
        <w:t>-</w:t>
      </w:r>
      <w:r w:rsidR="00093ABA">
        <w:rPr>
          <w:rFonts w:ascii="Century" w:hAnsi="Century"/>
        </w:rPr>
        <w:t xml:space="preserve"> involves </w:t>
      </w:r>
      <w:r w:rsidR="00093ABA" w:rsidRPr="008D43B3">
        <w:rPr>
          <w:rFonts w:ascii="Century" w:hAnsi="Century"/>
          <w:lang w:val="en-GB"/>
        </w:rPr>
        <w:t>quite subjective</w:t>
      </w:r>
      <w:r w:rsidR="00093ABA">
        <w:rPr>
          <w:rFonts w:ascii="Century" w:hAnsi="Century"/>
          <w:lang w:val="en-GB"/>
        </w:rPr>
        <w:t xml:space="preserve"> judicial judgment</w:t>
      </w:r>
      <w:r w:rsidR="00482B92">
        <w:rPr>
          <w:rFonts w:ascii="Century" w:hAnsi="Century"/>
          <w:lang w:val="en-GB"/>
        </w:rPr>
        <w:t xml:space="preserve"> and line-drawing</w:t>
      </w:r>
      <w:r w:rsidR="00093ABA" w:rsidRPr="008D43B3">
        <w:rPr>
          <w:rFonts w:ascii="Century" w:hAnsi="Century"/>
          <w:lang w:val="en-GB"/>
        </w:rPr>
        <w:t xml:space="preserve">, and a doctrine that </w:t>
      </w:r>
      <w:r w:rsidR="001B4528">
        <w:rPr>
          <w:rFonts w:ascii="Century" w:hAnsi="Century"/>
          <w:lang w:val="en-GB"/>
        </w:rPr>
        <w:t>makes</w:t>
      </w:r>
      <w:r w:rsidR="00093ABA" w:rsidRPr="008D43B3">
        <w:rPr>
          <w:rFonts w:ascii="Century" w:hAnsi="Century"/>
          <w:lang w:val="en-GB"/>
        </w:rPr>
        <w:t xml:space="preserve"> them </w:t>
      </w:r>
      <w:r w:rsidR="00331511">
        <w:rPr>
          <w:rFonts w:ascii="Century" w:hAnsi="Century"/>
          <w:lang w:val="en-GB"/>
        </w:rPr>
        <w:t>‘</w:t>
      </w:r>
      <w:r w:rsidR="00093ABA" w:rsidRPr="008D43B3">
        <w:rPr>
          <w:rFonts w:ascii="Century" w:hAnsi="Century"/>
          <w:lang w:val="en-GB"/>
        </w:rPr>
        <w:t xml:space="preserve">determinative of an administrative program's legitimacy could cripple the program by exposing it to continuing threats of invalidation and encouraging the </w:t>
      </w:r>
      <w:r w:rsidR="00093ABA" w:rsidRPr="008D43B3">
        <w:rPr>
          <w:rFonts w:ascii="Century" w:hAnsi="Century"/>
          <w:lang w:val="en-GB"/>
        </w:rPr>
        <w:lastRenderedPageBreak/>
        <w:t>utmost recalcitrance by those opposed to its effectuation.</w:t>
      </w:r>
      <w:r w:rsidR="00331511">
        <w:rPr>
          <w:rFonts w:ascii="Century" w:hAnsi="Century"/>
          <w:lang w:val="en-GB"/>
        </w:rPr>
        <w:t>’</w:t>
      </w:r>
      <w:r w:rsidR="00093ABA">
        <w:rPr>
          <w:rStyle w:val="FootnoteReference"/>
          <w:rFonts w:ascii="Century" w:hAnsi="Century"/>
          <w:lang w:val="en-GB"/>
        </w:rPr>
        <w:footnoteReference w:id="112"/>
      </w:r>
      <w:r w:rsidR="00093ABA" w:rsidRPr="008D43B3">
        <w:rPr>
          <w:rFonts w:ascii="Century" w:hAnsi="Century"/>
          <w:lang w:val="en-GB"/>
        </w:rPr>
        <w:t xml:space="preserve"> </w:t>
      </w:r>
      <w:r w:rsidR="00DD2EFF">
        <w:rPr>
          <w:rFonts w:ascii="Century" w:hAnsi="Century" w:cs="Times New Roman"/>
        </w:rPr>
        <w:t xml:space="preserve">Such </w:t>
      </w:r>
      <w:r w:rsidR="00DD2EFF" w:rsidRPr="00187268">
        <w:rPr>
          <w:rFonts w:ascii="Century" w:hAnsi="Century" w:cs="Times New Roman"/>
          <w:lang w:val="en-GB"/>
        </w:rPr>
        <w:t>a</w:t>
      </w:r>
      <w:r w:rsidR="00DD2EFF">
        <w:rPr>
          <w:rFonts w:ascii="Century" w:hAnsi="Century" w:cs="Times New Roman"/>
          <w:lang w:val="en-GB"/>
        </w:rPr>
        <w:t xml:space="preserve"> doctrine</w:t>
      </w:r>
      <w:r w:rsidR="000735AD">
        <w:rPr>
          <w:rFonts w:ascii="Century" w:hAnsi="Century" w:cs="Times New Roman"/>
          <w:lang w:val="en-GB"/>
        </w:rPr>
        <w:t xml:space="preserve"> </w:t>
      </w:r>
      <w:r w:rsidR="00E32466">
        <w:rPr>
          <w:rFonts w:ascii="Century" w:hAnsi="Century" w:cs="Times New Roman"/>
          <w:lang w:val="en-GB"/>
        </w:rPr>
        <w:t>could</w:t>
      </w:r>
      <w:r w:rsidR="00DD2EFF">
        <w:rPr>
          <w:rFonts w:ascii="Century" w:hAnsi="Century" w:cs="Times New Roman"/>
          <w:lang w:val="en-GB"/>
        </w:rPr>
        <w:t xml:space="preserve"> </w:t>
      </w:r>
      <w:r w:rsidR="00FA2B34">
        <w:rPr>
          <w:rFonts w:ascii="Century" w:hAnsi="Century" w:cs="Times New Roman"/>
          <w:lang w:val="en-GB"/>
        </w:rPr>
        <w:t>hover</w:t>
      </w:r>
      <w:r w:rsidR="000735AD">
        <w:rPr>
          <w:rFonts w:ascii="Century" w:hAnsi="Century" w:cs="Times New Roman"/>
          <w:lang w:val="en-GB"/>
        </w:rPr>
        <w:t xml:space="preserve"> over the administrative state</w:t>
      </w:r>
      <w:r w:rsidR="00DD2EFF">
        <w:rPr>
          <w:rFonts w:ascii="Century" w:hAnsi="Century" w:cs="Times New Roman"/>
          <w:lang w:val="en-GB"/>
        </w:rPr>
        <w:t xml:space="preserve"> as a</w:t>
      </w:r>
      <w:r w:rsidR="00DD2EFF" w:rsidRPr="00187268">
        <w:rPr>
          <w:rFonts w:ascii="Century" w:hAnsi="Century" w:cs="Times New Roman"/>
          <w:lang w:val="en-GB"/>
        </w:rPr>
        <w:t xml:space="preserve"> </w:t>
      </w:r>
      <w:r w:rsidR="00331511">
        <w:rPr>
          <w:rFonts w:ascii="Century" w:hAnsi="Century" w:cs="Times New Roman"/>
          <w:lang w:val="en-GB"/>
        </w:rPr>
        <w:t>‘</w:t>
      </w:r>
      <w:r w:rsidR="00DD2EFF" w:rsidRPr="00187268">
        <w:rPr>
          <w:rFonts w:ascii="Century" w:hAnsi="Century" w:cs="Times New Roman"/>
          <w:lang w:val="en-GB"/>
        </w:rPr>
        <w:t>self-created, ill-defined, and virtually uncontrollable license to overturn any regulatory</w:t>
      </w:r>
      <w:r w:rsidR="00DD2EFF">
        <w:rPr>
          <w:rFonts w:ascii="Century" w:hAnsi="Century" w:cs="Times New Roman"/>
          <w:lang w:val="en-GB"/>
        </w:rPr>
        <w:t xml:space="preserve"> </w:t>
      </w:r>
      <w:r w:rsidR="00DD2EFF" w:rsidRPr="00187268">
        <w:rPr>
          <w:rFonts w:ascii="Century" w:hAnsi="Century" w:cs="Times New Roman"/>
          <w:lang w:val="en-GB"/>
        </w:rPr>
        <w:t>legislation</w:t>
      </w:r>
      <w:r w:rsidR="00331511">
        <w:rPr>
          <w:rFonts w:ascii="Century" w:hAnsi="Century" w:cs="Times New Roman"/>
          <w:lang w:val="en-GB"/>
        </w:rPr>
        <w:t>’</w:t>
      </w:r>
      <w:r w:rsidR="00DD2EFF" w:rsidRPr="00187268">
        <w:rPr>
          <w:rFonts w:ascii="Century" w:hAnsi="Century" w:cs="Times New Roman"/>
          <w:lang w:val="en-GB"/>
        </w:rPr>
        <w:t xml:space="preserve"> </w:t>
      </w:r>
      <w:r w:rsidR="00DD2EFF">
        <w:rPr>
          <w:rFonts w:ascii="Century" w:hAnsi="Century" w:cs="Times New Roman"/>
          <w:lang w:val="en-GB"/>
        </w:rPr>
        <w:t>a</w:t>
      </w:r>
      <w:r w:rsidR="00DD2EFF" w:rsidRPr="00187268">
        <w:rPr>
          <w:rFonts w:ascii="Century" w:hAnsi="Century" w:cs="Times New Roman"/>
          <w:lang w:val="en-GB"/>
        </w:rPr>
        <w:t xml:space="preserve"> Court </w:t>
      </w:r>
      <w:r w:rsidR="001B4528" w:rsidRPr="00187268">
        <w:rPr>
          <w:rFonts w:ascii="Century" w:hAnsi="Century" w:cs="Times New Roman"/>
          <w:lang w:val="en-GB"/>
        </w:rPr>
        <w:t>disfavou</w:t>
      </w:r>
      <w:r w:rsidR="001B4528">
        <w:rPr>
          <w:rFonts w:ascii="Century" w:hAnsi="Century" w:cs="Times New Roman"/>
          <w:lang w:val="en-GB"/>
        </w:rPr>
        <w:t>rs</w:t>
      </w:r>
      <w:r w:rsidR="00DD2EFF" w:rsidRPr="00187268">
        <w:rPr>
          <w:rFonts w:ascii="Century" w:hAnsi="Century" w:cs="Times New Roman"/>
          <w:lang w:val="en-GB"/>
        </w:rPr>
        <w:t xml:space="preserve"> for </w:t>
      </w:r>
      <w:r w:rsidR="00FA2B34">
        <w:rPr>
          <w:rFonts w:ascii="Century" w:hAnsi="Century" w:cs="Times New Roman"/>
          <w:lang w:val="en-GB"/>
        </w:rPr>
        <w:t>ideological</w:t>
      </w:r>
      <w:r w:rsidR="00DD2EFF" w:rsidRPr="00187268">
        <w:rPr>
          <w:rFonts w:ascii="Century" w:hAnsi="Century" w:cs="Times New Roman"/>
          <w:lang w:val="en-GB"/>
        </w:rPr>
        <w:t xml:space="preserve"> reasons.</w:t>
      </w:r>
      <w:r w:rsidR="00DD2EFF" w:rsidRPr="00187268">
        <w:rPr>
          <w:rStyle w:val="FootnoteReference"/>
          <w:rFonts w:ascii="Century" w:hAnsi="Century" w:cs="Times New Roman"/>
          <w:lang w:val="en-GB"/>
        </w:rPr>
        <w:footnoteReference w:id="113"/>
      </w:r>
      <w:r w:rsidR="00DD2EFF">
        <w:rPr>
          <w:rFonts w:ascii="Century" w:hAnsi="Century" w:cs="Times New Roman"/>
          <w:lang w:val="en-GB"/>
        </w:rPr>
        <w:t xml:space="preserve"> </w:t>
      </w:r>
      <w:r w:rsidR="000735AD">
        <w:rPr>
          <w:rFonts w:ascii="Century" w:hAnsi="Century" w:cs="Times New Roman"/>
          <w:lang w:val="en-GB"/>
        </w:rPr>
        <w:t>The</w:t>
      </w:r>
      <w:r w:rsidR="007D09DD">
        <w:rPr>
          <w:rFonts w:ascii="Century" w:hAnsi="Century" w:cs="Times New Roman"/>
          <w:lang w:val="en-GB"/>
        </w:rPr>
        <w:t>se</w:t>
      </w:r>
      <w:r w:rsidR="000735AD">
        <w:rPr>
          <w:rFonts w:ascii="Century" w:hAnsi="Century" w:cs="Times New Roman"/>
          <w:lang w:val="en-GB"/>
        </w:rPr>
        <w:t xml:space="preserve"> </w:t>
      </w:r>
      <w:r w:rsidR="00FE47D3">
        <w:rPr>
          <w:rFonts w:ascii="Century" w:hAnsi="Century" w:cs="Times New Roman"/>
          <w:lang w:val="en-GB"/>
        </w:rPr>
        <w:t xml:space="preserve">are </w:t>
      </w:r>
      <w:r w:rsidR="00482B92">
        <w:rPr>
          <w:rFonts w:ascii="Century" w:hAnsi="Century" w:cs="Times New Roman"/>
          <w:lang w:val="en-GB"/>
        </w:rPr>
        <w:t xml:space="preserve">some of </w:t>
      </w:r>
      <w:r w:rsidR="007D09DD">
        <w:rPr>
          <w:rFonts w:ascii="Century" w:hAnsi="Century" w:cs="Times New Roman"/>
          <w:lang w:val="en-GB"/>
        </w:rPr>
        <w:t>the</w:t>
      </w:r>
      <w:r w:rsidR="000735AD">
        <w:rPr>
          <w:rFonts w:ascii="Century" w:hAnsi="Century" w:cs="Times New Roman"/>
          <w:lang w:val="en-GB"/>
        </w:rPr>
        <w:t xml:space="preserve"> reason</w:t>
      </w:r>
      <w:r w:rsidR="00FE47D3">
        <w:rPr>
          <w:rFonts w:ascii="Century" w:hAnsi="Century" w:cs="Times New Roman"/>
          <w:lang w:val="en-GB"/>
        </w:rPr>
        <w:t>s</w:t>
      </w:r>
      <w:r w:rsidR="000735AD">
        <w:rPr>
          <w:rFonts w:ascii="Century" w:hAnsi="Century" w:cs="Times New Roman"/>
          <w:lang w:val="en-GB"/>
        </w:rPr>
        <w:t xml:space="preserve"> why </w:t>
      </w:r>
      <w:r w:rsidR="000735AD">
        <w:rPr>
          <w:rFonts w:ascii="Century" w:hAnsi="Century"/>
        </w:rPr>
        <w:t>c</w:t>
      </w:r>
      <w:r w:rsidR="00DD2EFF" w:rsidRPr="00B96ED6">
        <w:rPr>
          <w:rFonts w:ascii="Century" w:hAnsi="Century"/>
        </w:rPr>
        <w:t>onstitutional doctrines like the delegation doctrine</w:t>
      </w:r>
      <w:r w:rsidR="00DD2EFF">
        <w:rPr>
          <w:rFonts w:ascii="Century" w:hAnsi="Century"/>
        </w:rPr>
        <w:t xml:space="preserve"> </w:t>
      </w:r>
      <w:r w:rsidR="000735AD">
        <w:rPr>
          <w:rFonts w:ascii="Century" w:hAnsi="Century"/>
        </w:rPr>
        <w:t xml:space="preserve">are </w:t>
      </w:r>
      <w:r w:rsidR="007D09DD">
        <w:rPr>
          <w:rFonts w:ascii="Century" w:hAnsi="Century"/>
        </w:rPr>
        <w:t>considered</w:t>
      </w:r>
      <w:r w:rsidR="000735AD">
        <w:rPr>
          <w:rFonts w:ascii="Century" w:hAnsi="Century"/>
        </w:rPr>
        <w:t xml:space="preserve"> </w:t>
      </w:r>
      <w:r w:rsidR="00DD2EFF" w:rsidRPr="00B96ED6">
        <w:rPr>
          <w:rFonts w:ascii="Century" w:hAnsi="Century"/>
        </w:rPr>
        <w:t>the heavy artillery</w:t>
      </w:r>
      <w:r w:rsidR="00DD2EFF">
        <w:rPr>
          <w:rFonts w:ascii="Century" w:hAnsi="Century"/>
        </w:rPr>
        <w:t xml:space="preserve"> </w:t>
      </w:r>
      <w:r w:rsidR="007D09DD">
        <w:rPr>
          <w:rFonts w:ascii="Century" w:hAnsi="Century"/>
        </w:rPr>
        <w:t>of</w:t>
      </w:r>
      <w:r w:rsidR="00DD2EFF">
        <w:rPr>
          <w:rFonts w:ascii="Century" w:hAnsi="Century"/>
        </w:rPr>
        <w:t xml:space="preserve"> actors</w:t>
      </w:r>
      <w:r w:rsidR="00DD2EFF" w:rsidRPr="00B96ED6">
        <w:rPr>
          <w:rFonts w:ascii="Century" w:hAnsi="Century"/>
        </w:rPr>
        <w:t xml:space="preserve"> </w:t>
      </w:r>
      <w:r w:rsidR="00DD2EFF">
        <w:rPr>
          <w:rFonts w:ascii="Century" w:hAnsi="Century"/>
        </w:rPr>
        <w:t>hoping to</w:t>
      </w:r>
      <w:r w:rsidR="00DD2EFF" w:rsidRPr="00B96ED6">
        <w:rPr>
          <w:rFonts w:ascii="Century" w:hAnsi="Century"/>
        </w:rPr>
        <w:t xml:space="preserve"> blast apart or harm the capacity of the </w:t>
      </w:r>
      <w:r w:rsidR="006D1DC3">
        <w:rPr>
          <w:rFonts w:ascii="Century" w:hAnsi="Century"/>
        </w:rPr>
        <w:t>s</w:t>
      </w:r>
      <w:r w:rsidR="00DD2EFF" w:rsidRPr="00B96ED6">
        <w:rPr>
          <w:rFonts w:ascii="Century" w:hAnsi="Century"/>
        </w:rPr>
        <w:t>tate to regulate.</w:t>
      </w:r>
      <w:r w:rsidR="00DD2EFF" w:rsidRPr="00B96ED6">
        <w:rPr>
          <w:rStyle w:val="FootnoteReference"/>
          <w:rFonts w:ascii="Century" w:hAnsi="Century"/>
        </w:rPr>
        <w:footnoteReference w:id="114"/>
      </w:r>
    </w:p>
    <w:p w14:paraId="28E1C7FC" w14:textId="2F754BF6" w:rsidR="00865D9B" w:rsidRDefault="00865D9B" w:rsidP="00E81877">
      <w:pPr>
        <w:spacing w:line="480" w:lineRule="auto"/>
        <w:jc w:val="both"/>
        <w:rPr>
          <w:rFonts w:ascii="Century" w:hAnsi="Century"/>
        </w:rPr>
      </w:pPr>
    </w:p>
    <w:p w14:paraId="7CD9F565" w14:textId="0C97EEA0" w:rsidR="00252FC7" w:rsidRPr="009F1E08" w:rsidRDefault="00DD2EFF" w:rsidP="00E81877">
      <w:pPr>
        <w:spacing w:line="480" w:lineRule="auto"/>
        <w:ind w:firstLine="720"/>
        <w:jc w:val="both"/>
        <w:rPr>
          <w:rFonts w:ascii="Century" w:hAnsi="Century"/>
        </w:rPr>
      </w:pPr>
      <w:r>
        <w:rPr>
          <w:rFonts w:ascii="Century" w:hAnsi="Century"/>
        </w:rPr>
        <w:t>Strong-form</w:t>
      </w:r>
      <w:r w:rsidR="008031B8">
        <w:rPr>
          <w:rFonts w:ascii="Century" w:hAnsi="Century"/>
        </w:rPr>
        <w:t xml:space="preserve"> </w:t>
      </w:r>
      <w:r w:rsidR="008031B8">
        <w:rPr>
          <w:rFonts w:ascii="Century" w:hAnsi="Century"/>
          <w:i/>
          <w:iCs/>
        </w:rPr>
        <w:t xml:space="preserve">Cityview </w:t>
      </w:r>
      <w:r w:rsidR="008031B8">
        <w:rPr>
          <w:rFonts w:ascii="Century" w:hAnsi="Century"/>
        </w:rPr>
        <w:t>style</w:t>
      </w:r>
      <w:r>
        <w:rPr>
          <w:rFonts w:ascii="Century" w:hAnsi="Century"/>
        </w:rPr>
        <w:t xml:space="preserve"> versions of the</w:t>
      </w:r>
      <w:r w:rsidR="00865D9B">
        <w:rPr>
          <w:rFonts w:ascii="Century" w:hAnsi="Century"/>
        </w:rPr>
        <w:t xml:space="preserve"> delegation doctrine </w:t>
      </w:r>
      <w:r w:rsidR="00252FC7">
        <w:rPr>
          <w:rFonts w:ascii="Century" w:hAnsi="Century"/>
        </w:rPr>
        <w:t>in the US</w:t>
      </w:r>
      <w:r>
        <w:rPr>
          <w:rFonts w:ascii="Century" w:hAnsi="Century"/>
        </w:rPr>
        <w:t xml:space="preserve"> have</w:t>
      </w:r>
      <w:r w:rsidR="00547EC4">
        <w:rPr>
          <w:rFonts w:ascii="Century" w:hAnsi="Century"/>
        </w:rPr>
        <w:t>, perhaps unsurprisingly,</w:t>
      </w:r>
      <w:r w:rsidR="009F1E08">
        <w:rPr>
          <w:rFonts w:ascii="Century" w:hAnsi="Century"/>
        </w:rPr>
        <w:t xml:space="preserve"> </w:t>
      </w:r>
      <w:r w:rsidR="00865D9B" w:rsidRPr="00B96ED6">
        <w:rPr>
          <w:rFonts w:ascii="Century" w:hAnsi="Century"/>
        </w:rPr>
        <w:t>been subject to a slew of</w:t>
      </w:r>
      <w:r w:rsidR="0062756F">
        <w:rPr>
          <w:rFonts w:ascii="Century" w:hAnsi="Century"/>
        </w:rPr>
        <w:t xml:space="preserve"> trenchant</w:t>
      </w:r>
      <w:r w:rsidR="00865D9B" w:rsidRPr="00B96ED6">
        <w:rPr>
          <w:rFonts w:ascii="Century" w:hAnsi="Century"/>
        </w:rPr>
        <w:t xml:space="preserve"> critique</w:t>
      </w:r>
      <w:r w:rsidR="00290C5F">
        <w:rPr>
          <w:rFonts w:ascii="Century" w:hAnsi="Century"/>
        </w:rPr>
        <w:t xml:space="preserve"> from defenders of</w:t>
      </w:r>
      <w:r w:rsidR="0069252A">
        <w:rPr>
          <w:rFonts w:ascii="Century" w:hAnsi="Century"/>
        </w:rPr>
        <w:t xml:space="preserve"> an energetic </w:t>
      </w:r>
      <w:r w:rsidR="006D1DC3">
        <w:rPr>
          <w:rFonts w:ascii="Century" w:hAnsi="Century"/>
        </w:rPr>
        <w:t>s</w:t>
      </w:r>
      <w:r w:rsidR="0069252A">
        <w:rPr>
          <w:rFonts w:ascii="Century" w:hAnsi="Century"/>
        </w:rPr>
        <w:t>tate and</w:t>
      </w:r>
      <w:r w:rsidR="00290C5F">
        <w:rPr>
          <w:rFonts w:ascii="Century" w:hAnsi="Century"/>
        </w:rPr>
        <w:t xml:space="preserve"> broad delegation of rulemaking authority to the executive</w:t>
      </w:r>
      <w:r w:rsidR="008031B8">
        <w:rPr>
          <w:rFonts w:ascii="Century" w:hAnsi="Century"/>
        </w:rPr>
        <w:t>.</w:t>
      </w:r>
      <w:r w:rsidR="00290C5F">
        <w:rPr>
          <w:rFonts w:ascii="Century" w:hAnsi="Century"/>
        </w:rPr>
        <w:t xml:space="preserve"> </w:t>
      </w:r>
      <w:r w:rsidR="00252FC7">
        <w:rPr>
          <w:rFonts w:ascii="Century" w:hAnsi="Century"/>
        </w:rPr>
        <w:t>A broad range of scholars have</w:t>
      </w:r>
      <w:r w:rsidR="008031B8">
        <w:rPr>
          <w:rFonts w:ascii="Century" w:hAnsi="Century"/>
        </w:rPr>
        <w:t xml:space="preserve"> drawn</w:t>
      </w:r>
      <w:r w:rsidR="008031B8" w:rsidRPr="00B96ED6">
        <w:rPr>
          <w:rFonts w:ascii="Century" w:hAnsi="Century"/>
        </w:rPr>
        <w:t xml:space="preserve"> from history, text and structure, and functional and normative</w:t>
      </w:r>
      <w:r w:rsidR="008031B8">
        <w:rPr>
          <w:rFonts w:ascii="Century" w:hAnsi="Century"/>
        </w:rPr>
        <w:t xml:space="preserve"> arguments to</w:t>
      </w:r>
      <w:r w:rsidR="008031B8" w:rsidRPr="00B96ED6">
        <w:rPr>
          <w:rFonts w:ascii="Century" w:hAnsi="Century"/>
        </w:rPr>
        <w:t xml:space="preserve"> </w:t>
      </w:r>
      <w:r w:rsidR="008031B8">
        <w:rPr>
          <w:rFonts w:ascii="Century" w:hAnsi="Century"/>
        </w:rPr>
        <w:t>critique the idea the separation of powers inevitably requires a strong</w:t>
      </w:r>
      <w:r w:rsidR="0062756F">
        <w:rPr>
          <w:rFonts w:ascii="Century" w:hAnsi="Century"/>
        </w:rPr>
        <w:t xml:space="preserve"> form</w:t>
      </w:r>
      <w:r w:rsidR="008031B8">
        <w:rPr>
          <w:rFonts w:ascii="Century" w:hAnsi="Century"/>
        </w:rPr>
        <w:t xml:space="preserve"> delegation doctrine.</w:t>
      </w:r>
      <w:r w:rsidR="00290C5F">
        <w:rPr>
          <w:rFonts w:ascii="Century" w:hAnsi="Century"/>
        </w:rPr>
        <w:t xml:space="preserve"> They have also highlighted </w:t>
      </w:r>
      <w:r w:rsidR="00653729">
        <w:rPr>
          <w:rFonts w:ascii="Century" w:hAnsi="Century"/>
        </w:rPr>
        <w:t xml:space="preserve">the </w:t>
      </w:r>
      <w:r w:rsidR="000735AD">
        <w:rPr>
          <w:rFonts w:ascii="Century" w:hAnsi="Century"/>
        </w:rPr>
        <w:t>weakness</w:t>
      </w:r>
      <w:r w:rsidR="00653729">
        <w:rPr>
          <w:rFonts w:ascii="Century" w:hAnsi="Century"/>
        </w:rPr>
        <w:t xml:space="preserve"> of the argument the</w:t>
      </w:r>
      <w:r w:rsidR="00290C5F">
        <w:rPr>
          <w:rFonts w:ascii="Century" w:hAnsi="Century"/>
        </w:rPr>
        <w:t xml:space="preserve"> concept of the </w:t>
      </w:r>
      <w:r w:rsidR="006110FE">
        <w:rPr>
          <w:rFonts w:ascii="Century" w:hAnsi="Century"/>
        </w:rPr>
        <w:t>‘</w:t>
      </w:r>
      <w:r w:rsidR="00290C5F">
        <w:rPr>
          <w:rFonts w:ascii="Century" w:hAnsi="Century"/>
        </w:rPr>
        <w:t>legislative power</w:t>
      </w:r>
      <w:r w:rsidR="006110FE">
        <w:rPr>
          <w:rFonts w:ascii="Century" w:hAnsi="Century"/>
        </w:rPr>
        <w:t>’</w:t>
      </w:r>
      <w:r w:rsidR="00290C5F">
        <w:rPr>
          <w:rFonts w:ascii="Century" w:hAnsi="Century"/>
        </w:rPr>
        <w:t xml:space="preserve"> has</w:t>
      </w:r>
      <w:r w:rsidR="008031B8">
        <w:rPr>
          <w:rFonts w:ascii="Century" w:hAnsi="Century"/>
        </w:rPr>
        <w:t xml:space="preserve"> consistently</w:t>
      </w:r>
      <w:r w:rsidR="00290C5F">
        <w:rPr>
          <w:rFonts w:ascii="Century" w:hAnsi="Century"/>
        </w:rPr>
        <w:t xml:space="preserve"> </w:t>
      </w:r>
      <w:r w:rsidR="008031B8">
        <w:rPr>
          <w:rFonts w:ascii="Century" w:hAnsi="Century"/>
        </w:rPr>
        <w:t>been understood in the history of</w:t>
      </w:r>
      <w:r w:rsidR="00290C5F">
        <w:rPr>
          <w:rFonts w:ascii="Century" w:hAnsi="Century"/>
        </w:rPr>
        <w:t xml:space="preserve"> Anglo-American jurisprudence as prohibiting</w:t>
      </w:r>
      <w:r w:rsidR="00865D9B" w:rsidRPr="00B96ED6">
        <w:rPr>
          <w:rFonts w:ascii="Century" w:hAnsi="Century"/>
        </w:rPr>
        <w:t xml:space="preserve"> </w:t>
      </w:r>
      <w:r w:rsidR="008031B8">
        <w:rPr>
          <w:rFonts w:ascii="Century" w:hAnsi="Century"/>
        </w:rPr>
        <w:t xml:space="preserve">the </w:t>
      </w:r>
      <w:r w:rsidR="00865D9B" w:rsidRPr="00B96ED6">
        <w:rPr>
          <w:rFonts w:ascii="Century" w:hAnsi="Century"/>
        </w:rPr>
        <w:t>executive</w:t>
      </w:r>
      <w:r w:rsidR="008031B8">
        <w:rPr>
          <w:rFonts w:ascii="Century" w:hAnsi="Century"/>
        </w:rPr>
        <w:t xml:space="preserve"> from</w:t>
      </w:r>
      <w:r w:rsidR="00290C5F">
        <w:rPr>
          <w:rFonts w:ascii="Century" w:hAnsi="Century"/>
        </w:rPr>
        <w:t xml:space="preserve"> </w:t>
      </w:r>
      <w:r w:rsidR="00482B92">
        <w:rPr>
          <w:rFonts w:ascii="Century" w:hAnsi="Century"/>
        </w:rPr>
        <w:t>being vested with</w:t>
      </w:r>
      <w:r w:rsidR="00482B92">
        <w:rPr>
          <w:rFonts w:ascii="Century" w:hAnsi="Century"/>
        </w:rPr>
        <w:t xml:space="preserve"> </w:t>
      </w:r>
      <w:r w:rsidR="00290C5F">
        <w:rPr>
          <w:rFonts w:ascii="Century" w:hAnsi="Century"/>
        </w:rPr>
        <w:t>discretion to</w:t>
      </w:r>
      <w:r w:rsidR="00865D9B" w:rsidRPr="00B96ED6">
        <w:rPr>
          <w:rFonts w:ascii="Century" w:hAnsi="Century"/>
        </w:rPr>
        <w:t xml:space="preserve"> </w:t>
      </w:r>
      <w:r w:rsidR="008031B8">
        <w:rPr>
          <w:rFonts w:ascii="Century" w:hAnsi="Century"/>
        </w:rPr>
        <w:t>make</w:t>
      </w:r>
      <w:r w:rsidR="00865D9B" w:rsidRPr="00B96ED6">
        <w:rPr>
          <w:rFonts w:ascii="Century" w:hAnsi="Century"/>
        </w:rPr>
        <w:t xml:space="preserve"> generally applicable rules of binding conduct under statutory delegation.</w:t>
      </w:r>
      <w:r w:rsidR="008031B8">
        <w:rPr>
          <w:rStyle w:val="FootnoteReference"/>
          <w:rFonts w:ascii="Century" w:hAnsi="Century"/>
        </w:rPr>
        <w:footnoteReference w:id="115"/>
      </w:r>
      <w:r w:rsidR="009F1E08">
        <w:rPr>
          <w:rFonts w:ascii="Century" w:hAnsi="Century"/>
        </w:rPr>
        <w:t xml:space="preserve"> </w:t>
      </w:r>
      <w:r w:rsidR="00EF086C">
        <w:rPr>
          <w:rFonts w:ascii="Century" w:hAnsi="Century"/>
        </w:rPr>
        <w:t xml:space="preserve">Prominent public law scholars like </w:t>
      </w:r>
      <w:r w:rsidR="00252FC7" w:rsidRPr="00B96ED6">
        <w:rPr>
          <w:rFonts w:ascii="Century" w:hAnsi="Century" w:cs="Times New Roman"/>
        </w:rPr>
        <w:t>Vermeule</w:t>
      </w:r>
      <w:r w:rsidR="00EF086C">
        <w:rPr>
          <w:rFonts w:ascii="Century" w:hAnsi="Century" w:cs="Times New Roman"/>
        </w:rPr>
        <w:t xml:space="preserve">, </w:t>
      </w:r>
      <w:r w:rsidR="00252FC7" w:rsidRPr="00B96ED6">
        <w:rPr>
          <w:rFonts w:ascii="Century" w:hAnsi="Century" w:cs="Times New Roman"/>
        </w:rPr>
        <w:t>Posner</w:t>
      </w:r>
      <w:r w:rsidR="00EF086C">
        <w:rPr>
          <w:rFonts w:ascii="Century" w:hAnsi="Century" w:cs="Times New Roman"/>
        </w:rPr>
        <w:t>, Mortenson</w:t>
      </w:r>
      <w:r w:rsidR="0069252A">
        <w:rPr>
          <w:rFonts w:ascii="Century" w:hAnsi="Century" w:cs="Times New Roman"/>
        </w:rPr>
        <w:t>, and</w:t>
      </w:r>
      <w:r w:rsidR="00EF086C">
        <w:rPr>
          <w:rFonts w:ascii="Century" w:hAnsi="Century" w:cs="Times New Roman"/>
        </w:rPr>
        <w:t xml:space="preserve"> Bagley, have gone so far as to argue that there is </w:t>
      </w:r>
      <w:r w:rsidR="00EF086C" w:rsidRPr="003B1421">
        <w:rPr>
          <w:rFonts w:ascii="Century" w:hAnsi="Century" w:cs="Times New Roman"/>
          <w:i/>
          <w:iCs/>
        </w:rPr>
        <w:t>no</w:t>
      </w:r>
      <w:r w:rsidR="00252FC7" w:rsidRPr="003B1421">
        <w:rPr>
          <w:rFonts w:ascii="Century" w:hAnsi="Century" w:cs="Times New Roman"/>
          <w:i/>
          <w:iCs/>
        </w:rPr>
        <w:t xml:space="preserve"> </w:t>
      </w:r>
      <w:r w:rsidR="00EF086C" w:rsidRPr="003B1421">
        <w:rPr>
          <w:rFonts w:ascii="Century" w:hAnsi="Century" w:cs="Times New Roman"/>
          <w:i/>
          <w:iCs/>
        </w:rPr>
        <w:t>f</w:t>
      </w:r>
      <w:r w:rsidR="00252FC7" w:rsidRPr="003B1421">
        <w:rPr>
          <w:rFonts w:ascii="Century" w:hAnsi="Century" w:cs="Times New Roman"/>
          <w:i/>
          <w:iCs/>
        </w:rPr>
        <w:t>oundation</w:t>
      </w:r>
      <w:r w:rsidR="00252FC7" w:rsidRPr="00B96ED6">
        <w:rPr>
          <w:rFonts w:ascii="Century" w:hAnsi="Century" w:cs="Times New Roman"/>
        </w:rPr>
        <w:t xml:space="preserve"> in constitutional text and </w:t>
      </w:r>
      <w:r w:rsidR="00252FC7" w:rsidRPr="00B96ED6">
        <w:rPr>
          <w:rFonts w:ascii="Century" w:hAnsi="Century" w:cs="Times New Roman"/>
        </w:rPr>
        <w:lastRenderedPageBreak/>
        <w:t>structure</w:t>
      </w:r>
      <w:r w:rsidR="00EF086C">
        <w:rPr>
          <w:rFonts w:ascii="Century" w:hAnsi="Century" w:cs="Times New Roman"/>
        </w:rPr>
        <w:t xml:space="preserve"> or</w:t>
      </w:r>
      <w:r w:rsidR="00252FC7" w:rsidRPr="00B96ED6">
        <w:rPr>
          <w:rFonts w:ascii="Century" w:hAnsi="Century" w:cs="Times New Roman"/>
        </w:rPr>
        <w:t xml:space="preserve"> in originalist sources</w:t>
      </w:r>
      <w:r w:rsidR="00EF086C">
        <w:rPr>
          <w:rFonts w:ascii="Century" w:hAnsi="Century" w:cs="Times New Roman"/>
        </w:rPr>
        <w:t xml:space="preserve"> for </w:t>
      </w:r>
      <w:r w:rsidR="00EF086C" w:rsidRPr="00903CAF">
        <w:rPr>
          <w:rFonts w:ascii="Century" w:hAnsi="Century" w:cs="Times New Roman"/>
          <w:i/>
          <w:iCs/>
        </w:rPr>
        <w:t>any</w:t>
      </w:r>
      <w:r w:rsidR="00EF086C">
        <w:rPr>
          <w:rFonts w:ascii="Century" w:hAnsi="Century" w:cs="Times New Roman"/>
        </w:rPr>
        <w:t xml:space="preserve"> kind of</w:t>
      </w:r>
      <w:r w:rsidR="00FA2B34">
        <w:rPr>
          <w:rFonts w:ascii="Century" w:hAnsi="Century" w:cs="Times New Roman"/>
        </w:rPr>
        <w:t xml:space="preserve"> constitutional </w:t>
      </w:r>
      <w:r w:rsidR="00EF086C">
        <w:rPr>
          <w:rFonts w:ascii="Century" w:hAnsi="Century" w:cs="Times New Roman"/>
        </w:rPr>
        <w:t>restriction on</w:t>
      </w:r>
      <w:r w:rsidR="00FA2B34">
        <w:rPr>
          <w:rFonts w:ascii="Century" w:hAnsi="Century" w:cs="Times New Roman"/>
        </w:rPr>
        <w:t xml:space="preserve"> Congress’ Article I ability to enact statutes granting</w:t>
      </w:r>
      <w:r w:rsidR="00EF086C">
        <w:rPr>
          <w:rFonts w:ascii="Century" w:hAnsi="Century" w:cs="Times New Roman"/>
        </w:rPr>
        <w:t xml:space="preserve"> delegated rulemaking power</w:t>
      </w:r>
      <w:r w:rsidR="00252FC7" w:rsidRPr="00B96ED6">
        <w:rPr>
          <w:rFonts w:ascii="Century" w:hAnsi="Century" w:cs="Times New Roman"/>
        </w:rPr>
        <w:t>.</w:t>
      </w:r>
      <w:bookmarkStart w:id="17" w:name="_Ref85113331"/>
      <w:r w:rsidR="00252FC7" w:rsidRPr="00B96ED6">
        <w:rPr>
          <w:rStyle w:val="FootnoteReference"/>
          <w:rFonts w:ascii="Century" w:hAnsi="Century" w:cs="Times New Roman"/>
        </w:rPr>
        <w:footnoteReference w:id="116"/>
      </w:r>
      <w:bookmarkEnd w:id="17"/>
      <w:r w:rsidR="003B1421">
        <w:rPr>
          <w:rFonts w:ascii="Century" w:hAnsi="Century" w:cs="Times New Roman"/>
        </w:rPr>
        <w:t xml:space="preserve"> As a matter of historical record, the</w:t>
      </w:r>
      <w:r w:rsidR="00482B92">
        <w:rPr>
          <w:rFonts w:ascii="Century" w:hAnsi="Century" w:cs="Times New Roman"/>
        </w:rPr>
        <w:t>se scholars</w:t>
      </w:r>
      <w:r w:rsidR="003B1421">
        <w:rPr>
          <w:rFonts w:ascii="Century" w:hAnsi="Century" w:cs="Times New Roman"/>
        </w:rPr>
        <w:t xml:space="preserve"> argue giving effect to delegated statutory power, no matter how capacious, was conceptually</w:t>
      </w:r>
      <w:r w:rsidR="00547EC4">
        <w:rPr>
          <w:rFonts w:ascii="Century" w:hAnsi="Century" w:cs="Times New Roman"/>
        </w:rPr>
        <w:t xml:space="preserve"> always</w:t>
      </w:r>
      <w:r w:rsidR="003B1421">
        <w:rPr>
          <w:rFonts w:ascii="Century" w:hAnsi="Century" w:cs="Times New Roman"/>
        </w:rPr>
        <w:t xml:space="preserve"> understood as an exercise of </w:t>
      </w:r>
      <w:r w:rsidR="003B1421" w:rsidRPr="0069252A">
        <w:rPr>
          <w:rFonts w:ascii="Century" w:hAnsi="Century" w:cs="Times New Roman"/>
          <w:i/>
          <w:iCs/>
        </w:rPr>
        <w:t>executive power</w:t>
      </w:r>
      <w:r w:rsidR="003B1421">
        <w:rPr>
          <w:rFonts w:ascii="Century" w:hAnsi="Century" w:cs="Times New Roman"/>
        </w:rPr>
        <w:t xml:space="preserve"> – </w:t>
      </w:r>
      <w:r w:rsidR="0069252A">
        <w:rPr>
          <w:rFonts w:ascii="Century" w:hAnsi="Century" w:cs="Times New Roman"/>
        </w:rPr>
        <w:t>involving as it does the</w:t>
      </w:r>
      <w:r w:rsidR="00547EC4">
        <w:rPr>
          <w:rFonts w:ascii="Century" w:hAnsi="Century" w:cs="Times New Roman"/>
        </w:rPr>
        <w:t xml:space="preserve"> </w:t>
      </w:r>
      <w:r w:rsidR="003B1421">
        <w:rPr>
          <w:rFonts w:ascii="Century" w:hAnsi="Century" w:cs="Times New Roman"/>
        </w:rPr>
        <w:t>bringing into execution the</w:t>
      </w:r>
      <w:r w:rsidR="00C81C3C">
        <w:rPr>
          <w:rFonts w:ascii="Century" w:hAnsi="Century" w:cs="Times New Roman"/>
        </w:rPr>
        <w:t xml:space="preserve"> statutory</w:t>
      </w:r>
      <w:r w:rsidR="003B1421">
        <w:rPr>
          <w:rFonts w:ascii="Century" w:hAnsi="Century" w:cs="Times New Roman"/>
        </w:rPr>
        <w:t xml:space="preserve"> directives of the legislature</w:t>
      </w:r>
      <w:r w:rsidR="0069252A">
        <w:rPr>
          <w:rFonts w:ascii="Century" w:hAnsi="Century" w:cs="Times New Roman"/>
        </w:rPr>
        <w:t xml:space="preserve"> whether </w:t>
      </w:r>
      <w:r w:rsidR="00FA322A">
        <w:rPr>
          <w:rFonts w:ascii="Century" w:hAnsi="Century" w:cs="Times New Roman"/>
        </w:rPr>
        <w:t>specific</w:t>
      </w:r>
      <w:r w:rsidR="0069252A">
        <w:rPr>
          <w:rFonts w:ascii="Century" w:hAnsi="Century" w:cs="Times New Roman"/>
        </w:rPr>
        <w:t xml:space="preserve"> or </w:t>
      </w:r>
      <w:r w:rsidR="00FA322A">
        <w:rPr>
          <w:rFonts w:ascii="Century" w:hAnsi="Century" w:cs="Times New Roman"/>
        </w:rPr>
        <w:t>open-ended</w:t>
      </w:r>
      <w:r w:rsidR="003B1421">
        <w:rPr>
          <w:rFonts w:ascii="Century" w:hAnsi="Century" w:cs="Times New Roman"/>
        </w:rPr>
        <w:t>.</w:t>
      </w:r>
      <w:r w:rsidR="00252FC7" w:rsidRPr="00B96ED6">
        <w:rPr>
          <w:rFonts w:ascii="Century" w:hAnsi="Century" w:cs="Times New Roman"/>
        </w:rPr>
        <w:t xml:space="preserve"> </w:t>
      </w:r>
      <w:r w:rsidR="003B1421">
        <w:rPr>
          <w:rFonts w:ascii="Century" w:hAnsi="Century" w:cs="Times New Roman"/>
        </w:rPr>
        <w:t>The</w:t>
      </w:r>
      <w:r w:rsidR="00252FC7" w:rsidRPr="00B96ED6">
        <w:rPr>
          <w:rFonts w:ascii="Century" w:hAnsi="Century" w:cs="Times New Roman"/>
        </w:rPr>
        <w:t xml:space="preserve"> real basis</w:t>
      </w:r>
      <w:r w:rsidR="003B1421">
        <w:rPr>
          <w:rFonts w:ascii="Century" w:hAnsi="Century" w:cs="Times New Roman"/>
        </w:rPr>
        <w:t xml:space="preserve"> for the delegation doctrine</w:t>
      </w:r>
      <w:r w:rsidR="00EF086C">
        <w:rPr>
          <w:rFonts w:ascii="Century" w:hAnsi="Century" w:cs="Times New Roman"/>
        </w:rPr>
        <w:t>, they argue,</w:t>
      </w:r>
      <w:r w:rsidR="00252FC7" w:rsidRPr="00B96ED6">
        <w:rPr>
          <w:rFonts w:ascii="Century" w:hAnsi="Century" w:cs="Times New Roman"/>
        </w:rPr>
        <w:t xml:space="preserve"> lies in a</w:t>
      </w:r>
      <w:r w:rsidR="00653729">
        <w:rPr>
          <w:rFonts w:ascii="Century" w:hAnsi="Century" w:cs="Times New Roman"/>
        </w:rPr>
        <w:t xml:space="preserve">n explicitly </w:t>
      </w:r>
      <w:r w:rsidR="008031B8">
        <w:rPr>
          <w:rFonts w:ascii="Century" w:hAnsi="Century" w:cs="Times New Roman"/>
        </w:rPr>
        <w:t xml:space="preserve">classical liberal </w:t>
      </w:r>
      <w:r w:rsidR="00252FC7" w:rsidRPr="00B96ED6">
        <w:rPr>
          <w:rFonts w:ascii="Century" w:hAnsi="Century" w:cs="Times New Roman"/>
        </w:rPr>
        <w:t>conception of legislative power</w:t>
      </w:r>
      <w:r w:rsidR="008031B8">
        <w:rPr>
          <w:rFonts w:ascii="Century" w:hAnsi="Century" w:cs="Times New Roman"/>
        </w:rPr>
        <w:t>,</w:t>
      </w:r>
      <w:r w:rsidR="00252FC7" w:rsidRPr="00B96ED6">
        <w:rPr>
          <w:rFonts w:ascii="Century" w:hAnsi="Century" w:cs="Times New Roman"/>
        </w:rPr>
        <w:t xml:space="preserve"> filtered through the lens of </w:t>
      </w:r>
      <w:r w:rsidR="007720A4">
        <w:rPr>
          <w:rFonts w:ascii="Century" w:hAnsi="Century" w:cs="Times New Roman"/>
        </w:rPr>
        <w:t xml:space="preserve">a </w:t>
      </w:r>
      <w:r w:rsidR="00252FC7" w:rsidRPr="00B96ED6">
        <w:rPr>
          <w:rFonts w:ascii="Century" w:hAnsi="Century" w:cs="Times New Roman"/>
        </w:rPr>
        <w:t>small-government</w:t>
      </w:r>
      <w:r w:rsidR="004E008B">
        <w:rPr>
          <w:rFonts w:ascii="Century" w:hAnsi="Century" w:cs="Times New Roman"/>
        </w:rPr>
        <w:t xml:space="preserve"> </w:t>
      </w:r>
      <w:r w:rsidR="00050B52">
        <w:rPr>
          <w:rFonts w:ascii="Century" w:hAnsi="Century" w:cs="Times New Roman"/>
        </w:rPr>
        <w:t>orient</w:t>
      </w:r>
      <w:r w:rsidR="005F4EEC">
        <w:rPr>
          <w:rFonts w:ascii="Century" w:hAnsi="Century" w:cs="Times New Roman"/>
        </w:rPr>
        <w:t>ation to</w:t>
      </w:r>
      <w:r w:rsidR="00252FC7" w:rsidRPr="00B96ED6">
        <w:rPr>
          <w:rFonts w:ascii="Century" w:hAnsi="Century" w:cs="Times New Roman"/>
        </w:rPr>
        <w:t xml:space="preserve"> constitutional law</w:t>
      </w:r>
      <w:r w:rsidR="003B1421">
        <w:rPr>
          <w:rFonts w:ascii="Century" w:hAnsi="Century" w:cs="Times New Roman"/>
        </w:rPr>
        <w:t xml:space="preserve"> that became influential in the late 19</w:t>
      </w:r>
      <w:r w:rsidR="003B1421" w:rsidRPr="003B1421">
        <w:rPr>
          <w:rFonts w:ascii="Century" w:hAnsi="Century" w:cs="Times New Roman"/>
          <w:vertAlign w:val="superscript"/>
        </w:rPr>
        <w:t>th</w:t>
      </w:r>
      <w:r w:rsidR="003B1421">
        <w:rPr>
          <w:rFonts w:ascii="Century" w:hAnsi="Century" w:cs="Times New Roman"/>
        </w:rPr>
        <w:t xml:space="preserve"> Century</w:t>
      </w:r>
      <w:r w:rsidR="00252FC7" w:rsidRPr="00B96ED6">
        <w:rPr>
          <w:rFonts w:ascii="Century" w:hAnsi="Century" w:cs="Times New Roman"/>
        </w:rPr>
        <w:t>.</w:t>
      </w:r>
      <w:r w:rsidR="008031B8">
        <w:rPr>
          <w:rStyle w:val="FootnoteReference"/>
          <w:rFonts w:ascii="Century" w:hAnsi="Century" w:cs="Times New Roman"/>
        </w:rPr>
        <w:footnoteReference w:id="117"/>
      </w:r>
      <w:r w:rsidR="00252FC7" w:rsidRPr="00B96ED6">
        <w:rPr>
          <w:rFonts w:ascii="Century" w:hAnsi="Century" w:cs="Times New Roman"/>
        </w:rPr>
        <w:t xml:space="preserve"> </w:t>
      </w:r>
    </w:p>
    <w:p w14:paraId="43746274" w14:textId="6D02CD52" w:rsidR="009F1E08" w:rsidRDefault="009F1E08" w:rsidP="00E81877">
      <w:pPr>
        <w:spacing w:line="480" w:lineRule="auto"/>
        <w:jc w:val="both"/>
        <w:rPr>
          <w:rFonts w:ascii="Century" w:hAnsi="Century"/>
        </w:rPr>
      </w:pPr>
    </w:p>
    <w:p w14:paraId="611C7517" w14:textId="2A165CD9" w:rsidR="002C3C24" w:rsidRDefault="009F1E08" w:rsidP="00E81877">
      <w:pPr>
        <w:spacing w:line="480" w:lineRule="auto"/>
        <w:ind w:firstLine="720"/>
        <w:jc w:val="both"/>
        <w:rPr>
          <w:rFonts w:ascii="Century" w:hAnsi="Century"/>
        </w:rPr>
      </w:pPr>
      <w:r>
        <w:rPr>
          <w:rFonts w:ascii="Century" w:hAnsi="Century"/>
        </w:rPr>
        <w:t xml:space="preserve">The </w:t>
      </w:r>
      <w:r w:rsidR="009F471A">
        <w:rPr>
          <w:rFonts w:ascii="Century" w:hAnsi="Century"/>
        </w:rPr>
        <w:t>main</w:t>
      </w:r>
      <w:r w:rsidR="00317931">
        <w:rPr>
          <w:rFonts w:ascii="Century" w:hAnsi="Century"/>
        </w:rPr>
        <w:t xml:space="preserve"> analytical</w:t>
      </w:r>
      <w:r w:rsidR="009F471A">
        <w:rPr>
          <w:rFonts w:ascii="Century" w:hAnsi="Century"/>
        </w:rPr>
        <w:t xml:space="preserve"> </w:t>
      </w:r>
      <w:r w:rsidR="00290C5F">
        <w:rPr>
          <w:rFonts w:ascii="Century" w:hAnsi="Century"/>
        </w:rPr>
        <w:t>point I want to cash out</w:t>
      </w:r>
      <w:r>
        <w:rPr>
          <w:rFonts w:ascii="Century" w:hAnsi="Century"/>
        </w:rPr>
        <w:t xml:space="preserve"> from this brief excursion into </w:t>
      </w:r>
      <w:r w:rsidR="00DA2133">
        <w:rPr>
          <w:rFonts w:ascii="Century" w:hAnsi="Century"/>
        </w:rPr>
        <w:t>US jurisprudence</w:t>
      </w:r>
      <w:r w:rsidR="00916709">
        <w:rPr>
          <w:rFonts w:ascii="Century" w:hAnsi="Century"/>
        </w:rPr>
        <w:t xml:space="preserve"> and its heated debates</w:t>
      </w:r>
      <w:r w:rsidR="00B42740">
        <w:rPr>
          <w:rFonts w:ascii="Century" w:hAnsi="Century"/>
        </w:rPr>
        <w:t>,</w:t>
      </w:r>
      <w:r w:rsidR="00DA2133">
        <w:rPr>
          <w:rFonts w:ascii="Century" w:hAnsi="Century"/>
        </w:rPr>
        <w:t xml:space="preserve"> is that </w:t>
      </w:r>
      <w:r w:rsidR="000F1F54">
        <w:rPr>
          <w:rFonts w:ascii="Century" w:hAnsi="Century"/>
        </w:rPr>
        <w:t>giving</w:t>
      </w:r>
      <w:r w:rsidR="00922648">
        <w:rPr>
          <w:rFonts w:ascii="Century" w:hAnsi="Century"/>
        </w:rPr>
        <w:t xml:space="preserve"> </w:t>
      </w:r>
      <w:r w:rsidR="000F1F54">
        <w:rPr>
          <w:rFonts w:ascii="Century" w:hAnsi="Century"/>
        </w:rPr>
        <w:t>content to</w:t>
      </w:r>
      <w:r w:rsidR="00482B92">
        <w:rPr>
          <w:rFonts w:ascii="Century" w:hAnsi="Century"/>
        </w:rPr>
        <w:t xml:space="preserve"> broad</w:t>
      </w:r>
      <w:r w:rsidR="00290C5F">
        <w:rPr>
          <w:rFonts w:ascii="Century" w:hAnsi="Century"/>
        </w:rPr>
        <w:t xml:space="preserve"> concept</w:t>
      </w:r>
      <w:r w:rsidR="000F1F54">
        <w:rPr>
          <w:rFonts w:ascii="Century" w:hAnsi="Century"/>
        </w:rPr>
        <w:t>s</w:t>
      </w:r>
      <w:r w:rsidR="00290C5F">
        <w:rPr>
          <w:rFonts w:ascii="Century" w:hAnsi="Century"/>
        </w:rPr>
        <w:t xml:space="preserve"> </w:t>
      </w:r>
      <w:r w:rsidR="000F1F54">
        <w:rPr>
          <w:rFonts w:ascii="Century" w:hAnsi="Century"/>
        </w:rPr>
        <w:t>like the</w:t>
      </w:r>
      <w:r w:rsidR="00DA2133">
        <w:rPr>
          <w:rFonts w:ascii="Century" w:hAnsi="Century"/>
        </w:rPr>
        <w:t xml:space="preserve"> separation of powers</w:t>
      </w:r>
      <w:r w:rsidR="000F1F54">
        <w:rPr>
          <w:rFonts w:ascii="Century" w:hAnsi="Century"/>
        </w:rPr>
        <w:t xml:space="preserve"> and legislative power</w:t>
      </w:r>
      <w:r w:rsidR="00290C5F">
        <w:rPr>
          <w:rFonts w:ascii="Century" w:hAnsi="Century"/>
        </w:rPr>
        <w:t>,</w:t>
      </w:r>
      <w:r w:rsidR="00DA2133">
        <w:rPr>
          <w:rFonts w:ascii="Century" w:hAnsi="Century"/>
        </w:rPr>
        <w:t xml:space="preserve"> and how </w:t>
      </w:r>
      <w:r w:rsidR="000F1F54">
        <w:rPr>
          <w:rFonts w:ascii="Century" w:hAnsi="Century"/>
        </w:rPr>
        <w:t>they</w:t>
      </w:r>
      <w:r w:rsidR="00DA2133">
        <w:rPr>
          <w:rFonts w:ascii="Century" w:hAnsi="Century"/>
        </w:rPr>
        <w:t xml:space="preserve"> relate to the delegation doctrine</w:t>
      </w:r>
      <w:r w:rsidR="00290C5F">
        <w:rPr>
          <w:rFonts w:ascii="Century" w:hAnsi="Century"/>
        </w:rPr>
        <w:t>, inevitably</w:t>
      </w:r>
      <w:r w:rsidR="00DA2133">
        <w:rPr>
          <w:rFonts w:ascii="Century" w:hAnsi="Century"/>
        </w:rPr>
        <w:t xml:space="preserve"> involve</w:t>
      </w:r>
      <w:r w:rsidR="00290C5F">
        <w:rPr>
          <w:rFonts w:ascii="Century" w:hAnsi="Century"/>
        </w:rPr>
        <w:t>s</w:t>
      </w:r>
      <w:r w:rsidR="00DA2133">
        <w:rPr>
          <w:rFonts w:ascii="Century" w:hAnsi="Century"/>
        </w:rPr>
        <w:t xml:space="preserve"> deeply contestable normative arguments about the ends and purpose of </w:t>
      </w:r>
      <w:r w:rsidR="00515E20">
        <w:rPr>
          <w:rFonts w:ascii="Century" w:hAnsi="Century"/>
        </w:rPr>
        <w:t>g</w:t>
      </w:r>
      <w:r w:rsidR="00DA2133">
        <w:rPr>
          <w:rFonts w:ascii="Century" w:hAnsi="Century"/>
        </w:rPr>
        <w:t>overnment.</w:t>
      </w:r>
      <w:r w:rsidR="00191C52">
        <w:rPr>
          <w:rFonts w:ascii="Century" w:hAnsi="Century"/>
        </w:rPr>
        <w:t xml:space="preserve"> </w:t>
      </w:r>
      <w:r w:rsidR="00726370">
        <w:rPr>
          <w:rFonts w:ascii="Century" w:hAnsi="Century" w:cs="Times New Roman"/>
        </w:rPr>
        <w:t xml:space="preserve">Making these underlying normative commitments </w:t>
      </w:r>
      <w:r w:rsidR="00510549">
        <w:rPr>
          <w:rFonts w:ascii="Century" w:hAnsi="Century" w:cs="Times New Roman"/>
        </w:rPr>
        <w:t>explicit and clear</w:t>
      </w:r>
      <w:r w:rsidR="00726370">
        <w:rPr>
          <w:rFonts w:ascii="Century" w:hAnsi="Century" w:cs="Times New Roman"/>
        </w:rPr>
        <w:t xml:space="preserve"> </w:t>
      </w:r>
      <w:r w:rsidR="000F1F54">
        <w:rPr>
          <w:rFonts w:ascii="Century" w:hAnsi="Century" w:cs="Times New Roman"/>
        </w:rPr>
        <w:t>is</w:t>
      </w:r>
      <w:r w:rsidR="002C3C24">
        <w:rPr>
          <w:rFonts w:ascii="Century" w:hAnsi="Century" w:cs="Times New Roman"/>
        </w:rPr>
        <w:t xml:space="preserve"> thus</w:t>
      </w:r>
      <w:r w:rsidR="00510549">
        <w:rPr>
          <w:rFonts w:ascii="Century" w:hAnsi="Century" w:cs="Times New Roman"/>
        </w:rPr>
        <w:t xml:space="preserve"> critical to </w:t>
      </w:r>
      <w:r w:rsidR="000F1F54">
        <w:rPr>
          <w:rFonts w:ascii="Century" w:hAnsi="Century" w:cs="Times New Roman"/>
        </w:rPr>
        <w:t>offering a</w:t>
      </w:r>
      <w:r w:rsidR="00510549">
        <w:rPr>
          <w:rFonts w:ascii="Century" w:hAnsi="Century" w:cs="Times New Roman"/>
        </w:rPr>
        <w:t xml:space="preserve"> full-bodied assessment of the merits of different interpretations of</w:t>
      </w:r>
      <w:r w:rsidR="00674354">
        <w:rPr>
          <w:rFonts w:ascii="Century" w:hAnsi="Century" w:cs="Times New Roman"/>
        </w:rPr>
        <w:t xml:space="preserve"> the relationship between</w:t>
      </w:r>
      <w:r w:rsidR="00510549">
        <w:rPr>
          <w:rFonts w:ascii="Century" w:hAnsi="Century" w:cs="Times New Roman"/>
        </w:rPr>
        <w:t xml:space="preserve"> Article 15</w:t>
      </w:r>
      <w:r w:rsidR="00674354">
        <w:rPr>
          <w:rFonts w:ascii="Century" w:hAnsi="Century" w:cs="Times New Roman"/>
        </w:rPr>
        <w:t xml:space="preserve"> and 28</w:t>
      </w:r>
      <w:r w:rsidR="00566039">
        <w:rPr>
          <w:rFonts w:ascii="Century" w:hAnsi="Century" w:cs="Times New Roman"/>
        </w:rPr>
        <w:t xml:space="preserve"> – like the</w:t>
      </w:r>
      <w:r w:rsidR="00515E20">
        <w:rPr>
          <w:rFonts w:ascii="Century" w:hAnsi="Century" w:cs="Times New Roman"/>
        </w:rPr>
        <w:t xml:space="preserve"> rival</w:t>
      </w:r>
      <w:r w:rsidR="00566039">
        <w:rPr>
          <w:rFonts w:ascii="Century" w:hAnsi="Century" w:cs="Times New Roman"/>
        </w:rPr>
        <w:t xml:space="preserve"> </w:t>
      </w:r>
      <w:r w:rsidR="00566039" w:rsidRPr="00566039">
        <w:rPr>
          <w:rFonts w:ascii="Century" w:hAnsi="Century" w:cs="Times New Roman"/>
          <w:i/>
          <w:iCs/>
        </w:rPr>
        <w:t xml:space="preserve">Cityview </w:t>
      </w:r>
      <w:r w:rsidR="00566039">
        <w:rPr>
          <w:rFonts w:ascii="Century" w:hAnsi="Century" w:cs="Times New Roman"/>
        </w:rPr>
        <w:t xml:space="preserve">and </w:t>
      </w:r>
      <w:r w:rsidR="00566039" w:rsidRPr="00566039">
        <w:rPr>
          <w:rFonts w:ascii="Century" w:hAnsi="Century" w:cs="Times New Roman"/>
          <w:i/>
          <w:iCs/>
        </w:rPr>
        <w:t>NECI</w:t>
      </w:r>
      <w:r w:rsidR="00566039">
        <w:rPr>
          <w:rFonts w:ascii="Century" w:hAnsi="Century" w:cs="Times New Roman"/>
          <w:i/>
          <w:iCs/>
        </w:rPr>
        <w:t xml:space="preserve"> </w:t>
      </w:r>
      <w:r w:rsidR="00566039">
        <w:rPr>
          <w:rFonts w:ascii="Century" w:hAnsi="Century" w:cs="Times New Roman"/>
        </w:rPr>
        <w:t>tests</w:t>
      </w:r>
      <w:r w:rsidR="00510549">
        <w:rPr>
          <w:rFonts w:ascii="Century" w:hAnsi="Century" w:cs="Times New Roman"/>
        </w:rPr>
        <w:t>.</w:t>
      </w:r>
      <w:r w:rsidR="00510549">
        <w:rPr>
          <w:rFonts w:ascii="Century" w:hAnsi="Century"/>
        </w:rPr>
        <w:t xml:space="preserve"> </w:t>
      </w:r>
    </w:p>
    <w:p w14:paraId="69A475F4" w14:textId="77777777" w:rsidR="002C3C24" w:rsidRDefault="002C3C24" w:rsidP="00E81877">
      <w:pPr>
        <w:spacing w:line="480" w:lineRule="auto"/>
        <w:ind w:firstLine="720"/>
        <w:jc w:val="both"/>
        <w:rPr>
          <w:rFonts w:ascii="Century" w:hAnsi="Century"/>
        </w:rPr>
      </w:pPr>
    </w:p>
    <w:p w14:paraId="2E823277" w14:textId="0C91552D" w:rsidR="00317931" w:rsidRDefault="00510549" w:rsidP="00E81877">
      <w:pPr>
        <w:spacing w:line="480" w:lineRule="auto"/>
        <w:ind w:firstLine="720"/>
        <w:jc w:val="both"/>
        <w:rPr>
          <w:rFonts w:ascii="Century" w:hAnsi="Century"/>
          <w:color w:val="000000" w:themeColor="text1"/>
        </w:rPr>
      </w:pPr>
      <w:r>
        <w:rPr>
          <w:rFonts w:ascii="Century" w:hAnsi="Century"/>
        </w:rPr>
        <w:lastRenderedPageBreak/>
        <w:t>For example,</w:t>
      </w:r>
      <w:r w:rsidR="00DA2133">
        <w:rPr>
          <w:rFonts w:ascii="Century" w:hAnsi="Century"/>
        </w:rPr>
        <w:t xml:space="preserve"> </w:t>
      </w:r>
      <w:r>
        <w:rPr>
          <w:rFonts w:ascii="Century" w:hAnsi="Century"/>
        </w:rPr>
        <w:t>i</w:t>
      </w:r>
      <w:r w:rsidR="00DA2133">
        <w:rPr>
          <w:rFonts w:ascii="Century" w:hAnsi="Century"/>
        </w:rPr>
        <w:t>f one is sympathetic to small</w:t>
      </w:r>
      <w:r w:rsidR="00317931">
        <w:rPr>
          <w:rFonts w:ascii="Century" w:hAnsi="Century"/>
        </w:rPr>
        <w:t>er</w:t>
      </w:r>
      <w:r w:rsidR="00DA2133">
        <w:rPr>
          <w:rFonts w:ascii="Century" w:hAnsi="Century"/>
        </w:rPr>
        <w:t xml:space="preserve">-scale government </w:t>
      </w:r>
      <w:r w:rsidR="00D50E9E">
        <w:rPr>
          <w:rFonts w:ascii="Century" w:hAnsi="Century"/>
        </w:rPr>
        <w:t>and hostile to policymaking by the executive branch and administrative agencies</w:t>
      </w:r>
      <w:r w:rsidR="002C3C24">
        <w:rPr>
          <w:rFonts w:ascii="Century" w:hAnsi="Century"/>
        </w:rPr>
        <w:t xml:space="preserve"> like the jurists mentioned above</w:t>
      </w:r>
      <w:r w:rsidR="00D50E9E">
        <w:rPr>
          <w:rFonts w:ascii="Century" w:hAnsi="Century"/>
        </w:rPr>
        <w:t xml:space="preserve">, then the strong-form </w:t>
      </w:r>
      <w:r w:rsidR="00566039" w:rsidRPr="00566039">
        <w:rPr>
          <w:rFonts w:ascii="Century" w:hAnsi="Century"/>
          <w:i/>
          <w:iCs/>
        </w:rPr>
        <w:t>Cityview</w:t>
      </w:r>
      <w:r w:rsidR="00566039" w:rsidRPr="00566039">
        <w:rPr>
          <w:rFonts w:ascii="Century" w:hAnsi="Century"/>
        </w:rPr>
        <w:t xml:space="preserve"> </w:t>
      </w:r>
      <w:r w:rsidR="00D50E9E">
        <w:rPr>
          <w:rFonts w:ascii="Century" w:hAnsi="Century"/>
        </w:rPr>
        <w:t>vision of the delegation doctrine will be of immense attraction</w:t>
      </w:r>
      <w:r w:rsidR="00794930">
        <w:rPr>
          <w:rFonts w:ascii="Century" w:hAnsi="Century"/>
        </w:rPr>
        <w:t xml:space="preserve"> due to its asymmetric anti-regulatory </w:t>
      </w:r>
      <w:r w:rsidR="00482B92">
        <w:rPr>
          <w:rFonts w:ascii="Century" w:hAnsi="Century"/>
        </w:rPr>
        <w:t>slant</w:t>
      </w:r>
      <w:r w:rsidR="00D50E9E">
        <w:rPr>
          <w:rFonts w:ascii="Century" w:hAnsi="Century"/>
        </w:rPr>
        <w:t xml:space="preserve">. </w:t>
      </w:r>
      <w:r w:rsidR="00191C52">
        <w:rPr>
          <w:rFonts w:ascii="Century" w:hAnsi="Century"/>
        </w:rPr>
        <w:t>In contrast, if one takes the position that</w:t>
      </w:r>
      <w:r w:rsidR="00862831">
        <w:rPr>
          <w:rFonts w:ascii="Century" w:hAnsi="Century"/>
        </w:rPr>
        <w:t xml:space="preserve"> the</w:t>
      </w:r>
      <w:r w:rsidR="004E189A">
        <w:rPr>
          <w:rFonts w:ascii="Century" w:hAnsi="Century"/>
        </w:rPr>
        <w:t xml:space="preserve"> inevitably</w:t>
      </w:r>
      <w:r w:rsidR="000F1F54">
        <w:rPr>
          <w:rFonts w:ascii="Century" w:hAnsi="Century"/>
        </w:rPr>
        <w:t xml:space="preserve"> broad</w:t>
      </w:r>
      <w:r w:rsidR="004E189A">
        <w:rPr>
          <w:rFonts w:ascii="Century" w:hAnsi="Century"/>
        </w:rPr>
        <w:t xml:space="preserve"> and vague</w:t>
      </w:r>
      <w:r w:rsidR="000F1F54">
        <w:rPr>
          <w:rFonts w:ascii="Century" w:hAnsi="Century"/>
        </w:rPr>
        <w:t xml:space="preserve"> contours of </w:t>
      </w:r>
      <w:r w:rsidR="004E189A">
        <w:rPr>
          <w:rFonts w:ascii="Century" w:hAnsi="Century"/>
        </w:rPr>
        <w:t>a Constitution’s</w:t>
      </w:r>
      <w:r w:rsidR="00862831">
        <w:rPr>
          <w:rFonts w:ascii="Century" w:hAnsi="Century"/>
        </w:rPr>
        <w:t xml:space="preserve"> separation of </w:t>
      </w:r>
      <w:r w:rsidR="00862831" w:rsidRPr="00862831">
        <w:rPr>
          <w:rFonts w:ascii="Century" w:hAnsi="Century"/>
          <w:color w:val="000000" w:themeColor="text1"/>
        </w:rPr>
        <w:t>powers</w:t>
      </w:r>
      <w:r w:rsidR="004E189A">
        <w:rPr>
          <w:rFonts w:ascii="Century" w:hAnsi="Century"/>
          <w:color w:val="000000" w:themeColor="text1"/>
        </w:rPr>
        <w:t xml:space="preserve"> framework</w:t>
      </w:r>
      <w:r w:rsidR="00862831" w:rsidRPr="00862831">
        <w:rPr>
          <w:rFonts w:ascii="Century" w:hAnsi="Century"/>
          <w:color w:val="000000" w:themeColor="text1"/>
        </w:rPr>
        <w:t xml:space="preserve"> should be </w:t>
      </w:r>
      <w:r w:rsidR="000F1F54">
        <w:rPr>
          <w:rFonts w:ascii="Century" w:hAnsi="Century"/>
          <w:color w:val="000000" w:themeColor="text1"/>
        </w:rPr>
        <w:t>fleshed out</w:t>
      </w:r>
      <w:r w:rsidR="00862831" w:rsidRPr="00862831">
        <w:rPr>
          <w:rFonts w:ascii="Century" w:hAnsi="Century"/>
          <w:color w:val="000000" w:themeColor="text1"/>
        </w:rPr>
        <w:t xml:space="preserve"> to empower the </w:t>
      </w:r>
      <w:r w:rsidR="00D209DE">
        <w:rPr>
          <w:rFonts w:ascii="Century" w:hAnsi="Century"/>
          <w:color w:val="000000" w:themeColor="text1"/>
        </w:rPr>
        <w:t>s</w:t>
      </w:r>
      <w:r w:rsidR="00862831" w:rsidRPr="00862831">
        <w:rPr>
          <w:rFonts w:ascii="Century" w:hAnsi="Century"/>
          <w:color w:val="000000" w:themeColor="text1"/>
        </w:rPr>
        <w:t>tate to</w:t>
      </w:r>
      <w:r w:rsidR="000F1F54">
        <w:rPr>
          <w:rFonts w:ascii="Century" w:hAnsi="Century"/>
          <w:color w:val="000000" w:themeColor="text1"/>
        </w:rPr>
        <w:t xml:space="preserve"> affirmatively</w:t>
      </w:r>
      <w:r w:rsidR="00862831" w:rsidRPr="00862831">
        <w:rPr>
          <w:rFonts w:ascii="Century" w:hAnsi="Century"/>
          <w:color w:val="000000" w:themeColor="text1"/>
        </w:rPr>
        <w:t xml:space="preserve"> act for the common good</w:t>
      </w:r>
      <w:r w:rsidR="000F1F54">
        <w:rPr>
          <w:rFonts w:ascii="Century" w:hAnsi="Century"/>
          <w:color w:val="000000" w:themeColor="text1"/>
        </w:rPr>
        <w:t>,</w:t>
      </w:r>
      <w:r w:rsidR="00862831" w:rsidRPr="00862831">
        <w:rPr>
          <w:rFonts w:ascii="Century" w:hAnsi="Century"/>
          <w:color w:val="000000" w:themeColor="text1"/>
        </w:rPr>
        <w:t xml:space="preserve"> then </w:t>
      </w:r>
      <w:r w:rsidR="00566039">
        <w:rPr>
          <w:rFonts w:ascii="Century" w:hAnsi="Century"/>
          <w:color w:val="000000" w:themeColor="text1"/>
        </w:rPr>
        <w:t>this same test</w:t>
      </w:r>
      <w:r w:rsidR="00862831" w:rsidRPr="00862831">
        <w:rPr>
          <w:rFonts w:ascii="Century" w:hAnsi="Century"/>
          <w:color w:val="000000" w:themeColor="text1"/>
        </w:rPr>
        <w:t xml:space="preserve"> will </w:t>
      </w:r>
      <w:r w:rsidR="00916709">
        <w:rPr>
          <w:rFonts w:ascii="Century" w:hAnsi="Century"/>
          <w:color w:val="000000" w:themeColor="text1"/>
        </w:rPr>
        <w:t>be</w:t>
      </w:r>
      <w:r w:rsidR="00862831" w:rsidRPr="00862831">
        <w:rPr>
          <w:rFonts w:ascii="Century" w:hAnsi="Century"/>
          <w:color w:val="000000" w:themeColor="text1"/>
        </w:rPr>
        <w:t xml:space="preserve"> </w:t>
      </w:r>
      <w:r w:rsidR="00916709">
        <w:rPr>
          <w:rFonts w:ascii="Century" w:hAnsi="Century"/>
          <w:color w:val="000000" w:themeColor="text1"/>
        </w:rPr>
        <w:t>far</w:t>
      </w:r>
      <w:r w:rsidR="00862831" w:rsidRPr="00862831">
        <w:rPr>
          <w:rFonts w:ascii="Century" w:hAnsi="Century"/>
          <w:color w:val="000000" w:themeColor="text1"/>
        </w:rPr>
        <w:t xml:space="preserve"> </w:t>
      </w:r>
      <w:r w:rsidR="00916709">
        <w:rPr>
          <w:rFonts w:ascii="Century" w:hAnsi="Century"/>
          <w:color w:val="000000" w:themeColor="text1"/>
        </w:rPr>
        <w:t xml:space="preserve">less </w:t>
      </w:r>
      <w:r w:rsidR="00FB1F80">
        <w:rPr>
          <w:rFonts w:ascii="Century" w:hAnsi="Century"/>
          <w:color w:val="000000" w:themeColor="text1"/>
        </w:rPr>
        <w:t>appealing</w:t>
      </w:r>
      <w:r w:rsidR="00862831" w:rsidRPr="00862831">
        <w:rPr>
          <w:rFonts w:ascii="Century" w:hAnsi="Century"/>
          <w:color w:val="000000" w:themeColor="text1"/>
        </w:rPr>
        <w:t>.</w:t>
      </w:r>
      <w:r w:rsidR="00317931">
        <w:rPr>
          <w:rStyle w:val="FootnoteReference"/>
          <w:rFonts w:ascii="Century" w:hAnsi="Century"/>
          <w:color w:val="000000" w:themeColor="text1"/>
        </w:rPr>
        <w:footnoteReference w:id="118"/>
      </w:r>
      <w:r w:rsidR="00862831" w:rsidRPr="00862831">
        <w:rPr>
          <w:rFonts w:ascii="Century" w:hAnsi="Century"/>
          <w:color w:val="000000" w:themeColor="text1"/>
        </w:rPr>
        <w:t xml:space="preserve"> For many jurists,</w:t>
      </w:r>
      <w:r w:rsidR="00191C52" w:rsidRPr="00862831">
        <w:rPr>
          <w:rFonts w:ascii="Century" w:hAnsi="Century"/>
          <w:color w:val="000000" w:themeColor="text1"/>
        </w:rPr>
        <w:t xml:space="preserve"> </w:t>
      </w:r>
      <w:r w:rsidR="00492682" w:rsidRPr="00862831">
        <w:rPr>
          <w:rFonts w:ascii="Century" w:eastAsia="Times New Roman" w:hAnsi="Century" w:cs="Times New Roman"/>
          <w:color w:val="000000" w:themeColor="text1"/>
          <w:u w:color="000000"/>
        </w:rPr>
        <w:t>u</w:t>
      </w:r>
      <w:r w:rsidR="00492682" w:rsidRPr="00862831">
        <w:rPr>
          <w:rFonts w:ascii="Century" w:hAnsi="Century"/>
          <w:color w:val="000000" w:themeColor="text1"/>
          <w:u w:color="000000"/>
        </w:rPr>
        <w:t>nder contemporary conditions of extreme economic and social complexity</w:t>
      </w:r>
      <w:r w:rsidR="00566039">
        <w:rPr>
          <w:rFonts w:ascii="Century" w:hAnsi="Century"/>
          <w:color w:val="000000" w:themeColor="text1"/>
          <w:u w:color="000000"/>
        </w:rPr>
        <w:t>,</w:t>
      </w:r>
      <w:r w:rsidR="00191C52" w:rsidRPr="00862831">
        <w:rPr>
          <w:rFonts w:ascii="Century" w:hAnsi="Century"/>
          <w:color w:val="000000" w:themeColor="text1"/>
          <w:u w:color="000000"/>
        </w:rPr>
        <w:t xml:space="preserve"> </w:t>
      </w:r>
      <w:r w:rsidR="00566039">
        <w:rPr>
          <w:rFonts w:ascii="Century" w:hAnsi="Century"/>
          <w:color w:val="000000" w:themeColor="text1"/>
          <w:u w:color="000000"/>
        </w:rPr>
        <w:t xml:space="preserve">centering policymaking </w:t>
      </w:r>
      <w:r w:rsidR="0041478B">
        <w:rPr>
          <w:rFonts w:ascii="Century" w:hAnsi="Century"/>
          <w:color w:val="000000" w:themeColor="text1"/>
          <w:u w:color="000000"/>
        </w:rPr>
        <w:t>in</w:t>
      </w:r>
      <w:r w:rsidR="00BA7D5A">
        <w:rPr>
          <w:rFonts w:ascii="Century" w:hAnsi="Century"/>
          <w:color w:val="000000" w:themeColor="text1"/>
          <w:u w:color="000000"/>
        </w:rPr>
        <w:t xml:space="preserve"> the</w:t>
      </w:r>
      <w:r w:rsidR="00191C52" w:rsidRPr="00862831">
        <w:rPr>
          <w:rFonts w:ascii="Century" w:hAnsi="Century"/>
          <w:color w:val="000000" w:themeColor="text1"/>
          <w:u w:color="000000"/>
        </w:rPr>
        <w:t xml:space="preserve"> executive-led administrative state</w:t>
      </w:r>
      <w:r w:rsidR="00566039">
        <w:rPr>
          <w:rFonts w:ascii="Century" w:hAnsi="Century"/>
          <w:color w:val="000000" w:themeColor="text1"/>
          <w:u w:color="000000"/>
        </w:rPr>
        <w:t xml:space="preserve">, </w:t>
      </w:r>
      <w:r w:rsidR="004E189A">
        <w:rPr>
          <w:rFonts w:ascii="Century" w:hAnsi="Century"/>
          <w:color w:val="000000" w:themeColor="text1"/>
          <w:u w:color="000000"/>
        </w:rPr>
        <w:t>will often be</w:t>
      </w:r>
      <w:r w:rsidR="00BA7D5A">
        <w:rPr>
          <w:rFonts w:ascii="Century" w:hAnsi="Century"/>
          <w:color w:val="000000" w:themeColor="text1"/>
          <w:u w:color="000000"/>
        </w:rPr>
        <w:t xml:space="preserve"> the most normatively defensible configuration of the separation of powers.</w:t>
      </w:r>
      <w:r w:rsidR="00FB1F80">
        <w:rPr>
          <w:rStyle w:val="FootnoteReference"/>
          <w:rFonts w:ascii="Century" w:hAnsi="Century"/>
          <w:color w:val="000000" w:themeColor="text1"/>
          <w:u w:color="000000"/>
        </w:rPr>
        <w:footnoteReference w:id="119"/>
      </w:r>
      <w:r w:rsidR="00BA7D5A">
        <w:rPr>
          <w:rFonts w:ascii="Century" w:hAnsi="Century"/>
          <w:color w:val="000000" w:themeColor="text1"/>
          <w:u w:color="000000"/>
        </w:rPr>
        <w:t xml:space="preserve"> </w:t>
      </w:r>
      <w:r w:rsidR="00317931">
        <w:rPr>
          <w:rFonts w:ascii="Century" w:hAnsi="Century"/>
          <w:color w:val="000000" w:themeColor="text1"/>
          <w:u w:color="000000"/>
        </w:rPr>
        <w:t>This is because for</w:t>
      </w:r>
      <w:r w:rsidR="00894373">
        <w:rPr>
          <w:rFonts w:ascii="Century" w:hAnsi="Century"/>
          <w:color w:val="000000" w:themeColor="text1"/>
          <w:u w:color="000000"/>
        </w:rPr>
        <w:t xml:space="preserve"> a </w:t>
      </w:r>
      <w:r w:rsidR="006D1DC3">
        <w:rPr>
          <w:rFonts w:ascii="Century" w:hAnsi="Century"/>
          <w:color w:val="000000" w:themeColor="text1"/>
          <w:u w:color="000000"/>
        </w:rPr>
        <w:t>s</w:t>
      </w:r>
      <w:r w:rsidR="00894373">
        <w:rPr>
          <w:rFonts w:ascii="Century" w:hAnsi="Century"/>
          <w:color w:val="000000" w:themeColor="text1"/>
          <w:u w:color="000000"/>
        </w:rPr>
        <w:t>tate to pursue provide a</w:t>
      </w:r>
      <w:r w:rsidR="00317931">
        <w:rPr>
          <w:rFonts w:ascii="Century" w:hAnsi="Century"/>
          <w:color w:val="000000" w:themeColor="text1"/>
          <w:u w:color="000000"/>
        </w:rPr>
        <w:t>ny kind of</w:t>
      </w:r>
      <w:r w:rsidR="00894373">
        <w:rPr>
          <w:rFonts w:ascii="Century" w:hAnsi="Century"/>
          <w:color w:val="000000" w:themeColor="text1"/>
          <w:u w:color="000000"/>
        </w:rPr>
        <w:t xml:space="preserve"> </w:t>
      </w:r>
      <w:r w:rsidR="00482B92">
        <w:rPr>
          <w:rFonts w:ascii="Century" w:hAnsi="Century"/>
          <w:color w:val="000000" w:themeColor="text1"/>
          <w:u w:color="000000"/>
        </w:rPr>
        <w:t xml:space="preserve">robust </w:t>
      </w:r>
      <w:proofErr w:type="spellStart"/>
      <w:r w:rsidR="00894373">
        <w:rPr>
          <w:rFonts w:ascii="Century" w:hAnsi="Century"/>
          <w:color w:val="000000" w:themeColor="text1"/>
          <w:u w:color="000000"/>
        </w:rPr>
        <w:t>welfare</w:t>
      </w:r>
      <w:proofErr w:type="spellEnd"/>
      <w:r w:rsidR="00894373">
        <w:rPr>
          <w:rFonts w:ascii="Century" w:hAnsi="Century"/>
          <w:color w:val="000000" w:themeColor="text1"/>
          <w:u w:color="000000"/>
        </w:rPr>
        <w:t xml:space="preserve"> system, regulate a complex </w:t>
      </w:r>
      <w:r w:rsidR="00482B92">
        <w:rPr>
          <w:rFonts w:ascii="Century" w:hAnsi="Century"/>
          <w:color w:val="000000" w:themeColor="text1"/>
          <w:u w:color="000000"/>
        </w:rPr>
        <w:t xml:space="preserve">globally interconnected </w:t>
      </w:r>
      <w:r w:rsidR="00894373">
        <w:rPr>
          <w:rFonts w:ascii="Century" w:hAnsi="Century"/>
          <w:color w:val="000000" w:themeColor="text1"/>
          <w:u w:color="000000"/>
        </w:rPr>
        <w:t>economy,</w:t>
      </w:r>
      <w:r w:rsidR="0042587A">
        <w:rPr>
          <w:rFonts w:ascii="Century" w:hAnsi="Century"/>
          <w:color w:val="000000" w:themeColor="text1"/>
          <w:u w:color="000000"/>
        </w:rPr>
        <w:t xml:space="preserve"> and tame abuses of private power</w:t>
      </w:r>
      <w:r w:rsidR="00482B92">
        <w:rPr>
          <w:rFonts w:ascii="Century" w:hAnsi="Century"/>
          <w:color w:val="000000" w:themeColor="text1"/>
          <w:u w:color="000000"/>
        </w:rPr>
        <w:t xml:space="preserve"> or exploitation</w:t>
      </w:r>
      <w:r w:rsidR="0042587A">
        <w:rPr>
          <w:rFonts w:ascii="Century" w:hAnsi="Century"/>
          <w:color w:val="000000" w:themeColor="text1"/>
          <w:u w:color="000000"/>
        </w:rPr>
        <w:t>,</w:t>
      </w:r>
      <w:r w:rsidR="00894373">
        <w:rPr>
          <w:rFonts w:ascii="Century" w:hAnsi="Century"/>
          <w:color w:val="000000" w:themeColor="text1"/>
          <w:u w:color="000000"/>
        </w:rPr>
        <w:t xml:space="preserve"> an extensive administrative apparatus</w:t>
      </w:r>
      <w:r w:rsidR="00317931">
        <w:rPr>
          <w:rFonts w:ascii="Century" w:hAnsi="Century"/>
          <w:color w:val="000000" w:themeColor="text1"/>
          <w:u w:color="000000"/>
        </w:rPr>
        <w:t xml:space="preserve"> vested with broad and deep statutory discretion</w:t>
      </w:r>
      <w:r w:rsidR="00894373">
        <w:rPr>
          <w:rFonts w:ascii="Century" w:hAnsi="Century"/>
          <w:color w:val="000000" w:themeColor="text1"/>
          <w:u w:color="000000"/>
        </w:rPr>
        <w:t xml:space="preserve"> is </w:t>
      </w:r>
      <w:r w:rsidR="00317931">
        <w:rPr>
          <w:rFonts w:ascii="Century" w:hAnsi="Century"/>
          <w:color w:val="000000" w:themeColor="text1"/>
          <w:u w:color="000000"/>
        </w:rPr>
        <w:t>required</w:t>
      </w:r>
      <w:r w:rsidR="00894373">
        <w:rPr>
          <w:rFonts w:ascii="Century" w:hAnsi="Century"/>
          <w:color w:val="000000" w:themeColor="text1"/>
          <w:u w:color="000000"/>
        </w:rPr>
        <w:t>.</w:t>
      </w:r>
      <w:r w:rsidR="00894373">
        <w:rPr>
          <w:rStyle w:val="FootnoteReference"/>
          <w:rFonts w:ascii="Century" w:hAnsi="Century"/>
          <w:color w:val="000000" w:themeColor="text1"/>
          <w:u w:color="000000"/>
        </w:rPr>
        <w:footnoteReference w:id="120"/>
      </w:r>
      <w:r w:rsidR="00DF0A51">
        <w:rPr>
          <w:rFonts w:ascii="Century" w:hAnsi="Century"/>
          <w:color w:val="000000" w:themeColor="text1"/>
          <w:u w:color="000000"/>
        </w:rPr>
        <w:t xml:space="preserve"> T</w:t>
      </w:r>
      <w:r w:rsidR="00BA7D5A">
        <w:rPr>
          <w:rFonts w:ascii="Century" w:hAnsi="Century"/>
          <w:color w:val="000000" w:themeColor="text1"/>
          <w:u w:color="000000"/>
        </w:rPr>
        <w:t xml:space="preserve">hose who </w:t>
      </w:r>
      <w:r w:rsidR="00AB4362">
        <w:rPr>
          <w:rFonts w:ascii="Century" w:hAnsi="Century"/>
          <w:color w:val="000000" w:themeColor="text1"/>
          <w:u w:color="000000"/>
        </w:rPr>
        <w:t>hol</w:t>
      </w:r>
      <w:r w:rsidR="00566039">
        <w:rPr>
          <w:rFonts w:ascii="Century" w:hAnsi="Century"/>
          <w:color w:val="000000" w:themeColor="text1"/>
          <w:u w:color="000000"/>
        </w:rPr>
        <w:t>d</w:t>
      </w:r>
      <w:r w:rsidR="00AB4362">
        <w:rPr>
          <w:rFonts w:ascii="Century" w:hAnsi="Century"/>
          <w:color w:val="000000" w:themeColor="text1"/>
          <w:u w:color="000000"/>
        </w:rPr>
        <w:t xml:space="preserve"> this view and </w:t>
      </w:r>
      <w:r w:rsidR="00566039">
        <w:rPr>
          <w:rFonts w:ascii="Century" w:hAnsi="Century"/>
          <w:color w:val="000000" w:themeColor="text1"/>
          <w:u w:color="000000"/>
        </w:rPr>
        <w:t>regard</w:t>
      </w:r>
      <w:r w:rsidR="00AB4362">
        <w:rPr>
          <w:rFonts w:ascii="Century" w:hAnsi="Century"/>
          <w:color w:val="000000" w:themeColor="text1"/>
          <w:u w:color="000000"/>
        </w:rPr>
        <w:t xml:space="preserve"> the</w:t>
      </w:r>
      <w:r w:rsidR="00BA7D5A">
        <w:rPr>
          <w:rFonts w:ascii="Century" w:hAnsi="Century"/>
          <w:color w:val="000000" w:themeColor="text1"/>
          <w:u w:color="000000"/>
        </w:rPr>
        <w:t xml:space="preserve"> administrative</w:t>
      </w:r>
      <w:r w:rsidR="00492682" w:rsidRPr="00862831">
        <w:rPr>
          <w:rFonts w:ascii="Century" w:hAnsi="Century"/>
          <w:color w:val="000000" w:themeColor="text1"/>
          <w:u w:color="000000"/>
        </w:rPr>
        <w:t xml:space="preserve"> </w:t>
      </w:r>
      <w:r w:rsidR="00AB4362">
        <w:rPr>
          <w:rFonts w:ascii="Century" w:hAnsi="Century"/>
          <w:color w:val="000000" w:themeColor="text1"/>
          <w:u w:color="000000"/>
        </w:rPr>
        <w:t xml:space="preserve">state </w:t>
      </w:r>
      <w:r w:rsidR="009560BF">
        <w:rPr>
          <w:rFonts w:ascii="Century" w:hAnsi="Century"/>
          <w:color w:val="000000" w:themeColor="text1"/>
          <w:u w:color="000000"/>
        </w:rPr>
        <w:t>‘</w:t>
      </w:r>
      <w:r w:rsidR="00492682" w:rsidRPr="00862831">
        <w:rPr>
          <w:rFonts w:ascii="Century" w:hAnsi="Century"/>
          <w:color w:val="000000" w:themeColor="text1"/>
          <w:u w:color="000000"/>
        </w:rPr>
        <w:t>properly and intelligently deployed</w:t>
      </w:r>
      <w:r w:rsidR="009560BF">
        <w:rPr>
          <w:rFonts w:ascii="Century" w:hAnsi="Century"/>
          <w:color w:val="000000" w:themeColor="text1"/>
          <w:u w:color="000000"/>
        </w:rPr>
        <w:t>’</w:t>
      </w:r>
      <w:r w:rsidR="00492682" w:rsidRPr="00862831">
        <w:rPr>
          <w:rFonts w:ascii="Century" w:hAnsi="Century"/>
          <w:color w:val="000000" w:themeColor="text1"/>
          <w:u w:color="000000"/>
        </w:rPr>
        <w:t xml:space="preserve"> </w:t>
      </w:r>
      <w:r w:rsidR="00566039">
        <w:rPr>
          <w:rFonts w:ascii="Century" w:hAnsi="Century"/>
          <w:color w:val="000000" w:themeColor="text1"/>
          <w:u w:color="000000"/>
        </w:rPr>
        <w:t>as</w:t>
      </w:r>
      <w:r w:rsidR="00492682" w:rsidRPr="00862831">
        <w:rPr>
          <w:rFonts w:ascii="Century" w:hAnsi="Century"/>
          <w:color w:val="000000" w:themeColor="text1"/>
          <w:u w:color="000000"/>
        </w:rPr>
        <w:t xml:space="preserve"> an </w:t>
      </w:r>
      <w:r w:rsidR="009560BF">
        <w:rPr>
          <w:rFonts w:ascii="Century" w:hAnsi="Century"/>
          <w:color w:val="000000" w:themeColor="text1"/>
          <w:u w:color="000000"/>
        </w:rPr>
        <w:t>‘</w:t>
      </w:r>
      <w:r w:rsidR="00492682" w:rsidRPr="00862831">
        <w:rPr>
          <w:rFonts w:ascii="Century" w:hAnsi="Century"/>
          <w:color w:val="000000" w:themeColor="text1"/>
          <w:u w:color="000000"/>
        </w:rPr>
        <w:t>engine of unsurpassed power for promoting the common good</w:t>
      </w:r>
      <w:r w:rsidR="009560BF">
        <w:rPr>
          <w:rFonts w:ascii="Century" w:hAnsi="Century"/>
          <w:color w:val="000000" w:themeColor="text1"/>
          <w:u w:color="000000"/>
        </w:rPr>
        <w:t>’</w:t>
      </w:r>
      <w:r w:rsidR="00492682" w:rsidRPr="00862831">
        <w:rPr>
          <w:rStyle w:val="FootnoteReference"/>
          <w:rFonts w:ascii="Century" w:hAnsi="Century"/>
          <w:color w:val="000000" w:themeColor="text1"/>
          <w:u w:color="000000"/>
        </w:rPr>
        <w:footnoteReference w:id="121"/>
      </w:r>
      <w:r w:rsidR="00191C52" w:rsidRPr="00862831">
        <w:rPr>
          <w:rFonts w:ascii="Century" w:hAnsi="Century"/>
          <w:color w:val="000000" w:themeColor="text1"/>
        </w:rPr>
        <w:t>,</w:t>
      </w:r>
      <w:r w:rsidR="00862831" w:rsidRPr="00862831">
        <w:rPr>
          <w:rFonts w:ascii="Century" w:hAnsi="Century"/>
          <w:color w:val="000000" w:themeColor="text1"/>
        </w:rPr>
        <w:t xml:space="preserve"> </w:t>
      </w:r>
      <w:r w:rsidR="00BA7D5A">
        <w:rPr>
          <w:rFonts w:ascii="Century" w:hAnsi="Century"/>
          <w:color w:val="000000" w:themeColor="text1"/>
        </w:rPr>
        <w:t>will</w:t>
      </w:r>
      <w:r w:rsidR="0042587A">
        <w:rPr>
          <w:rFonts w:ascii="Century" w:hAnsi="Century"/>
          <w:color w:val="000000" w:themeColor="text1"/>
        </w:rPr>
        <w:t xml:space="preserve"> thus</w:t>
      </w:r>
      <w:r w:rsidR="00BA7D5A">
        <w:rPr>
          <w:rFonts w:ascii="Century" w:hAnsi="Century"/>
          <w:color w:val="000000" w:themeColor="text1"/>
        </w:rPr>
        <w:t xml:space="preserve"> be</w:t>
      </w:r>
      <w:r w:rsidR="00862831" w:rsidRPr="00862831">
        <w:rPr>
          <w:rFonts w:ascii="Century" w:hAnsi="Century"/>
          <w:color w:val="000000" w:themeColor="text1"/>
        </w:rPr>
        <w:t xml:space="preserve"> </w:t>
      </w:r>
      <w:r w:rsidR="00191C52" w:rsidRPr="00862831">
        <w:rPr>
          <w:rFonts w:ascii="Century" w:hAnsi="Century"/>
          <w:color w:val="000000" w:themeColor="text1"/>
        </w:rPr>
        <w:t>deeply skeptical of a</w:t>
      </w:r>
      <w:r w:rsidR="005F4EEC">
        <w:rPr>
          <w:rFonts w:ascii="Century" w:hAnsi="Century"/>
          <w:color w:val="000000" w:themeColor="text1"/>
        </w:rPr>
        <w:t xml:space="preserve"> vision of the</w:t>
      </w:r>
      <w:r w:rsidR="00191C52" w:rsidRPr="00862831">
        <w:rPr>
          <w:rFonts w:ascii="Century" w:hAnsi="Century"/>
          <w:color w:val="000000" w:themeColor="text1"/>
        </w:rPr>
        <w:t xml:space="preserve"> separation of powers which endorses something like the </w:t>
      </w:r>
      <w:r w:rsidR="00191C52" w:rsidRPr="00862831">
        <w:rPr>
          <w:rFonts w:ascii="Century" w:hAnsi="Century"/>
          <w:i/>
          <w:iCs/>
          <w:color w:val="000000" w:themeColor="text1"/>
        </w:rPr>
        <w:t xml:space="preserve">Cityview </w:t>
      </w:r>
      <w:r w:rsidR="00191C52" w:rsidRPr="00862831">
        <w:rPr>
          <w:rFonts w:ascii="Century" w:hAnsi="Century"/>
          <w:color w:val="000000" w:themeColor="text1"/>
        </w:rPr>
        <w:t xml:space="preserve">test. </w:t>
      </w:r>
    </w:p>
    <w:p w14:paraId="75214FE6" w14:textId="77777777" w:rsidR="00317931" w:rsidRDefault="00317931" w:rsidP="00E81877">
      <w:pPr>
        <w:spacing w:line="480" w:lineRule="auto"/>
        <w:ind w:firstLine="720"/>
        <w:jc w:val="both"/>
        <w:rPr>
          <w:rFonts w:ascii="Century" w:hAnsi="Century"/>
          <w:color w:val="000000" w:themeColor="text1"/>
        </w:rPr>
      </w:pPr>
    </w:p>
    <w:p w14:paraId="0ECBE2D1" w14:textId="6A29CB73" w:rsidR="00862831" w:rsidRPr="002C3C24" w:rsidRDefault="00566039" w:rsidP="00E81877">
      <w:pPr>
        <w:spacing w:line="480" w:lineRule="auto"/>
        <w:ind w:firstLine="720"/>
        <w:jc w:val="both"/>
        <w:rPr>
          <w:rFonts w:ascii="Century" w:hAnsi="Century"/>
          <w:color w:val="000000" w:themeColor="text1"/>
          <w:u w:color="000000"/>
        </w:rPr>
      </w:pPr>
      <w:r>
        <w:rPr>
          <w:rFonts w:ascii="Century" w:hAnsi="Century"/>
          <w:color w:val="000000" w:themeColor="text1"/>
        </w:rPr>
        <w:lastRenderedPageBreak/>
        <w:t>As already noted, t</w:t>
      </w:r>
      <w:r w:rsidR="00191C52" w:rsidRPr="00862831">
        <w:rPr>
          <w:rFonts w:ascii="Century" w:hAnsi="Century"/>
          <w:color w:val="000000" w:themeColor="text1"/>
        </w:rPr>
        <w:t xml:space="preserve">his test would, if enforced with any consistency, have a very deleterious effect on the ability and capacity of the </w:t>
      </w:r>
      <w:r w:rsidR="006D1DC3">
        <w:rPr>
          <w:rFonts w:ascii="Century" w:hAnsi="Century"/>
          <w:color w:val="000000" w:themeColor="text1"/>
        </w:rPr>
        <w:t>s</w:t>
      </w:r>
      <w:r w:rsidR="00191C52" w:rsidRPr="00862831">
        <w:rPr>
          <w:rFonts w:ascii="Century" w:hAnsi="Century"/>
          <w:color w:val="000000" w:themeColor="text1"/>
        </w:rPr>
        <w:t xml:space="preserve">tate to </w:t>
      </w:r>
      <w:r w:rsidR="00663D8A">
        <w:rPr>
          <w:rFonts w:ascii="Century" w:hAnsi="Century"/>
          <w:color w:val="000000" w:themeColor="text1"/>
        </w:rPr>
        <w:t>administer and</w:t>
      </w:r>
      <w:r w:rsidR="003E1AC6">
        <w:rPr>
          <w:rFonts w:ascii="Century" w:hAnsi="Century"/>
          <w:color w:val="000000" w:themeColor="text1"/>
        </w:rPr>
        <w:t xml:space="preserve"> provide</w:t>
      </w:r>
      <w:r w:rsidR="002019DC">
        <w:rPr>
          <w:rFonts w:ascii="Century" w:hAnsi="Century"/>
          <w:color w:val="000000" w:themeColor="text1"/>
        </w:rPr>
        <w:t xml:space="preserve"> the kind of</w:t>
      </w:r>
      <w:r w:rsidR="003E1AC6">
        <w:rPr>
          <w:rFonts w:ascii="Century" w:hAnsi="Century"/>
          <w:color w:val="000000" w:themeColor="text1"/>
        </w:rPr>
        <w:t xml:space="preserve"> complex</w:t>
      </w:r>
      <w:r w:rsidR="005F4EEC">
        <w:rPr>
          <w:rFonts w:ascii="Century" w:hAnsi="Century"/>
          <w:color w:val="000000" w:themeColor="text1"/>
        </w:rPr>
        <w:t xml:space="preserve"> and important</w:t>
      </w:r>
      <w:r w:rsidR="003E1AC6">
        <w:rPr>
          <w:rFonts w:ascii="Century" w:hAnsi="Century"/>
          <w:color w:val="000000" w:themeColor="text1"/>
        </w:rPr>
        <w:t xml:space="preserve"> social, welfare, and regulatory schemes</w:t>
      </w:r>
      <w:r w:rsidR="002019DC">
        <w:rPr>
          <w:rFonts w:ascii="Century" w:hAnsi="Century"/>
          <w:color w:val="000000" w:themeColor="text1"/>
        </w:rPr>
        <w:t xml:space="preserve"> critical to the common good</w:t>
      </w:r>
      <w:r w:rsidR="00191C52" w:rsidRPr="00862831">
        <w:rPr>
          <w:rFonts w:ascii="Century" w:hAnsi="Century"/>
          <w:color w:val="000000" w:themeColor="text1"/>
        </w:rPr>
        <w:t xml:space="preserve">. </w:t>
      </w:r>
      <w:r w:rsidR="00122D8A">
        <w:rPr>
          <w:rFonts w:ascii="Century" w:hAnsi="Century"/>
          <w:color w:val="000000" w:themeColor="text1"/>
        </w:rPr>
        <w:t xml:space="preserve">Because of this, many </w:t>
      </w:r>
      <w:r w:rsidR="00547EC4">
        <w:rPr>
          <w:rFonts w:ascii="Century" w:hAnsi="Century"/>
          <w:color w:val="000000" w:themeColor="text1"/>
        </w:rPr>
        <w:t>will</w:t>
      </w:r>
      <w:r w:rsidR="00122D8A">
        <w:rPr>
          <w:rFonts w:ascii="Century" w:hAnsi="Century"/>
          <w:color w:val="000000" w:themeColor="text1"/>
        </w:rPr>
        <w:t xml:space="preserve"> </w:t>
      </w:r>
      <w:r w:rsidR="00936ADA">
        <w:rPr>
          <w:rFonts w:ascii="Century" w:hAnsi="Century"/>
          <w:color w:val="000000" w:themeColor="text1"/>
        </w:rPr>
        <w:t>(</w:t>
      </w:r>
      <w:r>
        <w:rPr>
          <w:rFonts w:ascii="Century" w:hAnsi="Century"/>
          <w:color w:val="000000" w:themeColor="text1"/>
        </w:rPr>
        <w:t>reasonably</w:t>
      </w:r>
      <w:r w:rsidR="00936ADA">
        <w:rPr>
          <w:rFonts w:ascii="Century" w:hAnsi="Century"/>
          <w:color w:val="000000" w:themeColor="text1"/>
        </w:rPr>
        <w:t xml:space="preserve"> I think)</w:t>
      </w:r>
      <w:r w:rsidR="00862831">
        <w:rPr>
          <w:rFonts w:ascii="Century" w:hAnsi="Century"/>
          <w:color w:val="000000" w:themeColor="text1"/>
        </w:rPr>
        <w:t xml:space="preserve"> </w:t>
      </w:r>
      <w:r w:rsidR="00862831" w:rsidRPr="00862831">
        <w:rPr>
          <w:rFonts w:ascii="Century" w:hAnsi="Century"/>
          <w:color w:val="000000" w:themeColor="text1"/>
        </w:rPr>
        <w:t>take the view</w:t>
      </w:r>
      <w:r w:rsidR="00862831">
        <w:rPr>
          <w:rFonts w:ascii="Century" w:hAnsi="Century"/>
          <w:color w:val="000000" w:themeColor="text1"/>
        </w:rPr>
        <w:t xml:space="preserve"> </w:t>
      </w:r>
      <w:r w:rsidR="00862831" w:rsidRPr="00862831">
        <w:rPr>
          <w:rFonts w:ascii="Century" w:hAnsi="Century"/>
          <w:color w:val="000000" w:themeColor="text1"/>
        </w:rPr>
        <w:t>a</w:t>
      </w:r>
      <w:r w:rsidR="00556A51">
        <w:rPr>
          <w:rFonts w:ascii="Century" w:hAnsi="Century"/>
          <w:color w:val="000000" w:themeColor="text1"/>
        </w:rPr>
        <w:t xml:space="preserve"> </w:t>
      </w:r>
      <w:r w:rsidR="00862831" w:rsidRPr="00862831">
        <w:rPr>
          <w:rFonts w:ascii="Century" w:hAnsi="Century"/>
          <w:color w:val="000000" w:themeColor="text1"/>
        </w:rPr>
        <w:t>separation of powers dedicated to individual liberty and</w:t>
      </w:r>
      <w:r>
        <w:rPr>
          <w:rFonts w:ascii="Century" w:hAnsi="Century"/>
          <w:color w:val="000000" w:themeColor="text1"/>
        </w:rPr>
        <w:t xml:space="preserve"> </w:t>
      </w:r>
      <w:r w:rsidR="00862831" w:rsidRPr="00862831">
        <w:rPr>
          <w:rFonts w:ascii="Century" w:hAnsi="Century"/>
          <w:color w:val="000000" w:themeColor="text1"/>
        </w:rPr>
        <w:t xml:space="preserve">curbing the </w:t>
      </w:r>
      <w:r w:rsidR="00862831">
        <w:rPr>
          <w:rFonts w:ascii="Century" w:hAnsi="Century"/>
          <w:color w:val="000000" w:themeColor="text1"/>
        </w:rPr>
        <w:t>executive’s</w:t>
      </w:r>
      <w:r w:rsidR="00862831" w:rsidRPr="00862831">
        <w:rPr>
          <w:rFonts w:ascii="Century" w:hAnsi="Century"/>
          <w:color w:val="000000" w:themeColor="text1"/>
        </w:rPr>
        <w:t xml:space="preserve"> ability to regulate</w:t>
      </w:r>
      <w:r w:rsidR="0041478B">
        <w:rPr>
          <w:rFonts w:ascii="Century" w:hAnsi="Century"/>
          <w:color w:val="000000" w:themeColor="text1"/>
        </w:rPr>
        <w:t>,</w:t>
      </w:r>
      <w:r w:rsidR="00862831" w:rsidRPr="00862831">
        <w:rPr>
          <w:rFonts w:ascii="Century" w:hAnsi="Century"/>
          <w:color w:val="000000" w:themeColor="text1"/>
        </w:rPr>
        <w:t xml:space="preserve"> </w:t>
      </w:r>
      <w:r>
        <w:rPr>
          <w:rFonts w:ascii="Century" w:eastAsia="Times New Roman" w:hAnsi="Century" w:cs="Times New Roman"/>
          <w:color w:val="000000" w:themeColor="text1"/>
          <w:lang w:val="en-GB" w:eastAsia="en-GB"/>
        </w:rPr>
        <w:t>will be</w:t>
      </w:r>
      <w:r w:rsidR="005F4EEC">
        <w:rPr>
          <w:rFonts w:ascii="Century" w:eastAsia="Times New Roman" w:hAnsi="Century" w:cs="Times New Roman"/>
          <w:color w:val="000000" w:themeColor="text1"/>
          <w:lang w:val="en-GB" w:eastAsia="en-GB"/>
        </w:rPr>
        <w:t xml:space="preserve"> too</w:t>
      </w:r>
      <w:r w:rsidR="00862831" w:rsidRPr="00862831">
        <w:rPr>
          <w:rFonts w:ascii="Century" w:eastAsia="Times New Roman" w:hAnsi="Century" w:cs="Times New Roman"/>
          <w:color w:val="000000" w:themeColor="text1"/>
          <w:lang w:val="en-GB" w:eastAsia="en-GB"/>
        </w:rPr>
        <w:t xml:space="preserve"> blinkered to the serious</w:t>
      </w:r>
      <w:r w:rsidR="00862831">
        <w:rPr>
          <w:rFonts w:ascii="Century" w:eastAsia="Times New Roman" w:hAnsi="Century" w:cs="Times New Roman"/>
          <w:color w:val="000000" w:themeColor="text1"/>
          <w:lang w:val="en-GB" w:eastAsia="en-GB"/>
        </w:rPr>
        <w:t xml:space="preserve"> political</w:t>
      </w:r>
      <w:r w:rsidR="00862831" w:rsidRPr="00862831">
        <w:rPr>
          <w:rFonts w:ascii="Century" w:eastAsia="Times New Roman" w:hAnsi="Century" w:cs="Times New Roman"/>
          <w:color w:val="000000" w:themeColor="text1"/>
          <w:lang w:val="en-GB" w:eastAsia="en-GB"/>
        </w:rPr>
        <w:t xml:space="preserve"> threats to welfare and the common good that can proliferate in the private socio-economic sphere, under the watch of officials unable to act with Hamiltonian vigour and dispatch.</w:t>
      </w:r>
      <w:r w:rsidR="00862831">
        <w:rPr>
          <w:rStyle w:val="FootnoteReference"/>
          <w:rFonts w:ascii="Century" w:eastAsia="Times New Roman" w:hAnsi="Century" w:cs="Times New Roman"/>
          <w:color w:val="000000" w:themeColor="text1"/>
          <w:lang w:val="en-GB" w:eastAsia="en-GB"/>
        </w:rPr>
        <w:footnoteReference w:id="122"/>
      </w:r>
      <w:r w:rsidR="00187D6F">
        <w:rPr>
          <w:rFonts w:ascii="Century" w:eastAsia="Times New Roman" w:hAnsi="Century" w:cs="Times New Roman"/>
          <w:color w:val="000000" w:themeColor="text1"/>
          <w:lang w:val="en-GB" w:eastAsia="en-GB"/>
        </w:rPr>
        <w:t xml:space="preserve"> Proponent</w:t>
      </w:r>
      <w:r w:rsidR="00936ADA">
        <w:rPr>
          <w:rFonts w:ascii="Century" w:eastAsia="Times New Roman" w:hAnsi="Century" w:cs="Times New Roman"/>
          <w:color w:val="000000" w:themeColor="text1"/>
          <w:lang w:val="en-GB" w:eastAsia="en-GB"/>
        </w:rPr>
        <w:t>s</w:t>
      </w:r>
      <w:r w:rsidR="00187D6F">
        <w:rPr>
          <w:rFonts w:ascii="Century" w:eastAsia="Times New Roman" w:hAnsi="Century" w:cs="Times New Roman"/>
          <w:color w:val="000000" w:themeColor="text1"/>
          <w:lang w:val="en-GB" w:eastAsia="en-GB"/>
        </w:rPr>
        <w:t xml:space="preserve"> of a robust executive branch and active regulatory </w:t>
      </w:r>
      <w:r w:rsidR="003E1AC6">
        <w:rPr>
          <w:rFonts w:ascii="Century" w:eastAsia="Times New Roman" w:hAnsi="Century" w:cs="Times New Roman"/>
          <w:color w:val="000000" w:themeColor="text1"/>
          <w:lang w:val="en-GB" w:eastAsia="en-GB"/>
        </w:rPr>
        <w:t>s</w:t>
      </w:r>
      <w:r w:rsidR="00187D6F">
        <w:rPr>
          <w:rFonts w:ascii="Century" w:eastAsia="Times New Roman" w:hAnsi="Century" w:cs="Times New Roman"/>
          <w:color w:val="000000" w:themeColor="text1"/>
          <w:lang w:val="en-GB" w:eastAsia="en-GB"/>
        </w:rPr>
        <w:t>tate will, for all these reasons, be more likely to support</w:t>
      </w:r>
      <w:r w:rsidR="00FB1F80">
        <w:rPr>
          <w:rFonts w:ascii="Century" w:eastAsia="Times New Roman" w:hAnsi="Century" w:cs="Times New Roman"/>
          <w:color w:val="000000" w:themeColor="text1"/>
          <w:lang w:val="en-GB" w:eastAsia="en-GB"/>
        </w:rPr>
        <w:t xml:space="preserve"> interpretation</w:t>
      </w:r>
      <w:r w:rsidR="003E1AC6">
        <w:rPr>
          <w:rFonts w:ascii="Century" w:eastAsia="Times New Roman" w:hAnsi="Century" w:cs="Times New Roman"/>
          <w:color w:val="000000" w:themeColor="text1"/>
          <w:lang w:val="en-GB" w:eastAsia="en-GB"/>
        </w:rPr>
        <w:t xml:space="preserve"> of legislative power</w:t>
      </w:r>
      <w:r w:rsidR="00FB1F80">
        <w:rPr>
          <w:rFonts w:ascii="Century" w:eastAsia="Times New Roman" w:hAnsi="Century" w:cs="Times New Roman"/>
          <w:color w:val="000000" w:themeColor="text1"/>
          <w:lang w:val="en-GB" w:eastAsia="en-GB"/>
        </w:rPr>
        <w:t xml:space="preserve"> </w:t>
      </w:r>
      <w:r w:rsidR="00FD48BE">
        <w:rPr>
          <w:rFonts w:ascii="Century" w:eastAsia="Times New Roman" w:hAnsi="Century" w:cs="Times New Roman"/>
          <w:color w:val="000000" w:themeColor="text1"/>
          <w:lang w:val="en-GB" w:eastAsia="en-GB"/>
        </w:rPr>
        <w:t>which endorses a</w:t>
      </w:r>
      <w:r w:rsidR="00187D6F">
        <w:rPr>
          <w:rFonts w:ascii="Century" w:eastAsia="Times New Roman" w:hAnsi="Century" w:cs="Times New Roman"/>
          <w:color w:val="000000" w:themeColor="text1"/>
          <w:lang w:val="en-GB" w:eastAsia="en-GB"/>
        </w:rPr>
        <w:t xml:space="preserve"> loose and capacious approach to the bounds of rulemaking power under statutory delegation. </w:t>
      </w:r>
    </w:p>
    <w:p w14:paraId="6D93678B" w14:textId="4AF8368F" w:rsidR="00AE1E0A" w:rsidRDefault="00AE1E0A" w:rsidP="00E81877">
      <w:pPr>
        <w:spacing w:line="480" w:lineRule="auto"/>
        <w:jc w:val="both"/>
        <w:rPr>
          <w:rFonts w:ascii="Century" w:hAnsi="Century"/>
        </w:rPr>
      </w:pPr>
    </w:p>
    <w:p w14:paraId="303463E1" w14:textId="248EA496" w:rsidR="00CD64D4" w:rsidRDefault="00AB4362" w:rsidP="00CD64D4">
      <w:pPr>
        <w:spacing w:line="480" w:lineRule="auto"/>
        <w:ind w:firstLine="720"/>
        <w:jc w:val="both"/>
        <w:rPr>
          <w:rFonts w:ascii="Century" w:hAnsi="Century" w:cs="Times New Roman"/>
        </w:rPr>
      </w:pPr>
      <w:r>
        <w:rPr>
          <w:rFonts w:ascii="Century" w:hAnsi="Century" w:cs="Times New Roman"/>
        </w:rPr>
        <w:t>All of which is to say that i</w:t>
      </w:r>
      <w:r w:rsidR="00AE1E0A" w:rsidRPr="00492682">
        <w:rPr>
          <w:rFonts w:ascii="Century" w:hAnsi="Century" w:cs="Times New Roman"/>
        </w:rPr>
        <w:t>nterpreting the scope of permissible delegation</w:t>
      </w:r>
      <w:r w:rsidR="00566039">
        <w:rPr>
          <w:rFonts w:ascii="Century" w:hAnsi="Century" w:cs="Times New Roman"/>
        </w:rPr>
        <w:t xml:space="preserve"> of rulemaking authority</w:t>
      </w:r>
      <w:r w:rsidR="00AE1E0A" w:rsidRPr="00492682">
        <w:rPr>
          <w:rFonts w:ascii="Century" w:hAnsi="Century" w:cs="Times New Roman"/>
        </w:rPr>
        <w:t xml:space="preserve"> involves</w:t>
      </w:r>
      <w:r w:rsidR="005F4EEC">
        <w:rPr>
          <w:rFonts w:ascii="Century" w:hAnsi="Century" w:cs="Times New Roman"/>
        </w:rPr>
        <w:t>, like very many areas of constitutional interpretation,</w:t>
      </w:r>
      <w:r w:rsidR="00AE1E0A" w:rsidRPr="00492682">
        <w:rPr>
          <w:rFonts w:ascii="Century" w:hAnsi="Century" w:cs="Times New Roman"/>
        </w:rPr>
        <w:t xml:space="preserve"> an inescapable measure of normative </w:t>
      </w:r>
      <w:r w:rsidR="00595AED">
        <w:rPr>
          <w:rFonts w:ascii="Century" w:hAnsi="Century" w:cs="Times New Roman"/>
        </w:rPr>
        <w:t>principle and political morality</w:t>
      </w:r>
      <w:r>
        <w:rPr>
          <w:rFonts w:ascii="Century" w:hAnsi="Century" w:cs="Times New Roman"/>
        </w:rPr>
        <w:t xml:space="preserve"> being brought to bear on under</w:t>
      </w:r>
      <w:r w:rsidR="00683E4A">
        <w:rPr>
          <w:rFonts w:ascii="Century" w:hAnsi="Century" w:cs="Times New Roman"/>
        </w:rPr>
        <w:t>-</w:t>
      </w:r>
      <w:r>
        <w:rPr>
          <w:rFonts w:ascii="Century" w:hAnsi="Century" w:cs="Times New Roman"/>
        </w:rPr>
        <w:t>determinate constitutional text</w:t>
      </w:r>
      <w:r w:rsidR="00282EB1">
        <w:rPr>
          <w:rFonts w:ascii="Century" w:hAnsi="Century" w:cs="Times New Roman"/>
        </w:rPr>
        <w:t xml:space="preserve"> and structure</w:t>
      </w:r>
      <w:r w:rsidR="00AE1E0A" w:rsidRPr="00492682">
        <w:rPr>
          <w:rFonts w:ascii="Century" w:hAnsi="Century" w:cs="Times New Roman"/>
        </w:rPr>
        <w:t>.</w:t>
      </w:r>
      <w:r w:rsidR="00FD48BE">
        <w:rPr>
          <w:rStyle w:val="FootnoteReference"/>
          <w:rFonts w:ascii="Century" w:hAnsi="Century" w:cs="Times New Roman"/>
        </w:rPr>
        <w:footnoteReference w:id="123"/>
      </w:r>
      <w:r w:rsidR="00AE1E0A" w:rsidRPr="00492682">
        <w:rPr>
          <w:rFonts w:ascii="Century" w:hAnsi="Century" w:cs="Times New Roman"/>
        </w:rPr>
        <w:t xml:space="preserve"> </w:t>
      </w:r>
      <w:r>
        <w:rPr>
          <w:rFonts w:ascii="Century" w:hAnsi="Century" w:cs="Times New Roman"/>
        </w:rPr>
        <w:t>In articulating a</w:t>
      </w:r>
      <w:r w:rsidR="00282EB1">
        <w:rPr>
          <w:rFonts w:ascii="Century" w:hAnsi="Century" w:cs="Times New Roman"/>
        </w:rPr>
        <w:t xml:space="preserve"> capacious</w:t>
      </w:r>
      <w:r>
        <w:rPr>
          <w:rFonts w:ascii="Century" w:hAnsi="Century" w:cs="Times New Roman"/>
        </w:rPr>
        <w:t xml:space="preserve"> negative delegation test which </w:t>
      </w:r>
      <w:r w:rsidR="00282EB1">
        <w:rPr>
          <w:rFonts w:ascii="Century" w:hAnsi="Century" w:cs="Times New Roman"/>
        </w:rPr>
        <w:t>better</w:t>
      </w:r>
      <w:r>
        <w:rPr>
          <w:rFonts w:ascii="Century" w:hAnsi="Century" w:cs="Times New Roman"/>
        </w:rPr>
        <w:t xml:space="preserve"> accommodates the work of the executive-led administrative state,</w:t>
      </w:r>
      <w:r w:rsidR="00547EC4">
        <w:rPr>
          <w:rFonts w:ascii="Century" w:hAnsi="Century" w:cs="Times New Roman"/>
        </w:rPr>
        <w:t xml:space="preserve"> I suggest</w:t>
      </w:r>
      <w:r>
        <w:rPr>
          <w:rFonts w:ascii="Century" w:hAnsi="Century" w:cs="Times New Roman"/>
        </w:rPr>
        <w:t xml:space="preserve"> t</w:t>
      </w:r>
      <w:r w:rsidR="00AE1E0A" w:rsidRPr="00492682">
        <w:rPr>
          <w:rFonts w:ascii="Century" w:hAnsi="Century" w:cs="Times New Roman"/>
        </w:rPr>
        <w:t>he Supreme</w:t>
      </w:r>
      <w:r w:rsidR="00AE1E0A" w:rsidRPr="00B96ED6">
        <w:rPr>
          <w:rFonts w:ascii="Century" w:hAnsi="Century" w:cs="Times New Roman"/>
        </w:rPr>
        <w:t xml:space="preserve"> Court</w:t>
      </w:r>
      <w:r w:rsidR="00AE1E0A">
        <w:rPr>
          <w:rFonts w:ascii="Century" w:hAnsi="Century" w:cs="Times New Roman"/>
        </w:rPr>
        <w:t xml:space="preserve"> in </w:t>
      </w:r>
      <w:r w:rsidR="00AE1E0A" w:rsidRPr="00AB4362">
        <w:rPr>
          <w:rFonts w:ascii="Century" w:hAnsi="Century" w:cs="Times New Roman"/>
          <w:i/>
          <w:iCs/>
        </w:rPr>
        <w:t>NECI</w:t>
      </w:r>
      <w:r w:rsidR="00AE1E0A">
        <w:rPr>
          <w:rFonts w:ascii="Century" w:hAnsi="Century" w:cs="Times New Roman"/>
        </w:rPr>
        <w:t xml:space="preserve"> </w:t>
      </w:r>
      <w:r w:rsidR="00AE1E0A" w:rsidRPr="00B96ED6">
        <w:rPr>
          <w:rFonts w:ascii="Century" w:hAnsi="Century" w:cs="Times New Roman"/>
        </w:rPr>
        <w:t xml:space="preserve">have </w:t>
      </w:r>
      <w:r w:rsidR="00640C7C">
        <w:rPr>
          <w:rFonts w:ascii="Century" w:hAnsi="Century" w:cs="Times New Roman"/>
        </w:rPr>
        <w:t>offered a</w:t>
      </w:r>
      <w:r w:rsidR="00AE1E0A" w:rsidRPr="00B96ED6">
        <w:rPr>
          <w:rFonts w:ascii="Century" w:hAnsi="Century" w:cs="Times New Roman"/>
        </w:rPr>
        <w:t xml:space="preserve"> sound </w:t>
      </w:r>
      <w:r w:rsidR="00683E4A">
        <w:rPr>
          <w:rFonts w:ascii="Century" w:hAnsi="Century" w:cs="Times New Roman"/>
        </w:rPr>
        <w:t>interpretation</w:t>
      </w:r>
      <w:r w:rsidR="00640C7C">
        <w:rPr>
          <w:rFonts w:ascii="Century" w:hAnsi="Century" w:cs="Times New Roman"/>
        </w:rPr>
        <w:t>; one which</w:t>
      </w:r>
      <w:r w:rsidR="00BA6306">
        <w:rPr>
          <w:rFonts w:ascii="Century" w:hAnsi="Century" w:cs="Times New Roman"/>
        </w:rPr>
        <w:t xml:space="preserve"> </w:t>
      </w:r>
      <w:r w:rsidR="00AE1E0A" w:rsidRPr="00B96ED6">
        <w:rPr>
          <w:rFonts w:ascii="Century" w:hAnsi="Century" w:cs="Times New Roman"/>
        </w:rPr>
        <w:t xml:space="preserve">gives respect to </w:t>
      </w:r>
      <w:r w:rsidR="00640C7C">
        <w:rPr>
          <w:rFonts w:ascii="Century" w:hAnsi="Century" w:cs="Times New Roman"/>
        </w:rPr>
        <w:t>the</w:t>
      </w:r>
      <w:r w:rsidR="00AE1E0A" w:rsidRPr="00B96ED6">
        <w:rPr>
          <w:rFonts w:ascii="Century" w:hAnsi="Century" w:cs="Times New Roman"/>
        </w:rPr>
        <w:t xml:space="preserve"> long-</w:t>
      </w:r>
      <w:r w:rsidR="00AE1E0A" w:rsidRPr="008D43B3">
        <w:rPr>
          <w:rFonts w:ascii="Century" w:hAnsi="Century" w:cs="Times New Roman"/>
        </w:rPr>
        <w:t xml:space="preserve">standing constitutional </w:t>
      </w:r>
      <w:r w:rsidR="00AE1E0A">
        <w:rPr>
          <w:rFonts w:ascii="Century" w:hAnsi="Century" w:cs="Times New Roman"/>
        </w:rPr>
        <w:t>practices</w:t>
      </w:r>
      <w:r w:rsidR="00481D7C">
        <w:rPr>
          <w:rFonts w:ascii="Century" w:hAnsi="Century" w:cs="Times New Roman"/>
        </w:rPr>
        <w:t xml:space="preserve"> of delegating broad authority </w:t>
      </w:r>
      <w:r w:rsidR="00481D7C">
        <w:rPr>
          <w:rFonts w:ascii="Century" w:hAnsi="Century" w:cs="Times New Roman"/>
        </w:rPr>
        <w:lastRenderedPageBreak/>
        <w:t>to the executive</w:t>
      </w:r>
      <w:r w:rsidR="00BA6306">
        <w:rPr>
          <w:rFonts w:ascii="Century" w:hAnsi="Century" w:cs="Times New Roman"/>
        </w:rPr>
        <w:t xml:space="preserve"> that</w:t>
      </w:r>
      <w:r w:rsidR="00AE1E0A" w:rsidRPr="008D43B3">
        <w:rPr>
          <w:rFonts w:ascii="Century" w:hAnsi="Century" w:cs="Times New Roman"/>
        </w:rPr>
        <w:t xml:space="preserve"> </w:t>
      </w:r>
      <w:r w:rsidR="00381B09">
        <w:rPr>
          <w:rFonts w:ascii="Century" w:hAnsi="Century" w:cs="Times New Roman"/>
        </w:rPr>
        <w:t>flesh out</w:t>
      </w:r>
      <w:r w:rsidR="00566039">
        <w:rPr>
          <w:rFonts w:ascii="Century" w:hAnsi="Century" w:cs="Times New Roman"/>
        </w:rPr>
        <w:t xml:space="preserve"> </w:t>
      </w:r>
      <w:r w:rsidR="00FD48BE">
        <w:rPr>
          <w:rFonts w:ascii="Century" w:hAnsi="Century" w:cs="Times New Roman"/>
        </w:rPr>
        <w:t>our</w:t>
      </w:r>
      <w:r w:rsidR="00AE1E0A" w:rsidRPr="008D43B3">
        <w:rPr>
          <w:rFonts w:ascii="Century" w:hAnsi="Century" w:cs="Times New Roman"/>
        </w:rPr>
        <w:t xml:space="preserve"> </w:t>
      </w:r>
      <w:r w:rsidR="00BA6306">
        <w:rPr>
          <w:rFonts w:ascii="Century" w:hAnsi="Century" w:cs="Times New Roman"/>
        </w:rPr>
        <w:t>separation of powers framework</w:t>
      </w:r>
      <w:r w:rsidR="00640C7C">
        <w:rPr>
          <w:rFonts w:ascii="Century" w:hAnsi="Century" w:cs="Times New Roman"/>
        </w:rPr>
        <w:t xml:space="preserve"> sketched in</w:t>
      </w:r>
      <w:r w:rsidR="00BA6306">
        <w:rPr>
          <w:rFonts w:ascii="Century" w:hAnsi="Century" w:cs="Times New Roman"/>
        </w:rPr>
        <w:t xml:space="preserve"> </w:t>
      </w:r>
      <w:r w:rsidR="00AE1E0A" w:rsidRPr="008D43B3">
        <w:rPr>
          <w:rFonts w:ascii="Century" w:hAnsi="Century" w:cs="Times New Roman"/>
        </w:rPr>
        <w:t>Articles 15 and 28, appreciates the good</w:t>
      </w:r>
      <w:r w:rsidR="00595AED">
        <w:rPr>
          <w:rFonts w:ascii="Century" w:hAnsi="Century" w:cs="Times New Roman"/>
        </w:rPr>
        <w:t xml:space="preserve"> normative</w:t>
      </w:r>
      <w:r w:rsidR="00AE1E0A" w:rsidRPr="008D43B3">
        <w:rPr>
          <w:rFonts w:ascii="Century" w:hAnsi="Century" w:cs="Times New Roman"/>
        </w:rPr>
        <w:t xml:space="preserve"> reasons motivat</w:t>
      </w:r>
      <w:r w:rsidR="00640C7C">
        <w:rPr>
          <w:rFonts w:ascii="Century" w:hAnsi="Century" w:cs="Times New Roman"/>
        </w:rPr>
        <w:t>ing</w:t>
      </w:r>
      <w:r w:rsidR="00595AED">
        <w:rPr>
          <w:rFonts w:ascii="Century" w:hAnsi="Century" w:cs="Times New Roman"/>
        </w:rPr>
        <w:t xml:space="preserve"> officials to</w:t>
      </w:r>
      <w:r w:rsidR="00AE1E0A" w:rsidRPr="008D43B3">
        <w:rPr>
          <w:rFonts w:ascii="Century" w:hAnsi="Century" w:cs="Times New Roman"/>
        </w:rPr>
        <w:t xml:space="preserve"> </w:t>
      </w:r>
      <w:r w:rsidR="00595AED">
        <w:rPr>
          <w:rFonts w:ascii="Century" w:hAnsi="Century" w:cs="Times New Roman"/>
        </w:rPr>
        <w:t>construct and sustain</w:t>
      </w:r>
      <w:r w:rsidR="00640C7C">
        <w:rPr>
          <w:rFonts w:ascii="Century" w:hAnsi="Century" w:cs="Times New Roman"/>
        </w:rPr>
        <w:t xml:space="preserve"> </w:t>
      </w:r>
      <w:r w:rsidR="00AE1E0A" w:rsidRPr="008D43B3">
        <w:rPr>
          <w:rFonts w:ascii="Century" w:hAnsi="Century" w:cs="Times New Roman"/>
        </w:rPr>
        <w:t>robust executive government, and</w:t>
      </w:r>
      <w:r w:rsidR="00566039">
        <w:rPr>
          <w:rFonts w:ascii="Century" w:hAnsi="Century" w:cs="Times New Roman"/>
        </w:rPr>
        <w:t xml:space="preserve"> also</w:t>
      </w:r>
      <w:r w:rsidR="00AE1E0A" w:rsidRPr="008D43B3">
        <w:rPr>
          <w:rFonts w:ascii="Century" w:hAnsi="Century" w:cs="Times New Roman"/>
        </w:rPr>
        <w:t xml:space="preserve"> ma</w:t>
      </w:r>
      <w:r w:rsidR="00AE1E0A">
        <w:rPr>
          <w:rFonts w:ascii="Century" w:hAnsi="Century" w:cs="Times New Roman"/>
        </w:rPr>
        <w:t>kes</w:t>
      </w:r>
      <w:r w:rsidR="00AE1E0A" w:rsidRPr="008D43B3">
        <w:rPr>
          <w:rFonts w:ascii="Century" w:hAnsi="Century" w:cs="Times New Roman"/>
        </w:rPr>
        <w:t xml:space="preserve"> sense of prior </w:t>
      </w:r>
      <w:r w:rsidR="00AE1E0A" w:rsidRPr="00CD64D4">
        <w:rPr>
          <w:rFonts w:ascii="Century" w:hAnsi="Century" w:cs="Times New Roman"/>
        </w:rPr>
        <w:t xml:space="preserve">judicial precedent which purported to </w:t>
      </w:r>
      <w:r w:rsidR="00595AED" w:rsidRPr="00CD64D4">
        <w:rPr>
          <w:rFonts w:ascii="Century" w:hAnsi="Century" w:cs="Times New Roman"/>
        </w:rPr>
        <w:t>uphold</w:t>
      </w:r>
      <w:r w:rsidR="00AE1E0A" w:rsidRPr="00CD64D4">
        <w:rPr>
          <w:rFonts w:ascii="Century" w:hAnsi="Century" w:cs="Times New Roman"/>
        </w:rPr>
        <w:t xml:space="preserve"> one version of executive-legislative relations</w:t>
      </w:r>
      <w:r w:rsidR="002019DC" w:rsidRPr="00CD64D4">
        <w:rPr>
          <w:rFonts w:ascii="Century" w:hAnsi="Century" w:cs="Times New Roman"/>
        </w:rPr>
        <w:t>,</w:t>
      </w:r>
      <w:r w:rsidR="00AE1E0A" w:rsidRPr="00CD64D4">
        <w:rPr>
          <w:rFonts w:ascii="Century" w:hAnsi="Century" w:cs="Times New Roman"/>
        </w:rPr>
        <w:t xml:space="preserve"> but in practice was supportive of a</w:t>
      </w:r>
      <w:r w:rsidR="00BA6306" w:rsidRPr="00CD64D4">
        <w:rPr>
          <w:rFonts w:ascii="Century" w:hAnsi="Century" w:cs="Times New Roman"/>
        </w:rPr>
        <w:t xml:space="preserve"> very</w:t>
      </w:r>
      <w:r w:rsidR="00AE1E0A" w:rsidRPr="00CD64D4">
        <w:rPr>
          <w:rFonts w:ascii="Century" w:hAnsi="Century" w:cs="Times New Roman"/>
        </w:rPr>
        <w:t xml:space="preserve"> different one. </w:t>
      </w:r>
      <w:r w:rsidR="00936ADA">
        <w:rPr>
          <w:rFonts w:ascii="Century" w:hAnsi="Century" w:cs="Times New Roman"/>
        </w:rPr>
        <w:t>Overall</w:t>
      </w:r>
      <w:r w:rsidR="00CD64D4" w:rsidRPr="00CD64D4">
        <w:rPr>
          <w:rFonts w:ascii="Century" w:hAnsi="Century" w:cs="Times New Roman"/>
        </w:rPr>
        <w:t xml:space="preserve">, </w:t>
      </w:r>
      <w:r w:rsidR="00936ADA">
        <w:rPr>
          <w:rFonts w:ascii="Century" w:hAnsi="Century" w:cs="Times New Roman"/>
        </w:rPr>
        <w:t xml:space="preserve">this recast doctrine </w:t>
      </w:r>
      <w:r w:rsidR="00CD64D4" w:rsidRPr="00CD64D4">
        <w:rPr>
          <w:rFonts w:ascii="Century" w:hAnsi="Century" w:cs="Times New Roman"/>
        </w:rPr>
        <w:t>provides valuable ‘</w:t>
      </w:r>
      <w:r w:rsidR="00CD64D4" w:rsidRPr="00CD64D4">
        <w:rPr>
          <w:rFonts w:ascii="Century" w:hAnsi="Century" w:cs="Times New Roman"/>
          <w:lang w:val="en-GB"/>
        </w:rPr>
        <w:t xml:space="preserve">constitutional flexibility’ which enhances the Irish </w:t>
      </w:r>
      <w:r w:rsidR="00936ADA">
        <w:rPr>
          <w:rFonts w:ascii="Century" w:hAnsi="Century" w:cs="Times New Roman"/>
          <w:lang w:val="en-GB"/>
        </w:rPr>
        <w:t>s</w:t>
      </w:r>
      <w:r w:rsidR="00CD64D4" w:rsidRPr="00CD64D4">
        <w:rPr>
          <w:rFonts w:ascii="Century" w:hAnsi="Century" w:cs="Times New Roman"/>
          <w:lang w:val="en-GB"/>
        </w:rPr>
        <w:t>tate’s</w:t>
      </w:r>
      <w:r w:rsidR="00CD64D4" w:rsidRPr="00CD64D4">
        <w:rPr>
          <w:rFonts w:ascii="Century" w:hAnsi="Century" w:cs="Times New Roman"/>
        </w:rPr>
        <w:t xml:space="preserve"> </w:t>
      </w:r>
      <w:r w:rsidR="00CD64D4" w:rsidRPr="00CD64D4">
        <w:rPr>
          <w:rFonts w:ascii="Century" w:hAnsi="Century" w:cs="Times New Roman"/>
          <w:lang w:val="en-GB"/>
        </w:rPr>
        <w:t>capacity to act for the common good.</w:t>
      </w:r>
      <w:r w:rsidR="00CD64D4">
        <w:rPr>
          <w:rStyle w:val="FootnoteReference"/>
          <w:rFonts w:ascii="Century" w:hAnsi="Century" w:cs="Times New Roman"/>
          <w:lang w:val="en-GB"/>
        </w:rPr>
        <w:footnoteReference w:id="124"/>
      </w:r>
    </w:p>
    <w:p w14:paraId="329E1A7D" w14:textId="766AF7D0" w:rsidR="00AB4362" w:rsidRDefault="00AB4362" w:rsidP="00E81877">
      <w:pPr>
        <w:spacing w:line="480" w:lineRule="auto"/>
        <w:ind w:firstLine="720"/>
        <w:jc w:val="both"/>
        <w:rPr>
          <w:rFonts w:ascii="Century" w:hAnsi="Century" w:cs="Times New Roman"/>
        </w:rPr>
      </w:pPr>
    </w:p>
    <w:p w14:paraId="059483FC" w14:textId="68EC1F79" w:rsidR="00862831" w:rsidRPr="00481D7C" w:rsidRDefault="00AB4362" w:rsidP="00E81877">
      <w:pPr>
        <w:spacing w:line="480" w:lineRule="auto"/>
        <w:ind w:firstLine="720"/>
        <w:jc w:val="both"/>
        <w:rPr>
          <w:rFonts w:ascii="Century" w:hAnsi="Century" w:cs="Times New Roman"/>
        </w:rPr>
      </w:pPr>
      <w:r>
        <w:rPr>
          <w:rFonts w:ascii="Century" w:hAnsi="Century" w:cs="Times New Roman"/>
        </w:rPr>
        <w:t>In contrast, I</w:t>
      </w:r>
      <w:r w:rsidR="00381B09">
        <w:rPr>
          <w:rFonts w:ascii="Century" w:hAnsi="Century" w:cs="Times New Roman"/>
        </w:rPr>
        <w:t xml:space="preserve"> respectfully</w:t>
      </w:r>
      <w:r>
        <w:rPr>
          <w:rFonts w:ascii="Century" w:hAnsi="Century" w:cs="Times New Roman"/>
        </w:rPr>
        <w:t xml:space="preserve"> suggest that the presuppositions and normative commitments </w:t>
      </w:r>
      <w:r w:rsidR="00595AED">
        <w:rPr>
          <w:rFonts w:ascii="Century" w:hAnsi="Century" w:cs="Times New Roman"/>
        </w:rPr>
        <w:t xml:space="preserve">behind a </w:t>
      </w:r>
      <w:r>
        <w:rPr>
          <w:rFonts w:ascii="Century" w:hAnsi="Century" w:cs="Times New Roman"/>
        </w:rPr>
        <w:t xml:space="preserve">strong-form version of </w:t>
      </w:r>
      <w:r w:rsidRPr="00282EB1">
        <w:rPr>
          <w:rFonts w:ascii="Century" w:hAnsi="Century" w:cs="Times New Roman"/>
          <w:i/>
          <w:iCs/>
        </w:rPr>
        <w:t xml:space="preserve">Cityview </w:t>
      </w:r>
      <w:r w:rsidR="00595AED">
        <w:rPr>
          <w:rFonts w:ascii="Century" w:hAnsi="Century" w:cs="Times New Roman"/>
        </w:rPr>
        <w:t>cut a path</w:t>
      </w:r>
      <w:r>
        <w:rPr>
          <w:rFonts w:ascii="Century" w:hAnsi="Century" w:cs="Times New Roman"/>
        </w:rPr>
        <w:t xml:space="preserve"> to an approach to</w:t>
      </w:r>
      <w:r w:rsidRPr="00B96ED6">
        <w:rPr>
          <w:rFonts w:ascii="Century" w:hAnsi="Century" w:cs="Times New Roman"/>
        </w:rPr>
        <w:t xml:space="preserve"> constitutional</w:t>
      </w:r>
      <w:r w:rsidR="00282EB1">
        <w:rPr>
          <w:rFonts w:ascii="Century" w:hAnsi="Century" w:cs="Times New Roman"/>
        </w:rPr>
        <w:t xml:space="preserve"> government </w:t>
      </w:r>
      <w:r w:rsidRPr="00B96ED6">
        <w:rPr>
          <w:rFonts w:ascii="Century" w:hAnsi="Century" w:cs="Times New Roman"/>
        </w:rPr>
        <w:t>deeply unsuited to the challenges of contemporary governance, long since defunct as a matter of constitutional practice in virtually every well-functioning constitutional system,</w:t>
      </w:r>
      <w:r w:rsidR="00566039">
        <w:rPr>
          <w:rFonts w:ascii="Century" w:hAnsi="Century" w:cs="Times New Roman"/>
        </w:rPr>
        <w:t xml:space="preserve"> never truly </w:t>
      </w:r>
      <w:r w:rsidR="00282EB1">
        <w:rPr>
          <w:rFonts w:ascii="Century" w:hAnsi="Century" w:cs="Times New Roman"/>
        </w:rPr>
        <w:t>enforced</w:t>
      </w:r>
      <w:r w:rsidR="00566039">
        <w:rPr>
          <w:rFonts w:ascii="Century" w:hAnsi="Century" w:cs="Times New Roman"/>
        </w:rPr>
        <w:t xml:space="preserve"> by our Courts</w:t>
      </w:r>
      <w:r w:rsidR="00FB15E5">
        <w:rPr>
          <w:rFonts w:ascii="Century" w:hAnsi="Century" w:cs="Times New Roman"/>
        </w:rPr>
        <w:t xml:space="preserve">, </w:t>
      </w:r>
      <w:r w:rsidRPr="00B96ED6">
        <w:rPr>
          <w:rFonts w:ascii="Century" w:hAnsi="Century" w:cs="Times New Roman"/>
        </w:rPr>
        <w:t xml:space="preserve">and </w:t>
      </w:r>
      <w:r w:rsidR="00566039">
        <w:rPr>
          <w:rFonts w:ascii="Century" w:hAnsi="Century" w:cs="Times New Roman"/>
        </w:rPr>
        <w:t>certainly</w:t>
      </w:r>
      <w:r w:rsidRPr="00B96ED6">
        <w:rPr>
          <w:rFonts w:ascii="Century" w:hAnsi="Century" w:cs="Times New Roman"/>
        </w:rPr>
        <w:t xml:space="preserve"> not mandated by</w:t>
      </w:r>
      <w:r>
        <w:rPr>
          <w:rFonts w:ascii="Century" w:hAnsi="Century" w:cs="Times New Roman"/>
        </w:rPr>
        <w:t xml:space="preserve"> the</w:t>
      </w:r>
      <w:r w:rsidRPr="00B96ED6">
        <w:rPr>
          <w:rFonts w:ascii="Century" w:hAnsi="Century" w:cs="Times New Roman"/>
        </w:rPr>
        <w:t xml:space="preserve"> text and structure</w:t>
      </w:r>
      <w:r>
        <w:rPr>
          <w:rFonts w:ascii="Century" w:hAnsi="Century" w:cs="Times New Roman"/>
        </w:rPr>
        <w:t xml:space="preserve"> of our Constitution</w:t>
      </w:r>
      <w:r w:rsidRPr="00B96ED6">
        <w:rPr>
          <w:rFonts w:ascii="Century" w:hAnsi="Century" w:cs="Times New Roman"/>
        </w:rPr>
        <w:t xml:space="preserve">. </w:t>
      </w:r>
      <w:r w:rsidR="00481D7C">
        <w:rPr>
          <w:rFonts w:ascii="Century" w:hAnsi="Century" w:cs="Times New Roman"/>
        </w:rPr>
        <w:t xml:space="preserve">I anticipate many </w:t>
      </w:r>
      <w:r w:rsidR="00121FF0">
        <w:rPr>
          <w:rFonts w:ascii="Century" w:hAnsi="Century" w:cs="Times New Roman"/>
        </w:rPr>
        <w:t>might</w:t>
      </w:r>
      <w:r w:rsidR="00481D7C">
        <w:rPr>
          <w:rFonts w:ascii="Century" w:hAnsi="Century" w:cs="Times New Roman"/>
        </w:rPr>
        <w:t xml:space="preserve"> disagree with this characterisation, but </w:t>
      </w:r>
      <w:r w:rsidR="00936ADA">
        <w:rPr>
          <w:rFonts w:ascii="Century" w:hAnsi="Century" w:cs="Times New Roman"/>
        </w:rPr>
        <w:t xml:space="preserve">I respectfully suggest </w:t>
      </w:r>
      <w:r w:rsidR="00481D7C">
        <w:rPr>
          <w:rFonts w:ascii="Century" w:hAnsi="Century" w:cs="Times New Roman"/>
        </w:rPr>
        <w:t xml:space="preserve">the onus will be on those who support applying the </w:t>
      </w:r>
      <w:r w:rsidR="00481D7C" w:rsidRPr="00481D7C">
        <w:rPr>
          <w:rFonts w:ascii="Century" w:hAnsi="Century" w:cs="Times New Roman"/>
          <w:i/>
          <w:iCs/>
        </w:rPr>
        <w:t xml:space="preserve">Cityview </w:t>
      </w:r>
      <w:r w:rsidR="00481D7C">
        <w:rPr>
          <w:rFonts w:ascii="Century" w:hAnsi="Century" w:cs="Times New Roman"/>
        </w:rPr>
        <w:t xml:space="preserve">test </w:t>
      </w:r>
      <w:r w:rsidR="00481D7C" w:rsidRPr="00F34E8C">
        <w:rPr>
          <w:rFonts w:ascii="Century" w:hAnsi="Century" w:cs="Times New Roman"/>
        </w:rPr>
        <w:t>as</w:t>
      </w:r>
      <w:r w:rsidR="00481D7C" w:rsidRPr="00481D7C">
        <w:rPr>
          <w:rFonts w:ascii="Century" w:hAnsi="Century" w:cs="Times New Roman"/>
          <w:i/>
          <w:iCs/>
        </w:rPr>
        <w:t xml:space="preserve"> actually articulated</w:t>
      </w:r>
      <w:r w:rsidR="00481D7C">
        <w:rPr>
          <w:rFonts w:ascii="Century" w:hAnsi="Century" w:cs="Times New Roman"/>
          <w:i/>
          <w:iCs/>
        </w:rPr>
        <w:t xml:space="preserve"> </w:t>
      </w:r>
      <w:r w:rsidR="00481D7C">
        <w:rPr>
          <w:rFonts w:ascii="Century" w:hAnsi="Century" w:cs="Times New Roman"/>
        </w:rPr>
        <w:t xml:space="preserve">to </w:t>
      </w:r>
      <w:r w:rsidR="00F34E8C">
        <w:rPr>
          <w:rFonts w:ascii="Century" w:hAnsi="Century" w:cs="Times New Roman"/>
        </w:rPr>
        <w:t>explain</w:t>
      </w:r>
      <w:r w:rsidR="00481D7C">
        <w:rPr>
          <w:rFonts w:ascii="Century" w:hAnsi="Century" w:cs="Times New Roman"/>
        </w:rPr>
        <w:t xml:space="preserve"> why it would not be deeply disruptive to</w:t>
      </w:r>
      <w:r w:rsidR="00F34E8C">
        <w:rPr>
          <w:rFonts w:ascii="Century" w:hAnsi="Century" w:cs="Times New Roman"/>
        </w:rPr>
        <w:t xml:space="preserve"> the practical operation of</w:t>
      </w:r>
      <w:r w:rsidR="00481D7C">
        <w:rPr>
          <w:rFonts w:ascii="Century" w:hAnsi="Century" w:cs="Times New Roman"/>
        </w:rPr>
        <w:t xml:space="preserve"> our administrative state</w:t>
      </w:r>
      <w:r w:rsidR="00381B09">
        <w:rPr>
          <w:rFonts w:ascii="Century" w:hAnsi="Century" w:cs="Times New Roman"/>
        </w:rPr>
        <w:t>, or why this cost is worth bearing</w:t>
      </w:r>
      <w:r w:rsidR="00F34E8C">
        <w:rPr>
          <w:rFonts w:ascii="Century" w:hAnsi="Century" w:cs="Times New Roman"/>
        </w:rPr>
        <w:t>.</w:t>
      </w:r>
    </w:p>
    <w:p w14:paraId="13C4BD30" w14:textId="77777777" w:rsidR="00B56EE3" w:rsidRPr="00B96ED6" w:rsidRDefault="00B56EE3" w:rsidP="00E81877">
      <w:pPr>
        <w:spacing w:line="480" w:lineRule="auto"/>
        <w:jc w:val="both"/>
        <w:rPr>
          <w:rFonts w:ascii="Century" w:hAnsi="Century" w:cs="Times New Roman"/>
        </w:rPr>
      </w:pPr>
    </w:p>
    <w:p w14:paraId="26D0E99C" w14:textId="2CBE14B5" w:rsidR="00B96ED6" w:rsidRPr="005948B9" w:rsidRDefault="0065791C" w:rsidP="00E81877">
      <w:pPr>
        <w:pStyle w:val="ListParagraph"/>
        <w:numPr>
          <w:ilvl w:val="0"/>
          <w:numId w:val="3"/>
        </w:numPr>
        <w:spacing w:line="480" w:lineRule="auto"/>
        <w:jc w:val="both"/>
        <w:rPr>
          <w:rFonts w:ascii="Century" w:hAnsi="Century" w:cs="Times New Roman"/>
          <w:b/>
          <w:bCs/>
        </w:rPr>
      </w:pPr>
      <w:r w:rsidRPr="005948B9">
        <w:rPr>
          <w:rFonts w:ascii="Century" w:hAnsi="Century" w:cs="Times New Roman"/>
          <w:b/>
          <w:bCs/>
        </w:rPr>
        <w:t xml:space="preserve">Democratic </w:t>
      </w:r>
      <w:r w:rsidR="00340B16">
        <w:rPr>
          <w:rFonts w:ascii="Century" w:hAnsi="Century" w:cs="Times New Roman"/>
          <w:b/>
          <w:bCs/>
        </w:rPr>
        <w:t>c</w:t>
      </w:r>
      <w:r w:rsidRPr="005948B9">
        <w:rPr>
          <w:rFonts w:ascii="Century" w:hAnsi="Century" w:cs="Times New Roman"/>
          <w:b/>
          <w:bCs/>
        </w:rPr>
        <w:t xml:space="preserve">oncerns? </w:t>
      </w:r>
    </w:p>
    <w:p w14:paraId="3845CF0F" w14:textId="42D41DE0" w:rsidR="00B42740" w:rsidRDefault="00E61055" w:rsidP="00B42740">
      <w:pPr>
        <w:autoSpaceDE w:val="0"/>
        <w:autoSpaceDN w:val="0"/>
        <w:adjustRightInd w:val="0"/>
        <w:spacing w:line="480" w:lineRule="auto"/>
        <w:jc w:val="both"/>
        <w:rPr>
          <w:rFonts w:ascii="Century" w:hAnsi="Century"/>
        </w:rPr>
      </w:pPr>
      <w:r>
        <w:rPr>
          <w:rFonts w:ascii="Century" w:hAnsi="Century"/>
        </w:rPr>
        <w:t>Some</w:t>
      </w:r>
      <w:r w:rsidR="0013360C">
        <w:rPr>
          <w:rFonts w:ascii="Century" w:hAnsi="Century"/>
        </w:rPr>
        <w:t xml:space="preserve"> critiques of broad delegated rulemaking authority stem from democratic objections. Put simply, this is the view that </w:t>
      </w:r>
      <w:r w:rsidR="008C66C0">
        <w:rPr>
          <w:rFonts w:ascii="Century" w:hAnsi="Century"/>
        </w:rPr>
        <w:t>respecting</w:t>
      </w:r>
      <w:r w:rsidR="0013360C">
        <w:rPr>
          <w:rFonts w:ascii="Century" w:hAnsi="Century"/>
        </w:rPr>
        <w:t xml:space="preserve"> democracy </w:t>
      </w:r>
      <w:r w:rsidR="008C66C0">
        <w:rPr>
          <w:rFonts w:ascii="Century" w:hAnsi="Century"/>
        </w:rPr>
        <w:t>principles demands</w:t>
      </w:r>
      <w:r w:rsidR="008C66C0">
        <w:rPr>
          <w:rFonts w:ascii="Century" w:hAnsi="Century"/>
        </w:rPr>
        <w:t xml:space="preserve"> </w:t>
      </w:r>
      <w:r w:rsidR="0013360C">
        <w:rPr>
          <w:rFonts w:ascii="Century" w:hAnsi="Century"/>
        </w:rPr>
        <w:t>that t</w:t>
      </w:r>
      <w:r w:rsidR="00B96ED6" w:rsidRPr="00093ABA">
        <w:rPr>
          <w:rFonts w:ascii="Century" w:hAnsi="Century"/>
        </w:rPr>
        <w:t xml:space="preserve">hose who make ‘policy should be directly accountable to those who </w:t>
      </w:r>
      <w:r w:rsidR="00B96ED6" w:rsidRPr="00093ABA">
        <w:rPr>
          <w:rFonts w:ascii="Century" w:hAnsi="Century"/>
        </w:rPr>
        <w:lastRenderedPageBreak/>
        <w:t>are affected by it</w:t>
      </w:r>
      <w:r w:rsidR="0013360C">
        <w:rPr>
          <w:rFonts w:ascii="Century" w:hAnsi="Century"/>
        </w:rPr>
        <w:t>.</w:t>
      </w:r>
      <w:r w:rsidR="00B96ED6" w:rsidRPr="00093ABA">
        <w:rPr>
          <w:rFonts w:ascii="Century" w:hAnsi="Century"/>
        </w:rPr>
        <w:t>’</w:t>
      </w:r>
      <w:r w:rsidR="00B96ED6" w:rsidRPr="00093ABA">
        <w:rPr>
          <w:rStyle w:val="FootnoteReference"/>
          <w:rFonts w:ascii="Century" w:hAnsi="Century"/>
        </w:rPr>
        <w:footnoteReference w:id="125"/>
      </w:r>
      <w:r w:rsidR="00093ABA" w:rsidRPr="00093ABA">
        <w:rPr>
          <w:rFonts w:ascii="Century" w:hAnsi="Century"/>
        </w:rPr>
        <w:t xml:space="preserve"> </w:t>
      </w:r>
      <w:r w:rsidR="0013360C">
        <w:rPr>
          <w:rFonts w:ascii="Century" w:hAnsi="Century"/>
        </w:rPr>
        <w:t xml:space="preserve">In the Irish context, proponents of a rigorous delegation doctrine </w:t>
      </w:r>
      <w:r w:rsidR="00325D1F">
        <w:rPr>
          <w:rFonts w:ascii="Century" w:hAnsi="Century"/>
        </w:rPr>
        <w:t xml:space="preserve">often </w:t>
      </w:r>
      <w:r w:rsidR="0013360C">
        <w:rPr>
          <w:rFonts w:ascii="Century" w:hAnsi="Century"/>
        </w:rPr>
        <w:t xml:space="preserve">argue it is necessary to </w:t>
      </w:r>
      <w:r w:rsidR="008C66C0">
        <w:rPr>
          <w:rFonts w:ascii="Century" w:hAnsi="Century"/>
        </w:rPr>
        <w:t>ensure lawmaking coheres with</w:t>
      </w:r>
      <w:r w:rsidR="008C66C0">
        <w:rPr>
          <w:rFonts w:ascii="Century" w:hAnsi="Century"/>
        </w:rPr>
        <w:t xml:space="preserve"> </w:t>
      </w:r>
      <w:r w:rsidR="006D1DC3">
        <w:rPr>
          <w:rFonts w:ascii="Century" w:hAnsi="Century"/>
        </w:rPr>
        <w:t>Article 5’s</w:t>
      </w:r>
      <w:r w:rsidR="0013360C">
        <w:rPr>
          <w:rFonts w:ascii="Century" w:hAnsi="Century"/>
        </w:rPr>
        <w:t xml:space="preserve"> description </w:t>
      </w:r>
      <w:r w:rsidR="006D1DC3">
        <w:rPr>
          <w:rFonts w:ascii="Century" w:hAnsi="Century"/>
        </w:rPr>
        <w:t xml:space="preserve">of the state </w:t>
      </w:r>
      <w:r w:rsidR="0013360C">
        <w:rPr>
          <w:rFonts w:ascii="Century" w:hAnsi="Century"/>
        </w:rPr>
        <w:t xml:space="preserve">as </w:t>
      </w:r>
      <w:r w:rsidR="0005453D">
        <w:rPr>
          <w:rFonts w:ascii="Century" w:hAnsi="Century"/>
        </w:rPr>
        <w:t>‘</w:t>
      </w:r>
      <w:r w:rsidR="0013360C">
        <w:rPr>
          <w:rFonts w:ascii="Century" w:hAnsi="Century"/>
        </w:rPr>
        <w:t>democratic</w:t>
      </w:r>
      <w:r w:rsidR="0005453D">
        <w:rPr>
          <w:rFonts w:ascii="Century" w:hAnsi="Century"/>
        </w:rPr>
        <w:t>’</w:t>
      </w:r>
      <w:r w:rsidR="006D1DC3">
        <w:rPr>
          <w:rFonts w:ascii="Century" w:hAnsi="Century"/>
        </w:rPr>
        <w:t>.</w:t>
      </w:r>
    </w:p>
    <w:p w14:paraId="57AA3C05" w14:textId="77777777" w:rsidR="00B42740" w:rsidRDefault="00B42740" w:rsidP="00B42740">
      <w:pPr>
        <w:autoSpaceDE w:val="0"/>
        <w:autoSpaceDN w:val="0"/>
        <w:adjustRightInd w:val="0"/>
        <w:spacing w:line="480" w:lineRule="auto"/>
        <w:ind w:firstLine="720"/>
        <w:jc w:val="both"/>
        <w:rPr>
          <w:rFonts w:ascii="Century" w:hAnsi="Century"/>
        </w:rPr>
      </w:pPr>
    </w:p>
    <w:p w14:paraId="2E72C095" w14:textId="583B863E" w:rsidR="006A1F93" w:rsidRPr="00B42740" w:rsidRDefault="00B42740" w:rsidP="00B42740">
      <w:pPr>
        <w:autoSpaceDE w:val="0"/>
        <w:autoSpaceDN w:val="0"/>
        <w:adjustRightInd w:val="0"/>
        <w:spacing w:line="480" w:lineRule="auto"/>
        <w:ind w:firstLine="720"/>
        <w:jc w:val="both"/>
        <w:rPr>
          <w:rFonts w:ascii="Century" w:hAnsi="Century"/>
        </w:rPr>
      </w:pPr>
      <w:r>
        <w:rPr>
          <w:rFonts w:ascii="Century" w:hAnsi="Century"/>
        </w:rPr>
        <w:t>This</w:t>
      </w:r>
      <w:r w:rsidR="0013360C">
        <w:rPr>
          <w:rFonts w:ascii="Century" w:hAnsi="Century"/>
        </w:rPr>
        <w:t xml:space="preserve"> </w:t>
      </w:r>
      <w:r w:rsidR="009D571B">
        <w:rPr>
          <w:rFonts w:ascii="Century" w:hAnsi="Century"/>
        </w:rPr>
        <w:t>position</w:t>
      </w:r>
      <w:r w:rsidR="0013360C">
        <w:rPr>
          <w:rFonts w:ascii="Century" w:hAnsi="Century"/>
        </w:rPr>
        <w:t xml:space="preserve"> has some support from some of our most </w:t>
      </w:r>
      <w:r w:rsidR="00CF7B9E">
        <w:rPr>
          <w:rFonts w:ascii="Century" w:hAnsi="Century"/>
        </w:rPr>
        <w:t>preeminent</w:t>
      </w:r>
      <w:r w:rsidR="0013360C">
        <w:rPr>
          <w:rFonts w:ascii="Century" w:hAnsi="Century"/>
        </w:rPr>
        <w:t xml:space="preserve"> jurists. In </w:t>
      </w:r>
      <w:r w:rsidR="0013360C">
        <w:rPr>
          <w:rFonts w:ascii="Century" w:hAnsi="Century"/>
          <w:i/>
          <w:iCs/>
        </w:rPr>
        <w:t xml:space="preserve">Laurentiu, </w:t>
      </w:r>
      <w:r w:rsidR="0013360C">
        <w:rPr>
          <w:rFonts w:ascii="Century" w:hAnsi="Century"/>
        </w:rPr>
        <w:t>for example,</w:t>
      </w:r>
      <w:r w:rsidR="0013360C">
        <w:rPr>
          <w:rFonts w:ascii="Century" w:hAnsi="Century"/>
          <w:i/>
          <w:iCs/>
        </w:rPr>
        <w:t xml:space="preserve"> </w:t>
      </w:r>
      <w:r w:rsidR="00093ABA" w:rsidRPr="006A1F93">
        <w:rPr>
          <w:rFonts w:ascii="Century" w:hAnsi="Century"/>
        </w:rPr>
        <w:t xml:space="preserve">Keane CJ </w:t>
      </w:r>
      <w:r w:rsidR="00093ABA" w:rsidRPr="006A1F93">
        <w:rPr>
          <w:rFonts w:ascii="Century" w:hAnsi="Century" w:cs="Times New Roman"/>
          <w:lang w:val="en-GB"/>
        </w:rPr>
        <w:t>noted with concern</w:t>
      </w:r>
      <w:r w:rsidR="0013360C" w:rsidRPr="006A1F93">
        <w:rPr>
          <w:rFonts w:ascii="Century" w:hAnsi="Century" w:cs="Times New Roman"/>
          <w:lang w:val="en-GB"/>
        </w:rPr>
        <w:t xml:space="preserve"> how</w:t>
      </w:r>
      <w:r w:rsidR="00093ABA" w:rsidRPr="006A1F93">
        <w:rPr>
          <w:rFonts w:ascii="Century" w:hAnsi="Century" w:cs="Times New Roman"/>
          <w:lang w:val="en-GB"/>
        </w:rPr>
        <w:t xml:space="preserve"> </w:t>
      </w:r>
      <w:r w:rsidR="007763A9">
        <w:rPr>
          <w:rFonts w:ascii="Century" w:hAnsi="Century" w:cs="Times New Roman"/>
          <w:lang w:val="en-GB"/>
        </w:rPr>
        <w:t>‘</w:t>
      </w:r>
      <w:r w:rsidR="00093ABA" w:rsidRPr="006A1F93">
        <w:rPr>
          <w:rFonts w:ascii="Century" w:hAnsi="Century" w:cs="Times New Roman"/>
          <w:lang w:val="en-GB"/>
        </w:rPr>
        <w:t xml:space="preserve">increasing recourse to delegated legislation ... has given rise to an understandable concern that parliamentary democracy is being stealthily subverted and crucial </w:t>
      </w:r>
      <w:r w:rsidR="00642E47" w:rsidRPr="006A1F93">
        <w:rPr>
          <w:rFonts w:ascii="Century" w:hAnsi="Century" w:cs="Times New Roman"/>
          <w:lang w:val="en-GB"/>
        </w:rPr>
        <w:t>decision-making</w:t>
      </w:r>
      <w:r w:rsidR="00093ABA" w:rsidRPr="006A1F93">
        <w:rPr>
          <w:rFonts w:ascii="Century" w:hAnsi="Century" w:cs="Times New Roman"/>
          <w:lang w:val="en-GB"/>
        </w:rPr>
        <w:t xml:space="preserve"> powers vested in unelected officials.</w:t>
      </w:r>
      <w:r w:rsidR="007763A9">
        <w:rPr>
          <w:rFonts w:ascii="Century" w:hAnsi="Century" w:cs="Times New Roman"/>
          <w:lang w:val="en-GB"/>
        </w:rPr>
        <w:t>’</w:t>
      </w:r>
      <w:r w:rsidR="00093ABA" w:rsidRPr="006A1F93">
        <w:rPr>
          <w:rStyle w:val="FootnoteReference"/>
          <w:rFonts w:ascii="Century" w:hAnsi="Century"/>
        </w:rPr>
        <w:footnoteReference w:id="126"/>
      </w:r>
      <w:r w:rsidR="0013360C" w:rsidRPr="006A1F93">
        <w:rPr>
          <w:rFonts w:ascii="Century" w:hAnsi="Century" w:cs="Times New Roman"/>
          <w:lang w:val="en-GB"/>
        </w:rPr>
        <w:t xml:space="preserve"> </w:t>
      </w:r>
      <w:r w:rsidR="0013360C" w:rsidRPr="00BB53AD">
        <w:rPr>
          <w:rFonts w:ascii="Century" w:hAnsi="Century" w:cs="Times New Roman"/>
          <w:lang w:val="en-GB"/>
        </w:rPr>
        <w:t xml:space="preserve">More recently, Hogan J writing for the Court of Appeal in </w:t>
      </w:r>
      <w:r w:rsidR="0013360C" w:rsidRPr="00BB53AD">
        <w:rPr>
          <w:rFonts w:ascii="Century" w:hAnsi="Century" w:cs="Times New Roman"/>
          <w:i/>
          <w:iCs/>
          <w:lang w:val="en-GB"/>
        </w:rPr>
        <w:t>Bederev</w:t>
      </w:r>
      <w:r w:rsidR="00BE14AA" w:rsidRPr="00BB53AD">
        <w:rPr>
          <w:rStyle w:val="FootnoteReference"/>
          <w:rFonts w:ascii="Century" w:hAnsi="Century" w:cs="Times New Roman"/>
          <w:i/>
          <w:iCs/>
          <w:lang w:val="en-GB"/>
        </w:rPr>
        <w:footnoteReference w:id="127"/>
      </w:r>
      <w:r w:rsidR="0013360C" w:rsidRPr="00BB53AD">
        <w:rPr>
          <w:rFonts w:ascii="Century" w:hAnsi="Century" w:cs="Times New Roman"/>
          <w:i/>
          <w:iCs/>
          <w:lang w:val="en-GB"/>
        </w:rPr>
        <w:t xml:space="preserve"> </w:t>
      </w:r>
      <w:r w:rsidR="006A1F93" w:rsidRPr="00BB53AD">
        <w:rPr>
          <w:rFonts w:ascii="Century" w:hAnsi="Century" w:cs="Times New Roman"/>
          <w:lang w:val="en-GB"/>
        </w:rPr>
        <w:t xml:space="preserve">argued that </w:t>
      </w:r>
      <w:r w:rsidR="00BB53AD" w:rsidRPr="00BB53AD">
        <w:rPr>
          <w:rFonts w:ascii="Century" w:hAnsi="Century" w:cs="ñmí'EE˛"/>
          <w:lang w:val="en-GB"/>
        </w:rPr>
        <w:t xml:space="preserve">a core objective of the delegation doctrine is </w:t>
      </w:r>
      <w:r w:rsidR="00422901">
        <w:rPr>
          <w:rFonts w:ascii="Century" w:hAnsi="Century" w:cs="ñmí'EE˛"/>
          <w:lang w:val="en-GB"/>
        </w:rPr>
        <w:t>‘</w:t>
      </w:r>
      <w:r w:rsidR="00BB53AD" w:rsidRPr="00BB53AD">
        <w:rPr>
          <w:rFonts w:ascii="Century" w:hAnsi="Century" w:cs="ñmí'EE˛"/>
          <w:lang w:val="en-GB"/>
        </w:rPr>
        <w:t>ensuring that, in the democratic society guaranteed by Article 5, policy decisions having a legislative character are taken by the body directly accountable to the People (namely, the Dáil and the wider Oireachtas) through the electoral process contemplated by Article 16</w:t>
      </w:r>
      <w:r w:rsidR="00422901">
        <w:rPr>
          <w:rFonts w:ascii="Century" w:hAnsi="Century" w:cs="ñmí'EE˛"/>
          <w:lang w:val="en-GB"/>
        </w:rPr>
        <w:t>’</w:t>
      </w:r>
      <w:r w:rsidR="00BB53AD" w:rsidRPr="00BB53AD">
        <w:rPr>
          <w:rFonts w:ascii="Century" w:hAnsi="Century" w:cs="ñmí'EE˛"/>
          <w:lang w:val="en-GB"/>
        </w:rPr>
        <w:t>.</w:t>
      </w:r>
      <w:r w:rsidR="00BB53AD" w:rsidRPr="00BB53AD">
        <w:rPr>
          <w:rStyle w:val="FootnoteReference"/>
          <w:rFonts w:ascii="Century" w:hAnsi="Century" w:cs="ñmí'EE˛"/>
          <w:lang w:val="en-GB"/>
        </w:rPr>
        <w:footnoteReference w:id="128"/>
      </w:r>
      <w:r w:rsidR="006A1F93">
        <w:rPr>
          <w:rFonts w:ascii="Century" w:hAnsi="Century" w:cs="ñmí'EE˛"/>
          <w:lang w:val="en-GB"/>
        </w:rPr>
        <w:t xml:space="preserve">The common theme in </w:t>
      </w:r>
      <w:r w:rsidR="00B56EE3">
        <w:rPr>
          <w:rFonts w:ascii="Century" w:hAnsi="Century" w:cs="ñmí'EE˛"/>
          <w:lang w:val="en-GB"/>
        </w:rPr>
        <w:t>these dicta</w:t>
      </w:r>
      <w:r w:rsidR="006A1F93">
        <w:rPr>
          <w:rFonts w:ascii="Century" w:hAnsi="Century" w:cs="ñmí'EE˛"/>
          <w:lang w:val="en-GB"/>
        </w:rPr>
        <w:t xml:space="preserve"> </w:t>
      </w:r>
      <w:r w:rsidR="00B56EE3">
        <w:rPr>
          <w:rFonts w:ascii="Century" w:hAnsi="Century" w:cs="ñmí'EE˛"/>
          <w:lang w:val="en-GB"/>
        </w:rPr>
        <w:t>is</w:t>
      </w:r>
      <w:r w:rsidR="006A1F93">
        <w:rPr>
          <w:rFonts w:ascii="Century" w:hAnsi="Century" w:cs="ñmí'EE˛"/>
          <w:lang w:val="en-GB"/>
        </w:rPr>
        <w:t xml:space="preserve"> the view that delegated rulemaking that gives broad policy and normative discretion to a delegate </w:t>
      </w:r>
      <w:r w:rsidR="008C66C0">
        <w:rPr>
          <w:rFonts w:ascii="Century" w:hAnsi="Century" w:cs="ñmí'EE˛"/>
          <w:lang w:val="en-GB"/>
        </w:rPr>
        <w:t>invites</w:t>
      </w:r>
      <w:r w:rsidR="006A1F93">
        <w:rPr>
          <w:rFonts w:ascii="Century" w:hAnsi="Century" w:cs="ñmí'EE˛"/>
          <w:lang w:val="en-GB"/>
        </w:rPr>
        <w:t xml:space="preserve"> tension with the </w:t>
      </w:r>
      <w:r w:rsidR="00D47205">
        <w:rPr>
          <w:rFonts w:ascii="Century" w:hAnsi="Century" w:cs="ñmí'EE˛"/>
          <w:lang w:val="en-GB"/>
        </w:rPr>
        <w:t>s</w:t>
      </w:r>
      <w:r w:rsidR="006A1F93">
        <w:rPr>
          <w:rFonts w:ascii="Century" w:hAnsi="Century" w:cs="ñmí'EE˛"/>
          <w:lang w:val="en-GB"/>
        </w:rPr>
        <w:t>tate’s constitutional dedication to a democratic form of government</w:t>
      </w:r>
      <w:r w:rsidR="00BB53AD">
        <w:rPr>
          <w:rFonts w:ascii="Century" w:hAnsi="Century" w:cs="ñmí'EE˛"/>
          <w:lang w:val="en-GB"/>
        </w:rPr>
        <w:t xml:space="preserve">, as it </w:t>
      </w:r>
      <w:r w:rsidR="008C66C0">
        <w:rPr>
          <w:rFonts w:ascii="Century" w:hAnsi="Century" w:cs="ñmí'EE˛"/>
          <w:lang w:val="en-GB"/>
        </w:rPr>
        <w:t xml:space="preserve">risks </w:t>
      </w:r>
      <w:r w:rsidR="00BB53AD">
        <w:rPr>
          <w:rFonts w:ascii="Century" w:hAnsi="Century" w:cs="ñmí'EE˛"/>
          <w:lang w:val="en-GB"/>
        </w:rPr>
        <w:t>erod</w:t>
      </w:r>
      <w:r w:rsidR="008C66C0">
        <w:rPr>
          <w:rFonts w:ascii="Century" w:hAnsi="Century" w:cs="ñmí'EE˛"/>
          <w:lang w:val="en-GB"/>
        </w:rPr>
        <w:t xml:space="preserve">ing </w:t>
      </w:r>
      <w:r w:rsidR="00BB53AD">
        <w:rPr>
          <w:rFonts w:ascii="Century" w:hAnsi="Century" w:cs="ñmí'EE˛"/>
          <w:lang w:val="en-GB"/>
        </w:rPr>
        <w:t>democratic accountability.</w:t>
      </w:r>
    </w:p>
    <w:p w14:paraId="7301ED5C" w14:textId="2BFBC63A" w:rsidR="00D27E7B" w:rsidRPr="00B42740" w:rsidRDefault="00D27E7B" w:rsidP="006A1F93">
      <w:pPr>
        <w:autoSpaceDE w:val="0"/>
        <w:autoSpaceDN w:val="0"/>
        <w:adjustRightInd w:val="0"/>
        <w:spacing w:line="480" w:lineRule="auto"/>
        <w:jc w:val="both"/>
        <w:rPr>
          <w:rFonts w:ascii="Century" w:hAnsi="Century" w:cs="Times New Roman"/>
          <w:lang w:val="en-GB"/>
        </w:rPr>
      </w:pPr>
    </w:p>
    <w:p w14:paraId="755FA3ED" w14:textId="6E394AAE" w:rsidR="00F93894" w:rsidRDefault="00210296" w:rsidP="00CF7B9E">
      <w:pPr>
        <w:pStyle w:val="Body"/>
        <w:spacing w:after="120" w:line="480" w:lineRule="auto"/>
        <w:jc w:val="both"/>
        <w:rPr>
          <w:rFonts w:ascii="Century" w:hAnsi="Century"/>
          <w:sz w:val="24"/>
          <w:szCs w:val="24"/>
        </w:rPr>
      </w:pPr>
      <w:r w:rsidRPr="00CF7B9E">
        <w:rPr>
          <w:rFonts w:ascii="Century" w:hAnsi="Century"/>
          <w:sz w:val="24"/>
          <w:szCs w:val="24"/>
        </w:rPr>
        <w:t>It is trite to say, but true all the same, that democracy is a contested concept</w:t>
      </w:r>
      <w:r w:rsidRPr="00CF7B9E">
        <w:rPr>
          <w:rStyle w:val="FootnoteReference"/>
          <w:rFonts w:ascii="Century" w:hAnsi="Century"/>
          <w:sz w:val="24"/>
          <w:szCs w:val="24"/>
        </w:rPr>
        <w:footnoteReference w:id="129"/>
      </w:r>
      <w:r w:rsidRPr="00CF7B9E">
        <w:rPr>
          <w:rFonts w:ascii="Century" w:hAnsi="Century"/>
          <w:sz w:val="24"/>
          <w:szCs w:val="24"/>
        </w:rPr>
        <w:t xml:space="preserve"> and </w:t>
      </w:r>
      <w:r w:rsidR="00D27E7B" w:rsidRPr="00CF7B9E">
        <w:rPr>
          <w:rFonts w:ascii="Century" w:hAnsi="Century"/>
          <w:sz w:val="24"/>
          <w:szCs w:val="24"/>
        </w:rPr>
        <w:t xml:space="preserve">very indeterminate </w:t>
      </w:r>
      <w:r w:rsidR="00921162">
        <w:rPr>
          <w:rFonts w:ascii="Century" w:hAnsi="Century"/>
          <w:sz w:val="24"/>
          <w:szCs w:val="24"/>
        </w:rPr>
        <w:t xml:space="preserve">at the level of </w:t>
      </w:r>
      <w:r w:rsidR="00D27E7B" w:rsidRPr="00CF7B9E">
        <w:rPr>
          <w:rFonts w:ascii="Century" w:hAnsi="Century"/>
          <w:sz w:val="24"/>
          <w:szCs w:val="24"/>
        </w:rPr>
        <w:t xml:space="preserve">institutional </w:t>
      </w:r>
      <w:r w:rsidR="00921162">
        <w:rPr>
          <w:rFonts w:ascii="Century" w:hAnsi="Century"/>
          <w:sz w:val="24"/>
          <w:szCs w:val="24"/>
        </w:rPr>
        <w:t>prescription</w:t>
      </w:r>
      <w:r w:rsidRPr="00CF7B9E">
        <w:rPr>
          <w:rFonts w:ascii="Century" w:hAnsi="Century"/>
          <w:sz w:val="24"/>
          <w:szCs w:val="24"/>
        </w:rPr>
        <w:t>, coming</w:t>
      </w:r>
      <w:r w:rsidR="00CF7B9E">
        <w:rPr>
          <w:rFonts w:ascii="Century" w:hAnsi="Century"/>
          <w:sz w:val="24"/>
          <w:szCs w:val="24"/>
        </w:rPr>
        <w:t xml:space="preserve"> as it does</w:t>
      </w:r>
      <w:r w:rsidRPr="00CF7B9E">
        <w:rPr>
          <w:rFonts w:ascii="Century" w:hAnsi="Century"/>
          <w:sz w:val="24"/>
          <w:szCs w:val="24"/>
        </w:rPr>
        <w:t xml:space="preserve"> in a wide range of forms. </w:t>
      </w:r>
      <w:r w:rsidRPr="00CF7B9E">
        <w:rPr>
          <w:rFonts w:ascii="Century" w:hAnsi="Century"/>
          <w:sz w:val="24"/>
          <w:szCs w:val="24"/>
          <w:lang w:val="en-US"/>
        </w:rPr>
        <w:t xml:space="preserve">One </w:t>
      </w:r>
      <w:r w:rsidR="00CF7B9E">
        <w:rPr>
          <w:rFonts w:ascii="Century" w:hAnsi="Century"/>
          <w:sz w:val="24"/>
          <w:szCs w:val="24"/>
          <w:lang w:val="en-US"/>
        </w:rPr>
        <w:t xml:space="preserve">legal </w:t>
      </w:r>
      <w:r w:rsidR="009A52B8">
        <w:rPr>
          <w:rFonts w:ascii="Century" w:hAnsi="Century"/>
          <w:sz w:val="24"/>
          <w:szCs w:val="24"/>
          <w:lang w:val="en-US"/>
        </w:rPr>
        <w:t>system</w:t>
      </w:r>
      <w:r w:rsidRPr="00CF7B9E">
        <w:rPr>
          <w:rFonts w:ascii="Century" w:hAnsi="Century"/>
          <w:sz w:val="24"/>
          <w:szCs w:val="24"/>
          <w:lang w:val="en-US"/>
        </w:rPr>
        <w:t xml:space="preserve"> may make broad use of referendums</w:t>
      </w:r>
      <w:r w:rsidR="004716D0" w:rsidRPr="00CF7B9E">
        <w:rPr>
          <w:rFonts w:ascii="Century" w:hAnsi="Century"/>
          <w:sz w:val="24"/>
          <w:szCs w:val="24"/>
          <w:lang w:val="en-US"/>
        </w:rPr>
        <w:t>,</w:t>
      </w:r>
      <w:r w:rsidR="00CF7B9E">
        <w:rPr>
          <w:rFonts w:ascii="Century" w:hAnsi="Century"/>
          <w:sz w:val="24"/>
          <w:szCs w:val="24"/>
          <w:lang w:val="en-US"/>
        </w:rPr>
        <w:t xml:space="preserve"> </w:t>
      </w:r>
      <w:r w:rsidR="00CF7B9E">
        <w:rPr>
          <w:rFonts w:ascii="Century" w:hAnsi="Century"/>
          <w:sz w:val="24"/>
          <w:szCs w:val="24"/>
          <w:lang w:val="en-US"/>
        </w:rPr>
        <w:lastRenderedPageBreak/>
        <w:t>sortition,</w:t>
      </w:r>
      <w:r w:rsidR="004716D0" w:rsidRPr="00CF7B9E">
        <w:rPr>
          <w:rFonts w:ascii="Century" w:hAnsi="Century"/>
          <w:sz w:val="24"/>
          <w:szCs w:val="24"/>
          <w:lang w:val="en-US"/>
        </w:rPr>
        <w:t xml:space="preserve"> citizens assemblies,</w:t>
      </w:r>
      <w:r w:rsidR="00CF7B9E">
        <w:rPr>
          <w:rFonts w:ascii="Century" w:hAnsi="Century"/>
          <w:sz w:val="24"/>
          <w:szCs w:val="24"/>
          <w:lang w:val="en-US"/>
        </w:rPr>
        <w:t xml:space="preserve"> recalls,</w:t>
      </w:r>
      <w:r w:rsidRPr="00CF7B9E">
        <w:rPr>
          <w:rFonts w:ascii="Century" w:hAnsi="Century"/>
          <w:sz w:val="24"/>
          <w:szCs w:val="24"/>
          <w:lang w:val="en-US"/>
        </w:rPr>
        <w:t xml:space="preserve"> and other tools of direct democracy, another might have a highly indirect system of representation. One might have first-past-the-post voting, another </w:t>
      </w:r>
      <w:r w:rsidR="008024F9">
        <w:rPr>
          <w:rFonts w:ascii="Century" w:hAnsi="Century"/>
          <w:sz w:val="24"/>
          <w:szCs w:val="24"/>
          <w:lang w:val="en-US"/>
        </w:rPr>
        <w:t>proportional representation. Some systems demand a political party secure a certain percentage of the national vote before being allowed to take up a parliamentary seat, others do not. Some democracies</w:t>
      </w:r>
      <w:r w:rsidRPr="00CF7B9E">
        <w:rPr>
          <w:rFonts w:ascii="Century" w:hAnsi="Century"/>
          <w:sz w:val="24"/>
          <w:szCs w:val="24"/>
          <w:lang w:val="en-US"/>
        </w:rPr>
        <w:t xml:space="preserve"> have a strongly parliamentary system of the classic Westminster variety, another might have a more robust separation of powers</w:t>
      </w:r>
      <w:r w:rsidR="00693DD2" w:rsidRPr="00CF7B9E">
        <w:rPr>
          <w:rFonts w:ascii="Century" w:hAnsi="Century"/>
          <w:sz w:val="24"/>
          <w:szCs w:val="24"/>
          <w:lang w:val="en-US"/>
        </w:rPr>
        <w:t xml:space="preserve"> with a separation of legislative and executive personnel</w:t>
      </w:r>
      <w:r w:rsidR="00CF7B9E">
        <w:rPr>
          <w:rFonts w:ascii="Century" w:hAnsi="Century"/>
          <w:sz w:val="24"/>
          <w:szCs w:val="24"/>
          <w:lang w:val="en-US"/>
        </w:rPr>
        <w:t>, or a Westminster system</w:t>
      </w:r>
      <w:r w:rsidR="00325D1F">
        <w:rPr>
          <w:rFonts w:ascii="Century" w:hAnsi="Century"/>
          <w:sz w:val="24"/>
          <w:szCs w:val="24"/>
          <w:lang w:val="en-US"/>
        </w:rPr>
        <w:t xml:space="preserve"> with a powerful constitutional court capable of invalidating legislative enactments</w:t>
      </w:r>
      <w:r w:rsidRPr="00CF7B9E">
        <w:rPr>
          <w:rFonts w:ascii="Century" w:hAnsi="Century"/>
          <w:sz w:val="24"/>
          <w:szCs w:val="24"/>
          <w:lang w:val="en-US"/>
        </w:rPr>
        <w:t>. One might employ representation only for individual citizens, while another</w:t>
      </w:r>
      <w:r w:rsidR="00286C12">
        <w:rPr>
          <w:rFonts w:ascii="Century" w:hAnsi="Century"/>
          <w:sz w:val="24"/>
          <w:szCs w:val="24"/>
          <w:lang w:val="en-US"/>
        </w:rPr>
        <w:t xml:space="preserve"> may</w:t>
      </w:r>
      <w:r w:rsidRPr="00CF7B9E">
        <w:rPr>
          <w:rFonts w:ascii="Century" w:hAnsi="Century"/>
          <w:sz w:val="24"/>
          <w:szCs w:val="24"/>
          <w:lang w:val="en-US"/>
        </w:rPr>
        <w:t xml:space="preserve"> recognize representation</w:t>
      </w:r>
      <w:r w:rsidR="00286C12">
        <w:rPr>
          <w:rFonts w:ascii="Century" w:hAnsi="Century"/>
          <w:sz w:val="24"/>
          <w:szCs w:val="24"/>
          <w:lang w:val="en-US"/>
        </w:rPr>
        <w:t xml:space="preserve"> of citizens in a more corporatist fashion, via intermediate organizations like</w:t>
      </w:r>
      <w:r w:rsidRPr="00CF7B9E">
        <w:rPr>
          <w:rFonts w:ascii="Century" w:hAnsi="Century"/>
          <w:sz w:val="24"/>
          <w:szCs w:val="24"/>
          <w:lang w:val="en-US"/>
        </w:rPr>
        <w:t xml:space="preserve"> civil society groups, professions, </w:t>
      </w:r>
      <w:r w:rsidR="00286C12">
        <w:rPr>
          <w:rFonts w:ascii="Century" w:hAnsi="Century"/>
          <w:sz w:val="24"/>
          <w:szCs w:val="24"/>
          <w:lang w:val="en-US"/>
        </w:rPr>
        <w:t>vocational associations, and trade unions</w:t>
      </w:r>
      <w:r w:rsidRPr="00CF7B9E">
        <w:rPr>
          <w:rFonts w:ascii="Century" w:hAnsi="Century"/>
          <w:sz w:val="24"/>
          <w:szCs w:val="24"/>
          <w:lang w:val="en-US"/>
        </w:rPr>
        <w:t xml:space="preserve">. </w:t>
      </w:r>
      <w:r w:rsidRPr="00CF7B9E">
        <w:rPr>
          <w:rFonts w:ascii="Century" w:hAnsi="Century"/>
          <w:sz w:val="24"/>
          <w:szCs w:val="24"/>
        </w:rPr>
        <w:t xml:space="preserve">All of which is to say that </w:t>
      </w:r>
      <w:r w:rsidR="00C97B68" w:rsidRPr="00CF7B9E">
        <w:rPr>
          <w:rFonts w:ascii="Century" w:hAnsi="Century"/>
          <w:sz w:val="24"/>
          <w:szCs w:val="24"/>
        </w:rPr>
        <w:t>justifying</w:t>
      </w:r>
      <w:r w:rsidRPr="00CF7B9E">
        <w:rPr>
          <w:rFonts w:ascii="Century" w:hAnsi="Century"/>
          <w:sz w:val="24"/>
          <w:szCs w:val="24"/>
        </w:rPr>
        <w:t xml:space="preserve"> </w:t>
      </w:r>
      <w:r w:rsidR="00CF7B9E">
        <w:rPr>
          <w:rFonts w:ascii="Century" w:hAnsi="Century"/>
          <w:sz w:val="24"/>
          <w:szCs w:val="24"/>
        </w:rPr>
        <w:t xml:space="preserve">a legal concept like </w:t>
      </w:r>
      <w:r w:rsidRPr="00CF7B9E">
        <w:rPr>
          <w:rFonts w:ascii="Century" w:hAnsi="Century"/>
          <w:sz w:val="24"/>
          <w:szCs w:val="24"/>
        </w:rPr>
        <w:t>the delegation</w:t>
      </w:r>
      <w:r w:rsidR="00C97B68" w:rsidRPr="00CF7B9E">
        <w:rPr>
          <w:rFonts w:ascii="Century" w:hAnsi="Century"/>
          <w:sz w:val="24"/>
          <w:szCs w:val="24"/>
        </w:rPr>
        <w:t xml:space="preserve"> doctrine</w:t>
      </w:r>
      <w:r w:rsidRPr="00CF7B9E">
        <w:rPr>
          <w:rFonts w:ascii="Century" w:hAnsi="Century"/>
          <w:sz w:val="24"/>
          <w:szCs w:val="24"/>
        </w:rPr>
        <w:t xml:space="preserve"> on democratic grounds </w:t>
      </w:r>
      <w:r w:rsidR="00693DD2" w:rsidRPr="00CF7B9E">
        <w:rPr>
          <w:rFonts w:ascii="Century" w:hAnsi="Century"/>
          <w:sz w:val="24"/>
          <w:szCs w:val="24"/>
        </w:rPr>
        <w:t>requires its proponents to</w:t>
      </w:r>
      <w:r w:rsidRPr="00CF7B9E">
        <w:rPr>
          <w:rFonts w:ascii="Century" w:hAnsi="Century"/>
          <w:sz w:val="24"/>
          <w:szCs w:val="24"/>
        </w:rPr>
        <w:t xml:space="preserve"> mov</w:t>
      </w:r>
      <w:r w:rsidR="00693DD2" w:rsidRPr="00CF7B9E">
        <w:rPr>
          <w:rFonts w:ascii="Century" w:hAnsi="Century"/>
          <w:sz w:val="24"/>
          <w:szCs w:val="24"/>
        </w:rPr>
        <w:t>e</w:t>
      </w:r>
      <w:r w:rsidRPr="00CF7B9E">
        <w:rPr>
          <w:rFonts w:ascii="Century" w:hAnsi="Century"/>
          <w:sz w:val="24"/>
          <w:szCs w:val="24"/>
        </w:rPr>
        <w:t xml:space="preserve"> beyond abstract invocations of democracy</w:t>
      </w:r>
      <w:r w:rsidR="00FC1DF3">
        <w:rPr>
          <w:rFonts w:ascii="Century" w:hAnsi="Century"/>
          <w:sz w:val="24"/>
          <w:szCs w:val="24"/>
        </w:rPr>
        <w:t>,</w:t>
      </w:r>
      <w:r w:rsidRPr="00CF7B9E">
        <w:rPr>
          <w:rFonts w:ascii="Century" w:hAnsi="Century"/>
          <w:sz w:val="24"/>
          <w:szCs w:val="24"/>
        </w:rPr>
        <w:t xml:space="preserve"> to a more concrete vision of what it entails or demands</w:t>
      </w:r>
      <w:r w:rsidR="00325D1F">
        <w:rPr>
          <w:rFonts w:ascii="Century" w:hAnsi="Century"/>
          <w:sz w:val="24"/>
          <w:szCs w:val="24"/>
        </w:rPr>
        <w:t xml:space="preserve"> that is normatively compelling</w:t>
      </w:r>
      <w:r w:rsidRPr="00CF7B9E">
        <w:rPr>
          <w:rFonts w:ascii="Century" w:hAnsi="Century"/>
          <w:sz w:val="24"/>
          <w:szCs w:val="24"/>
        </w:rPr>
        <w:t xml:space="preserve">. </w:t>
      </w:r>
    </w:p>
    <w:p w14:paraId="07C84D68" w14:textId="77777777" w:rsidR="003B2B7A" w:rsidRDefault="003B2B7A" w:rsidP="00CF7B9E">
      <w:pPr>
        <w:pStyle w:val="Body"/>
        <w:spacing w:after="120" w:line="480" w:lineRule="auto"/>
        <w:jc w:val="both"/>
        <w:rPr>
          <w:rFonts w:ascii="Century" w:hAnsi="Century"/>
          <w:sz w:val="24"/>
          <w:szCs w:val="24"/>
        </w:rPr>
      </w:pPr>
    </w:p>
    <w:p w14:paraId="480AD7F0" w14:textId="7D5D14EF" w:rsidR="00D27E7B" w:rsidRPr="00CF7B9E" w:rsidRDefault="00210296" w:rsidP="00CF7B9E">
      <w:pPr>
        <w:pStyle w:val="Body"/>
        <w:spacing w:after="120" w:line="480" w:lineRule="auto"/>
        <w:jc w:val="both"/>
        <w:rPr>
          <w:rFonts w:ascii="Century" w:hAnsi="Century"/>
          <w:sz w:val="24"/>
          <w:szCs w:val="24"/>
          <w:lang w:val="en-US"/>
        </w:rPr>
      </w:pPr>
      <w:r w:rsidRPr="00CF7B9E">
        <w:rPr>
          <w:rFonts w:ascii="Century" w:hAnsi="Century"/>
          <w:sz w:val="24"/>
          <w:szCs w:val="24"/>
        </w:rPr>
        <w:t>Again, as with separation of powers arguments, standing b</w:t>
      </w:r>
      <w:r w:rsidR="00D27E7B" w:rsidRPr="00CF7B9E">
        <w:rPr>
          <w:rFonts w:ascii="Century" w:hAnsi="Century"/>
          <w:sz w:val="24"/>
          <w:szCs w:val="24"/>
        </w:rPr>
        <w:t xml:space="preserve">ehind critiques from democracy </w:t>
      </w:r>
      <w:r w:rsidR="00693DD2" w:rsidRPr="00CF7B9E">
        <w:rPr>
          <w:rFonts w:ascii="Century" w:hAnsi="Century"/>
          <w:sz w:val="24"/>
          <w:szCs w:val="24"/>
        </w:rPr>
        <w:t>appears to be</w:t>
      </w:r>
      <w:r w:rsidR="00D27E7B" w:rsidRPr="00CF7B9E">
        <w:rPr>
          <w:rFonts w:ascii="Century" w:hAnsi="Century"/>
          <w:sz w:val="24"/>
          <w:szCs w:val="24"/>
        </w:rPr>
        <w:t xml:space="preserve"> a particular vision of representative democracy steeped in classical liberal thought.</w:t>
      </w:r>
      <w:r w:rsidRPr="00CF7B9E">
        <w:rPr>
          <w:rFonts w:ascii="Century" w:hAnsi="Century"/>
          <w:sz w:val="24"/>
          <w:szCs w:val="24"/>
        </w:rPr>
        <w:t xml:space="preserve"> In this picture,</w:t>
      </w:r>
      <w:r w:rsidR="00D27E7B" w:rsidRPr="00CF7B9E">
        <w:rPr>
          <w:rFonts w:ascii="Century" w:hAnsi="Century"/>
          <w:sz w:val="24"/>
          <w:szCs w:val="24"/>
        </w:rPr>
        <w:t xml:space="preserve"> </w:t>
      </w:r>
      <w:r w:rsidRPr="00CF7B9E">
        <w:rPr>
          <w:rFonts w:ascii="Century" w:hAnsi="Century"/>
          <w:sz w:val="24"/>
          <w:szCs w:val="24"/>
        </w:rPr>
        <w:t>directly</w:t>
      </w:r>
      <w:r w:rsidR="00D27E7B" w:rsidRPr="00CF7B9E">
        <w:rPr>
          <w:rFonts w:ascii="Century" w:hAnsi="Century"/>
          <w:sz w:val="24"/>
          <w:szCs w:val="24"/>
        </w:rPr>
        <w:t xml:space="preserve"> elected </w:t>
      </w:r>
      <w:r w:rsidR="00C97B68" w:rsidRPr="00CF7B9E">
        <w:rPr>
          <w:rFonts w:ascii="Century" w:hAnsi="Century"/>
          <w:sz w:val="24"/>
          <w:szCs w:val="24"/>
        </w:rPr>
        <w:t>representatives</w:t>
      </w:r>
      <w:r w:rsidR="00D27E7B" w:rsidRPr="00CF7B9E">
        <w:rPr>
          <w:rFonts w:ascii="Century" w:hAnsi="Century"/>
          <w:sz w:val="24"/>
          <w:szCs w:val="24"/>
        </w:rPr>
        <w:t xml:space="preserve"> </w:t>
      </w:r>
      <w:r w:rsidRPr="00CF7B9E">
        <w:rPr>
          <w:rFonts w:ascii="Century" w:hAnsi="Century"/>
          <w:sz w:val="24"/>
          <w:szCs w:val="24"/>
        </w:rPr>
        <w:t xml:space="preserve">assemble and </w:t>
      </w:r>
      <w:r w:rsidR="00D27E7B" w:rsidRPr="00CF7B9E">
        <w:rPr>
          <w:rFonts w:ascii="Century" w:hAnsi="Century"/>
          <w:sz w:val="24"/>
          <w:szCs w:val="24"/>
        </w:rPr>
        <w:t xml:space="preserve">debate in plenary session and agree </w:t>
      </w:r>
      <w:r w:rsidRPr="00CF7B9E">
        <w:rPr>
          <w:rFonts w:ascii="Century" w:hAnsi="Century"/>
          <w:sz w:val="24"/>
          <w:szCs w:val="24"/>
        </w:rPr>
        <w:t>and hammer out the</w:t>
      </w:r>
      <w:r w:rsidR="00D27E7B" w:rsidRPr="00CF7B9E">
        <w:rPr>
          <w:rFonts w:ascii="Century" w:hAnsi="Century"/>
          <w:sz w:val="24"/>
          <w:szCs w:val="24"/>
        </w:rPr>
        <w:t xml:space="preserve"> principles and policies they wish to pursue and encode in detailed statutes.</w:t>
      </w:r>
      <w:r w:rsidR="004716D0" w:rsidRPr="00CF7B9E">
        <w:rPr>
          <w:rStyle w:val="FootnoteReference"/>
          <w:rFonts w:ascii="Century" w:hAnsi="Century"/>
          <w:sz w:val="24"/>
          <w:szCs w:val="24"/>
        </w:rPr>
        <w:footnoteReference w:id="130"/>
      </w:r>
      <w:r w:rsidR="00D27E7B" w:rsidRPr="00CF7B9E">
        <w:rPr>
          <w:rFonts w:ascii="Century" w:hAnsi="Century"/>
          <w:sz w:val="24"/>
          <w:szCs w:val="24"/>
        </w:rPr>
        <w:t xml:space="preserve"> The executive</w:t>
      </w:r>
      <w:r w:rsidR="007028F0">
        <w:rPr>
          <w:rFonts w:ascii="Century" w:hAnsi="Century"/>
          <w:sz w:val="24"/>
          <w:szCs w:val="24"/>
        </w:rPr>
        <w:t xml:space="preserve"> </w:t>
      </w:r>
      <w:r w:rsidR="00D27E7B" w:rsidRPr="00CF7B9E">
        <w:rPr>
          <w:rFonts w:ascii="Century" w:hAnsi="Century"/>
          <w:sz w:val="24"/>
          <w:szCs w:val="24"/>
        </w:rPr>
        <w:t>is a subordinate institution which</w:t>
      </w:r>
      <w:r w:rsidR="00814EEE" w:rsidRPr="00CF7B9E">
        <w:rPr>
          <w:rFonts w:ascii="Century" w:hAnsi="Century"/>
          <w:sz w:val="24"/>
          <w:szCs w:val="24"/>
        </w:rPr>
        <w:t xml:space="preserve"> enjoys</w:t>
      </w:r>
      <w:r w:rsidR="00491A88" w:rsidRPr="00CF7B9E">
        <w:rPr>
          <w:rFonts w:ascii="Century" w:hAnsi="Century"/>
          <w:sz w:val="24"/>
          <w:szCs w:val="24"/>
        </w:rPr>
        <w:t xml:space="preserve"> only</w:t>
      </w:r>
      <w:r w:rsidR="00814EEE" w:rsidRPr="00CF7B9E">
        <w:rPr>
          <w:rFonts w:ascii="Century" w:hAnsi="Century"/>
          <w:sz w:val="24"/>
          <w:szCs w:val="24"/>
        </w:rPr>
        <w:t xml:space="preserve"> indirect</w:t>
      </w:r>
      <w:r w:rsidR="00491A88" w:rsidRPr="00CF7B9E">
        <w:rPr>
          <w:rFonts w:ascii="Century" w:hAnsi="Century"/>
          <w:sz w:val="24"/>
          <w:szCs w:val="24"/>
        </w:rPr>
        <w:t xml:space="preserve"> democratic</w:t>
      </w:r>
      <w:r w:rsidR="00814EEE" w:rsidRPr="00CF7B9E">
        <w:rPr>
          <w:rFonts w:ascii="Century" w:hAnsi="Century"/>
          <w:sz w:val="24"/>
          <w:szCs w:val="24"/>
        </w:rPr>
        <w:t xml:space="preserve"> legitimacy </w:t>
      </w:r>
      <w:r w:rsidR="00491A88" w:rsidRPr="00CF7B9E">
        <w:rPr>
          <w:rFonts w:ascii="Century" w:hAnsi="Century"/>
          <w:sz w:val="24"/>
          <w:szCs w:val="24"/>
        </w:rPr>
        <w:lastRenderedPageBreak/>
        <w:t>through</w:t>
      </w:r>
      <w:r w:rsidR="00814EEE" w:rsidRPr="00CF7B9E">
        <w:rPr>
          <w:rFonts w:ascii="Century" w:hAnsi="Century"/>
          <w:sz w:val="24"/>
          <w:szCs w:val="24"/>
        </w:rPr>
        <w:t xml:space="preserve"> </w:t>
      </w:r>
      <w:r w:rsidR="00693DD2" w:rsidRPr="00CF7B9E">
        <w:rPr>
          <w:rFonts w:ascii="Century" w:hAnsi="Century"/>
          <w:sz w:val="24"/>
          <w:szCs w:val="24"/>
        </w:rPr>
        <w:t>its ability to hold the</w:t>
      </w:r>
      <w:r w:rsidR="00814EEE" w:rsidRPr="00CF7B9E">
        <w:rPr>
          <w:rFonts w:ascii="Century" w:hAnsi="Century"/>
          <w:sz w:val="24"/>
          <w:szCs w:val="24"/>
        </w:rPr>
        <w:t xml:space="preserve"> confidence of the legislature. Its main job</w:t>
      </w:r>
      <w:r w:rsidR="007028F0">
        <w:rPr>
          <w:rFonts w:ascii="Century" w:hAnsi="Century"/>
          <w:sz w:val="24"/>
          <w:szCs w:val="24"/>
        </w:rPr>
        <w:t>, living up to its name,</w:t>
      </w:r>
      <w:r w:rsidR="00814EEE" w:rsidRPr="00CF7B9E">
        <w:rPr>
          <w:rFonts w:ascii="Century" w:hAnsi="Century"/>
          <w:sz w:val="24"/>
          <w:szCs w:val="24"/>
        </w:rPr>
        <w:t xml:space="preserve"> is to</w:t>
      </w:r>
      <w:r w:rsidR="00D27E7B" w:rsidRPr="00CF7B9E">
        <w:rPr>
          <w:rFonts w:ascii="Century" w:hAnsi="Century"/>
          <w:sz w:val="24"/>
          <w:szCs w:val="24"/>
        </w:rPr>
        <w:t xml:space="preserve"> faithfully implement statutes</w:t>
      </w:r>
      <w:r w:rsidR="00814EEE" w:rsidRPr="00CF7B9E">
        <w:rPr>
          <w:rFonts w:ascii="Century" w:hAnsi="Century"/>
          <w:sz w:val="24"/>
          <w:szCs w:val="24"/>
        </w:rPr>
        <w:t xml:space="preserve"> enacted by the legislature</w:t>
      </w:r>
      <w:r w:rsidR="00D27E7B" w:rsidRPr="00CF7B9E">
        <w:rPr>
          <w:rFonts w:ascii="Century" w:hAnsi="Century"/>
          <w:sz w:val="24"/>
          <w:szCs w:val="24"/>
        </w:rPr>
        <w:t xml:space="preserve"> and, where necessary, fill in the gaps</w:t>
      </w:r>
      <w:r w:rsidR="00FC1DF3">
        <w:rPr>
          <w:rFonts w:ascii="Century" w:hAnsi="Century"/>
          <w:sz w:val="24"/>
          <w:szCs w:val="24"/>
        </w:rPr>
        <w:t xml:space="preserve"> to bring life to its </w:t>
      </w:r>
      <w:r w:rsidR="00325D1F">
        <w:rPr>
          <w:rFonts w:ascii="Century" w:hAnsi="Century"/>
          <w:sz w:val="24"/>
          <w:szCs w:val="24"/>
        </w:rPr>
        <w:t>principal’s</w:t>
      </w:r>
      <w:r w:rsidR="00FC1DF3">
        <w:rPr>
          <w:rFonts w:ascii="Century" w:hAnsi="Century"/>
          <w:sz w:val="24"/>
          <w:szCs w:val="24"/>
        </w:rPr>
        <w:t xml:space="preserve"> edicts</w:t>
      </w:r>
      <w:r w:rsidR="00EB5BDC" w:rsidRPr="00CF7B9E">
        <w:rPr>
          <w:rFonts w:ascii="Century" w:hAnsi="Century"/>
          <w:sz w:val="24"/>
          <w:szCs w:val="24"/>
        </w:rPr>
        <w:t xml:space="preserve">. But the </w:t>
      </w:r>
      <w:r w:rsidR="00D27E7B" w:rsidRPr="00CF7B9E">
        <w:rPr>
          <w:rFonts w:ascii="Century" w:hAnsi="Century"/>
          <w:sz w:val="24"/>
          <w:szCs w:val="24"/>
        </w:rPr>
        <w:t>main normative commitments</w:t>
      </w:r>
      <w:r w:rsidR="00B42740" w:rsidRPr="00CF7B9E">
        <w:rPr>
          <w:rFonts w:ascii="Century" w:hAnsi="Century"/>
          <w:sz w:val="24"/>
          <w:szCs w:val="24"/>
        </w:rPr>
        <w:t xml:space="preserve"> behind the rules </w:t>
      </w:r>
      <w:r w:rsidR="00E53BFF" w:rsidRPr="00CF7B9E">
        <w:rPr>
          <w:rFonts w:ascii="Century" w:hAnsi="Century"/>
          <w:sz w:val="24"/>
          <w:szCs w:val="24"/>
        </w:rPr>
        <w:t>binding</w:t>
      </w:r>
      <w:r w:rsidR="00B42740" w:rsidRPr="00CF7B9E">
        <w:rPr>
          <w:rFonts w:ascii="Century" w:hAnsi="Century"/>
          <w:sz w:val="24"/>
          <w:szCs w:val="24"/>
        </w:rPr>
        <w:t xml:space="preserve"> citizens</w:t>
      </w:r>
      <w:r w:rsidR="00D27E7B" w:rsidRPr="00CF7B9E">
        <w:rPr>
          <w:rFonts w:ascii="Century" w:hAnsi="Century"/>
          <w:sz w:val="24"/>
          <w:szCs w:val="24"/>
        </w:rPr>
        <w:t xml:space="preserve"> are decided by the</w:t>
      </w:r>
      <w:r w:rsidR="00B56EE3" w:rsidRPr="00CF7B9E">
        <w:rPr>
          <w:rFonts w:ascii="Century" w:hAnsi="Century"/>
          <w:sz w:val="24"/>
          <w:szCs w:val="24"/>
        </w:rPr>
        <w:t xml:space="preserve"> directly elected</w:t>
      </w:r>
      <w:r w:rsidR="00D27E7B" w:rsidRPr="00CF7B9E">
        <w:rPr>
          <w:rFonts w:ascii="Century" w:hAnsi="Century"/>
          <w:sz w:val="24"/>
          <w:szCs w:val="24"/>
        </w:rPr>
        <w:t xml:space="preserve"> legislature. </w:t>
      </w:r>
      <w:r w:rsidR="00B56EE3" w:rsidRPr="00CF7B9E">
        <w:rPr>
          <w:rFonts w:ascii="Century" w:hAnsi="Century"/>
          <w:sz w:val="24"/>
          <w:szCs w:val="24"/>
        </w:rPr>
        <w:t>On this conception, vesting normative and policy discretion in the executive</w:t>
      </w:r>
      <w:r w:rsidR="00C97B68" w:rsidRPr="00CF7B9E">
        <w:rPr>
          <w:rFonts w:ascii="Century" w:hAnsi="Century"/>
          <w:sz w:val="24"/>
          <w:szCs w:val="24"/>
        </w:rPr>
        <w:t xml:space="preserve"> -</w:t>
      </w:r>
      <w:r w:rsidR="007A456B" w:rsidRPr="00CF7B9E">
        <w:rPr>
          <w:rFonts w:ascii="Century" w:hAnsi="Century"/>
          <w:sz w:val="24"/>
          <w:szCs w:val="24"/>
        </w:rPr>
        <w:t xml:space="preserve"> </w:t>
      </w:r>
      <w:r w:rsidR="00C97B68" w:rsidRPr="00CF7B9E">
        <w:rPr>
          <w:rFonts w:ascii="Century" w:hAnsi="Century"/>
          <w:sz w:val="24"/>
          <w:szCs w:val="24"/>
        </w:rPr>
        <w:t xml:space="preserve">which </w:t>
      </w:r>
      <w:r w:rsidR="00C97B68" w:rsidRPr="00CF7B9E">
        <w:rPr>
          <w:rFonts w:ascii="Century" w:hAnsi="Century"/>
          <w:i/>
          <w:iCs/>
          <w:sz w:val="24"/>
          <w:szCs w:val="24"/>
        </w:rPr>
        <w:t>NECI</w:t>
      </w:r>
      <w:r w:rsidR="00C97B68" w:rsidRPr="00CF7B9E">
        <w:rPr>
          <w:rFonts w:ascii="Century" w:hAnsi="Century"/>
          <w:sz w:val="24"/>
          <w:szCs w:val="24"/>
        </w:rPr>
        <w:t xml:space="preserve"> permits in spades -</w:t>
      </w:r>
      <w:r w:rsidR="00B56EE3" w:rsidRPr="00CF7B9E">
        <w:rPr>
          <w:rFonts w:ascii="Century" w:hAnsi="Century"/>
          <w:sz w:val="24"/>
          <w:szCs w:val="24"/>
        </w:rPr>
        <w:t xml:space="preserve"> is an evasion of democratic accountability and erodes representative democracy.</w:t>
      </w:r>
    </w:p>
    <w:p w14:paraId="38CDFA6D" w14:textId="510D09D4" w:rsidR="00B56EE3" w:rsidRDefault="00B56EE3" w:rsidP="006A1F93">
      <w:pPr>
        <w:spacing w:line="480" w:lineRule="auto"/>
        <w:jc w:val="both"/>
        <w:rPr>
          <w:rFonts w:ascii="Century" w:hAnsi="Century"/>
        </w:rPr>
      </w:pPr>
    </w:p>
    <w:p w14:paraId="12F96E59" w14:textId="397463B5" w:rsidR="001158F4" w:rsidRDefault="00C97B68" w:rsidP="00400A8D">
      <w:pPr>
        <w:spacing w:line="480" w:lineRule="auto"/>
        <w:jc w:val="both"/>
        <w:rPr>
          <w:rFonts w:ascii="Century" w:hAnsi="Century"/>
        </w:rPr>
      </w:pPr>
      <w:r>
        <w:rPr>
          <w:rFonts w:ascii="Century" w:hAnsi="Century"/>
        </w:rPr>
        <w:t xml:space="preserve">There are </w:t>
      </w:r>
      <w:r w:rsidR="007A456B">
        <w:rPr>
          <w:rFonts w:ascii="Century" w:hAnsi="Century"/>
        </w:rPr>
        <w:t>several</w:t>
      </w:r>
      <w:r>
        <w:rPr>
          <w:rFonts w:ascii="Century" w:hAnsi="Century"/>
        </w:rPr>
        <w:t xml:space="preserve"> responses to this possible line of critique. </w:t>
      </w:r>
      <w:r w:rsidR="007A456B">
        <w:rPr>
          <w:rFonts w:ascii="Century" w:hAnsi="Century"/>
        </w:rPr>
        <w:t xml:space="preserve">The first is that it </w:t>
      </w:r>
      <w:r w:rsidR="00BF48EC">
        <w:rPr>
          <w:rFonts w:ascii="Century" w:hAnsi="Century"/>
        </w:rPr>
        <w:t xml:space="preserve">is of </w:t>
      </w:r>
      <w:r w:rsidR="007A456B">
        <w:rPr>
          <w:rFonts w:ascii="Century" w:hAnsi="Century"/>
        </w:rPr>
        <w:t xml:space="preserve">serious democratic significance that in </w:t>
      </w:r>
      <w:r w:rsidR="00646763">
        <w:rPr>
          <w:rFonts w:ascii="Century" w:hAnsi="Century"/>
        </w:rPr>
        <w:t>most</w:t>
      </w:r>
      <w:r w:rsidR="007A456B">
        <w:rPr>
          <w:rFonts w:ascii="Century" w:hAnsi="Century"/>
        </w:rPr>
        <w:t xml:space="preserve"> </w:t>
      </w:r>
      <w:r w:rsidR="00491A88">
        <w:rPr>
          <w:rFonts w:ascii="Century" w:hAnsi="Century"/>
        </w:rPr>
        <w:t>cases</w:t>
      </w:r>
      <w:r w:rsidR="007A456B">
        <w:rPr>
          <w:rFonts w:ascii="Century" w:hAnsi="Century"/>
        </w:rPr>
        <w:t xml:space="preserve"> the wielder of delegated rulemaking power is a minister</w:t>
      </w:r>
      <w:r w:rsidR="00BF48EC">
        <w:rPr>
          <w:rFonts w:ascii="Century" w:hAnsi="Century"/>
        </w:rPr>
        <w:t>.</w:t>
      </w:r>
      <w:r w:rsidR="009864AC">
        <w:rPr>
          <w:rStyle w:val="FootnoteReference"/>
          <w:rFonts w:ascii="Century" w:hAnsi="Century"/>
        </w:rPr>
        <w:footnoteReference w:id="131"/>
      </w:r>
      <w:r w:rsidR="00646763">
        <w:rPr>
          <w:rFonts w:ascii="Century" w:hAnsi="Century"/>
        </w:rPr>
        <w:t xml:space="preserve"> </w:t>
      </w:r>
      <w:r w:rsidR="007A456B">
        <w:rPr>
          <w:rFonts w:ascii="Century" w:hAnsi="Century"/>
        </w:rPr>
        <w:t>The</w:t>
      </w:r>
      <w:r w:rsidR="00CF7B9E">
        <w:rPr>
          <w:rFonts w:ascii="Century" w:hAnsi="Century"/>
        </w:rPr>
        <w:t xml:space="preserve"> fact of the matter is that the</w:t>
      </w:r>
      <w:r w:rsidR="007A456B">
        <w:rPr>
          <w:rFonts w:ascii="Century" w:hAnsi="Century"/>
        </w:rPr>
        <w:t xml:space="preserve"> Government </w:t>
      </w:r>
      <w:r w:rsidR="00646763">
        <w:rPr>
          <w:rFonts w:ascii="Century" w:hAnsi="Century"/>
        </w:rPr>
        <w:t>in our</w:t>
      </w:r>
      <w:r w:rsidR="00770CBA">
        <w:rPr>
          <w:rFonts w:ascii="Century" w:hAnsi="Century"/>
        </w:rPr>
        <w:t xml:space="preserve"> constitutional</w:t>
      </w:r>
      <w:r w:rsidR="00646763">
        <w:rPr>
          <w:rFonts w:ascii="Century" w:hAnsi="Century"/>
        </w:rPr>
        <w:t xml:space="preserve"> </w:t>
      </w:r>
      <w:r w:rsidR="00770CBA">
        <w:rPr>
          <w:rFonts w:ascii="Century" w:hAnsi="Century"/>
        </w:rPr>
        <w:t>order</w:t>
      </w:r>
      <w:r w:rsidR="00646763">
        <w:rPr>
          <w:rFonts w:ascii="Century" w:hAnsi="Century"/>
        </w:rPr>
        <w:t xml:space="preserve"> </w:t>
      </w:r>
      <w:r w:rsidR="007A456B">
        <w:rPr>
          <w:rFonts w:ascii="Century" w:hAnsi="Century"/>
        </w:rPr>
        <w:t xml:space="preserve">has never been a mere faithful implementer of legislative </w:t>
      </w:r>
      <w:r w:rsidR="00E34645">
        <w:rPr>
          <w:rFonts w:ascii="Century" w:hAnsi="Century"/>
        </w:rPr>
        <w:t>directives but</w:t>
      </w:r>
      <w:r w:rsidR="007A456B">
        <w:rPr>
          <w:rFonts w:ascii="Century" w:hAnsi="Century"/>
        </w:rPr>
        <w:t xml:space="preserve"> </w:t>
      </w:r>
      <w:r w:rsidR="00646763">
        <w:rPr>
          <w:rFonts w:ascii="Century" w:hAnsi="Century"/>
        </w:rPr>
        <w:t>has always been</w:t>
      </w:r>
      <w:r w:rsidR="007A456B">
        <w:rPr>
          <w:rFonts w:ascii="Century" w:hAnsi="Century"/>
        </w:rPr>
        <w:t xml:space="preserve"> the focus of </w:t>
      </w:r>
      <w:r w:rsidR="00646763">
        <w:rPr>
          <w:rFonts w:ascii="Century" w:hAnsi="Century"/>
        </w:rPr>
        <w:t>democratic</w:t>
      </w:r>
      <w:r w:rsidR="007A456B">
        <w:rPr>
          <w:rFonts w:ascii="Century" w:hAnsi="Century"/>
        </w:rPr>
        <w:t xml:space="preserve"> hope and expectation. </w:t>
      </w:r>
      <w:r w:rsidR="00646763">
        <w:rPr>
          <w:rFonts w:ascii="Century" w:hAnsi="Century"/>
        </w:rPr>
        <w:t>This is par for the course for Westminster</w:t>
      </w:r>
      <w:r w:rsidR="00784CF3">
        <w:rPr>
          <w:rFonts w:ascii="Century" w:hAnsi="Century"/>
        </w:rPr>
        <w:t xml:space="preserve"> style-</w:t>
      </w:r>
      <w:r w:rsidR="00646763">
        <w:rPr>
          <w:rFonts w:ascii="Century" w:hAnsi="Century"/>
        </w:rPr>
        <w:t>system</w:t>
      </w:r>
      <w:r w:rsidR="00784CF3">
        <w:rPr>
          <w:rFonts w:ascii="Century" w:hAnsi="Century"/>
        </w:rPr>
        <w:t>s</w:t>
      </w:r>
      <w:r w:rsidR="00646763">
        <w:rPr>
          <w:rFonts w:ascii="Century" w:hAnsi="Century"/>
        </w:rPr>
        <w:t xml:space="preserve"> which, from</w:t>
      </w:r>
      <w:r w:rsidR="00400A8D">
        <w:rPr>
          <w:rFonts w:ascii="Century" w:hAnsi="Century"/>
        </w:rPr>
        <w:t xml:space="preserve"> around the 19</w:t>
      </w:r>
      <w:r w:rsidR="00400A8D" w:rsidRPr="00400A8D">
        <w:rPr>
          <w:rFonts w:ascii="Century" w:hAnsi="Century"/>
          <w:vertAlign w:val="superscript"/>
        </w:rPr>
        <w:t>th</w:t>
      </w:r>
      <w:r w:rsidR="00400A8D">
        <w:rPr>
          <w:rFonts w:ascii="Century" w:hAnsi="Century"/>
        </w:rPr>
        <w:t xml:space="preserve"> Century</w:t>
      </w:r>
      <w:r w:rsidR="00770CBA">
        <w:rPr>
          <w:rFonts w:ascii="Century" w:hAnsi="Century"/>
        </w:rPr>
        <w:t xml:space="preserve"> onward</w:t>
      </w:r>
      <w:r w:rsidR="00400A8D">
        <w:rPr>
          <w:rFonts w:ascii="Century" w:hAnsi="Century"/>
        </w:rPr>
        <w:t>, have been profoundly shaped by</w:t>
      </w:r>
      <w:r w:rsidR="00400A8D">
        <w:rPr>
          <w:rFonts w:ascii="Times New Roman" w:hAnsi="Times New Roman" w:cs="Times New Roman"/>
          <w:lang w:val="en-GB"/>
        </w:rPr>
        <w:t xml:space="preserve"> </w:t>
      </w:r>
      <w:r w:rsidR="00400A8D" w:rsidRPr="00400A8D">
        <w:rPr>
          <w:rFonts w:ascii="Century" w:hAnsi="Century" w:cs="Times New Roman"/>
          <w:lang w:val="en-GB"/>
        </w:rPr>
        <w:t>the party system, which became the link between the</w:t>
      </w:r>
      <w:r w:rsidR="00400A8D" w:rsidRPr="00400A8D">
        <w:rPr>
          <w:rFonts w:ascii="Century" w:hAnsi="Century"/>
        </w:rPr>
        <w:t xml:space="preserve"> </w:t>
      </w:r>
      <w:r w:rsidR="00400A8D" w:rsidRPr="00400A8D">
        <w:rPr>
          <w:rFonts w:ascii="Century" w:hAnsi="Century" w:cs="Times New Roman"/>
          <w:lang w:val="en-GB"/>
        </w:rPr>
        <w:t xml:space="preserve">electorate, </w:t>
      </w:r>
      <w:r w:rsidR="00921162">
        <w:rPr>
          <w:rFonts w:ascii="Century" w:hAnsi="Century" w:cs="Times New Roman"/>
          <w:lang w:val="en-GB"/>
        </w:rPr>
        <w:t>legislature</w:t>
      </w:r>
      <w:r w:rsidR="00400A8D" w:rsidRPr="00400A8D">
        <w:rPr>
          <w:rFonts w:ascii="Century" w:hAnsi="Century" w:cs="Times New Roman"/>
          <w:lang w:val="en-GB"/>
        </w:rPr>
        <w:t>, and the government</w:t>
      </w:r>
      <w:r w:rsidR="00646763">
        <w:rPr>
          <w:rFonts w:ascii="Century" w:hAnsi="Century" w:cs="Times New Roman"/>
          <w:lang w:val="en-GB"/>
        </w:rPr>
        <w:t>. P</w:t>
      </w:r>
      <w:r w:rsidR="00400A8D" w:rsidRPr="00400A8D">
        <w:rPr>
          <w:rFonts w:ascii="Century" w:hAnsi="Century" w:cs="Times New Roman"/>
          <w:lang w:val="en-GB"/>
        </w:rPr>
        <w:t>arliamentary elections</w:t>
      </w:r>
      <w:r w:rsidR="00770CBA">
        <w:rPr>
          <w:rFonts w:ascii="Century" w:hAnsi="Century" w:cs="Times New Roman"/>
          <w:lang w:val="en-GB"/>
        </w:rPr>
        <w:t xml:space="preserve"> in Westminster systems are</w:t>
      </w:r>
      <w:r w:rsidR="00921162">
        <w:rPr>
          <w:rFonts w:ascii="Century" w:hAnsi="Century" w:cs="Times New Roman"/>
          <w:lang w:val="en-GB"/>
        </w:rPr>
        <w:t>,</w:t>
      </w:r>
      <w:r w:rsidR="00693DD2">
        <w:rPr>
          <w:rFonts w:ascii="Century" w:hAnsi="Century" w:cs="Times New Roman"/>
          <w:lang w:val="en-GB"/>
        </w:rPr>
        <w:t xml:space="preserve"> largely speaking</w:t>
      </w:r>
      <w:r w:rsidR="00921162">
        <w:rPr>
          <w:rFonts w:ascii="Century" w:hAnsi="Century" w:cs="Times New Roman"/>
          <w:lang w:val="en-GB"/>
        </w:rPr>
        <w:t>,</w:t>
      </w:r>
      <w:r w:rsidR="00770CBA">
        <w:rPr>
          <w:rFonts w:ascii="Century" w:hAnsi="Century" w:cs="Times New Roman"/>
          <w:lang w:val="en-GB"/>
        </w:rPr>
        <w:t xml:space="preserve"> not about electing individual parliamentarians who come together</w:t>
      </w:r>
      <w:r w:rsidR="00921162">
        <w:rPr>
          <w:rFonts w:ascii="Century" w:hAnsi="Century" w:cs="Times New Roman"/>
          <w:lang w:val="en-GB"/>
        </w:rPr>
        <w:t xml:space="preserve"> as a collective</w:t>
      </w:r>
      <w:r w:rsidR="00770CBA">
        <w:rPr>
          <w:rFonts w:ascii="Century" w:hAnsi="Century" w:cs="Times New Roman"/>
          <w:lang w:val="en-GB"/>
        </w:rPr>
        <w:t xml:space="preserve"> and</w:t>
      </w:r>
      <w:r w:rsidR="00D718C8">
        <w:rPr>
          <w:rFonts w:ascii="Century" w:hAnsi="Century" w:cs="Times New Roman"/>
          <w:lang w:val="en-GB"/>
        </w:rPr>
        <w:t xml:space="preserve"> </w:t>
      </w:r>
      <w:r w:rsidR="00770CBA">
        <w:rPr>
          <w:rFonts w:ascii="Century" w:hAnsi="Century" w:cs="Times New Roman"/>
          <w:lang w:val="en-GB"/>
        </w:rPr>
        <w:t>hammer out detailed statutes after full and free debate in plenary session. Elections instead</w:t>
      </w:r>
      <w:r w:rsidR="00400A8D" w:rsidRPr="00400A8D">
        <w:rPr>
          <w:rFonts w:ascii="Century" w:hAnsi="Century" w:cs="Times New Roman"/>
          <w:lang w:val="en-GB"/>
        </w:rPr>
        <w:t xml:space="preserve"> </w:t>
      </w:r>
      <w:r w:rsidR="00646763">
        <w:rPr>
          <w:rFonts w:ascii="Century" w:hAnsi="Century" w:cs="Times New Roman"/>
          <w:lang w:val="en-GB"/>
        </w:rPr>
        <w:t>became the</w:t>
      </w:r>
      <w:r w:rsidR="00400A8D" w:rsidRPr="00400A8D">
        <w:rPr>
          <w:rFonts w:ascii="Century" w:hAnsi="Century"/>
        </w:rPr>
        <w:t xml:space="preserve"> </w:t>
      </w:r>
      <w:r w:rsidR="00400A8D" w:rsidRPr="00400A8D">
        <w:rPr>
          <w:rFonts w:ascii="Century" w:hAnsi="Century" w:cs="Times New Roman"/>
          <w:lang w:val="en-GB"/>
        </w:rPr>
        <w:t xml:space="preserve">method </w:t>
      </w:r>
      <w:r w:rsidR="00646763">
        <w:rPr>
          <w:rFonts w:ascii="Century" w:hAnsi="Century" w:cs="Times New Roman"/>
          <w:lang w:val="en-GB"/>
        </w:rPr>
        <w:t>for</w:t>
      </w:r>
      <w:r w:rsidR="00400A8D" w:rsidRPr="00400A8D">
        <w:rPr>
          <w:rFonts w:ascii="Century" w:hAnsi="Century" w:cs="Times New Roman"/>
          <w:lang w:val="en-GB"/>
        </w:rPr>
        <w:t xml:space="preserve"> determining which party </w:t>
      </w:r>
      <w:r w:rsidR="00693DD2">
        <w:rPr>
          <w:rFonts w:ascii="Century" w:hAnsi="Century" w:cs="Times New Roman"/>
          <w:lang w:val="en-GB"/>
        </w:rPr>
        <w:t>will</w:t>
      </w:r>
      <w:r w:rsidR="00400A8D" w:rsidRPr="00400A8D">
        <w:rPr>
          <w:rFonts w:ascii="Century" w:hAnsi="Century" w:cs="Times New Roman"/>
          <w:lang w:val="en-GB"/>
        </w:rPr>
        <w:t xml:space="preserve"> </w:t>
      </w:r>
      <w:r w:rsidR="00FC1DF3">
        <w:rPr>
          <w:rFonts w:ascii="Century" w:hAnsi="Century" w:cs="Times New Roman"/>
          <w:lang w:val="en-GB"/>
        </w:rPr>
        <w:t>govern</w:t>
      </w:r>
      <w:r w:rsidR="00400A8D" w:rsidRPr="00400A8D">
        <w:rPr>
          <w:rFonts w:ascii="Century" w:hAnsi="Century" w:cs="Times New Roman"/>
          <w:lang w:val="en-GB"/>
        </w:rPr>
        <w:t xml:space="preserve"> and control both the executive and legislative</w:t>
      </w:r>
      <w:r w:rsidR="00400A8D" w:rsidRPr="00400A8D">
        <w:rPr>
          <w:rFonts w:ascii="Century" w:hAnsi="Century"/>
        </w:rPr>
        <w:t xml:space="preserve"> </w:t>
      </w:r>
      <w:r w:rsidR="00400A8D" w:rsidRPr="00400A8D">
        <w:rPr>
          <w:rFonts w:ascii="Century" w:hAnsi="Century" w:cs="Times New Roman"/>
          <w:lang w:val="en-GB"/>
        </w:rPr>
        <w:t xml:space="preserve">arms of </w:t>
      </w:r>
      <w:r w:rsidR="00E87AA7">
        <w:rPr>
          <w:rFonts w:ascii="Century" w:hAnsi="Century" w:cs="Times New Roman"/>
          <w:lang w:val="en-GB"/>
        </w:rPr>
        <w:t>s</w:t>
      </w:r>
      <w:r w:rsidR="00400A8D" w:rsidRPr="00400A8D">
        <w:rPr>
          <w:rFonts w:ascii="Century" w:hAnsi="Century" w:cs="Times New Roman"/>
          <w:lang w:val="en-GB"/>
        </w:rPr>
        <w:t>tate.</w:t>
      </w:r>
      <w:r w:rsidR="00400A8D" w:rsidRPr="00400A8D">
        <w:rPr>
          <w:rStyle w:val="FootnoteReference"/>
          <w:rFonts w:ascii="Century" w:hAnsi="Century" w:cs="Times New Roman"/>
          <w:lang w:val="en-GB"/>
        </w:rPr>
        <w:footnoteReference w:id="132"/>
      </w:r>
      <w:r w:rsidR="00400A8D" w:rsidRPr="00400A8D">
        <w:rPr>
          <w:rFonts w:ascii="Century" w:hAnsi="Century" w:cs="Times New Roman"/>
          <w:lang w:val="en-GB"/>
        </w:rPr>
        <w:t xml:space="preserve"> </w:t>
      </w:r>
      <w:r w:rsidR="00D718C8">
        <w:rPr>
          <w:rFonts w:ascii="Century" w:hAnsi="Century" w:cs="Times New Roman"/>
          <w:lang w:val="en-GB"/>
        </w:rPr>
        <w:t>Since the inception of the party system, voters</w:t>
      </w:r>
      <w:r w:rsidR="00400A8D" w:rsidRPr="00400A8D">
        <w:rPr>
          <w:rFonts w:ascii="Century" w:hAnsi="Century" w:cs="Times New Roman"/>
          <w:lang w:val="en-GB"/>
        </w:rPr>
        <w:t xml:space="preserve"> became less likely to vote for an individual </w:t>
      </w:r>
      <w:r w:rsidR="00400A8D" w:rsidRPr="00400A8D">
        <w:rPr>
          <w:rFonts w:ascii="Century" w:hAnsi="Century" w:cs="Times New Roman"/>
          <w:lang w:val="en-GB"/>
        </w:rPr>
        <w:lastRenderedPageBreak/>
        <w:t>parliamentarian as such</w:t>
      </w:r>
      <w:r w:rsidR="00770CBA">
        <w:rPr>
          <w:rFonts w:ascii="Century" w:hAnsi="Century" w:cs="Times New Roman"/>
          <w:lang w:val="en-GB"/>
        </w:rPr>
        <w:t>;</w:t>
      </w:r>
      <w:r w:rsidR="00400A8D" w:rsidRPr="00400A8D">
        <w:rPr>
          <w:rFonts w:ascii="Century" w:hAnsi="Century" w:cs="Times New Roman"/>
          <w:lang w:val="en-GB"/>
        </w:rPr>
        <w:t xml:space="preserve"> instead, they had more incentive to vote for a party representative standing on a manifesto commitment they </w:t>
      </w:r>
      <w:r w:rsidR="00400A8D" w:rsidRPr="00EF012E">
        <w:rPr>
          <w:rFonts w:ascii="Century" w:hAnsi="Century" w:cs="Times New Roman"/>
          <w:lang w:val="en-GB"/>
        </w:rPr>
        <w:t xml:space="preserve">pledged to deliver should their party acquire a </w:t>
      </w:r>
      <w:r w:rsidR="005D2150" w:rsidRPr="00EF012E">
        <w:rPr>
          <w:rFonts w:ascii="Century" w:hAnsi="Century" w:cs="Times New Roman"/>
          <w:lang w:val="en-GB"/>
        </w:rPr>
        <w:t>majority</w:t>
      </w:r>
      <w:r w:rsidR="005D2150">
        <w:rPr>
          <w:rFonts w:ascii="Century" w:hAnsi="Century" w:cs="Times New Roman"/>
          <w:lang w:val="en-GB"/>
        </w:rPr>
        <w:t xml:space="preserve"> and</w:t>
      </w:r>
      <w:r w:rsidR="00400A8D" w:rsidRPr="00EF012E">
        <w:rPr>
          <w:rFonts w:ascii="Century" w:hAnsi="Century" w:cs="Times New Roman"/>
          <w:lang w:val="en-GB"/>
        </w:rPr>
        <w:t xml:space="preserve"> form a government with their leader at the helm.</w:t>
      </w:r>
      <w:r w:rsidR="00400A8D" w:rsidRPr="00EF012E">
        <w:rPr>
          <w:rFonts w:ascii="Century" w:hAnsi="Century"/>
        </w:rPr>
        <w:t xml:space="preserve"> </w:t>
      </w:r>
      <w:r w:rsidR="00EF012E" w:rsidRPr="00EF012E">
        <w:rPr>
          <w:rFonts w:ascii="Century" w:hAnsi="Century" w:cs="Times New Roman"/>
          <w:lang w:val="en-GB"/>
        </w:rPr>
        <w:t>Voters in Westminster</w:t>
      </w:r>
      <w:r w:rsidR="00646763">
        <w:rPr>
          <w:rFonts w:ascii="Century" w:hAnsi="Century" w:cs="Times New Roman"/>
          <w:lang w:val="en-GB"/>
        </w:rPr>
        <w:t xml:space="preserve"> systems</w:t>
      </w:r>
      <w:r w:rsidR="00EF012E" w:rsidRPr="00EF012E">
        <w:rPr>
          <w:rFonts w:ascii="Century" w:hAnsi="Century" w:cs="Times New Roman"/>
          <w:lang w:val="en-GB"/>
        </w:rPr>
        <w:t xml:space="preserve"> </w:t>
      </w:r>
      <w:r w:rsidR="00770CBA">
        <w:rPr>
          <w:rFonts w:ascii="Century" w:hAnsi="Century" w:cs="Times New Roman"/>
          <w:lang w:val="en-GB"/>
        </w:rPr>
        <w:t>have long</w:t>
      </w:r>
      <w:r w:rsidR="00EF012E" w:rsidRPr="00EF012E">
        <w:rPr>
          <w:rFonts w:ascii="Century" w:hAnsi="Century" w:cs="Times New Roman"/>
          <w:lang w:val="en-GB"/>
        </w:rPr>
        <w:t xml:space="preserve"> tended to base their vote on </w:t>
      </w:r>
      <w:r w:rsidR="00646763">
        <w:rPr>
          <w:rFonts w:ascii="Century" w:hAnsi="Century" w:cs="Times New Roman"/>
          <w:lang w:val="en-GB"/>
        </w:rPr>
        <w:t>an</w:t>
      </w:r>
      <w:r w:rsidR="00EF012E" w:rsidRPr="00EF012E">
        <w:rPr>
          <w:rFonts w:ascii="Century" w:hAnsi="Century" w:cs="Times New Roman"/>
          <w:lang w:val="en-GB"/>
        </w:rPr>
        <w:t xml:space="preserve"> assessment</w:t>
      </w:r>
      <w:r w:rsidR="00EF012E" w:rsidRPr="00EF012E">
        <w:rPr>
          <w:rFonts w:ascii="Century" w:hAnsi="Century"/>
        </w:rPr>
        <w:t xml:space="preserve"> </w:t>
      </w:r>
      <w:r w:rsidR="00EF012E" w:rsidRPr="00EF012E">
        <w:rPr>
          <w:rFonts w:ascii="Century" w:hAnsi="Century" w:cs="Times New Roman"/>
          <w:lang w:val="en-GB"/>
        </w:rPr>
        <w:t>of the effectiveness of a party’s leadership</w:t>
      </w:r>
      <w:r w:rsidR="00672D02">
        <w:rPr>
          <w:rFonts w:ascii="Century" w:hAnsi="Century" w:cs="Times New Roman"/>
          <w:lang w:val="en-GB"/>
        </w:rPr>
        <w:t xml:space="preserve"> during</w:t>
      </w:r>
      <w:r w:rsidR="00EF012E" w:rsidRPr="00EF012E">
        <w:rPr>
          <w:rFonts w:ascii="Century" w:hAnsi="Century" w:cs="Times New Roman"/>
          <w:lang w:val="en-GB"/>
        </w:rPr>
        <w:t xml:space="preserve"> </w:t>
      </w:r>
      <w:r w:rsidR="00672D02">
        <w:rPr>
          <w:rFonts w:ascii="Century" w:hAnsi="Century" w:cs="Times New Roman"/>
          <w:lang w:val="en-GB"/>
        </w:rPr>
        <w:t>their time in</w:t>
      </w:r>
      <w:r w:rsidR="00EF012E" w:rsidRPr="00EF012E">
        <w:rPr>
          <w:rFonts w:ascii="Century" w:hAnsi="Century" w:cs="Times New Roman"/>
          <w:lang w:val="en-GB"/>
        </w:rPr>
        <w:t xml:space="preserve"> executive office</w:t>
      </w:r>
      <w:r w:rsidR="00672D02">
        <w:rPr>
          <w:rFonts w:ascii="Century" w:hAnsi="Century" w:cs="Times New Roman"/>
          <w:lang w:val="en-GB"/>
        </w:rPr>
        <w:t xml:space="preserve">, or </w:t>
      </w:r>
      <w:r w:rsidR="00672D02" w:rsidRPr="00EF012E">
        <w:rPr>
          <w:rFonts w:ascii="Century" w:hAnsi="Century" w:cs="Times New Roman"/>
          <w:lang w:val="en-GB"/>
        </w:rPr>
        <w:t>potential</w:t>
      </w:r>
      <w:r w:rsidR="00672D02">
        <w:rPr>
          <w:rFonts w:ascii="Century" w:hAnsi="Century" w:cs="Times New Roman"/>
          <w:lang w:val="en-GB"/>
        </w:rPr>
        <w:t xml:space="preserve"> effectiveness if they were to gain it.</w:t>
      </w:r>
    </w:p>
    <w:p w14:paraId="5D03D0D9" w14:textId="77777777" w:rsidR="00CF7B9E" w:rsidRDefault="00CF7B9E" w:rsidP="00400A8D">
      <w:pPr>
        <w:spacing w:line="480" w:lineRule="auto"/>
        <w:jc w:val="both"/>
        <w:rPr>
          <w:rFonts w:ascii="Century" w:hAnsi="Century"/>
        </w:rPr>
      </w:pPr>
    </w:p>
    <w:p w14:paraId="5ACD38B3" w14:textId="4FDDF475" w:rsidR="00BE606A" w:rsidRDefault="00400A8D" w:rsidP="00400A8D">
      <w:pPr>
        <w:spacing w:line="480" w:lineRule="auto"/>
        <w:jc w:val="both"/>
        <w:rPr>
          <w:rFonts w:ascii="Century" w:hAnsi="Century"/>
        </w:rPr>
      </w:pPr>
      <w:r w:rsidRPr="00EF012E">
        <w:rPr>
          <w:rFonts w:ascii="Century" w:hAnsi="Century"/>
        </w:rPr>
        <w:t>Our electorate</w:t>
      </w:r>
      <w:r w:rsidR="001158F4">
        <w:rPr>
          <w:rFonts w:ascii="Century" w:hAnsi="Century"/>
        </w:rPr>
        <w:t>, I think it is fair to say,</w:t>
      </w:r>
      <w:r w:rsidR="00770CBA">
        <w:rPr>
          <w:rFonts w:ascii="Century" w:hAnsi="Century"/>
        </w:rPr>
        <w:t xml:space="preserve"> generally</w:t>
      </w:r>
      <w:r w:rsidRPr="00EF012E">
        <w:rPr>
          <w:rFonts w:ascii="Century" w:hAnsi="Century"/>
        </w:rPr>
        <w:t xml:space="preserve"> look to the Taoiseach and Government to articulate solutions to political problems and tend to vote to reward or punish governing parties based on their perceived performance</w:t>
      </w:r>
      <w:r w:rsidR="001158F4">
        <w:rPr>
          <w:rFonts w:ascii="Century" w:hAnsi="Century"/>
        </w:rPr>
        <w:t xml:space="preserve"> </w:t>
      </w:r>
      <w:r w:rsidRPr="00EF012E">
        <w:rPr>
          <w:rFonts w:ascii="Century" w:hAnsi="Century"/>
        </w:rPr>
        <w:t>during</w:t>
      </w:r>
      <w:r>
        <w:rPr>
          <w:rFonts w:ascii="Century" w:hAnsi="Century"/>
        </w:rPr>
        <w:t xml:space="preserve"> elections.</w:t>
      </w:r>
      <w:r>
        <w:rPr>
          <w:rFonts w:ascii="Century" w:hAnsi="Century" w:cs="Times New Roman"/>
          <w:lang w:val="en-GB"/>
        </w:rPr>
        <w:t xml:space="preserve"> </w:t>
      </w:r>
      <w:r w:rsidR="007A456B" w:rsidRPr="00400A8D">
        <w:rPr>
          <w:rFonts w:ascii="Century" w:hAnsi="Century"/>
        </w:rPr>
        <w:t>It is</w:t>
      </w:r>
      <w:r w:rsidR="00770CBA">
        <w:rPr>
          <w:rFonts w:ascii="Century" w:hAnsi="Century"/>
        </w:rPr>
        <w:t xml:space="preserve"> </w:t>
      </w:r>
      <w:r w:rsidR="007A456B" w:rsidRPr="00400A8D">
        <w:rPr>
          <w:rFonts w:ascii="Century" w:hAnsi="Century"/>
        </w:rPr>
        <w:t>only in the most technical</w:t>
      </w:r>
      <w:r>
        <w:rPr>
          <w:rFonts w:ascii="Century" w:hAnsi="Century"/>
        </w:rPr>
        <w:t xml:space="preserve"> and formalist</w:t>
      </w:r>
      <w:r w:rsidR="007A456B" w:rsidRPr="00400A8D">
        <w:rPr>
          <w:rFonts w:ascii="Century" w:hAnsi="Century"/>
        </w:rPr>
        <w:t xml:space="preserve"> sense that </w:t>
      </w:r>
      <w:r w:rsidR="00921162">
        <w:rPr>
          <w:rFonts w:ascii="Century" w:hAnsi="Century"/>
        </w:rPr>
        <w:t xml:space="preserve">one can maintain </w:t>
      </w:r>
      <w:r w:rsidR="007A456B" w:rsidRPr="00400A8D">
        <w:rPr>
          <w:rFonts w:ascii="Century" w:hAnsi="Century"/>
        </w:rPr>
        <w:t xml:space="preserve">the </w:t>
      </w:r>
      <w:r w:rsidR="00921162">
        <w:rPr>
          <w:rFonts w:ascii="Century" w:hAnsi="Century"/>
        </w:rPr>
        <w:t>G</w:t>
      </w:r>
      <w:r w:rsidR="007A456B" w:rsidRPr="00400A8D">
        <w:rPr>
          <w:rFonts w:ascii="Century" w:hAnsi="Century"/>
        </w:rPr>
        <w:t>overnment is not directly democratically accountable to the electorate</w:t>
      </w:r>
      <w:r>
        <w:rPr>
          <w:rFonts w:ascii="Century" w:hAnsi="Century"/>
        </w:rPr>
        <w:t xml:space="preserve"> for its actions</w:t>
      </w:r>
      <w:r w:rsidR="007E538C">
        <w:rPr>
          <w:rFonts w:ascii="Century" w:hAnsi="Century"/>
        </w:rPr>
        <w:t xml:space="preserve">, including </w:t>
      </w:r>
      <w:r w:rsidR="003C0010">
        <w:rPr>
          <w:rFonts w:ascii="Century" w:hAnsi="Century"/>
        </w:rPr>
        <w:t>any</w:t>
      </w:r>
      <w:r w:rsidR="007E538C">
        <w:rPr>
          <w:rFonts w:ascii="Century" w:hAnsi="Century"/>
        </w:rPr>
        <w:t xml:space="preserve"> use of</w:t>
      </w:r>
      <w:r w:rsidR="00DB5A7B">
        <w:rPr>
          <w:rFonts w:ascii="Century" w:hAnsi="Century"/>
        </w:rPr>
        <w:t xml:space="preserve"> broad</w:t>
      </w:r>
      <w:r w:rsidR="007E538C">
        <w:rPr>
          <w:rFonts w:ascii="Century" w:hAnsi="Century"/>
        </w:rPr>
        <w:t xml:space="preserve"> rulemaking authority</w:t>
      </w:r>
      <w:r w:rsidR="007A456B" w:rsidRPr="00400A8D">
        <w:rPr>
          <w:rFonts w:ascii="Century" w:hAnsi="Century"/>
        </w:rPr>
        <w:t>.</w:t>
      </w:r>
      <w:r w:rsidR="00DB5A7B">
        <w:rPr>
          <w:rFonts w:ascii="Century" w:hAnsi="Century"/>
        </w:rPr>
        <w:t xml:space="preserve"> A </w:t>
      </w:r>
      <w:r w:rsidR="00921162">
        <w:rPr>
          <w:rFonts w:ascii="Century" w:hAnsi="Century"/>
        </w:rPr>
        <w:t>G</w:t>
      </w:r>
      <w:r w:rsidR="00DB5A7B">
        <w:rPr>
          <w:rFonts w:ascii="Century" w:hAnsi="Century"/>
        </w:rPr>
        <w:t>overnment that</w:t>
      </w:r>
      <w:r w:rsidR="001158F4">
        <w:rPr>
          <w:rFonts w:ascii="Century" w:hAnsi="Century"/>
        </w:rPr>
        <w:t xml:space="preserve"> people think is</w:t>
      </w:r>
      <w:r w:rsidR="00DB5A7B">
        <w:rPr>
          <w:rFonts w:ascii="Century" w:hAnsi="Century"/>
        </w:rPr>
        <w:t xml:space="preserve"> abus</w:t>
      </w:r>
      <w:r w:rsidR="001158F4">
        <w:rPr>
          <w:rFonts w:ascii="Century" w:hAnsi="Century"/>
        </w:rPr>
        <w:t>ing</w:t>
      </w:r>
      <w:r w:rsidR="00DB5A7B">
        <w:rPr>
          <w:rFonts w:ascii="Century" w:hAnsi="Century"/>
        </w:rPr>
        <w:t xml:space="preserve"> its rulemaking authority</w:t>
      </w:r>
      <w:r w:rsidR="00E87AA7">
        <w:rPr>
          <w:rFonts w:ascii="Century" w:hAnsi="Century"/>
        </w:rPr>
        <w:t xml:space="preserve"> can be</w:t>
      </w:r>
      <w:r w:rsidR="00DB5A7B">
        <w:rPr>
          <w:rFonts w:ascii="Century" w:hAnsi="Century"/>
        </w:rPr>
        <w:t xml:space="preserve"> held to account in the next general election</w:t>
      </w:r>
      <w:r w:rsidR="00CF7B9E">
        <w:rPr>
          <w:rFonts w:ascii="Century" w:hAnsi="Century"/>
        </w:rPr>
        <w:t>, just as with any other aspect of its policymaking</w:t>
      </w:r>
      <w:r w:rsidR="00C43798">
        <w:rPr>
          <w:rFonts w:ascii="Century" w:hAnsi="Century"/>
        </w:rPr>
        <w:t xml:space="preserve"> like preparing the budget or conducting foreign affairs</w:t>
      </w:r>
      <w:r w:rsidR="00DB5A7B">
        <w:rPr>
          <w:rFonts w:ascii="Century" w:hAnsi="Century"/>
        </w:rPr>
        <w:t>.</w:t>
      </w:r>
      <w:r w:rsidR="007A456B" w:rsidRPr="00400A8D">
        <w:rPr>
          <w:rFonts w:ascii="Century" w:hAnsi="Century"/>
        </w:rPr>
        <w:t xml:space="preserve"> </w:t>
      </w:r>
    </w:p>
    <w:p w14:paraId="7103110B" w14:textId="77777777" w:rsidR="00BE606A" w:rsidRDefault="00BE606A" w:rsidP="00400A8D">
      <w:pPr>
        <w:spacing w:line="480" w:lineRule="auto"/>
        <w:jc w:val="both"/>
        <w:rPr>
          <w:rFonts w:ascii="Century" w:hAnsi="Century"/>
        </w:rPr>
      </w:pPr>
    </w:p>
    <w:p w14:paraId="4E32ADC1" w14:textId="10F806F2" w:rsidR="007A456B" w:rsidRPr="00646763" w:rsidRDefault="007A456B" w:rsidP="00400A8D">
      <w:pPr>
        <w:spacing w:line="480" w:lineRule="auto"/>
        <w:jc w:val="both"/>
        <w:rPr>
          <w:rFonts w:ascii="Century" w:hAnsi="Century"/>
        </w:rPr>
      </w:pPr>
      <w:r w:rsidRPr="00400A8D">
        <w:rPr>
          <w:rFonts w:ascii="Century" w:hAnsi="Century"/>
        </w:rPr>
        <w:t>This is</w:t>
      </w:r>
      <w:r w:rsidR="00BE606A">
        <w:rPr>
          <w:rFonts w:ascii="Century" w:hAnsi="Century"/>
        </w:rPr>
        <w:t xml:space="preserve"> </w:t>
      </w:r>
      <w:r w:rsidRPr="00400A8D">
        <w:rPr>
          <w:rFonts w:ascii="Century" w:hAnsi="Century"/>
        </w:rPr>
        <w:t>aside from the</w:t>
      </w:r>
      <w:r w:rsidR="00D47205">
        <w:rPr>
          <w:rFonts w:ascii="Century" w:hAnsi="Century"/>
        </w:rPr>
        <w:t xml:space="preserve"> important</w:t>
      </w:r>
      <w:r w:rsidRPr="00400A8D">
        <w:rPr>
          <w:rFonts w:ascii="Century" w:hAnsi="Century"/>
        </w:rPr>
        <w:t xml:space="preserve"> fact</w:t>
      </w:r>
      <w:r w:rsidR="00400A8D">
        <w:rPr>
          <w:rFonts w:ascii="Century" w:hAnsi="Century"/>
        </w:rPr>
        <w:t xml:space="preserve"> </w:t>
      </w:r>
      <w:r w:rsidR="00DB5A7B">
        <w:rPr>
          <w:rFonts w:ascii="Century" w:hAnsi="Century"/>
        </w:rPr>
        <w:t xml:space="preserve">the </w:t>
      </w:r>
      <w:r w:rsidR="00921162">
        <w:rPr>
          <w:rFonts w:ascii="Century" w:hAnsi="Century"/>
        </w:rPr>
        <w:t>G</w:t>
      </w:r>
      <w:r w:rsidR="00DB5A7B">
        <w:rPr>
          <w:rFonts w:ascii="Century" w:hAnsi="Century"/>
        </w:rPr>
        <w:t xml:space="preserve">overnment is </w:t>
      </w:r>
      <w:r w:rsidR="00400A8D">
        <w:rPr>
          <w:rFonts w:ascii="Century" w:hAnsi="Century"/>
        </w:rPr>
        <w:t xml:space="preserve">always democratically accountable to the Dáil </w:t>
      </w:r>
      <w:r w:rsidR="007E538C">
        <w:rPr>
          <w:rFonts w:ascii="Century" w:hAnsi="Century"/>
        </w:rPr>
        <w:t>for the</w:t>
      </w:r>
      <w:r w:rsidR="00CF7B9E">
        <w:rPr>
          <w:rFonts w:ascii="Century" w:hAnsi="Century"/>
        </w:rPr>
        <w:t xml:space="preserve"> </w:t>
      </w:r>
      <w:r w:rsidR="007E538C">
        <w:rPr>
          <w:rFonts w:ascii="Century" w:hAnsi="Century"/>
        </w:rPr>
        <w:t>exercise</w:t>
      </w:r>
      <w:r w:rsidR="00CF7B9E">
        <w:rPr>
          <w:rFonts w:ascii="Century" w:hAnsi="Century"/>
        </w:rPr>
        <w:t xml:space="preserve"> of rulemaking authority</w:t>
      </w:r>
      <w:r w:rsidR="007E538C">
        <w:rPr>
          <w:rFonts w:ascii="Century" w:hAnsi="Century"/>
        </w:rPr>
        <w:t xml:space="preserve"> </w:t>
      </w:r>
      <w:r w:rsidR="00400A8D">
        <w:rPr>
          <w:rFonts w:ascii="Century" w:hAnsi="Century"/>
        </w:rPr>
        <w:t>and</w:t>
      </w:r>
      <w:r w:rsidR="001158F4">
        <w:rPr>
          <w:rFonts w:ascii="Century" w:hAnsi="Century"/>
        </w:rPr>
        <w:t xml:space="preserve"> that</w:t>
      </w:r>
      <w:r w:rsidRPr="00400A8D">
        <w:rPr>
          <w:rFonts w:ascii="Century" w:hAnsi="Century"/>
        </w:rPr>
        <w:t xml:space="preserve"> most regulations made under statutory delegation are</w:t>
      </w:r>
      <w:r w:rsidR="00CF7B9E">
        <w:rPr>
          <w:rFonts w:ascii="Century" w:hAnsi="Century"/>
        </w:rPr>
        <w:t xml:space="preserve"> invariably</w:t>
      </w:r>
      <w:r w:rsidRPr="00400A8D">
        <w:rPr>
          <w:rFonts w:ascii="Century" w:hAnsi="Century"/>
        </w:rPr>
        <w:t xml:space="preserve"> subject to negative or positive review by the Houses of the Oireachtas</w:t>
      </w:r>
      <w:r w:rsidR="00BE606A">
        <w:rPr>
          <w:rFonts w:ascii="Century" w:hAnsi="Century"/>
        </w:rPr>
        <w:t xml:space="preserve"> – an important element of the </w:t>
      </w:r>
      <w:r w:rsidR="00BE606A">
        <w:rPr>
          <w:rFonts w:ascii="Century" w:hAnsi="Century"/>
          <w:i/>
          <w:iCs/>
        </w:rPr>
        <w:t xml:space="preserve">NECI </w:t>
      </w:r>
      <w:r w:rsidR="00BE606A">
        <w:rPr>
          <w:rFonts w:ascii="Century" w:hAnsi="Century"/>
        </w:rPr>
        <w:t>test.</w:t>
      </w:r>
      <w:r w:rsidRPr="00400A8D">
        <w:rPr>
          <w:rFonts w:ascii="Century" w:hAnsi="Century"/>
        </w:rPr>
        <w:t xml:space="preserve"> </w:t>
      </w:r>
      <w:r w:rsidR="00DE62DC">
        <w:rPr>
          <w:rFonts w:ascii="Century" w:hAnsi="Century"/>
        </w:rPr>
        <w:t>The</w:t>
      </w:r>
      <w:r w:rsidR="00BE606A">
        <w:rPr>
          <w:rFonts w:ascii="Century" w:hAnsi="Century"/>
        </w:rPr>
        <w:t>refore while the</w:t>
      </w:r>
      <w:r w:rsidR="00646763">
        <w:rPr>
          <w:rFonts w:ascii="Century" w:hAnsi="Century"/>
        </w:rPr>
        <w:t xml:space="preserve"> practical operation of our democratic system </w:t>
      </w:r>
      <w:r w:rsidR="00DE62DC">
        <w:rPr>
          <w:rFonts w:ascii="Century" w:hAnsi="Century"/>
        </w:rPr>
        <w:t>certainly does not resemble a 19</w:t>
      </w:r>
      <w:r w:rsidR="00DE62DC" w:rsidRPr="00DE62DC">
        <w:rPr>
          <w:rFonts w:ascii="Century" w:hAnsi="Century"/>
          <w:vertAlign w:val="superscript"/>
        </w:rPr>
        <w:t>th</w:t>
      </w:r>
      <w:r w:rsidR="00DE62DC">
        <w:rPr>
          <w:rFonts w:ascii="Century" w:hAnsi="Century"/>
        </w:rPr>
        <w:t xml:space="preserve"> Century classical liberal form of government, </w:t>
      </w:r>
      <w:r w:rsidR="001158F4">
        <w:rPr>
          <w:rFonts w:ascii="Century" w:hAnsi="Century"/>
        </w:rPr>
        <w:t xml:space="preserve">it </w:t>
      </w:r>
      <w:r w:rsidR="00DE62DC">
        <w:rPr>
          <w:rFonts w:ascii="Century" w:hAnsi="Century"/>
        </w:rPr>
        <w:lastRenderedPageBreak/>
        <w:t>is</w:t>
      </w:r>
      <w:r w:rsidR="003C0010">
        <w:rPr>
          <w:rFonts w:ascii="Century" w:hAnsi="Century"/>
        </w:rPr>
        <w:t xml:space="preserve"> far</w:t>
      </w:r>
      <w:r w:rsidR="001158F4">
        <w:rPr>
          <w:rFonts w:ascii="Century" w:hAnsi="Century"/>
        </w:rPr>
        <w:t xml:space="preserve"> less obvious in what ways </w:t>
      </w:r>
      <w:r w:rsidR="00646763">
        <w:rPr>
          <w:rFonts w:ascii="Century" w:hAnsi="Century"/>
        </w:rPr>
        <w:t xml:space="preserve">capacious executive rulemaking </w:t>
      </w:r>
      <w:r w:rsidR="001158F4">
        <w:rPr>
          <w:rFonts w:ascii="Century" w:hAnsi="Century"/>
        </w:rPr>
        <w:t>represents an evasion of democratic accountability</w:t>
      </w:r>
      <w:r w:rsidR="003C0010">
        <w:rPr>
          <w:rFonts w:ascii="Century" w:hAnsi="Century"/>
        </w:rPr>
        <w:t xml:space="preserve"> for the use of public power</w:t>
      </w:r>
      <w:r w:rsidR="00DE62DC">
        <w:rPr>
          <w:rFonts w:ascii="Century" w:hAnsi="Century"/>
        </w:rPr>
        <w:t>.</w:t>
      </w:r>
    </w:p>
    <w:p w14:paraId="79EE699D" w14:textId="1AB3F41F" w:rsidR="00646763" w:rsidRDefault="00646763" w:rsidP="00E81877">
      <w:pPr>
        <w:spacing w:line="480" w:lineRule="auto"/>
        <w:jc w:val="both"/>
        <w:rPr>
          <w:rFonts w:ascii="Century" w:hAnsi="Century"/>
        </w:rPr>
      </w:pPr>
    </w:p>
    <w:p w14:paraId="412B72E8" w14:textId="22A48BBA" w:rsidR="00E4251B" w:rsidRDefault="00B94A5D" w:rsidP="00F45975">
      <w:pPr>
        <w:spacing w:line="480" w:lineRule="auto"/>
        <w:ind w:firstLine="720"/>
        <w:jc w:val="both"/>
        <w:rPr>
          <w:rFonts w:ascii="Century" w:hAnsi="Century"/>
        </w:rPr>
      </w:pPr>
      <w:r>
        <w:rPr>
          <w:rFonts w:ascii="Century" w:hAnsi="Century"/>
        </w:rPr>
        <w:t xml:space="preserve">It is also worth stressing the ways in which </w:t>
      </w:r>
      <w:r w:rsidR="00693DD2">
        <w:rPr>
          <w:rFonts w:ascii="Century" w:hAnsi="Century"/>
        </w:rPr>
        <w:t>e</w:t>
      </w:r>
      <w:r w:rsidR="00FF695C">
        <w:rPr>
          <w:rFonts w:ascii="Century" w:hAnsi="Century" w:cs="Times New Roman"/>
        </w:rPr>
        <w:t>xecutive empowerment and the expansion of the administrative state</w:t>
      </w:r>
      <w:r w:rsidR="00CB660B">
        <w:rPr>
          <w:rFonts w:ascii="Century" w:hAnsi="Century" w:cs="Times New Roman"/>
        </w:rPr>
        <w:t xml:space="preserve"> in Ireland</w:t>
      </w:r>
      <w:r w:rsidR="00FF695C">
        <w:rPr>
          <w:rFonts w:ascii="Century" w:hAnsi="Century" w:cs="Times New Roman"/>
        </w:rPr>
        <w:t xml:space="preserve"> are, whether one likes it or not, the cumulative product of democratic decision-making over decades of political life. </w:t>
      </w:r>
      <w:r w:rsidR="007C11F3" w:rsidRPr="007C11F3">
        <w:rPr>
          <w:rFonts w:ascii="Century" w:hAnsi="Century"/>
        </w:rPr>
        <w:t xml:space="preserve">Delegation of </w:t>
      </w:r>
      <w:r w:rsidR="007C11F3">
        <w:rPr>
          <w:rFonts w:ascii="Century" w:hAnsi="Century"/>
        </w:rPr>
        <w:t xml:space="preserve">rulemaking </w:t>
      </w:r>
      <w:r w:rsidR="007C11F3" w:rsidRPr="007C11F3">
        <w:rPr>
          <w:rFonts w:ascii="Century" w:hAnsi="Century"/>
        </w:rPr>
        <w:t>authority has</w:t>
      </w:r>
      <w:r w:rsidR="007C11F3">
        <w:rPr>
          <w:rFonts w:ascii="Century" w:hAnsi="Century"/>
        </w:rPr>
        <w:t xml:space="preserve"> hardly</w:t>
      </w:r>
      <w:r w:rsidR="007C11F3" w:rsidRPr="007C11F3">
        <w:rPr>
          <w:rFonts w:ascii="Century" w:hAnsi="Century"/>
        </w:rPr>
        <w:t xml:space="preserve"> been wrested from the </w:t>
      </w:r>
      <w:r w:rsidR="00CF7B9E">
        <w:rPr>
          <w:rFonts w:ascii="Century" w:hAnsi="Century"/>
        </w:rPr>
        <w:t>Oireachtas</w:t>
      </w:r>
      <w:r w:rsidR="007C11F3" w:rsidRPr="007C11F3">
        <w:rPr>
          <w:rFonts w:ascii="Century" w:hAnsi="Century"/>
        </w:rPr>
        <w:t>, or grudgingly given</w:t>
      </w:r>
      <w:r w:rsidR="00921162">
        <w:rPr>
          <w:rFonts w:ascii="Century" w:hAnsi="Century"/>
        </w:rPr>
        <w:t xml:space="preserve"> to the Government</w:t>
      </w:r>
      <w:r w:rsidR="007C11F3" w:rsidRPr="007C11F3">
        <w:rPr>
          <w:rFonts w:ascii="Century" w:hAnsi="Century"/>
        </w:rPr>
        <w:t xml:space="preserve">. Indeed, </w:t>
      </w:r>
      <w:r w:rsidR="007C11F3">
        <w:rPr>
          <w:rFonts w:ascii="Century" w:hAnsi="Century"/>
        </w:rPr>
        <w:t>as in virtually every constitutional system,</w:t>
      </w:r>
      <w:r w:rsidR="007C11F3" w:rsidRPr="007C11F3">
        <w:rPr>
          <w:rFonts w:ascii="Century" w:hAnsi="Century"/>
        </w:rPr>
        <w:t xml:space="preserve"> delegation of extensive regulatory authority to the executive and administrative bodies has been </w:t>
      </w:r>
      <w:r w:rsidR="007C11F3" w:rsidRPr="007C11F3">
        <w:rPr>
          <w:rFonts w:ascii="Century" w:hAnsi="Century"/>
          <w:i/>
        </w:rPr>
        <w:t>embraced</w:t>
      </w:r>
      <w:r w:rsidR="007C11F3" w:rsidRPr="007C11F3">
        <w:rPr>
          <w:rFonts w:ascii="Century" w:hAnsi="Century"/>
        </w:rPr>
        <w:t xml:space="preserve"> for reasons </w:t>
      </w:r>
      <w:r w:rsidR="00693DD2">
        <w:rPr>
          <w:rFonts w:ascii="Century" w:hAnsi="Century"/>
        </w:rPr>
        <w:t xml:space="preserve">already </w:t>
      </w:r>
      <w:r w:rsidR="007C11F3" w:rsidRPr="007C11F3">
        <w:rPr>
          <w:rFonts w:ascii="Century" w:hAnsi="Century"/>
        </w:rPr>
        <w:t>touched upon.</w:t>
      </w:r>
      <w:r w:rsidR="00921162">
        <w:rPr>
          <w:rFonts w:ascii="Century" w:hAnsi="Century"/>
        </w:rPr>
        <w:t xml:space="preserve"> Like, for instance,</w:t>
      </w:r>
      <w:r w:rsidR="007C11F3" w:rsidRPr="007C11F3">
        <w:rPr>
          <w:rFonts w:ascii="Century" w:hAnsi="Century"/>
        </w:rPr>
        <w:t xml:space="preserve"> </w:t>
      </w:r>
      <w:r w:rsidR="00921162">
        <w:rPr>
          <w:rFonts w:ascii="Century" w:hAnsi="Century"/>
        </w:rPr>
        <w:t>the fact copious</w:t>
      </w:r>
      <w:r w:rsidR="007C11F3" w:rsidRPr="007C11F3">
        <w:rPr>
          <w:rFonts w:ascii="Century" w:hAnsi="Century"/>
        </w:rPr>
        <w:t xml:space="preserve"> delegation stems from pragmatic recognition</w:t>
      </w:r>
      <w:r w:rsidR="009303E7">
        <w:rPr>
          <w:rFonts w:ascii="Century" w:hAnsi="Century"/>
        </w:rPr>
        <w:t xml:space="preserve"> by legislative actors</w:t>
      </w:r>
      <w:r w:rsidR="007C11F3" w:rsidRPr="007C11F3">
        <w:rPr>
          <w:rFonts w:ascii="Century" w:hAnsi="Century"/>
        </w:rPr>
        <w:t xml:space="preserve"> it represents a more efficacious and expedient means of improving the responsiveness of </w:t>
      </w:r>
      <w:r w:rsidR="00693DD2">
        <w:rPr>
          <w:rFonts w:ascii="Century" w:hAnsi="Century"/>
        </w:rPr>
        <w:t xml:space="preserve">the </w:t>
      </w:r>
      <w:r w:rsidR="00E87AA7">
        <w:rPr>
          <w:rFonts w:ascii="Century" w:hAnsi="Century"/>
        </w:rPr>
        <w:t>s</w:t>
      </w:r>
      <w:r w:rsidR="00693DD2">
        <w:rPr>
          <w:rFonts w:ascii="Century" w:hAnsi="Century"/>
        </w:rPr>
        <w:t>tate</w:t>
      </w:r>
      <w:r w:rsidR="007C11F3" w:rsidRPr="007C11F3">
        <w:rPr>
          <w:rFonts w:ascii="Century" w:hAnsi="Century"/>
        </w:rPr>
        <w:t xml:space="preserve"> to the desires</w:t>
      </w:r>
      <w:r w:rsidR="00921162">
        <w:rPr>
          <w:rFonts w:ascii="Century" w:hAnsi="Century"/>
        </w:rPr>
        <w:t xml:space="preserve"> or needs</w:t>
      </w:r>
      <w:r w:rsidR="007C11F3" w:rsidRPr="007C11F3">
        <w:rPr>
          <w:rFonts w:ascii="Century" w:hAnsi="Century"/>
        </w:rPr>
        <w:t xml:space="preserve"> of the electorate.</w:t>
      </w:r>
      <w:r w:rsidR="007C11F3" w:rsidRPr="007C11F3">
        <w:rPr>
          <w:rStyle w:val="FootnoteReference"/>
          <w:rFonts w:ascii="Century" w:hAnsi="Century"/>
        </w:rPr>
        <w:footnoteReference w:id="133"/>
      </w:r>
      <w:r w:rsidR="007C11F3" w:rsidRPr="007C11F3">
        <w:rPr>
          <w:rFonts w:ascii="Century" w:hAnsi="Century"/>
        </w:rPr>
        <w:t xml:space="preserve"> </w:t>
      </w:r>
      <w:r w:rsidR="00921162">
        <w:rPr>
          <w:rFonts w:ascii="Century" w:hAnsi="Century"/>
        </w:rPr>
        <w:t xml:space="preserve">Professor </w:t>
      </w:r>
      <w:r w:rsidR="007C11F3" w:rsidRPr="007C11F3">
        <w:rPr>
          <w:rFonts w:ascii="Century" w:hAnsi="Century"/>
        </w:rPr>
        <w:t xml:space="preserve">Mashaw </w:t>
      </w:r>
      <w:r w:rsidR="007C11F3">
        <w:rPr>
          <w:rFonts w:ascii="Century" w:hAnsi="Century"/>
        </w:rPr>
        <w:t>notes how</w:t>
      </w:r>
      <w:r w:rsidR="007C11F3" w:rsidRPr="007C11F3">
        <w:rPr>
          <w:rFonts w:ascii="Century" w:hAnsi="Century"/>
        </w:rPr>
        <w:t xml:space="preserve"> </w:t>
      </w:r>
      <w:r w:rsidR="007C11F3">
        <w:rPr>
          <w:rFonts w:ascii="Century" w:hAnsi="Century"/>
        </w:rPr>
        <w:t>the</w:t>
      </w:r>
      <w:r w:rsidR="007C11F3" w:rsidRPr="007C11F3">
        <w:rPr>
          <w:rFonts w:ascii="Century" w:hAnsi="Century"/>
        </w:rPr>
        <w:t xml:space="preserve"> </w:t>
      </w:r>
      <w:r w:rsidR="007C11F3">
        <w:rPr>
          <w:rFonts w:ascii="Century" w:hAnsi="Century"/>
        </w:rPr>
        <w:t>sheer</w:t>
      </w:r>
      <w:r w:rsidR="007C11F3" w:rsidRPr="007C11F3">
        <w:rPr>
          <w:rFonts w:ascii="Century" w:hAnsi="Century"/>
        </w:rPr>
        <w:t xml:space="preserve"> complexity of modern policy environments</w:t>
      </w:r>
      <w:r w:rsidR="007C11F3">
        <w:rPr>
          <w:rFonts w:ascii="Century" w:hAnsi="Century"/>
        </w:rPr>
        <w:t xml:space="preserve"> </w:t>
      </w:r>
      <w:r w:rsidR="007C11F3" w:rsidRPr="007C11F3">
        <w:rPr>
          <w:rFonts w:ascii="Century" w:hAnsi="Century"/>
        </w:rPr>
        <w:t>spur</w:t>
      </w:r>
      <w:r w:rsidR="007C11F3">
        <w:rPr>
          <w:rFonts w:ascii="Century" w:hAnsi="Century"/>
        </w:rPr>
        <w:t>s</w:t>
      </w:r>
      <w:r w:rsidR="007C11F3" w:rsidRPr="007C11F3">
        <w:rPr>
          <w:rFonts w:ascii="Century" w:hAnsi="Century"/>
        </w:rPr>
        <w:t xml:space="preserve"> legislators to give the executive and administrative bodies vague mandates with wide discretion to maximize their political</w:t>
      </w:r>
      <w:r w:rsidR="007C11F3">
        <w:rPr>
          <w:rFonts w:ascii="Century" w:hAnsi="Century"/>
        </w:rPr>
        <w:t xml:space="preserve"> flexibility and</w:t>
      </w:r>
      <w:r w:rsidR="007C11F3" w:rsidRPr="007C11F3">
        <w:rPr>
          <w:rFonts w:ascii="Century" w:hAnsi="Century"/>
        </w:rPr>
        <w:t xml:space="preserve"> responsiveness.</w:t>
      </w:r>
      <w:r w:rsidR="007C11F3" w:rsidRPr="007C11F3">
        <w:rPr>
          <w:rStyle w:val="FootnoteReference"/>
          <w:rFonts w:ascii="Century" w:hAnsi="Century"/>
        </w:rPr>
        <w:footnoteReference w:id="134"/>
      </w:r>
      <w:r w:rsidR="007C11F3" w:rsidRPr="007C11F3">
        <w:rPr>
          <w:rFonts w:ascii="Century" w:hAnsi="Century"/>
        </w:rPr>
        <w:t xml:space="preserve"> </w:t>
      </w:r>
      <w:r w:rsidR="00921162">
        <w:rPr>
          <w:rFonts w:ascii="Century" w:hAnsi="Century"/>
        </w:rPr>
        <w:t xml:space="preserve">Professor </w:t>
      </w:r>
      <w:r w:rsidR="009303E7">
        <w:rPr>
          <w:rFonts w:ascii="Century" w:hAnsi="Century"/>
        </w:rPr>
        <w:t>Sunstein links th</w:t>
      </w:r>
      <w:r w:rsidR="00921162">
        <w:rPr>
          <w:rFonts w:ascii="Century" w:hAnsi="Century"/>
        </w:rPr>
        <w:t>ese developments</w:t>
      </w:r>
      <w:r w:rsidR="007C11F3" w:rsidRPr="007C11F3">
        <w:rPr>
          <w:rFonts w:ascii="Century" w:hAnsi="Century"/>
        </w:rPr>
        <w:t xml:space="preserve"> to the reality most parliamentarians are generalists, and not intimately familiar with much of the complex social and economic subject-matter they seek to regulate. While they can provide broad guiding principles, </w:t>
      </w:r>
      <w:r w:rsidR="007C11F3" w:rsidRPr="007C11F3">
        <w:rPr>
          <w:rFonts w:ascii="Century" w:eastAsia="Times New Roman" w:hAnsi="Century"/>
        </w:rPr>
        <w:t>they have neither the time nor the expertise to legislate for policy minutiae</w:t>
      </w:r>
      <w:r w:rsidR="00A21E94">
        <w:rPr>
          <w:rFonts w:ascii="Century" w:eastAsia="Times New Roman" w:hAnsi="Century"/>
        </w:rPr>
        <w:t>,</w:t>
      </w:r>
      <w:r w:rsidR="007C11F3" w:rsidRPr="007C11F3">
        <w:rPr>
          <w:rFonts w:ascii="Century" w:eastAsia="Times New Roman" w:hAnsi="Century"/>
        </w:rPr>
        <w:t xml:space="preserve"> or epistemically complex or uncertain issues</w:t>
      </w:r>
      <w:r w:rsidR="00A21E94">
        <w:rPr>
          <w:rFonts w:ascii="Century" w:eastAsia="Times New Roman" w:hAnsi="Century"/>
        </w:rPr>
        <w:t>,</w:t>
      </w:r>
      <w:r w:rsidR="00CF7B9E">
        <w:rPr>
          <w:rFonts w:ascii="Century" w:eastAsia="Times New Roman" w:hAnsi="Century"/>
        </w:rPr>
        <w:t xml:space="preserve"> </w:t>
      </w:r>
      <w:r w:rsidR="00CF7B9E">
        <w:rPr>
          <w:rFonts w:ascii="Century" w:eastAsia="Times New Roman" w:hAnsi="Century"/>
        </w:rPr>
        <w:lastRenderedPageBreak/>
        <w:t>compared to the executive and</w:t>
      </w:r>
      <w:r w:rsidR="00A21E94">
        <w:rPr>
          <w:rFonts w:ascii="Century" w:eastAsia="Times New Roman" w:hAnsi="Century"/>
        </w:rPr>
        <w:t xml:space="preserve"> the</w:t>
      </w:r>
      <w:r w:rsidR="00CF7B9E">
        <w:rPr>
          <w:rFonts w:ascii="Century" w:eastAsia="Times New Roman" w:hAnsi="Century"/>
        </w:rPr>
        <w:t xml:space="preserve"> permanent civil service</w:t>
      </w:r>
      <w:r w:rsidR="00A21E94">
        <w:rPr>
          <w:rFonts w:ascii="Century" w:eastAsia="Times New Roman" w:hAnsi="Century"/>
        </w:rPr>
        <w:t xml:space="preserve"> aiding it</w:t>
      </w:r>
      <w:r w:rsidR="007C11F3" w:rsidRPr="007C11F3">
        <w:rPr>
          <w:rFonts w:ascii="Century" w:eastAsia="Times New Roman" w:hAnsi="Century"/>
        </w:rPr>
        <w:t>.</w:t>
      </w:r>
      <w:r w:rsidR="007C11F3" w:rsidRPr="007C11F3">
        <w:rPr>
          <w:rStyle w:val="FootnoteReference"/>
          <w:rFonts w:ascii="Century" w:eastAsia="Times New Roman" w:hAnsi="Century"/>
        </w:rPr>
        <w:footnoteReference w:id="135"/>
      </w:r>
      <w:r w:rsidR="00693DD2">
        <w:rPr>
          <w:rFonts w:ascii="Century" w:eastAsia="Times New Roman" w:hAnsi="Century"/>
        </w:rPr>
        <w:t xml:space="preserve"> </w:t>
      </w:r>
      <w:r w:rsidR="007C11F3" w:rsidRPr="007C11F3">
        <w:rPr>
          <w:rFonts w:ascii="Century" w:hAnsi="Century"/>
        </w:rPr>
        <w:t xml:space="preserve"> </w:t>
      </w:r>
      <w:r w:rsidR="005105D1">
        <w:rPr>
          <w:rFonts w:ascii="Century" w:hAnsi="Century"/>
        </w:rPr>
        <w:t>Broad vesting of rulemaking</w:t>
      </w:r>
      <w:r w:rsidR="007C11F3" w:rsidRPr="007C11F3">
        <w:rPr>
          <w:rFonts w:ascii="Century" w:hAnsi="Century"/>
        </w:rPr>
        <w:t xml:space="preserve"> to administrative bodies has also been linked to </w:t>
      </w:r>
      <w:r w:rsidR="005105D1">
        <w:rPr>
          <w:rFonts w:ascii="Century" w:hAnsi="Century"/>
        </w:rPr>
        <w:t>a</w:t>
      </w:r>
      <w:r w:rsidR="007C11F3" w:rsidRPr="007C11F3">
        <w:rPr>
          <w:rFonts w:ascii="Century" w:hAnsi="Century"/>
        </w:rPr>
        <w:t xml:space="preserve"> desire to signal credible political commitment to a particular line of policy, by insulating decisions from immediate opportunistic </w:t>
      </w:r>
      <w:r w:rsidR="005105D1">
        <w:rPr>
          <w:rFonts w:ascii="Century" w:hAnsi="Century"/>
        </w:rPr>
        <w:t xml:space="preserve">partisan </w:t>
      </w:r>
      <w:r w:rsidR="007C11F3" w:rsidRPr="007C11F3">
        <w:rPr>
          <w:rFonts w:ascii="Century" w:hAnsi="Century"/>
        </w:rPr>
        <w:t>shifts by the political branches.</w:t>
      </w:r>
      <w:r w:rsidR="007C11F3" w:rsidRPr="007C11F3">
        <w:rPr>
          <w:rStyle w:val="FootnoteReference"/>
          <w:rFonts w:ascii="Century" w:hAnsi="Century"/>
        </w:rPr>
        <w:footnoteReference w:id="136"/>
      </w:r>
      <w:r w:rsidR="007C11F3">
        <w:rPr>
          <w:rFonts w:ascii="Century" w:hAnsi="Century"/>
        </w:rPr>
        <w:t xml:space="preserve"> </w:t>
      </w:r>
      <w:r w:rsidR="00F45975">
        <w:rPr>
          <w:rFonts w:ascii="Century" w:hAnsi="Century"/>
        </w:rPr>
        <w:t xml:space="preserve">In each case, the ability to </w:t>
      </w:r>
      <w:r w:rsidR="005105D1">
        <w:rPr>
          <w:rFonts w:ascii="Century" w:hAnsi="Century"/>
        </w:rPr>
        <w:t>vest</w:t>
      </w:r>
      <w:r w:rsidR="00F45975">
        <w:rPr>
          <w:rFonts w:ascii="Century" w:hAnsi="Century"/>
        </w:rPr>
        <w:t xml:space="preserve"> broad rulemaking authority </w:t>
      </w:r>
      <w:r w:rsidR="00921162">
        <w:rPr>
          <w:rFonts w:ascii="Century" w:hAnsi="Century"/>
        </w:rPr>
        <w:t>seems</w:t>
      </w:r>
      <w:r w:rsidR="00921162">
        <w:rPr>
          <w:rFonts w:ascii="Century" w:hAnsi="Century"/>
        </w:rPr>
        <w:t xml:space="preserve"> </w:t>
      </w:r>
      <w:r w:rsidR="00F45975">
        <w:rPr>
          <w:rFonts w:ascii="Century" w:hAnsi="Century"/>
        </w:rPr>
        <w:t xml:space="preserve">functionally indispensable for the Oireachtas to pursue its goals. </w:t>
      </w:r>
      <w:r w:rsidR="00E4251B">
        <w:rPr>
          <w:rFonts w:ascii="Century" w:hAnsi="Century"/>
        </w:rPr>
        <w:t xml:space="preserve">Instead of seeing it as an abdication of its democratic responsibilities, </w:t>
      </w:r>
      <w:r w:rsidR="00017EB5">
        <w:rPr>
          <w:rFonts w:ascii="Century" w:hAnsi="Century"/>
        </w:rPr>
        <w:t>delegation</w:t>
      </w:r>
      <w:r w:rsidR="00E4251B">
        <w:rPr>
          <w:rFonts w:ascii="Century" w:hAnsi="Century"/>
        </w:rPr>
        <w:t xml:space="preserve"> is another</w:t>
      </w:r>
      <w:r w:rsidR="00017EB5">
        <w:rPr>
          <w:rFonts w:ascii="Century" w:hAnsi="Century"/>
        </w:rPr>
        <w:t xml:space="preserve"> useful</w:t>
      </w:r>
      <w:r w:rsidR="00E4251B">
        <w:rPr>
          <w:rFonts w:ascii="Century" w:hAnsi="Century"/>
        </w:rPr>
        <w:t xml:space="preserve"> </w:t>
      </w:r>
      <w:r w:rsidR="00921162">
        <w:rPr>
          <w:rFonts w:ascii="Century" w:hAnsi="Century"/>
        </w:rPr>
        <w:t>constitutional mechanism</w:t>
      </w:r>
      <w:r w:rsidR="00921162">
        <w:rPr>
          <w:rFonts w:ascii="Century" w:hAnsi="Century"/>
        </w:rPr>
        <w:t xml:space="preserve"> </w:t>
      </w:r>
      <w:r w:rsidR="00E4251B">
        <w:rPr>
          <w:rFonts w:ascii="Century" w:hAnsi="Century"/>
        </w:rPr>
        <w:t xml:space="preserve">to fulfill them. </w:t>
      </w:r>
    </w:p>
    <w:p w14:paraId="59351DA4" w14:textId="77777777" w:rsidR="00E4251B" w:rsidRDefault="00E4251B" w:rsidP="00F45975">
      <w:pPr>
        <w:spacing w:line="480" w:lineRule="auto"/>
        <w:ind w:firstLine="720"/>
        <w:jc w:val="both"/>
        <w:rPr>
          <w:rFonts w:ascii="Century" w:hAnsi="Century"/>
        </w:rPr>
      </w:pPr>
    </w:p>
    <w:p w14:paraId="70563E59" w14:textId="1D912814" w:rsidR="00693DD2" w:rsidRPr="00E4251B" w:rsidRDefault="00F45975" w:rsidP="00E4251B">
      <w:pPr>
        <w:spacing w:line="480" w:lineRule="auto"/>
        <w:ind w:firstLine="720"/>
        <w:jc w:val="both"/>
        <w:rPr>
          <w:rFonts w:ascii="Century" w:eastAsia="Times New Roman" w:hAnsi="Century"/>
        </w:rPr>
      </w:pPr>
      <w:r>
        <w:rPr>
          <w:rFonts w:ascii="Century" w:hAnsi="Century"/>
        </w:rPr>
        <w:t xml:space="preserve">On this framing, our executive-led administrative state and its construction and maintenance through broad delegation of rulemaking, is unproblematic from a democratic perspective. </w:t>
      </w:r>
      <w:r w:rsidR="00803119">
        <w:rPr>
          <w:rFonts w:ascii="Century" w:hAnsi="Century"/>
        </w:rPr>
        <w:t>It only exists and endures</w:t>
      </w:r>
      <w:r>
        <w:rPr>
          <w:rFonts w:ascii="Century" w:hAnsi="Century"/>
        </w:rPr>
        <w:t xml:space="preserve"> </w:t>
      </w:r>
      <w:r w:rsidR="00803119">
        <w:rPr>
          <w:rFonts w:ascii="Century" w:hAnsi="Century"/>
        </w:rPr>
        <w:t>because of</w:t>
      </w:r>
      <w:r>
        <w:rPr>
          <w:rFonts w:ascii="Century" w:hAnsi="Century"/>
        </w:rPr>
        <w:t xml:space="preserve"> the long-term operation of our democratic system</w:t>
      </w:r>
      <w:r w:rsidR="00803119">
        <w:rPr>
          <w:rFonts w:ascii="Century" w:hAnsi="Century"/>
        </w:rPr>
        <w:t>, and</w:t>
      </w:r>
      <w:r>
        <w:rPr>
          <w:rFonts w:ascii="Century" w:hAnsi="Century"/>
        </w:rPr>
        <w:t xml:space="preserve"> the decisions of successive elected </w:t>
      </w:r>
      <w:r w:rsidR="00E4251B">
        <w:rPr>
          <w:rFonts w:ascii="Century" w:hAnsi="Century"/>
        </w:rPr>
        <w:t>parliamentarians</w:t>
      </w:r>
      <w:r>
        <w:rPr>
          <w:rFonts w:ascii="Century" w:hAnsi="Century"/>
        </w:rPr>
        <w:t xml:space="preserve"> over the life of the </w:t>
      </w:r>
      <w:r w:rsidR="00E87AA7">
        <w:rPr>
          <w:rFonts w:ascii="Century" w:hAnsi="Century"/>
        </w:rPr>
        <w:t>s</w:t>
      </w:r>
      <w:r>
        <w:rPr>
          <w:rFonts w:ascii="Century" w:hAnsi="Century"/>
        </w:rPr>
        <w:t>tate</w:t>
      </w:r>
      <w:r w:rsidR="00803119">
        <w:rPr>
          <w:rFonts w:ascii="Century" w:hAnsi="Century"/>
        </w:rPr>
        <w:t>.</w:t>
      </w:r>
      <w:r>
        <w:rPr>
          <w:rFonts w:ascii="Century" w:hAnsi="Century"/>
        </w:rPr>
        <w:t xml:space="preserve"> </w:t>
      </w:r>
      <w:r w:rsidR="00D23C75">
        <w:rPr>
          <w:rFonts w:ascii="Century" w:hAnsi="Century"/>
        </w:rPr>
        <w:t>If there was enough impetus, t</w:t>
      </w:r>
      <w:r w:rsidR="00803119">
        <w:rPr>
          <w:rFonts w:ascii="Century" w:hAnsi="Century"/>
        </w:rPr>
        <w:t>his b</w:t>
      </w:r>
      <w:r w:rsidR="00E4251B">
        <w:rPr>
          <w:rFonts w:ascii="Century" w:hAnsi="Century"/>
        </w:rPr>
        <w:t xml:space="preserve">road rulemaking authority </w:t>
      </w:r>
      <w:r w:rsidR="00D23C75">
        <w:rPr>
          <w:rFonts w:ascii="Century" w:hAnsi="Century"/>
        </w:rPr>
        <w:t>could</w:t>
      </w:r>
      <w:r w:rsidR="00693DD2">
        <w:rPr>
          <w:rFonts w:ascii="Century" w:hAnsi="Century"/>
        </w:rPr>
        <w:t xml:space="preserve"> be rescinded by the Oireachtas at any time and our administrative state deconstructed. But there appears to be precisely zero democratic appetite for such a radical, destabilizing shift in our system of government.</w:t>
      </w:r>
      <w:r w:rsidR="00F97DAA">
        <w:rPr>
          <w:rFonts w:ascii="Century" w:hAnsi="Century"/>
        </w:rPr>
        <w:t xml:space="preserve"> </w:t>
      </w:r>
    </w:p>
    <w:p w14:paraId="34E07673" w14:textId="77777777" w:rsidR="00B62BA0" w:rsidRPr="00FF695C" w:rsidRDefault="00B62BA0" w:rsidP="00FF695C">
      <w:pPr>
        <w:spacing w:line="480" w:lineRule="auto"/>
        <w:jc w:val="both"/>
        <w:rPr>
          <w:rFonts w:ascii="Century" w:hAnsi="Century" w:cs="Times New Roman"/>
        </w:rPr>
      </w:pPr>
    </w:p>
    <w:p w14:paraId="4B16B808" w14:textId="4E61FD5B" w:rsidR="00047C9A" w:rsidRPr="00081935" w:rsidRDefault="00820783" w:rsidP="00E81877">
      <w:pPr>
        <w:spacing w:line="480" w:lineRule="auto"/>
        <w:jc w:val="both"/>
        <w:rPr>
          <w:rFonts w:ascii="Century" w:hAnsi="Century" w:cs="Times New Roman"/>
          <w:b/>
          <w:bCs/>
        </w:rPr>
      </w:pPr>
      <w:r w:rsidRPr="00820783">
        <w:rPr>
          <w:rFonts w:ascii="Century" w:hAnsi="Century" w:cs="Times New Roman"/>
          <w:b/>
          <w:bCs/>
        </w:rPr>
        <w:t>Conclusion</w:t>
      </w:r>
    </w:p>
    <w:p w14:paraId="08010F67" w14:textId="1E67571F" w:rsidR="00A9726F" w:rsidRPr="00D47BA7" w:rsidRDefault="005D2150" w:rsidP="00E30AAB">
      <w:pPr>
        <w:spacing w:line="480" w:lineRule="auto"/>
        <w:jc w:val="both"/>
        <w:rPr>
          <w:rFonts w:ascii="Century" w:hAnsi="Century"/>
          <w:color w:val="000000"/>
          <w:shd w:val="clear" w:color="auto" w:fill="FFFFFF"/>
        </w:rPr>
      </w:pPr>
      <w:r w:rsidRPr="005D2150">
        <w:rPr>
          <w:rFonts w:ascii="Century" w:hAnsi="Century"/>
          <w:i/>
          <w:iCs/>
          <w:color w:val="000000"/>
          <w:shd w:val="clear" w:color="auto" w:fill="FFFFFF"/>
        </w:rPr>
        <w:lastRenderedPageBreak/>
        <w:t>NECI</w:t>
      </w:r>
      <w:r>
        <w:rPr>
          <w:rFonts w:ascii="Century" w:hAnsi="Century"/>
          <w:color w:val="000000"/>
          <w:shd w:val="clear" w:color="auto" w:fill="FFFFFF"/>
        </w:rPr>
        <w:t xml:space="preserve"> represents the most </w:t>
      </w:r>
      <w:r w:rsidR="00550A39">
        <w:rPr>
          <w:rFonts w:ascii="Century" w:hAnsi="Century"/>
          <w:color w:val="000000"/>
          <w:shd w:val="clear" w:color="auto" w:fill="FFFFFF"/>
        </w:rPr>
        <w:t>important</w:t>
      </w:r>
      <w:r w:rsidRPr="00B96ED6">
        <w:rPr>
          <w:rFonts w:ascii="Century" w:hAnsi="Century"/>
          <w:color w:val="000000"/>
          <w:shd w:val="clear" w:color="auto" w:fill="FFFFFF"/>
        </w:rPr>
        <w:t xml:space="preserve"> treatment of Article 15 since </w:t>
      </w:r>
      <w:r w:rsidRPr="00B96ED6">
        <w:rPr>
          <w:rFonts w:ascii="Century" w:hAnsi="Century"/>
          <w:i/>
          <w:iCs/>
          <w:color w:val="000000"/>
          <w:shd w:val="clear" w:color="auto" w:fill="FFFFFF"/>
        </w:rPr>
        <w:t>Cityview</w:t>
      </w:r>
      <w:r>
        <w:rPr>
          <w:rFonts w:ascii="Century" w:hAnsi="Century"/>
          <w:i/>
          <w:iCs/>
          <w:color w:val="000000"/>
          <w:shd w:val="clear" w:color="auto" w:fill="FFFFFF"/>
        </w:rPr>
        <w:t xml:space="preserve"> </w:t>
      </w:r>
      <w:r>
        <w:rPr>
          <w:rFonts w:ascii="Century" w:hAnsi="Century"/>
          <w:color w:val="000000"/>
          <w:shd w:val="clear" w:color="auto" w:fill="FFFFFF"/>
        </w:rPr>
        <w:t>and copper fastens the doctrinal recasting of the nondelegation doctrine beg</w:t>
      </w:r>
      <w:r w:rsidR="00A26CD9">
        <w:rPr>
          <w:rFonts w:ascii="Century" w:hAnsi="Century"/>
          <w:color w:val="000000"/>
          <w:shd w:val="clear" w:color="auto" w:fill="FFFFFF"/>
        </w:rPr>
        <w:t>u</w:t>
      </w:r>
      <w:r>
        <w:rPr>
          <w:rFonts w:ascii="Century" w:hAnsi="Century"/>
          <w:color w:val="000000"/>
          <w:shd w:val="clear" w:color="auto" w:fill="FFFFFF"/>
        </w:rPr>
        <w:t xml:space="preserve">n in </w:t>
      </w:r>
      <w:r>
        <w:rPr>
          <w:rFonts w:ascii="Century" w:hAnsi="Century"/>
          <w:i/>
          <w:iCs/>
          <w:color w:val="000000"/>
          <w:shd w:val="clear" w:color="auto" w:fill="FFFFFF"/>
        </w:rPr>
        <w:t xml:space="preserve">Bederev </w:t>
      </w:r>
      <w:r>
        <w:rPr>
          <w:rFonts w:ascii="Century" w:hAnsi="Century"/>
          <w:color w:val="000000"/>
          <w:shd w:val="clear" w:color="auto" w:fill="FFFFFF"/>
        </w:rPr>
        <w:t xml:space="preserve">and </w:t>
      </w:r>
      <w:r>
        <w:rPr>
          <w:rFonts w:ascii="Century" w:hAnsi="Century"/>
          <w:i/>
          <w:iCs/>
          <w:color w:val="000000"/>
          <w:shd w:val="clear" w:color="auto" w:fill="FFFFFF"/>
        </w:rPr>
        <w:t>O’Sullivan</w:t>
      </w:r>
      <w:r w:rsidRPr="00B96ED6">
        <w:rPr>
          <w:rFonts w:ascii="Century" w:hAnsi="Century"/>
          <w:color w:val="000000"/>
          <w:shd w:val="clear" w:color="auto" w:fill="FFFFFF"/>
        </w:rPr>
        <w:t xml:space="preserve">. </w:t>
      </w:r>
      <w:r w:rsidR="00D47BA7">
        <w:rPr>
          <w:rFonts w:ascii="Century" w:hAnsi="Century"/>
        </w:rPr>
        <w:t>With this judgment, the Supreme Court</w:t>
      </w:r>
      <w:r w:rsidR="00D47BA7" w:rsidRPr="00B96ED6">
        <w:rPr>
          <w:rFonts w:ascii="Century" w:hAnsi="Century"/>
        </w:rPr>
        <w:t xml:space="preserve"> </w:t>
      </w:r>
      <w:r w:rsidR="00D47BA7">
        <w:rPr>
          <w:rFonts w:ascii="Century" w:hAnsi="Century"/>
        </w:rPr>
        <w:t>has effectively elevated its</w:t>
      </w:r>
      <w:r w:rsidR="00D47BA7" w:rsidRPr="00B96ED6">
        <w:rPr>
          <w:rFonts w:ascii="Century" w:hAnsi="Century"/>
        </w:rPr>
        <w:t xml:space="preserve"> cognizan</w:t>
      </w:r>
      <w:r w:rsidR="00D47BA7">
        <w:rPr>
          <w:rFonts w:ascii="Century" w:hAnsi="Century"/>
        </w:rPr>
        <w:t>ce of</w:t>
      </w:r>
      <w:r w:rsidR="00D47BA7" w:rsidRPr="00B96ED6">
        <w:rPr>
          <w:rFonts w:ascii="Century" w:hAnsi="Century"/>
        </w:rPr>
        <w:t xml:space="preserve"> “the realities of the administrative state”</w:t>
      </w:r>
      <w:r w:rsidR="00D47BA7">
        <w:rPr>
          <w:rStyle w:val="FootnoteReference"/>
          <w:rFonts w:ascii="Century" w:hAnsi="Century"/>
        </w:rPr>
        <w:footnoteReference w:id="137"/>
      </w:r>
      <w:r w:rsidR="00D47BA7">
        <w:rPr>
          <w:rFonts w:ascii="Century" w:hAnsi="Century"/>
        </w:rPr>
        <w:t xml:space="preserve"> from a secondary consideration which merely ameliorated the application of constitutional principle, to a core consideration at the heart of its </w:t>
      </w:r>
      <w:proofErr w:type="gramStart"/>
      <w:r w:rsidR="00D47BA7">
        <w:rPr>
          <w:rFonts w:ascii="Century" w:hAnsi="Century"/>
        </w:rPr>
        <w:t>Article</w:t>
      </w:r>
      <w:proofErr w:type="gramEnd"/>
      <w:r w:rsidR="00D47BA7">
        <w:rPr>
          <w:rFonts w:ascii="Century" w:hAnsi="Century"/>
        </w:rPr>
        <w:t xml:space="preserve"> 15 jurisprudence</w:t>
      </w:r>
      <w:r w:rsidR="00D47BA7" w:rsidRPr="00B96ED6">
        <w:rPr>
          <w:rFonts w:ascii="Century" w:hAnsi="Century"/>
        </w:rPr>
        <w:t>.</w:t>
      </w:r>
      <w:r w:rsidR="00D47BA7">
        <w:rPr>
          <w:rFonts w:ascii="Century" w:hAnsi="Century"/>
          <w:color w:val="000000"/>
          <w:shd w:val="clear" w:color="auto" w:fill="FFFFFF"/>
        </w:rPr>
        <w:t xml:space="preserve"> </w:t>
      </w:r>
      <w:r w:rsidR="002A54E4">
        <w:rPr>
          <w:rFonts w:ascii="Century" w:hAnsi="Century"/>
          <w:color w:val="000000"/>
          <w:shd w:val="clear" w:color="auto" w:fill="FFFFFF"/>
        </w:rPr>
        <w:t xml:space="preserve">While we are likely to see </w:t>
      </w:r>
      <w:r w:rsidR="00550A39">
        <w:rPr>
          <w:rFonts w:ascii="Century" w:hAnsi="Century"/>
          <w:color w:val="000000"/>
          <w:shd w:val="clear" w:color="auto" w:fill="FFFFFF"/>
        </w:rPr>
        <w:t>fewer</w:t>
      </w:r>
      <w:r w:rsidR="002A54E4">
        <w:rPr>
          <w:rFonts w:ascii="Century" w:hAnsi="Century"/>
          <w:color w:val="000000"/>
          <w:shd w:val="clear" w:color="auto" w:fill="FFFFFF"/>
        </w:rPr>
        <w:t xml:space="preserve"> successful Article 15 challenges in the future, </w:t>
      </w:r>
      <w:r>
        <w:rPr>
          <w:rFonts w:ascii="Century" w:hAnsi="Century"/>
          <w:i/>
          <w:iCs/>
          <w:color w:val="000000"/>
          <w:shd w:val="clear" w:color="auto" w:fill="FFFFFF"/>
        </w:rPr>
        <w:t xml:space="preserve">NECI </w:t>
      </w:r>
      <w:r>
        <w:rPr>
          <w:rFonts w:ascii="Century" w:hAnsi="Century"/>
          <w:color w:val="000000"/>
          <w:shd w:val="clear" w:color="auto" w:fill="FFFFFF"/>
        </w:rPr>
        <w:t xml:space="preserve">will </w:t>
      </w:r>
      <w:r w:rsidR="00E30AAB">
        <w:rPr>
          <w:rFonts w:ascii="Century" w:hAnsi="Century"/>
          <w:color w:val="000000"/>
          <w:shd w:val="clear" w:color="auto" w:fill="FFFFFF"/>
        </w:rPr>
        <w:t>no doubt</w:t>
      </w:r>
      <w:r w:rsidR="002A54E4">
        <w:rPr>
          <w:rFonts w:ascii="Century" w:hAnsi="Century"/>
          <w:color w:val="000000"/>
          <w:shd w:val="clear" w:color="auto" w:fill="FFFFFF"/>
        </w:rPr>
        <w:t xml:space="preserve"> </w:t>
      </w:r>
      <w:r>
        <w:rPr>
          <w:rFonts w:ascii="Century" w:hAnsi="Century"/>
          <w:color w:val="000000"/>
          <w:shd w:val="clear" w:color="auto" w:fill="FFFFFF"/>
        </w:rPr>
        <w:t>generate rich discussion amongst scholars</w:t>
      </w:r>
      <w:r w:rsidR="00E30AAB">
        <w:rPr>
          <w:rFonts w:ascii="Century" w:hAnsi="Century"/>
          <w:color w:val="000000"/>
          <w:shd w:val="clear" w:color="auto" w:fill="FFFFFF"/>
        </w:rPr>
        <w:t xml:space="preserve"> for years to come due</w:t>
      </w:r>
      <w:r>
        <w:rPr>
          <w:rFonts w:ascii="Century" w:hAnsi="Century"/>
          <w:color w:val="000000"/>
          <w:shd w:val="clear" w:color="auto" w:fill="FFFFFF"/>
        </w:rPr>
        <w:t xml:space="preserve"> </w:t>
      </w:r>
      <w:r w:rsidR="00550A39">
        <w:rPr>
          <w:rFonts w:ascii="Century" w:hAnsi="Century"/>
          <w:color w:val="000000"/>
          <w:shd w:val="clear" w:color="auto" w:fill="FFFFFF"/>
        </w:rPr>
        <w:t>its significance for legislative power and the separation of powers.</w:t>
      </w:r>
      <w:r>
        <w:rPr>
          <w:rFonts w:ascii="Century" w:hAnsi="Century"/>
          <w:color w:val="000000"/>
          <w:shd w:val="clear" w:color="auto" w:fill="FFFFFF"/>
        </w:rPr>
        <w:t xml:space="preserve"> </w:t>
      </w:r>
      <w:r w:rsidR="002A54E4">
        <w:rPr>
          <w:rFonts w:ascii="Century" w:hAnsi="Century"/>
          <w:color w:val="000000"/>
          <w:shd w:val="clear" w:color="auto" w:fill="FFFFFF"/>
        </w:rPr>
        <w:t>Let the debate begin.</w:t>
      </w:r>
    </w:p>
    <w:p w14:paraId="617E1954" w14:textId="77777777" w:rsidR="00A9726F" w:rsidRPr="00B96ED6" w:rsidRDefault="00A9726F" w:rsidP="006C3BC2">
      <w:pPr>
        <w:jc w:val="both"/>
        <w:rPr>
          <w:rFonts w:ascii="Century" w:hAnsi="Century" w:cs="Times New Roman"/>
        </w:rPr>
      </w:pPr>
    </w:p>
    <w:p w14:paraId="6462AC92" w14:textId="38835AEB" w:rsidR="00A00DE3" w:rsidRPr="00187268" w:rsidRDefault="00A00DE3" w:rsidP="006C3BC2">
      <w:pPr>
        <w:spacing w:line="360" w:lineRule="auto"/>
        <w:jc w:val="both"/>
        <w:rPr>
          <w:rFonts w:ascii="Century" w:hAnsi="Century" w:cs="Times New Roman"/>
        </w:rPr>
      </w:pPr>
    </w:p>
    <w:p w14:paraId="1446CD64" w14:textId="7B423B62" w:rsidR="00BA1CEB" w:rsidRDefault="00BA1CEB" w:rsidP="006C3BC2">
      <w:pPr>
        <w:spacing w:line="360" w:lineRule="auto"/>
        <w:jc w:val="both"/>
        <w:rPr>
          <w:rFonts w:ascii="Century" w:hAnsi="Century" w:cs="Times New Roman"/>
        </w:rPr>
      </w:pPr>
    </w:p>
    <w:p w14:paraId="434074EB" w14:textId="01052270" w:rsidR="00BA1CEB" w:rsidRDefault="00BA1CEB" w:rsidP="00BA1CEB">
      <w:pPr>
        <w:pStyle w:val="Body"/>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p>
    <w:p w14:paraId="36ED1870" w14:textId="77777777" w:rsidR="00BA1CEB" w:rsidRPr="00187268" w:rsidRDefault="00BA1CEB" w:rsidP="00187268">
      <w:pPr>
        <w:spacing w:line="360" w:lineRule="auto"/>
        <w:jc w:val="both"/>
        <w:rPr>
          <w:rFonts w:ascii="Century" w:hAnsi="Century" w:cs="Times New Roman"/>
        </w:rPr>
      </w:pPr>
    </w:p>
    <w:sectPr w:rsidR="00BA1CEB" w:rsidRPr="0018726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BC84" w14:textId="77777777" w:rsidR="000D2EC2" w:rsidRDefault="000D2EC2" w:rsidP="00EE39B8">
      <w:r>
        <w:separator/>
      </w:r>
    </w:p>
  </w:endnote>
  <w:endnote w:type="continuationSeparator" w:id="0">
    <w:p w14:paraId="57C73947" w14:textId="77777777" w:rsidR="000D2EC2" w:rsidRDefault="000D2EC2" w:rsidP="00EE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font 0000000027 3eb 9ed"/>
    <w:panose1 w:val="00000500000000020000"/>
    <w:charset w:val="00"/>
    <w:family w:val="auto"/>
    <w:pitch w:val="variable"/>
    <w:sig w:usb0="E00002FF" w:usb1="5000205A" w:usb2="00000000" w:usb3="00000000" w:csb0="0000019F" w:csb1="00000000"/>
  </w:font>
  <w:font w:name="Code">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ñÁ÷'EF˛">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ñmí'EE˛">
    <w:altName w:val="Calibri"/>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286097"/>
      <w:docPartObj>
        <w:docPartGallery w:val="Page Numbers (Bottom of Page)"/>
        <w:docPartUnique/>
      </w:docPartObj>
    </w:sdtPr>
    <w:sdtEndPr>
      <w:rPr>
        <w:rStyle w:val="PageNumber"/>
      </w:rPr>
    </w:sdtEndPr>
    <w:sdtContent>
      <w:p w14:paraId="147B425E" w14:textId="40FCF9E0" w:rsidR="00B72556" w:rsidRDefault="00B72556" w:rsidP="000100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0E40C" w14:textId="77777777" w:rsidR="00B72556" w:rsidRDefault="00B72556" w:rsidP="00B72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877816"/>
      <w:docPartObj>
        <w:docPartGallery w:val="Page Numbers (Bottom of Page)"/>
        <w:docPartUnique/>
      </w:docPartObj>
    </w:sdtPr>
    <w:sdtEndPr>
      <w:rPr>
        <w:rStyle w:val="PageNumber"/>
      </w:rPr>
    </w:sdtEndPr>
    <w:sdtContent>
      <w:p w14:paraId="256EB812" w14:textId="084A1CE5" w:rsidR="00B72556" w:rsidRDefault="00B72556" w:rsidP="000100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0B16">
          <w:rPr>
            <w:rStyle w:val="PageNumber"/>
            <w:noProof/>
          </w:rPr>
          <w:t>42</w:t>
        </w:r>
        <w:r>
          <w:rPr>
            <w:rStyle w:val="PageNumber"/>
          </w:rPr>
          <w:fldChar w:fldCharType="end"/>
        </w:r>
      </w:p>
    </w:sdtContent>
  </w:sdt>
  <w:p w14:paraId="3F60D3C5" w14:textId="77777777" w:rsidR="00B72556" w:rsidRDefault="00B72556" w:rsidP="00B725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BD97" w14:textId="77777777" w:rsidR="000D2EC2" w:rsidRDefault="000D2EC2" w:rsidP="00EE39B8">
      <w:r>
        <w:separator/>
      </w:r>
    </w:p>
  </w:footnote>
  <w:footnote w:type="continuationSeparator" w:id="0">
    <w:p w14:paraId="7285C974" w14:textId="77777777" w:rsidR="000D2EC2" w:rsidRDefault="000D2EC2" w:rsidP="00EE39B8">
      <w:r>
        <w:continuationSeparator/>
      </w:r>
    </w:p>
  </w:footnote>
  <w:footnote w:id="1">
    <w:p w14:paraId="3ED68B41" w14:textId="73C7FE34" w:rsidR="003B3EF1" w:rsidRPr="0044065E" w:rsidRDefault="003B3EF1" w:rsidP="0044065E">
      <w:pPr>
        <w:jc w:val="both"/>
        <w:rPr>
          <w:rFonts w:ascii="Century" w:hAnsi="Century" w:cs="Times New Roman"/>
          <w:b/>
          <w:bCs/>
          <w:sz w:val="20"/>
          <w:szCs w:val="20"/>
        </w:rPr>
      </w:pPr>
      <w:r w:rsidRPr="0044065E">
        <w:rPr>
          <w:rStyle w:val="FootnoteReference"/>
          <w:rFonts w:ascii="Century" w:hAnsi="Century"/>
          <w:sz w:val="20"/>
          <w:szCs w:val="20"/>
        </w:rPr>
        <w:footnoteRef/>
      </w:r>
      <w:r w:rsidRPr="0044065E">
        <w:rPr>
          <w:rFonts w:ascii="Century" w:hAnsi="Century"/>
          <w:sz w:val="20"/>
          <w:szCs w:val="20"/>
        </w:rPr>
        <w:t xml:space="preserve"> </w:t>
      </w:r>
      <w:r w:rsidRPr="0044065E">
        <w:rPr>
          <w:rFonts w:ascii="Century" w:hAnsi="Century" w:cs="Times New Roman"/>
          <w:sz w:val="20"/>
          <w:szCs w:val="20"/>
        </w:rPr>
        <w:t>Lecturer in Law, University of Liverpool School of Law &amp; Social Justice.</w:t>
      </w:r>
      <w:r w:rsidR="00B65EB2">
        <w:rPr>
          <w:rFonts w:ascii="Century" w:hAnsi="Century" w:cs="Times New Roman"/>
          <w:sz w:val="20"/>
          <w:szCs w:val="20"/>
        </w:rPr>
        <w:t xml:space="preserve"> The author would like to thank Oran Doyle, Tom Hickey, David Kenny</w:t>
      </w:r>
      <w:r w:rsidR="00AF47D2">
        <w:rPr>
          <w:rFonts w:ascii="Century" w:hAnsi="Century" w:cs="Times New Roman"/>
          <w:sz w:val="20"/>
          <w:szCs w:val="20"/>
        </w:rPr>
        <w:t xml:space="preserve"> and an anonymous reviewer</w:t>
      </w:r>
      <w:r w:rsidR="00B65EB2">
        <w:rPr>
          <w:rFonts w:ascii="Century" w:hAnsi="Century" w:cs="Times New Roman"/>
          <w:sz w:val="20"/>
          <w:szCs w:val="20"/>
        </w:rPr>
        <w:t xml:space="preserve"> for helpful comments.</w:t>
      </w:r>
      <w:r w:rsidR="00AF47D2">
        <w:rPr>
          <w:rFonts w:ascii="Century" w:hAnsi="Century" w:cs="Times New Roman"/>
          <w:sz w:val="20"/>
          <w:szCs w:val="20"/>
        </w:rPr>
        <w:t xml:space="preserve"> All errors remain my own. </w:t>
      </w:r>
    </w:p>
  </w:footnote>
  <w:footnote w:id="2">
    <w:p w14:paraId="29C94908" w14:textId="7445EBDD" w:rsidR="003B5932" w:rsidRPr="0044065E" w:rsidRDefault="003B5932"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0095039A" w:rsidRPr="0044065E">
        <w:rPr>
          <w:rFonts w:ascii="Century" w:hAnsi="Century"/>
          <w:color w:val="000000"/>
          <w:sz w:val="20"/>
          <w:szCs w:val="20"/>
          <w:shd w:val="clear" w:color="auto" w:fill="FFFFFF"/>
        </w:rPr>
        <w:t xml:space="preserve">For example, in the 1939 case of </w:t>
      </w:r>
      <w:r w:rsidR="0095039A" w:rsidRPr="0044065E">
        <w:rPr>
          <w:rFonts w:ascii="Century" w:hAnsi="Century"/>
          <w:i/>
          <w:iCs/>
          <w:color w:val="000000"/>
          <w:sz w:val="20"/>
          <w:szCs w:val="20"/>
          <w:shd w:val="clear" w:color="auto" w:fill="FFFFFF"/>
        </w:rPr>
        <w:t>Pigs Marketing Board v Donnelly</w:t>
      </w:r>
      <w:r w:rsidR="0095039A" w:rsidRPr="0044065E">
        <w:rPr>
          <w:rFonts w:ascii="Century" w:eastAsia="Times New Roman" w:hAnsi="Century" w:cs="Times New Roman"/>
          <w:color w:val="000000"/>
          <w:sz w:val="20"/>
          <w:szCs w:val="20"/>
          <w:shd w:val="clear" w:color="auto" w:fill="FFFFFF"/>
        </w:rPr>
        <w:t xml:space="preserve"> [1939] 1 IR 413</w:t>
      </w:r>
      <w:r w:rsidR="005B787A" w:rsidRPr="0044065E">
        <w:rPr>
          <w:rFonts w:ascii="Century" w:eastAsia="Times New Roman" w:hAnsi="Century" w:cs="Times New Roman"/>
          <w:color w:val="000000"/>
          <w:sz w:val="20"/>
          <w:szCs w:val="20"/>
          <w:shd w:val="clear" w:color="auto" w:fill="FFFFFF"/>
        </w:rPr>
        <w:t>.</w:t>
      </w:r>
      <w:r w:rsidR="0095039A" w:rsidRPr="0044065E">
        <w:rPr>
          <w:rFonts w:ascii="Century" w:eastAsia="Times New Roman" w:hAnsi="Century" w:cs="Times New Roman"/>
          <w:color w:val="000000"/>
          <w:sz w:val="20"/>
          <w:szCs w:val="20"/>
          <w:shd w:val="clear" w:color="auto" w:fill="FFFFFF"/>
        </w:rPr>
        <w:t xml:space="preserve"> </w:t>
      </w:r>
      <w:r w:rsidR="0095039A" w:rsidRPr="0044065E">
        <w:rPr>
          <w:rFonts w:ascii="Century" w:hAnsi="Century"/>
          <w:sz w:val="20"/>
          <w:szCs w:val="20"/>
        </w:rPr>
        <w:t>For</w:t>
      </w:r>
      <w:r w:rsidR="0073074C" w:rsidRPr="0044065E">
        <w:rPr>
          <w:rFonts w:ascii="Century" w:hAnsi="Century"/>
          <w:sz w:val="20"/>
          <w:szCs w:val="20"/>
        </w:rPr>
        <w:t xml:space="preserve"> recognition of the practice in</w:t>
      </w:r>
      <w:r w:rsidR="00413AE1" w:rsidRPr="0044065E">
        <w:rPr>
          <w:rFonts w:ascii="Century" w:hAnsi="Century"/>
          <w:sz w:val="20"/>
          <w:szCs w:val="20"/>
        </w:rPr>
        <w:t xml:space="preserve"> constitutional</w:t>
      </w:r>
      <w:r w:rsidR="0073074C" w:rsidRPr="0044065E">
        <w:rPr>
          <w:rFonts w:ascii="Century" w:hAnsi="Century"/>
          <w:sz w:val="20"/>
          <w:szCs w:val="20"/>
        </w:rPr>
        <w:t xml:space="preserve"> drafting process</w:t>
      </w:r>
      <w:r w:rsidR="0095039A" w:rsidRPr="0044065E">
        <w:rPr>
          <w:rFonts w:ascii="Century" w:hAnsi="Century"/>
          <w:sz w:val="20"/>
          <w:szCs w:val="20"/>
        </w:rPr>
        <w:t xml:space="preserve"> see</w:t>
      </w:r>
      <w:r w:rsidR="00251447" w:rsidRPr="0044065E">
        <w:rPr>
          <w:rFonts w:ascii="Century" w:hAnsi="Century"/>
          <w:sz w:val="20"/>
          <w:szCs w:val="20"/>
        </w:rPr>
        <w:t xml:space="preserve"> </w:t>
      </w:r>
      <w:r w:rsidR="0095039A" w:rsidRPr="0044065E">
        <w:rPr>
          <w:rFonts w:ascii="Century" w:hAnsi="Century" w:cs="Times New Roman"/>
          <w:sz w:val="20"/>
          <w:szCs w:val="20"/>
          <w:lang w:val="en-GB"/>
        </w:rPr>
        <w:t xml:space="preserve">Gerard Hogan, </w:t>
      </w:r>
      <w:r w:rsidR="0095039A" w:rsidRPr="0044065E">
        <w:rPr>
          <w:rFonts w:ascii="Century" w:hAnsi="Century" w:cs="Times New Roman"/>
          <w:i/>
          <w:iCs/>
          <w:sz w:val="20"/>
          <w:szCs w:val="20"/>
          <w:lang w:val="en-GB"/>
        </w:rPr>
        <w:t>Origins of the Irish Constitution, 1928-19</w:t>
      </w:r>
      <w:r w:rsidR="009D571B" w:rsidRPr="0044065E">
        <w:rPr>
          <w:rFonts w:ascii="Century" w:hAnsi="Century" w:cs="Times New Roman"/>
          <w:i/>
          <w:iCs/>
          <w:sz w:val="20"/>
          <w:szCs w:val="20"/>
          <w:lang w:val="en-GB"/>
        </w:rPr>
        <w:t>3</w:t>
      </w:r>
      <w:r w:rsidR="0095039A" w:rsidRPr="0044065E">
        <w:rPr>
          <w:rFonts w:ascii="Century" w:hAnsi="Century" w:cs="Times New Roman"/>
          <w:i/>
          <w:iCs/>
          <w:sz w:val="20"/>
          <w:szCs w:val="20"/>
          <w:lang w:val="en-GB"/>
        </w:rPr>
        <w:t>7</w:t>
      </w:r>
      <w:r w:rsidR="0095039A" w:rsidRPr="0044065E">
        <w:rPr>
          <w:rFonts w:ascii="Century" w:hAnsi="Century" w:cs="Times New Roman"/>
          <w:sz w:val="20"/>
          <w:szCs w:val="20"/>
          <w:lang w:val="en-GB"/>
        </w:rPr>
        <w:t xml:space="preserve"> (Royal Irish Academy 2012) 480.</w:t>
      </w:r>
    </w:p>
  </w:footnote>
  <w:footnote w:id="3">
    <w:p w14:paraId="43FDA73A" w14:textId="6581B4F7" w:rsidR="001223DA" w:rsidRPr="0044065E" w:rsidRDefault="001223DA"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Described as such in </w:t>
      </w:r>
      <w:r w:rsidRPr="0044065E">
        <w:rPr>
          <w:rFonts w:ascii="Century" w:hAnsi="Century" w:cs="Times New Roman"/>
          <w:i/>
          <w:iCs/>
          <w:lang w:val="en-GB"/>
        </w:rPr>
        <w:t>Collins v Minister for Finance</w:t>
      </w:r>
      <w:r w:rsidRPr="0044065E">
        <w:rPr>
          <w:rFonts w:ascii="Century" w:hAnsi="Century" w:cs="Times New Roman"/>
          <w:lang w:val="en-GB"/>
        </w:rPr>
        <w:t xml:space="preserve"> [2013] IEHC 530.</w:t>
      </w:r>
    </w:p>
  </w:footnote>
  <w:footnote w:id="4">
    <w:p w14:paraId="4B7359CE" w14:textId="7DBB97BE" w:rsidR="005B787A" w:rsidRPr="0044065E" w:rsidRDefault="005B787A"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[1980] IR 381.</w:t>
      </w:r>
    </w:p>
  </w:footnote>
  <w:footnote w:id="5">
    <w:p w14:paraId="250C9B0F" w14:textId="044779E7" w:rsidR="0009248F" w:rsidRPr="0044065E" w:rsidRDefault="0009248F"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cs="Times New Roman"/>
          <w:sz w:val="20"/>
          <w:szCs w:val="20"/>
        </w:rPr>
        <w:footnoteRef/>
      </w:r>
      <w:r w:rsidRPr="0044065E">
        <w:rPr>
          <w:rFonts w:ascii="Century" w:hAnsi="Century" w:cs="Times New Roman"/>
          <w:sz w:val="20"/>
          <w:szCs w:val="20"/>
        </w:rPr>
        <w:t xml:space="preserve"> </w:t>
      </w:r>
      <w:r w:rsidRPr="0044065E">
        <w:rPr>
          <w:rFonts w:ascii="Century" w:hAnsi="Century" w:cs="Times New Roman"/>
          <w:sz w:val="20"/>
          <w:szCs w:val="20"/>
          <w:lang w:val="en-GB"/>
        </w:rPr>
        <w:t xml:space="preserve">Eoin Carolan, ‘Democratic Control or High-Sounding Hocus-Pocus - A Public Choice Analysis of the Non-Delegation Doctrine’ (2007) 29 Dublin </w:t>
      </w:r>
      <w:r w:rsidR="0062756F" w:rsidRPr="0044065E">
        <w:rPr>
          <w:rFonts w:ascii="Century" w:hAnsi="Century" w:cs="Times New Roman"/>
          <w:sz w:val="20"/>
          <w:szCs w:val="20"/>
          <w:lang w:val="en-GB"/>
        </w:rPr>
        <w:t>University</w:t>
      </w:r>
      <w:r w:rsidRPr="0044065E">
        <w:rPr>
          <w:rFonts w:ascii="Century" w:hAnsi="Century" w:cs="Times New Roman"/>
          <w:sz w:val="20"/>
          <w:szCs w:val="20"/>
          <w:lang w:val="en-GB"/>
        </w:rPr>
        <w:t xml:space="preserve"> </w:t>
      </w:r>
      <w:r w:rsidR="00511782">
        <w:rPr>
          <w:rFonts w:ascii="Century" w:hAnsi="Century" w:cs="Times New Roman"/>
          <w:sz w:val="20"/>
          <w:szCs w:val="20"/>
          <w:lang w:val="en-GB"/>
        </w:rPr>
        <w:t>LJ</w:t>
      </w:r>
      <w:r w:rsidRPr="0044065E">
        <w:rPr>
          <w:rFonts w:ascii="Century" w:hAnsi="Century" w:cs="Times New Roman"/>
          <w:sz w:val="20"/>
          <w:szCs w:val="20"/>
          <w:lang w:val="en-GB"/>
        </w:rPr>
        <w:t xml:space="preserve"> 111, 117</w:t>
      </w:r>
      <w:r w:rsidR="00D7595F" w:rsidRPr="0044065E">
        <w:rPr>
          <w:rFonts w:ascii="Century" w:hAnsi="Century" w:cs="Times New Roman"/>
          <w:sz w:val="20"/>
          <w:szCs w:val="20"/>
          <w:lang w:val="en-GB"/>
        </w:rPr>
        <w:t xml:space="preserve">; Eoin Carolan, </w:t>
      </w:r>
      <w:r w:rsidR="00D7595F" w:rsidRPr="0044065E">
        <w:rPr>
          <w:rFonts w:ascii="Century" w:hAnsi="Century" w:cs="Times New Roman"/>
          <w:i/>
          <w:iCs/>
          <w:sz w:val="20"/>
          <w:szCs w:val="20"/>
          <w:lang w:val="en-GB"/>
        </w:rPr>
        <w:t xml:space="preserve">The New Separation of Powers: A Theory for the Modern State </w:t>
      </w:r>
      <w:r w:rsidR="00D7595F" w:rsidRPr="0044065E">
        <w:rPr>
          <w:rFonts w:ascii="Century" w:hAnsi="Century" w:cs="Times New Roman"/>
          <w:sz w:val="20"/>
          <w:szCs w:val="20"/>
          <w:lang w:val="en-GB"/>
        </w:rPr>
        <w:t>(Oxford University Press 2009) 62-63.</w:t>
      </w:r>
    </w:p>
  </w:footnote>
  <w:footnote w:id="6">
    <w:p w14:paraId="4CC0A520" w14:textId="451C4A11" w:rsidR="003B5932" w:rsidRPr="0044065E" w:rsidRDefault="003B5932" w:rsidP="0044065E">
      <w:pPr>
        <w:pStyle w:val="FootnoteText"/>
        <w:jc w:val="both"/>
        <w:rPr>
          <w:rFonts w:ascii="Century" w:hAnsi="Century" w:cs="Times New Roman"/>
          <w:lang w:val="en-GB"/>
        </w:rPr>
      </w:pPr>
      <w:r w:rsidRPr="0044065E">
        <w:rPr>
          <w:rStyle w:val="FootnoteReference"/>
          <w:rFonts w:ascii="Century" w:hAnsi="Century" w:cs="Times New Roman"/>
        </w:rPr>
        <w:footnoteRef/>
      </w:r>
      <w:r w:rsidRPr="0044065E">
        <w:rPr>
          <w:rFonts w:ascii="Century" w:hAnsi="Century" w:cs="Times New Roman"/>
        </w:rPr>
        <w:t xml:space="preserve"> </w:t>
      </w:r>
      <w:r w:rsidR="00F4401D" w:rsidRPr="0044065E">
        <w:rPr>
          <w:rFonts w:ascii="Century" w:hAnsi="Century" w:cs="Times New Roman"/>
        </w:rPr>
        <w:t>Oran Doyle</w:t>
      </w:r>
      <w:r w:rsidR="00AF2C7A" w:rsidRPr="0044065E">
        <w:rPr>
          <w:rFonts w:ascii="Century" w:hAnsi="Century" w:cs="Times New Roman"/>
        </w:rPr>
        <w:t xml:space="preserve">, </w:t>
      </w:r>
      <w:r w:rsidR="00251447" w:rsidRPr="0044065E">
        <w:rPr>
          <w:rFonts w:ascii="Century" w:hAnsi="Century" w:cs="Times New Roman"/>
          <w:i/>
          <w:iCs/>
        </w:rPr>
        <w:t xml:space="preserve">The Constitution of Ireland: A Contextual Analysis </w:t>
      </w:r>
      <w:r w:rsidR="00251447" w:rsidRPr="0044065E">
        <w:rPr>
          <w:rFonts w:ascii="Century" w:hAnsi="Century" w:cs="Times New Roman"/>
        </w:rPr>
        <w:t>(Hart Publishing 2018) 90-91</w:t>
      </w:r>
      <w:r w:rsidR="00D7795A" w:rsidRPr="0044065E">
        <w:rPr>
          <w:rFonts w:ascii="Century" w:hAnsi="Century" w:cs="Times New Roman"/>
        </w:rPr>
        <w:t>; Gerard Hogan, David Kenny and Rachael Walsh, ‘An Anthology of Declarations of Unconstitutionality’ (2015) 54 Irish Jurist (</w:t>
      </w:r>
      <w:r w:rsidR="000E3776">
        <w:rPr>
          <w:rFonts w:ascii="Century" w:hAnsi="Century" w:cs="Times New Roman"/>
        </w:rPr>
        <w:t>ns</w:t>
      </w:r>
      <w:r w:rsidR="00D7795A" w:rsidRPr="0044065E">
        <w:rPr>
          <w:rFonts w:ascii="Century" w:hAnsi="Century" w:cs="Times New Roman"/>
        </w:rPr>
        <w:t>) 1, 21-22.</w:t>
      </w:r>
    </w:p>
  </w:footnote>
  <w:footnote w:id="7">
    <w:p w14:paraId="43699C8D" w14:textId="77943C7A" w:rsidR="00473D09" w:rsidRPr="0044065E" w:rsidRDefault="00473D09" w:rsidP="0044065E">
      <w:pPr>
        <w:pStyle w:val="FootnoteText"/>
        <w:jc w:val="both"/>
        <w:rPr>
          <w:rFonts w:ascii="Century" w:hAnsi="Century" w:cs="Times New Roman"/>
          <w:lang w:val="en-GB"/>
        </w:rPr>
      </w:pPr>
      <w:r w:rsidRPr="0044065E">
        <w:rPr>
          <w:rStyle w:val="FootnoteReference"/>
          <w:rFonts w:ascii="Century" w:hAnsi="Century" w:cs="Times New Roman"/>
        </w:rPr>
        <w:footnoteRef/>
      </w:r>
      <w:r w:rsidRPr="0044065E">
        <w:rPr>
          <w:rFonts w:ascii="Century" w:hAnsi="Century" w:cs="Times New Roman"/>
        </w:rPr>
        <w:t xml:space="preserve"> [2016] 3 IR 1.</w:t>
      </w:r>
    </w:p>
  </w:footnote>
  <w:footnote w:id="8">
    <w:p w14:paraId="14F1E032" w14:textId="2DD62C7D" w:rsidR="00473D09" w:rsidRPr="0044065E" w:rsidRDefault="00473D09" w:rsidP="0044065E">
      <w:pPr>
        <w:pStyle w:val="FootnoteText"/>
        <w:jc w:val="both"/>
        <w:rPr>
          <w:rFonts w:ascii="Century" w:hAnsi="Century" w:cs="Times New Roman"/>
          <w:lang w:val="en-GB"/>
        </w:rPr>
      </w:pPr>
      <w:r w:rsidRPr="0044065E">
        <w:rPr>
          <w:rStyle w:val="FootnoteReference"/>
          <w:rFonts w:ascii="Century" w:hAnsi="Century" w:cs="Times New Roman"/>
        </w:rPr>
        <w:footnoteRef/>
      </w:r>
      <w:r w:rsidRPr="0044065E">
        <w:rPr>
          <w:rFonts w:ascii="Century" w:hAnsi="Century" w:cs="Times New Roman"/>
        </w:rPr>
        <w:t xml:space="preserve"> [2017] 3 IR 751.</w:t>
      </w:r>
    </w:p>
  </w:footnote>
  <w:footnote w:id="9">
    <w:p w14:paraId="3103289D" w14:textId="6C8E4606" w:rsidR="00F7353C" w:rsidRPr="0044065E" w:rsidRDefault="00F7353C"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cs="Times New Roman"/>
          <w:sz w:val="20"/>
          <w:szCs w:val="20"/>
        </w:rPr>
        <w:footnoteRef/>
      </w:r>
      <w:r w:rsidRPr="0044065E">
        <w:rPr>
          <w:rFonts w:ascii="Century" w:hAnsi="Century" w:cs="Times New Roman"/>
          <w:sz w:val="20"/>
          <w:szCs w:val="20"/>
        </w:rPr>
        <w:t xml:space="preserve"> </w:t>
      </w:r>
      <w:r w:rsidRPr="0044065E">
        <w:rPr>
          <w:rFonts w:ascii="Century" w:hAnsi="Century" w:cs="Times New Roman"/>
          <w:sz w:val="20"/>
          <w:szCs w:val="20"/>
          <w:lang w:val="en-GB"/>
        </w:rPr>
        <w:t xml:space="preserve">Laura Cahillane, ‘Principles, Policies and Fair Procedures after O'Sullivan v Sea Fisheries Protection Authority and </w:t>
      </w:r>
      <w:proofErr w:type="spellStart"/>
      <w:r w:rsidRPr="0044065E">
        <w:rPr>
          <w:rFonts w:ascii="Century" w:hAnsi="Century" w:cs="Times New Roman"/>
          <w:sz w:val="20"/>
          <w:szCs w:val="20"/>
          <w:lang w:val="en-GB"/>
        </w:rPr>
        <w:t>Crayden</w:t>
      </w:r>
      <w:proofErr w:type="spellEnd"/>
      <w:r w:rsidRPr="0044065E">
        <w:rPr>
          <w:rFonts w:ascii="Century" w:hAnsi="Century" w:cs="Times New Roman"/>
          <w:sz w:val="20"/>
          <w:szCs w:val="20"/>
          <w:lang w:val="en-GB"/>
        </w:rPr>
        <w:t xml:space="preserve"> Fishing Company Ltd v Sea Fisheries Protection Authority’ (2019) 1 I</w:t>
      </w:r>
      <w:r w:rsidR="0095039A" w:rsidRPr="0044065E">
        <w:rPr>
          <w:rFonts w:ascii="Century" w:hAnsi="Century" w:cs="Times New Roman"/>
          <w:sz w:val="20"/>
          <w:szCs w:val="20"/>
          <w:lang w:val="en-GB"/>
        </w:rPr>
        <w:t xml:space="preserve">rish </w:t>
      </w:r>
      <w:r w:rsidRPr="0044065E">
        <w:rPr>
          <w:rFonts w:ascii="Century" w:hAnsi="Century" w:cs="Times New Roman"/>
          <w:sz w:val="20"/>
          <w:szCs w:val="20"/>
          <w:lang w:val="en-GB"/>
        </w:rPr>
        <w:t>S</w:t>
      </w:r>
      <w:r w:rsidR="0095039A" w:rsidRPr="0044065E">
        <w:rPr>
          <w:rFonts w:ascii="Century" w:hAnsi="Century" w:cs="Times New Roman"/>
          <w:sz w:val="20"/>
          <w:szCs w:val="20"/>
          <w:lang w:val="en-GB"/>
        </w:rPr>
        <w:t xml:space="preserve">upreme </w:t>
      </w:r>
      <w:r w:rsidRPr="0044065E">
        <w:rPr>
          <w:rFonts w:ascii="Century" w:hAnsi="Century" w:cs="Times New Roman"/>
          <w:sz w:val="20"/>
          <w:szCs w:val="20"/>
          <w:lang w:val="en-GB"/>
        </w:rPr>
        <w:t>C</w:t>
      </w:r>
      <w:r w:rsidR="0095039A" w:rsidRPr="0044065E">
        <w:rPr>
          <w:rFonts w:ascii="Century" w:hAnsi="Century" w:cs="Times New Roman"/>
          <w:sz w:val="20"/>
          <w:szCs w:val="20"/>
          <w:lang w:val="en-GB"/>
        </w:rPr>
        <w:t xml:space="preserve">ourt </w:t>
      </w:r>
      <w:r w:rsidRPr="0044065E">
        <w:rPr>
          <w:rFonts w:ascii="Century" w:hAnsi="Century" w:cs="Times New Roman"/>
          <w:sz w:val="20"/>
          <w:szCs w:val="20"/>
          <w:lang w:val="en-GB"/>
        </w:rPr>
        <w:t>R</w:t>
      </w:r>
      <w:r w:rsidR="0095039A" w:rsidRPr="0044065E">
        <w:rPr>
          <w:rFonts w:ascii="Century" w:hAnsi="Century" w:cs="Times New Roman"/>
          <w:sz w:val="20"/>
          <w:szCs w:val="20"/>
          <w:lang w:val="en-GB"/>
        </w:rPr>
        <w:t>eview</w:t>
      </w:r>
      <w:r w:rsidRPr="0044065E">
        <w:rPr>
          <w:rFonts w:ascii="Century" w:hAnsi="Century" w:cs="Times New Roman"/>
          <w:sz w:val="20"/>
          <w:szCs w:val="20"/>
          <w:lang w:val="en-GB"/>
        </w:rPr>
        <w:t xml:space="preserve"> 51, 58.</w:t>
      </w:r>
    </w:p>
  </w:footnote>
  <w:footnote w:id="10">
    <w:p w14:paraId="6A89CFB9" w14:textId="28A5A33D" w:rsidR="007F241B" w:rsidRPr="0044065E" w:rsidRDefault="007F241B" w:rsidP="0044065E">
      <w:pPr>
        <w:pStyle w:val="FootnoteText"/>
        <w:jc w:val="both"/>
        <w:rPr>
          <w:rFonts w:ascii="Century" w:hAnsi="Century"/>
          <w:lang w:val="en-GB"/>
        </w:rPr>
      </w:pPr>
      <w:r w:rsidRPr="0044065E">
        <w:rPr>
          <w:rStyle w:val="FootnoteReference"/>
          <w:rFonts w:ascii="Century" w:hAnsi="Century" w:cs="Times New Roman"/>
        </w:rPr>
        <w:footnoteRef/>
      </w:r>
      <w:r w:rsidRPr="0044065E">
        <w:rPr>
          <w:rFonts w:ascii="Century" w:hAnsi="Century" w:cs="Times New Roman"/>
        </w:rPr>
        <w:t xml:space="preserve"> </w:t>
      </w:r>
      <w:r w:rsidR="0095039A" w:rsidRPr="0044065E">
        <w:rPr>
          <w:rFonts w:ascii="Century" w:hAnsi="Century" w:cs="Times New Roman"/>
          <w:lang w:val="en-GB"/>
        </w:rPr>
        <w:t>Maria Cahill and Sean O’Conaill, ‘Judicial Restraint Can Also Undermine Constitutional Principles: An Irish Caution’ (2017) 36 U</w:t>
      </w:r>
      <w:r w:rsidR="0062756F" w:rsidRPr="0044065E">
        <w:rPr>
          <w:rFonts w:ascii="Century" w:hAnsi="Century" w:cs="Times New Roman"/>
          <w:lang w:val="en-GB"/>
        </w:rPr>
        <w:t>niversity of</w:t>
      </w:r>
      <w:r w:rsidR="0095039A" w:rsidRPr="0044065E">
        <w:rPr>
          <w:rFonts w:ascii="Century" w:hAnsi="Century" w:cs="Times New Roman"/>
          <w:lang w:val="en-GB"/>
        </w:rPr>
        <w:t xml:space="preserve"> Queensland </w:t>
      </w:r>
      <w:r w:rsidR="00A14CF4">
        <w:rPr>
          <w:rFonts w:ascii="Century" w:hAnsi="Century" w:cs="Times New Roman"/>
          <w:lang w:val="en-GB"/>
        </w:rPr>
        <w:t>LJ</w:t>
      </w:r>
      <w:r w:rsidR="0095039A" w:rsidRPr="0044065E">
        <w:rPr>
          <w:rFonts w:ascii="Century" w:hAnsi="Century" w:cs="Times New Roman"/>
          <w:lang w:val="en-GB"/>
        </w:rPr>
        <w:t xml:space="preserve"> 259,</w:t>
      </w:r>
      <w:r w:rsidRPr="0044065E">
        <w:rPr>
          <w:rFonts w:ascii="Century" w:hAnsi="Century" w:cs="Times New Roman"/>
          <w:lang w:val="en-GB"/>
        </w:rPr>
        <w:t xml:space="preserve"> 266.</w:t>
      </w:r>
    </w:p>
  </w:footnote>
  <w:footnote w:id="11">
    <w:p w14:paraId="5ED88C8A" w14:textId="07A89232" w:rsidR="004476C6" w:rsidRPr="0044065E" w:rsidRDefault="004476C6"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cs="Times New Roman"/>
        </w:rPr>
        <w:t>[2021] IESC 36.</w:t>
      </w:r>
    </w:p>
  </w:footnote>
  <w:footnote w:id="12">
    <w:p w14:paraId="5D06E257" w14:textId="75741AEC" w:rsidR="00083C0C" w:rsidRPr="0044065E" w:rsidRDefault="00083C0C"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Pr="0044065E">
        <w:rPr>
          <w:rFonts w:ascii="Century" w:hAnsi="Century"/>
          <w:sz w:val="20"/>
          <w:szCs w:val="20"/>
          <w:lang w:val="en-GB"/>
        </w:rPr>
        <w:t>For a superb treatment of the implications of the case for labour law</w:t>
      </w:r>
      <w:r w:rsidR="00CD64D4" w:rsidRPr="0044065E">
        <w:rPr>
          <w:rFonts w:ascii="Century" w:hAnsi="Century"/>
          <w:sz w:val="20"/>
          <w:szCs w:val="20"/>
          <w:lang w:val="en-GB"/>
        </w:rPr>
        <w:t xml:space="preserve"> and </w:t>
      </w:r>
      <w:r w:rsidRPr="0044065E">
        <w:rPr>
          <w:rFonts w:ascii="Century" w:hAnsi="Century"/>
          <w:sz w:val="20"/>
          <w:szCs w:val="20"/>
          <w:lang w:val="en-GB"/>
        </w:rPr>
        <w:t xml:space="preserve">industrial relations See Alan Eustace, </w:t>
      </w:r>
      <w:r w:rsidR="00CD64D4" w:rsidRPr="0044065E">
        <w:rPr>
          <w:rFonts w:ascii="Century" w:hAnsi="Century"/>
          <w:sz w:val="20"/>
          <w:szCs w:val="20"/>
          <w:lang w:val="en-GB"/>
        </w:rPr>
        <w:t>‘</w:t>
      </w:r>
      <w:r w:rsidR="00CD64D4" w:rsidRPr="0044065E">
        <w:rPr>
          <w:rFonts w:ascii="Century" w:hAnsi="Century" w:cs="Times New Roman"/>
          <w:sz w:val="20"/>
          <w:szCs w:val="20"/>
          <w:lang w:val="en-GB"/>
        </w:rPr>
        <w:t>The Electrical Contractors Case: Irish Supreme Court Illuminates Collective Bargaining and Delegated Legislation’</w:t>
      </w:r>
      <w:r w:rsidR="000650AD" w:rsidRPr="0044065E">
        <w:rPr>
          <w:rFonts w:ascii="Century" w:hAnsi="Century" w:cs="Times New Roman"/>
          <w:sz w:val="20"/>
          <w:szCs w:val="20"/>
          <w:lang w:val="en-GB"/>
        </w:rPr>
        <w:t xml:space="preserve"> (2021) Modern L</w:t>
      </w:r>
      <w:r w:rsidR="007C23ED">
        <w:rPr>
          <w:rFonts w:ascii="Century" w:hAnsi="Century" w:cs="Times New Roman"/>
          <w:sz w:val="20"/>
          <w:szCs w:val="20"/>
          <w:lang w:val="en-GB"/>
        </w:rPr>
        <w:t xml:space="preserve"> Rev</w:t>
      </w:r>
      <w:r w:rsidR="000650AD" w:rsidRPr="0044065E">
        <w:rPr>
          <w:rFonts w:ascii="Century" w:hAnsi="Century" w:cs="Times New Roman"/>
          <w:sz w:val="20"/>
          <w:szCs w:val="20"/>
          <w:lang w:val="en-GB"/>
        </w:rPr>
        <w:t xml:space="preserve"> 1-15.</w:t>
      </w:r>
    </w:p>
  </w:footnote>
  <w:footnote w:id="13">
    <w:p w14:paraId="51B30124" w14:textId="7ECF1A6B" w:rsidR="00BB15C8" w:rsidRPr="0044065E" w:rsidRDefault="00BB15C8"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cs="Times New Roman"/>
        </w:rPr>
        <w:t xml:space="preserve">The </w:t>
      </w:r>
      <w:proofErr w:type="spellStart"/>
      <w:r w:rsidRPr="0044065E">
        <w:rPr>
          <w:rFonts w:ascii="Century" w:hAnsi="Century" w:cs="Times New Roman"/>
        </w:rPr>
        <w:t>Labour</w:t>
      </w:r>
      <w:proofErr w:type="spellEnd"/>
      <w:r w:rsidRPr="0044065E">
        <w:rPr>
          <w:rFonts w:ascii="Century" w:hAnsi="Century" w:cs="Times New Roman"/>
        </w:rPr>
        <w:t xml:space="preserve"> Court has been a core part of the Irish administrative state since</w:t>
      </w:r>
      <w:r w:rsidR="00515B5B" w:rsidRPr="0044065E">
        <w:rPr>
          <w:rFonts w:ascii="Century" w:hAnsi="Century" w:cs="Times New Roman"/>
        </w:rPr>
        <w:t xml:space="preserve"> the</w:t>
      </w:r>
      <w:r w:rsidRPr="0044065E">
        <w:rPr>
          <w:rFonts w:ascii="Century" w:hAnsi="Century" w:cs="Times New Roman"/>
        </w:rPr>
        <w:t xml:space="preserve"> enactment of the Industrial Relations Act 1946. Its functions have expanded over time but have long including deploying technocratic expertise and relying on its insultation from</w:t>
      </w:r>
      <w:r w:rsidR="00265BB3" w:rsidRPr="0044065E">
        <w:rPr>
          <w:rFonts w:ascii="Century" w:hAnsi="Century" w:cs="Times New Roman"/>
        </w:rPr>
        <w:t xml:space="preserve"> the</w:t>
      </w:r>
      <w:r w:rsidRPr="0044065E">
        <w:rPr>
          <w:rFonts w:ascii="Century" w:hAnsi="Century" w:cs="Times New Roman"/>
        </w:rPr>
        <w:t xml:space="preserve"> direct influence </w:t>
      </w:r>
      <w:r w:rsidR="00265BB3" w:rsidRPr="0044065E">
        <w:rPr>
          <w:rFonts w:ascii="Century" w:hAnsi="Century" w:cs="Times New Roman"/>
        </w:rPr>
        <w:t>of</w:t>
      </w:r>
      <w:r w:rsidRPr="0044065E">
        <w:rPr>
          <w:rFonts w:ascii="Century" w:hAnsi="Century" w:cs="Times New Roman"/>
        </w:rPr>
        <w:t xml:space="preserve"> partisan politics to promote harmonious industrial relations</w:t>
      </w:r>
      <w:r w:rsidR="004617EA" w:rsidRPr="0044065E">
        <w:rPr>
          <w:rFonts w:ascii="Century" w:hAnsi="Century" w:cs="Times New Roman"/>
        </w:rPr>
        <w:t xml:space="preserve"> between employers and employees and secure</w:t>
      </w:r>
      <w:r w:rsidRPr="0044065E">
        <w:rPr>
          <w:rFonts w:ascii="Century" w:hAnsi="Century" w:cs="Times New Roman"/>
        </w:rPr>
        <w:t xml:space="preserve"> fair renumeration</w:t>
      </w:r>
      <w:r w:rsidR="004617EA" w:rsidRPr="0044065E">
        <w:rPr>
          <w:rFonts w:ascii="Century" w:hAnsi="Century" w:cs="Times New Roman"/>
        </w:rPr>
        <w:t>/</w:t>
      </w:r>
      <w:r w:rsidRPr="0044065E">
        <w:rPr>
          <w:rFonts w:ascii="Century" w:hAnsi="Century" w:cs="Times New Roman"/>
        </w:rPr>
        <w:t>equitable working conditions.</w:t>
      </w:r>
    </w:p>
  </w:footnote>
  <w:footnote w:id="14">
    <w:p w14:paraId="0EEB41C8" w14:textId="0239BFAE" w:rsidR="003F1B85" w:rsidRPr="0044065E" w:rsidRDefault="003F1B85" w:rsidP="0044065E">
      <w:pPr>
        <w:pStyle w:val="FootnoteText"/>
        <w:jc w:val="both"/>
        <w:rPr>
          <w:rFonts w:ascii="Century" w:hAnsi="Century"/>
          <w:color w:val="000000" w:themeColor="text1"/>
          <w:lang w:val="en-GB"/>
        </w:rPr>
      </w:pPr>
      <w:r w:rsidRPr="0044065E">
        <w:rPr>
          <w:rStyle w:val="FootnoteReference"/>
          <w:rFonts w:ascii="Century" w:hAnsi="Century"/>
          <w:color w:val="000000" w:themeColor="text1"/>
        </w:rPr>
        <w:footnoteRef/>
      </w:r>
      <w:r w:rsidR="0062756F" w:rsidRPr="0044065E">
        <w:rPr>
          <w:rFonts w:ascii="Century" w:hAnsi="Century"/>
          <w:color w:val="000000" w:themeColor="text1"/>
        </w:rPr>
        <w:t xml:space="preserve"> </w:t>
      </w:r>
      <w:r w:rsidR="0062756F" w:rsidRPr="0044065E">
        <w:rPr>
          <w:rFonts w:ascii="Century" w:hAnsi="Century"/>
          <w:color w:val="000000" w:themeColor="text1"/>
          <w:lang w:val="en-GB"/>
        </w:rPr>
        <w:t>Industrial Relations (Amendment) Act 2015</w:t>
      </w:r>
      <w:r w:rsidR="008E539F">
        <w:rPr>
          <w:rFonts w:ascii="Century" w:hAnsi="Century"/>
          <w:color w:val="000000" w:themeColor="text1"/>
          <w:lang w:val="en-GB"/>
        </w:rPr>
        <w:t>,</w:t>
      </w:r>
      <w:r w:rsidRPr="0044065E">
        <w:rPr>
          <w:rFonts w:ascii="Century" w:hAnsi="Century"/>
          <w:color w:val="000000" w:themeColor="text1"/>
        </w:rPr>
        <w:t xml:space="preserve"> </w:t>
      </w:r>
      <w:r w:rsidR="0062756F" w:rsidRPr="0044065E">
        <w:rPr>
          <w:rFonts w:ascii="Century" w:hAnsi="Century"/>
          <w:color w:val="000000" w:themeColor="text1"/>
          <w:lang w:val="en-GB"/>
        </w:rPr>
        <w:t>s</w:t>
      </w:r>
      <w:r w:rsidR="002263E2">
        <w:rPr>
          <w:rFonts w:ascii="Century" w:hAnsi="Century"/>
          <w:color w:val="000000" w:themeColor="text1"/>
          <w:lang w:val="en-GB"/>
        </w:rPr>
        <w:t xml:space="preserve"> </w:t>
      </w:r>
      <w:r w:rsidRPr="0044065E">
        <w:rPr>
          <w:rFonts w:ascii="Century" w:hAnsi="Century"/>
          <w:color w:val="000000" w:themeColor="text1"/>
          <w:lang w:val="en-GB"/>
        </w:rPr>
        <w:t>14(1).</w:t>
      </w:r>
    </w:p>
  </w:footnote>
  <w:footnote w:id="15">
    <w:p w14:paraId="4A29A02C" w14:textId="7C7B3812" w:rsidR="008F459A" w:rsidRPr="0044065E" w:rsidRDefault="008F459A" w:rsidP="0044065E">
      <w:pPr>
        <w:pStyle w:val="FootnoteText"/>
        <w:jc w:val="both"/>
        <w:rPr>
          <w:rFonts w:ascii="Century" w:hAnsi="Century"/>
          <w:color w:val="000000" w:themeColor="text1"/>
          <w:lang w:val="en-GB"/>
        </w:rPr>
      </w:pPr>
      <w:r w:rsidRPr="0044065E">
        <w:rPr>
          <w:rStyle w:val="FootnoteReference"/>
          <w:rFonts w:ascii="Century" w:hAnsi="Century"/>
          <w:color w:val="000000" w:themeColor="text1"/>
        </w:rPr>
        <w:footnoteRef/>
      </w:r>
      <w:r w:rsidRPr="0044065E">
        <w:rPr>
          <w:rFonts w:ascii="Century" w:hAnsi="Century"/>
          <w:color w:val="000000" w:themeColor="text1"/>
        </w:rPr>
        <w:t xml:space="preserve"> </w:t>
      </w:r>
      <w:r w:rsidR="0062756F" w:rsidRPr="0044065E">
        <w:rPr>
          <w:rFonts w:ascii="Century" w:hAnsi="Century"/>
          <w:color w:val="000000" w:themeColor="text1"/>
          <w:lang w:val="en-GB"/>
        </w:rPr>
        <w:t>Industrial Relations (Amendment) Act 2015</w:t>
      </w:r>
      <w:r w:rsidR="008E539F">
        <w:rPr>
          <w:rFonts w:ascii="Century" w:hAnsi="Century"/>
          <w:color w:val="000000" w:themeColor="text1"/>
          <w:lang w:val="en-GB"/>
        </w:rPr>
        <w:t>,</w:t>
      </w:r>
      <w:r w:rsidR="0062756F" w:rsidRPr="0044065E">
        <w:rPr>
          <w:rFonts w:ascii="Century" w:hAnsi="Century"/>
          <w:color w:val="000000" w:themeColor="text1"/>
          <w:lang w:val="en-GB"/>
        </w:rPr>
        <w:t xml:space="preserve"> </w:t>
      </w:r>
      <w:r w:rsidR="0062756F" w:rsidRPr="0044065E">
        <w:rPr>
          <w:rFonts w:ascii="Century" w:hAnsi="Century"/>
          <w:color w:val="000000" w:themeColor="text1"/>
        </w:rPr>
        <w:t>s</w:t>
      </w:r>
      <w:r w:rsidR="002263E2">
        <w:rPr>
          <w:rFonts w:ascii="Century" w:hAnsi="Century"/>
          <w:color w:val="000000" w:themeColor="text1"/>
        </w:rPr>
        <w:t xml:space="preserve"> </w:t>
      </w:r>
      <w:r w:rsidRPr="0044065E">
        <w:rPr>
          <w:rFonts w:ascii="Century" w:hAnsi="Century"/>
          <w:color w:val="000000" w:themeColor="text1"/>
        </w:rPr>
        <w:t>15(1)</w:t>
      </w:r>
      <w:r w:rsidR="0095039A" w:rsidRPr="0044065E">
        <w:rPr>
          <w:rFonts w:ascii="Century" w:hAnsi="Century"/>
          <w:color w:val="000000" w:themeColor="text1"/>
          <w:lang w:val="en-GB"/>
        </w:rPr>
        <w:t>.</w:t>
      </w:r>
    </w:p>
  </w:footnote>
  <w:footnote w:id="16">
    <w:p w14:paraId="5D1C0104" w14:textId="1E22FDC9" w:rsidR="008F459A" w:rsidRPr="0044065E" w:rsidRDefault="008F459A" w:rsidP="0044065E">
      <w:pPr>
        <w:pStyle w:val="FootnoteText"/>
        <w:jc w:val="both"/>
        <w:rPr>
          <w:rFonts w:ascii="Century" w:hAnsi="Century"/>
          <w:color w:val="000000" w:themeColor="text1"/>
          <w:lang w:val="en-GB"/>
        </w:rPr>
      </w:pPr>
      <w:r w:rsidRPr="0044065E">
        <w:rPr>
          <w:rStyle w:val="FootnoteReference"/>
          <w:rFonts w:ascii="Century" w:hAnsi="Century"/>
          <w:color w:val="000000" w:themeColor="text1"/>
        </w:rPr>
        <w:footnoteRef/>
      </w:r>
      <w:r w:rsidRPr="0044065E">
        <w:rPr>
          <w:rFonts w:ascii="Century" w:hAnsi="Century"/>
          <w:color w:val="000000" w:themeColor="text1"/>
        </w:rPr>
        <w:t xml:space="preserve"> </w:t>
      </w:r>
      <w:r w:rsidR="0062756F" w:rsidRPr="0044065E">
        <w:rPr>
          <w:rFonts w:ascii="Century" w:hAnsi="Century"/>
          <w:color w:val="000000" w:themeColor="text1"/>
          <w:lang w:val="en-GB"/>
        </w:rPr>
        <w:t>Industrial Relations (Amendment) Act 2015</w:t>
      </w:r>
      <w:r w:rsidR="008E539F">
        <w:rPr>
          <w:rFonts w:ascii="Century" w:hAnsi="Century"/>
          <w:color w:val="000000" w:themeColor="text1"/>
          <w:lang w:val="en-GB"/>
        </w:rPr>
        <w:t>,</w:t>
      </w:r>
      <w:r w:rsidR="0062756F" w:rsidRPr="0044065E">
        <w:rPr>
          <w:rFonts w:ascii="Century" w:hAnsi="Century"/>
          <w:color w:val="000000" w:themeColor="text1"/>
          <w:lang w:val="en-GB"/>
        </w:rPr>
        <w:t xml:space="preserve"> </w:t>
      </w:r>
      <w:r w:rsidR="0062756F" w:rsidRPr="0044065E">
        <w:rPr>
          <w:rFonts w:ascii="Century" w:hAnsi="Century"/>
          <w:color w:val="000000" w:themeColor="text1"/>
        </w:rPr>
        <w:t>s</w:t>
      </w:r>
      <w:r w:rsidR="002263E2">
        <w:rPr>
          <w:rFonts w:ascii="Century" w:hAnsi="Century"/>
          <w:color w:val="000000" w:themeColor="text1"/>
        </w:rPr>
        <w:t xml:space="preserve"> </w:t>
      </w:r>
      <w:r w:rsidRPr="0044065E">
        <w:rPr>
          <w:rFonts w:ascii="Century" w:hAnsi="Century"/>
          <w:color w:val="000000" w:themeColor="text1"/>
        </w:rPr>
        <w:t>13(1)</w:t>
      </w:r>
      <w:r w:rsidR="0095039A" w:rsidRPr="0044065E">
        <w:rPr>
          <w:rFonts w:ascii="Century" w:hAnsi="Century"/>
          <w:color w:val="000000" w:themeColor="text1"/>
          <w:lang w:val="en-GB"/>
        </w:rPr>
        <w:t>.</w:t>
      </w:r>
    </w:p>
  </w:footnote>
  <w:footnote w:id="17">
    <w:p w14:paraId="29987A3B" w14:textId="3F6EBA26" w:rsidR="008F459A" w:rsidRPr="0044065E" w:rsidRDefault="008F459A" w:rsidP="0044065E">
      <w:pPr>
        <w:pStyle w:val="FootnoteText"/>
        <w:jc w:val="both"/>
        <w:rPr>
          <w:rFonts w:ascii="Century" w:hAnsi="Century"/>
          <w:color w:val="000000" w:themeColor="text1"/>
          <w:lang w:val="en-GB"/>
        </w:rPr>
      </w:pPr>
      <w:r w:rsidRPr="0044065E">
        <w:rPr>
          <w:rStyle w:val="FootnoteReference"/>
          <w:rFonts w:ascii="Century" w:hAnsi="Century"/>
          <w:color w:val="000000" w:themeColor="text1"/>
        </w:rPr>
        <w:footnoteRef/>
      </w:r>
      <w:r w:rsidRPr="0044065E">
        <w:rPr>
          <w:rFonts w:ascii="Century" w:hAnsi="Century"/>
          <w:color w:val="000000" w:themeColor="text1"/>
        </w:rPr>
        <w:t xml:space="preserve"> </w:t>
      </w:r>
      <w:r w:rsidR="0062756F" w:rsidRPr="0044065E">
        <w:rPr>
          <w:rFonts w:ascii="Century" w:hAnsi="Century"/>
          <w:color w:val="000000" w:themeColor="text1"/>
          <w:lang w:val="en-GB"/>
        </w:rPr>
        <w:t>Industrial Relations (Amendment) Act 2015</w:t>
      </w:r>
      <w:r w:rsidR="002263E2">
        <w:rPr>
          <w:rFonts w:ascii="Century" w:hAnsi="Century"/>
          <w:color w:val="000000" w:themeColor="text1"/>
          <w:lang w:val="en-GB"/>
        </w:rPr>
        <w:t>,</w:t>
      </w:r>
      <w:r w:rsidR="0062756F" w:rsidRPr="0044065E">
        <w:rPr>
          <w:rFonts w:ascii="Century" w:hAnsi="Century"/>
          <w:color w:val="000000" w:themeColor="text1"/>
          <w:lang w:val="en-GB"/>
        </w:rPr>
        <w:t xml:space="preserve"> s</w:t>
      </w:r>
      <w:r w:rsidR="002263E2">
        <w:rPr>
          <w:rFonts w:ascii="Century" w:hAnsi="Century"/>
          <w:color w:val="000000" w:themeColor="text1"/>
        </w:rPr>
        <w:t xml:space="preserve"> </w:t>
      </w:r>
      <w:r w:rsidRPr="0044065E">
        <w:rPr>
          <w:rFonts w:ascii="Century" w:hAnsi="Century"/>
          <w:color w:val="000000" w:themeColor="text1"/>
        </w:rPr>
        <w:t>15(1)(c</w:t>
      </w:r>
      <w:r w:rsidR="0062756F" w:rsidRPr="0044065E">
        <w:rPr>
          <w:rFonts w:ascii="Century" w:hAnsi="Century"/>
          <w:color w:val="000000" w:themeColor="text1"/>
        </w:rPr>
        <w:t>)</w:t>
      </w:r>
      <w:r w:rsidR="0095039A" w:rsidRPr="0044065E">
        <w:rPr>
          <w:rFonts w:ascii="Century" w:hAnsi="Century"/>
          <w:color w:val="000000" w:themeColor="text1"/>
          <w:lang w:val="en-GB"/>
        </w:rPr>
        <w:t>.</w:t>
      </w:r>
    </w:p>
  </w:footnote>
  <w:footnote w:id="18">
    <w:p w14:paraId="6A47D6B8" w14:textId="5821796E" w:rsidR="002F2352" w:rsidRPr="0044065E" w:rsidRDefault="002F2352"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2263E2">
        <w:rPr>
          <w:rFonts w:ascii="Century" w:hAnsi="Century"/>
          <w:lang w:val="en-GB"/>
        </w:rPr>
        <w:t xml:space="preserve">, s </w:t>
      </w:r>
      <w:r w:rsidRPr="0044065E">
        <w:rPr>
          <w:rFonts w:ascii="Century" w:hAnsi="Century"/>
          <w:lang w:val="en-GB"/>
        </w:rPr>
        <w:t>15(1)(</w:t>
      </w:r>
      <w:r w:rsidR="008F459A" w:rsidRPr="0044065E">
        <w:rPr>
          <w:rFonts w:ascii="Century" w:hAnsi="Century"/>
          <w:lang w:val="en-GB"/>
        </w:rPr>
        <w:t>d</w:t>
      </w:r>
      <w:r w:rsidRPr="0044065E">
        <w:rPr>
          <w:rFonts w:ascii="Century" w:hAnsi="Century"/>
          <w:lang w:val="en-GB"/>
        </w:rPr>
        <w:t>)</w:t>
      </w:r>
      <w:r w:rsidR="0095039A" w:rsidRPr="0044065E">
        <w:rPr>
          <w:rFonts w:ascii="Century" w:hAnsi="Century"/>
          <w:color w:val="000000" w:themeColor="text1"/>
          <w:lang w:val="en-GB"/>
        </w:rPr>
        <w:t>.</w:t>
      </w:r>
    </w:p>
  </w:footnote>
  <w:footnote w:id="19">
    <w:p w14:paraId="6E927FED" w14:textId="4EF27D2A" w:rsidR="008F459A" w:rsidRPr="0044065E" w:rsidRDefault="008F459A"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2263E2">
        <w:rPr>
          <w:rFonts w:ascii="Century" w:hAnsi="Century"/>
        </w:rPr>
        <w:t xml:space="preserve">, s </w:t>
      </w:r>
      <w:r w:rsidRPr="0044065E">
        <w:rPr>
          <w:rFonts w:ascii="Century" w:hAnsi="Century"/>
        </w:rPr>
        <w:t>15(2)-(4)</w:t>
      </w:r>
      <w:r w:rsidR="0095039A" w:rsidRPr="0044065E">
        <w:rPr>
          <w:rFonts w:ascii="Century" w:hAnsi="Century"/>
          <w:color w:val="000000" w:themeColor="text1"/>
          <w:lang w:val="en-GB"/>
        </w:rPr>
        <w:t>.</w:t>
      </w:r>
    </w:p>
  </w:footnote>
  <w:footnote w:id="20">
    <w:p w14:paraId="135F5E64" w14:textId="4A5DFBA0" w:rsidR="003450E4" w:rsidRPr="0044065E" w:rsidRDefault="003450E4"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2263E2">
        <w:rPr>
          <w:rFonts w:ascii="Century" w:hAnsi="Century"/>
        </w:rPr>
        <w:t xml:space="preserve">, s </w:t>
      </w:r>
      <w:r w:rsidR="00BD3684" w:rsidRPr="0044065E">
        <w:rPr>
          <w:rFonts w:ascii="Century" w:hAnsi="Century"/>
        </w:rPr>
        <w:t>16(2)</w:t>
      </w:r>
      <w:r w:rsidR="0062756F" w:rsidRPr="0044065E">
        <w:rPr>
          <w:rFonts w:ascii="Century" w:hAnsi="Century"/>
        </w:rPr>
        <w:t>.</w:t>
      </w:r>
    </w:p>
  </w:footnote>
  <w:footnote w:id="21">
    <w:p w14:paraId="23AF24EC" w14:textId="1D3FECAF" w:rsidR="003450E4" w:rsidRPr="0044065E" w:rsidRDefault="003450E4"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2263E2">
        <w:rPr>
          <w:rFonts w:ascii="Century" w:hAnsi="Century"/>
          <w:lang w:val="en-GB"/>
        </w:rPr>
        <w:t xml:space="preserve">, s </w:t>
      </w:r>
      <w:r w:rsidRPr="0044065E">
        <w:rPr>
          <w:rFonts w:ascii="Century" w:hAnsi="Century"/>
          <w:lang w:val="en-GB"/>
        </w:rPr>
        <w:t>16(2)(a)-(e)</w:t>
      </w:r>
      <w:r w:rsidR="0095039A" w:rsidRPr="0044065E">
        <w:rPr>
          <w:rFonts w:ascii="Century" w:hAnsi="Century"/>
          <w:color w:val="000000" w:themeColor="text1"/>
          <w:lang w:val="en-GB"/>
        </w:rPr>
        <w:t>.</w:t>
      </w:r>
    </w:p>
  </w:footnote>
  <w:footnote w:id="22">
    <w:p w14:paraId="64377C1D" w14:textId="04316A51" w:rsidR="003450E4" w:rsidRPr="0044065E" w:rsidRDefault="003450E4"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0A361D">
        <w:rPr>
          <w:rFonts w:ascii="Century" w:hAnsi="Century"/>
          <w:lang w:val="en-GB"/>
        </w:rPr>
        <w:t xml:space="preserve">, s </w:t>
      </w:r>
      <w:r w:rsidRPr="0044065E">
        <w:rPr>
          <w:rFonts w:ascii="Century" w:hAnsi="Century"/>
          <w:lang w:val="en-GB"/>
        </w:rPr>
        <w:t>16(4)</w:t>
      </w:r>
      <w:r w:rsidR="0095039A" w:rsidRPr="0044065E">
        <w:rPr>
          <w:rFonts w:ascii="Century" w:hAnsi="Century"/>
          <w:color w:val="000000" w:themeColor="text1"/>
          <w:lang w:val="en-GB"/>
        </w:rPr>
        <w:t>.</w:t>
      </w:r>
    </w:p>
  </w:footnote>
  <w:footnote w:id="23">
    <w:p w14:paraId="5A3962F8" w14:textId="469C8854" w:rsidR="00CF2CAE" w:rsidRPr="0044065E" w:rsidRDefault="00CF2CAE"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0A361D">
        <w:rPr>
          <w:rFonts w:ascii="Century" w:hAnsi="Century"/>
          <w:lang w:val="en-GB"/>
        </w:rPr>
        <w:t xml:space="preserve">, s </w:t>
      </w:r>
      <w:r w:rsidRPr="0044065E">
        <w:rPr>
          <w:rFonts w:ascii="Century" w:hAnsi="Century"/>
          <w:lang w:val="en-GB"/>
        </w:rPr>
        <w:t>17(1)-(3)</w:t>
      </w:r>
      <w:r w:rsidR="0095039A" w:rsidRPr="0044065E">
        <w:rPr>
          <w:rFonts w:ascii="Century" w:hAnsi="Century"/>
          <w:color w:val="000000" w:themeColor="text1"/>
          <w:lang w:val="en-GB"/>
        </w:rPr>
        <w:t>.</w:t>
      </w:r>
    </w:p>
  </w:footnote>
  <w:footnote w:id="24">
    <w:p w14:paraId="52C44172" w14:textId="370ECEAA" w:rsidR="00CF2CAE" w:rsidRPr="0044065E" w:rsidRDefault="00CF2CAE"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0A361D">
        <w:rPr>
          <w:rFonts w:ascii="Century" w:hAnsi="Century"/>
          <w:lang w:val="en-GB"/>
        </w:rPr>
        <w:t xml:space="preserve">, s </w:t>
      </w:r>
      <w:r w:rsidRPr="0044065E">
        <w:rPr>
          <w:rFonts w:ascii="Century" w:hAnsi="Century"/>
          <w:lang w:val="en-GB"/>
        </w:rPr>
        <w:t>17(4)</w:t>
      </w:r>
      <w:r w:rsidR="0095039A" w:rsidRPr="0044065E">
        <w:rPr>
          <w:rFonts w:ascii="Century" w:hAnsi="Century"/>
          <w:color w:val="000000" w:themeColor="text1"/>
          <w:lang w:val="en-GB"/>
        </w:rPr>
        <w:t>.</w:t>
      </w:r>
    </w:p>
  </w:footnote>
  <w:footnote w:id="25">
    <w:p w14:paraId="012783C3" w14:textId="4F3B358A" w:rsidR="00655143" w:rsidRPr="0044065E" w:rsidRDefault="00655143" w:rsidP="0044065E">
      <w:pPr>
        <w:pStyle w:val="FootnoteText"/>
        <w:jc w:val="both"/>
        <w:rPr>
          <w:rFonts w:ascii="Century" w:hAnsi="Century"/>
          <w:color w:val="000000" w:themeColor="text1"/>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0A361D">
        <w:rPr>
          <w:rFonts w:ascii="Century" w:hAnsi="Century"/>
          <w:lang w:val="en-GB"/>
        </w:rPr>
        <w:t xml:space="preserve">, s </w:t>
      </w:r>
      <w:r w:rsidRPr="0044065E">
        <w:rPr>
          <w:rFonts w:ascii="Century" w:hAnsi="Century"/>
          <w:lang w:val="en-GB"/>
        </w:rPr>
        <w:t>19</w:t>
      </w:r>
      <w:r w:rsidR="0062756F" w:rsidRPr="0044065E">
        <w:rPr>
          <w:rFonts w:ascii="Century" w:hAnsi="Century"/>
          <w:lang w:val="en-GB"/>
        </w:rPr>
        <w:t>.</w:t>
      </w:r>
    </w:p>
  </w:footnote>
  <w:footnote w:id="26">
    <w:p w14:paraId="574B9217" w14:textId="58382582" w:rsidR="00FC29D1" w:rsidRPr="0044065E" w:rsidRDefault="00FC29D1"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rPr>
        <w:t xml:space="preserve">McGowan v </w:t>
      </w:r>
      <w:proofErr w:type="spellStart"/>
      <w:r w:rsidRPr="0044065E">
        <w:rPr>
          <w:rFonts w:ascii="Century" w:hAnsi="Century"/>
          <w:i/>
        </w:rPr>
        <w:t>Labour</w:t>
      </w:r>
      <w:proofErr w:type="spellEnd"/>
      <w:r w:rsidRPr="0044065E">
        <w:rPr>
          <w:rFonts w:ascii="Century" w:hAnsi="Century"/>
          <w:i/>
        </w:rPr>
        <w:t xml:space="preserve"> Court</w:t>
      </w:r>
      <w:r w:rsidRPr="0044065E">
        <w:rPr>
          <w:rFonts w:ascii="Century" w:hAnsi="Century"/>
        </w:rPr>
        <w:t xml:space="preserve"> [2013] IESC 21.</w:t>
      </w:r>
    </w:p>
  </w:footnote>
  <w:footnote w:id="27">
    <w:p w14:paraId="2871AEFE" w14:textId="67E24EAF" w:rsidR="00083C0C" w:rsidRPr="0044065E" w:rsidRDefault="00083C0C"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See </w:t>
      </w:r>
      <w:r w:rsidRPr="0044065E">
        <w:rPr>
          <w:rFonts w:ascii="Century" w:hAnsi="Century" w:cs="Times New Roman"/>
          <w:sz w:val="20"/>
          <w:szCs w:val="20"/>
          <w:lang w:val="en-GB"/>
        </w:rPr>
        <w:t xml:space="preserve">Michael Doherty, ‘New Morning? Irish Labour Law Post-Austerity’ (2016) 39 Dublin University </w:t>
      </w:r>
      <w:r w:rsidR="00BA6C5A">
        <w:rPr>
          <w:rFonts w:ascii="Century" w:hAnsi="Century" w:cs="Times New Roman"/>
          <w:sz w:val="20"/>
          <w:szCs w:val="20"/>
          <w:lang w:val="en-GB"/>
        </w:rPr>
        <w:t>LJ</w:t>
      </w:r>
      <w:r w:rsidRPr="0044065E">
        <w:rPr>
          <w:rFonts w:ascii="Century" w:hAnsi="Century" w:cs="Times New Roman"/>
          <w:sz w:val="20"/>
          <w:szCs w:val="20"/>
          <w:lang w:val="en-GB"/>
        </w:rPr>
        <w:t xml:space="preserve"> 51.</w:t>
      </w:r>
    </w:p>
  </w:footnote>
  <w:footnote w:id="28">
    <w:p w14:paraId="304BED63" w14:textId="17554343" w:rsidR="00106356" w:rsidRPr="0044065E" w:rsidRDefault="00106356"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AF43D6" w:rsidRPr="0044065E">
        <w:rPr>
          <w:rFonts w:ascii="Century" w:hAnsi="Century"/>
          <w:i/>
          <w:iCs/>
          <w:lang w:val="en-GB"/>
        </w:rPr>
        <w:t xml:space="preserve">McGowan </w:t>
      </w:r>
      <w:r w:rsidR="00FC29D1" w:rsidRPr="0044065E">
        <w:rPr>
          <w:rFonts w:ascii="Century" w:hAnsi="Century"/>
          <w:lang w:val="en-GB"/>
        </w:rPr>
        <w:t xml:space="preserve">(n </w:t>
      </w:r>
      <w:r w:rsidR="00FC29D1" w:rsidRPr="0044065E">
        <w:rPr>
          <w:rFonts w:ascii="Century" w:hAnsi="Century"/>
          <w:lang w:val="en-GB"/>
        </w:rPr>
        <w:fldChar w:fldCharType="begin"/>
      </w:r>
      <w:r w:rsidR="00FC29D1" w:rsidRPr="0044065E">
        <w:rPr>
          <w:rFonts w:ascii="Century" w:hAnsi="Century"/>
          <w:lang w:val="en-GB"/>
        </w:rPr>
        <w:instrText xml:space="preserve"> NOTEREF _Ref85194406 \h </w:instrText>
      </w:r>
      <w:r w:rsidR="0044065E" w:rsidRPr="0044065E">
        <w:rPr>
          <w:rFonts w:ascii="Century" w:hAnsi="Century"/>
          <w:lang w:val="en-GB"/>
        </w:rPr>
        <w:instrText xml:space="preserve"> \* MERGEFORMAT </w:instrText>
      </w:r>
      <w:r w:rsidR="00FC29D1" w:rsidRPr="0044065E">
        <w:rPr>
          <w:rFonts w:ascii="Century" w:hAnsi="Century"/>
          <w:lang w:val="en-GB"/>
        </w:rPr>
      </w:r>
      <w:r w:rsidR="00FC29D1" w:rsidRPr="0044065E">
        <w:rPr>
          <w:rFonts w:ascii="Century" w:hAnsi="Century"/>
          <w:lang w:val="en-GB"/>
        </w:rPr>
        <w:fldChar w:fldCharType="separate"/>
      </w:r>
      <w:r w:rsidR="006D1DC3">
        <w:rPr>
          <w:rFonts w:ascii="Century" w:hAnsi="Century"/>
          <w:lang w:val="en-GB"/>
        </w:rPr>
        <w:t>26</w:t>
      </w:r>
      <w:r w:rsidR="00FC29D1" w:rsidRPr="0044065E">
        <w:rPr>
          <w:rFonts w:ascii="Century" w:hAnsi="Century"/>
          <w:lang w:val="en-GB"/>
        </w:rPr>
        <w:fldChar w:fldCharType="end"/>
      </w:r>
      <w:r w:rsidR="00FC29D1" w:rsidRPr="0044065E">
        <w:rPr>
          <w:rFonts w:ascii="Century" w:hAnsi="Century"/>
          <w:lang w:val="en-GB"/>
        </w:rPr>
        <w:t xml:space="preserve">) </w:t>
      </w:r>
      <w:r w:rsidR="00327562">
        <w:rPr>
          <w:rFonts w:ascii="Century" w:hAnsi="Century"/>
          <w:lang w:val="en-GB"/>
        </w:rPr>
        <w:t xml:space="preserve">paras </w:t>
      </w:r>
      <w:r w:rsidR="00956ADC" w:rsidRPr="0044065E">
        <w:rPr>
          <w:rFonts w:ascii="Century" w:hAnsi="Century"/>
          <w:lang w:val="en-GB"/>
        </w:rPr>
        <w:t>30-32</w:t>
      </w:r>
      <w:r w:rsidR="00AF43D6" w:rsidRPr="0044065E">
        <w:rPr>
          <w:rFonts w:ascii="Century" w:hAnsi="Century"/>
          <w:lang w:val="en-GB"/>
        </w:rPr>
        <w:t>.</w:t>
      </w:r>
      <w:r w:rsidRPr="0044065E">
        <w:rPr>
          <w:rFonts w:ascii="Century" w:hAnsi="Century"/>
          <w:lang w:val="en-GB"/>
        </w:rPr>
        <w:t xml:space="preserve"> </w:t>
      </w:r>
    </w:p>
  </w:footnote>
  <w:footnote w:id="29">
    <w:p w14:paraId="79886302" w14:textId="1851F4A5" w:rsidR="00956ADC" w:rsidRPr="0044065E" w:rsidRDefault="00956ADC" w:rsidP="0044065E">
      <w:pPr>
        <w:pStyle w:val="FootnoteText"/>
        <w:jc w:val="both"/>
        <w:rPr>
          <w:rFonts w:ascii="Century" w:hAnsi="Century"/>
          <w:lang w:val="en-GB"/>
        </w:rPr>
      </w:pPr>
      <w:r w:rsidRPr="0044065E">
        <w:rPr>
          <w:rStyle w:val="FootnoteReference"/>
          <w:rFonts w:ascii="Century" w:hAnsi="Century"/>
        </w:rPr>
        <w:footnoteRef/>
      </w:r>
      <w:r w:rsidR="00327562">
        <w:rPr>
          <w:rFonts w:ascii="Century" w:hAnsi="Century"/>
          <w:lang w:val="en-GB"/>
        </w:rPr>
        <w:t xml:space="preserve"> ibid</w:t>
      </w:r>
      <w:r w:rsidRPr="0044065E">
        <w:rPr>
          <w:rFonts w:ascii="Century" w:hAnsi="Century"/>
          <w:lang w:val="en-GB"/>
        </w:rPr>
        <w:t>.</w:t>
      </w:r>
    </w:p>
  </w:footnote>
  <w:footnote w:id="30">
    <w:p w14:paraId="63431E27" w14:textId="1B232AE5" w:rsidR="00DA2DD5" w:rsidRPr="0044065E" w:rsidRDefault="00DA2DD5"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iCs/>
          <w:lang w:val="en-GB"/>
        </w:rPr>
        <w:t>NECI v Labour Court and Ireland</w:t>
      </w:r>
      <w:r w:rsidR="00497E44" w:rsidRPr="0044065E">
        <w:rPr>
          <w:rFonts w:ascii="Century" w:hAnsi="Century"/>
          <w:i/>
          <w:iCs/>
          <w:lang w:val="en-GB"/>
        </w:rPr>
        <w:t xml:space="preserve"> </w:t>
      </w:r>
      <w:r w:rsidR="00497E44" w:rsidRPr="0044065E">
        <w:rPr>
          <w:rFonts w:ascii="Century" w:hAnsi="Century" w:cs="Times New Roman"/>
          <w:lang w:val="en-GB"/>
        </w:rPr>
        <w:t>[2020] IEHC 178.</w:t>
      </w:r>
    </w:p>
  </w:footnote>
  <w:footnote w:id="31">
    <w:p w14:paraId="2FF0CE60" w14:textId="1392DBB7" w:rsidR="00AF43D6" w:rsidRPr="0044065E" w:rsidRDefault="00AF43D6" w:rsidP="0044065E">
      <w:pPr>
        <w:pStyle w:val="FootnoteText"/>
        <w:jc w:val="both"/>
        <w:rPr>
          <w:rFonts w:ascii="Century" w:hAnsi="Century"/>
          <w:lang w:val="en-GB"/>
        </w:rPr>
      </w:pPr>
      <w:r w:rsidRPr="0044065E">
        <w:rPr>
          <w:rStyle w:val="FootnoteReference"/>
          <w:rFonts w:ascii="Century" w:hAnsi="Century"/>
        </w:rPr>
        <w:footnoteRef/>
      </w:r>
      <w:r w:rsidR="006C63DA">
        <w:rPr>
          <w:rFonts w:ascii="Century" w:hAnsi="Century"/>
        </w:rPr>
        <w:t xml:space="preserve"> </w:t>
      </w:r>
      <w:proofErr w:type="spellStart"/>
      <w:r w:rsidR="006C63DA">
        <w:rPr>
          <w:rFonts w:ascii="Century" w:hAnsi="Century"/>
        </w:rPr>
        <w:t>i</w:t>
      </w:r>
      <w:proofErr w:type="spellEnd"/>
      <w:r w:rsidR="006C63DA">
        <w:rPr>
          <w:rFonts w:ascii="Century" w:hAnsi="Century"/>
          <w:lang w:val="en-GB"/>
        </w:rPr>
        <w:t>bid.</w:t>
      </w:r>
    </w:p>
  </w:footnote>
  <w:footnote w:id="32">
    <w:p w14:paraId="18FC84CE" w14:textId="6F824A09" w:rsidR="00AF43D6" w:rsidRPr="0044065E" w:rsidRDefault="00AF43D6"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956ADC" w:rsidRPr="0044065E">
        <w:rPr>
          <w:rFonts w:ascii="Century" w:hAnsi="Century" w:cs="Times New Roman"/>
          <w:i/>
          <w:iCs/>
        </w:rPr>
        <w:t>NECI</w:t>
      </w:r>
      <w:r w:rsidR="00E717FC">
        <w:rPr>
          <w:rFonts w:ascii="Century" w:hAnsi="Century" w:cs="Times New Roman"/>
          <w:i/>
          <w:iCs/>
        </w:rPr>
        <w:t xml:space="preserve"> </w:t>
      </w:r>
      <w:r w:rsidR="004476C6" w:rsidRPr="0044065E">
        <w:rPr>
          <w:rFonts w:ascii="Century" w:hAnsi="Century" w:cs="Times New Roman"/>
        </w:rPr>
        <w:t>(</w:t>
      </w:r>
      <w:r w:rsidR="00E717FC">
        <w:rPr>
          <w:rFonts w:ascii="Century" w:hAnsi="Century" w:cs="Times New Roman"/>
        </w:rPr>
        <w:t xml:space="preserve">n </w:t>
      </w:r>
      <w:r w:rsidR="00E717FC" w:rsidRPr="0044065E">
        <w:rPr>
          <w:rFonts w:ascii="Century" w:hAnsi="Century" w:cs="Times New Roman"/>
        </w:rPr>
        <w:fldChar w:fldCharType="begin"/>
      </w:r>
      <w:r w:rsidR="00E717FC" w:rsidRPr="0044065E">
        <w:rPr>
          <w:rFonts w:ascii="Century" w:hAnsi="Century" w:cs="Times New Roman"/>
        </w:rPr>
        <w:instrText xml:space="preserve"> NOTEREF _Ref85194969 \h  \* MERGEFORMAT </w:instrText>
      </w:r>
      <w:r w:rsidR="00E717FC" w:rsidRPr="0044065E">
        <w:rPr>
          <w:rFonts w:ascii="Century" w:hAnsi="Century" w:cs="Times New Roman"/>
        </w:rPr>
      </w:r>
      <w:r w:rsidR="00E717FC" w:rsidRPr="0044065E">
        <w:rPr>
          <w:rFonts w:ascii="Century" w:hAnsi="Century" w:cs="Times New Roman"/>
        </w:rPr>
        <w:fldChar w:fldCharType="separate"/>
      </w:r>
      <w:r w:rsidR="00E717FC">
        <w:rPr>
          <w:rFonts w:ascii="Century" w:hAnsi="Century" w:cs="Times New Roman"/>
        </w:rPr>
        <w:t>11</w:t>
      </w:r>
      <w:r w:rsidR="00E717FC" w:rsidRPr="0044065E">
        <w:rPr>
          <w:rFonts w:ascii="Century" w:hAnsi="Century" w:cs="Times New Roman"/>
        </w:rPr>
        <w:fldChar w:fldCharType="end"/>
      </w:r>
      <w:r w:rsidR="004476C6" w:rsidRPr="0044065E">
        <w:rPr>
          <w:rFonts w:ascii="Century" w:hAnsi="Century" w:cs="Times New Roman"/>
        </w:rPr>
        <w:t xml:space="preserve">) </w:t>
      </w:r>
      <w:r w:rsidR="00AD49FD">
        <w:rPr>
          <w:rFonts w:ascii="Century" w:hAnsi="Century" w:cs="Times New Roman"/>
        </w:rPr>
        <w:t xml:space="preserve">para </w:t>
      </w:r>
      <w:r w:rsidR="00956ADC" w:rsidRPr="0044065E">
        <w:rPr>
          <w:rFonts w:ascii="Century" w:hAnsi="Century" w:cs="Times New Roman"/>
        </w:rPr>
        <w:t>54.</w:t>
      </w:r>
    </w:p>
  </w:footnote>
  <w:footnote w:id="33">
    <w:p w14:paraId="0F45A9E5" w14:textId="2C4B16C2"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CD562F">
        <w:rPr>
          <w:rFonts w:ascii="Century" w:hAnsi="Century"/>
          <w:lang w:val="en-GB"/>
        </w:rPr>
        <w:t xml:space="preserve">ibid, para </w:t>
      </w:r>
      <w:r w:rsidRPr="0044065E">
        <w:rPr>
          <w:rFonts w:ascii="Century" w:hAnsi="Century"/>
          <w:lang w:val="en-GB"/>
        </w:rPr>
        <w:t>55.</w:t>
      </w:r>
    </w:p>
  </w:footnote>
  <w:footnote w:id="34">
    <w:p w14:paraId="081C04C3" w14:textId="57B4E272" w:rsidR="00956ADC" w:rsidRPr="0044065E" w:rsidRDefault="00956AD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CD562F">
        <w:rPr>
          <w:rFonts w:ascii="Century" w:hAnsi="Century"/>
          <w:lang w:val="en-GB"/>
        </w:rPr>
        <w:t>ibid.</w:t>
      </w:r>
    </w:p>
  </w:footnote>
  <w:footnote w:id="35">
    <w:p w14:paraId="68D937B4" w14:textId="516024AD" w:rsidR="00F751E6" w:rsidRPr="0044065E" w:rsidRDefault="00F751E6"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AF7A62">
        <w:rPr>
          <w:rFonts w:ascii="Century" w:hAnsi="Century"/>
        </w:rPr>
        <w:t>ibid.</w:t>
      </w:r>
    </w:p>
  </w:footnote>
  <w:footnote w:id="36">
    <w:p w14:paraId="7E936E76" w14:textId="57F5DC28"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CD562F">
        <w:rPr>
          <w:rFonts w:ascii="Century" w:hAnsi="Century"/>
          <w:lang w:val="en-GB"/>
        </w:rPr>
        <w:t xml:space="preserve">ibid, para </w:t>
      </w:r>
      <w:r w:rsidRPr="0044065E">
        <w:rPr>
          <w:rFonts w:ascii="Century" w:hAnsi="Century"/>
          <w:lang w:val="en-GB"/>
        </w:rPr>
        <w:t xml:space="preserve">57. </w:t>
      </w:r>
    </w:p>
  </w:footnote>
  <w:footnote w:id="37">
    <w:p w14:paraId="713CA296" w14:textId="29BB3238" w:rsidR="0056316E" w:rsidRPr="0044065E" w:rsidRDefault="0056316E"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CD562F">
        <w:rPr>
          <w:rFonts w:ascii="Century" w:hAnsi="Century"/>
          <w:lang w:val="en-GB"/>
        </w:rPr>
        <w:t xml:space="preserve">ibid, para </w:t>
      </w:r>
      <w:r w:rsidRPr="0044065E">
        <w:rPr>
          <w:rFonts w:ascii="Century" w:hAnsi="Century"/>
          <w:lang w:val="en-GB"/>
        </w:rPr>
        <w:t xml:space="preserve">65. </w:t>
      </w:r>
    </w:p>
  </w:footnote>
  <w:footnote w:id="38">
    <w:p w14:paraId="79018E83" w14:textId="350C345E"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775C9D">
        <w:rPr>
          <w:rFonts w:ascii="Century" w:hAnsi="Century"/>
        </w:rPr>
        <w:t xml:space="preserve">ibid, para </w:t>
      </w:r>
      <w:r w:rsidRPr="0044065E">
        <w:rPr>
          <w:rFonts w:ascii="Century" w:hAnsi="Century"/>
          <w:lang w:val="en-GB"/>
        </w:rPr>
        <w:t xml:space="preserve">59. </w:t>
      </w:r>
    </w:p>
  </w:footnote>
  <w:footnote w:id="39">
    <w:p w14:paraId="4BC53C4A" w14:textId="6833386E"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775C9D">
        <w:rPr>
          <w:rFonts w:ascii="Century" w:hAnsi="Century"/>
        </w:rPr>
        <w:t xml:space="preserve">ibid, para </w:t>
      </w:r>
      <w:r w:rsidRPr="0044065E">
        <w:rPr>
          <w:rFonts w:ascii="Century" w:hAnsi="Century"/>
          <w:lang w:val="en-GB"/>
        </w:rPr>
        <w:t>61.</w:t>
      </w:r>
    </w:p>
  </w:footnote>
  <w:footnote w:id="40">
    <w:p w14:paraId="68A6B0BB" w14:textId="47D5CB6A"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775C9D">
        <w:rPr>
          <w:rFonts w:ascii="Century" w:hAnsi="Century"/>
        </w:rPr>
        <w:t xml:space="preserve">ibid, para </w:t>
      </w:r>
      <w:r w:rsidRPr="0044065E">
        <w:rPr>
          <w:rFonts w:ascii="Century" w:hAnsi="Century"/>
          <w:lang w:val="en-GB"/>
        </w:rPr>
        <w:t>62</w:t>
      </w:r>
      <w:r w:rsidR="00956ADC" w:rsidRPr="0044065E">
        <w:rPr>
          <w:rFonts w:ascii="Century" w:hAnsi="Century"/>
          <w:lang w:val="en-GB"/>
        </w:rPr>
        <w:t>.</w:t>
      </w:r>
    </w:p>
  </w:footnote>
  <w:footnote w:id="41">
    <w:p w14:paraId="5DD6EB92" w14:textId="317C4397"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757333">
        <w:rPr>
          <w:rFonts w:ascii="Century" w:hAnsi="Century"/>
        </w:rPr>
        <w:t xml:space="preserve">ibid, para </w:t>
      </w:r>
      <w:r w:rsidRPr="0044065E">
        <w:rPr>
          <w:rFonts w:ascii="Century" w:hAnsi="Century"/>
          <w:lang w:val="en-GB"/>
        </w:rPr>
        <w:t xml:space="preserve">63. </w:t>
      </w:r>
    </w:p>
  </w:footnote>
  <w:footnote w:id="42">
    <w:p w14:paraId="4E3916E5" w14:textId="33F58A3C" w:rsidR="005E7AFD" w:rsidRPr="0044065E" w:rsidRDefault="005E7AFD"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E916E9">
        <w:rPr>
          <w:rFonts w:ascii="Century" w:hAnsi="Century"/>
        </w:rPr>
        <w:t xml:space="preserve">ibid, para </w:t>
      </w:r>
      <w:r w:rsidR="00BF7AE9" w:rsidRPr="0044065E">
        <w:rPr>
          <w:rFonts w:ascii="Century" w:hAnsi="Century"/>
        </w:rPr>
        <w:t>70.</w:t>
      </w:r>
    </w:p>
  </w:footnote>
  <w:footnote w:id="43">
    <w:p w14:paraId="4D94E6F6" w14:textId="1AFD00FF" w:rsidR="00BF7AE9" w:rsidRPr="0044065E" w:rsidRDefault="00BF7AE9"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536CA">
        <w:rPr>
          <w:rFonts w:ascii="Century" w:hAnsi="Century"/>
        </w:rPr>
        <w:t xml:space="preserve">ibid, para </w:t>
      </w:r>
      <w:r w:rsidRPr="0044065E">
        <w:rPr>
          <w:rFonts w:ascii="Century" w:hAnsi="Century"/>
          <w:lang w:val="en-GB"/>
        </w:rPr>
        <w:t>137.</w:t>
      </w:r>
    </w:p>
  </w:footnote>
  <w:footnote w:id="44">
    <w:p w14:paraId="2B930632" w14:textId="542A7D56" w:rsidR="00832FB2" w:rsidRPr="0044065E" w:rsidRDefault="00832FB2"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536CA">
        <w:rPr>
          <w:rFonts w:ascii="Century" w:hAnsi="Century"/>
        </w:rPr>
        <w:t xml:space="preserve">ibid, para </w:t>
      </w:r>
      <w:r w:rsidRPr="0044065E">
        <w:rPr>
          <w:rFonts w:ascii="Century" w:hAnsi="Century"/>
          <w:lang w:val="en-GB"/>
        </w:rPr>
        <w:t>92.</w:t>
      </w:r>
    </w:p>
  </w:footnote>
  <w:footnote w:id="45">
    <w:p w14:paraId="4D7C35B1" w14:textId="4CC85047"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536CA">
        <w:rPr>
          <w:rFonts w:ascii="Century" w:hAnsi="Century"/>
        </w:rPr>
        <w:t xml:space="preserve">ibid, para </w:t>
      </w:r>
      <w:r w:rsidRPr="0044065E">
        <w:rPr>
          <w:rFonts w:ascii="Century" w:hAnsi="Century"/>
          <w:lang w:val="en-GB"/>
        </w:rPr>
        <w:t>92.</w:t>
      </w:r>
    </w:p>
  </w:footnote>
  <w:footnote w:id="46">
    <w:p w14:paraId="3124B73F" w14:textId="1BC85176"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536CA">
        <w:rPr>
          <w:rFonts w:ascii="Century" w:hAnsi="Century"/>
        </w:rPr>
        <w:t xml:space="preserve">ibid, para </w:t>
      </w:r>
      <w:r w:rsidRPr="0044065E">
        <w:rPr>
          <w:rFonts w:ascii="Century" w:hAnsi="Century"/>
          <w:lang w:val="en-GB"/>
        </w:rPr>
        <w:t>90.</w:t>
      </w:r>
    </w:p>
  </w:footnote>
  <w:footnote w:id="47">
    <w:p w14:paraId="6896AD99" w14:textId="6EE9E5AB"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62756F" w:rsidRPr="0044065E">
        <w:rPr>
          <w:rFonts w:ascii="Century" w:hAnsi="Century"/>
          <w:color w:val="000000" w:themeColor="text1"/>
          <w:lang w:val="en-GB"/>
        </w:rPr>
        <w:t>Industrial Relations (Amendment) Act 2015</w:t>
      </w:r>
      <w:r w:rsidR="008536CA">
        <w:rPr>
          <w:rFonts w:ascii="Century" w:hAnsi="Century"/>
          <w:color w:val="000000" w:themeColor="text1"/>
          <w:lang w:val="en-GB"/>
        </w:rPr>
        <w:t>,</w:t>
      </w:r>
      <w:r w:rsidR="0062756F" w:rsidRPr="0044065E">
        <w:rPr>
          <w:rFonts w:ascii="Century" w:hAnsi="Century"/>
          <w:color w:val="000000" w:themeColor="text1"/>
          <w:lang w:val="en-GB"/>
        </w:rPr>
        <w:t xml:space="preserve"> </w:t>
      </w:r>
      <w:r w:rsidR="0062756F" w:rsidRPr="0044065E">
        <w:rPr>
          <w:rFonts w:ascii="Century" w:hAnsi="Century"/>
          <w:lang w:val="en-GB"/>
        </w:rPr>
        <w:t>s</w:t>
      </w:r>
      <w:r w:rsidR="008536CA">
        <w:rPr>
          <w:rFonts w:ascii="Century" w:hAnsi="Century"/>
          <w:lang w:val="en-GB"/>
        </w:rPr>
        <w:t xml:space="preserve"> </w:t>
      </w:r>
      <w:r w:rsidRPr="0044065E">
        <w:rPr>
          <w:rFonts w:ascii="Century" w:hAnsi="Century"/>
          <w:lang w:val="en-GB"/>
        </w:rPr>
        <w:t>16(4)</w:t>
      </w:r>
      <w:r w:rsidR="00832FB2" w:rsidRPr="0044065E">
        <w:rPr>
          <w:rFonts w:ascii="Century" w:hAnsi="Century"/>
          <w:color w:val="000000" w:themeColor="text1"/>
          <w:lang w:val="en-GB"/>
        </w:rPr>
        <w:t>.</w:t>
      </w:r>
    </w:p>
  </w:footnote>
  <w:footnote w:id="48">
    <w:p w14:paraId="74DCD1C0" w14:textId="4CEF6B98" w:rsidR="00355C36" w:rsidRPr="0044065E" w:rsidRDefault="00355C36"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9330C" w:rsidRPr="0044065E">
        <w:rPr>
          <w:rFonts w:ascii="Century" w:hAnsi="Century"/>
          <w:color w:val="000000" w:themeColor="text1"/>
          <w:lang w:val="en-GB"/>
        </w:rPr>
        <w:t xml:space="preserve">NECI </w:t>
      </w:r>
      <w:r w:rsidR="0062756F" w:rsidRPr="0044065E">
        <w:rPr>
          <w:rFonts w:ascii="Century" w:hAnsi="Century"/>
          <w:color w:val="000000" w:themeColor="text1"/>
          <w:lang w:val="en-GB"/>
        </w:rPr>
        <w:t>(</w:t>
      </w:r>
      <w:r w:rsidR="009F4EF1">
        <w:rPr>
          <w:rFonts w:ascii="Century" w:hAnsi="Century"/>
          <w:color w:val="000000" w:themeColor="text1"/>
          <w:lang w:val="en-GB"/>
        </w:rPr>
        <w:t xml:space="preserve">n </w:t>
      </w:r>
      <w:r w:rsidR="009F4EF1" w:rsidRPr="0044065E">
        <w:rPr>
          <w:rFonts w:ascii="Century" w:hAnsi="Century"/>
          <w:color w:val="000000" w:themeColor="text1"/>
          <w:lang w:val="en-GB"/>
        </w:rPr>
        <w:fldChar w:fldCharType="begin"/>
      </w:r>
      <w:r w:rsidR="009F4EF1" w:rsidRPr="0044065E">
        <w:rPr>
          <w:rFonts w:ascii="Century" w:hAnsi="Century"/>
          <w:color w:val="000000" w:themeColor="text1"/>
          <w:lang w:val="en-GB"/>
        </w:rPr>
        <w:instrText xml:space="preserve"> NOTEREF _Ref85194969 \h  \* MERGEFORMAT </w:instrText>
      </w:r>
      <w:r w:rsidR="009F4EF1" w:rsidRPr="0044065E">
        <w:rPr>
          <w:rFonts w:ascii="Century" w:hAnsi="Century"/>
          <w:color w:val="000000" w:themeColor="text1"/>
          <w:lang w:val="en-GB"/>
        </w:rPr>
      </w:r>
      <w:r w:rsidR="009F4EF1" w:rsidRPr="0044065E">
        <w:rPr>
          <w:rFonts w:ascii="Century" w:hAnsi="Century"/>
          <w:color w:val="000000" w:themeColor="text1"/>
          <w:lang w:val="en-GB"/>
        </w:rPr>
        <w:fldChar w:fldCharType="separate"/>
      </w:r>
      <w:r w:rsidR="009F4EF1">
        <w:rPr>
          <w:rFonts w:ascii="Century" w:hAnsi="Century"/>
          <w:color w:val="000000" w:themeColor="text1"/>
          <w:lang w:val="en-GB"/>
        </w:rPr>
        <w:t>11</w:t>
      </w:r>
      <w:r w:rsidR="009F4EF1" w:rsidRPr="0044065E">
        <w:rPr>
          <w:rFonts w:ascii="Century" w:hAnsi="Century"/>
          <w:color w:val="000000" w:themeColor="text1"/>
          <w:lang w:val="en-GB"/>
        </w:rPr>
        <w:fldChar w:fldCharType="end"/>
      </w:r>
      <w:r w:rsidR="0062756F" w:rsidRPr="0044065E">
        <w:rPr>
          <w:rFonts w:ascii="Century" w:hAnsi="Century"/>
          <w:color w:val="000000" w:themeColor="text1"/>
          <w:lang w:val="en-GB"/>
        </w:rPr>
        <w:t>)</w:t>
      </w:r>
      <w:r w:rsidR="008536CA">
        <w:rPr>
          <w:rFonts w:ascii="Century" w:hAnsi="Century"/>
          <w:color w:val="000000" w:themeColor="text1"/>
          <w:lang w:val="en-GB"/>
        </w:rPr>
        <w:t xml:space="preserve"> para </w:t>
      </w:r>
      <w:r w:rsidR="0089330C" w:rsidRPr="0044065E">
        <w:rPr>
          <w:rFonts w:ascii="Century" w:hAnsi="Century"/>
          <w:color w:val="000000" w:themeColor="text1"/>
          <w:lang w:val="en-GB"/>
        </w:rPr>
        <w:t>95.</w:t>
      </w:r>
    </w:p>
  </w:footnote>
  <w:footnote w:id="49">
    <w:p w14:paraId="778EABE2" w14:textId="0FC3EA86"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536CA">
        <w:rPr>
          <w:rFonts w:ascii="Century" w:hAnsi="Century"/>
        </w:rPr>
        <w:t xml:space="preserve">ibid, para </w:t>
      </w:r>
      <w:r w:rsidRPr="0044065E">
        <w:rPr>
          <w:rFonts w:ascii="Century" w:hAnsi="Century"/>
          <w:lang w:val="en-GB"/>
        </w:rPr>
        <w:t xml:space="preserve">88. </w:t>
      </w:r>
    </w:p>
  </w:footnote>
  <w:footnote w:id="50">
    <w:p w14:paraId="35E98705" w14:textId="19CEFB9E"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536CA">
        <w:rPr>
          <w:rFonts w:ascii="Century" w:hAnsi="Century"/>
        </w:rPr>
        <w:t xml:space="preserve">ibid, para </w:t>
      </w:r>
      <w:r w:rsidRPr="0044065E">
        <w:rPr>
          <w:rFonts w:ascii="Century" w:hAnsi="Century"/>
          <w:lang w:val="en-GB"/>
        </w:rPr>
        <w:t>97.</w:t>
      </w:r>
    </w:p>
  </w:footnote>
  <w:footnote w:id="51">
    <w:p w14:paraId="5AED8C9A" w14:textId="5B30B522"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A2FAE">
        <w:rPr>
          <w:rFonts w:ascii="Century" w:hAnsi="Century"/>
        </w:rPr>
        <w:t xml:space="preserve">ibid, para </w:t>
      </w:r>
      <w:r w:rsidRPr="0044065E">
        <w:rPr>
          <w:rFonts w:ascii="Century" w:hAnsi="Century"/>
          <w:lang w:val="en-GB"/>
        </w:rPr>
        <w:t xml:space="preserve">92. </w:t>
      </w:r>
    </w:p>
  </w:footnote>
  <w:footnote w:id="52">
    <w:p w14:paraId="6637DC37" w14:textId="356DD542"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A2FAE">
        <w:rPr>
          <w:rFonts w:ascii="Century" w:hAnsi="Century"/>
        </w:rPr>
        <w:t xml:space="preserve">ibid, para </w:t>
      </w:r>
      <w:r w:rsidRPr="0044065E">
        <w:rPr>
          <w:rFonts w:ascii="Century" w:hAnsi="Century"/>
          <w:lang w:val="en-GB"/>
        </w:rPr>
        <w:t>99.</w:t>
      </w:r>
    </w:p>
  </w:footnote>
  <w:footnote w:id="53">
    <w:p w14:paraId="080815E2" w14:textId="519B203D"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A2FAE">
        <w:rPr>
          <w:rFonts w:ascii="Century" w:hAnsi="Century"/>
        </w:rPr>
        <w:t xml:space="preserve">ibid. </w:t>
      </w:r>
    </w:p>
  </w:footnote>
  <w:footnote w:id="54">
    <w:p w14:paraId="393C21CB" w14:textId="0F35118A"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000A2FAE">
        <w:rPr>
          <w:rFonts w:ascii="Century" w:hAnsi="Century"/>
          <w:lang w:val="en-GB"/>
        </w:rPr>
        <w:t xml:space="preserve"> ibid.</w:t>
      </w:r>
    </w:p>
  </w:footnote>
  <w:footnote w:id="55">
    <w:p w14:paraId="52E94668" w14:textId="7A9A0451"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A72E9">
        <w:rPr>
          <w:rFonts w:ascii="Century" w:hAnsi="Century"/>
        </w:rPr>
        <w:t xml:space="preserve">ibid, paras </w:t>
      </w:r>
      <w:r w:rsidR="00355174" w:rsidRPr="0044065E">
        <w:rPr>
          <w:rFonts w:ascii="Century" w:hAnsi="Century"/>
          <w:lang w:val="en-GB"/>
        </w:rPr>
        <w:t>130-131.</w:t>
      </w:r>
    </w:p>
  </w:footnote>
  <w:footnote w:id="56">
    <w:p w14:paraId="5A3EDF91" w14:textId="26E8C9DF"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A72E9">
        <w:rPr>
          <w:rFonts w:ascii="Century" w:hAnsi="Century"/>
        </w:rPr>
        <w:t xml:space="preserve">ibid, para </w:t>
      </w:r>
      <w:r w:rsidR="00CE580D" w:rsidRPr="0044065E">
        <w:rPr>
          <w:rFonts w:ascii="Century" w:hAnsi="Century"/>
          <w:lang w:val="en-GB"/>
        </w:rPr>
        <w:t>126</w:t>
      </w:r>
      <w:r w:rsidR="004B723F" w:rsidRPr="0044065E">
        <w:rPr>
          <w:rFonts w:ascii="Century" w:hAnsi="Century"/>
          <w:lang w:val="en-GB"/>
        </w:rPr>
        <w:t>.</w:t>
      </w:r>
    </w:p>
  </w:footnote>
  <w:footnote w:id="57">
    <w:p w14:paraId="3913AB12" w14:textId="7AAB78F6"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A72E9">
        <w:rPr>
          <w:rFonts w:ascii="Century" w:hAnsi="Century"/>
        </w:rPr>
        <w:t xml:space="preserve">ibid, paras </w:t>
      </w:r>
      <w:r w:rsidR="00CE580D" w:rsidRPr="0044065E">
        <w:rPr>
          <w:rFonts w:ascii="Century" w:hAnsi="Century"/>
          <w:lang w:val="en-GB"/>
        </w:rPr>
        <w:t>130-</w:t>
      </w:r>
      <w:r w:rsidRPr="0044065E">
        <w:rPr>
          <w:rFonts w:ascii="Century" w:hAnsi="Century"/>
          <w:lang w:val="en-GB"/>
        </w:rPr>
        <w:t>131</w:t>
      </w:r>
      <w:r w:rsidR="00DA72E9">
        <w:rPr>
          <w:rFonts w:ascii="Century" w:hAnsi="Century"/>
          <w:lang w:val="en-GB"/>
        </w:rPr>
        <w:t>.</w:t>
      </w:r>
    </w:p>
  </w:footnote>
  <w:footnote w:id="58">
    <w:p w14:paraId="4296B2DF" w14:textId="18A942DB"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A72E9">
        <w:rPr>
          <w:rFonts w:ascii="Century" w:hAnsi="Century"/>
        </w:rPr>
        <w:t xml:space="preserve">ibid, para </w:t>
      </w:r>
      <w:r w:rsidRPr="0044065E">
        <w:rPr>
          <w:rFonts w:ascii="Century" w:hAnsi="Century"/>
          <w:lang w:val="en-GB"/>
        </w:rPr>
        <w:t>134.</w:t>
      </w:r>
    </w:p>
  </w:footnote>
  <w:footnote w:id="59">
    <w:p w14:paraId="3088161A" w14:textId="2811F941" w:rsidR="000D441C" w:rsidRPr="0044065E" w:rsidRDefault="000D441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A72E9">
        <w:rPr>
          <w:rFonts w:ascii="Century" w:hAnsi="Century"/>
        </w:rPr>
        <w:t xml:space="preserve">ibid, para </w:t>
      </w:r>
      <w:r w:rsidRPr="0044065E">
        <w:rPr>
          <w:rFonts w:ascii="Century" w:hAnsi="Century"/>
          <w:lang w:val="en-GB"/>
        </w:rPr>
        <w:t>137.</w:t>
      </w:r>
    </w:p>
  </w:footnote>
  <w:footnote w:id="60">
    <w:p w14:paraId="3FE128B9" w14:textId="1550BE46" w:rsidR="00DE1F4F" w:rsidRPr="0044065E" w:rsidRDefault="00DE1F4F"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7F53A2">
        <w:rPr>
          <w:rFonts w:ascii="Century" w:hAnsi="Century"/>
        </w:rPr>
        <w:t xml:space="preserve">ibid, para </w:t>
      </w:r>
      <w:r w:rsidRPr="0044065E">
        <w:rPr>
          <w:rFonts w:ascii="Century" w:hAnsi="Century"/>
          <w:lang w:val="en-GB"/>
        </w:rPr>
        <w:t>21</w:t>
      </w:r>
      <w:r w:rsidR="004476C6" w:rsidRPr="0044065E">
        <w:rPr>
          <w:rFonts w:ascii="Century" w:hAnsi="Century"/>
          <w:lang w:val="en-GB"/>
        </w:rPr>
        <w:t xml:space="preserve"> (</w:t>
      </w:r>
      <w:r w:rsidR="000C1492">
        <w:rPr>
          <w:rFonts w:ascii="Century" w:hAnsi="Century"/>
          <w:lang w:val="en-GB"/>
        </w:rPr>
        <w:t>p</w:t>
      </w:r>
      <w:r w:rsidR="004476C6" w:rsidRPr="0044065E">
        <w:rPr>
          <w:rFonts w:ascii="Century" w:hAnsi="Century"/>
          <w:lang w:val="en-GB"/>
        </w:rPr>
        <w:t>er Charleton J.)</w:t>
      </w:r>
    </w:p>
  </w:footnote>
  <w:footnote w:id="61">
    <w:p w14:paraId="72ED910A" w14:textId="30838842" w:rsidR="00DE1F4F" w:rsidRPr="0044065E" w:rsidRDefault="00DE1F4F"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C1492">
        <w:rPr>
          <w:rFonts w:ascii="Century" w:hAnsi="Century"/>
        </w:rPr>
        <w:t xml:space="preserve">ibid, para </w:t>
      </w:r>
      <w:r w:rsidRPr="0044065E">
        <w:rPr>
          <w:rFonts w:ascii="Century" w:hAnsi="Century"/>
        </w:rPr>
        <w:t>22.</w:t>
      </w:r>
    </w:p>
  </w:footnote>
  <w:footnote w:id="62">
    <w:p w14:paraId="096D34BD" w14:textId="42500E32" w:rsidR="00DE1F4F" w:rsidRPr="0044065E" w:rsidRDefault="00DE1F4F"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C1492">
        <w:rPr>
          <w:rFonts w:ascii="Century" w:hAnsi="Century"/>
        </w:rPr>
        <w:t xml:space="preserve">ibid, para </w:t>
      </w:r>
      <w:r w:rsidRPr="0044065E">
        <w:rPr>
          <w:rFonts w:ascii="Century" w:hAnsi="Century"/>
        </w:rPr>
        <w:t>26.</w:t>
      </w:r>
    </w:p>
  </w:footnote>
  <w:footnote w:id="63">
    <w:p w14:paraId="4D634DC1" w14:textId="74D2E528" w:rsidR="00DE1F4F" w:rsidRPr="0044065E" w:rsidRDefault="00DE1F4F"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C1492">
        <w:rPr>
          <w:rFonts w:ascii="Century" w:hAnsi="Century"/>
        </w:rPr>
        <w:t xml:space="preserve">ibid, para </w:t>
      </w:r>
      <w:r w:rsidRPr="0044065E">
        <w:rPr>
          <w:rFonts w:ascii="Century" w:hAnsi="Century"/>
        </w:rPr>
        <w:t>22.</w:t>
      </w:r>
    </w:p>
  </w:footnote>
  <w:footnote w:id="64">
    <w:p w14:paraId="2581226A" w14:textId="4979E4F0" w:rsidR="001E1780" w:rsidRPr="0044065E" w:rsidRDefault="001E1780"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C1492">
        <w:rPr>
          <w:rFonts w:ascii="Century" w:hAnsi="Century"/>
        </w:rPr>
        <w:t xml:space="preserve">ibid, para </w:t>
      </w:r>
      <w:r w:rsidRPr="0044065E">
        <w:rPr>
          <w:rFonts w:ascii="Century" w:hAnsi="Century"/>
          <w:lang w:val="en-GB"/>
        </w:rPr>
        <w:t>31.</w:t>
      </w:r>
    </w:p>
  </w:footnote>
  <w:footnote w:id="65">
    <w:p w14:paraId="42F2A16A" w14:textId="66738495" w:rsidR="00DE1F4F" w:rsidRPr="0044065E" w:rsidRDefault="00DE1F4F"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422040">
        <w:rPr>
          <w:rFonts w:ascii="Century" w:hAnsi="Century"/>
        </w:rPr>
        <w:t xml:space="preserve">ibid, para </w:t>
      </w:r>
      <w:r w:rsidRPr="0044065E">
        <w:rPr>
          <w:rFonts w:ascii="Century" w:hAnsi="Century"/>
        </w:rPr>
        <w:t>31.</w:t>
      </w:r>
    </w:p>
  </w:footnote>
  <w:footnote w:id="66">
    <w:p w14:paraId="6356D1D0" w14:textId="2309E6BA"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rPr>
        <w:t xml:space="preserve">See </w:t>
      </w:r>
      <w:r w:rsidRPr="0044065E">
        <w:rPr>
          <w:rFonts w:ascii="Century" w:hAnsi="Century"/>
          <w:i/>
          <w:lang w:val="en-GB"/>
        </w:rPr>
        <w:t>Cityview Press</w:t>
      </w:r>
      <w:r w:rsidR="005B787A" w:rsidRPr="0044065E">
        <w:rPr>
          <w:rFonts w:ascii="Century" w:hAnsi="Century"/>
          <w:lang w:val="en-GB"/>
        </w:rPr>
        <w:t xml:space="preserve"> (</w:t>
      </w:r>
      <w:r w:rsidR="00AF7A62">
        <w:rPr>
          <w:rFonts w:ascii="Century" w:hAnsi="Century"/>
          <w:lang w:val="en-GB"/>
        </w:rPr>
        <w:t xml:space="preserve">n </w:t>
      </w:r>
      <w:r w:rsidR="00AF7A62" w:rsidRPr="0044065E">
        <w:rPr>
          <w:rFonts w:ascii="Century" w:hAnsi="Century"/>
          <w:lang w:val="en-GB"/>
        </w:rPr>
        <w:fldChar w:fldCharType="begin"/>
      </w:r>
      <w:r w:rsidR="00AF7A62" w:rsidRPr="0044065E">
        <w:rPr>
          <w:rFonts w:ascii="Century" w:hAnsi="Century"/>
          <w:lang w:val="en-GB"/>
        </w:rPr>
        <w:instrText xml:space="preserve"> NOTEREF _Ref85194041 \h  \* MERGEFORMAT </w:instrText>
      </w:r>
      <w:r w:rsidR="00AF7A62" w:rsidRPr="0044065E">
        <w:rPr>
          <w:rFonts w:ascii="Century" w:hAnsi="Century"/>
          <w:lang w:val="en-GB"/>
        </w:rPr>
      </w:r>
      <w:r w:rsidR="00AF7A62" w:rsidRPr="0044065E">
        <w:rPr>
          <w:rFonts w:ascii="Century" w:hAnsi="Century"/>
          <w:lang w:val="en-GB"/>
        </w:rPr>
        <w:fldChar w:fldCharType="separate"/>
      </w:r>
      <w:r w:rsidR="00AF7A62">
        <w:rPr>
          <w:rFonts w:ascii="Century" w:hAnsi="Century"/>
          <w:lang w:val="en-GB"/>
        </w:rPr>
        <w:t>4</w:t>
      </w:r>
      <w:r w:rsidR="00AF7A62" w:rsidRPr="0044065E">
        <w:rPr>
          <w:rFonts w:ascii="Century" w:hAnsi="Century"/>
          <w:lang w:val="en-GB"/>
        </w:rPr>
        <w:fldChar w:fldCharType="end"/>
      </w:r>
      <w:r w:rsidR="005B787A" w:rsidRPr="0044065E">
        <w:rPr>
          <w:rFonts w:ascii="Century" w:hAnsi="Century"/>
          <w:lang w:val="en-GB"/>
        </w:rPr>
        <w:t>)</w:t>
      </w:r>
      <w:r w:rsidRPr="0044065E">
        <w:rPr>
          <w:rFonts w:ascii="Century" w:hAnsi="Century"/>
          <w:lang w:val="en-GB"/>
        </w:rPr>
        <w:t xml:space="preserve"> 399; </w:t>
      </w:r>
      <w:r w:rsidRPr="0044065E">
        <w:rPr>
          <w:rFonts w:ascii="Century" w:hAnsi="Century"/>
          <w:i/>
          <w:lang w:val="en-GB"/>
        </w:rPr>
        <w:t xml:space="preserve">Laurentiu v Minister for Justice </w:t>
      </w:r>
      <w:r w:rsidRPr="0044065E">
        <w:rPr>
          <w:rFonts w:ascii="Century" w:hAnsi="Century"/>
          <w:lang w:val="en-GB"/>
        </w:rPr>
        <w:t>[199</w:t>
      </w:r>
      <w:r w:rsidR="00D115D3" w:rsidRPr="0044065E">
        <w:rPr>
          <w:rFonts w:ascii="Century" w:hAnsi="Century"/>
          <w:lang w:val="en-GB"/>
        </w:rPr>
        <w:t>9</w:t>
      </w:r>
      <w:r w:rsidRPr="0044065E">
        <w:rPr>
          <w:rFonts w:ascii="Century" w:hAnsi="Century"/>
          <w:lang w:val="en-GB"/>
        </w:rPr>
        <w:t>] 4 IR 26, 63.</w:t>
      </w:r>
    </w:p>
  </w:footnote>
  <w:footnote w:id="67">
    <w:p w14:paraId="56E541D5" w14:textId="6A4B79DD" w:rsidR="00005089" w:rsidRPr="0044065E" w:rsidRDefault="00005089"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Oran Doyle, ‘Administrative Action, the Rule of Law, and Unconstitutional Vagueness’ in Laura Cahillane, James Gallen &amp; Tom Hickey</w:t>
      </w:r>
      <w:r w:rsidR="0062756F" w:rsidRPr="0044065E">
        <w:rPr>
          <w:rFonts w:ascii="Century" w:hAnsi="Century"/>
          <w:lang w:val="en-GB"/>
        </w:rPr>
        <w:t xml:space="preserve"> (ed</w:t>
      </w:r>
      <w:r w:rsidR="00C8739D">
        <w:rPr>
          <w:rFonts w:ascii="Century" w:hAnsi="Century"/>
          <w:lang w:val="en-GB"/>
        </w:rPr>
        <w:t>s</w:t>
      </w:r>
      <w:r w:rsidR="0062756F" w:rsidRPr="0044065E">
        <w:rPr>
          <w:rFonts w:ascii="Century" w:hAnsi="Century"/>
          <w:lang w:val="en-GB"/>
        </w:rPr>
        <w:t>)</w:t>
      </w:r>
      <w:r w:rsidRPr="0044065E">
        <w:rPr>
          <w:rFonts w:ascii="Century" w:hAnsi="Century"/>
          <w:lang w:val="en-GB"/>
        </w:rPr>
        <w:t xml:space="preserve">, </w:t>
      </w:r>
      <w:r w:rsidRPr="0044065E">
        <w:rPr>
          <w:rFonts w:ascii="Century" w:hAnsi="Century"/>
          <w:i/>
          <w:iCs/>
          <w:lang w:val="en-GB"/>
        </w:rPr>
        <w:t xml:space="preserve">Judges, Politics and the Irish Constitution </w:t>
      </w:r>
      <w:r w:rsidRPr="0044065E">
        <w:rPr>
          <w:rFonts w:ascii="Century" w:hAnsi="Century"/>
          <w:lang w:val="en-GB"/>
        </w:rPr>
        <w:t>(Manchester University Press 2017) 241-242.</w:t>
      </w:r>
    </w:p>
  </w:footnote>
  <w:footnote w:id="68">
    <w:p w14:paraId="14BC0882" w14:textId="6BD7AFE3"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rPr>
        <w:t xml:space="preserve">Kennedy v Law Society </w:t>
      </w:r>
      <w:r w:rsidRPr="0044065E">
        <w:rPr>
          <w:rFonts w:ascii="Century" w:hAnsi="Century"/>
        </w:rPr>
        <w:t>[2002] 2 IR 458, 486</w:t>
      </w:r>
      <w:r w:rsidR="00024A64">
        <w:rPr>
          <w:rFonts w:ascii="Century" w:hAnsi="Century"/>
        </w:rPr>
        <w:t xml:space="preserve">; </w:t>
      </w:r>
      <w:r w:rsidRPr="0044065E">
        <w:rPr>
          <w:rFonts w:ascii="Century" w:hAnsi="Century"/>
          <w:lang w:val="en-GB"/>
        </w:rPr>
        <w:t xml:space="preserve">Gerard Hogan, Gerry Whyte, David Kenny, Rachael Walsh, </w:t>
      </w:r>
      <w:r w:rsidRPr="0044065E">
        <w:rPr>
          <w:rFonts w:ascii="Century" w:hAnsi="Century"/>
          <w:i/>
          <w:lang w:val="en-GB"/>
        </w:rPr>
        <w:t xml:space="preserve">Kelly: The Irish Constitution </w:t>
      </w:r>
      <w:r w:rsidRPr="0044065E">
        <w:rPr>
          <w:rFonts w:ascii="Century" w:hAnsi="Century"/>
          <w:lang w:val="en-GB"/>
        </w:rPr>
        <w:t>(</w:t>
      </w:r>
      <w:r w:rsidR="00357B56" w:rsidRPr="0044065E">
        <w:rPr>
          <w:rFonts w:ascii="Century" w:hAnsi="Century"/>
          <w:lang w:val="en-GB"/>
        </w:rPr>
        <w:t>6</w:t>
      </w:r>
      <w:r w:rsidR="009F4EF1">
        <w:rPr>
          <w:rFonts w:ascii="Century" w:hAnsi="Century"/>
          <w:lang w:val="en-GB"/>
        </w:rPr>
        <w:t>th</w:t>
      </w:r>
      <w:r w:rsidR="00357B56" w:rsidRPr="0044065E">
        <w:rPr>
          <w:rFonts w:ascii="Century" w:hAnsi="Century"/>
          <w:lang w:val="en-GB"/>
        </w:rPr>
        <w:t xml:space="preserve"> </w:t>
      </w:r>
      <w:proofErr w:type="spellStart"/>
      <w:r w:rsidR="00357B56" w:rsidRPr="0044065E">
        <w:rPr>
          <w:rFonts w:ascii="Century" w:hAnsi="Century"/>
          <w:lang w:val="en-GB"/>
        </w:rPr>
        <w:t>edn</w:t>
      </w:r>
      <w:proofErr w:type="spellEnd"/>
      <w:r w:rsidR="00357B56">
        <w:rPr>
          <w:rFonts w:ascii="Century" w:hAnsi="Century"/>
          <w:lang w:val="en-GB"/>
        </w:rPr>
        <w:t xml:space="preserve">, </w:t>
      </w:r>
      <w:r w:rsidRPr="0044065E">
        <w:rPr>
          <w:rFonts w:ascii="Century" w:hAnsi="Century"/>
          <w:lang w:val="en-GB"/>
        </w:rPr>
        <w:t>Bloomsbury</w:t>
      </w:r>
      <w:r w:rsidR="00357B56">
        <w:rPr>
          <w:rFonts w:ascii="Century" w:hAnsi="Century"/>
          <w:lang w:val="en-GB"/>
        </w:rPr>
        <w:t xml:space="preserve"> </w:t>
      </w:r>
      <w:r w:rsidRPr="0044065E">
        <w:rPr>
          <w:rFonts w:ascii="Century" w:hAnsi="Century"/>
          <w:lang w:val="en-GB"/>
        </w:rPr>
        <w:t>2018) 283.</w:t>
      </w:r>
    </w:p>
  </w:footnote>
  <w:footnote w:id="69">
    <w:p w14:paraId="7804D3A3" w14:textId="6F4A2DB2"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lang w:val="en-GB"/>
        </w:rPr>
        <w:t>Cityview Press</w:t>
      </w:r>
      <w:r w:rsidR="00473D09" w:rsidRPr="0044065E">
        <w:rPr>
          <w:rFonts w:ascii="Century" w:hAnsi="Century"/>
          <w:i/>
          <w:lang w:val="en-GB"/>
        </w:rPr>
        <w:t xml:space="preserve"> </w:t>
      </w:r>
      <w:r w:rsidR="00473D09" w:rsidRPr="0044065E">
        <w:rPr>
          <w:rFonts w:ascii="Century" w:hAnsi="Century"/>
          <w:iCs/>
          <w:lang w:val="en-GB"/>
        </w:rPr>
        <w:t>(</w:t>
      </w:r>
      <w:r w:rsidR="00357B56">
        <w:rPr>
          <w:rFonts w:ascii="Century" w:hAnsi="Century"/>
          <w:iCs/>
          <w:lang w:val="en-GB"/>
        </w:rPr>
        <w:t xml:space="preserve">n </w:t>
      </w:r>
      <w:r w:rsidR="00357B56" w:rsidRPr="0044065E">
        <w:rPr>
          <w:rFonts w:ascii="Century" w:hAnsi="Century"/>
          <w:iCs/>
          <w:lang w:val="en-GB"/>
        </w:rPr>
        <w:fldChar w:fldCharType="begin"/>
      </w:r>
      <w:r w:rsidR="00357B56" w:rsidRPr="0044065E">
        <w:rPr>
          <w:rFonts w:ascii="Century" w:hAnsi="Century"/>
          <w:iCs/>
          <w:lang w:val="en-GB"/>
        </w:rPr>
        <w:instrText xml:space="preserve"> NOTEREF _Ref85194041 \h  \* MERGEFORMAT </w:instrText>
      </w:r>
      <w:r w:rsidR="00357B56" w:rsidRPr="0044065E">
        <w:rPr>
          <w:rFonts w:ascii="Century" w:hAnsi="Century"/>
          <w:iCs/>
          <w:lang w:val="en-GB"/>
        </w:rPr>
      </w:r>
      <w:r w:rsidR="00357B56" w:rsidRPr="0044065E">
        <w:rPr>
          <w:rFonts w:ascii="Century" w:hAnsi="Century"/>
          <w:iCs/>
          <w:lang w:val="en-GB"/>
        </w:rPr>
        <w:fldChar w:fldCharType="separate"/>
      </w:r>
      <w:r w:rsidR="00357B56">
        <w:rPr>
          <w:rFonts w:ascii="Century" w:hAnsi="Century"/>
          <w:iCs/>
          <w:lang w:val="en-GB"/>
        </w:rPr>
        <w:t>4</w:t>
      </w:r>
      <w:r w:rsidR="00357B56" w:rsidRPr="0044065E">
        <w:rPr>
          <w:rFonts w:ascii="Century" w:hAnsi="Century"/>
          <w:iCs/>
          <w:lang w:val="en-GB"/>
        </w:rPr>
        <w:fldChar w:fldCharType="end"/>
      </w:r>
      <w:r w:rsidR="00473D09" w:rsidRPr="0044065E">
        <w:rPr>
          <w:rFonts w:ascii="Century" w:hAnsi="Century"/>
          <w:iCs/>
          <w:lang w:val="en-GB"/>
        </w:rPr>
        <w:t xml:space="preserve">) </w:t>
      </w:r>
      <w:r w:rsidRPr="0044065E">
        <w:rPr>
          <w:rFonts w:ascii="Century" w:hAnsi="Century"/>
          <w:lang w:val="en-GB"/>
        </w:rPr>
        <w:t>398.</w:t>
      </w:r>
    </w:p>
  </w:footnote>
  <w:footnote w:id="70">
    <w:p w14:paraId="6C381BE8" w14:textId="121798AC" w:rsidR="00CD0D0C" w:rsidRPr="0044065E" w:rsidRDefault="00CD0D0C" w:rsidP="0044065E">
      <w:pPr>
        <w:autoSpaceDE w:val="0"/>
        <w:autoSpaceDN w:val="0"/>
        <w:adjustRightInd w:val="0"/>
        <w:jc w:val="both"/>
        <w:rPr>
          <w:rFonts w:ascii="Century" w:hAnsi="Century"/>
          <w:sz w:val="20"/>
          <w:szCs w:val="20"/>
        </w:rPr>
      </w:pPr>
      <w:r w:rsidRPr="0044065E">
        <w:rPr>
          <w:rStyle w:val="FootnoteReference"/>
          <w:rFonts w:ascii="Century" w:hAnsi="Century"/>
          <w:sz w:val="20"/>
          <w:szCs w:val="20"/>
        </w:rPr>
        <w:footnoteRef/>
      </w:r>
      <w:r w:rsidRPr="0044065E">
        <w:rPr>
          <w:rFonts w:ascii="Century" w:hAnsi="Century"/>
          <w:sz w:val="20"/>
          <w:szCs w:val="20"/>
        </w:rPr>
        <w:t xml:space="preserve"> O’Donnell J stated in </w:t>
      </w:r>
      <w:r w:rsidRPr="0044065E">
        <w:rPr>
          <w:rFonts w:ascii="Century" w:hAnsi="Century"/>
          <w:i/>
          <w:sz w:val="20"/>
          <w:szCs w:val="20"/>
        </w:rPr>
        <w:t>McGowan</w:t>
      </w:r>
      <w:r w:rsidR="00FC29D1" w:rsidRPr="0044065E">
        <w:rPr>
          <w:rFonts w:ascii="Century" w:hAnsi="Century"/>
          <w:i/>
          <w:sz w:val="20"/>
          <w:szCs w:val="20"/>
        </w:rPr>
        <w:t xml:space="preserve"> </w:t>
      </w:r>
      <w:r w:rsidR="00FC29D1" w:rsidRPr="0044065E">
        <w:rPr>
          <w:rFonts w:ascii="Century" w:hAnsi="Century"/>
          <w:iCs/>
          <w:sz w:val="20"/>
          <w:szCs w:val="20"/>
        </w:rPr>
        <w:t>(</w:t>
      </w:r>
      <w:r w:rsidR="002F1C65">
        <w:rPr>
          <w:rFonts w:ascii="Century" w:hAnsi="Century"/>
          <w:iCs/>
          <w:sz w:val="20"/>
          <w:szCs w:val="20"/>
        </w:rPr>
        <w:t xml:space="preserve">n </w:t>
      </w:r>
      <w:r w:rsidR="002F1C65" w:rsidRPr="0044065E">
        <w:rPr>
          <w:rFonts w:ascii="Century" w:hAnsi="Century"/>
          <w:iCs/>
          <w:sz w:val="20"/>
          <w:szCs w:val="20"/>
        </w:rPr>
        <w:fldChar w:fldCharType="begin"/>
      </w:r>
      <w:r w:rsidR="002F1C65" w:rsidRPr="0044065E">
        <w:rPr>
          <w:rFonts w:ascii="Century" w:hAnsi="Century"/>
          <w:iCs/>
          <w:sz w:val="20"/>
          <w:szCs w:val="20"/>
        </w:rPr>
        <w:instrText xml:space="preserve"> NOTEREF _Ref85194406 \h  \* MERGEFORMAT </w:instrText>
      </w:r>
      <w:r w:rsidR="002F1C65" w:rsidRPr="0044065E">
        <w:rPr>
          <w:rFonts w:ascii="Century" w:hAnsi="Century"/>
          <w:iCs/>
          <w:sz w:val="20"/>
          <w:szCs w:val="20"/>
        </w:rPr>
      </w:r>
      <w:r w:rsidR="002F1C65" w:rsidRPr="0044065E">
        <w:rPr>
          <w:rFonts w:ascii="Century" w:hAnsi="Century"/>
          <w:iCs/>
          <w:sz w:val="20"/>
          <w:szCs w:val="20"/>
        </w:rPr>
        <w:fldChar w:fldCharType="separate"/>
      </w:r>
      <w:r w:rsidR="002F1C65">
        <w:rPr>
          <w:rFonts w:ascii="Century" w:hAnsi="Century"/>
          <w:iCs/>
          <w:sz w:val="20"/>
          <w:szCs w:val="20"/>
        </w:rPr>
        <w:t>26</w:t>
      </w:r>
      <w:r w:rsidR="002F1C65" w:rsidRPr="0044065E">
        <w:rPr>
          <w:rFonts w:ascii="Century" w:hAnsi="Century"/>
          <w:iCs/>
          <w:sz w:val="20"/>
          <w:szCs w:val="20"/>
        </w:rPr>
        <w:fldChar w:fldCharType="end"/>
      </w:r>
      <w:r w:rsidR="00FC29D1" w:rsidRPr="0044065E">
        <w:rPr>
          <w:rFonts w:ascii="Century" w:hAnsi="Century"/>
          <w:iCs/>
          <w:sz w:val="20"/>
          <w:szCs w:val="20"/>
        </w:rPr>
        <w:t>)</w:t>
      </w:r>
      <w:r w:rsidRPr="0044065E">
        <w:rPr>
          <w:rFonts w:ascii="Century" w:hAnsi="Century"/>
          <w:sz w:val="20"/>
          <w:szCs w:val="20"/>
        </w:rPr>
        <w:t>: ‘If in truth any piece of regulation amounted to truly delegated legislation, it would offend Article 15, since it is plain from the very language thereof, and indeed the constitutional structure, that the function of legislation is one that cannot be delegated by the Oireachtas to any other body’.</w:t>
      </w:r>
    </w:p>
  </w:footnote>
  <w:footnote w:id="71">
    <w:p w14:paraId="18C7C852" w14:textId="73615236" w:rsidR="00251447" w:rsidRPr="0044065E" w:rsidRDefault="00251447"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Doyle </w:t>
      </w:r>
      <w:r w:rsidR="00024A64">
        <w:rPr>
          <w:rFonts w:ascii="Century" w:hAnsi="Century"/>
          <w:lang w:val="en-GB"/>
        </w:rPr>
        <w:t>(</w:t>
      </w:r>
      <w:r w:rsidRPr="0044065E">
        <w:rPr>
          <w:rFonts w:ascii="Century" w:hAnsi="Century"/>
          <w:lang w:val="en-GB"/>
        </w:rPr>
        <w:t>n</w:t>
      </w:r>
      <w:r w:rsidR="0090278A" w:rsidRPr="0044065E">
        <w:rPr>
          <w:rFonts w:ascii="Century" w:hAnsi="Century"/>
          <w:lang w:val="en-GB"/>
        </w:rPr>
        <w:t xml:space="preserve"> </w:t>
      </w:r>
      <w:r w:rsidR="0090278A" w:rsidRPr="0044065E">
        <w:rPr>
          <w:rFonts w:ascii="Century" w:hAnsi="Century"/>
          <w:lang w:val="en-GB"/>
        </w:rPr>
        <w:fldChar w:fldCharType="begin"/>
      </w:r>
      <w:r w:rsidR="0090278A" w:rsidRPr="0044065E">
        <w:rPr>
          <w:rFonts w:ascii="Century" w:hAnsi="Century"/>
          <w:lang w:val="en-GB"/>
        </w:rPr>
        <w:instrText xml:space="preserve"> NOTEREF _Ref85106953 \h </w:instrText>
      </w:r>
      <w:r w:rsidR="00233A50" w:rsidRPr="0044065E">
        <w:rPr>
          <w:rFonts w:ascii="Century" w:hAnsi="Century"/>
          <w:lang w:val="en-GB"/>
        </w:rPr>
        <w:instrText xml:space="preserve"> \* MERGEFORMAT </w:instrText>
      </w:r>
      <w:r w:rsidR="0090278A" w:rsidRPr="0044065E">
        <w:rPr>
          <w:rFonts w:ascii="Century" w:hAnsi="Century"/>
          <w:lang w:val="en-GB"/>
        </w:rPr>
      </w:r>
      <w:r w:rsidR="0090278A" w:rsidRPr="0044065E">
        <w:rPr>
          <w:rFonts w:ascii="Century" w:hAnsi="Century"/>
          <w:lang w:val="en-GB"/>
        </w:rPr>
        <w:fldChar w:fldCharType="separate"/>
      </w:r>
      <w:r w:rsidR="006D1DC3">
        <w:rPr>
          <w:rFonts w:ascii="Century" w:hAnsi="Century"/>
          <w:lang w:val="en-GB"/>
        </w:rPr>
        <w:t>6</w:t>
      </w:r>
      <w:r w:rsidR="0090278A" w:rsidRPr="0044065E">
        <w:rPr>
          <w:rFonts w:ascii="Century" w:hAnsi="Century"/>
          <w:lang w:val="en-GB"/>
        </w:rPr>
        <w:fldChar w:fldCharType="end"/>
      </w:r>
      <w:r w:rsidR="00024A64">
        <w:rPr>
          <w:rFonts w:ascii="Century" w:hAnsi="Century"/>
          <w:lang w:val="en-GB"/>
        </w:rPr>
        <w:t>)</w:t>
      </w:r>
      <w:r w:rsidRPr="0044065E">
        <w:rPr>
          <w:rFonts w:ascii="Century" w:hAnsi="Century"/>
          <w:lang w:val="en-GB"/>
        </w:rPr>
        <w:t xml:space="preserve"> above.</w:t>
      </w:r>
    </w:p>
  </w:footnote>
  <w:footnote w:id="72">
    <w:p w14:paraId="3F9391B0" w14:textId="2E48CA77"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Eoin Carolan, ‘Democratic Accountability and the Non-Delegation Doctrine’ (2011) 33 </w:t>
      </w:r>
      <w:r w:rsidRPr="0044065E">
        <w:rPr>
          <w:rFonts w:ascii="Century" w:hAnsi="Century"/>
          <w:iCs/>
          <w:lang w:val="en-GB"/>
        </w:rPr>
        <w:t xml:space="preserve">Dublin University </w:t>
      </w:r>
      <w:r w:rsidR="00B67C67">
        <w:rPr>
          <w:rFonts w:ascii="Century" w:hAnsi="Century"/>
          <w:iCs/>
          <w:lang w:val="en-GB"/>
        </w:rPr>
        <w:t>LJ</w:t>
      </w:r>
      <w:r w:rsidRPr="0044065E">
        <w:rPr>
          <w:rFonts w:ascii="Century" w:hAnsi="Century"/>
          <w:lang w:val="en-GB"/>
        </w:rPr>
        <w:t xml:space="preserve"> 220, 222.</w:t>
      </w:r>
    </w:p>
  </w:footnote>
  <w:footnote w:id="73">
    <w:p w14:paraId="1B48D0E6" w14:textId="48C62745"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lang w:val="en-GB"/>
        </w:rPr>
        <w:t xml:space="preserve">Bederev </w:t>
      </w:r>
      <w:r w:rsidR="00FC29D1" w:rsidRPr="0044065E">
        <w:rPr>
          <w:rFonts w:ascii="Century" w:hAnsi="Century"/>
          <w:iCs/>
          <w:lang w:val="en-GB"/>
        </w:rPr>
        <w:t>(</w:t>
      </w:r>
      <w:r w:rsidR="00C8739D">
        <w:rPr>
          <w:rFonts w:ascii="Century" w:hAnsi="Century"/>
          <w:iCs/>
          <w:lang w:val="en-GB"/>
        </w:rPr>
        <w:t xml:space="preserve">n </w:t>
      </w:r>
      <w:r w:rsidR="00C8739D" w:rsidRPr="0044065E">
        <w:rPr>
          <w:rFonts w:ascii="Century" w:hAnsi="Century"/>
          <w:iCs/>
          <w:lang w:val="en-GB"/>
        </w:rPr>
        <w:fldChar w:fldCharType="begin"/>
      </w:r>
      <w:r w:rsidR="00C8739D" w:rsidRPr="0044065E">
        <w:rPr>
          <w:rFonts w:ascii="Century" w:hAnsi="Century"/>
          <w:iCs/>
          <w:lang w:val="en-GB"/>
        </w:rPr>
        <w:instrText xml:space="preserve"> NOTEREF _Ref85194256 \h  \* MERGEFORMAT </w:instrText>
      </w:r>
      <w:r w:rsidR="00C8739D" w:rsidRPr="0044065E">
        <w:rPr>
          <w:rFonts w:ascii="Century" w:hAnsi="Century"/>
          <w:iCs/>
          <w:lang w:val="en-GB"/>
        </w:rPr>
      </w:r>
      <w:r w:rsidR="00C8739D" w:rsidRPr="0044065E">
        <w:rPr>
          <w:rFonts w:ascii="Century" w:hAnsi="Century"/>
          <w:iCs/>
          <w:lang w:val="en-GB"/>
        </w:rPr>
        <w:fldChar w:fldCharType="separate"/>
      </w:r>
      <w:r w:rsidR="00C8739D">
        <w:rPr>
          <w:rFonts w:ascii="Century" w:hAnsi="Century"/>
          <w:iCs/>
          <w:lang w:val="en-GB"/>
        </w:rPr>
        <w:t>7</w:t>
      </w:r>
      <w:r w:rsidR="00C8739D" w:rsidRPr="0044065E">
        <w:rPr>
          <w:rFonts w:ascii="Century" w:hAnsi="Century"/>
          <w:iCs/>
          <w:lang w:val="en-GB"/>
        </w:rPr>
        <w:fldChar w:fldCharType="end"/>
      </w:r>
      <w:r w:rsidR="00FC29D1" w:rsidRPr="0044065E">
        <w:rPr>
          <w:rFonts w:ascii="Century" w:hAnsi="Century"/>
          <w:iCs/>
          <w:lang w:val="en-GB"/>
        </w:rPr>
        <w:t xml:space="preserve">) </w:t>
      </w:r>
      <w:r w:rsidRPr="0044065E">
        <w:rPr>
          <w:rFonts w:ascii="Century" w:hAnsi="Century"/>
          <w:lang w:val="en-GB"/>
        </w:rPr>
        <w:t>53.</w:t>
      </w:r>
    </w:p>
  </w:footnote>
  <w:footnote w:id="74">
    <w:p w14:paraId="5382D7BA" w14:textId="6A7AAC31"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A809FB" w:rsidRPr="0044065E">
        <w:rPr>
          <w:rFonts w:ascii="Century" w:hAnsi="Century"/>
          <w:i/>
          <w:iCs/>
          <w:color w:val="000000"/>
          <w:shd w:val="clear" w:color="auto" w:fill="FFFFFF"/>
        </w:rPr>
        <w:t xml:space="preserve">Pigs Marketing Board </w:t>
      </w:r>
      <w:r w:rsidR="00B34419" w:rsidRPr="0044065E">
        <w:rPr>
          <w:rFonts w:ascii="Century" w:hAnsi="Century"/>
          <w:color w:val="000000"/>
          <w:shd w:val="clear" w:color="auto" w:fill="FFFFFF"/>
        </w:rPr>
        <w:t>(</w:t>
      </w:r>
      <w:r w:rsidR="00C8739D">
        <w:rPr>
          <w:rFonts w:ascii="Century" w:hAnsi="Century"/>
          <w:color w:val="000000"/>
          <w:shd w:val="clear" w:color="auto" w:fill="FFFFFF"/>
        </w:rPr>
        <w:t xml:space="preserve">n </w:t>
      </w:r>
      <w:r w:rsidR="00C8739D" w:rsidRPr="0044065E">
        <w:rPr>
          <w:rFonts w:ascii="Century" w:hAnsi="Century"/>
          <w:color w:val="000000"/>
          <w:shd w:val="clear" w:color="auto" w:fill="FFFFFF"/>
        </w:rPr>
        <w:fldChar w:fldCharType="begin"/>
      </w:r>
      <w:r w:rsidR="00C8739D" w:rsidRPr="0044065E">
        <w:rPr>
          <w:rFonts w:ascii="Century" w:hAnsi="Century"/>
          <w:color w:val="000000"/>
          <w:shd w:val="clear" w:color="auto" w:fill="FFFFFF"/>
        </w:rPr>
        <w:instrText xml:space="preserve"> NOTEREF _Ref85194880 \h  \* MERGEFORMAT </w:instrText>
      </w:r>
      <w:r w:rsidR="00C8739D" w:rsidRPr="0044065E">
        <w:rPr>
          <w:rFonts w:ascii="Century" w:hAnsi="Century"/>
          <w:color w:val="000000"/>
          <w:shd w:val="clear" w:color="auto" w:fill="FFFFFF"/>
        </w:rPr>
      </w:r>
      <w:r w:rsidR="00C8739D" w:rsidRPr="0044065E">
        <w:rPr>
          <w:rFonts w:ascii="Century" w:hAnsi="Century"/>
          <w:color w:val="000000"/>
          <w:shd w:val="clear" w:color="auto" w:fill="FFFFFF"/>
        </w:rPr>
        <w:fldChar w:fldCharType="separate"/>
      </w:r>
      <w:r w:rsidR="00C8739D">
        <w:rPr>
          <w:rFonts w:ascii="Century" w:hAnsi="Century"/>
          <w:color w:val="000000"/>
          <w:shd w:val="clear" w:color="auto" w:fill="FFFFFF"/>
        </w:rPr>
        <w:t>2</w:t>
      </w:r>
      <w:r w:rsidR="00C8739D" w:rsidRPr="0044065E">
        <w:rPr>
          <w:rFonts w:ascii="Century" w:hAnsi="Century"/>
          <w:color w:val="000000"/>
          <w:shd w:val="clear" w:color="auto" w:fill="FFFFFF"/>
        </w:rPr>
        <w:fldChar w:fldCharType="end"/>
      </w:r>
      <w:r w:rsidR="00B34419" w:rsidRPr="0044065E">
        <w:rPr>
          <w:rFonts w:ascii="Century" w:hAnsi="Century"/>
          <w:color w:val="000000"/>
          <w:shd w:val="clear" w:color="auto" w:fill="FFFFFF"/>
        </w:rPr>
        <w:t>).</w:t>
      </w:r>
    </w:p>
  </w:footnote>
  <w:footnote w:id="75">
    <w:p w14:paraId="19DEBA48" w14:textId="0B35F15E"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lang w:val="en-GB"/>
        </w:rPr>
        <w:t xml:space="preserve">Cityview Press </w:t>
      </w:r>
      <w:r w:rsidR="00473D09" w:rsidRPr="0044065E">
        <w:rPr>
          <w:rFonts w:ascii="Century" w:hAnsi="Century"/>
          <w:iCs/>
          <w:lang w:val="en-GB"/>
        </w:rPr>
        <w:t>(</w:t>
      </w:r>
      <w:r w:rsidR="00C8739D">
        <w:rPr>
          <w:rFonts w:ascii="Century" w:hAnsi="Century"/>
          <w:iCs/>
          <w:lang w:val="en-GB"/>
        </w:rPr>
        <w:t xml:space="preserve">n </w:t>
      </w:r>
      <w:r w:rsidR="00C8739D" w:rsidRPr="0044065E">
        <w:rPr>
          <w:rFonts w:ascii="Century" w:hAnsi="Century"/>
          <w:iCs/>
          <w:lang w:val="en-GB"/>
        </w:rPr>
        <w:fldChar w:fldCharType="begin"/>
      </w:r>
      <w:r w:rsidR="00C8739D" w:rsidRPr="0044065E">
        <w:rPr>
          <w:rFonts w:ascii="Century" w:hAnsi="Century"/>
          <w:iCs/>
          <w:lang w:val="en-GB"/>
        </w:rPr>
        <w:instrText xml:space="preserve"> NOTEREF _Ref85194041 \h  \* MERGEFORMAT </w:instrText>
      </w:r>
      <w:r w:rsidR="00C8739D" w:rsidRPr="0044065E">
        <w:rPr>
          <w:rFonts w:ascii="Century" w:hAnsi="Century"/>
          <w:iCs/>
          <w:lang w:val="en-GB"/>
        </w:rPr>
      </w:r>
      <w:r w:rsidR="00C8739D" w:rsidRPr="0044065E">
        <w:rPr>
          <w:rFonts w:ascii="Century" w:hAnsi="Century"/>
          <w:iCs/>
          <w:lang w:val="en-GB"/>
        </w:rPr>
        <w:fldChar w:fldCharType="separate"/>
      </w:r>
      <w:r w:rsidR="00C8739D">
        <w:rPr>
          <w:rFonts w:ascii="Century" w:hAnsi="Century"/>
          <w:iCs/>
          <w:lang w:val="en-GB"/>
        </w:rPr>
        <w:t>4</w:t>
      </w:r>
      <w:r w:rsidR="00C8739D" w:rsidRPr="0044065E">
        <w:rPr>
          <w:rFonts w:ascii="Century" w:hAnsi="Century"/>
          <w:iCs/>
          <w:lang w:val="en-GB"/>
        </w:rPr>
        <w:fldChar w:fldCharType="end"/>
      </w:r>
      <w:r w:rsidR="00473D09" w:rsidRPr="0044065E">
        <w:rPr>
          <w:rFonts w:ascii="Century" w:hAnsi="Century"/>
          <w:iCs/>
          <w:lang w:val="en-GB"/>
        </w:rPr>
        <w:t xml:space="preserve">) </w:t>
      </w:r>
      <w:r w:rsidRPr="0044065E">
        <w:rPr>
          <w:rFonts w:ascii="Century" w:hAnsi="Century"/>
          <w:lang w:val="en-GB"/>
        </w:rPr>
        <w:t xml:space="preserve">398; </w:t>
      </w:r>
      <w:r w:rsidRPr="0044065E">
        <w:rPr>
          <w:rFonts w:ascii="Century" w:hAnsi="Century"/>
          <w:i/>
          <w:lang w:val="en-GB"/>
        </w:rPr>
        <w:t xml:space="preserve">Laurentiu </w:t>
      </w:r>
      <w:r w:rsidR="00D115D3" w:rsidRPr="0044065E">
        <w:rPr>
          <w:rFonts w:ascii="Century" w:hAnsi="Century"/>
          <w:iCs/>
          <w:lang w:val="en-GB"/>
        </w:rPr>
        <w:t>(</w:t>
      </w:r>
      <w:r w:rsidR="00C8739D">
        <w:rPr>
          <w:rFonts w:ascii="Century" w:hAnsi="Century"/>
          <w:iCs/>
          <w:lang w:val="en-GB"/>
        </w:rPr>
        <w:t xml:space="preserve">n </w:t>
      </w:r>
      <w:r w:rsidR="00C8739D" w:rsidRPr="0044065E">
        <w:rPr>
          <w:rFonts w:ascii="Century" w:hAnsi="Century"/>
          <w:iCs/>
          <w:lang w:val="en-GB"/>
        </w:rPr>
        <w:fldChar w:fldCharType="begin"/>
      </w:r>
      <w:r w:rsidR="00C8739D" w:rsidRPr="0044065E">
        <w:rPr>
          <w:rFonts w:ascii="Century" w:hAnsi="Century"/>
          <w:iCs/>
          <w:lang w:val="en-GB"/>
        </w:rPr>
        <w:instrText xml:space="preserve"> NOTEREF _Ref85194610 \h  \* MERGEFORMAT </w:instrText>
      </w:r>
      <w:r w:rsidR="00C8739D" w:rsidRPr="0044065E">
        <w:rPr>
          <w:rFonts w:ascii="Century" w:hAnsi="Century"/>
          <w:iCs/>
          <w:lang w:val="en-GB"/>
        </w:rPr>
      </w:r>
      <w:r w:rsidR="00C8739D" w:rsidRPr="0044065E">
        <w:rPr>
          <w:rFonts w:ascii="Century" w:hAnsi="Century"/>
          <w:iCs/>
          <w:lang w:val="en-GB"/>
        </w:rPr>
        <w:fldChar w:fldCharType="separate"/>
      </w:r>
      <w:r w:rsidR="00C8739D">
        <w:rPr>
          <w:rFonts w:ascii="Century" w:hAnsi="Century"/>
          <w:iCs/>
          <w:lang w:val="en-GB"/>
        </w:rPr>
        <w:t>66</w:t>
      </w:r>
      <w:r w:rsidR="00C8739D" w:rsidRPr="0044065E">
        <w:rPr>
          <w:rFonts w:ascii="Century" w:hAnsi="Century"/>
          <w:iCs/>
          <w:lang w:val="en-GB"/>
        </w:rPr>
        <w:fldChar w:fldCharType="end"/>
      </w:r>
      <w:r w:rsidR="00D115D3" w:rsidRPr="0044065E">
        <w:rPr>
          <w:rFonts w:ascii="Century" w:hAnsi="Century"/>
          <w:iCs/>
          <w:lang w:val="en-GB"/>
        </w:rPr>
        <w:t>)</w:t>
      </w:r>
      <w:r w:rsidRPr="0044065E">
        <w:rPr>
          <w:rFonts w:ascii="Century" w:hAnsi="Century"/>
          <w:lang w:val="en-GB"/>
        </w:rPr>
        <w:t xml:space="preserve"> </w:t>
      </w:r>
      <w:r w:rsidR="00C8739D">
        <w:rPr>
          <w:rFonts w:ascii="Century" w:hAnsi="Century"/>
          <w:lang w:val="en-GB"/>
        </w:rPr>
        <w:t xml:space="preserve">paras </w:t>
      </w:r>
      <w:r w:rsidRPr="0044065E">
        <w:rPr>
          <w:rFonts w:ascii="Century" w:hAnsi="Century"/>
          <w:lang w:val="en-GB"/>
        </w:rPr>
        <w:t xml:space="preserve">70-71. In </w:t>
      </w:r>
      <w:r w:rsidRPr="0044065E">
        <w:rPr>
          <w:rFonts w:ascii="Century" w:hAnsi="Century"/>
          <w:i/>
          <w:lang w:val="en-GB"/>
        </w:rPr>
        <w:t xml:space="preserve">Maher v Minister for Agriculture </w:t>
      </w:r>
      <w:r w:rsidRPr="0044065E">
        <w:rPr>
          <w:rFonts w:ascii="Century" w:hAnsi="Century"/>
          <w:lang w:val="en-GB"/>
        </w:rPr>
        <w:t>[2001] 2 IR 139, 245.</w:t>
      </w:r>
    </w:p>
  </w:footnote>
  <w:footnote w:id="76">
    <w:p w14:paraId="109D206B" w14:textId="2F794B89"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115D3" w:rsidRPr="0044065E">
        <w:rPr>
          <w:rFonts w:ascii="Century" w:hAnsi="Century"/>
          <w:i/>
          <w:lang w:val="en-GB"/>
        </w:rPr>
        <w:t xml:space="preserve">Maher </w:t>
      </w:r>
      <w:r w:rsidR="00D115D3" w:rsidRPr="0044065E">
        <w:rPr>
          <w:rFonts w:ascii="Century" w:hAnsi="Century"/>
          <w:iCs/>
          <w:lang w:val="en-GB"/>
        </w:rPr>
        <w:t>(</w:t>
      </w:r>
      <w:r w:rsidR="00477CC8">
        <w:rPr>
          <w:rFonts w:ascii="Century" w:hAnsi="Century"/>
          <w:iCs/>
          <w:lang w:val="en-GB"/>
        </w:rPr>
        <w:t>n 75</w:t>
      </w:r>
      <w:r w:rsidR="00D115D3" w:rsidRPr="0044065E">
        <w:rPr>
          <w:rFonts w:ascii="Century" w:hAnsi="Century"/>
          <w:iCs/>
          <w:lang w:val="en-GB"/>
        </w:rPr>
        <w:t>)</w:t>
      </w:r>
      <w:r w:rsidRPr="0044065E">
        <w:rPr>
          <w:rFonts w:ascii="Century" w:hAnsi="Century"/>
          <w:lang w:val="en-GB"/>
        </w:rPr>
        <w:t xml:space="preserve"> 245.</w:t>
      </w:r>
    </w:p>
  </w:footnote>
  <w:footnote w:id="77">
    <w:p w14:paraId="76F16E8D" w14:textId="11EFF8FB"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rPr>
        <w:t xml:space="preserve">See </w:t>
      </w:r>
      <w:r w:rsidRPr="0044065E">
        <w:rPr>
          <w:rFonts w:ascii="Century" w:hAnsi="Century"/>
          <w:i/>
          <w:lang w:val="en-GB"/>
        </w:rPr>
        <w:t xml:space="preserve">Cityview Press </w:t>
      </w:r>
      <w:r w:rsidR="00473D09" w:rsidRPr="0044065E">
        <w:rPr>
          <w:rFonts w:ascii="Century" w:hAnsi="Century"/>
          <w:iCs/>
          <w:lang w:val="en-GB"/>
        </w:rPr>
        <w:t>(</w:t>
      </w:r>
      <w:r w:rsidR="00477CC8">
        <w:rPr>
          <w:rFonts w:ascii="Century" w:hAnsi="Century"/>
          <w:iCs/>
          <w:lang w:val="en-GB"/>
        </w:rPr>
        <w:t xml:space="preserve">n </w:t>
      </w:r>
      <w:r w:rsidR="00477CC8" w:rsidRPr="0044065E">
        <w:rPr>
          <w:rFonts w:ascii="Century" w:hAnsi="Century"/>
          <w:iCs/>
          <w:lang w:val="en-GB"/>
        </w:rPr>
        <w:fldChar w:fldCharType="begin"/>
      </w:r>
      <w:r w:rsidR="00477CC8" w:rsidRPr="0044065E">
        <w:rPr>
          <w:rFonts w:ascii="Century" w:hAnsi="Century"/>
          <w:iCs/>
          <w:lang w:val="en-GB"/>
        </w:rPr>
        <w:instrText xml:space="preserve"> NOTEREF _Ref85194041 \h  \* MERGEFORMAT </w:instrText>
      </w:r>
      <w:r w:rsidR="00477CC8" w:rsidRPr="0044065E">
        <w:rPr>
          <w:rFonts w:ascii="Century" w:hAnsi="Century"/>
          <w:iCs/>
          <w:lang w:val="en-GB"/>
        </w:rPr>
      </w:r>
      <w:r w:rsidR="00477CC8" w:rsidRPr="0044065E">
        <w:rPr>
          <w:rFonts w:ascii="Century" w:hAnsi="Century"/>
          <w:iCs/>
          <w:lang w:val="en-GB"/>
        </w:rPr>
        <w:fldChar w:fldCharType="separate"/>
      </w:r>
      <w:r w:rsidR="00477CC8">
        <w:rPr>
          <w:rFonts w:ascii="Century" w:hAnsi="Century"/>
          <w:iCs/>
          <w:lang w:val="en-GB"/>
        </w:rPr>
        <w:t>4</w:t>
      </w:r>
      <w:r w:rsidR="00477CC8" w:rsidRPr="0044065E">
        <w:rPr>
          <w:rFonts w:ascii="Century" w:hAnsi="Century"/>
          <w:iCs/>
          <w:lang w:val="en-GB"/>
        </w:rPr>
        <w:fldChar w:fldCharType="end"/>
      </w:r>
      <w:r w:rsidR="00473D09" w:rsidRPr="0044065E">
        <w:rPr>
          <w:rFonts w:ascii="Century" w:hAnsi="Century"/>
          <w:iCs/>
          <w:lang w:val="en-GB"/>
        </w:rPr>
        <w:t xml:space="preserve">) </w:t>
      </w:r>
      <w:r w:rsidRPr="0044065E">
        <w:rPr>
          <w:rFonts w:ascii="Century" w:hAnsi="Century"/>
          <w:lang w:val="en-GB"/>
        </w:rPr>
        <w:t xml:space="preserve">and </w:t>
      </w:r>
      <w:r w:rsidRPr="0044065E">
        <w:rPr>
          <w:rFonts w:ascii="Century" w:hAnsi="Century"/>
          <w:i/>
          <w:lang w:val="en-GB"/>
        </w:rPr>
        <w:t>Maher</w:t>
      </w:r>
      <w:r w:rsidR="00D115D3" w:rsidRPr="0044065E">
        <w:rPr>
          <w:rFonts w:ascii="Century" w:hAnsi="Century"/>
          <w:i/>
          <w:lang w:val="en-GB"/>
        </w:rPr>
        <w:t xml:space="preserve"> </w:t>
      </w:r>
      <w:r w:rsidR="00D115D3" w:rsidRPr="0044065E">
        <w:rPr>
          <w:rFonts w:ascii="Century" w:hAnsi="Century"/>
          <w:iCs/>
          <w:lang w:val="en-GB"/>
        </w:rPr>
        <w:t>(</w:t>
      </w:r>
      <w:r w:rsidR="00477CC8">
        <w:rPr>
          <w:rFonts w:ascii="Century" w:hAnsi="Century"/>
          <w:iCs/>
          <w:lang w:val="en-GB"/>
        </w:rPr>
        <w:t>n 75</w:t>
      </w:r>
      <w:r w:rsidR="00D115D3" w:rsidRPr="0044065E">
        <w:rPr>
          <w:rFonts w:ascii="Century" w:hAnsi="Century"/>
          <w:iCs/>
          <w:lang w:val="en-GB"/>
        </w:rPr>
        <w:t>)</w:t>
      </w:r>
      <w:r w:rsidRPr="0044065E">
        <w:rPr>
          <w:rFonts w:ascii="Century" w:hAnsi="Century"/>
          <w:lang w:val="en-GB"/>
        </w:rPr>
        <w:t>; Eoin Carolan, ‘Democratic Accountability and the Non-Delegation Doctrine’ (</w:t>
      </w:r>
      <w:r w:rsidR="00477CC8">
        <w:rPr>
          <w:rFonts w:ascii="Century" w:hAnsi="Century"/>
          <w:lang w:val="en-GB"/>
        </w:rPr>
        <w:t xml:space="preserve">n </w:t>
      </w:r>
      <w:r w:rsidR="00477CC8" w:rsidRPr="0044065E">
        <w:rPr>
          <w:rFonts w:ascii="Century" w:hAnsi="Century"/>
          <w:lang w:val="en-GB"/>
        </w:rPr>
        <w:fldChar w:fldCharType="begin"/>
      </w:r>
      <w:r w:rsidR="00477CC8" w:rsidRPr="0044065E">
        <w:rPr>
          <w:rFonts w:ascii="Century" w:hAnsi="Century"/>
          <w:lang w:val="en-GB"/>
        </w:rPr>
        <w:instrText xml:space="preserve"> NOTEREF _Ref36124881 \h  \* MERGEFORMAT </w:instrText>
      </w:r>
      <w:r w:rsidR="00477CC8" w:rsidRPr="0044065E">
        <w:rPr>
          <w:rFonts w:ascii="Century" w:hAnsi="Century"/>
          <w:lang w:val="en-GB"/>
        </w:rPr>
      </w:r>
      <w:r w:rsidR="00477CC8" w:rsidRPr="0044065E">
        <w:rPr>
          <w:rFonts w:ascii="Century" w:hAnsi="Century"/>
          <w:lang w:val="en-GB"/>
        </w:rPr>
        <w:fldChar w:fldCharType="separate"/>
      </w:r>
      <w:r w:rsidR="00477CC8">
        <w:rPr>
          <w:rFonts w:ascii="Century" w:hAnsi="Century"/>
          <w:lang w:val="en-GB"/>
        </w:rPr>
        <w:t>72</w:t>
      </w:r>
      <w:r w:rsidR="00477CC8" w:rsidRPr="0044065E">
        <w:rPr>
          <w:rFonts w:ascii="Century" w:hAnsi="Century"/>
          <w:lang w:val="en-GB"/>
        </w:rPr>
        <w:fldChar w:fldCharType="end"/>
      </w:r>
      <w:r w:rsidRPr="0044065E">
        <w:rPr>
          <w:rFonts w:ascii="Century" w:hAnsi="Century"/>
          <w:lang w:val="en-GB"/>
        </w:rPr>
        <w:t>) 228.</w:t>
      </w:r>
    </w:p>
  </w:footnote>
  <w:footnote w:id="78">
    <w:p w14:paraId="272B1494" w14:textId="3E2F6704"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477CC8">
        <w:rPr>
          <w:rFonts w:ascii="Century" w:hAnsi="Century"/>
          <w:lang w:val="en-GB"/>
        </w:rPr>
        <w:t>i</w:t>
      </w:r>
      <w:r w:rsidRPr="0044065E">
        <w:rPr>
          <w:rFonts w:ascii="Century" w:hAnsi="Century"/>
          <w:lang w:val="en-GB"/>
        </w:rPr>
        <w:t>bid.</w:t>
      </w:r>
    </w:p>
  </w:footnote>
  <w:footnote w:id="79">
    <w:p w14:paraId="3AC14742" w14:textId="15CEDD45"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rPr>
        <w:t xml:space="preserve">National Union of </w:t>
      </w:r>
      <w:proofErr w:type="spellStart"/>
      <w:r w:rsidRPr="0044065E">
        <w:rPr>
          <w:rFonts w:ascii="Century" w:hAnsi="Century"/>
          <w:i/>
        </w:rPr>
        <w:t>Railwaymen</w:t>
      </w:r>
      <w:proofErr w:type="spellEnd"/>
      <w:r w:rsidRPr="0044065E">
        <w:rPr>
          <w:rFonts w:ascii="Century" w:hAnsi="Century"/>
          <w:i/>
        </w:rPr>
        <w:t xml:space="preserve"> v Sullivan</w:t>
      </w:r>
      <w:r w:rsidRPr="0044065E">
        <w:rPr>
          <w:rFonts w:ascii="Century" w:hAnsi="Century"/>
        </w:rPr>
        <w:t xml:space="preserve"> IR [1947] 77, 84. In </w:t>
      </w:r>
      <w:r w:rsidRPr="0044065E">
        <w:rPr>
          <w:rFonts w:ascii="Century" w:hAnsi="Century"/>
          <w:i/>
        </w:rPr>
        <w:t xml:space="preserve">BUPA Ireland v Health Insurance Authority </w:t>
      </w:r>
      <w:r w:rsidRPr="0044065E">
        <w:rPr>
          <w:rFonts w:ascii="Century" w:hAnsi="Century"/>
        </w:rPr>
        <w:t xml:space="preserve">[2006] IEHC 431; </w:t>
      </w:r>
      <w:r w:rsidRPr="0044065E">
        <w:rPr>
          <w:rFonts w:ascii="Century" w:hAnsi="Century"/>
          <w:i/>
          <w:lang w:val="en-GB"/>
        </w:rPr>
        <w:t xml:space="preserve">Bederev </w:t>
      </w:r>
      <w:r w:rsidR="00FC29D1" w:rsidRPr="0044065E">
        <w:rPr>
          <w:rFonts w:ascii="Century" w:hAnsi="Century"/>
          <w:iCs/>
          <w:lang w:val="en-GB"/>
        </w:rPr>
        <w:t>(</w:t>
      </w:r>
      <w:r w:rsidR="00477CC8">
        <w:rPr>
          <w:rFonts w:ascii="Century" w:hAnsi="Century"/>
          <w:iCs/>
          <w:lang w:val="en-GB"/>
        </w:rPr>
        <w:t xml:space="preserve">n </w:t>
      </w:r>
      <w:r w:rsidR="00477CC8" w:rsidRPr="0044065E">
        <w:rPr>
          <w:rFonts w:ascii="Century" w:hAnsi="Century"/>
          <w:iCs/>
          <w:lang w:val="en-GB"/>
        </w:rPr>
        <w:fldChar w:fldCharType="begin"/>
      </w:r>
      <w:r w:rsidR="00477CC8" w:rsidRPr="0044065E">
        <w:rPr>
          <w:rFonts w:ascii="Century" w:hAnsi="Century"/>
          <w:iCs/>
          <w:lang w:val="en-GB"/>
        </w:rPr>
        <w:instrText xml:space="preserve"> NOTEREF _Ref85194256 \h  \* MERGEFORMAT </w:instrText>
      </w:r>
      <w:r w:rsidR="00477CC8" w:rsidRPr="0044065E">
        <w:rPr>
          <w:rFonts w:ascii="Century" w:hAnsi="Century"/>
          <w:iCs/>
          <w:lang w:val="en-GB"/>
        </w:rPr>
      </w:r>
      <w:r w:rsidR="00477CC8" w:rsidRPr="0044065E">
        <w:rPr>
          <w:rFonts w:ascii="Century" w:hAnsi="Century"/>
          <w:iCs/>
          <w:lang w:val="en-GB"/>
        </w:rPr>
        <w:fldChar w:fldCharType="separate"/>
      </w:r>
      <w:r w:rsidR="00477CC8">
        <w:rPr>
          <w:rFonts w:ascii="Century" w:hAnsi="Century"/>
          <w:iCs/>
          <w:lang w:val="en-GB"/>
        </w:rPr>
        <w:t>7</w:t>
      </w:r>
      <w:r w:rsidR="00477CC8" w:rsidRPr="0044065E">
        <w:rPr>
          <w:rFonts w:ascii="Century" w:hAnsi="Century"/>
          <w:iCs/>
          <w:lang w:val="en-GB"/>
        </w:rPr>
        <w:fldChar w:fldCharType="end"/>
      </w:r>
      <w:r w:rsidR="00FC29D1" w:rsidRPr="0044065E">
        <w:rPr>
          <w:rFonts w:ascii="Century" w:hAnsi="Century"/>
          <w:iCs/>
          <w:lang w:val="en-GB"/>
        </w:rPr>
        <w:t xml:space="preserve">) </w:t>
      </w:r>
      <w:r w:rsidRPr="0044065E">
        <w:rPr>
          <w:rFonts w:ascii="Century" w:hAnsi="Century"/>
          <w:lang w:val="en-GB"/>
        </w:rPr>
        <w:t xml:space="preserve">53. </w:t>
      </w:r>
    </w:p>
  </w:footnote>
  <w:footnote w:id="80">
    <w:p w14:paraId="71130894" w14:textId="1C766BCE"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Eoin Carolan, ‘Democratic Control or High-Sounding Hocus-Pocus’</w:t>
      </w:r>
      <w:r w:rsidR="009C0661" w:rsidRPr="0044065E">
        <w:rPr>
          <w:rFonts w:ascii="Century" w:hAnsi="Century"/>
        </w:rPr>
        <w:t xml:space="preserve"> (</w:t>
      </w:r>
      <w:r w:rsidR="00477CC8">
        <w:rPr>
          <w:rFonts w:ascii="Century" w:hAnsi="Century"/>
        </w:rPr>
        <w:t xml:space="preserve">n </w:t>
      </w:r>
      <w:r w:rsidR="00477CC8" w:rsidRPr="0044065E">
        <w:rPr>
          <w:rFonts w:ascii="Century" w:hAnsi="Century"/>
        </w:rPr>
        <w:fldChar w:fldCharType="begin"/>
      </w:r>
      <w:r w:rsidR="00477CC8" w:rsidRPr="0044065E">
        <w:rPr>
          <w:rFonts w:ascii="Century" w:hAnsi="Century"/>
        </w:rPr>
        <w:instrText xml:space="preserve"> NOTEREF _Ref85375735 \h  \* MERGEFORMAT </w:instrText>
      </w:r>
      <w:r w:rsidR="00477CC8" w:rsidRPr="0044065E">
        <w:rPr>
          <w:rFonts w:ascii="Century" w:hAnsi="Century"/>
        </w:rPr>
      </w:r>
      <w:r w:rsidR="00477CC8" w:rsidRPr="0044065E">
        <w:rPr>
          <w:rFonts w:ascii="Century" w:hAnsi="Century"/>
        </w:rPr>
        <w:fldChar w:fldCharType="separate"/>
      </w:r>
      <w:r w:rsidR="00477CC8">
        <w:rPr>
          <w:rFonts w:ascii="Century" w:hAnsi="Century"/>
        </w:rPr>
        <w:t>5</w:t>
      </w:r>
      <w:r w:rsidR="00477CC8" w:rsidRPr="0044065E">
        <w:rPr>
          <w:rFonts w:ascii="Century" w:hAnsi="Century"/>
        </w:rPr>
        <w:fldChar w:fldCharType="end"/>
      </w:r>
      <w:r w:rsidR="009C0661" w:rsidRPr="0044065E">
        <w:rPr>
          <w:rFonts w:ascii="Century" w:hAnsi="Century"/>
        </w:rPr>
        <w:t>)</w:t>
      </w:r>
      <w:r w:rsidRPr="0044065E">
        <w:rPr>
          <w:rFonts w:ascii="Century" w:hAnsi="Century"/>
        </w:rPr>
        <w:t xml:space="preserve"> 116-11</w:t>
      </w:r>
      <w:r w:rsidR="00E61055">
        <w:rPr>
          <w:rFonts w:ascii="Century" w:hAnsi="Century"/>
        </w:rPr>
        <w:t>9.</w:t>
      </w:r>
    </w:p>
  </w:footnote>
  <w:footnote w:id="81">
    <w:p w14:paraId="5DE93EA8" w14:textId="4FBBCE8D" w:rsidR="00B64342" w:rsidRPr="0044065E" w:rsidRDefault="00B64342" w:rsidP="0044065E">
      <w:pPr>
        <w:jc w:val="both"/>
        <w:rPr>
          <w:rFonts w:ascii="Century" w:eastAsia="Times New Roman" w:hAnsi="Century" w:cs="Times New Roman"/>
          <w:sz w:val="20"/>
          <w:szCs w:val="20"/>
          <w:lang w:val="en-GB" w:eastAsia="en-GB"/>
        </w:rPr>
      </w:pPr>
      <w:r w:rsidRPr="0044065E">
        <w:rPr>
          <w:rStyle w:val="FootnoteReference"/>
          <w:rFonts w:ascii="Century" w:hAnsi="Century"/>
          <w:sz w:val="20"/>
          <w:szCs w:val="20"/>
        </w:rPr>
        <w:footnoteRef/>
      </w:r>
      <w:r w:rsidRPr="0044065E">
        <w:rPr>
          <w:rFonts w:ascii="Century" w:hAnsi="Century"/>
          <w:sz w:val="20"/>
          <w:szCs w:val="20"/>
        </w:rPr>
        <w:t xml:space="preserve"> </w:t>
      </w:r>
      <w:r w:rsidRPr="0044065E">
        <w:rPr>
          <w:rFonts w:ascii="Century" w:eastAsia="Times New Roman" w:hAnsi="Century" w:cs="Times New Roman"/>
          <w:color w:val="000000"/>
          <w:sz w:val="20"/>
          <w:szCs w:val="20"/>
          <w:lang w:val="en-GB" w:eastAsia="en-GB"/>
        </w:rPr>
        <w:t xml:space="preserve">By small-c constitution we refer to the ‘amorphous and ever-changing body of constitutional norms, customs, and traditions – </w:t>
      </w:r>
      <w:r w:rsidR="00891AB2">
        <w:rPr>
          <w:rFonts w:ascii="Century" w:eastAsia="Times New Roman" w:hAnsi="Century" w:cs="Times New Roman"/>
          <w:color w:val="000000"/>
          <w:sz w:val="20"/>
          <w:szCs w:val="20"/>
          <w:lang w:val="en-GB" w:eastAsia="en-GB"/>
        </w:rPr>
        <w:t>“</w:t>
      </w:r>
      <w:r w:rsidRPr="0044065E">
        <w:rPr>
          <w:rFonts w:ascii="Century" w:eastAsia="Times New Roman" w:hAnsi="Century" w:cs="Times New Roman"/>
          <w:color w:val="000000"/>
          <w:sz w:val="20"/>
          <w:szCs w:val="20"/>
          <w:lang w:val="en-GB" w:eastAsia="en-GB"/>
        </w:rPr>
        <w:t>constitutional conventions” which suffuse and give concrete effect to the Large-C codified Constitution</w:t>
      </w:r>
      <w:r w:rsidR="00461CAF">
        <w:rPr>
          <w:rFonts w:ascii="Century" w:eastAsia="Times New Roman" w:hAnsi="Century" w:cs="Times New Roman"/>
          <w:color w:val="000000"/>
          <w:sz w:val="20"/>
          <w:szCs w:val="20"/>
          <w:lang w:val="en-GB" w:eastAsia="en-GB"/>
        </w:rPr>
        <w:t>’</w:t>
      </w:r>
      <w:r w:rsidRPr="0044065E">
        <w:rPr>
          <w:rFonts w:ascii="Century" w:eastAsia="Times New Roman" w:hAnsi="Century" w:cs="Times New Roman"/>
          <w:color w:val="000000"/>
          <w:sz w:val="20"/>
          <w:szCs w:val="20"/>
          <w:lang w:val="en-GB" w:eastAsia="en-GB"/>
        </w:rPr>
        <w:t xml:space="preserve">. See Adrian Vermeule, The Small-C Constitution, Circa 1925 </w:t>
      </w:r>
      <w:proofErr w:type="spellStart"/>
      <w:r w:rsidRPr="0044065E">
        <w:rPr>
          <w:rFonts w:ascii="Century" w:eastAsia="Times New Roman" w:hAnsi="Century" w:cs="Times New Roman"/>
          <w:color w:val="000000"/>
          <w:sz w:val="20"/>
          <w:szCs w:val="20"/>
          <w:lang w:val="en-GB" w:eastAsia="en-GB"/>
        </w:rPr>
        <w:t>Jotwell</w:t>
      </w:r>
      <w:proofErr w:type="spellEnd"/>
      <w:r w:rsidRPr="0044065E">
        <w:rPr>
          <w:rFonts w:ascii="Century" w:eastAsia="Times New Roman" w:hAnsi="Century" w:cs="Times New Roman"/>
          <w:color w:val="000000"/>
          <w:sz w:val="20"/>
          <w:szCs w:val="20"/>
          <w:lang w:val="en-GB" w:eastAsia="en-GB"/>
        </w:rPr>
        <w:t xml:space="preserve"> (October 2010)</w:t>
      </w:r>
      <w:r w:rsidR="007E2B3C">
        <w:rPr>
          <w:rFonts w:ascii="Century" w:eastAsia="Times New Roman" w:hAnsi="Century" w:cs="Times New Roman"/>
          <w:color w:val="000000"/>
          <w:sz w:val="20"/>
          <w:szCs w:val="20"/>
          <w:lang w:val="en-GB" w:eastAsia="en-GB"/>
        </w:rPr>
        <w:t xml:space="preserve"> &lt;</w:t>
      </w:r>
      <w:r w:rsidRPr="0044065E">
        <w:rPr>
          <w:rFonts w:ascii="Century" w:eastAsia="Times New Roman" w:hAnsi="Century" w:cs="Times New Roman"/>
          <w:color w:val="000000"/>
          <w:sz w:val="20"/>
          <w:szCs w:val="20"/>
          <w:lang w:val="en-GB" w:eastAsia="en-GB"/>
        </w:rPr>
        <w:t>https://classic.jotwell.com/the-small-c-constitution-circa-1925/</w:t>
      </w:r>
      <w:r w:rsidR="007E2B3C">
        <w:rPr>
          <w:rFonts w:ascii="Century" w:eastAsia="Times New Roman" w:hAnsi="Century" w:cs="Times New Roman"/>
          <w:color w:val="000000"/>
          <w:sz w:val="20"/>
          <w:szCs w:val="20"/>
          <w:lang w:val="en-GB" w:eastAsia="en-GB"/>
        </w:rPr>
        <w:t>&gt;</w:t>
      </w:r>
      <w:r w:rsidR="00212394">
        <w:rPr>
          <w:rFonts w:ascii="Century" w:eastAsia="Times New Roman" w:hAnsi="Century" w:cs="Times New Roman"/>
          <w:color w:val="000000"/>
          <w:sz w:val="20"/>
          <w:szCs w:val="20"/>
          <w:lang w:val="en-GB" w:eastAsia="en-GB"/>
        </w:rPr>
        <w:t xml:space="preserve"> (accessed 7 January 2022).</w:t>
      </w:r>
    </w:p>
  </w:footnote>
  <w:footnote w:id="82">
    <w:p w14:paraId="7A80F3DB" w14:textId="5E798D96"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Hogan, Whyte, Kenny, Walsh, </w:t>
      </w:r>
      <w:r w:rsidRPr="0044065E">
        <w:rPr>
          <w:rFonts w:ascii="Century" w:hAnsi="Century"/>
          <w:i/>
          <w:lang w:val="en-GB"/>
        </w:rPr>
        <w:t xml:space="preserve">Kelly: The Irish Constitution </w:t>
      </w:r>
      <w:r w:rsidR="0011298A" w:rsidRPr="0044065E">
        <w:rPr>
          <w:rFonts w:ascii="Century" w:hAnsi="Century"/>
          <w:iCs/>
          <w:lang w:val="en-GB"/>
        </w:rPr>
        <w:t>(</w:t>
      </w:r>
      <w:r w:rsidR="00C42A4B" w:rsidRPr="0044065E">
        <w:rPr>
          <w:rFonts w:ascii="Century" w:hAnsi="Century"/>
          <w:lang w:val="en-GB"/>
        </w:rPr>
        <w:t xml:space="preserve">n </w:t>
      </w:r>
      <w:r w:rsidR="00C42A4B" w:rsidRPr="0044065E">
        <w:rPr>
          <w:rFonts w:ascii="Century" w:hAnsi="Century"/>
          <w:lang w:val="en-GB"/>
        </w:rPr>
        <w:fldChar w:fldCharType="begin"/>
      </w:r>
      <w:r w:rsidR="00C42A4B" w:rsidRPr="0044065E">
        <w:rPr>
          <w:rFonts w:ascii="Century" w:hAnsi="Century"/>
          <w:lang w:val="en-GB"/>
        </w:rPr>
        <w:instrText xml:space="preserve"> NOTEREF _Ref36124920 \h </w:instrText>
      </w:r>
      <w:r w:rsidR="00233A50" w:rsidRPr="0044065E">
        <w:rPr>
          <w:rFonts w:ascii="Century" w:hAnsi="Century"/>
          <w:lang w:val="en-GB"/>
        </w:rPr>
        <w:instrText xml:space="preserve"> \* MERGEFORMAT </w:instrText>
      </w:r>
      <w:r w:rsidR="00C42A4B" w:rsidRPr="0044065E">
        <w:rPr>
          <w:rFonts w:ascii="Century" w:hAnsi="Century"/>
          <w:lang w:val="en-GB"/>
        </w:rPr>
      </w:r>
      <w:r w:rsidR="00C42A4B" w:rsidRPr="0044065E">
        <w:rPr>
          <w:rFonts w:ascii="Century" w:hAnsi="Century"/>
          <w:lang w:val="en-GB"/>
        </w:rPr>
        <w:fldChar w:fldCharType="separate"/>
      </w:r>
      <w:r w:rsidR="006D1DC3">
        <w:rPr>
          <w:rFonts w:ascii="Century" w:hAnsi="Century"/>
          <w:lang w:val="en-GB"/>
        </w:rPr>
        <w:t>68</w:t>
      </w:r>
      <w:r w:rsidR="00C42A4B" w:rsidRPr="0044065E">
        <w:rPr>
          <w:rFonts w:ascii="Century" w:hAnsi="Century"/>
          <w:lang w:val="en-GB"/>
        </w:rPr>
        <w:fldChar w:fldCharType="end"/>
      </w:r>
      <w:r w:rsidR="0011298A" w:rsidRPr="0044065E">
        <w:rPr>
          <w:rFonts w:ascii="Century" w:hAnsi="Century"/>
          <w:lang w:val="en-GB"/>
        </w:rPr>
        <w:t>)</w:t>
      </w:r>
      <w:r w:rsidR="00C42A4B" w:rsidRPr="0044065E">
        <w:rPr>
          <w:rFonts w:ascii="Century" w:hAnsi="Century"/>
          <w:lang w:val="en-GB"/>
        </w:rPr>
        <w:t xml:space="preserve"> </w:t>
      </w:r>
      <w:r w:rsidRPr="0044065E">
        <w:rPr>
          <w:rFonts w:ascii="Century" w:hAnsi="Century"/>
          <w:lang w:val="en-GB"/>
        </w:rPr>
        <w:t>307</w:t>
      </w:r>
      <w:r w:rsidR="00F31167" w:rsidRPr="0044065E">
        <w:rPr>
          <w:rFonts w:ascii="Century" w:hAnsi="Century"/>
          <w:lang w:val="en-GB"/>
        </w:rPr>
        <w:t>.</w:t>
      </w:r>
    </w:p>
  </w:footnote>
  <w:footnote w:id="83">
    <w:p w14:paraId="36FBD7E5" w14:textId="73F232F7" w:rsidR="00CD0D0C" w:rsidRPr="0044065E" w:rsidRDefault="00CD0D0C" w:rsidP="0044065E">
      <w:pPr>
        <w:pStyle w:val="FootnoteText"/>
        <w:jc w:val="both"/>
        <w:rPr>
          <w:rFonts w:ascii="Century" w:hAnsi="Century"/>
          <w:iCs/>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lang w:val="en-GB"/>
        </w:rPr>
        <w:t xml:space="preserve">Bederev </w:t>
      </w:r>
      <w:r w:rsidR="00473D09" w:rsidRPr="0044065E">
        <w:rPr>
          <w:rFonts w:ascii="Century" w:hAnsi="Century"/>
          <w:iCs/>
          <w:lang w:val="en-GB"/>
        </w:rPr>
        <w:t>(</w:t>
      </w:r>
      <w:r w:rsidR="000F6C12">
        <w:rPr>
          <w:rFonts w:ascii="Century" w:hAnsi="Century"/>
          <w:iCs/>
          <w:lang w:val="en-GB"/>
        </w:rPr>
        <w:t xml:space="preserve">n </w:t>
      </w:r>
      <w:r w:rsidR="000F6C12" w:rsidRPr="0044065E">
        <w:rPr>
          <w:rFonts w:ascii="Century" w:hAnsi="Century"/>
          <w:iCs/>
          <w:lang w:val="en-GB"/>
        </w:rPr>
        <w:fldChar w:fldCharType="begin"/>
      </w:r>
      <w:r w:rsidR="000F6C12" w:rsidRPr="0044065E">
        <w:rPr>
          <w:rFonts w:ascii="Century" w:hAnsi="Century"/>
          <w:iCs/>
          <w:lang w:val="en-GB"/>
        </w:rPr>
        <w:instrText xml:space="preserve"> NOTEREF _Ref85194256 \h  \* MERGEFORMAT </w:instrText>
      </w:r>
      <w:r w:rsidR="000F6C12" w:rsidRPr="0044065E">
        <w:rPr>
          <w:rFonts w:ascii="Century" w:hAnsi="Century"/>
          <w:iCs/>
          <w:lang w:val="en-GB"/>
        </w:rPr>
      </w:r>
      <w:r w:rsidR="000F6C12" w:rsidRPr="0044065E">
        <w:rPr>
          <w:rFonts w:ascii="Century" w:hAnsi="Century"/>
          <w:iCs/>
          <w:lang w:val="en-GB"/>
        </w:rPr>
        <w:fldChar w:fldCharType="separate"/>
      </w:r>
      <w:r w:rsidR="000F6C12">
        <w:rPr>
          <w:rFonts w:ascii="Century" w:hAnsi="Century"/>
          <w:iCs/>
          <w:lang w:val="en-GB"/>
        </w:rPr>
        <w:t>7</w:t>
      </w:r>
      <w:r w:rsidR="000F6C12" w:rsidRPr="0044065E">
        <w:rPr>
          <w:rFonts w:ascii="Century" w:hAnsi="Century"/>
          <w:iCs/>
          <w:lang w:val="en-GB"/>
        </w:rPr>
        <w:fldChar w:fldCharType="end"/>
      </w:r>
      <w:r w:rsidR="00473D09" w:rsidRPr="0044065E">
        <w:rPr>
          <w:rFonts w:ascii="Century" w:hAnsi="Century"/>
          <w:iCs/>
          <w:lang w:val="en-GB"/>
        </w:rPr>
        <w:t>).</w:t>
      </w:r>
    </w:p>
  </w:footnote>
  <w:footnote w:id="84">
    <w:p w14:paraId="769643C8" w14:textId="21B1F984"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rPr>
        <w:t>O’Sullivan</w:t>
      </w:r>
      <w:r w:rsidR="00473D09" w:rsidRPr="0044065E">
        <w:rPr>
          <w:rFonts w:ascii="Century" w:hAnsi="Century"/>
        </w:rPr>
        <w:t xml:space="preserve"> (</w:t>
      </w:r>
      <w:r w:rsidR="000F6C12">
        <w:rPr>
          <w:rFonts w:ascii="Century" w:hAnsi="Century"/>
        </w:rPr>
        <w:t xml:space="preserve">n </w:t>
      </w:r>
      <w:r w:rsidR="000F6C12" w:rsidRPr="0044065E">
        <w:rPr>
          <w:rFonts w:ascii="Century" w:hAnsi="Century"/>
        </w:rPr>
        <w:fldChar w:fldCharType="begin"/>
      </w:r>
      <w:r w:rsidR="000F6C12" w:rsidRPr="0044065E">
        <w:rPr>
          <w:rFonts w:ascii="Century" w:hAnsi="Century"/>
        </w:rPr>
        <w:instrText xml:space="preserve"> NOTEREF _Ref85194270 \h  \* MERGEFORMAT </w:instrText>
      </w:r>
      <w:r w:rsidR="000F6C12" w:rsidRPr="0044065E">
        <w:rPr>
          <w:rFonts w:ascii="Century" w:hAnsi="Century"/>
        </w:rPr>
      </w:r>
      <w:r w:rsidR="000F6C12" w:rsidRPr="0044065E">
        <w:rPr>
          <w:rFonts w:ascii="Century" w:hAnsi="Century"/>
        </w:rPr>
        <w:fldChar w:fldCharType="separate"/>
      </w:r>
      <w:r w:rsidR="000F6C12">
        <w:rPr>
          <w:rFonts w:ascii="Century" w:hAnsi="Century"/>
        </w:rPr>
        <w:t>8</w:t>
      </w:r>
      <w:r w:rsidR="000F6C12" w:rsidRPr="0044065E">
        <w:rPr>
          <w:rFonts w:ascii="Century" w:hAnsi="Century"/>
        </w:rPr>
        <w:fldChar w:fldCharType="end"/>
      </w:r>
      <w:r w:rsidR="00473D09" w:rsidRPr="0044065E">
        <w:rPr>
          <w:rFonts w:ascii="Century" w:hAnsi="Century"/>
        </w:rPr>
        <w:t>)</w:t>
      </w:r>
      <w:r w:rsidRPr="0044065E">
        <w:rPr>
          <w:rFonts w:ascii="Century" w:hAnsi="Century"/>
        </w:rPr>
        <w:t xml:space="preserve"> </w:t>
      </w:r>
      <w:r w:rsidR="000F6C12">
        <w:rPr>
          <w:rFonts w:ascii="Century" w:hAnsi="Century"/>
        </w:rPr>
        <w:t xml:space="preserve">paras </w:t>
      </w:r>
      <w:r w:rsidRPr="0044065E">
        <w:rPr>
          <w:rFonts w:ascii="Century" w:hAnsi="Century"/>
        </w:rPr>
        <w:t>39-40.</w:t>
      </w:r>
    </w:p>
  </w:footnote>
  <w:footnote w:id="85">
    <w:p w14:paraId="7DB33674" w14:textId="43BDF958" w:rsidR="00CD0D0C" w:rsidRPr="0044065E" w:rsidRDefault="00CD0D0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F6C12">
        <w:rPr>
          <w:rFonts w:ascii="Century" w:hAnsi="Century"/>
          <w:iCs/>
        </w:rPr>
        <w:t>i</w:t>
      </w:r>
      <w:r w:rsidRPr="0044065E">
        <w:rPr>
          <w:rFonts w:ascii="Century" w:hAnsi="Century"/>
          <w:iCs/>
        </w:rPr>
        <w:t>bid</w:t>
      </w:r>
      <w:r w:rsidRPr="0044065E">
        <w:rPr>
          <w:rFonts w:ascii="Century" w:hAnsi="Century"/>
          <w:i/>
        </w:rPr>
        <w:t>.</w:t>
      </w:r>
    </w:p>
  </w:footnote>
  <w:footnote w:id="86">
    <w:p w14:paraId="1D4C71C4" w14:textId="0B44C23C" w:rsidR="00CD64D4" w:rsidRPr="0044065E" w:rsidRDefault="00CD64D4"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A similar conclusion has been reached by Eustace,</w:t>
      </w:r>
      <w:r w:rsidR="0044065E" w:rsidRPr="0044065E">
        <w:rPr>
          <w:rFonts w:ascii="Century" w:hAnsi="Century"/>
          <w:lang w:val="en-GB"/>
        </w:rPr>
        <w:t xml:space="preserve"> ‘</w:t>
      </w:r>
      <w:r w:rsidR="0044065E" w:rsidRPr="0044065E">
        <w:rPr>
          <w:rFonts w:ascii="Century" w:hAnsi="Century" w:cs="Times New Roman"/>
          <w:lang w:val="en-GB"/>
        </w:rPr>
        <w:t>The Electrical Contractors Case</w:t>
      </w:r>
      <w:r w:rsidR="00465838" w:rsidRPr="0044065E">
        <w:rPr>
          <w:rFonts w:ascii="Century" w:hAnsi="Century" w:cs="Times New Roman"/>
          <w:lang w:val="en-GB"/>
        </w:rPr>
        <w:t>’</w:t>
      </w:r>
      <w:r w:rsidR="00465838" w:rsidRPr="0044065E">
        <w:rPr>
          <w:rFonts w:ascii="Century" w:hAnsi="Century"/>
          <w:lang w:val="en-GB"/>
        </w:rPr>
        <w:t xml:space="preserve"> (</w:t>
      </w:r>
      <w:r w:rsidR="00494B04">
        <w:rPr>
          <w:rFonts w:ascii="Century" w:hAnsi="Century"/>
          <w:lang w:val="en-GB"/>
        </w:rPr>
        <w:t xml:space="preserve">n </w:t>
      </w:r>
      <w:r w:rsidR="00494B04" w:rsidRPr="0044065E">
        <w:rPr>
          <w:rFonts w:ascii="Century" w:hAnsi="Century"/>
          <w:lang w:val="en-GB"/>
        </w:rPr>
        <w:fldChar w:fldCharType="begin"/>
      </w:r>
      <w:r w:rsidR="00494B04" w:rsidRPr="0044065E">
        <w:rPr>
          <w:rFonts w:ascii="Century" w:hAnsi="Century"/>
          <w:lang w:val="en-GB"/>
        </w:rPr>
        <w:instrText xml:space="preserve"> NOTEREF _Ref85718089 \h  \* MERGEFORMAT </w:instrText>
      </w:r>
      <w:r w:rsidR="00494B04" w:rsidRPr="0044065E">
        <w:rPr>
          <w:rFonts w:ascii="Century" w:hAnsi="Century"/>
          <w:lang w:val="en-GB"/>
        </w:rPr>
      </w:r>
      <w:r w:rsidR="00494B04" w:rsidRPr="0044065E">
        <w:rPr>
          <w:rFonts w:ascii="Century" w:hAnsi="Century"/>
          <w:lang w:val="en-GB"/>
        </w:rPr>
        <w:fldChar w:fldCharType="separate"/>
      </w:r>
      <w:r w:rsidR="00494B04">
        <w:rPr>
          <w:rFonts w:ascii="Century" w:hAnsi="Century"/>
          <w:lang w:val="en-GB"/>
        </w:rPr>
        <w:t>12</w:t>
      </w:r>
      <w:r w:rsidR="00494B04" w:rsidRPr="0044065E">
        <w:rPr>
          <w:rFonts w:ascii="Century" w:hAnsi="Century"/>
          <w:lang w:val="en-GB"/>
        </w:rPr>
        <w:fldChar w:fldCharType="end"/>
      </w:r>
      <w:r w:rsidRPr="0044065E">
        <w:rPr>
          <w:rFonts w:ascii="Century" w:hAnsi="Century"/>
          <w:lang w:val="en-GB"/>
        </w:rPr>
        <w:t>) 12.</w:t>
      </w:r>
    </w:p>
  </w:footnote>
  <w:footnote w:id="87">
    <w:p w14:paraId="016FDF24" w14:textId="4BFA9041" w:rsidR="00FE05E9" w:rsidRPr="0044065E" w:rsidRDefault="00FE05E9"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One </w:t>
      </w:r>
      <w:r w:rsidR="0011298A" w:rsidRPr="0044065E">
        <w:rPr>
          <w:rFonts w:ascii="Century" w:hAnsi="Century"/>
          <w:lang w:val="en-GB"/>
        </w:rPr>
        <w:t>issue</w:t>
      </w:r>
      <w:r w:rsidRPr="0044065E">
        <w:rPr>
          <w:rFonts w:ascii="Century" w:hAnsi="Century"/>
          <w:lang w:val="en-GB"/>
        </w:rPr>
        <w:t xml:space="preserve"> that did not arise in this judgment that arose in </w:t>
      </w:r>
      <w:r w:rsidRPr="0044065E">
        <w:rPr>
          <w:rFonts w:ascii="Century" w:hAnsi="Century"/>
          <w:i/>
          <w:iCs/>
          <w:lang w:val="en-GB"/>
        </w:rPr>
        <w:t>Bederev</w:t>
      </w:r>
      <w:r w:rsidRPr="0044065E">
        <w:rPr>
          <w:rFonts w:ascii="Century" w:hAnsi="Century"/>
          <w:lang w:val="en-GB"/>
        </w:rPr>
        <w:t>, was the extent to which the Court, when discerning whether a delegating statute contains direction and guidance</w:t>
      </w:r>
      <w:r w:rsidR="0011298A" w:rsidRPr="0044065E">
        <w:rPr>
          <w:rFonts w:ascii="Century" w:hAnsi="Century"/>
          <w:lang w:val="en-GB"/>
        </w:rPr>
        <w:t xml:space="preserve"> for the delegate</w:t>
      </w:r>
      <w:r w:rsidRPr="0044065E">
        <w:rPr>
          <w:rFonts w:ascii="Century" w:hAnsi="Century"/>
          <w:lang w:val="en-GB"/>
        </w:rPr>
        <w:t xml:space="preserve">, can or ought to have regard to the views of </w:t>
      </w:r>
      <w:r w:rsidR="0011298A" w:rsidRPr="0044065E">
        <w:rPr>
          <w:rFonts w:ascii="Century" w:hAnsi="Century"/>
          <w:lang w:val="en-GB"/>
        </w:rPr>
        <w:t>that delegate</w:t>
      </w:r>
      <w:r w:rsidRPr="0044065E">
        <w:rPr>
          <w:rFonts w:ascii="Century" w:hAnsi="Century"/>
          <w:lang w:val="en-GB"/>
        </w:rPr>
        <w:t xml:space="preserve"> as to how it interprets the statute and implements it in practice. This facet of </w:t>
      </w:r>
      <w:r w:rsidRPr="0044065E">
        <w:rPr>
          <w:rFonts w:ascii="Century" w:hAnsi="Century"/>
          <w:i/>
          <w:iCs/>
          <w:lang w:val="en-GB"/>
        </w:rPr>
        <w:t>Bederev</w:t>
      </w:r>
      <w:r w:rsidRPr="0044065E">
        <w:rPr>
          <w:rFonts w:ascii="Century" w:hAnsi="Century"/>
          <w:lang w:val="en-GB"/>
        </w:rPr>
        <w:t xml:space="preserve"> was subject to </w:t>
      </w:r>
      <w:r w:rsidR="0011298A" w:rsidRPr="0044065E">
        <w:rPr>
          <w:rFonts w:ascii="Century" w:hAnsi="Century"/>
          <w:lang w:val="en-GB"/>
        </w:rPr>
        <w:t>critique</w:t>
      </w:r>
      <w:r w:rsidRPr="0044065E">
        <w:rPr>
          <w:rFonts w:ascii="Century" w:hAnsi="Century"/>
          <w:lang w:val="en-GB"/>
        </w:rPr>
        <w:t xml:space="preserve"> by the authors of </w:t>
      </w:r>
      <w:r w:rsidRPr="0044065E">
        <w:rPr>
          <w:rFonts w:ascii="Century" w:hAnsi="Century"/>
          <w:i/>
          <w:iCs/>
          <w:lang w:val="en-GB"/>
        </w:rPr>
        <w:t xml:space="preserve">Kelly. </w:t>
      </w:r>
      <w:r w:rsidRPr="0044065E">
        <w:rPr>
          <w:rFonts w:ascii="Century" w:hAnsi="Century"/>
          <w:lang w:val="en-GB"/>
        </w:rPr>
        <w:t>The question of judicial deference to executive interpretations of statutory provisions is a controversial issue in many legal systems</w:t>
      </w:r>
      <w:r w:rsidR="0011298A" w:rsidRPr="0044065E">
        <w:rPr>
          <w:rFonts w:ascii="Century" w:hAnsi="Century"/>
          <w:lang w:val="en-GB"/>
        </w:rPr>
        <w:t xml:space="preserve"> like the United States and Canada</w:t>
      </w:r>
      <w:r w:rsidRPr="0044065E">
        <w:rPr>
          <w:rFonts w:ascii="Century" w:hAnsi="Century"/>
          <w:lang w:val="en-GB"/>
        </w:rPr>
        <w:t xml:space="preserve"> and it will be interesting to see whether the Supreme Court squarely </w:t>
      </w:r>
      <w:r w:rsidR="0011298A" w:rsidRPr="0044065E">
        <w:rPr>
          <w:rFonts w:ascii="Century" w:hAnsi="Century"/>
          <w:lang w:val="en-GB"/>
        </w:rPr>
        <w:t>re</w:t>
      </w:r>
      <w:r w:rsidRPr="0044065E">
        <w:rPr>
          <w:rFonts w:ascii="Century" w:hAnsi="Century"/>
          <w:lang w:val="en-GB"/>
        </w:rPr>
        <w:t>visits the question</w:t>
      </w:r>
      <w:r w:rsidR="0011298A" w:rsidRPr="0044065E">
        <w:rPr>
          <w:rFonts w:ascii="Century" w:hAnsi="Century"/>
          <w:lang w:val="en-GB"/>
        </w:rPr>
        <w:t>,</w:t>
      </w:r>
      <w:r w:rsidRPr="0044065E">
        <w:rPr>
          <w:rFonts w:ascii="Century" w:hAnsi="Century"/>
          <w:lang w:val="en-GB"/>
        </w:rPr>
        <w:t xml:space="preserve"> or </w:t>
      </w:r>
      <w:r w:rsidR="0011298A" w:rsidRPr="0044065E">
        <w:rPr>
          <w:rFonts w:ascii="Century" w:hAnsi="Century"/>
          <w:lang w:val="en-GB"/>
        </w:rPr>
        <w:t>whether</w:t>
      </w:r>
      <w:r w:rsidRPr="0044065E">
        <w:rPr>
          <w:rFonts w:ascii="Century" w:hAnsi="Century"/>
          <w:lang w:val="en-GB"/>
        </w:rPr>
        <w:t xml:space="preserve"> the dicta in Bederev was a once off.</w:t>
      </w:r>
      <w:r w:rsidR="00E75038" w:rsidRPr="0044065E">
        <w:rPr>
          <w:rFonts w:ascii="Century" w:hAnsi="Century"/>
          <w:lang w:val="en-GB"/>
        </w:rPr>
        <w:t xml:space="preserve"> </w:t>
      </w:r>
      <w:r w:rsidR="0011298A" w:rsidRPr="0044065E">
        <w:rPr>
          <w:rFonts w:ascii="Century" w:hAnsi="Century"/>
          <w:lang w:val="en-GB"/>
        </w:rPr>
        <w:t xml:space="preserve">Hogan, Whyte, Kenny, Walsh, </w:t>
      </w:r>
      <w:r w:rsidR="0011298A" w:rsidRPr="0044065E">
        <w:rPr>
          <w:rFonts w:ascii="Century" w:hAnsi="Century"/>
          <w:i/>
          <w:lang w:val="en-GB"/>
        </w:rPr>
        <w:t xml:space="preserve">Kelly: The Irish Constitution </w:t>
      </w:r>
      <w:r w:rsidR="0011298A" w:rsidRPr="0044065E">
        <w:rPr>
          <w:rFonts w:ascii="Century" w:hAnsi="Century"/>
          <w:lang w:val="en-GB"/>
        </w:rPr>
        <w:t xml:space="preserve">(n </w:t>
      </w:r>
      <w:r w:rsidR="0011298A" w:rsidRPr="0044065E">
        <w:rPr>
          <w:rFonts w:ascii="Century" w:hAnsi="Century"/>
          <w:lang w:val="en-GB"/>
        </w:rPr>
        <w:fldChar w:fldCharType="begin"/>
      </w:r>
      <w:r w:rsidR="0011298A" w:rsidRPr="0044065E">
        <w:rPr>
          <w:rFonts w:ascii="Century" w:hAnsi="Century"/>
          <w:lang w:val="en-GB"/>
        </w:rPr>
        <w:instrText xml:space="preserve"> NOTEREF _Ref36124920 \h </w:instrText>
      </w:r>
      <w:r w:rsidR="0044065E" w:rsidRPr="0044065E">
        <w:rPr>
          <w:rFonts w:ascii="Century" w:hAnsi="Century"/>
          <w:lang w:val="en-GB"/>
        </w:rPr>
        <w:instrText xml:space="preserve"> \* MERGEFORMAT </w:instrText>
      </w:r>
      <w:r w:rsidR="0011298A" w:rsidRPr="0044065E">
        <w:rPr>
          <w:rFonts w:ascii="Century" w:hAnsi="Century"/>
          <w:lang w:val="en-GB"/>
        </w:rPr>
      </w:r>
      <w:r w:rsidR="0011298A" w:rsidRPr="0044065E">
        <w:rPr>
          <w:rFonts w:ascii="Century" w:hAnsi="Century"/>
          <w:lang w:val="en-GB"/>
        </w:rPr>
        <w:fldChar w:fldCharType="separate"/>
      </w:r>
      <w:r w:rsidR="006D1DC3">
        <w:rPr>
          <w:rFonts w:ascii="Century" w:hAnsi="Century"/>
          <w:lang w:val="en-GB"/>
        </w:rPr>
        <w:t>68</w:t>
      </w:r>
      <w:r w:rsidR="0011298A" w:rsidRPr="0044065E">
        <w:rPr>
          <w:rFonts w:ascii="Century" w:hAnsi="Century"/>
          <w:lang w:val="en-GB"/>
        </w:rPr>
        <w:fldChar w:fldCharType="end"/>
      </w:r>
      <w:r w:rsidR="0011298A" w:rsidRPr="0044065E">
        <w:rPr>
          <w:rFonts w:ascii="Century" w:hAnsi="Century"/>
          <w:lang w:val="en-GB"/>
        </w:rPr>
        <w:t>) 302.</w:t>
      </w:r>
    </w:p>
  </w:footnote>
  <w:footnote w:id="88">
    <w:p w14:paraId="1EBF4096" w14:textId="5FB14B5B" w:rsidR="005E78B9" w:rsidRPr="00855D62" w:rsidRDefault="005E78B9" w:rsidP="005E78B9">
      <w:pPr>
        <w:pStyle w:val="FootnoteText"/>
        <w:rPr>
          <w:rFonts w:ascii="Century" w:hAnsi="Century"/>
          <w:lang w:val="en-GB"/>
        </w:rPr>
      </w:pPr>
      <w:r w:rsidRPr="00855D62">
        <w:rPr>
          <w:rStyle w:val="FootnoteReference"/>
          <w:rFonts w:ascii="Century" w:hAnsi="Century"/>
        </w:rPr>
        <w:footnoteRef/>
      </w:r>
      <w:r w:rsidRPr="00855D62">
        <w:rPr>
          <w:rFonts w:ascii="Century" w:hAnsi="Century"/>
        </w:rPr>
        <w:t xml:space="preserve"> </w:t>
      </w:r>
      <w:r w:rsidRPr="00855D62">
        <w:rPr>
          <w:rFonts w:ascii="Century" w:hAnsi="Century"/>
          <w:i/>
          <w:iCs/>
          <w:lang w:val="en-GB"/>
        </w:rPr>
        <w:t xml:space="preserve">Cityview </w:t>
      </w:r>
      <w:r w:rsidRPr="00855D62">
        <w:rPr>
          <w:rFonts w:ascii="Century" w:hAnsi="Century"/>
          <w:lang w:val="en-GB"/>
        </w:rPr>
        <w:t xml:space="preserve">(n </w:t>
      </w:r>
      <w:r w:rsidRPr="00855D62">
        <w:rPr>
          <w:rFonts w:ascii="Century" w:hAnsi="Century"/>
          <w:lang w:val="en-GB"/>
        </w:rPr>
        <w:fldChar w:fldCharType="begin"/>
      </w:r>
      <w:r w:rsidRPr="00855D62">
        <w:rPr>
          <w:rFonts w:ascii="Century" w:hAnsi="Century"/>
          <w:lang w:val="en-GB"/>
        </w:rPr>
        <w:instrText xml:space="preserve"> NOTEREF _Ref85194041 \h </w:instrText>
      </w:r>
      <w:r>
        <w:rPr>
          <w:rFonts w:ascii="Century" w:hAnsi="Century"/>
          <w:lang w:val="en-GB"/>
        </w:rPr>
        <w:instrText xml:space="preserve"> \* MERGEFORMAT </w:instrText>
      </w:r>
      <w:r w:rsidRPr="00855D62">
        <w:rPr>
          <w:rFonts w:ascii="Century" w:hAnsi="Century"/>
          <w:lang w:val="en-GB"/>
        </w:rPr>
      </w:r>
      <w:r w:rsidRPr="00855D62">
        <w:rPr>
          <w:rFonts w:ascii="Century" w:hAnsi="Century"/>
          <w:lang w:val="en-GB"/>
        </w:rPr>
        <w:fldChar w:fldCharType="separate"/>
      </w:r>
      <w:r w:rsidR="006D1DC3">
        <w:rPr>
          <w:rFonts w:ascii="Century" w:hAnsi="Century"/>
          <w:lang w:val="en-GB"/>
        </w:rPr>
        <w:t>4</w:t>
      </w:r>
      <w:r w:rsidRPr="00855D62">
        <w:rPr>
          <w:rFonts w:ascii="Century" w:hAnsi="Century"/>
          <w:lang w:val="en-GB"/>
        </w:rPr>
        <w:fldChar w:fldCharType="end"/>
      </w:r>
      <w:r w:rsidRPr="00855D62">
        <w:rPr>
          <w:rFonts w:ascii="Century" w:hAnsi="Century"/>
          <w:lang w:val="en-GB"/>
        </w:rPr>
        <w:t>) 398-399.</w:t>
      </w:r>
      <w:r>
        <w:rPr>
          <w:rFonts w:ascii="Century" w:hAnsi="Century"/>
          <w:lang w:val="en-GB"/>
        </w:rPr>
        <w:t xml:space="preserve"> </w:t>
      </w:r>
    </w:p>
  </w:footnote>
  <w:footnote w:id="89">
    <w:p w14:paraId="0FD0B3AA" w14:textId="6484355E" w:rsidR="00D3299B" w:rsidRPr="0044065E" w:rsidRDefault="00D3299B"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E75038" w:rsidRPr="0044065E">
        <w:rPr>
          <w:rFonts w:ascii="Century" w:hAnsi="Century"/>
          <w:i/>
          <w:iCs/>
          <w:lang w:val="en-GB"/>
        </w:rPr>
        <w:t xml:space="preserve">NECI </w:t>
      </w:r>
      <w:r w:rsidR="00E75038" w:rsidRPr="0044065E">
        <w:rPr>
          <w:rFonts w:ascii="Century" w:hAnsi="Century"/>
          <w:lang w:val="en-GB"/>
        </w:rPr>
        <w:t>(</w:t>
      </w:r>
      <w:r w:rsidR="00DE7F48">
        <w:rPr>
          <w:rFonts w:ascii="Century" w:hAnsi="Century"/>
          <w:lang w:val="en-GB"/>
        </w:rPr>
        <w:t xml:space="preserve">n </w:t>
      </w:r>
      <w:r w:rsidR="00DE7F48" w:rsidRPr="0044065E">
        <w:rPr>
          <w:rFonts w:ascii="Century" w:hAnsi="Century"/>
          <w:lang w:val="en-GB"/>
        </w:rPr>
        <w:fldChar w:fldCharType="begin"/>
      </w:r>
      <w:r w:rsidR="00DE7F48" w:rsidRPr="0044065E">
        <w:rPr>
          <w:rFonts w:ascii="Century" w:hAnsi="Century"/>
          <w:lang w:val="en-GB"/>
        </w:rPr>
        <w:instrText xml:space="preserve"> NOTEREF _Ref85194969 \h  \* MERGEFORMAT </w:instrText>
      </w:r>
      <w:r w:rsidR="00DE7F48" w:rsidRPr="0044065E">
        <w:rPr>
          <w:rFonts w:ascii="Century" w:hAnsi="Century"/>
          <w:lang w:val="en-GB"/>
        </w:rPr>
      </w:r>
      <w:r w:rsidR="00DE7F48" w:rsidRPr="0044065E">
        <w:rPr>
          <w:rFonts w:ascii="Century" w:hAnsi="Century"/>
          <w:lang w:val="en-GB"/>
        </w:rPr>
        <w:fldChar w:fldCharType="separate"/>
      </w:r>
      <w:r w:rsidR="00DE7F48">
        <w:rPr>
          <w:rFonts w:ascii="Century" w:hAnsi="Century"/>
          <w:lang w:val="en-GB"/>
        </w:rPr>
        <w:t>11</w:t>
      </w:r>
      <w:r w:rsidR="00DE7F48" w:rsidRPr="0044065E">
        <w:rPr>
          <w:rFonts w:ascii="Century" w:hAnsi="Century"/>
          <w:lang w:val="en-GB"/>
        </w:rPr>
        <w:fldChar w:fldCharType="end"/>
      </w:r>
      <w:r w:rsidR="00E75038" w:rsidRPr="0044065E">
        <w:rPr>
          <w:rFonts w:ascii="Century" w:hAnsi="Century"/>
          <w:lang w:val="en-GB"/>
        </w:rPr>
        <w:t>)</w:t>
      </w:r>
      <w:r w:rsidRPr="0044065E">
        <w:rPr>
          <w:rFonts w:ascii="Century" w:hAnsi="Century"/>
          <w:lang w:val="en-GB"/>
        </w:rPr>
        <w:t xml:space="preserve"> </w:t>
      </w:r>
      <w:r w:rsidR="00DE7F48">
        <w:rPr>
          <w:rFonts w:ascii="Century" w:hAnsi="Century"/>
          <w:lang w:val="en-GB"/>
        </w:rPr>
        <w:t xml:space="preserve">para </w:t>
      </w:r>
      <w:r w:rsidRPr="0044065E">
        <w:rPr>
          <w:rFonts w:ascii="Century" w:hAnsi="Century"/>
          <w:lang w:val="en-GB"/>
        </w:rPr>
        <w:t>60.</w:t>
      </w:r>
    </w:p>
  </w:footnote>
  <w:footnote w:id="90">
    <w:p w14:paraId="6BF4D293" w14:textId="5DE75570" w:rsidR="00223A59" w:rsidRPr="0044065E" w:rsidRDefault="00223A59" w:rsidP="0044065E">
      <w:pPr>
        <w:pStyle w:val="Default"/>
        <w:jc w:val="both"/>
        <w:rPr>
          <w:rFonts w:ascii="Century" w:hAnsi="Century" w:cs="Times New Roman"/>
          <w:sz w:val="20"/>
          <w:szCs w:val="20"/>
        </w:rPr>
      </w:pPr>
      <w:r w:rsidRPr="0044065E">
        <w:rPr>
          <w:rStyle w:val="FootnoteReference"/>
          <w:rFonts w:ascii="Century" w:hAnsi="Century"/>
          <w:sz w:val="20"/>
          <w:szCs w:val="20"/>
        </w:rPr>
        <w:footnoteRef/>
      </w:r>
      <w:r w:rsidRPr="0044065E">
        <w:rPr>
          <w:rFonts w:ascii="Century" w:hAnsi="Century"/>
          <w:sz w:val="20"/>
          <w:szCs w:val="20"/>
        </w:rPr>
        <w:t xml:space="preserve"> An even more recent case, </w:t>
      </w:r>
      <w:r w:rsidRPr="0044065E">
        <w:rPr>
          <w:rFonts w:ascii="Century" w:hAnsi="Century"/>
          <w:i/>
          <w:iCs/>
          <w:sz w:val="20"/>
          <w:szCs w:val="20"/>
        </w:rPr>
        <w:t>McGrath v DPP</w:t>
      </w:r>
      <w:r w:rsidRPr="0044065E">
        <w:rPr>
          <w:rFonts w:ascii="Century" w:hAnsi="Century"/>
          <w:sz w:val="20"/>
          <w:szCs w:val="20"/>
        </w:rPr>
        <w:t xml:space="preserve"> [2021] IESC</w:t>
      </w:r>
      <w:r w:rsidR="00116D6D" w:rsidRPr="0044065E">
        <w:rPr>
          <w:rFonts w:ascii="Century" w:hAnsi="Century"/>
          <w:sz w:val="20"/>
          <w:szCs w:val="20"/>
        </w:rPr>
        <w:t xml:space="preserve"> 66</w:t>
      </w:r>
      <w:r w:rsidRPr="0044065E">
        <w:rPr>
          <w:rFonts w:ascii="Century" w:hAnsi="Century"/>
          <w:sz w:val="20"/>
          <w:szCs w:val="20"/>
        </w:rPr>
        <w:t xml:space="preserve"> supports </w:t>
      </w:r>
      <w:r w:rsidR="00C0397F" w:rsidRPr="0044065E">
        <w:rPr>
          <w:rFonts w:ascii="Century" w:hAnsi="Century"/>
          <w:sz w:val="20"/>
          <w:szCs w:val="20"/>
        </w:rPr>
        <w:t xml:space="preserve">the view there is </w:t>
      </w:r>
      <w:r w:rsidRPr="0044065E">
        <w:rPr>
          <w:rFonts w:ascii="Century" w:hAnsi="Century"/>
          <w:sz w:val="20"/>
          <w:szCs w:val="20"/>
        </w:rPr>
        <w:t xml:space="preserve">doctrinal discontinuity </w:t>
      </w:r>
      <w:r w:rsidR="00C0397F" w:rsidRPr="0044065E">
        <w:rPr>
          <w:rFonts w:ascii="Century" w:hAnsi="Century"/>
          <w:sz w:val="20"/>
          <w:szCs w:val="20"/>
        </w:rPr>
        <w:t xml:space="preserve">between </w:t>
      </w:r>
      <w:r w:rsidR="00C0397F" w:rsidRPr="0044065E">
        <w:rPr>
          <w:rFonts w:ascii="Century" w:hAnsi="Century"/>
          <w:i/>
          <w:iCs/>
          <w:sz w:val="20"/>
          <w:szCs w:val="20"/>
        </w:rPr>
        <w:t xml:space="preserve">Cityview </w:t>
      </w:r>
      <w:r w:rsidR="00C0397F" w:rsidRPr="0044065E">
        <w:rPr>
          <w:rFonts w:ascii="Century" w:hAnsi="Century"/>
          <w:sz w:val="20"/>
          <w:szCs w:val="20"/>
        </w:rPr>
        <w:t xml:space="preserve">and </w:t>
      </w:r>
      <w:r w:rsidR="00C0397F" w:rsidRPr="0044065E">
        <w:rPr>
          <w:rFonts w:ascii="Century" w:hAnsi="Century"/>
          <w:i/>
          <w:iCs/>
          <w:sz w:val="20"/>
          <w:szCs w:val="20"/>
        </w:rPr>
        <w:t>NECI</w:t>
      </w:r>
      <w:r w:rsidRPr="0044065E">
        <w:rPr>
          <w:rFonts w:ascii="Century" w:hAnsi="Century"/>
          <w:sz w:val="20"/>
          <w:szCs w:val="20"/>
        </w:rPr>
        <w:t>. O’Donnell J (as he then was) said</w:t>
      </w:r>
      <w:r w:rsidR="00C0397F" w:rsidRPr="0044065E">
        <w:rPr>
          <w:rFonts w:ascii="Century" w:hAnsi="Century"/>
          <w:sz w:val="20"/>
          <w:szCs w:val="20"/>
        </w:rPr>
        <w:t xml:space="preserve"> in this case</w:t>
      </w:r>
      <w:r w:rsidRPr="0044065E">
        <w:rPr>
          <w:rFonts w:ascii="Century" w:hAnsi="Century"/>
          <w:sz w:val="20"/>
          <w:szCs w:val="20"/>
        </w:rPr>
        <w:t xml:space="preserve"> that </w:t>
      </w:r>
      <w:r w:rsidRPr="0044065E">
        <w:rPr>
          <w:rFonts w:ascii="Century" w:hAnsi="Century"/>
          <w:i/>
          <w:iCs/>
          <w:sz w:val="20"/>
          <w:szCs w:val="20"/>
        </w:rPr>
        <w:t xml:space="preserve">NECI </w:t>
      </w:r>
      <w:r w:rsidRPr="0044065E">
        <w:rPr>
          <w:rFonts w:ascii="Century" w:hAnsi="Century"/>
          <w:sz w:val="20"/>
          <w:szCs w:val="20"/>
        </w:rPr>
        <w:t xml:space="preserve">made it clear </w:t>
      </w:r>
      <w:r w:rsidRPr="0044065E">
        <w:rPr>
          <w:rFonts w:ascii="Century" w:hAnsi="Century" w:cs="Times New Roman"/>
          <w:sz w:val="20"/>
          <w:szCs w:val="20"/>
        </w:rPr>
        <w:t xml:space="preserve">the </w:t>
      </w:r>
      <w:r w:rsidR="00034566">
        <w:rPr>
          <w:rFonts w:ascii="Century" w:hAnsi="Century" w:cs="Times New Roman"/>
          <w:sz w:val="20"/>
          <w:szCs w:val="20"/>
        </w:rPr>
        <w:t>‘</w:t>
      </w:r>
      <w:r w:rsidRPr="0044065E">
        <w:rPr>
          <w:rFonts w:ascii="Century" w:hAnsi="Century" w:cs="Times New Roman"/>
          <w:i/>
          <w:iCs/>
          <w:sz w:val="20"/>
          <w:szCs w:val="20"/>
        </w:rPr>
        <w:t xml:space="preserve">Cityview Press </w:t>
      </w:r>
      <w:r w:rsidRPr="0044065E">
        <w:rPr>
          <w:rFonts w:ascii="Century" w:hAnsi="Century" w:cs="Times New Roman"/>
          <w:sz w:val="20"/>
          <w:szCs w:val="20"/>
        </w:rPr>
        <w:t>approach is helpful…but cannot be considered an infallible guide</w:t>
      </w:r>
      <w:r w:rsidR="00034566">
        <w:rPr>
          <w:rFonts w:ascii="Century" w:hAnsi="Century" w:cs="Times New Roman"/>
          <w:sz w:val="20"/>
          <w:szCs w:val="20"/>
        </w:rPr>
        <w:t>’</w:t>
      </w:r>
      <w:r w:rsidRPr="0044065E">
        <w:rPr>
          <w:rFonts w:ascii="Century" w:hAnsi="Century" w:cs="Times New Roman"/>
          <w:sz w:val="20"/>
          <w:szCs w:val="20"/>
        </w:rPr>
        <w:t xml:space="preserve">. O’Donnell J added that </w:t>
      </w:r>
      <w:r w:rsidR="00034566">
        <w:rPr>
          <w:rFonts w:ascii="Century" w:hAnsi="Century" w:cs="Times New Roman"/>
          <w:sz w:val="20"/>
          <w:szCs w:val="20"/>
        </w:rPr>
        <w:t>‘</w:t>
      </w:r>
      <w:r w:rsidRPr="0044065E">
        <w:rPr>
          <w:rFonts w:ascii="Century" w:hAnsi="Century" w:cs="Times New Roman"/>
          <w:sz w:val="20"/>
          <w:szCs w:val="20"/>
        </w:rPr>
        <w:t>it may also be possible to address the question by reference to the consideration of whether the Oireachtas has abdicated its function under Article 15.2.1°</w:t>
      </w:r>
      <w:r w:rsidR="00B254D5">
        <w:rPr>
          <w:rFonts w:ascii="Century" w:hAnsi="Century" w:cs="Times New Roman"/>
          <w:sz w:val="20"/>
          <w:szCs w:val="20"/>
        </w:rPr>
        <w:t xml:space="preserve"> </w:t>
      </w:r>
      <w:r w:rsidRPr="0044065E">
        <w:rPr>
          <w:rFonts w:ascii="Century" w:hAnsi="Century" w:cs="Times New Roman"/>
          <w:sz w:val="20"/>
          <w:szCs w:val="20"/>
        </w:rPr>
        <w:t xml:space="preserve">and that a relevant consideration may be the scope of the area of delegation: see </w:t>
      </w:r>
      <w:r w:rsidRPr="0044065E">
        <w:rPr>
          <w:rFonts w:ascii="Century" w:hAnsi="Century" w:cs="Times New Roman"/>
          <w:i/>
          <w:iCs/>
          <w:sz w:val="20"/>
          <w:szCs w:val="20"/>
        </w:rPr>
        <w:t>Sea Fisheries Protection Authority</w:t>
      </w:r>
      <w:r w:rsidRPr="0044065E">
        <w:rPr>
          <w:rFonts w:ascii="Century" w:hAnsi="Century" w:cs="Times New Roman"/>
          <w:sz w:val="20"/>
          <w:szCs w:val="20"/>
        </w:rPr>
        <w:t xml:space="preserve">; </w:t>
      </w:r>
      <w:r w:rsidRPr="0044065E">
        <w:rPr>
          <w:rFonts w:ascii="Century" w:hAnsi="Century" w:cs="Times New Roman"/>
          <w:i/>
          <w:iCs/>
          <w:sz w:val="20"/>
          <w:szCs w:val="20"/>
        </w:rPr>
        <w:t xml:space="preserve">Bederev v Ireland </w:t>
      </w:r>
      <w:r w:rsidRPr="0044065E">
        <w:rPr>
          <w:rFonts w:ascii="Century" w:hAnsi="Century" w:cs="Times New Roman"/>
          <w:sz w:val="20"/>
          <w:szCs w:val="20"/>
        </w:rPr>
        <w:t xml:space="preserve">[2016] IESC 34, [2016] 3 IR 1; and </w:t>
      </w:r>
      <w:r w:rsidRPr="0044065E">
        <w:rPr>
          <w:rFonts w:ascii="Century" w:hAnsi="Century" w:cs="Times New Roman"/>
          <w:i/>
          <w:iCs/>
          <w:sz w:val="20"/>
          <w:szCs w:val="20"/>
        </w:rPr>
        <w:t>NECI</w:t>
      </w:r>
      <w:r w:rsidRPr="0044065E">
        <w:rPr>
          <w:rFonts w:ascii="Century" w:hAnsi="Century" w:cs="Times New Roman"/>
          <w:sz w:val="20"/>
          <w:szCs w:val="20"/>
        </w:rPr>
        <w:t>.</w:t>
      </w:r>
      <w:r w:rsidR="00B254D5">
        <w:rPr>
          <w:rFonts w:ascii="Century" w:hAnsi="Century" w:cs="Times New Roman"/>
          <w:sz w:val="20"/>
          <w:szCs w:val="20"/>
        </w:rPr>
        <w:t>’</w:t>
      </w:r>
      <w:r w:rsidRPr="0044065E">
        <w:rPr>
          <w:rFonts w:ascii="Century" w:hAnsi="Century" w:cs="Times New Roman"/>
          <w:sz w:val="20"/>
          <w:szCs w:val="20"/>
        </w:rPr>
        <w:t xml:space="preserve"> </w:t>
      </w:r>
      <w:r w:rsidR="00B254D5">
        <w:rPr>
          <w:rFonts w:ascii="Century" w:hAnsi="Century" w:cs="Times New Roman"/>
          <w:sz w:val="20"/>
          <w:szCs w:val="20"/>
        </w:rPr>
        <w:t xml:space="preserve">Paras </w:t>
      </w:r>
      <w:r w:rsidRPr="0044065E">
        <w:rPr>
          <w:rFonts w:ascii="Century" w:hAnsi="Century" w:cs="Times New Roman"/>
          <w:sz w:val="20"/>
          <w:szCs w:val="20"/>
        </w:rPr>
        <w:t>68-69.</w:t>
      </w:r>
    </w:p>
  </w:footnote>
  <w:footnote w:id="91">
    <w:p w14:paraId="4C4888C5" w14:textId="4908DEC8" w:rsidR="00794930" w:rsidRPr="0044065E" w:rsidRDefault="00794930"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DD3C3C" w:rsidRPr="0044065E">
        <w:rPr>
          <w:rFonts w:ascii="Century" w:hAnsi="Century"/>
          <w:i/>
          <w:lang w:val="en-GB"/>
        </w:rPr>
        <w:t xml:space="preserve">Bederev v Ireland </w:t>
      </w:r>
      <w:r w:rsidR="00DD3C3C" w:rsidRPr="0044065E">
        <w:rPr>
          <w:rFonts w:ascii="Century" w:hAnsi="Century"/>
          <w:lang w:val="en-GB"/>
        </w:rPr>
        <w:t>[2015] IECA 38.</w:t>
      </w:r>
    </w:p>
  </w:footnote>
  <w:footnote w:id="92">
    <w:p w14:paraId="088EDAD4" w14:textId="57AED65E" w:rsidR="0093693B" w:rsidRPr="0044065E" w:rsidRDefault="0093693B"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Kenny </w:t>
      </w:r>
      <w:r w:rsidR="000D4F51">
        <w:rPr>
          <w:rFonts w:ascii="Century" w:hAnsi="Century"/>
          <w:lang w:val="en-GB"/>
        </w:rPr>
        <w:t>and others</w:t>
      </w:r>
      <w:r w:rsidR="00D47BA7">
        <w:rPr>
          <w:rFonts w:ascii="Century" w:hAnsi="Century"/>
          <w:lang w:val="en-GB"/>
        </w:rPr>
        <w:t xml:space="preserve"> </w:t>
      </w:r>
      <w:r w:rsidR="000D4F51">
        <w:rPr>
          <w:rFonts w:ascii="Century" w:hAnsi="Century"/>
          <w:lang w:val="en-GB"/>
        </w:rPr>
        <w:t xml:space="preserve">(n </w:t>
      </w:r>
      <w:r w:rsidR="00D47BA7">
        <w:rPr>
          <w:rFonts w:ascii="Century" w:hAnsi="Century"/>
          <w:lang w:val="en-GB"/>
        </w:rPr>
        <w:fldChar w:fldCharType="begin"/>
      </w:r>
      <w:r w:rsidR="00D47BA7">
        <w:rPr>
          <w:rFonts w:ascii="Century" w:hAnsi="Century"/>
          <w:lang w:val="en-GB"/>
        </w:rPr>
        <w:instrText xml:space="preserve"> NOTEREF _Ref36124920 \h </w:instrText>
      </w:r>
      <w:r w:rsidR="00D47BA7">
        <w:rPr>
          <w:rFonts w:ascii="Century" w:hAnsi="Century"/>
          <w:lang w:val="en-GB"/>
        </w:rPr>
      </w:r>
      <w:r w:rsidR="00D47BA7">
        <w:rPr>
          <w:rFonts w:ascii="Century" w:hAnsi="Century"/>
          <w:lang w:val="en-GB"/>
        </w:rPr>
        <w:fldChar w:fldCharType="separate"/>
      </w:r>
      <w:r w:rsidR="006D1DC3">
        <w:rPr>
          <w:rFonts w:ascii="Century" w:hAnsi="Century"/>
          <w:lang w:val="en-GB"/>
        </w:rPr>
        <w:t>68</w:t>
      </w:r>
      <w:r w:rsidR="00D47BA7">
        <w:rPr>
          <w:rFonts w:ascii="Century" w:hAnsi="Century"/>
          <w:lang w:val="en-GB"/>
        </w:rPr>
        <w:fldChar w:fldCharType="end"/>
      </w:r>
      <w:r w:rsidR="00D47BA7">
        <w:rPr>
          <w:rFonts w:ascii="Century" w:hAnsi="Century"/>
          <w:lang w:val="en-GB"/>
        </w:rPr>
        <w:t xml:space="preserve">) </w:t>
      </w:r>
      <w:r w:rsidRPr="0044065E">
        <w:rPr>
          <w:rFonts w:ascii="Century" w:hAnsi="Century"/>
          <w:lang w:val="en-GB"/>
        </w:rPr>
        <w:t>305.</w:t>
      </w:r>
    </w:p>
  </w:footnote>
  <w:footnote w:id="93">
    <w:p w14:paraId="0AF33808" w14:textId="6962C7C3" w:rsidR="00FA5FE5" w:rsidRPr="0044065E" w:rsidRDefault="00FA5FE5"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3146E" w:rsidRPr="0044065E">
        <w:rPr>
          <w:rFonts w:ascii="Century" w:hAnsi="Century"/>
        </w:rPr>
        <w:t xml:space="preserve">Ronald Dworkin, </w:t>
      </w:r>
      <w:r w:rsidR="0083146E" w:rsidRPr="0044065E">
        <w:rPr>
          <w:rFonts w:ascii="Century" w:hAnsi="Century"/>
          <w:i/>
          <w:iCs/>
        </w:rPr>
        <w:t xml:space="preserve">Laws Empire </w:t>
      </w:r>
      <w:r w:rsidR="0083146E" w:rsidRPr="0044065E">
        <w:rPr>
          <w:rFonts w:ascii="Century" w:hAnsi="Century"/>
          <w:smallCaps/>
          <w:u w:color="000000"/>
          <w14:textOutline w14:w="12700" w14:cap="flat" w14:cmpd="sng" w14:algn="ctr">
            <w14:noFill/>
            <w14:prstDash w14:val="solid"/>
            <w14:miter w14:lim="400000"/>
          </w14:textOutline>
        </w:rPr>
        <w:t>(</w:t>
      </w:r>
      <w:r w:rsidR="000D4F51">
        <w:rPr>
          <w:rFonts w:ascii="Century" w:hAnsi="Century"/>
          <w:smallCaps/>
          <w:u w:color="000000"/>
          <w14:textOutline w14:w="12700" w14:cap="flat" w14:cmpd="sng" w14:algn="ctr">
            <w14:noFill/>
            <w14:prstDash w14:val="solid"/>
            <w14:miter w14:lim="400000"/>
          </w14:textOutline>
        </w:rPr>
        <w:t>OUP</w:t>
      </w:r>
      <w:r w:rsidR="0083146E" w:rsidRPr="0044065E">
        <w:rPr>
          <w:rFonts w:ascii="Century" w:hAnsi="Century"/>
          <w:smallCaps/>
          <w:u w:color="000000"/>
          <w14:textOutline w14:w="12700" w14:cap="flat" w14:cmpd="sng" w14:algn="ctr">
            <w14:noFill/>
            <w14:prstDash w14:val="solid"/>
            <w14:miter w14:lim="400000"/>
          </w14:textOutline>
        </w:rPr>
        <w:t xml:space="preserve"> 1986) 228-238.</w:t>
      </w:r>
    </w:p>
  </w:footnote>
  <w:footnote w:id="94">
    <w:p w14:paraId="4800BE75" w14:textId="0D966819" w:rsidR="00484272" w:rsidRPr="0044065E" w:rsidRDefault="00484272"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See Conor Casey, </w:t>
      </w:r>
      <w:r w:rsidR="0083146E" w:rsidRPr="0044065E">
        <w:rPr>
          <w:rFonts w:ascii="Century" w:hAnsi="Century"/>
          <w:lang w:val="en-GB"/>
        </w:rPr>
        <w:t xml:space="preserve">‘Underexplored Corners: Inherent Executive Power in the Irish Constitutional Order’ (2017) 41 Dublin University </w:t>
      </w:r>
      <w:r w:rsidR="00494B04">
        <w:rPr>
          <w:rFonts w:ascii="Century" w:hAnsi="Century"/>
          <w:lang w:val="en-GB"/>
        </w:rPr>
        <w:t>LJ</w:t>
      </w:r>
      <w:r w:rsidR="0083146E" w:rsidRPr="0044065E">
        <w:rPr>
          <w:rFonts w:ascii="Century" w:hAnsi="Century"/>
          <w:lang w:val="en-GB"/>
        </w:rPr>
        <w:t xml:space="preserve"> 1.</w:t>
      </w:r>
    </w:p>
  </w:footnote>
  <w:footnote w:id="95">
    <w:p w14:paraId="6C3588A0" w14:textId="3C268C2F" w:rsidR="009C0661" w:rsidRPr="0044065E" w:rsidRDefault="009C0661"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Eoin Carolan, ‘</w:t>
      </w:r>
      <w:r w:rsidRPr="0044065E">
        <w:rPr>
          <w:rFonts w:ascii="Century" w:hAnsi="Century" w:cs="Times New Roman"/>
          <w:sz w:val="20"/>
          <w:szCs w:val="20"/>
          <w:lang w:val="en-GB"/>
        </w:rPr>
        <w:t>Democratic Control or High-Sounding Hocus-Pocus’ (</w:t>
      </w:r>
      <w:r w:rsidR="00121E14">
        <w:rPr>
          <w:rFonts w:ascii="Century" w:hAnsi="Century" w:cs="Times New Roman"/>
          <w:sz w:val="20"/>
          <w:szCs w:val="20"/>
          <w:lang w:val="en-GB"/>
        </w:rPr>
        <w:t xml:space="preserve">n </w:t>
      </w:r>
      <w:r w:rsidR="00121E14" w:rsidRPr="0044065E">
        <w:rPr>
          <w:rFonts w:ascii="Century" w:hAnsi="Century" w:cs="Times New Roman"/>
          <w:sz w:val="20"/>
          <w:szCs w:val="20"/>
          <w:lang w:val="en-GB"/>
        </w:rPr>
        <w:fldChar w:fldCharType="begin"/>
      </w:r>
      <w:r w:rsidR="00121E14" w:rsidRPr="0044065E">
        <w:rPr>
          <w:rFonts w:ascii="Century" w:hAnsi="Century" w:cs="Times New Roman"/>
          <w:sz w:val="20"/>
          <w:szCs w:val="20"/>
          <w:lang w:val="en-GB"/>
        </w:rPr>
        <w:instrText xml:space="preserve"> NOTEREF _Ref85375735 \h  \* MERGEFORMAT </w:instrText>
      </w:r>
      <w:r w:rsidR="00121E14" w:rsidRPr="0044065E">
        <w:rPr>
          <w:rFonts w:ascii="Century" w:hAnsi="Century" w:cs="Times New Roman"/>
          <w:sz w:val="20"/>
          <w:szCs w:val="20"/>
          <w:lang w:val="en-GB"/>
        </w:rPr>
      </w:r>
      <w:r w:rsidR="00121E14" w:rsidRPr="0044065E">
        <w:rPr>
          <w:rFonts w:ascii="Century" w:hAnsi="Century" w:cs="Times New Roman"/>
          <w:sz w:val="20"/>
          <w:szCs w:val="20"/>
          <w:lang w:val="en-GB"/>
        </w:rPr>
        <w:fldChar w:fldCharType="separate"/>
      </w:r>
      <w:r w:rsidR="00121E14">
        <w:rPr>
          <w:rFonts w:ascii="Century" w:hAnsi="Century" w:cs="Times New Roman"/>
          <w:sz w:val="20"/>
          <w:szCs w:val="20"/>
          <w:lang w:val="en-GB"/>
        </w:rPr>
        <w:t>5</w:t>
      </w:r>
      <w:r w:rsidR="00121E14" w:rsidRPr="0044065E">
        <w:rPr>
          <w:rFonts w:ascii="Century" w:hAnsi="Century" w:cs="Times New Roman"/>
          <w:sz w:val="20"/>
          <w:szCs w:val="20"/>
          <w:lang w:val="en-GB"/>
        </w:rPr>
        <w:fldChar w:fldCharType="end"/>
      </w:r>
      <w:r w:rsidRPr="0044065E">
        <w:rPr>
          <w:rFonts w:ascii="Century" w:hAnsi="Century" w:cs="Times New Roman"/>
          <w:sz w:val="20"/>
          <w:szCs w:val="20"/>
          <w:lang w:val="en-GB"/>
        </w:rPr>
        <w:t>) 118-119</w:t>
      </w:r>
      <w:r w:rsidR="00B83F5E" w:rsidRPr="0044065E">
        <w:rPr>
          <w:rFonts w:ascii="Century" w:hAnsi="Century" w:cs="Times New Roman"/>
          <w:sz w:val="20"/>
          <w:szCs w:val="20"/>
          <w:lang w:val="en-GB"/>
        </w:rPr>
        <w:t xml:space="preserve">; Nick Barber, ‘Prelude to the Separation of Powers’ (2001) 60 Cambridge </w:t>
      </w:r>
      <w:r w:rsidR="00494B04">
        <w:rPr>
          <w:rFonts w:ascii="Century" w:hAnsi="Century" w:cs="Times New Roman"/>
          <w:sz w:val="20"/>
          <w:szCs w:val="20"/>
          <w:lang w:val="en-GB"/>
        </w:rPr>
        <w:t>LJ</w:t>
      </w:r>
      <w:r w:rsidR="00B83F5E" w:rsidRPr="0044065E">
        <w:rPr>
          <w:rFonts w:ascii="Century" w:hAnsi="Century" w:cs="Times New Roman"/>
          <w:sz w:val="20"/>
          <w:szCs w:val="20"/>
          <w:lang w:val="en-GB"/>
        </w:rPr>
        <w:t xml:space="preserve"> 59-88.</w:t>
      </w:r>
    </w:p>
  </w:footnote>
  <w:footnote w:id="96">
    <w:p w14:paraId="525208DA" w14:textId="2DDCBC0B" w:rsidR="0066344A" w:rsidRPr="0044065E" w:rsidRDefault="0066344A" w:rsidP="0044065E">
      <w:pPr>
        <w:pStyle w:val="FootnoteText"/>
        <w:jc w:val="both"/>
        <w:rPr>
          <w:rFonts w:ascii="Century" w:hAnsi="Century"/>
          <w:lang w:val="en-GB"/>
        </w:rPr>
      </w:pPr>
      <w:r w:rsidRPr="0044065E">
        <w:rPr>
          <w:rStyle w:val="FootnoteReference"/>
          <w:rFonts w:ascii="Century" w:hAnsi="Century"/>
        </w:rPr>
        <w:footnoteRef/>
      </w:r>
      <w:r w:rsidR="00381698" w:rsidRPr="0044065E">
        <w:rPr>
          <w:rFonts w:ascii="Century" w:hAnsi="Century"/>
        </w:rPr>
        <w:t xml:space="preserve"> Matthew Lawrence, ‘Subordination and the Separation of Powers’ (202</w:t>
      </w:r>
      <w:r w:rsidR="00D47BA7">
        <w:rPr>
          <w:rFonts w:ascii="Century" w:hAnsi="Century"/>
        </w:rPr>
        <w:t>1</w:t>
      </w:r>
      <w:r w:rsidR="00381698" w:rsidRPr="0044065E">
        <w:rPr>
          <w:rFonts w:ascii="Century" w:hAnsi="Century"/>
        </w:rPr>
        <w:t xml:space="preserve">) 131 Yale </w:t>
      </w:r>
      <w:r w:rsidR="00494B04">
        <w:rPr>
          <w:rFonts w:ascii="Century" w:hAnsi="Century"/>
        </w:rPr>
        <w:t>LJ</w:t>
      </w:r>
      <w:r w:rsidR="00381698" w:rsidRPr="0044065E">
        <w:rPr>
          <w:rFonts w:ascii="Century" w:hAnsi="Century"/>
        </w:rPr>
        <w:t xml:space="preserve"> </w:t>
      </w:r>
      <w:r w:rsidR="00D47BA7">
        <w:rPr>
          <w:rFonts w:ascii="Century" w:hAnsi="Century"/>
        </w:rPr>
        <w:t>78</w:t>
      </w:r>
      <w:r w:rsidR="00381698" w:rsidRPr="0044065E">
        <w:rPr>
          <w:rFonts w:ascii="Century" w:hAnsi="Century"/>
        </w:rPr>
        <w:t>,</w:t>
      </w:r>
      <w:r w:rsidRPr="0044065E">
        <w:rPr>
          <w:rFonts w:ascii="Century" w:hAnsi="Century"/>
        </w:rPr>
        <w:t xml:space="preserve"> </w:t>
      </w:r>
      <w:r w:rsidR="00D47BA7">
        <w:rPr>
          <w:rFonts w:ascii="Century" w:hAnsi="Century"/>
        </w:rPr>
        <w:t>94</w:t>
      </w:r>
      <w:r w:rsidR="00381698" w:rsidRPr="0044065E">
        <w:rPr>
          <w:rFonts w:ascii="Century" w:hAnsi="Century"/>
        </w:rPr>
        <w:t>.</w:t>
      </w:r>
    </w:p>
  </w:footnote>
  <w:footnote w:id="97">
    <w:p w14:paraId="184232D5" w14:textId="063EF57C" w:rsidR="0093693B" w:rsidRPr="0044065E" w:rsidRDefault="0093693B"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Pr="0044065E">
        <w:rPr>
          <w:rFonts w:ascii="Century" w:hAnsi="Century"/>
          <w:sz w:val="20"/>
          <w:szCs w:val="20"/>
          <w:lang w:val="en-GB"/>
        </w:rPr>
        <w:t xml:space="preserve">For previous critiques of the Courts ‘lax’ application of the </w:t>
      </w:r>
      <w:r w:rsidRPr="0044065E">
        <w:rPr>
          <w:rFonts w:ascii="Century" w:hAnsi="Century"/>
          <w:i/>
          <w:iCs/>
          <w:sz w:val="20"/>
          <w:szCs w:val="20"/>
          <w:lang w:val="en-GB"/>
        </w:rPr>
        <w:t>Cityview</w:t>
      </w:r>
      <w:r w:rsidRPr="0044065E">
        <w:rPr>
          <w:rFonts w:ascii="Century" w:hAnsi="Century"/>
          <w:sz w:val="20"/>
          <w:szCs w:val="20"/>
          <w:lang w:val="en-GB"/>
        </w:rPr>
        <w:t xml:space="preserve"> test see Rossa Fanning, ‘Reflections on the Legislative Process Following </w:t>
      </w:r>
      <w:proofErr w:type="spellStart"/>
      <w:r w:rsidRPr="0044065E">
        <w:rPr>
          <w:rFonts w:ascii="Century" w:hAnsi="Century"/>
          <w:sz w:val="20"/>
          <w:szCs w:val="20"/>
          <w:lang w:val="en-GB"/>
        </w:rPr>
        <w:t>Leontjava</w:t>
      </w:r>
      <w:proofErr w:type="spellEnd"/>
      <w:r w:rsidRPr="0044065E">
        <w:rPr>
          <w:rFonts w:ascii="Century" w:hAnsi="Century"/>
          <w:sz w:val="20"/>
          <w:szCs w:val="20"/>
          <w:lang w:val="en-GB"/>
        </w:rPr>
        <w:t xml:space="preserve"> v Director of Public </w:t>
      </w:r>
      <w:r w:rsidR="00450CB7" w:rsidRPr="0044065E">
        <w:rPr>
          <w:rFonts w:ascii="Century" w:hAnsi="Century"/>
          <w:sz w:val="20"/>
          <w:szCs w:val="20"/>
          <w:lang w:val="en-GB"/>
        </w:rPr>
        <w:t>Prosecutions</w:t>
      </w:r>
      <w:r w:rsidRPr="0044065E">
        <w:rPr>
          <w:rFonts w:ascii="Century" w:hAnsi="Century"/>
          <w:sz w:val="20"/>
          <w:szCs w:val="20"/>
          <w:lang w:val="en-GB"/>
        </w:rPr>
        <w:t xml:space="preserve"> (2004) Irish Jurist 286</w:t>
      </w:r>
      <w:r w:rsidR="00663D8A" w:rsidRPr="0044065E">
        <w:rPr>
          <w:rFonts w:ascii="Century" w:hAnsi="Century"/>
          <w:sz w:val="20"/>
          <w:szCs w:val="20"/>
          <w:lang w:val="en-GB"/>
        </w:rPr>
        <w:t>, 298-300</w:t>
      </w:r>
      <w:r w:rsidR="005B54DD" w:rsidRPr="0044065E">
        <w:rPr>
          <w:rFonts w:ascii="Century" w:hAnsi="Century"/>
          <w:sz w:val="20"/>
          <w:szCs w:val="20"/>
          <w:lang w:val="en-GB"/>
        </w:rPr>
        <w:t xml:space="preserve">. Although Fanning maintains he does not come to </w:t>
      </w:r>
      <w:r w:rsidR="00623E82">
        <w:rPr>
          <w:rFonts w:ascii="Century" w:hAnsi="Century"/>
          <w:sz w:val="20"/>
          <w:szCs w:val="20"/>
          <w:lang w:val="en-GB"/>
        </w:rPr>
        <w:t>‘</w:t>
      </w:r>
      <w:r w:rsidR="005B54DD" w:rsidRPr="0044065E">
        <w:rPr>
          <w:rFonts w:ascii="Century" w:hAnsi="Century"/>
          <w:sz w:val="20"/>
          <w:szCs w:val="20"/>
          <w:lang w:val="en-GB"/>
        </w:rPr>
        <w:t>praise or bury</w:t>
      </w:r>
      <w:r w:rsidR="00623E82">
        <w:rPr>
          <w:rFonts w:ascii="Century" w:hAnsi="Century"/>
          <w:sz w:val="20"/>
          <w:szCs w:val="20"/>
          <w:lang w:val="en-GB"/>
        </w:rPr>
        <w:t>’</w:t>
      </w:r>
      <w:r w:rsidR="005B54DD" w:rsidRPr="0044065E">
        <w:rPr>
          <w:rFonts w:ascii="Century" w:hAnsi="Century"/>
          <w:sz w:val="20"/>
          <w:szCs w:val="20"/>
          <w:lang w:val="en-GB"/>
        </w:rPr>
        <w:t xml:space="preserve"> the doctrine, he suggests it is part of a </w:t>
      </w:r>
      <w:r w:rsidR="00623E82">
        <w:rPr>
          <w:rFonts w:ascii="Century" w:hAnsi="Century"/>
          <w:sz w:val="20"/>
          <w:szCs w:val="20"/>
          <w:lang w:val="en-GB"/>
        </w:rPr>
        <w:t>‘</w:t>
      </w:r>
      <w:r w:rsidR="005B54DD" w:rsidRPr="0044065E">
        <w:rPr>
          <w:rFonts w:ascii="Century" w:hAnsi="Century" w:cs="Times New Roman"/>
          <w:sz w:val="20"/>
          <w:szCs w:val="20"/>
          <w:lang w:val="en-GB"/>
        </w:rPr>
        <w:t>proud constitutional tradition</w:t>
      </w:r>
      <w:r w:rsidR="00623E82">
        <w:rPr>
          <w:rFonts w:ascii="Century" w:hAnsi="Century" w:cs="Times New Roman"/>
          <w:sz w:val="20"/>
          <w:szCs w:val="20"/>
          <w:lang w:val="en-GB"/>
        </w:rPr>
        <w:t>’</w:t>
      </w:r>
      <w:r w:rsidR="005B54DD" w:rsidRPr="0044065E">
        <w:rPr>
          <w:rFonts w:ascii="Century" w:hAnsi="Century" w:cs="Times New Roman"/>
          <w:sz w:val="20"/>
          <w:szCs w:val="20"/>
          <w:lang w:val="en-GB"/>
        </w:rPr>
        <w:t xml:space="preserve"> in Irish public law of protecting the </w:t>
      </w:r>
      <w:r w:rsidR="00623E82">
        <w:rPr>
          <w:rFonts w:ascii="Century" w:hAnsi="Century" w:cs="Times New Roman"/>
          <w:sz w:val="20"/>
          <w:szCs w:val="20"/>
          <w:lang w:val="en-GB"/>
        </w:rPr>
        <w:t>‘</w:t>
      </w:r>
      <w:r w:rsidR="005B54DD" w:rsidRPr="0044065E">
        <w:rPr>
          <w:rFonts w:ascii="Century" w:hAnsi="Century" w:cs="Times New Roman"/>
          <w:sz w:val="20"/>
          <w:szCs w:val="20"/>
          <w:lang w:val="en-GB"/>
        </w:rPr>
        <w:t>integrity within the legislative process</w:t>
      </w:r>
      <w:r w:rsidR="00623E82">
        <w:rPr>
          <w:rFonts w:ascii="Century" w:hAnsi="Century" w:cs="Times New Roman"/>
          <w:sz w:val="20"/>
          <w:szCs w:val="20"/>
          <w:lang w:val="en-GB"/>
        </w:rPr>
        <w:t>’</w:t>
      </w:r>
      <w:r w:rsidR="005B54DD" w:rsidRPr="0044065E">
        <w:rPr>
          <w:rFonts w:ascii="Century" w:hAnsi="Century" w:cs="Times New Roman"/>
          <w:sz w:val="20"/>
          <w:szCs w:val="20"/>
          <w:lang w:val="en-GB"/>
        </w:rPr>
        <w:t xml:space="preserve"> from erosion through vesting policy discretion in the executive. See also Maria Cahill and Sean O’Conaill, ‘Judicial Restraint Can</w:t>
      </w:r>
      <w:r w:rsidR="0095039A" w:rsidRPr="0044065E">
        <w:rPr>
          <w:rFonts w:ascii="Century" w:hAnsi="Century" w:cs="Times New Roman"/>
          <w:sz w:val="20"/>
          <w:szCs w:val="20"/>
          <w:lang w:val="en-GB"/>
        </w:rPr>
        <w:t xml:space="preserve"> </w:t>
      </w:r>
      <w:r w:rsidR="005B54DD" w:rsidRPr="0044065E">
        <w:rPr>
          <w:rFonts w:ascii="Century" w:hAnsi="Century" w:cs="Times New Roman"/>
          <w:sz w:val="20"/>
          <w:szCs w:val="20"/>
          <w:lang w:val="en-GB"/>
        </w:rPr>
        <w:t xml:space="preserve">Also Undermine Constitutional Principles: An Irish Caution’ </w:t>
      </w:r>
      <w:r w:rsidR="00D75EDB" w:rsidRPr="0044065E">
        <w:rPr>
          <w:rFonts w:ascii="Century" w:hAnsi="Century" w:cs="Times New Roman"/>
          <w:sz w:val="20"/>
          <w:szCs w:val="20"/>
          <w:lang w:val="en-GB"/>
        </w:rPr>
        <w:t>(</w:t>
      </w:r>
      <w:r w:rsidR="00623E82">
        <w:rPr>
          <w:rFonts w:ascii="Century" w:hAnsi="Century" w:cs="Times New Roman"/>
          <w:sz w:val="20"/>
          <w:szCs w:val="20"/>
          <w:lang w:val="en-GB"/>
        </w:rPr>
        <w:t xml:space="preserve">n </w:t>
      </w:r>
      <w:r w:rsidR="00623E82" w:rsidRPr="0044065E">
        <w:rPr>
          <w:rFonts w:ascii="Century" w:hAnsi="Century" w:cs="Times New Roman"/>
          <w:sz w:val="20"/>
          <w:szCs w:val="20"/>
          <w:lang w:val="en-GB"/>
        </w:rPr>
        <w:fldChar w:fldCharType="begin"/>
      </w:r>
      <w:r w:rsidR="00623E82" w:rsidRPr="0044065E">
        <w:rPr>
          <w:rFonts w:ascii="Century" w:hAnsi="Century" w:cs="Times New Roman"/>
          <w:sz w:val="20"/>
          <w:szCs w:val="20"/>
          <w:lang w:val="en-GB"/>
        </w:rPr>
        <w:instrText xml:space="preserve"> NOTEREF _Ref85468508 \h  \* MERGEFORMAT </w:instrText>
      </w:r>
      <w:r w:rsidR="00623E82" w:rsidRPr="0044065E">
        <w:rPr>
          <w:rFonts w:ascii="Century" w:hAnsi="Century" w:cs="Times New Roman"/>
          <w:sz w:val="20"/>
          <w:szCs w:val="20"/>
          <w:lang w:val="en-GB"/>
        </w:rPr>
      </w:r>
      <w:r w:rsidR="00623E82" w:rsidRPr="0044065E">
        <w:rPr>
          <w:rFonts w:ascii="Century" w:hAnsi="Century" w:cs="Times New Roman"/>
          <w:sz w:val="20"/>
          <w:szCs w:val="20"/>
          <w:lang w:val="en-GB"/>
        </w:rPr>
        <w:fldChar w:fldCharType="separate"/>
      </w:r>
      <w:r w:rsidR="00623E82">
        <w:rPr>
          <w:rFonts w:ascii="Century" w:hAnsi="Century" w:cs="Times New Roman"/>
          <w:sz w:val="20"/>
          <w:szCs w:val="20"/>
          <w:lang w:val="en-GB"/>
        </w:rPr>
        <w:t>10</w:t>
      </w:r>
      <w:r w:rsidR="00623E82" w:rsidRPr="0044065E">
        <w:rPr>
          <w:rFonts w:ascii="Century" w:hAnsi="Century" w:cs="Times New Roman"/>
          <w:sz w:val="20"/>
          <w:szCs w:val="20"/>
          <w:lang w:val="en-GB"/>
        </w:rPr>
        <w:fldChar w:fldCharType="end"/>
      </w:r>
      <w:r w:rsidR="00D75EDB" w:rsidRPr="0044065E">
        <w:rPr>
          <w:rFonts w:ascii="Century" w:hAnsi="Century" w:cs="Times New Roman"/>
          <w:sz w:val="20"/>
          <w:szCs w:val="20"/>
          <w:lang w:val="en-GB"/>
        </w:rPr>
        <w:t xml:space="preserve">) </w:t>
      </w:r>
      <w:r w:rsidR="005B54DD" w:rsidRPr="0044065E">
        <w:rPr>
          <w:rFonts w:ascii="Century" w:hAnsi="Century" w:cs="Times New Roman"/>
          <w:sz w:val="20"/>
          <w:szCs w:val="20"/>
          <w:lang w:val="en-GB"/>
        </w:rPr>
        <w:t>268. Cahill and O’Conaill</w:t>
      </w:r>
      <w:r w:rsidR="00F101C0" w:rsidRPr="0044065E">
        <w:rPr>
          <w:rFonts w:ascii="Century" w:hAnsi="Century" w:cs="Times New Roman"/>
          <w:sz w:val="20"/>
          <w:szCs w:val="20"/>
          <w:lang w:val="en-GB"/>
        </w:rPr>
        <w:t xml:space="preserve"> argue that weak application of the delegation doctrine seriously underm</w:t>
      </w:r>
      <w:r w:rsidR="008B5D81">
        <w:rPr>
          <w:rFonts w:ascii="Century" w:hAnsi="Century" w:cs="Times New Roman"/>
          <w:sz w:val="20"/>
          <w:szCs w:val="20"/>
          <w:lang w:val="en-GB"/>
        </w:rPr>
        <w:t>in</w:t>
      </w:r>
      <w:r w:rsidR="00F101C0" w:rsidRPr="0044065E">
        <w:rPr>
          <w:rFonts w:ascii="Century" w:hAnsi="Century" w:cs="Times New Roman"/>
          <w:sz w:val="20"/>
          <w:szCs w:val="20"/>
          <w:lang w:val="en-GB"/>
        </w:rPr>
        <w:t xml:space="preserve">es the </w:t>
      </w:r>
      <w:r w:rsidR="00623E82">
        <w:rPr>
          <w:rFonts w:ascii="Century" w:hAnsi="Century" w:cs="Times New Roman"/>
          <w:sz w:val="20"/>
          <w:szCs w:val="20"/>
          <w:lang w:val="en-GB"/>
        </w:rPr>
        <w:t>‘</w:t>
      </w:r>
      <w:r w:rsidR="00F101C0" w:rsidRPr="0044065E">
        <w:rPr>
          <w:rFonts w:ascii="Century" w:hAnsi="Century" w:cs="Times New Roman"/>
          <w:sz w:val="20"/>
          <w:szCs w:val="20"/>
          <w:lang w:val="en-GB"/>
        </w:rPr>
        <w:t>principle of separation of powers, the quality of our legislative democracy, and the supremacy of the Constitution which seeks to vindicate those principles.</w:t>
      </w:r>
      <w:r w:rsidR="00623E82">
        <w:rPr>
          <w:rFonts w:ascii="Century" w:hAnsi="Century" w:cs="Times New Roman"/>
          <w:sz w:val="20"/>
          <w:szCs w:val="20"/>
          <w:lang w:val="en-GB"/>
        </w:rPr>
        <w:t>’</w:t>
      </w:r>
      <w:r w:rsidR="00F101C0" w:rsidRPr="0044065E">
        <w:rPr>
          <w:rFonts w:ascii="Century" w:hAnsi="Century" w:cs="Times New Roman"/>
          <w:sz w:val="20"/>
          <w:szCs w:val="20"/>
          <w:lang w:val="en-GB"/>
        </w:rPr>
        <w:t xml:space="preserve"> </w:t>
      </w:r>
    </w:p>
  </w:footnote>
  <w:footnote w:id="98">
    <w:p w14:paraId="10708AF0" w14:textId="27D0A6A7" w:rsidR="008D3D3B" w:rsidRPr="0044065E" w:rsidRDefault="008D3D3B"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Eoin Carolan, ‘Democratic Control or High-Sounding Hocus Pocus?’</w:t>
      </w:r>
      <w:r w:rsidR="00BC2DB5" w:rsidRPr="0044065E">
        <w:rPr>
          <w:rFonts w:ascii="Century" w:hAnsi="Century"/>
          <w:lang w:val="en-GB"/>
        </w:rPr>
        <w:t xml:space="preserve"> (</w:t>
      </w:r>
      <w:r w:rsidR="007B65F7">
        <w:rPr>
          <w:rFonts w:ascii="Century" w:hAnsi="Century"/>
          <w:lang w:val="en-GB"/>
        </w:rPr>
        <w:t xml:space="preserve">n </w:t>
      </w:r>
      <w:r w:rsidR="007B65F7" w:rsidRPr="0044065E">
        <w:rPr>
          <w:rFonts w:ascii="Century" w:hAnsi="Century"/>
          <w:lang w:val="en-GB"/>
        </w:rPr>
        <w:fldChar w:fldCharType="begin"/>
      </w:r>
      <w:r w:rsidR="007B65F7" w:rsidRPr="0044065E">
        <w:rPr>
          <w:rFonts w:ascii="Century" w:hAnsi="Century"/>
          <w:lang w:val="en-GB"/>
        </w:rPr>
        <w:instrText xml:space="preserve"> NOTEREF _Ref85375735 \h  \* MERGEFORMAT </w:instrText>
      </w:r>
      <w:r w:rsidR="007B65F7" w:rsidRPr="0044065E">
        <w:rPr>
          <w:rFonts w:ascii="Century" w:hAnsi="Century"/>
          <w:lang w:val="en-GB"/>
        </w:rPr>
      </w:r>
      <w:r w:rsidR="007B65F7" w:rsidRPr="0044065E">
        <w:rPr>
          <w:rFonts w:ascii="Century" w:hAnsi="Century"/>
          <w:lang w:val="en-GB"/>
        </w:rPr>
        <w:fldChar w:fldCharType="separate"/>
      </w:r>
      <w:r w:rsidR="007B65F7">
        <w:rPr>
          <w:rFonts w:ascii="Century" w:hAnsi="Century"/>
          <w:lang w:val="en-GB"/>
        </w:rPr>
        <w:t>5</w:t>
      </w:r>
      <w:r w:rsidR="007B65F7" w:rsidRPr="0044065E">
        <w:rPr>
          <w:rFonts w:ascii="Century" w:hAnsi="Century"/>
          <w:lang w:val="en-GB"/>
        </w:rPr>
        <w:fldChar w:fldCharType="end"/>
      </w:r>
      <w:r w:rsidR="00BC2DB5" w:rsidRPr="0044065E">
        <w:rPr>
          <w:rFonts w:ascii="Century" w:hAnsi="Century"/>
          <w:lang w:val="en-GB"/>
        </w:rPr>
        <w:t>)</w:t>
      </w:r>
      <w:r w:rsidRPr="0044065E">
        <w:rPr>
          <w:rFonts w:ascii="Century" w:hAnsi="Century"/>
          <w:lang w:val="en-GB"/>
        </w:rPr>
        <w:t>.</w:t>
      </w:r>
      <w:r w:rsidR="00E439E1" w:rsidRPr="0044065E">
        <w:rPr>
          <w:rFonts w:ascii="Century" w:hAnsi="Century"/>
          <w:lang w:val="en-GB"/>
        </w:rPr>
        <w:t xml:space="preserve"> Or as Loughlin puts it, many constitutional concepts </w:t>
      </w:r>
      <w:r w:rsidR="007B65F7">
        <w:rPr>
          <w:rFonts w:ascii="Century" w:hAnsi="Century"/>
          <w:lang w:val="en-GB"/>
        </w:rPr>
        <w:t>‘</w:t>
      </w:r>
      <w:r w:rsidR="00E439E1" w:rsidRPr="0044065E">
        <w:rPr>
          <w:rFonts w:ascii="Century" w:hAnsi="Century"/>
          <w:lang w:val="en-GB"/>
        </w:rPr>
        <w:t>tend to rest on eighteenth-century assumptions of limited government</w:t>
      </w:r>
      <w:r w:rsidR="007B65F7">
        <w:rPr>
          <w:rFonts w:ascii="Century" w:hAnsi="Century"/>
          <w:lang w:val="en-GB"/>
        </w:rPr>
        <w:t>’</w:t>
      </w:r>
      <w:r w:rsidR="00E439E1" w:rsidRPr="0044065E">
        <w:rPr>
          <w:rFonts w:ascii="Century" w:hAnsi="Century"/>
          <w:lang w:val="en-GB"/>
        </w:rPr>
        <w:t xml:space="preserve">. </w:t>
      </w:r>
      <w:r w:rsidR="00195203" w:rsidRPr="0044065E">
        <w:rPr>
          <w:rFonts w:ascii="Century" w:hAnsi="Century"/>
          <w:lang w:val="en-GB"/>
        </w:rPr>
        <w:t xml:space="preserve">Martin Loughlin, </w:t>
      </w:r>
      <w:r w:rsidR="00195203" w:rsidRPr="0044065E">
        <w:rPr>
          <w:rFonts w:ascii="Century" w:hAnsi="Century"/>
          <w:i/>
          <w:iCs/>
          <w:lang w:val="en-GB"/>
        </w:rPr>
        <w:t xml:space="preserve">Foundations of Public Law </w:t>
      </w:r>
      <w:r w:rsidR="00195203" w:rsidRPr="0044065E">
        <w:rPr>
          <w:rFonts w:ascii="Century" w:hAnsi="Century"/>
          <w:lang w:val="en-GB"/>
        </w:rPr>
        <w:t>(Oxford University Press 2011)</w:t>
      </w:r>
      <w:r w:rsidR="00195203" w:rsidRPr="0044065E">
        <w:rPr>
          <w:rFonts w:ascii="Century" w:hAnsi="Century"/>
          <w:i/>
          <w:iCs/>
          <w:lang w:val="en-GB"/>
        </w:rPr>
        <w:t xml:space="preserve"> </w:t>
      </w:r>
      <w:r w:rsidR="00E439E1" w:rsidRPr="0044065E">
        <w:rPr>
          <w:rFonts w:ascii="Century" w:hAnsi="Century"/>
          <w:lang w:val="en-GB"/>
        </w:rPr>
        <w:t>446.</w:t>
      </w:r>
    </w:p>
  </w:footnote>
  <w:footnote w:id="99">
    <w:p w14:paraId="3BF8086E" w14:textId="2EA87AE0" w:rsidR="00EA7327" w:rsidRPr="0044065E" w:rsidRDefault="00EA7327"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Margit Cohn,</w:t>
      </w:r>
      <w:r w:rsidR="007B0661" w:rsidRPr="0044065E">
        <w:rPr>
          <w:rFonts w:ascii="Century" w:hAnsi="Century"/>
          <w:lang w:val="en-GB"/>
        </w:rPr>
        <w:t xml:space="preserve"> </w:t>
      </w:r>
      <w:r w:rsidR="007B0661" w:rsidRPr="0044065E">
        <w:rPr>
          <w:rFonts w:ascii="Century" w:hAnsi="Century"/>
          <w:i/>
          <w:iCs/>
          <w:lang w:val="en-GB"/>
        </w:rPr>
        <w:t xml:space="preserve">A Theory of the Executive Branch: Tension &amp; Legality </w:t>
      </w:r>
      <w:r w:rsidR="007B0661" w:rsidRPr="0044065E">
        <w:rPr>
          <w:rFonts w:ascii="Century" w:hAnsi="Century"/>
          <w:lang w:val="en-GB"/>
        </w:rPr>
        <w:t>(Oxford University Press 2021)</w:t>
      </w:r>
      <w:r w:rsidRPr="0044065E">
        <w:rPr>
          <w:rFonts w:ascii="Century" w:hAnsi="Century"/>
          <w:lang w:val="en-GB"/>
        </w:rPr>
        <w:t xml:space="preserve"> </w:t>
      </w:r>
      <w:r w:rsidR="007B0661" w:rsidRPr="0044065E">
        <w:rPr>
          <w:rFonts w:ascii="Century" w:hAnsi="Century"/>
          <w:lang w:val="en-GB"/>
        </w:rPr>
        <w:t>44-45.</w:t>
      </w:r>
    </w:p>
  </w:footnote>
  <w:footnote w:id="100">
    <w:p w14:paraId="6920C96E" w14:textId="3B558780" w:rsidR="00F40AB5" w:rsidRPr="0044065E" w:rsidRDefault="00F40AB5"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iCs/>
          <w:lang w:val="en-GB"/>
        </w:rPr>
        <w:t>Cityview</w:t>
      </w:r>
      <w:r w:rsidR="00473D09" w:rsidRPr="0044065E">
        <w:rPr>
          <w:rFonts w:ascii="Century" w:hAnsi="Century"/>
          <w:i/>
          <w:iCs/>
          <w:lang w:val="en-GB"/>
        </w:rPr>
        <w:t xml:space="preserve"> Press </w:t>
      </w:r>
      <w:r w:rsidR="00473D09" w:rsidRPr="0044065E">
        <w:rPr>
          <w:rFonts w:ascii="Century" w:hAnsi="Century"/>
          <w:lang w:val="en-GB"/>
        </w:rPr>
        <w:t>(</w:t>
      </w:r>
      <w:r w:rsidR="001752F3">
        <w:rPr>
          <w:rFonts w:ascii="Century" w:hAnsi="Century"/>
          <w:lang w:val="en-GB"/>
        </w:rPr>
        <w:t xml:space="preserve">n </w:t>
      </w:r>
      <w:r w:rsidR="001752F3" w:rsidRPr="0044065E">
        <w:rPr>
          <w:rFonts w:ascii="Century" w:hAnsi="Century"/>
          <w:lang w:val="en-GB"/>
        </w:rPr>
        <w:fldChar w:fldCharType="begin"/>
      </w:r>
      <w:r w:rsidR="001752F3" w:rsidRPr="0044065E">
        <w:rPr>
          <w:rFonts w:ascii="Century" w:hAnsi="Century"/>
          <w:lang w:val="en-GB"/>
        </w:rPr>
        <w:instrText xml:space="preserve"> NOTEREF _Ref85194041 \h  \* MERGEFORMAT </w:instrText>
      </w:r>
      <w:r w:rsidR="001752F3" w:rsidRPr="0044065E">
        <w:rPr>
          <w:rFonts w:ascii="Century" w:hAnsi="Century"/>
          <w:lang w:val="en-GB"/>
        </w:rPr>
      </w:r>
      <w:r w:rsidR="001752F3" w:rsidRPr="0044065E">
        <w:rPr>
          <w:rFonts w:ascii="Century" w:hAnsi="Century"/>
          <w:lang w:val="en-GB"/>
        </w:rPr>
        <w:fldChar w:fldCharType="separate"/>
      </w:r>
      <w:r w:rsidR="001752F3">
        <w:rPr>
          <w:rFonts w:ascii="Century" w:hAnsi="Century"/>
          <w:lang w:val="en-GB"/>
        </w:rPr>
        <w:t>4</w:t>
      </w:r>
      <w:r w:rsidR="001752F3" w:rsidRPr="0044065E">
        <w:rPr>
          <w:rFonts w:ascii="Century" w:hAnsi="Century"/>
          <w:lang w:val="en-GB"/>
        </w:rPr>
        <w:fldChar w:fldCharType="end"/>
      </w:r>
      <w:r w:rsidR="00473D09" w:rsidRPr="0044065E">
        <w:rPr>
          <w:rFonts w:ascii="Century" w:hAnsi="Century"/>
          <w:lang w:val="en-GB"/>
        </w:rPr>
        <w:t>).</w:t>
      </w:r>
    </w:p>
  </w:footnote>
  <w:footnote w:id="101">
    <w:p w14:paraId="651487DB" w14:textId="5B3BFBE3" w:rsidR="007B0661" w:rsidRPr="0044065E" w:rsidRDefault="007B0661"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BC2DB5" w:rsidRPr="0044065E">
        <w:rPr>
          <w:rFonts w:ascii="Century" w:hAnsi="Century"/>
        </w:rPr>
        <w:t xml:space="preserve">Eoin Carolan (n </w:t>
      </w:r>
      <w:r w:rsidR="00BC2DB5" w:rsidRPr="0044065E">
        <w:rPr>
          <w:rFonts w:ascii="Century" w:hAnsi="Century"/>
        </w:rPr>
        <w:fldChar w:fldCharType="begin"/>
      </w:r>
      <w:r w:rsidR="00BC2DB5" w:rsidRPr="0044065E">
        <w:rPr>
          <w:rFonts w:ascii="Century" w:hAnsi="Century"/>
        </w:rPr>
        <w:instrText xml:space="preserve"> NOTEREF _Ref36124881 \h </w:instrText>
      </w:r>
      <w:r w:rsidR="0044065E" w:rsidRPr="0044065E">
        <w:rPr>
          <w:rFonts w:ascii="Century" w:hAnsi="Century"/>
        </w:rPr>
        <w:instrText xml:space="preserve"> \* MERGEFORMAT </w:instrText>
      </w:r>
      <w:r w:rsidR="00BC2DB5" w:rsidRPr="0044065E">
        <w:rPr>
          <w:rFonts w:ascii="Century" w:hAnsi="Century"/>
        </w:rPr>
      </w:r>
      <w:r w:rsidR="00BC2DB5" w:rsidRPr="0044065E">
        <w:rPr>
          <w:rFonts w:ascii="Century" w:hAnsi="Century"/>
        </w:rPr>
        <w:fldChar w:fldCharType="separate"/>
      </w:r>
      <w:r w:rsidR="006D1DC3">
        <w:rPr>
          <w:rFonts w:ascii="Century" w:hAnsi="Century"/>
        </w:rPr>
        <w:t>72</w:t>
      </w:r>
      <w:r w:rsidR="00BC2DB5" w:rsidRPr="0044065E">
        <w:rPr>
          <w:rFonts w:ascii="Century" w:hAnsi="Century"/>
        </w:rPr>
        <w:fldChar w:fldCharType="end"/>
      </w:r>
      <w:r w:rsidR="00BC2DB5" w:rsidRPr="0044065E">
        <w:rPr>
          <w:rFonts w:ascii="Century" w:hAnsi="Century"/>
        </w:rPr>
        <w:t>) 225.</w:t>
      </w:r>
    </w:p>
  </w:footnote>
  <w:footnote w:id="102">
    <w:p w14:paraId="754784AF" w14:textId="2947F2D5" w:rsidR="00070834" w:rsidRPr="0044065E" w:rsidRDefault="00070834"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652CA8" w:rsidRPr="0044065E">
        <w:rPr>
          <w:rFonts w:ascii="Century" w:hAnsi="Century"/>
          <w:lang w:val="en-GB"/>
        </w:rPr>
        <w:t xml:space="preserve"> See </w:t>
      </w:r>
      <w:r w:rsidRPr="0044065E">
        <w:rPr>
          <w:rFonts w:ascii="Century" w:hAnsi="Century"/>
          <w:lang w:val="en-GB"/>
        </w:rPr>
        <w:t xml:space="preserve">Gary Lawson, </w:t>
      </w:r>
      <w:r w:rsidR="001752F3">
        <w:rPr>
          <w:rFonts w:ascii="Century" w:hAnsi="Century"/>
          <w:lang w:val="en-GB"/>
        </w:rPr>
        <w:t>‘</w:t>
      </w:r>
      <w:r w:rsidRPr="0044065E">
        <w:rPr>
          <w:rFonts w:ascii="Century" w:hAnsi="Century"/>
          <w:lang w:val="en-GB"/>
        </w:rPr>
        <w:t xml:space="preserve">The Rise and Rise of the Administrative State’ (1994) 107 </w:t>
      </w:r>
      <w:r w:rsidRPr="0044065E">
        <w:rPr>
          <w:rFonts w:ascii="Century" w:hAnsi="Century"/>
          <w:iCs/>
          <w:lang w:val="en-GB"/>
        </w:rPr>
        <w:t xml:space="preserve">Harvard </w:t>
      </w:r>
      <w:r w:rsidR="00A83CC9">
        <w:rPr>
          <w:rFonts w:ascii="Century" w:hAnsi="Century"/>
          <w:iCs/>
          <w:lang w:val="en-GB"/>
        </w:rPr>
        <w:t xml:space="preserve">L Rev </w:t>
      </w:r>
      <w:r w:rsidRPr="0044065E">
        <w:rPr>
          <w:rFonts w:ascii="Century" w:hAnsi="Century"/>
          <w:lang w:val="en-GB"/>
        </w:rPr>
        <w:t xml:space="preserve">1231, 1232; Bruce Ackerman, </w:t>
      </w:r>
      <w:r w:rsidRPr="0044065E">
        <w:rPr>
          <w:rFonts w:ascii="Century" w:hAnsi="Century"/>
          <w:i/>
          <w:lang w:val="en-GB"/>
        </w:rPr>
        <w:t xml:space="preserve">We the People Volume One: Foundations </w:t>
      </w:r>
      <w:r w:rsidRPr="0044065E">
        <w:rPr>
          <w:rFonts w:ascii="Century" w:hAnsi="Century"/>
          <w:lang w:val="en-GB"/>
        </w:rPr>
        <w:t xml:space="preserve">(Harvard University Press, 1991); </w:t>
      </w:r>
      <w:r w:rsidRPr="0044065E">
        <w:rPr>
          <w:rFonts w:ascii="Century" w:hAnsi="Century"/>
        </w:rPr>
        <w:t xml:space="preserve">Cass R Sunstein, ‘Constitutionalism after the New Deal’ (1987) 101 </w:t>
      </w:r>
      <w:r w:rsidRPr="0044065E">
        <w:rPr>
          <w:rFonts w:ascii="Century" w:hAnsi="Century"/>
          <w:iCs/>
        </w:rPr>
        <w:t xml:space="preserve">Harvard </w:t>
      </w:r>
      <w:r w:rsidR="00A83CC9">
        <w:rPr>
          <w:rFonts w:ascii="Century" w:hAnsi="Century"/>
          <w:iCs/>
        </w:rPr>
        <w:t>L Rev</w:t>
      </w:r>
      <w:r w:rsidRPr="0044065E">
        <w:rPr>
          <w:rFonts w:ascii="Century" w:hAnsi="Century"/>
          <w:i/>
        </w:rPr>
        <w:t xml:space="preserve"> </w:t>
      </w:r>
      <w:r w:rsidRPr="0044065E">
        <w:rPr>
          <w:rFonts w:ascii="Century" w:hAnsi="Century"/>
        </w:rPr>
        <w:t>421, 447-448.</w:t>
      </w:r>
    </w:p>
  </w:footnote>
  <w:footnote w:id="103">
    <w:p w14:paraId="3E41B108" w14:textId="483BAB79" w:rsidR="00317371" w:rsidRPr="0044065E" w:rsidRDefault="00317371"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4602A" w:rsidRPr="0044065E">
        <w:rPr>
          <w:rFonts w:ascii="Century" w:hAnsi="Century"/>
        </w:rPr>
        <w:t xml:space="preserve">Susan E Dudley, ‘Milestones in the Evolution of the Administrative State’ (2021) 150 </w:t>
      </w:r>
      <w:proofErr w:type="spellStart"/>
      <w:r w:rsidR="0004602A" w:rsidRPr="0044065E">
        <w:rPr>
          <w:rFonts w:ascii="Century" w:hAnsi="Century"/>
          <w:i/>
          <w:iCs/>
        </w:rPr>
        <w:t>Deadalus</w:t>
      </w:r>
      <w:proofErr w:type="spellEnd"/>
      <w:r w:rsidR="0004602A" w:rsidRPr="0044065E">
        <w:rPr>
          <w:rFonts w:ascii="Century" w:hAnsi="Century"/>
          <w:i/>
          <w:iCs/>
        </w:rPr>
        <w:t xml:space="preserve">: Journal of the American Academy of Arts &amp; Sciences </w:t>
      </w:r>
      <w:r w:rsidR="0004602A" w:rsidRPr="0044065E">
        <w:rPr>
          <w:rFonts w:ascii="Century" w:hAnsi="Century"/>
        </w:rPr>
        <w:t>33, 35</w:t>
      </w:r>
      <w:r w:rsidR="0004602A" w:rsidRPr="0044065E">
        <w:rPr>
          <w:rFonts w:ascii="Century" w:hAnsi="Century"/>
          <w:lang w:val="en-GB"/>
        </w:rPr>
        <w:t>.</w:t>
      </w:r>
    </w:p>
  </w:footnote>
  <w:footnote w:id="104">
    <w:p w14:paraId="16C9EB4F" w14:textId="467BBD8E" w:rsidR="00FE6A67" w:rsidRPr="0044065E" w:rsidRDefault="00FE6A67"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See </w:t>
      </w:r>
      <w:r w:rsidRPr="0044065E">
        <w:rPr>
          <w:rFonts w:ascii="Century" w:hAnsi="Century"/>
          <w:i/>
          <w:iCs/>
        </w:rPr>
        <w:t>ALA Schechter Poultry Corp v United States</w:t>
      </w:r>
      <w:r w:rsidRPr="0044065E">
        <w:rPr>
          <w:rFonts w:ascii="Century" w:hAnsi="Century"/>
        </w:rPr>
        <w:t xml:space="preserve">, 295 US 495 (1935); </w:t>
      </w:r>
      <w:r w:rsidRPr="0044065E">
        <w:rPr>
          <w:rFonts w:ascii="Century" w:hAnsi="Century"/>
          <w:i/>
          <w:iCs/>
        </w:rPr>
        <w:t>Panama Refining Co v Ryan</w:t>
      </w:r>
      <w:r w:rsidRPr="0044065E">
        <w:rPr>
          <w:rFonts w:ascii="Century" w:hAnsi="Century"/>
        </w:rPr>
        <w:t>, 293 US 388 (1935).</w:t>
      </w:r>
    </w:p>
  </w:footnote>
  <w:footnote w:id="105">
    <w:p w14:paraId="580C0940" w14:textId="1423D2F8" w:rsidR="000A2C6E" w:rsidRPr="0044065E" w:rsidRDefault="000A2C6E"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F06CCC">
        <w:rPr>
          <w:rFonts w:ascii="Century" w:hAnsi="Century"/>
          <w:lang w:val="en-GB"/>
        </w:rPr>
        <w:t>ibid</w:t>
      </w:r>
      <w:r w:rsidRPr="0044065E">
        <w:rPr>
          <w:rFonts w:ascii="Century" w:hAnsi="Century"/>
          <w:lang w:val="en-GB"/>
        </w:rPr>
        <w:t xml:space="preserve"> </w:t>
      </w:r>
      <w:r w:rsidR="00D66FE4" w:rsidRPr="0044065E">
        <w:rPr>
          <w:rFonts w:ascii="Century" w:hAnsi="Century"/>
          <w:lang w:val="en-GB"/>
        </w:rPr>
        <w:t>530.</w:t>
      </w:r>
    </w:p>
  </w:footnote>
  <w:footnote w:id="106">
    <w:p w14:paraId="67347A91" w14:textId="53E5E4D1" w:rsidR="000735AD" w:rsidRPr="0044065E" w:rsidRDefault="000735AD"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4602A" w:rsidRPr="0044065E">
        <w:rPr>
          <w:rFonts w:ascii="Century" w:hAnsi="Century"/>
          <w:lang w:val="en-GB"/>
        </w:rPr>
        <w:t xml:space="preserve">Andrew </w:t>
      </w:r>
      <w:proofErr w:type="spellStart"/>
      <w:r w:rsidR="0004602A" w:rsidRPr="0044065E">
        <w:rPr>
          <w:rFonts w:ascii="Century" w:hAnsi="Century"/>
          <w:lang w:val="en-GB"/>
        </w:rPr>
        <w:t>Coan</w:t>
      </w:r>
      <w:proofErr w:type="spellEnd"/>
      <w:r w:rsidR="0004602A" w:rsidRPr="0044065E">
        <w:rPr>
          <w:rFonts w:ascii="Century" w:hAnsi="Century"/>
          <w:lang w:val="en-GB"/>
        </w:rPr>
        <w:t xml:space="preserve"> and Nicholas Bullard, ‘Judicial Capacity and Executive Power’ (2016) 102 Virginia Law Review 765, 779-780.</w:t>
      </w:r>
    </w:p>
  </w:footnote>
  <w:footnote w:id="107">
    <w:p w14:paraId="7FFEAB14" w14:textId="0DA8EE80" w:rsidR="00924E3B" w:rsidRPr="0044065E" w:rsidRDefault="00924E3B"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070834" w:rsidRPr="0044065E">
        <w:rPr>
          <w:rFonts w:ascii="Century" w:hAnsi="Century"/>
          <w:i/>
        </w:rPr>
        <w:t>Whitman v American Trucking Associations Inc,</w:t>
      </w:r>
      <w:r w:rsidR="00070834" w:rsidRPr="0044065E">
        <w:rPr>
          <w:rFonts w:ascii="Century" w:hAnsi="Century" w:cs="Arial"/>
          <w:color w:val="000000" w:themeColor="text1"/>
        </w:rPr>
        <w:t xml:space="preserve"> 531 US 457 (2001) 474-476.</w:t>
      </w:r>
      <w:r w:rsidR="00070834" w:rsidRPr="0044065E">
        <w:rPr>
          <w:rFonts w:ascii="Century" w:hAnsi="Century"/>
          <w:color w:val="000000" w:themeColor="text1"/>
        </w:rPr>
        <w:t xml:space="preserve"> </w:t>
      </w:r>
      <w:r w:rsidR="00070834" w:rsidRPr="0044065E">
        <w:rPr>
          <w:rFonts w:ascii="Century" w:hAnsi="Century"/>
        </w:rPr>
        <w:t>Scalia J noted how in ‘the history of the Court we have found the requisite 'intelligible principle' lacking in only two statutes, one of which provided literally no guidance’.</w:t>
      </w:r>
      <w:r w:rsidR="004D768E" w:rsidRPr="0044065E">
        <w:rPr>
          <w:rFonts w:ascii="Century" w:hAnsi="Century"/>
        </w:rPr>
        <w:t xml:space="preserve"> </w:t>
      </w:r>
    </w:p>
  </w:footnote>
  <w:footnote w:id="108">
    <w:p w14:paraId="0B7DFCCD" w14:textId="3FED10C8" w:rsidR="002024B2" w:rsidRPr="0044065E" w:rsidRDefault="002024B2" w:rsidP="0044065E">
      <w:pPr>
        <w:pStyle w:val="FootnoteText"/>
        <w:jc w:val="both"/>
        <w:rPr>
          <w:rFonts w:ascii="Century" w:hAnsi="Century"/>
          <w:lang w:val="en-GB"/>
        </w:rPr>
      </w:pPr>
      <w:r w:rsidRPr="0044065E">
        <w:rPr>
          <w:rStyle w:val="FootnoteReference"/>
          <w:rFonts w:ascii="Century" w:hAnsi="Century"/>
        </w:rPr>
        <w:footnoteRef/>
      </w:r>
      <w:r w:rsidR="008B586E" w:rsidRPr="0044065E">
        <w:rPr>
          <w:rFonts w:ascii="Century" w:hAnsi="Century"/>
        </w:rPr>
        <w:t xml:space="preserve"> </w:t>
      </w:r>
      <w:r w:rsidR="004A54AD" w:rsidRPr="0044065E">
        <w:rPr>
          <w:rFonts w:ascii="Century" w:hAnsi="Century"/>
        </w:rPr>
        <w:t>See</w:t>
      </w:r>
      <w:r w:rsidRPr="0044065E">
        <w:rPr>
          <w:rFonts w:ascii="Century" w:hAnsi="Century"/>
        </w:rPr>
        <w:t xml:space="preserve"> </w:t>
      </w:r>
      <w:r w:rsidR="000A69E7" w:rsidRPr="0044065E">
        <w:rPr>
          <w:rFonts w:ascii="Century" w:eastAsia="Times New Roman" w:hAnsi="Century" w:cs="Times New Roman"/>
        </w:rPr>
        <w:t xml:space="preserve">Philip Hamburger, </w:t>
      </w:r>
      <w:r w:rsidR="000A69E7" w:rsidRPr="0044065E">
        <w:rPr>
          <w:rFonts w:ascii="Century" w:eastAsia="Times New Roman" w:hAnsi="Century" w:cs="Times New Roman"/>
          <w:i/>
        </w:rPr>
        <w:t xml:space="preserve">Is Administrative Law Unlawful? </w:t>
      </w:r>
      <w:r w:rsidR="000A69E7" w:rsidRPr="0044065E">
        <w:rPr>
          <w:rFonts w:ascii="Century" w:eastAsia="Times New Roman" w:hAnsi="Century" w:cs="Times New Roman"/>
        </w:rPr>
        <w:t>(University of Chicago Press 2015)</w:t>
      </w:r>
      <w:r w:rsidR="003B1421" w:rsidRPr="0044065E">
        <w:rPr>
          <w:rFonts w:ascii="Century" w:eastAsia="Times New Roman" w:hAnsi="Century" w:cs="Times New Roman"/>
        </w:rPr>
        <w:t xml:space="preserve">; Gary Lawson, </w:t>
      </w:r>
      <w:r w:rsidR="005B35E5">
        <w:rPr>
          <w:rFonts w:ascii="Century" w:eastAsia="Times New Roman" w:hAnsi="Century" w:cs="Times New Roman"/>
        </w:rPr>
        <w:t>‘</w:t>
      </w:r>
      <w:r w:rsidR="003B1421" w:rsidRPr="0044065E">
        <w:rPr>
          <w:rFonts w:ascii="Century" w:eastAsia="Times New Roman" w:hAnsi="Century" w:cs="Times New Roman"/>
        </w:rPr>
        <w:t>The Rise and Rise of the</w:t>
      </w:r>
      <w:r w:rsidR="00A46EFA">
        <w:rPr>
          <w:rFonts w:ascii="Century" w:eastAsia="Times New Roman" w:hAnsi="Century" w:cs="Times New Roman"/>
        </w:rPr>
        <w:t xml:space="preserve"> </w:t>
      </w:r>
      <w:r w:rsidR="003B1421" w:rsidRPr="0044065E">
        <w:rPr>
          <w:rFonts w:ascii="Century" w:eastAsia="Times New Roman" w:hAnsi="Century" w:cs="Times New Roman"/>
        </w:rPr>
        <w:t>Administrative State</w:t>
      </w:r>
      <w:r w:rsidR="00725B74" w:rsidRPr="0044065E">
        <w:rPr>
          <w:rFonts w:ascii="Century" w:eastAsia="Times New Roman" w:hAnsi="Century" w:cs="Times New Roman"/>
        </w:rPr>
        <w:t>’ (1994</w:t>
      </w:r>
      <w:r w:rsidR="00A46EFA" w:rsidRPr="0044065E">
        <w:rPr>
          <w:rFonts w:ascii="Century" w:eastAsia="Times New Roman" w:hAnsi="Century" w:cs="Times New Roman"/>
        </w:rPr>
        <w:t>) 107 Harvard</w:t>
      </w:r>
      <w:r w:rsidR="00725B74" w:rsidRPr="0044065E">
        <w:rPr>
          <w:rFonts w:ascii="Century" w:eastAsia="Times New Roman" w:hAnsi="Century" w:cs="Times New Roman"/>
        </w:rPr>
        <w:t xml:space="preserve"> </w:t>
      </w:r>
      <w:r w:rsidR="00A83CC9">
        <w:rPr>
          <w:rFonts w:ascii="Century" w:eastAsia="Times New Roman" w:hAnsi="Century" w:cs="Times New Roman"/>
        </w:rPr>
        <w:t>L Rev</w:t>
      </w:r>
      <w:r w:rsidR="003B1421" w:rsidRPr="0044065E">
        <w:rPr>
          <w:rFonts w:ascii="Century" w:eastAsia="Times New Roman" w:hAnsi="Century" w:cs="Times New Roman"/>
        </w:rPr>
        <w:t xml:space="preserve"> 1231</w:t>
      </w:r>
      <w:r w:rsidR="00725B74" w:rsidRPr="0044065E">
        <w:rPr>
          <w:rFonts w:ascii="Century" w:eastAsia="Times New Roman" w:hAnsi="Century" w:cs="Times New Roman"/>
        </w:rPr>
        <w:t xml:space="preserve">. </w:t>
      </w:r>
      <w:r w:rsidR="003B1421" w:rsidRPr="0044065E">
        <w:rPr>
          <w:rFonts w:ascii="Century" w:eastAsia="Times New Roman" w:hAnsi="Century" w:cs="Times New Roman"/>
        </w:rPr>
        <w:t>For a good summary of this flavor of constitutionalism see</w:t>
      </w:r>
      <w:r w:rsidR="000A69E7" w:rsidRPr="0044065E">
        <w:rPr>
          <w:rFonts w:ascii="Century" w:eastAsia="Times New Roman" w:hAnsi="Century" w:cs="Times New Roman"/>
        </w:rPr>
        <w:t xml:space="preserve"> Adrian Vermuele and Cass Sunstein, </w:t>
      </w:r>
      <w:r w:rsidR="005B35E5">
        <w:rPr>
          <w:rFonts w:ascii="Century" w:eastAsia="Times New Roman" w:hAnsi="Century" w:cs="Times New Roman"/>
        </w:rPr>
        <w:t>‘</w:t>
      </w:r>
      <w:r w:rsidR="000A69E7" w:rsidRPr="0044065E">
        <w:rPr>
          <w:rFonts w:ascii="Century" w:eastAsia="Times New Roman" w:hAnsi="Century" w:cs="Times New Roman"/>
        </w:rPr>
        <w:t>The New Coke: On the Plural Aims of Administrative Law’</w:t>
      </w:r>
      <w:r w:rsidR="00E27CAA" w:rsidRPr="0044065E">
        <w:rPr>
          <w:rFonts w:ascii="Century" w:eastAsia="Times New Roman" w:hAnsi="Century" w:cs="Times New Roman"/>
        </w:rPr>
        <w:t xml:space="preserve"> (2015) The Supreme Court Review 41</w:t>
      </w:r>
      <w:r w:rsidR="003B1421" w:rsidRPr="0044065E">
        <w:rPr>
          <w:rFonts w:ascii="Century" w:eastAsia="Times New Roman" w:hAnsi="Century" w:cs="Times New Roman"/>
        </w:rPr>
        <w:t xml:space="preserve">; Adrian Vermeule and Cass Sunstein, ‘Libertarian Administrative Law’ (2015) 82 University of Chicago </w:t>
      </w:r>
      <w:r w:rsidR="00A83CC9">
        <w:rPr>
          <w:rFonts w:ascii="Century" w:eastAsia="Times New Roman" w:hAnsi="Century" w:cs="Times New Roman"/>
        </w:rPr>
        <w:t>L Rev</w:t>
      </w:r>
      <w:r w:rsidR="003B1421" w:rsidRPr="0044065E">
        <w:rPr>
          <w:rFonts w:ascii="Century" w:eastAsia="Times New Roman" w:hAnsi="Century" w:cs="Times New Roman"/>
        </w:rPr>
        <w:t xml:space="preserve"> 393.</w:t>
      </w:r>
    </w:p>
  </w:footnote>
  <w:footnote w:id="109">
    <w:p w14:paraId="29E54985" w14:textId="28D57020" w:rsidR="008C6EF8" w:rsidRPr="0044065E" w:rsidRDefault="008C6EF8" w:rsidP="0044065E">
      <w:pPr>
        <w:jc w:val="both"/>
        <w:rPr>
          <w:rFonts w:ascii="Century" w:eastAsia="Times New Roman" w:hAnsi="Century" w:cs="Times New Roman"/>
          <w:sz w:val="20"/>
          <w:szCs w:val="20"/>
          <w:lang w:val="en-GB" w:eastAsia="en-GB"/>
        </w:rPr>
      </w:pPr>
      <w:r w:rsidRPr="0044065E">
        <w:rPr>
          <w:rStyle w:val="FootnoteReference"/>
          <w:rFonts w:ascii="Century" w:hAnsi="Century"/>
          <w:sz w:val="20"/>
          <w:szCs w:val="20"/>
        </w:rPr>
        <w:footnoteRef/>
      </w:r>
      <w:r w:rsidRPr="0044065E">
        <w:rPr>
          <w:rFonts w:ascii="Century" w:hAnsi="Century"/>
          <w:sz w:val="20"/>
          <w:szCs w:val="20"/>
        </w:rPr>
        <w:t xml:space="preserve"> In </w:t>
      </w:r>
      <w:r w:rsidRPr="0044065E">
        <w:rPr>
          <w:rFonts w:ascii="Century" w:hAnsi="Century"/>
          <w:i/>
          <w:iCs/>
          <w:sz w:val="20"/>
          <w:szCs w:val="20"/>
        </w:rPr>
        <w:t>Gundy v United States</w:t>
      </w:r>
      <w:r w:rsidR="00F87BC4" w:rsidRPr="0044065E">
        <w:rPr>
          <w:rFonts w:ascii="Century" w:hAnsi="Century"/>
          <w:sz w:val="20"/>
          <w:szCs w:val="20"/>
        </w:rPr>
        <w:t xml:space="preserve"> </w:t>
      </w:r>
      <w:r w:rsidR="00F87BC4" w:rsidRPr="0044065E">
        <w:rPr>
          <w:rFonts w:ascii="Century" w:eastAsia="Times New Roman" w:hAnsi="Century" w:cs="Arial"/>
          <w:color w:val="202122"/>
          <w:sz w:val="20"/>
          <w:szCs w:val="20"/>
          <w:shd w:val="clear" w:color="auto" w:fill="FFFFFF"/>
          <w:lang w:val="en-GB" w:eastAsia="en-GB"/>
        </w:rPr>
        <w:t>588 US ___ (2019)</w:t>
      </w:r>
      <w:r w:rsidR="00B42740" w:rsidRPr="0044065E">
        <w:rPr>
          <w:rFonts w:ascii="Century" w:hAnsi="Century"/>
          <w:sz w:val="20"/>
          <w:szCs w:val="20"/>
        </w:rPr>
        <w:t xml:space="preserve"> </w:t>
      </w:r>
      <w:r w:rsidRPr="0044065E">
        <w:rPr>
          <w:rFonts w:ascii="Century" w:hAnsi="Century"/>
          <w:sz w:val="20"/>
          <w:szCs w:val="20"/>
        </w:rPr>
        <w:t>Gorsuch</w:t>
      </w:r>
      <w:r w:rsidR="00F87BC4" w:rsidRPr="0044065E">
        <w:rPr>
          <w:rFonts w:ascii="Century" w:hAnsi="Century"/>
          <w:sz w:val="20"/>
          <w:szCs w:val="20"/>
        </w:rPr>
        <w:t xml:space="preserve"> J</w:t>
      </w:r>
      <w:r w:rsidRPr="0044065E">
        <w:rPr>
          <w:rFonts w:ascii="Century" w:hAnsi="Century"/>
          <w:sz w:val="20"/>
          <w:szCs w:val="20"/>
        </w:rPr>
        <w:t>, joined by Roberts</w:t>
      </w:r>
      <w:r w:rsidR="00F87BC4" w:rsidRPr="0044065E">
        <w:rPr>
          <w:rFonts w:ascii="Century" w:hAnsi="Century"/>
          <w:sz w:val="20"/>
          <w:szCs w:val="20"/>
        </w:rPr>
        <w:t xml:space="preserve"> CJ</w:t>
      </w:r>
      <w:r w:rsidRPr="0044065E">
        <w:rPr>
          <w:rFonts w:ascii="Century" w:hAnsi="Century"/>
          <w:sz w:val="20"/>
          <w:szCs w:val="20"/>
        </w:rPr>
        <w:t xml:space="preserve"> and Thomas</w:t>
      </w:r>
      <w:r w:rsidR="00F87BC4" w:rsidRPr="0044065E">
        <w:rPr>
          <w:rFonts w:ascii="Century" w:hAnsi="Century"/>
          <w:sz w:val="20"/>
          <w:szCs w:val="20"/>
        </w:rPr>
        <w:t xml:space="preserve"> </w:t>
      </w:r>
      <w:proofErr w:type="gramStart"/>
      <w:r w:rsidR="00F87BC4" w:rsidRPr="0044065E">
        <w:rPr>
          <w:rFonts w:ascii="Century" w:hAnsi="Century"/>
          <w:sz w:val="20"/>
          <w:szCs w:val="20"/>
        </w:rPr>
        <w:t>J</w:t>
      </w:r>
      <w:r w:rsidRPr="0044065E">
        <w:rPr>
          <w:rFonts w:ascii="Century" w:hAnsi="Century"/>
          <w:sz w:val="20"/>
          <w:szCs w:val="20"/>
        </w:rPr>
        <w:t xml:space="preserve">  declared</w:t>
      </w:r>
      <w:proofErr w:type="gramEnd"/>
      <w:r w:rsidRPr="0044065E">
        <w:rPr>
          <w:rFonts w:ascii="Century" w:hAnsi="Century"/>
          <w:sz w:val="20"/>
          <w:szCs w:val="20"/>
        </w:rPr>
        <w:t xml:space="preserve"> in dissent that the </w:t>
      </w:r>
      <w:r w:rsidR="00627633">
        <w:rPr>
          <w:rFonts w:ascii="Century" w:hAnsi="Century"/>
          <w:sz w:val="20"/>
          <w:szCs w:val="20"/>
        </w:rPr>
        <w:t>‘</w:t>
      </w:r>
      <w:r w:rsidRPr="0044065E">
        <w:rPr>
          <w:rFonts w:ascii="Century" w:hAnsi="Century"/>
          <w:sz w:val="20"/>
          <w:szCs w:val="20"/>
        </w:rPr>
        <w:t>intelligible principle</w:t>
      </w:r>
      <w:r w:rsidR="00A46EFA">
        <w:rPr>
          <w:rFonts w:ascii="Century" w:hAnsi="Century"/>
          <w:sz w:val="20"/>
          <w:szCs w:val="20"/>
        </w:rPr>
        <w:t>’</w:t>
      </w:r>
      <w:r w:rsidR="00A46EFA" w:rsidRPr="0044065E">
        <w:rPr>
          <w:rFonts w:ascii="Century" w:hAnsi="Century"/>
          <w:sz w:val="20"/>
          <w:szCs w:val="20"/>
        </w:rPr>
        <w:t xml:space="preserve"> test should</w:t>
      </w:r>
      <w:r w:rsidRPr="0044065E">
        <w:rPr>
          <w:rFonts w:ascii="Century" w:hAnsi="Century"/>
          <w:sz w:val="20"/>
          <w:szCs w:val="20"/>
        </w:rPr>
        <w:t xml:space="preserve"> be abandoned in favor of a new</w:t>
      </w:r>
      <w:r w:rsidR="002A57CC">
        <w:rPr>
          <w:rFonts w:ascii="Century" w:hAnsi="Century"/>
          <w:sz w:val="20"/>
          <w:szCs w:val="20"/>
        </w:rPr>
        <w:t xml:space="preserve"> </w:t>
      </w:r>
      <w:r w:rsidRPr="0044065E">
        <w:rPr>
          <w:rFonts w:ascii="Century" w:hAnsi="Century"/>
          <w:sz w:val="20"/>
          <w:szCs w:val="20"/>
        </w:rPr>
        <w:t xml:space="preserve">approach that demands greater specificity from Congress when it delegates authority to </w:t>
      </w:r>
      <w:r w:rsidR="00A46EFA" w:rsidRPr="0044065E">
        <w:rPr>
          <w:rFonts w:ascii="Century" w:hAnsi="Century"/>
          <w:sz w:val="20"/>
          <w:szCs w:val="20"/>
        </w:rPr>
        <w:t>the administrative</w:t>
      </w:r>
      <w:r w:rsidRPr="0044065E">
        <w:rPr>
          <w:rFonts w:ascii="Century" w:hAnsi="Century"/>
          <w:sz w:val="20"/>
          <w:szCs w:val="20"/>
        </w:rPr>
        <w:t xml:space="preserve"> state.</w:t>
      </w:r>
      <w:r w:rsidR="002A57CC">
        <w:rPr>
          <w:rFonts w:ascii="Century" w:hAnsi="Century"/>
          <w:sz w:val="20"/>
          <w:szCs w:val="20"/>
        </w:rPr>
        <w:t xml:space="preserve"> </w:t>
      </w:r>
      <w:r w:rsidR="00D038C1" w:rsidRPr="0044065E">
        <w:rPr>
          <w:rFonts w:ascii="Century" w:hAnsi="Century"/>
          <w:sz w:val="20"/>
          <w:szCs w:val="20"/>
        </w:rPr>
        <w:t xml:space="preserve">In an extensive solo concurrence in Department of </w:t>
      </w:r>
      <w:r w:rsidR="00D038C1" w:rsidRPr="0044065E">
        <w:rPr>
          <w:rFonts w:ascii="Century" w:hAnsi="Century"/>
          <w:i/>
          <w:iCs/>
          <w:sz w:val="20"/>
          <w:szCs w:val="20"/>
        </w:rPr>
        <w:t>Transportation</w:t>
      </w:r>
      <w:r w:rsidR="002A57CC">
        <w:rPr>
          <w:rFonts w:ascii="Century" w:hAnsi="Century"/>
          <w:i/>
          <w:iCs/>
          <w:sz w:val="20"/>
          <w:szCs w:val="20"/>
        </w:rPr>
        <w:t xml:space="preserve"> </w:t>
      </w:r>
      <w:r w:rsidR="00D038C1" w:rsidRPr="0044065E">
        <w:rPr>
          <w:rFonts w:ascii="Century" w:hAnsi="Century"/>
          <w:i/>
          <w:iCs/>
          <w:sz w:val="20"/>
          <w:szCs w:val="20"/>
        </w:rPr>
        <w:t xml:space="preserve">v </w:t>
      </w:r>
      <w:r w:rsidR="00F87BC4" w:rsidRPr="0044065E">
        <w:rPr>
          <w:rFonts w:ascii="Century" w:hAnsi="Century"/>
          <w:i/>
          <w:iCs/>
          <w:sz w:val="20"/>
          <w:szCs w:val="20"/>
        </w:rPr>
        <w:t>Association of</w:t>
      </w:r>
      <w:r w:rsidR="00D038C1" w:rsidRPr="0044065E">
        <w:rPr>
          <w:rFonts w:ascii="Century" w:hAnsi="Century"/>
          <w:i/>
          <w:iCs/>
          <w:sz w:val="20"/>
          <w:szCs w:val="20"/>
        </w:rPr>
        <w:t xml:space="preserve"> American Railroads</w:t>
      </w:r>
      <w:r w:rsidR="00D038C1" w:rsidRPr="0044065E">
        <w:rPr>
          <w:rFonts w:ascii="Century" w:hAnsi="Century"/>
          <w:sz w:val="20"/>
          <w:szCs w:val="20"/>
        </w:rPr>
        <w:t xml:space="preserve"> 575 US 43, 66-91 (2015)</w:t>
      </w:r>
      <w:r w:rsidR="00C471A8">
        <w:rPr>
          <w:rFonts w:ascii="Century" w:hAnsi="Century"/>
          <w:sz w:val="20"/>
          <w:szCs w:val="20"/>
        </w:rPr>
        <w:t>,</w:t>
      </w:r>
      <w:r w:rsidR="00D038C1" w:rsidRPr="0044065E">
        <w:rPr>
          <w:rFonts w:ascii="Century" w:hAnsi="Century"/>
          <w:sz w:val="20"/>
          <w:szCs w:val="20"/>
        </w:rPr>
        <w:t xml:space="preserve"> Thomas J argued for an even more radical revival</w:t>
      </w:r>
      <w:r w:rsidR="00A46EFA">
        <w:rPr>
          <w:rFonts w:ascii="Century" w:hAnsi="Century"/>
          <w:sz w:val="20"/>
          <w:szCs w:val="20"/>
        </w:rPr>
        <w:t xml:space="preserve"> of the doctrine</w:t>
      </w:r>
      <w:r w:rsidR="00D038C1" w:rsidRPr="0044065E">
        <w:rPr>
          <w:rFonts w:ascii="Century" w:hAnsi="Century"/>
          <w:sz w:val="20"/>
          <w:szCs w:val="20"/>
        </w:rPr>
        <w:t xml:space="preserve"> by arguing that a correct reading of the separation of powers and legislative power yield</w:t>
      </w:r>
      <w:r w:rsidR="00A46EFA">
        <w:rPr>
          <w:rFonts w:ascii="Century" w:hAnsi="Century"/>
          <w:sz w:val="20"/>
          <w:szCs w:val="20"/>
        </w:rPr>
        <w:t>ed</w:t>
      </w:r>
      <w:r w:rsidR="00D038C1" w:rsidRPr="0044065E">
        <w:rPr>
          <w:rFonts w:ascii="Century" w:hAnsi="Century"/>
          <w:sz w:val="20"/>
          <w:szCs w:val="20"/>
        </w:rPr>
        <w:t xml:space="preserve"> the conclusion it is </w:t>
      </w:r>
      <w:r w:rsidR="00A46EFA" w:rsidRPr="00A46EFA">
        <w:rPr>
          <w:rFonts w:ascii="Century" w:hAnsi="Century"/>
          <w:sz w:val="20"/>
          <w:szCs w:val="20"/>
        </w:rPr>
        <w:t>unconstitutional</w:t>
      </w:r>
      <w:r w:rsidR="00A46EFA" w:rsidRPr="0044065E">
        <w:rPr>
          <w:rFonts w:ascii="Century" w:hAnsi="Century"/>
          <w:sz w:val="20"/>
          <w:szCs w:val="20"/>
        </w:rPr>
        <w:t xml:space="preserve"> for</w:t>
      </w:r>
      <w:r w:rsidR="00D038C1" w:rsidRPr="0044065E">
        <w:rPr>
          <w:rFonts w:ascii="Century" w:hAnsi="Century"/>
          <w:sz w:val="20"/>
          <w:szCs w:val="20"/>
        </w:rPr>
        <w:t xml:space="preserve"> </w:t>
      </w:r>
      <w:proofErr w:type="gramStart"/>
      <w:r w:rsidR="00D038C1" w:rsidRPr="0044065E">
        <w:rPr>
          <w:rFonts w:ascii="Century" w:hAnsi="Century"/>
          <w:sz w:val="20"/>
          <w:szCs w:val="20"/>
        </w:rPr>
        <w:t>Congress  to</w:t>
      </w:r>
      <w:proofErr w:type="gramEnd"/>
      <w:r w:rsidR="00D038C1" w:rsidRPr="0044065E">
        <w:rPr>
          <w:rFonts w:ascii="Century" w:hAnsi="Century"/>
          <w:sz w:val="20"/>
          <w:szCs w:val="20"/>
        </w:rPr>
        <w:t xml:space="preserve">  give  the  President  or  an  agency </w:t>
      </w:r>
      <w:r w:rsidR="00C471A8">
        <w:rPr>
          <w:rFonts w:ascii="Century" w:hAnsi="Century"/>
          <w:sz w:val="20"/>
          <w:szCs w:val="20"/>
        </w:rPr>
        <w:t>‘</w:t>
      </w:r>
      <w:r w:rsidR="00D038C1" w:rsidRPr="0044065E">
        <w:rPr>
          <w:rFonts w:ascii="Century" w:hAnsi="Century"/>
          <w:sz w:val="20"/>
          <w:szCs w:val="20"/>
        </w:rPr>
        <w:t>the  discretion  to  formulate generally applicable rules of private conduct</w:t>
      </w:r>
      <w:r w:rsidR="00A46EFA">
        <w:rPr>
          <w:rFonts w:ascii="Century" w:hAnsi="Century"/>
          <w:sz w:val="20"/>
          <w:szCs w:val="20"/>
        </w:rPr>
        <w:t>’ at all.</w:t>
      </w:r>
    </w:p>
  </w:footnote>
  <w:footnote w:id="110">
    <w:p w14:paraId="2BE46B56" w14:textId="3E652684" w:rsidR="00290C5F" w:rsidRPr="0044065E" w:rsidRDefault="00290C5F" w:rsidP="0044065E">
      <w:pPr>
        <w:autoSpaceDE w:val="0"/>
        <w:autoSpaceDN w:val="0"/>
        <w:adjustRightInd w:val="0"/>
        <w:jc w:val="both"/>
        <w:rPr>
          <w:rFonts w:ascii="Century" w:hAnsi="Century" w:cs="ñÁ÷'EF˛"/>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Pr="0044065E">
        <w:rPr>
          <w:rFonts w:ascii="Century" w:hAnsi="Century" w:cs="ñÁ÷'EF˛"/>
          <w:sz w:val="20"/>
          <w:szCs w:val="20"/>
          <w:lang w:val="en-GB"/>
        </w:rPr>
        <w:t xml:space="preserve">The centrality of liberty to the separation of powers is an understanding taken by several current conservative justices of the Supreme Court. See, </w:t>
      </w:r>
      <w:proofErr w:type="spellStart"/>
      <w:r w:rsidRPr="0044065E">
        <w:rPr>
          <w:rFonts w:ascii="Century" w:hAnsi="Century" w:cs="ñÁ÷'EF˛"/>
          <w:sz w:val="20"/>
          <w:szCs w:val="20"/>
          <w:lang w:val="en-GB"/>
        </w:rPr>
        <w:t>eg</w:t>
      </w:r>
      <w:proofErr w:type="spellEnd"/>
      <w:r w:rsidRPr="0044065E">
        <w:rPr>
          <w:rFonts w:ascii="Century" w:hAnsi="Century" w:cs="ñÁ÷'EF˛"/>
          <w:sz w:val="20"/>
          <w:szCs w:val="20"/>
          <w:lang w:val="en-GB"/>
        </w:rPr>
        <w:t xml:space="preserve"> in </w:t>
      </w:r>
      <w:r w:rsidRPr="006D2B93">
        <w:rPr>
          <w:rFonts w:ascii="Century" w:hAnsi="Century" w:cs="ñÁ÷'EF˛"/>
          <w:i/>
          <w:iCs/>
          <w:sz w:val="20"/>
          <w:szCs w:val="20"/>
          <w:lang w:val="en-GB"/>
        </w:rPr>
        <w:t>Department of Transportation v Association of American Railroads</w:t>
      </w:r>
      <w:r w:rsidRPr="0044065E">
        <w:rPr>
          <w:rFonts w:ascii="Century" w:hAnsi="Century" w:cs="ñÁ÷'EF˛"/>
          <w:sz w:val="20"/>
          <w:szCs w:val="20"/>
          <w:lang w:val="en-GB"/>
        </w:rPr>
        <w:t xml:space="preserve"> 135 S Ct 1225 (2015)</w:t>
      </w:r>
      <w:r w:rsidR="007430CA">
        <w:rPr>
          <w:rFonts w:ascii="Century" w:hAnsi="Century" w:cs="ñÁ÷'EF˛"/>
          <w:sz w:val="20"/>
          <w:szCs w:val="20"/>
          <w:lang w:val="en-GB"/>
        </w:rPr>
        <w:t xml:space="preserve">, </w:t>
      </w:r>
      <w:r w:rsidRPr="0044065E">
        <w:rPr>
          <w:rFonts w:ascii="Century" w:hAnsi="Century" w:cs="ñÁ÷'EF˛"/>
          <w:sz w:val="20"/>
          <w:szCs w:val="20"/>
          <w:lang w:val="en-GB"/>
        </w:rPr>
        <w:t xml:space="preserve">1245, Thomas J argued that </w:t>
      </w:r>
      <w:r w:rsidR="00F65C6B">
        <w:rPr>
          <w:rFonts w:ascii="Century" w:hAnsi="Century" w:cs="ñÁ÷'EF˛"/>
          <w:sz w:val="20"/>
          <w:szCs w:val="20"/>
          <w:lang w:val="en-GB"/>
        </w:rPr>
        <w:t>‘</w:t>
      </w:r>
      <w:r w:rsidRPr="0044065E">
        <w:rPr>
          <w:rFonts w:ascii="Century" w:hAnsi="Century" w:cs="ñÁ÷'EF˛"/>
          <w:sz w:val="20"/>
          <w:szCs w:val="20"/>
          <w:lang w:val="en-GB"/>
        </w:rPr>
        <w:t>at the center of the Framers’ dedication to the separation of powers was individual liberty</w:t>
      </w:r>
      <w:r w:rsidR="00F65C6B">
        <w:rPr>
          <w:rFonts w:ascii="Century" w:hAnsi="Century" w:cs="ñÁ÷'EF˛"/>
          <w:sz w:val="20"/>
          <w:szCs w:val="20"/>
          <w:lang w:val="en-GB"/>
        </w:rPr>
        <w:t>’</w:t>
      </w:r>
      <w:r w:rsidRPr="0044065E">
        <w:rPr>
          <w:rFonts w:ascii="Century" w:hAnsi="Century" w:cs="ñÁ÷'EF˛"/>
          <w:sz w:val="20"/>
          <w:szCs w:val="20"/>
          <w:lang w:val="en-GB"/>
        </w:rPr>
        <w:t xml:space="preserve">. In </w:t>
      </w:r>
      <w:r w:rsidRPr="0044065E">
        <w:rPr>
          <w:rFonts w:ascii="Century" w:hAnsi="Century" w:cs="ñÁ÷'EF˛"/>
          <w:i/>
          <w:iCs/>
          <w:sz w:val="20"/>
          <w:szCs w:val="20"/>
          <w:lang w:val="en-GB"/>
        </w:rPr>
        <w:t>City of Arlington v FCC</w:t>
      </w:r>
      <w:r w:rsidRPr="0044065E">
        <w:rPr>
          <w:rFonts w:ascii="Century" w:hAnsi="Century" w:cs="ñÁ÷'EF˛"/>
          <w:sz w:val="20"/>
          <w:szCs w:val="20"/>
          <w:lang w:val="en-GB"/>
        </w:rPr>
        <w:t xml:space="preserve"> 569 US 290 (2013) at 315, Roberts CJ, in dissent, argued that the Framers divided governmental power for </w:t>
      </w:r>
      <w:r w:rsidR="00F65C6B">
        <w:rPr>
          <w:rFonts w:ascii="Century" w:hAnsi="Century" w:cs="ñÁ÷'EF˛"/>
          <w:sz w:val="20"/>
          <w:szCs w:val="20"/>
          <w:lang w:val="en-GB"/>
        </w:rPr>
        <w:t>‘</w:t>
      </w:r>
      <w:r w:rsidRPr="0044065E">
        <w:rPr>
          <w:rFonts w:ascii="Century" w:hAnsi="Century" w:cs="ñÁ÷'EF˛"/>
          <w:sz w:val="20"/>
          <w:szCs w:val="20"/>
          <w:lang w:val="en-GB"/>
        </w:rPr>
        <w:t>the purpose of safeguarding liberty</w:t>
      </w:r>
      <w:r w:rsidR="00F65C6B">
        <w:rPr>
          <w:rFonts w:ascii="Century" w:hAnsi="Century" w:cs="ñÁ÷'EF˛"/>
          <w:sz w:val="20"/>
          <w:szCs w:val="20"/>
          <w:lang w:val="en-GB"/>
        </w:rPr>
        <w:t>’</w:t>
      </w:r>
      <w:r w:rsidRPr="0044065E">
        <w:rPr>
          <w:rFonts w:ascii="Century" w:hAnsi="Century" w:cs="ñÁ÷'EF˛"/>
          <w:sz w:val="20"/>
          <w:szCs w:val="20"/>
          <w:lang w:val="en-GB"/>
        </w:rPr>
        <w:t xml:space="preserve">. While on the Court of Appeals Gorsuch J in </w:t>
      </w:r>
      <w:r w:rsidRPr="0044065E">
        <w:rPr>
          <w:rFonts w:ascii="Century" w:hAnsi="Century" w:cs="ñÁ÷'EF˛"/>
          <w:i/>
          <w:iCs/>
          <w:sz w:val="20"/>
          <w:szCs w:val="20"/>
          <w:lang w:val="en-GB"/>
        </w:rPr>
        <w:t>Gutierrez-</w:t>
      </w:r>
      <w:proofErr w:type="spellStart"/>
      <w:r w:rsidRPr="0044065E">
        <w:rPr>
          <w:rFonts w:ascii="Century" w:hAnsi="Century" w:cs="ñÁ÷'EF˛"/>
          <w:i/>
          <w:iCs/>
          <w:sz w:val="20"/>
          <w:szCs w:val="20"/>
          <w:lang w:val="en-GB"/>
        </w:rPr>
        <w:t>Brizuela</w:t>
      </w:r>
      <w:proofErr w:type="spellEnd"/>
      <w:r w:rsidRPr="0044065E">
        <w:rPr>
          <w:rFonts w:ascii="Century" w:hAnsi="Century" w:cs="ñÁ÷'EF˛"/>
          <w:i/>
          <w:iCs/>
          <w:sz w:val="20"/>
          <w:szCs w:val="20"/>
          <w:lang w:val="en-GB"/>
        </w:rPr>
        <w:t xml:space="preserve"> v Lynch</w:t>
      </w:r>
      <w:r w:rsidRPr="0044065E">
        <w:rPr>
          <w:rFonts w:ascii="Century" w:hAnsi="Century" w:cs="ñÁ÷'EF˛"/>
          <w:sz w:val="20"/>
          <w:szCs w:val="20"/>
          <w:lang w:val="en-GB"/>
        </w:rPr>
        <w:t xml:space="preserve"> 834 F3d 1142 (10th Cir 2016)</w:t>
      </w:r>
      <w:r w:rsidR="00B073B1">
        <w:rPr>
          <w:rFonts w:ascii="Century" w:hAnsi="Century" w:cs="ñÁ÷'EF˛"/>
          <w:sz w:val="20"/>
          <w:szCs w:val="20"/>
          <w:lang w:val="en-GB"/>
        </w:rPr>
        <w:t xml:space="preserve">, </w:t>
      </w:r>
      <w:r w:rsidRPr="0044065E">
        <w:rPr>
          <w:rFonts w:ascii="Century" w:hAnsi="Century" w:cs="ñÁ÷'EF˛"/>
          <w:sz w:val="20"/>
          <w:szCs w:val="20"/>
          <w:lang w:val="en-GB"/>
        </w:rPr>
        <w:t xml:space="preserve">1149, suggested that </w:t>
      </w:r>
      <w:r w:rsidR="00F65C6B">
        <w:rPr>
          <w:rFonts w:ascii="Century" w:hAnsi="Century" w:cs="ñÁ÷'EF˛"/>
          <w:sz w:val="20"/>
          <w:szCs w:val="20"/>
          <w:lang w:val="en-GB"/>
        </w:rPr>
        <w:t>‘</w:t>
      </w:r>
      <w:r w:rsidRPr="0044065E">
        <w:rPr>
          <w:rFonts w:ascii="Century" w:hAnsi="Century" w:cs="ñÁ÷'EF˛"/>
          <w:sz w:val="20"/>
          <w:szCs w:val="20"/>
          <w:lang w:val="en-GB"/>
        </w:rPr>
        <w:t>the founders considered the separation of powers a vital guard against governmental encroachment on the people’s liberties, including all those later enumerated in the Bill of Rights</w:t>
      </w:r>
      <w:r w:rsidR="00F65C6B">
        <w:rPr>
          <w:rFonts w:ascii="Century" w:hAnsi="Century" w:cs="ñÁ÷'EF˛"/>
          <w:sz w:val="20"/>
          <w:szCs w:val="20"/>
          <w:lang w:val="en-GB"/>
        </w:rPr>
        <w:t>’</w:t>
      </w:r>
      <w:r w:rsidRPr="0044065E">
        <w:rPr>
          <w:rFonts w:ascii="Century" w:hAnsi="Century" w:cs="ñÁ÷'EF˛"/>
          <w:sz w:val="20"/>
          <w:szCs w:val="20"/>
          <w:lang w:val="en-GB"/>
        </w:rPr>
        <w:t>.</w:t>
      </w:r>
    </w:p>
  </w:footnote>
  <w:footnote w:id="111">
    <w:p w14:paraId="569C6DCF" w14:textId="5497F712" w:rsidR="00317371" w:rsidRPr="0044065E" w:rsidRDefault="00317371"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R</w:t>
      </w:r>
      <w:r w:rsidR="00460069" w:rsidRPr="0044065E">
        <w:rPr>
          <w:rFonts w:ascii="Century" w:hAnsi="Century"/>
          <w:lang w:val="en-GB"/>
        </w:rPr>
        <w:t>ichard Stewart, ‘The Reformation of American Administrative Law’ (1975) 88 Harvard L Rev 1667, 169</w:t>
      </w:r>
      <w:r w:rsidR="00472997" w:rsidRPr="0044065E">
        <w:rPr>
          <w:rFonts w:ascii="Century" w:hAnsi="Century"/>
          <w:lang w:val="en-GB"/>
        </w:rPr>
        <w:t>5</w:t>
      </w:r>
      <w:r w:rsidR="00460069" w:rsidRPr="0044065E">
        <w:rPr>
          <w:rFonts w:ascii="Century" w:hAnsi="Century"/>
          <w:lang w:val="en-GB"/>
        </w:rPr>
        <w:t>.</w:t>
      </w:r>
    </w:p>
  </w:footnote>
  <w:footnote w:id="112">
    <w:p w14:paraId="57DB7B3B" w14:textId="64EE44D4" w:rsidR="00093ABA" w:rsidRPr="0044065E" w:rsidRDefault="00093ABA"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00331511">
        <w:rPr>
          <w:rFonts w:ascii="Century" w:hAnsi="Century"/>
          <w:sz w:val="20"/>
          <w:szCs w:val="20"/>
          <w:lang w:val="en-GB"/>
        </w:rPr>
        <w:t xml:space="preserve">ibid </w:t>
      </w:r>
      <w:r w:rsidR="00472997" w:rsidRPr="0044065E">
        <w:rPr>
          <w:rFonts w:ascii="Century" w:hAnsi="Century"/>
          <w:sz w:val="20"/>
          <w:szCs w:val="20"/>
          <w:lang w:val="en-GB"/>
        </w:rPr>
        <w:t>1697.</w:t>
      </w:r>
    </w:p>
  </w:footnote>
  <w:footnote w:id="113">
    <w:p w14:paraId="6836FA7C" w14:textId="00A224C1" w:rsidR="00DD2EFF" w:rsidRPr="0044065E" w:rsidRDefault="00DD2EFF"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00460069" w:rsidRPr="0044065E">
        <w:rPr>
          <w:rFonts w:ascii="Century" w:hAnsi="Century" w:cs="Times New Roman"/>
          <w:sz w:val="20"/>
          <w:szCs w:val="20"/>
          <w:lang w:val="en-GB"/>
        </w:rPr>
        <w:t>Kurt Eggert, ‘Originalism Isn't What It Used to Be: The Nondelegation Doctrine, Originalism, and Government by Judiciary’ (2021) 24 Chapman L Rev 707</w:t>
      </w:r>
      <w:r w:rsidR="00460069" w:rsidRPr="0044065E">
        <w:rPr>
          <w:rFonts w:ascii="Century" w:hAnsi="Century"/>
          <w:sz w:val="20"/>
          <w:szCs w:val="20"/>
          <w:lang w:val="en-GB"/>
        </w:rPr>
        <w:t>,</w:t>
      </w:r>
      <w:r w:rsidRPr="0044065E">
        <w:rPr>
          <w:rFonts w:ascii="Century" w:hAnsi="Century"/>
          <w:sz w:val="20"/>
          <w:szCs w:val="20"/>
          <w:lang w:val="en-GB"/>
        </w:rPr>
        <w:t xml:space="preserve"> </w:t>
      </w:r>
      <w:r w:rsidR="00460069" w:rsidRPr="0044065E">
        <w:rPr>
          <w:rFonts w:ascii="Century" w:hAnsi="Century"/>
          <w:sz w:val="20"/>
          <w:szCs w:val="20"/>
          <w:lang w:val="en-GB"/>
        </w:rPr>
        <w:t>709-</w:t>
      </w:r>
      <w:r w:rsidRPr="0044065E">
        <w:rPr>
          <w:rFonts w:ascii="Century" w:hAnsi="Century"/>
          <w:sz w:val="20"/>
          <w:szCs w:val="20"/>
          <w:lang w:val="en-GB"/>
        </w:rPr>
        <w:t>710.</w:t>
      </w:r>
    </w:p>
  </w:footnote>
  <w:footnote w:id="114">
    <w:p w14:paraId="4FA2CE83" w14:textId="51B86E73" w:rsidR="00DD2EFF" w:rsidRPr="0044065E" w:rsidRDefault="00DD2EFF"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8A6CDA" w:rsidRPr="0044065E">
        <w:rPr>
          <w:rFonts w:ascii="Century" w:hAnsi="Century"/>
        </w:rPr>
        <w:t xml:space="preserve">See </w:t>
      </w:r>
      <w:r w:rsidRPr="0044065E">
        <w:rPr>
          <w:rFonts w:ascii="Century" w:hAnsi="Century"/>
          <w:lang w:val="en-GB"/>
        </w:rPr>
        <w:t xml:space="preserve">Maggie McKinley, </w:t>
      </w:r>
      <w:r w:rsidR="008A6CDA" w:rsidRPr="0044065E">
        <w:rPr>
          <w:rFonts w:ascii="Century" w:hAnsi="Century"/>
          <w:lang w:val="en-GB"/>
        </w:rPr>
        <w:t xml:space="preserve">‘Petitioning and the Making of the Administrative State’ (2018) 127 Yale </w:t>
      </w:r>
      <w:r w:rsidR="00B67C67">
        <w:rPr>
          <w:rFonts w:ascii="Century" w:hAnsi="Century"/>
          <w:lang w:val="en-GB"/>
        </w:rPr>
        <w:t>LJ</w:t>
      </w:r>
      <w:r w:rsidR="008A6CDA" w:rsidRPr="0044065E">
        <w:rPr>
          <w:rFonts w:ascii="Century" w:hAnsi="Century"/>
          <w:lang w:val="en-GB"/>
        </w:rPr>
        <w:t xml:space="preserve"> 1538, </w:t>
      </w:r>
      <w:r w:rsidRPr="0044065E">
        <w:rPr>
          <w:rFonts w:ascii="Century" w:hAnsi="Century"/>
          <w:lang w:val="en-GB"/>
        </w:rPr>
        <w:t>1543</w:t>
      </w:r>
      <w:r w:rsidR="008A6CDA" w:rsidRPr="0044065E">
        <w:rPr>
          <w:rFonts w:ascii="Century" w:hAnsi="Century"/>
          <w:lang w:val="en-GB"/>
        </w:rPr>
        <w:t xml:space="preserve">; Gillian Metzger, </w:t>
      </w:r>
      <w:r w:rsidR="003D7463">
        <w:rPr>
          <w:rFonts w:ascii="Century" w:hAnsi="Century"/>
          <w:lang w:val="en-GB"/>
        </w:rPr>
        <w:t>‘</w:t>
      </w:r>
      <w:r w:rsidR="008A6CDA" w:rsidRPr="006D2B93">
        <w:rPr>
          <w:rFonts w:ascii="Century" w:hAnsi="Century"/>
          <w:lang w:val="en-GB"/>
        </w:rPr>
        <w:t>Foreword: 1930s Redux: The Administrative State Under Siege</w:t>
      </w:r>
      <w:r w:rsidR="003D7463" w:rsidRPr="006D2B93">
        <w:rPr>
          <w:rFonts w:ascii="Century" w:hAnsi="Century"/>
          <w:lang w:val="en-GB"/>
        </w:rPr>
        <w:t>’</w:t>
      </w:r>
      <w:r w:rsidR="008A6CDA" w:rsidRPr="0044065E">
        <w:rPr>
          <w:rFonts w:ascii="Century" w:hAnsi="Century"/>
          <w:i/>
          <w:iCs/>
          <w:lang w:val="en-GB"/>
        </w:rPr>
        <w:t xml:space="preserve"> </w:t>
      </w:r>
      <w:r w:rsidR="008A6CDA" w:rsidRPr="0044065E">
        <w:rPr>
          <w:rFonts w:ascii="Century" w:hAnsi="Century"/>
          <w:lang w:val="en-GB"/>
        </w:rPr>
        <w:t>(2017) 131 Harvard L Rev 1, 8.</w:t>
      </w:r>
    </w:p>
  </w:footnote>
  <w:footnote w:id="115">
    <w:p w14:paraId="7816288E" w14:textId="622CD237" w:rsidR="008031B8" w:rsidRPr="0044065E" w:rsidRDefault="008031B8"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iCs/>
          <w:u w:color="000000"/>
        </w:rPr>
        <w:t>See generally</w:t>
      </w:r>
      <w:r w:rsidRPr="0044065E">
        <w:rPr>
          <w:rFonts w:ascii="Century" w:hAnsi="Century"/>
          <w:u w:color="000000"/>
        </w:rPr>
        <w:t xml:space="preserve"> </w:t>
      </w:r>
      <w:r w:rsidR="00627BE8">
        <w:rPr>
          <w:rFonts w:ascii="Century" w:hAnsi="Century"/>
          <w:u w:color="000000"/>
        </w:rPr>
        <w:t xml:space="preserve">Jerry Mashaw, </w:t>
      </w:r>
      <w:r w:rsidR="00627BE8" w:rsidRPr="006D2B93">
        <w:rPr>
          <w:rFonts w:ascii="Century" w:hAnsi="Century"/>
          <w:i/>
          <w:iCs/>
          <w:u w:color="000000"/>
        </w:rPr>
        <w:t>Creating the Administrative Constitution: The Lost One Hundred Year of American Administrative Law</w:t>
      </w:r>
      <w:r w:rsidR="00627BE8">
        <w:rPr>
          <w:rFonts w:ascii="Century" w:hAnsi="Century"/>
          <w:u w:color="000000"/>
        </w:rPr>
        <w:t xml:space="preserve"> </w:t>
      </w:r>
      <w:r w:rsidRPr="0044065E">
        <w:rPr>
          <w:rFonts w:ascii="Century" w:hAnsi="Century"/>
          <w:u w:color="000000"/>
        </w:rPr>
        <w:t>(</w:t>
      </w:r>
      <w:r w:rsidR="0025273F" w:rsidRPr="0044065E">
        <w:rPr>
          <w:rFonts w:ascii="Century" w:hAnsi="Century"/>
          <w:u w:color="000000"/>
        </w:rPr>
        <w:t xml:space="preserve">Yale University Press </w:t>
      </w:r>
      <w:r w:rsidRPr="0044065E">
        <w:rPr>
          <w:rFonts w:ascii="Century" w:hAnsi="Century"/>
          <w:u w:color="000000"/>
        </w:rPr>
        <w:t>2012)</w:t>
      </w:r>
      <w:r w:rsidR="003B77CB" w:rsidRPr="0044065E">
        <w:rPr>
          <w:rFonts w:ascii="Century" w:hAnsi="Century"/>
          <w:u w:color="000000"/>
        </w:rPr>
        <w:t xml:space="preserve">; </w:t>
      </w:r>
      <w:r w:rsidR="00903CAF" w:rsidRPr="0044065E">
        <w:rPr>
          <w:rFonts w:ascii="Century" w:hAnsi="Century"/>
        </w:rPr>
        <w:t xml:space="preserve">Nicholas </w:t>
      </w:r>
      <w:proofErr w:type="spellStart"/>
      <w:r w:rsidR="00903CAF" w:rsidRPr="0044065E">
        <w:rPr>
          <w:rFonts w:ascii="Century" w:hAnsi="Century"/>
        </w:rPr>
        <w:t>Parrillo</w:t>
      </w:r>
      <w:proofErr w:type="spellEnd"/>
      <w:r w:rsidR="00903CAF" w:rsidRPr="0044065E">
        <w:rPr>
          <w:rFonts w:ascii="Century" w:hAnsi="Century"/>
        </w:rPr>
        <w:t>, ‘A Critical Assessment of the Originalist Case Against</w:t>
      </w:r>
      <w:r w:rsidR="00240E02" w:rsidRPr="0044065E">
        <w:rPr>
          <w:rFonts w:ascii="Century" w:hAnsi="Century"/>
        </w:rPr>
        <w:t xml:space="preserve"> </w:t>
      </w:r>
      <w:r w:rsidR="00903CAF" w:rsidRPr="0044065E">
        <w:rPr>
          <w:rFonts w:ascii="Century" w:hAnsi="Century"/>
        </w:rPr>
        <w:t xml:space="preserve">Administrative Regulatory Power: </w:t>
      </w:r>
      <w:r w:rsidR="00240E02" w:rsidRPr="0044065E">
        <w:rPr>
          <w:rFonts w:ascii="Century" w:hAnsi="Century"/>
        </w:rPr>
        <w:t>New Evidence</w:t>
      </w:r>
      <w:r w:rsidR="00903CAF" w:rsidRPr="0044065E">
        <w:rPr>
          <w:rFonts w:ascii="Century" w:hAnsi="Century"/>
        </w:rPr>
        <w:t xml:space="preserve"> </w:t>
      </w:r>
      <w:r w:rsidR="00240E02" w:rsidRPr="0044065E">
        <w:rPr>
          <w:rFonts w:ascii="Century" w:hAnsi="Century"/>
        </w:rPr>
        <w:t>from the Federal</w:t>
      </w:r>
      <w:r w:rsidR="00903CAF" w:rsidRPr="0044065E">
        <w:rPr>
          <w:rFonts w:ascii="Century" w:hAnsi="Century"/>
        </w:rPr>
        <w:t xml:space="preserve"> Tax on Private Real Estate in the</w:t>
      </w:r>
      <w:r w:rsidR="00673AD8">
        <w:rPr>
          <w:rFonts w:ascii="Century" w:hAnsi="Century"/>
        </w:rPr>
        <w:t xml:space="preserve"> </w:t>
      </w:r>
      <w:r w:rsidR="00903CAF" w:rsidRPr="0044065E">
        <w:rPr>
          <w:rFonts w:ascii="Century" w:hAnsi="Century"/>
        </w:rPr>
        <w:t>1790s’ (2021)</w:t>
      </w:r>
      <w:r w:rsidR="00240E02" w:rsidRPr="0044065E">
        <w:rPr>
          <w:rFonts w:ascii="Century" w:hAnsi="Century"/>
        </w:rPr>
        <w:t xml:space="preserve"> </w:t>
      </w:r>
      <w:r w:rsidR="00903CAF" w:rsidRPr="0044065E">
        <w:rPr>
          <w:rFonts w:ascii="Century" w:hAnsi="Century"/>
        </w:rPr>
        <w:t>130 Yale L</w:t>
      </w:r>
      <w:r w:rsidR="00673AD8">
        <w:rPr>
          <w:rFonts w:ascii="Century" w:hAnsi="Century"/>
        </w:rPr>
        <w:t xml:space="preserve"> </w:t>
      </w:r>
      <w:r w:rsidR="00903CAF" w:rsidRPr="0044065E">
        <w:rPr>
          <w:rFonts w:ascii="Century" w:hAnsi="Century"/>
        </w:rPr>
        <w:t>J 1288</w:t>
      </w:r>
      <w:r w:rsidR="00903CAF" w:rsidRPr="0044065E">
        <w:rPr>
          <w:rFonts w:ascii="Century" w:hAnsi="Century"/>
          <w:u w:color="000000"/>
        </w:rPr>
        <w:t>, 1302.</w:t>
      </w:r>
    </w:p>
  </w:footnote>
  <w:footnote w:id="116">
    <w:p w14:paraId="50A82684" w14:textId="78EBE850" w:rsidR="00252FC7" w:rsidRPr="0044065E" w:rsidRDefault="00252FC7"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Adrian Vermeule and Eric Posner, ‘Interring the Nondelegation Doctrine’ (2002) 69 University of Chicago L Rev 1721, 1722</w:t>
      </w:r>
      <w:r w:rsidR="00903CAF" w:rsidRPr="0044065E">
        <w:rPr>
          <w:rFonts w:ascii="Century" w:hAnsi="Century"/>
          <w:lang w:val="en-GB"/>
        </w:rPr>
        <w:t xml:space="preserve">; </w:t>
      </w:r>
      <w:r w:rsidR="00903CAF" w:rsidRPr="0044065E">
        <w:rPr>
          <w:rFonts w:ascii="Century" w:hAnsi="Century"/>
          <w:u w:color="000000"/>
        </w:rPr>
        <w:t xml:space="preserve">Nicholas Bagley &amp; Julian Davis Mortenson, </w:t>
      </w:r>
      <w:r w:rsidR="00903CAF" w:rsidRPr="0044065E">
        <w:rPr>
          <w:rFonts w:ascii="Century" w:hAnsi="Century"/>
          <w:i/>
          <w:iCs/>
          <w:u w:color="000000"/>
        </w:rPr>
        <w:t>Delegation at the Founding</w:t>
      </w:r>
      <w:r w:rsidR="00903CAF" w:rsidRPr="0044065E">
        <w:rPr>
          <w:rFonts w:ascii="Century" w:hAnsi="Century"/>
          <w:u w:color="000000"/>
        </w:rPr>
        <w:t xml:space="preserve">, 121 </w:t>
      </w:r>
      <w:r w:rsidR="00627BE8">
        <w:rPr>
          <w:rFonts w:ascii="Century" w:hAnsi="Century"/>
          <w:u w:color="000000"/>
        </w:rPr>
        <w:t xml:space="preserve">Colum L Rev </w:t>
      </w:r>
      <w:r w:rsidR="00903CAF" w:rsidRPr="0044065E">
        <w:rPr>
          <w:rFonts w:ascii="Century" w:hAnsi="Century"/>
          <w:u w:color="000000"/>
        </w:rPr>
        <w:t>277 (2021).</w:t>
      </w:r>
    </w:p>
  </w:footnote>
  <w:footnote w:id="117">
    <w:p w14:paraId="538BDE78" w14:textId="611F0A12" w:rsidR="008031B8" w:rsidRPr="0044065E" w:rsidRDefault="008031B8" w:rsidP="0044065E">
      <w:pPr>
        <w:jc w:val="both"/>
        <w:rPr>
          <w:rFonts w:ascii="Century" w:hAnsi="Century"/>
          <w:sz w:val="20"/>
          <w:szCs w:val="20"/>
        </w:rPr>
      </w:pPr>
      <w:r w:rsidRPr="0044065E">
        <w:rPr>
          <w:rStyle w:val="FootnoteReference"/>
          <w:rFonts w:ascii="Century" w:hAnsi="Century"/>
          <w:sz w:val="20"/>
          <w:szCs w:val="20"/>
        </w:rPr>
        <w:footnoteRef/>
      </w:r>
      <w:r w:rsidRPr="0044065E">
        <w:rPr>
          <w:rFonts w:ascii="Century" w:hAnsi="Century"/>
          <w:sz w:val="20"/>
          <w:szCs w:val="20"/>
        </w:rPr>
        <w:t xml:space="preserve"> </w:t>
      </w:r>
      <w:r w:rsidR="000735AD" w:rsidRPr="0044065E">
        <w:rPr>
          <w:rFonts w:ascii="Century" w:hAnsi="Century"/>
          <w:sz w:val="20"/>
          <w:szCs w:val="20"/>
        </w:rPr>
        <w:t>It is hard to tell if any of this US jurisprudence had a sizeable impact on judicial conceptions of executive-relations here</w:t>
      </w:r>
      <w:r w:rsidR="00D41EF1" w:rsidRPr="0044065E">
        <w:rPr>
          <w:rFonts w:ascii="Century" w:hAnsi="Century"/>
          <w:sz w:val="20"/>
          <w:szCs w:val="20"/>
        </w:rPr>
        <w:t xml:space="preserve">, especially in </w:t>
      </w:r>
      <w:r w:rsidR="00D41EF1" w:rsidRPr="0044065E">
        <w:rPr>
          <w:rFonts w:ascii="Century" w:hAnsi="Century"/>
          <w:i/>
          <w:iCs/>
          <w:sz w:val="20"/>
          <w:szCs w:val="20"/>
        </w:rPr>
        <w:t>Cityview</w:t>
      </w:r>
      <w:r w:rsidR="00D41EF1" w:rsidRPr="0044065E">
        <w:rPr>
          <w:rFonts w:ascii="Century" w:hAnsi="Century"/>
          <w:sz w:val="20"/>
          <w:szCs w:val="20"/>
        </w:rPr>
        <w:t>. There is no doubt it been</w:t>
      </w:r>
      <w:r w:rsidR="000735AD" w:rsidRPr="0044065E">
        <w:rPr>
          <w:rFonts w:ascii="Century" w:hAnsi="Century"/>
          <w:sz w:val="20"/>
          <w:szCs w:val="20"/>
        </w:rPr>
        <w:t xml:space="preserve"> extensively</w:t>
      </w:r>
      <w:r w:rsidR="00D41EF1" w:rsidRPr="0044065E">
        <w:rPr>
          <w:rFonts w:ascii="Century" w:hAnsi="Century"/>
          <w:sz w:val="20"/>
          <w:szCs w:val="20"/>
        </w:rPr>
        <w:t xml:space="preserve"> referred to by counsel and cited by the Court in most major Article 15.2.1 cases – from </w:t>
      </w:r>
      <w:r w:rsidR="00D41EF1" w:rsidRPr="0044065E">
        <w:rPr>
          <w:rFonts w:ascii="Century" w:hAnsi="Century"/>
          <w:i/>
          <w:iCs/>
          <w:sz w:val="20"/>
          <w:szCs w:val="20"/>
        </w:rPr>
        <w:t xml:space="preserve">Donnelly </w:t>
      </w:r>
      <w:r w:rsidR="00D41EF1" w:rsidRPr="0044065E">
        <w:rPr>
          <w:rFonts w:ascii="Century" w:hAnsi="Century"/>
          <w:sz w:val="20"/>
          <w:szCs w:val="20"/>
        </w:rPr>
        <w:t xml:space="preserve">through to </w:t>
      </w:r>
      <w:r w:rsidR="00D41EF1" w:rsidRPr="0044065E">
        <w:rPr>
          <w:rFonts w:ascii="Century" w:hAnsi="Century"/>
          <w:i/>
          <w:iCs/>
          <w:sz w:val="20"/>
          <w:szCs w:val="20"/>
        </w:rPr>
        <w:t xml:space="preserve">Cityview </w:t>
      </w:r>
      <w:r w:rsidR="00D41EF1" w:rsidRPr="0044065E">
        <w:rPr>
          <w:rFonts w:ascii="Century" w:hAnsi="Century"/>
          <w:sz w:val="20"/>
          <w:szCs w:val="20"/>
        </w:rPr>
        <w:t xml:space="preserve">and </w:t>
      </w:r>
      <w:r w:rsidR="00D41EF1" w:rsidRPr="0044065E">
        <w:rPr>
          <w:rFonts w:ascii="Century" w:hAnsi="Century"/>
          <w:i/>
          <w:iCs/>
          <w:sz w:val="20"/>
          <w:szCs w:val="20"/>
        </w:rPr>
        <w:t>NECI.</w:t>
      </w:r>
      <w:r w:rsidR="000735AD" w:rsidRPr="0044065E">
        <w:rPr>
          <w:rFonts w:ascii="Century" w:hAnsi="Century"/>
          <w:sz w:val="20"/>
          <w:szCs w:val="20"/>
        </w:rPr>
        <w:t xml:space="preserve"> I make no conclusion on this point save to say it is a possibility, and an unfortunate one at that</w:t>
      </w:r>
      <w:r w:rsidR="00D41EF1" w:rsidRPr="0044065E">
        <w:rPr>
          <w:rFonts w:ascii="Century" w:hAnsi="Century"/>
          <w:sz w:val="20"/>
          <w:szCs w:val="20"/>
        </w:rPr>
        <w:t>.</w:t>
      </w:r>
    </w:p>
  </w:footnote>
  <w:footnote w:id="118">
    <w:p w14:paraId="108B725A" w14:textId="4220F56B" w:rsidR="00317931" w:rsidRPr="0044065E" w:rsidRDefault="00317931" w:rsidP="0044065E">
      <w:pPr>
        <w:pStyle w:val="FootnoteText"/>
        <w:jc w:val="both"/>
        <w:rPr>
          <w:rFonts w:ascii="Century" w:hAnsi="Century"/>
          <w:lang w:val="en-GB"/>
        </w:rPr>
      </w:pPr>
      <w:r w:rsidRPr="0044065E">
        <w:rPr>
          <w:rStyle w:val="FootnoteReference"/>
          <w:rFonts w:ascii="Century" w:hAnsi="Century"/>
        </w:rPr>
        <w:footnoteRef/>
      </w:r>
      <w:r w:rsidR="00163241" w:rsidRPr="0044065E">
        <w:rPr>
          <w:rFonts w:ascii="Century" w:hAnsi="Century" w:cs="ñmí'EE˛"/>
          <w:lang w:val="en-GB"/>
        </w:rPr>
        <w:t xml:space="preserve"> If one adopts a positive rather than negative approach to constitutionalism. See NW Barber, Principles of Constitutionalism (Oxford University Press 2018)</w:t>
      </w:r>
      <w:r w:rsidR="009560BF">
        <w:rPr>
          <w:rFonts w:ascii="Century" w:hAnsi="Century" w:cs="ñmí'EE˛"/>
          <w:lang w:val="en-GB"/>
        </w:rPr>
        <w:t xml:space="preserve"> </w:t>
      </w:r>
      <w:r w:rsidR="00163241" w:rsidRPr="0044065E">
        <w:rPr>
          <w:rFonts w:ascii="Century" w:hAnsi="Century" w:cs="ñmí'EE˛"/>
          <w:lang w:val="en-GB"/>
        </w:rPr>
        <w:t>2-6.</w:t>
      </w:r>
    </w:p>
  </w:footnote>
  <w:footnote w:id="119">
    <w:p w14:paraId="047CDE0F" w14:textId="0573D926" w:rsidR="00FB1F80" w:rsidRPr="0044065E" w:rsidRDefault="00FB1F80" w:rsidP="0044065E">
      <w:pPr>
        <w:pStyle w:val="FootnoteText"/>
        <w:jc w:val="both"/>
        <w:rPr>
          <w:rFonts w:ascii="Century" w:hAnsi="Century"/>
          <w:i/>
          <w:iCs/>
          <w:lang w:val="en-GB"/>
        </w:rPr>
      </w:pPr>
      <w:r w:rsidRPr="0044065E">
        <w:rPr>
          <w:rStyle w:val="FootnoteReference"/>
          <w:rFonts w:ascii="Century" w:hAnsi="Century"/>
        </w:rPr>
        <w:footnoteRef/>
      </w:r>
      <w:r w:rsidRPr="0044065E">
        <w:rPr>
          <w:rFonts w:ascii="Century" w:hAnsi="Century"/>
        </w:rPr>
        <w:t xml:space="preserve"> </w:t>
      </w:r>
      <w:r w:rsidR="00163241" w:rsidRPr="0044065E">
        <w:rPr>
          <w:rFonts w:ascii="Century" w:hAnsi="Century"/>
        </w:rPr>
        <w:t xml:space="preserve">See Cass R Sunstein &amp; Adrian Vermeule, </w:t>
      </w:r>
      <w:r w:rsidR="00163241" w:rsidRPr="0044065E">
        <w:rPr>
          <w:rFonts w:ascii="Century" w:hAnsi="Century"/>
          <w:i/>
          <w:iCs/>
        </w:rPr>
        <w:t xml:space="preserve">Law &amp; Leviathan: Redeeming the Administrative State </w:t>
      </w:r>
      <w:r w:rsidR="00163241" w:rsidRPr="0044065E">
        <w:rPr>
          <w:rFonts w:ascii="Century" w:hAnsi="Century"/>
        </w:rPr>
        <w:t>(Harvard University Press 2020) 4-5.</w:t>
      </w:r>
    </w:p>
  </w:footnote>
  <w:footnote w:id="120">
    <w:p w14:paraId="1D81009C" w14:textId="62F16230" w:rsidR="00894373" w:rsidRPr="0044065E" w:rsidRDefault="00894373" w:rsidP="0044065E">
      <w:pPr>
        <w:pStyle w:val="FootnoteText"/>
        <w:jc w:val="both"/>
        <w:rPr>
          <w:rFonts w:ascii="Century" w:hAnsi="Century"/>
          <w:lang w:val="en-GB"/>
        </w:rPr>
      </w:pPr>
      <w:r w:rsidRPr="0044065E">
        <w:rPr>
          <w:rStyle w:val="FootnoteReference"/>
          <w:rFonts w:ascii="Century" w:hAnsi="Century"/>
        </w:rPr>
        <w:footnoteRef/>
      </w:r>
      <w:r w:rsidR="00663D8A" w:rsidRPr="0044065E">
        <w:rPr>
          <w:rFonts w:ascii="Century" w:hAnsi="Century"/>
        </w:rPr>
        <w:t xml:space="preserve"> Martin</w:t>
      </w:r>
      <w:r w:rsidRPr="0044065E">
        <w:rPr>
          <w:rFonts w:ascii="Century" w:hAnsi="Century"/>
        </w:rPr>
        <w:t xml:space="preserve"> Loughlin, </w:t>
      </w:r>
      <w:r w:rsidRPr="0044065E">
        <w:rPr>
          <w:rFonts w:ascii="Century" w:hAnsi="Century"/>
          <w:i/>
          <w:iCs/>
        </w:rPr>
        <w:t>Foundations of Public Law</w:t>
      </w:r>
      <w:r w:rsidRPr="0044065E">
        <w:rPr>
          <w:rFonts w:ascii="Century" w:hAnsi="Century"/>
        </w:rPr>
        <w:t xml:space="preserve"> </w:t>
      </w:r>
      <w:r w:rsidR="00663D8A" w:rsidRPr="0044065E">
        <w:rPr>
          <w:rFonts w:ascii="Century" w:hAnsi="Century"/>
          <w:lang w:val="en-GB"/>
        </w:rPr>
        <w:t>(</w:t>
      </w:r>
      <w:r w:rsidR="00687ED9">
        <w:rPr>
          <w:rFonts w:ascii="Century" w:hAnsi="Century"/>
          <w:lang w:val="en-GB"/>
        </w:rPr>
        <w:t xml:space="preserve">n </w:t>
      </w:r>
      <w:r w:rsidR="00687ED9" w:rsidRPr="0044065E">
        <w:rPr>
          <w:rFonts w:ascii="Century" w:hAnsi="Century"/>
          <w:lang w:val="en-GB"/>
        </w:rPr>
        <w:fldChar w:fldCharType="begin"/>
      </w:r>
      <w:r w:rsidR="00687ED9" w:rsidRPr="0044065E">
        <w:rPr>
          <w:rFonts w:ascii="Century" w:hAnsi="Century"/>
          <w:lang w:val="en-GB"/>
        </w:rPr>
        <w:instrText xml:space="preserve"> NOTEREF _Ref85376510 \h  \* MERGEFORMAT </w:instrText>
      </w:r>
      <w:r w:rsidR="00687ED9" w:rsidRPr="0044065E">
        <w:rPr>
          <w:rFonts w:ascii="Century" w:hAnsi="Century"/>
          <w:lang w:val="en-GB"/>
        </w:rPr>
      </w:r>
      <w:r w:rsidR="00687ED9" w:rsidRPr="0044065E">
        <w:rPr>
          <w:rFonts w:ascii="Century" w:hAnsi="Century"/>
          <w:lang w:val="en-GB"/>
        </w:rPr>
        <w:fldChar w:fldCharType="separate"/>
      </w:r>
      <w:r w:rsidR="00687ED9">
        <w:rPr>
          <w:rFonts w:ascii="Century" w:hAnsi="Century"/>
          <w:lang w:val="en-GB"/>
        </w:rPr>
        <w:t>98</w:t>
      </w:r>
      <w:r w:rsidR="00687ED9" w:rsidRPr="0044065E">
        <w:rPr>
          <w:rFonts w:ascii="Century" w:hAnsi="Century"/>
          <w:lang w:val="en-GB"/>
        </w:rPr>
        <w:fldChar w:fldCharType="end"/>
      </w:r>
      <w:r w:rsidR="00195203" w:rsidRPr="0044065E">
        <w:rPr>
          <w:rFonts w:ascii="Century" w:hAnsi="Century"/>
          <w:lang w:val="en-GB"/>
        </w:rPr>
        <w:t xml:space="preserve">) </w:t>
      </w:r>
      <w:r w:rsidRPr="0044065E">
        <w:rPr>
          <w:rFonts w:ascii="Century" w:hAnsi="Century"/>
          <w:lang w:val="en-GB"/>
        </w:rPr>
        <w:t>435.</w:t>
      </w:r>
    </w:p>
  </w:footnote>
  <w:footnote w:id="121">
    <w:p w14:paraId="1FE8C813" w14:textId="13DC48B2" w:rsidR="00492682" w:rsidRPr="0044065E" w:rsidRDefault="00492682"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663D8A" w:rsidRPr="0044065E">
        <w:rPr>
          <w:rFonts w:ascii="Century" w:hAnsi="Century"/>
        </w:rPr>
        <w:t xml:space="preserve">Adrian Vermeule, </w:t>
      </w:r>
      <w:r w:rsidR="00663D8A" w:rsidRPr="0044065E">
        <w:rPr>
          <w:rFonts w:ascii="Century" w:hAnsi="Century"/>
          <w:i/>
          <w:iCs/>
        </w:rPr>
        <w:t xml:space="preserve">Common Good Constitutionalism: Reclaiming the Classical Legal Tradition </w:t>
      </w:r>
      <w:r w:rsidR="00663D8A" w:rsidRPr="0044065E">
        <w:rPr>
          <w:rFonts w:ascii="Century" w:hAnsi="Century"/>
        </w:rPr>
        <w:t>(Forthcoming 2022, Polity).</w:t>
      </w:r>
    </w:p>
  </w:footnote>
  <w:footnote w:id="122">
    <w:p w14:paraId="2396EE2B" w14:textId="161F4A30" w:rsidR="00862831" w:rsidRPr="0044065E" w:rsidRDefault="00862831" w:rsidP="0044065E">
      <w:pPr>
        <w:pStyle w:val="FootnoteText"/>
        <w:jc w:val="both"/>
        <w:rPr>
          <w:rFonts w:ascii="Century" w:hAnsi="Century" w:cs="Times New Roman"/>
          <w:color w:val="000000" w:themeColor="text1"/>
          <w:lang w:val="en-GB"/>
        </w:rPr>
      </w:pPr>
      <w:r w:rsidRPr="0044065E">
        <w:rPr>
          <w:rStyle w:val="FootnoteReference"/>
          <w:rFonts w:ascii="Century" w:hAnsi="Century"/>
        </w:rPr>
        <w:footnoteRef/>
      </w:r>
      <w:r w:rsidRPr="0044065E">
        <w:rPr>
          <w:rFonts w:ascii="Century" w:hAnsi="Century"/>
        </w:rPr>
        <w:t xml:space="preserve"> </w:t>
      </w:r>
      <w:r w:rsidR="00663D8A" w:rsidRPr="0044065E">
        <w:rPr>
          <w:rFonts w:ascii="Century" w:hAnsi="Century" w:cs="Times New Roman"/>
          <w:color w:val="000000" w:themeColor="text1"/>
          <w:lang w:val="en-GB"/>
        </w:rPr>
        <w:t xml:space="preserve">Adrian Vermeule, </w:t>
      </w:r>
      <w:r w:rsidR="00663D8A" w:rsidRPr="0044065E">
        <w:rPr>
          <w:rFonts w:ascii="Century" w:hAnsi="Century" w:cs="Times New Roman"/>
          <w:i/>
          <w:iCs/>
          <w:color w:val="000000" w:themeColor="text1"/>
          <w:lang w:val="en-GB"/>
        </w:rPr>
        <w:t xml:space="preserve">Constitution of Risk </w:t>
      </w:r>
      <w:r w:rsidR="00663D8A" w:rsidRPr="0044065E">
        <w:rPr>
          <w:rFonts w:ascii="Century" w:hAnsi="Century" w:cs="Times New Roman"/>
          <w:color w:val="000000" w:themeColor="text1"/>
          <w:lang w:val="en-GB"/>
        </w:rPr>
        <w:t>(Cambridge University Press 2014)</w:t>
      </w:r>
      <w:r w:rsidR="005F4EEC" w:rsidRPr="0044065E">
        <w:rPr>
          <w:rFonts w:ascii="Century" w:hAnsi="Century" w:cs="Times New Roman"/>
          <w:color w:val="000000" w:themeColor="text1"/>
          <w:lang w:val="en-GB"/>
        </w:rPr>
        <w:t xml:space="preserve"> </w:t>
      </w:r>
      <w:r w:rsidR="00663D8A" w:rsidRPr="0044065E">
        <w:rPr>
          <w:rFonts w:ascii="Century" w:hAnsi="Century" w:cs="Times New Roman"/>
          <w:color w:val="000000" w:themeColor="text1"/>
          <w:lang w:val="en-GB"/>
        </w:rPr>
        <w:t>11.</w:t>
      </w:r>
    </w:p>
  </w:footnote>
  <w:footnote w:id="123">
    <w:p w14:paraId="466D0B98" w14:textId="44C93EDC" w:rsidR="00FD48BE" w:rsidRPr="0044065E" w:rsidRDefault="00FD48BE"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687ED9" w:rsidRPr="00687ED9">
        <w:rPr>
          <w:rFonts w:ascii="Century" w:hAnsi="Century"/>
        </w:rPr>
        <w:t xml:space="preserve">Dworkin, Laws Empire (n 93). Tom Hickey, ‘Judges </w:t>
      </w:r>
      <w:r w:rsidR="00687ED9">
        <w:rPr>
          <w:rFonts w:ascii="Century" w:hAnsi="Century"/>
        </w:rPr>
        <w:t>a</w:t>
      </w:r>
      <w:r w:rsidR="00687ED9" w:rsidRPr="00687ED9">
        <w:rPr>
          <w:rFonts w:ascii="Century" w:hAnsi="Century"/>
        </w:rPr>
        <w:t xml:space="preserve">nd </w:t>
      </w:r>
      <w:r w:rsidR="00687ED9">
        <w:rPr>
          <w:rFonts w:ascii="Century" w:hAnsi="Century"/>
        </w:rPr>
        <w:t>t</w:t>
      </w:r>
      <w:r w:rsidR="00687ED9" w:rsidRPr="00687ED9">
        <w:rPr>
          <w:rFonts w:ascii="Century" w:hAnsi="Century"/>
        </w:rPr>
        <w:t xml:space="preserve">he Idea </w:t>
      </w:r>
      <w:r w:rsidR="00687ED9">
        <w:rPr>
          <w:rFonts w:ascii="Century" w:hAnsi="Century"/>
        </w:rPr>
        <w:t>o</w:t>
      </w:r>
      <w:r w:rsidR="00687ED9" w:rsidRPr="00687ED9">
        <w:rPr>
          <w:rFonts w:ascii="Century" w:hAnsi="Century"/>
        </w:rPr>
        <w:t xml:space="preserve">f Principle </w:t>
      </w:r>
      <w:r w:rsidR="00687ED9">
        <w:rPr>
          <w:rFonts w:ascii="Century" w:hAnsi="Century"/>
        </w:rPr>
        <w:t>i</w:t>
      </w:r>
      <w:r w:rsidR="00687ED9" w:rsidRPr="00687ED9">
        <w:rPr>
          <w:rFonts w:ascii="Century" w:hAnsi="Century"/>
        </w:rPr>
        <w:t xml:space="preserve">n Constitutional Adjudication’ in Laura Cahillane, James Gallen &amp; Tom Hickey (eds), </w:t>
      </w:r>
      <w:r w:rsidR="00687ED9" w:rsidRPr="006D2B93">
        <w:rPr>
          <w:rFonts w:ascii="Century" w:hAnsi="Century"/>
          <w:i/>
          <w:iCs/>
        </w:rPr>
        <w:t>Judges, Politics and the Irish Constitution</w:t>
      </w:r>
      <w:r w:rsidR="00687ED9" w:rsidRPr="00687ED9">
        <w:rPr>
          <w:rFonts w:ascii="Century" w:hAnsi="Century"/>
        </w:rPr>
        <w:t xml:space="preserve"> (Manchester University Press 2017) 68-69; Finn Keyes, ’Our Herculean </w:t>
      </w:r>
      <w:proofErr w:type="gramStart"/>
      <w:r w:rsidR="00687ED9" w:rsidRPr="00687ED9">
        <w:rPr>
          <w:rFonts w:ascii="Century" w:hAnsi="Century"/>
        </w:rPr>
        <w:t>Judiciary?:</w:t>
      </w:r>
      <w:proofErr w:type="gramEnd"/>
      <w:r w:rsidR="00687ED9" w:rsidRPr="00687ED9">
        <w:rPr>
          <w:rFonts w:ascii="Century" w:hAnsi="Century"/>
        </w:rPr>
        <w:t xml:space="preserve"> Interpretivism and the Unenumerated Rights Doctrine’ (2020) 4 Irish Judicial Studies Journal 45, 50.</w:t>
      </w:r>
    </w:p>
  </w:footnote>
  <w:footnote w:id="124">
    <w:p w14:paraId="0C216AEC" w14:textId="60D3EE71" w:rsidR="00CD64D4" w:rsidRPr="0044065E" w:rsidRDefault="00CD64D4"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Eustace</w:t>
      </w:r>
      <w:r w:rsidR="0044065E" w:rsidRPr="0044065E">
        <w:rPr>
          <w:rFonts w:ascii="Century" w:hAnsi="Century"/>
          <w:lang w:val="en-GB"/>
        </w:rPr>
        <w:t xml:space="preserve">, </w:t>
      </w:r>
      <w:r w:rsidR="0005453D">
        <w:rPr>
          <w:rFonts w:ascii="Century" w:hAnsi="Century"/>
          <w:lang w:val="en-GB"/>
        </w:rPr>
        <w:t>‘</w:t>
      </w:r>
      <w:r w:rsidR="0044065E" w:rsidRPr="0044065E">
        <w:rPr>
          <w:rFonts w:ascii="Century" w:hAnsi="Century" w:cs="Times New Roman"/>
          <w:lang w:val="en-GB"/>
        </w:rPr>
        <w:t>The Electrical Contractors Case’</w:t>
      </w:r>
      <w:r w:rsidRPr="0044065E">
        <w:rPr>
          <w:rFonts w:ascii="Century" w:hAnsi="Century"/>
          <w:lang w:val="en-GB"/>
        </w:rPr>
        <w:t xml:space="preserve"> (</w:t>
      </w:r>
      <w:r w:rsidR="0005453D">
        <w:rPr>
          <w:rFonts w:ascii="Century" w:hAnsi="Century"/>
          <w:lang w:val="en-GB"/>
        </w:rPr>
        <w:t xml:space="preserve">n </w:t>
      </w:r>
      <w:r w:rsidR="0005453D" w:rsidRPr="0044065E">
        <w:rPr>
          <w:rFonts w:ascii="Century" w:hAnsi="Century"/>
          <w:lang w:val="en-GB"/>
        </w:rPr>
        <w:fldChar w:fldCharType="begin"/>
      </w:r>
      <w:r w:rsidR="0005453D" w:rsidRPr="0044065E">
        <w:rPr>
          <w:rFonts w:ascii="Century" w:hAnsi="Century"/>
          <w:lang w:val="en-GB"/>
        </w:rPr>
        <w:instrText xml:space="preserve"> NOTEREF _Ref85718089 \h  \* MERGEFORMAT </w:instrText>
      </w:r>
      <w:r w:rsidR="0005453D" w:rsidRPr="0044065E">
        <w:rPr>
          <w:rFonts w:ascii="Century" w:hAnsi="Century"/>
          <w:lang w:val="en-GB"/>
        </w:rPr>
      </w:r>
      <w:r w:rsidR="0005453D" w:rsidRPr="0044065E">
        <w:rPr>
          <w:rFonts w:ascii="Century" w:hAnsi="Century"/>
          <w:lang w:val="en-GB"/>
        </w:rPr>
        <w:fldChar w:fldCharType="separate"/>
      </w:r>
      <w:r w:rsidR="0005453D">
        <w:rPr>
          <w:rFonts w:ascii="Century" w:hAnsi="Century"/>
          <w:lang w:val="en-GB"/>
        </w:rPr>
        <w:t>12</w:t>
      </w:r>
      <w:r w:rsidR="0005453D" w:rsidRPr="0044065E">
        <w:rPr>
          <w:rFonts w:ascii="Century" w:hAnsi="Century"/>
          <w:lang w:val="en-GB"/>
        </w:rPr>
        <w:fldChar w:fldCharType="end"/>
      </w:r>
      <w:r w:rsidRPr="0044065E">
        <w:rPr>
          <w:rFonts w:ascii="Century" w:hAnsi="Century"/>
          <w:lang w:val="en-GB"/>
        </w:rPr>
        <w:t>) 15.</w:t>
      </w:r>
    </w:p>
  </w:footnote>
  <w:footnote w:id="125">
    <w:p w14:paraId="306D87E7" w14:textId="6DC1A012" w:rsidR="00B96ED6" w:rsidRPr="0044065E" w:rsidRDefault="00B96ED6"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3B77CB" w:rsidRPr="0044065E">
        <w:rPr>
          <w:rFonts w:ascii="Century" w:hAnsi="Century"/>
          <w:lang w:val="en-GB"/>
        </w:rPr>
        <w:t xml:space="preserve">Vermeule and Posner </w:t>
      </w:r>
      <w:r w:rsidR="00443FB4" w:rsidRPr="0044065E">
        <w:rPr>
          <w:rFonts w:ascii="Century" w:hAnsi="Century"/>
          <w:lang w:val="en-GB"/>
        </w:rPr>
        <w:t>(</w:t>
      </w:r>
      <w:r w:rsidR="007763A9">
        <w:rPr>
          <w:rFonts w:ascii="Century" w:hAnsi="Century"/>
          <w:lang w:val="en-GB"/>
        </w:rPr>
        <w:t xml:space="preserve">n </w:t>
      </w:r>
      <w:r w:rsidR="007763A9" w:rsidRPr="0044065E">
        <w:rPr>
          <w:rFonts w:ascii="Century" w:hAnsi="Century"/>
          <w:lang w:val="en-GB"/>
        </w:rPr>
        <w:fldChar w:fldCharType="begin"/>
      </w:r>
      <w:r w:rsidR="007763A9" w:rsidRPr="0044065E">
        <w:rPr>
          <w:rFonts w:ascii="Century" w:hAnsi="Century"/>
          <w:lang w:val="en-GB"/>
        </w:rPr>
        <w:instrText xml:space="preserve"> NOTEREF _Ref85113331 \h  \* MERGEFORMAT </w:instrText>
      </w:r>
      <w:r w:rsidR="007763A9" w:rsidRPr="0044065E">
        <w:rPr>
          <w:rFonts w:ascii="Century" w:hAnsi="Century"/>
          <w:lang w:val="en-GB"/>
        </w:rPr>
      </w:r>
      <w:r w:rsidR="007763A9" w:rsidRPr="0044065E">
        <w:rPr>
          <w:rFonts w:ascii="Century" w:hAnsi="Century"/>
          <w:lang w:val="en-GB"/>
        </w:rPr>
        <w:fldChar w:fldCharType="separate"/>
      </w:r>
      <w:r w:rsidR="007763A9">
        <w:rPr>
          <w:rFonts w:ascii="Century" w:hAnsi="Century"/>
          <w:lang w:val="en-GB"/>
        </w:rPr>
        <w:t>116</w:t>
      </w:r>
      <w:r w:rsidR="007763A9" w:rsidRPr="0044065E">
        <w:rPr>
          <w:rFonts w:ascii="Century" w:hAnsi="Century"/>
          <w:lang w:val="en-GB"/>
        </w:rPr>
        <w:fldChar w:fldCharType="end"/>
      </w:r>
      <w:r w:rsidR="00443FB4" w:rsidRPr="0044065E">
        <w:rPr>
          <w:rFonts w:ascii="Century" w:hAnsi="Century"/>
          <w:lang w:val="en-GB"/>
        </w:rPr>
        <w:t xml:space="preserve">) </w:t>
      </w:r>
      <w:r w:rsidRPr="0044065E">
        <w:rPr>
          <w:rFonts w:ascii="Century" w:hAnsi="Century"/>
          <w:lang w:val="en-GB"/>
        </w:rPr>
        <w:t xml:space="preserve">1748. </w:t>
      </w:r>
    </w:p>
  </w:footnote>
  <w:footnote w:id="126">
    <w:p w14:paraId="402748F7" w14:textId="421A4359" w:rsidR="00093ABA" w:rsidRPr="0044065E" w:rsidRDefault="00093ABA"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cs="Times New Roman"/>
          <w:lang w:val="en-GB"/>
        </w:rPr>
        <w:t xml:space="preserve">Laurentiu </w:t>
      </w:r>
      <w:r w:rsidR="00D115D3" w:rsidRPr="0044065E">
        <w:rPr>
          <w:rFonts w:ascii="Century" w:hAnsi="Century" w:cs="Times New Roman"/>
          <w:lang w:val="en-GB"/>
        </w:rPr>
        <w:t>(</w:t>
      </w:r>
      <w:r w:rsidR="007763A9">
        <w:rPr>
          <w:rFonts w:ascii="Century" w:hAnsi="Century" w:cs="Times New Roman"/>
          <w:lang w:val="en-GB"/>
        </w:rPr>
        <w:t xml:space="preserve">n </w:t>
      </w:r>
      <w:r w:rsidR="007763A9" w:rsidRPr="0044065E">
        <w:rPr>
          <w:rFonts w:ascii="Century" w:hAnsi="Century" w:cs="Times New Roman"/>
          <w:lang w:val="en-GB"/>
        </w:rPr>
        <w:fldChar w:fldCharType="begin"/>
      </w:r>
      <w:r w:rsidR="007763A9" w:rsidRPr="0044065E">
        <w:rPr>
          <w:rFonts w:ascii="Century" w:hAnsi="Century" w:cs="Times New Roman"/>
          <w:lang w:val="en-GB"/>
        </w:rPr>
        <w:instrText xml:space="preserve"> NOTEREF _Ref85194610 \h  \* MERGEFORMAT </w:instrText>
      </w:r>
      <w:r w:rsidR="007763A9" w:rsidRPr="0044065E">
        <w:rPr>
          <w:rFonts w:ascii="Century" w:hAnsi="Century" w:cs="Times New Roman"/>
          <w:lang w:val="en-GB"/>
        </w:rPr>
      </w:r>
      <w:r w:rsidR="007763A9" w:rsidRPr="0044065E">
        <w:rPr>
          <w:rFonts w:ascii="Century" w:hAnsi="Century" w:cs="Times New Roman"/>
          <w:lang w:val="en-GB"/>
        </w:rPr>
        <w:fldChar w:fldCharType="separate"/>
      </w:r>
      <w:r w:rsidR="007763A9">
        <w:rPr>
          <w:rFonts w:ascii="Century" w:hAnsi="Century" w:cs="Times New Roman"/>
          <w:lang w:val="en-GB"/>
        </w:rPr>
        <w:t>66</w:t>
      </w:r>
      <w:r w:rsidR="007763A9" w:rsidRPr="0044065E">
        <w:rPr>
          <w:rFonts w:ascii="Century" w:hAnsi="Century" w:cs="Times New Roman"/>
          <w:lang w:val="en-GB"/>
        </w:rPr>
        <w:fldChar w:fldCharType="end"/>
      </w:r>
      <w:r w:rsidR="00D115D3" w:rsidRPr="0044065E">
        <w:rPr>
          <w:rFonts w:ascii="Century" w:hAnsi="Century" w:cs="Times New Roman"/>
          <w:lang w:val="en-GB"/>
        </w:rPr>
        <w:t>)</w:t>
      </w:r>
      <w:r w:rsidRPr="0044065E">
        <w:rPr>
          <w:rFonts w:ascii="Century" w:hAnsi="Century" w:cs="Times New Roman"/>
          <w:lang w:val="en-GB"/>
        </w:rPr>
        <w:t xml:space="preserve"> </w:t>
      </w:r>
      <w:r w:rsidR="00422901">
        <w:rPr>
          <w:rFonts w:ascii="Century" w:hAnsi="Century" w:cs="Times New Roman"/>
          <w:lang w:val="en-GB"/>
        </w:rPr>
        <w:t xml:space="preserve">para </w:t>
      </w:r>
      <w:r w:rsidRPr="0044065E">
        <w:rPr>
          <w:rFonts w:ascii="Century" w:hAnsi="Century" w:cs="Times New Roman"/>
          <w:lang w:val="en-GB"/>
        </w:rPr>
        <w:t>83.</w:t>
      </w:r>
    </w:p>
  </w:footnote>
  <w:footnote w:id="127">
    <w:p w14:paraId="776407CA" w14:textId="548B3F5F" w:rsidR="00BE14AA" w:rsidRPr="0044065E" w:rsidRDefault="00BE14AA"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cs="Times New Roman"/>
          <w:lang w:val="en-GB"/>
        </w:rPr>
        <w:t>Bederev</w:t>
      </w:r>
      <w:r w:rsidR="00D115D3" w:rsidRPr="0044065E">
        <w:rPr>
          <w:rFonts w:ascii="Century" w:hAnsi="Century" w:cs="Times New Roman"/>
          <w:lang w:val="en-GB"/>
        </w:rPr>
        <w:t xml:space="preserve"> (n</w:t>
      </w:r>
      <w:r w:rsidR="006D1DC3">
        <w:rPr>
          <w:rFonts w:ascii="Century" w:hAnsi="Century" w:cs="Times New Roman"/>
          <w:lang w:val="en-GB"/>
        </w:rPr>
        <w:t xml:space="preserve"> </w:t>
      </w:r>
      <w:r w:rsidR="006D1DC3">
        <w:rPr>
          <w:rFonts w:ascii="Century" w:hAnsi="Century" w:cs="Times New Roman"/>
          <w:lang w:val="en-GB"/>
        </w:rPr>
        <w:fldChar w:fldCharType="begin"/>
      </w:r>
      <w:r w:rsidR="006D1DC3">
        <w:rPr>
          <w:rFonts w:ascii="Century" w:hAnsi="Century" w:cs="Times New Roman"/>
          <w:lang w:val="en-GB"/>
        </w:rPr>
        <w:instrText xml:space="preserve"> NOTEREF _Ref89693684 \h </w:instrText>
      </w:r>
      <w:r w:rsidR="006D1DC3">
        <w:rPr>
          <w:rFonts w:ascii="Century" w:hAnsi="Century" w:cs="Times New Roman"/>
          <w:lang w:val="en-GB"/>
        </w:rPr>
      </w:r>
      <w:r w:rsidR="006D1DC3">
        <w:rPr>
          <w:rFonts w:ascii="Century" w:hAnsi="Century" w:cs="Times New Roman"/>
          <w:lang w:val="en-GB"/>
        </w:rPr>
        <w:fldChar w:fldCharType="separate"/>
      </w:r>
      <w:r w:rsidR="006D1DC3">
        <w:rPr>
          <w:rFonts w:ascii="Century" w:hAnsi="Century" w:cs="Times New Roman"/>
          <w:lang w:val="en-GB"/>
        </w:rPr>
        <w:t>91</w:t>
      </w:r>
      <w:r w:rsidR="006D1DC3">
        <w:rPr>
          <w:rFonts w:ascii="Century" w:hAnsi="Century" w:cs="Times New Roman"/>
          <w:lang w:val="en-GB"/>
        </w:rPr>
        <w:fldChar w:fldCharType="end"/>
      </w:r>
      <w:r w:rsidR="00D115D3" w:rsidRPr="0044065E">
        <w:rPr>
          <w:rFonts w:ascii="Century" w:hAnsi="Century" w:cs="Times New Roman"/>
          <w:lang w:val="en-GB"/>
        </w:rPr>
        <w:t>)</w:t>
      </w:r>
      <w:r w:rsidR="00FC29D1" w:rsidRPr="0044065E">
        <w:rPr>
          <w:rFonts w:ascii="Century" w:hAnsi="Century" w:cs="Times New Roman"/>
          <w:lang w:val="en-GB"/>
        </w:rPr>
        <w:t>.</w:t>
      </w:r>
    </w:p>
  </w:footnote>
  <w:footnote w:id="128">
    <w:p w14:paraId="59552433" w14:textId="1607D55C" w:rsidR="00BB53AD" w:rsidRPr="0044065E" w:rsidRDefault="00BB53AD"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00422901">
        <w:rPr>
          <w:rFonts w:ascii="Century" w:hAnsi="Century"/>
        </w:rPr>
        <w:t xml:space="preserve">ibid, para </w:t>
      </w:r>
      <w:r w:rsidRPr="0044065E">
        <w:rPr>
          <w:rFonts w:ascii="Century" w:hAnsi="Century"/>
          <w:lang w:val="en-GB"/>
        </w:rPr>
        <w:t>61</w:t>
      </w:r>
      <w:r w:rsidR="00D72DB9" w:rsidRPr="0044065E">
        <w:rPr>
          <w:rFonts w:ascii="Century" w:hAnsi="Century"/>
          <w:lang w:val="en-GB"/>
        </w:rPr>
        <w:t>.</w:t>
      </w:r>
    </w:p>
  </w:footnote>
  <w:footnote w:id="129">
    <w:p w14:paraId="38712DFE" w14:textId="654BFF85" w:rsidR="00210296" w:rsidRPr="0044065E" w:rsidRDefault="00210296" w:rsidP="0044065E">
      <w:pPr>
        <w:jc w:val="both"/>
        <w:rPr>
          <w:rFonts w:ascii="Century" w:eastAsia="Times New Roman" w:hAnsi="Century" w:cs="Times New Roman"/>
          <w:sz w:val="20"/>
          <w:szCs w:val="20"/>
          <w:lang w:val="en-GB" w:eastAsia="en-GB"/>
        </w:rPr>
      </w:pPr>
      <w:r w:rsidRPr="0044065E">
        <w:rPr>
          <w:rStyle w:val="FootnoteReference"/>
          <w:rFonts w:ascii="Century" w:hAnsi="Century"/>
          <w:color w:val="000000" w:themeColor="text1"/>
          <w:sz w:val="20"/>
          <w:szCs w:val="20"/>
        </w:rPr>
        <w:footnoteRef/>
      </w:r>
      <w:r w:rsidRPr="0044065E">
        <w:rPr>
          <w:rFonts w:ascii="Century" w:hAnsi="Century"/>
          <w:color w:val="000000" w:themeColor="text1"/>
          <w:sz w:val="20"/>
          <w:szCs w:val="20"/>
        </w:rPr>
        <w:t xml:space="preserve"> See </w:t>
      </w:r>
      <w:r w:rsidRPr="0044065E">
        <w:rPr>
          <w:rFonts w:ascii="Century" w:eastAsia="Times New Roman" w:hAnsi="Century" w:cs="Times New Roman"/>
          <w:color w:val="000000" w:themeColor="text1"/>
          <w:sz w:val="20"/>
          <w:szCs w:val="20"/>
          <w:shd w:val="clear" w:color="auto" w:fill="FFFFFF"/>
          <w:lang w:val="en-GB" w:eastAsia="en-GB"/>
        </w:rPr>
        <w:t>David Prendergast, ‘The judicial role in protecting democracy from populism’ (2019) 20 </w:t>
      </w:r>
      <w:r w:rsidRPr="006D2B93">
        <w:rPr>
          <w:rFonts w:ascii="Century" w:eastAsia="Times New Roman" w:hAnsi="Century" w:cs="Times New Roman"/>
          <w:color w:val="000000" w:themeColor="text1"/>
          <w:sz w:val="20"/>
          <w:szCs w:val="20"/>
          <w:shd w:val="clear" w:color="auto" w:fill="FFFFFF"/>
          <w:lang w:val="en-GB" w:eastAsia="en-GB"/>
        </w:rPr>
        <w:t>German LJ</w:t>
      </w:r>
      <w:r w:rsidRPr="0044065E">
        <w:rPr>
          <w:rFonts w:ascii="Century" w:eastAsia="Times New Roman" w:hAnsi="Century" w:cs="Times New Roman"/>
          <w:color w:val="000000" w:themeColor="text1"/>
          <w:sz w:val="20"/>
          <w:szCs w:val="20"/>
          <w:shd w:val="clear" w:color="auto" w:fill="FFFFFF"/>
          <w:lang w:val="en-GB" w:eastAsia="en-GB"/>
        </w:rPr>
        <w:t xml:space="preserve"> 245.</w:t>
      </w:r>
    </w:p>
  </w:footnote>
  <w:footnote w:id="130">
    <w:p w14:paraId="50848271" w14:textId="7492F98D" w:rsidR="004716D0" w:rsidRPr="0044065E" w:rsidRDefault="004716D0" w:rsidP="0044065E">
      <w:pPr>
        <w:autoSpaceDE w:val="0"/>
        <w:autoSpaceDN w:val="0"/>
        <w:adjustRightInd w:val="0"/>
        <w:jc w:val="both"/>
        <w:rPr>
          <w:rFonts w:ascii="Century" w:hAnsi="Century" w:cs="Times New Roman"/>
          <w:sz w:val="20"/>
          <w:szCs w:val="20"/>
          <w:lang w:val="en-GB"/>
        </w:rPr>
      </w:pPr>
      <w:r w:rsidRPr="0044065E">
        <w:rPr>
          <w:rStyle w:val="FootnoteReference"/>
          <w:rFonts w:ascii="Century" w:hAnsi="Century"/>
          <w:sz w:val="20"/>
          <w:szCs w:val="20"/>
        </w:rPr>
        <w:footnoteRef/>
      </w:r>
      <w:r w:rsidRPr="0044065E">
        <w:rPr>
          <w:rFonts w:ascii="Century" w:hAnsi="Century"/>
          <w:sz w:val="20"/>
          <w:szCs w:val="20"/>
        </w:rPr>
        <w:t xml:space="preserve"> </w:t>
      </w:r>
      <w:r w:rsidR="00137C74" w:rsidRPr="0044065E">
        <w:rPr>
          <w:rFonts w:ascii="Century" w:hAnsi="Century"/>
          <w:sz w:val="20"/>
          <w:szCs w:val="20"/>
        </w:rPr>
        <w:t xml:space="preserve">See </w:t>
      </w:r>
      <w:r w:rsidRPr="0044065E">
        <w:rPr>
          <w:rFonts w:ascii="Century" w:hAnsi="Century" w:cs="Times New Roman"/>
          <w:sz w:val="20"/>
          <w:szCs w:val="20"/>
          <w:lang w:val="en-GB"/>
        </w:rPr>
        <w:t xml:space="preserve">Carl Schmitt, </w:t>
      </w:r>
      <w:r w:rsidRPr="0044065E">
        <w:rPr>
          <w:rFonts w:ascii="Century" w:hAnsi="Century" w:cs="Times New Roman"/>
          <w:i/>
          <w:iCs/>
          <w:sz w:val="20"/>
          <w:szCs w:val="20"/>
          <w:lang w:val="en-GB"/>
        </w:rPr>
        <w:t>The Crisis of Parliamentarianism</w:t>
      </w:r>
      <w:r w:rsidRPr="0044065E">
        <w:rPr>
          <w:rFonts w:ascii="Century" w:hAnsi="Century" w:cs="Times New Roman"/>
          <w:sz w:val="20"/>
          <w:szCs w:val="20"/>
          <w:lang w:val="en-GB"/>
        </w:rPr>
        <w:t xml:space="preserve"> (</w:t>
      </w:r>
      <w:proofErr w:type="spellStart"/>
      <w:r w:rsidR="00621B4C">
        <w:rPr>
          <w:rFonts w:ascii="Century" w:hAnsi="Century" w:cs="Times New Roman"/>
          <w:sz w:val="20"/>
          <w:szCs w:val="20"/>
          <w:lang w:val="en-GB"/>
        </w:rPr>
        <w:t>t</w:t>
      </w:r>
      <w:r w:rsidRPr="0044065E">
        <w:rPr>
          <w:rFonts w:ascii="Century" w:hAnsi="Century" w:cs="Times New Roman"/>
          <w:sz w:val="20"/>
          <w:szCs w:val="20"/>
          <w:lang w:val="en-GB"/>
        </w:rPr>
        <w:t>r</w:t>
      </w:r>
      <w:r w:rsidR="00731E95">
        <w:rPr>
          <w:rFonts w:ascii="Century" w:hAnsi="Century" w:cs="Times New Roman"/>
          <w:sz w:val="20"/>
          <w:szCs w:val="20"/>
          <w:lang w:val="en-GB"/>
        </w:rPr>
        <w:t>s</w:t>
      </w:r>
      <w:proofErr w:type="spellEnd"/>
      <w:r w:rsidR="00621B4C">
        <w:rPr>
          <w:rFonts w:ascii="Century" w:hAnsi="Century" w:cs="Times New Roman"/>
          <w:sz w:val="20"/>
          <w:szCs w:val="20"/>
          <w:lang w:val="en-GB"/>
        </w:rPr>
        <w:t xml:space="preserve"> </w:t>
      </w:r>
      <w:r w:rsidRPr="0044065E">
        <w:rPr>
          <w:rFonts w:ascii="Century" w:hAnsi="Century" w:cs="Times New Roman"/>
          <w:sz w:val="20"/>
          <w:szCs w:val="20"/>
          <w:lang w:val="en-GB"/>
        </w:rPr>
        <w:t>Ellen</w:t>
      </w:r>
      <w:r w:rsidR="00620ABE" w:rsidRPr="0044065E">
        <w:rPr>
          <w:rFonts w:ascii="Century" w:hAnsi="Century" w:cs="Times New Roman"/>
          <w:sz w:val="20"/>
          <w:szCs w:val="20"/>
          <w:lang w:val="en-GB"/>
        </w:rPr>
        <w:t xml:space="preserve"> </w:t>
      </w:r>
      <w:r w:rsidRPr="0044065E">
        <w:rPr>
          <w:rFonts w:ascii="Century" w:hAnsi="Century" w:cs="Times New Roman"/>
          <w:sz w:val="20"/>
          <w:szCs w:val="20"/>
          <w:lang w:val="en-GB"/>
        </w:rPr>
        <w:t xml:space="preserve">Kennedy, 2nd </w:t>
      </w:r>
      <w:proofErr w:type="spellStart"/>
      <w:r w:rsidRPr="0044065E">
        <w:rPr>
          <w:rFonts w:ascii="Century" w:hAnsi="Century" w:cs="Times New Roman"/>
          <w:sz w:val="20"/>
          <w:szCs w:val="20"/>
          <w:lang w:val="en-GB"/>
        </w:rPr>
        <w:t>edn</w:t>
      </w:r>
      <w:proofErr w:type="spellEnd"/>
      <w:r w:rsidR="00F62F07">
        <w:rPr>
          <w:rFonts w:ascii="Century" w:hAnsi="Century" w:cs="Times New Roman"/>
          <w:sz w:val="20"/>
          <w:szCs w:val="20"/>
          <w:lang w:val="en-GB"/>
        </w:rPr>
        <w:t>,</w:t>
      </w:r>
      <w:r w:rsidRPr="0044065E">
        <w:rPr>
          <w:rFonts w:ascii="Century" w:hAnsi="Century" w:cs="Times New Roman"/>
          <w:sz w:val="20"/>
          <w:szCs w:val="20"/>
          <w:lang w:val="en-GB"/>
        </w:rPr>
        <w:t xml:space="preserve"> MIT Press</w:t>
      </w:r>
      <w:r w:rsidR="00621B4C">
        <w:rPr>
          <w:rFonts w:ascii="Century" w:hAnsi="Century" w:cs="Times New Roman"/>
          <w:sz w:val="20"/>
          <w:szCs w:val="20"/>
          <w:lang w:val="en-GB"/>
        </w:rPr>
        <w:t xml:space="preserve"> </w:t>
      </w:r>
      <w:r w:rsidRPr="0044065E">
        <w:rPr>
          <w:rFonts w:ascii="Century" w:hAnsi="Century" w:cs="Times New Roman"/>
          <w:sz w:val="20"/>
          <w:szCs w:val="20"/>
          <w:lang w:val="en-GB"/>
        </w:rPr>
        <w:t>1988) 34</w:t>
      </w:r>
      <w:r w:rsidR="005D2150" w:rsidRPr="0044065E">
        <w:rPr>
          <w:rFonts w:ascii="Century" w:hAnsi="Century" w:cs="Times New Roman"/>
          <w:sz w:val="20"/>
          <w:szCs w:val="20"/>
          <w:lang w:val="en-GB"/>
        </w:rPr>
        <w:t>-35</w:t>
      </w:r>
      <w:r w:rsidRPr="0044065E">
        <w:rPr>
          <w:rFonts w:ascii="Century" w:hAnsi="Century" w:cs="Times New Roman"/>
          <w:sz w:val="20"/>
          <w:szCs w:val="20"/>
          <w:lang w:val="en-GB"/>
        </w:rPr>
        <w:t>.</w:t>
      </w:r>
    </w:p>
  </w:footnote>
  <w:footnote w:id="131">
    <w:p w14:paraId="1F0C8DA4" w14:textId="57FCBC05" w:rsidR="009864AC" w:rsidRPr="0044065E" w:rsidRDefault="009864AC"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Or, if the delegate is an independent</w:t>
      </w:r>
      <w:r w:rsidR="008045AF" w:rsidRPr="0044065E">
        <w:rPr>
          <w:rFonts w:ascii="Century" w:hAnsi="Century"/>
        </w:rPr>
        <w:t xml:space="preserve"> administrative</w:t>
      </w:r>
      <w:r w:rsidRPr="0044065E">
        <w:rPr>
          <w:rFonts w:ascii="Century" w:hAnsi="Century"/>
        </w:rPr>
        <w:t xml:space="preserve"> body</w:t>
      </w:r>
      <w:r w:rsidR="008045AF" w:rsidRPr="0044065E">
        <w:rPr>
          <w:rFonts w:ascii="Century" w:hAnsi="Century"/>
        </w:rPr>
        <w:t xml:space="preserve"> like the Data Protection Commissioner or Central Bank</w:t>
      </w:r>
      <w:r w:rsidRPr="0044065E">
        <w:rPr>
          <w:rFonts w:ascii="Century" w:hAnsi="Century"/>
        </w:rPr>
        <w:t>, the fact it typically requires ministerial consent to promulgate rules.</w:t>
      </w:r>
    </w:p>
  </w:footnote>
  <w:footnote w:id="132">
    <w:p w14:paraId="0FAB2875" w14:textId="56957180" w:rsidR="00400A8D" w:rsidRPr="0044065E" w:rsidRDefault="00400A8D"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cs="Times New Roman"/>
          <w:lang w:val="en-GB"/>
        </w:rPr>
        <w:t xml:space="preserve">Martin Loughlin, </w:t>
      </w:r>
      <w:r w:rsidRPr="0044065E">
        <w:rPr>
          <w:rFonts w:ascii="Century" w:hAnsi="Century" w:cs="Times New Roman"/>
          <w:i/>
          <w:iCs/>
          <w:lang w:val="en-GB"/>
        </w:rPr>
        <w:t>Foundations of Public Law</w:t>
      </w:r>
      <w:r w:rsidRPr="0044065E">
        <w:rPr>
          <w:rFonts w:ascii="Century" w:hAnsi="Century" w:cs="Times New Roman"/>
          <w:lang w:val="en-GB"/>
        </w:rPr>
        <w:t xml:space="preserve"> </w:t>
      </w:r>
      <w:r w:rsidR="001158F4" w:rsidRPr="0044065E">
        <w:rPr>
          <w:rFonts w:ascii="Century" w:hAnsi="Century" w:cs="Times New Roman"/>
          <w:lang w:val="en-GB"/>
        </w:rPr>
        <w:t>(</w:t>
      </w:r>
      <w:r w:rsidR="00621B4C">
        <w:rPr>
          <w:rFonts w:ascii="Century" w:hAnsi="Century" w:cs="Times New Roman"/>
          <w:lang w:val="en-GB"/>
        </w:rPr>
        <w:t xml:space="preserve">n </w:t>
      </w:r>
      <w:r w:rsidR="00621B4C" w:rsidRPr="0044065E">
        <w:rPr>
          <w:rFonts w:ascii="Century" w:hAnsi="Century" w:cs="Times New Roman"/>
          <w:lang w:val="en-GB"/>
        </w:rPr>
        <w:fldChar w:fldCharType="begin"/>
      </w:r>
      <w:r w:rsidR="00621B4C" w:rsidRPr="0044065E">
        <w:rPr>
          <w:rFonts w:ascii="Century" w:hAnsi="Century" w:cs="Times New Roman"/>
          <w:lang w:val="en-GB"/>
        </w:rPr>
        <w:instrText xml:space="preserve"> NOTEREF _Ref85376510 \h  \* MERGEFORMAT </w:instrText>
      </w:r>
      <w:r w:rsidR="00621B4C" w:rsidRPr="0044065E">
        <w:rPr>
          <w:rFonts w:ascii="Century" w:hAnsi="Century" w:cs="Times New Roman"/>
          <w:lang w:val="en-GB"/>
        </w:rPr>
      </w:r>
      <w:r w:rsidR="00621B4C" w:rsidRPr="0044065E">
        <w:rPr>
          <w:rFonts w:ascii="Century" w:hAnsi="Century" w:cs="Times New Roman"/>
          <w:lang w:val="en-GB"/>
        </w:rPr>
        <w:fldChar w:fldCharType="separate"/>
      </w:r>
      <w:r w:rsidR="00621B4C">
        <w:rPr>
          <w:rFonts w:ascii="Century" w:hAnsi="Century" w:cs="Times New Roman"/>
          <w:lang w:val="en-GB"/>
        </w:rPr>
        <w:t>98</w:t>
      </w:r>
      <w:r w:rsidR="00621B4C" w:rsidRPr="0044065E">
        <w:rPr>
          <w:rFonts w:ascii="Century" w:hAnsi="Century" w:cs="Times New Roman"/>
          <w:lang w:val="en-GB"/>
        </w:rPr>
        <w:fldChar w:fldCharType="end"/>
      </w:r>
      <w:r w:rsidR="001158F4" w:rsidRPr="0044065E">
        <w:rPr>
          <w:rFonts w:ascii="Century" w:hAnsi="Century" w:cs="Times New Roman"/>
          <w:lang w:val="en-GB"/>
        </w:rPr>
        <w:t xml:space="preserve">) </w:t>
      </w:r>
      <w:r w:rsidRPr="0044065E">
        <w:rPr>
          <w:rFonts w:ascii="Century" w:hAnsi="Century" w:cs="Times New Roman"/>
          <w:lang w:val="en-GB"/>
        </w:rPr>
        <w:t>266.</w:t>
      </w:r>
    </w:p>
  </w:footnote>
  <w:footnote w:id="133">
    <w:p w14:paraId="63407415" w14:textId="3585CCAF" w:rsidR="007C11F3" w:rsidRPr="0044065E" w:rsidRDefault="007C11F3" w:rsidP="0044065E">
      <w:pPr>
        <w:jc w:val="both"/>
        <w:rPr>
          <w:rFonts w:ascii="Century" w:eastAsia="Times New Roman" w:hAnsi="Century" w:cs="Times New Roman"/>
          <w:sz w:val="20"/>
          <w:szCs w:val="20"/>
          <w:lang w:val="en-GB" w:eastAsia="en-GB"/>
        </w:rPr>
      </w:pPr>
      <w:r w:rsidRPr="0044065E">
        <w:rPr>
          <w:rStyle w:val="FootnoteReference"/>
          <w:rFonts w:ascii="Century" w:hAnsi="Century"/>
          <w:sz w:val="20"/>
          <w:szCs w:val="20"/>
        </w:rPr>
        <w:footnoteRef/>
      </w:r>
      <w:r w:rsidRPr="0044065E">
        <w:rPr>
          <w:rFonts w:ascii="Century" w:hAnsi="Century"/>
          <w:sz w:val="20"/>
          <w:szCs w:val="20"/>
        </w:rPr>
        <w:t xml:space="preserve"> </w:t>
      </w:r>
      <w:r w:rsidRPr="0044065E">
        <w:rPr>
          <w:rFonts w:ascii="Century" w:hAnsi="Century"/>
          <w:sz w:val="20"/>
          <w:szCs w:val="20"/>
          <w:lang w:val="en-GB"/>
        </w:rPr>
        <w:t>Jerry Mashaw, ‘</w:t>
      </w:r>
      <w:proofErr w:type="spellStart"/>
      <w:r w:rsidRPr="0044065E">
        <w:rPr>
          <w:rFonts w:ascii="Century" w:hAnsi="Century"/>
          <w:sz w:val="20"/>
          <w:szCs w:val="20"/>
          <w:lang w:val="en-GB"/>
        </w:rPr>
        <w:t>Prodelegation</w:t>
      </w:r>
      <w:proofErr w:type="spellEnd"/>
      <w:r w:rsidR="000A2AF3" w:rsidRPr="0044065E">
        <w:rPr>
          <w:rFonts w:ascii="Century" w:hAnsi="Century"/>
          <w:sz w:val="20"/>
          <w:szCs w:val="20"/>
          <w:lang w:val="en-GB"/>
        </w:rPr>
        <w:t xml:space="preserve">’ </w:t>
      </w:r>
      <w:r w:rsidRPr="0044065E">
        <w:rPr>
          <w:rFonts w:ascii="Century" w:hAnsi="Century"/>
          <w:sz w:val="20"/>
          <w:szCs w:val="20"/>
          <w:lang w:val="en-GB"/>
        </w:rPr>
        <w:t xml:space="preserve">Why Administrators Should Make Political Decisions’ </w:t>
      </w:r>
      <w:r w:rsidR="00EA1A7F" w:rsidRPr="0044065E">
        <w:rPr>
          <w:rFonts w:ascii="Century" w:hAnsi="Century"/>
          <w:sz w:val="20"/>
          <w:szCs w:val="20"/>
          <w:lang w:val="en-GB"/>
        </w:rPr>
        <w:t xml:space="preserve">(1985) 1 </w:t>
      </w:r>
      <w:r w:rsidR="00EA1A7F" w:rsidRPr="006D2B93">
        <w:rPr>
          <w:rFonts w:ascii="Century" w:eastAsia="Times New Roman" w:hAnsi="Century" w:cs="Times New Roman"/>
          <w:color w:val="000000"/>
          <w:spacing w:val="-5"/>
          <w:sz w:val="20"/>
          <w:szCs w:val="20"/>
          <w:shd w:val="clear" w:color="auto" w:fill="FFFFFF"/>
          <w:lang w:val="en-GB" w:eastAsia="en-GB"/>
        </w:rPr>
        <w:t>Journal of Law, Economics, &amp; Organization</w:t>
      </w:r>
      <w:r w:rsidR="00EA1A7F" w:rsidRPr="0044065E">
        <w:rPr>
          <w:rFonts w:ascii="Century" w:eastAsia="Times New Roman" w:hAnsi="Century" w:cs="Times New Roman"/>
          <w:i/>
          <w:iCs/>
          <w:color w:val="000000"/>
          <w:spacing w:val="-5"/>
          <w:sz w:val="20"/>
          <w:szCs w:val="20"/>
          <w:shd w:val="clear" w:color="auto" w:fill="FFFFFF"/>
          <w:lang w:val="en-GB" w:eastAsia="en-GB"/>
        </w:rPr>
        <w:t xml:space="preserve"> </w:t>
      </w:r>
      <w:r w:rsidR="00EA1A7F" w:rsidRPr="0044065E">
        <w:rPr>
          <w:rFonts w:ascii="Century" w:eastAsia="Times New Roman" w:hAnsi="Century" w:cs="Times New Roman"/>
          <w:color w:val="000000"/>
          <w:spacing w:val="-5"/>
          <w:sz w:val="20"/>
          <w:szCs w:val="20"/>
          <w:shd w:val="clear" w:color="auto" w:fill="FFFFFF"/>
          <w:lang w:val="en-GB" w:eastAsia="en-GB"/>
        </w:rPr>
        <w:t xml:space="preserve">81, </w:t>
      </w:r>
      <w:r w:rsidRPr="0044065E">
        <w:rPr>
          <w:rFonts w:ascii="Century" w:hAnsi="Century"/>
          <w:sz w:val="20"/>
          <w:szCs w:val="20"/>
          <w:lang w:val="en-GB"/>
        </w:rPr>
        <w:t>95.</w:t>
      </w:r>
    </w:p>
  </w:footnote>
  <w:footnote w:id="134">
    <w:p w14:paraId="3AB22498" w14:textId="4E47D279" w:rsidR="007C11F3" w:rsidRPr="0044065E" w:rsidRDefault="007C11F3"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Jerry Mashaw, ‘Judicial Review of Administrative Action’</w:t>
      </w:r>
      <w:r w:rsidR="00EA1A7F" w:rsidRPr="0044065E">
        <w:rPr>
          <w:rFonts w:ascii="Century" w:hAnsi="Century"/>
          <w:lang w:val="en-GB"/>
        </w:rPr>
        <w:t xml:space="preserve"> (2005)</w:t>
      </w:r>
      <w:r w:rsidRPr="0044065E">
        <w:rPr>
          <w:rFonts w:ascii="Century" w:hAnsi="Century"/>
          <w:lang w:val="en-GB"/>
        </w:rPr>
        <w:t xml:space="preserve"> </w:t>
      </w:r>
      <w:proofErr w:type="spellStart"/>
      <w:r w:rsidR="00EA1A7F" w:rsidRPr="0044065E">
        <w:rPr>
          <w:rFonts w:ascii="Century" w:hAnsi="Century"/>
          <w:lang w:val="en-GB"/>
        </w:rPr>
        <w:t>Revista</w:t>
      </w:r>
      <w:proofErr w:type="spellEnd"/>
      <w:r w:rsidR="00EA1A7F" w:rsidRPr="0044065E">
        <w:rPr>
          <w:rFonts w:ascii="Century" w:hAnsi="Century"/>
          <w:lang w:val="en-GB"/>
        </w:rPr>
        <w:t xml:space="preserve"> </w:t>
      </w:r>
      <w:proofErr w:type="spellStart"/>
      <w:r w:rsidR="00EA1A7F" w:rsidRPr="0044065E">
        <w:rPr>
          <w:rFonts w:ascii="Century" w:hAnsi="Century"/>
          <w:lang w:val="en-GB"/>
        </w:rPr>
        <w:t>Direito</w:t>
      </w:r>
      <w:proofErr w:type="spellEnd"/>
      <w:r w:rsidR="00EA1A7F" w:rsidRPr="0044065E">
        <w:rPr>
          <w:rFonts w:ascii="Century" w:hAnsi="Century"/>
          <w:lang w:val="en-GB"/>
        </w:rPr>
        <w:t xml:space="preserve"> GV 153-170, </w:t>
      </w:r>
      <w:r w:rsidRPr="0044065E">
        <w:rPr>
          <w:rFonts w:ascii="Century" w:hAnsi="Century"/>
          <w:lang w:val="en-GB"/>
        </w:rPr>
        <w:t>155.</w:t>
      </w:r>
    </w:p>
  </w:footnote>
  <w:footnote w:id="135">
    <w:p w14:paraId="5F32A253" w14:textId="57394A8F" w:rsidR="007C11F3" w:rsidRPr="0044065E" w:rsidRDefault="007C11F3" w:rsidP="0044065E">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lang w:val="en-GB"/>
        </w:rPr>
        <w:t xml:space="preserve">Bruce Ackerman, ‘The New Separation of Powers’ </w:t>
      </w:r>
      <w:r w:rsidR="000C3733" w:rsidRPr="0044065E">
        <w:rPr>
          <w:rFonts w:ascii="Century" w:hAnsi="Century"/>
          <w:lang w:val="en-GB"/>
        </w:rPr>
        <w:t xml:space="preserve">(2000) 133 Harvard </w:t>
      </w:r>
      <w:r w:rsidR="00DC37D5">
        <w:rPr>
          <w:rFonts w:ascii="Century" w:hAnsi="Century"/>
          <w:lang w:val="en-GB"/>
        </w:rPr>
        <w:t>L Rev</w:t>
      </w:r>
      <w:r w:rsidR="000C3733" w:rsidRPr="0044065E">
        <w:rPr>
          <w:rFonts w:ascii="Century" w:hAnsi="Century"/>
          <w:lang w:val="en-GB"/>
        </w:rPr>
        <w:t xml:space="preserve"> 633, </w:t>
      </w:r>
      <w:r w:rsidRPr="0044065E">
        <w:rPr>
          <w:rFonts w:ascii="Century" w:hAnsi="Century"/>
          <w:lang w:val="en-GB"/>
        </w:rPr>
        <w:t>69</w:t>
      </w:r>
      <w:r w:rsidR="00CC26C9" w:rsidRPr="0044065E">
        <w:rPr>
          <w:rFonts w:ascii="Century" w:hAnsi="Century"/>
          <w:lang w:val="en-GB"/>
        </w:rPr>
        <w:t>6</w:t>
      </w:r>
      <w:r w:rsidR="00CF7B9E" w:rsidRPr="0044065E">
        <w:rPr>
          <w:rFonts w:ascii="Century" w:hAnsi="Century"/>
          <w:lang w:val="en-GB"/>
        </w:rPr>
        <w:t xml:space="preserve">; Cass Sunstein, ‘The Most Knowledgeable Branch’ (2016) 164 University of Pennsylvania </w:t>
      </w:r>
      <w:r w:rsidR="00DC37D5">
        <w:rPr>
          <w:rFonts w:ascii="Century" w:hAnsi="Century"/>
          <w:lang w:val="en-GB"/>
        </w:rPr>
        <w:t>L Rev</w:t>
      </w:r>
      <w:r w:rsidR="00CF7B9E" w:rsidRPr="0044065E">
        <w:rPr>
          <w:rFonts w:ascii="Century" w:hAnsi="Century"/>
          <w:lang w:val="en-GB"/>
        </w:rPr>
        <w:t xml:space="preserve"> 1607</w:t>
      </w:r>
      <w:r w:rsidR="00F45975" w:rsidRPr="0044065E">
        <w:rPr>
          <w:rFonts w:ascii="Century" w:hAnsi="Century"/>
          <w:lang w:val="en-GB"/>
        </w:rPr>
        <w:t>, 1647-1648.</w:t>
      </w:r>
    </w:p>
  </w:footnote>
  <w:footnote w:id="136">
    <w:p w14:paraId="348A3274" w14:textId="20F74F93" w:rsidR="007C11F3" w:rsidRPr="00B61261" w:rsidRDefault="007C11F3" w:rsidP="0044065E">
      <w:pPr>
        <w:pStyle w:val="FootnoteText"/>
        <w:jc w:val="both"/>
        <w:rPr>
          <w:rFonts w:ascii="Garamond" w:hAnsi="Garamond"/>
          <w:sz w:val="18"/>
          <w:szCs w:val="18"/>
          <w:lang w:val="en-GB"/>
        </w:rPr>
      </w:pPr>
      <w:r w:rsidRPr="0044065E">
        <w:rPr>
          <w:rStyle w:val="FootnoteReference"/>
          <w:rFonts w:ascii="Century" w:hAnsi="Century"/>
        </w:rPr>
        <w:footnoteRef/>
      </w:r>
      <w:r w:rsidRPr="0044065E">
        <w:rPr>
          <w:rFonts w:ascii="Century" w:hAnsi="Century"/>
        </w:rPr>
        <w:t xml:space="preserve"> Mark Pollack, ‘Leaning from the Americanists (Again): Theory and Method in the Study of Delegation’ </w:t>
      </w:r>
      <w:r w:rsidR="000C3733" w:rsidRPr="0044065E">
        <w:rPr>
          <w:rFonts w:ascii="Century" w:hAnsi="Century"/>
        </w:rPr>
        <w:t>(2002) 25 Western European Politics 200, 208-</w:t>
      </w:r>
      <w:r w:rsidRPr="0044065E">
        <w:rPr>
          <w:rFonts w:ascii="Century" w:hAnsi="Century"/>
        </w:rPr>
        <w:t>209.</w:t>
      </w:r>
    </w:p>
  </w:footnote>
  <w:footnote w:id="137">
    <w:p w14:paraId="001EF60E" w14:textId="166768BC" w:rsidR="00D47BA7" w:rsidRPr="0044065E" w:rsidRDefault="00D47BA7" w:rsidP="00D47BA7">
      <w:pPr>
        <w:pStyle w:val="FootnoteText"/>
        <w:jc w:val="both"/>
        <w:rPr>
          <w:rFonts w:ascii="Century" w:hAnsi="Century"/>
          <w:lang w:val="en-GB"/>
        </w:rPr>
      </w:pPr>
      <w:r w:rsidRPr="0044065E">
        <w:rPr>
          <w:rStyle w:val="FootnoteReference"/>
          <w:rFonts w:ascii="Century" w:hAnsi="Century"/>
        </w:rPr>
        <w:footnoteRef/>
      </w:r>
      <w:r w:rsidRPr="0044065E">
        <w:rPr>
          <w:rFonts w:ascii="Century" w:hAnsi="Century"/>
        </w:rPr>
        <w:t xml:space="preserve"> </w:t>
      </w:r>
      <w:r w:rsidRPr="0044065E">
        <w:rPr>
          <w:rFonts w:ascii="Century" w:hAnsi="Century"/>
          <w:i/>
          <w:iCs/>
        </w:rPr>
        <w:t xml:space="preserve">NECI </w:t>
      </w:r>
      <w:r w:rsidRPr="0044065E">
        <w:rPr>
          <w:rFonts w:ascii="Century" w:hAnsi="Century"/>
        </w:rPr>
        <w:t>(</w:t>
      </w:r>
      <w:r w:rsidR="00DC37D5">
        <w:rPr>
          <w:rFonts w:ascii="Century" w:hAnsi="Century"/>
        </w:rPr>
        <w:t xml:space="preserve">n </w:t>
      </w:r>
      <w:r w:rsidR="00DC37D5" w:rsidRPr="0044065E">
        <w:rPr>
          <w:rFonts w:ascii="Century" w:hAnsi="Century"/>
        </w:rPr>
        <w:fldChar w:fldCharType="begin"/>
      </w:r>
      <w:r w:rsidR="00DC37D5" w:rsidRPr="0044065E">
        <w:rPr>
          <w:rFonts w:ascii="Century" w:hAnsi="Century"/>
        </w:rPr>
        <w:instrText xml:space="preserve"> NOTEREF _Ref85194969 \h  \* MERGEFORMAT </w:instrText>
      </w:r>
      <w:r w:rsidR="00DC37D5" w:rsidRPr="0044065E">
        <w:rPr>
          <w:rFonts w:ascii="Century" w:hAnsi="Century"/>
        </w:rPr>
      </w:r>
      <w:r w:rsidR="00DC37D5" w:rsidRPr="0044065E">
        <w:rPr>
          <w:rFonts w:ascii="Century" w:hAnsi="Century"/>
        </w:rPr>
        <w:fldChar w:fldCharType="separate"/>
      </w:r>
      <w:r w:rsidR="00DC37D5">
        <w:rPr>
          <w:rFonts w:ascii="Century" w:hAnsi="Century"/>
        </w:rPr>
        <w:t>11</w:t>
      </w:r>
      <w:r w:rsidR="00DC37D5" w:rsidRPr="0044065E">
        <w:rPr>
          <w:rFonts w:ascii="Century" w:hAnsi="Century"/>
        </w:rPr>
        <w:fldChar w:fldCharType="end"/>
      </w:r>
      <w:r w:rsidRPr="0044065E">
        <w:rPr>
          <w:rFonts w:ascii="Century" w:hAnsi="Century"/>
        </w:rPr>
        <w:t xml:space="preserve">) </w:t>
      </w:r>
      <w:r w:rsidR="00DC37D5">
        <w:rPr>
          <w:rFonts w:ascii="Century" w:hAnsi="Century"/>
        </w:rPr>
        <w:t xml:space="preserve">para </w:t>
      </w:r>
      <w:r w:rsidRPr="0044065E">
        <w:rPr>
          <w:rFonts w:ascii="Century" w:hAnsi="Century"/>
        </w:rPr>
        <w:t>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5107" w14:textId="0E033F92" w:rsidR="00EE39B8" w:rsidRPr="00017C9E" w:rsidRDefault="00AF47D2">
    <w:pPr>
      <w:pStyle w:val="Header"/>
      <w:rPr>
        <w:lang w:val="en-GB"/>
      </w:rPr>
    </w:pPr>
    <w:r>
      <w:rPr>
        <w:lang w:val="en-GB"/>
      </w:rPr>
      <w:t xml:space="preserve">Pre-Publication </w:t>
    </w:r>
    <w:r w:rsidR="00017C9E">
      <w:rPr>
        <w:lang w:val="en-GB"/>
      </w:rPr>
      <w:t xml:space="preserve">Draft – Irish Supreme Court Review </w:t>
    </w:r>
    <w:r>
      <w:rPr>
        <w:lang w:val="en-GB"/>
      </w:rPr>
      <w:t>3 (Forthcoming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F2F"/>
    <w:multiLevelType w:val="hybridMultilevel"/>
    <w:tmpl w:val="7B98E3C4"/>
    <w:lvl w:ilvl="0" w:tplc="9606FA3E">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44667"/>
    <w:multiLevelType w:val="hybridMultilevel"/>
    <w:tmpl w:val="9E9EA2AE"/>
    <w:lvl w:ilvl="0" w:tplc="B9DCB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B3F91"/>
    <w:multiLevelType w:val="hybridMultilevel"/>
    <w:tmpl w:val="AC408E1C"/>
    <w:lvl w:ilvl="0" w:tplc="8E2240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F54C4"/>
    <w:multiLevelType w:val="hybridMultilevel"/>
    <w:tmpl w:val="F5FEBECC"/>
    <w:lvl w:ilvl="0" w:tplc="BF4EA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B8"/>
    <w:rsid w:val="00000239"/>
    <w:rsid w:val="00002942"/>
    <w:rsid w:val="000036DD"/>
    <w:rsid w:val="00005089"/>
    <w:rsid w:val="000122EA"/>
    <w:rsid w:val="00016ADD"/>
    <w:rsid w:val="00017C9E"/>
    <w:rsid w:val="00017EB5"/>
    <w:rsid w:val="00024A64"/>
    <w:rsid w:val="000272FA"/>
    <w:rsid w:val="00031B60"/>
    <w:rsid w:val="0003281C"/>
    <w:rsid w:val="00034566"/>
    <w:rsid w:val="00041C55"/>
    <w:rsid w:val="00043101"/>
    <w:rsid w:val="0004321B"/>
    <w:rsid w:val="000433D5"/>
    <w:rsid w:val="00044DD3"/>
    <w:rsid w:val="0004602A"/>
    <w:rsid w:val="00047C9A"/>
    <w:rsid w:val="00050B52"/>
    <w:rsid w:val="0005453D"/>
    <w:rsid w:val="00057013"/>
    <w:rsid w:val="00057AF2"/>
    <w:rsid w:val="0006084A"/>
    <w:rsid w:val="00060E86"/>
    <w:rsid w:val="000626EE"/>
    <w:rsid w:val="000650AD"/>
    <w:rsid w:val="00070834"/>
    <w:rsid w:val="00071614"/>
    <w:rsid w:val="00072A6F"/>
    <w:rsid w:val="000735AD"/>
    <w:rsid w:val="0007420A"/>
    <w:rsid w:val="00076D76"/>
    <w:rsid w:val="00081935"/>
    <w:rsid w:val="00083C0C"/>
    <w:rsid w:val="0008503B"/>
    <w:rsid w:val="00085C63"/>
    <w:rsid w:val="000905D6"/>
    <w:rsid w:val="0009248F"/>
    <w:rsid w:val="00093ABA"/>
    <w:rsid w:val="000A2AF3"/>
    <w:rsid w:val="000A2C6E"/>
    <w:rsid w:val="000A2FAE"/>
    <w:rsid w:val="000A3187"/>
    <w:rsid w:val="000A361D"/>
    <w:rsid w:val="000A57A6"/>
    <w:rsid w:val="000A5875"/>
    <w:rsid w:val="000A692F"/>
    <w:rsid w:val="000A69E7"/>
    <w:rsid w:val="000B2F10"/>
    <w:rsid w:val="000B6697"/>
    <w:rsid w:val="000C0B8C"/>
    <w:rsid w:val="000C1492"/>
    <w:rsid w:val="000C3733"/>
    <w:rsid w:val="000C398A"/>
    <w:rsid w:val="000C6423"/>
    <w:rsid w:val="000D2EC2"/>
    <w:rsid w:val="000D441C"/>
    <w:rsid w:val="000D4F51"/>
    <w:rsid w:val="000E0821"/>
    <w:rsid w:val="000E120B"/>
    <w:rsid w:val="000E27BE"/>
    <w:rsid w:val="000E3776"/>
    <w:rsid w:val="000F1F54"/>
    <w:rsid w:val="000F3226"/>
    <w:rsid w:val="000F6C12"/>
    <w:rsid w:val="00102BAD"/>
    <w:rsid w:val="00106356"/>
    <w:rsid w:val="0011298A"/>
    <w:rsid w:val="00112F18"/>
    <w:rsid w:val="001144C0"/>
    <w:rsid w:val="001156E1"/>
    <w:rsid w:val="001158F4"/>
    <w:rsid w:val="00115967"/>
    <w:rsid w:val="00116D6D"/>
    <w:rsid w:val="00116E93"/>
    <w:rsid w:val="00120620"/>
    <w:rsid w:val="00120EC7"/>
    <w:rsid w:val="00121E14"/>
    <w:rsid w:val="00121FF0"/>
    <w:rsid w:val="001223DA"/>
    <w:rsid w:val="00122D8A"/>
    <w:rsid w:val="00123AE3"/>
    <w:rsid w:val="00132C61"/>
    <w:rsid w:val="0013360C"/>
    <w:rsid w:val="00137C74"/>
    <w:rsid w:val="001432F2"/>
    <w:rsid w:val="0015770E"/>
    <w:rsid w:val="00161D7B"/>
    <w:rsid w:val="00163241"/>
    <w:rsid w:val="00163EAD"/>
    <w:rsid w:val="001649AC"/>
    <w:rsid w:val="00171C93"/>
    <w:rsid w:val="001752F3"/>
    <w:rsid w:val="00176D0B"/>
    <w:rsid w:val="00187247"/>
    <w:rsid w:val="00187268"/>
    <w:rsid w:val="00187D6F"/>
    <w:rsid w:val="00191C52"/>
    <w:rsid w:val="0019250D"/>
    <w:rsid w:val="00193CA4"/>
    <w:rsid w:val="001943DF"/>
    <w:rsid w:val="00194457"/>
    <w:rsid w:val="0019463D"/>
    <w:rsid w:val="00194B8E"/>
    <w:rsid w:val="00195203"/>
    <w:rsid w:val="001A2534"/>
    <w:rsid w:val="001B135C"/>
    <w:rsid w:val="001B2971"/>
    <w:rsid w:val="001B30A2"/>
    <w:rsid w:val="001B388A"/>
    <w:rsid w:val="001B4528"/>
    <w:rsid w:val="001B77F2"/>
    <w:rsid w:val="001C1DC9"/>
    <w:rsid w:val="001C4403"/>
    <w:rsid w:val="001C6CCE"/>
    <w:rsid w:val="001D1AA9"/>
    <w:rsid w:val="001D7576"/>
    <w:rsid w:val="001E1780"/>
    <w:rsid w:val="001E7C41"/>
    <w:rsid w:val="001F33CF"/>
    <w:rsid w:val="001F427A"/>
    <w:rsid w:val="001F4CD8"/>
    <w:rsid w:val="002019DC"/>
    <w:rsid w:val="002024B2"/>
    <w:rsid w:val="002033AC"/>
    <w:rsid w:val="00210296"/>
    <w:rsid w:val="00212394"/>
    <w:rsid w:val="002153FF"/>
    <w:rsid w:val="00216FC2"/>
    <w:rsid w:val="00223A59"/>
    <w:rsid w:val="002263E2"/>
    <w:rsid w:val="00227246"/>
    <w:rsid w:val="00227443"/>
    <w:rsid w:val="00233A50"/>
    <w:rsid w:val="00233A8D"/>
    <w:rsid w:val="00240E02"/>
    <w:rsid w:val="002432DC"/>
    <w:rsid w:val="00251447"/>
    <w:rsid w:val="0025273F"/>
    <w:rsid w:val="00252FC7"/>
    <w:rsid w:val="00255AF5"/>
    <w:rsid w:val="00257B9F"/>
    <w:rsid w:val="00265392"/>
    <w:rsid w:val="002659F9"/>
    <w:rsid w:val="00265BB3"/>
    <w:rsid w:val="00266B8C"/>
    <w:rsid w:val="00270A0C"/>
    <w:rsid w:val="00273C1D"/>
    <w:rsid w:val="00276403"/>
    <w:rsid w:val="00277DC6"/>
    <w:rsid w:val="00282EB1"/>
    <w:rsid w:val="00282F5B"/>
    <w:rsid w:val="00286C12"/>
    <w:rsid w:val="00290C5F"/>
    <w:rsid w:val="002931B2"/>
    <w:rsid w:val="002A54E4"/>
    <w:rsid w:val="002A57CC"/>
    <w:rsid w:val="002B40FC"/>
    <w:rsid w:val="002B6774"/>
    <w:rsid w:val="002C3C24"/>
    <w:rsid w:val="002C3CC9"/>
    <w:rsid w:val="002C7838"/>
    <w:rsid w:val="002C7EF8"/>
    <w:rsid w:val="002D0009"/>
    <w:rsid w:val="002D469F"/>
    <w:rsid w:val="002E3B7A"/>
    <w:rsid w:val="002E3E96"/>
    <w:rsid w:val="002F0329"/>
    <w:rsid w:val="002F1589"/>
    <w:rsid w:val="002F1C65"/>
    <w:rsid w:val="002F2352"/>
    <w:rsid w:val="002F34A6"/>
    <w:rsid w:val="002F35C9"/>
    <w:rsid w:val="002F48A3"/>
    <w:rsid w:val="002F50C5"/>
    <w:rsid w:val="00304FD0"/>
    <w:rsid w:val="00305233"/>
    <w:rsid w:val="00313621"/>
    <w:rsid w:val="00314483"/>
    <w:rsid w:val="0031463C"/>
    <w:rsid w:val="0031691A"/>
    <w:rsid w:val="00317371"/>
    <w:rsid w:val="00317931"/>
    <w:rsid w:val="003205C2"/>
    <w:rsid w:val="003206C5"/>
    <w:rsid w:val="0032175A"/>
    <w:rsid w:val="00321E03"/>
    <w:rsid w:val="00325D1F"/>
    <w:rsid w:val="003260E7"/>
    <w:rsid w:val="00326FF0"/>
    <w:rsid w:val="00327562"/>
    <w:rsid w:val="00331511"/>
    <w:rsid w:val="00331E01"/>
    <w:rsid w:val="00340B16"/>
    <w:rsid w:val="00342C7A"/>
    <w:rsid w:val="003450E4"/>
    <w:rsid w:val="00345FB5"/>
    <w:rsid w:val="00355174"/>
    <w:rsid w:val="00355C36"/>
    <w:rsid w:val="00357B56"/>
    <w:rsid w:val="0036007A"/>
    <w:rsid w:val="00365BA5"/>
    <w:rsid w:val="00370DD8"/>
    <w:rsid w:val="00381698"/>
    <w:rsid w:val="00381B09"/>
    <w:rsid w:val="00382F52"/>
    <w:rsid w:val="00390195"/>
    <w:rsid w:val="00391972"/>
    <w:rsid w:val="003930F6"/>
    <w:rsid w:val="00397C06"/>
    <w:rsid w:val="003A6613"/>
    <w:rsid w:val="003B02B1"/>
    <w:rsid w:val="003B1342"/>
    <w:rsid w:val="003B1421"/>
    <w:rsid w:val="003B2B7A"/>
    <w:rsid w:val="003B3EF1"/>
    <w:rsid w:val="003B5932"/>
    <w:rsid w:val="003B6184"/>
    <w:rsid w:val="003B77CB"/>
    <w:rsid w:val="003B78C8"/>
    <w:rsid w:val="003C0010"/>
    <w:rsid w:val="003C334A"/>
    <w:rsid w:val="003C45CA"/>
    <w:rsid w:val="003D14CE"/>
    <w:rsid w:val="003D7463"/>
    <w:rsid w:val="003E0F18"/>
    <w:rsid w:val="003E1AC6"/>
    <w:rsid w:val="003E5F73"/>
    <w:rsid w:val="003E723E"/>
    <w:rsid w:val="003F1B85"/>
    <w:rsid w:val="003F441F"/>
    <w:rsid w:val="003F5A26"/>
    <w:rsid w:val="003F6FC3"/>
    <w:rsid w:val="00400A8D"/>
    <w:rsid w:val="00411404"/>
    <w:rsid w:val="00413AE1"/>
    <w:rsid w:val="0041478B"/>
    <w:rsid w:val="00416B32"/>
    <w:rsid w:val="00422040"/>
    <w:rsid w:val="00422399"/>
    <w:rsid w:val="00422901"/>
    <w:rsid w:val="00425311"/>
    <w:rsid w:val="0042587A"/>
    <w:rsid w:val="004304D3"/>
    <w:rsid w:val="0044065E"/>
    <w:rsid w:val="00443FB4"/>
    <w:rsid w:val="00446B73"/>
    <w:rsid w:val="004476C6"/>
    <w:rsid w:val="00450CB7"/>
    <w:rsid w:val="00460069"/>
    <w:rsid w:val="004617EA"/>
    <w:rsid w:val="00461CAF"/>
    <w:rsid w:val="00463056"/>
    <w:rsid w:val="00465838"/>
    <w:rsid w:val="00470BB0"/>
    <w:rsid w:val="004716D0"/>
    <w:rsid w:val="00472997"/>
    <w:rsid w:val="00473D09"/>
    <w:rsid w:val="004742E1"/>
    <w:rsid w:val="00477CC8"/>
    <w:rsid w:val="00481D7C"/>
    <w:rsid w:val="004820D6"/>
    <w:rsid w:val="00482B92"/>
    <w:rsid w:val="00482E01"/>
    <w:rsid w:val="00484272"/>
    <w:rsid w:val="004872D1"/>
    <w:rsid w:val="0049079A"/>
    <w:rsid w:val="00491A88"/>
    <w:rsid w:val="00492682"/>
    <w:rsid w:val="00494B04"/>
    <w:rsid w:val="004963D4"/>
    <w:rsid w:val="00497E44"/>
    <w:rsid w:val="004A54AD"/>
    <w:rsid w:val="004B1BD9"/>
    <w:rsid w:val="004B1E3C"/>
    <w:rsid w:val="004B723F"/>
    <w:rsid w:val="004C33FA"/>
    <w:rsid w:val="004C4E94"/>
    <w:rsid w:val="004C6516"/>
    <w:rsid w:val="004D14D0"/>
    <w:rsid w:val="004D378A"/>
    <w:rsid w:val="004D768E"/>
    <w:rsid w:val="004E008B"/>
    <w:rsid w:val="004E189A"/>
    <w:rsid w:val="004E43D0"/>
    <w:rsid w:val="004E63E1"/>
    <w:rsid w:val="004F4569"/>
    <w:rsid w:val="004F6842"/>
    <w:rsid w:val="00507360"/>
    <w:rsid w:val="00510549"/>
    <w:rsid w:val="005105D1"/>
    <w:rsid w:val="00511782"/>
    <w:rsid w:val="00515AC2"/>
    <w:rsid w:val="00515B5B"/>
    <w:rsid w:val="00515E20"/>
    <w:rsid w:val="00516D04"/>
    <w:rsid w:val="0052766B"/>
    <w:rsid w:val="00547EC4"/>
    <w:rsid w:val="005505F4"/>
    <w:rsid w:val="00550A39"/>
    <w:rsid w:val="005510E4"/>
    <w:rsid w:val="00556A51"/>
    <w:rsid w:val="0056316E"/>
    <w:rsid w:val="0056563B"/>
    <w:rsid w:val="00566039"/>
    <w:rsid w:val="00573658"/>
    <w:rsid w:val="00576418"/>
    <w:rsid w:val="005939E8"/>
    <w:rsid w:val="005948B9"/>
    <w:rsid w:val="00595AED"/>
    <w:rsid w:val="00597DE6"/>
    <w:rsid w:val="005A60BA"/>
    <w:rsid w:val="005A68CA"/>
    <w:rsid w:val="005B35E5"/>
    <w:rsid w:val="005B54DD"/>
    <w:rsid w:val="005B787A"/>
    <w:rsid w:val="005D1731"/>
    <w:rsid w:val="005D2150"/>
    <w:rsid w:val="005D4E93"/>
    <w:rsid w:val="005D54D2"/>
    <w:rsid w:val="005E07AA"/>
    <w:rsid w:val="005E0A7B"/>
    <w:rsid w:val="005E78B9"/>
    <w:rsid w:val="005E7AFD"/>
    <w:rsid w:val="005F0C22"/>
    <w:rsid w:val="005F29EB"/>
    <w:rsid w:val="005F2C0A"/>
    <w:rsid w:val="005F4EEC"/>
    <w:rsid w:val="005F5C95"/>
    <w:rsid w:val="0060131F"/>
    <w:rsid w:val="006016C1"/>
    <w:rsid w:val="00601EE9"/>
    <w:rsid w:val="006022BE"/>
    <w:rsid w:val="006110FE"/>
    <w:rsid w:val="0061348D"/>
    <w:rsid w:val="00616754"/>
    <w:rsid w:val="00617301"/>
    <w:rsid w:val="00620ABE"/>
    <w:rsid w:val="00621B4C"/>
    <w:rsid w:val="00623E82"/>
    <w:rsid w:val="0062756F"/>
    <w:rsid w:val="00627633"/>
    <w:rsid w:val="00627BE8"/>
    <w:rsid w:val="006330D4"/>
    <w:rsid w:val="00634C18"/>
    <w:rsid w:val="00640C7C"/>
    <w:rsid w:val="0064102D"/>
    <w:rsid w:val="00642E47"/>
    <w:rsid w:val="00644609"/>
    <w:rsid w:val="00646763"/>
    <w:rsid w:val="00652CA8"/>
    <w:rsid w:val="00653729"/>
    <w:rsid w:val="00654A9F"/>
    <w:rsid w:val="00655143"/>
    <w:rsid w:val="0065791C"/>
    <w:rsid w:val="00657DC0"/>
    <w:rsid w:val="0066344A"/>
    <w:rsid w:val="006639F2"/>
    <w:rsid w:val="00663D8A"/>
    <w:rsid w:val="0066409C"/>
    <w:rsid w:val="0066492C"/>
    <w:rsid w:val="006726B1"/>
    <w:rsid w:val="00672D02"/>
    <w:rsid w:val="00673AD8"/>
    <w:rsid w:val="00674354"/>
    <w:rsid w:val="00676312"/>
    <w:rsid w:val="006835B5"/>
    <w:rsid w:val="00683CB5"/>
    <w:rsid w:val="00683E4A"/>
    <w:rsid w:val="00687B32"/>
    <w:rsid w:val="00687ED9"/>
    <w:rsid w:val="0069089B"/>
    <w:rsid w:val="0069252A"/>
    <w:rsid w:val="0069326C"/>
    <w:rsid w:val="00693DD2"/>
    <w:rsid w:val="00694945"/>
    <w:rsid w:val="00694FD1"/>
    <w:rsid w:val="0069572D"/>
    <w:rsid w:val="006A04A5"/>
    <w:rsid w:val="006A1F93"/>
    <w:rsid w:val="006A75D9"/>
    <w:rsid w:val="006B3C43"/>
    <w:rsid w:val="006B58C6"/>
    <w:rsid w:val="006B6A52"/>
    <w:rsid w:val="006C05BD"/>
    <w:rsid w:val="006C3BC2"/>
    <w:rsid w:val="006C63DA"/>
    <w:rsid w:val="006C6C01"/>
    <w:rsid w:val="006D1DC3"/>
    <w:rsid w:val="006D2B93"/>
    <w:rsid w:val="006D2D10"/>
    <w:rsid w:val="006D44D6"/>
    <w:rsid w:val="006D4CDA"/>
    <w:rsid w:val="006E4334"/>
    <w:rsid w:val="006F3422"/>
    <w:rsid w:val="006F6C18"/>
    <w:rsid w:val="0070092A"/>
    <w:rsid w:val="007028F0"/>
    <w:rsid w:val="007040DF"/>
    <w:rsid w:val="00716481"/>
    <w:rsid w:val="00717F34"/>
    <w:rsid w:val="00721945"/>
    <w:rsid w:val="00725B74"/>
    <w:rsid w:val="00726370"/>
    <w:rsid w:val="0073074C"/>
    <w:rsid w:val="00731E95"/>
    <w:rsid w:val="00732426"/>
    <w:rsid w:val="00740551"/>
    <w:rsid w:val="007406F6"/>
    <w:rsid w:val="007430CA"/>
    <w:rsid w:val="0075610E"/>
    <w:rsid w:val="00757333"/>
    <w:rsid w:val="007600CC"/>
    <w:rsid w:val="00760413"/>
    <w:rsid w:val="0076688E"/>
    <w:rsid w:val="00770CBA"/>
    <w:rsid w:val="007720A4"/>
    <w:rsid w:val="00775C9D"/>
    <w:rsid w:val="007763A9"/>
    <w:rsid w:val="007842AA"/>
    <w:rsid w:val="00784CF3"/>
    <w:rsid w:val="007854E9"/>
    <w:rsid w:val="00793E75"/>
    <w:rsid w:val="00794930"/>
    <w:rsid w:val="007A456B"/>
    <w:rsid w:val="007A557E"/>
    <w:rsid w:val="007B0661"/>
    <w:rsid w:val="007B27CF"/>
    <w:rsid w:val="007B4D6C"/>
    <w:rsid w:val="007B5F23"/>
    <w:rsid w:val="007B65F7"/>
    <w:rsid w:val="007C11F3"/>
    <w:rsid w:val="007C23ED"/>
    <w:rsid w:val="007D0369"/>
    <w:rsid w:val="007D09DD"/>
    <w:rsid w:val="007D4865"/>
    <w:rsid w:val="007D6B94"/>
    <w:rsid w:val="007E2B3C"/>
    <w:rsid w:val="007E538C"/>
    <w:rsid w:val="007E76C9"/>
    <w:rsid w:val="007F241B"/>
    <w:rsid w:val="007F3AFC"/>
    <w:rsid w:val="007F53A2"/>
    <w:rsid w:val="007F621D"/>
    <w:rsid w:val="007F656D"/>
    <w:rsid w:val="008024F9"/>
    <w:rsid w:val="00802FA9"/>
    <w:rsid w:val="00803119"/>
    <w:rsid w:val="008031B8"/>
    <w:rsid w:val="008045AF"/>
    <w:rsid w:val="0080546A"/>
    <w:rsid w:val="00814EEE"/>
    <w:rsid w:val="00820783"/>
    <w:rsid w:val="00825F43"/>
    <w:rsid w:val="00826E56"/>
    <w:rsid w:val="00827395"/>
    <w:rsid w:val="008308FC"/>
    <w:rsid w:val="0083146E"/>
    <w:rsid w:val="008317B9"/>
    <w:rsid w:val="00832FB2"/>
    <w:rsid w:val="00837E10"/>
    <w:rsid w:val="008413FB"/>
    <w:rsid w:val="00844C6C"/>
    <w:rsid w:val="008536CA"/>
    <w:rsid w:val="00862831"/>
    <w:rsid w:val="00864DBA"/>
    <w:rsid w:val="00865D9B"/>
    <w:rsid w:val="00866FC3"/>
    <w:rsid w:val="008726AF"/>
    <w:rsid w:val="00880643"/>
    <w:rsid w:val="00891AB2"/>
    <w:rsid w:val="0089330C"/>
    <w:rsid w:val="00893E21"/>
    <w:rsid w:val="00894373"/>
    <w:rsid w:val="008A02A7"/>
    <w:rsid w:val="008A111F"/>
    <w:rsid w:val="008A2CFD"/>
    <w:rsid w:val="008A449D"/>
    <w:rsid w:val="008A626A"/>
    <w:rsid w:val="008A6CDA"/>
    <w:rsid w:val="008B332A"/>
    <w:rsid w:val="008B3CC8"/>
    <w:rsid w:val="008B54A5"/>
    <w:rsid w:val="008B586E"/>
    <w:rsid w:val="008B5D81"/>
    <w:rsid w:val="008B7DA8"/>
    <w:rsid w:val="008C1C92"/>
    <w:rsid w:val="008C3CD9"/>
    <w:rsid w:val="008C635C"/>
    <w:rsid w:val="008C66C0"/>
    <w:rsid w:val="008C6EF8"/>
    <w:rsid w:val="008D1483"/>
    <w:rsid w:val="008D3D3B"/>
    <w:rsid w:val="008D43B3"/>
    <w:rsid w:val="008D7A84"/>
    <w:rsid w:val="008E01E0"/>
    <w:rsid w:val="008E539F"/>
    <w:rsid w:val="008E7B03"/>
    <w:rsid w:val="008F027B"/>
    <w:rsid w:val="008F459A"/>
    <w:rsid w:val="0090278A"/>
    <w:rsid w:val="00902A4F"/>
    <w:rsid w:val="00903CAF"/>
    <w:rsid w:val="00910F44"/>
    <w:rsid w:val="00913CE0"/>
    <w:rsid w:val="009165D8"/>
    <w:rsid w:val="00916709"/>
    <w:rsid w:val="00921162"/>
    <w:rsid w:val="00922648"/>
    <w:rsid w:val="00924E3B"/>
    <w:rsid w:val="0092785F"/>
    <w:rsid w:val="009303E7"/>
    <w:rsid w:val="00935EF5"/>
    <w:rsid w:val="0093693B"/>
    <w:rsid w:val="00936ADA"/>
    <w:rsid w:val="00940D6D"/>
    <w:rsid w:val="00943A4E"/>
    <w:rsid w:val="00943F35"/>
    <w:rsid w:val="009447EA"/>
    <w:rsid w:val="0094736D"/>
    <w:rsid w:val="0095039A"/>
    <w:rsid w:val="009514AF"/>
    <w:rsid w:val="00953139"/>
    <w:rsid w:val="009560BF"/>
    <w:rsid w:val="00956ADC"/>
    <w:rsid w:val="00966023"/>
    <w:rsid w:val="00975520"/>
    <w:rsid w:val="0098008C"/>
    <w:rsid w:val="00985CF0"/>
    <w:rsid w:val="009864AC"/>
    <w:rsid w:val="009911C3"/>
    <w:rsid w:val="00995884"/>
    <w:rsid w:val="009A25D7"/>
    <w:rsid w:val="009A3B5B"/>
    <w:rsid w:val="009A52B8"/>
    <w:rsid w:val="009A52C4"/>
    <w:rsid w:val="009B6CD7"/>
    <w:rsid w:val="009C0661"/>
    <w:rsid w:val="009C420D"/>
    <w:rsid w:val="009D3CC6"/>
    <w:rsid w:val="009D571B"/>
    <w:rsid w:val="009D7577"/>
    <w:rsid w:val="009E5E74"/>
    <w:rsid w:val="009E712D"/>
    <w:rsid w:val="009E7C9C"/>
    <w:rsid w:val="009F1E08"/>
    <w:rsid w:val="009F471A"/>
    <w:rsid w:val="009F4EF1"/>
    <w:rsid w:val="00A002E0"/>
    <w:rsid w:val="00A00DE3"/>
    <w:rsid w:val="00A033E9"/>
    <w:rsid w:val="00A03C4A"/>
    <w:rsid w:val="00A04DDC"/>
    <w:rsid w:val="00A14CF4"/>
    <w:rsid w:val="00A17748"/>
    <w:rsid w:val="00A21E94"/>
    <w:rsid w:val="00A23D94"/>
    <w:rsid w:val="00A2401A"/>
    <w:rsid w:val="00A26CD9"/>
    <w:rsid w:val="00A3223E"/>
    <w:rsid w:val="00A34342"/>
    <w:rsid w:val="00A40053"/>
    <w:rsid w:val="00A414DC"/>
    <w:rsid w:val="00A46EFA"/>
    <w:rsid w:val="00A55AB7"/>
    <w:rsid w:val="00A55EBD"/>
    <w:rsid w:val="00A628C0"/>
    <w:rsid w:val="00A675C1"/>
    <w:rsid w:val="00A758D4"/>
    <w:rsid w:val="00A809FB"/>
    <w:rsid w:val="00A81700"/>
    <w:rsid w:val="00A83CC9"/>
    <w:rsid w:val="00A84ED0"/>
    <w:rsid w:val="00A8538B"/>
    <w:rsid w:val="00A97234"/>
    <w:rsid w:val="00A9726F"/>
    <w:rsid w:val="00AA6B05"/>
    <w:rsid w:val="00AA7790"/>
    <w:rsid w:val="00AB4362"/>
    <w:rsid w:val="00AD49FD"/>
    <w:rsid w:val="00AD5BBF"/>
    <w:rsid w:val="00AD5FC0"/>
    <w:rsid w:val="00AE1E0A"/>
    <w:rsid w:val="00AE5113"/>
    <w:rsid w:val="00AF2C7A"/>
    <w:rsid w:val="00AF43D6"/>
    <w:rsid w:val="00AF47D2"/>
    <w:rsid w:val="00AF7A62"/>
    <w:rsid w:val="00B00F7C"/>
    <w:rsid w:val="00B073B1"/>
    <w:rsid w:val="00B14842"/>
    <w:rsid w:val="00B254D5"/>
    <w:rsid w:val="00B30563"/>
    <w:rsid w:val="00B34419"/>
    <w:rsid w:val="00B42740"/>
    <w:rsid w:val="00B4478B"/>
    <w:rsid w:val="00B44A5D"/>
    <w:rsid w:val="00B531BE"/>
    <w:rsid w:val="00B53397"/>
    <w:rsid w:val="00B5510D"/>
    <w:rsid w:val="00B56EE3"/>
    <w:rsid w:val="00B62178"/>
    <w:rsid w:val="00B62BA0"/>
    <w:rsid w:val="00B64342"/>
    <w:rsid w:val="00B65EB2"/>
    <w:rsid w:val="00B67C67"/>
    <w:rsid w:val="00B72556"/>
    <w:rsid w:val="00B72680"/>
    <w:rsid w:val="00B75EE7"/>
    <w:rsid w:val="00B773F6"/>
    <w:rsid w:val="00B82F15"/>
    <w:rsid w:val="00B82F96"/>
    <w:rsid w:val="00B83F5E"/>
    <w:rsid w:val="00B86B97"/>
    <w:rsid w:val="00B94193"/>
    <w:rsid w:val="00B94710"/>
    <w:rsid w:val="00B94A5D"/>
    <w:rsid w:val="00B96ED6"/>
    <w:rsid w:val="00BA06C6"/>
    <w:rsid w:val="00BA1CEB"/>
    <w:rsid w:val="00BA4F8F"/>
    <w:rsid w:val="00BA6306"/>
    <w:rsid w:val="00BA6C5A"/>
    <w:rsid w:val="00BA7D5A"/>
    <w:rsid w:val="00BB15C8"/>
    <w:rsid w:val="00BB267F"/>
    <w:rsid w:val="00BB53AD"/>
    <w:rsid w:val="00BB579A"/>
    <w:rsid w:val="00BB5F18"/>
    <w:rsid w:val="00BC23E6"/>
    <w:rsid w:val="00BC2DB5"/>
    <w:rsid w:val="00BC4B90"/>
    <w:rsid w:val="00BC7DFD"/>
    <w:rsid w:val="00BD1AE9"/>
    <w:rsid w:val="00BD3684"/>
    <w:rsid w:val="00BD7183"/>
    <w:rsid w:val="00BE14AA"/>
    <w:rsid w:val="00BE1AE8"/>
    <w:rsid w:val="00BE3032"/>
    <w:rsid w:val="00BE606A"/>
    <w:rsid w:val="00BF43DA"/>
    <w:rsid w:val="00BF48EC"/>
    <w:rsid w:val="00BF6ACB"/>
    <w:rsid w:val="00BF7AE9"/>
    <w:rsid w:val="00C02356"/>
    <w:rsid w:val="00C0397F"/>
    <w:rsid w:val="00C065E6"/>
    <w:rsid w:val="00C07734"/>
    <w:rsid w:val="00C113F9"/>
    <w:rsid w:val="00C1144B"/>
    <w:rsid w:val="00C16B74"/>
    <w:rsid w:val="00C2509B"/>
    <w:rsid w:val="00C25AFB"/>
    <w:rsid w:val="00C26AE4"/>
    <w:rsid w:val="00C2759E"/>
    <w:rsid w:val="00C42A4B"/>
    <w:rsid w:val="00C43798"/>
    <w:rsid w:val="00C45F29"/>
    <w:rsid w:val="00C4696B"/>
    <w:rsid w:val="00C471A8"/>
    <w:rsid w:val="00C52E30"/>
    <w:rsid w:val="00C63585"/>
    <w:rsid w:val="00C64E6C"/>
    <w:rsid w:val="00C66F3C"/>
    <w:rsid w:val="00C6735E"/>
    <w:rsid w:val="00C70F39"/>
    <w:rsid w:val="00C75186"/>
    <w:rsid w:val="00C76D8F"/>
    <w:rsid w:val="00C77C54"/>
    <w:rsid w:val="00C77DF0"/>
    <w:rsid w:val="00C8100E"/>
    <w:rsid w:val="00C81C3C"/>
    <w:rsid w:val="00C8739D"/>
    <w:rsid w:val="00C915E0"/>
    <w:rsid w:val="00C922D6"/>
    <w:rsid w:val="00C92469"/>
    <w:rsid w:val="00C96AA9"/>
    <w:rsid w:val="00C97B68"/>
    <w:rsid w:val="00CA3972"/>
    <w:rsid w:val="00CB06A6"/>
    <w:rsid w:val="00CB09DB"/>
    <w:rsid w:val="00CB3594"/>
    <w:rsid w:val="00CB660B"/>
    <w:rsid w:val="00CC0C1E"/>
    <w:rsid w:val="00CC26C9"/>
    <w:rsid w:val="00CC45F0"/>
    <w:rsid w:val="00CC75EA"/>
    <w:rsid w:val="00CD0D0C"/>
    <w:rsid w:val="00CD562F"/>
    <w:rsid w:val="00CD64D4"/>
    <w:rsid w:val="00CE0768"/>
    <w:rsid w:val="00CE580D"/>
    <w:rsid w:val="00CF2CAE"/>
    <w:rsid w:val="00CF70D3"/>
    <w:rsid w:val="00CF7B9E"/>
    <w:rsid w:val="00D009B4"/>
    <w:rsid w:val="00D038C1"/>
    <w:rsid w:val="00D054FA"/>
    <w:rsid w:val="00D07C2A"/>
    <w:rsid w:val="00D115D3"/>
    <w:rsid w:val="00D175A6"/>
    <w:rsid w:val="00D209DE"/>
    <w:rsid w:val="00D23C75"/>
    <w:rsid w:val="00D2574D"/>
    <w:rsid w:val="00D25E8B"/>
    <w:rsid w:val="00D27E7B"/>
    <w:rsid w:val="00D3299B"/>
    <w:rsid w:val="00D32F51"/>
    <w:rsid w:val="00D33F20"/>
    <w:rsid w:val="00D346A4"/>
    <w:rsid w:val="00D41EF1"/>
    <w:rsid w:val="00D46819"/>
    <w:rsid w:val="00D47205"/>
    <w:rsid w:val="00D47BA7"/>
    <w:rsid w:val="00D50E9E"/>
    <w:rsid w:val="00D51C20"/>
    <w:rsid w:val="00D52E8C"/>
    <w:rsid w:val="00D5469A"/>
    <w:rsid w:val="00D5578A"/>
    <w:rsid w:val="00D6484F"/>
    <w:rsid w:val="00D66FE4"/>
    <w:rsid w:val="00D718C8"/>
    <w:rsid w:val="00D72DB9"/>
    <w:rsid w:val="00D7595F"/>
    <w:rsid w:val="00D75EDB"/>
    <w:rsid w:val="00D7795A"/>
    <w:rsid w:val="00D84EB5"/>
    <w:rsid w:val="00DA2133"/>
    <w:rsid w:val="00DA2DD5"/>
    <w:rsid w:val="00DA4D4B"/>
    <w:rsid w:val="00DA72E9"/>
    <w:rsid w:val="00DB3572"/>
    <w:rsid w:val="00DB5A7B"/>
    <w:rsid w:val="00DC37D5"/>
    <w:rsid w:val="00DD1A1E"/>
    <w:rsid w:val="00DD2EFF"/>
    <w:rsid w:val="00DD3C3C"/>
    <w:rsid w:val="00DE0D50"/>
    <w:rsid w:val="00DE1F4F"/>
    <w:rsid w:val="00DE21BC"/>
    <w:rsid w:val="00DE353F"/>
    <w:rsid w:val="00DE49F5"/>
    <w:rsid w:val="00DE62DC"/>
    <w:rsid w:val="00DE7F48"/>
    <w:rsid w:val="00DF0343"/>
    <w:rsid w:val="00DF0A51"/>
    <w:rsid w:val="00DF1CAA"/>
    <w:rsid w:val="00E04F37"/>
    <w:rsid w:val="00E17D0C"/>
    <w:rsid w:val="00E27CAA"/>
    <w:rsid w:val="00E30AAB"/>
    <w:rsid w:val="00E32466"/>
    <w:rsid w:val="00E34645"/>
    <w:rsid w:val="00E35A93"/>
    <w:rsid w:val="00E4251B"/>
    <w:rsid w:val="00E439E1"/>
    <w:rsid w:val="00E53BFF"/>
    <w:rsid w:val="00E55AC6"/>
    <w:rsid w:val="00E5787B"/>
    <w:rsid w:val="00E61055"/>
    <w:rsid w:val="00E65D76"/>
    <w:rsid w:val="00E665E8"/>
    <w:rsid w:val="00E70861"/>
    <w:rsid w:val="00E717FC"/>
    <w:rsid w:val="00E75038"/>
    <w:rsid w:val="00E77A43"/>
    <w:rsid w:val="00E77D57"/>
    <w:rsid w:val="00E81877"/>
    <w:rsid w:val="00E83F5C"/>
    <w:rsid w:val="00E843ED"/>
    <w:rsid w:val="00E87AA7"/>
    <w:rsid w:val="00E916E9"/>
    <w:rsid w:val="00E94917"/>
    <w:rsid w:val="00E9521A"/>
    <w:rsid w:val="00E96DED"/>
    <w:rsid w:val="00E97E7A"/>
    <w:rsid w:val="00EA1A7F"/>
    <w:rsid w:val="00EA5AD9"/>
    <w:rsid w:val="00EA7327"/>
    <w:rsid w:val="00EB5BDC"/>
    <w:rsid w:val="00EB6156"/>
    <w:rsid w:val="00EB74B0"/>
    <w:rsid w:val="00EC18DF"/>
    <w:rsid w:val="00EC4318"/>
    <w:rsid w:val="00EC500E"/>
    <w:rsid w:val="00EC753C"/>
    <w:rsid w:val="00ED1732"/>
    <w:rsid w:val="00EE1982"/>
    <w:rsid w:val="00EE39B8"/>
    <w:rsid w:val="00EF012E"/>
    <w:rsid w:val="00EF086C"/>
    <w:rsid w:val="00EF48A1"/>
    <w:rsid w:val="00F06CCC"/>
    <w:rsid w:val="00F101C0"/>
    <w:rsid w:val="00F1194B"/>
    <w:rsid w:val="00F11BAD"/>
    <w:rsid w:val="00F12189"/>
    <w:rsid w:val="00F13011"/>
    <w:rsid w:val="00F22101"/>
    <w:rsid w:val="00F27E58"/>
    <w:rsid w:val="00F31167"/>
    <w:rsid w:val="00F34E8C"/>
    <w:rsid w:val="00F35549"/>
    <w:rsid w:val="00F361D9"/>
    <w:rsid w:val="00F40AB5"/>
    <w:rsid w:val="00F41C33"/>
    <w:rsid w:val="00F4401D"/>
    <w:rsid w:val="00F45975"/>
    <w:rsid w:val="00F50DE3"/>
    <w:rsid w:val="00F6037E"/>
    <w:rsid w:val="00F62F07"/>
    <w:rsid w:val="00F64E98"/>
    <w:rsid w:val="00F65C6B"/>
    <w:rsid w:val="00F7353C"/>
    <w:rsid w:val="00F751D6"/>
    <w:rsid w:val="00F751E6"/>
    <w:rsid w:val="00F75AEF"/>
    <w:rsid w:val="00F76D93"/>
    <w:rsid w:val="00F8164E"/>
    <w:rsid w:val="00F82903"/>
    <w:rsid w:val="00F85C52"/>
    <w:rsid w:val="00F87BC4"/>
    <w:rsid w:val="00F9154B"/>
    <w:rsid w:val="00F93894"/>
    <w:rsid w:val="00F95C37"/>
    <w:rsid w:val="00F97DAA"/>
    <w:rsid w:val="00FA2B34"/>
    <w:rsid w:val="00FA322A"/>
    <w:rsid w:val="00FA4C55"/>
    <w:rsid w:val="00FA5D06"/>
    <w:rsid w:val="00FA5FE5"/>
    <w:rsid w:val="00FB15E5"/>
    <w:rsid w:val="00FB1F80"/>
    <w:rsid w:val="00FB5B9B"/>
    <w:rsid w:val="00FB5DCE"/>
    <w:rsid w:val="00FB7941"/>
    <w:rsid w:val="00FC1DF3"/>
    <w:rsid w:val="00FC29D1"/>
    <w:rsid w:val="00FC7D44"/>
    <w:rsid w:val="00FD17C4"/>
    <w:rsid w:val="00FD216A"/>
    <w:rsid w:val="00FD48BE"/>
    <w:rsid w:val="00FD58CC"/>
    <w:rsid w:val="00FE05E9"/>
    <w:rsid w:val="00FE47D3"/>
    <w:rsid w:val="00FE6A67"/>
    <w:rsid w:val="00FF4CF5"/>
    <w:rsid w:val="00FF6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BE0F55"/>
  <w15:docId w15:val="{42C67EE9-94BD-8040-AA0E-A84B0E0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69"/>
    <w:rPr>
      <w:lang w:val="en-US"/>
    </w:rPr>
  </w:style>
  <w:style w:type="paragraph" w:styleId="Heading1">
    <w:name w:val="heading 1"/>
    <w:basedOn w:val="Normal"/>
    <w:link w:val="Heading1Char"/>
    <w:uiPriority w:val="9"/>
    <w:qFormat/>
    <w:rsid w:val="001B77F2"/>
    <w:pPr>
      <w:spacing w:before="100" w:beforeAutospacing="1" w:after="100" w:afterAutospacing="1"/>
      <w:outlineLvl w:val="0"/>
    </w:pPr>
    <w:rPr>
      <w:rFonts w:ascii="Times New Roman" w:eastAsia="Times New Roman" w:hAnsi="Times New Roman" w:cs="Times New Roman"/>
      <w:b/>
      <w:bCs/>
      <w:kern w:val="36"/>
      <w:sz w:val="48"/>
      <w:szCs w:val="48"/>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B8"/>
    <w:pPr>
      <w:tabs>
        <w:tab w:val="center" w:pos="4513"/>
        <w:tab w:val="right" w:pos="9026"/>
      </w:tabs>
    </w:pPr>
  </w:style>
  <w:style w:type="character" w:customStyle="1" w:styleId="HeaderChar">
    <w:name w:val="Header Char"/>
    <w:basedOn w:val="DefaultParagraphFont"/>
    <w:link w:val="Header"/>
    <w:uiPriority w:val="99"/>
    <w:rsid w:val="00EE39B8"/>
    <w:rPr>
      <w:lang w:val="en-US"/>
    </w:rPr>
  </w:style>
  <w:style w:type="paragraph" w:styleId="Footer">
    <w:name w:val="footer"/>
    <w:basedOn w:val="Normal"/>
    <w:link w:val="FooterChar"/>
    <w:uiPriority w:val="99"/>
    <w:unhideWhenUsed/>
    <w:rsid w:val="00EE39B8"/>
    <w:pPr>
      <w:tabs>
        <w:tab w:val="center" w:pos="4513"/>
        <w:tab w:val="right" w:pos="9026"/>
      </w:tabs>
    </w:pPr>
  </w:style>
  <w:style w:type="character" w:customStyle="1" w:styleId="FooterChar">
    <w:name w:val="Footer Char"/>
    <w:basedOn w:val="DefaultParagraphFont"/>
    <w:link w:val="Footer"/>
    <w:uiPriority w:val="99"/>
    <w:rsid w:val="00EE39B8"/>
    <w:rPr>
      <w:lang w:val="en-US"/>
    </w:rPr>
  </w:style>
  <w:style w:type="paragraph" w:styleId="NormalWeb">
    <w:name w:val="Normal (Web)"/>
    <w:basedOn w:val="Normal"/>
    <w:uiPriority w:val="99"/>
    <w:semiHidden/>
    <w:unhideWhenUsed/>
    <w:rsid w:val="00EE39B8"/>
    <w:pPr>
      <w:spacing w:before="100" w:beforeAutospacing="1" w:after="100" w:afterAutospacing="1"/>
    </w:pPr>
    <w:rPr>
      <w:rFonts w:ascii="Times New Roman" w:eastAsia="Times New Roman" w:hAnsi="Times New Roman" w:cs="Times New Roman"/>
      <w:lang w:val="en-GB" w:eastAsia="en-GB"/>
    </w:rPr>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
    <w:basedOn w:val="Normal"/>
    <w:link w:val="FootnoteTextChar"/>
    <w:uiPriority w:val="99"/>
    <w:unhideWhenUsed/>
    <w:qFormat/>
    <w:rsid w:val="003930F6"/>
    <w:rPr>
      <w:sz w:val="20"/>
      <w:szCs w:val="20"/>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
    <w:basedOn w:val="DefaultParagraphFont"/>
    <w:link w:val="FootnoteText"/>
    <w:uiPriority w:val="99"/>
    <w:rsid w:val="003930F6"/>
    <w:rPr>
      <w:sz w:val="20"/>
      <w:szCs w:val="20"/>
      <w:lang w:val="en-US"/>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3930F6"/>
    <w:rPr>
      <w:vertAlign w:val="superscript"/>
    </w:rPr>
  </w:style>
  <w:style w:type="paragraph" w:styleId="ListParagraph">
    <w:name w:val="List Paragraph"/>
    <w:basedOn w:val="Normal"/>
    <w:uiPriority w:val="34"/>
    <w:qFormat/>
    <w:rsid w:val="0065791C"/>
    <w:pPr>
      <w:ind w:left="720"/>
      <w:contextualSpacing/>
    </w:pPr>
  </w:style>
  <w:style w:type="paragraph" w:customStyle="1" w:styleId="p1">
    <w:name w:val="p1"/>
    <w:basedOn w:val="Normal"/>
    <w:rsid w:val="00CD0D0C"/>
    <w:rPr>
      <w:rFonts w:ascii="Times" w:hAnsi="Times" w:cs="Times New Roman"/>
      <w:sz w:val="14"/>
      <w:szCs w:val="14"/>
    </w:rPr>
  </w:style>
  <w:style w:type="paragraph" w:customStyle="1" w:styleId="Default">
    <w:name w:val="Default"/>
    <w:rsid w:val="007842AA"/>
    <w:pPr>
      <w:autoSpaceDE w:val="0"/>
      <w:autoSpaceDN w:val="0"/>
      <w:adjustRightInd w:val="0"/>
    </w:pPr>
    <w:rPr>
      <w:rFonts w:ascii="Code" w:hAnsi="Code" w:cs="Code"/>
      <w:color w:val="000000"/>
    </w:rPr>
  </w:style>
  <w:style w:type="paragraph" w:customStyle="1" w:styleId="Body">
    <w:name w:val="Body"/>
    <w:rsid w:val="00BA1CE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14:textOutline w14:w="0" w14:cap="flat" w14:cmpd="sng" w14:algn="ctr">
        <w14:noFill/>
        <w14:prstDash w14:val="solid"/>
        <w14:bevel/>
      </w14:textOutline>
    </w:rPr>
  </w:style>
  <w:style w:type="paragraph" w:customStyle="1" w:styleId="Footnote">
    <w:name w:val="Footnote"/>
    <w:rsid w:val="00BA1CEB"/>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styleId="Strong">
    <w:name w:val="Strong"/>
    <w:basedOn w:val="DefaultParagraphFont"/>
    <w:uiPriority w:val="22"/>
    <w:qFormat/>
    <w:rsid w:val="00210296"/>
    <w:rPr>
      <w:b/>
      <w:bCs/>
    </w:rPr>
  </w:style>
  <w:style w:type="character" w:styleId="PageNumber">
    <w:name w:val="page number"/>
    <w:basedOn w:val="DefaultParagraphFont"/>
    <w:uiPriority w:val="99"/>
    <w:semiHidden/>
    <w:unhideWhenUsed/>
    <w:rsid w:val="00B72556"/>
  </w:style>
  <w:style w:type="character" w:styleId="Hyperlink">
    <w:name w:val="Hyperlink"/>
    <w:basedOn w:val="DefaultParagraphFont"/>
    <w:uiPriority w:val="99"/>
    <w:unhideWhenUsed/>
    <w:rsid w:val="00072A6F"/>
    <w:rPr>
      <w:color w:val="0563C1" w:themeColor="hyperlink"/>
      <w:u w:val="single"/>
    </w:rPr>
  </w:style>
  <w:style w:type="character" w:customStyle="1" w:styleId="UnresolvedMention1">
    <w:name w:val="Unresolved Mention1"/>
    <w:basedOn w:val="DefaultParagraphFont"/>
    <w:uiPriority w:val="99"/>
    <w:semiHidden/>
    <w:unhideWhenUsed/>
    <w:rsid w:val="00072A6F"/>
    <w:rPr>
      <w:color w:val="605E5C"/>
      <w:shd w:val="clear" w:color="auto" w:fill="E1DFDD"/>
    </w:rPr>
  </w:style>
  <w:style w:type="paragraph" w:styleId="Revision">
    <w:name w:val="Revision"/>
    <w:hidden/>
    <w:uiPriority w:val="99"/>
    <w:semiHidden/>
    <w:rsid w:val="00802FA9"/>
    <w:rPr>
      <w:lang w:val="en-US"/>
    </w:rPr>
  </w:style>
  <w:style w:type="paragraph" w:styleId="BalloonText">
    <w:name w:val="Balloon Text"/>
    <w:basedOn w:val="Normal"/>
    <w:link w:val="BalloonTextChar"/>
    <w:uiPriority w:val="99"/>
    <w:semiHidden/>
    <w:unhideWhenUsed/>
    <w:rsid w:val="006D2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93"/>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1B77F2"/>
    <w:rPr>
      <w:sz w:val="16"/>
      <w:szCs w:val="16"/>
    </w:rPr>
  </w:style>
  <w:style w:type="paragraph" w:styleId="CommentText">
    <w:name w:val="annotation text"/>
    <w:basedOn w:val="Normal"/>
    <w:link w:val="CommentTextChar"/>
    <w:uiPriority w:val="99"/>
    <w:semiHidden/>
    <w:unhideWhenUsed/>
    <w:rsid w:val="001B77F2"/>
    <w:rPr>
      <w:sz w:val="20"/>
      <w:szCs w:val="20"/>
    </w:rPr>
  </w:style>
  <w:style w:type="character" w:customStyle="1" w:styleId="CommentTextChar">
    <w:name w:val="Comment Text Char"/>
    <w:basedOn w:val="DefaultParagraphFont"/>
    <w:link w:val="CommentText"/>
    <w:uiPriority w:val="99"/>
    <w:semiHidden/>
    <w:rsid w:val="001B77F2"/>
    <w:rPr>
      <w:sz w:val="20"/>
      <w:szCs w:val="20"/>
      <w:lang w:val="en-US"/>
    </w:rPr>
  </w:style>
  <w:style w:type="paragraph" w:styleId="CommentSubject">
    <w:name w:val="annotation subject"/>
    <w:basedOn w:val="CommentText"/>
    <w:next w:val="CommentText"/>
    <w:link w:val="CommentSubjectChar"/>
    <w:uiPriority w:val="99"/>
    <w:semiHidden/>
    <w:unhideWhenUsed/>
    <w:rsid w:val="001B77F2"/>
    <w:rPr>
      <w:b/>
      <w:bCs/>
    </w:rPr>
  </w:style>
  <w:style w:type="character" w:customStyle="1" w:styleId="CommentSubjectChar">
    <w:name w:val="Comment Subject Char"/>
    <w:basedOn w:val="CommentTextChar"/>
    <w:link w:val="CommentSubject"/>
    <w:uiPriority w:val="99"/>
    <w:semiHidden/>
    <w:rsid w:val="001B77F2"/>
    <w:rPr>
      <w:b/>
      <w:bCs/>
      <w:sz w:val="20"/>
      <w:szCs w:val="20"/>
      <w:lang w:val="en-US"/>
    </w:rPr>
  </w:style>
  <w:style w:type="character" w:customStyle="1" w:styleId="Heading1Char">
    <w:name w:val="Heading 1 Char"/>
    <w:basedOn w:val="DefaultParagraphFont"/>
    <w:link w:val="Heading1"/>
    <w:uiPriority w:val="9"/>
    <w:rsid w:val="001B77F2"/>
    <w:rPr>
      <w:rFonts w:ascii="Times New Roman" w:eastAsia="Times New Roman" w:hAnsi="Times New Roman" w:cs="Times New Roman"/>
      <w:b/>
      <w:bCs/>
      <w:kern w:val="36"/>
      <w:sz w:val="48"/>
      <w:szCs w:val="48"/>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581">
      <w:bodyDiv w:val="1"/>
      <w:marLeft w:val="0"/>
      <w:marRight w:val="0"/>
      <w:marTop w:val="0"/>
      <w:marBottom w:val="0"/>
      <w:divBdr>
        <w:top w:val="none" w:sz="0" w:space="0" w:color="auto"/>
        <w:left w:val="none" w:sz="0" w:space="0" w:color="auto"/>
        <w:bottom w:val="none" w:sz="0" w:space="0" w:color="auto"/>
        <w:right w:val="none" w:sz="0" w:space="0" w:color="auto"/>
      </w:divBdr>
    </w:div>
    <w:div w:id="86736016">
      <w:bodyDiv w:val="1"/>
      <w:marLeft w:val="0"/>
      <w:marRight w:val="0"/>
      <w:marTop w:val="0"/>
      <w:marBottom w:val="0"/>
      <w:divBdr>
        <w:top w:val="none" w:sz="0" w:space="0" w:color="auto"/>
        <w:left w:val="none" w:sz="0" w:space="0" w:color="auto"/>
        <w:bottom w:val="none" w:sz="0" w:space="0" w:color="auto"/>
        <w:right w:val="none" w:sz="0" w:space="0" w:color="auto"/>
      </w:divBdr>
    </w:div>
    <w:div w:id="160121300">
      <w:bodyDiv w:val="1"/>
      <w:marLeft w:val="0"/>
      <w:marRight w:val="0"/>
      <w:marTop w:val="0"/>
      <w:marBottom w:val="0"/>
      <w:divBdr>
        <w:top w:val="none" w:sz="0" w:space="0" w:color="auto"/>
        <w:left w:val="none" w:sz="0" w:space="0" w:color="auto"/>
        <w:bottom w:val="none" w:sz="0" w:space="0" w:color="auto"/>
        <w:right w:val="none" w:sz="0" w:space="0" w:color="auto"/>
      </w:divBdr>
    </w:div>
    <w:div w:id="180822037">
      <w:bodyDiv w:val="1"/>
      <w:marLeft w:val="0"/>
      <w:marRight w:val="0"/>
      <w:marTop w:val="0"/>
      <w:marBottom w:val="0"/>
      <w:divBdr>
        <w:top w:val="none" w:sz="0" w:space="0" w:color="auto"/>
        <w:left w:val="none" w:sz="0" w:space="0" w:color="auto"/>
        <w:bottom w:val="none" w:sz="0" w:space="0" w:color="auto"/>
        <w:right w:val="none" w:sz="0" w:space="0" w:color="auto"/>
      </w:divBdr>
    </w:div>
    <w:div w:id="210390454">
      <w:bodyDiv w:val="1"/>
      <w:marLeft w:val="0"/>
      <w:marRight w:val="0"/>
      <w:marTop w:val="0"/>
      <w:marBottom w:val="0"/>
      <w:divBdr>
        <w:top w:val="none" w:sz="0" w:space="0" w:color="auto"/>
        <w:left w:val="none" w:sz="0" w:space="0" w:color="auto"/>
        <w:bottom w:val="none" w:sz="0" w:space="0" w:color="auto"/>
        <w:right w:val="none" w:sz="0" w:space="0" w:color="auto"/>
      </w:divBdr>
    </w:div>
    <w:div w:id="279604557">
      <w:bodyDiv w:val="1"/>
      <w:marLeft w:val="0"/>
      <w:marRight w:val="0"/>
      <w:marTop w:val="0"/>
      <w:marBottom w:val="0"/>
      <w:divBdr>
        <w:top w:val="none" w:sz="0" w:space="0" w:color="auto"/>
        <w:left w:val="none" w:sz="0" w:space="0" w:color="auto"/>
        <w:bottom w:val="none" w:sz="0" w:space="0" w:color="auto"/>
        <w:right w:val="none" w:sz="0" w:space="0" w:color="auto"/>
      </w:divBdr>
    </w:div>
    <w:div w:id="654728488">
      <w:bodyDiv w:val="1"/>
      <w:marLeft w:val="0"/>
      <w:marRight w:val="0"/>
      <w:marTop w:val="0"/>
      <w:marBottom w:val="0"/>
      <w:divBdr>
        <w:top w:val="none" w:sz="0" w:space="0" w:color="auto"/>
        <w:left w:val="none" w:sz="0" w:space="0" w:color="auto"/>
        <w:bottom w:val="none" w:sz="0" w:space="0" w:color="auto"/>
        <w:right w:val="none" w:sz="0" w:space="0" w:color="auto"/>
      </w:divBdr>
    </w:div>
    <w:div w:id="695040018">
      <w:bodyDiv w:val="1"/>
      <w:marLeft w:val="0"/>
      <w:marRight w:val="0"/>
      <w:marTop w:val="0"/>
      <w:marBottom w:val="0"/>
      <w:divBdr>
        <w:top w:val="none" w:sz="0" w:space="0" w:color="auto"/>
        <w:left w:val="none" w:sz="0" w:space="0" w:color="auto"/>
        <w:bottom w:val="none" w:sz="0" w:space="0" w:color="auto"/>
        <w:right w:val="none" w:sz="0" w:space="0" w:color="auto"/>
      </w:divBdr>
    </w:div>
    <w:div w:id="720134317">
      <w:bodyDiv w:val="1"/>
      <w:marLeft w:val="0"/>
      <w:marRight w:val="0"/>
      <w:marTop w:val="0"/>
      <w:marBottom w:val="0"/>
      <w:divBdr>
        <w:top w:val="none" w:sz="0" w:space="0" w:color="auto"/>
        <w:left w:val="none" w:sz="0" w:space="0" w:color="auto"/>
        <w:bottom w:val="none" w:sz="0" w:space="0" w:color="auto"/>
        <w:right w:val="none" w:sz="0" w:space="0" w:color="auto"/>
      </w:divBdr>
    </w:div>
    <w:div w:id="774667086">
      <w:bodyDiv w:val="1"/>
      <w:marLeft w:val="0"/>
      <w:marRight w:val="0"/>
      <w:marTop w:val="0"/>
      <w:marBottom w:val="0"/>
      <w:divBdr>
        <w:top w:val="none" w:sz="0" w:space="0" w:color="auto"/>
        <w:left w:val="none" w:sz="0" w:space="0" w:color="auto"/>
        <w:bottom w:val="none" w:sz="0" w:space="0" w:color="auto"/>
        <w:right w:val="none" w:sz="0" w:space="0" w:color="auto"/>
      </w:divBdr>
      <w:divsChild>
        <w:div w:id="1638947845">
          <w:marLeft w:val="0"/>
          <w:marRight w:val="0"/>
          <w:marTop w:val="0"/>
          <w:marBottom w:val="0"/>
          <w:divBdr>
            <w:top w:val="none" w:sz="0" w:space="0" w:color="auto"/>
            <w:left w:val="none" w:sz="0" w:space="0" w:color="auto"/>
            <w:bottom w:val="none" w:sz="0" w:space="0" w:color="auto"/>
            <w:right w:val="none" w:sz="0" w:space="0" w:color="auto"/>
          </w:divBdr>
        </w:div>
        <w:div w:id="1365982790">
          <w:marLeft w:val="0"/>
          <w:marRight w:val="0"/>
          <w:marTop w:val="0"/>
          <w:marBottom w:val="0"/>
          <w:divBdr>
            <w:top w:val="none" w:sz="0" w:space="0" w:color="auto"/>
            <w:left w:val="none" w:sz="0" w:space="0" w:color="auto"/>
            <w:bottom w:val="none" w:sz="0" w:space="0" w:color="auto"/>
            <w:right w:val="none" w:sz="0" w:space="0" w:color="auto"/>
          </w:divBdr>
        </w:div>
      </w:divsChild>
    </w:div>
    <w:div w:id="1085683026">
      <w:bodyDiv w:val="1"/>
      <w:marLeft w:val="0"/>
      <w:marRight w:val="0"/>
      <w:marTop w:val="0"/>
      <w:marBottom w:val="0"/>
      <w:divBdr>
        <w:top w:val="none" w:sz="0" w:space="0" w:color="auto"/>
        <w:left w:val="none" w:sz="0" w:space="0" w:color="auto"/>
        <w:bottom w:val="none" w:sz="0" w:space="0" w:color="auto"/>
        <w:right w:val="none" w:sz="0" w:space="0" w:color="auto"/>
      </w:divBdr>
    </w:div>
    <w:div w:id="1534462304">
      <w:bodyDiv w:val="1"/>
      <w:marLeft w:val="0"/>
      <w:marRight w:val="0"/>
      <w:marTop w:val="0"/>
      <w:marBottom w:val="0"/>
      <w:divBdr>
        <w:top w:val="none" w:sz="0" w:space="0" w:color="auto"/>
        <w:left w:val="none" w:sz="0" w:space="0" w:color="auto"/>
        <w:bottom w:val="none" w:sz="0" w:space="0" w:color="auto"/>
        <w:right w:val="none" w:sz="0" w:space="0" w:color="auto"/>
      </w:divBdr>
    </w:div>
    <w:div w:id="15862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D840-E76D-BF4E-8472-B2F756C3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9182</Words>
  <Characters>49862</Characters>
  <Application>Microsoft Office Word</Application>
  <DocSecurity>0</DocSecurity>
  <Lines>744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Casey</dc:creator>
  <cp:keywords/>
  <dc:description/>
  <cp:lastModifiedBy>Conor Casey</cp:lastModifiedBy>
  <cp:revision>3</cp:revision>
  <cp:lastPrinted>2021-12-06T19:31:00Z</cp:lastPrinted>
  <dcterms:created xsi:type="dcterms:W3CDTF">2022-01-13T15:49:00Z</dcterms:created>
  <dcterms:modified xsi:type="dcterms:W3CDTF">2022-01-13T15:50:00Z</dcterms:modified>
</cp:coreProperties>
</file>